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92DF3">
      <w:pPr>
        <w:pStyle w:val="Heading1"/>
      </w:pPr>
      <w:r>
        <w:t>Item 240 – Container Service – Dumped in Company's Vehicle</w:t>
      </w:r>
    </w:p>
    <w:p w:rsidR="00000000" w:rsidRDefault="00B92DF3">
      <w:pPr>
        <w:jc w:val="center"/>
      </w:pPr>
      <w:r>
        <w:t>Non-Compacted Material (Company-owned container)</w:t>
      </w:r>
    </w:p>
    <w:p w:rsidR="00000000" w:rsidRDefault="00B92DF3">
      <w:pPr>
        <w:jc w:val="center"/>
      </w:pPr>
      <w:r>
        <w:t>Rates stated per container, per pickup</w:t>
      </w:r>
    </w:p>
    <w:p w:rsidR="00000000" w:rsidRDefault="00B92DF3">
      <w:pPr>
        <w:jc w:val="center"/>
      </w:pPr>
    </w:p>
    <w:p w:rsidR="00000000" w:rsidRDefault="00B92DF3">
      <w:r>
        <w:t>Service Area:</w:t>
      </w:r>
    </w:p>
    <w:p w:rsidR="00000000" w:rsidRDefault="00B92DF3"/>
    <w:tbl>
      <w:tblPr>
        <w:tblW w:w="0" w:type="auto"/>
        <w:tblInd w:w="-15" w:type="dxa"/>
        <w:tblLayout w:type="fixed"/>
        <w:tblLook w:val="0000" w:firstRow="0" w:lastRow="0" w:firstColumn="0" w:lastColumn="0" w:noHBand="0" w:noVBand="0"/>
      </w:tblPr>
      <w:tblGrid>
        <w:gridCol w:w="2754"/>
        <w:gridCol w:w="1377"/>
        <w:gridCol w:w="1377"/>
        <w:gridCol w:w="1377"/>
        <w:gridCol w:w="1377"/>
        <w:gridCol w:w="1377"/>
        <w:gridCol w:w="1407"/>
      </w:tblGrid>
      <w:tr w:rsidR="00000000">
        <w:trPr>
          <w:cantSplit/>
        </w:trPr>
        <w:tc>
          <w:tcPr>
            <w:tcW w:w="2754" w:type="dxa"/>
            <w:vMerge w:val="restart"/>
            <w:tcBorders>
              <w:top w:val="single" w:sz="4" w:space="0" w:color="000000"/>
              <w:left w:val="single" w:sz="4" w:space="0" w:color="000000"/>
              <w:bottom w:val="single" w:sz="4" w:space="0" w:color="000000"/>
            </w:tcBorders>
            <w:shd w:val="clear" w:color="auto" w:fill="auto"/>
          </w:tcPr>
          <w:p w:rsidR="00000000" w:rsidRDefault="00B92DF3">
            <w:pPr>
              <w:snapToGrid w:val="0"/>
            </w:pPr>
          </w:p>
          <w:p w:rsidR="00000000" w:rsidRDefault="00B92DF3">
            <w:r>
              <w:t>Permanent Service</w:t>
            </w:r>
          </w:p>
        </w:tc>
        <w:tc>
          <w:tcPr>
            <w:tcW w:w="8292" w:type="dxa"/>
            <w:gridSpan w:val="6"/>
            <w:tcBorders>
              <w:top w:val="single" w:sz="4" w:space="0" w:color="000000"/>
              <w:left w:val="single" w:sz="4" w:space="0" w:color="000000"/>
              <w:bottom w:val="single" w:sz="4" w:space="0" w:color="000000"/>
              <w:right w:val="single" w:sz="4" w:space="0" w:color="000000"/>
            </w:tcBorders>
            <w:shd w:val="clear" w:color="auto" w:fill="auto"/>
          </w:tcPr>
          <w:p w:rsidR="00000000" w:rsidRDefault="00B92DF3">
            <w:pPr>
              <w:jc w:val="center"/>
            </w:pPr>
            <w:r>
              <w:t xml:space="preserve"> Size or Type of Container</w:t>
            </w:r>
          </w:p>
        </w:tc>
      </w:tr>
      <w:tr w:rsidR="00000000">
        <w:trPr>
          <w:cantSplit/>
          <w:trHeight w:val="323"/>
        </w:trPr>
        <w:tc>
          <w:tcPr>
            <w:tcW w:w="2754" w:type="dxa"/>
            <w:vMerge/>
            <w:tcBorders>
              <w:top w:val="single" w:sz="4" w:space="0" w:color="000000"/>
              <w:left w:val="single" w:sz="4" w:space="0" w:color="000000"/>
              <w:bottom w:val="single" w:sz="4" w:space="0" w:color="000000"/>
            </w:tcBorders>
            <w:shd w:val="clear" w:color="auto" w:fill="auto"/>
          </w:tcPr>
          <w:p w:rsidR="00000000" w:rsidRDefault="00B92DF3">
            <w:pPr>
              <w:snapToGrid w:val="0"/>
            </w:pPr>
          </w:p>
        </w:tc>
        <w:tc>
          <w:tcPr>
            <w:tcW w:w="1377" w:type="dxa"/>
            <w:tcBorders>
              <w:top w:val="single" w:sz="4" w:space="0" w:color="000000"/>
              <w:left w:val="single" w:sz="4" w:space="0" w:color="000000"/>
              <w:bottom w:val="single" w:sz="4" w:space="0" w:color="000000"/>
            </w:tcBorders>
            <w:shd w:val="clear" w:color="auto" w:fill="auto"/>
          </w:tcPr>
          <w:p w:rsidR="00000000" w:rsidRDefault="00B92DF3">
            <w:pPr>
              <w:jc w:val="right"/>
            </w:pPr>
            <w:r>
              <w:t>1   Yard</w:t>
            </w:r>
          </w:p>
        </w:tc>
        <w:tc>
          <w:tcPr>
            <w:tcW w:w="1377" w:type="dxa"/>
            <w:tcBorders>
              <w:top w:val="single" w:sz="4" w:space="0" w:color="000000"/>
              <w:left w:val="single" w:sz="4" w:space="0" w:color="000000"/>
              <w:bottom w:val="single" w:sz="4" w:space="0" w:color="000000"/>
            </w:tcBorders>
            <w:shd w:val="clear" w:color="auto" w:fill="auto"/>
          </w:tcPr>
          <w:p w:rsidR="00000000" w:rsidRDefault="00B92DF3">
            <w:pPr>
              <w:jc w:val="center"/>
            </w:pPr>
            <w:r>
              <w:t>2 Yard</w:t>
            </w:r>
          </w:p>
        </w:tc>
        <w:tc>
          <w:tcPr>
            <w:tcW w:w="1377" w:type="dxa"/>
            <w:tcBorders>
              <w:top w:val="single" w:sz="4" w:space="0" w:color="000000"/>
              <w:left w:val="single" w:sz="4" w:space="0" w:color="000000"/>
              <w:bottom w:val="single" w:sz="4" w:space="0" w:color="000000"/>
            </w:tcBorders>
            <w:shd w:val="clear" w:color="auto" w:fill="auto"/>
          </w:tcPr>
          <w:p w:rsidR="00000000" w:rsidRDefault="00B92DF3">
            <w:pPr>
              <w:jc w:val="center"/>
            </w:pPr>
            <w:r>
              <w:t>3 Yard</w:t>
            </w:r>
          </w:p>
        </w:tc>
        <w:tc>
          <w:tcPr>
            <w:tcW w:w="1377" w:type="dxa"/>
            <w:tcBorders>
              <w:top w:val="single" w:sz="4" w:space="0" w:color="000000"/>
              <w:left w:val="single" w:sz="4" w:space="0" w:color="000000"/>
              <w:bottom w:val="single" w:sz="4" w:space="0" w:color="000000"/>
            </w:tcBorders>
            <w:shd w:val="clear" w:color="auto" w:fill="auto"/>
          </w:tcPr>
          <w:p w:rsidR="00000000" w:rsidRDefault="00B92DF3">
            <w:pPr>
              <w:jc w:val="center"/>
            </w:pPr>
            <w:r>
              <w:t>4 Yard</w:t>
            </w:r>
          </w:p>
        </w:tc>
        <w:tc>
          <w:tcPr>
            <w:tcW w:w="1377" w:type="dxa"/>
            <w:tcBorders>
              <w:top w:val="single" w:sz="4" w:space="0" w:color="000000"/>
              <w:left w:val="single" w:sz="4" w:space="0" w:color="000000"/>
              <w:bottom w:val="single" w:sz="4" w:space="0" w:color="000000"/>
            </w:tcBorders>
            <w:shd w:val="clear" w:color="auto" w:fill="auto"/>
          </w:tcPr>
          <w:p w:rsidR="00000000" w:rsidRDefault="00B92DF3">
            <w:pPr>
              <w:jc w:val="center"/>
            </w:pPr>
            <w:r>
              <w:t>6 Yard</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92DF3">
            <w:pPr>
              <w:jc w:val="right"/>
            </w:pPr>
            <w:r>
              <w:t>_____Yar</w:t>
            </w:r>
            <w:r>
              <w:t>d</w:t>
            </w:r>
          </w:p>
        </w:tc>
      </w:tr>
      <w:tr w:rsidR="00000000">
        <w:trPr>
          <w:cantSplit/>
        </w:trPr>
        <w:tc>
          <w:tcPr>
            <w:tcW w:w="2754" w:type="dxa"/>
            <w:tcBorders>
              <w:top w:val="single" w:sz="4" w:space="0" w:color="000000"/>
              <w:left w:val="single" w:sz="4" w:space="0" w:color="000000"/>
              <w:bottom w:val="single" w:sz="4" w:space="0" w:color="000000"/>
            </w:tcBorders>
            <w:shd w:val="clear" w:color="auto" w:fill="auto"/>
          </w:tcPr>
          <w:p w:rsidR="00000000" w:rsidRDefault="00B92DF3">
            <w:r>
              <w:t>Monthly Rent,</w:t>
            </w:r>
            <w:r>
              <w:rPr>
                <w:sz w:val="20"/>
              </w:rPr>
              <w:t xml:space="preserve"> if applicable</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 xml:space="preserve">  ***</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$23.78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$27.86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$40.38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$43.52  (A)</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92DF3">
            <w:r>
              <w:t>$</w:t>
            </w:r>
          </w:p>
        </w:tc>
      </w:tr>
      <w:tr w:rsidR="00000000">
        <w:trPr>
          <w:cantSplit/>
        </w:trPr>
        <w:tc>
          <w:tcPr>
            <w:tcW w:w="2754" w:type="dxa"/>
            <w:tcBorders>
              <w:top w:val="single" w:sz="4" w:space="0" w:color="000000"/>
              <w:left w:val="single" w:sz="4" w:space="0" w:color="000000"/>
              <w:bottom w:val="single" w:sz="4" w:space="0" w:color="000000"/>
            </w:tcBorders>
            <w:shd w:val="clear" w:color="auto" w:fill="auto"/>
          </w:tcPr>
          <w:p w:rsidR="00000000" w:rsidRDefault="00B92DF3">
            <w:pPr>
              <w:pStyle w:val="Heading2"/>
              <w:jc w:val="left"/>
            </w:pPr>
            <w:r>
              <w:rPr>
                <w:b w:val="0"/>
                <w:bCs w:val="0"/>
                <w:sz w:val="24"/>
              </w:rPr>
              <w:t>First Pickup</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 xml:space="preserve">  ***</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$39.38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$54.73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$70.77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$93.56  (A)</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92DF3">
            <w:r>
              <w:t>$</w:t>
            </w:r>
          </w:p>
        </w:tc>
      </w:tr>
      <w:tr w:rsidR="00000000">
        <w:trPr>
          <w:cantSplit/>
        </w:trPr>
        <w:tc>
          <w:tcPr>
            <w:tcW w:w="2754" w:type="dxa"/>
            <w:tcBorders>
              <w:top w:val="single" w:sz="4" w:space="0" w:color="000000"/>
              <w:left w:val="single" w:sz="4" w:space="0" w:color="000000"/>
              <w:bottom w:val="single" w:sz="4" w:space="0" w:color="000000"/>
            </w:tcBorders>
            <w:shd w:val="clear" w:color="auto" w:fill="auto"/>
          </w:tcPr>
          <w:p w:rsidR="00000000" w:rsidRDefault="00B92DF3">
            <w:pPr>
              <w:pStyle w:val="Heading2"/>
              <w:jc w:val="left"/>
            </w:pPr>
            <w:r>
              <w:rPr>
                <w:b w:val="0"/>
                <w:bCs w:val="0"/>
                <w:sz w:val="24"/>
              </w:rPr>
              <w:t>Each Additional Pickup</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 xml:space="preserve">  ***</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$39.38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$54.73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$70.77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$93.56  (A)</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92DF3">
            <w:r>
              <w:t>$</w:t>
            </w:r>
          </w:p>
        </w:tc>
      </w:tr>
      <w:tr w:rsidR="00000000">
        <w:trPr>
          <w:cantSplit/>
        </w:trPr>
        <w:tc>
          <w:tcPr>
            <w:tcW w:w="2754" w:type="dxa"/>
            <w:tcBorders>
              <w:top w:val="single" w:sz="4" w:space="0" w:color="000000"/>
              <w:left w:val="single" w:sz="4" w:space="0" w:color="000000"/>
              <w:bottom w:val="single" w:sz="4" w:space="0" w:color="000000"/>
            </w:tcBorders>
            <w:shd w:val="clear" w:color="auto" w:fill="auto"/>
          </w:tcPr>
          <w:p w:rsidR="00000000" w:rsidRDefault="00B92DF3">
            <w:pPr>
              <w:pStyle w:val="Heading2"/>
              <w:jc w:val="left"/>
            </w:pPr>
            <w:r>
              <w:rPr>
                <w:b w:val="0"/>
                <w:bCs w:val="0"/>
                <w:sz w:val="24"/>
              </w:rPr>
              <w:t>Special Pickups</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 xml:space="preserve">  </w:t>
            </w:r>
            <w:r>
              <w:t>***</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$42.37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$57.51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$73.54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$96.33  (A)</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92DF3">
            <w:r>
              <w:t>$</w:t>
            </w:r>
          </w:p>
        </w:tc>
      </w:tr>
      <w:tr w:rsidR="00000000">
        <w:trPr>
          <w:cantSplit/>
          <w:trHeight w:val="197"/>
        </w:trPr>
        <w:tc>
          <w:tcPr>
            <w:tcW w:w="11046"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B92DF3">
            <w:pPr>
              <w:snapToGrid w:val="0"/>
            </w:pPr>
          </w:p>
        </w:tc>
      </w:tr>
      <w:tr w:rsidR="00000000">
        <w:trPr>
          <w:cantSplit/>
        </w:trPr>
        <w:tc>
          <w:tcPr>
            <w:tcW w:w="2754" w:type="dxa"/>
            <w:tcBorders>
              <w:top w:val="single" w:sz="4" w:space="0" w:color="000000"/>
              <w:left w:val="single" w:sz="4" w:space="0" w:color="000000"/>
              <w:bottom w:val="single" w:sz="4" w:space="0" w:color="000000"/>
            </w:tcBorders>
            <w:shd w:val="clear" w:color="auto" w:fill="auto"/>
          </w:tcPr>
          <w:p w:rsidR="00000000" w:rsidRDefault="00B92DF3">
            <w:pPr>
              <w:pStyle w:val="Heading2"/>
              <w:jc w:val="left"/>
            </w:pPr>
            <w:r>
              <w:rPr>
                <w:b w:val="0"/>
                <w:bCs w:val="0"/>
                <w:sz w:val="24"/>
              </w:rPr>
              <w:t>Temporary Service</w:t>
            </w:r>
          </w:p>
        </w:tc>
        <w:tc>
          <w:tcPr>
            <w:tcW w:w="8292" w:type="dxa"/>
            <w:gridSpan w:val="6"/>
            <w:tcBorders>
              <w:top w:val="single" w:sz="4" w:space="0" w:color="000000"/>
              <w:left w:val="single" w:sz="4" w:space="0" w:color="000000"/>
              <w:bottom w:val="single" w:sz="4" w:space="0" w:color="000000"/>
              <w:right w:val="single" w:sz="4" w:space="0" w:color="000000"/>
            </w:tcBorders>
            <w:shd w:val="clear" w:color="auto" w:fill="auto"/>
          </w:tcPr>
          <w:p w:rsidR="00000000" w:rsidRDefault="00B92DF3">
            <w:pPr>
              <w:snapToGrid w:val="0"/>
              <w:jc w:val="center"/>
            </w:pPr>
          </w:p>
        </w:tc>
      </w:tr>
      <w:tr w:rsidR="00000000">
        <w:trPr>
          <w:cantSplit/>
        </w:trPr>
        <w:tc>
          <w:tcPr>
            <w:tcW w:w="2754" w:type="dxa"/>
            <w:tcBorders>
              <w:top w:val="single" w:sz="4" w:space="0" w:color="000000"/>
              <w:left w:val="single" w:sz="4" w:space="0" w:color="000000"/>
              <w:bottom w:val="single" w:sz="4" w:space="0" w:color="000000"/>
            </w:tcBorders>
            <w:shd w:val="clear" w:color="auto" w:fill="auto"/>
          </w:tcPr>
          <w:p w:rsidR="00000000" w:rsidRDefault="00B92DF3">
            <w:pPr>
              <w:pStyle w:val="Heading2"/>
              <w:jc w:val="left"/>
            </w:pPr>
            <w:r>
              <w:rPr>
                <w:b w:val="0"/>
                <w:bCs w:val="0"/>
                <w:sz w:val="24"/>
              </w:rPr>
              <w:t>Initial Delivery</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 Note 3</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  Note 3</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  Note 3</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  Note 3</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  Note 3</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92DF3">
            <w:r>
              <w:t>$</w:t>
            </w:r>
          </w:p>
        </w:tc>
      </w:tr>
      <w:tr w:rsidR="00000000">
        <w:trPr>
          <w:cantSplit/>
        </w:trPr>
        <w:tc>
          <w:tcPr>
            <w:tcW w:w="2754" w:type="dxa"/>
            <w:tcBorders>
              <w:top w:val="single" w:sz="4" w:space="0" w:color="000000"/>
              <w:left w:val="single" w:sz="4" w:space="0" w:color="000000"/>
              <w:bottom w:val="single" w:sz="4" w:space="0" w:color="000000"/>
            </w:tcBorders>
            <w:shd w:val="clear" w:color="auto" w:fill="auto"/>
          </w:tcPr>
          <w:p w:rsidR="00000000" w:rsidRDefault="00B92DF3">
            <w:pPr>
              <w:pStyle w:val="Heading2"/>
              <w:jc w:val="left"/>
            </w:pPr>
            <w:r>
              <w:rPr>
                <w:b w:val="0"/>
                <w:bCs w:val="0"/>
                <w:sz w:val="24"/>
              </w:rPr>
              <w:t>Pickup Rate</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 xml:space="preserve">  ***</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$42.37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$57.51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$73.54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$96.33  (A)</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92DF3">
            <w:r>
              <w:t>$</w:t>
            </w:r>
          </w:p>
        </w:tc>
      </w:tr>
      <w:tr w:rsidR="00000000">
        <w:trPr>
          <w:cantSplit/>
          <w:trHeight w:val="223"/>
        </w:trPr>
        <w:tc>
          <w:tcPr>
            <w:tcW w:w="2754" w:type="dxa"/>
            <w:tcBorders>
              <w:top w:val="single" w:sz="4" w:space="0" w:color="000000"/>
              <w:left w:val="single" w:sz="4" w:space="0" w:color="000000"/>
              <w:bottom w:val="single" w:sz="4" w:space="0" w:color="000000"/>
            </w:tcBorders>
            <w:shd w:val="clear" w:color="auto" w:fill="auto"/>
          </w:tcPr>
          <w:p w:rsidR="00000000" w:rsidRDefault="00B92DF3">
            <w:pPr>
              <w:pStyle w:val="Heading2"/>
              <w:jc w:val="left"/>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 xml:space="preserve">  ***</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$ 2.76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  4.14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  5.51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  8.26  (A)</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92DF3">
            <w:r>
              <w:t>$</w:t>
            </w:r>
          </w:p>
        </w:tc>
      </w:tr>
      <w:tr w:rsidR="00000000">
        <w:trPr>
          <w:cantSplit/>
        </w:trPr>
        <w:tc>
          <w:tcPr>
            <w:tcW w:w="2754" w:type="dxa"/>
            <w:tcBorders>
              <w:top w:val="single" w:sz="4" w:space="0" w:color="000000"/>
              <w:left w:val="single" w:sz="4" w:space="0" w:color="000000"/>
              <w:bottom w:val="single" w:sz="4" w:space="0" w:color="000000"/>
            </w:tcBorders>
            <w:shd w:val="clear" w:color="auto" w:fill="auto"/>
          </w:tcPr>
          <w:p w:rsidR="00000000" w:rsidRDefault="00B92DF3">
            <w:pPr>
              <w:pStyle w:val="Heading2"/>
              <w:jc w:val="left"/>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 xml:space="preserve">  ***</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$23.78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$27.86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$40.38  (A)</w:t>
            </w:r>
          </w:p>
        </w:tc>
        <w:tc>
          <w:tcPr>
            <w:tcW w:w="1377" w:type="dxa"/>
            <w:tcBorders>
              <w:top w:val="single" w:sz="4" w:space="0" w:color="000000"/>
              <w:left w:val="single" w:sz="4" w:space="0" w:color="000000"/>
              <w:bottom w:val="single" w:sz="4" w:space="0" w:color="000000"/>
            </w:tcBorders>
            <w:shd w:val="clear" w:color="auto" w:fill="auto"/>
          </w:tcPr>
          <w:p w:rsidR="00000000" w:rsidRDefault="00B92DF3">
            <w:r>
              <w:t>$43.52  (A)</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92DF3">
            <w:r>
              <w:t>$</w:t>
            </w:r>
          </w:p>
        </w:tc>
      </w:tr>
    </w:tbl>
    <w:p w:rsidR="00000000" w:rsidRDefault="00B92DF3">
      <w:pPr>
        <w:pStyle w:val="Header"/>
        <w:tabs>
          <w:tab w:val="clear" w:pos="4320"/>
          <w:tab w:val="clear" w:pos="8640"/>
        </w:tabs>
      </w:pPr>
    </w:p>
    <w:p w:rsidR="00000000" w:rsidRDefault="00B92DF3">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w:t>
      </w:r>
      <w:r>
        <w:t xml:space="preserve">uent service or unless </w:t>
      </w:r>
      <w:proofErr w:type="spellStart"/>
      <w:r>
        <w:t>putrescibles</w:t>
      </w:r>
      <w:proofErr w:type="spellEnd"/>
      <w:r>
        <w:t xml:space="preserve"> are involved.  Customer will be charged for service requested, even if fewer containers are serviced on a particular trip.  No credit will be given for partially filled containers.</w:t>
      </w:r>
    </w:p>
    <w:p w:rsidR="00000000" w:rsidRDefault="00B92DF3">
      <w:pPr>
        <w:tabs>
          <w:tab w:val="left" w:pos="900"/>
        </w:tabs>
        <w:ind w:left="907" w:hanging="907"/>
      </w:pPr>
      <w:r>
        <w:t>Note 2:</w:t>
      </w:r>
      <w:r>
        <w:tab/>
      </w:r>
      <w:r>
        <w:rPr>
          <w:u w:val="single"/>
        </w:rPr>
        <w:t>Permanent Service:</w:t>
      </w:r>
      <w:r>
        <w:t xml:space="preserve">  If rent is </w:t>
      </w:r>
      <w:r>
        <w:t xml:space="preserve">shown, the rate for the first pickup and each additional pickup must be the same.  If rent is not shown, it is to be included in the rate for the first pickup. </w:t>
      </w:r>
      <w:r>
        <w:rPr>
          <w:rFonts w:ascii="Univers" w:hAnsi="Univers" w:cs="Univers"/>
        </w:rPr>
        <w:t xml:space="preserve"> </w:t>
      </w:r>
    </w:p>
    <w:p w:rsidR="00000000" w:rsidRDefault="00B92DF3">
      <w:pPr>
        <w:tabs>
          <w:tab w:val="left" w:pos="900"/>
        </w:tabs>
        <w:ind w:left="907" w:hanging="907"/>
      </w:pPr>
    </w:p>
    <w:p w:rsidR="00000000" w:rsidRDefault="00B92DF3">
      <w:pPr>
        <w:tabs>
          <w:tab w:val="left" w:pos="900"/>
        </w:tabs>
        <w:ind w:left="907" w:hanging="907"/>
      </w:pPr>
    </w:p>
    <w:p w:rsidR="00000000" w:rsidRDefault="00B92DF3">
      <w:r>
        <w:t xml:space="preserve">Accessorial charges assessed (lids, </w:t>
      </w:r>
      <w:proofErr w:type="spellStart"/>
      <w:r>
        <w:t>tarping</w:t>
      </w:r>
      <w:proofErr w:type="spellEnd"/>
      <w:r>
        <w:t>, unlocking, unlatching, etc.):  $5.57 (A) each o</w:t>
      </w:r>
      <w:r>
        <w:t>ccurrence.</w:t>
      </w:r>
    </w:p>
    <w:p w:rsidR="00000000" w:rsidRDefault="00B92DF3"/>
    <w:p w:rsidR="00000000" w:rsidRDefault="00B92DF3">
      <w:r>
        <w:t>Note 3:  Initial delivery rates will be based on Item 160 due to the distances, road conditions and terrain in</w:t>
      </w:r>
    </w:p>
    <w:p w:rsidR="00000000" w:rsidRDefault="00B92DF3">
      <w:r>
        <w:t xml:space="preserve">              Ferry County.</w:t>
      </w:r>
    </w:p>
    <w:p w:rsidR="00000000" w:rsidRDefault="00B92DF3"/>
    <w:p w:rsidR="00B92DF3" w:rsidRDefault="00B92DF3">
      <w:r>
        <w:t xml:space="preserve">Note 4:  A gate obstruction charge of </w:t>
      </w:r>
      <w:r>
        <w:rPr>
          <w:u w:val="single"/>
        </w:rPr>
        <w:t>$</w:t>
      </w:r>
      <w:proofErr w:type="gramStart"/>
      <w:r>
        <w:rPr>
          <w:u w:val="single"/>
        </w:rPr>
        <w:t>15.50  (</w:t>
      </w:r>
      <w:proofErr w:type="gramEnd"/>
      <w:r>
        <w:rPr>
          <w:u w:val="single"/>
        </w:rPr>
        <w:t>N)</w:t>
      </w:r>
      <w:r>
        <w:t xml:space="preserve"> will be assessed for opening, unlocking, closing gates</w:t>
      </w:r>
      <w:r>
        <w:t xml:space="preserve"> or </w:t>
      </w:r>
      <w:r>
        <w:tab/>
        <w:t xml:space="preserve">  moving obstruction</w:t>
      </w:r>
      <w:bookmarkStart w:id="0" w:name="_GoBack"/>
      <w:bookmarkEnd w:id="0"/>
      <w:r>
        <w:t>s in order to pick up solid waste.</w:t>
      </w:r>
    </w:p>
    <w:p w:rsidR="00000000" w:rsidRPr="00B92DF3" w:rsidRDefault="00B92DF3" w:rsidP="00B92DF3"/>
    <w:sectPr w:rsidR="00000000" w:rsidRPr="00B92DF3">
      <w:headerReference w:type="default" r:id="rId7"/>
      <w:footerReference w:type="even" r:id="rId8"/>
      <w:footerReference w:type="default" r:id="rId9"/>
      <w:headerReference w:type="first" r:id="rId10"/>
      <w:footerReference w:type="first" r:id="rId11"/>
      <w:pgSz w:w="12240" w:h="15840"/>
      <w:pgMar w:top="776" w:right="720" w:bottom="776" w:left="720" w:header="720" w:footer="720" w:gutter="0"/>
      <w:pgBorders>
        <w:top w:val="single" w:sz="8" w:space="12" w:color="000000"/>
        <w:left w:val="single" w:sz="8" w:space="12" w:color="000000"/>
        <w:bottom w:val="single" w:sz="8" w:space="12" w:color="000000"/>
        <w:right w:val="single" w:sz="8" w:space="12" w:color="000000"/>
      </w:pgBorders>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92DF3">
      <w:r>
        <w:separator/>
      </w:r>
    </w:p>
  </w:endnote>
  <w:endnote w:type="continuationSeparator" w:id="0">
    <w:p w:rsidR="00000000" w:rsidRDefault="00B9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92D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92DF3">
    <w:pPr>
      <w:pStyle w:val="Footer"/>
      <w:pBdr>
        <w:bottom w:val="single" w:sz="8" w:space="1" w:color="000000"/>
      </w:pBdr>
      <w:tabs>
        <w:tab w:val="clear" w:pos="8640"/>
        <w:tab w:val="right" w:pos="9360"/>
      </w:tabs>
    </w:pPr>
  </w:p>
  <w:p w:rsidR="00000000" w:rsidRDefault="00B92DF3">
    <w:pPr>
      <w:pStyle w:val="Footer"/>
      <w:tabs>
        <w:tab w:val="clear" w:pos="8640"/>
        <w:tab w:val="right" w:pos="9360"/>
      </w:tabs>
    </w:pPr>
    <w:r>
      <w:t xml:space="preserve">Issued by:  Clifford W. Couse, </w:t>
    </w:r>
    <w:proofErr w:type="spellStart"/>
    <w:r>
      <w:t>Pres</w:t>
    </w:r>
    <w:proofErr w:type="spellEnd"/>
  </w:p>
  <w:p w:rsidR="00000000" w:rsidRDefault="00B92DF3">
    <w:pPr>
      <w:pStyle w:val="Footer"/>
      <w:tabs>
        <w:tab w:val="clear" w:pos="8640"/>
        <w:tab w:val="right" w:pos="9360"/>
      </w:tabs>
    </w:pPr>
  </w:p>
  <w:p w:rsidR="00000000" w:rsidRDefault="00B92DF3">
    <w:pPr>
      <w:pStyle w:val="Footer"/>
      <w:pBdr>
        <w:bottom w:val="single" w:sz="8" w:space="1" w:color="000000"/>
      </w:pBdr>
      <w:tabs>
        <w:tab w:val="clear" w:pos="8640"/>
        <w:tab w:val="left" w:pos="8100"/>
        <w:tab w:val="right" w:pos="9360"/>
      </w:tabs>
    </w:pPr>
    <w:r>
      <w:t xml:space="preserve">Issue date: Jul. 11, </w:t>
    </w:r>
    <w:r>
      <w:t>2014                                                                            Effective date: Sep. 1, 2014</w:t>
    </w:r>
  </w:p>
  <w:p w:rsidR="00000000" w:rsidRDefault="00B92DF3">
    <w:pPr>
      <w:pStyle w:val="Footer"/>
      <w:tabs>
        <w:tab w:val="clear" w:pos="8640"/>
        <w:tab w:val="left" w:pos="8100"/>
        <w:tab w:val="right" w:pos="9360"/>
      </w:tabs>
      <w:jc w:val="center"/>
    </w:pPr>
    <w:r>
      <w:t>(For Official Use Only)</w:t>
    </w:r>
  </w:p>
  <w:p w:rsidR="00000000" w:rsidRDefault="00B92DF3">
    <w:pPr>
      <w:pStyle w:val="Footer"/>
      <w:tabs>
        <w:tab w:val="clear" w:pos="8640"/>
        <w:tab w:val="left" w:pos="8100"/>
        <w:tab w:val="right" w:pos="9360"/>
      </w:tabs>
      <w:jc w:val="center"/>
    </w:pPr>
  </w:p>
  <w:p w:rsidR="00000000" w:rsidRDefault="00B92DF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92D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92DF3">
      <w:r>
        <w:separator/>
      </w:r>
    </w:p>
  </w:footnote>
  <w:footnote w:type="continuationSeparator" w:id="0">
    <w:p w:rsidR="00000000" w:rsidRDefault="00B92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92DF3">
    <w:pPr>
      <w:pStyle w:val="Header"/>
      <w:tabs>
        <w:tab w:val="clear" w:pos="8640"/>
        <w:tab w:val="right" w:pos="10440"/>
      </w:tabs>
    </w:pPr>
    <w:r>
      <w:t>Tariff No. 6</w:t>
    </w:r>
    <w:r>
      <w:tab/>
    </w:r>
    <w:r>
      <w:tab/>
      <w:t>5</w:t>
    </w:r>
    <w:r>
      <w:rPr>
        <w:vertAlign w:val="superscript"/>
      </w:rPr>
      <w:t>th</w:t>
    </w:r>
    <w:r>
      <w:t xml:space="preserve"> Revised Page No. 29</w:t>
    </w:r>
  </w:p>
  <w:p w:rsidR="00000000" w:rsidRDefault="00B92DF3">
    <w:pPr>
      <w:pStyle w:val="Header"/>
      <w:tabs>
        <w:tab w:val="clear" w:pos="8640"/>
        <w:tab w:val="right" w:pos="10440"/>
      </w:tabs>
    </w:pPr>
  </w:p>
  <w:p w:rsidR="00000000" w:rsidRDefault="00B92DF3">
    <w:pPr>
      <w:pStyle w:val="Header"/>
      <w:pBdr>
        <w:bottom w:val="single" w:sz="8" w:space="1" w:color="000000"/>
      </w:pBdr>
      <w:tabs>
        <w:tab w:val="clear" w:pos="8640"/>
        <w:tab w:val="right" w:pos="10440"/>
      </w:tabs>
    </w:pPr>
    <w:r>
      <w:t>Company Name/Permit Number:  Couse’s Sanitation &amp; Recycle, Inc.  G-169</w:t>
    </w:r>
  </w:p>
  <w:p w:rsidR="00000000" w:rsidRDefault="00B92DF3">
    <w:pPr>
      <w:pStyle w:val="Header"/>
      <w:pBdr>
        <w:bottom w:val="single" w:sz="8" w:space="1" w:color="000000"/>
      </w:pBdr>
      <w:tabs>
        <w:tab w:val="clear" w:pos="8640"/>
        <w:tab w:val="right" w:pos="10440"/>
      </w:tabs>
    </w:pPr>
    <w:r>
      <w:t>Registered Trade Name:</w:t>
    </w:r>
  </w:p>
  <w:p w:rsidR="00000000" w:rsidRDefault="00B92DF3">
    <w:pPr>
      <w:pStyle w:val="Header"/>
      <w:tabs>
        <w:tab w:val="clear" w:pos="8640"/>
        <w:tab w:val="right" w:pos="104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92D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F3"/>
    <w:rsid w:val="00B92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5EA54EA-44E7-418B-99CC-A171D4E3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tabs>
        <w:tab w:val="left" w:pos="720"/>
        <w:tab w:val="right" w:pos="10620"/>
      </w:tabs>
      <w:jc w:val="center"/>
      <w:outlineLvl w:val="0"/>
    </w:pPr>
    <w:rPr>
      <w:u w:val="single"/>
    </w:rPr>
  </w:style>
  <w:style w:type="paragraph" w:styleId="Heading2">
    <w:name w:val="heading 2"/>
    <w:basedOn w:val="Normal"/>
    <w:next w:val="Normal"/>
    <w:qFormat/>
    <w:pPr>
      <w:keepNext/>
      <w:numPr>
        <w:ilvl w:val="1"/>
        <w:numId w:val="1"/>
      </w:numPr>
      <w:jc w:val="center"/>
      <w:outlineLvl w:val="1"/>
    </w:pPr>
    <w:rPr>
      <w:b/>
      <w:bCs/>
      <w:sz w:val="20"/>
    </w:rPr>
  </w:style>
  <w:style w:type="paragraph" w:styleId="Heading3">
    <w:name w:val="heading 3"/>
    <w:basedOn w:val="Normal"/>
    <w:next w:val="Normal"/>
    <w:qFormat/>
    <w:pPr>
      <w:keepNext/>
      <w:numPr>
        <w:ilvl w:val="2"/>
        <w:numId w:val="1"/>
      </w:numPr>
      <w:tabs>
        <w:tab w:val="left" w:pos="900"/>
      </w:tabs>
      <w:ind w:left="900" w:hanging="900"/>
      <w:jc w:val="right"/>
      <w:outlineLvl w:val="2"/>
    </w:pPr>
  </w:style>
  <w:style w:type="paragraph" w:styleId="Heading4">
    <w:name w:val="heading 4"/>
    <w:basedOn w:val="Normal"/>
    <w:next w:val="Normal"/>
    <w:qFormat/>
    <w:pPr>
      <w:keepNext/>
      <w:numPr>
        <w:ilvl w:val="3"/>
        <w:numId w:val="1"/>
      </w:numPr>
      <w:tabs>
        <w:tab w:val="left" w:pos="2160"/>
      </w:tabs>
      <w:ind w:left="2160" w:hanging="2160"/>
      <w:outlineLvl w:val="3"/>
    </w:pPr>
    <w:rPr>
      <w:b/>
      <w:bCs/>
    </w:rPr>
  </w:style>
  <w:style w:type="paragraph" w:styleId="Heading5">
    <w:name w:val="heading 5"/>
    <w:basedOn w:val="Normal"/>
    <w:next w:val="Normal"/>
    <w:qFormat/>
    <w:pPr>
      <w:keepNext/>
      <w:numPr>
        <w:ilvl w:val="4"/>
        <w:numId w:val="1"/>
      </w:numPr>
      <w:tabs>
        <w:tab w:val="left" w:pos="2160"/>
      </w:tabs>
      <w:ind w:left="2160" w:hanging="2160"/>
      <w:jc w:val="center"/>
      <w:outlineLvl w:val="4"/>
    </w:pPr>
    <w:rPr>
      <w:u w:val="single"/>
    </w:rPr>
  </w:style>
  <w:style w:type="paragraph" w:styleId="Heading6">
    <w:name w:val="heading 6"/>
    <w:basedOn w:val="Normal"/>
    <w:next w:val="Normal"/>
    <w:qFormat/>
    <w:pPr>
      <w:keepNext/>
      <w:widowControl w:val="0"/>
      <w:numPr>
        <w:ilvl w:val="5"/>
        <w:numId w:val="1"/>
      </w:numPr>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i/>
      <w:iCs/>
      <w:sz w:val="20"/>
    </w:rPr>
  </w:style>
  <w:style w:type="paragraph" w:styleId="List">
    <w:name w:val="List"/>
    <w:basedOn w:val="BodyText"/>
    <w:rPr>
      <w:rFonts w:cs="Mangal"/>
    </w:r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ind w:left="900" w:hanging="900"/>
      <w:jc w:val="right"/>
    </w:pPr>
    <w:rPr>
      <w:rFonts w:ascii="Arial" w:hAnsi="Arial" w:cs="Arial"/>
      <w:b/>
      <w:bCs/>
      <w:sz w:val="20"/>
      <w:szCs w:val="20"/>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lid%20Waste%20Tariff%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C8E88C8D0480428CE59892E9FD98EF" ma:contentTypeVersion="175" ma:contentTypeDescription="" ma:contentTypeScope="" ma:versionID="7b4b594ee6c8830173c351a0b20abb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2014-07-11T07:00:00+00:00</OpenedDate>
    <Date1 xmlns="dc463f71-b30c-4ab2-9473-d307f9d35888">2014-08-18T07:00:00+00:00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141415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D5FE9C4-8A98-41FC-9796-A16C0FA6645F}"/>
</file>

<file path=customXml/itemProps2.xml><?xml version="1.0" encoding="utf-8"?>
<ds:datastoreItem xmlns:ds="http://schemas.openxmlformats.org/officeDocument/2006/customXml" ds:itemID="{420FA3BE-4839-463F-A670-D3AC47B1591B}"/>
</file>

<file path=customXml/itemProps3.xml><?xml version="1.0" encoding="utf-8"?>
<ds:datastoreItem xmlns:ds="http://schemas.openxmlformats.org/officeDocument/2006/customXml" ds:itemID="{FC20256B-1FA0-4540-86D3-3D6A22A7DCB5}"/>
</file>

<file path=customXml/itemProps4.xml><?xml version="1.0" encoding="utf-8"?>
<ds:datastoreItem xmlns:ds="http://schemas.openxmlformats.org/officeDocument/2006/customXml" ds:itemID="{6DA25EEB-A544-46F0-B931-A3563B0B231B}"/>
</file>

<file path=docProps/app.xml><?xml version="1.0" encoding="utf-8"?>
<Properties xmlns="http://schemas.openxmlformats.org/officeDocument/2006/extended-properties" xmlns:vt="http://schemas.openxmlformats.org/officeDocument/2006/docPropsVTypes">
  <Template>Solid Waste Tariff Page</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Washington Utilities and Transportation Commission</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Snyder, Jennifer (UTC)</cp:lastModifiedBy>
  <cp:revision>2</cp:revision>
  <cp:lastPrinted>2009-09-02T15:38:00Z</cp:lastPrinted>
  <dcterms:created xsi:type="dcterms:W3CDTF">2014-08-19T18:28:00Z</dcterms:created>
  <dcterms:modified xsi:type="dcterms:W3CDTF">2014-08-19T18:28:00Z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0x0101006E56B4D1795A2E4DB2F0B01679ED314A00C1C8E88C8D0480428CE59892E9FD98EF</vt:lpwstr>
  </property>
  <property fmtid="{D5CDD505-2E9C-101B-9397-08002B2CF9AE}" pid="3" name="_docset_NoMedatataSyncRequired">
    <vt:lpwstr>False</vt:lpwstr>
  </property>
</Properties>
</file>