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BA" w:rsidRPr="00237F30" w:rsidRDefault="002C67BA" w:rsidP="00BC4721">
      <w:pPr>
        <w:pStyle w:val="NoSpacing"/>
      </w:pPr>
    </w:p>
    <w:p w:rsidR="00CB5C20" w:rsidRPr="00CB5C20" w:rsidRDefault="0045137F" w:rsidP="00CB5C20">
      <w:pPr>
        <w:spacing w:line="288" w:lineRule="auto"/>
        <w:jc w:val="center"/>
        <w:rPr>
          <w:rFonts w:eastAsiaTheme="minorHAnsi"/>
          <w:sz w:val="25"/>
          <w:szCs w:val="25"/>
        </w:rPr>
      </w:pPr>
      <w:r>
        <w:rPr>
          <w:rFonts w:eastAsiaTheme="minorHAnsi"/>
          <w:sz w:val="25"/>
          <w:szCs w:val="25"/>
        </w:rPr>
        <w:t>January 30</w:t>
      </w:r>
      <w:r w:rsidR="00C52166">
        <w:rPr>
          <w:rFonts w:eastAsiaTheme="minorHAnsi"/>
          <w:sz w:val="25"/>
          <w:szCs w:val="25"/>
        </w:rPr>
        <w:t>, 2015</w:t>
      </w: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jc w:val="center"/>
        <w:rPr>
          <w:rFonts w:eastAsiaTheme="minorHAnsi"/>
          <w:b/>
          <w:sz w:val="25"/>
          <w:szCs w:val="25"/>
        </w:rPr>
      </w:pPr>
      <w:r w:rsidRPr="00CB5C20">
        <w:rPr>
          <w:rFonts w:eastAsiaTheme="minorHAnsi"/>
          <w:b/>
          <w:sz w:val="25"/>
          <w:szCs w:val="25"/>
        </w:rPr>
        <w:t xml:space="preserve">ERRATUM CORRECTING </w:t>
      </w:r>
      <w:r>
        <w:rPr>
          <w:rFonts w:eastAsiaTheme="minorHAnsi"/>
          <w:b/>
          <w:sz w:val="25"/>
          <w:szCs w:val="25"/>
        </w:rPr>
        <w:t>INVESTIGATION REPORT</w:t>
      </w: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ind w:left="720" w:hanging="720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>RE:</w:t>
      </w:r>
      <w:r w:rsidRPr="00CB5C20">
        <w:rPr>
          <w:rFonts w:eastAsiaTheme="minorHAnsi"/>
          <w:sz w:val="25"/>
          <w:szCs w:val="25"/>
        </w:rPr>
        <w:tab/>
      </w:r>
      <w:r>
        <w:rPr>
          <w:rFonts w:eastAsiaTheme="minorHAnsi"/>
          <w:i/>
          <w:sz w:val="25"/>
          <w:szCs w:val="25"/>
        </w:rPr>
        <w:t xml:space="preserve">Investigation Report, </w:t>
      </w:r>
      <w:r w:rsidR="00C52166">
        <w:rPr>
          <w:rFonts w:eastAsiaTheme="minorHAnsi"/>
          <w:i/>
          <w:sz w:val="25"/>
          <w:szCs w:val="25"/>
        </w:rPr>
        <w:t>Cascade Natural Gas Corporation</w:t>
      </w:r>
      <w:r>
        <w:rPr>
          <w:rFonts w:eastAsiaTheme="minorHAnsi"/>
          <w:i/>
          <w:sz w:val="25"/>
          <w:szCs w:val="25"/>
        </w:rPr>
        <w:t xml:space="preserve">, </w:t>
      </w:r>
      <w:r w:rsidR="00C52166">
        <w:rPr>
          <w:rFonts w:eastAsiaTheme="minorHAnsi"/>
          <w:sz w:val="25"/>
          <w:szCs w:val="25"/>
        </w:rPr>
        <w:t>Docket UG</w:t>
      </w:r>
      <w:r w:rsidRPr="00CB5C20">
        <w:rPr>
          <w:rFonts w:eastAsiaTheme="minorHAnsi"/>
          <w:sz w:val="25"/>
          <w:szCs w:val="25"/>
        </w:rPr>
        <w:t>-</w:t>
      </w:r>
      <w:r>
        <w:rPr>
          <w:rFonts w:eastAsiaTheme="minorHAnsi"/>
          <w:sz w:val="25"/>
          <w:szCs w:val="25"/>
        </w:rPr>
        <w:t>140</w:t>
      </w:r>
      <w:r w:rsidR="00C52166">
        <w:rPr>
          <w:rFonts w:eastAsiaTheme="minorHAnsi"/>
          <w:sz w:val="25"/>
          <w:szCs w:val="25"/>
        </w:rPr>
        <w:t>381</w:t>
      </w: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>TO ALL PARTIES:</w:t>
      </w: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52166" w:rsidRDefault="00CB5C20" w:rsidP="00CB5C20">
      <w:pPr>
        <w:spacing w:line="288" w:lineRule="auto"/>
        <w:rPr>
          <w:rFonts w:eastAsiaTheme="minorHAnsi"/>
          <w:sz w:val="25"/>
          <w:szCs w:val="25"/>
        </w:rPr>
      </w:pPr>
      <w:r w:rsidRPr="00CB5C20">
        <w:rPr>
          <w:rFonts w:eastAsiaTheme="minorHAnsi"/>
          <w:sz w:val="25"/>
          <w:szCs w:val="25"/>
        </w:rPr>
        <w:t xml:space="preserve">On </w:t>
      </w:r>
      <w:r w:rsidR="00C52166">
        <w:rPr>
          <w:rFonts w:eastAsiaTheme="minorHAnsi"/>
          <w:sz w:val="25"/>
          <w:szCs w:val="25"/>
        </w:rPr>
        <w:t>October</w:t>
      </w:r>
      <w:r>
        <w:rPr>
          <w:rFonts w:eastAsiaTheme="minorHAnsi"/>
          <w:sz w:val="25"/>
          <w:szCs w:val="25"/>
        </w:rPr>
        <w:t xml:space="preserve"> 2</w:t>
      </w:r>
      <w:r w:rsidR="00C52166">
        <w:rPr>
          <w:rFonts w:eastAsiaTheme="minorHAnsi"/>
          <w:sz w:val="25"/>
          <w:szCs w:val="25"/>
        </w:rPr>
        <w:t>8</w:t>
      </w:r>
      <w:r w:rsidRPr="00CB5C20">
        <w:rPr>
          <w:rFonts w:eastAsiaTheme="minorHAnsi"/>
          <w:sz w:val="25"/>
          <w:szCs w:val="25"/>
        </w:rPr>
        <w:t>, 201</w:t>
      </w:r>
      <w:r>
        <w:rPr>
          <w:rFonts w:eastAsiaTheme="minorHAnsi"/>
          <w:sz w:val="25"/>
          <w:szCs w:val="25"/>
        </w:rPr>
        <w:t>4</w:t>
      </w:r>
      <w:r w:rsidRPr="00CB5C20">
        <w:rPr>
          <w:rFonts w:eastAsiaTheme="minorHAnsi"/>
          <w:sz w:val="25"/>
          <w:szCs w:val="25"/>
        </w:rPr>
        <w:t xml:space="preserve">, the Washington Utilities and Transportation Commission (Commission) </w:t>
      </w:r>
      <w:r w:rsidR="00C52166">
        <w:rPr>
          <w:rFonts w:eastAsiaTheme="minorHAnsi"/>
          <w:sz w:val="25"/>
          <w:szCs w:val="25"/>
        </w:rPr>
        <w:t>served Cascade Natural Gas</w:t>
      </w:r>
      <w:r w:rsidR="002447AB">
        <w:rPr>
          <w:rFonts w:eastAsiaTheme="minorHAnsi"/>
          <w:sz w:val="25"/>
          <w:szCs w:val="25"/>
        </w:rPr>
        <w:t xml:space="preserve"> (Cascade or the Company)</w:t>
      </w:r>
      <w:r w:rsidR="00E30B93">
        <w:rPr>
          <w:rFonts w:eastAsiaTheme="minorHAnsi"/>
          <w:sz w:val="25"/>
          <w:szCs w:val="25"/>
        </w:rPr>
        <w:t xml:space="preserve"> with </w:t>
      </w:r>
      <w:r w:rsidR="002447AB">
        <w:rPr>
          <w:rFonts w:eastAsiaTheme="minorHAnsi"/>
          <w:sz w:val="25"/>
          <w:szCs w:val="25"/>
        </w:rPr>
        <w:t>a formal Complaint</w:t>
      </w:r>
      <w:r w:rsidR="003E1706" w:rsidRPr="003E1706">
        <w:rPr>
          <w:rFonts w:eastAsiaTheme="minorHAnsi"/>
          <w:sz w:val="25"/>
          <w:szCs w:val="25"/>
        </w:rPr>
        <w:t xml:space="preserve"> </w:t>
      </w:r>
      <w:r w:rsidR="003E1706">
        <w:rPr>
          <w:rFonts w:eastAsiaTheme="minorHAnsi"/>
          <w:sz w:val="25"/>
          <w:szCs w:val="25"/>
        </w:rPr>
        <w:t>and provided the Company with a copy of an Investigation Report</w:t>
      </w:r>
      <w:r w:rsidR="00C52166">
        <w:rPr>
          <w:rFonts w:eastAsiaTheme="minorHAnsi"/>
          <w:sz w:val="25"/>
          <w:szCs w:val="25"/>
        </w:rPr>
        <w:t>.  The Investigation Report documented Commission Staff</w:t>
      </w:r>
      <w:r w:rsidR="00E30B93">
        <w:rPr>
          <w:rFonts w:eastAsiaTheme="minorHAnsi"/>
          <w:sz w:val="25"/>
          <w:szCs w:val="25"/>
        </w:rPr>
        <w:t>’s</w:t>
      </w:r>
      <w:r w:rsidR="00C52166">
        <w:rPr>
          <w:rFonts w:eastAsiaTheme="minorHAnsi"/>
          <w:sz w:val="25"/>
          <w:szCs w:val="25"/>
        </w:rPr>
        <w:t xml:space="preserve"> </w:t>
      </w:r>
      <w:r w:rsidR="00C32FD9">
        <w:rPr>
          <w:rFonts w:eastAsiaTheme="minorHAnsi"/>
          <w:sz w:val="25"/>
          <w:szCs w:val="25"/>
        </w:rPr>
        <w:t>finding</w:t>
      </w:r>
      <w:r w:rsidR="003E1706">
        <w:rPr>
          <w:rFonts w:eastAsiaTheme="minorHAnsi"/>
          <w:sz w:val="25"/>
          <w:szCs w:val="25"/>
        </w:rPr>
        <w:t>s</w:t>
      </w:r>
      <w:r w:rsidR="00C32FD9">
        <w:rPr>
          <w:rFonts w:eastAsiaTheme="minorHAnsi"/>
          <w:sz w:val="25"/>
          <w:szCs w:val="25"/>
        </w:rPr>
        <w:t xml:space="preserve"> that </w:t>
      </w:r>
      <w:r w:rsidR="00C97AD6">
        <w:rPr>
          <w:rFonts w:eastAsiaTheme="minorHAnsi"/>
          <w:sz w:val="25"/>
          <w:szCs w:val="25"/>
        </w:rPr>
        <w:t>certain</w:t>
      </w:r>
      <w:r w:rsidR="00C32FD9">
        <w:rPr>
          <w:rFonts w:eastAsiaTheme="minorHAnsi"/>
          <w:sz w:val="25"/>
          <w:szCs w:val="25"/>
        </w:rPr>
        <w:t xml:space="preserve"> business practices of the</w:t>
      </w:r>
      <w:r w:rsidR="00065CDC">
        <w:rPr>
          <w:rFonts w:eastAsiaTheme="minorHAnsi"/>
          <w:sz w:val="25"/>
          <w:szCs w:val="25"/>
        </w:rPr>
        <w:t xml:space="preserve"> Company</w:t>
      </w:r>
      <w:r w:rsidR="00C32FD9">
        <w:rPr>
          <w:rFonts w:eastAsiaTheme="minorHAnsi"/>
          <w:sz w:val="25"/>
          <w:szCs w:val="25"/>
        </w:rPr>
        <w:t xml:space="preserve"> violated </w:t>
      </w:r>
      <w:r w:rsidR="00065CDC">
        <w:rPr>
          <w:rFonts w:eastAsiaTheme="minorHAnsi"/>
          <w:sz w:val="25"/>
          <w:szCs w:val="25"/>
        </w:rPr>
        <w:t>state law</w:t>
      </w:r>
      <w:r w:rsidR="00C32FD9">
        <w:rPr>
          <w:rFonts w:eastAsiaTheme="minorHAnsi"/>
          <w:sz w:val="25"/>
          <w:szCs w:val="25"/>
        </w:rPr>
        <w:t>s</w:t>
      </w:r>
      <w:r w:rsidR="00065CDC">
        <w:rPr>
          <w:rFonts w:eastAsiaTheme="minorHAnsi"/>
          <w:sz w:val="25"/>
          <w:szCs w:val="25"/>
        </w:rPr>
        <w:t xml:space="preserve"> and Commission rules</w:t>
      </w:r>
      <w:r w:rsidR="00950203">
        <w:rPr>
          <w:rFonts w:eastAsiaTheme="minorHAnsi"/>
          <w:sz w:val="25"/>
          <w:szCs w:val="25"/>
        </w:rPr>
        <w:t xml:space="preserve">.  </w:t>
      </w:r>
      <w:r w:rsidR="00950203" w:rsidRPr="00950203">
        <w:rPr>
          <w:rFonts w:eastAsiaTheme="minorHAnsi"/>
          <w:sz w:val="25"/>
          <w:szCs w:val="25"/>
        </w:rPr>
        <w:t xml:space="preserve">The Investigation Report </w:t>
      </w:r>
      <w:r w:rsidR="00EF6A21">
        <w:rPr>
          <w:rFonts w:eastAsiaTheme="minorHAnsi"/>
          <w:sz w:val="25"/>
          <w:szCs w:val="25"/>
        </w:rPr>
        <w:t xml:space="preserve">further </w:t>
      </w:r>
      <w:r w:rsidR="00C97AD6">
        <w:rPr>
          <w:rFonts w:eastAsiaTheme="minorHAnsi"/>
          <w:sz w:val="25"/>
          <w:szCs w:val="25"/>
        </w:rPr>
        <w:t xml:space="preserve">provided technical assistance to the Company and </w:t>
      </w:r>
      <w:r w:rsidR="00950203">
        <w:rPr>
          <w:rFonts w:eastAsiaTheme="minorHAnsi"/>
          <w:sz w:val="25"/>
          <w:szCs w:val="25"/>
        </w:rPr>
        <w:t xml:space="preserve">contained Staff’s recommendations for penalties and </w:t>
      </w:r>
      <w:r w:rsidR="00C97AD6">
        <w:rPr>
          <w:rFonts w:eastAsiaTheme="minorHAnsi"/>
          <w:sz w:val="25"/>
          <w:szCs w:val="25"/>
        </w:rPr>
        <w:t>tariff revisions</w:t>
      </w:r>
      <w:r w:rsidR="00065CDC">
        <w:rPr>
          <w:rFonts w:eastAsiaTheme="minorHAnsi"/>
          <w:sz w:val="25"/>
          <w:szCs w:val="25"/>
        </w:rPr>
        <w:t xml:space="preserve">.  </w:t>
      </w:r>
      <w:bookmarkStart w:id="0" w:name="_GoBack"/>
      <w:bookmarkEnd w:id="0"/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Default="00CB5C20" w:rsidP="00C97AD6">
      <w:pPr>
        <w:spacing w:line="320" w:lineRule="exact"/>
        <w:rPr>
          <w:sz w:val="25"/>
          <w:szCs w:val="25"/>
        </w:rPr>
      </w:pPr>
      <w:r w:rsidRPr="00CB5C20">
        <w:rPr>
          <w:sz w:val="25"/>
          <w:szCs w:val="25"/>
        </w:rPr>
        <w:t xml:space="preserve">Commission </w:t>
      </w:r>
      <w:r w:rsidR="00865ACF">
        <w:rPr>
          <w:sz w:val="25"/>
          <w:szCs w:val="25"/>
        </w:rPr>
        <w:t>Staff subsequently beca</w:t>
      </w:r>
      <w:r w:rsidR="00C32FD9">
        <w:rPr>
          <w:sz w:val="25"/>
          <w:szCs w:val="25"/>
        </w:rPr>
        <w:t xml:space="preserve">me aware of </w:t>
      </w:r>
      <w:r w:rsidR="00AA2E1D">
        <w:rPr>
          <w:sz w:val="25"/>
          <w:szCs w:val="25"/>
        </w:rPr>
        <w:t xml:space="preserve">four </w:t>
      </w:r>
      <w:r w:rsidR="00C32FD9">
        <w:rPr>
          <w:sz w:val="25"/>
          <w:szCs w:val="25"/>
        </w:rPr>
        <w:t>typographical</w:t>
      </w:r>
      <w:r w:rsidRPr="00CB5C20">
        <w:rPr>
          <w:sz w:val="25"/>
          <w:szCs w:val="25"/>
        </w:rPr>
        <w:t xml:space="preserve"> error</w:t>
      </w:r>
      <w:r w:rsidR="00C32FD9">
        <w:rPr>
          <w:sz w:val="25"/>
          <w:szCs w:val="25"/>
        </w:rPr>
        <w:t>s contained</w:t>
      </w:r>
      <w:r w:rsidRPr="00CB5C20">
        <w:rPr>
          <w:sz w:val="25"/>
          <w:szCs w:val="25"/>
        </w:rPr>
        <w:t xml:space="preserve"> in </w:t>
      </w:r>
      <w:r w:rsidR="00220A08">
        <w:rPr>
          <w:sz w:val="25"/>
          <w:szCs w:val="25"/>
        </w:rPr>
        <w:t xml:space="preserve">the Investigation Report. </w:t>
      </w:r>
      <w:r w:rsidR="00950203">
        <w:rPr>
          <w:sz w:val="25"/>
          <w:szCs w:val="25"/>
        </w:rPr>
        <w:t xml:space="preserve"> </w:t>
      </w:r>
      <w:r w:rsidR="00AA2E1D">
        <w:rPr>
          <w:sz w:val="25"/>
          <w:szCs w:val="25"/>
        </w:rPr>
        <w:t>The</w:t>
      </w:r>
      <w:r w:rsidR="00950203" w:rsidRPr="00950203">
        <w:rPr>
          <w:sz w:val="25"/>
          <w:szCs w:val="25"/>
        </w:rPr>
        <w:t xml:space="preserve"> errors</w:t>
      </w:r>
      <w:r w:rsidR="00950203">
        <w:rPr>
          <w:sz w:val="25"/>
          <w:szCs w:val="25"/>
        </w:rPr>
        <w:t xml:space="preserve"> relate to violations for which Staff chose to provide technical assistance to the Company</w:t>
      </w:r>
      <w:r w:rsidR="00EF6A21">
        <w:rPr>
          <w:sz w:val="25"/>
          <w:szCs w:val="25"/>
        </w:rPr>
        <w:t xml:space="preserve"> rather than to pursue </w:t>
      </w:r>
      <w:r w:rsidR="00C97AD6">
        <w:rPr>
          <w:sz w:val="25"/>
          <w:szCs w:val="25"/>
        </w:rPr>
        <w:t xml:space="preserve">other enforcement actions.  </w:t>
      </w:r>
      <w:r w:rsidR="00AA2E1D">
        <w:rPr>
          <w:sz w:val="25"/>
          <w:szCs w:val="25"/>
        </w:rPr>
        <w:t>The errors do not</w:t>
      </w:r>
      <w:r w:rsidR="00C97AD6">
        <w:rPr>
          <w:sz w:val="25"/>
          <w:szCs w:val="25"/>
        </w:rPr>
        <w:t xml:space="preserve"> </w:t>
      </w:r>
      <w:r w:rsidR="00950203">
        <w:rPr>
          <w:sz w:val="25"/>
          <w:szCs w:val="25"/>
        </w:rPr>
        <w:t xml:space="preserve">relate to </w:t>
      </w:r>
      <w:r w:rsidR="00C97AD6">
        <w:rPr>
          <w:sz w:val="25"/>
          <w:szCs w:val="25"/>
        </w:rPr>
        <w:t xml:space="preserve">the </w:t>
      </w:r>
      <w:r w:rsidR="00950203">
        <w:rPr>
          <w:sz w:val="25"/>
          <w:szCs w:val="25"/>
        </w:rPr>
        <w:t xml:space="preserve">violations </w:t>
      </w:r>
      <w:r w:rsidR="00907849">
        <w:rPr>
          <w:sz w:val="25"/>
          <w:szCs w:val="25"/>
        </w:rPr>
        <w:t xml:space="preserve">alleged </w:t>
      </w:r>
      <w:r w:rsidR="00EF6A21">
        <w:rPr>
          <w:sz w:val="25"/>
          <w:szCs w:val="25"/>
        </w:rPr>
        <w:t>in</w:t>
      </w:r>
      <w:r w:rsidR="00950203">
        <w:rPr>
          <w:sz w:val="25"/>
          <w:szCs w:val="25"/>
        </w:rPr>
        <w:t xml:space="preserve"> the Complaint in this Docket.  </w:t>
      </w:r>
      <w:r w:rsidRPr="00CB5C20">
        <w:rPr>
          <w:sz w:val="25"/>
          <w:szCs w:val="25"/>
        </w:rPr>
        <w:t>This erratum notes and corrects the following error</w:t>
      </w:r>
      <w:r w:rsidR="00C32FD9">
        <w:rPr>
          <w:sz w:val="25"/>
          <w:szCs w:val="25"/>
        </w:rPr>
        <w:t>s</w:t>
      </w:r>
      <w:r w:rsidR="00C97AD6">
        <w:rPr>
          <w:sz w:val="25"/>
          <w:szCs w:val="25"/>
        </w:rPr>
        <w:t xml:space="preserve"> </w:t>
      </w:r>
      <w:r w:rsidR="00C97AD6" w:rsidRPr="00C97AD6">
        <w:rPr>
          <w:sz w:val="25"/>
          <w:szCs w:val="25"/>
        </w:rPr>
        <w:t>contained in the Investigation Report</w:t>
      </w:r>
      <w:r w:rsidRPr="00CB5C20">
        <w:rPr>
          <w:sz w:val="25"/>
          <w:szCs w:val="25"/>
        </w:rPr>
        <w:t>:</w:t>
      </w:r>
    </w:p>
    <w:p w:rsidR="00F93390" w:rsidRDefault="00F93390" w:rsidP="00CB5C20">
      <w:pPr>
        <w:spacing w:line="320" w:lineRule="exact"/>
        <w:rPr>
          <w:sz w:val="25"/>
          <w:szCs w:val="25"/>
        </w:rPr>
      </w:pPr>
    </w:p>
    <w:p w:rsidR="00C32FD9" w:rsidRDefault="00950203" w:rsidP="00912228">
      <w:pPr>
        <w:pStyle w:val="ListParagraph"/>
        <w:numPr>
          <w:ilvl w:val="0"/>
          <w:numId w:val="1"/>
        </w:numPr>
        <w:spacing w:line="320" w:lineRule="exact"/>
        <w:rPr>
          <w:sz w:val="25"/>
          <w:szCs w:val="25"/>
        </w:rPr>
      </w:pPr>
      <w:r w:rsidRPr="009621DB">
        <w:rPr>
          <w:sz w:val="25"/>
          <w:szCs w:val="25"/>
        </w:rPr>
        <w:t xml:space="preserve">In the </w:t>
      </w:r>
      <w:r w:rsidR="00F93390" w:rsidRPr="009621DB">
        <w:rPr>
          <w:sz w:val="25"/>
          <w:szCs w:val="25"/>
        </w:rPr>
        <w:t>State</w:t>
      </w:r>
      <w:r w:rsidR="009621DB" w:rsidRPr="009621DB">
        <w:rPr>
          <w:sz w:val="25"/>
          <w:szCs w:val="25"/>
        </w:rPr>
        <w:t xml:space="preserve">ment Mailing and Payment Dates </w:t>
      </w:r>
      <w:r w:rsidR="00907849">
        <w:rPr>
          <w:sz w:val="25"/>
          <w:szCs w:val="25"/>
        </w:rPr>
        <w:t>s</w:t>
      </w:r>
      <w:r w:rsidR="00F93390" w:rsidRPr="009621DB">
        <w:rPr>
          <w:sz w:val="25"/>
          <w:szCs w:val="25"/>
        </w:rPr>
        <w:t xml:space="preserve">ection </w:t>
      </w:r>
      <w:r w:rsidR="00EF6A21" w:rsidRPr="009621DB">
        <w:rPr>
          <w:sz w:val="25"/>
          <w:szCs w:val="25"/>
        </w:rPr>
        <w:t>(page 14</w:t>
      </w:r>
      <w:r w:rsidR="00F93390" w:rsidRPr="009621DB">
        <w:rPr>
          <w:sz w:val="25"/>
          <w:szCs w:val="25"/>
        </w:rPr>
        <w:t>),</w:t>
      </w:r>
      <w:r w:rsidR="00EF6A21" w:rsidRPr="009621DB">
        <w:rPr>
          <w:sz w:val="25"/>
          <w:szCs w:val="25"/>
        </w:rPr>
        <w:t xml:space="preserve"> </w:t>
      </w:r>
      <w:r w:rsidR="009621DB">
        <w:rPr>
          <w:sz w:val="25"/>
          <w:szCs w:val="25"/>
        </w:rPr>
        <w:t xml:space="preserve">the number of impacted </w:t>
      </w:r>
      <w:r w:rsidR="00865ACF">
        <w:rPr>
          <w:sz w:val="25"/>
          <w:szCs w:val="25"/>
        </w:rPr>
        <w:t>customers is incorrectly stated:</w:t>
      </w:r>
      <w:r w:rsidR="00F93390" w:rsidRPr="009621DB">
        <w:rPr>
          <w:sz w:val="25"/>
          <w:szCs w:val="25"/>
        </w:rPr>
        <w:t xml:space="preserve"> “Staff finds that CNG violated WAC 480-90-178(2) by failing to allow a minimum of 15 days between the mail date and the date payment was due, which impacted 24,280 customers</w:t>
      </w:r>
      <w:r w:rsidR="00C97AD6" w:rsidRPr="009621DB">
        <w:rPr>
          <w:sz w:val="25"/>
          <w:szCs w:val="25"/>
        </w:rPr>
        <w:t>.</w:t>
      </w:r>
      <w:r w:rsidR="00F93390" w:rsidRPr="009621DB">
        <w:rPr>
          <w:sz w:val="25"/>
          <w:szCs w:val="25"/>
        </w:rPr>
        <w:t xml:space="preserve">” </w:t>
      </w:r>
      <w:r w:rsidR="009621DB">
        <w:rPr>
          <w:sz w:val="25"/>
          <w:szCs w:val="25"/>
        </w:rPr>
        <w:t>This</w:t>
      </w:r>
      <w:r w:rsidR="00F93390" w:rsidRPr="009621DB">
        <w:rPr>
          <w:sz w:val="25"/>
          <w:szCs w:val="25"/>
        </w:rPr>
        <w:t xml:space="preserve"> is corrected to state</w:t>
      </w:r>
      <w:r w:rsidR="00865ACF">
        <w:rPr>
          <w:sz w:val="25"/>
          <w:szCs w:val="25"/>
        </w:rPr>
        <w:t>:</w:t>
      </w:r>
      <w:r w:rsidR="00F93390" w:rsidRPr="009621DB">
        <w:rPr>
          <w:sz w:val="25"/>
          <w:szCs w:val="25"/>
        </w:rPr>
        <w:t xml:space="preserve"> “Staff finds that CNG violated WAC 480-90-178(2) by failing to allow a minimum of </w:t>
      </w:r>
      <w:r w:rsidR="00F93390" w:rsidRPr="009621DB">
        <w:rPr>
          <w:sz w:val="25"/>
          <w:szCs w:val="25"/>
        </w:rPr>
        <w:lastRenderedPageBreak/>
        <w:t>15 days between the mail date and the date payment was due, which impacted 12,280 customers.”</w:t>
      </w:r>
    </w:p>
    <w:p w:rsidR="009621DB" w:rsidRDefault="009621DB" w:rsidP="009621DB">
      <w:pPr>
        <w:pStyle w:val="ListParagraph"/>
        <w:numPr>
          <w:ilvl w:val="0"/>
          <w:numId w:val="1"/>
        </w:numPr>
        <w:spacing w:line="320" w:lineRule="exact"/>
        <w:rPr>
          <w:sz w:val="25"/>
          <w:szCs w:val="25"/>
        </w:rPr>
      </w:pPr>
      <w:r w:rsidRPr="009621DB">
        <w:rPr>
          <w:sz w:val="25"/>
          <w:szCs w:val="25"/>
        </w:rPr>
        <w:t>In the State</w:t>
      </w:r>
      <w:r w:rsidR="002A7263">
        <w:rPr>
          <w:sz w:val="25"/>
          <w:szCs w:val="25"/>
        </w:rPr>
        <w:t>ment Mailing and Payment Dates s</w:t>
      </w:r>
      <w:r w:rsidRPr="009621DB">
        <w:rPr>
          <w:sz w:val="25"/>
          <w:szCs w:val="25"/>
        </w:rPr>
        <w:t>ection (page 14),</w:t>
      </w:r>
      <w:r w:rsidR="00865ACF">
        <w:rPr>
          <w:sz w:val="25"/>
          <w:szCs w:val="25"/>
        </w:rPr>
        <w:t xml:space="preserve"> Footnote 13 incorrectly states: </w:t>
      </w:r>
      <w:r>
        <w:rPr>
          <w:sz w:val="25"/>
          <w:szCs w:val="25"/>
        </w:rPr>
        <w:t xml:space="preserve">“A copy of CNG’s Batch Report, dated April 15, 2013, is attached as Appendix J.” </w:t>
      </w:r>
      <w:r w:rsidRPr="009621DB">
        <w:rPr>
          <w:sz w:val="25"/>
          <w:szCs w:val="25"/>
        </w:rPr>
        <w:t>This is corrected to state</w:t>
      </w:r>
      <w:r>
        <w:rPr>
          <w:sz w:val="25"/>
          <w:szCs w:val="25"/>
        </w:rPr>
        <w:t xml:space="preserve"> </w:t>
      </w:r>
      <w:r w:rsidRPr="009621DB">
        <w:rPr>
          <w:sz w:val="25"/>
          <w:szCs w:val="25"/>
        </w:rPr>
        <w:t>“A copy of CNG’s Batch Report, dated April 15,</w:t>
      </w:r>
      <w:r>
        <w:rPr>
          <w:sz w:val="25"/>
          <w:szCs w:val="25"/>
        </w:rPr>
        <w:t xml:space="preserve"> 2013, is attached as Appendix K</w:t>
      </w:r>
      <w:r w:rsidRPr="009621DB">
        <w:rPr>
          <w:sz w:val="25"/>
          <w:szCs w:val="25"/>
        </w:rPr>
        <w:t>.”</w:t>
      </w:r>
    </w:p>
    <w:p w:rsidR="009621DB" w:rsidRDefault="009621DB" w:rsidP="002A7263">
      <w:pPr>
        <w:pStyle w:val="ListParagraph"/>
        <w:numPr>
          <w:ilvl w:val="0"/>
          <w:numId w:val="1"/>
        </w:numPr>
        <w:spacing w:line="320" w:lineRule="exact"/>
        <w:rPr>
          <w:sz w:val="25"/>
          <w:szCs w:val="25"/>
        </w:rPr>
      </w:pPr>
      <w:r>
        <w:rPr>
          <w:sz w:val="25"/>
          <w:szCs w:val="25"/>
        </w:rPr>
        <w:t>In the Executive Summary</w:t>
      </w:r>
      <w:r w:rsidR="002A7263">
        <w:rPr>
          <w:sz w:val="25"/>
          <w:szCs w:val="25"/>
        </w:rPr>
        <w:t xml:space="preserve"> section (page 4), the second to last bullet incorrectly </w:t>
      </w:r>
      <w:r w:rsidR="00AA2E1D">
        <w:rPr>
          <w:sz w:val="25"/>
          <w:szCs w:val="25"/>
        </w:rPr>
        <w:t>re</w:t>
      </w:r>
      <w:r w:rsidR="00907849">
        <w:rPr>
          <w:sz w:val="25"/>
          <w:szCs w:val="25"/>
        </w:rPr>
        <w:t>stated:</w:t>
      </w:r>
      <w:r w:rsidR="002A7263">
        <w:rPr>
          <w:sz w:val="25"/>
          <w:szCs w:val="25"/>
        </w:rPr>
        <w:t xml:space="preserve"> “24,280 violations of WAC 480-90-178(2) for not allowing the required time between statement mailing and payment due dates.” </w:t>
      </w:r>
      <w:r w:rsidR="002A7263" w:rsidRPr="002A7263">
        <w:rPr>
          <w:sz w:val="25"/>
          <w:szCs w:val="25"/>
        </w:rPr>
        <w:t>This is corrected to state</w:t>
      </w:r>
      <w:r w:rsidR="00907849">
        <w:rPr>
          <w:sz w:val="25"/>
          <w:szCs w:val="25"/>
        </w:rPr>
        <w:t>:</w:t>
      </w:r>
      <w:r w:rsidR="002A7263">
        <w:rPr>
          <w:sz w:val="25"/>
          <w:szCs w:val="25"/>
        </w:rPr>
        <w:t xml:space="preserve"> </w:t>
      </w:r>
      <w:r w:rsidR="002A7263" w:rsidRPr="002A7263">
        <w:rPr>
          <w:sz w:val="25"/>
          <w:szCs w:val="25"/>
        </w:rPr>
        <w:t>“</w:t>
      </w:r>
      <w:r w:rsidR="002A7263">
        <w:rPr>
          <w:sz w:val="25"/>
          <w:szCs w:val="25"/>
        </w:rPr>
        <w:t>1</w:t>
      </w:r>
      <w:r w:rsidR="002A7263" w:rsidRPr="002A7263">
        <w:rPr>
          <w:sz w:val="25"/>
          <w:szCs w:val="25"/>
        </w:rPr>
        <w:t>2,280 violations of WAC 480-90-178(2) for not allowing the required time between statement mailing and payment due dates.”</w:t>
      </w:r>
    </w:p>
    <w:p w:rsidR="002A7263" w:rsidRPr="002A7263" w:rsidRDefault="002A7263" w:rsidP="002A7263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2A7263">
        <w:rPr>
          <w:sz w:val="25"/>
          <w:szCs w:val="25"/>
        </w:rPr>
        <w:t>In the Summary of Recommendations section (page 21), the second t</w:t>
      </w:r>
      <w:r w:rsidR="00907849">
        <w:rPr>
          <w:sz w:val="25"/>
          <w:szCs w:val="25"/>
        </w:rPr>
        <w:t xml:space="preserve">o last bullet </w:t>
      </w:r>
      <w:r w:rsidR="00AA2E1D">
        <w:rPr>
          <w:sz w:val="25"/>
          <w:szCs w:val="25"/>
        </w:rPr>
        <w:t>re</w:t>
      </w:r>
      <w:r w:rsidR="00907849">
        <w:rPr>
          <w:sz w:val="25"/>
          <w:szCs w:val="25"/>
        </w:rPr>
        <w:t>stated:</w:t>
      </w:r>
      <w:r w:rsidRPr="002A7263">
        <w:rPr>
          <w:sz w:val="25"/>
          <w:szCs w:val="25"/>
        </w:rPr>
        <w:t xml:space="preserve"> “24,280 violations of WAC 480-90-178(2) for not allowing the required time between statement mailing and payment due dates.” This is corrected to state</w:t>
      </w:r>
      <w:r w:rsidR="00907849">
        <w:rPr>
          <w:sz w:val="25"/>
          <w:szCs w:val="25"/>
        </w:rPr>
        <w:t>:</w:t>
      </w:r>
      <w:r w:rsidRPr="002A7263">
        <w:rPr>
          <w:sz w:val="25"/>
          <w:szCs w:val="25"/>
        </w:rPr>
        <w:t xml:space="preserve"> “12,280 violations of WAC 480-90-178(2) for not allowing the required time between statement mailing and payment due dates.”</w:t>
      </w:r>
    </w:p>
    <w:p w:rsidR="002A7263" w:rsidRPr="009621DB" w:rsidRDefault="002A7263" w:rsidP="002A7263">
      <w:pPr>
        <w:pStyle w:val="ListParagraph"/>
        <w:spacing w:line="320" w:lineRule="exact"/>
        <w:rPr>
          <w:sz w:val="25"/>
          <w:szCs w:val="25"/>
        </w:rPr>
      </w:pPr>
    </w:p>
    <w:p w:rsidR="00CB5C20" w:rsidRPr="00CB5C20" w:rsidRDefault="00CB5C20" w:rsidP="00CB5C20">
      <w:pPr>
        <w:spacing w:line="320" w:lineRule="exact"/>
        <w:rPr>
          <w:sz w:val="25"/>
          <w:szCs w:val="25"/>
        </w:rPr>
      </w:pPr>
    </w:p>
    <w:p w:rsidR="00CB5C20" w:rsidRPr="00CB5C20" w:rsidRDefault="00CB5C20" w:rsidP="00CB5C20">
      <w:pPr>
        <w:spacing w:line="288" w:lineRule="auto"/>
        <w:rPr>
          <w:rFonts w:eastAsiaTheme="minorHAnsi"/>
          <w:sz w:val="25"/>
          <w:szCs w:val="25"/>
        </w:rPr>
      </w:pPr>
    </w:p>
    <w:p w:rsidR="00CB5C20" w:rsidRPr="00CB5C20" w:rsidRDefault="00332BB0" w:rsidP="00CB5C20">
      <w:pPr>
        <w:spacing w:line="288" w:lineRule="auto"/>
        <w:rPr>
          <w:rFonts w:eastAsiaTheme="minorHAnsi"/>
          <w:sz w:val="25"/>
          <w:szCs w:val="25"/>
        </w:rPr>
      </w:pPr>
      <w:r>
        <w:rPr>
          <w:rFonts w:eastAsiaTheme="minorHAnsi"/>
          <w:sz w:val="25"/>
          <w:szCs w:val="25"/>
        </w:rPr>
        <w:t>STEVEN V. KING</w:t>
      </w:r>
    </w:p>
    <w:p w:rsidR="00121610" w:rsidRPr="00F84BFD" w:rsidRDefault="00332BB0" w:rsidP="00220A08">
      <w:pPr>
        <w:spacing w:line="288" w:lineRule="auto"/>
      </w:pPr>
      <w:r>
        <w:rPr>
          <w:rFonts w:eastAsiaTheme="minorHAnsi"/>
          <w:sz w:val="25"/>
          <w:szCs w:val="25"/>
        </w:rPr>
        <w:t>Executive Director and Secretary</w:t>
      </w:r>
    </w:p>
    <w:sectPr w:rsidR="00121610" w:rsidRPr="00F84BFD" w:rsidSect="00AB61B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F1" w:rsidRDefault="002F30F1" w:rsidP="00AB61BF">
      <w:r>
        <w:separator/>
      </w:r>
    </w:p>
  </w:endnote>
  <w:endnote w:type="continuationSeparator" w:id="0">
    <w:p w:rsidR="002F30F1" w:rsidRDefault="002F30F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F1" w:rsidRDefault="002F30F1" w:rsidP="00AB61BF">
      <w:r>
        <w:separator/>
      </w:r>
    </w:p>
  </w:footnote>
  <w:footnote w:type="continuationSeparator" w:id="0">
    <w:p w:rsidR="002F30F1" w:rsidRDefault="002F30F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41857840" wp14:editId="41857841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0412"/>
    <w:multiLevelType w:val="hybridMultilevel"/>
    <w:tmpl w:val="CB82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65CDC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20A08"/>
    <w:rsid w:val="00234A85"/>
    <w:rsid w:val="00237F30"/>
    <w:rsid w:val="002447AB"/>
    <w:rsid w:val="00250E07"/>
    <w:rsid w:val="002640EA"/>
    <w:rsid w:val="00273D2C"/>
    <w:rsid w:val="0027539A"/>
    <w:rsid w:val="00275591"/>
    <w:rsid w:val="002A7263"/>
    <w:rsid w:val="002C67BA"/>
    <w:rsid w:val="002D6081"/>
    <w:rsid w:val="002F30F1"/>
    <w:rsid w:val="002F4F83"/>
    <w:rsid w:val="003225B5"/>
    <w:rsid w:val="00332BB0"/>
    <w:rsid w:val="00353540"/>
    <w:rsid w:val="0035627B"/>
    <w:rsid w:val="0036446F"/>
    <w:rsid w:val="00364DA6"/>
    <w:rsid w:val="0038696B"/>
    <w:rsid w:val="003B477D"/>
    <w:rsid w:val="003B74A9"/>
    <w:rsid w:val="003C5AEE"/>
    <w:rsid w:val="003E1706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137F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E5D21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2C2C"/>
    <w:rsid w:val="008230E3"/>
    <w:rsid w:val="00826FEA"/>
    <w:rsid w:val="0083782A"/>
    <w:rsid w:val="00856CAA"/>
    <w:rsid w:val="00865ACF"/>
    <w:rsid w:val="008A43B5"/>
    <w:rsid w:val="008C283E"/>
    <w:rsid w:val="008D4F02"/>
    <w:rsid w:val="008F1B59"/>
    <w:rsid w:val="00907849"/>
    <w:rsid w:val="009246E4"/>
    <w:rsid w:val="00944B34"/>
    <w:rsid w:val="00950203"/>
    <w:rsid w:val="009621DB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2E1D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2FD9"/>
    <w:rsid w:val="00C36B9D"/>
    <w:rsid w:val="00C443C0"/>
    <w:rsid w:val="00C52166"/>
    <w:rsid w:val="00C905EF"/>
    <w:rsid w:val="00C9626E"/>
    <w:rsid w:val="00C97AD6"/>
    <w:rsid w:val="00CA017A"/>
    <w:rsid w:val="00CB5C20"/>
    <w:rsid w:val="00CE37D5"/>
    <w:rsid w:val="00CF33A3"/>
    <w:rsid w:val="00CF7C80"/>
    <w:rsid w:val="00D32561"/>
    <w:rsid w:val="00D37891"/>
    <w:rsid w:val="00D57864"/>
    <w:rsid w:val="00D91265"/>
    <w:rsid w:val="00DB7A1B"/>
    <w:rsid w:val="00E142E7"/>
    <w:rsid w:val="00E228DB"/>
    <w:rsid w:val="00E30B93"/>
    <w:rsid w:val="00E95575"/>
    <w:rsid w:val="00EA03FE"/>
    <w:rsid w:val="00ED1C3A"/>
    <w:rsid w:val="00EE231D"/>
    <w:rsid w:val="00EE5575"/>
    <w:rsid w:val="00EF6A21"/>
    <w:rsid w:val="00EF79E8"/>
    <w:rsid w:val="00F0157C"/>
    <w:rsid w:val="00F40076"/>
    <w:rsid w:val="00F84BFD"/>
    <w:rsid w:val="00F93390"/>
    <w:rsid w:val="00FA2D09"/>
    <w:rsid w:val="00FA561C"/>
    <w:rsid w:val="00FB12F8"/>
    <w:rsid w:val="00FC487D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2015-01-30T22:09:46+00:00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668A0-3BB1-4AF7-9B2A-82FC0E613E56}"/>
</file>

<file path=customXml/itemProps2.xml><?xml version="1.0" encoding="utf-8"?>
<ds:datastoreItem xmlns:ds="http://schemas.openxmlformats.org/officeDocument/2006/customXml" ds:itemID="{43951F91-0C12-40E5-B94C-53359576D04A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74C35153-8263-417E-AD82-8C3F134C3436}"/>
</file>

<file path=customXml/itemProps5.xml><?xml version="1.0" encoding="utf-8"?>
<ds:datastoreItem xmlns:ds="http://schemas.openxmlformats.org/officeDocument/2006/customXml" ds:itemID="{B736BA41-77B2-4F0A-86F9-98800E75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Paul, Susie (UTC)</cp:lastModifiedBy>
  <cp:revision>3</cp:revision>
  <cp:lastPrinted>2015-01-30T19:48:00Z</cp:lastPrinted>
  <dcterms:created xsi:type="dcterms:W3CDTF">2015-01-30T19:47:00Z</dcterms:created>
  <dcterms:modified xsi:type="dcterms:W3CDTF">2015-01-30T21:04:00Z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