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BA52D6" w:rsidP="00F45919">
      <w:pPr>
        <w:pStyle w:val="NoSpacing"/>
        <w:ind w:right="-270"/>
        <w:jc w:val="both"/>
        <w:rPr>
          <w:rFonts w:ascii="Times New Roman" w:hAnsi="Times New Roman"/>
          <w:sz w:val="24"/>
          <w:szCs w:val="24"/>
        </w:rPr>
      </w:pPr>
      <w:r>
        <w:rPr>
          <w:rFonts w:ascii="Times New Roman" w:hAnsi="Times New Roman"/>
          <w:sz w:val="24"/>
          <w:szCs w:val="24"/>
        </w:rPr>
        <w:t>May 29, 2015</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BA52D6">
        <w:rPr>
          <w:rFonts w:ascii="Times New Roman" w:hAnsi="Times New Roman"/>
          <w:b/>
          <w:i/>
          <w:sz w:val="24"/>
          <w:szCs w:val="24"/>
        </w:rPr>
        <w:t>: UTC Web Portal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proofErr w:type="gramStart"/>
      <w:r w:rsidRPr="00C4686F">
        <w:rPr>
          <w:rFonts w:ascii="Times New Roman" w:hAnsi="Times New Roman"/>
        </w:rPr>
        <w:t>1300 S. Evergreen Park Drive S. W.</w:t>
      </w:r>
      <w:proofErr w:type="gramEnd"/>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6A0F5E">
        <w:rPr>
          <w:rFonts w:ascii="Times New Roman" w:hAnsi="Times New Roman"/>
          <w:sz w:val="24"/>
          <w:szCs w:val="24"/>
        </w:rPr>
        <w:t xml:space="preserve">Docket No. UE-132045 - </w:t>
      </w:r>
      <w:r w:rsidR="001A7B6D">
        <w:rPr>
          <w:rFonts w:ascii="Times New Roman" w:hAnsi="Times New Roman"/>
          <w:sz w:val="24"/>
          <w:szCs w:val="24"/>
        </w:rPr>
        <w:t>A</w:t>
      </w:r>
      <w:r w:rsidRPr="004E6D17">
        <w:rPr>
          <w:rFonts w:ascii="Times New Roman" w:hAnsi="Times New Roman"/>
          <w:sz w:val="24"/>
          <w:szCs w:val="24"/>
        </w:rPr>
        <w:t xml:space="preserve">vista Utilities </w:t>
      </w:r>
      <w:r w:rsidR="006A0F5E">
        <w:rPr>
          <w:rFonts w:ascii="Times New Roman" w:hAnsi="Times New Roman"/>
          <w:sz w:val="24"/>
          <w:szCs w:val="24"/>
        </w:rPr>
        <w:t>Annual Conservation Report (ACR</w:t>
      </w:r>
      <w:r w:rsidR="00BA52D6">
        <w:rPr>
          <w:rFonts w:ascii="Times New Roman" w:hAnsi="Times New Roman"/>
          <w:sz w:val="24"/>
          <w:szCs w:val="24"/>
        </w:rPr>
        <w:t>)</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6A0F5E" w:rsidRDefault="001A7B6D" w:rsidP="006A0F5E">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sidR="00BA52D6">
        <w:rPr>
          <w:rFonts w:ascii="Times New Roman" w:hAnsi="Times New Roman"/>
          <w:sz w:val="24"/>
          <w:szCs w:val="24"/>
        </w:rPr>
        <w:t>WAC 480-109-020 (3)</w:t>
      </w:r>
      <w:r w:rsidRPr="001A7B6D">
        <w:rPr>
          <w:rFonts w:ascii="Times New Roman" w:hAnsi="Times New Roman"/>
          <w:sz w:val="24"/>
          <w:szCs w:val="24"/>
        </w:rPr>
        <w:t>, Avista Corporation, respectfully submits its “</w:t>
      </w:r>
      <w:r w:rsidR="00BA52D6">
        <w:rPr>
          <w:rFonts w:ascii="Times New Roman" w:hAnsi="Times New Roman"/>
          <w:sz w:val="24"/>
          <w:szCs w:val="24"/>
        </w:rPr>
        <w:t xml:space="preserve">2014 Annual Conservation Report (ACR).”  The Company provided a draft of its ACR to its Demand-Side-Management (DSM) Advisory Group on Friday, May 1, 2015 seeking input. The Company received input from the Commission Staff as well as Public Counsel and </w:t>
      </w:r>
      <w:proofErr w:type="gramStart"/>
      <w:r w:rsidR="00BA52D6">
        <w:rPr>
          <w:rFonts w:ascii="Times New Roman" w:hAnsi="Times New Roman"/>
          <w:sz w:val="24"/>
          <w:szCs w:val="24"/>
        </w:rPr>
        <w:t>have</w:t>
      </w:r>
      <w:proofErr w:type="gramEnd"/>
      <w:r w:rsidR="00BA52D6">
        <w:rPr>
          <w:rFonts w:ascii="Times New Roman" w:hAnsi="Times New Roman"/>
          <w:sz w:val="24"/>
          <w:szCs w:val="24"/>
        </w:rPr>
        <w:t xml:space="preserve"> incorporated the input into the ACR.</w:t>
      </w:r>
    </w:p>
    <w:p w:rsidR="00BA52D6" w:rsidRPr="00BA52D6" w:rsidRDefault="00BA52D6" w:rsidP="006A0F5E">
      <w:pPr>
        <w:pStyle w:val="NoSpacing"/>
        <w:spacing w:line="360" w:lineRule="auto"/>
        <w:ind w:firstLine="720"/>
        <w:jc w:val="both"/>
        <w:rPr>
          <w:rFonts w:ascii="Times New Roman" w:hAnsi="Times New Roman"/>
          <w:sz w:val="24"/>
          <w:szCs w:val="24"/>
        </w:rPr>
      </w:pPr>
      <w:r w:rsidRPr="00BA52D6">
        <w:rPr>
          <w:rFonts w:ascii="Times New Roman" w:hAnsi="Times New Roman"/>
          <w:sz w:val="24"/>
          <w:szCs w:val="24"/>
        </w:rPr>
        <w:t xml:space="preserve">The 2014 </w:t>
      </w:r>
      <w:r w:rsidR="006A0F5E">
        <w:rPr>
          <w:rFonts w:ascii="Times New Roman" w:hAnsi="Times New Roman"/>
          <w:sz w:val="24"/>
          <w:szCs w:val="24"/>
        </w:rPr>
        <w:t>ACR</w:t>
      </w:r>
      <w:r w:rsidRPr="00BA52D6">
        <w:rPr>
          <w:rFonts w:ascii="Times New Roman" w:hAnsi="Times New Roman"/>
          <w:sz w:val="24"/>
          <w:szCs w:val="24"/>
        </w:rPr>
        <w:t xml:space="preserve"> summarizes </w:t>
      </w:r>
      <w:r w:rsidR="006A0F5E">
        <w:rPr>
          <w:rFonts w:ascii="Times New Roman" w:hAnsi="Times New Roman"/>
          <w:sz w:val="24"/>
          <w:szCs w:val="24"/>
        </w:rPr>
        <w:t>the Company’s</w:t>
      </w:r>
      <w:r w:rsidRPr="00BA52D6">
        <w:rPr>
          <w:rFonts w:ascii="Times New Roman" w:hAnsi="Times New Roman"/>
          <w:sz w:val="24"/>
          <w:szCs w:val="24"/>
        </w:rPr>
        <w:t xml:space="preserve"> annual energy efficiency achievements for its Washington electric and natural gas customers. These programs are intended to deliver a cost</w:t>
      </w:r>
      <w:r w:rsidRPr="00BA52D6">
        <w:rPr>
          <w:rFonts w:ascii="Cambria Math" w:hAnsi="Cambria Math"/>
          <w:sz w:val="24"/>
          <w:szCs w:val="24"/>
        </w:rPr>
        <w:t>‐</w:t>
      </w:r>
      <w:r w:rsidRPr="00BA52D6">
        <w:rPr>
          <w:rFonts w:ascii="Times New Roman" w:hAnsi="Times New Roman"/>
          <w:sz w:val="24"/>
          <w:szCs w:val="24"/>
        </w:rPr>
        <w:t>effective, “least</w:t>
      </w:r>
      <w:r w:rsidRPr="00BA52D6">
        <w:rPr>
          <w:rFonts w:ascii="Cambria Math" w:hAnsi="Cambria Math"/>
          <w:sz w:val="24"/>
          <w:szCs w:val="24"/>
        </w:rPr>
        <w:t>‐</w:t>
      </w:r>
      <w:r w:rsidRPr="00BA52D6">
        <w:rPr>
          <w:rFonts w:ascii="Times New Roman" w:hAnsi="Times New Roman"/>
          <w:sz w:val="24"/>
          <w:szCs w:val="24"/>
        </w:rPr>
        <w:t>cost” resource with the funding provided through Avista’s Schedules 91 and 191, also known as the “Tariff Rider” which is a non</w:t>
      </w:r>
      <w:r w:rsidRPr="00BA52D6">
        <w:rPr>
          <w:rFonts w:ascii="Cambria Math" w:hAnsi="Cambria Math"/>
          <w:sz w:val="24"/>
          <w:szCs w:val="24"/>
        </w:rPr>
        <w:t>‐</w:t>
      </w:r>
      <w:proofErr w:type="spellStart"/>
      <w:r w:rsidRPr="00BA52D6">
        <w:rPr>
          <w:rFonts w:ascii="Times New Roman" w:hAnsi="Times New Roman"/>
          <w:sz w:val="24"/>
          <w:szCs w:val="24"/>
        </w:rPr>
        <w:t>bypassable</w:t>
      </w:r>
      <w:proofErr w:type="spellEnd"/>
      <w:r w:rsidRPr="00BA52D6">
        <w:rPr>
          <w:rFonts w:ascii="Times New Roman" w:hAnsi="Times New Roman"/>
          <w:sz w:val="24"/>
          <w:szCs w:val="24"/>
        </w:rPr>
        <w:t xml:space="preserve"> system benefit charge applied to all electric and natural gas retail sales.</w:t>
      </w:r>
    </w:p>
    <w:p w:rsidR="00BA52D6" w:rsidRDefault="00BA52D6" w:rsidP="00BA52D6">
      <w:pPr>
        <w:pStyle w:val="NoSpacing"/>
        <w:spacing w:line="360" w:lineRule="auto"/>
        <w:ind w:firstLine="720"/>
        <w:jc w:val="both"/>
        <w:rPr>
          <w:rFonts w:ascii="Times New Roman" w:hAnsi="Times New Roman"/>
          <w:sz w:val="24"/>
          <w:szCs w:val="24"/>
        </w:rPr>
      </w:pPr>
      <w:r w:rsidRPr="00BA52D6">
        <w:rPr>
          <w:rFonts w:ascii="Times New Roman" w:hAnsi="Times New Roman"/>
          <w:sz w:val="24"/>
          <w:szCs w:val="24"/>
        </w:rPr>
        <w:t>2014 is the first year of the third Biennial Conservation Plan (BCP) for Washington’s Energy Independence Act (Initiative 937 or I</w:t>
      </w:r>
      <w:r w:rsidRPr="00BA52D6">
        <w:rPr>
          <w:rFonts w:ascii="Cambria Math" w:hAnsi="Cambria Math"/>
          <w:sz w:val="24"/>
          <w:szCs w:val="24"/>
        </w:rPr>
        <w:t>‐</w:t>
      </w:r>
      <w:r w:rsidRPr="00BA52D6">
        <w:rPr>
          <w:rFonts w:ascii="Times New Roman" w:hAnsi="Times New Roman"/>
          <w:sz w:val="24"/>
          <w:szCs w:val="24"/>
        </w:rPr>
        <w:t>937). Avista’s target as filed in its 2014</w:t>
      </w:r>
      <w:r w:rsidRPr="00BA52D6">
        <w:rPr>
          <w:rFonts w:ascii="Cambria Math" w:hAnsi="Cambria Math"/>
          <w:sz w:val="24"/>
          <w:szCs w:val="24"/>
        </w:rPr>
        <w:t>‐</w:t>
      </w:r>
      <w:r w:rsidRPr="00BA52D6">
        <w:rPr>
          <w:rFonts w:ascii="Times New Roman" w:hAnsi="Times New Roman"/>
          <w:sz w:val="24"/>
          <w:szCs w:val="24"/>
        </w:rPr>
        <w:t>15 BCP is 68,204 MWh. In 2014, Avista acquired 40,896 MWh (unverified gross savings) in Washington, or 60 percent of its BCP two</w:t>
      </w:r>
      <w:r w:rsidRPr="00BA52D6">
        <w:rPr>
          <w:rFonts w:ascii="Cambria Math" w:hAnsi="Cambria Math"/>
          <w:sz w:val="24"/>
          <w:szCs w:val="24"/>
        </w:rPr>
        <w:t>‐</w:t>
      </w:r>
      <w:r w:rsidRPr="00BA52D6">
        <w:rPr>
          <w:rFonts w:ascii="Times New Roman" w:hAnsi="Times New Roman"/>
          <w:sz w:val="24"/>
          <w:szCs w:val="24"/>
        </w:rPr>
        <w:t xml:space="preserve">year end-use efficiency target. Primary drivers for electric savings </w:t>
      </w:r>
      <w:r w:rsidRPr="00BA52D6">
        <w:rPr>
          <w:rFonts w:ascii="Times New Roman" w:hAnsi="Times New Roman"/>
          <w:sz w:val="24"/>
          <w:szCs w:val="24"/>
        </w:rPr>
        <w:lastRenderedPageBreak/>
        <w:t>included the Nonresidential site-specific and residential lighting efforts. Behavioral savings also contributed a significant amount to the overall savings contribution. Avista’s natural gas portfolio delivered 529,763 therms (unverified gross savings) in first year annual savings. This achieved 85 percent of the Company’s 2014 natural gas target of 637,042 therms as noted in the 2014 Business Plan. Primary drivers for the natural gas savings include residential prescriptive HVAC (primarily high efficiency natural gas furnaces), nonresidential site-specific HVAC, and residential shell measures.</w:t>
      </w:r>
    </w:p>
    <w:p w:rsidR="006A0F5E" w:rsidRPr="00BA52D6" w:rsidRDefault="006A0F5E" w:rsidP="00BA52D6">
      <w:pPr>
        <w:pStyle w:val="NoSpacing"/>
        <w:spacing w:line="360" w:lineRule="auto"/>
        <w:ind w:firstLine="720"/>
        <w:jc w:val="both"/>
        <w:rPr>
          <w:rFonts w:ascii="Times New Roman" w:hAnsi="Times New Roman"/>
          <w:sz w:val="24"/>
          <w:szCs w:val="24"/>
        </w:rPr>
      </w:pPr>
    </w:p>
    <w:p w:rsidR="00BA52D6" w:rsidRPr="00BA52D6" w:rsidRDefault="00BA52D6" w:rsidP="00BA52D6">
      <w:pPr>
        <w:pStyle w:val="Text"/>
        <w:spacing w:after="0" w:line="360" w:lineRule="auto"/>
        <w:jc w:val="both"/>
        <w:rPr>
          <w:rFonts w:ascii="Times New Roman" w:hAnsi="Times New Roman" w:cs="Times New Roman"/>
          <w:sz w:val="24"/>
          <w:szCs w:val="24"/>
        </w:rPr>
      </w:pPr>
      <w:r w:rsidRPr="00BA52D6">
        <w:rPr>
          <w:rFonts w:ascii="Times New Roman" w:hAnsi="Times New Roman" w:cs="Times New Roman"/>
          <w:sz w:val="24"/>
          <w:szCs w:val="24"/>
        </w:rPr>
        <w:t xml:space="preserve">A summary of acquired savings by sector is provided for both fuels in </w:t>
      </w:r>
      <w:r w:rsidR="006A0F5E">
        <w:rPr>
          <w:rFonts w:ascii="Times New Roman" w:hAnsi="Times New Roman" w:cs="Times New Roman"/>
          <w:sz w:val="24"/>
          <w:szCs w:val="24"/>
        </w:rPr>
        <w:t>the following tables</w:t>
      </w:r>
      <w:r w:rsidRPr="00BA52D6">
        <w:rPr>
          <w:rFonts w:ascii="Times New Roman" w:hAnsi="Times New Roman" w:cs="Times New Roman"/>
          <w:sz w:val="24"/>
          <w:szCs w:val="24"/>
        </w:rPr>
        <w:t>.</w:t>
      </w:r>
    </w:p>
    <w:p w:rsidR="00BA52D6" w:rsidRDefault="00BA52D6" w:rsidP="00BA52D6">
      <w:pPr>
        <w:pStyle w:val="Caption"/>
        <w:rPr>
          <w:sz w:val="20"/>
        </w:rPr>
      </w:pPr>
      <w:r>
        <w:rPr>
          <w:sz w:val="20"/>
        </w:rPr>
        <w:t>2014 Washington Electric Energy Savings (Unverified Gross)</w:t>
      </w:r>
    </w:p>
    <w:tbl>
      <w:tblPr>
        <w:tblStyle w:val="NEXANTNEWTABLESTYLE"/>
        <w:tblW w:w="6745" w:type="dxa"/>
        <w:jc w:val="center"/>
        <w:tblLook w:val="04A0"/>
      </w:tblPr>
      <w:tblGrid>
        <w:gridCol w:w="1870"/>
        <w:gridCol w:w="1600"/>
        <w:gridCol w:w="1340"/>
        <w:gridCol w:w="1935"/>
      </w:tblGrid>
      <w:tr w:rsidR="00BA52D6" w:rsidRPr="00D6415F" w:rsidTr="00BA52D6">
        <w:trPr>
          <w:cnfStyle w:val="100000000000"/>
          <w:trHeight w:val="525"/>
          <w:jc w:val="center"/>
        </w:trPr>
        <w:tc>
          <w:tcPr>
            <w:tcW w:w="1870" w:type="dxa"/>
            <w:vAlign w:val="center"/>
            <w:hideMark/>
          </w:tcPr>
          <w:p w:rsidR="00BA52D6" w:rsidRPr="00D6415F" w:rsidRDefault="00BA52D6" w:rsidP="00BA52D6">
            <w:pPr>
              <w:rPr>
                <w:rFonts w:cs="Arial"/>
                <w:b w:val="0"/>
                <w:bCs/>
                <w:color w:val="FFFFFF"/>
                <w:sz w:val="20"/>
              </w:rPr>
            </w:pPr>
            <w:r w:rsidRPr="00D6415F">
              <w:rPr>
                <w:rFonts w:cs="Arial"/>
                <w:b w:val="0"/>
                <w:bCs/>
                <w:sz w:val="20"/>
              </w:rPr>
              <w:t>Segment</w:t>
            </w:r>
          </w:p>
        </w:tc>
        <w:tc>
          <w:tcPr>
            <w:tcW w:w="1600" w:type="dxa"/>
            <w:vAlign w:val="center"/>
            <w:hideMark/>
          </w:tcPr>
          <w:p w:rsidR="00BA52D6" w:rsidRPr="00D6415F" w:rsidRDefault="00BA52D6" w:rsidP="00BA52D6">
            <w:pPr>
              <w:rPr>
                <w:rFonts w:cs="Arial"/>
                <w:b w:val="0"/>
                <w:bCs/>
                <w:color w:val="FFFFFF"/>
                <w:sz w:val="20"/>
              </w:rPr>
            </w:pPr>
            <w:r w:rsidRPr="00D6415F">
              <w:rPr>
                <w:rFonts w:cs="Arial"/>
                <w:b w:val="0"/>
                <w:bCs/>
                <w:sz w:val="20"/>
              </w:rPr>
              <w:t>kWh</w:t>
            </w:r>
          </w:p>
        </w:tc>
        <w:tc>
          <w:tcPr>
            <w:tcW w:w="1340" w:type="dxa"/>
            <w:vAlign w:val="center"/>
            <w:hideMark/>
          </w:tcPr>
          <w:p w:rsidR="00BA52D6" w:rsidRPr="00D6415F" w:rsidRDefault="00BA52D6" w:rsidP="00BA52D6">
            <w:pPr>
              <w:rPr>
                <w:rFonts w:cs="Arial"/>
                <w:b w:val="0"/>
                <w:bCs/>
                <w:color w:val="FFFFFF"/>
                <w:sz w:val="20"/>
              </w:rPr>
            </w:pPr>
            <w:r w:rsidRPr="00D6415F">
              <w:rPr>
                <w:rFonts w:cs="Arial"/>
                <w:b w:val="0"/>
                <w:bCs/>
                <w:sz w:val="20"/>
              </w:rPr>
              <w:t>Conversions</w:t>
            </w:r>
          </w:p>
        </w:tc>
        <w:tc>
          <w:tcPr>
            <w:tcW w:w="1935" w:type="dxa"/>
            <w:vAlign w:val="center"/>
            <w:hideMark/>
          </w:tcPr>
          <w:p w:rsidR="00BA52D6" w:rsidRPr="00D6415F" w:rsidRDefault="00BA52D6" w:rsidP="00BA52D6">
            <w:pPr>
              <w:rPr>
                <w:rFonts w:cs="Arial"/>
                <w:b w:val="0"/>
                <w:bCs/>
                <w:color w:val="FFFFFF"/>
                <w:sz w:val="20"/>
              </w:rPr>
            </w:pPr>
            <w:r w:rsidRPr="00D6415F">
              <w:rPr>
                <w:rFonts w:cs="Arial"/>
                <w:b w:val="0"/>
                <w:bCs/>
                <w:sz w:val="20"/>
              </w:rPr>
              <w:t>I-937 kWh Total</w:t>
            </w:r>
          </w:p>
        </w:tc>
      </w:tr>
      <w:tr w:rsidR="00BA52D6" w:rsidRPr="00D6415F" w:rsidTr="00BA52D6">
        <w:trPr>
          <w:trHeight w:hRule="exact" w:val="432"/>
          <w:jc w:val="center"/>
        </w:trPr>
        <w:tc>
          <w:tcPr>
            <w:tcW w:w="1870" w:type="dxa"/>
            <w:vMerge w:val="restart"/>
            <w:vAlign w:val="center"/>
            <w:hideMark/>
          </w:tcPr>
          <w:p w:rsidR="00BA52D6" w:rsidRPr="00EA740E" w:rsidRDefault="00BA52D6" w:rsidP="00BA52D6">
            <w:pPr>
              <w:rPr>
                <w:rFonts w:cs="Arial"/>
                <w:color w:val="000000"/>
                <w:sz w:val="20"/>
              </w:rPr>
            </w:pPr>
            <w:r w:rsidRPr="00EA740E">
              <w:rPr>
                <w:rFonts w:cs="Arial"/>
                <w:color w:val="000000"/>
                <w:sz w:val="20"/>
              </w:rPr>
              <w:t>Residential</w:t>
            </w:r>
          </w:p>
        </w:tc>
        <w:tc>
          <w:tcPr>
            <w:tcW w:w="1600" w:type="dxa"/>
            <w:vMerge w:val="restart"/>
            <w:vAlign w:val="center"/>
            <w:hideMark/>
          </w:tcPr>
          <w:p w:rsidR="00BA52D6" w:rsidRPr="00EA740E" w:rsidRDefault="00BA52D6" w:rsidP="00BA52D6">
            <w:pPr>
              <w:jc w:val="center"/>
              <w:rPr>
                <w:rFonts w:cs="Arial"/>
                <w:sz w:val="20"/>
              </w:rPr>
            </w:pPr>
            <w:r w:rsidRPr="00EA740E">
              <w:rPr>
                <w:rFonts w:cs="Arial"/>
                <w:sz w:val="20"/>
              </w:rPr>
              <w:t>25,397,486</w:t>
            </w:r>
          </w:p>
        </w:tc>
        <w:tc>
          <w:tcPr>
            <w:tcW w:w="1340" w:type="dxa"/>
            <w:vMerge w:val="restart"/>
            <w:vAlign w:val="center"/>
            <w:hideMark/>
          </w:tcPr>
          <w:p w:rsidR="00BA52D6" w:rsidRPr="00EA740E" w:rsidRDefault="00BA52D6" w:rsidP="00BA52D6">
            <w:pPr>
              <w:jc w:val="center"/>
              <w:rPr>
                <w:rFonts w:cs="Arial"/>
                <w:sz w:val="20"/>
              </w:rPr>
            </w:pPr>
            <w:r w:rsidRPr="00EA740E">
              <w:rPr>
                <w:rFonts w:cs="Arial"/>
                <w:sz w:val="20"/>
              </w:rPr>
              <w:t>-1,810,904</w:t>
            </w:r>
          </w:p>
        </w:tc>
        <w:tc>
          <w:tcPr>
            <w:tcW w:w="1935" w:type="dxa"/>
            <w:vMerge w:val="restart"/>
            <w:vAlign w:val="center"/>
            <w:hideMark/>
          </w:tcPr>
          <w:p w:rsidR="00BA52D6" w:rsidRPr="00EA740E" w:rsidRDefault="00BA52D6" w:rsidP="00BA52D6">
            <w:pPr>
              <w:jc w:val="center"/>
              <w:rPr>
                <w:rFonts w:cs="Arial"/>
                <w:sz w:val="20"/>
              </w:rPr>
            </w:pPr>
            <w:r w:rsidRPr="00EA740E">
              <w:rPr>
                <w:rFonts w:cs="Arial"/>
                <w:sz w:val="20"/>
              </w:rPr>
              <w:t>23,586,582</w:t>
            </w:r>
          </w:p>
        </w:tc>
      </w:tr>
      <w:tr w:rsidR="00BA52D6" w:rsidRPr="00D6415F" w:rsidTr="00BA52D6">
        <w:trPr>
          <w:trHeight w:hRule="exact" w:val="90"/>
          <w:jc w:val="center"/>
        </w:trPr>
        <w:tc>
          <w:tcPr>
            <w:tcW w:w="1870" w:type="dxa"/>
            <w:vMerge/>
            <w:vAlign w:val="center"/>
            <w:hideMark/>
          </w:tcPr>
          <w:p w:rsidR="00BA52D6" w:rsidRPr="00EA740E" w:rsidRDefault="00BA52D6" w:rsidP="00BA52D6">
            <w:pPr>
              <w:rPr>
                <w:rFonts w:cs="Arial"/>
                <w:color w:val="000000"/>
                <w:sz w:val="20"/>
              </w:rPr>
            </w:pPr>
          </w:p>
        </w:tc>
        <w:tc>
          <w:tcPr>
            <w:tcW w:w="1600" w:type="dxa"/>
            <w:vMerge/>
            <w:vAlign w:val="center"/>
            <w:hideMark/>
          </w:tcPr>
          <w:p w:rsidR="00BA52D6" w:rsidRPr="00EA740E" w:rsidRDefault="00BA52D6" w:rsidP="00BA52D6">
            <w:pPr>
              <w:jc w:val="center"/>
              <w:rPr>
                <w:rFonts w:cs="Arial"/>
                <w:sz w:val="20"/>
              </w:rPr>
            </w:pPr>
          </w:p>
        </w:tc>
        <w:tc>
          <w:tcPr>
            <w:tcW w:w="1340" w:type="dxa"/>
            <w:vMerge/>
            <w:vAlign w:val="center"/>
            <w:hideMark/>
          </w:tcPr>
          <w:p w:rsidR="00BA52D6" w:rsidRPr="00EA740E" w:rsidRDefault="00BA52D6" w:rsidP="00BA52D6">
            <w:pPr>
              <w:jc w:val="center"/>
              <w:rPr>
                <w:rFonts w:cs="Arial"/>
                <w:sz w:val="20"/>
              </w:rPr>
            </w:pPr>
          </w:p>
        </w:tc>
        <w:tc>
          <w:tcPr>
            <w:tcW w:w="1935" w:type="dxa"/>
            <w:vMerge/>
            <w:vAlign w:val="center"/>
            <w:hideMark/>
          </w:tcPr>
          <w:p w:rsidR="00BA52D6" w:rsidRPr="00EA740E" w:rsidRDefault="00BA52D6" w:rsidP="00BA52D6">
            <w:pPr>
              <w:jc w:val="center"/>
              <w:rPr>
                <w:rFonts w:cs="Arial"/>
                <w:sz w:val="20"/>
              </w:rPr>
            </w:pPr>
          </w:p>
        </w:tc>
      </w:tr>
      <w:tr w:rsidR="00BA52D6" w:rsidRPr="00D6415F" w:rsidTr="00BA52D6">
        <w:trPr>
          <w:trHeight w:hRule="exact" w:val="432"/>
          <w:jc w:val="center"/>
        </w:trPr>
        <w:tc>
          <w:tcPr>
            <w:tcW w:w="1870" w:type="dxa"/>
            <w:vAlign w:val="center"/>
            <w:hideMark/>
          </w:tcPr>
          <w:p w:rsidR="00BA52D6" w:rsidRPr="00EA740E" w:rsidRDefault="00BA52D6" w:rsidP="00BA52D6">
            <w:pPr>
              <w:rPr>
                <w:rFonts w:cs="Arial"/>
                <w:color w:val="000000"/>
                <w:sz w:val="20"/>
              </w:rPr>
            </w:pPr>
            <w:r w:rsidRPr="00EA740E">
              <w:rPr>
                <w:rFonts w:cs="Arial"/>
                <w:color w:val="000000"/>
                <w:sz w:val="20"/>
              </w:rPr>
              <w:t>Low Income</w:t>
            </w:r>
          </w:p>
        </w:tc>
        <w:tc>
          <w:tcPr>
            <w:tcW w:w="1600" w:type="dxa"/>
            <w:vAlign w:val="center"/>
            <w:hideMark/>
          </w:tcPr>
          <w:p w:rsidR="00BA52D6" w:rsidRPr="00EA740E" w:rsidRDefault="00BA52D6" w:rsidP="00BA52D6">
            <w:pPr>
              <w:jc w:val="center"/>
              <w:rPr>
                <w:rFonts w:cs="Arial"/>
                <w:sz w:val="20"/>
              </w:rPr>
            </w:pPr>
            <w:r w:rsidRPr="00EA740E">
              <w:rPr>
                <w:rFonts w:cs="Arial"/>
                <w:sz w:val="20"/>
              </w:rPr>
              <w:t>400,247</w:t>
            </w:r>
          </w:p>
        </w:tc>
        <w:tc>
          <w:tcPr>
            <w:tcW w:w="1340" w:type="dxa"/>
            <w:vAlign w:val="center"/>
            <w:hideMark/>
          </w:tcPr>
          <w:p w:rsidR="00BA52D6" w:rsidRPr="00EA740E" w:rsidRDefault="00BA52D6" w:rsidP="00BA52D6">
            <w:pPr>
              <w:jc w:val="center"/>
              <w:rPr>
                <w:rFonts w:cs="Arial"/>
                <w:sz w:val="20"/>
              </w:rPr>
            </w:pPr>
            <w:r w:rsidRPr="00EA740E">
              <w:rPr>
                <w:rFonts w:cs="Arial"/>
                <w:sz w:val="20"/>
              </w:rPr>
              <w:t>-201,855</w:t>
            </w:r>
          </w:p>
        </w:tc>
        <w:tc>
          <w:tcPr>
            <w:tcW w:w="1935" w:type="dxa"/>
            <w:vAlign w:val="center"/>
            <w:hideMark/>
          </w:tcPr>
          <w:p w:rsidR="00BA52D6" w:rsidRPr="00EA740E" w:rsidRDefault="00BA52D6" w:rsidP="00BA52D6">
            <w:pPr>
              <w:jc w:val="center"/>
              <w:rPr>
                <w:rFonts w:cs="Arial"/>
                <w:sz w:val="20"/>
              </w:rPr>
            </w:pPr>
            <w:r w:rsidRPr="00EA740E">
              <w:rPr>
                <w:rFonts w:cs="Arial"/>
                <w:sz w:val="20"/>
              </w:rPr>
              <w:t>198,392</w:t>
            </w:r>
          </w:p>
        </w:tc>
      </w:tr>
      <w:tr w:rsidR="00BA52D6" w:rsidRPr="00D6415F" w:rsidTr="00BA52D6">
        <w:trPr>
          <w:trHeight w:hRule="exact" w:val="432"/>
          <w:jc w:val="center"/>
        </w:trPr>
        <w:tc>
          <w:tcPr>
            <w:tcW w:w="1870" w:type="dxa"/>
            <w:vAlign w:val="center"/>
            <w:hideMark/>
          </w:tcPr>
          <w:p w:rsidR="00BA52D6" w:rsidRPr="00EA740E" w:rsidRDefault="00BA52D6" w:rsidP="00BA52D6">
            <w:pPr>
              <w:rPr>
                <w:rFonts w:cs="Arial"/>
                <w:color w:val="000000"/>
                <w:sz w:val="20"/>
              </w:rPr>
            </w:pPr>
            <w:r w:rsidRPr="00EA740E">
              <w:rPr>
                <w:rFonts w:cs="Arial"/>
                <w:color w:val="000000"/>
                <w:sz w:val="20"/>
              </w:rPr>
              <w:t>Nonresidential</w:t>
            </w:r>
          </w:p>
        </w:tc>
        <w:tc>
          <w:tcPr>
            <w:tcW w:w="1600" w:type="dxa"/>
            <w:vAlign w:val="center"/>
            <w:hideMark/>
          </w:tcPr>
          <w:p w:rsidR="00BA52D6" w:rsidRPr="00EA740E" w:rsidRDefault="00BA52D6" w:rsidP="00BA52D6">
            <w:pPr>
              <w:jc w:val="center"/>
              <w:rPr>
                <w:rFonts w:cs="Arial"/>
                <w:sz w:val="20"/>
              </w:rPr>
            </w:pPr>
            <w:r w:rsidRPr="00EA740E">
              <w:rPr>
                <w:rFonts w:cs="Arial"/>
                <w:sz w:val="20"/>
              </w:rPr>
              <w:t>16,226,327</w:t>
            </w:r>
          </w:p>
        </w:tc>
        <w:tc>
          <w:tcPr>
            <w:tcW w:w="1340" w:type="dxa"/>
            <w:vAlign w:val="center"/>
            <w:hideMark/>
          </w:tcPr>
          <w:p w:rsidR="00BA52D6" w:rsidRPr="00EA740E" w:rsidRDefault="00BA52D6" w:rsidP="00BA52D6">
            <w:pPr>
              <w:jc w:val="center"/>
              <w:rPr>
                <w:rFonts w:cs="Arial"/>
                <w:sz w:val="20"/>
              </w:rPr>
            </w:pPr>
            <w:r w:rsidRPr="00EA740E">
              <w:rPr>
                <w:rFonts w:cs="Arial"/>
                <w:sz w:val="20"/>
              </w:rPr>
              <w:t>0</w:t>
            </w:r>
          </w:p>
        </w:tc>
        <w:tc>
          <w:tcPr>
            <w:tcW w:w="1935" w:type="dxa"/>
            <w:vAlign w:val="center"/>
            <w:hideMark/>
          </w:tcPr>
          <w:p w:rsidR="00BA52D6" w:rsidRPr="00EA740E" w:rsidRDefault="00BA52D6" w:rsidP="00BA52D6">
            <w:pPr>
              <w:jc w:val="center"/>
              <w:rPr>
                <w:rFonts w:cs="Arial"/>
                <w:sz w:val="20"/>
              </w:rPr>
            </w:pPr>
            <w:r w:rsidRPr="00EA740E">
              <w:rPr>
                <w:rFonts w:cs="Arial"/>
                <w:sz w:val="20"/>
              </w:rPr>
              <w:t>16,226,327</w:t>
            </w:r>
          </w:p>
        </w:tc>
      </w:tr>
      <w:tr w:rsidR="00BA52D6" w:rsidRPr="00D6415F" w:rsidTr="00BA52D6">
        <w:trPr>
          <w:trHeight w:hRule="exact" w:val="432"/>
          <w:jc w:val="center"/>
        </w:trPr>
        <w:tc>
          <w:tcPr>
            <w:tcW w:w="1870" w:type="dxa"/>
            <w:vAlign w:val="center"/>
            <w:hideMark/>
          </w:tcPr>
          <w:p w:rsidR="00BA52D6" w:rsidRPr="00EA740E" w:rsidRDefault="00BA52D6" w:rsidP="00BA52D6">
            <w:pPr>
              <w:rPr>
                <w:rFonts w:cs="Arial"/>
                <w:color w:val="000000"/>
                <w:sz w:val="20"/>
              </w:rPr>
            </w:pPr>
            <w:r w:rsidRPr="00EA740E">
              <w:rPr>
                <w:rFonts w:cs="Arial"/>
                <w:color w:val="000000"/>
                <w:sz w:val="20"/>
              </w:rPr>
              <w:t xml:space="preserve">Distribution </w:t>
            </w:r>
          </w:p>
        </w:tc>
        <w:tc>
          <w:tcPr>
            <w:tcW w:w="1600" w:type="dxa"/>
            <w:vAlign w:val="center"/>
            <w:hideMark/>
          </w:tcPr>
          <w:p w:rsidR="00BA52D6" w:rsidRPr="00EA740E" w:rsidRDefault="00BA52D6" w:rsidP="00BA52D6">
            <w:pPr>
              <w:jc w:val="center"/>
              <w:rPr>
                <w:rFonts w:cs="Arial"/>
                <w:sz w:val="20"/>
              </w:rPr>
            </w:pPr>
            <w:r w:rsidRPr="00EA740E">
              <w:rPr>
                <w:rFonts w:cs="Arial"/>
                <w:sz w:val="20"/>
              </w:rPr>
              <w:t>885,000</w:t>
            </w:r>
          </w:p>
        </w:tc>
        <w:tc>
          <w:tcPr>
            <w:tcW w:w="1340" w:type="dxa"/>
            <w:vAlign w:val="center"/>
            <w:hideMark/>
          </w:tcPr>
          <w:p w:rsidR="00BA52D6" w:rsidRPr="00EA740E" w:rsidRDefault="00BA52D6" w:rsidP="00BA52D6">
            <w:pPr>
              <w:jc w:val="center"/>
              <w:rPr>
                <w:rFonts w:cs="Arial"/>
                <w:sz w:val="20"/>
              </w:rPr>
            </w:pPr>
            <w:r w:rsidRPr="00EA740E">
              <w:rPr>
                <w:rFonts w:cs="Arial"/>
                <w:sz w:val="20"/>
              </w:rPr>
              <w:t>0</w:t>
            </w:r>
          </w:p>
        </w:tc>
        <w:tc>
          <w:tcPr>
            <w:tcW w:w="1935" w:type="dxa"/>
            <w:vAlign w:val="center"/>
            <w:hideMark/>
          </w:tcPr>
          <w:p w:rsidR="00BA52D6" w:rsidRPr="00EA740E" w:rsidRDefault="00BA52D6" w:rsidP="00BA52D6">
            <w:pPr>
              <w:jc w:val="center"/>
              <w:rPr>
                <w:rFonts w:cs="Arial"/>
                <w:sz w:val="20"/>
              </w:rPr>
            </w:pPr>
            <w:r w:rsidRPr="00EA740E">
              <w:rPr>
                <w:rFonts w:cs="Arial"/>
                <w:sz w:val="20"/>
              </w:rPr>
              <w:t>885,000</w:t>
            </w:r>
          </w:p>
        </w:tc>
      </w:tr>
      <w:tr w:rsidR="00BA52D6" w:rsidRPr="00D6415F" w:rsidTr="00BA52D6">
        <w:trPr>
          <w:trHeight w:hRule="exact" w:val="432"/>
          <w:jc w:val="center"/>
        </w:trPr>
        <w:tc>
          <w:tcPr>
            <w:tcW w:w="1870" w:type="dxa"/>
            <w:vAlign w:val="center"/>
            <w:hideMark/>
          </w:tcPr>
          <w:p w:rsidR="00BA52D6" w:rsidRPr="00EA740E" w:rsidRDefault="00BA52D6" w:rsidP="00BA52D6">
            <w:pPr>
              <w:rPr>
                <w:rFonts w:cs="Arial"/>
                <w:color w:val="000000"/>
                <w:sz w:val="20"/>
              </w:rPr>
            </w:pPr>
            <w:r w:rsidRPr="00EA740E">
              <w:rPr>
                <w:rFonts w:cs="Arial"/>
                <w:color w:val="000000"/>
                <w:sz w:val="20"/>
              </w:rPr>
              <w:t>Total</w:t>
            </w:r>
          </w:p>
        </w:tc>
        <w:tc>
          <w:tcPr>
            <w:tcW w:w="1600" w:type="dxa"/>
            <w:vAlign w:val="center"/>
            <w:hideMark/>
          </w:tcPr>
          <w:p w:rsidR="00BA52D6" w:rsidRPr="00EA740E" w:rsidRDefault="00BA52D6" w:rsidP="00BA52D6">
            <w:pPr>
              <w:jc w:val="center"/>
              <w:rPr>
                <w:rFonts w:cs="Arial"/>
                <w:sz w:val="20"/>
              </w:rPr>
            </w:pPr>
            <w:r w:rsidRPr="00EA740E">
              <w:rPr>
                <w:rFonts w:cs="Arial"/>
                <w:sz w:val="20"/>
              </w:rPr>
              <w:t>42,909,060</w:t>
            </w:r>
          </w:p>
        </w:tc>
        <w:tc>
          <w:tcPr>
            <w:tcW w:w="1340" w:type="dxa"/>
            <w:vAlign w:val="center"/>
            <w:hideMark/>
          </w:tcPr>
          <w:p w:rsidR="00BA52D6" w:rsidRPr="00EA740E" w:rsidRDefault="00BA52D6" w:rsidP="00BA52D6">
            <w:pPr>
              <w:jc w:val="center"/>
              <w:rPr>
                <w:rFonts w:cs="Arial"/>
                <w:sz w:val="20"/>
              </w:rPr>
            </w:pPr>
            <w:r w:rsidRPr="00EA740E">
              <w:rPr>
                <w:rFonts w:cs="Arial"/>
                <w:sz w:val="20"/>
              </w:rPr>
              <w:t>-2,012,759</w:t>
            </w:r>
          </w:p>
        </w:tc>
        <w:tc>
          <w:tcPr>
            <w:tcW w:w="1935" w:type="dxa"/>
            <w:vAlign w:val="center"/>
            <w:hideMark/>
          </w:tcPr>
          <w:p w:rsidR="00BA52D6" w:rsidRPr="00EA740E" w:rsidRDefault="00BA52D6" w:rsidP="00BA52D6">
            <w:pPr>
              <w:jc w:val="center"/>
              <w:rPr>
                <w:rFonts w:cs="Arial"/>
                <w:sz w:val="20"/>
              </w:rPr>
            </w:pPr>
            <w:r w:rsidRPr="00EA740E">
              <w:rPr>
                <w:rFonts w:cs="Arial"/>
                <w:sz w:val="20"/>
              </w:rPr>
              <w:t>40,896,301</w:t>
            </w:r>
          </w:p>
        </w:tc>
      </w:tr>
    </w:tbl>
    <w:p w:rsidR="00BA52D6" w:rsidRDefault="00BA52D6" w:rsidP="00BA52D6">
      <w:pPr>
        <w:pStyle w:val="NoSpacing"/>
        <w:spacing w:line="360" w:lineRule="auto"/>
        <w:ind w:firstLine="720"/>
        <w:jc w:val="both"/>
        <w:rPr>
          <w:rFonts w:ascii="Times New Roman" w:hAnsi="Times New Roman"/>
          <w:sz w:val="24"/>
          <w:szCs w:val="24"/>
        </w:rPr>
      </w:pPr>
    </w:p>
    <w:p w:rsidR="006A0F5E" w:rsidRDefault="006A0F5E" w:rsidP="006A0F5E">
      <w:pPr>
        <w:pStyle w:val="Caption"/>
      </w:pPr>
      <w:r>
        <w:rPr>
          <w:sz w:val="20"/>
        </w:rPr>
        <w:t>2014 Washington Natural Gas Savings (Unverified Gross)</w:t>
      </w:r>
    </w:p>
    <w:tbl>
      <w:tblPr>
        <w:tblStyle w:val="NEXANTNEWTABLESTYLE"/>
        <w:tblW w:w="0" w:type="auto"/>
        <w:jc w:val="center"/>
        <w:tblInd w:w="1993" w:type="dxa"/>
        <w:tblLook w:val="04A0"/>
      </w:tblPr>
      <w:tblGrid>
        <w:gridCol w:w="1948"/>
        <w:gridCol w:w="1620"/>
        <w:gridCol w:w="1428"/>
        <w:gridCol w:w="1710"/>
      </w:tblGrid>
      <w:tr w:rsidR="006A0F5E" w:rsidRPr="00E90E8A" w:rsidTr="006A0F5E">
        <w:trPr>
          <w:cnfStyle w:val="100000000000"/>
          <w:trHeight w:val="360"/>
          <w:jc w:val="center"/>
        </w:trPr>
        <w:tc>
          <w:tcPr>
            <w:tcW w:w="1948" w:type="dxa"/>
            <w:tcBorders>
              <w:bottom w:val="single" w:sz="6" w:space="0" w:color="1F497D" w:themeColor="text2"/>
              <w:right w:val="dotted" w:sz="2" w:space="0" w:color="D9D9D9" w:themeColor="background1" w:themeShade="D9"/>
            </w:tcBorders>
            <w:vAlign w:val="center"/>
          </w:tcPr>
          <w:p w:rsidR="006A0F5E" w:rsidRPr="00F66CA1" w:rsidRDefault="006A0F5E" w:rsidP="00240284">
            <w:pPr>
              <w:pStyle w:val="Tables-Headingcells"/>
              <w:ind w:left="40"/>
              <w:jc w:val="left"/>
              <w:rPr>
                <w:color w:val="auto"/>
                <w:sz w:val="20"/>
              </w:rPr>
            </w:pPr>
            <w:r w:rsidRPr="00F66CA1">
              <w:rPr>
                <w:sz w:val="20"/>
              </w:rPr>
              <w:t>Segment</w:t>
            </w:r>
          </w:p>
        </w:tc>
        <w:tc>
          <w:tcPr>
            <w:tcW w:w="1620" w:type="dxa"/>
            <w:tcBorders>
              <w:left w:val="dotted" w:sz="2" w:space="0" w:color="D9D9D9" w:themeColor="background1" w:themeShade="D9"/>
              <w:bottom w:val="single" w:sz="6" w:space="0" w:color="1F497D" w:themeColor="text2"/>
              <w:right w:val="dotted" w:sz="2" w:space="0" w:color="D9D9D9" w:themeColor="background1" w:themeShade="D9"/>
            </w:tcBorders>
            <w:vAlign w:val="center"/>
          </w:tcPr>
          <w:p w:rsidR="006A0F5E" w:rsidRPr="00F66CA1" w:rsidRDefault="006A0F5E" w:rsidP="00240284">
            <w:pPr>
              <w:pStyle w:val="Tables-Headingcells"/>
              <w:rPr>
                <w:sz w:val="20"/>
              </w:rPr>
            </w:pPr>
            <w:r w:rsidRPr="00F66CA1">
              <w:rPr>
                <w:sz w:val="20"/>
              </w:rPr>
              <w:t>Therms</w:t>
            </w:r>
          </w:p>
        </w:tc>
        <w:tc>
          <w:tcPr>
            <w:tcW w:w="1350" w:type="dxa"/>
            <w:tcBorders>
              <w:left w:val="dotted" w:sz="2" w:space="0" w:color="D9D9D9" w:themeColor="background1" w:themeShade="D9"/>
              <w:bottom w:val="single" w:sz="6" w:space="0" w:color="1F497D" w:themeColor="text2"/>
              <w:right w:val="dotted" w:sz="2" w:space="0" w:color="D9D9D9" w:themeColor="background1" w:themeShade="D9"/>
            </w:tcBorders>
            <w:vAlign w:val="center"/>
          </w:tcPr>
          <w:p w:rsidR="006A0F5E" w:rsidRPr="00F66CA1" w:rsidRDefault="006A0F5E" w:rsidP="00240284">
            <w:pPr>
              <w:pStyle w:val="Tables-Headingcells"/>
              <w:rPr>
                <w:sz w:val="20"/>
              </w:rPr>
            </w:pPr>
            <w:r w:rsidRPr="00F66CA1">
              <w:rPr>
                <w:sz w:val="20"/>
              </w:rPr>
              <w:t>Conversions</w:t>
            </w:r>
          </w:p>
        </w:tc>
        <w:tc>
          <w:tcPr>
            <w:tcW w:w="1710" w:type="dxa"/>
            <w:tcBorders>
              <w:left w:val="dotted" w:sz="2" w:space="0" w:color="D9D9D9" w:themeColor="background1" w:themeShade="D9"/>
              <w:bottom w:val="single" w:sz="6" w:space="0" w:color="1F497D" w:themeColor="text2"/>
            </w:tcBorders>
            <w:vAlign w:val="center"/>
          </w:tcPr>
          <w:p w:rsidR="006A0F5E" w:rsidRPr="00F66CA1" w:rsidRDefault="006A0F5E" w:rsidP="00240284">
            <w:pPr>
              <w:pStyle w:val="Tables-Headingcells"/>
              <w:rPr>
                <w:sz w:val="20"/>
              </w:rPr>
            </w:pPr>
            <w:r w:rsidRPr="00F66CA1">
              <w:rPr>
                <w:sz w:val="20"/>
              </w:rPr>
              <w:t>Therms Total</w:t>
            </w:r>
          </w:p>
        </w:tc>
      </w:tr>
      <w:tr w:rsidR="006A0F5E" w:rsidRPr="00E90E8A" w:rsidTr="006A0F5E">
        <w:trPr>
          <w:trHeight w:val="360"/>
          <w:jc w:val="center"/>
        </w:trPr>
        <w:tc>
          <w:tcPr>
            <w:tcW w:w="1948" w:type="dxa"/>
            <w:tcBorders>
              <w:top w:val="single" w:sz="6" w:space="0" w:color="1F497D" w:themeColor="text2"/>
              <w:right w:val="dotted" w:sz="2" w:space="0" w:color="0070CD"/>
            </w:tcBorders>
            <w:vAlign w:val="center"/>
          </w:tcPr>
          <w:p w:rsidR="006A0F5E" w:rsidRPr="00EA740E" w:rsidRDefault="006A0F5E" w:rsidP="00240284">
            <w:pPr>
              <w:keepNext/>
              <w:tabs>
                <w:tab w:val="clear" w:pos="720"/>
              </w:tabs>
              <w:ind w:left="40"/>
              <w:rPr>
                <w:rFonts w:cs="Arial"/>
                <w:sz w:val="20"/>
              </w:rPr>
            </w:pPr>
            <w:r w:rsidRPr="00EA740E">
              <w:rPr>
                <w:rFonts w:cs="Arial"/>
                <w:sz w:val="20"/>
              </w:rPr>
              <w:t>Residential</w:t>
            </w:r>
          </w:p>
        </w:tc>
        <w:tc>
          <w:tcPr>
            <w:tcW w:w="1620" w:type="dxa"/>
            <w:tcBorders>
              <w:top w:val="single" w:sz="6" w:space="0" w:color="1F497D" w:themeColor="text2"/>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355,443</w:t>
            </w:r>
          </w:p>
        </w:tc>
        <w:tc>
          <w:tcPr>
            <w:tcW w:w="1350" w:type="dxa"/>
            <w:tcBorders>
              <w:top w:val="single" w:sz="6" w:space="0" w:color="1F497D" w:themeColor="text2"/>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-79,021</w:t>
            </w:r>
          </w:p>
        </w:tc>
        <w:tc>
          <w:tcPr>
            <w:tcW w:w="1710" w:type="dxa"/>
            <w:tcBorders>
              <w:top w:val="single" w:sz="6" w:space="0" w:color="1F497D" w:themeColor="text2"/>
              <w:lef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276,422</w:t>
            </w:r>
          </w:p>
        </w:tc>
      </w:tr>
      <w:tr w:rsidR="006A0F5E" w:rsidRPr="00E90E8A" w:rsidTr="006A0F5E">
        <w:trPr>
          <w:trHeight w:val="360"/>
          <w:jc w:val="center"/>
        </w:trPr>
        <w:tc>
          <w:tcPr>
            <w:tcW w:w="1948" w:type="dxa"/>
            <w:tcBorders>
              <w:right w:val="dotted" w:sz="2" w:space="0" w:color="0070CD"/>
            </w:tcBorders>
            <w:vAlign w:val="center"/>
          </w:tcPr>
          <w:p w:rsidR="006A0F5E" w:rsidRPr="00EA740E" w:rsidRDefault="006A0F5E" w:rsidP="00240284">
            <w:pPr>
              <w:keepNext/>
              <w:tabs>
                <w:tab w:val="clear" w:pos="720"/>
              </w:tabs>
              <w:ind w:left="40"/>
              <w:rPr>
                <w:rFonts w:cs="Arial"/>
                <w:sz w:val="20"/>
              </w:rPr>
            </w:pPr>
            <w:r w:rsidRPr="00EA740E">
              <w:rPr>
                <w:rFonts w:cs="Arial"/>
                <w:sz w:val="20"/>
              </w:rPr>
              <w:t>Low Income</w:t>
            </w:r>
          </w:p>
        </w:tc>
        <w:tc>
          <w:tcPr>
            <w:tcW w:w="1620" w:type="dxa"/>
            <w:tcBorders>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14,944</w:t>
            </w:r>
          </w:p>
        </w:tc>
        <w:tc>
          <w:tcPr>
            <w:tcW w:w="1350" w:type="dxa"/>
            <w:tcBorders>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-6,634</w:t>
            </w:r>
          </w:p>
        </w:tc>
        <w:tc>
          <w:tcPr>
            <w:tcW w:w="1710" w:type="dxa"/>
            <w:tcBorders>
              <w:lef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8,310</w:t>
            </w:r>
          </w:p>
        </w:tc>
      </w:tr>
      <w:tr w:rsidR="006A0F5E" w:rsidRPr="00E90E8A" w:rsidTr="006A0F5E">
        <w:trPr>
          <w:trHeight w:val="360"/>
          <w:jc w:val="center"/>
        </w:trPr>
        <w:tc>
          <w:tcPr>
            <w:tcW w:w="1948" w:type="dxa"/>
            <w:tcBorders>
              <w:right w:val="dotted" w:sz="2" w:space="0" w:color="0070CD"/>
            </w:tcBorders>
            <w:vAlign w:val="center"/>
          </w:tcPr>
          <w:p w:rsidR="006A0F5E" w:rsidRPr="00EA740E" w:rsidRDefault="006A0F5E" w:rsidP="00240284">
            <w:pPr>
              <w:keepNext/>
              <w:tabs>
                <w:tab w:val="clear" w:pos="720"/>
              </w:tabs>
              <w:ind w:left="40"/>
              <w:rPr>
                <w:rFonts w:cs="Arial"/>
                <w:sz w:val="20"/>
              </w:rPr>
            </w:pPr>
            <w:r w:rsidRPr="00EA740E">
              <w:rPr>
                <w:rFonts w:cs="Arial"/>
                <w:sz w:val="20"/>
              </w:rPr>
              <w:t>Nonresidential</w:t>
            </w:r>
          </w:p>
        </w:tc>
        <w:tc>
          <w:tcPr>
            <w:tcW w:w="1620" w:type="dxa"/>
            <w:tcBorders>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245,031</w:t>
            </w:r>
          </w:p>
        </w:tc>
        <w:tc>
          <w:tcPr>
            <w:tcW w:w="1350" w:type="dxa"/>
            <w:tcBorders>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0</w:t>
            </w:r>
          </w:p>
        </w:tc>
        <w:tc>
          <w:tcPr>
            <w:tcW w:w="1710" w:type="dxa"/>
            <w:tcBorders>
              <w:lef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245,031</w:t>
            </w:r>
          </w:p>
        </w:tc>
      </w:tr>
      <w:tr w:rsidR="006A0F5E" w:rsidRPr="00E90E8A" w:rsidTr="006A0F5E">
        <w:trPr>
          <w:trHeight w:val="360"/>
          <w:jc w:val="center"/>
        </w:trPr>
        <w:tc>
          <w:tcPr>
            <w:tcW w:w="1948" w:type="dxa"/>
            <w:tcBorders>
              <w:right w:val="dotted" w:sz="2" w:space="0" w:color="0070CD"/>
            </w:tcBorders>
            <w:vAlign w:val="center"/>
          </w:tcPr>
          <w:p w:rsidR="006A0F5E" w:rsidRPr="00EA740E" w:rsidRDefault="006A0F5E" w:rsidP="00240284">
            <w:pPr>
              <w:keepNext/>
              <w:tabs>
                <w:tab w:val="clear" w:pos="720"/>
              </w:tabs>
              <w:ind w:left="40"/>
              <w:rPr>
                <w:rFonts w:cs="Arial"/>
                <w:sz w:val="20"/>
              </w:rPr>
            </w:pPr>
            <w:r w:rsidRPr="00EA740E">
              <w:rPr>
                <w:rFonts w:cs="Arial"/>
                <w:sz w:val="20"/>
              </w:rPr>
              <w:t>Total</w:t>
            </w:r>
          </w:p>
        </w:tc>
        <w:tc>
          <w:tcPr>
            <w:tcW w:w="1620" w:type="dxa"/>
            <w:tcBorders>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615,418</w:t>
            </w:r>
          </w:p>
        </w:tc>
        <w:tc>
          <w:tcPr>
            <w:tcW w:w="1350" w:type="dxa"/>
            <w:tcBorders>
              <w:left w:val="dotted" w:sz="2" w:space="0" w:color="0070CD"/>
              <w:righ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-85,655</w:t>
            </w:r>
          </w:p>
        </w:tc>
        <w:tc>
          <w:tcPr>
            <w:tcW w:w="1710" w:type="dxa"/>
            <w:tcBorders>
              <w:left w:val="dotted" w:sz="2" w:space="0" w:color="0070CD"/>
            </w:tcBorders>
            <w:vAlign w:val="center"/>
          </w:tcPr>
          <w:p w:rsidR="006A0F5E" w:rsidRPr="00EA740E" w:rsidRDefault="006A0F5E" w:rsidP="00240284">
            <w:pPr>
              <w:keepNext/>
              <w:tabs>
                <w:tab w:val="clear" w:pos="720"/>
              </w:tabs>
              <w:jc w:val="center"/>
              <w:rPr>
                <w:rFonts w:cs="Arial"/>
                <w:sz w:val="20"/>
              </w:rPr>
            </w:pPr>
            <w:r w:rsidRPr="00EA740E">
              <w:rPr>
                <w:rFonts w:cs="Arial"/>
                <w:sz w:val="20"/>
              </w:rPr>
              <w:t>529,763</w:t>
            </w:r>
          </w:p>
        </w:tc>
      </w:tr>
    </w:tbl>
    <w:p w:rsidR="006A0F5E" w:rsidRPr="00BA52D6" w:rsidRDefault="006A0F5E" w:rsidP="00BA52D6">
      <w:pPr>
        <w:pStyle w:val="NoSpacing"/>
        <w:spacing w:line="360" w:lineRule="auto"/>
        <w:ind w:firstLine="720"/>
        <w:jc w:val="both"/>
        <w:rPr>
          <w:rFonts w:ascii="Times New Roman" w:hAnsi="Times New Roman"/>
          <w:sz w:val="24"/>
          <w:szCs w:val="24"/>
        </w:rPr>
      </w:pPr>
    </w:p>
    <w:p w:rsidR="00102D3F" w:rsidRPr="00102D3F" w:rsidRDefault="00102D3F" w:rsidP="00102D3F">
      <w:pPr>
        <w:pStyle w:val="NoSpacing"/>
        <w:spacing w:line="360" w:lineRule="auto"/>
        <w:ind w:firstLine="720"/>
        <w:jc w:val="both"/>
        <w:rPr>
          <w:rFonts w:ascii="Times New Roman" w:hAnsi="Times New Roman"/>
          <w:sz w:val="24"/>
          <w:szCs w:val="24"/>
        </w:rPr>
      </w:pPr>
      <w:r w:rsidRPr="00102D3F">
        <w:rPr>
          <w:rFonts w:ascii="Times New Roman" w:hAnsi="Times New Roman"/>
          <w:sz w:val="24"/>
          <w:szCs w:val="24"/>
        </w:rPr>
        <w:t>The above mentioned acquisition has been delivered through local energy efficiency programs managed by the utility or third</w:t>
      </w:r>
      <w:r w:rsidRPr="00102D3F">
        <w:rPr>
          <w:rFonts w:ascii="Cambria Math" w:hAnsi="Cambria Math"/>
          <w:sz w:val="24"/>
          <w:szCs w:val="24"/>
        </w:rPr>
        <w:t>‐</w:t>
      </w:r>
      <w:r w:rsidRPr="00102D3F">
        <w:rPr>
          <w:rFonts w:ascii="Times New Roman" w:hAnsi="Times New Roman"/>
          <w:sz w:val="24"/>
          <w:szCs w:val="24"/>
        </w:rPr>
        <w:t>party contractors. Avista also funds a regional market transformation effort through the Northwest Energy Efficiency Alliance (NEEA), however, reported electric energy savings, cost</w:t>
      </w:r>
      <w:r w:rsidRPr="00102D3F">
        <w:rPr>
          <w:rFonts w:ascii="Cambria Math" w:hAnsi="Cambria Math"/>
          <w:sz w:val="24"/>
          <w:szCs w:val="24"/>
        </w:rPr>
        <w:t>‐</w:t>
      </w:r>
      <w:r w:rsidRPr="00102D3F">
        <w:rPr>
          <w:rFonts w:ascii="Times New Roman" w:hAnsi="Times New Roman"/>
          <w:sz w:val="24"/>
          <w:szCs w:val="24"/>
        </w:rPr>
        <w:t xml:space="preserve"> effectiveness and other related information is specific to local programs unless otherwise noted. The savings indicated above are gross, unverified savings based on all program participants.</w:t>
      </w:r>
    </w:p>
    <w:p w:rsidR="00102D3F" w:rsidRDefault="00102D3F" w:rsidP="00102D3F">
      <w:pPr>
        <w:pStyle w:val="NoSpacing"/>
        <w:spacing w:line="360" w:lineRule="auto"/>
        <w:ind w:firstLine="720"/>
        <w:jc w:val="both"/>
        <w:rPr>
          <w:rFonts w:ascii="Times New Roman" w:hAnsi="Times New Roman"/>
          <w:sz w:val="24"/>
          <w:szCs w:val="24"/>
        </w:rPr>
      </w:pPr>
      <w:r w:rsidRPr="00102D3F">
        <w:rPr>
          <w:rFonts w:ascii="Times New Roman" w:hAnsi="Times New Roman"/>
          <w:sz w:val="24"/>
          <w:szCs w:val="24"/>
        </w:rPr>
        <w:lastRenderedPageBreak/>
        <w:t>Avista judges the effectiveness of the energy efficiency portfolio based upon a number of metrics. Two of the most commonly applied metrics are the TRC test, a benefit</w:t>
      </w:r>
      <w:r w:rsidRPr="00102D3F">
        <w:rPr>
          <w:rFonts w:ascii="Cambria Math" w:hAnsi="Cambria Math"/>
          <w:sz w:val="24"/>
          <w:szCs w:val="24"/>
        </w:rPr>
        <w:t>‐</w:t>
      </w:r>
      <w:r w:rsidRPr="00102D3F">
        <w:rPr>
          <w:rFonts w:ascii="Times New Roman" w:hAnsi="Times New Roman"/>
          <w:sz w:val="24"/>
          <w:szCs w:val="24"/>
        </w:rPr>
        <w:t>to</w:t>
      </w:r>
      <w:r w:rsidRPr="00102D3F">
        <w:rPr>
          <w:rFonts w:ascii="Cambria Math" w:hAnsi="Cambria Math"/>
          <w:sz w:val="24"/>
          <w:szCs w:val="24"/>
        </w:rPr>
        <w:t>‐</w:t>
      </w:r>
      <w:r w:rsidRPr="00102D3F">
        <w:rPr>
          <w:rFonts w:ascii="Times New Roman" w:hAnsi="Times New Roman"/>
          <w:sz w:val="24"/>
          <w:szCs w:val="24"/>
        </w:rPr>
        <w:t>cost test encompassing the entire utility ratepayer population, and the PAC test, a benefit</w:t>
      </w:r>
      <w:r w:rsidRPr="00102D3F">
        <w:rPr>
          <w:rFonts w:ascii="Cambria Math" w:hAnsi="Cambria Math"/>
          <w:sz w:val="24"/>
          <w:szCs w:val="24"/>
        </w:rPr>
        <w:t>‐</w:t>
      </w:r>
      <w:r w:rsidRPr="00102D3F">
        <w:rPr>
          <w:rFonts w:ascii="Times New Roman" w:hAnsi="Times New Roman"/>
          <w:sz w:val="24"/>
          <w:szCs w:val="24"/>
        </w:rPr>
        <w:t>to</w:t>
      </w:r>
      <w:r w:rsidRPr="00102D3F">
        <w:rPr>
          <w:rFonts w:ascii="Cambria Math" w:hAnsi="Cambria Math"/>
          <w:sz w:val="24"/>
          <w:szCs w:val="24"/>
        </w:rPr>
        <w:t>‐</w:t>
      </w:r>
      <w:r w:rsidRPr="00102D3F">
        <w:rPr>
          <w:rFonts w:ascii="Times New Roman" w:hAnsi="Times New Roman"/>
          <w:sz w:val="24"/>
          <w:szCs w:val="24"/>
        </w:rPr>
        <w:t xml:space="preserve">cost test from the perspective of achieving a minimization of the utility cost of delivering energy efficiency services. At present, the Washington Utilities </w:t>
      </w:r>
      <w:r>
        <w:rPr>
          <w:rFonts w:ascii="Times New Roman" w:hAnsi="Times New Roman"/>
          <w:sz w:val="24"/>
          <w:szCs w:val="24"/>
        </w:rPr>
        <w:t>and Transportation Commission (</w:t>
      </w:r>
      <w:r w:rsidRPr="00102D3F">
        <w:rPr>
          <w:rFonts w:ascii="Times New Roman" w:hAnsi="Times New Roman"/>
          <w:sz w:val="24"/>
          <w:szCs w:val="24"/>
        </w:rPr>
        <w:t>UTC) has requested that Avista operate its natural gas energy efficiency programs under the Program Administrator Cost (PAC) test, formerly known as the Utility Cost Test, rather than the traditional Total Resource Cost (TRC) test.</w:t>
      </w:r>
    </w:p>
    <w:p w:rsidR="00102D3F" w:rsidRPr="00102D3F" w:rsidRDefault="00102D3F" w:rsidP="00102D3F">
      <w:pPr>
        <w:pStyle w:val="NoSpacing"/>
        <w:spacing w:line="360" w:lineRule="auto"/>
        <w:ind w:firstLine="720"/>
        <w:jc w:val="both"/>
        <w:rPr>
          <w:rFonts w:ascii="Times New Roman" w:hAnsi="Times New Roman"/>
          <w:sz w:val="24"/>
          <w:szCs w:val="24"/>
        </w:rPr>
      </w:pPr>
      <w:r w:rsidRPr="00102D3F">
        <w:rPr>
          <w:rFonts w:ascii="Times New Roman" w:hAnsi="Times New Roman"/>
          <w:sz w:val="24"/>
          <w:szCs w:val="24"/>
        </w:rPr>
        <w:t>Benefit</w:t>
      </w:r>
      <w:r w:rsidRPr="00102D3F">
        <w:rPr>
          <w:rFonts w:ascii="Cambria Math" w:hAnsi="Cambria Math"/>
          <w:sz w:val="24"/>
          <w:szCs w:val="24"/>
        </w:rPr>
        <w:t>‐</w:t>
      </w:r>
      <w:r w:rsidRPr="00102D3F">
        <w:rPr>
          <w:rFonts w:ascii="Times New Roman" w:hAnsi="Times New Roman"/>
          <w:sz w:val="24"/>
          <w:szCs w:val="24"/>
        </w:rPr>
        <w:t>to</w:t>
      </w:r>
      <w:r w:rsidRPr="00102D3F">
        <w:rPr>
          <w:rFonts w:ascii="Cambria Math" w:hAnsi="Cambria Math"/>
          <w:sz w:val="24"/>
          <w:szCs w:val="24"/>
        </w:rPr>
        <w:t>‐</w:t>
      </w:r>
      <w:r w:rsidRPr="00102D3F">
        <w:rPr>
          <w:rFonts w:ascii="Times New Roman" w:hAnsi="Times New Roman"/>
          <w:sz w:val="24"/>
          <w:szCs w:val="24"/>
        </w:rPr>
        <w:t>cost ratios in excess of 1.00 indicate that the benefits exceed the costs. In 2014, the gross TRC benefit</w:t>
      </w:r>
      <w:r w:rsidRPr="00102D3F">
        <w:rPr>
          <w:rFonts w:ascii="Cambria Math" w:hAnsi="Cambria Math"/>
          <w:sz w:val="24"/>
          <w:szCs w:val="24"/>
        </w:rPr>
        <w:t>‐</w:t>
      </w:r>
      <w:r w:rsidRPr="00102D3F">
        <w:rPr>
          <w:rFonts w:ascii="Times New Roman" w:hAnsi="Times New Roman"/>
          <w:sz w:val="24"/>
          <w:szCs w:val="24"/>
        </w:rPr>
        <w:t>to</w:t>
      </w:r>
      <w:r w:rsidRPr="00102D3F">
        <w:rPr>
          <w:rFonts w:ascii="Cambria Math" w:hAnsi="Cambria Math"/>
          <w:sz w:val="24"/>
          <w:szCs w:val="24"/>
        </w:rPr>
        <w:t>‐</w:t>
      </w:r>
      <w:r w:rsidRPr="00102D3F">
        <w:rPr>
          <w:rFonts w:ascii="Times New Roman" w:hAnsi="Times New Roman"/>
          <w:sz w:val="24"/>
          <w:szCs w:val="24"/>
        </w:rPr>
        <w:t>cost ratios were 1.48 for electric and 0.42 for natural gas. The PAC test benefit</w:t>
      </w:r>
      <w:r w:rsidRPr="00102D3F">
        <w:rPr>
          <w:rFonts w:ascii="Cambria Math" w:hAnsi="Cambria Math"/>
          <w:sz w:val="24"/>
          <w:szCs w:val="24"/>
        </w:rPr>
        <w:t>‐</w:t>
      </w:r>
      <w:r w:rsidRPr="00102D3F">
        <w:rPr>
          <w:rFonts w:ascii="Times New Roman" w:hAnsi="Times New Roman"/>
          <w:sz w:val="24"/>
          <w:szCs w:val="24"/>
        </w:rPr>
        <w:t>to</w:t>
      </w:r>
      <w:r w:rsidRPr="00102D3F">
        <w:rPr>
          <w:rFonts w:ascii="Cambria Math" w:hAnsi="Cambria Math"/>
          <w:sz w:val="24"/>
          <w:szCs w:val="24"/>
        </w:rPr>
        <w:t>‐</w:t>
      </w:r>
      <w:r w:rsidRPr="00102D3F">
        <w:rPr>
          <w:rFonts w:ascii="Times New Roman" w:hAnsi="Times New Roman"/>
          <w:sz w:val="24"/>
          <w:szCs w:val="24"/>
        </w:rPr>
        <w:t xml:space="preserve">cost ratios were 3.14 for electric and 1.02 for natural gas. </w:t>
      </w:r>
    </w:p>
    <w:p w:rsidR="00240284" w:rsidRPr="00102D3F" w:rsidRDefault="00102D3F" w:rsidP="00102D3F">
      <w:pPr>
        <w:pStyle w:val="NoSpacing"/>
        <w:spacing w:line="360" w:lineRule="auto"/>
        <w:ind w:firstLine="720"/>
        <w:jc w:val="both"/>
        <w:rPr>
          <w:rFonts w:ascii="Times New Roman" w:hAnsi="Times New Roman"/>
          <w:sz w:val="24"/>
          <w:szCs w:val="24"/>
        </w:rPr>
      </w:pP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Inc., in partnership with Research </w:t>
      </w:r>
      <w:proofErr w:type="gramStart"/>
      <w:r w:rsidRPr="00102D3F">
        <w:rPr>
          <w:rFonts w:ascii="Times New Roman" w:hAnsi="Times New Roman"/>
          <w:sz w:val="24"/>
          <w:szCs w:val="24"/>
        </w:rPr>
        <w:t>Into</w:t>
      </w:r>
      <w:proofErr w:type="gramEnd"/>
      <w:r w:rsidRPr="00102D3F">
        <w:rPr>
          <w:rFonts w:ascii="Times New Roman" w:hAnsi="Times New Roman"/>
          <w:sz w:val="24"/>
          <w:szCs w:val="24"/>
        </w:rPr>
        <w:t xml:space="preserve"> Action, (the </w:t>
      </w: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Team) was retained as the Company’s external evaluator to independently measure and verify the portfolio energy savings for the 2014-2015 biennium period. The energy efficiency savings and associated cost-effectiveness results presented in </w:t>
      </w:r>
      <w:r>
        <w:rPr>
          <w:rFonts w:ascii="Times New Roman" w:hAnsi="Times New Roman"/>
          <w:sz w:val="24"/>
          <w:szCs w:val="24"/>
        </w:rPr>
        <w:t>the</w:t>
      </w:r>
      <w:r w:rsidRPr="00102D3F">
        <w:rPr>
          <w:rFonts w:ascii="Times New Roman" w:hAnsi="Times New Roman"/>
          <w:sz w:val="24"/>
          <w:szCs w:val="24"/>
        </w:rPr>
        <w:t xml:space="preserve"> 2014 </w:t>
      </w:r>
      <w:r>
        <w:rPr>
          <w:rFonts w:ascii="Times New Roman" w:hAnsi="Times New Roman"/>
          <w:sz w:val="24"/>
          <w:szCs w:val="24"/>
        </w:rPr>
        <w:t xml:space="preserve">ACR </w:t>
      </w:r>
      <w:r w:rsidRPr="00102D3F">
        <w:rPr>
          <w:rFonts w:ascii="Times New Roman" w:hAnsi="Times New Roman"/>
          <w:sz w:val="24"/>
          <w:szCs w:val="24"/>
        </w:rPr>
        <w:t xml:space="preserve">are based on gross, unverified savings. The 2014 savings will be evaluated by the </w:t>
      </w: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Team in 2015 and reported as the verified energy savings in the 2014-2015 </w:t>
      </w:r>
      <w:r>
        <w:rPr>
          <w:rFonts w:ascii="Times New Roman" w:hAnsi="Times New Roman"/>
          <w:sz w:val="24"/>
          <w:szCs w:val="24"/>
        </w:rPr>
        <w:t>BCP</w:t>
      </w:r>
      <w:r w:rsidRPr="00102D3F">
        <w:rPr>
          <w:rFonts w:ascii="Times New Roman" w:hAnsi="Times New Roman"/>
          <w:sz w:val="24"/>
          <w:szCs w:val="24"/>
        </w:rPr>
        <w:t>.</w:t>
      </w:r>
    </w:p>
    <w:p w:rsidR="00240284" w:rsidRDefault="00102D3F" w:rsidP="007B73D2">
      <w:pPr>
        <w:pStyle w:val="NoSpacing"/>
        <w:spacing w:line="360" w:lineRule="auto"/>
        <w:ind w:firstLine="720"/>
        <w:jc w:val="both"/>
        <w:rPr>
          <w:rFonts w:ascii="Times New Roman" w:hAnsi="Times New Roman"/>
          <w:sz w:val="24"/>
          <w:szCs w:val="24"/>
        </w:rPr>
      </w:pPr>
      <w:r>
        <w:rPr>
          <w:rFonts w:ascii="Times New Roman" w:hAnsi="Times New Roman"/>
          <w:sz w:val="24"/>
          <w:szCs w:val="24"/>
        </w:rPr>
        <w:t>The Annual Conservation Report consists of:</w:t>
      </w:r>
    </w:p>
    <w:p w:rsidR="00102D3F" w:rsidRDefault="00102D3F" w:rsidP="00102D3F">
      <w:pPr>
        <w:pStyle w:val="NoSpacing"/>
        <w:ind w:firstLine="720"/>
        <w:jc w:val="both"/>
        <w:rPr>
          <w:rFonts w:ascii="Times New Roman" w:hAnsi="Times New Roman"/>
          <w:sz w:val="24"/>
          <w:szCs w:val="24"/>
        </w:rPr>
      </w:pPr>
      <w:r>
        <w:rPr>
          <w:rFonts w:ascii="Times New Roman" w:hAnsi="Times New Roman"/>
          <w:sz w:val="24"/>
          <w:szCs w:val="24"/>
        </w:rPr>
        <w:t>Appendix A – Washington 2014 Electric Impact Memorandum</w:t>
      </w:r>
    </w:p>
    <w:p w:rsidR="00102D3F" w:rsidRDefault="00102D3F" w:rsidP="00102D3F">
      <w:pPr>
        <w:pStyle w:val="NoSpacing"/>
        <w:ind w:firstLine="720"/>
        <w:jc w:val="both"/>
        <w:rPr>
          <w:rFonts w:ascii="Times New Roman" w:hAnsi="Times New Roman"/>
          <w:sz w:val="24"/>
          <w:szCs w:val="24"/>
        </w:rPr>
      </w:pPr>
      <w:r>
        <w:rPr>
          <w:rFonts w:ascii="Times New Roman" w:hAnsi="Times New Roman"/>
          <w:sz w:val="24"/>
          <w:szCs w:val="24"/>
        </w:rPr>
        <w:t>Appendix B – Washington 2014 Natural Gas Impact Memorandum</w:t>
      </w:r>
    </w:p>
    <w:p w:rsidR="00102D3F" w:rsidRDefault="00102D3F" w:rsidP="007B73D2">
      <w:pPr>
        <w:pStyle w:val="NoSpacing"/>
        <w:spacing w:line="360" w:lineRule="auto"/>
        <w:ind w:firstLine="720"/>
        <w:jc w:val="both"/>
        <w:rPr>
          <w:rFonts w:ascii="Times New Roman" w:hAnsi="Times New Roman"/>
          <w:sz w:val="24"/>
          <w:szCs w:val="24"/>
        </w:rPr>
      </w:pP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102D3F">
        <w:rPr>
          <w:rFonts w:ascii="Times New Roman" w:hAnsi="Times New Roman"/>
          <w:sz w:val="24"/>
          <w:szCs w:val="24"/>
        </w:rPr>
        <w:t>Dan Johnson, Director of Energy Efficiency at 509-495-</w:t>
      </w:r>
      <w:r w:rsidR="00AF236D">
        <w:rPr>
          <w:rFonts w:ascii="Times New Roman" w:hAnsi="Times New Roman"/>
          <w:sz w:val="24"/>
          <w:szCs w:val="24"/>
        </w:rPr>
        <w:t>2807</w:t>
      </w:r>
      <w:r w:rsidRPr="001A7B6D">
        <w:rPr>
          <w:rFonts w:ascii="Times New Roman" w:hAnsi="Times New Roman"/>
          <w:sz w:val="24"/>
          <w:szCs w:val="24"/>
        </w:rPr>
        <w:t xml:space="preserve"> or myself at 509-495-4975.</w:t>
      </w:r>
    </w:p>
    <w:p w:rsidR="001B29A5" w:rsidRPr="0067498C" w:rsidRDefault="001B29A5" w:rsidP="00275C90">
      <w:pPr>
        <w:pStyle w:val="NoSpacing"/>
        <w:ind w:right="-274"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265914"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275C90" w:rsidRDefault="00275C90" w:rsidP="00AF236D">
      <w:pPr>
        <w:pStyle w:val="NoSpacing"/>
        <w:spacing w:line="360" w:lineRule="auto"/>
        <w:ind w:right="-270"/>
        <w:jc w:val="both"/>
        <w:rPr>
          <w:rFonts w:ascii="Times New Roman" w:hAnsi="Times New Roman"/>
          <w:sz w:val="24"/>
          <w:szCs w:val="24"/>
          <w:lang w:val="fr-FR"/>
        </w:rPr>
      </w:pPr>
    </w:p>
    <w:p w:rsidR="00275C90" w:rsidRPr="00275C90" w:rsidRDefault="00275C90" w:rsidP="00275C90">
      <w:pPr>
        <w:pStyle w:val="NoSpacing"/>
        <w:ind w:right="-274"/>
        <w:jc w:val="both"/>
        <w:rPr>
          <w:rFonts w:ascii="Times New Roman" w:hAnsi="Times New Roman"/>
          <w:sz w:val="24"/>
          <w:szCs w:val="24"/>
          <w:lang w:val="fr-FR"/>
        </w:rPr>
      </w:pPr>
      <w:r>
        <w:rPr>
          <w:rFonts w:ascii="Times New Roman" w:hAnsi="Times New Roman"/>
          <w:sz w:val="24"/>
          <w:szCs w:val="24"/>
          <w:lang w:val="fr-FR"/>
        </w:rPr>
        <w:t>cc : Advisory Group</w:t>
      </w:r>
    </w:p>
    <w:p w:rsidR="00AF236D" w:rsidRPr="0067498C" w:rsidRDefault="00AF236D" w:rsidP="00AF236D">
      <w:pPr>
        <w:pStyle w:val="NoSpacing"/>
        <w:spacing w:line="360" w:lineRule="auto"/>
        <w:ind w:right="-270"/>
        <w:jc w:val="both"/>
        <w:rPr>
          <w:rFonts w:ascii="Times New Roman" w:hAnsi="Times New Roman"/>
          <w:sz w:val="24"/>
          <w:szCs w:val="24"/>
        </w:rPr>
      </w:pPr>
      <w:r>
        <w:rPr>
          <w:rFonts w:ascii="Times New Roman" w:hAnsi="Times New Roman"/>
          <w:sz w:val="24"/>
          <w:szCs w:val="24"/>
        </w:rPr>
        <w:t>Enclosures</w:t>
      </w:r>
    </w:p>
    <w:sectPr w:rsidR="00AF236D" w:rsidRPr="0067498C"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3F" w:rsidRDefault="00102D3F" w:rsidP="002A1126">
      <w:r>
        <w:separator/>
      </w:r>
    </w:p>
  </w:endnote>
  <w:endnote w:type="continuationSeparator" w:id="0">
    <w:p w:rsidR="00102D3F" w:rsidRDefault="00102D3F"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3F" w:rsidRPr="00F6459F" w:rsidRDefault="00102D3F">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Content>
        <w:r w:rsidR="00265914"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265914" w:rsidRPr="00F6459F">
          <w:rPr>
            <w:rFonts w:ascii="Times New Roman" w:hAnsi="Times New Roman" w:cs="Times New Roman"/>
          </w:rPr>
          <w:fldChar w:fldCharType="separate"/>
        </w:r>
        <w:r w:rsidR="00275C90">
          <w:rPr>
            <w:rFonts w:ascii="Times New Roman" w:hAnsi="Times New Roman" w:cs="Times New Roman"/>
            <w:noProof/>
          </w:rPr>
          <w:t>3</w:t>
        </w:r>
        <w:r w:rsidR="00265914" w:rsidRPr="00F6459F">
          <w:rPr>
            <w:rFonts w:ascii="Times New Roman" w:hAnsi="Times New Roman" w:cs="Times New Roman"/>
          </w:rPr>
          <w:fldChar w:fldCharType="end"/>
        </w:r>
      </w:sdtContent>
    </w:sdt>
  </w:p>
  <w:p w:rsidR="00102D3F" w:rsidRDefault="00102D3F"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3F" w:rsidRDefault="00102D3F" w:rsidP="002A1126">
      <w:r>
        <w:separator/>
      </w:r>
    </w:p>
  </w:footnote>
  <w:footnote w:type="continuationSeparator" w:id="0">
    <w:p w:rsidR="00102D3F" w:rsidRDefault="00102D3F"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3F" w:rsidRDefault="00102D3F"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3F" w:rsidRDefault="00102D3F"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F4873"/>
    <w:rsid w:val="00102D3F"/>
    <w:rsid w:val="00114E77"/>
    <w:rsid w:val="00161957"/>
    <w:rsid w:val="001A7B6D"/>
    <w:rsid w:val="001B29A5"/>
    <w:rsid w:val="001E2AB9"/>
    <w:rsid w:val="00240284"/>
    <w:rsid w:val="00265914"/>
    <w:rsid w:val="00275C90"/>
    <w:rsid w:val="002A1126"/>
    <w:rsid w:val="00337F64"/>
    <w:rsid w:val="00355E5A"/>
    <w:rsid w:val="003B4474"/>
    <w:rsid w:val="003D0502"/>
    <w:rsid w:val="00421E87"/>
    <w:rsid w:val="004A6346"/>
    <w:rsid w:val="005011E0"/>
    <w:rsid w:val="00651A83"/>
    <w:rsid w:val="006722CD"/>
    <w:rsid w:val="0067498C"/>
    <w:rsid w:val="00694FC3"/>
    <w:rsid w:val="006A0F5E"/>
    <w:rsid w:val="006A2183"/>
    <w:rsid w:val="00706C17"/>
    <w:rsid w:val="007B73D2"/>
    <w:rsid w:val="00807809"/>
    <w:rsid w:val="008C1322"/>
    <w:rsid w:val="009653E6"/>
    <w:rsid w:val="00971839"/>
    <w:rsid w:val="0098158F"/>
    <w:rsid w:val="00A56024"/>
    <w:rsid w:val="00A87384"/>
    <w:rsid w:val="00AB0867"/>
    <w:rsid w:val="00AF236D"/>
    <w:rsid w:val="00B156C5"/>
    <w:rsid w:val="00B3771B"/>
    <w:rsid w:val="00BA52D6"/>
    <w:rsid w:val="00CA3409"/>
    <w:rsid w:val="00CB706C"/>
    <w:rsid w:val="00D64EBE"/>
    <w:rsid w:val="00D96E8B"/>
    <w:rsid w:val="00DA1C41"/>
    <w:rsid w:val="00DC294F"/>
    <w:rsid w:val="00E15441"/>
    <w:rsid w:val="00E3352F"/>
    <w:rsid w:val="00E4016E"/>
    <w:rsid w:val="00E657EE"/>
    <w:rsid w:val="00E72C00"/>
    <w:rsid w:val="00E83AF0"/>
    <w:rsid w:val="00F31804"/>
    <w:rsid w:val="00F3627B"/>
    <w:rsid w:val="00F45919"/>
    <w:rsid w:val="00F6459F"/>
    <w:rsid w:val="00F8014E"/>
    <w:rsid w:val="00F86C06"/>
    <w:rsid w:val="00FD44D5"/>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TOC2">
    <w:name w:val="toc 2"/>
    <w:aliases w:val="_Intro Pages - TOC 2"/>
    <w:next w:val="Normal"/>
    <w:autoRedefine/>
    <w:uiPriority w:val="39"/>
    <w:rsid w:val="00BA52D6"/>
    <w:pPr>
      <w:tabs>
        <w:tab w:val="right" w:leader="dot" w:pos="9350"/>
      </w:tabs>
      <w:spacing w:before="60" w:line="300" w:lineRule="auto"/>
      <w:ind w:left="1800" w:hanging="547"/>
    </w:pPr>
    <w:rPr>
      <w:rFonts w:ascii="Arial" w:eastAsia="Times New Roman" w:hAnsi="Arial" w:cs="Times New Roman"/>
      <w:b/>
      <w:noProof/>
      <w:color w:val="292929"/>
      <w:sz w:val="24"/>
    </w:rPr>
  </w:style>
  <w:style w:type="paragraph" w:customStyle="1" w:styleId="Text">
    <w:name w:val="__Text"/>
    <w:qFormat/>
    <w:rsid w:val="00BA52D6"/>
    <w:pPr>
      <w:spacing w:after="240" w:line="288" w:lineRule="auto"/>
    </w:pPr>
    <w:rPr>
      <w:rFonts w:ascii="Arial" w:eastAsia="Times New Roman" w:hAnsi="Arial" w:cs="Arial"/>
      <w:color w:val="333333"/>
      <w:sz w:val="22"/>
      <w:szCs w:val="22"/>
    </w:rPr>
  </w:style>
  <w:style w:type="paragraph" w:styleId="Caption">
    <w:name w:val="caption"/>
    <w:aliases w:val="_Main body - Caption figure,Caption Char,Table Caption,Char, Char,Figure"/>
    <w:next w:val="Text"/>
    <w:link w:val="CaptionChar1"/>
    <w:uiPriority w:val="99"/>
    <w:unhideWhenUsed/>
    <w:qFormat/>
    <w:rsid w:val="00BA52D6"/>
    <w:pPr>
      <w:keepNext/>
      <w:spacing w:before="120" w:after="120"/>
      <w:jc w:val="center"/>
    </w:pPr>
    <w:rPr>
      <w:rFonts w:ascii="Arial" w:eastAsia="Times New Roman" w:hAnsi="Arial" w:cs="Microsoft Sans Serif"/>
      <w:b/>
      <w:color w:val="0070CD"/>
      <w:sz w:val="22"/>
    </w:rPr>
  </w:style>
  <w:style w:type="table" w:customStyle="1" w:styleId="NEXANTNEWTABLESTYLE">
    <w:name w:val="NEXANT NEW TABLE STYLE"/>
    <w:basedOn w:val="TableNormal"/>
    <w:uiPriority w:val="99"/>
    <w:rsid w:val="00BA52D6"/>
    <w:pPr>
      <w:tabs>
        <w:tab w:val="center" w:pos="720"/>
      </w:tabs>
    </w:pPr>
    <w:rPr>
      <w:rFonts w:ascii="Tms Rmn" w:eastAsia="Times New Roman" w:hAnsi="Tms Rmn" w:cs="Times New Roman"/>
    </w:rPr>
    <w:tblPr>
      <w:tblInd w:w="0" w:type="dxa"/>
      <w:tblBorders>
        <w:top w:val="single" w:sz="4" w:space="0" w:color="1673CA"/>
        <w:bottom w:val="single" w:sz="4" w:space="0" w:color="1673CA"/>
        <w:insideH w:val="single" w:sz="4" w:space="0" w:color="1673CA"/>
        <w:insideV w:val="dotted" w:sz="4" w:space="0" w:color="1673CA"/>
      </w:tblBorders>
      <w:tblCellMar>
        <w:top w:w="0" w:type="dxa"/>
        <w:left w:w="108" w:type="dxa"/>
        <w:bottom w:w="0" w:type="dxa"/>
        <w:right w:w="108" w:type="dxa"/>
      </w:tblCellMar>
    </w:tblPr>
    <w:tblStylePr w:type="firstRow">
      <w:pPr>
        <w:jc w:val="center"/>
      </w:pPr>
      <w:rPr>
        <w:rFonts w:ascii="Calibri" w:hAnsi="Calibri"/>
        <w:b/>
        <w:color w:val="FFFFFF" w:themeColor="background1"/>
      </w:rPr>
      <w:tblPr/>
      <w:tcPr>
        <w:shd w:val="clear" w:color="auto" w:fill="0070CD"/>
      </w:tcPr>
    </w:tblStylePr>
  </w:style>
  <w:style w:type="character" w:customStyle="1" w:styleId="CaptionChar1">
    <w:name w:val="Caption Char1"/>
    <w:aliases w:val="_Main body - Caption figure Char,Caption Char Char,Table Caption Char,Char Char, Char Char,Figure Char"/>
    <w:basedOn w:val="DefaultParagraphFont"/>
    <w:link w:val="Caption"/>
    <w:uiPriority w:val="99"/>
    <w:locked/>
    <w:rsid w:val="00BA52D6"/>
    <w:rPr>
      <w:rFonts w:ascii="Arial" w:eastAsia="Times New Roman" w:hAnsi="Arial" w:cs="Microsoft Sans Serif"/>
      <w:b/>
      <w:color w:val="0070CD"/>
      <w:sz w:val="22"/>
    </w:rPr>
  </w:style>
  <w:style w:type="paragraph" w:customStyle="1" w:styleId="Tables-Headingcells">
    <w:name w:val="_Tables - Heading cells"/>
    <w:qFormat/>
    <w:rsid w:val="006A0F5E"/>
    <w:pPr>
      <w:keepNext/>
      <w:tabs>
        <w:tab w:val="left" w:pos="-1440"/>
        <w:tab w:val="left" w:pos="-720"/>
        <w:tab w:val="center" w:pos="720"/>
      </w:tabs>
      <w:spacing w:before="60" w:after="60" w:line="264" w:lineRule="auto"/>
      <w:jc w:val="center"/>
    </w:pPr>
    <w:rPr>
      <w:rFonts w:ascii="Arial" w:eastAsia="Times New Roman" w:hAnsi="Arial" w:cs="Microsoft Sans Serif"/>
      <w:b/>
      <w:bCs/>
      <w:noProof/>
      <w:color w:val="FFFFFF"/>
      <w:sz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189E5F-C6BE-4CA1-B74B-ED4550343629}"/>
</file>

<file path=customXml/itemProps2.xml><?xml version="1.0" encoding="utf-8"?>
<ds:datastoreItem xmlns:ds="http://schemas.openxmlformats.org/officeDocument/2006/customXml" ds:itemID="{5F4F60B5-8BC7-4F39-8CFB-D7BB46830280}"/>
</file>

<file path=customXml/itemProps3.xml><?xml version="1.0" encoding="utf-8"?>
<ds:datastoreItem xmlns:ds="http://schemas.openxmlformats.org/officeDocument/2006/customXml" ds:itemID="{F002A0D0-A677-4712-A7F2-703729E43132}"/>
</file>

<file path=customXml/itemProps4.xml><?xml version="1.0" encoding="utf-8"?>
<ds:datastoreItem xmlns:ds="http://schemas.openxmlformats.org/officeDocument/2006/customXml" ds:itemID="{D1319CBF-91CE-4AFA-836E-0BEB5FB4EE7B}"/>
</file>

<file path=customXml/itemProps5.xml><?xml version="1.0" encoding="utf-8"?>
<ds:datastoreItem xmlns:ds="http://schemas.openxmlformats.org/officeDocument/2006/customXml" ds:itemID="{9E77B78D-06B2-4EA1-965D-7CF98C40378A}"/>
</file>

<file path=docProps/app.xml><?xml version="1.0" encoding="utf-8"?>
<Properties xmlns="http://schemas.openxmlformats.org/officeDocument/2006/extended-properties" xmlns:vt="http://schemas.openxmlformats.org/officeDocument/2006/docPropsVTypes">
  <Template>Normal</Template>
  <TotalTime>26</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5</cp:revision>
  <cp:lastPrinted>2013-07-31T23:27:00Z</cp:lastPrinted>
  <dcterms:created xsi:type="dcterms:W3CDTF">2015-05-28T19:14:00Z</dcterms:created>
  <dcterms:modified xsi:type="dcterms:W3CDTF">2015-05-28T20:21:00Z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