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FB02BD" w14:textId="77777777" w:rsidR="000A1347" w:rsidRPr="00C13312" w:rsidRDefault="000A1347" w:rsidP="002D32A0">
      <w:pPr>
        <w:tabs>
          <w:tab w:val="center" w:pos="4680"/>
        </w:tabs>
        <w:ind w:right="-108" w:hanging="180"/>
        <w:jc w:val="center"/>
        <w:rPr>
          <w:sz w:val="24"/>
        </w:rPr>
      </w:pPr>
      <w:r w:rsidRPr="00C13312">
        <w:rPr>
          <w:sz w:val="24"/>
        </w:rPr>
        <w:t>BEFORE THE WASHINGTON UTILITIES AND TRANSPORTATION COMMISSION</w:t>
      </w:r>
    </w:p>
    <w:p w14:paraId="74A5025F" w14:textId="77777777" w:rsidR="000A1347" w:rsidRPr="00C13312" w:rsidRDefault="000A1347" w:rsidP="000A1347">
      <w:pPr>
        <w:jc w:val="both"/>
        <w:rPr>
          <w:sz w:val="24"/>
        </w:rPr>
      </w:pPr>
    </w:p>
    <w:p w14:paraId="7958DE22" w14:textId="77777777" w:rsidR="000A1347" w:rsidRPr="00C13312" w:rsidRDefault="000A1347" w:rsidP="000A1347">
      <w:pPr>
        <w:jc w:val="both"/>
        <w:rPr>
          <w:sz w:val="24"/>
        </w:rPr>
      </w:pPr>
    </w:p>
    <w:tbl>
      <w:tblPr>
        <w:tblW w:w="0" w:type="auto"/>
        <w:tblInd w:w="124" w:type="dxa"/>
        <w:tblLayout w:type="fixed"/>
        <w:tblCellMar>
          <w:left w:w="124" w:type="dxa"/>
          <w:right w:w="124" w:type="dxa"/>
        </w:tblCellMar>
        <w:tblLook w:val="0000" w:firstRow="0" w:lastRow="0" w:firstColumn="0" w:lastColumn="0" w:noHBand="0" w:noVBand="0"/>
      </w:tblPr>
      <w:tblGrid>
        <w:gridCol w:w="4590"/>
        <w:gridCol w:w="4590"/>
      </w:tblGrid>
      <w:tr w:rsidR="000A1347" w:rsidRPr="00C13312" w14:paraId="55F9933F" w14:textId="77777777" w:rsidTr="009C62D8">
        <w:tc>
          <w:tcPr>
            <w:tcW w:w="4590" w:type="dxa"/>
            <w:tcBorders>
              <w:top w:val="single" w:sz="6" w:space="0" w:color="FFFFFF"/>
              <w:left w:val="single" w:sz="6" w:space="0" w:color="FFFFFF"/>
              <w:bottom w:val="single" w:sz="7" w:space="0" w:color="000000"/>
              <w:right w:val="single" w:sz="6" w:space="0" w:color="FFFFFF"/>
            </w:tcBorders>
          </w:tcPr>
          <w:p w14:paraId="614EC6A5" w14:textId="77777777" w:rsidR="000A1347" w:rsidRPr="00C13312" w:rsidRDefault="000A1347" w:rsidP="009C62D8">
            <w:pPr>
              <w:rPr>
                <w:sz w:val="24"/>
              </w:rPr>
            </w:pPr>
            <w:r w:rsidRPr="00C13312">
              <w:rPr>
                <w:sz w:val="24"/>
              </w:rPr>
              <w:t xml:space="preserve">In the Matter of the Petition of </w:t>
            </w:r>
          </w:p>
          <w:p w14:paraId="2627915E" w14:textId="77777777" w:rsidR="000A1347" w:rsidRPr="00C13312" w:rsidRDefault="000A1347" w:rsidP="009C62D8">
            <w:pPr>
              <w:rPr>
                <w:sz w:val="24"/>
              </w:rPr>
            </w:pPr>
          </w:p>
          <w:p w14:paraId="57008C6D" w14:textId="77777777" w:rsidR="000A1347" w:rsidRPr="00C13312" w:rsidRDefault="000A1347" w:rsidP="009C62D8">
            <w:pPr>
              <w:rPr>
                <w:sz w:val="24"/>
              </w:rPr>
            </w:pPr>
            <w:r w:rsidRPr="00C13312">
              <w:rPr>
                <w:sz w:val="24"/>
              </w:rPr>
              <w:t xml:space="preserve">PUGET SOUND ENERGY  </w:t>
            </w:r>
          </w:p>
          <w:p w14:paraId="4B18242A" w14:textId="77777777" w:rsidR="000A1347" w:rsidRPr="00C13312" w:rsidRDefault="000A1347" w:rsidP="009C62D8">
            <w:pPr>
              <w:rPr>
                <w:sz w:val="24"/>
              </w:rPr>
            </w:pPr>
          </w:p>
          <w:p w14:paraId="78302EAE" w14:textId="77777777" w:rsidR="000A1347" w:rsidRPr="00C13312" w:rsidRDefault="000A1347" w:rsidP="009C62D8">
            <w:pPr>
              <w:rPr>
                <w:sz w:val="24"/>
              </w:rPr>
            </w:pPr>
            <w:r w:rsidRPr="00C13312">
              <w:rPr>
                <w:sz w:val="24"/>
              </w:rPr>
              <w:t>Report Identifying Its 2014-2023 Ten-Year Achievable Electric Conservation Potential and Its 2014-2015 Electric Biennial Conservation Target Under RCW 19.285.040 and WAC 480-109-01</w:t>
            </w:r>
          </w:p>
          <w:p w14:paraId="6B7BB7BA" w14:textId="77777777" w:rsidR="000A1347" w:rsidRPr="00C13312" w:rsidRDefault="000A1347" w:rsidP="009C62D8">
            <w:pPr>
              <w:spacing w:after="19"/>
              <w:rPr>
                <w:sz w:val="24"/>
              </w:rPr>
            </w:pPr>
          </w:p>
        </w:tc>
        <w:tc>
          <w:tcPr>
            <w:tcW w:w="4590" w:type="dxa"/>
            <w:tcBorders>
              <w:top w:val="single" w:sz="6" w:space="0" w:color="FFFFFF"/>
              <w:left w:val="single" w:sz="7" w:space="0" w:color="000000"/>
              <w:bottom w:val="single" w:sz="6" w:space="0" w:color="FFFFFF"/>
              <w:right w:val="single" w:sz="6" w:space="0" w:color="FFFFFF"/>
            </w:tcBorders>
          </w:tcPr>
          <w:p w14:paraId="044457C8" w14:textId="77777777" w:rsidR="000A1347" w:rsidRPr="00C13312" w:rsidRDefault="000A1347" w:rsidP="009C62D8">
            <w:pPr>
              <w:ind w:firstLine="720"/>
              <w:rPr>
                <w:sz w:val="24"/>
              </w:rPr>
            </w:pPr>
            <w:r w:rsidRPr="00C13312">
              <w:rPr>
                <w:sz w:val="24"/>
              </w:rPr>
              <w:t>DOCKET UE-132043</w:t>
            </w:r>
          </w:p>
          <w:p w14:paraId="4CE834D9" w14:textId="77777777" w:rsidR="000A1347" w:rsidRPr="00C13312" w:rsidRDefault="000A1347" w:rsidP="009C62D8">
            <w:pPr>
              <w:rPr>
                <w:sz w:val="24"/>
              </w:rPr>
            </w:pPr>
          </w:p>
          <w:p w14:paraId="03405495" w14:textId="77777777" w:rsidR="000A1347" w:rsidRPr="00C13312" w:rsidRDefault="000A1347" w:rsidP="00F7177B">
            <w:pPr>
              <w:spacing w:after="19"/>
              <w:ind w:left="720"/>
              <w:rPr>
                <w:sz w:val="24"/>
              </w:rPr>
            </w:pPr>
            <w:r w:rsidRPr="00C13312">
              <w:rPr>
                <w:sz w:val="24"/>
              </w:rPr>
              <w:t>COMMISSION STAFF</w:t>
            </w:r>
            <w:r w:rsidR="00F7177B" w:rsidRPr="00C13312">
              <w:rPr>
                <w:sz w:val="24"/>
              </w:rPr>
              <w:t xml:space="preserve">’S </w:t>
            </w:r>
            <w:r w:rsidRPr="00C13312">
              <w:rPr>
                <w:sz w:val="24"/>
              </w:rPr>
              <w:t xml:space="preserve">RESPONSE TO </w:t>
            </w:r>
            <w:r w:rsidR="00F7177B" w:rsidRPr="00C13312">
              <w:rPr>
                <w:sz w:val="24"/>
              </w:rPr>
              <w:t xml:space="preserve">COMMISSION NOTICE OF OPPORTUNITY TO FILE WRITTEN COMMENTS </w:t>
            </w:r>
          </w:p>
        </w:tc>
      </w:tr>
    </w:tbl>
    <w:p w14:paraId="6292BDCA" w14:textId="77777777" w:rsidR="000A1347" w:rsidRPr="00C13312" w:rsidRDefault="000A1347" w:rsidP="00C13312">
      <w:pPr>
        <w:spacing w:line="480" w:lineRule="auto"/>
        <w:rPr>
          <w:sz w:val="24"/>
        </w:rPr>
      </w:pPr>
    </w:p>
    <w:p w14:paraId="3287E06D" w14:textId="149CDE20" w:rsidR="00F33B8D" w:rsidRPr="0044332D" w:rsidRDefault="0044332D" w:rsidP="0044332D">
      <w:pPr>
        <w:pStyle w:val="ListParagraph"/>
        <w:numPr>
          <w:ilvl w:val="0"/>
          <w:numId w:val="7"/>
        </w:numPr>
        <w:spacing w:line="480" w:lineRule="auto"/>
        <w:rPr>
          <w:sz w:val="24"/>
        </w:rPr>
      </w:pPr>
      <w:r>
        <w:rPr>
          <w:sz w:val="24"/>
        </w:rPr>
        <w:tab/>
      </w:r>
      <w:r w:rsidR="00F33B8D" w:rsidRPr="0044332D">
        <w:rPr>
          <w:sz w:val="24"/>
        </w:rPr>
        <w:t xml:space="preserve">The Commission issued a </w:t>
      </w:r>
      <w:r w:rsidR="00C13312" w:rsidRPr="0044332D">
        <w:rPr>
          <w:sz w:val="24"/>
        </w:rPr>
        <w:t xml:space="preserve">Notice of Opportunity to File Written Comments </w:t>
      </w:r>
      <w:r w:rsidR="00F33B8D" w:rsidRPr="0044332D">
        <w:rPr>
          <w:sz w:val="24"/>
        </w:rPr>
        <w:t>in this docket.</w:t>
      </w:r>
      <w:r w:rsidR="0047193E" w:rsidRPr="0044332D">
        <w:rPr>
          <w:sz w:val="24"/>
        </w:rPr>
        <w:t xml:space="preserve"> </w:t>
      </w:r>
      <w:r w:rsidR="00F33B8D" w:rsidRPr="0044332D">
        <w:rPr>
          <w:sz w:val="24"/>
        </w:rPr>
        <w:t xml:space="preserve"> The comments </w:t>
      </w:r>
      <w:r w:rsidR="00D70CEE" w:rsidRPr="0044332D">
        <w:rPr>
          <w:sz w:val="24"/>
        </w:rPr>
        <w:t xml:space="preserve">requested </w:t>
      </w:r>
      <w:r w:rsidR="00F33B8D" w:rsidRPr="0044332D">
        <w:rPr>
          <w:sz w:val="24"/>
        </w:rPr>
        <w:t xml:space="preserve">were to address the application of PSE’s </w:t>
      </w:r>
      <w:r w:rsidR="00365F7D" w:rsidRPr="0044332D">
        <w:rPr>
          <w:sz w:val="24"/>
        </w:rPr>
        <w:t xml:space="preserve">commitment to accelerate its acquisition of energy efficiency on its 2014-2015 Electric Conservation Target, established in </w:t>
      </w:r>
      <w:r w:rsidR="00D70CEE" w:rsidRPr="0044332D">
        <w:rPr>
          <w:sz w:val="24"/>
        </w:rPr>
        <w:t>this docket</w:t>
      </w:r>
      <w:r w:rsidR="00365F7D" w:rsidRPr="0044332D">
        <w:rPr>
          <w:sz w:val="24"/>
        </w:rPr>
        <w:t xml:space="preserve">. </w:t>
      </w:r>
      <w:r w:rsidR="0047193E" w:rsidRPr="0044332D">
        <w:rPr>
          <w:sz w:val="24"/>
        </w:rPr>
        <w:t xml:space="preserve"> </w:t>
      </w:r>
      <w:r w:rsidR="00365F7D" w:rsidRPr="0044332D">
        <w:rPr>
          <w:sz w:val="24"/>
        </w:rPr>
        <w:t xml:space="preserve">Set forth below is Staff’s response to the Commission’s request for written comments.   </w:t>
      </w:r>
    </w:p>
    <w:p w14:paraId="21B97A9C" w14:textId="698FAB2B" w:rsidR="00365F7D" w:rsidRPr="0044332D" w:rsidRDefault="0044332D" w:rsidP="0044332D">
      <w:pPr>
        <w:spacing w:line="480" w:lineRule="auto"/>
        <w:jc w:val="center"/>
        <w:rPr>
          <w:b/>
          <w:sz w:val="24"/>
        </w:rPr>
      </w:pPr>
      <w:r>
        <w:rPr>
          <w:b/>
          <w:sz w:val="24"/>
        </w:rPr>
        <w:t>I.</w:t>
      </w:r>
      <w:r>
        <w:rPr>
          <w:b/>
          <w:sz w:val="24"/>
        </w:rPr>
        <w:tab/>
      </w:r>
      <w:r w:rsidR="0047193E" w:rsidRPr="0044332D">
        <w:rPr>
          <w:b/>
          <w:sz w:val="24"/>
        </w:rPr>
        <w:t xml:space="preserve">PSE’S INCREMENTAL CONSERVATION TARGET FOR 2014-2015 </w:t>
      </w:r>
    </w:p>
    <w:p w14:paraId="0D63EF3F" w14:textId="77777777" w:rsidR="00DD5217" w:rsidRDefault="001F3615" w:rsidP="00C76362">
      <w:pPr>
        <w:pStyle w:val="ListParagraph"/>
        <w:widowControl/>
        <w:numPr>
          <w:ilvl w:val="0"/>
          <w:numId w:val="7"/>
        </w:numPr>
        <w:spacing w:line="480" w:lineRule="auto"/>
        <w:rPr>
          <w:sz w:val="24"/>
        </w:rPr>
      </w:pPr>
      <w:r>
        <w:rPr>
          <w:sz w:val="24"/>
        </w:rPr>
        <w:tab/>
      </w:r>
      <w:r w:rsidR="00365F7D" w:rsidRPr="0044332D">
        <w:rPr>
          <w:sz w:val="24"/>
        </w:rPr>
        <w:t xml:space="preserve">Staff requests that the Commission expressly establish PSE’s </w:t>
      </w:r>
      <w:r w:rsidR="00E334A4" w:rsidRPr="0044332D">
        <w:rPr>
          <w:sz w:val="24"/>
        </w:rPr>
        <w:t>incremental conservation target for the 2014-2015 biennium.  The Commission’s approval of PSE’s decoupling mechanism included the requirement that PSE increase its conversation achievement by 5</w:t>
      </w:r>
      <w:r w:rsidR="00C46D57" w:rsidRPr="0044332D">
        <w:rPr>
          <w:sz w:val="24"/>
        </w:rPr>
        <w:t xml:space="preserve"> percent</w:t>
      </w:r>
      <w:r w:rsidR="00E334A4" w:rsidRPr="0044332D">
        <w:rPr>
          <w:sz w:val="24"/>
        </w:rPr>
        <w:t xml:space="preserve"> over its</w:t>
      </w:r>
      <w:r w:rsidR="005863DF" w:rsidRPr="0044332D">
        <w:rPr>
          <w:sz w:val="24"/>
        </w:rPr>
        <w:t xml:space="preserve"> Energy Independence Act (EIA)</w:t>
      </w:r>
      <w:r w:rsidR="00E334A4" w:rsidRPr="0044332D">
        <w:rPr>
          <w:sz w:val="24"/>
        </w:rPr>
        <w:t xml:space="preserve"> electric conservation target for all biennia in which the decoupling mechanism is </w:t>
      </w:r>
      <w:r w:rsidR="00DD5217">
        <w:rPr>
          <w:sz w:val="24"/>
        </w:rPr>
        <w:t>in effect</w:t>
      </w:r>
      <w:r w:rsidR="00E334A4" w:rsidRPr="0044332D">
        <w:rPr>
          <w:sz w:val="24"/>
        </w:rPr>
        <w:t>.</w:t>
      </w:r>
      <w:r w:rsidR="00CF2572" w:rsidRPr="0044332D">
        <w:rPr>
          <w:sz w:val="24"/>
        </w:rPr>
        <w:t xml:space="preserve"> </w:t>
      </w:r>
      <w:r w:rsidR="005863DF" w:rsidRPr="0044332D">
        <w:rPr>
          <w:sz w:val="24"/>
        </w:rPr>
        <w:t>The Commission acknowledged PSE’s 2014-2015 Biennial Conservation Plan</w:t>
      </w:r>
      <w:r w:rsidR="003E526E" w:rsidRPr="0044332D">
        <w:rPr>
          <w:sz w:val="24"/>
        </w:rPr>
        <w:t xml:space="preserve"> (BCP)</w:t>
      </w:r>
      <w:r w:rsidR="005863DF" w:rsidRPr="0044332D">
        <w:rPr>
          <w:sz w:val="24"/>
        </w:rPr>
        <w:t xml:space="preserve"> and established the biennial conservation target of 485,770 MWh at the December 18, 2013 open meeting.</w:t>
      </w:r>
      <w:r w:rsidR="005863DF" w:rsidRPr="00C13312">
        <w:rPr>
          <w:rStyle w:val="FootnoteReference"/>
          <w:sz w:val="24"/>
        </w:rPr>
        <w:footnoteReference w:id="2"/>
      </w:r>
      <w:r w:rsidR="005863DF" w:rsidRPr="0044332D">
        <w:rPr>
          <w:sz w:val="24"/>
        </w:rPr>
        <w:t xml:space="preserve">  </w:t>
      </w:r>
      <w:r w:rsidR="003E526E" w:rsidRPr="0044332D">
        <w:rPr>
          <w:sz w:val="24"/>
        </w:rPr>
        <w:t xml:space="preserve">The </w:t>
      </w:r>
      <w:r w:rsidR="003E526E" w:rsidRPr="0044332D">
        <w:rPr>
          <w:sz w:val="24"/>
        </w:rPr>
        <w:lastRenderedPageBreak/>
        <w:t>BCP</w:t>
      </w:r>
      <w:r w:rsidR="005863DF" w:rsidRPr="0044332D">
        <w:rPr>
          <w:sz w:val="24"/>
        </w:rPr>
        <w:t xml:space="preserve"> </w:t>
      </w:r>
      <w:r w:rsidR="00CF2572" w:rsidRPr="0044332D">
        <w:rPr>
          <w:sz w:val="24"/>
        </w:rPr>
        <w:t>identifie</w:t>
      </w:r>
      <w:r w:rsidR="005863DF" w:rsidRPr="0044332D">
        <w:rPr>
          <w:sz w:val="24"/>
        </w:rPr>
        <w:t>d</w:t>
      </w:r>
      <w:r w:rsidR="00CF2572" w:rsidRPr="0044332D">
        <w:rPr>
          <w:sz w:val="24"/>
        </w:rPr>
        <w:t xml:space="preserve"> the additional 5</w:t>
      </w:r>
      <w:r w:rsidR="00C46D57" w:rsidRPr="0044332D">
        <w:rPr>
          <w:sz w:val="24"/>
        </w:rPr>
        <w:t xml:space="preserve"> percent decoupling conservation commitment</w:t>
      </w:r>
      <w:r w:rsidR="00CF2572" w:rsidRPr="0044332D">
        <w:rPr>
          <w:sz w:val="24"/>
        </w:rPr>
        <w:t xml:space="preserve"> as 27,920 MWh</w:t>
      </w:r>
      <w:r w:rsidR="00C46D57" w:rsidRPr="0044332D">
        <w:rPr>
          <w:sz w:val="24"/>
        </w:rPr>
        <w:t>.</w:t>
      </w:r>
      <w:r w:rsidR="00CF2572" w:rsidRPr="00C13312">
        <w:rPr>
          <w:rStyle w:val="FootnoteReference"/>
          <w:sz w:val="24"/>
        </w:rPr>
        <w:footnoteReference w:id="3"/>
      </w:r>
      <w:r w:rsidR="00E27B9F" w:rsidRPr="0044332D">
        <w:rPr>
          <w:sz w:val="24"/>
        </w:rPr>
        <w:t xml:space="preserve">  </w:t>
      </w:r>
    </w:p>
    <w:p w14:paraId="63A1714F" w14:textId="4DDDF125" w:rsidR="009A5A7C" w:rsidRPr="0044332D" w:rsidRDefault="00CF2572" w:rsidP="001F3615">
      <w:pPr>
        <w:pStyle w:val="ListParagraph"/>
        <w:numPr>
          <w:ilvl w:val="0"/>
          <w:numId w:val="7"/>
        </w:numPr>
        <w:spacing w:line="480" w:lineRule="auto"/>
        <w:rPr>
          <w:sz w:val="24"/>
        </w:rPr>
      </w:pPr>
      <w:r w:rsidRPr="0044332D">
        <w:rPr>
          <w:sz w:val="24"/>
        </w:rPr>
        <w:t>Staff r</w:t>
      </w:r>
      <w:r w:rsidR="00E27B9F" w:rsidRPr="0044332D">
        <w:rPr>
          <w:sz w:val="24"/>
        </w:rPr>
        <w:t>ecommends</w:t>
      </w:r>
      <w:r w:rsidRPr="0044332D">
        <w:rPr>
          <w:sz w:val="24"/>
        </w:rPr>
        <w:t xml:space="preserve"> that the Commission issue an order establishing PSE’s decoupling conservation commitment for the 2014-2015 biennium as 27,920 MWh in excess of </w:t>
      </w:r>
      <w:r w:rsidR="00E27B9F" w:rsidRPr="0044332D">
        <w:rPr>
          <w:sz w:val="24"/>
        </w:rPr>
        <w:t>485,770 MWh</w:t>
      </w:r>
      <w:r w:rsidRPr="0044332D">
        <w:rPr>
          <w:sz w:val="24"/>
        </w:rPr>
        <w:t>.</w:t>
      </w:r>
      <w:r w:rsidR="00DD5217">
        <w:rPr>
          <w:rStyle w:val="FootnoteReference"/>
          <w:sz w:val="24"/>
        </w:rPr>
        <w:footnoteReference w:id="4"/>
      </w:r>
    </w:p>
    <w:p w14:paraId="44DE988E" w14:textId="243C2087" w:rsidR="00D70CEE" w:rsidRPr="00C13312" w:rsidRDefault="001F3615" w:rsidP="001F3615">
      <w:pPr>
        <w:pStyle w:val="ListParagraph"/>
        <w:spacing w:line="480" w:lineRule="auto"/>
        <w:ind w:left="0"/>
        <w:jc w:val="center"/>
        <w:rPr>
          <w:b/>
          <w:sz w:val="24"/>
        </w:rPr>
      </w:pPr>
      <w:r>
        <w:rPr>
          <w:b/>
          <w:sz w:val="24"/>
        </w:rPr>
        <w:t>II.</w:t>
      </w:r>
      <w:r>
        <w:rPr>
          <w:b/>
          <w:sz w:val="24"/>
        </w:rPr>
        <w:tab/>
      </w:r>
      <w:r w:rsidR="0047193E" w:rsidRPr="00C13312">
        <w:rPr>
          <w:b/>
          <w:sz w:val="24"/>
        </w:rPr>
        <w:t xml:space="preserve">PSE’S CONSERVATION </w:t>
      </w:r>
      <w:r w:rsidR="00787749">
        <w:rPr>
          <w:b/>
          <w:sz w:val="24"/>
        </w:rPr>
        <w:t xml:space="preserve">OBLIGATION IN </w:t>
      </w:r>
      <w:r w:rsidR="0047193E" w:rsidRPr="00C13312">
        <w:rPr>
          <w:b/>
          <w:sz w:val="24"/>
        </w:rPr>
        <w:t xml:space="preserve">PARTIAL BIENNIA </w:t>
      </w:r>
    </w:p>
    <w:p w14:paraId="2A8F57B4" w14:textId="0713D485" w:rsidR="00B177A6" w:rsidRPr="001F3615" w:rsidRDefault="001F3615" w:rsidP="001F3615">
      <w:pPr>
        <w:pStyle w:val="ListParagraph"/>
        <w:numPr>
          <w:ilvl w:val="0"/>
          <w:numId w:val="7"/>
        </w:numPr>
        <w:spacing w:line="480" w:lineRule="auto"/>
        <w:rPr>
          <w:sz w:val="24"/>
        </w:rPr>
      </w:pPr>
      <w:r>
        <w:rPr>
          <w:sz w:val="24"/>
        </w:rPr>
        <w:tab/>
      </w:r>
      <w:r w:rsidR="00E334A4" w:rsidRPr="001F3615">
        <w:rPr>
          <w:sz w:val="24"/>
        </w:rPr>
        <w:t xml:space="preserve">Questions have </w:t>
      </w:r>
      <w:r w:rsidR="00267818" w:rsidRPr="001F3615">
        <w:rPr>
          <w:sz w:val="24"/>
        </w:rPr>
        <w:t xml:space="preserve">also </w:t>
      </w:r>
      <w:r w:rsidR="00E334A4" w:rsidRPr="001F3615">
        <w:rPr>
          <w:sz w:val="24"/>
        </w:rPr>
        <w:t xml:space="preserve">arisen over the </w:t>
      </w:r>
      <w:r w:rsidR="00D70CEE" w:rsidRPr="001F3615">
        <w:rPr>
          <w:sz w:val="24"/>
        </w:rPr>
        <w:t xml:space="preserve">application of </w:t>
      </w:r>
      <w:r w:rsidR="00E334A4" w:rsidRPr="001F3615">
        <w:rPr>
          <w:sz w:val="24"/>
        </w:rPr>
        <w:t xml:space="preserve">PSE’s conservation </w:t>
      </w:r>
      <w:r w:rsidR="00787749">
        <w:rPr>
          <w:sz w:val="24"/>
        </w:rPr>
        <w:t xml:space="preserve">commitment </w:t>
      </w:r>
      <w:r w:rsidR="00D70CEE" w:rsidRPr="001F3615">
        <w:rPr>
          <w:sz w:val="24"/>
        </w:rPr>
        <w:t>to partial biennia</w:t>
      </w:r>
      <w:r w:rsidR="00E334A4" w:rsidRPr="001F3615">
        <w:rPr>
          <w:sz w:val="24"/>
        </w:rPr>
        <w:t>.</w:t>
      </w:r>
      <w:r w:rsidR="00E334A4" w:rsidRPr="00C13312">
        <w:rPr>
          <w:rStyle w:val="FootnoteReference"/>
          <w:sz w:val="24"/>
        </w:rPr>
        <w:footnoteReference w:id="5"/>
      </w:r>
      <w:r w:rsidR="00E334A4" w:rsidRPr="001F3615">
        <w:rPr>
          <w:sz w:val="24"/>
        </w:rPr>
        <w:t xml:space="preserve"> </w:t>
      </w:r>
      <w:r w:rsidR="009A5A7C" w:rsidRPr="001F3615">
        <w:rPr>
          <w:sz w:val="24"/>
        </w:rPr>
        <w:t xml:space="preserve">To avoid such questions in the future, Staff supports the Commission’s inquiry here and recommends that the Commission look further to the prospective end of PSE’s decoupling program. </w:t>
      </w:r>
      <w:r w:rsidR="00FD1F1C" w:rsidRPr="001F3615">
        <w:rPr>
          <w:sz w:val="24"/>
        </w:rPr>
        <w:t xml:space="preserve"> </w:t>
      </w:r>
    </w:p>
    <w:p w14:paraId="47A95F42" w14:textId="77777777" w:rsidR="00E272EA" w:rsidRDefault="001F3615" w:rsidP="001F3615">
      <w:pPr>
        <w:pStyle w:val="ListParagraph"/>
        <w:numPr>
          <w:ilvl w:val="0"/>
          <w:numId w:val="7"/>
        </w:numPr>
        <w:spacing w:line="480" w:lineRule="auto"/>
        <w:rPr>
          <w:sz w:val="24"/>
        </w:rPr>
      </w:pPr>
      <w:r>
        <w:rPr>
          <w:sz w:val="24"/>
        </w:rPr>
        <w:tab/>
      </w:r>
      <w:r w:rsidR="00D779C8" w:rsidRPr="001F3615">
        <w:rPr>
          <w:sz w:val="24"/>
        </w:rPr>
        <w:t xml:space="preserve">In its response to PSE’s </w:t>
      </w:r>
      <w:r w:rsidR="003E526E" w:rsidRPr="001F3615">
        <w:rPr>
          <w:sz w:val="24"/>
        </w:rPr>
        <w:t xml:space="preserve">Petition for a </w:t>
      </w:r>
      <w:r w:rsidR="00D779C8" w:rsidRPr="001F3615">
        <w:rPr>
          <w:sz w:val="24"/>
        </w:rPr>
        <w:t xml:space="preserve">Declaratory Order, </w:t>
      </w:r>
      <w:r w:rsidR="00B177A6" w:rsidRPr="001F3615">
        <w:rPr>
          <w:sz w:val="24"/>
        </w:rPr>
        <w:t xml:space="preserve">Staff </w:t>
      </w:r>
      <w:r w:rsidR="005863DF" w:rsidRPr="001F3615">
        <w:rPr>
          <w:sz w:val="24"/>
        </w:rPr>
        <w:t>proposed a</w:t>
      </w:r>
      <w:r w:rsidR="00B177A6" w:rsidRPr="001F3615">
        <w:rPr>
          <w:sz w:val="24"/>
        </w:rPr>
        <w:t xml:space="preserve"> solution to the issue raised by PSE – whether its conservation commitment applied to the whole 2012-13 biennium or just a fraction of it.</w:t>
      </w:r>
      <w:r w:rsidR="0017429E" w:rsidRPr="00C13312">
        <w:rPr>
          <w:rStyle w:val="FootnoteReference"/>
          <w:sz w:val="24"/>
        </w:rPr>
        <w:footnoteReference w:id="6"/>
      </w:r>
      <w:r w:rsidR="00B177A6" w:rsidRPr="001F3615">
        <w:rPr>
          <w:sz w:val="24"/>
        </w:rPr>
        <w:t xml:space="preserve"> </w:t>
      </w:r>
      <w:r w:rsidR="00FD1F1C" w:rsidRPr="001F3615">
        <w:rPr>
          <w:sz w:val="24"/>
        </w:rPr>
        <w:t xml:space="preserve"> Staff’s </w:t>
      </w:r>
      <w:r w:rsidR="00DD5217">
        <w:rPr>
          <w:sz w:val="24"/>
        </w:rPr>
        <w:t xml:space="preserve">preferred </w:t>
      </w:r>
      <w:r w:rsidR="00FD1F1C" w:rsidRPr="001F3615">
        <w:rPr>
          <w:sz w:val="24"/>
        </w:rPr>
        <w:t xml:space="preserve">solution </w:t>
      </w:r>
      <w:r w:rsidR="00B177A6" w:rsidRPr="001F3615">
        <w:rPr>
          <w:sz w:val="24"/>
        </w:rPr>
        <w:t xml:space="preserve">proposed that PSE’s conservation </w:t>
      </w:r>
      <w:r w:rsidR="00DD5217">
        <w:rPr>
          <w:sz w:val="24"/>
        </w:rPr>
        <w:t xml:space="preserve">commitment </w:t>
      </w:r>
      <w:r w:rsidR="00B177A6" w:rsidRPr="001F3615">
        <w:rPr>
          <w:sz w:val="24"/>
        </w:rPr>
        <w:t xml:space="preserve">be waived for the 2012-2013 biennium. In return, PSE would be obligated to fulfill its conservation </w:t>
      </w:r>
      <w:r w:rsidR="00DD5217">
        <w:rPr>
          <w:sz w:val="24"/>
        </w:rPr>
        <w:t xml:space="preserve">commitment </w:t>
      </w:r>
      <w:r w:rsidR="00B177A6" w:rsidRPr="001F3615">
        <w:rPr>
          <w:sz w:val="24"/>
        </w:rPr>
        <w:t xml:space="preserve">for </w:t>
      </w:r>
      <w:r w:rsidR="00431BEF" w:rsidRPr="001F3615">
        <w:rPr>
          <w:sz w:val="24"/>
        </w:rPr>
        <w:t xml:space="preserve">any full biennia during which its </w:t>
      </w:r>
      <w:r w:rsidR="00A61311" w:rsidRPr="001F3615">
        <w:rPr>
          <w:sz w:val="24"/>
        </w:rPr>
        <w:t>decoupling program</w:t>
      </w:r>
      <w:r w:rsidR="00431BEF" w:rsidRPr="001F3615">
        <w:rPr>
          <w:sz w:val="24"/>
        </w:rPr>
        <w:t xml:space="preserve"> is in </w:t>
      </w:r>
      <w:r w:rsidR="004331B0" w:rsidRPr="001F3615">
        <w:rPr>
          <w:sz w:val="24"/>
        </w:rPr>
        <w:t>effect</w:t>
      </w:r>
      <w:r w:rsidR="00431BEF" w:rsidRPr="001F3615">
        <w:rPr>
          <w:sz w:val="24"/>
        </w:rPr>
        <w:t>.</w:t>
      </w:r>
      <w:r w:rsidR="00C2726D">
        <w:rPr>
          <w:sz w:val="24"/>
        </w:rPr>
        <w:t xml:space="preserve"> </w:t>
      </w:r>
      <w:r w:rsidR="00A61311" w:rsidRPr="001F3615">
        <w:rPr>
          <w:sz w:val="24"/>
        </w:rPr>
        <w:t>Staff sees efficiency in dealing only with full biennia</w:t>
      </w:r>
      <w:r w:rsidR="002D32A0" w:rsidRPr="001F3615">
        <w:rPr>
          <w:sz w:val="24"/>
        </w:rPr>
        <w:t xml:space="preserve">; thus </w:t>
      </w:r>
      <w:r w:rsidR="00A61311" w:rsidRPr="001F3615">
        <w:rPr>
          <w:sz w:val="24"/>
        </w:rPr>
        <w:t>avoid</w:t>
      </w:r>
      <w:r w:rsidR="002D32A0" w:rsidRPr="001F3615">
        <w:rPr>
          <w:sz w:val="24"/>
        </w:rPr>
        <w:t>ing</w:t>
      </w:r>
      <w:r w:rsidR="00A61311" w:rsidRPr="001F3615">
        <w:rPr>
          <w:sz w:val="24"/>
        </w:rPr>
        <w:t xml:space="preserve"> the complications associated with determining compliance over a partial biennium. </w:t>
      </w:r>
    </w:p>
    <w:p w14:paraId="58245F3E" w14:textId="0A9D6593" w:rsidR="00A61311" w:rsidRPr="001F3615" w:rsidRDefault="00C76362" w:rsidP="00C76362">
      <w:pPr>
        <w:pStyle w:val="ListParagraph"/>
        <w:widowControl/>
        <w:numPr>
          <w:ilvl w:val="0"/>
          <w:numId w:val="7"/>
        </w:numPr>
        <w:spacing w:line="480" w:lineRule="auto"/>
        <w:rPr>
          <w:sz w:val="24"/>
        </w:rPr>
      </w:pPr>
      <w:r>
        <w:rPr>
          <w:sz w:val="24"/>
        </w:rPr>
        <w:lastRenderedPageBreak/>
        <w:tab/>
      </w:r>
      <w:r w:rsidR="00FD1F1C" w:rsidRPr="001F3615">
        <w:rPr>
          <w:sz w:val="24"/>
        </w:rPr>
        <w:t xml:space="preserve">To be clear, Staff is not proposing here that PSE’s conservation </w:t>
      </w:r>
      <w:r w:rsidR="00C2726D">
        <w:rPr>
          <w:sz w:val="24"/>
        </w:rPr>
        <w:t xml:space="preserve">commitment </w:t>
      </w:r>
      <w:r w:rsidR="00FD1F1C" w:rsidRPr="001F3615">
        <w:rPr>
          <w:sz w:val="24"/>
        </w:rPr>
        <w:t>be extended beyond the term approved by the Commission.</w:t>
      </w:r>
      <w:r w:rsidR="00FD1F1C" w:rsidRPr="00C13312">
        <w:rPr>
          <w:rStyle w:val="FootnoteReference"/>
          <w:sz w:val="24"/>
        </w:rPr>
        <w:footnoteReference w:id="7"/>
      </w:r>
      <w:r w:rsidR="00FD1F1C" w:rsidRPr="001F3615">
        <w:rPr>
          <w:sz w:val="24"/>
        </w:rPr>
        <w:t xml:space="preserve"> </w:t>
      </w:r>
      <w:r w:rsidR="00431BEF" w:rsidRPr="001F3615">
        <w:rPr>
          <w:sz w:val="24"/>
        </w:rPr>
        <w:t xml:space="preserve">It is only seeking clarification on how the Commission prefers to deal with PSE’s conservation </w:t>
      </w:r>
      <w:r w:rsidR="00C2726D">
        <w:rPr>
          <w:sz w:val="24"/>
        </w:rPr>
        <w:t xml:space="preserve">commitment </w:t>
      </w:r>
      <w:r w:rsidR="00431BEF" w:rsidRPr="001F3615">
        <w:rPr>
          <w:sz w:val="24"/>
        </w:rPr>
        <w:t xml:space="preserve">in partial biennia. Once the Commission’s expectations are known, the parties will understand the rules and how best to address them.  </w:t>
      </w:r>
    </w:p>
    <w:p w14:paraId="0666B8F9" w14:textId="45AC54B9" w:rsidR="00365F7D" w:rsidRPr="001F3615" w:rsidRDefault="001F3615" w:rsidP="001F3615">
      <w:pPr>
        <w:pStyle w:val="ListParagraph"/>
        <w:numPr>
          <w:ilvl w:val="0"/>
          <w:numId w:val="7"/>
        </w:numPr>
        <w:spacing w:line="480" w:lineRule="auto"/>
        <w:rPr>
          <w:sz w:val="24"/>
        </w:rPr>
      </w:pPr>
      <w:r>
        <w:rPr>
          <w:sz w:val="24"/>
        </w:rPr>
        <w:tab/>
      </w:r>
      <w:r w:rsidR="00C2726D">
        <w:rPr>
          <w:sz w:val="24"/>
        </w:rPr>
        <w:t xml:space="preserve">To clarify what is being requested, </w:t>
      </w:r>
      <w:r w:rsidR="00A61311" w:rsidRPr="001F3615">
        <w:rPr>
          <w:sz w:val="24"/>
        </w:rPr>
        <w:t>Staff</w:t>
      </w:r>
      <w:r w:rsidR="00C2726D">
        <w:rPr>
          <w:sz w:val="24"/>
        </w:rPr>
        <w:t xml:space="preserve"> </w:t>
      </w:r>
      <w:r w:rsidR="005863DF" w:rsidRPr="001F3615">
        <w:rPr>
          <w:sz w:val="24"/>
        </w:rPr>
        <w:t>pr</w:t>
      </w:r>
      <w:r w:rsidR="00A337C2" w:rsidRPr="001F3615">
        <w:rPr>
          <w:sz w:val="24"/>
        </w:rPr>
        <w:t>eferr</w:t>
      </w:r>
      <w:r w:rsidR="005863DF" w:rsidRPr="001F3615">
        <w:rPr>
          <w:sz w:val="24"/>
        </w:rPr>
        <w:t xml:space="preserve">ed </w:t>
      </w:r>
      <w:r w:rsidR="00A61311" w:rsidRPr="001F3615">
        <w:rPr>
          <w:sz w:val="24"/>
        </w:rPr>
        <w:t xml:space="preserve">solution </w:t>
      </w:r>
      <w:r w:rsidR="00C2726D">
        <w:rPr>
          <w:sz w:val="24"/>
        </w:rPr>
        <w:t xml:space="preserve">is </w:t>
      </w:r>
      <w:r w:rsidR="00A61311" w:rsidRPr="001F3615">
        <w:rPr>
          <w:sz w:val="24"/>
        </w:rPr>
        <w:t xml:space="preserve">expressed in bullet points </w:t>
      </w:r>
      <w:r w:rsidR="00C2726D">
        <w:rPr>
          <w:sz w:val="24"/>
        </w:rPr>
        <w:t>below</w:t>
      </w:r>
      <w:r w:rsidR="00A61311" w:rsidRPr="001F3615">
        <w:rPr>
          <w:sz w:val="24"/>
        </w:rPr>
        <w:t xml:space="preserve">: </w:t>
      </w:r>
      <w:r w:rsidR="00B177A6" w:rsidRPr="001F3615">
        <w:rPr>
          <w:sz w:val="24"/>
        </w:rPr>
        <w:t xml:space="preserve"> </w:t>
      </w:r>
    </w:p>
    <w:p w14:paraId="2DD2EE11" w14:textId="77777777" w:rsidR="00A61311" w:rsidRPr="00C13312" w:rsidRDefault="00A61311" w:rsidP="001F3615">
      <w:pPr>
        <w:widowControl/>
        <w:numPr>
          <w:ilvl w:val="0"/>
          <w:numId w:val="1"/>
        </w:numPr>
        <w:autoSpaceDE/>
        <w:autoSpaceDN/>
        <w:adjustRightInd/>
        <w:spacing w:line="480" w:lineRule="auto"/>
        <w:rPr>
          <w:sz w:val="24"/>
        </w:rPr>
      </w:pPr>
      <w:r w:rsidRPr="00C13312">
        <w:rPr>
          <w:sz w:val="24"/>
        </w:rPr>
        <w:t>Staff will not dispute PSE’s compliance with the Final Decoupling Order as it relates to its conservation performance during the 2012-13 biennium</w:t>
      </w:r>
      <w:r w:rsidR="00C46D57" w:rsidRPr="00C13312">
        <w:rPr>
          <w:sz w:val="24"/>
        </w:rPr>
        <w:t>, and for purposes of settlement will agree that PSE fully met its conservation commitment for that biennium</w:t>
      </w:r>
      <w:r w:rsidRPr="00C13312">
        <w:rPr>
          <w:sz w:val="24"/>
        </w:rPr>
        <w:t>.</w:t>
      </w:r>
    </w:p>
    <w:p w14:paraId="1003D234" w14:textId="0D9144A7" w:rsidR="00A61311" w:rsidRPr="00C13312" w:rsidRDefault="00A61311" w:rsidP="001F3615">
      <w:pPr>
        <w:widowControl/>
        <w:numPr>
          <w:ilvl w:val="0"/>
          <w:numId w:val="1"/>
        </w:numPr>
        <w:autoSpaceDE/>
        <w:autoSpaceDN/>
        <w:adjustRightInd/>
        <w:spacing w:line="480" w:lineRule="auto"/>
        <w:rPr>
          <w:sz w:val="24"/>
        </w:rPr>
      </w:pPr>
      <w:r w:rsidRPr="00C13312">
        <w:rPr>
          <w:sz w:val="24"/>
        </w:rPr>
        <w:t xml:space="preserve">In return, PSE will agree to </w:t>
      </w:r>
      <w:r w:rsidR="00C46D57" w:rsidRPr="00C13312">
        <w:rPr>
          <w:sz w:val="24"/>
        </w:rPr>
        <w:t xml:space="preserve">exceed its commission-approved biennial conservation target by five percent (5%) </w:t>
      </w:r>
      <w:r w:rsidRPr="00C13312">
        <w:rPr>
          <w:sz w:val="24"/>
        </w:rPr>
        <w:t xml:space="preserve">for any biennium in which its </w:t>
      </w:r>
      <w:r w:rsidR="000333E3">
        <w:rPr>
          <w:sz w:val="24"/>
        </w:rPr>
        <w:t xml:space="preserve">approved </w:t>
      </w:r>
      <w:r w:rsidRPr="00C13312">
        <w:rPr>
          <w:sz w:val="24"/>
        </w:rPr>
        <w:t xml:space="preserve">decoupling program is in effect. </w:t>
      </w:r>
    </w:p>
    <w:p w14:paraId="7DA3C810" w14:textId="77777777" w:rsidR="00A61311" w:rsidRDefault="00A61311" w:rsidP="001F3615">
      <w:pPr>
        <w:pStyle w:val="ListParagraph"/>
        <w:numPr>
          <w:ilvl w:val="0"/>
          <w:numId w:val="4"/>
        </w:numPr>
        <w:spacing w:line="480" w:lineRule="auto"/>
        <w:rPr>
          <w:sz w:val="24"/>
        </w:rPr>
      </w:pPr>
      <w:r w:rsidRPr="00C13312">
        <w:rPr>
          <w:sz w:val="24"/>
        </w:rPr>
        <w:t>Should PSE’s decoupling program be terminated</w:t>
      </w:r>
      <w:r w:rsidR="00C46D57" w:rsidRPr="00C13312">
        <w:rPr>
          <w:sz w:val="24"/>
        </w:rPr>
        <w:t xml:space="preserve"> </w:t>
      </w:r>
      <w:r w:rsidRPr="00C13312">
        <w:rPr>
          <w:sz w:val="24"/>
        </w:rPr>
        <w:t xml:space="preserve">or withdrawn prior to the end of a </w:t>
      </w:r>
      <w:bookmarkStart w:id="0" w:name="_GoBack"/>
      <w:bookmarkEnd w:id="0"/>
      <w:r w:rsidRPr="00C13312">
        <w:rPr>
          <w:sz w:val="24"/>
        </w:rPr>
        <w:t xml:space="preserve">biennium, PSE agrees to </w:t>
      </w:r>
      <w:r w:rsidR="00C46D57" w:rsidRPr="00C13312">
        <w:rPr>
          <w:sz w:val="24"/>
        </w:rPr>
        <w:t xml:space="preserve">exceed its commission-approved biennial conservation target by five percent (5%) </w:t>
      </w:r>
      <w:r w:rsidRPr="00C13312">
        <w:rPr>
          <w:sz w:val="24"/>
        </w:rPr>
        <w:t xml:space="preserve">for the full biennium. </w:t>
      </w:r>
    </w:p>
    <w:p w14:paraId="29EA90ED" w14:textId="2C8F4E3F" w:rsidR="00C76362" w:rsidRPr="00C76362" w:rsidRDefault="00C76362" w:rsidP="00C76362">
      <w:pPr>
        <w:spacing w:line="480" w:lineRule="auto"/>
        <w:rPr>
          <w:sz w:val="24"/>
        </w:rPr>
      </w:pPr>
      <w:r w:rsidRPr="00C76362">
        <w:rPr>
          <w:sz w:val="24"/>
        </w:rPr>
        <w:t>//</w:t>
      </w:r>
    </w:p>
    <w:p w14:paraId="0269B69D" w14:textId="7A360186" w:rsidR="00C76362" w:rsidRPr="00C76362" w:rsidRDefault="00C76362" w:rsidP="00C76362">
      <w:pPr>
        <w:spacing w:line="480" w:lineRule="auto"/>
        <w:rPr>
          <w:sz w:val="24"/>
        </w:rPr>
      </w:pPr>
      <w:r w:rsidRPr="00C76362">
        <w:rPr>
          <w:sz w:val="24"/>
        </w:rPr>
        <w:t>//</w:t>
      </w:r>
    </w:p>
    <w:p w14:paraId="2C3182B6" w14:textId="77777777" w:rsidR="00C76362" w:rsidRDefault="00C76362">
      <w:pPr>
        <w:widowControl/>
        <w:autoSpaceDE/>
        <w:autoSpaceDN/>
        <w:adjustRightInd/>
        <w:spacing w:after="200" w:line="276" w:lineRule="auto"/>
      </w:pPr>
      <w:r>
        <w:br w:type="page"/>
      </w:r>
    </w:p>
    <w:p w14:paraId="47A0AF40" w14:textId="77777777" w:rsidR="001F3615" w:rsidRPr="001F3615" w:rsidRDefault="001F3615" w:rsidP="001F3615">
      <w:pPr>
        <w:rPr>
          <w:sz w:val="24"/>
        </w:rPr>
      </w:pPr>
    </w:p>
    <w:p w14:paraId="01629D45" w14:textId="4BEAE70D" w:rsidR="00A61311" w:rsidRPr="00C13312" w:rsidRDefault="00C2726D" w:rsidP="001F3615">
      <w:pPr>
        <w:pStyle w:val="ListParagraph"/>
        <w:keepNext/>
        <w:spacing w:line="480" w:lineRule="auto"/>
        <w:ind w:left="0"/>
        <w:jc w:val="center"/>
        <w:rPr>
          <w:b/>
          <w:sz w:val="24"/>
        </w:rPr>
      </w:pPr>
      <w:r>
        <w:rPr>
          <w:b/>
          <w:sz w:val="24"/>
        </w:rPr>
        <w:t>II</w:t>
      </w:r>
      <w:r w:rsidR="001F3615">
        <w:rPr>
          <w:b/>
          <w:sz w:val="24"/>
        </w:rPr>
        <w:t>I.</w:t>
      </w:r>
      <w:r w:rsidR="001F3615">
        <w:rPr>
          <w:b/>
          <w:sz w:val="24"/>
        </w:rPr>
        <w:tab/>
      </w:r>
      <w:r w:rsidR="0047193E" w:rsidRPr="00C13312">
        <w:rPr>
          <w:b/>
          <w:sz w:val="24"/>
        </w:rPr>
        <w:t>CONCLUSION</w:t>
      </w:r>
    </w:p>
    <w:p w14:paraId="3F38145E" w14:textId="77777777" w:rsidR="00A61311" w:rsidRPr="00C13312" w:rsidRDefault="003E2FCB" w:rsidP="00C13312">
      <w:pPr>
        <w:spacing w:line="480" w:lineRule="auto"/>
        <w:rPr>
          <w:sz w:val="24"/>
        </w:rPr>
      </w:pPr>
      <w:r w:rsidRPr="00C13312">
        <w:rPr>
          <w:sz w:val="24"/>
        </w:rPr>
        <w:t>Staff recommends that the Commission issue an order in Docket UE-132043 that:</w:t>
      </w:r>
    </w:p>
    <w:p w14:paraId="65722BBF" w14:textId="648676EC" w:rsidR="003E2FCB" w:rsidRPr="00C13312" w:rsidRDefault="003E2FCB" w:rsidP="00C13312">
      <w:pPr>
        <w:pStyle w:val="ListParagraph"/>
        <w:numPr>
          <w:ilvl w:val="0"/>
          <w:numId w:val="4"/>
        </w:numPr>
        <w:spacing w:line="480" w:lineRule="auto"/>
        <w:rPr>
          <w:sz w:val="24"/>
        </w:rPr>
      </w:pPr>
      <w:r w:rsidRPr="00C13312">
        <w:rPr>
          <w:sz w:val="24"/>
        </w:rPr>
        <w:t>Establishes PSE’s 2014-2015 decoupling conservation commitment as 27,920 MWh;</w:t>
      </w:r>
      <w:r w:rsidR="00C2726D">
        <w:rPr>
          <w:sz w:val="24"/>
        </w:rPr>
        <w:t xml:space="preserve"> and, </w:t>
      </w:r>
    </w:p>
    <w:p w14:paraId="271A73C3" w14:textId="42685DCA" w:rsidR="003E2FCB" w:rsidRPr="00C13312" w:rsidRDefault="003E2FCB" w:rsidP="00C13312">
      <w:pPr>
        <w:pStyle w:val="ListParagraph"/>
        <w:numPr>
          <w:ilvl w:val="0"/>
          <w:numId w:val="4"/>
        </w:numPr>
        <w:spacing w:line="480" w:lineRule="auto"/>
        <w:rPr>
          <w:sz w:val="24"/>
        </w:rPr>
      </w:pPr>
      <w:r w:rsidRPr="00C13312">
        <w:rPr>
          <w:sz w:val="24"/>
        </w:rPr>
        <w:t xml:space="preserve">Requires PSE to perform its decoupling conservation commitment for the full duration of the 2014-2015 biennium and for any biennium during which its </w:t>
      </w:r>
      <w:r w:rsidR="000333E3">
        <w:rPr>
          <w:sz w:val="24"/>
        </w:rPr>
        <w:t xml:space="preserve">approved </w:t>
      </w:r>
      <w:r w:rsidRPr="00C13312">
        <w:rPr>
          <w:sz w:val="24"/>
        </w:rPr>
        <w:t>decoupling program is in effect.</w:t>
      </w:r>
    </w:p>
    <w:p w14:paraId="3CD7BA82" w14:textId="77777777" w:rsidR="000A1347" w:rsidRPr="00C13312" w:rsidRDefault="002A4E2C" w:rsidP="00C13312">
      <w:pPr>
        <w:spacing w:line="480" w:lineRule="auto"/>
        <w:rPr>
          <w:sz w:val="24"/>
        </w:rPr>
      </w:pPr>
      <w:r w:rsidRPr="00C13312">
        <w:rPr>
          <w:sz w:val="24"/>
        </w:rPr>
        <w:t>T</w:t>
      </w:r>
      <w:r w:rsidR="000A1347" w:rsidRPr="00C13312">
        <w:rPr>
          <w:sz w:val="24"/>
        </w:rPr>
        <w:t xml:space="preserve">his would be a fair result that avoids the complications inherent in disaggregating program performance into partial biennia for the purpose of making a compliance finding. </w:t>
      </w:r>
      <w:r w:rsidRPr="00C13312">
        <w:rPr>
          <w:sz w:val="24"/>
        </w:rPr>
        <w:t xml:space="preserve"> </w:t>
      </w:r>
    </w:p>
    <w:p w14:paraId="3DB8B6EA" w14:textId="688D764C" w:rsidR="00E83865" w:rsidRPr="00E83865" w:rsidRDefault="00E83865" w:rsidP="00E83865">
      <w:pPr>
        <w:ind w:left="720"/>
        <w:rPr>
          <w:sz w:val="24"/>
        </w:rPr>
      </w:pPr>
      <w:r w:rsidRPr="00E83865">
        <w:rPr>
          <w:sz w:val="24"/>
        </w:rPr>
        <w:t>DATED this 2</w:t>
      </w:r>
      <w:r>
        <w:rPr>
          <w:sz w:val="24"/>
        </w:rPr>
        <w:t>8</w:t>
      </w:r>
      <w:r w:rsidRPr="00E83865">
        <w:rPr>
          <w:sz w:val="24"/>
          <w:vertAlign w:val="superscript"/>
        </w:rPr>
        <w:t>th</w:t>
      </w:r>
      <w:r w:rsidRPr="00E83865">
        <w:rPr>
          <w:sz w:val="24"/>
        </w:rPr>
        <w:t xml:space="preserve"> day of August 2014.</w:t>
      </w:r>
    </w:p>
    <w:p w14:paraId="724E003A" w14:textId="77777777" w:rsidR="00E83865" w:rsidRPr="00E83865" w:rsidRDefault="00E83865" w:rsidP="00E83865">
      <w:pPr>
        <w:pStyle w:val="BodyTextIndent2"/>
        <w:ind w:left="0"/>
        <w:rPr>
          <w:rFonts w:ascii="Times New Roman" w:hAnsi="Times New Roman"/>
        </w:rPr>
      </w:pPr>
    </w:p>
    <w:p w14:paraId="356BAD61" w14:textId="77777777" w:rsidR="00E83865" w:rsidRPr="00E83865" w:rsidRDefault="00E83865" w:rsidP="00E83865">
      <w:pPr>
        <w:ind w:left="4320"/>
        <w:jc w:val="both"/>
        <w:rPr>
          <w:sz w:val="24"/>
        </w:rPr>
      </w:pPr>
      <w:r w:rsidRPr="00E83865">
        <w:rPr>
          <w:sz w:val="24"/>
        </w:rPr>
        <w:t xml:space="preserve">Respectfully submitted, </w:t>
      </w:r>
    </w:p>
    <w:p w14:paraId="7EE722E6" w14:textId="77777777" w:rsidR="00E83865" w:rsidRPr="00E83865" w:rsidRDefault="00E83865" w:rsidP="00E83865">
      <w:pPr>
        <w:ind w:left="4320"/>
        <w:jc w:val="both"/>
        <w:rPr>
          <w:sz w:val="24"/>
        </w:rPr>
      </w:pPr>
    </w:p>
    <w:p w14:paraId="0432C865" w14:textId="77777777" w:rsidR="00E83865" w:rsidRPr="00E83865" w:rsidRDefault="00E83865" w:rsidP="00E83865">
      <w:pPr>
        <w:ind w:left="4320"/>
        <w:jc w:val="both"/>
        <w:rPr>
          <w:sz w:val="24"/>
        </w:rPr>
      </w:pPr>
      <w:r w:rsidRPr="00E83865">
        <w:rPr>
          <w:sz w:val="24"/>
        </w:rPr>
        <w:t xml:space="preserve">ROBERT W. FERGUSON </w:t>
      </w:r>
    </w:p>
    <w:p w14:paraId="2B3E8177" w14:textId="77777777" w:rsidR="00E83865" w:rsidRPr="00E83865" w:rsidRDefault="00E83865" w:rsidP="00E83865">
      <w:pPr>
        <w:ind w:left="4320"/>
        <w:jc w:val="both"/>
        <w:rPr>
          <w:sz w:val="24"/>
        </w:rPr>
      </w:pPr>
      <w:r w:rsidRPr="00E83865">
        <w:rPr>
          <w:sz w:val="24"/>
        </w:rPr>
        <w:t>Attorney General</w:t>
      </w:r>
    </w:p>
    <w:p w14:paraId="17F9839B" w14:textId="77777777" w:rsidR="00E83865" w:rsidRDefault="00E83865" w:rsidP="00E83865">
      <w:pPr>
        <w:ind w:left="4320"/>
        <w:jc w:val="both"/>
        <w:rPr>
          <w:sz w:val="24"/>
        </w:rPr>
      </w:pPr>
    </w:p>
    <w:p w14:paraId="448E95B4" w14:textId="77777777" w:rsidR="00C76362" w:rsidRPr="00E83865" w:rsidRDefault="00C76362" w:rsidP="00E83865">
      <w:pPr>
        <w:ind w:left="4320"/>
        <w:jc w:val="both"/>
        <w:rPr>
          <w:sz w:val="24"/>
        </w:rPr>
      </w:pPr>
    </w:p>
    <w:p w14:paraId="5A3A8ED3" w14:textId="77777777" w:rsidR="00E83865" w:rsidRPr="00E83865" w:rsidRDefault="00E83865" w:rsidP="00E83865">
      <w:pPr>
        <w:ind w:left="4320"/>
        <w:jc w:val="both"/>
        <w:rPr>
          <w:sz w:val="24"/>
        </w:rPr>
      </w:pPr>
      <w:r w:rsidRPr="00E83865">
        <w:rPr>
          <w:sz w:val="24"/>
        </w:rPr>
        <w:t>_____________________________________</w:t>
      </w:r>
    </w:p>
    <w:p w14:paraId="1386135D" w14:textId="11362442" w:rsidR="00E83865" w:rsidRPr="00E83865" w:rsidRDefault="00E83865" w:rsidP="00E83865">
      <w:pPr>
        <w:ind w:left="4320"/>
        <w:jc w:val="both"/>
        <w:rPr>
          <w:sz w:val="24"/>
        </w:rPr>
      </w:pPr>
      <w:r>
        <w:rPr>
          <w:sz w:val="24"/>
        </w:rPr>
        <w:t>PATRICK J. OSHIE</w:t>
      </w:r>
    </w:p>
    <w:p w14:paraId="19A1A10B" w14:textId="6519AAB3" w:rsidR="00E83865" w:rsidRPr="00E83865" w:rsidRDefault="00E83865" w:rsidP="00E83865">
      <w:pPr>
        <w:ind w:left="4320"/>
        <w:jc w:val="both"/>
        <w:rPr>
          <w:sz w:val="24"/>
        </w:rPr>
      </w:pPr>
      <w:r w:rsidRPr="00E83865">
        <w:rPr>
          <w:sz w:val="24"/>
        </w:rPr>
        <w:t>Assistant Attorney General</w:t>
      </w:r>
    </w:p>
    <w:p w14:paraId="2F6B9C97" w14:textId="77777777" w:rsidR="00E83865" w:rsidRPr="00E83865" w:rsidRDefault="00E83865" w:rsidP="00E83865">
      <w:pPr>
        <w:ind w:left="4320"/>
        <w:jc w:val="both"/>
        <w:rPr>
          <w:sz w:val="24"/>
        </w:rPr>
      </w:pPr>
      <w:r w:rsidRPr="00E83865">
        <w:rPr>
          <w:sz w:val="24"/>
        </w:rPr>
        <w:t>Counsel for Washington Utilities and</w:t>
      </w:r>
    </w:p>
    <w:p w14:paraId="1369D9FA" w14:textId="5AB79940" w:rsidR="00365F7D" w:rsidRPr="001F3615" w:rsidRDefault="001F3615" w:rsidP="001F3615">
      <w:pPr>
        <w:ind w:left="4320"/>
        <w:jc w:val="both"/>
        <w:rPr>
          <w:sz w:val="24"/>
        </w:rPr>
      </w:pPr>
      <w:r>
        <w:rPr>
          <w:sz w:val="24"/>
        </w:rPr>
        <w:t>Transportation Commission Staff</w:t>
      </w:r>
    </w:p>
    <w:sectPr w:rsidR="00365F7D" w:rsidRPr="001F3615" w:rsidSect="00C13312">
      <w:footerReference w:type="default" r:id="rId12"/>
      <w:pgSz w:w="12240" w:h="15840"/>
      <w:pgMar w:top="1440" w:right="1440" w:bottom="1440" w:left="187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BE7A4E" w14:textId="77777777" w:rsidR="00A57A4F" w:rsidRDefault="00A57A4F" w:rsidP="00E334A4">
      <w:r>
        <w:separator/>
      </w:r>
    </w:p>
  </w:endnote>
  <w:endnote w:type="continuationSeparator" w:id="0">
    <w:p w14:paraId="70001FB6" w14:textId="77777777" w:rsidR="00A57A4F" w:rsidRDefault="00A57A4F" w:rsidP="00E334A4">
      <w:r>
        <w:continuationSeparator/>
      </w:r>
    </w:p>
  </w:endnote>
  <w:endnote w:type="continuationNotice" w:id="1">
    <w:p w14:paraId="19033898" w14:textId="77777777" w:rsidR="00A57A4F" w:rsidRDefault="00A57A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2FEF42" w14:textId="77777777" w:rsidR="00A57A4F" w:rsidRDefault="00A57A4F">
    <w:pPr>
      <w:pStyle w:val="Footer"/>
      <w:rPr>
        <w:szCs w:val="20"/>
      </w:rPr>
    </w:pPr>
    <w:r w:rsidRPr="00C13312">
      <w:rPr>
        <w:szCs w:val="20"/>
      </w:rPr>
      <w:t xml:space="preserve">STAFF’S RESPONSE TO NOTICE OF OPPORTUNITY </w:t>
    </w:r>
  </w:p>
  <w:p w14:paraId="5EFA8713" w14:textId="77777777" w:rsidR="00A57A4F" w:rsidRPr="00C13312" w:rsidRDefault="00A57A4F">
    <w:pPr>
      <w:pStyle w:val="Footer"/>
      <w:rPr>
        <w:szCs w:val="20"/>
      </w:rPr>
    </w:pPr>
    <w:r w:rsidRPr="00C13312">
      <w:rPr>
        <w:szCs w:val="20"/>
      </w:rPr>
      <w:t>TO FILE WRITTEN COMMENTS</w:t>
    </w:r>
    <w:r>
      <w:rPr>
        <w:szCs w:val="20"/>
      </w:rPr>
      <w:t xml:space="preserve"> - </w:t>
    </w:r>
    <w:r w:rsidRPr="00C13312">
      <w:rPr>
        <w:szCs w:val="20"/>
      </w:rPr>
      <w:fldChar w:fldCharType="begin"/>
    </w:r>
    <w:r w:rsidRPr="00C13312">
      <w:rPr>
        <w:szCs w:val="20"/>
      </w:rPr>
      <w:instrText xml:space="preserve"> PAGE   \* MERGEFORMAT </w:instrText>
    </w:r>
    <w:r w:rsidRPr="00C13312">
      <w:rPr>
        <w:szCs w:val="20"/>
      </w:rPr>
      <w:fldChar w:fldCharType="separate"/>
    </w:r>
    <w:r w:rsidR="00C76362">
      <w:rPr>
        <w:noProof/>
        <w:szCs w:val="20"/>
      </w:rPr>
      <w:t>3</w:t>
    </w:r>
    <w:r w:rsidRPr="00C13312">
      <w:rPr>
        <w:noProof/>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9C28D3" w14:textId="77777777" w:rsidR="00A57A4F" w:rsidRDefault="00A57A4F" w:rsidP="00E334A4">
      <w:r>
        <w:separator/>
      </w:r>
    </w:p>
  </w:footnote>
  <w:footnote w:type="continuationSeparator" w:id="0">
    <w:p w14:paraId="38414CBD" w14:textId="77777777" w:rsidR="00A57A4F" w:rsidRDefault="00A57A4F" w:rsidP="00E334A4">
      <w:r>
        <w:continuationSeparator/>
      </w:r>
    </w:p>
  </w:footnote>
  <w:footnote w:type="continuationNotice" w:id="1">
    <w:p w14:paraId="2790C41C" w14:textId="77777777" w:rsidR="00A57A4F" w:rsidRDefault="00A57A4F"/>
  </w:footnote>
  <w:footnote w:id="2">
    <w:p w14:paraId="6DB79D52" w14:textId="77777777" w:rsidR="00A57A4F" w:rsidRDefault="00A57A4F" w:rsidP="005863DF">
      <w:pPr>
        <w:pStyle w:val="FootnoteText"/>
      </w:pPr>
      <w:r>
        <w:rPr>
          <w:rStyle w:val="FootnoteReference"/>
        </w:rPr>
        <w:footnoteRef/>
      </w:r>
      <w:r>
        <w:t xml:space="preserve"> Docket UE-132043, Order 01, ¶ 26.</w:t>
      </w:r>
    </w:p>
  </w:footnote>
  <w:footnote w:id="3">
    <w:p w14:paraId="381B425C" w14:textId="77777777" w:rsidR="00A57A4F" w:rsidRDefault="00A57A4F" w:rsidP="00CF2572">
      <w:pPr>
        <w:pStyle w:val="FootnoteText"/>
      </w:pPr>
      <w:r>
        <w:rPr>
          <w:rStyle w:val="FootnoteReference"/>
        </w:rPr>
        <w:footnoteRef/>
      </w:r>
      <w:r>
        <w:t xml:space="preserve"> Docket UE-132043, Puget Sound Energy 2014-2015 Biennial Conservation Plan, Overview, Executive Summary, page 10.  The identified 27,920 MWh is five percent of PSE’s “base” savings of 558,300 MWh, which includes expected savings from the Northwest Energy Efficiency Alliance (NEEA).  The decoupling commitment would be 24,288 MWh if calculated from the EIA target, which excludes NEEA savings. Staff acknowledges that a target calculated from the “base” savings would exceed the requirements of the decoupling mechanism. </w:t>
      </w:r>
    </w:p>
  </w:footnote>
  <w:footnote w:id="4">
    <w:p w14:paraId="7FAEB07E" w14:textId="792CFC8C" w:rsidR="00A57A4F" w:rsidRDefault="00A57A4F" w:rsidP="00C76362">
      <w:r>
        <w:rPr>
          <w:rStyle w:val="FootnoteReference"/>
        </w:rPr>
        <w:footnoteRef/>
      </w:r>
      <w:r>
        <w:t xml:space="preserve"> </w:t>
      </w:r>
      <w:r w:rsidRPr="00C76362">
        <w:rPr>
          <w:szCs w:val="20"/>
        </w:rPr>
        <w:t>Should PSE fail to achieve the 27,920 MWh, the company could be subject to a penalty equivalent to that set forth in the EIA. As the decoupling conservation commitment is in addition to the EIA target, administration of any associated penalty would fall outside the scope of the EIA.  Staff therefore believes that the Commission would retain discretion in administering a penalty for failure to meet the decoupling commitment.</w:t>
      </w:r>
      <w:r w:rsidRPr="00C76362">
        <w:rPr>
          <w:sz w:val="24"/>
        </w:rPr>
        <w:t xml:space="preserve"> </w:t>
      </w:r>
    </w:p>
  </w:footnote>
  <w:footnote w:id="5">
    <w:p w14:paraId="50034872" w14:textId="77777777" w:rsidR="00A57A4F" w:rsidRDefault="00A57A4F">
      <w:pPr>
        <w:pStyle w:val="FootnoteText"/>
      </w:pPr>
      <w:r>
        <w:rPr>
          <w:rStyle w:val="FootnoteReference"/>
        </w:rPr>
        <w:footnoteRef/>
      </w:r>
      <w:r>
        <w:t xml:space="preserve"> Docket UE-141357, Petition for a Declaratory Order, at 2.</w:t>
      </w:r>
    </w:p>
  </w:footnote>
  <w:footnote w:id="6">
    <w:p w14:paraId="5F98CE59" w14:textId="54FFE7BD" w:rsidR="00A57A4F" w:rsidRDefault="00A57A4F" w:rsidP="006A4E30">
      <w:r>
        <w:rPr>
          <w:rStyle w:val="FootnoteReference"/>
        </w:rPr>
        <w:footnoteRef/>
      </w:r>
      <w:r>
        <w:t xml:space="preserve"> Docket UE-141357, </w:t>
      </w:r>
      <w:r w:rsidRPr="003E526E">
        <w:rPr>
          <w:szCs w:val="20"/>
        </w:rPr>
        <w:t xml:space="preserve">Commission Staff Response </w:t>
      </w:r>
      <w:r>
        <w:rPr>
          <w:szCs w:val="20"/>
        </w:rPr>
        <w:t>to Petition f</w:t>
      </w:r>
      <w:r w:rsidRPr="003E526E">
        <w:rPr>
          <w:szCs w:val="20"/>
        </w:rPr>
        <w:t>or Declaratory Order</w:t>
      </w:r>
      <w:r>
        <w:rPr>
          <w:szCs w:val="20"/>
        </w:rPr>
        <w:t>.</w:t>
      </w:r>
    </w:p>
  </w:footnote>
  <w:footnote w:id="7">
    <w:p w14:paraId="73472977" w14:textId="3F7EEF04" w:rsidR="00A57A4F" w:rsidRPr="001F3615" w:rsidRDefault="00A57A4F">
      <w:pPr>
        <w:pStyle w:val="FootnoteText"/>
        <w:rPr>
          <w:bCs/>
          <w:sz w:val="22"/>
          <w:lang w:eastAsia="zh-CN"/>
        </w:rPr>
      </w:pPr>
      <w:r>
        <w:rPr>
          <w:rStyle w:val="FootnoteReference"/>
        </w:rPr>
        <w:footnoteRef/>
      </w:r>
      <w:r>
        <w:t xml:space="preserve"> </w:t>
      </w:r>
      <w:r w:rsidRPr="007072FB">
        <w:rPr>
          <w:i/>
          <w:sz w:val="22"/>
          <w:lang w:eastAsia="zh-CN"/>
        </w:rPr>
        <w:t>In re Petition of Puget Sound Energy, Inc. and Northwest Energy</w:t>
      </w:r>
      <w:r w:rsidRPr="007072FB">
        <w:rPr>
          <w:bCs/>
          <w:i/>
          <w:sz w:val="25"/>
          <w:szCs w:val="25"/>
        </w:rPr>
        <w:t xml:space="preserve"> </w:t>
      </w:r>
      <w:r w:rsidRPr="007072FB">
        <w:rPr>
          <w:bCs/>
          <w:i/>
          <w:sz w:val="22"/>
          <w:szCs w:val="22"/>
        </w:rPr>
        <w:t>Coalition</w:t>
      </w:r>
      <w:r w:rsidRPr="007072FB">
        <w:rPr>
          <w:bCs/>
          <w:i/>
          <w:sz w:val="25"/>
          <w:szCs w:val="25"/>
        </w:rPr>
        <w:t xml:space="preserve"> </w:t>
      </w:r>
      <w:r w:rsidRPr="007072FB">
        <w:rPr>
          <w:bCs/>
          <w:i/>
          <w:sz w:val="22"/>
          <w:lang w:eastAsia="zh-CN"/>
        </w:rPr>
        <w:t>For an Order Authorizing PSE To Implement Electric and Natural Gas Decoupling Mechanisms and To Record Accounting Entries Associated With the Mechanisms</w:t>
      </w:r>
      <w:r w:rsidRPr="007072FB">
        <w:rPr>
          <w:bCs/>
          <w:sz w:val="22"/>
          <w:lang w:eastAsia="zh-CN"/>
        </w:rPr>
        <w:t>,</w:t>
      </w:r>
      <w:r w:rsidRPr="00FB4DB4">
        <w:rPr>
          <w:bCs/>
          <w:i/>
          <w:sz w:val="22"/>
          <w:lang w:eastAsia="zh-CN"/>
        </w:rPr>
        <w:t xml:space="preserve"> </w:t>
      </w:r>
      <w:r w:rsidRPr="00FB4DB4">
        <w:rPr>
          <w:bCs/>
          <w:sz w:val="22"/>
          <w:lang w:eastAsia="zh-CN"/>
        </w:rPr>
        <w:t>Dockets UE-</w:t>
      </w:r>
      <w:r>
        <w:rPr>
          <w:bCs/>
          <w:sz w:val="22"/>
          <w:lang w:eastAsia="zh-CN"/>
        </w:rPr>
        <w:t xml:space="preserve"> 121697 </w:t>
      </w:r>
      <w:r w:rsidRPr="00FB4DB4">
        <w:rPr>
          <w:bCs/>
          <w:sz w:val="22"/>
          <w:lang w:eastAsia="zh-CN"/>
        </w:rPr>
        <w:t>and UG-121705</w:t>
      </w:r>
      <w:r>
        <w:rPr>
          <w:bCs/>
          <w:sz w:val="22"/>
          <w:lang w:eastAsia="zh-CN"/>
        </w:rPr>
        <w:t>,</w:t>
      </w:r>
      <w:r w:rsidRPr="00FB4DB4">
        <w:rPr>
          <w:bCs/>
          <w:sz w:val="22"/>
          <w:lang w:eastAsia="zh-CN"/>
        </w:rPr>
        <w:t xml:space="preserve"> Order 07</w:t>
      </w:r>
      <w:r>
        <w:rPr>
          <w:bCs/>
          <w:sz w:val="22"/>
          <w:lang w:eastAsia="zh-CN"/>
        </w:rPr>
        <w:t>, Final Order Granting Petition at ¶136</w:t>
      </w:r>
      <w:r w:rsidRPr="008C2B5E">
        <w:rPr>
          <w:bCs/>
          <w:sz w:val="22"/>
          <w:lang w:eastAsia="zh-CN"/>
        </w:rPr>
        <w:t>.</w:t>
      </w:r>
      <w:r>
        <w:rPr>
          <w:bCs/>
          <w:sz w:val="22"/>
          <w:lang w:eastAsia="zh-CN"/>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6F29F6"/>
    <w:multiLevelType w:val="hybridMultilevel"/>
    <w:tmpl w:val="D8085F02"/>
    <w:lvl w:ilvl="0" w:tplc="F372E494">
      <w:start w:val="1"/>
      <w:numFmt w:val="decimal"/>
      <w:lvlText w:val="%1"/>
      <w:lvlJc w:val="left"/>
      <w:pPr>
        <w:ind w:left="1800" w:hanging="360"/>
      </w:pPr>
      <w:rPr>
        <w:rFonts w:ascii="Times New Roman" w:hAnsi="Times New Roman" w:hint="default"/>
        <w:b w:val="0"/>
        <w:i/>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1EE60DF9"/>
    <w:multiLevelType w:val="hybridMultilevel"/>
    <w:tmpl w:val="780A94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29002444"/>
    <w:multiLevelType w:val="hybridMultilevel"/>
    <w:tmpl w:val="B78E5D30"/>
    <w:lvl w:ilvl="0" w:tplc="1AFC8B28">
      <w:start w:val="1"/>
      <w:numFmt w:val="decimal"/>
      <w:lvlText w:val="%1"/>
      <w:lvlJc w:val="left"/>
      <w:pPr>
        <w:ind w:left="0" w:hanging="720"/>
      </w:pPr>
      <w:rPr>
        <w:rFonts w:ascii="Times New Roman" w:hAnsi="Times New Roman" w:hint="default"/>
        <w:b w:val="0"/>
        <w:i/>
        <w:sz w:val="24"/>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3B2D6555"/>
    <w:multiLevelType w:val="hybridMultilevel"/>
    <w:tmpl w:val="68120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02C118F"/>
    <w:multiLevelType w:val="hybridMultilevel"/>
    <w:tmpl w:val="64847A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65020DC"/>
    <w:multiLevelType w:val="hybridMultilevel"/>
    <w:tmpl w:val="8EF83D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D295C1E"/>
    <w:multiLevelType w:val="hybridMultilevel"/>
    <w:tmpl w:val="47482CA4"/>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1"/>
  </w:num>
  <w:num w:numId="3">
    <w:abstractNumId w:val="5"/>
  </w:num>
  <w:num w:numId="4">
    <w:abstractNumId w:val="3"/>
  </w:num>
  <w:num w:numId="5">
    <w:abstractNumId w:val="4"/>
  </w:num>
  <w:num w:numId="6">
    <w:abstractNumId w:val="6"/>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8"/>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1347"/>
    <w:rsid w:val="000333E3"/>
    <w:rsid w:val="0006338C"/>
    <w:rsid w:val="000A1347"/>
    <w:rsid w:val="0017429E"/>
    <w:rsid w:val="001D78E1"/>
    <w:rsid w:val="001F3615"/>
    <w:rsid w:val="00267818"/>
    <w:rsid w:val="002A4E2C"/>
    <w:rsid w:val="002D32A0"/>
    <w:rsid w:val="002F4302"/>
    <w:rsid w:val="00355D52"/>
    <w:rsid w:val="00365F7D"/>
    <w:rsid w:val="003E2FCB"/>
    <w:rsid w:val="003E526E"/>
    <w:rsid w:val="00431BEF"/>
    <w:rsid w:val="004331B0"/>
    <w:rsid w:val="0044332D"/>
    <w:rsid w:val="0047193E"/>
    <w:rsid w:val="005139C6"/>
    <w:rsid w:val="00536186"/>
    <w:rsid w:val="005863DF"/>
    <w:rsid w:val="00637462"/>
    <w:rsid w:val="00666798"/>
    <w:rsid w:val="006A4E30"/>
    <w:rsid w:val="006B1A02"/>
    <w:rsid w:val="006E4A9C"/>
    <w:rsid w:val="00787749"/>
    <w:rsid w:val="008C0164"/>
    <w:rsid w:val="00970B28"/>
    <w:rsid w:val="009A5A7C"/>
    <w:rsid w:val="009C62D8"/>
    <w:rsid w:val="00A337C2"/>
    <w:rsid w:val="00A57A4F"/>
    <w:rsid w:val="00A61311"/>
    <w:rsid w:val="00B177A6"/>
    <w:rsid w:val="00BA7DB3"/>
    <w:rsid w:val="00C13312"/>
    <w:rsid w:val="00C22A35"/>
    <w:rsid w:val="00C2726D"/>
    <w:rsid w:val="00C46D57"/>
    <w:rsid w:val="00C76362"/>
    <w:rsid w:val="00CB1119"/>
    <w:rsid w:val="00CF2572"/>
    <w:rsid w:val="00D33FBE"/>
    <w:rsid w:val="00D70CEE"/>
    <w:rsid w:val="00D779C8"/>
    <w:rsid w:val="00DB04AF"/>
    <w:rsid w:val="00DD5217"/>
    <w:rsid w:val="00E272EA"/>
    <w:rsid w:val="00E27B9F"/>
    <w:rsid w:val="00E334A4"/>
    <w:rsid w:val="00E83865"/>
    <w:rsid w:val="00F33B8D"/>
    <w:rsid w:val="00F7177B"/>
    <w:rsid w:val="00FA02ED"/>
    <w:rsid w:val="00FD1F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D5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1347"/>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5F7D"/>
    <w:pPr>
      <w:ind w:left="720"/>
      <w:contextualSpacing/>
    </w:pPr>
  </w:style>
  <w:style w:type="paragraph" w:styleId="FootnoteText">
    <w:name w:val="footnote text"/>
    <w:basedOn w:val="Normal"/>
    <w:link w:val="FootnoteTextChar"/>
    <w:semiHidden/>
    <w:unhideWhenUsed/>
    <w:rsid w:val="00E334A4"/>
    <w:rPr>
      <w:szCs w:val="20"/>
    </w:rPr>
  </w:style>
  <w:style w:type="character" w:customStyle="1" w:styleId="FootnoteTextChar">
    <w:name w:val="Footnote Text Char"/>
    <w:basedOn w:val="DefaultParagraphFont"/>
    <w:link w:val="FootnoteText"/>
    <w:semiHidden/>
    <w:rsid w:val="00E334A4"/>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E334A4"/>
    <w:rPr>
      <w:vertAlign w:val="superscript"/>
    </w:rPr>
  </w:style>
  <w:style w:type="character" w:styleId="CommentReference">
    <w:name w:val="annotation reference"/>
    <w:basedOn w:val="DefaultParagraphFont"/>
    <w:uiPriority w:val="99"/>
    <w:semiHidden/>
    <w:unhideWhenUsed/>
    <w:rsid w:val="003E2FCB"/>
    <w:rPr>
      <w:sz w:val="16"/>
      <w:szCs w:val="16"/>
    </w:rPr>
  </w:style>
  <w:style w:type="paragraph" w:styleId="CommentText">
    <w:name w:val="annotation text"/>
    <w:basedOn w:val="Normal"/>
    <w:link w:val="CommentTextChar"/>
    <w:uiPriority w:val="99"/>
    <w:semiHidden/>
    <w:unhideWhenUsed/>
    <w:rsid w:val="003E2FCB"/>
    <w:rPr>
      <w:szCs w:val="20"/>
    </w:rPr>
  </w:style>
  <w:style w:type="character" w:customStyle="1" w:styleId="CommentTextChar">
    <w:name w:val="Comment Text Char"/>
    <w:basedOn w:val="DefaultParagraphFont"/>
    <w:link w:val="CommentText"/>
    <w:uiPriority w:val="99"/>
    <w:semiHidden/>
    <w:rsid w:val="003E2FC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E2FCB"/>
    <w:rPr>
      <w:b/>
      <w:bCs/>
    </w:rPr>
  </w:style>
  <w:style w:type="character" w:customStyle="1" w:styleId="CommentSubjectChar">
    <w:name w:val="Comment Subject Char"/>
    <w:basedOn w:val="CommentTextChar"/>
    <w:link w:val="CommentSubject"/>
    <w:uiPriority w:val="99"/>
    <w:semiHidden/>
    <w:rsid w:val="003E2FCB"/>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3E2FC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2FCB"/>
    <w:rPr>
      <w:rFonts w:ascii="Segoe UI" w:eastAsia="Times New Roman" w:hAnsi="Segoe UI" w:cs="Segoe UI"/>
      <w:sz w:val="18"/>
      <w:szCs w:val="18"/>
    </w:rPr>
  </w:style>
  <w:style w:type="paragraph" w:styleId="Header">
    <w:name w:val="header"/>
    <w:basedOn w:val="Normal"/>
    <w:link w:val="HeaderChar"/>
    <w:uiPriority w:val="99"/>
    <w:unhideWhenUsed/>
    <w:rsid w:val="003E526E"/>
    <w:pPr>
      <w:tabs>
        <w:tab w:val="center" w:pos="4680"/>
        <w:tab w:val="right" w:pos="9360"/>
      </w:tabs>
    </w:pPr>
  </w:style>
  <w:style w:type="character" w:customStyle="1" w:styleId="HeaderChar">
    <w:name w:val="Header Char"/>
    <w:basedOn w:val="DefaultParagraphFont"/>
    <w:link w:val="Header"/>
    <w:uiPriority w:val="99"/>
    <w:rsid w:val="003E526E"/>
    <w:rPr>
      <w:rFonts w:ascii="Times New Roman" w:eastAsia="Times New Roman" w:hAnsi="Times New Roman" w:cs="Times New Roman"/>
      <w:sz w:val="20"/>
      <w:szCs w:val="24"/>
    </w:rPr>
  </w:style>
  <w:style w:type="paragraph" w:styleId="Footer">
    <w:name w:val="footer"/>
    <w:basedOn w:val="Normal"/>
    <w:link w:val="FooterChar"/>
    <w:uiPriority w:val="99"/>
    <w:unhideWhenUsed/>
    <w:rsid w:val="003E526E"/>
    <w:pPr>
      <w:tabs>
        <w:tab w:val="center" w:pos="4680"/>
        <w:tab w:val="right" w:pos="9360"/>
      </w:tabs>
    </w:pPr>
  </w:style>
  <w:style w:type="character" w:customStyle="1" w:styleId="FooterChar">
    <w:name w:val="Footer Char"/>
    <w:basedOn w:val="DefaultParagraphFont"/>
    <w:link w:val="Footer"/>
    <w:uiPriority w:val="99"/>
    <w:rsid w:val="003E526E"/>
    <w:rPr>
      <w:rFonts w:ascii="Times New Roman" w:eastAsia="Times New Roman" w:hAnsi="Times New Roman" w:cs="Times New Roman"/>
      <w:sz w:val="20"/>
      <w:szCs w:val="24"/>
    </w:rPr>
  </w:style>
  <w:style w:type="paragraph" w:styleId="BodyTextIndent2">
    <w:name w:val="Body Text Indent 2"/>
    <w:basedOn w:val="Normal"/>
    <w:link w:val="BodyTextIndent2Char"/>
    <w:rsid w:val="00E83865"/>
    <w:pPr>
      <w:widowControl/>
      <w:autoSpaceDE/>
      <w:autoSpaceDN/>
      <w:adjustRightInd/>
      <w:ind w:left="686"/>
    </w:pPr>
    <w:rPr>
      <w:rFonts w:ascii="Palatino Linotype" w:hAnsi="Palatino Linotype"/>
      <w:sz w:val="24"/>
    </w:rPr>
  </w:style>
  <w:style w:type="character" w:customStyle="1" w:styleId="BodyTextIndent2Char">
    <w:name w:val="Body Text Indent 2 Char"/>
    <w:basedOn w:val="DefaultParagraphFont"/>
    <w:link w:val="BodyTextIndent2"/>
    <w:rsid w:val="00E83865"/>
    <w:rPr>
      <w:rFonts w:ascii="Palatino Linotype" w:eastAsia="Times New Roman" w:hAnsi="Palatino Linotype"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1347"/>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5F7D"/>
    <w:pPr>
      <w:ind w:left="720"/>
      <w:contextualSpacing/>
    </w:pPr>
  </w:style>
  <w:style w:type="paragraph" w:styleId="FootnoteText">
    <w:name w:val="footnote text"/>
    <w:basedOn w:val="Normal"/>
    <w:link w:val="FootnoteTextChar"/>
    <w:semiHidden/>
    <w:unhideWhenUsed/>
    <w:rsid w:val="00E334A4"/>
    <w:rPr>
      <w:szCs w:val="20"/>
    </w:rPr>
  </w:style>
  <w:style w:type="character" w:customStyle="1" w:styleId="FootnoteTextChar">
    <w:name w:val="Footnote Text Char"/>
    <w:basedOn w:val="DefaultParagraphFont"/>
    <w:link w:val="FootnoteText"/>
    <w:semiHidden/>
    <w:rsid w:val="00E334A4"/>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E334A4"/>
    <w:rPr>
      <w:vertAlign w:val="superscript"/>
    </w:rPr>
  </w:style>
  <w:style w:type="character" w:styleId="CommentReference">
    <w:name w:val="annotation reference"/>
    <w:basedOn w:val="DefaultParagraphFont"/>
    <w:uiPriority w:val="99"/>
    <w:semiHidden/>
    <w:unhideWhenUsed/>
    <w:rsid w:val="003E2FCB"/>
    <w:rPr>
      <w:sz w:val="16"/>
      <w:szCs w:val="16"/>
    </w:rPr>
  </w:style>
  <w:style w:type="paragraph" w:styleId="CommentText">
    <w:name w:val="annotation text"/>
    <w:basedOn w:val="Normal"/>
    <w:link w:val="CommentTextChar"/>
    <w:uiPriority w:val="99"/>
    <w:semiHidden/>
    <w:unhideWhenUsed/>
    <w:rsid w:val="003E2FCB"/>
    <w:rPr>
      <w:szCs w:val="20"/>
    </w:rPr>
  </w:style>
  <w:style w:type="character" w:customStyle="1" w:styleId="CommentTextChar">
    <w:name w:val="Comment Text Char"/>
    <w:basedOn w:val="DefaultParagraphFont"/>
    <w:link w:val="CommentText"/>
    <w:uiPriority w:val="99"/>
    <w:semiHidden/>
    <w:rsid w:val="003E2FC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E2FCB"/>
    <w:rPr>
      <w:b/>
      <w:bCs/>
    </w:rPr>
  </w:style>
  <w:style w:type="character" w:customStyle="1" w:styleId="CommentSubjectChar">
    <w:name w:val="Comment Subject Char"/>
    <w:basedOn w:val="CommentTextChar"/>
    <w:link w:val="CommentSubject"/>
    <w:uiPriority w:val="99"/>
    <w:semiHidden/>
    <w:rsid w:val="003E2FCB"/>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3E2FC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2FCB"/>
    <w:rPr>
      <w:rFonts w:ascii="Segoe UI" w:eastAsia="Times New Roman" w:hAnsi="Segoe UI" w:cs="Segoe UI"/>
      <w:sz w:val="18"/>
      <w:szCs w:val="18"/>
    </w:rPr>
  </w:style>
  <w:style w:type="paragraph" w:styleId="Header">
    <w:name w:val="header"/>
    <w:basedOn w:val="Normal"/>
    <w:link w:val="HeaderChar"/>
    <w:uiPriority w:val="99"/>
    <w:unhideWhenUsed/>
    <w:rsid w:val="003E526E"/>
    <w:pPr>
      <w:tabs>
        <w:tab w:val="center" w:pos="4680"/>
        <w:tab w:val="right" w:pos="9360"/>
      </w:tabs>
    </w:pPr>
  </w:style>
  <w:style w:type="character" w:customStyle="1" w:styleId="HeaderChar">
    <w:name w:val="Header Char"/>
    <w:basedOn w:val="DefaultParagraphFont"/>
    <w:link w:val="Header"/>
    <w:uiPriority w:val="99"/>
    <w:rsid w:val="003E526E"/>
    <w:rPr>
      <w:rFonts w:ascii="Times New Roman" w:eastAsia="Times New Roman" w:hAnsi="Times New Roman" w:cs="Times New Roman"/>
      <w:sz w:val="20"/>
      <w:szCs w:val="24"/>
    </w:rPr>
  </w:style>
  <w:style w:type="paragraph" w:styleId="Footer">
    <w:name w:val="footer"/>
    <w:basedOn w:val="Normal"/>
    <w:link w:val="FooterChar"/>
    <w:uiPriority w:val="99"/>
    <w:unhideWhenUsed/>
    <w:rsid w:val="003E526E"/>
    <w:pPr>
      <w:tabs>
        <w:tab w:val="center" w:pos="4680"/>
        <w:tab w:val="right" w:pos="9360"/>
      </w:tabs>
    </w:pPr>
  </w:style>
  <w:style w:type="character" w:customStyle="1" w:styleId="FooterChar">
    <w:name w:val="Footer Char"/>
    <w:basedOn w:val="DefaultParagraphFont"/>
    <w:link w:val="Footer"/>
    <w:uiPriority w:val="99"/>
    <w:rsid w:val="003E526E"/>
    <w:rPr>
      <w:rFonts w:ascii="Times New Roman" w:eastAsia="Times New Roman" w:hAnsi="Times New Roman" w:cs="Times New Roman"/>
      <w:sz w:val="20"/>
      <w:szCs w:val="24"/>
    </w:rPr>
  </w:style>
  <w:style w:type="paragraph" w:styleId="BodyTextIndent2">
    <w:name w:val="Body Text Indent 2"/>
    <w:basedOn w:val="Normal"/>
    <w:link w:val="BodyTextIndent2Char"/>
    <w:rsid w:val="00E83865"/>
    <w:pPr>
      <w:widowControl/>
      <w:autoSpaceDE/>
      <w:autoSpaceDN/>
      <w:adjustRightInd/>
      <w:ind w:left="686"/>
    </w:pPr>
    <w:rPr>
      <w:rFonts w:ascii="Palatino Linotype" w:hAnsi="Palatino Linotype"/>
      <w:sz w:val="24"/>
    </w:rPr>
  </w:style>
  <w:style w:type="character" w:customStyle="1" w:styleId="BodyTextIndent2Char">
    <w:name w:val="Body Text Indent 2 Char"/>
    <w:basedOn w:val="DefaultParagraphFont"/>
    <w:link w:val="BodyTextIndent2"/>
    <w:rsid w:val="00E83865"/>
    <w:rPr>
      <w:rFonts w:ascii="Palatino Linotype" w:eastAsia="Times New Roman" w:hAnsi="Palatino Linotype"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6096038">
      <w:bodyDiv w:val="1"/>
      <w:marLeft w:val="0"/>
      <w:marRight w:val="0"/>
      <w:marTop w:val="0"/>
      <w:marBottom w:val="0"/>
      <w:divBdr>
        <w:top w:val="none" w:sz="0" w:space="0" w:color="auto"/>
        <w:left w:val="none" w:sz="0" w:space="0" w:color="auto"/>
        <w:bottom w:val="none" w:sz="0" w:space="0" w:color="auto"/>
        <w:right w:val="none" w:sz="0" w:space="0" w:color="auto"/>
      </w:divBdr>
    </w:div>
    <w:div w:id="1680964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Comment</DocumentSetType>
    <IsConfidential xmlns="dc463f71-b30c-4ab2-9473-d307f9d35888">false</IsConfidential>
    <AgendaOrder xmlns="dc463f71-b30c-4ab2-9473-d307f9d35888">false</AgendaOrder>
    <CaseType xmlns="dc463f71-b30c-4ab2-9473-d307f9d35888">Staff Investigation</CaseType>
    <IndustryCode xmlns="dc463f71-b30c-4ab2-9473-d307f9d35888">140</IndustryCode>
    <CaseStatus xmlns="dc463f71-b30c-4ab2-9473-d307f9d35888">Closed</CaseStatus>
    <OpenedDate xmlns="dc463f71-b30c-4ab2-9473-d307f9d35888">2013-10-31T07:00:00+00:00</OpenedDate>
    <Date1 xmlns="dc463f71-b30c-4ab2-9473-d307f9d35888">2014-08-28T23:48:21+00:00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132043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1940A5867748F42B23F2496B49568D7" ma:contentTypeVersion="135" ma:contentTypeDescription="" ma:contentTypeScope="" ma:versionID="e2e13ec935221c26056da10e8a06728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03D5A7-7D08-45C8-A2BA-3E589B5CD2E4}"/>
</file>

<file path=customXml/itemProps2.xml><?xml version="1.0" encoding="utf-8"?>
<ds:datastoreItem xmlns:ds="http://schemas.openxmlformats.org/officeDocument/2006/customXml" ds:itemID="{5641A286-957B-43C2-AEEB-7710754A0F81}"/>
</file>

<file path=customXml/itemProps3.xml><?xml version="1.0" encoding="utf-8"?>
<ds:datastoreItem xmlns:ds="http://schemas.openxmlformats.org/officeDocument/2006/customXml" ds:itemID="{F5FEE2CB-3043-4616-8A55-804D0A4C03BF}"/>
</file>

<file path=customXml/itemProps4.xml><?xml version="1.0" encoding="utf-8"?>
<ds:datastoreItem xmlns:ds="http://schemas.openxmlformats.org/officeDocument/2006/customXml" ds:itemID="{4B1646B6-8BCD-4F73-A03B-C73E29855C2F}"/>
</file>

<file path=customXml/itemProps5.xml><?xml version="1.0" encoding="utf-8"?>
<ds:datastoreItem xmlns:ds="http://schemas.openxmlformats.org/officeDocument/2006/customXml" ds:itemID="{1B8B9136-F043-4600-87E2-040B03A88928}"/>
</file>

<file path=docProps/app.xml><?xml version="1.0" encoding="utf-8"?>
<Properties xmlns="http://schemas.openxmlformats.org/officeDocument/2006/extended-properties" xmlns:vt="http://schemas.openxmlformats.org/officeDocument/2006/docPropsVTypes">
  <Template>Normal.dotm</Template>
  <TotalTime>55</TotalTime>
  <Pages>4</Pages>
  <Words>686</Words>
  <Characters>3911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4588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Patrick Oshie</dc:creator>
  <cp:lastModifiedBy>Krista Gross</cp:lastModifiedBy>
  <cp:revision>8</cp:revision>
  <dcterms:created xsi:type="dcterms:W3CDTF">2014-08-28T20:34:00Z</dcterms:created>
  <dcterms:modified xsi:type="dcterms:W3CDTF">2014-08-28T22:23:00Z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0x0101006E56B4D1795A2E4DB2F0B01679ED314A0011940A5867748F42B23F2496B49568D7</vt:lpwstr>
  </property>
  <property fmtid="{D5CDD505-2E9C-101B-9397-08002B2CF9AE}" pid="3" name="_docset_NoMedatataSyncRequired">
    <vt:lpwstr>False</vt:lpwstr>
  </property>
</Properties>
</file>