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CE" w:rsidRPr="00545ECE" w:rsidRDefault="00545ECE" w:rsidP="00545ECE">
      <w:pPr>
        <w:jc w:val="center"/>
        <w:rPr>
          <w:rFonts w:ascii="Times New Roman" w:eastAsia="Times New Roman" w:hAnsi="Times New Roman" w:cs="Times New Roman"/>
          <w:b/>
          <w:bCs/>
          <w:sz w:val="25"/>
          <w:szCs w:val="25"/>
        </w:rPr>
      </w:pPr>
      <w:r w:rsidRPr="00545ECE">
        <w:rPr>
          <w:rFonts w:ascii="Times New Roman" w:eastAsia="Times New Roman" w:hAnsi="Times New Roman" w:cs="Times New Roman"/>
          <w:b/>
          <w:bCs/>
          <w:sz w:val="25"/>
          <w:szCs w:val="25"/>
        </w:rPr>
        <w:t xml:space="preserve">BEFORE THE WASHINGTON </w:t>
      </w:r>
    </w:p>
    <w:p w:rsidR="00545ECE" w:rsidRPr="00545ECE" w:rsidRDefault="00545ECE" w:rsidP="00545ECE">
      <w:pPr>
        <w:jc w:val="center"/>
        <w:rPr>
          <w:rFonts w:ascii="Times New Roman" w:eastAsia="Times New Roman" w:hAnsi="Times New Roman" w:cs="Times New Roman"/>
          <w:b/>
          <w:bCs/>
          <w:sz w:val="25"/>
          <w:szCs w:val="25"/>
        </w:rPr>
      </w:pPr>
      <w:r w:rsidRPr="00545ECE">
        <w:rPr>
          <w:rFonts w:ascii="Times New Roman" w:eastAsia="Times New Roman" w:hAnsi="Times New Roman" w:cs="Times New Roman"/>
          <w:b/>
          <w:bCs/>
          <w:sz w:val="25"/>
          <w:szCs w:val="25"/>
        </w:rPr>
        <w:t>UTILITIES AND TRANSPORTATION COMMISSION</w:t>
      </w:r>
    </w:p>
    <w:tbl>
      <w:tblPr>
        <w:tblW w:w="8736" w:type="dxa"/>
        <w:tblBorders>
          <w:insideH w:val="single" w:sz="4" w:space="0" w:color="auto"/>
        </w:tblBorders>
        <w:tblLook w:val="0000" w:firstRow="0" w:lastRow="0" w:firstColumn="0" w:lastColumn="0" w:noHBand="0" w:noVBand="0"/>
      </w:tblPr>
      <w:tblGrid>
        <w:gridCol w:w="4248"/>
        <w:gridCol w:w="500"/>
        <w:gridCol w:w="3988"/>
      </w:tblGrid>
      <w:tr w:rsidR="00545ECE" w:rsidRPr="00545ECE" w:rsidTr="00E0604B">
        <w:tc>
          <w:tcPr>
            <w:tcW w:w="4248" w:type="dxa"/>
          </w:tcPr>
          <w:p w:rsidR="00545ECE" w:rsidRPr="00545ECE" w:rsidRDefault="00545ECE" w:rsidP="00545ECE">
            <w:pPr>
              <w:keepLines/>
              <w:rPr>
                <w:rFonts w:ascii="Times New Roman" w:eastAsia="Times New Roman" w:hAnsi="Times New Roman" w:cs="Times New Roman"/>
                <w:sz w:val="25"/>
                <w:szCs w:val="25"/>
              </w:rPr>
            </w:pPr>
          </w:p>
          <w:p w:rsidR="00545ECE" w:rsidRPr="00545ECE" w:rsidRDefault="00545ECE" w:rsidP="00545ECE">
            <w:pPr>
              <w:keepLines/>
              <w:rPr>
                <w:rFonts w:ascii="Times New Roman" w:eastAsia="Times New Roman" w:hAnsi="Times New Roman" w:cs="Times New Roman"/>
                <w:sz w:val="25"/>
                <w:szCs w:val="25"/>
              </w:rPr>
            </w:pPr>
          </w:p>
          <w:p w:rsidR="00545ECE" w:rsidRPr="00545ECE" w:rsidRDefault="00545ECE" w:rsidP="00545ECE">
            <w:pPr>
              <w:spacing w:line="264" w:lineRule="auto"/>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In the Matter of Determining the Proper Carrier Classification of, and Complaint</w:t>
            </w:r>
          </w:p>
          <w:p w:rsidR="00545ECE" w:rsidRPr="00545ECE" w:rsidRDefault="00545ECE" w:rsidP="00545ECE">
            <w:pPr>
              <w:spacing w:line="264" w:lineRule="auto"/>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for Penalties against:</w:t>
            </w:r>
          </w:p>
          <w:p w:rsidR="00545ECE" w:rsidRPr="00545ECE" w:rsidRDefault="00545ECE" w:rsidP="00545ECE">
            <w:pPr>
              <w:keepLines/>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caps/>
                <w:sz w:val="25"/>
                <w:szCs w:val="25"/>
              </w:rPr>
            </w:pPr>
            <w:r w:rsidRPr="00545ECE">
              <w:rPr>
                <w:rFonts w:ascii="Times New Roman" w:eastAsia="Times New Roman" w:hAnsi="Times New Roman" w:cs="Times New Roman"/>
                <w:caps/>
                <w:sz w:val="25"/>
                <w:szCs w:val="25"/>
              </w:rPr>
              <w:t>3</w:t>
            </w:r>
            <w:r w:rsidRPr="00545ECE">
              <w:rPr>
                <w:rFonts w:ascii="Times New Roman" w:eastAsia="Times New Roman" w:hAnsi="Times New Roman" w:cs="Times New Roman"/>
                <w:caps/>
                <w:sz w:val="25"/>
                <w:szCs w:val="25"/>
                <w:vertAlign w:val="superscript"/>
              </w:rPr>
              <w:t>RD</w:t>
            </w:r>
            <w:r w:rsidRPr="00545ECE">
              <w:rPr>
                <w:rFonts w:ascii="Times New Roman" w:eastAsia="Times New Roman" w:hAnsi="Times New Roman" w:cs="Times New Roman"/>
                <w:caps/>
                <w:sz w:val="25"/>
                <w:szCs w:val="25"/>
              </w:rPr>
              <w:t xml:space="preserve"> GENERATION MOVERS AND HAULING, A+ ALWAYS MOVING, INC., AA STAR TRANSFER CO., INC., ALWAYS ABLE MOVING SERVICE, LLC, ARAYS MOVING SERVICE, LLC, GRAYPORT TRANSFER &amp; STORAGE CO., INC., THUNDER MOVERS, LLC</w:t>
            </w:r>
          </w:p>
          <w:p w:rsidR="00545ECE" w:rsidRDefault="00545ECE" w:rsidP="00545ECE">
            <w:pPr>
              <w:keepLines/>
              <w:rPr>
                <w:rFonts w:ascii="Times New Roman" w:eastAsia="Times New Roman" w:hAnsi="Times New Roman" w:cs="Times New Roman"/>
                <w:sz w:val="25"/>
                <w:szCs w:val="25"/>
              </w:rPr>
            </w:pP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 xml:space="preserve">. . . . . . . . . . . . . . . . . . . . . . . . . . . . . . . . </w:t>
            </w:r>
          </w:p>
        </w:tc>
        <w:tc>
          <w:tcPr>
            <w:tcW w:w="500" w:type="dxa"/>
          </w:tcPr>
          <w:p w:rsidR="00545ECE" w:rsidRPr="00545ECE" w:rsidRDefault="00545ECE" w:rsidP="00545ECE">
            <w:pPr>
              <w:keepLines/>
              <w:rPr>
                <w:rFonts w:ascii="Times New Roman" w:eastAsia="Times New Roman" w:hAnsi="Times New Roman" w:cs="Times New Roman"/>
                <w:sz w:val="25"/>
                <w:szCs w:val="25"/>
              </w:rPr>
            </w:pPr>
          </w:p>
          <w:p w:rsidR="00545ECE" w:rsidRPr="00545ECE" w:rsidRDefault="00545ECE" w:rsidP="00545ECE">
            <w:pPr>
              <w:keepLines/>
              <w:rPr>
                <w:rFonts w:ascii="Times New Roman" w:eastAsia="Times New Roman" w:hAnsi="Times New Roman" w:cs="Times New Roman"/>
                <w:sz w:val="25"/>
                <w:szCs w:val="25"/>
              </w:rPr>
            </w:pP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545ECE" w:rsidRPr="00545ECE" w:rsidRDefault="00545ECE" w:rsidP="00545ECE">
            <w:pPr>
              <w:keepLines/>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w:t>
            </w:r>
          </w:p>
          <w:p w:rsidR="009313F3" w:rsidRDefault="009313F3" w:rsidP="009313F3">
            <w:pPr>
              <w:keepLines/>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9313F3" w:rsidRPr="00545ECE" w:rsidRDefault="009313F3" w:rsidP="009313F3">
            <w:pPr>
              <w:keepLines/>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tc>
        <w:tc>
          <w:tcPr>
            <w:tcW w:w="3988" w:type="dxa"/>
          </w:tcPr>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spacing w:line="264" w:lineRule="auto"/>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 xml:space="preserve">DOCKET </w:t>
            </w:r>
            <w:r w:rsidRPr="00545ECE">
              <w:rPr>
                <w:rFonts w:ascii="Times New Roman" w:eastAsia="Times New Roman" w:hAnsi="Times New Roman" w:cs="Times New Roman"/>
                <w:color w:val="000000"/>
                <w:sz w:val="25"/>
                <w:szCs w:val="25"/>
              </w:rPr>
              <w:t>T</w:t>
            </w:r>
            <w:r w:rsidR="008D6681">
              <w:rPr>
                <w:rFonts w:ascii="Times New Roman" w:eastAsia="Times New Roman" w:hAnsi="Times New Roman" w:cs="Times New Roman"/>
                <w:color w:val="000000"/>
                <w:sz w:val="25"/>
                <w:szCs w:val="25"/>
              </w:rPr>
              <w:t>V</w:t>
            </w:r>
            <w:r w:rsidRPr="00545ECE">
              <w:rPr>
                <w:rFonts w:ascii="Times New Roman" w:eastAsia="Times New Roman" w:hAnsi="Times New Roman" w:cs="Times New Roman"/>
                <w:color w:val="000000"/>
                <w:sz w:val="25"/>
                <w:szCs w:val="25"/>
              </w:rPr>
              <w:t>-121</w:t>
            </w:r>
            <w:r w:rsidR="008D6681">
              <w:rPr>
                <w:rFonts w:ascii="Times New Roman" w:eastAsia="Times New Roman" w:hAnsi="Times New Roman" w:cs="Times New Roman"/>
                <w:color w:val="000000"/>
                <w:sz w:val="25"/>
                <w:szCs w:val="25"/>
              </w:rPr>
              <w:t>722</w:t>
            </w:r>
          </w:p>
          <w:p w:rsidR="00545ECE" w:rsidRPr="00545ECE" w:rsidRDefault="00545ECE" w:rsidP="00545ECE">
            <w:pPr>
              <w:spacing w:line="264" w:lineRule="auto"/>
              <w:rPr>
                <w:rFonts w:ascii="Times New Roman" w:eastAsia="Times New Roman" w:hAnsi="Times New Roman" w:cs="Times New Roman"/>
                <w:sz w:val="25"/>
                <w:szCs w:val="25"/>
              </w:rPr>
            </w:pPr>
          </w:p>
          <w:p w:rsidR="00545ECE" w:rsidRPr="00545ECE" w:rsidRDefault="00DC1C70" w:rsidP="00545ECE">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ORDER 03</w:t>
            </w:r>
          </w:p>
          <w:p w:rsidR="00545ECE" w:rsidRPr="00545ECE" w:rsidRDefault="00545ECE" w:rsidP="00545ECE">
            <w:pPr>
              <w:spacing w:line="264" w:lineRule="auto"/>
              <w:rPr>
                <w:rFonts w:ascii="Times New Roman" w:eastAsia="Times New Roman" w:hAnsi="Times New Roman" w:cs="Times New Roman"/>
                <w:sz w:val="25"/>
                <w:szCs w:val="25"/>
              </w:rPr>
            </w:pPr>
          </w:p>
          <w:p w:rsidR="00545ECE" w:rsidRPr="00545ECE" w:rsidRDefault="00545ECE" w:rsidP="00DC1C70">
            <w:pPr>
              <w:spacing w:line="264" w:lineRule="auto"/>
              <w:rPr>
                <w:rFonts w:ascii="Times New Roman" w:eastAsia="Times New Roman" w:hAnsi="Times New Roman" w:cs="Times New Roman"/>
                <w:b/>
                <w:bCs/>
                <w:sz w:val="25"/>
                <w:szCs w:val="25"/>
              </w:rPr>
            </w:pPr>
            <w:r w:rsidRPr="00545ECE">
              <w:rPr>
                <w:rFonts w:ascii="Times New Roman" w:eastAsia="Times New Roman" w:hAnsi="Times New Roman" w:cs="Times New Roman"/>
                <w:sz w:val="25"/>
                <w:szCs w:val="25"/>
              </w:rPr>
              <w:t xml:space="preserve">ORDER </w:t>
            </w:r>
            <w:r w:rsidR="0048698E">
              <w:rPr>
                <w:rFonts w:ascii="Times New Roman" w:eastAsia="Times New Roman" w:hAnsi="Times New Roman" w:cs="Times New Roman"/>
                <w:sz w:val="25"/>
                <w:szCs w:val="25"/>
              </w:rPr>
              <w:t>AMENDING ORDER 02 AND</w:t>
            </w:r>
            <w:r w:rsidR="005A7113">
              <w:rPr>
                <w:rFonts w:ascii="Times New Roman" w:eastAsia="Times New Roman" w:hAnsi="Times New Roman" w:cs="Times New Roman"/>
                <w:sz w:val="25"/>
                <w:szCs w:val="25"/>
              </w:rPr>
              <w:t xml:space="preserve"> DISMISSING COMPLAINT AGAINST 3</w:t>
            </w:r>
            <w:r w:rsidR="005A7113" w:rsidRPr="005A7113">
              <w:rPr>
                <w:rFonts w:ascii="Times New Roman" w:eastAsia="Times New Roman" w:hAnsi="Times New Roman" w:cs="Times New Roman"/>
                <w:sz w:val="25"/>
                <w:szCs w:val="25"/>
                <w:vertAlign w:val="superscript"/>
              </w:rPr>
              <w:t>RD</w:t>
            </w:r>
            <w:r w:rsidR="005A7113">
              <w:rPr>
                <w:rFonts w:ascii="Times New Roman" w:eastAsia="Times New Roman" w:hAnsi="Times New Roman" w:cs="Times New Roman"/>
                <w:sz w:val="25"/>
                <w:szCs w:val="25"/>
              </w:rPr>
              <w:t xml:space="preserve"> GENERATION MOVERS AND HAULING</w:t>
            </w:r>
          </w:p>
        </w:tc>
      </w:tr>
    </w:tbl>
    <w:p w:rsidR="00545ECE" w:rsidRPr="00545ECE" w:rsidRDefault="00545ECE" w:rsidP="00545ECE">
      <w:pPr>
        <w:rPr>
          <w:rFonts w:ascii="Times New Roman" w:eastAsia="Times New Roman" w:hAnsi="Times New Roman" w:cs="Times New Roman"/>
          <w:sz w:val="25"/>
          <w:szCs w:val="25"/>
        </w:rPr>
      </w:pPr>
    </w:p>
    <w:p w:rsidR="009C67F5" w:rsidRPr="009C67F5" w:rsidRDefault="009C67F5" w:rsidP="009C67F5">
      <w:pPr>
        <w:jc w:val="center"/>
        <w:rPr>
          <w:rFonts w:ascii="Times New Roman" w:eastAsia="Times New Roman" w:hAnsi="Times New Roman" w:cs="Times New Roman"/>
          <w:b/>
          <w:sz w:val="25"/>
          <w:szCs w:val="25"/>
        </w:rPr>
      </w:pPr>
      <w:bookmarkStart w:id="0" w:name="_GoBack"/>
      <w:bookmarkEnd w:id="0"/>
      <w:r>
        <w:rPr>
          <w:rFonts w:ascii="Times New Roman" w:eastAsia="Times New Roman" w:hAnsi="Times New Roman" w:cs="Times New Roman"/>
          <w:b/>
          <w:sz w:val="25"/>
          <w:szCs w:val="25"/>
        </w:rPr>
        <w:t>BACKGROUND</w:t>
      </w:r>
    </w:p>
    <w:p w:rsidR="009C67F5" w:rsidRPr="00545ECE" w:rsidRDefault="009C67F5" w:rsidP="00545ECE">
      <w:pPr>
        <w:rPr>
          <w:rFonts w:ascii="Times New Roman" w:eastAsia="Times New Roman" w:hAnsi="Times New Roman" w:cs="Times New Roman"/>
          <w:sz w:val="25"/>
          <w:szCs w:val="25"/>
        </w:rPr>
      </w:pPr>
    </w:p>
    <w:p w:rsidR="009313F3" w:rsidRPr="00CA7C3B" w:rsidRDefault="00545ECE" w:rsidP="00CA7C3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b/>
          <w:i/>
          <w:sz w:val="25"/>
          <w:szCs w:val="25"/>
        </w:rPr>
      </w:pPr>
      <w:r w:rsidRPr="00545ECE">
        <w:rPr>
          <w:rFonts w:ascii="Times New Roman" w:eastAsia="Times New Roman" w:hAnsi="Times New Roman" w:cs="Times New Roman"/>
          <w:sz w:val="25"/>
          <w:szCs w:val="25"/>
        </w:rPr>
        <w:t xml:space="preserve">On December 31, 2012, the </w:t>
      </w:r>
      <w:r w:rsidR="009C0644">
        <w:rPr>
          <w:rFonts w:ascii="Times New Roman" w:eastAsia="Times New Roman" w:hAnsi="Times New Roman" w:cs="Times New Roman"/>
          <w:sz w:val="25"/>
          <w:szCs w:val="25"/>
        </w:rPr>
        <w:t>Washington Utilities and Transportation Commission (</w:t>
      </w:r>
      <w:r w:rsidRPr="00545ECE">
        <w:rPr>
          <w:rFonts w:ascii="Times New Roman" w:eastAsia="Times New Roman" w:hAnsi="Times New Roman" w:cs="Times New Roman"/>
          <w:sz w:val="25"/>
          <w:szCs w:val="25"/>
        </w:rPr>
        <w:t>Commission</w:t>
      </w:r>
      <w:r w:rsidR="009C0644">
        <w:rPr>
          <w:rFonts w:ascii="Times New Roman" w:eastAsia="Times New Roman" w:hAnsi="Times New Roman" w:cs="Times New Roman"/>
          <w:sz w:val="25"/>
          <w:szCs w:val="25"/>
        </w:rPr>
        <w:t>)</w:t>
      </w:r>
      <w:r w:rsidRPr="00545ECE">
        <w:rPr>
          <w:rFonts w:ascii="Times New Roman" w:eastAsia="Times New Roman" w:hAnsi="Times New Roman" w:cs="Times New Roman"/>
          <w:sz w:val="25"/>
          <w:szCs w:val="25"/>
        </w:rPr>
        <w:t xml:space="preserve"> issued a complaint against 3</w:t>
      </w:r>
      <w:r w:rsidRPr="00545ECE">
        <w:rPr>
          <w:rFonts w:ascii="Times New Roman" w:eastAsia="Times New Roman" w:hAnsi="Times New Roman" w:cs="Times New Roman"/>
          <w:sz w:val="25"/>
          <w:szCs w:val="25"/>
          <w:vertAlign w:val="superscript"/>
        </w:rPr>
        <w:t>rd</w:t>
      </w:r>
      <w:r w:rsidRPr="00545ECE">
        <w:rPr>
          <w:rFonts w:ascii="Times New Roman" w:eastAsia="Times New Roman" w:hAnsi="Times New Roman" w:cs="Times New Roman"/>
          <w:sz w:val="25"/>
          <w:szCs w:val="25"/>
        </w:rPr>
        <w:t xml:space="preserve"> Generation Movers and Hauling (3</w:t>
      </w:r>
      <w:r w:rsidRPr="00545ECE">
        <w:rPr>
          <w:rFonts w:ascii="Times New Roman" w:eastAsia="Times New Roman" w:hAnsi="Times New Roman" w:cs="Times New Roman"/>
          <w:sz w:val="25"/>
          <w:szCs w:val="25"/>
          <w:vertAlign w:val="superscript"/>
        </w:rPr>
        <w:t>rd</w:t>
      </w:r>
      <w:r w:rsidRPr="00545ECE">
        <w:rPr>
          <w:rFonts w:ascii="Times New Roman" w:eastAsia="Times New Roman" w:hAnsi="Times New Roman" w:cs="Times New Roman"/>
          <w:sz w:val="25"/>
          <w:szCs w:val="25"/>
        </w:rPr>
        <w:t xml:space="preserve"> Generation</w:t>
      </w:r>
      <w:r w:rsidR="000B20D0">
        <w:rPr>
          <w:rFonts w:ascii="Times New Roman" w:eastAsia="Times New Roman" w:hAnsi="Times New Roman" w:cs="Times New Roman"/>
          <w:sz w:val="25"/>
          <w:szCs w:val="25"/>
        </w:rPr>
        <w:t xml:space="preserve"> or Company</w:t>
      </w:r>
      <w:r w:rsidRPr="00545ECE">
        <w:rPr>
          <w:rFonts w:ascii="Times New Roman" w:eastAsia="Times New Roman" w:hAnsi="Times New Roman" w:cs="Times New Roman"/>
          <w:sz w:val="25"/>
          <w:szCs w:val="25"/>
        </w:rPr>
        <w:t>) and other</w:t>
      </w:r>
      <w:r w:rsidR="0040682B">
        <w:rPr>
          <w:rFonts w:ascii="Times New Roman" w:eastAsia="Times New Roman" w:hAnsi="Times New Roman" w:cs="Times New Roman"/>
          <w:sz w:val="25"/>
          <w:szCs w:val="25"/>
        </w:rPr>
        <w:t xml:space="preserve"> household goods companie</w:t>
      </w:r>
      <w:r w:rsidRPr="00545ECE">
        <w:rPr>
          <w:rFonts w:ascii="Times New Roman" w:eastAsia="Times New Roman" w:hAnsi="Times New Roman" w:cs="Times New Roman"/>
          <w:sz w:val="25"/>
          <w:szCs w:val="25"/>
        </w:rPr>
        <w:t>s</w:t>
      </w:r>
      <w:r w:rsidR="00386D4F">
        <w:rPr>
          <w:rFonts w:ascii="Times New Roman" w:eastAsia="Times New Roman" w:hAnsi="Times New Roman" w:cs="Times New Roman"/>
          <w:sz w:val="25"/>
          <w:szCs w:val="25"/>
        </w:rPr>
        <w:t xml:space="preserve"> alleging failure </w:t>
      </w:r>
      <w:r w:rsidRPr="00545ECE">
        <w:rPr>
          <w:rFonts w:ascii="Times New Roman" w:eastAsia="Times New Roman" w:hAnsi="Times New Roman" w:cs="Times New Roman"/>
          <w:sz w:val="25"/>
          <w:szCs w:val="25"/>
        </w:rPr>
        <w:t xml:space="preserve">to file </w:t>
      </w:r>
      <w:r w:rsidR="00386D4F">
        <w:rPr>
          <w:rFonts w:ascii="Times New Roman" w:eastAsia="Times New Roman" w:hAnsi="Times New Roman" w:cs="Times New Roman"/>
          <w:sz w:val="25"/>
          <w:szCs w:val="25"/>
        </w:rPr>
        <w:t>an</w:t>
      </w:r>
      <w:r w:rsidRPr="00545ECE">
        <w:rPr>
          <w:rFonts w:ascii="Times New Roman" w:eastAsia="Times New Roman" w:hAnsi="Times New Roman" w:cs="Times New Roman"/>
          <w:sz w:val="25"/>
          <w:szCs w:val="25"/>
        </w:rPr>
        <w:t xml:space="preserve"> annual report for 2011 and to pay regulatory fees for 2012</w:t>
      </w:r>
      <w:r w:rsidR="00386D4F">
        <w:rPr>
          <w:rFonts w:ascii="Times New Roman" w:eastAsia="Times New Roman" w:hAnsi="Times New Roman" w:cs="Times New Roman"/>
          <w:sz w:val="25"/>
          <w:szCs w:val="25"/>
        </w:rPr>
        <w:t xml:space="preserve"> as required under RCW 81.04.080 and RCW 81.80.321, respectively</w:t>
      </w:r>
      <w:r w:rsidRPr="00545ECE">
        <w:rPr>
          <w:rFonts w:ascii="Times New Roman" w:eastAsia="Times New Roman" w:hAnsi="Times New Roman" w:cs="Times New Roman"/>
          <w:sz w:val="25"/>
          <w:szCs w:val="25"/>
        </w:rPr>
        <w:t>.  On February 4, 201</w:t>
      </w:r>
      <w:r w:rsidR="009C0644">
        <w:rPr>
          <w:rFonts w:ascii="Times New Roman" w:eastAsia="Times New Roman" w:hAnsi="Times New Roman" w:cs="Times New Roman"/>
          <w:sz w:val="25"/>
          <w:szCs w:val="25"/>
        </w:rPr>
        <w:t>3</w:t>
      </w:r>
      <w:r w:rsidRPr="00545ECE">
        <w:rPr>
          <w:rFonts w:ascii="Times New Roman" w:eastAsia="Times New Roman" w:hAnsi="Times New Roman" w:cs="Times New Roman"/>
          <w:sz w:val="25"/>
          <w:szCs w:val="25"/>
        </w:rPr>
        <w:t xml:space="preserve">, the Commission </w:t>
      </w:r>
      <w:r w:rsidR="009C67F5">
        <w:rPr>
          <w:rFonts w:ascii="Times New Roman" w:eastAsia="Times New Roman" w:hAnsi="Times New Roman" w:cs="Times New Roman"/>
          <w:sz w:val="25"/>
          <w:szCs w:val="25"/>
        </w:rPr>
        <w:t xml:space="preserve">conducted </w:t>
      </w:r>
      <w:r w:rsidRPr="00545ECE">
        <w:rPr>
          <w:rFonts w:ascii="Times New Roman" w:eastAsia="Times New Roman" w:hAnsi="Times New Roman" w:cs="Times New Roman"/>
          <w:sz w:val="25"/>
          <w:szCs w:val="25"/>
        </w:rPr>
        <w:t>a</w:t>
      </w:r>
      <w:r w:rsidR="009C67F5">
        <w:rPr>
          <w:rFonts w:ascii="Times New Roman" w:eastAsia="Times New Roman" w:hAnsi="Times New Roman" w:cs="Times New Roman"/>
          <w:sz w:val="25"/>
          <w:szCs w:val="25"/>
        </w:rPr>
        <w:t>n evidentiary</w:t>
      </w:r>
      <w:r w:rsidRPr="00545ECE">
        <w:rPr>
          <w:rFonts w:ascii="Times New Roman" w:eastAsia="Times New Roman" w:hAnsi="Times New Roman" w:cs="Times New Roman"/>
          <w:sz w:val="25"/>
          <w:szCs w:val="25"/>
        </w:rPr>
        <w:t xml:space="preserve"> hearing </w:t>
      </w:r>
      <w:r w:rsidR="009C67F5">
        <w:rPr>
          <w:rFonts w:ascii="Times New Roman" w:eastAsia="Times New Roman" w:hAnsi="Times New Roman" w:cs="Times New Roman"/>
          <w:sz w:val="25"/>
          <w:szCs w:val="25"/>
        </w:rPr>
        <w:t>on the complaint</w:t>
      </w:r>
      <w:r w:rsidRPr="00545ECE">
        <w:rPr>
          <w:rFonts w:ascii="Times New Roman" w:eastAsia="Times New Roman" w:hAnsi="Times New Roman" w:cs="Times New Roman"/>
          <w:sz w:val="25"/>
          <w:szCs w:val="25"/>
        </w:rPr>
        <w:t xml:space="preserve">.  On March 12, 2013, the Commission issued Order 01, </w:t>
      </w:r>
      <w:r w:rsidR="007471E9">
        <w:rPr>
          <w:rFonts w:ascii="Times New Roman" w:eastAsia="Times New Roman" w:hAnsi="Times New Roman" w:cs="Times New Roman"/>
          <w:sz w:val="25"/>
          <w:szCs w:val="25"/>
        </w:rPr>
        <w:t>Initial Order Dismissing Certain Complaints, Dismissing Other Complaints Subject to Condition, and Cancelling Permits (Initial Order),</w:t>
      </w:r>
      <w:r w:rsidRPr="00545ECE">
        <w:rPr>
          <w:rFonts w:ascii="Times New Roman" w:eastAsia="Times New Roman" w:hAnsi="Times New Roman" w:cs="Times New Roman"/>
          <w:sz w:val="25"/>
          <w:szCs w:val="25"/>
        </w:rPr>
        <w:t xml:space="preserve"> finding that 3</w:t>
      </w:r>
      <w:r w:rsidRPr="00545ECE">
        <w:rPr>
          <w:rFonts w:ascii="Times New Roman" w:eastAsia="Times New Roman" w:hAnsi="Times New Roman" w:cs="Times New Roman"/>
          <w:sz w:val="25"/>
          <w:szCs w:val="25"/>
          <w:vertAlign w:val="superscript"/>
        </w:rPr>
        <w:t>rd</w:t>
      </w:r>
      <w:r w:rsidRPr="00545ECE">
        <w:rPr>
          <w:rFonts w:ascii="Times New Roman" w:eastAsia="Times New Roman" w:hAnsi="Times New Roman" w:cs="Times New Roman"/>
          <w:sz w:val="25"/>
          <w:szCs w:val="25"/>
        </w:rPr>
        <w:t xml:space="preserve"> Generation had not filed its annual report or paid its annual fees and </w:t>
      </w:r>
      <w:r w:rsidR="00386D4F">
        <w:rPr>
          <w:rFonts w:ascii="Times New Roman" w:eastAsia="Times New Roman" w:hAnsi="Times New Roman" w:cs="Times New Roman"/>
          <w:sz w:val="25"/>
          <w:szCs w:val="25"/>
        </w:rPr>
        <w:t xml:space="preserve">associated </w:t>
      </w:r>
      <w:r w:rsidRPr="00545ECE">
        <w:rPr>
          <w:rFonts w:ascii="Times New Roman" w:eastAsia="Times New Roman" w:hAnsi="Times New Roman" w:cs="Times New Roman"/>
          <w:sz w:val="25"/>
          <w:szCs w:val="25"/>
        </w:rPr>
        <w:t>penalt</w:t>
      </w:r>
      <w:r w:rsidR="00386D4F">
        <w:rPr>
          <w:rFonts w:ascii="Times New Roman" w:eastAsia="Times New Roman" w:hAnsi="Times New Roman" w:cs="Times New Roman"/>
          <w:sz w:val="25"/>
          <w:szCs w:val="25"/>
        </w:rPr>
        <w:t>ies</w:t>
      </w:r>
      <w:r w:rsidRPr="00545ECE">
        <w:rPr>
          <w:rFonts w:ascii="Times New Roman" w:eastAsia="Times New Roman" w:hAnsi="Times New Roman" w:cs="Times New Roman"/>
          <w:sz w:val="25"/>
          <w:szCs w:val="25"/>
        </w:rPr>
        <w:t xml:space="preserve"> and </w:t>
      </w:r>
      <w:r w:rsidR="00463A74">
        <w:rPr>
          <w:rFonts w:ascii="Times New Roman" w:eastAsia="Times New Roman" w:hAnsi="Times New Roman" w:cs="Times New Roman"/>
          <w:sz w:val="25"/>
          <w:szCs w:val="25"/>
        </w:rPr>
        <w:t>cancell</w:t>
      </w:r>
      <w:r w:rsidR="00386D4F">
        <w:rPr>
          <w:rFonts w:ascii="Times New Roman" w:eastAsia="Times New Roman" w:hAnsi="Times New Roman" w:cs="Times New Roman"/>
          <w:sz w:val="25"/>
          <w:szCs w:val="25"/>
        </w:rPr>
        <w:t>ing</w:t>
      </w:r>
      <w:r w:rsidRPr="00545ECE">
        <w:rPr>
          <w:rFonts w:ascii="Times New Roman" w:eastAsia="Times New Roman" w:hAnsi="Times New Roman" w:cs="Times New Roman"/>
          <w:sz w:val="25"/>
          <w:szCs w:val="25"/>
        </w:rPr>
        <w:t xml:space="preserve"> 3</w:t>
      </w:r>
      <w:r w:rsidRPr="00545ECE">
        <w:rPr>
          <w:rFonts w:ascii="Times New Roman" w:eastAsia="Times New Roman" w:hAnsi="Times New Roman" w:cs="Times New Roman"/>
          <w:sz w:val="25"/>
          <w:szCs w:val="25"/>
          <w:vertAlign w:val="superscript"/>
        </w:rPr>
        <w:t>rd</w:t>
      </w:r>
      <w:r w:rsidRPr="00545ECE">
        <w:rPr>
          <w:rFonts w:ascii="Times New Roman" w:eastAsia="Times New Roman" w:hAnsi="Times New Roman" w:cs="Times New Roman"/>
          <w:sz w:val="25"/>
          <w:szCs w:val="25"/>
        </w:rPr>
        <w:t xml:space="preserve"> Generation’s household goods carrier permit.</w:t>
      </w:r>
    </w:p>
    <w:p w:rsidR="008B6D6B" w:rsidRPr="00CA7C3B" w:rsidRDefault="00545ECE" w:rsidP="00CA7C3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 xml:space="preserve">On April 1, 2013, Commission Staff </w:t>
      </w:r>
      <w:r w:rsidR="008B6D6B">
        <w:rPr>
          <w:rFonts w:ascii="Times New Roman" w:eastAsia="Times New Roman" w:hAnsi="Times New Roman" w:cs="Times New Roman"/>
          <w:sz w:val="25"/>
          <w:szCs w:val="25"/>
        </w:rPr>
        <w:t xml:space="preserve">(Staff) </w:t>
      </w:r>
      <w:r w:rsidRPr="00545ECE">
        <w:rPr>
          <w:rFonts w:ascii="Times New Roman" w:eastAsia="Times New Roman" w:hAnsi="Times New Roman" w:cs="Times New Roman"/>
          <w:sz w:val="25"/>
          <w:szCs w:val="25"/>
        </w:rPr>
        <w:t xml:space="preserve">filed a petition for administrative review of </w:t>
      </w:r>
      <w:r w:rsidR="008B6D6B">
        <w:rPr>
          <w:rFonts w:ascii="Times New Roman" w:eastAsia="Times New Roman" w:hAnsi="Times New Roman" w:cs="Times New Roman"/>
          <w:sz w:val="25"/>
          <w:szCs w:val="25"/>
        </w:rPr>
        <w:t>Order 01, stating</w:t>
      </w:r>
      <w:r w:rsidRPr="00545ECE">
        <w:rPr>
          <w:rFonts w:ascii="Times New Roman" w:eastAsia="Times New Roman" w:hAnsi="Times New Roman" w:cs="Times New Roman"/>
          <w:sz w:val="25"/>
          <w:szCs w:val="25"/>
        </w:rPr>
        <w:t xml:space="preserve"> that on March 1, 2013, 3</w:t>
      </w:r>
      <w:r w:rsidRPr="00545ECE">
        <w:rPr>
          <w:rFonts w:ascii="Times New Roman" w:eastAsia="Times New Roman" w:hAnsi="Times New Roman" w:cs="Times New Roman"/>
          <w:sz w:val="25"/>
          <w:szCs w:val="25"/>
          <w:vertAlign w:val="superscript"/>
        </w:rPr>
        <w:t>rd</w:t>
      </w:r>
      <w:r w:rsidRPr="00545ECE">
        <w:rPr>
          <w:rFonts w:ascii="Times New Roman" w:eastAsia="Times New Roman" w:hAnsi="Times New Roman" w:cs="Times New Roman"/>
          <w:sz w:val="25"/>
          <w:szCs w:val="25"/>
        </w:rPr>
        <w:t xml:space="preserve"> Generation filed its 2011 annual report and</w:t>
      </w:r>
      <w:r w:rsidR="00160ECF">
        <w:rPr>
          <w:rFonts w:ascii="Times New Roman" w:eastAsia="Times New Roman" w:hAnsi="Times New Roman" w:cs="Times New Roman"/>
          <w:sz w:val="25"/>
          <w:szCs w:val="25"/>
        </w:rPr>
        <w:t xml:space="preserve"> paid its 2012 regulatory fee</w:t>
      </w:r>
      <w:r w:rsidR="008B6D6B">
        <w:rPr>
          <w:rFonts w:ascii="Times New Roman" w:eastAsia="Times New Roman" w:hAnsi="Times New Roman" w:cs="Times New Roman"/>
          <w:sz w:val="25"/>
          <w:szCs w:val="25"/>
        </w:rPr>
        <w:t xml:space="preserve"> and requesting that the Commission consider these facts and dismiss the complaint against the Company</w:t>
      </w:r>
      <w:r w:rsidR="00160ECF">
        <w:rPr>
          <w:rFonts w:ascii="Times New Roman" w:eastAsia="Times New Roman" w:hAnsi="Times New Roman" w:cs="Times New Roman"/>
          <w:sz w:val="25"/>
          <w:szCs w:val="25"/>
        </w:rPr>
        <w:t xml:space="preserve">.  </w:t>
      </w:r>
      <w:r w:rsidR="008B6D6B">
        <w:rPr>
          <w:rFonts w:ascii="Times New Roman" w:eastAsia="Times New Roman" w:hAnsi="Times New Roman" w:cs="Times New Roman"/>
          <w:sz w:val="25"/>
          <w:szCs w:val="25"/>
        </w:rPr>
        <w:t xml:space="preserve">On June 20, 2013, the Commission entered Order 02, Final Order Accepting Petition for Administrative Review, Reopening Record, and Cancelling Permit Only if </w:t>
      </w:r>
      <w:r w:rsidRPr="00545ECE">
        <w:rPr>
          <w:rFonts w:ascii="Times New Roman" w:eastAsia="Times New Roman" w:hAnsi="Times New Roman" w:cs="Times New Roman"/>
          <w:sz w:val="25"/>
          <w:szCs w:val="25"/>
        </w:rPr>
        <w:t>3</w:t>
      </w:r>
      <w:r w:rsidRPr="00545ECE">
        <w:rPr>
          <w:rFonts w:ascii="Times New Roman" w:eastAsia="Times New Roman" w:hAnsi="Times New Roman" w:cs="Times New Roman"/>
          <w:sz w:val="25"/>
          <w:szCs w:val="25"/>
          <w:vertAlign w:val="superscript"/>
        </w:rPr>
        <w:t>rd</w:t>
      </w:r>
      <w:r w:rsidRPr="00545ECE">
        <w:rPr>
          <w:rFonts w:ascii="Times New Roman" w:eastAsia="Times New Roman" w:hAnsi="Times New Roman" w:cs="Times New Roman"/>
          <w:sz w:val="25"/>
          <w:szCs w:val="25"/>
        </w:rPr>
        <w:t xml:space="preserve"> Generation </w:t>
      </w:r>
      <w:r w:rsidR="008B6D6B">
        <w:rPr>
          <w:rFonts w:ascii="Times New Roman" w:eastAsia="Times New Roman" w:hAnsi="Times New Roman" w:cs="Times New Roman"/>
          <w:sz w:val="25"/>
          <w:szCs w:val="25"/>
        </w:rPr>
        <w:t xml:space="preserve">Fails to Pay Penalty Assessment (Order 02).  </w:t>
      </w:r>
      <w:r w:rsidR="00407116">
        <w:rPr>
          <w:rFonts w:ascii="Times New Roman" w:eastAsia="Times New Roman" w:hAnsi="Times New Roman" w:cs="Times New Roman"/>
          <w:sz w:val="25"/>
          <w:szCs w:val="25"/>
        </w:rPr>
        <w:t>T</w:t>
      </w:r>
      <w:r w:rsidR="00407116" w:rsidRPr="00545ECE">
        <w:rPr>
          <w:rFonts w:ascii="Times New Roman" w:eastAsia="Times New Roman" w:hAnsi="Times New Roman" w:cs="Times New Roman"/>
          <w:sz w:val="25"/>
          <w:szCs w:val="25"/>
        </w:rPr>
        <w:t>he Commission reopen</w:t>
      </w:r>
      <w:r w:rsidR="00657ACC">
        <w:rPr>
          <w:rFonts w:ascii="Times New Roman" w:eastAsia="Times New Roman" w:hAnsi="Times New Roman" w:cs="Times New Roman"/>
          <w:sz w:val="25"/>
          <w:szCs w:val="25"/>
        </w:rPr>
        <w:t>ed</w:t>
      </w:r>
      <w:r w:rsidR="00407116" w:rsidRPr="00545ECE">
        <w:rPr>
          <w:rFonts w:ascii="Times New Roman" w:eastAsia="Times New Roman" w:hAnsi="Times New Roman" w:cs="Times New Roman"/>
          <w:sz w:val="25"/>
          <w:szCs w:val="25"/>
        </w:rPr>
        <w:t xml:space="preserve"> the record to admit </w:t>
      </w:r>
      <w:r w:rsidR="00407116">
        <w:rPr>
          <w:rFonts w:ascii="Times New Roman" w:eastAsia="Times New Roman" w:hAnsi="Times New Roman" w:cs="Times New Roman"/>
          <w:sz w:val="25"/>
          <w:szCs w:val="25"/>
        </w:rPr>
        <w:t>the</w:t>
      </w:r>
      <w:r w:rsidR="00407116" w:rsidRPr="00545ECE">
        <w:rPr>
          <w:rFonts w:ascii="Times New Roman" w:eastAsia="Times New Roman" w:hAnsi="Times New Roman" w:cs="Times New Roman"/>
          <w:sz w:val="25"/>
          <w:szCs w:val="25"/>
        </w:rPr>
        <w:t xml:space="preserve"> </w:t>
      </w:r>
      <w:r w:rsidR="00407116" w:rsidRPr="00545ECE">
        <w:rPr>
          <w:rFonts w:ascii="Times New Roman" w:eastAsia="Times New Roman" w:hAnsi="Times New Roman" w:cs="Times New Roman"/>
          <w:sz w:val="25"/>
          <w:szCs w:val="25"/>
        </w:rPr>
        <w:lastRenderedPageBreak/>
        <w:t>evidence</w:t>
      </w:r>
      <w:r w:rsidR="00407116">
        <w:rPr>
          <w:rFonts w:ascii="Times New Roman" w:eastAsia="Times New Roman" w:hAnsi="Times New Roman" w:cs="Times New Roman"/>
          <w:sz w:val="25"/>
          <w:szCs w:val="25"/>
        </w:rPr>
        <w:t xml:space="preserve"> of 3</w:t>
      </w:r>
      <w:r w:rsidR="00407116" w:rsidRPr="000B20D0">
        <w:rPr>
          <w:rFonts w:ascii="Times New Roman" w:eastAsia="Times New Roman" w:hAnsi="Times New Roman" w:cs="Times New Roman"/>
          <w:sz w:val="25"/>
          <w:szCs w:val="25"/>
          <w:vertAlign w:val="superscript"/>
        </w:rPr>
        <w:t>rd</w:t>
      </w:r>
      <w:r w:rsidR="00407116">
        <w:rPr>
          <w:rFonts w:ascii="Times New Roman" w:eastAsia="Times New Roman" w:hAnsi="Times New Roman" w:cs="Times New Roman"/>
          <w:sz w:val="25"/>
          <w:szCs w:val="25"/>
        </w:rPr>
        <w:t xml:space="preserve"> Generation’s compliance with regulatory requirements</w:t>
      </w:r>
      <w:r w:rsidR="00657ACC">
        <w:rPr>
          <w:rFonts w:ascii="Times New Roman" w:eastAsia="Times New Roman" w:hAnsi="Times New Roman" w:cs="Times New Roman"/>
          <w:sz w:val="25"/>
          <w:szCs w:val="25"/>
        </w:rPr>
        <w:t xml:space="preserve"> but determined that the Company’s permit would be canceled if 3</w:t>
      </w:r>
      <w:r w:rsidR="00657ACC" w:rsidRPr="00657ACC">
        <w:rPr>
          <w:rFonts w:ascii="Times New Roman" w:eastAsia="Times New Roman" w:hAnsi="Times New Roman" w:cs="Times New Roman"/>
          <w:sz w:val="25"/>
          <w:szCs w:val="25"/>
          <w:vertAlign w:val="superscript"/>
        </w:rPr>
        <w:t>rd</w:t>
      </w:r>
      <w:r w:rsidR="00657ACC">
        <w:rPr>
          <w:rFonts w:ascii="Times New Roman" w:eastAsia="Times New Roman" w:hAnsi="Times New Roman" w:cs="Times New Roman"/>
          <w:sz w:val="25"/>
          <w:szCs w:val="25"/>
        </w:rPr>
        <w:t xml:space="preserve"> Generation did not pay </w:t>
      </w:r>
      <w:r w:rsidR="00657ACC" w:rsidRPr="008B6D6B">
        <w:rPr>
          <w:rFonts w:ascii="Times New Roman" w:eastAsia="Times New Roman" w:hAnsi="Times New Roman" w:cs="Times New Roman"/>
          <w:sz w:val="25"/>
          <w:szCs w:val="25"/>
        </w:rPr>
        <w:t xml:space="preserve">the $2,100 penalty assessed against it in Docket TV-120900 for failure to </w:t>
      </w:r>
      <w:r w:rsidR="003B1C85">
        <w:rPr>
          <w:rFonts w:ascii="Times New Roman" w:eastAsia="Times New Roman" w:hAnsi="Times New Roman" w:cs="Times New Roman"/>
          <w:sz w:val="25"/>
          <w:szCs w:val="25"/>
        </w:rPr>
        <w:t xml:space="preserve">timely </w:t>
      </w:r>
      <w:r w:rsidR="00657ACC" w:rsidRPr="008B6D6B">
        <w:rPr>
          <w:rFonts w:ascii="Times New Roman" w:eastAsia="Times New Roman" w:hAnsi="Times New Roman" w:cs="Times New Roman"/>
          <w:sz w:val="25"/>
          <w:szCs w:val="25"/>
        </w:rPr>
        <w:t>file its 2011 annual report and pay its 2012 regulatory fee</w:t>
      </w:r>
      <w:r w:rsidR="00657ACC">
        <w:rPr>
          <w:rFonts w:ascii="Times New Roman" w:eastAsia="Times New Roman" w:hAnsi="Times New Roman" w:cs="Times New Roman"/>
          <w:sz w:val="25"/>
          <w:szCs w:val="25"/>
        </w:rPr>
        <w:t>.</w:t>
      </w:r>
    </w:p>
    <w:p w:rsidR="002B4101" w:rsidRPr="00823054" w:rsidRDefault="008B6D6B" w:rsidP="00823054">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t>On July 22, 2013, Staff filed a petition for reconsideration of Order 02 (Petition).  Staff contends that the Commission’s “decision misconstrues the evidence and is unfair to Third Generation vis-à-vis other carriers with</w:t>
      </w:r>
      <w:r w:rsidR="002B4101">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out</w:t>
      </w:r>
      <w:r w:rsidR="002B4101">
        <w:rPr>
          <w:rFonts w:ascii="Times New Roman" w:eastAsia="Times New Roman" w:hAnsi="Times New Roman" w:cs="Times New Roman"/>
          <w:sz w:val="25"/>
          <w:szCs w:val="25"/>
        </w:rPr>
        <w:t>standing</w:t>
      </w:r>
      <w:r>
        <w:rPr>
          <w:rFonts w:ascii="Times New Roman" w:eastAsia="Times New Roman" w:hAnsi="Times New Roman" w:cs="Times New Roman"/>
          <w:sz w:val="25"/>
          <w:szCs w:val="25"/>
        </w:rPr>
        <w:t xml:space="preserve"> penalty assessments.”</w:t>
      </w:r>
      <w:r w:rsidR="008805AF" w:rsidRPr="00545ECE">
        <w:rPr>
          <w:rFonts w:ascii="Times New Roman" w:eastAsia="Times New Roman" w:hAnsi="Times New Roman" w:cs="Times New Roman"/>
          <w:sz w:val="25"/>
          <w:szCs w:val="25"/>
          <w:vertAlign w:val="superscript"/>
        </w:rPr>
        <w:footnoteReference w:id="1"/>
      </w:r>
      <w:r>
        <w:rPr>
          <w:rFonts w:ascii="Times New Roman" w:eastAsia="Times New Roman" w:hAnsi="Times New Roman" w:cs="Times New Roman"/>
          <w:sz w:val="25"/>
          <w:szCs w:val="25"/>
        </w:rPr>
        <w:t xml:space="preserve">  According to Staff, </w:t>
      </w:r>
      <w:r w:rsidR="002B4101">
        <w:rPr>
          <w:rFonts w:ascii="Times New Roman" w:eastAsia="Times New Roman" w:hAnsi="Times New Roman" w:cs="Times New Roman"/>
          <w:sz w:val="25"/>
          <w:szCs w:val="25"/>
        </w:rPr>
        <w:t>the Commission did not con</w:t>
      </w:r>
      <w:r w:rsidR="00823054">
        <w:rPr>
          <w:rFonts w:ascii="Times New Roman" w:eastAsia="Times New Roman" w:hAnsi="Times New Roman" w:cs="Times New Roman"/>
          <w:sz w:val="25"/>
          <w:szCs w:val="25"/>
        </w:rPr>
        <w:t>ditionally cancel</w:t>
      </w:r>
      <w:r w:rsidR="002B4101">
        <w:rPr>
          <w:rFonts w:ascii="Times New Roman" w:eastAsia="Times New Roman" w:hAnsi="Times New Roman" w:cs="Times New Roman"/>
          <w:sz w:val="25"/>
          <w:szCs w:val="25"/>
        </w:rPr>
        <w:t xml:space="preserve"> the permits of other companies in this docket that had not yet paid their penalty assessments</w:t>
      </w:r>
      <w:r w:rsidR="00823054">
        <w:rPr>
          <w:rFonts w:ascii="Times New Roman" w:eastAsia="Times New Roman" w:hAnsi="Times New Roman" w:cs="Times New Roman"/>
          <w:sz w:val="25"/>
          <w:szCs w:val="25"/>
        </w:rPr>
        <w:t xml:space="preserve">, and taking such action against </w:t>
      </w:r>
      <w:r w:rsidR="002B4101">
        <w:rPr>
          <w:rFonts w:ascii="Times New Roman" w:eastAsia="Times New Roman" w:hAnsi="Times New Roman" w:cs="Times New Roman"/>
          <w:sz w:val="25"/>
          <w:szCs w:val="25"/>
        </w:rPr>
        <w:t>3</w:t>
      </w:r>
      <w:r w:rsidR="002B4101" w:rsidRPr="002B4101">
        <w:rPr>
          <w:rFonts w:ascii="Times New Roman" w:eastAsia="Times New Roman" w:hAnsi="Times New Roman" w:cs="Times New Roman"/>
          <w:sz w:val="25"/>
          <w:szCs w:val="25"/>
          <w:vertAlign w:val="superscript"/>
        </w:rPr>
        <w:t>rd</w:t>
      </w:r>
      <w:r w:rsidR="002B4101">
        <w:rPr>
          <w:rFonts w:ascii="Times New Roman" w:eastAsia="Times New Roman" w:hAnsi="Times New Roman" w:cs="Times New Roman"/>
          <w:sz w:val="25"/>
          <w:szCs w:val="25"/>
        </w:rPr>
        <w:t xml:space="preserve"> Generation</w:t>
      </w:r>
      <w:r w:rsidR="00823054">
        <w:rPr>
          <w:rFonts w:ascii="Times New Roman" w:eastAsia="Times New Roman" w:hAnsi="Times New Roman" w:cs="Times New Roman"/>
          <w:sz w:val="25"/>
          <w:szCs w:val="25"/>
        </w:rPr>
        <w:t xml:space="preserve"> would be fundamentally unfair</w:t>
      </w:r>
      <w:r w:rsidR="00545ECE" w:rsidRPr="008B6D6B">
        <w:rPr>
          <w:rFonts w:ascii="Times New Roman" w:eastAsia="Times New Roman" w:hAnsi="Times New Roman" w:cs="Times New Roman"/>
          <w:sz w:val="25"/>
          <w:szCs w:val="25"/>
        </w:rPr>
        <w:t>.</w:t>
      </w:r>
      <w:r w:rsidR="008805AF" w:rsidRPr="00545ECE">
        <w:rPr>
          <w:rFonts w:ascii="Times New Roman" w:eastAsia="Times New Roman" w:hAnsi="Times New Roman" w:cs="Times New Roman"/>
          <w:sz w:val="25"/>
          <w:szCs w:val="25"/>
          <w:vertAlign w:val="superscript"/>
        </w:rPr>
        <w:footnoteReference w:id="2"/>
      </w:r>
      <w:r w:rsidR="00823054">
        <w:rPr>
          <w:rFonts w:ascii="Times New Roman" w:eastAsia="Times New Roman" w:hAnsi="Times New Roman" w:cs="Times New Roman"/>
          <w:sz w:val="25"/>
          <w:szCs w:val="25"/>
        </w:rPr>
        <w:t xml:space="preserve"> </w:t>
      </w:r>
    </w:p>
    <w:p w:rsidR="002B4101" w:rsidRPr="002B4101" w:rsidRDefault="002B4101" w:rsidP="002B4101">
      <w:pPr>
        <w:tabs>
          <w:tab w:val="left" w:pos="681"/>
          <w:tab w:val="left" w:pos="1401"/>
          <w:tab w:val="center" w:pos="4320"/>
          <w:tab w:val="right" w:pos="8640"/>
        </w:tabs>
        <w:spacing w:line="288"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DISCUSSION</w:t>
      </w:r>
    </w:p>
    <w:p w:rsidR="00545ECE" w:rsidRPr="00545ECE" w:rsidRDefault="00545ECE" w:rsidP="00545ECE">
      <w:pPr>
        <w:ind w:left="720"/>
        <w:rPr>
          <w:rFonts w:ascii="Times New Roman" w:eastAsia="Times New Roman" w:hAnsi="Times New Roman" w:cs="Times New Roman"/>
          <w:sz w:val="25"/>
          <w:szCs w:val="25"/>
        </w:rPr>
      </w:pPr>
    </w:p>
    <w:p w:rsidR="00052B48" w:rsidRDefault="008805AF" w:rsidP="00CA7C3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Petitions for reconsideration must be filed within </w:t>
      </w:r>
      <w:r w:rsidR="00823054">
        <w:rPr>
          <w:rFonts w:ascii="Times New Roman" w:eastAsia="Times New Roman" w:hAnsi="Times New Roman" w:cs="Times New Roman"/>
          <w:sz w:val="25"/>
          <w:szCs w:val="25"/>
        </w:rPr>
        <w:t>10</w:t>
      </w:r>
      <w:r>
        <w:rPr>
          <w:rFonts w:ascii="Times New Roman" w:eastAsia="Times New Roman" w:hAnsi="Times New Roman" w:cs="Times New Roman"/>
          <w:sz w:val="25"/>
          <w:szCs w:val="25"/>
        </w:rPr>
        <w:t xml:space="preserve"> days after the Commission enters a final order</w:t>
      </w:r>
      <w:r w:rsidR="00545ECE" w:rsidRPr="00545ECE">
        <w:rPr>
          <w:rFonts w:ascii="Times New Roman" w:eastAsia="Times New Roman" w:hAnsi="Times New Roman" w:cs="Times New Roman"/>
          <w:sz w:val="25"/>
          <w:szCs w:val="25"/>
        </w:rPr>
        <w:t>.</w:t>
      </w:r>
      <w:r>
        <w:rPr>
          <w:rStyle w:val="FootnoteReference"/>
          <w:rFonts w:ascii="Times New Roman" w:eastAsia="Times New Roman" w:hAnsi="Times New Roman" w:cs="Times New Roman"/>
          <w:sz w:val="25"/>
          <w:szCs w:val="25"/>
        </w:rPr>
        <w:footnoteReference w:id="3"/>
      </w:r>
      <w:r w:rsidR="00545ECE" w:rsidRPr="00545ECE">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Staff filed its Petition</w:t>
      </w:r>
      <w:r w:rsidR="00A758AA">
        <w:rPr>
          <w:rFonts w:ascii="Times New Roman" w:eastAsia="Times New Roman" w:hAnsi="Times New Roman" w:cs="Times New Roman"/>
          <w:sz w:val="25"/>
          <w:szCs w:val="25"/>
        </w:rPr>
        <w:t xml:space="preserve"> 32 days after the Commission entered Order 02.  Staff explains that the Petition “is late-filed because internal discussions concerning the Final Order had to take place and were spread out over a period of weeks due, in large part, to summer vacation schedules.”</w:t>
      </w:r>
      <w:r w:rsidR="00A758AA" w:rsidRPr="00545ECE">
        <w:rPr>
          <w:rFonts w:ascii="Times New Roman" w:eastAsia="Times New Roman" w:hAnsi="Times New Roman" w:cs="Times New Roman"/>
          <w:sz w:val="25"/>
          <w:szCs w:val="25"/>
          <w:vertAlign w:val="superscript"/>
        </w:rPr>
        <w:footnoteReference w:id="4"/>
      </w:r>
      <w:r w:rsidR="00A758AA">
        <w:rPr>
          <w:rFonts w:ascii="Times New Roman" w:eastAsia="Times New Roman" w:hAnsi="Times New Roman" w:cs="Times New Roman"/>
          <w:sz w:val="25"/>
          <w:szCs w:val="25"/>
        </w:rPr>
        <w:t xml:space="preserve">  The Commission will waive filing deadlines established in its rules for good cause, but the alleged need to accommodate vacation schedules, without more, does not represent good cause.  The Petition, however, raises serious fairness issues</w:t>
      </w:r>
      <w:r w:rsidR="003B1C85">
        <w:rPr>
          <w:rFonts w:ascii="Times New Roman" w:eastAsia="Times New Roman" w:hAnsi="Times New Roman" w:cs="Times New Roman"/>
          <w:sz w:val="25"/>
          <w:szCs w:val="25"/>
        </w:rPr>
        <w:t>,</w:t>
      </w:r>
      <w:r w:rsidR="00A758AA">
        <w:rPr>
          <w:rFonts w:ascii="Times New Roman" w:eastAsia="Times New Roman" w:hAnsi="Times New Roman" w:cs="Times New Roman"/>
          <w:sz w:val="25"/>
          <w:szCs w:val="25"/>
        </w:rPr>
        <w:t xml:space="preserve"> and accordingly, we </w:t>
      </w:r>
      <w:r w:rsidR="006C1322">
        <w:rPr>
          <w:rFonts w:ascii="Times New Roman" w:eastAsia="Times New Roman" w:hAnsi="Times New Roman" w:cs="Times New Roman"/>
          <w:sz w:val="25"/>
          <w:szCs w:val="25"/>
        </w:rPr>
        <w:t xml:space="preserve">exercise our authority to </w:t>
      </w:r>
      <w:r w:rsidR="00A758AA">
        <w:rPr>
          <w:rFonts w:ascii="Times New Roman" w:eastAsia="Times New Roman" w:hAnsi="Times New Roman" w:cs="Times New Roman"/>
          <w:sz w:val="25"/>
          <w:szCs w:val="25"/>
        </w:rPr>
        <w:t>review Order 02 on our own motion</w:t>
      </w:r>
      <w:r w:rsidR="006C1322">
        <w:rPr>
          <w:rFonts w:ascii="Times New Roman" w:eastAsia="Times New Roman" w:hAnsi="Times New Roman" w:cs="Times New Roman"/>
          <w:sz w:val="25"/>
          <w:szCs w:val="25"/>
        </w:rPr>
        <w:t xml:space="preserve"> to consider amending that order</w:t>
      </w:r>
      <w:r w:rsidR="00A758AA">
        <w:rPr>
          <w:rFonts w:ascii="Times New Roman" w:eastAsia="Times New Roman" w:hAnsi="Times New Roman" w:cs="Times New Roman"/>
          <w:sz w:val="25"/>
          <w:szCs w:val="25"/>
        </w:rPr>
        <w:t>.</w:t>
      </w:r>
      <w:r w:rsidR="003B1C85" w:rsidRPr="00545ECE">
        <w:rPr>
          <w:rFonts w:ascii="Times New Roman" w:eastAsia="Times New Roman" w:hAnsi="Times New Roman" w:cs="Times New Roman"/>
          <w:sz w:val="25"/>
          <w:szCs w:val="25"/>
          <w:vertAlign w:val="superscript"/>
        </w:rPr>
        <w:footnoteReference w:id="5"/>
      </w:r>
    </w:p>
    <w:p w:rsidR="00120E73" w:rsidRDefault="00CB7C09" w:rsidP="00CA7C3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t>The household goods moving compan</w:t>
      </w:r>
      <w:r w:rsidR="00EA1A20">
        <w:rPr>
          <w:rFonts w:ascii="Times New Roman" w:eastAsia="Times New Roman" w:hAnsi="Times New Roman" w:cs="Times New Roman"/>
          <w:sz w:val="25"/>
          <w:szCs w:val="25"/>
        </w:rPr>
        <w:t>y respondents</w:t>
      </w:r>
      <w:r>
        <w:rPr>
          <w:rFonts w:ascii="Times New Roman" w:eastAsia="Times New Roman" w:hAnsi="Times New Roman" w:cs="Times New Roman"/>
          <w:sz w:val="25"/>
          <w:szCs w:val="25"/>
        </w:rPr>
        <w:t xml:space="preserve"> in this docket were subject to two types of penalties</w:t>
      </w:r>
      <w:r w:rsidR="00823054">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00EA1A20">
        <w:rPr>
          <w:rFonts w:ascii="Times New Roman" w:eastAsia="Times New Roman" w:hAnsi="Times New Roman" w:cs="Times New Roman"/>
          <w:sz w:val="25"/>
          <w:szCs w:val="25"/>
        </w:rPr>
        <w:t>authorized under two different statutes</w:t>
      </w:r>
      <w:r w:rsidR="00823054">
        <w:rPr>
          <w:rFonts w:ascii="Times New Roman" w:eastAsia="Times New Roman" w:hAnsi="Times New Roman" w:cs="Times New Roman"/>
          <w:sz w:val="25"/>
          <w:szCs w:val="25"/>
        </w:rPr>
        <w:t>,</w:t>
      </w:r>
      <w:r w:rsidR="00EA1A20">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for failure to timely file annual reports and pay regulatory fees</w:t>
      </w:r>
      <w:r w:rsidR="00823054">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(1) an automatic penalty of two percent of the </w:t>
      </w:r>
      <w:r w:rsidR="00EA1A20">
        <w:rPr>
          <w:rFonts w:ascii="Times New Roman" w:eastAsia="Times New Roman" w:hAnsi="Times New Roman" w:cs="Times New Roman"/>
          <w:sz w:val="25"/>
          <w:szCs w:val="25"/>
        </w:rPr>
        <w:t xml:space="preserve">regulatory fee </w:t>
      </w:r>
      <w:r>
        <w:rPr>
          <w:rFonts w:ascii="Times New Roman" w:eastAsia="Times New Roman" w:hAnsi="Times New Roman" w:cs="Times New Roman"/>
          <w:sz w:val="25"/>
          <w:szCs w:val="25"/>
        </w:rPr>
        <w:t>due</w:t>
      </w:r>
      <w:r w:rsidR="00761E31">
        <w:rPr>
          <w:rFonts w:ascii="Times New Roman" w:eastAsia="Times New Roman" w:hAnsi="Times New Roman" w:cs="Times New Roman"/>
          <w:sz w:val="25"/>
          <w:szCs w:val="25"/>
        </w:rPr>
        <w:t xml:space="preserve"> (Mandatory Penalty)</w:t>
      </w:r>
      <w:r w:rsidR="00EA1A20">
        <w:rPr>
          <w:rFonts w:ascii="Times New Roman" w:eastAsia="Times New Roman" w:hAnsi="Times New Roman" w:cs="Times New Roman"/>
          <w:sz w:val="25"/>
          <w:szCs w:val="25"/>
        </w:rPr>
        <w:t>;</w:t>
      </w:r>
      <w:r w:rsidR="00EA1A20" w:rsidRPr="00545ECE">
        <w:rPr>
          <w:rFonts w:ascii="Times New Roman" w:eastAsia="Times New Roman" w:hAnsi="Times New Roman" w:cs="Times New Roman"/>
          <w:sz w:val="25"/>
          <w:szCs w:val="25"/>
          <w:vertAlign w:val="superscript"/>
        </w:rPr>
        <w:footnoteReference w:id="6"/>
      </w:r>
      <w:r w:rsidR="00EA1A20">
        <w:rPr>
          <w:rFonts w:ascii="Times New Roman" w:eastAsia="Times New Roman" w:hAnsi="Times New Roman" w:cs="Times New Roman"/>
          <w:sz w:val="25"/>
          <w:szCs w:val="25"/>
        </w:rPr>
        <w:t xml:space="preserve"> and (2) </w:t>
      </w:r>
      <w:r w:rsidR="00761E31">
        <w:rPr>
          <w:rFonts w:ascii="Times New Roman" w:eastAsia="Times New Roman" w:hAnsi="Times New Roman" w:cs="Times New Roman"/>
          <w:sz w:val="25"/>
          <w:szCs w:val="25"/>
        </w:rPr>
        <w:t xml:space="preserve">a </w:t>
      </w:r>
      <w:r w:rsidR="00EA1A20">
        <w:rPr>
          <w:rFonts w:ascii="Times New Roman" w:eastAsia="Times New Roman" w:hAnsi="Times New Roman" w:cs="Times New Roman"/>
          <w:sz w:val="25"/>
          <w:szCs w:val="25"/>
        </w:rPr>
        <w:t>penalt</w:t>
      </w:r>
      <w:r w:rsidR="00761E31">
        <w:rPr>
          <w:rFonts w:ascii="Times New Roman" w:eastAsia="Times New Roman" w:hAnsi="Times New Roman" w:cs="Times New Roman"/>
          <w:sz w:val="25"/>
          <w:szCs w:val="25"/>
        </w:rPr>
        <w:t>y</w:t>
      </w:r>
      <w:r w:rsidR="00EA1A20">
        <w:rPr>
          <w:rFonts w:ascii="Times New Roman" w:eastAsia="Times New Roman" w:hAnsi="Times New Roman" w:cs="Times New Roman"/>
          <w:sz w:val="25"/>
          <w:szCs w:val="25"/>
        </w:rPr>
        <w:t xml:space="preserve"> </w:t>
      </w:r>
      <w:r w:rsidR="00823054">
        <w:rPr>
          <w:rFonts w:ascii="Times New Roman" w:eastAsia="Times New Roman" w:hAnsi="Times New Roman" w:cs="Times New Roman"/>
          <w:sz w:val="25"/>
          <w:szCs w:val="25"/>
        </w:rPr>
        <w:t>the Commission had</w:t>
      </w:r>
      <w:r w:rsidR="00761E31">
        <w:rPr>
          <w:rFonts w:ascii="Times New Roman" w:eastAsia="Times New Roman" w:hAnsi="Times New Roman" w:cs="Times New Roman"/>
          <w:sz w:val="25"/>
          <w:szCs w:val="25"/>
        </w:rPr>
        <w:t xml:space="preserve"> </w:t>
      </w:r>
      <w:r w:rsidR="00761E31">
        <w:rPr>
          <w:rFonts w:ascii="Times New Roman" w:eastAsia="Times New Roman" w:hAnsi="Times New Roman" w:cs="Times New Roman"/>
          <w:sz w:val="25"/>
          <w:szCs w:val="25"/>
        </w:rPr>
        <w:lastRenderedPageBreak/>
        <w:t xml:space="preserve">discretion to impose </w:t>
      </w:r>
      <w:r w:rsidR="00EA1A20">
        <w:rPr>
          <w:rFonts w:ascii="Times New Roman" w:eastAsia="Times New Roman" w:hAnsi="Times New Roman" w:cs="Times New Roman"/>
          <w:sz w:val="25"/>
          <w:szCs w:val="25"/>
        </w:rPr>
        <w:t>of $100 per violation of statute or Commission rule, with each day’s non-compliance representing a separate violation</w:t>
      </w:r>
      <w:r w:rsidR="00761E31">
        <w:rPr>
          <w:rFonts w:ascii="Times New Roman" w:eastAsia="Times New Roman" w:hAnsi="Times New Roman" w:cs="Times New Roman"/>
          <w:sz w:val="25"/>
          <w:szCs w:val="25"/>
        </w:rPr>
        <w:t xml:space="preserve"> (Discretionary Penalty)</w:t>
      </w:r>
      <w:r>
        <w:rPr>
          <w:rFonts w:ascii="Times New Roman" w:eastAsia="Times New Roman" w:hAnsi="Times New Roman" w:cs="Times New Roman"/>
          <w:sz w:val="25"/>
          <w:szCs w:val="25"/>
        </w:rPr>
        <w:t>.</w:t>
      </w:r>
      <w:r w:rsidR="00EA1A20" w:rsidRPr="00545ECE">
        <w:rPr>
          <w:rFonts w:ascii="Times New Roman" w:eastAsia="Times New Roman" w:hAnsi="Times New Roman" w:cs="Times New Roman"/>
          <w:sz w:val="25"/>
          <w:szCs w:val="25"/>
          <w:vertAlign w:val="superscript"/>
        </w:rPr>
        <w:footnoteReference w:id="7"/>
      </w:r>
      <w:r>
        <w:rPr>
          <w:rFonts w:ascii="Times New Roman" w:eastAsia="Times New Roman" w:hAnsi="Times New Roman" w:cs="Times New Roman"/>
          <w:sz w:val="25"/>
          <w:szCs w:val="25"/>
        </w:rPr>
        <w:t xml:space="preserve">  </w:t>
      </w:r>
      <w:r w:rsidR="00120E73">
        <w:rPr>
          <w:rFonts w:ascii="Times New Roman" w:eastAsia="Times New Roman" w:hAnsi="Times New Roman" w:cs="Times New Roman"/>
          <w:sz w:val="25"/>
          <w:szCs w:val="25"/>
        </w:rPr>
        <w:t>The issue is whether the Commission fairly decided to cancel 3</w:t>
      </w:r>
      <w:r w:rsidR="00120E73" w:rsidRPr="00120E73">
        <w:rPr>
          <w:rFonts w:ascii="Times New Roman" w:eastAsia="Times New Roman" w:hAnsi="Times New Roman" w:cs="Times New Roman"/>
          <w:sz w:val="25"/>
          <w:szCs w:val="25"/>
          <w:vertAlign w:val="superscript"/>
        </w:rPr>
        <w:t>rd</w:t>
      </w:r>
      <w:r w:rsidR="00120E73">
        <w:rPr>
          <w:rFonts w:ascii="Times New Roman" w:eastAsia="Times New Roman" w:hAnsi="Times New Roman" w:cs="Times New Roman"/>
          <w:sz w:val="25"/>
          <w:szCs w:val="25"/>
        </w:rPr>
        <w:t xml:space="preserve"> Generation’s permit if it failed to pay the Discretionary Penalty that the Commission </w:t>
      </w:r>
      <w:r w:rsidR="00E35174">
        <w:rPr>
          <w:rFonts w:ascii="Times New Roman" w:eastAsia="Times New Roman" w:hAnsi="Times New Roman" w:cs="Times New Roman"/>
          <w:sz w:val="25"/>
          <w:szCs w:val="25"/>
        </w:rPr>
        <w:t xml:space="preserve">previously </w:t>
      </w:r>
      <w:r w:rsidR="00120E73">
        <w:rPr>
          <w:rFonts w:ascii="Times New Roman" w:eastAsia="Times New Roman" w:hAnsi="Times New Roman" w:cs="Times New Roman"/>
          <w:sz w:val="25"/>
          <w:szCs w:val="25"/>
        </w:rPr>
        <w:t>assessed</w:t>
      </w:r>
      <w:r w:rsidR="00823054">
        <w:rPr>
          <w:rFonts w:ascii="Times New Roman" w:eastAsia="Times New Roman" w:hAnsi="Times New Roman" w:cs="Times New Roman"/>
          <w:sz w:val="25"/>
          <w:szCs w:val="25"/>
        </w:rPr>
        <w:t xml:space="preserve"> </w:t>
      </w:r>
      <w:r w:rsidR="00E35174">
        <w:rPr>
          <w:rFonts w:ascii="Times New Roman" w:eastAsia="Times New Roman" w:hAnsi="Times New Roman" w:cs="Times New Roman"/>
          <w:sz w:val="25"/>
          <w:szCs w:val="25"/>
        </w:rPr>
        <w:t>against the Company</w:t>
      </w:r>
      <w:r w:rsidR="00120E73">
        <w:rPr>
          <w:rFonts w:ascii="Times New Roman" w:eastAsia="Times New Roman" w:hAnsi="Times New Roman" w:cs="Times New Roman"/>
          <w:sz w:val="25"/>
          <w:szCs w:val="25"/>
        </w:rPr>
        <w:t>.</w:t>
      </w:r>
    </w:p>
    <w:p w:rsidR="00CB7C09" w:rsidRPr="00CA7C3B" w:rsidRDefault="00120E73" w:rsidP="00CA7C3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t>We have reviewed the record and conclude that we should not cancel 3</w:t>
      </w:r>
      <w:r w:rsidRPr="00120E73">
        <w:rPr>
          <w:rFonts w:ascii="Times New Roman" w:eastAsia="Times New Roman" w:hAnsi="Times New Roman" w:cs="Times New Roman"/>
          <w:sz w:val="25"/>
          <w:szCs w:val="25"/>
          <w:vertAlign w:val="superscript"/>
        </w:rPr>
        <w:t>rd</w:t>
      </w:r>
      <w:r>
        <w:rPr>
          <w:rFonts w:ascii="Times New Roman" w:eastAsia="Times New Roman" w:hAnsi="Times New Roman" w:cs="Times New Roman"/>
          <w:sz w:val="25"/>
          <w:szCs w:val="25"/>
        </w:rPr>
        <w:t xml:space="preserve"> Generation’s permit or otherwise sanction the Company at this time for </w:t>
      </w:r>
      <w:r w:rsidR="00B53835">
        <w:rPr>
          <w:rFonts w:ascii="Times New Roman" w:eastAsia="Times New Roman" w:hAnsi="Times New Roman" w:cs="Times New Roman"/>
          <w:sz w:val="25"/>
          <w:szCs w:val="25"/>
        </w:rPr>
        <w:t>not yet having paid</w:t>
      </w:r>
      <w:r>
        <w:rPr>
          <w:rFonts w:ascii="Times New Roman" w:eastAsia="Times New Roman" w:hAnsi="Times New Roman" w:cs="Times New Roman"/>
          <w:sz w:val="25"/>
          <w:szCs w:val="25"/>
        </w:rPr>
        <w:t xml:space="preserve"> </w:t>
      </w:r>
      <w:r w:rsidR="00686A31">
        <w:rPr>
          <w:rFonts w:ascii="Times New Roman" w:eastAsia="Times New Roman" w:hAnsi="Times New Roman" w:cs="Times New Roman"/>
          <w:sz w:val="25"/>
          <w:szCs w:val="25"/>
        </w:rPr>
        <w:t>the</w:t>
      </w:r>
      <w:r>
        <w:rPr>
          <w:rFonts w:ascii="Times New Roman" w:eastAsia="Times New Roman" w:hAnsi="Times New Roman" w:cs="Times New Roman"/>
          <w:sz w:val="25"/>
          <w:szCs w:val="25"/>
        </w:rPr>
        <w:t xml:space="preserve"> Discretionary Penalty.  </w:t>
      </w:r>
      <w:r w:rsidR="00B53835">
        <w:rPr>
          <w:rFonts w:ascii="Times New Roman" w:eastAsia="Times New Roman" w:hAnsi="Times New Roman" w:cs="Times New Roman"/>
          <w:sz w:val="25"/>
          <w:szCs w:val="25"/>
        </w:rPr>
        <w:t xml:space="preserve">The Initial Order dismissed the complaint against </w:t>
      </w:r>
      <w:r w:rsidR="00E21E43">
        <w:rPr>
          <w:rFonts w:ascii="Times New Roman" w:eastAsia="Times New Roman" w:hAnsi="Times New Roman" w:cs="Times New Roman"/>
          <w:sz w:val="25"/>
          <w:szCs w:val="25"/>
        </w:rPr>
        <w:t>A+ Always Moving, Inc.</w:t>
      </w:r>
      <w:r w:rsidR="007605D1">
        <w:rPr>
          <w:rFonts w:ascii="Times New Roman" w:eastAsia="Times New Roman" w:hAnsi="Times New Roman" w:cs="Times New Roman"/>
          <w:sz w:val="25"/>
          <w:szCs w:val="25"/>
        </w:rPr>
        <w:t xml:space="preserve"> (A+)</w:t>
      </w:r>
      <w:r w:rsidR="006361E7">
        <w:rPr>
          <w:rFonts w:ascii="Times New Roman" w:eastAsia="Times New Roman" w:hAnsi="Times New Roman" w:cs="Times New Roman"/>
          <w:sz w:val="25"/>
          <w:szCs w:val="25"/>
        </w:rPr>
        <w:t>, even though that company had not yet paid the Discretionary Penalty assessed against it.</w:t>
      </w:r>
      <w:r w:rsidR="006361E7" w:rsidRPr="00545ECE">
        <w:rPr>
          <w:rFonts w:ascii="Times New Roman" w:eastAsia="Times New Roman" w:hAnsi="Times New Roman" w:cs="Times New Roman"/>
          <w:sz w:val="25"/>
          <w:szCs w:val="25"/>
          <w:vertAlign w:val="superscript"/>
        </w:rPr>
        <w:footnoteReference w:id="8"/>
      </w:r>
      <w:r w:rsidR="006361E7">
        <w:rPr>
          <w:rFonts w:ascii="Times New Roman" w:eastAsia="Times New Roman" w:hAnsi="Times New Roman" w:cs="Times New Roman"/>
          <w:sz w:val="25"/>
          <w:szCs w:val="25"/>
        </w:rPr>
        <w:t xml:space="preserve">  The Initial Order also </w:t>
      </w:r>
      <w:r w:rsidR="00527940">
        <w:rPr>
          <w:rFonts w:ascii="Times New Roman" w:eastAsia="Times New Roman" w:hAnsi="Times New Roman" w:cs="Times New Roman"/>
          <w:sz w:val="25"/>
          <w:szCs w:val="25"/>
        </w:rPr>
        <w:t>dismissed the complaint against AA Star Transfer Co., Inc.</w:t>
      </w:r>
      <w:r w:rsidR="007605D1">
        <w:rPr>
          <w:rFonts w:ascii="Times New Roman" w:eastAsia="Times New Roman" w:hAnsi="Times New Roman" w:cs="Times New Roman"/>
          <w:sz w:val="25"/>
          <w:szCs w:val="25"/>
        </w:rPr>
        <w:t xml:space="preserve"> (AA Star)</w:t>
      </w:r>
      <w:r w:rsidR="00527940">
        <w:rPr>
          <w:rFonts w:ascii="Times New Roman" w:eastAsia="Times New Roman" w:hAnsi="Times New Roman" w:cs="Times New Roman"/>
          <w:sz w:val="25"/>
          <w:szCs w:val="25"/>
        </w:rPr>
        <w:t>, and Grayport Transfer &amp; Storage Co., Inc.</w:t>
      </w:r>
      <w:r w:rsidR="007605D1">
        <w:rPr>
          <w:rFonts w:ascii="Times New Roman" w:eastAsia="Times New Roman" w:hAnsi="Times New Roman" w:cs="Times New Roman"/>
          <w:sz w:val="25"/>
          <w:szCs w:val="25"/>
        </w:rPr>
        <w:t xml:space="preserve"> (Grayport)</w:t>
      </w:r>
      <w:r w:rsidR="00527940">
        <w:rPr>
          <w:rFonts w:ascii="Times New Roman" w:eastAsia="Times New Roman" w:hAnsi="Times New Roman" w:cs="Times New Roman"/>
          <w:sz w:val="25"/>
          <w:szCs w:val="25"/>
        </w:rPr>
        <w:t xml:space="preserve">, “on condition that each company pays its </w:t>
      </w:r>
      <w:r w:rsidR="00527940" w:rsidRPr="00527940">
        <w:rPr>
          <w:rFonts w:ascii="Times New Roman" w:eastAsia="Times New Roman" w:hAnsi="Times New Roman" w:cs="Times New Roman"/>
          <w:i/>
          <w:sz w:val="25"/>
          <w:szCs w:val="25"/>
        </w:rPr>
        <w:t>statutory penalty</w:t>
      </w:r>
      <w:r w:rsidR="00527940">
        <w:rPr>
          <w:rFonts w:ascii="Times New Roman" w:eastAsia="Times New Roman" w:hAnsi="Times New Roman" w:cs="Times New Roman"/>
          <w:sz w:val="25"/>
          <w:szCs w:val="25"/>
        </w:rPr>
        <w:t xml:space="preserve"> on or before 20 days after the date of this order,”</w:t>
      </w:r>
      <w:r w:rsidR="00527940" w:rsidRPr="00545ECE">
        <w:rPr>
          <w:rFonts w:ascii="Times New Roman" w:eastAsia="Times New Roman" w:hAnsi="Times New Roman" w:cs="Times New Roman"/>
          <w:sz w:val="25"/>
          <w:szCs w:val="25"/>
          <w:vertAlign w:val="superscript"/>
        </w:rPr>
        <w:footnoteReference w:id="9"/>
      </w:r>
      <w:r w:rsidR="00527940">
        <w:rPr>
          <w:rFonts w:ascii="Times New Roman" w:eastAsia="Times New Roman" w:hAnsi="Times New Roman" w:cs="Times New Roman"/>
          <w:sz w:val="25"/>
          <w:szCs w:val="25"/>
        </w:rPr>
        <w:t xml:space="preserve"> and Staff used the term “statutory penalty”</w:t>
      </w:r>
      <w:r w:rsidR="00E35174" w:rsidRPr="00545ECE">
        <w:rPr>
          <w:rFonts w:ascii="Times New Roman" w:eastAsia="Times New Roman" w:hAnsi="Times New Roman" w:cs="Times New Roman"/>
          <w:sz w:val="25"/>
          <w:szCs w:val="25"/>
          <w:vertAlign w:val="superscript"/>
        </w:rPr>
        <w:footnoteReference w:id="10"/>
      </w:r>
      <w:r w:rsidR="00527940">
        <w:rPr>
          <w:rFonts w:ascii="Times New Roman" w:eastAsia="Times New Roman" w:hAnsi="Times New Roman" w:cs="Times New Roman"/>
          <w:sz w:val="25"/>
          <w:szCs w:val="25"/>
        </w:rPr>
        <w:t xml:space="preserve"> </w:t>
      </w:r>
      <w:r w:rsidR="0097011E">
        <w:rPr>
          <w:rFonts w:ascii="Times New Roman" w:eastAsia="Times New Roman" w:hAnsi="Times New Roman" w:cs="Times New Roman"/>
          <w:sz w:val="25"/>
          <w:szCs w:val="25"/>
        </w:rPr>
        <w:t xml:space="preserve">in the recommendations the Commission adopted </w:t>
      </w:r>
      <w:r w:rsidR="00527940">
        <w:rPr>
          <w:rFonts w:ascii="Times New Roman" w:eastAsia="Times New Roman" w:hAnsi="Times New Roman" w:cs="Times New Roman"/>
          <w:sz w:val="25"/>
          <w:szCs w:val="25"/>
        </w:rPr>
        <w:t>to refer to the Mandatory Penalty.</w:t>
      </w:r>
      <w:r w:rsidR="004413BC" w:rsidRPr="00545ECE">
        <w:rPr>
          <w:rFonts w:ascii="Times New Roman" w:eastAsia="Times New Roman" w:hAnsi="Times New Roman" w:cs="Times New Roman"/>
          <w:sz w:val="25"/>
          <w:szCs w:val="25"/>
          <w:vertAlign w:val="superscript"/>
        </w:rPr>
        <w:footnoteReference w:id="11"/>
      </w:r>
      <w:r w:rsidR="0097011E">
        <w:rPr>
          <w:rFonts w:ascii="Times New Roman" w:eastAsia="Times New Roman" w:hAnsi="Times New Roman" w:cs="Times New Roman"/>
          <w:sz w:val="25"/>
          <w:szCs w:val="25"/>
        </w:rPr>
        <w:t xml:space="preserve">  Neither </w:t>
      </w:r>
      <w:r w:rsidR="007605D1">
        <w:rPr>
          <w:rFonts w:ascii="Times New Roman" w:eastAsia="Times New Roman" w:hAnsi="Times New Roman" w:cs="Times New Roman"/>
          <w:sz w:val="25"/>
          <w:szCs w:val="25"/>
        </w:rPr>
        <w:t>AA Star nor Grayport</w:t>
      </w:r>
      <w:r w:rsidR="0097011E">
        <w:rPr>
          <w:rFonts w:ascii="Times New Roman" w:eastAsia="Times New Roman" w:hAnsi="Times New Roman" w:cs="Times New Roman"/>
          <w:sz w:val="25"/>
          <w:szCs w:val="25"/>
        </w:rPr>
        <w:t xml:space="preserve"> had paid the Discretionary Penalties assessed against them at the time of the hearing.</w:t>
      </w:r>
      <w:r w:rsidR="0097011E" w:rsidRPr="00545ECE">
        <w:rPr>
          <w:rFonts w:ascii="Times New Roman" w:eastAsia="Times New Roman" w:hAnsi="Times New Roman" w:cs="Times New Roman"/>
          <w:sz w:val="25"/>
          <w:szCs w:val="25"/>
          <w:vertAlign w:val="superscript"/>
        </w:rPr>
        <w:footnoteReference w:id="12"/>
      </w:r>
    </w:p>
    <w:p w:rsidR="00226CFB" w:rsidRDefault="007605D1" w:rsidP="00226CF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t>W</w:t>
      </w:r>
      <w:r w:rsidR="00FF18E0">
        <w:rPr>
          <w:rFonts w:ascii="Times New Roman" w:eastAsia="Times New Roman" w:hAnsi="Times New Roman" w:cs="Times New Roman"/>
          <w:sz w:val="25"/>
          <w:szCs w:val="25"/>
        </w:rPr>
        <w:t>hil</w:t>
      </w:r>
      <w:r>
        <w:rPr>
          <w:rFonts w:ascii="Times New Roman" w:eastAsia="Times New Roman" w:hAnsi="Times New Roman" w:cs="Times New Roman"/>
          <w:sz w:val="25"/>
          <w:szCs w:val="25"/>
        </w:rPr>
        <w:t xml:space="preserve">e </w:t>
      </w:r>
      <w:r w:rsidR="00FF18E0">
        <w:rPr>
          <w:rFonts w:ascii="Times New Roman" w:eastAsia="Times New Roman" w:hAnsi="Times New Roman" w:cs="Times New Roman"/>
          <w:sz w:val="25"/>
          <w:szCs w:val="25"/>
        </w:rPr>
        <w:t xml:space="preserve">we </w:t>
      </w:r>
      <w:r>
        <w:rPr>
          <w:rFonts w:ascii="Times New Roman" w:eastAsia="Times New Roman" w:hAnsi="Times New Roman" w:cs="Times New Roman"/>
          <w:sz w:val="25"/>
          <w:szCs w:val="25"/>
        </w:rPr>
        <w:t xml:space="preserve">are troubled that none of these companies had paid their Discretionary Penalties </w:t>
      </w:r>
      <w:r w:rsidR="00126993">
        <w:rPr>
          <w:rFonts w:ascii="Times New Roman" w:eastAsia="Times New Roman" w:hAnsi="Times New Roman" w:cs="Times New Roman"/>
          <w:sz w:val="25"/>
          <w:szCs w:val="25"/>
        </w:rPr>
        <w:t>more than</w:t>
      </w:r>
      <w:r>
        <w:rPr>
          <w:rFonts w:ascii="Times New Roman" w:eastAsia="Times New Roman" w:hAnsi="Times New Roman" w:cs="Times New Roman"/>
          <w:sz w:val="25"/>
          <w:szCs w:val="25"/>
        </w:rPr>
        <w:t xml:space="preserve"> five months after the Commission assessed them, we are </w:t>
      </w:r>
      <w:r w:rsidR="00FF18E0">
        <w:rPr>
          <w:rFonts w:ascii="Times New Roman" w:eastAsia="Times New Roman" w:hAnsi="Times New Roman" w:cs="Times New Roman"/>
          <w:sz w:val="25"/>
          <w:szCs w:val="25"/>
        </w:rPr>
        <w:t>also</w:t>
      </w:r>
      <w:r>
        <w:rPr>
          <w:rFonts w:ascii="Times New Roman" w:eastAsia="Times New Roman" w:hAnsi="Times New Roman" w:cs="Times New Roman"/>
          <w:sz w:val="25"/>
          <w:szCs w:val="25"/>
        </w:rPr>
        <w:t xml:space="preserve"> concerned with disparate treatment of similarly situated parties within the same docket</w:t>
      </w:r>
      <w:r w:rsidR="00CF6E03">
        <w:rPr>
          <w:rFonts w:ascii="Times New Roman" w:eastAsia="Times New Roman" w:hAnsi="Times New Roman" w:cs="Times New Roman"/>
          <w:sz w:val="25"/>
          <w:szCs w:val="25"/>
        </w:rPr>
        <w:t>.</w:t>
      </w:r>
      <w:r w:rsidR="00226CFB">
        <w:rPr>
          <w:rFonts w:ascii="Times New Roman" w:eastAsia="Times New Roman" w:hAnsi="Times New Roman" w:cs="Times New Roman"/>
          <w:sz w:val="25"/>
          <w:szCs w:val="25"/>
        </w:rPr>
        <w:t xml:space="preserve">  Having dismissed the complaint against A+, AA Star, and Grayport without first requiring payment of their Discretionary Penalties, we find that we should not impose such a requirement on 3</w:t>
      </w:r>
      <w:r w:rsidR="00226CFB" w:rsidRPr="00226CFB">
        <w:rPr>
          <w:rFonts w:ascii="Times New Roman" w:eastAsia="Times New Roman" w:hAnsi="Times New Roman" w:cs="Times New Roman"/>
          <w:sz w:val="25"/>
          <w:szCs w:val="25"/>
          <w:vertAlign w:val="superscript"/>
        </w:rPr>
        <w:t>rd</w:t>
      </w:r>
      <w:r w:rsidR="00226CFB">
        <w:rPr>
          <w:rFonts w:ascii="Times New Roman" w:eastAsia="Times New Roman" w:hAnsi="Times New Roman" w:cs="Times New Roman"/>
          <w:sz w:val="25"/>
          <w:szCs w:val="25"/>
        </w:rPr>
        <w:t xml:space="preserve"> Generation.  </w:t>
      </w:r>
    </w:p>
    <w:p w:rsidR="00226CFB" w:rsidRPr="00226CFB" w:rsidRDefault="00226CFB" w:rsidP="00226CFB">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Accordingly, we find that 3</w:t>
      </w:r>
      <w:r w:rsidRPr="00226CFB">
        <w:rPr>
          <w:rFonts w:ascii="Times New Roman" w:eastAsia="Times New Roman" w:hAnsi="Times New Roman" w:cs="Times New Roman"/>
          <w:sz w:val="25"/>
          <w:szCs w:val="25"/>
          <w:vertAlign w:val="superscript"/>
        </w:rPr>
        <w:t>rd</w:t>
      </w:r>
      <w:r>
        <w:rPr>
          <w:rFonts w:ascii="Times New Roman" w:eastAsia="Times New Roman" w:hAnsi="Times New Roman" w:cs="Times New Roman"/>
          <w:sz w:val="25"/>
          <w:szCs w:val="25"/>
        </w:rPr>
        <w:t xml:space="preserve"> Generation filed its annual report for 2011 and paid its regulatory fees and Mandatory Penalty for 2012, and we dismiss the complaint against the Company.  We leave for another day and another docket enforcement of the Discretionary Penalties against </w:t>
      </w:r>
      <w:r w:rsidR="00AC40BA">
        <w:rPr>
          <w:rFonts w:ascii="Times New Roman" w:eastAsia="Times New Roman" w:hAnsi="Times New Roman" w:cs="Times New Roman"/>
          <w:sz w:val="25"/>
          <w:szCs w:val="25"/>
        </w:rPr>
        <w:t>3</w:t>
      </w:r>
      <w:r w:rsidR="00AC40BA" w:rsidRPr="00AC40BA">
        <w:rPr>
          <w:rFonts w:ascii="Times New Roman" w:eastAsia="Times New Roman" w:hAnsi="Times New Roman" w:cs="Times New Roman"/>
          <w:sz w:val="25"/>
          <w:szCs w:val="25"/>
          <w:vertAlign w:val="superscript"/>
        </w:rPr>
        <w:t>RD</w:t>
      </w:r>
      <w:r w:rsidR="00AC40BA">
        <w:rPr>
          <w:rFonts w:ascii="Times New Roman" w:eastAsia="Times New Roman" w:hAnsi="Times New Roman" w:cs="Times New Roman"/>
          <w:sz w:val="25"/>
          <w:szCs w:val="25"/>
        </w:rPr>
        <w:t xml:space="preserve"> Generation and </w:t>
      </w:r>
      <w:r>
        <w:rPr>
          <w:rFonts w:ascii="Times New Roman" w:eastAsia="Times New Roman" w:hAnsi="Times New Roman" w:cs="Times New Roman"/>
          <w:sz w:val="25"/>
          <w:szCs w:val="25"/>
        </w:rPr>
        <w:t xml:space="preserve">the </w:t>
      </w:r>
      <w:r w:rsidR="00AC40BA">
        <w:rPr>
          <w:rFonts w:ascii="Times New Roman" w:eastAsia="Times New Roman" w:hAnsi="Times New Roman" w:cs="Times New Roman"/>
          <w:sz w:val="25"/>
          <w:szCs w:val="25"/>
        </w:rPr>
        <w:t xml:space="preserve">other </w:t>
      </w:r>
      <w:r>
        <w:rPr>
          <w:rFonts w:ascii="Times New Roman" w:eastAsia="Times New Roman" w:hAnsi="Times New Roman" w:cs="Times New Roman"/>
          <w:sz w:val="25"/>
          <w:szCs w:val="25"/>
        </w:rPr>
        <w:t xml:space="preserve">respondents </w:t>
      </w:r>
      <w:r w:rsidR="00AC40BA">
        <w:rPr>
          <w:rFonts w:ascii="Times New Roman" w:eastAsia="Times New Roman" w:hAnsi="Times New Roman" w:cs="Times New Roman"/>
          <w:sz w:val="25"/>
          <w:szCs w:val="25"/>
        </w:rPr>
        <w:t>in this proceeding that</w:t>
      </w:r>
      <w:r>
        <w:rPr>
          <w:rFonts w:ascii="Times New Roman" w:eastAsia="Times New Roman" w:hAnsi="Times New Roman" w:cs="Times New Roman"/>
          <w:sz w:val="25"/>
          <w:szCs w:val="25"/>
        </w:rPr>
        <w:t xml:space="preserve"> have failed to pay those penalties.</w:t>
      </w:r>
    </w:p>
    <w:p w:rsidR="00545ECE" w:rsidRPr="00126993" w:rsidRDefault="00545ECE" w:rsidP="00126993">
      <w:pPr>
        <w:spacing w:after="240" w:line="288" w:lineRule="auto"/>
        <w:jc w:val="center"/>
        <w:rPr>
          <w:rFonts w:ascii="Times New Roman" w:eastAsia="Times New Roman" w:hAnsi="Times New Roman" w:cs="Times New Roman"/>
          <w:b/>
          <w:sz w:val="25"/>
          <w:szCs w:val="25"/>
        </w:rPr>
      </w:pPr>
      <w:r w:rsidRPr="009C67F5">
        <w:rPr>
          <w:rFonts w:ascii="Times New Roman" w:eastAsia="Times New Roman" w:hAnsi="Times New Roman" w:cs="Times New Roman"/>
          <w:b/>
          <w:sz w:val="25"/>
          <w:szCs w:val="25"/>
        </w:rPr>
        <w:t>ORDER</w:t>
      </w:r>
    </w:p>
    <w:p w:rsidR="00545ECE" w:rsidRPr="00545ECE" w:rsidRDefault="00545ECE" w:rsidP="00126993">
      <w:pPr>
        <w:spacing w:after="240" w:line="288" w:lineRule="auto"/>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 xml:space="preserve">THE COMMISSION </w:t>
      </w:r>
      <w:r w:rsidR="00135798">
        <w:rPr>
          <w:rFonts w:ascii="Times New Roman" w:eastAsia="Times New Roman" w:hAnsi="Times New Roman" w:cs="Times New Roman"/>
          <w:sz w:val="25"/>
          <w:szCs w:val="25"/>
        </w:rPr>
        <w:t xml:space="preserve">AMENDS ORDER 02 AND </w:t>
      </w:r>
      <w:r w:rsidRPr="00545ECE">
        <w:rPr>
          <w:rFonts w:ascii="Times New Roman" w:eastAsia="Times New Roman" w:hAnsi="Times New Roman" w:cs="Times New Roman"/>
          <w:sz w:val="25"/>
          <w:szCs w:val="25"/>
        </w:rPr>
        <w:t>ORDERS:</w:t>
      </w:r>
    </w:p>
    <w:p w:rsidR="008911AA" w:rsidRDefault="008911AA" w:rsidP="00420EDC">
      <w:pPr>
        <w:numPr>
          <w:ilvl w:val="0"/>
          <w:numId w:val="1"/>
        </w:numPr>
        <w:tabs>
          <w:tab w:val="left" w:pos="681"/>
          <w:tab w:val="left" w:pos="1401"/>
          <w:tab w:val="center" w:pos="4320"/>
          <w:tab w:val="right" w:pos="8640"/>
        </w:tabs>
        <w:spacing w:after="240" w:line="288" w:lineRule="auto"/>
        <w:ind w:left="0"/>
        <w:rPr>
          <w:rFonts w:ascii="Times New Roman" w:eastAsia="Times New Roman" w:hAnsi="Times New Roman" w:cs="Times New Roman"/>
          <w:sz w:val="25"/>
          <w:szCs w:val="25"/>
        </w:rPr>
      </w:pPr>
      <w:r>
        <w:rPr>
          <w:rFonts w:ascii="Times New Roman" w:eastAsia="Times New Roman" w:hAnsi="Times New Roman" w:cs="Times New Roman"/>
          <w:sz w:val="25"/>
          <w:szCs w:val="25"/>
        </w:rPr>
        <w:t>(1)</w:t>
      </w:r>
      <w:r>
        <w:rPr>
          <w:rFonts w:ascii="Times New Roman" w:eastAsia="Times New Roman" w:hAnsi="Times New Roman" w:cs="Times New Roman"/>
          <w:sz w:val="25"/>
          <w:szCs w:val="25"/>
        </w:rPr>
        <w:tab/>
      </w:r>
      <w:r w:rsidR="00126993">
        <w:rPr>
          <w:rFonts w:ascii="Times New Roman" w:eastAsia="Times New Roman" w:hAnsi="Times New Roman" w:cs="Times New Roman"/>
          <w:sz w:val="25"/>
          <w:szCs w:val="25"/>
        </w:rPr>
        <w:t>T</w:t>
      </w:r>
      <w:r w:rsidR="00B06C81">
        <w:rPr>
          <w:rFonts w:ascii="Times New Roman" w:eastAsia="Times New Roman" w:hAnsi="Times New Roman" w:cs="Times New Roman"/>
          <w:sz w:val="25"/>
          <w:szCs w:val="25"/>
        </w:rPr>
        <w:t>he complaint against 3</w:t>
      </w:r>
      <w:r w:rsidR="00B06C81" w:rsidRPr="00B06C81">
        <w:rPr>
          <w:rFonts w:ascii="Times New Roman" w:eastAsia="Times New Roman" w:hAnsi="Times New Roman" w:cs="Times New Roman"/>
          <w:sz w:val="25"/>
          <w:szCs w:val="25"/>
          <w:vertAlign w:val="superscript"/>
        </w:rPr>
        <w:t>rd</w:t>
      </w:r>
      <w:r w:rsidR="00B06C81">
        <w:rPr>
          <w:rFonts w:ascii="Times New Roman" w:eastAsia="Times New Roman" w:hAnsi="Times New Roman" w:cs="Times New Roman"/>
          <w:sz w:val="25"/>
          <w:szCs w:val="25"/>
        </w:rPr>
        <w:t xml:space="preserve"> Generation Movers and Hauling is dismissed</w:t>
      </w:r>
      <w:r w:rsidR="00545ECE" w:rsidRPr="00545ECE">
        <w:rPr>
          <w:rFonts w:ascii="Times New Roman" w:eastAsia="Times New Roman" w:hAnsi="Times New Roman" w:cs="Times New Roman"/>
          <w:sz w:val="25"/>
          <w:szCs w:val="25"/>
        </w:rPr>
        <w:t xml:space="preserve">.  </w:t>
      </w:r>
    </w:p>
    <w:p w:rsidR="00545ECE" w:rsidRPr="00226CFB" w:rsidRDefault="008911AA" w:rsidP="00540F25">
      <w:pPr>
        <w:numPr>
          <w:ilvl w:val="0"/>
          <w:numId w:val="1"/>
        </w:numPr>
        <w:tabs>
          <w:tab w:val="left" w:pos="0"/>
          <w:tab w:val="left" w:pos="1401"/>
          <w:tab w:val="center" w:pos="4320"/>
          <w:tab w:val="right" w:pos="8640"/>
        </w:tabs>
        <w:spacing w:after="240" w:line="288" w:lineRule="auto"/>
        <w:ind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Pr>
          <w:rFonts w:ascii="Times New Roman" w:eastAsia="Times New Roman" w:hAnsi="Times New Roman" w:cs="Times New Roman"/>
          <w:sz w:val="25"/>
          <w:szCs w:val="25"/>
        </w:rPr>
        <w:tab/>
      </w:r>
      <w:r w:rsidR="00545ECE" w:rsidRPr="00545ECE">
        <w:rPr>
          <w:rFonts w:ascii="Times New Roman" w:eastAsia="Times New Roman" w:hAnsi="Times New Roman" w:cs="Times New Roman"/>
          <w:sz w:val="25"/>
          <w:szCs w:val="25"/>
        </w:rPr>
        <w:t>3</w:t>
      </w:r>
      <w:r w:rsidR="00545ECE" w:rsidRPr="00545ECE">
        <w:rPr>
          <w:rFonts w:ascii="Times New Roman" w:eastAsia="Times New Roman" w:hAnsi="Times New Roman" w:cs="Times New Roman"/>
          <w:sz w:val="25"/>
          <w:szCs w:val="25"/>
          <w:vertAlign w:val="superscript"/>
        </w:rPr>
        <w:t>rd</w:t>
      </w:r>
      <w:r w:rsidR="00545ECE" w:rsidRPr="00545ECE">
        <w:rPr>
          <w:rFonts w:ascii="Times New Roman" w:eastAsia="Times New Roman" w:hAnsi="Times New Roman" w:cs="Times New Roman"/>
          <w:sz w:val="25"/>
          <w:szCs w:val="25"/>
        </w:rPr>
        <w:t xml:space="preserve"> Generation</w:t>
      </w:r>
      <w:r w:rsidR="009C67F5">
        <w:rPr>
          <w:rFonts w:ascii="Times New Roman" w:eastAsia="Times New Roman" w:hAnsi="Times New Roman" w:cs="Times New Roman"/>
          <w:sz w:val="25"/>
          <w:szCs w:val="25"/>
        </w:rPr>
        <w:t xml:space="preserve"> Movers and Hauling</w:t>
      </w:r>
      <w:r w:rsidR="00545ECE" w:rsidRPr="00545ECE">
        <w:rPr>
          <w:rFonts w:ascii="Times New Roman" w:eastAsia="Times New Roman" w:hAnsi="Times New Roman" w:cs="Times New Roman"/>
          <w:sz w:val="25"/>
          <w:szCs w:val="25"/>
        </w:rPr>
        <w:t xml:space="preserve">’s household goods moving permit </w:t>
      </w:r>
      <w:r w:rsidR="006F08C2">
        <w:rPr>
          <w:rFonts w:ascii="Times New Roman" w:eastAsia="Times New Roman" w:hAnsi="Times New Roman" w:cs="Times New Roman"/>
          <w:sz w:val="25"/>
          <w:szCs w:val="25"/>
        </w:rPr>
        <w:t xml:space="preserve">will </w:t>
      </w:r>
      <w:r w:rsidR="009C67F5">
        <w:rPr>
          <w:rFonts w:ascii="Times New Roman" w:eastAsia="Times New Roman" w:hAnsi="Times New Roman" w:cs="Times New Roman"/>
          <w:sz w:val="25"/>
          <w:szCs w:val="25"/>
        </w:rPr>
        <w:t xml:space="preserve">not </w:t>
      </w:r>
      <w:r w:rsidR="00052B48">
        <w:rPr>
          <w:rFonts w:ascii="Times New Roman" w:eastAsia="Times New Roman" w:hAnsi="Times New Roman" w:cs="Times New Roman"/>
          <w:sz w:val="25"/>
          <w:szCs w:val="25"/>
        </w:rPr>
        <w:t xml:space="preserve">be cancelled </w:t>
      </w:r>
      <w:r w:rsidR="009C67F5">
        <w:rPr>
          <w:rFonts w:ascii="Times New Roman" w:eastAsia="Times New Roman" w:hAnsi="Times New Roman" w:cs="Times New Roman"/>
          <w:sz w:val="25"/>
          <w:szCs w:val="25"/>
        </w:rPr>
        <w:t xml:space="preserve">at this time </w:t>
      </w:r>
      <w:r w:rsidR="00052B48">
        <w:rPr>
          <w:rFonts w:ascii="Times New Roman" w:eastAsia="Times New Roman" w:hAnsi="Times New Roman" w:cs="Times New Roman"/>
          <w:sz w:val="25"/>
          <w:szCs w:val="25"/>
        </w:rPr>
        <w:t xml:space="preserve">for </w:t>
      </w:r>
      <w:r w:rsidR="00126993">
        <w:rPr>
          <w:rFonts w:ascii="Times New Roman" w:eastAsia="Times New Roman" w:hAnsi="Times New Roman" w:cs="Times New Roman"/>
          <w:sz w:val="25"/>
          <w:szCs w:val="25"/>
        </w:rPr>
        <w:t>not yet having paid</w:t>
      </w:r>
      <w:r w:rsidR="00052B48">
        <w:rPr>
          <w:rFonts w:ascii="Times New Roman" w:eastAsia="Times New Roman" w:hAnsi="Times New Roman" w:cs="Times New Roman"/>
          <w:sz w:val="25"/>
          <w:szCs w:val="25"/>
        </w:rPr>
        <w:t xml:space="preserve"> the </w:t>
      </w:r>
      <w:r w:rsidR="00545ECE" w:rsidRPr="00545ECE">
        <w:rPr>
          <w:rFonts w:ascii="Times New Roman" w:eastAsia="Times New Roman" w:hAnsi="Times New Roman" w:cs="Times New Roman"/>
          <w:sz w:val="25"/>
          <w:szCs w:val="25"/>
        </w:rPr>
        <w:t>penalty of $2</w:t>
      </w:r>
      <w:r w:rsidR="006F08C2">
        <w:rPr>
          <w:rFonts w:ascii="Times New Roman" w:eastAsia="Times New Roman" w:hAnsi="Times New Roman" w:cs="Times New Roman"/>
          <w:sz w:val="25"/>
          <w:szCs w:val="25"/>
        </w:rPr>
        <w:t>,</w:t>
      </w:r>
      <w:r w:rsidR="00545ECE" w:rsidRPr="00545ECE">
        <w:rPr>
          <w:rFonts w:ascii="Times New Roman" w:eastAsia="Times New Roman" w:hAnsi="Times New Roman" w:cs="Times New Roman"/>
          <w:sz w:val="25"/>
          <w:szCs w:val="25"/>
        </w:rPr>
        <w:t>100</w:t>
      </w:r>
      <w:r w:rsidR="00B06C81">
        <w:rPr>
          <w:rFonts w:ascii="Times New Roman" w:eastAsia="Times New Roman" w:hAnsi="Times New Roman" w:cs="Times New Roman"/>
          <w:sz w:val="25"/>
          <w:szCs w:val="25"/>
        </w:rPr>
        <w:t xml:space="preserve"> assessed in </w:t>
      </w:r>
      <w:r w:rsidR="00B06C81" w:rsidRPr="008B6D6B">
        <w:rPr>
          <w:rFonts w:ascii="Times New Roman" w:eastAsia="Times New Roman" w:hAnsi="Times New Roman" w:cs="Times New Roman"/>
          <w:sz w:val="25"/>
          <w:szCs w:val="25"/>
        </w:rPr>
        <w:t xml:space="preserve">Docket TV-120900 for failure to </w:t>
      </w:r>
      <w:r w:rsidR="00B06C81">
        <w:rPr>
          <w:rFonts w:ascii="Times New Roman" w:eastAsia="Times New Roman" w:hAnsi="Times New Roman" w:cs="Times New Roman"/>
          <w:sz w:val="25"/>
          <w:szCs w:val="25"/>
        </w:rPr>
        <w:t xml:space="preserve">timely </w:t>
      </w:r>
      <w:r w:rsidR="00B06C81" w:rsidRPr="008B6D6B">
        <w:rPr>
          <w:rFonts w:ascii="Times New Roman" w:eastAsia="Times New Roman" w:hAnsi="Times New Roman" w:cs="Times New Roman"/>
          <w:sz w:val="25"/>
          <w:szCs w:val="25"/>
        </w:rPr>
        <w:t>file its 2011 annual report and pay its 2012 regulatory fee</w:t>
      </w:r>
      <w:r w:rsidR="00135798">
        <w:rPr>
          <w:rFonts w:ascii="Times New Roman" w:eastAsia="Times New Roman" w:hAnsi="Times New Roman" w:cs="Times New Roman"/>
          <w:sz w:val="25"/>
          <w:szCs w:val="25"/>
        </w:rPr>
        <w:t xml:space="preserve">, and the </w:t>
      </w:r>
      <w:r w:rsidR="00AC40BA">
        <w:rPr>
          <w:rFonts w:ascii="Times New Roman" w:eastAsia="Times New Roman" w:hAnsi="Times New Roman" w:cs="Times New Roman"/>
          <w:sz w:val="25"/>
          <w:szCs w:val="25"/>
        </w:rPr>
        <w:t xml:space="preserve">schedule for installment </w:t>
      </w:r>
      <w:r w:rsidR="00135798">
        <w:rPr>
          <w:rFonts w:ascii="Times New Roman" w:eastAsia="Times New Roman" w:hAnsi="Times New Roman" w:cs="Times New Roman"/>
          <w:sz w:val="25"/>
          <w:szCs w:val="25"/>
        </w:rPr>
        <w:t>payment</w:t>
      </w:r>
      <w:r w:rsidR="00AC40BA">
        <w:rPr>
          <w:rFonts w:ascii="Times New Roman" w:eastAsia="Times New Roman" w:hAnsi="Times New Roman" w:cs="Times New Roman"/>
          <w:sz w:val="25"/>
          <w:szCs w:val="25"/>
        </w:rPr>
        <w:t>s of that penalty</w:t>
      </w:r>
      <w:r w:rsidR="00135798">
        <w:rPr>
          <w:rFonts w:ascii="Times New Roman" w:eastAsia="Times New Roman" w:hAnsi="Times New Roman" w:cs="Times New Roman"/>
          <w:sz w:val="25"/>
          <w:szCs w:val="25"/>
        </w:rPr>
        <w:t xml:space="preserve"> is vacated</w:t>
      </w:r>
      <w:r w:rsidR="00CF6E03">
        <w:rPr>
          <w:rFonts w:ascii="Times New Roman" w:eastAsia="Times New Roman" w:hAnsi="Times New Roman" w:cs="Times New Roman"/>
          <w:sz w:val="25"/>
          <w:szCs w:val="25"/>
        </w:rPr>
        <w:t>.</w:t>
      </w:r>
      <w:r w:rsidR="00545ECE" w:rsidRPr="00545ECE">
        <w:rPr>
          <w:rFonts w:ascii="Times New Roman" w:eastAsia="Times New Roman" w:hAnsi="Times New Roman" w:cs="Times New Roman"/>
          <w:sz w:val="25"/>
          <w:szCs w:val="25"/>
        </w:rPr>
        <w:t xml:space="preserve"> </w:t>
      </w:r>
      <w:r w:rsidR="00B06C81">
        <w:rPr>
          <w:rFonts w:ascii="Times New Roman" w:eastAsia="Times New Roman" w:hAnsi="Times New Roman" w:cs="Times New Roman"/>
          <w:sz w:val="25"/>
          <w:szCs w:val="25"/>
        </w:rPr>
        <w:t xml:space="preserve"> The Commission reserves the </w:t>
      </w:r>
      <w:r w:rsidR="00226CFB">
        <w:rPr>
          <w:rFonts w:ascii="Times New Roman" w:eastAsia="Times New Roman" w:hAnsi="Times New Roman" w:cs="Times New Roman"/>
          <w:sz w:val="25"/>
          <w:szCs w:val="25"/>
        </w:rPr>
        <w:t>discretion</w:t>
      </w:r>
      <w:r w:rsidR="00B06C81">
        <w:rPr>
          <w:rFonts w:ascii="Times New Roman" w:eastAsia="Times New Roman" w:hAnsi="Times New Roman" w:cs="Times New Roman"/>
          <w:sz w:val="25"/>
          <w:szCs w:val="25"/>
        </w:rPr>
        <w:t xml:space="preserve"> to take appropriate action in the future to enforce th</w:t>
      </w:r>
      <w:r w:rsidR="0052748B">
        <w:rPr>
          <w:rFonts w:ascii="Times New Roman" w:eastAsia="Times New Roman" w:hAnsi="Times New Roman" w:cs="Times New Roman"/>
          <w:sz w:val="25"/>
          <w:szCs w:val="25"/>
        </w:rPr>
        <w:t>at</w:t>
      </w:r>
      <w:r w:rsidR="00B06C81">
        <w:rPr>
          <w:rFonts w:ascii="Times New Roman" w:eastAsia="Times New Roman" w:hAnsi="Times New Roman" w:cs="Times New Roman"/>
          <w:sz w:val="25"/>
          <w:szCs w:val="25"/>
        </w:rPr>
        <w:t xml:space="preserve"> penalty assessment, up to and including cancelling the Company’s permit, if the penalty remains unpaid.</w:t>
      </w:r>
    </w:p>
    <w:p w:rsidR="00545ECE" w:rsidRPr="00545ECE" w:rsidRDefault="00545ECE" w:rsidP="00545ECE">
      <w:pPr>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 xml:space="preserve">DATED at Olympia, Washington, and effective, </w:t>
      </w:r>
      <w:r w:rsidR="009C67F5">
        <w:rPr>
          <w:rFonts w:ascii="Times New Roman" w:eastAsia="Times New Roman" w:hAnsi="Times New Roman" w:cs="Times New Roman"/>
          <w:sz w:val="25"/>
          <w:szCs w:val="25"/>
        </w:rPr>
        <w:t>July</w:t>
      </w:r>
      <w:r w:rsidRPr="00545ECE">
        <w:rPr>
          <w:rFonts w:ascii="Times New Roman" w:eastAsia="Times New Roman" w:hAnsi="Times New Roman" w:cs="Times New Roman"/>
          <w:sz w:val="25"/>
          <w:szCs w:val="25"/>
        </w:rPr>
        <w:t xml:space="preserve"> </w:t>
      </w:r>
      <w:r w:rsidR="009C0644">
        <w:rPr>
          <w:rFonts w:ascii="Times New Roman" w:eastAsia="Times New Roman" w:hAnsi="Times New Roman" w:cs="Times New Roman"/>
          <w:sz w:val="25"/>
          <w:szCs w:val="25"/>
        </w:rPr>
        <w:t>26</w:t>
      </w:r>
      <w:r w:rsidRPr="00545ECE">
        <w:rPr>
          <w:rFonts w:ascii="Times New Roman" w:eastAsia="Times New Roman" w:hAnsi="Times New Roman" w:cs="Times New Roman"/>
          <w:sz w:val="25"/>
          <w:szCs w:val="25"/>
        </w:rPr>
        <w:t>, 2013.</w:t>
      </w:r>
    </w:p>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spacing w:line="264" w:lineRule="auto"/>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t>DAVID W. DANNER, Chairman</w:t>
      </w:r>
    </w:p>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sz w:val="25"/>
          <w:szCs w:val="25"/>
        </w:rPr>
      </w:pPr>
    </w:p>
    <w:p w:rsidR="00545ECE" w:rsidRPr="00545ECE" w:rsidRDefault="00545ECE" w:rsidP="00545ECE">
      <w:pPr>
        <w:rPr>
          <w:rFonts w:ascii="Times New Roman" w:eastAsia="Times New Roman" w:hAnsi="Times New Roman" w:cs="Times New Roman"/>
          <w:sz w:val="25"/>
          <w:szCs w:val="25"/>
        </w:rPr>
      </w:pPr>
    </w:p>
    <w:p w:rsidR="00545ECE" w:rsidRDefault="00545ECE" w:rsidP="00545ECE">
      <w:pPr>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r>
      <w:r w:rsidRPr="00545ECE">
        <w:rPr>
          <w:rFonts w:ascii="Times New Roman" w:eastAsia="Times New Roman" w:hAnsi="Times New Roman" w:cs="Times New Roman"/>
          <w:sz w:val="25"/>
          <w:szCs w:val="25"/>
        </w:rPr>
        <w:tab/>
        <w:t>PHILIP B. JONES, Commissioner</w:t>
      </w:r>
    </w:p>
    <w:p w:rsidR="00545ECE" w:rsidRPr="00545ECE" w:rsidRDefault="00545ECE" w:rsidP="00545ECE">
      <w:pPr>
        <w:rPr>
          <w:rFonts w:ascii="Times New Roman" w:eastAsia="Times New Roman" w:hAnsi="Times New Roman" w:cs="Times New Roman"/>
          <w:sz w:val="25"/>
          <w:szCs w:val="25"/>
        </w:rPr>
      </w:pPr>
    </w:p>
    <w:p w:rsidR="00545ECE" w:rsidRDefault="00545ECE" w:rsidP="00545ECE">
      <w:pPr>
        <w:ind w:left="3600" w:firstLine="720"/>
        <w:rPr>
          <w:rFonts w:ascii="Times New Roman" w:eastAsia="Times New Roman" w:hAnsi="Times New Roman" w:cs="Times New Roman"/>
          <w:sz w:val="25"/>
          <w:szCs w:val="25"/>
        </w:rPr>
      </w:pPr>
    </w:p>
    <w:p w:rsidR="00545ECE" w:rsidRDefault="00545ECE" w:rsidP="00545ECE">
      <w:pPr>
        <w:ind w:left="3600" w:firstLine="720"/>
        <w:rPr>
          <w:rFonts w:ascii="Times New Roman" w:eastAsia="Times New Roman" w:hAnsi="Times New Roman" w:cs="Times New Roman"/>
          <w:sz w:val="25"/>
          <w:szCs w:val="25"/>
        </w:rPr>
      </w:pPr>
    </w:p>
    <w:p w:rsidR="00545ECE" w:rsidRPr="00545ECE" w:rsidRDefault="00545ECE" w:rsidP="00545ECE">
      <w:pPr>
        <w:ind w:left="3600" w:firstLine="720"/>
        <w:rPr>
          <w:rFonts w:ascii="Times New Roman" w:eastAsia="Times New Roman" w:hAnsi="Times New Roman" w:cs="Times New Roman"/>
          <w:sz w:val="25"/>
          <w:szCs w:val="25"/>
        </w:rPr>
      </w:pPr>
      <w:r w:rsidRPr="00545ECE">
        <w:rPr>
          <w:rFonts w:ascii="Times New Roman" w:eastAsia="Times New Roman" w:hAnsi="Times New Roman" w:cs="Times New Roman"/>
          <w:sz w:val="25"/>
          <w:szCs w:val="25"/>
        </w:rPr>
        <w:t>JEFFREY D. GOLTZ, Commissioner</w:t>
      </w:r>
    </w:p>
    <w:p w:rsidR="00545ECE" w:rsidRDefault="00545ECE" w:rsidP="00545ECE">
      <w:pPr>
        <w:tabs>
          <w:tab w:val="left" w:pos="-1440"/>
        </w:tabs>
        <w:rPr>
          <w:rFonts w:ascii="Times New Roman" w:eastAsia="Times New Roman" w:hAnsi="Times New Roman" w:cs="Times New Roman"/>
          <w:sz w:val="25"/>
          <w:szCs w:val="25"/>
        </w:rPr>
      </w:pPr>
    </w:p>
    <w:p w:rsidR="002C039A" w:rsidRPr="00AD3312" w:rsidRDefault="002C039A" w:rsidP="00AD3312">
      <w:pPr>
        <w:rPr>
          <w:rFonts w:ascii="Times New Roman" w:hAnsi="Times New Roman" w:cs="Times New Roman"/>
          <w:sz w:val="24"/>
          <w:szCs w:val="24"/>
        </w:rPr>
      </w:pPr>
    </w:p>
    <w:sectPr w:rsidR="002C039A" w:rsidRPr="00AD3312" w:rsidSect="009313F3">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2E" w:rsidRDefault="00C25A2E" w:rsidP="00545ECE">
      <w:r>
        <w:separator/>
      </w:r>
    </w:p>
  </w:endnote>
  <w:endnote w:type="continuationSeparator" w:id="0">
    <w:p w:rsidR="00C25A2E" w:rsidRDefault="00C25A2E" w:rsidP="0054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2E" w:rsidRDefault="00C25A2E" w:rsidP="00545ECE">
      <w:r>
        <w:separator/>
      </w:r>
    </w:p>
  </w:footnote>
  <w:footnote w:type="continuationSeparator" w:id="0">
    <w:p w:rsidR="00C25A2E" w:rsidRDefault="00C25A2E" w:rsidP="00545ECE">
      <w:r>
        <w:continuationSeparator/>
      </w:r>
    </w:p>
  </w:footnote>
  <w:footnote w:id="1">
    <w:p w:rsidR="008805AF" w:rsidRPr="009313F3" w:rsidRDefault="008805AF" w:rsidP="008805AF">
      <w:pPr>
        <w:pStyle w:val="FootnoteText"/>
        <w:spacing w:after="120"/>
        <w:rPr>
          <w:sz w:val="22"/>
          <w:szCs w:val="22"/>
        </w:rPr>
      </w:pPr>
      <w:r w:rsidRPr="009313F3">
        <w:rPr>
          <w:rStyle w:val="FootnoteReference"/>
          <w:sz w:val="22"/>
          <w:szCs w:val="22"/>
        </w:rPr>
        <w:footnoteRef/>
      </w:r>
      <w:r>
        <w:rPr>
          <w:sz w:val="22"/>
          <w:szCs w:val="22"/>
        </w:rPr>
        <w:t xml:space="preserve"> </w:t>
      </w:r>
      <w:r w:rsidRPr="009313F3">
        <w:rPr>
          <w:sz w:val="22"/>
          <w:szCs w:val="22"/>
        </w:rPr>
        <w:t xml:space="preserve">Petition </w:t>
      </w:r>
      <w:r>
        <w:rPr>
          <w:sz w:val="22"/>
          <w:szCs w:val="22"/>
        </w:rPr>
        <w:t>¶ 1</w:t>
      </w:r>
      <w:r w:rsidRPr="009313F3">
        <w:rPr>
          <w:sz w:val="22"/>
          <w:szCs w:val="22"/>
        </w:rPr>
        <w:t>.</w:t>
      </w:r>
    </w:p>
  </w:footnote>
  <w:footnote w:id="2">
    <w:p w:rsidR="008805AF" w:rsidRDefault="008805AF" w:rsidP="008805AF">
      <w:pPr>
        <w:pStyle w:val="FootnoteText"/>
        <w:spacing w:after="120"/>
      </w:pPr>
      <w:r w:rsidRPr="009313F3">
        <w:rPr>
          <w:rStyle w:val="FootnoteReference"/>
          <w:sz w:val="22"/>
          <w:szCs w:val="22"/>
        </w:rPr>
        <w:footnoteRef/>
      </w:r>
      <w:r w:rsidRPr="009313F3">
        <w:rPr>
          <w:sz w:val="22"/>
          <w:szCs w:val="22"/>
        </w:rPr>
        <w:t xml:space="preserve"> </w:t>
      </w:r>
      <w:r w:rsidRPr="009313F3">
        <w:rPr>
          <w:i/>
          <w:sz w:val="22"/>
          <w:szCs w:val="22"/>
        </w:rPr>
        <w:t>Id</w:t>
      </w:r>
      <w:r w:rsidRPr="009313F3">
        <w:rPr>
          <w:sz w:val="22"/>
          <w:szCs w:val="22"/>
        </w:rPr>
        <w:t xml:space="preserve">. </w:t>
      </w:r>
      <w:r>
        <w:rPr>
          <w:sz w:val="22"/>
          <w:szCs w:val="22"/>
        </w:rPr>
        <w:t xml:space="preserve">¶ </w:t>
      </w:r>
      <w:r w:rsidRPr="009313F3">
        <w:rPr>
          <w:sz w:val="22"/>
          <w:szCs w:val="22"/>
        </w:rPr>
        <w:t>3.</w:t>
      </w:r>
    </w:p>
  </w:footnote>
  <w:footnote w:id="3">
    <w:p w:rsidR="008805AF" w:rsidRPr="003B1C85" w:rsidRDefault="008805AF" w:rsidP="008805AF">
      <w:pPr>
        <w:pStyle w:val="FootnoteText"/>
        <w:spacing w:after="120"/>
        <w:rPr>
          <w:sz w:val="22"/>
          <w:szCs w:val="22"/>
        </w:rPr>
      </w:pPr>
      <w:r>
        <w:rPr>
          <w:rStyle w:val="FootnoteReference"/>
        </w:rPr>
        <w:footnoteRef/>
      </w:r>
      <w:r>
        <w:t xml:space="preserve"> </w:t>
      </w:r>
      <w:r w:rsidR="006C1322">
        <w:rPr>
          <w:sz w:val="22"/>
          <w:szCs w:val="22"/>
        </w:rPr>
        <w:t>RCW 81.04.210; W</w:t>
      </w:r>
      <w:r w:rsidR="003B1C85">
        <w:rPr>
          <w:sz w:val="22"/>
          <w:szCs w:val="22"/>
        </w:rPr>
        <w:t>AC 480-07-850.</w:t>
      </w:r>
    </w:p>
  </w:footnote>
  <w:footnote w:id="4">
    <w:p w:rsidR="00A758AA" w:rsidRDefault="00A758AA" w:rsidP="00A758AA">
      <w:pPr>
        <w:pStyle w:val="FootnoteText"/>
        <w:spacing w:after="120"/>
      </w:pPr>
      <w:r w:rsidRPr="009313F3">
        <w:rPr>
          <w:rStyle w:val="FootnoteReference"/>
          <w:sz w:val="22"/>
          <w:szCs w:val="22"/>
        </w:rPr>
        <w:footnoteRef/>
      </w:r>
      <w:r w:rsidRPr="009313F3">
        <w:rPr>
          <w:sz w:val="22"/>
          <w:szCs w:val="22"/>
        </w:rPr>
        <w:t xml:space="preserve"> </w:t>
      </w:r>
      <w:r w:rsidR="003B1C85">
        <w:rPr>
          <w:sz w:val="22"/>
          <w:szCs w:val="22"/>
        </w:rPr>
        <w:t xml:space="preserve">Petition </w:t>
      </w:r>
      <w:r>
        <w:rPr>
          <w:sz w:val="22"/>
          <w:szCs w:val="22"/>
        </w:rPr>
        <w:t>¶ 11</w:t>
      </w:r>
      <w:r w:rsidRPr="009313F3">
        <w:rPr>
          <w:sz w:val="22"/>
          <w:szCs w:val="22"/>
        </w:rPr>
        <w:t>.</w:t>
      </w:r>
    </w:p>
  </w:footnote>
  <w:footnote w:id="5">
    <w:p w:rsidR="003B1C85" w:rsidRDefault="003B1C85" w:rsidP="003B1C85">
      <w:pPr>
        <w:pStyle w:val="FootnoteText"/>
        <w:spacing w:after="120"/>
      </w:pPr>
      <w:r w:rsidRPr="009313F3">
        <w:rPr>
          <w:rStyle w:val="FootnoteReference"/>
          <w:sz w:val="22"/>
          <w:szCs w:val="22"/>
        </w:rPr>
        <w:footnoteRef/>
      </w:r>
      <w:r w:rsidRPr="009313F3">
        <w:rPr>
          <w:sz w:val="22"/>
          <w:szCs w:val="22"/>
        </w:rPr>
        <w:t xml:space="preserve"> </w:t>
      </w:r>
      <w:r>
        <w:rPr>
          <w:i/>
          <w:sz w:val="22"/>
          <w:szCs w:val="22"/>
        </w:rPr>
        <w:t>See</w:t>
      </w:r>
      <w:r>
        <w:rPr>
          <w:sz w:val="22"/>
          <w:szCs w:val="22"/>
        </w:rPr>
        <w:t xml:space="preserve"> WAC 480-07-875 (authorizing the Commission to alter or amend its orders at any time)</w:t>
      </w:r>
      <w:r w:rsidRPr="009313F3">
        <w:rPr>
          <w:sz w:val="22"/>
          <w:szCs w:val="22"/>
        </w:rPr>
        <w:t>.</w:t>
      </w:r>
    </w:p>
  </w:footnote>
  <w:footnote w:id="6">
    <w:p w:rsidR="00EA1A20" w:rsidRDefault="00EA1A20" w:rsidP="00EA1A20">
      <w:pPr>
        <w:pStyle w:val="FootnoteText"/>
        <w:spacing w:after="120"/>
      </w:pPr>
      <w:r w:rsidRPr="009313F3">
        <w:rPr>
          <w:rStyle w:val="FootnoteReference"/>
          <w:sz w:val="22"/>
          <w:szCs w:val="22"/>
        </w:rPr>
        <w:footnoteRef/>
      </w:r>
      <w:r w:rsidRPr="009313F3">
        <w:rPr>
          <w:sz w:val="22"/>
          <w:szCs w:val="22"/>
        </w:rPr>
        <w:t xml:space="preserve"> </w:t>
      </w:r>
      <w:r>
        <w:rPr>
          <w:sz w:val="22"/>
          <w:szCs w:val="22"/>
        </w:rPr>
        <w:t>RCW 81.80.321</w:t>
      </w:r>
      <w:r w:rsidRPr="009313F3">
        <w:rPr>
          <w:sz w:val="22"/>
          <w:szCs w:val="22"/>
        </w:rPr>
        <w:t>.</w:t>
      </w:r>
    </w:p>
  </w:footnote>
  <w:footnote w:id="7">
    <w:p w:rsidR="00EA1A20" w:rsidRDefault="00EA1A20" w:rsidP="00EA1A20">
      <w:pPr>
        <w:pStyle w:val="FootnoteText"/>
        <w:spacing w:after="120"/>
      </w:pPr>
      <w:r w:rsidRPr="009313F3">
        <w:rPr>
          <w:rStyle w:val="FootnoteReference"/>
          <w:sz w:val="22"/>
          <w:szCs w:val="22"/>
        </w:rPr>
        <w:footnoteRef/>
      </w:r>
      <w:r w:rsidRPr="009313F3">
        <w:rPr>
          <w:sz w:val="22"/>
          <w:szCs w:val="22"/>
        </w:rPr>
        <w:t xml:space="preserve"> </w:t>
      </w:r>
      <w:r>
        <w:rPr>
          <w:sz w:val="22"/>
          <w:szCs w:val="22"/>
        </w:rPr>
        <w:t>RCW 81.04.405</w:t>
      </w:r>
      <w:r w:rsidRPr="009313F3">
        <w:rPr>
          <w:sz w:val="22"/>
          <w:szCs w:val="22"/>
        </w:rPr>
        <w:t>.</w:t>
      </w:r>
    </w:p>
  </w:footnote>
  <w:footnote w:id="8">
    <w:p w:rsidR="006361E7" w:rsidRDefault="006361E7" w:rsidP="006361E7">
      <w:pPr>
        <w:pStyle w:val="FootnoteText"/>
        <w:spacing w:after="120"/>
      </w:pPr>
      <w:r w:rsidRPr="009313F3">
        <w:rPr>
          <w:rStyle w:val="FootnoteReference"/>
          <w:sz w:val="22"/>
          <w:szCs w:val="22"/>
        </w:rPr>
        <w:footnoteRef/>
      </w:r>
      <w:r w:rsidRPr="009313F3">
        <w:rPr>
          <w:sz w:val="22"/>
          <w:szCs w:val="22"/>
        </w:rPr>
        <w:t xml:space="preserve"> </w:t>
      </w:r>
      <w:r w:rsidR="00527940">
        <w:rPr>
          <w:sz w:val="22"/>
          <w:szCs w:val="22"/>
        </w:rPr>
        <w:t xml:space="preserve">Initial Order ¶ 33; </w:t>
      </w:r>
      <w:r>
        <w:rPr>
          <w:sz w:val="22"/>
          <w:szCs w:val="22"/>
        </w:rPr>
        <w:t>Perkinson, TR. 24:16-19</w:t>
      </w:r>
      <w:r w:rsidRPr="009313F3">
        <w:rPr>
          <w:sz w:val="22"/>
          <w:szCs w:val="22"/>
        </w:rPr>
        <w:t>.</w:t>
      </w:r>
    </w:p>
  </w:footnote>
  <w:footnote w:id="9">
    <w:p w:rsidR="00527940" w:rsidRDefault="00527940" w:rsidP="00527940">
      <w:pPr>
        <w:pStyle w:val="FootnoteText"/>
        <w:spacing w:after="120"/>
      </w:pPr>
      <w:r w:rsidRPr="009313F3">
        <w:rPr>
          <w:rStyle w:val="FootnoteReference"/>
          <w:sz w:val="22"/>
          <w:szCs w:val="22"/>
        </w:rPr>
        <w:footnoteRef/>
      </w:r>
      <w:r w:rsidRPr="009313F3">
        <w:rPr>
          <w:sz w:val="22"/>
          <w:szCs w:val="22"/>
        </w:rPr>
        <w:t xml:space="preserve"> </w:t>
      </w:r>
      <w:r>
        <w:rPr>
          <w:sz w:val="22"/>
          <w:szCs w:val="22"/>
        </w:rPr>
        <w:t>Initial Order ¶ 34 (emphasis added)</w:t>
      </w:r>
      <w:r w:rsidRPr="009313F3">
        <w:rPr>
          <w:sz w:val="22"/>
          <w:szCs w:val="22"/>
        </w:rPr>
        <w:t>.</w:t>
      </w:r>
    </w:p>
  </w:footnote>
  <w:footnote w:id="10">
    <w:p w:rsidR="00E35174" w:rsidRDefault="00E35174" w:rsidP="00E35174">
      <w:pPr>
        <w:pStyle w:val="FootnoteText"/>
        <w:spacing w:after="120"/>
      </w:pPr>
      <w:r w:rsidRPr="009313F3">
        <w:rPr>
          <w:rStyle w:val="FootnoteReference"/>
          <w:sz w:val="22"/>
          <w:szCs w:val="22"/>
        </w:rPr>
        <w:footnoteRef/>
      </w:r>
      <w:r w:rsidRPr="009313F3">
        <w:rPr>
          <w:sz w:val="22"/>
          <w:szCs w:val="22"/>
        </w:rPr>
        <w:t xml:space="preserve"> </w:t>
      </w:r>
      <w:r>
        <w:rPr>
          <w:sz w:val="22"/>
          <w:szCs w:val="22"/>
        </w:rPr>
        <w:t>Perkinson, TR. 16:22 - 18:10 &amp; 22:17-21</w:t>
      </w:r>
      <w:r w:rsidRPr="009313F3">
        <w:rPr>
          <w:sz w:val="22"/>
          <w:szCs w:val="22"/>
        </w:rPr>
        <w:t>.</w:t>
      </w:r>
      <w:r>
        <w:rPr>
          <w:sz w:val="22"/>
          <w:szCs w:val="22"/>
        </w:rPr>
        <w:t xml:space="preserve">  </w:t>
      </w:r>
    </w:p>
  </w:footnote>
  <w:footnote w:id="11">
    <w:p w:rsidR="004413BC" w:rsidRDefault="004413BC" w:rsidP="004413BC">
      <w:pPr>
        <w:pStyle w:val="FootnoteText"/>
        <w:spacing w:after="120"/>
      </w:pPr>
      <w:r w:rsidRPr="009313F3">
        <w:rPr>
          <w:rStyle w:val="FootnoteReference"/>
          <w:sz w:val="22"/>
          <w:szCs w:val="22"/>
        </w:rPr>
        <w:footnoteRef/>
      </w:r>
      <w:r w:rsidRPr="009313F3">
        <w:rPr>
          <w:sz w:val="22"/>
          <w:szCs w:val="22"/>
        </w:rPr>
        <w:t xml:space="preserve"> </w:t>
      </w:r>
      <w:r w:rsidR="00E35174">
        <w:rPr>
          <w:sz w:val="22"/>
          <w:szCs w:val="22"/>
        </w:rPr>
        <w:t xml:space="preserve">The Initial Order also used the term “statutory penalty,” citing </w:t>
      </w:r>
      <w:r w:rsidR="00126993">
        <w:rPr>
          <w:sz w:val="22"/>
          <w:szCs w:val="22"/>
        </w:rPr>
        <w:t xml:space="preserve">only </w:t>
      </w:r>
      <w:r w:rsidR="00E35174">
        <w:rPr>
          <w:sz w:val="22"/>
          <w:szCs w:val="22"/>
        </w:rPr>
        <w:t>Staff’s testimony and recommendations concerning these companies’ failure to pay the Mandatory Penalties</w:t>
      </w:r>
      <w:r w:rsidR="00AF60E5">
        <w:rPr>
          <w:sz w:val="22"/>
          <w:szCs w:val="22"/>
        </w:rPr>
        <w:t>.</w:t>
      </w:r>
      <w:r w:rsidR="00E35174">
        <w:rPr>
          <w:sz w:val="22"/>
          <w:szCs w:val="22"/>
        </w:rPr>
        <w:t xml:space="preserve">  Initial Order </w:t>
      </w:r>
      <w:r w:rsidR="00126993">
        <w:rPr>
          <w:sz w:val="22"/>
          <w:szCs w:val="22"/>
        </w:rPr>
        <w:t>¶</w:t>
      </w:r>
      <w:r w:rsidR="00E35174">
        <w:rPr>
          <w:sz w:val="22"/>
          <w:szCs w:val="22"/>
        </w:rPr>
        <w:t>¶ 7</w:t>
      </w:r>
      <w:r w:rsidR="00126993">
        <w:rPr>
          <w:sz w:val="22"/>
          <w:szCs w:val="22"/>
        </w:rPr>
        <w:t>, 15 &amp; 34</w:t>
      </w:r>
      <w:r w:rsidR="00E35174">
        <w:rPr>
          <w:sz w:val="22"/>
          <w:szCs w:val="22"/>
        </w:rPr>
        <w:t xml:space="preserve">.  </w:t>
      </w:r>
      <w:r w:rsidR="008E60B1">
        <w:rPr>
          <w:sz w:val="22"/>
          <w:szCs w:val="22"/>
        </w:rPr>
        <w:t>This</w:t>
      </w:r>
      <w:r w:rsidR="00E35174">
        <w:rPr>
          <w:sz w:val="22"/>
          <w:szCs w:val="22"/>
        </w:rPr>
        <w:t xml:space="preserve"> terminology is unfortunate in that the Mandatory Penalty and Discretionary Penalties are each authorized by statute and thus both are “statutory” penalties.  We trust that, now being aware of the resulting potential for confusion, </w:t>
      </w:r>
      <w:r w:rsidR="008E60B1">
        <w:rPr>
          <w:sz w:val="22"/>
          <w:szCs w:val="22"/>
        </w:rPr>
        <w:t>all concerned</w:t>
      </w:r>
      <w:r w:rsidR="00E35174">
        <w:rPr>
          <w:sz w:val="22"/>
          <w:szCs w:val="22"/>
        </w:rPr>
        <w:t xml:space="preserve"> will be more precise when </w:t>
      </w:r>
      <w:r w:rsidR="008E60B1">
        <w:rPr>
          <w:sz w:val="22"/>
          <w:szCs w:val="22"/>
        </w:rPr>
        <w:t>addressing the different types of penalties at issue</w:t>
      </w:r>
      <w:r w:rsidR="00E35174">
        <w:rPr>
          <w:sz w:val="22"/>
          <w:szCs w:val="22"/>
        </w:rPr>
        <w:t xml:space="preserve"> in future proceedings.</w:t>
      </w:r>
    </w:p>
  </w:footnote>
  <w:footnote w:id="12">
    <w:p w:rsidR="0097011E" w:rsidRDefault="0097011E" w:rsidP="0097011E">
      <w:pPr>
        <w:pStyle w:val="FootnoteText"/>
        <w:spacing w:after="120"/>
      </w:pPr>
      <w:r w:rsidRPr="009313F3">
        <w:rPr>
          <w:rStyle w:val="FootnoteReference"/>
          <w:sz w:val="22"/>
          <w:szCs w:val="22"/>
        </w:rPr>
        <w:footnoteRef/>
      </w:r>
      <w:r w:rsidRPr="009313F3">
        <w:rPr>
          <w:sz w:val="22"/>
          <w:szCs w:val="22"/>
        </w:rPr>
        <w:t xml:space="preserve"> </w:t>
      </w:r>
      <w:r w:rsidR="00E35174">
        <w:rPr>
          <w:sz w:val="22"/>
          <w:szCs w:val="22"/>
        </w:rPr>
        <w:t>Perkinson, TR</w:t>
      </w:r>
      <w:r>
        <w:rPr>
          <w:sz w:val="22"/>
          <w:szCs w:val="22"/>
        </w:rPr>
        <w:t>. 23:8-15</w:t>
      </w:r>
      <w:r w:rsidRPr="009313F3">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18" w:rsidRPr="009313F3" w:rsidRDefault="00186918" w:rsidP="009313F3">
    <w:pPr>
      <w:pStyle w:val="Header"/>
      <w:tabs>
        <w:tab w:val="clear" w:pos="9360"/>
        <w:tab w:val="right" w:pos="8370"/>
      </w:tabs>
      <w:rPr>
        <w:rFonts w:ascii="Times New Roman" w:hAnsi="Times New Roman" w:cs="Times New Roman"/>
        <w:b/>
        <w:noProof/>
        <w:sz w:val="20"/>
        <w:szCs w:val="20"/>
      </w:rPr>
    </w:pPr>
    <w:r w:rsidRPr="009313F3">
      <w:rPr>
        <w:rFonts w:ascii="Times New Roman" w:hAnsi="Times New Roman" w:cs="Times New Roman"/>
        <w:b/>
        <w:sz w:val="20"/>
        <w:szCs w:val="20"/>
      </w:rPr>
      <w:t>D</w:t>
    </w:r>
    <w:r w:rsidR="009313F3" w:rsidRPr="009313F3">
      <w:rPr>
        <w:rFonts w:ascii="Times New Roman" w:hAnsi="Times New Roman" w:cs="Times New Roman"/>
        <w:b/>
        <w:sz w:val="20"/>
        <w:szCs w:val="20"/>
      </w:rPr>
      <w:t>OCKET</w:t>
    </w:r>
    <w:r w:rsidRPr="009313F3">
      <w:rPr>
        <w:rFonts w:ascii="Times New Roman" w:hAnsi="Times New Roman" w:cs="Times New Roman"/>
        <w:b/>
        <w:sz w:val="20"/>
        <w:szCs w:val="20"/>
      </w:rPr>
      <w:t xml:space="preserve"> TV-121722</w:t>
    </w:r>
    <w:r w:rsidR="009313F3" w:rsidRPr="009313F3">
      <w:rPr>
        <w:rFonts w:ascii="Times New Roman" w:hAnsi="Times New Roman" w:cs="Times New Roman"/>
        <w:b/>
        <w:sz w:val="20"/>
        <w:szCs w:val="20"/>
      </w:rPr>
      <w:tab/>
    </w:r>
    <w:r w:rsidR="009313F3" w:rsidRPr="009313F3">
      <w:rPr>
        <w:rFonts w:ascii="Times New Roman" w:hAnsi="Times New Roman" w:cs="Times New Roman"/>
        <w:b/>
        <w:sz w:val="20"/>
        <w:szCs w:val="20"/>
      </w:rPr>
      <w:tab/>
      <w:t xml:space="preserve">PAGE </w:t>
    </w:r>
    <w:r w:rsidR="009313F3" w:rsidRPr="009313F3">
      <w:rPr>
        <w:rFonts w:ascii="Times New Roman" w:hAnsi="Times New Roman" w:cs="Times New Roman"/>
        <w:b/>
        <w:sz w:val="20"/>
        <w:szCs w:val="20"/>
      </w:rPr>
      <w:fldChar w:fldCharType="begin"/>
    </w:r>
    <w:r w:rsidR="009313F3" w:rsidRPr="009313F3">
      <w:rPr>
        <w:rFonts w:ascii="Times New Roman" w:hAnsi="Times New Roman" w:cs="Times New Roman"/>
        <w:b/>
        <w:sz w:val="20"/>
        <w:szCs w:val="20"/>
      </w:rPr>
      <w:instrText xml:space="preserve"> PAGE   \* MERGEFORMAT </w:instrText>
    </w:r>
    <w:r w:rsidR="009313F3" w:rsidRPr="009313F3">
      <w:rPr>
        <w:rFonts w:ascii="Times New Roman" w:hAnsi="Times New Roman" w:cs="Times New Roman"/>
        <w:b/>
        <w:sz w:val="20"/>
        <w:szCs w:val="20"/>
      </w:rPr>
      <w:fldChar w:fldCharType="separate"/>
    </w:r>
    <w:r w:rsidR="00CB74BC">
      <w:rPr>
        <w:rFonts w:ascii="Times New Roman" w:hAnsi="Times New Roman" w:cs="Times New Roman"/>
        <w:b/>
        <w:noProof/>
        <w:sz w:val="20"/>
        <w:szCs w:val="20"/>
      </w:rPr>
      <w:t>2</w:t>
    </w:r>
    <w:r w:rsidR="009313F3" w:rsidRPr="009313F3">
      <w:rPr>
        <w:rFonts w:ascii="Times New Roman" w:hAnsi="Times New Roman" w:cs="Times New Roman"/>
        <w:b/>
        <w:noProof/>
        <w:sz w:val="20"/>
        <w:szCs w:val="20"/>
      </w:rPr>
      <w:fldChar w:fldCharType="end"/>
    </w:r>
  </w:p>
  <w:p w:rsidR="00186918" w:rsidRPr="009313F3" w:rsidRDefault="009313F3" w:rsidP="009313F3">
    <w:pPr>
      <w:pStyle w:val="Header"/>
      <w:tabs>
        <w:tab w:val="clear" w:pos="9360"/>
        <w:tab w:val="right" w:pos="8370"/>
      </w:tabs>
      <w:rPr>
        <w:rFonts w:ascii="Times New Roman" w:hAnsi="Times New Roman" w:cs="Times New Roman"/>
        <w:b/>
        <w:noProof/>
        <w:sz w:val="20"/>
        <w:szCs w:val="20"/>
      </w:rPr>
    </w:pPr>
    <w:r w:rsidRPr="009313F3">
      <w:rPr>
        <w:rFonts w:ascii="Times New Roman" w:hAnsi="Times New Roman" w:cs="Times New Roman"/>
        <w:b/>
        <w:noProof/>
        <w:sz w:val="20"/>
        <w:szCs w:val="20"/>
      </w:rPr>
      <w:t>ORDER 0</w:t>
    </w:r>
    <w:r w:rsidR="00DC1C70">
      <w:rPr>
        <w:rFonts w:ascii="Times New Roman" w:hAnsi="Times New Roman" w:cs="Times New Roman"/>
        <w:b/>
        <w:noProof/>
        <w:sz w:val="20"/>
        <w:szCs w:val="20"/>
      </w:rPr>
      <w:t>3</w:t>
    </w:r>
  </w:p>
  <w:p w:rsidR="009313F3" w:rsidRPr="00186918" w:rsidRDefault="009313F3" w:rsidP="009313F3">
    <w:pPr>
      <w:pStyle w:val="Header"/>
      <w:tabs>
        <w:tab w:val="clear" w:pos="9360"/>
        <w:tab w:val="right" w:pos="837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9" w:rsidRPr="004D6F59" w:rsidRDefault="004D6F59" w:rsidP="004D6F59">
    <w:pPr>
      <w:pStyle w:val="Header"/>
      <w:tabs>
        <w:tab w:val="clear" w:pos="4680"/>
        <w:tab w:val="clear" w:pos="9360"/>
        <w:tab w:val="right" w:pos="8910"/>
      </w:tabs>
      <w:rPr>
        <w:rFonts w:ascii="Times New Roman" w:hAnsi="Times New Roman" w:cs="Times New Roman"/>
        <w:b/>
        <w:sz w:val="20"/>
        <w:szCs w:val="20"/>
      </w:rPr>
    </w:pPr>
    <w:r>
      <w:tab/>
    </w:r>
    <w:r w:rsidRPr="004D6F59">
      <w:rPr>
        <w:rFonts w:ascii="Times New Roman" w:hAnsi="Times New Roman" w:cs="Times New Roman"/>
        <w:b/>
        <w:sz w:val="20"/>
        <w:szCs w:val="20"/>
      </w:rPr>
      <w:t>[Service Date July 26,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E0338"/>
    <w:multiLevelType w:val="hybridMultilevel"/>
    <w:tmpl w:val="6504D192"/>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CE"/>
    <w:rsid w:val="00002923"/>
    <w:rsid w:val="00052B48"/>
    <w:rsid w:val="000B20D0"/>
    <w:rsid w:val="000E12FC"/>
    <w:rsid w:val="000E640C"/>
    <w:rsid w:val="000F04E4"/>
    <w:rsid w:val="00120E73"/>
    <w:rsid w:val="00126993"/>
    <w:rsid w:val="00135798"/>
    <w:rsid w:val="00147B53"/>
    <w:rsid w:val="00160ECF"/>
    <w:rsid w:val="00186918"/>
    <w:rsid w:val="001C5AB1"/>
    <w:rsid w:val="001E1D7A"/>
    <w:rsid w:val="00226CFB"/>
    <w:rsid w:val="002B4101"/>
    <w:rsid w:val="002C039A"/>
    <w:rsid w:val="002E6D22"/>
    <w:rsid w:val="00316C46"/>
    <w:rsid w:val="003249D2"/>
    <w:rsid w:val="00386D4F"/>
    <w:rsid w:val="003B1C85"/>
    <w:rsid w:val="0040682B"/>
    <w:rsid w:val="00407116"/>
    <w:rsid w:val="00420EDC"/>
    <w:rsid w:val="00441030"/>
    <w:rsid w:val="004413BC"/>
    <w:rsid w:val="00463A74"/>
    <w:rsid w:val="0048698E"/>
    <w:rsid w:val="004D6BA3"/>
    <w:rsid w:val="004D6F59"/>
    <w:rsid w:val="0052748B"/>
    <w:rsid w:val="00527940"/>
    <w:rsid w:val="00540F25"/>
    <w:rsid w:val="00545ECE"/>
    <w:rsid w:val="00552600"/>
    <w:rsid w:val="005A6C74"/>
    <w:rsid w:val="005A7113"/>
    <w:rsid w:val="005C6601"/>
    <w:rsid w:val="006361E7"/>
    <w:rsid w:val="00657ACC"/>
    <w:rsid w:val="00672F7B"/>
    <w:rsid w:val="00686A31"/>
    <w:rsid w:val="006A41EE"/>
    <w:rsid w:val="006C1322"/>
    <w:rsid w:val="006F08C2"/>
    <w:rsid w:val="0073596B"/>
    <w:rsid w:val="007471E9"/>
    <w:rsid w:val="007605D1"/>
    <w:rsid w:val="00761E31"/>
    <w:rsid w:val="00823054"/>
    <w:rsid w:val="00832DAD"/>
    <w:rsid w:val="008805AF"/>
    <w:rsid w:val="008911AA"/>
    <w:rsid w:val="008B6D6B"/>
    <w:rsid w:val="008D6681"/>
    <w:rsid w:val="008E60B1"/>
    <w:rsid w:val="00923251"/>
    <w:rsid w:val="009313F3"/>
    <w:rsid w:val="0097011E"/>
    <w:rsid w:val="009C0644"/>
    <w:rsid w:val="009C67F5"/>
    <w:rsid w:val="00A758AA"/>
    <w:rsid w:val="00A84C2A"/>
    <w:rsid w:val="00AA6748"/>
    <w:rsid w:val="00AC40BA"/>
    <w:rsid w:val="00AD3312"/>
    <w:rsid w:val="00AE273E"/>
    <w:rsid w:val="00AF60E5"/>
    <w:rsid w:val="00B06C81"/>
    <w:rsid w:val="00B13041"/>
    <w:rsid w:val="00B53835"/>
    <w:rsid w:val="00C25A2E"/>
    <w:rsid w:val="00C3549D"/>
    <w:rsid w:val="00C925B3"/>
    <w:rsid w:val="00CA7C3B"/>
    <w:rsid w:val="00CB74BC"/>
    <w:rsid w:val="00CB7C09"/>
    <w:rsid w:val="00CF6E03"/>
    <w:rsid w:val="00D354E9"/>
    <w:rsid w:val="00DA1B86"/>
    <w:rsid w:val="00DC1C70"/>
    <w:rsid w:val="00DD2A47"/>
    <w:rsid w:val="00DD3295"/>
    <w:rsid w:val="00E21E43"/>
    <w:rsid w:val="00E35174"/>
    <w:rsid w:val="00E60CC7"/>
    <w:rsid w:val="00EA1A20"/>
    <w:rsid w:val="00EA76DF"/>
    <w:rsid w:val="00EF16C7"/>
    <w:rsid w:val="00F21B68"/>
    <w:rsid w:val="00F30EF0"/>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ft Char"/>
    <w:basedOn w:val="Normal"/>
    <w:link w:val="FootnoteTextChar"/>
    <w:uiPriority w:val="99"/>
    <w:rsid w:val="00545ECE"/>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45ECE"/>
    <w:rPr>
      <w:rFonts w:ascii="Times New Roman" w:eastAsia="Times New Roman" w:hAnsi="Times New Roman" w:cs="Times New Roman"/>
      <w:sz w:val="20"/>
      <w:szCs w:val="20"/>
    </w:rPr>
  </w:style>
  <w:style w:type="character" w:styleId="FootnoteReference">
    <w:name w:val="footnote reference"/>
    <w:uiPriority w:val="99"/>
    <w:rsid w:val="00545ECE"/>
    <w:rPr>
      <w:vertAlign w:val="superscript"/>
    </w:rPr>
  </w:style>
  <w:style w:type="paragraph" w:styleId="Header">
    <w:name w:val="header"/>
    <w:basedOn w:val="Normal"/>
    <w:link w:val="HeaderChar"/>
    <w:uiPriority w:val="99"/>
    <w:unhideWhenUsed/>
    <w:rsid w:val="00186918"/>
    <w:pPr>
      <w:tabs>
        <w:tab w:val="center" w:pos="4680"/>
        <w:tab w:val="right" w:pos="9360"/>
      </w:tabs>
    </w:pPr>
  </w:style>
  <w:style w:type="character" w:customStyle="1" w:styleId="HeaderChar">
    <w:name w:val="Header Char"/>
    <w:basedOn w:val="DefaultParagraphFont"/>
    <w:link w:val="Header"/>
    <w:uiPriority w:val="99"/>
    <w:rsid w:val="00186918"/>
  </w:style>
  <w:style w:type="paragraph" w:styleId="Footer">
    <w:name w:val="footer"/>
    <w:basedOn w:val="Normal"/>
    <w:link w:val="FooterChar"/>
    <w:uiPriority w:val="99"/>
    <w:unhideWhenUsed/>
    <w:rsid w:val="00186918"/>
    <w:pPr>
      <w:tabs>
        <w:tab w:val="center" w:pos="4680"/>
        <w:tab w:val="right" w:pos="9360"/>
      </w:tabs>
    </w:pPr>
  </w:style>
  <w:style w:type="character" w:customStyle="1" w:styleId="FooterChar">
    <w:name w:val="Footer Char"/>
    <w:basedOn w:val="DefaultParagraphFont"/>
    <w:link w:val="Footer"/>
    <w:uiPriority w:val="99"/>
    <w:rsid w:val="00186918"/>
  </w:style>
  <w:style w:type="paragraph" w:styleId="BalloonText">
    <w:name w:val="Balloon Text"/>
    <w:basedOn w:val="Normal"/>
    <w:link w:val="BalloonTextChar"/>
    <w:uiPriority w:val="99"/>
    <w:semiHidden/>
    <w:unhideWhenUsed/>
    <w:rsid w:val="004D6BA3"/>
    <w:rPr>
      <w:rFonts w:ascii="Tahoma" w:hAnsi="Tahoma" w:cs="Tahoma"/>
      <w:sz w:val="16"/>
      <w:szCs w:val="16"/>
    </w:rPr>
  </w:style>
  <w:style w:type="character" w:customStyle="1" w:styleId="BalloonTextChar">
    <w:name w:val="Balloon Text Char"/>
    <w:basedOn w:val="DefaultParagraphFont"/>
    <w:link w:val="BalloonText"/>
    <w:uiPriority w:val="99"/>
    <w:semiHidden/>
    <w:rsid w:val="004D6BA3"/>
    <w:rPr>
      <w:rFonts w:ascii="Tahoma" w:hAnsi="Tahoma" w:cs="Tahoma"/>
      <w:sz w:val="16"/>
      <w:szCs w:val="16"/>
    </w:rPr>
  </w:style>
  <w:style w:type="paragraph" w:styleId="ListParagraph">
    <w:name w:val="List Paragraph"/>
    <w:basedOn w:val="Normal"/>
    <w:uiPriority w:val="34"/>
    <w:qFormat/>
    <w:rsid w:val="00052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ft Char"/>
    <w:basedOn w:val="Normal"/>
    <w:link w:val="FootnoteTextChar"/>
    <w:uiPriority w:val="99"/>
    <w:rsid w:val="00545ECE"/>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45ECE"/>
    <w:rPr>
      <w:rFonts w:ascii="Times New Roman" w:eastAsia="Times New Roman" w:hAnsi="Times New Roman" w:cs="Times New Roman"/>
      <w:sz w:val="20"/>
      <w:szCs w:val="20"/>
    </w:rPr>
  </w:style>
  <w:style w:type="character" w:styleId="FootnoteReference">
    <w:name w:val="footnote reference"/>
    <w:uiPriority w:val="99"/>
    <w:rsid w:val="00545ECE"/>
    <w:rPr>
      <w:vertAlign w:val="superscript"/>
    </w:rPr>
  </w:style>
  <w:style w:type="paragraph" w:styleId="Header">
    <w:name w:val="header"/>
    <w:basedOn w:val="Normal"/>
    <w:link w:val="HeaderChar"/>
    <w:uiPriority w:val="99"/>
    <w:unhideWhenUsed/>
    <w:rsid w:val="00186918"/>
    <w:pPr>
      <w:tabs>
        <w:tab w:val="center" w:pos="4680"/>
        <w:tab w:val="right" w:pos="9360"/>
      </w:tabs>
    </w:pPr>
  </w:style>
  <w:style w:type="character" w:customStyle="1" w:styleId="HeaderChar">
    <w:name w:val="Header Char"/>
    <w:basedOn w:val="DefaultParagraphFont"/>
    <w:link w:val="Header"/>
    <w:uiPriority w:val="99"/>
    <w:rsid w:val="00186918"/>
  </w:style>
  <w:style w:type="paragraph" w:styleId="Footer">
    <w:name w:val="footer"/>
    <w:basedOn w:val="Normal"/>
    <w:link w:val="FooterChar"/>
    <w:uiPriority w:val="99"/>
    <w:unhideWhenUsed/>
    <w:rsid w:val="00186918"/>
    <w:pPr>
      <w:tabs>
        <w:tab w:val="center" w:pos="4680"/>
        <w:tab w:val="right" w:pos="9360"/>
      </w:tabs>
    </w:pPr>
  </w:style>
  <w:style w:type="character" w:customStyle="1" w:styleId="FooterChar">
    <w:name w:val="Footer Char"/>
    <w:basedOn w:val="DefaultParagraphFont"/>
    <w:link w:val="Footer"/>
    <w:uiPriority w:val="99"/>
    <w:rsid w:val="00186918"/>
  </w:style>
  <w:style w:type="paragraph" w:styleId="BalloonText">
    <w:name w:val="Balloon Text"/>
    <w:basedOn w:val="Normal"/>
    <w:link w:val="BalloonTextChar"/>
    <w:uiPriority w:val="99"/>
    <w:semiHidden/>
    <w:unhideWhenUsed/>
    <w:rsid w:val="004D6BA3"/>
    <w:rPr>
      <w:rFonts w:ascii="Tahoma" w:hAnsi="Tahoma" w:cs="Tahoma"/>
      <w:sz w:val="16"/>
      <w:szCs w:val="16"/>
    </w:rPr>
  </w:style>
  <w:style w:type="character" w:customStyle="1" w:styleId="BalloonTextChar">
    <w:name w:val="Balloon Text Char"/>
    <w:basedOn w:val="DefaultParagraphFont"/>
    <w:link w:val="BalloonText"/>
    <w:uiPriority w:val="99"/>
    <w:semiHidden/>
    <w:rsid w:val="004D6BA3"/>
    <w:rPr>
      <w:rFonts w:ascii="Tahoma" w:hAnsi="Tahoma" w:cs="Tahoma"/>
      <w:sz w:val="16"/>
      <w:szCs w:val="16"/>
    </w:rPr>
  </w:style>
  <w:style w:type="paragraph" w:styleId="ListParagraph">
    <w:name w:val="List Paragraph"/>
    <w:basedOn w:val="Normal"/>
    <w:uiPriority w:val="34"/>
    <w:qFormat/>
    <w:rsid w:val="0005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D93203BCC8E41B0BC2DC3BBCA76A4" ma:contentTypeVersion="139" ma:contentTypeDescription="" ma:contentTypeScope="" ma:versionID="56eaede2496adddc9a17d928a0d5e1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2012-10-30T07:00:00+00:00</OpenedDate>
    <Date1 xmlns="dc463f71-b30c-4ab2-9473-d307f9d35888">2013-07-26T07:00:00+00:00</Date1>
    <IsDocumentOrder xmlns="dc463f71-b30c-4ab2-9473-d307f9d35888">true</IsDocumentOrder>
    <IsHighlyConfidential xmlns="dc463f71-b30c-4ab2-9473-d307f9d35888">false</IsHighlyConfidential>
    <CaseCompanyNames xmlns="dc463f71-b30c-4ab2-9473-d307f9d35888">3rd Generation Movers and Hauling;A+ ALWAYS MOVING, INC.;A A Star Transfer Co Inc;Always Able Moving Service, LLC;Arays Moving Service LLC;GRAYPORT TRANSFER &amp; STORAGE CO., INC;Thunder Movers LLC</CaseCompanyNames>
    <DocketNumber xmlns="dc463f71-b30c-4ab2-9473-d307f9d35888">121722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EF5BA4-8A4E-4732-B707-FB9E32529620}"/>
</file>

<file path=customXml/itemProps2.xml><?xml version="1.0" encoding="utf-8"?>
<ds:datastoreItem xmlns:ds="http://schemas.openxmlformats.org/officeDocument/2006/customXml" ds:itemID="{43291F46-BD75-499B-B3EB-C609A9372A80}"/>
</file>

<file path=customXml/itemProps3.xml><?xml version="1.0" encoding="utf-8"?>
<ds:datastoreItem xmlns:ds="http://schemas.openxmlformats.org/officeDocument/2006/customXml" ds:itemID="{DBBE8E1F-A3AD-4B8E-BFB4-F593A111727E}"/>
</file>

<file path=customXml/itemProps4.xml><?xml version="1.0" encoding="utf-8"?>
<ds:datastoreItem xmlns:ds="http://schemas.openxmlformats.org/officeDocument/2006/customXml" ds:itemID="{682A3100-4E8C-436C-AEEB-537DC8F108FD}"/>
</file>

<file path=customXml/itemProps5.xml><?xml version="1.0" encoding="utf-8"?>
<ds:datastoreItem xmlns:ds="http://schemas.openxmlformats.org/officeDocument/2006/customXml" ds:itemID="{C79372E5-A06C-4417-81ED-FB59EE46485B}"/>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2013-07-26T20:55:00Z</dcterms:created>
  <dcterms:modified xsi:type="dcterms:W3CDTF">2013-07-26T20:55:00Z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0x0101006E56B4D1795A2E4DB2F0B01679ED314A00ED3D93203BCC8E41B0BC2DC3BBCA76A4</vt:lpwstr>
  </property>
  <property fmtid="{D5CDD505-2E9C-101B-9397-08002B2CF9AE}" pid="3" name="_docset_NoMedatataSyncRequired">
    <vt:lpwstr>False</vt:lpwstr>
  </property>
</Properties>
</file>