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Pr="00A1595B" w:rsidRDefault="00C517C0" w:rsidP="00A1595B">
      <w:pPr>
        <w:spacing w:line="240" w:lineRule="exact"/>
        <w:ind w:left="5760"/>
        <w:rPr>
          <w:b/>
        </w:rPr>
      </w:pPr>
      <w:r w:rsidRPr="00A1595B">
        <w:rPr>
          <w:b/>
        </w:rPr>
        <w:t>Exhibit No. ___</w:t>
      </w:r>
      <w:r w:rsidR="006154FD" w:rsidRPr="00A1595B">
        <w:rPr>
          <w:b/>
        </w:rPr>
        <w:t>T</w:t>
      </w:r>
      <w:r w:rsidR="00B814E2" w:rsidRPr="00A1595B">
        <w:rPr>
          <w:b/>
        </w:rPr>
        <w:t xml:space="preserve"> (</w:t>
      </w:r>
      <w:r w:rsidR="00C42BC5" w:rsidRPr="00A1595B">
        <w:rPr>
          <w:b/>
        </w:rPr>
        <w:t>JH-1</w:t>
      </w:r>
      <w:r w:rsidR="00E20C6D" w:rsidRPr="00A1595B">
        <w:rPr>
          <w:b/>
        </w:rPr>
        <w:t>T</w:t>
      </w:r>
      <w:r w:rsidR="00B814E2" w:rsidRPr="00A1595B">
        <w:rPr>
          <w:b/>
        </w:rPr>
        <w:t>)</w:t>
      </w:r>
    </w:p>
    <w:p w:rsidR="00B814E2" w:rsidRPr="00A1595B" w:rsidRDefault="00B814E2" w:rsidP="00A1595B">
      <w:pPr>
        <w:spacing w:line="240" w:lineRule="exact"/>
        <w:ind w:left="5760"/>
        <w:rPr>
          <w:b/>
        </w:rPr>
      </w:pPr>
      <w:r w:rsidRPr="00A1595B">
        <w:rPr>
          <w:b/>
        </w:rPr>
        <w:t>Docket</w:t>
      </w:r>
      <w:r w:rsidR="001C6920" w:rsidRPr="00A1595B">
        <w:rPr>
          <w:b/>
        </w:rPr>
        <w:t xml:space="preserve"> UE-</w:t>
      </w:r>
      <w:r w:rsidR="001961D1" w:rsidRPr="00A1595B">
        <w:rPr>
          <w:b/>
        </w:rPr>
        <w:t>130</w:t>
      </w:r>
      <w:r w:rsidR="003B03B2" w:rsidRPr="00A1595B">
        <w:rPr>
          <w:b/>
        </w:rPr>
        <w:t>6</w:t>
      </w:r>
      <w:r w:rsidR="00CB05DB" w:rsidRPr="00A1595B">
        <w:rPr>
          <w:b/>
        </w:rPr>
        <w:t>17</w:t>
      </w:r>
      <w:r w:rsidR="001C6920" w:rsidRPr="00A1595B">
        <w:rPr>
          <w:b/>
        </w:rPr>
        <w:t xml:space="preserve"> </w:t>
      </w:r>
    </w:p>
    <w:p w:rsidR="00B814E2" w:rsidRDefault="0046251D" w:rsidP="00A1595B">
      <w:pPr>
        <w:spacing w:line="240" w:lineRule="exact"/>
        <w:ind w:left="5760"/>
        <w:rPr>
          <w:b/>
        </w:rPr>
      </w:pPr>
      <w:r w:rsidRPr="00A1595B">
        <w:rPr>
          <w:b/>
        </w:rPr>
        <w:t xml:space="preserve">Witness:  </w:t>
      </w:r>
      <w:r w:rsidR="00C42BC5" w:rsidRPr="00A1595B">
        <w:rPr>
          <w:b/>
        </w:rPr>
        <w:t>Joanna Huang</w:t>
      </w:r>
      <w:r w:rsidR="00B814E2" w:rsidRPr="00A1595B">
        <w:rPr>
          <w:b/>
        </w:rPr>
        <w:t xml:space="preserve"> </w:t>
      </w:r>
    </w:p>
    <w:p w:rsidR="00783874" w:rsidRDefault="00783874" w:rsidP="00A1595B">
      <w:pPr>
        <w:spacing w:line="240" w:lineRule="exact"/>
        <w:ind w:left="5760"/>
        <w:rPr>
          <w:b/>
        </w:rPr>
      </w:pPr>
    </w:p>
    <w:p w:rsidR="00783874" w:rsidRPr="00A1595B" w:rsidRDefault="00783874" w:rsidP="00A1595B">
      <w:pPr>
        <w:spacing w:line="240" w:lineRule="exact"/>
        <w:ind w:left="5760"/>
        <w:rPr>
          <w:b/>
        </w:rPr>
      </w:pPr>
    </w:p>
    <w:p w:rsidR="00A1595B" w:rsidRPr="00A1595B" w:rsidRDefault="00A1595B" w:rsidP="00A1595B">
      <w:pPr>
        <w:spacing w:line="240" w:lineRule="exact"/>
        <w:ind w:left="-360"/>
        <w:jc w:val="center"/>
        <w:rPr>
          <w:b/>
        </w:rPr>
      </w:pPr>
    </w:p>
    <w:p w:rsidR="00A1595B" w:rsidRPr="00A1595B" w:rsidRDefault="00A1595B" w:rsidP="00A1595B">
      <w:pPr>
        <w:spacing w:line="240" w:lineRule="exact"/>
        <w:ind w:left="-360"/>
        <w:jc w:val="center"/>
        <w:rPr>
          <w:b/>
        </w:rPr>
      </w:pPr>
      <w:r w:rsidRPr="00A1595B">
        <w:rPr>
          <w:b/>
        </w:rPr>
        <w:t>BEFORE THE WASHINGTON UTILITIES AND TRANSPORTATION COMMISSION</w:t>
      </w:r>
    </w:p>
    <w:p w:rsidR="00A1595B" w:rsidRDefault="00A1595B" w:rsidP="00A1595B">
      <w:pPr>
        <w:spacing w:line="240" w:lineRule="exact"/>
        <w:rPr>
          <w:b/>
        </w:rPr>
      </w:pPr>
    </w:p>
    <w:p w:rsidR="00783874" w:rsidRPr="00A1595B" w:rsidRDefault="00783874" w:rsidP="00A1595B">
      <w:pPr>
        <w:spacing w:line="240" w:lineRule="exact"/>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1595B" w:rsidRPr="00A1595B" w:rsidTr="00EB0F66">
        <w:tc>
          <w:tcPr>
            <w:tcW w:w="4590" w:type="dxa"/>
            <w:tcBorders>
              <w:top w:val="single" w:sz="6" w:space="0" w:color="FFFFFF"/>
              <w:left w:val="single" w:sz="6" w:space="0" w:color="FFFFFF"/>
              <w:bottom w:val="single" w:sz="7" w:space="0" w:color="000000"/>
              <w:right w:val="single" w:sz="6" w:space="0" w:color="FFFFFF"/>
            </w:tcBorders>
          </w:tcPr>
          <w:p w:rsidR="00A1595B" w:rsidRPr="00A1595B" w:rsidRDefault="00A1595B" w:rsidP="00A1595B">
            <w:pPr>
              <w:spacing w:line="240" w:lineRule="exact"/>
              <w:rPr>
                <w:b/>
              </w:rPr>
            </w:pPr>
            <w:r w:rsidRPr="00A1595B">
              <w:rPr>
                <w:b/>
              </w:rPr>
              <w:t>WASHINGTON UTILITIES AND TRANSPORTATION COMMISSION,</w:t>
            </w:r>
          </w:p>
          <w:p w:rsidR="00A1595B" w:rsidRPr="00A1595B" w:rsidRDefault="00A1595B" w:rsidP="00A1595B">
            <w:pPr>
              <w:spacing w:line="240" w:lineRule="exact"/>
              <w:rPr>
                <w:b/>
              </w:rPr>
            </w:pPr>
          </w:p>
          <w:p w:rsidR="00A1595B" w:rsidRPr="00A1595B" w:rsidRDefault="00A1595B" w:rsidP="00A1595B">
            <w:pPr>
              <w:spacing w:line="240" w:lineRule="exact"/>
              <w:rPr>
                <w:b/>
              </w:rPr>
            </w:pPr>
            <w:r w:rsidRPr="00A1595B">
              <w:rPr>
                <w:b/>
              </w:rPr>
              <w:tab/>
            </w:r>
            <w:r w:rsidRPr="00A1595B">
              <w:rPr>
                <w:b/>
              </w:rPr>
              <w:tab/>
              <w:t>Complainant,</w:t>
            </w:r>
          </w:p>
          <w:p w:rsidR="00A1595B" w:rsidRPr="00A1595B" w:rsidRDefault="00A1595B" w:rsidP="00A1595B">
            <w:pPr>
              <w:spacing w:line="240" w:lineRule="exact"/>
              <w:rPr>
                <w:b/>
              </w:rPr>
            </w:pPr>
          </w:p>
          <w:p w:rsidR="00A1595B" w:rsidRPr="00A1595B" w:rsidRDefault="00A1595B" w:rsidP="00A1595B">
            <w:pPr>
              <w:spacing w:line="240" w:lineRule="exact"/>
              <w:rPr>
                <w:b/>
              </w:rPr>
            </w:pPr>
            <w:r w:rsidRPr="00A1595B">
              <w:rPr>
                <w:b/>
              </w:rPr>
              <w:t>v.</w:t>
            </w:r>
          </w:p>
          <w:p w:rsidR="00A1595B" w:rsidRPr="00A1595B" w:rsidRDefault="00A1595B" w:rsidP="00A1595B">
            <w:pPr>
              <w:spacing w:line="240" w:lineRule="exact"/>
              <w:rPr>
                <w:b/>
              </w:rPr>
            </w:pPr>
          </w:p>
          <w:p w:rsidR="00A1595B" w:rsidRPr="00A1595B" w:rsidRDefault="00A1595B" w:rsidP="00A1595B">
            <w:pPr>
              <w:spacing w:line="240" w:lineRule="exact"/>
              <w:rPr>
                <w:b/>
              </w:rPr>
            </w:pPr>
            <w:r w:rsidRPr="00A1595B">
              <w:rPr>
                <w:b/>
              </w:rPr>
              <w:t xml:space="preserve">PUGET SOUND ENERGY, INC. </w:t>
            </w:r>
          </w:p>
          <w:p w:rsidR="00A1595B" w:rsidRPr="00A1595B" w:rsidRDefault="00A1595B" w:rsidP="00A1595B">
            <w:pPr>
              <w:spacing w:line="240" w:lineRule="exact"/>
              <w:rPr>
                <w:b/>
              </w:rPr>
            </w:pPr>
          </w:p>
          <w:p w:rsidR="00A1595B" w:rsidRPr="00A1595B" w:rsidRDefault="00A1595B" w:rsidP="00A1595B">
            <w:pPr>
              <w:spacing w:line="240" w:lineRule="exact"/>
              <w:rPr>
                <w:b/>
              </w:rPr>
            </w:pPr>
            <w:r w:rsidRPr="00A1595B">
              <w:rPr>
                <w:b/>
              </w:rPr>
              <w:tab/>
            </w:r>
            <w:r w:rsidRPr="00A1595B">
              <w:rPr>
                <w:b/>
              </w:rPr>
              <w:tab/>
              <w:t>Respondent.</w:t>
            </w:r>
          </w:p>
          <w:p w:rsidR="00A1595B" w:rsidRPr="00A1595B" w:rsidRDefault="00A1595B" w:rsidP="00A1595B">
            <w:pPr>
              <w:spacing w:line="240" w:lineRule="exact"/>
              <w:rPr>
                <w:b/>
              </w:rPr>
            </w:pPr>
            <w:r w:rsidRPr="00A1595B">
              <w:rPr>
                <w:b/>
              </w:rPr>
              <w:t>____________________________________</w:t>
            </w:r>
          </w:p>
          <w:p w:rsidR="00A1595B" w:rsidRPr="00A1595B" w:rsidRDefault="00A1595B" w:rsidP="00A1595B">
            <w:pPr>
              <w:spacing w:line="240" w:lineRule="exact"/>
              <w:rPr>
                <w:b/>
              </w:rPr>
            </w:pPr>
          </w:p>
          <w:p w:rsidR="00A1595B" w:rsidRPr="00A1595B" w:rsidRDefault="00A1595B" w:rsidP="00A1595B">
            <w:pPr>
              <w:spacing w:line="240" w:lineRule="exact"/>
              <w:rPr>
                <w:b/>
              </w:rPr>
            </w:pPr>
            <w:r w:rsidRPr="00A1595B">
              <w:rPr>
                <w:b/>
              </w:rPr>
              <w:t xml:space="preserve">In the Matter of the Application of </w:t>
            </w:r>
          </w:p>
          <w:p w:rsidR="00A1595B" w:rsidRPr="00A1595B" w:rsidRDefault="00A1595B" w:rsidP="00A1595B">
            <w:pPr>
              <w:spacing w:line="240" w:lineRule="exact"/>
              <w:rPr>
                <w:b/>
              </w:rPr>
            </w:pPr>
          </w:p>
          <w:p w:rsidR="00A1595B" w:rsidRPr="00A1595B" w:rsidRDefault="00A1595B" w:rsidP="00A1595B">
            <w:pPr>
              <w:spacing w:line="240" w:lineRule="exact"/>
              <w:rPr>
                <w:b/>
              </w:rPr>
            </w:pPr>
            <w:r w:rsidRPr="00A1595B">
              <w:rPr>
                <w:b/>
              </w:rPr>
              <w:t>PUGET SOUND ENERGY, INC.,</w:t>
            </w:r>
          </w:p>
          <w:p w:rsidR="00A1595B" w:rsidRPr="00A1595B" w:rsidRDefault="00A1595B" w:rsidP="00A1595B">
            <w:pPr>
              <w:spacing w:line="240" w:lineRule="exact"/>
              <w:rPr>
                <w:b/>
              </w:rPr>
            </w:pPr>
          </w:p>
          <w:p w:rsidR="00A1595B" w:rsidRPr="00A1595B" w:rsidRDefault="00A1595B" w:rsidP="00A1595B">
            <w:pPr>
              <w:spacing w:line="240" w:lineRule="exact"/>
              <w:rPr>
                <w:b/>
              </w:rPr>
            </w:pPr>
            <w:r w:rsidRPr="00A1595B">
              <w:rPr>
                <w:b/>
              </w:rPr>
              <w:t>For an Order Authorizing the Sale of Interests in the Development Assets Required for the Construction and Operation of Phase II of the Lower Snake River Wind Facility</w:t>
            </w:r>
          </w:p>
        </w:tc>
        <w:tc>
          <w:tcPr>
            <w:tcW w:w="4590" w:type="dxa"/>
            <w:tcBorders>
              <w:top w:val="single" w:sz="6" w:space="0" w:color="FFFFFF"/>
              <w:left w:val="single" w:sz="7" w:space="0" w:color="000000"/>
              <w:bottom w:val="single" w:sz="6" w:space="0" w:color="FFFFFF"/>
              <w:right w:val="single" w:sz="6" w:space="0" w:color="FFFFFF"/>
            </w:tcBorders>
          </w:tcPr>
          <w:p w:rsidR="00A1595B" w:rsidRPr="00A1595B" w:rsidRDefault="00A1595B" w:rsidP="00A1595B">
            <w:pPr>
              <w:spacing w:line="240" w:lineRule="exact"/>
              <w:rPr>
                <w:b/>
              </w:rPr>
            </w:pPr>
            <w:r w:rsidRPr="00A1595B">
              <w:rPr>
                <w:b/>
              </w:rPr>
              <w:t>DOCKET UE-130617</w:t>
            </w: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p>
          <w:p w:rsidR="00A1595B" w:rsidRPr="00A1595B" w:rsidRDefault="00A1595B" w:rsidP="00A1595B">
            <w:pPr>
              <w:spacing w:line="240" w:lineRule="exact"/>
              <w:rPr>
                <w:b/>
              </w:rPr>
            </w:pPr>
            <w:r w:rsidRPr="00A1595B">
              <w:rPr>
                <w:b/>
              </w:rPr>
              <w:t>DOCKET UE-131230</w:t>
            </w:r>
          </w:p>
          <w:p w:rsidR="00A1595B" w:rsidRPr="00A1595B" w:rsidRDefault="00A1595B" w:rsidP="00A1595B">
            <w:pPr>
              <w:spacing w:line="240" w:lineRule="exact"/>
              <w:rPr>
                <w:b/>
              </w:rPr>
            </w:pPr>
          </w:p>
          <w:p w:rsidR="00A1595B" w:rsidRPr="00A1595B" w:rsidRDefault="00A1595B" w:rsidP="00047036">
            <w:pPr>
              <w:spacing w:line="240" w:lineRule="exact"/>
              <w:rPr>
                <w:b/>
              </w:rPr>
            </w:pPr>
          </w:p>
        </w:tc>
      </w:tr>
    </w:tbl>
    <w:p w:rsidR="00A1595B" w:rsidRDefault="00A1595B" w:rsidP="00A1595B">
      <w:pPr>
        <w:spacing w:line="480" w:lineRule="auto"/>
        <w:rPr>
          <w:b/>
          <w:bCs/>
        </w:rPr>
      </w:pPr>
    </w:p>
    <w:p w:rsidR="00047036" w:rsidRDefault="00047036" w:rsidP="00047036">
      <w:pPr>
        <w:rPr>
          <w:b/>
          <w:bCs/>
        </w:rPr>
      </w:pPr>
    </w:p>
    <w:p w:rsidR="00047036" w:rsidRDefault="00047036" w:rsidP="00047036">
      <w:pPr>
        <w:rPr>
          <w:b/>
          <w:bCs/>
        </w:rPr>
      </w:pPr>
    </w:p>
    <w:p w:rsidR="00047036" w:rsidRPr="00A1595B" w:rsidRDefault="00047036" w:rsidP="00047036">
      <w:pPr>
        <w:tabs>
          <w:tab w:val="center" w:pos="4680"/>
        </w:tabs>
        <w:spacing w:line="240" w:lineRule="exact"/>
        <w:jc w:val="center"/>
        <w:rPr>
          <w:b/>
          <w:bCs/>
        </w:rPr>
      </w:pPr>
      <w:r w:rsidRPr="00A1595B">
        <w:rPr>
          <w:b/>
          <w:bCs/>
        </w:rPr>
        <w:t>TESTIMONY OF</w:t>
      </w:r>
    </w:p>
    <w:p w:rsidR="00047036" w:rsidRPr="00A1595B" w:rsidRDefault="00047036" w:rsidP="00047036">
      <w:pPr>
        <w:tabs>
          <w:tab w:val="center" w:pos="4680"/>
        </w:tabs>
        <w:spacing w:line="240" w:lineRule="exact"/>
        <w:jc w:val="center"/>
        <w:rPr>
          <w:b/>
          <w:bCs/>
        </w:rPr>
      </w:pPr>
    </w:p>
    <w:p w:rsidR="00047036" w:rsidRPr="00A1595B" w:rsidRDefault="00047036" w:rsidP="00047036">
      <w:pPr>
        <w:tabs>
          <w:tab w:val="center" w:pos="4680"/>
        </w:tabs>
        <w:spacing w:line="240" w:lineRule="exact"/>
        <w:jc w:val="center"/>
        <w:rPr>
          <w:b/>
          <w:bCs/>
        </w:rPr>
      </w:pPr>
      <w:r w:rsidRPr="00A1595B">
        <w:rPr>
          <w:b/>
          <w:bCs/>
        </w:rPr>
        <w:t>Joanna Huang</w:t>
      </w:r>
    </w:p>
    <w:p w:rsidR="00047036" w:rsidRPr="00A1595B" w:rsidRDefault="00047036" w:rsidP="00047036">
      <w:pPr>
        <w:tabs>
          <w:tab w:val="center" w:pos="4680"/>
        </w:tabs>
        <w:spacing w:line="240" w:lineRule="exact"/>
        <w:jc w:val="center"/>
        <w:rPr>
          <w:b/>
          <w:bCs/>
        </w:rPr>
      </w:pPr>
    </w:p>
    <w:p w:rsidR="00047036" w:rsidRPr="00A1595B" w:rsidRDefault="00047036" w:rsidP="00047036">
      <w:pPr>
        <w:tabs>
          <w:tab w:val="center" w:pos="4680"/>
        </w:tabs>
        <w:spacing w:line="240" w:lineRule="exact"/>
        <w:jc w:val="center"/>
        <w:rPr>
          <w:b/>
          <w:bCs/>
        </w:rPr>
      </w:pPr>
      <w:r w:rsidRPr="00A1595B">
        <w:rPr>
          <w:b/>
          <w:bCs/>
        </w:rPr>
        <w:t>STAFF OF</w:t>
      </w:r>
    </w:p>
    <w:p w:rsidR="00047036" w:rsidRPr="00A1595B" w:rsidRDefault="00047036" w:rsidP="00047036">
      <w:pPr>
        <w:tabs>
          <w:tab w:val="center" w:pos="4680"/>
        </w:tabs>
        <w:spacing w:line="240" w:lineRule="exact"/>
        <w:jc w:val="center"/>
        <w:rPr>
          <w:b/>
          <w:bCs/>
        </w:rPr>
      </w:pPr>
      <w:r w:rsidRPr="00A1595B">
        <w:rPr>
          <w:b/>
          <w:bCs/>
        </w:rPr>
        <w:t>WASHINGTON UTILITIES AND</w:t>
      </w:r>
    </w:p>
    <w:p w:rsidR="00047036" w:rsidRDefault="00047036" w:rsidP="00047036">
      <w:pPr>
        <w:tabs>
          <w:tab w:val="center" w:pos="4680"/>
        </w:tabs>
        <w:spacing w:line="240" w:lineRule="exact"/>
        <w:jc w:val="center"/>
        <w:rPr>
          <w:b/>
          <w:bCs/>
        </w:rPr>
      </w:pPr>
      <w:r w:rsidRPr="00A1595B">
        <w:rPr>
          <w:b/>
          <w:bCs/>
        </w:rPr>
        <w:t>TRANSPORTATION COMMISSION</w:t>
      </w:r>
    </w:p>
    <w:p w:rsidR="00047036" w:rsidRDefault="00047036" w:rsidP="00047036">
      <w:pPr>
        <w:tabs>
          <w:tab w:val="center" w:pos="4680"/>
        </w:tabs>
        <w:spacing w:line="240" w:lineRule="exact"/>
        <w:jc w:val="center"/>
        <w:rPr>
          <w:b/>
          <w:bCs/>
        </w:rPr>
      </w:pPr>
    </w:p>
    <w:p w:rsidR="00783874" w:rsidRPr="00A1595B" w:rsidRDefault="00783874" w:rsidP="00047036">
      <w:pPr>
        <w:tabs>
          <w:tab w:val="center" w:pos="4680"/>
        </w:tabs>
        <w:spacing w:line="240" w:lineRule="exact"/>
        <w:jc w:val="center"/>
        <w:rPr>
          <w:b/>
          <w:bCs/>
        </w:rPr>
      </w:pPr>
    </w:p>
    <w:p w:rsidR="00047036" w:rsidRDefault="00047036" w:rsidP="00047036">
      <w:pPr>
        <w:spacing w:line="240" w:lineRule="exact"/>
        <w:jc w:val="center"/>
        <w:rPr>
          <w:b/>
          <w:i/>
        </w:rPr>
      </w:pPr>
      <w:r w:rsidRPr="00A1595B">
        <w:rPr>
          <w:b/>
          <w:i/>
        </w:rPr>
        <w:t xml:space="preserve">Lower Snake River Wind Facility, Phase </w:t>
      </w:r>
      <w:r w:rsidR="00D019AE">
        <w:rPr>
          <w:b/>
          <w:i/>
        </w:rPr>
        <w:t>2</w:t>
      </w:r>
    </w:p>
    <w:p w:rsidR="00047036" w:rsidRDefault="00047036" w:rsidP="00047036">
      <w:pPr>
        <w:spacing w:line="240" w:lineRule="exact"/>
        <w:jc w:val="center"/>
        <w:rPr>
          <w:b/>
          <w:bCs/>
          <w:i/>
        </w:rPr>
      </w:pPr>
    </w:p>
    <w:p w:rsidR="00783874" w:rsidRPr="00A1595B" w:rsidRDefault="00783874" w:rsidP="00047036">
      <w:pPr>
        <w:spacing w:line="240" w:lineRule="exact"/>
        <w:jc w:val="center"/>
        <w:rPr>
          <w:b/>
          <w:bCs/>
          <w:i/>
        </w:rPr>
      </w:pPr>
    </w:p>
    <w:p w:rsidR="00047036" w:rsidRPr="00A1595B" w:rsidRDefault="00047036" w:rsidP="00047036">
      <w:pPr>
        <w:spacing w:line="240" w:lineRule="exact"/>
        <w:jc w:val="center"/>
        <w:rPr>
          <w:b/>
          <w:bCs/>
        </w:rPr>
      </w:pPr>
      <w:r w:rsidRPr="00A1595B">
        <w:rPr>
          <w:b/>
          <w:bCs/>
        </w:rPr>
        <w:t>August 14, 2013</w:t>
      </w:r>
    </w:p>
    <w:p w:rsidR="00047036" w:rsidRDefault="00047036" w:rsidP="00047036">
      <w:pPr>
        <w:rPr>
          <w:b/>
          <w:bCs/>
        </w:rPr>
      </w:pPr>
    </w:p>
    <w:p w:rsidR="00047036" w:rsidRDefault="00047036" w:rsidP="00047036">
      <w:pPr>
        <w:rPr>
          <w:b/>
          <w:bCs/>
        </w:rPr>
      </w:pPr>
    </w:p>
    <w:p w:rsidR="00047036" w:rsidRDefault="00047036" w:rsidP="00047036">
      <w:pPr>
        <w:rPr>
          <w:b/>
          <w:bCs/>
        </w:rPr>
      </w:pPr>
    </w:p>
    <w:p w:rsidR="00047036" w:rsidRDefault="00047036" w:rsidP="00047036">
      <w:pPr>
        <w:rPr>
          <w:b/>
          <w:bCs/>
        </w:rPr>
      </w:pPr>
    </w:p>
    <w:p w:rsidR="00047036" w:rsidRDefault="00047036" w:rsidP="00A1595B">
      <w:pPr>
        <w:spacing w:line="480" w:lineRule="auto"/>
        <w:rPr>
          <w:b/>
          <w:bCs/>
        </w:rPr>
      </w:pPr>
    </w:p>
    <w:p w:rsidR="00A1595B" w:rsidRDefault="00A1595B" w:rsidP="00A1595B">
      <w:pPr>
        <w:spacing w:line="480" w:lineRule="auto"/>
        <w:rPr>
          <w:b/>
          <w:bCs/>
        </w:rPr>
        <w:sectPr w:rsidR="00A1595B" w:rsidSect="00A1595B">
          <w:pgSz w:w="12240" w:h="15840" w:code="1"/>
          <w:pgMar w:top="1440" w:right="1440" w:bottom="1440" w:left="1872" w:header="720" w:footer="720" w:gutter="0"/>
          <w:pgNumType w:start="1"/>
          <w:cols w:space="720"/>
          <w:docGrid w:linePitch="360"/>
        </w:sectPr>
      </w:pPr>
    </w:p>
    <w:p w:rsidR="009956A2" w:rsidRPr="000F17F7" w:rsidRDefault="009956A2" w:rsidP="00435FC5">
      <w:pPr>
        <w:spacing w:line="480" w:lineRule="auto"/>
        <w:jc w:val="center"/>
      </w:pPr>
      <w:r w:rsidRPr="000F17F7">
        <w:rPr>
          <w:b/>
        </w:rPr>
        <w:lastRenderedPageBreak/>
        <w:t>TABLE OF CONTENTS</w:t>
      </w:r>
    </w:p>
    <w:p w:rsidR="009956A2" w:rsidRPr="000F17F7" w:rsidRDefault="009956A2" w:rsidP="00435FC5">
      <w:pPr>
        <w:spacing w:line="480" w:lineRule="auto"/>
      </w:pPr>
    </w:p>
    <w:p w:rsidR="009956A2" w:rsidRPr="000F17F7" w:rsidRDefault="009956A2" w:rsidP="00435FC5">
      <w:pPr>
        <w:tabs>
          <w:tab w:val="left" w:pos="720"/>
          <w:tab w:val="left" w:pos="1440"/>
          <w:tab w:val="left" w:pos="2160"/>
          <w:tab w:val="right" w:leader="dot" w:pos="9000"/>
        </w:tabs>
        <w:spacing w:line="480" w:lineRule="auto"/>
      </w:pPr>
      <w:r w:rsidRPr="000F17F7">
        <w:t>I.</w:t>
      </w:r>
      <w:r w:rsidRPr="000F17F7">
        <w:tab/>
        <w:t xml:space="preserve">INTRODUCTION </w:t>
      </w:r>
      <w:r w:rsidRPr="000F17F7">
        <w:tab/>
        <w:t>1</w:t>
      </w:r>
    </w:p>
    <w:p w:rsidR="009956A2" w:rsidRPr="000F17F7" w:rsidRDefault="009956A2" w:rsidP="00435FC5">
      <w:pPr>
        <w:tabs>
          <w:tab w:val="left" w:pos="720"/>
          <w:tab w:val="left" w:pos="1440"/>
          <w:tab w:val="left" w:pos="2160"/>
          <w:tab w:val="right" w:leader="dot" w:pos="9000"/>
        </w:tabs>
        <w:spacing w:line="480" w:lineRule="auto"/>
      </w:pPr>
      <w:r w:rsidRPr="000F17F7">
        <w:t>II.</w:t>
      </w:r>
      <w:r w:rsidRPr="000F17F7">
        <w:tab/>
      </w:r>
      <w:r w:rsidR="00B662FF">
        <w:t>SCOPE AND SUMMARY OF TESTIMONY</w:t>
      </w:r>
      <w:r w:rsidR="00B662FF">
        <w:tab/>
        <w:t>2</w:t>
      </w:r>
    </w:p>
    <w:p w:rsidR="009956A2" w:rsidRDefault="009956A2" w:rsidP="00435FC5">
      <w:pPr>
        <w:tabs>
          <w:tab w:val="left" w:pos="720"/>
          <w:tab w:val="left" w:pos="1440"/>
          <w:tab w:val="left" w:pos="2160"/>
          <w:tab w:val="right" w:leader="dot" w:pos="9000"/>
        </w:tabs>
        <w:spacing w:line="480" w:lineRule="auto"/>
      </w:pPr>
      <w:r w:rsidRPr="000F17F7">
        <w:t>I</w:t>
      </w:r>
      <w:r w:rsidR="00964A21">
        <w:t>I</w:t>
      </w:r>
      <w:r w:rsidRPr="000F17F7">
        <w:t>I.</w:t>
      </w:r>
      <w:r w:rsidR="00CB05DB">
        <w:tab/>
      </w:r>
      <w:r w:rsidR="00153A69" w:rsidRPr="00153A69">
        <w:rPr>
          <w:rFonts w:eastAsia="Times New Roman"/>
        </w:rPr>
        <w:t>BACKGROUN</w:t>
      </w:r>
      <w:r w:rsidR="00153A69" w:rsidRPr="00153A69">
        <w:t>D</w:t>
      </w:r>
      <w:r w:rsidR="004366F8">
        <w:tab/>
      </w:r>
      <w:r w:rsidR="00B662FF">
        <w:t>4</w:t>
      </w:r>
    </w:p>
    <w:p w:rsidR="00CF7033" w:rsidRPr="00694D48" w:rsidRDefault="00675AB8" w:rsidP="00783874">
      <w:pPr>
        <w:tabs>
          <w:tab w:val="left" w:pos="720"/>
          <w:tab w:val="left" w:pos="1440"/>
          <w:tab w:val="left" w:pos="2160"/>
          <w:tab w:val="right" w:leader="dot" w:pos="9000"/>
        </w:tabs>
        <w:spacing w:line="480" w:lineRule="auto"/>
        <w:ind w:left="1440" w:hanging="1440"/>
      </w:pPr>
      <w:r>
        <w:tab/>
      </w:r>
      <w:r w:rsidR="00CF7033" w:rsidRPr="00694D48">
        <w:t>A.</w:t>
      </w:r>
      <w:r w:rsidR="00CF7033" w:rsidRPr="00694D48">
        <w:tab/>
        <w:t>Nature of the Facilities at Issue</w:t>
      </w:r>
      <w:r w:rsidR="00047036">
        <w:t xml:space="preserve"> </w:t>
      </w:r>
      <w:r w:rsidR="00CF7033" w:rsidRPr="00694D48">
        <w:tab/>
      </w:r>
      <w:r w:rsidR="00B662FF">
        <w:t>4</w:t>
      </w:r>
    </w:p>
    <w:p w:rsidR="00CF7033" w:rsidRPr="00694D48" w:rsidRDefault="00CF7033" w:rsidP="00783874">
      <w:pPr>
        <w:tabs>
          <w:tab w:val="left" w:pos="720"/>
          <w:tab w:val="left" w:pos="1440"/>
          <w:tab w:val="left" w:pos="2160"/>
          <w:tab w:val="right" w:leader="dot" w:pos="9000"/>
        </w:tabs>
        <w:spacing w:line="480" w:lineRule="auto"/>
        <w:ind w:left="1440" w:hanging="1440"/>
      </w:pPr>
      <w:r w:rsidRPr="00694D48">
        <w:tab/>
        <w:t>B.</w:t>
      </w:r>
      <w:r w:rsidRPr="00694D48">
        <w:tab/>
        <w:t>PSE’s Prepayment to BPA</w:t>
      </w:r>
      <w:r w:rsidR="00047036">
        <w:t xml:space="preserve"> </w:t>
      </w:r>
      <w:r w:rsidRPr="00694D48">
        <w:tab/>
      </w:r>
      <w:r w:rsidR="00B662FF">
        <w:t>4</w:t>
      </w:r>
    </w:p>
    <w:p w:rsidR="00CF7033" w:rsidRDefault="00783874" w:rsidP="00783874">
      <w:pPr>
        <w:tabs>
          <w:tab w:val="left" w:pos="720"/>
          <w:tab w:val="left" w:pos="1440"/>
          <w:tab w:val="left" w:pos="2160"/>
          <w:tab w:val="right" w:leader="dot" w:pos="9000"/>
        </w:tabs>
        <w:ind w:left="1440" w:hanging="1440"/>
      </w:pPr>
      <w:r>
        <w:tab/>
      </w:r>
      <w:r w:rsidR="00CF7033" w:rsidRPr="00694D48">
        <w:t>C.</w:t>
      </w:r>
      <w:r w:rsidR="00CF7033" w:rsidRPr="00694D48">
        <w:tab/>
        <w:t>PSE’s Accounting for PSE’s Prepayment to BPA for the Central Ferry Substation</w:t>
      </w:r>
      <w:r w:rsidR="00047036">
        <w:t xml:space="preserve"> </w:t>
      </w:r>
      <w:r w:rsidR="00B662FF">
        <w:tab/>
        <w:t>8</w:t>
      </w:r>
    </w:p>
    <w:p w:rsidR="00A1595B" w:rsidRDefault="00A1595B" w:rsidP="00783874">
      <w:pPr>
        <w:tabs>
          <w:tab w:val="left" w:pos="720"/>
          <w:tab w:val="left" w:pos="1440"/>
          <w:tab w:val="left" w:pos="2160"/>
          <w:tab w:val="right" w:leader="dot" w:pos="9000"/>
        </w:tabs>
        <w:ind w:left="1440" w:hanging="1440"/>
      </w:pPr>
    </w:p>
    <w:p w:rsidR="00CF7033" w:rsidRDefault="00783874" w:rsidP="00783874">
      <w:pPr>
        <w:tabs>
          <w:tab w:val="left" w:pos="720"/>
          <w:tab w:val="left" w:pos="1440"/>
          <w:tab w:val="left" w:pos="2160"/>
          <w:tab w:val="right" w:leader="dot" w:pos="9000"/>
        </w:tabs>
        <w:spacing w:line="480" w:lineRule="auto"/>
        <w:ind w:left="1440" w:hanging="1440"/>
      </w:pPr>
      <w:r>
        <w:tab/>
      </w:r>
      <w:r w:rsidR="00CF7033">
        <w:t>D</w:t>
      </w:r>
      <w:r w:rsidR="00CF7033" w:rsidRPr="00694D48">
        <w:t>.</w:t>
      </w:r>
      <w:r w:rsidR="00CF7033" w:rsidRPr="00694D48">
        <w:tab/>
      </w:r>
      <w:r w:rsidR="00CF7033" w:rsidRPr="00CF7033">
        <w:t xml:space="preserve">PSE’s Sale of </w:t>
      </w:r>
      <w:r w:rsidR="00D019AE">
        <w:t>LSR Phase 2</w:t>
      </w:r>
      <w:r w:rsidR="00CF7033" w:rsidRPr="00694D48">
        <w:tab/>
      </w:r>
      <w:r w:rsidR="00B662FF">
        <w:t>9</w:t>
      </w:r>
    </w:p>
    <w:p w:rsidR="00CF7033" w:rsidRPr="00694D48" w:rsidRDefault="00783874" w:rsidP="00783874">
      <w:pPr>
        <w:tabs>
          <w:tab w:val="left" w:pos="720"/>
          <w:tab w:val="left" w:pos="1440"/>
          <w:tab w:val="left" w:pos="2160"/>
          <w:tab w:val="right" w:leader="dot" w:pos="9000"/>
        </w:tabs>
        <w:ind w:left="1440" w:hanging="1440"/>
      </w:pPr>
      <w:r>
        <w:tab/>
      </w:r>
      <w:r w:rsidR="00CF7033">
        <w:t>E</w:t>
      </w:r>
      <w:r w:rsidR="00CF7033" w:rsidRPr="00694D48">
        <w:t>.</w:t>
      </w:r>
      <w:r w:rsidR="00CF7033" w:rsidRPr="00694D48">
        <w:tab/>
        <w:t xml:space="preserve">The Appropriate Accounting and Ratemaking Treatment of the Sale of </w:t>
      </w:r>
      <w:r w:rsidR="00CF7033">
        <w:t xml:space="preserve">BPA </w:t>
      </w:r>
      <w:r w:rsidR="00CF7033" w:rsidRPr="00694D48">
        <w:t>Transmission S</w:t>
      </w:r>
      <w:r w:rsidR="00CF7033">
        <w:t xml:space="preserve">ervice Credits for </w:t>
      </w:r>
      <w:r w:rsidR="00D019AE">
        <w:t>LSR Phase 2</w:t>
      </w:r>
      <w:r w:rsidR="00047036">
        <w:t xml:space="preserve"> </w:t>
      </w:r>
      <w:r w:rsidR="00B662FF">
        <w:tab/>
        <w:t>11</w:t>
      </w:r>
    </w:p>
    <w:p w:rsidR="00675AB8" w:rsidRDefault="00675AB8" w:rsidP="00CF7033">
      <w:pPr>
        <w:tabs>
          <w:tab w:val="left" w:pos="720"/>
          <w:tab w:val="left" w:pos="1440"/>
          <w:tab w:val="left" w:pos="2160"/>
          <w:tab w:val="right" w:leader="dot" w:pos="9000"/>
        </w:tabs>
        <w:spacing w:line="480" w:lineRule="auto"/>
      </w:pPr>
    </w:p>
    <w:p w:rsidR="00675AB8" w:rsidRPr="000F17F7" w:rsidRDefault="00675AB8" w:rsidP="00435FC5">
      <w:pPr>
        <w:tabs>
          <w:tab w:val="left" w:pos="720"/>
          <w:tab w:val="left" w:pos="1440"/>
          <w:tab w:val="left" w:pos="2160"/>
          <w:tab w:val="right" w:leader="dot" w:pos="9000"/>
        </w:tabs>
        <w:spacing w:line="480" w:lineRule="auto"/>
      </w:pPr>
    </w:p>
    <w:p w:rsidR="009956A2" w:rsidRPr="000F17F7" w:rsidRDefault="009956A2" w:rsidP="00435FC5">
      <w:pPr>
        <w:spacing w:line="480" w:lineRule="auto"/>
        <w:jc w:val="center"/>
      </w:pPr>
      <w:r w:rsidRPr="000F17F7">
        <w:rPr>
          <w:b/>
        </w:rPr>
        <w:t>List of Exhibits</w:t>
      </w:r>
    </w:p>
    <w:p w:rsidR="00CB56F8" w:rsidRPr="00CB56F8" w:rsidRDefault="009956A2" w:rsidP="00CB56F8">
      <w:pPr>
        <w:ind w:left="1800" w:hanging="1800"/>
        <w:rPr>
          <w:rFonts w:eastAsia="Calibri"/>
        </w:rPr>
      </w:pPr>
      <w:r w:rsidRPr="00CB56F8">
        <w:t xml:space="preserve">Exhibit </w:t>
      </w:r>
      <w:r w:rsidR="00964A21" w:rsidRPr="00CB56F8">
        <w:t>No.</w:t>
      </w:r>
      <w:r w:rsidR="00783874" w:rsidRPr="00CB56F8">
        <w:t xml:space="preserve"> </w:t>
      </w:r>
      <w:proofErr w:type="spellStart"/>
      <w:r w:rsidR="00964A21" w:rsidRPr="00CB56F8">
        <w:t>JH</w:t>
      </w:r>
      <w:proofErr w:type="spellEnd"/>
      <w:r w:rsidRPr="00CB56F8">
        <w:t xml:space="preserve">-2, </w:t>
      </w:r>
      <w:r w:rsidR="00CB56F8" w:rsidRPr="00CB56F8">
        <w:rPr>
          <w:rFonts w:eastAsia="Calibri"/>
        </w:rPr>
        <w:t>Support for Calculation of Staff Adjustment 21</w:t>
      </w:r>
      <w:r w:rsidR="00CB56F8">
        <w:rPr>
          <w:rFonts w:eastAsia="Calibri"/>
        </w:rPr>
        <w:t xml:space="preserve">, </w:t>
      </w:r>
      <w:r w:rsidR="00CB56F8" w:rsidRPr="00CB56F8">
        <w:rPr>
          <w:rFonts w:eastAsia="Calibri"/>
        </w:rPr>
        <w:t>Prepaid Transmission and Deferred Carrying Charges</w:t>
      </w:r>
    </w:p>
    <w:p w:rsidR="00783874" w:rsidRDefault="00783874" w:rsidP="00A1595B">
      <w:pPr>
        <w:ind w:left="2430" w:hanging="2430"/>
      </w:pPr>
    </w:p>
    <w:p w:rsidR="00783874" w:rsidRDefault="00783874" w:rsidP="00A1595B">
      <w:pPr>
        <w:ind w:left="2430" w:hanging="2430"/>
      </w:pPr>
    </w:p>
    <w:p w:rsidR="00A1595B" w:rsidRDefault="00A1595B" w:rsidP="00A1595B">
      <w:pPr>
        <w:spacing w:line="480" w:lineRule="auto"/>
      </w:pPr>
    </w:p>
    <w:p w:rsidR="00A1595B" w:rsidRDefault="00A1595B" w:rsidP="00435FC5">
      <w:pPr>
        <w:spacing w:line="480" w:lineRule="auto"/>
        <w:ind w:firstLine="720"/>
        <w:sectPr w:rsidR="00A1595B" w:rsidSect="00A1595B">
          <w:footerReference w:type="default" r:id="rId12"/>
          <w:pgSz w:w="12240" w:h="15840" w:code="1"/>
          <w:pgMar w:top="1440" w:right="1440" w:bottom="1440" w:left="1872" w:header="720" w:footer="720" w:gutter="0"/>
          <w:pgNumType w:fmt="lowerRoman" w:start="1"/>
          <w:cols w:space="720"/>
          <w:docGrid w:linePitch="360"/>
        </w:sectPr>
      </w:pPr>
    </w:p>
    <w:p w:rsidR="00B814E2" w:rsidRPr="00874086" w:rsidRDefault="00B814E2" w:rsidP="00874086">
      <w:pPr>
        <w:spacing w:line="480" w:lineRule="auto"/>
        <w:jc w:val="center"/>
        <w:rPr>
          <w:b/>
        </w:rPr>
      </w:pPr>
      <w:r w:rsidRPr="00874086">
        <w:rPr>
          <w:b/>
        </w:rPr>
        <w:lastRenderedPageBreak/>
        <w:t>I.</w:t>
      </w:r>
      <w:r w:rsidRPr="00874086">
        <w:rPr>
          <w:b/>
        </w:rPr>
        <w:tab/>
        <w:t>INTRODUCTION</w:t>
      </w:r>
    </w:p>
    <w:p w:rsidR="00B814E2" w:rsidRPr="00874086" w:rsidRDefault="00B814E2" w:rsidP="00874086">
      <w:pPr>
        <w:spacing w:line="480" w:lineRule="auto"/>
        <w:rPr>
          <w:b/>
        </w:rPr>
      </w:pPr>
    </w:p>
    <w:p w:rsidR="00B814E2" w:rsidRPr="00874086" w:rsidRDefault="00B814E2" w:rsidP="00874086">
      <w:pPr>
        <w:spacing w:line="480" w:lineRule="auto"/>
      </w:pPr>
      <w:r w:rsidRPr="00874086">
        <w:rPr>
          <w:b/>
        </w:rPr>
        <w:t>Q.</w:t>
      </w:r>
      <w:r w:rsidRPr="00874086">
        <w:rPr>
          <w:b/>
        </w:rPr>
        <w:tab/>
        <w:t xml:space="preserve">Please state your name and business address.  </w:t>
      </w:r>
    </w:p>
    <w:p w:rsidR="00B814E2" w:rsidRPr="00874086" w:rsidRDefault="00B814E2" w:rsidP="00874086">
      <w:pPr>
        <w:spacing w:line="480" w:lineRule="auto"/>
        <w:ind w:left="720" w:hanging="720"/>
      </w:pPr>
      <w:r w:rsidRPr="00874086">
        <w:t>A.</w:t>
      </w:r>
      <w:r w:rsidRPr="00874086">
        <w:tab/>
      </w:r>
      <w:r w:rsidR="000C2D89" w:rsidRPr="00874086">
        <w:t xml:space="preserve">My name is </w:t>
      </w:r>
      <w:r w:rsidR="00C42BC5" w:rsidRPr="00874086">
        <w:t>Joanna Huang</w:t>
      </w:r>
      <w:r w:rsidRPr="00874086">
        <w:t xml:space="preserve">.  My business address is </w:t>
      </w:r>
      <w:r w:rsidR="00BD6CB2" w:rsidRPr="00874086">
        <w:t xml:space="preserve">Richard Hemstad Building, </w:t>
      </w:r>
      <w:r w:rsidRPr="00874086">
        <w:t>1300 S. Evergreen Park Drive S.W., Olympia, W</w:t>
      </w:r>
      <w:r w:rsidR="00045486" w:rsidRPr="00874086">
        <w:t>ashington</w:t>
      </w:r>
      <w:r w:rsidRPr="00874086">
        <w:t xml:space="preserve">  98504.  </w:t>
      </w:r>
    </w:p>
    <w:p w:rsidR="00B814E2" w:rsidRPr="00874086" w:rsidRDefault="00B814E2" w:rsidP="00874086">
      <w:pPr>
        <w:spacing w:line="480" w:lineRule="auto"/>
        <w:ind w:left="720" w:hanging="720"/>
      </w:pPr>
    </w:p>
    <w:p w:rsidR="00B814E2" w:rsidRPr="00874086" w:rsidRDefault="00B814E2" w:rsidP="00874086">
      <w:pPr>
        <w:spacing w:line="480" w:lineRule="auto"/>
        <w:ind w:left="720" w:hanging="720"/>
      </w:pPr>
      <w:r w:rsidRPr="00874086">
        <w:rPr>
          <w:b/>
        </w:rPr>
        <w:t>Q.</w:t>
      </w:r>
      <w:r w:rsidRPr="00874086">
        <w:rPr>
          <w:b/>
        </w:rPr>
        <w:tab/>
        <w:t xml:space="preserve">By whom are you employed and in what capacity?  </w:t>
      </w:r>
    </w:p>
    <w:p w:rsidR="00B814E2" w:rsidRPr="00874086" w:rsidRDefault="00B814E2" w:rsidP="00874086">
      <w:pPr>
        <w:spacing w:line="480" w:lineRule="auto"/>
        <w:ind w:left="720" w:hanging="720"/>
      </w:pPr>
      <w:r w:rsidRPr="00874086">
        <w:t>A.</w:t>
      </w:r>
      <w:r w:rsidRPr="00874086">
        <w:tab/>
        <w:t xml:space="preserve">I am employed by the Washington Utilities and Transportation </w:t>
      </w:r>
      <w:r w:rsidR="00BD6CB2" w:rsidRPr="00874086">
        <w:t>Commission (</w:t>
      </w:r>
      <w:r w:rsidR="00045486" w:rsidRPr="00874086">
        <w:t>“</w:t>
      </w:r>
      <w:r w:rsidR="00BD6CB2" w:rsidRPr="00874086">
        <w:t>Commission</w:t>
      </w:r>
      <w:r w:rsidR="00045486" w:rsidRPr="00874086">
        <w:t>”</w:t>
      </w:r>
      <w:r w:rsidR="00BD6CB2" w:rsidRPr="00874086">
        <w:t xml:space="preserve">) </w:t>
      </w:r>
      <w:r w:rsidRPr="00874086">
        <w:t xml:space="preserve">as </w:t>
      </w:r>
      <w:r w:rsidR="00BD6CB2" w:rsidRPr="00874086">
        <w:t xml:space="preserve">a </w:t>
      </w:r>
      <w:r w:rsidR="00C42BC5" w:rsidRPr="00874086">
        <w:t xml:space="preserve">Regulatory </w:t>
      </w:r>
      <w:r w:rsidR="00BD6CB2" w:rsidRPr="00874086">
        <w:t>A</w:t>
      </w:r>
      <w:r w:rsidR="00C42BC5" w:rsidRPr="00874086">
        <w:t>nalyst</w:t>
      </w:r>
      <w:r w:rsidR="00045486" w:rsidRPr="00874086">
        <w:t xml:space="preserve"> in the Energy Section of the Regulatory Services Division.</w:t>
      </w:r>
    </w:p>
    <w:p w:rsidR="00B814E2" w:rsidRPr="00874086" w:rsidRDefault="00B814E2" w:rsidP="00874086">
      <w:pPr>
        <w:spacing w:line="480" w:lineRule="auto"/>
        <w:ind w:left="720" w:hanging="720"/>
      </w:pPr>
    </w:p>
    <w:p w:rsidR="00B814E2" w:rsidRPr="00874086" w:rsidRDefault="00B814E2" w:rsidP="00874086">
      <w:pPr>
        <w:spacing w:line="480" w:lineRule="auto"/>
        <w:ind w:left="720" w:hanging="720"/>
      </w:pPr>
      <w:r w:rsidRPr="00874086">
        <w:rPr>
          <w:b/>
        </w:rPr>
        <w:t>Q.</w:t>
      </w:r>
      <w:r w:rsidRPr="00874086">
        <w:rPr>
          <w:b/>
        </w:rPr>
        <w:tab/>
        <w:t xml:space="preserve">How long have you been employed by the Commission?  </w:t>
      </w:r>
      <w:r w:rsidRPr="00874086">
        <w:t xml:space="preserve"> </w:t>
      </w:r>
    </w:p>
    <w:p w:rsidR="00B814E2" w:rsidRPr="00874086" w:rsidRDefault="00B814E2" w:rsidP="00874086">
      <w:pPr>
        <w:spacing w:line="480" w:lineRule="auto"/>
        <w:ind w:left="720" w:hanging="720"/>
      </w:pPr>
      <w:r w:rsidRPr="00874086">
        <w:t>A.</w:t>
      </w:r>
      <w:r w:rsidRPr="00874086">
        <w:tab/>
      </w:r>
      <w:r w:rsidR="00045486" w:rsidRPr="00874086">
        <w:t xml:space="preserve">I have been employed by the Commission </w:t>
      </w:r>
      <w:r w:rsidR="00DC47CB" w:rsidRPr="00874086">
        <w:t>since June 1996</w:t>
      </w:r>
      <w:r w:rsidR="00C42BC5" w:rsidRPr="00874086">
        <w:t>.</w:t>
      </w:r>
    </w:p>
    <w:p w:rsidR="00B814E2" w:rsidRPr="00874086" w:rsidRDefault="00B814E2" w:rsidP="00874086">
      <w:pPr>
        <w:spacing w:line="480" w:lineRule="auto"/>
        <w:ind w:left="720" w:hanging="720"/>
      </w:pPr>
    </w:p>
    <w:p w:rsidR="00B814E2" w:rsidRPr="00874086" w:rsidRDefault="00B814E2" w:rsidP="00874086">
      <w:pPr>
        <w:spacing w:line="480" w:lineRule="auto"/>
        <w:ind w:left="720" w:hanging="720"/>
      </w:pPr>
      <w:r w:rsidRPr="00874086">
        <w:rPr>
          <w:b/>
        </w:rPr>
        <w:t xml:space="preserve">Q </w:t>
      </w:r>
      <w:r w:rsidRPr="00874086">
        <w:rPr>
          <w:b/>
        </w:rPr>
        <w:tab/>
        <w:t xml:space="preserve">Would you please state your educational and professional background?  </w:t>
      </w:r>
    </w:p>
    <w:p w:rsidR="00DC47CB" w:rsidRPr="00874086" w:rsidRDefault="00B814E2" w:rsidP="00874086">
      <w:pPr>
        <w:tabs>
          <w:tab w:val="left" w:pos="-1440"/>
        </w:tabs>
        <w:spacing w:line="480" w:lineRule="auto"/>
        <w:ind w:left="720" w:hanging="720"/>
        <w:rPr>
          <w:rFonts w:eastAsia="Times New Roman"/>
        </w:rPr>
      </w:pPr>
      <w:r w:rsidRPr="00874086">
        <w:t>A.</w:t>
      </w:r>
      <w:r w:rsidRPr="00874086">
        <w:tab/>
      </w:r>
      <w:r w:rsidR="00997710" w:rsidRPr="00874086">
        <w:rPr>
          <w:rFonts w:eastAsia="Times New Roman"/>
        </w:rPr>
        <w:t>I received a</w:t>
      </w:r>
      <w:r w:rsidR="00C42BC5" w:rsidRPr="00874086">
        <w:rPr>
          <w:rFonts w:eastAsia="Times New Roman"/>
        </w:rPr>
        <w:t xml:space="preserve"> B</w:t>
      </w:r>
      <w:r w:rsidR="00874487" w:rsidRPr="00874086">
        <w:rPr>
          <w:rFonts w:eastAsia="Times New Roman"/>
        </w:rPr>
        <w:t xml:space="preserve">achelor of </w:t>
      </w:r>
      <w:r w:rsidR="00C42BC5" w:rsidRPr="00874086">
        <w:rPr>
          <w:rFonts w:eastAsia="Times New Roman"/>
        </w:rPr>
        <w:t>B</w:t>
      </w:r>
      <w:r w:rsidR="00874487" w:rsidRPr="00874086">
        <w:rPr>
          <w:rFonts w:eastAsia="Times New Roman"/>
        </w:rPr>
        <w:t xml:space="preserve">usiness </w:t>
      </w:r>
      <w:r w:rsidR="00C42BC5" w:rsidRPr="00874086">
        <w:rPr>
          <w:rFonts w:eastAsia="Times New Roman"/>
        </w:rPr>
        <w:t>A</w:t>
      </w:r>
      <w:r w:rsidR="00874487" w:rsidRPr="00874086">
        <w:rPr>
          <w:rFonts w:eastAsia="Times New Roman"/>
        </w:rPr>
        <w:t>dministration</w:t>
      </w:r>
      <w:r w:rsidR="00C42BC5" w:rsidRPr="00874086">
        <w:rPr>
          <w:rFonts w:eastAsia="Times New Roman"/>
        </w:rPr>
        <w:t xml:space="preserve"> degree majoring in Accounting from National Chung-Hsing University, Taiwan, in 1987 and a Master</w:t>
      </w:r>
      <w:r w:rsidR="00045486" w:rsidRPr="00874086">
        <w:rPr>
          <w:rFonts w:eastAsia="Times New Roman"/>
        </w:rPr>
        <w:t>s</w:t>
      </w:r>
      <w:r w:rsidR="00C42BC5" w:rsidRPr="00874086">
        <w:rPr>
          <w:rFonts w:eastAsia="Times New Roman"/>
        </w:rPr>
        <w:t xml:space="preserve"> of Accounting degree from Washington State University in 1991.  Prior to my employment at the Commission, I was employed by the Washington State Department of Revenue as an Excise Tax Examiner.  </w:t>
      </w:r>
    </w:p>
    <w:p w:rsidR="00C42BC5" w:rsidRPr="00874086" w:rsidRDefault="00C42BC5" w:rsidP="00874086">
      <w:pPr>
        <w:tabs>
          <w:tab w:val="left" w:pos="-1440"/>
        </w:tabs>
        <w:spacing w:line="480" w:lineRule="auto"/>
        <w:ind w:left="720" w:hanging="720"/>
        <w:rPr>
          <w:rFonts w:eastAsia="Times New Roman"/>
        </w:rPr>
      </w:pPr>
      <w:r w:rsidRPr="00874086">
        <w:rPr>
          <w:rFonts w:eastAsia="Times New Roman"/>
        </w:rPr>
        <w:tab/>
      </w:r>
      <w:r w:rsidRPr="00874086">
        <w:rPr>
          <w:rFonts w:eastAsia="Times New Roman"/>
        </w:rPr>
        <w:tab/>
        <w:t xml:space="preserve">I began my employment with the Commission in 1996.  My work generally includes financial, accounting and other analyses for general rate case proceedings and other tariff filings by the electric and natural gas utilities regulated by the </w:t>
      </w:r>
      <w:r w:rsidRPr="00874086">
        <w:rPr>
          <w:rFonts w:eastAsia="Times New Roman"/>
        </w:rPr>
        <w:lastRenderedPageBreak/>
        <w:t>Commission.  I attended the National Association of Regulated Utility Commissioners Annual Utility School in 1996 and 2001.  In addition, I have attended numerous training seminars and conferences regarding utility regulations and operations.</w:t>
      </w:r>
    </w:p>
    <w:p w:rsidR="00CE75BC" w:rsidRPr="00874086" w:rsidRDefault="00CE75BC" w:rsidP="00874086">
      <w:pPr>
        <w:tabs>
          <w:tab w:val="left" w:pos="-1440"/>
        </w:tabs>
        <w:spacing w:line="480" w:lineRule="auto"/>
        <w:ind w:left="720" w:hanging="720"/>
        <w:rPr>
          <w:rFonts w:eastAsia="Times New Roman"/>
        </w:rPr>
      </w:pPr>
    </w:p>
    <w:p w:rsidR="00CE75BC" w:rsidRPr="00874086" w:rsidRDefault="00CE75BC" w:rsidP="00874086">
      <w:pPr>
        <w:tabs>
          <w:tab w:val="left" w:pos="-1440"/>
        </w:tabs>
        <w:spacing w:line="480" w:lineRule="auto"/>
        <w:ind w:left="720" w:hanging="720"/>
        <w:rPr>
          <w:rFonts w:eastAsia="Times New Roman"/>
          <w:b/>
        </w:rPr>
      </w:pPr>
      <w:r w:rsidRPr="00874086">
        <w:rPr>
          <w:rFonts w:eastAsia="Times New Roman"/>
          <w:b/>
        </w:rPr>
        <w:t xml:space="preserve">Q. </w:t>
      </w:r>
      <w:r w:rsidRPr="00874086">
        <w:rPr>
          <w:rFonts w:eastAsia="Times New Roman"/>
          <w:b/>
        </w:rPr>
        <w:tab/>
        <w:t>Have you testified previously before the Commission?</w:t>
      </w:r>
    </w:p>
    <w:p w:rsidR="004D2934" w:rsidRPr="00874086" w:rsidRDefault="00CE75BC" w:rsidP="00874086">
      <w:pPr>
        <w:tabs>
          <w:tab w:val="left" w:pos="-1440"/>
        </w:tabs>
        <w:spacing w:line="480" w:lineRule="auto"/>
        <w:ind w:left="720" w:hanging="720"/>
        <w:rPr>
          <w:rFonts w:eastAsia="Times New Roman"/>
        </w:rPr>
      </w:pPr>
      <w:r w:rsidRPr="00874086">
        <w:rPr>
          <w:rFonts w:eastAsia="Times New Roman"/>
        </w:rPr>
        <w:t xml:space="preserve">A. </w:t>
      </w:r>
      <w:r w:rsidRPr="00874086">
        <w:rPr>
          <w:rFonts w:eastAsia="Times New Roman"/>
        </w:rPr>
        <w:tab/>
        <w:t>Yes.  I testified in a Puget Sound Energy, Inc. (“PSE”) general rate case Docket</w:t>
      </w:r>
      <w:r w:rsidR="00045486" w:rsidRPr="00874086">
        <w:rPr>
          <w:rFonts w:eastAsia="Times New Roman"/>
        </w:rPr>
        <w:t>s</w:t>
      </w:r>
      <w:r w:rsidRPr="00874086">
        <w:rPr>
          <w:rFonts w:eastAsia="Times New Roman"/>
        </w:rPr>
        <w:t xml:space="preserve"> UE-090704 and UG-090705, </w:t>
      </w:r>
      <w:r w:rsidR="00060C15" w:rsidRPr="00874086">
        <w:rPr>
          <w:rFonts w:eastAsia="Times New Roman"/>
        </w:rPr>
        <w:t xml:space="preserve">and </w:t>
      </w:r>
      <w:r w:rsidRPr="00874086">
        <w:rPr>
          <w:rFonts w:eastAsia="Times New Roman"/>
        </w:rPr>
        <w:t>Docket</w:t>
      </w:r>
      <w:r w:rsidR="00045486" w:rsidRPr="00874086">
        <w:rPr>
          <w:rFonts w:eastAsia="Times New Roman"/>
        </w:rPr>
        <w:t>s</w:t>
      </w:r>
      <w:r w:rsidRPr="00874086">
        <w:rPr>
          <w:rFonts w:eastAsia="Times New Roman"/>
        </w:rPr>
        <w:t xml:space="preserve"> UE-072300 and UG-072301</w:t>
      </w:r>
      <w:r w:rsidR="00045486" w:rsidRPr="00874086">
        <w:rPr>
          <w:rFonts w:eastAsia="Times New Roman"/>
        </w:rPr>
        <w:t>;</w:t>
      </w:r>
      <w:r w:rsidRPr="00874086">
        <w:rPr>
          <w:rFonts w:eastAsia="Times New Roman"/>
        </w:rPr>
        <w:t xml:space="preserve"> PacifiCorp general rate case Docket UE-</w:t>
      </w:r>
      <w:r w:rsidR="00DC47CB" w:rsidRPr="00874086">
        <w:rPr>
          <w:rFonts w:eastAsia="Times New Roman"/>
        </w:rPr>
        <w:t xml:space="preserve">130043 </w:t>
      </w:r>
      <w:r w:rsidR="00E4325A" w:rsidRPr="00874086">
        <w:rPr>
          <w:rFonts w:eastAsia="Times New Roman"/>
        </w:rPr>
        <w:t>and UE</w:t>
      </w:r>
      <w:r w:rsidR="00DC47CB" w:rsidRPr="00874086">
        <w:rPr>
          <w:rFonts w:eastAsia="Times New Roman"/>
        </w:rPr>
        <w:t>-</w:t>
      </w:r>
      <w:r w:rsidRPr="00874086">
        <w:rPr>
          <w:rFonts w:eastAsia="Times New Roman"/>
        </w:rPr>
        <w:t>032065</w:t>
      </w:r>
      <w:r w:rsidR="00045486" w:rsidRPr="00874086">
        <w:rPr>
          <w:rFonts w:eastAsia="Times New Roman"/>
        </w:rPr>
        <w:t>;</w:t>
      </w:r>
      <w:r w:rsidRPr="00874086">
        <w:rPr>
          <w:rFonts w:eastAsia="Times New Roman"/>
        </w:rPr>
        <w:t xml:space="preserve"> Avista general rate case Docket</w:t>
      </w:r>
      <w:r w:rsidR="00045486" w:rsidRPr="00874086">
        <w:rPr>
          <w:rFonts w:eastAsia="Times New Roman"/>
        </w:rPr>
        <w:t>s</w:t>
      </w:r>
      <w:r w:rsidRPr="00874086">
        <w:rPr>
          <w:rFonts w:eastAsia="Times New Roman"/>
        </w:rPr>
        <w:t xml:space="preserve"> UE-120436 and UG-120437, Docket</w:t>
      </w:r>
      <w:r w:rsidR="00045486" w:rsidRPr="00874086">
        <w:rPr>
          <w:rFonts w:eastAsia="Times New Roman"/>
        </w:rPr>
        <w:t>s</w:t>
      </w:r>
      <w:r w:rsidRPr="00874086">
        <w:rPr>
          <w:rFonts w:eastAsia="Times New Roman"/>
        </w:rPr>
        <w:t xml:space="preserve"> UE-090134 and UG-090135, </w:t>
      </w:r>
      <w:r w:rsidR="00060C15" w:rsidRPr="00874086">
        <w:rPr>
          <w:rFonts w:eastAsia="Times New Roman"/>
        </w:rPr>
        <w:t xml:space="preserve">and </w:t>
      </w:r>
      <w:r w:rsidRPr="00874086">
        <w:rPr>
          <w:rFonts w:eastAsia="Times New Roman"/>
        </w:rPr>
        <w:t>Docket</w:t>
      </w:r>
      <w:r w:rsidR="00045486" w:rsidRPr="00874086">
        <w:rPr>
          <w:rFonts w:eastAsia="Times New Roman"/>
        </w:rPr>
        <w:t>s</w:t>
      </w:r>
      <w:r w:rsidRPr="00874086">
        <w:rPr>
          <w:rFonts w:eastAsia="Times New Roman"/>
        </w:rPr>
        <w:t xml:space="preserve"> UE-991606 and UG-991607</w:t>
      </w:r>
      <w:r w:rsidR="00060C15" w:rsidRPr="00874086">
        <w:rPr>
          <w:rFonts w:eastAsia="Times New Roman"/>
        </w:rPr>
        <w:t>;</w:t>
      </w:r>
      <w:r w:rsidR="00037975" w:rsidRPr="00874086">
        <w:rPr>
          <w:rFonts w:eastAsia="Times New Roman"/>
        </w:rPr>
        <w:t xml:space="preserve"> and </w:t>
      </w:r>
      <w:r w:rsidR="00045486" w:rsidRPr="00874086">
        <w:rPr>
          <w:rFonts w:eastAsia="Times New Roman"/>
        </w:rPr>
        <w:t xml:space="preserve">a </w:t>
      </w:r>
      <w:r w:rsidR="00037975" w:rsidRPr="00874086">
        <w:rPr>
          <w:rFonts w:eastAsia="Times New Roman"/>
        </w:rPr>
        <w:t>Northwest Natural filing in Docket UG-111233</w:t>
      </w:r>
      <w:r w:rsidRPr="00874086">
        <w:rPr>
          <w:rFonts w:eastAsia="Times New Roman"/>
        </w:rPr>
        <w:t xml:space="preserve">.  </w:t>
      </w:r>
    </w:p>
    <w:p w:rsidR="00CE75BC" w:rsidRPr="00874086" w:rsidRDefault="004D2934" w:rsidP="00874086">
      <w:pPr>
        <w:tabs>
          <w:tab w:val="left" w:pos="-1440"/>
        </w:tabs>
        <w:spacing w:line="480" w:lineRule="auto"/>
        <w:ind w:left="720" w:hanging="720"/>
        <w:rPr>
          <w:rFonts w:eastAsia="Times New Roman"/>
        </w:rPr>
      </w:pPr>
      <w:r w:rsidRPr="00874086">
        <w:rPr>
          <w:rFonts w:eastAsia="Times New Roman"/>
        </w:rPr>
        <w:tab/>
      </w:r>
      <w:r w:rsidRPr="00874086">
        <w:rPr>
          <w:rFonts w:eastAsia="Times New Roman"/>
        </w:rPr>
        <w:tab/>
      </w:r>
      <w:r w:rsidR="00CE75BC" w:rsidRPr="00874086">
        <w:rPr>
          <w:rFonts w:eastAsia="Times New Roman"/>
        </w:rPr>
        <w:t>I have also participated in Staff’s investigation</w:t>
      </w:r>
      <w:r w:rsidR="001C1779" w:rsidRPr="00874086">
        <w:rPr>
          <w:rFonts w:eastAsia="Times New Roman"/>
        </w:rPr>
        <w:t xml:space="preserve">s </w:t>
      </w:r>
      <w:r w:rsidR="00CE75BC" w:rsidRPr="00874086">
        <w:rPr>
          <w:rFonts w:eastAsia="Times New Roman"/>
        </w:rPr>
        <w:t xml:space="preserve"> in the following general rate cases</w:t>
      </w:r>
      <w:r w:rsidR="00060C15" w:rsidRPr="00874086">
        <w:rPr>
          <w:rFonts w:eastAsia="Times New Roman"/>
        </w:rPr>
        <w:t xml:space="preserve"> and other matters</w:t>
      </w:r>
      <w:r w:rsidR="00CE75BC" w:rsidRPr="00874086">
        <w:rPr>
          <w:rFonts w:eastAsia="Times New Roman"/>
        </w:rPr>
        <w:t xml:space="preserve">: </w:t>
      </w:r>
      <w:r w:rsidR="00045486" w:rsidRPr="00874086">
        <w:rPr>
          <w:rFonts w:eastAsia="Times New Roman"/>
        </w:rPr>
        <w:t xml:space="preserve"> </w:t>
      </w:r>
      <w:r w:rsidR="00CE75BC" w:rsidRPr="00874086">
        <w:rPr>
          <w:rFonts w:eastAsia="Times New Roman"/>
        </w:rPr>
        <w:t xml:space="preserve">Docket UE-011595, Dockets UE-050482 and UG-050483, Dockets UE-070804 and UG-070805, </w:t>
      </w:r>
      <w:r w:rsidR="00045486" w:rsidRPr="00874086">
        <w:rPr>
          <w:rFonts w:eastAsia="Times New Roman"/>
        </w:rPr>
        <w:t xml:space="preserve">Dockets </w:t>
      </w:r>
      <w:r w:rsidR="00CE75BC" w:rsidRPr="00874086">
        <w:rPr>
          <w:rFonts w:eastAsia="Times New Roman"/>
        </w:rPr>
        <w:t>UE-</w:t>
      </w:r>
      <w:r w:rsidR="002E3A74" w:rsidRPr="00874086">
        <w:rPr>
          <w:rFonts w:eastAsia="Times New Roman"/>
        </w:rPr>
        <w:t>100467 and</w:t>
      </w:r>
      <w:r w:rsidR="00CE75BC" w:rsidRPr="00874086">
        <w:rPr>
          <w:rFonts w:eastAsia="Times New Roman"/>
        </w:rPr>
        <w:t xml:space="preserve"> UG-100468</w:t>
      </w:r>
      <w:r w:rsidR="00185553" w:rsidRPr="00874086">
        <w:rPr>
          <w:rFonts w:eastAsia="Times New Roman"/>
        </w:rPr>
        <w:t xml:space="preserve">, </w:t>
      </w:r>
      <w:r w:rsidR="00045486" w:rsidRPr="00874086">
        <w:rPr>
          <w:rFonts w:eastAsia="Times New Roman"/>
        </w:rPr>
        <w:t xml:space="preserve">and Dockets </w:t>
      </w:r>
      <w:r w:rsidR="00185553" w:rsidRPr="00874086">
        <w:rPr>
          <w:rFonts w:eastAsia="Times New Roman"/>
        </w:rPr>
        <w:t>UE</w:t>
      </w:r>
      <w:r w:rsidR="00CE75BC" w:rsidRPr="00874086">
        <w:rPr>
          <w:rFonts w:eastAsia="Times New Roman"/>
        </w:rPr>
        <w:t>-110876 and UG-110877 (</w:t>
      </w:r>
      <w:r w:rsidR="00045486" w:rsidRPr="00874086">
        <w:rPr>
          <w:rFonts w:eastAsia="Times New Roman"/>
        </w:rPr>
        <w:t xml:space="preserve">all </w:t>
      </w:r>
      <w:r w:rsidR="00CE75BC" w:rsidRPr="00874086">
        <w:rPr>
          <w:rFonts w:eastAsia="Times New Roman"/>
        </w:rPr>
        <w:t xml:space="preserve">Avista); Docket UG-060256 (Cascade); Docket UG-080546 (Northwest Natural), </w:t>
      </w:r>
      <w:r w:rsidR="00045486" w:rsidRPr="00874086">
        <w:rPr>
          <w:rFonts w:eastAsia="Times New Roman"/>
        </w:rPr>
        <w:t xml:space="preserve">Docket </w:t>
      </w:r>
      <w:r w:rsidR="00CE75BC" w:rsidRPr="00874086">
        <w:rPr>
          <w:rFonts w:eastAsia="Times New Roman"/>
        </w:rPr>
        <w:t xml:space="preserve">UG-031885 (Northwest Natural); </w:t>
      </w:r>
      <w:r w:rsidR="00045486" w:rsidRPr="00874086">
        <w:rPr>
          <w:rFonts w:eastAsia="Times New Roman"/>
        </w:rPr>
        <w:t xml:space="preserve">and Dockets </w:t>
      </w:r>
      <w:r w:rsidR="00CE75BC" w:rsidRPr="00874086">
        <w:rPr>
          <w:rFonts w:eastAsia="Times New Roman"/>
        </w:rPr>
        <w:t xml:space="preserve">UE-070725 </w:t>
      </w:r>
      <w:r w:rsidR="00C517C0" w:rsidRPr="00874086">
        <w:rPr>
          <w:rFonts w:eastAsia="Times New Roman"/>
        </w:rPr>
        <w:t xml:space="preserve">and UG-130137 </w:t>
      </w:r>
      <w:r w:rsidR="00CE75BC" w:rsidRPr="00874086">
        <w:rPr>
          <w:rFonts w:eastAsia="Times New Roman"/>
        </w:rPr>
        <w:t>(PSE).</w:t>
      </w:r>
    </w:p>
    <w:p w:rsidR="00CE75BC" w:rsidRPr="00874086" w:rsidRDefault="00CE75BC" w:rsidP="00874086">
      <w:pPr>
        <w:tabs>
          <w:tab w:val="left" w:pos="-1440"/>
        </w:tabs>
        <w:spacing w:line="480" w:lineRule="auto"/>
        <w:ind w:left="720" w:hanging="720"/>
        <w:rPr>
          <w:rFonts w:eastAsia="Times New Roman"/>
        </w:rPr>
      </w:pPr>
    </w:p>
    <w:p w:rsidR="009956A2" w:rsidRPr="00874086" w:rsidRDefault="009956A2" w:rsidP="00874086">
      <w:pPr>
        <w:spacing w:line="480" w:lineRule="auto"/>
        <w:ind w:left="720" w:hanging="720"/>
        <w:jc w:val="center"/>
        <w:rPr>
          <w:b/>
        </w:rPr>
      </w:pPr>
      <w:r w:rsidRPr="00874086">
        <w:rPr>
          <w:b/>
        </w:rPr>
        <w:t>II.</w:t>
      </w:r>
      <w:r w:rsidRPr="00874086">
        <w:rPr>
          <w:b/>
        </w:rPr>
        <w:tab/>
        <w:t>SCOPE AND SUMMARY OF TESTIMONY</w:t>
      </w:r>
    </w:p>
    <w:p w:rsidR="009956A2" w:rsidRPr="00874086" w:rsidRDefault="009956A2" w:rsidP="00874086">
      <w:pPr>
        <w:spacing w:line="480" w:lineRule="auto"/>
        <w:ind w:left="720" w:hanging="720"/>
      </w:pPr>
    </w:p>
    <w:p w:rsidR="009956A2" w:rsidRPr="00874086" w:rsidRDefault="009956A2" w:rsidP="00874086">
      <w:pPr>
        <w:spacing w:line="480" w:lineRule="auto"/>
        <w:ind w:left="720" w:hanging="720"/>
        <w:rPr>
          <w:b/>
        </w:rPr>
      </w:pPr>
      <w:r w:rsidRPr="00874086">
        <w:rPr>
          <w:b/>
        </w:rPr>
        <w:t>Q.</w:t>
      </w:r>
      <w:r w:rsidRPr="00874086">
        <w:rPr>
          <w:b/>
        </w:rPr>
        <w:tab/>
        <w:t>What is the scope of your testimony</w:t>
      </w:r>
      <w:r w:rsidR="00045486" w:rsidRPr="00874086">
        <w:rPr>
          <w:b/>
        </w:rPr>
        <w:t xml:space="preserve"> in this proceeding</w:t>
      </w:r>
      <w:r w:rsidRPr="00874086">
        <w:rPr>
          <w:b/>
        </w:rPr>
        <w:t>?</w:t>
      </w:r>
    </w:p>
    <w:p w:rsidR="009956A2" w:rsidRPr="00874086" w:rsidRDefault="009956A2" w:rsidP="00874086">
      <w:pPr>
        <w:spacing w:line="480" w:lineRule="auto"/>
        <w:ind w:left="720" w:hanging="720"/>
      </w:pPr>
      <w:r w:rsidRPr="00874086">
        <w:lastRenderedPageBreak/>
        <w:t>A.</w:t>
      </w:r>
      <w:r w:rsidRPr="00874086">
        <w:tab/>
      </w:r>
      <w:r w:rsidR="00716CE9" w:rsidRPr="00874086">
        <w:t xml:space="preserve">I address PSE’s </w:t>
      </w:r>
      <w:r w:rsidR="0081255F" w:rsidRPr="00874086">
        <w:t>transfer</w:t>
      </w:r>
      <w:r w:rsidR="00716CE9" w:rsidRPr="00874086">
        <w:t xml:space="preserve"> of Transmission </w:t>
      </w:r>
      <w:r w:rsidR="00AC3AE5" w:rsidRPr="00874086">
        <w:t xml:space="preserve">Service </w:t>
      </w:r>
      <w:r w:rsidR="00716CE9" w:rsidRPr="00874086">
        <w:t xml:space="preserve">Credits to Portland General Electric Company (PGE) associated with the Lower Snake River Wind </w:t>
      </w:r>
      <w:r w:rsidR="000A3F8E" w:rsidRPr="00874086">
        <w:t>Project</w:t>
      </w:r>
      <w:r w:rsidR="00716CE9" w:rsidRPr="00874086">
        <w:t xml:space="preserve"> (LSR), Phase </w:t>
      </w:r>
      <w:r w:rsidR="00D019AE">
        <w:t>2</w:t>
      </w:r>
      <w:r w:rsidR="00716CE9" w:rsidRPr="00874086">
        <w:t xml:space="preserve">.  </w:t>
      </w:r>
      <w:r w:rsidRPr="00874086">
        <w:t xml:space="preserve">I present Staff’s </w:t>
      </w:r>
      <w:r w:rsidR="003B03B2" w:rsidRPr="00874086">
        <w:t xml:space="preserve">recommendation of </w:t>
      </w:r>
      <w:r w:rsidR="003A554D" w:rsidRPr="00874086">
        <w:t xml:space="preserve">the proper accounting treatment and reduction in value to be applied to the current balance of the </w:t>
      </w:r>
      <w:r w:rsidR="009E79E2">
        <w:t xml:space="preserve">two </w:t>
      </w:r>
      <w:r w:rsidR="003A554D" w:rsidRPr="00874086">
        <w:t>regulatory asset</w:t>
      </w:r>
      <w:r w:rsidR="000815B7">
        <w:t>s</w:t>
      </w:r>
      <w:r w:rsidR="003A554D" w:rsidRPr="00874086">
        <w:t xml:space="preserve"> associated with th</w:t>
      </w:r>
      <w:r w:rsidR="00716CE9" w:rsidRPr="00874086">
        <w:t>os</w:t>
      </w:r>
      <w:r w:rsidR="003A554D" w:rsidRPr="00874086">
        <w:t>e BPA</w:t>
      </w:r>
      <w:r w:rsidR="00CB05DB" w:rsidRPr="00874086">
        <w:t xml:space="preserve"> Transmission </w:t>
      </w:r>
      <w:r w:rsidR="00AC3AE5" w:rsidRPr="00874086">
        <w:t xml:space="preserve">Service </w:t>
      </w:r>
      <w:r w:rsidR="00CB05DB" w:rsidRPr="00874086">
        <w:t>Credit</w:t>
      </w:r>
      <w:r w:rsidR="00716CE9" w:rsidRPr="00874086">
        <w:t>s.  In Docket UE-131230, t</w:t>
      </w:r>
      <w:r w:rsidR="00104BC6" w:rsidRPr="00874086">
        <w:t xml:space="preserve">he Commission </w:t>
      </w:r>
      <w:r w:rsidR="00716CE9" w:rsidRPr="00874086">
        <w:t xml:space="preserve">approved PSE’s </w:t>
      </w:r>
      <w:r w:rsidR="00E4325A" w:rsidRPr="00874086">
        <w:t>transfer of</w:t>
      </w:r>
      <w:r w:rsidR="00716CE9" w:rsidRPr="00874086">
        <w:t xml:space="preserve"> these Transmission Service Credits, but </w:t>
      </w:r>
      <w:r w:rsidR="00104BC6" w:rsidRPr="00874086">
        <w:t>did not resolve th</w:t>
      </w:r>
      <w:r w:rsidR="007B0772" w:rsidRPr="00874086">
        <w:t>e accounting and ratemaking treatment</w:t>
      </w:r>
      <w:r w:rsidR="00716CE9" w:rsidRPr="00874086">
        <w:t xml:space="preserve"> of that sale. </w:t>
      </w:r>
    </w:p>
    <w:p w:rsidR="00550C2C" w:rsidRPr="00874086" w:rsidRDefault="00550C2C" w:rsidP="00874086">
      <w:pPr>
        <w:spacing w:line="480" w:lineRule="auto"/>
        <w:ind w:left="720" w:hanging="720"/>
      </w:pPr>
    </w:p>
    <w:p w:rsidR="00550C2C" w:rsidRPr="00874086" w:rsidRDefault="00550C2C" w:rsidP="00874086">
      <w:pPr>
        <w:spacing w:line="480" w:lineRule="auto"/>
        <w:ind w:left="720" w:hanging="720"/>
        <w:rPr>
          <w:b/>
        </w:rPr>
      </w:pPr>
      <w:r w:rsidRPr="00874086">
        <w:rPr>
          <w:b/>
        </w:rPr>
        <w:t>Q.</w:t>
      </w:r>
      <w:r w:rsidRPr="00874086">
        <w:rPr>
          <w:b/>
        </w:rPr>
        <w:tab/>
        <w:t>Please summarize Staff’s recommendation.</w:t>
      </w:r>
    </w:p>
    <w:p w:rsidR="005218C5" w:rsidRPr="00874086" w:rsidRDefault="00550C2C" w:rsidP="00874086">
      <w:pPr>
        <w:spacing w:line="480" w:lineRule="auto"/>
        <w:ind w:left="720" w:hanging="720"/>
        <w:rPr>
          <w:b/>
        </w:rPr>
      </w:pPr>
      <w:r w:rsidRPr="00874086">
        <w:t>A.</w:t>
      </w:r>
      <w:r w:rsidRPr="00874086">
        <w:tab/>
      </w:r>
      <w:r w:rsidR="00716CE9" w:rsidRPr="00874086">
        <w:t xml:space="preserve">The </w:t>
      </w:r>
      <w:r w:rsidR="005218C5" w:rsidRPr="00874086">
        <w:t>current balance</w:t>
      </w:r>
      <w:r w:rsidR="00AC3AE5" w:rsidRPr="00874086">
        <w:t>s</w:t>
      </w:r>
      <w:r w:rsidR="005218C5" w:rsidRPr="00874086">
        <w:t xml:space="preserve"> of </w:t>
      </w:r>
      <w:r w:rsidR="00E4325A" w:rsidRPr="00874086">
        <w:t>PSE’s regulatory</w:t>
      </w:r>
      <w:r w:rsidR="005218C5" w:rsidRPr="00874086">
        <w:t xml:space="preserve"> assets </w:t>
      </w:r>
      <w:r w:rsidR="00716CE9" w:rsidRPr="00874086">
        <w:t xml:space="preserve">associated with the prepayment PSE made to BPA </w:t>
      </w:r>
      <w:r w:rsidR="00AC3AE5" w:rsidRPr="00874086">
        <w:t xml:space="preserve">for </w:t>
      </w:r>
      <w:r w:rsidR="00274A36">
        <w:t>transmission service credits (TSC)</w:t>
      </w:r>
      <w:r w:rsidR="00AC3AE5" w:rsidRPr="00874086">
        <w:t xml:space="preserve"> </w:t>
      </w:r>
      <w:r w:rsidR="00B27BC9" w:rsidRPr="00874086">
        <w:t>are</w:t>
      </w:r>
      <w:r w:rsidR="00716CE9" w:rsidRPr="00874086">
        <w:t xml:space="preserve"> </w:t>
      </w:r>
      <w:r w:rsidR="005218C5" w:rsidRPr="00874086">
        <w:t xml:space="preserve">$99.8 million </w:t>
      </w:r>
      <w:r w:rsidR="00716CE9" w:rsidRPr="00874086">
        <w:t xml:space="preserve">(principal balance) and </w:t>
      </w:r>
      <w:r w:rsidR="005218C5" w:rsidRPr="00874086">
        <w:t>$17.4 million</w:t>
      </w:r>
      <w:r w:rsidR="00716CE9" w:rsidRPr="00874086">
        <w:t xml:space="preserve"> (accrued carrying </w:t>
      </w:r>
      <w:r w:rsidR="0081255F" w:rsidRPr="00874086">
        <w:t>charges</w:t>
      </w:r>
      <w:r w:rsidR="005218C5" w:rsidRPr="00874086">
        <w:t>)</w:t>
      </w:r>
      <w:r w:rsidR="008C2EFA" w:rsidRPr="00874086">
        <w:t xml:space="preserve"> as of May 31, 2012</w:t>
      </w:r>
      <w:r w:rsidR="00716CE9" w:rsidRPr="00874086">
        <w:t xml:space="preserve">.  Staff recommends the </w:t>
      </w:r>
      <w:r w:rsidR="000A3F8E" w:rsidRPr="00874086">
        <w:t xml:space="preserve">Commission reduce the principal balance </w:t>
      </w:r>
      <w:r w:rsidR="009E79E2">
        <w:t xml:space="preserve">of the </w:t>
      </w:r>
      <w:r w:rsidR="00274A36">
        <w:t>TSC</w:t>
      </w:r>
      <w:r w:rsidR="009E79E2">
        <w:t xml:space="preserve"> regulatory asset </w:t>
      </w:r>
      <w:r w:rsidR="000A3F8E" w:rsidRPr="00874086">
        <w:t xml:space="preserve">by </w:t>
      </w:r>
      <w:r w:rsidR="000C58E0" w:rsidRPr="00874086">
        <w:t xml:space="preserve">$20.5 </w:t>
      </w:r>
      <w:r w:rsidR="00E4325A" w:rsidRPr="00874086">
        <w:t>million,</w:t>
      </w:r>
      <w:r w:rsidR="000C58E0" w:rsidRPr="00874086">
        <w:t xml:space="preserve"> and </w:t>
      </w:r>
      <w:r w:rsidR="000A3F8E" w:rsidRPr="00874086">
        <w:t xml:space="preserve">reduce the balance of </w:t>
      </w:r>
      <w:r w:rsidR="009E79E2">
        <w:t xml:space="preserve">the </w:t>
      </w:r>
      <w:r w:rsidR="000A3F8E" w:rsidRPr="00874086">
        <w:t xml:space="preserve">accrued carrying charges </w:t>
      </w:r>
      <w:r w:rsidR="009E79E2">
        <w:t xml:space="preserve">regulatory asset </w:t>
      </w:r>
      <w:r w:rsidR="000A3F8E" w:rsidRPr="00874086">
        <w:t xml:space="preserve">by </w:t>
      </w:r>
      <w:r w:rsidR="000C58E0" w:rsidRPr="00874086">
        <w:t>$</w:t>
      </w:r>
      <w:r w:rsidR="001860D4">
        <w:t>3,390,059</w:t>
      </w:r>
      <w:r w:rsidR="000A3F8E" w:rsidRPr="00874086">
        <w:t xml:space="preserve">.  These are the amounts associated with the </w:t>
      </w:r>
      <w:r w:rsidR="00DA6F77" w:rsidRPr="00874086">
        <w:t xml:space="preserve">$20.5 </w:t>
      </w:r>
      <w:r w:rsidR="00E4325A" w:rsidRPr="00874086">
        <w:t>million</w:t>
      </w:r>
      <w:r w:rsidR="00DA6F77" w:rsidRPr="00874086">
        <w:t xml:space="preserve"> of </w:t>
      </w:r>
      <w:r w:rsidR="000A3F8E" w:rsidRPr="00874086">
        <w:t xml:space="preserve">Transmission </w:t>
      </w:r>
      <w:r w:rsidR="00DA6F77" w:rsidRPr="00874086">
        <w:t xml:space="preserve">Service </w:t>
      </w:r>
      <w:r w:rsidR="000A3F8E" w:rsidRPr="00874086">
        <w:t xml:space="preserve">Credits PSE sold to PGE.  By making these reductions, </w:t>
      </w:r>
      <w:r w:rsidR="00716CE9" w:rsidRPr="00874086">
        <w:t xml:space="preserve">the Commission will give </w:t>
      </w:r>
      <w:r w:rsidR="00885560" w:rsidRPr="00874086">
        <w:t xml:space="preserve">full effect to PSE’s sale of </w:t>
      </w:r>
      <w:r w:rsidR="00D019AE">
        <w:t>LSR Phase 2</w:t>
      </w:r>
      <w:r w:rsidR="00885560" w:rsidRPr="00874086">
        <w:t xml:space="preserve"> to PGE</w:t>
      </w:r>
      <w:r w:rsidR="005218C5" w:rsidRPr="00874086">
        <w:rPr>
          <w:b/>
        </w:rPr>
        <w:t>.</w:t>
      </w:r>
    </w:p>
    <w:p w:rsidR="005218C5" w:rsidRPr="00874086" w:rsidRDefault="005218C5" w:rsidP="00874086">
      <w:pPr>
        <w:spacing w:line="480" w:lineRule="auto"/>
        <w:ind w:left="720" w:hanging="720"/>
        <w:rPr>
          <w:b/>
        </w:rPr>
      </w:pPr>
    </w:p>
    <w:p w:rsidR="009956A2" w:rsidRPr="00874086" w:rsidRDefault="009956A2" w:rsidP="00874086">
      <w:pPr>
        <w:spacing w:line="480" w:lineRule="auto"/>
        <w:ind w:left="720" w:hanging="720"/>
        <w:rPr>
          <w:b/>
        </w:rPr>
      </w:pPr>
      <w:r w:rsidRPr="00874086">
        <w:rPr>
          <w:b/>
        </w:rPr>
        <w:t>Q.</w:t>
      </w:r>
      <w:r w:rsidRPr="00874086">
        <w:rPr>
          <w:b/>
        </w:rPr>
        <w:tab/>
        <w:t>Have you prepared any exhibits in support of your testimony?</w:t>
      </w:r>
    </w:p>
    <w:p w:rsidR="004E2DC1" w:rsidRDefault="009956A2" w:rsidP="00874086">
      <w:pPr>
        <w:spacing w:line="480" w:lineRule="auto"/>
        <w:ind w:left="720" w:hanging="720"/>
      </w:pPr>
      <w:r w:rsidRPr="00874086">
        <w:t>A.</w:t>
      </w:r>
      <w:r w:rsidRPr="00874086">
        <w:tab/>
        <w:t xml:space="preserve">Yes.  </w:t>
      </w:r>
      <w:r w:rsidR="00550C2C" w:rsidRPr="00874086">
        <w:t xml:space="preserve">I prepared </w:t>
      </w:r>
      <w:r w:rsidRPr="00874086">
        <w:t xml:space="preserve">Exhibit No. </w:t>
      </w:r>
      <w:proofErr w:type="spellStart"/>
      <w:r w:rsidRPr="00874086">
        <w:t>JH</w:t>
      </w:r>
      <w:proofErr w:type="spellEnd"/>
      <w:r w:rsidRPr="00874086">
        <w:t>-2</w:t>
      </w:r>
      <w:r w:rsidR="00F816E2">
        <w:t>, page 2</w:t>
      </w:r>
      <w:r w:rsidR="00104BC6" w:rsidRPr="00874086">
        <w:t>,</w:t>
      </w:r>
      <w:r w:rsidR="00D70ECF" w:rsidRPr="00874086">
        <w:t xml:space="preserve"> entitled</w:t>
      </w:r>
      <w:r w:rsidR="004E2DC1" w:rsidRPr="00874086">
        <w:t xml:space="preserve"> </w:t>
      </w:r>
      <w:r w:rsidR="00104BC6" w:rsidRPr="00F816E2">
        <w:t>“</w:t>
      </w:r>
      <w:r w:rsidR="00F816E2" w:rsidRPr="00F816E2">
        <w:rPr>
          <w:rFonts w:eastAsia="Calibri"/>
        </w:rPr>
        <w:t>Support for Calculation of Staff Adjustment 21</w:t>
      </w:r>
      <w:r w:rsidR="00F816E2">
        <w:rPr>
          <w:rFonts w:eastAsia="Calibri"/>
        </w:rPr>
        <w:t xml:space="preserve">, </w:t>
      </w:r>
      <w:r w:rsidR="00F816E2" w:rsidRPr="00F816E2">
        <w:rPr>
          <w:rFonts w:eastAsia="Calibri"/>
        </w:rPr>
        <w:t>Prepaid Transmission and Deferred Carrying Charges</w:t>
      </w:r>
      <w:r w:rsidR="00F816E2">
        <w:rPr>
          <w:rFonts w:eastAsia="Calibri"/>
        </w:rPr>
        <w:t xml:space="preserve">.” </w:t>
      </w:r>
      <w:r w:rsidR="00885560" w:rsidRPr="00874086">
        <w:t xml:space="preserve"> This exhibit </w:t>
      </w:r>
      <w:r w:rsidR="00885560" w:rsidRPr="00874086">
        <w:lastRenderedPageBreak/>
        <w:t xml:space="preserve">explains how Staff calculated </w:t>
      </w:r>
      <w:r w:rsidR="000C58E0" w:rsidRPr="00874086">
        <w:t>the $20.5 million</w:t>
      </w:r>
      <w:r w:rsidR="00B27BC9" w:rsidRPr="00874086">
        <w:t xml:space="preserve"> reduction</w:t>
      </w:r>
      <w:r w:rsidR="000C58E0" w:rsidRPr="00874086">
        <w:t xml:space="preserve"> for the principle balance, and </w:t>
      </w:r>
      <w:r w:rsidR="00B27BC9" w:rsidRPr="00874086">
        <w:t xml:space="preserve">the </w:t>
      </w:r>
      <w:r w:rsidR="000C58E0" w:rsidRPr="00874086">
        <w:t>$</w:t>
      </w:r>
      <w:r w:rsidR="001860D4">
        <w:t>3,390,059</w:t>
      </w:r>
      <w:r w:rsidR="000C58E0" w:rsidRPr="00874086">
        <w:t xml:space="preserve"> </w:t>
      </w:r>
      <w:r w:rsidR="00B27BC9" w:rsidRPr="00874086">
        <w:t xml:space="preserve">reduction </w:t>
      </w:r>
      <w:r w:rsidR="000C58E0" w:rsidRPr="00874086">
        <w:t>for the accrued carrying charges</w:t>
      </w:r>
      <w:r w:rsidR="00885560" w:rsidRPr="00874086">
        <w:t>.</w:t>
      </w:r>
    </w:p>
    <w:p w:rsidR="00F816E2" w:rsidRPr="00874086" w:rsidRDefault="00F816E2" w:rsidP="00874086">
      <w:pPr>
        <w:spacing w:line="480" w:lineRule="auto"/>
        <w:ind w:left="720" w:hanging="720"/>
      </w:pPr>
    </w:p>
    <w:p w:rsidR="009956A2" w:rsidRPr="00874086" w:rsidRDefault="009956A2" w:rsidP="00874086">
      <w:pPr>
        <w:keepNext/>
        <w:spacing w:line="480" w:lineRule="auto"/>
        <w:jc w:val="center"/>
        <w:outlineLvl w:val="0"/>
        <w:rPr>
          <w:rFonts w:eastAsia="Times New Roman"/>
          <w:b/>
        </w:rPr>
      </w:pPr>
      <w:bookmarkStart w:id="0" w:name="_Toc118104227"/>
      <w:bookmarkStart w:id="1" w:name="_Toc238276247"/>
      <w:r w:rsidRPr="00874086">
        <w:rPr>
          <w:rFonts w:eastAsia="Times New Roman"/>
          <w:b/>
        </w:rPr>
        <w:t>III.</w:t>
      </w:r>
      <w:r w:rsidRPr="00874086">
        <w:rPr>
          <w:rFonts w:eastAsia="Times New Roman"/>
          <w:b/>
        </w:rPr>
        <w:tab/>
      </w:r>
      <w:r w:rsidR="00550C2C" w:rsidRPr="00874086">
        <w:rPr>
          <w:rFonts w:eastAsia="Times New Roman"/>
          <w:b/>
        </w:rPr>
        <w:t>BACKGROUND</w:t>
      </w:r>
      <w:r w:rsidR="004E2DC1" w:rsidRPr="00874086">
        <w:rPr>
          <w:rFonts w:eastAsia="Times New Roman"/>
          <w:b/>
        </w:rPr>
        <w:t xml:space="preserve"> </w:t>
      </w:r>
    </w:p>
    <w:p w:rsidR="000C2D89" w:rsidRPr="00874086" w:rsidRDefault="000C2D89" w:rsidP="00874086">
      <w:pPr>
        <w:spacing w:line="480" w:lineRule="auto"/>
        <w:ind w:left="720" w:hanging="720"/>
        <w:rPr>
          <w:b/>
        </w:rPr>
      </w:pPr>
    </w:p>
    <w:p w:rsidR="00550C2C" w:rsidRPr="00874086" w:rsidRDefault="000815B7" w:rsidP="00874086">
      <w:pPr>
        <w:spacing w:line="480" w:lineRule="auto"/>
        <w:ind w:left="720" w:hanging="720"/>
        <w:rPr>
          <w:b/>
        </w:rPr>
      </w:pPr>
      <w:r>
        <w:rPr>
          <w:b/>
        </w:rPr>
        <w:tab/>
      </w:r>
      <w:r w:rsidR="00550C2C" w:rsidRPr="00874086">
        <w:rPr>
          <w:b/>
        </w:rPr>
        <w:t>A.</w:t>
      </w:r>
      <w:r w:rsidR="00550C2C" w:rsidRPr="00874086">
        <w:rPr>
          <w:b/>
        </w:rPr>
        <w:tab/>
        <w:t>Nature of the Facilities at Issue</w:t>
      </w:r>
    </w:p>
    <w:p w:rsidR="00550C2C" w:rsidRPr="00874086" w:rsidRDefault="00550C2C" w:rsidP="00874086">
      <w:pPr>
        <w:spacing w:line="480" w:lineRule="auto"/>
        <w:ind w:left="720" w:hanging="720"/>
        <w:rPr>
          <w:b/>
        </w:rPr>
      </w:pPr>
    </w:p>
    <w:p w:rsidR="00550C2C" w:rsidRPr="00874086" w:rsidRDefault="00550C2C" w:rsidP="00874086">
      <w:pPr>
        <w:spacing w:line="480" w:lineRule="auto"/>
        <w:ind w:left="720" w:hanging="720"/>
        <w:rPr>
          <w:b/>
        </w:rPr>
      </w:pPr>
      <w:r w:rsidRPr="00874086">
        <w:rPr>
          <w:b/>
        </w:rPr>
        <w:t>Q.</w:t>
      </w:r>
      <w:r w:rsidRPr="00874086">
        <w:rPr>
          <w:b/>
        </w:rPr>
        <w:tab/>
        <w:t xml:space="preserve">What </w:t>
      </w:r>
      <w:r w:rsidR="002E3A74" w:rsidRPr="00874086">
        <w:rPr>
          <w:b/>
        </w:rPr>
        <w:t>facilities</w:t>
      </w:r>
      <w:r w:rsidR="00E17F07" w:rsidRPr="00874086">
        <w:rPr>
          <w:b/>
        </w:rPr>
        <w:t xml:space="preserve"> are</w:t>
      </w:r>
      <w:r w:rsidRPr="00874086">
        <w:rPr>
          <w:b/>
        </w:rPr>
        <w:t xml:space="preserve"> at issue in your testimony?</w:t>
      </w:r>
    </w:p>
    <w:p w:rsidR="00550C2C" w:rsidRPr="00874086" w:rsidRDefault="00550C2C" w:rsidP="00874086">
      <w:pPr>
        <w:spacing w:line="480" w:lineRule="auto"/>
        <w:ind w:left="720" w:hanging="720"/>
      </w:pPr>
      <w:r w:rsidRPr="00874086">
        <w:t>A.</w:t>
      </w:r>
      <w:r w:rsidRPr="00874086">
        <w:tab/>
        <w:t xml:space="preserve">The </w:t>
      </w:r>
      <w:r w:rsidR="00471ED6" w:rsidRPr="00874086">
        <w:t xml:space="preserve">facilities </w:t>
      </w:r>
      <w:r w:rsidRPr="00874086">
        <w:t>at issue in my testimony are the LSR Project</w:t>
      </w:r>
      <w:r w:rsidR="0096038D" w:rsidRPr="00874086">
        <w:t xml:space="preserve"> and</w:t>
      </w:r>
      <w:r w:rsidRPr="00874086">
        <w:t xml:space="preserve"> </w:t>
      </w:r>
      <w:r w:rsidR="00317FC2" w:rsidRPr="00874086">
        <w:t>BPA’s</w:t>
      </w:r>
      <w:r w:rsidRPr="00874086">
        <w:t xml:space="preserve"> Central Ferry Substation</w:t>
      </w:r>
      <w:r w:rsidR="00317FC2" w:rsidRPr="00874086">
        <w:t>,</w:t>
      </w:r>
      <w:r w:rsidRPr="00874086">
        <w:t xml:space="preserve"> which </w:t>
      </w:r>
      <w:r w:rsidR="00317FC2" w:rsidRPr="00874086">
        <w:t xml:space="preserve">brings the power from </w:t>
      </w:r>
      <w:r w:rsidR="00471ED6" w:rsidRPr="00874086">
        <w:t xml:space="preserve">PSE’s </w:t>
      </w:r>
      <w:r w:rsidR="0096038D" w:rsidRPr="00874086">
        <w:t>LSR Project</w:t>
      </w:r>
      <w:r w:rsidR="00471ED6" w:rsidRPr="00874086">
        <w:t xml:space="preserve"> </w:t>
      </w:r>
      <w:r w:rsidR="00317FC2" w:rsidRPr="00874086">
        <w:t>to the power grid</w:t>
      </w:r>
      <w:r w:rsidRPr="00874086">
        <w:t>.</w:t>
      </w:r>
    </w:p>
    <w:p w:rsidR="00943100" w:rsidRPr="00874086" w:rsidRDefault="00943100" w:rsidP="00874086">
      <w:pPr>
        <w:spacing w:line="480" w:lineRule="auto"/>
        <w:ind w:left="720" w:hanging="720"/>
        <w:rPr>
          <w:b/>
        </w:rPr>
      </w:pPr>
    </w:p>
    <w:p w:rsidR="00C430AB" w:rsidRPr="00874086" w:rsidRDefault="00B55F78" w:rsidP="00874086">
      <w:pPr>
        <w:spacing w:line="480" w:lineRule="auto"/>
        <w:ind w:left="720" w:hanging="720"/>
        <w:rPr>
          <w:rFonts w:eastAsia="Times New Roman"/>
          <w:b/>
        </w:rPr>
      </w:pPr>
      <w:r w:rsidRPr="00874086">
        <w:rPr>
          <w:b/>
        </w:rPr>
        <w:t>Q.</w:t>
      </w:r>
      <w:r w:rsidR="00C430AB" w:rsidRPr="00874086">
        <w:rPr>
          <w:b/>
        </w:rPr>
        <w:tab/>
      </w:r>
      <w:r w:rsidR="00E4325A" w:rsidRPr="00874086">
        <w:rPr>
          <w:b/>
        </w:rPr>
        <w:t>Please</w:t>
      </w:r>
      <w:r w:rsidR="00317FC2" w:rsidRPr="00874086">
        <w:rPr>
          <w:b/>
        </w:rPr>
        <w:t xml:space="preserve"> describe </w:t>
      </w:r>
      <w:r w:rsidR="0096038D" w:rsidRPr="00874086">
        <w:rPr>
          <w:b/>
        </w:rPr>
        <w:t>PSE’s</w:t>
      </w:r>
      <w:r w:rsidR="00317FC2" w:rsidRPr="00874086">
        <w:rPr>
          <w:b/>
        </w:rPr>
        <w:t xml:space="preserve"> </w:t>
      </w:r>
      <w:r w:rsidR="004E2DC1" w:rsidRPr="00874086">
        <w:rPr>
          <w:b/>
        </w:rPr>
        <w:t xml:space="preserve">LSR </w:t>
      </w:r>
      <w:r w:rsidR="00550C2C" w:rsidRPr="00874086">
        <w:rPr>
          <w:b/>
        </w:rPr>
        <w:t>P</w:t>
      </w:r>
      <w:r w:rsidR="00FB46A9" w:rsidRPr="00874086">
        <w:rPr>
          <w:b/>
        </w:rPr>
        <w:t>roject</w:t>
      </w:r>
      <w:r w:rsidR="0096038D" w:rsidRPr="00874086">
        <w:rPr>
          <w:b/>
        </w:rPr>
        <w:t xml:space="preserve"> and the Central Ferry Substation</w:t>
      </w:r>
      <w:r w:rsidR="00317FC2" w:rsidRPr="00874086">
        <w:rPr>
          <w:rFonts w:eastAsia="Times New Roman"/>
          <w:b/>
        </w:rPr>
        <w:t>.</w:t>
      </w:r>
    </w:p>
    <w:p w:rsidR="0096038D" w:rsidRPr="00874086" w:rsidRDefault="00C430AB" w:rsidP="00874086">
      <w:pPr>
        <w:pStyle w:val="BodyTextIndent"/>
        <w:spacing w:after="0" w:line="480" w:lineRule="auto"/>
        <w:ind w:left="720" w:hanging="720"/>
      </w:pPr>
      <w:r w:rsidRPr="00874086">
        <w:t>A.</w:t>
      </w:r>
      <w:r w:rsidRPr="00874086">
        <w:rPr>
          <w:b/>
        </w:rPr>
        <w:tab/>
      </w:r>
      <w:r w:rsidR="00104BC6" w:rsidRPr="00874086">
        <w:t xml:space="preserve">Overall, the </w:t>
      </w:r>
      <w:r w:rsidR="00091AE3" w:rsidRPr="00874086">
        <w:t xml:space="preserve">LSR Project </w:t>
      </w:r>
      <w:r w:rsidR="00104BC6" w:rsidRPr="00874086">
        <w:t>is a wind generation</w:t>
      </w:r>
      <w:r w:rsidR="000445B0" w:rsidRPr="00874086">
        <w:t xml:space="preserve"> facility</w:t>
      </w:r>
      <w:r w:rsidR="00104BC6" w:rsidRPr="00874086">
        <w:t xml:space="preserve"> consist</w:t>
      </w:r>
      <w:r w:rsidR="00091AE3" w:rsidRPr="00874086">
        <w:t>ing</w:t>
      </w:r>
      <w:r w:rsidR="00104BC6" w:rsidRPr="00874086">
        <w:t xml:space="preserve"> of five phases: </w:t>
      </w:r>
      <w:r w:rsidR="00747F9A" w:rsidRPr="00874086">
        <w:t xml:space="preserve">I, II, </w:t>
      </w:r>
      <w:r w:rsidR="003B03B2" w:rsidRPr="00874086">
        <w:t>III,</w:t>
      </w:r>
      <w:r w:rsidR="00747F9A" w:rsidRPr="00874086">
        <w:t xml:space="preserve"> IV and V.  </w:t>
      </w:r>
      <w:r w:rsidR="0096038D" w:rsidRPr="00874086">
        <w:t xml:space="preserve">Only </w:t>
      </w:r>
      <w:r w:rsidR="00A053D9" w:rsidRPr="00874086">
        <w:t>LSR Phase</w:t>
      </w:r>
      <w:r w:rsidR="00091AE3" w:rsidRPr="00874086">
        <w:t xml:space="preserve"> </w:t>
      </w:r>
      <w:r w:rsidR="00D019AE">
        <w:t>1</w:t>
      </w:r>
      <w:r w:rsidR="00A053D9" w:rsidRPr="00874086">
        <w:t xml:space="preserve"> is </w:t>
      </w:r>
      <w:r w:rsidR="00104BC6" w:rsidRPr="00874086">
        <w:t>operational</w:t>
      </w:r>
      <w:r w:rsidR="00885560" w:rsidRPr="00874086">
        <w:t xml:space="preserve">.  LSR Phase </w:t>
      </w:r>
      <w:r w:rsidR="00D019AE">
        <w:t>1</w:t>
      </w:r>
      <w:r w:rsidR="00885560" w:rsidRPr="00874086">
        <w:t xml:space="preserve"> is a</w:t>
      </w:r>
      <w:r w:rsidR="00104BC6" w:rsidRPr="00874086">
        <w:t xml:space="preserve"> </w:t>
      </w:r>
      <w:r w:rsidR="00A053D9" w:rsidRPr="00874086">
        <w:t xml:space="preserve">wind generation facility with a nameplate capacity of 342.7 </w:t>
      </w:r>
      <w:r w:rsidR="00782891" w:rsidRPr="00874086">
        <w:t>MW</w:t>
      </w:r>
      <w:r w:rsidR="00A053D9" w:rsidRPr="00874086">
        <w:t xml:space="preserve">, located on 39,600 acres of leased property in </w:t>
      </w:r>
      <w:r w:rsidR="00880C8E" w:rsidRPr="00874086">
        <w:t xml:space="preserve">western </w:t>
      </w:r>
      <w:r w:rsidR="00A053D9" w:rsidRPr="00874086">
        <w:t>Garfield County</w:t>
      </w:r>
      <w:r w:rsidR="00880C8E" w:rsidRPr="00874086">
        <w:t>,</w:t>
      </w:r>
      <w:r w:rsidR="00A053D9" w:rsidRPr="00874086">
        <w:t xml:space="preserve"> Washington. </w:t>
      </w:r>
      <w:r w:rsidR="00550C2C" w:rsidRPr="00874086">
        <w:t xml:space="preserve"> </w:t>
      </w:r>
      <w:r w:rsidR="00550C2C" w:rsidRPr="00874086">
        <w:rPr>
          <w:rFonts w:eastAsia="Times New Roman"/>
        </w:rPr>
        <w:t xml:space="preserve">PSE placed </w:t>
      </w:r>
      <w:r w:rsidR="00885560" w:rsidRPr="00874086">
        <w:rPr>
          <w:rFonts w:eastAsia="Times New Roman"/>
        </w:rPr>
        <w:t xml:space="preserve">LSR </w:t>
      </w:r>
      <w:r w:rsidR="00550C2C" w:rsidRPr="00874086">
        <w:rPr>
          <w:rFonts w:eastAsia="Times New Roman"/>
        </w:rPr>
        <w:t xml:space="preserve">Phase </w:t>
      </w:r>
      <w:r w:rsidR="00D019AE">
        <w:rPr>
          <w:rFonts w:eastAsia="Times New Roman"/>
        </w:rPr>
        <w:t>1</w:t>
      </w:r>
      <w:r w:rsidR="00550C2C" w:rsidRPr="00874086">
        <w:rPr>
          <w:rFonts w:eastAsia="Times New Roman"/>
        </w:rPr>
        <w:t xml:space="preserve"> </w:t>
      </w:r>
      <w:r w:rsidR="00550C2C" w:rsidRPr="00874086">
        <w:t xml:space="preserve">into service in </w:t>
      </w:r>
      <w:r w:rsidR="00E4325A" w:rsidRPr="00874086">
        <w:t>February</w:t>
      </w:r>
      <w:r w:rsidR="00550C2C" w:rsidRPr="00874086">
        <w:t xml:space="preserve"> 2012.</w:t>
      </w:r>
      <w:r w:rsidR="00471ED6" w:rsidRPr="00874086">
        <w:t xml:space="preserve">  </w:t>
      </w:r>
      <w:r w:rsidR="00091AE3" w:rsidRPr="00874086">
        <w:t xml:space="preserve">LSR Phase </w:t>
      </w:r>
      <w:r w:rsidR="00D019AE">
        <w:t>1</w:t>
      </w:r>
      <w:r w:rsidR="00091AE3" w:rsidRPr="00874086">
        <w:t xml:space="preserve"> i</w:t>
      </w:r>
      <w:r w:rsidR="00A053D9" w:rsidRPr="00874086">
        <w:t xml:space="preserve">nterconnects </w:t>
      </w:r>
      <w:r w:rsidR="00091AE3" w:rsidRPr="00874086">
        <w:t>with</w:t>
      </w:r>
      <w:r w:rsidR="00A053D9" w:rsidRPr="00874086">
        <w:t xml:space="preserve"> BPA’s new 230/500 kV Central Ferry Substation.  </w:t>
      </w:r>
    </w:p>
    <w:p w:rsidR="00782891" w:rsidRPr="00874086" w:rsidRDefault="0096038D" w:rsidP="00874086">
      <w:pPr>
        <w:pStyle w:val="BodyTextIndent"/>
        <w:spacing w:after="0" w:line="480" w:lineRule="auto"/>
        <w:ind w:left="720" w:hanging="720"/>
      </w:pPr>
      <w:r w:rsidRPr="00874086">
        <w:tab/>
      </w:r>
      <w:r w:rsidRPr="00874086">
        <w:tab/>
      </w:r>
      <w:r w:rsidR="00A053D9" w:rsidRPr="00874086">
        <w:t>BPA construct</w:t>
      </w:r>
      <w:r w:rsidR="00880C8E" w:rsidRPr="00874086">
        <w:t>ed</w:t>
      </w:r>
      <w:r w:rsidR="00A053D9" w:rsidRPr="00874086">
        <w:t xml:space="preserve"> the Central Ferry Substation to</w:t>
      </w:r>
      <w:r w:rsidR="000A3F8E" w:rsidRPr="00874086">
        <w:t>, among other things</w:t>
      </w:r>
      <w:r w:rsidR="00E4325A" w:rsidRPr="00874086">
        <w:t>;</w:t>
      </w:r>
      <w:r w:rsidR="00A053D9" w:rsidRPr="00874086">
        <w:t xml:space="preserve"> bring the output of the LSR Wind Project to PSE’s load center. </w:t>
      </w:r>
      <w:r w:rsidR="00471ED6" w:rsidRPr="00874086">
        <w:t xml:space="preserve"> </w:t>
      </w:r>
      <w:r w:rsidRPr="00874086">
        <w:t>BPA operates, maintains, and owns the Central Ferry Substation.</w:t>
      </w:r>
      <w:r w:rsidR="00885560" w:rsidRPr="00874086">
        <w:t xml:space="preserve">  </w:t>
      </w:r>
    </w:p>
    <w:p w:rsidR="00550C2C" w:rsidRPr="00874086" w:rsidRDefault="00550C2C" w:rsidP="00874086">
      <w:pPr>
        <w:pStyle w:val="BodyTextIndent"/>
        <w:spacing w:after="0" w:line="480" w:lineRule="auto"/>
        <w:ind w:left="720" w:hanging="720"/>
      </w:pPr>
    </w:p>
    <w:p w:rsidR="00317FC2" w:rsidRPr="00874086" w:rsidRDefault="000815B7" w:rsidP="00874086">
      <w:pPr>
        <w:pStyle w:val="BodyTextIndent"/>
        <w:keepNext/>
        <w:spacing w:after="0" w:line="480" w:lineRule="auto"/>
        <w:ind w:left="720" w:hanging="720"/>
        <w:rPr>
          <w:b/>
        </w:rPr>
      </w:pPr>
      <w:r>
        <w:rPr>
          <w:b/>
        </w:rPr>
        <w:lastRenderedPageBreak/>
        <w:tab/>
      </w:r>
      <w:r w:rsidR="00317FC2" w:rsidRPr="00874086">
        <w:rPr>
          <w:b/>
        </w:rPr>
        <w:t>B.</w:t>
      </w:r>
      <w:r w:rsidR="00317FC2" w:rsidRPr="00874086">
        <w:rPr>
          <w:b/>
        </w:rPr>
        <w:tab/>
        <w:t xml:space="preserve">PSE’s </w:t>
      </w:r>
      <w:r w:rsidR="0096038D" w:rsidRPr="00874086">
        <w:rPr>
          <w:b/>
        </w:rPr>
        <w:t>Prep</w:t>
      </w:r>
      <w:r w:rsidR="00317FC2" w:rsidRPr="00874086">
        <w:rPr>
          <w:b/>
        </w:rPr>
        <w:t xml:space="preserve">ayment to BPA </w:t>
      </w:r>
    </w:p>
    <w:p w:rsidR="00627C10" w:rsidRPr="00874086" w:rsidRDefault="00627C10" w:rsidP="00874086">
      <w:pPr>
        <w:pStyle w:val="BodyTextIndent"/>
        <w:keepNext/>
        <w:spacing w:after="0" w:line="480" w:lineRule="auto"/>
        <w:ind w:left="720" w:hanging="720"/>
        <w:rPr>
          <w:b/>
        </w:rPr>
      </w:pPr>
    </w:p>
    <w:p w:rsidR="00627C10" w:rsidRPr="00874086" w:rsidRDefault="00627C10" w:rsidP="00874086">
      <w:pPr>
        <w:pStyle w:val="BodyTextIndent"/>
        <w:spacing w:after="0" w:line="480" w:lineRule="auto"/>
        <w:ind w:left="720" w:hanging="720"/>
        <w:rPr>
          <w:b/>
        </w:rPr>
      </w:pPr>
      <w:r w:rsidRPr="00874086">
        <w:rPr>
          <w:b/>
        </w:rPr>
        <w:t>Q.</w:t>
      </w:r>
      <w:r w:rsidRPr="00874086">
        <w:rPr>
          <w:b/>
        </w:rPr>
        <w:tab/>
        <w:t>How much is PSE’s Prepayment to BPA</w:t>
      </w:r>
      <w:r w:rsidR="00AC3AE5" w:rsidRPr="00874086">
        <w:rPr>
          <w:b/>
        </w:rPr>
        <w:t>?</w:t>
      </w:r>
    </w:p>
    <w:p w:rsidR="00317FC2" w:rsidRPr="00874086" w:rsidRDefault="00627C10" w:rsidP="00874086">
      <w:pPr>
        <w:pStyle w:val="BodyTextIndent"/>
        <w:spacing w:after="0" w:line="480" w:lineRule="auto"/>
        <w:ind w:left="720" w:hanging="720"/>
      </w:pPr>
      <w:r w:rsidRPr="00874086">
        <w:t>A.</w:t>
      </w:r>
      <w:r w:rsidRPr="00874086">
        <w:tab/>
      </w:r>
      <w:r w:rsidR="0098411C" w:rsidRPr="00874086">
        <w:t xml:space="preserve">Approximately </w:t>
      </w:r>
      <w:r w:rsidRPr="00874086">
        <w:t>$102 million.</w:t>
      </w:r>
    </w:p>
    <w:p w:rsidR="00627C10" w:rsidRPr="00874086" w:rsidRDefault="00627C10" w:rsidP="00874086">
      <w:pPr>
        <w:pStyle w:val="BodyTextIndent"/>
        <w:spacing w:after="0" w:line="480" w:lineRule="auto"/>
        <w:ind w:left="720" w:hanging="720"/>
      </w:pPr>
    </w:p>
    <w:p w:rsidR="00627C10" w:rsidRPr="00874086" w:rsidRDefault="00627C10" w:rsidP="00874086">
      <w:pPr>
        <w:pStyle w:val="BodyTextIndent"/>
        <w:spacing w:after="0" w:line="480" w:lineRule="auto"/>
        <w:ind w:left="720" w:hanging="720"/>
        <w:rPr>
          <w:b/>
        </w:rPr>
      </w:pPr>
      <w:r w:rsidRPr="00874086">
        <w:rPr>
          <w:b/>
        </w:rPr>
        <w:t>Q.</w:t>
      </w:r>
      <w:r w:rsidRPr="00874086">
        <w:rPr>
          <w:b/>
        </w:rPr>
        <w:tab/>
        <w:t xml:space="preserve">What </w:t>
      </w:r>
      <w:r w:rsidR="00885560" w:rsidRPr="00874086">
        <w:rPr>
          <w:b/>
        </w:rPr>
        <w:t xml:space="preserve">are the </w:t>
      </w:r>
      <w:r w:rsidR="002E3A74" w:rsidRPr="00874086">
        <w:rPr>
          <w:b/>
        </w:rPr>
        <w:t>components</w:t>
      </w:r>
      <w:r w:rsidRPr="00874086">
        <w:rPr>
          <w:b/>
        </w:rPr>
        <w:t xml:space="preserve"> of this </w:t>
      </w:r>
      <w:r w:rsidR="005A04FB" w:rsidRPr="00874086">
        <w:rPr>
          <w:b/>
        </w:rPr>
        <w:t>$</w:t>
      </w:r>
      <w:r w:rsidRPr="00874086">
        <w:rPr>
          <w:b/>
        </w:rPr>
        <w:t>102 million?</w:t>
      </w:r>
    </w:p>
    <w:p w:rsidR="00627C10" w:rsidRPr="00874086" w:rsidRDefault="00627C10" w:rsidP="00874086">
      <w:pPr>
        <w:pStyle w:val="BodyTextIndent"/>
        <w:spacing w:after="0" w:line="480" w:lineRule="auto"/>
        <w:ind w:left="720" w:hanging="720"/>
        <w:rPr>
          <w:b/>
        </w:rPr>
      </w:pPr>
      <w:r w:rsidRPr="00874086">
        <w:t xml:space="preserve">A. </w:t>
      </w:r>
      <w:r w:rsidRPr="00874086">
        <w:tab/>
      </w:r>
      <w:r w:rsidR="00885560" w:rsidRPr="00874086">
        <w:t>For the $102 million,</w:t>
      </w:r>
      <w:r w:rsidR="00885560" w:rsidRPr="00874086">
        <w:rPr>
          <w:b/>
        </w:rPr>
        <w:t xml:space="preserve"> </w:t>
      </w:r>
      <w:r w:rsidRPr="00874086">
        <w:t>BPA</w:t>
      </w:r>
      <w:r w:rsidR="00885560" w:rsidRPr="00874086">
        <w:t xml:space="preserve"> designated </w:t>
      </w:r>
      <w:r w:rsidRPr="00874086">
        <w:t>$99.</w:t>
      </w:r>
      <w:r w:rsidR="005A04FB" w:rsidRPr="00874086">
        <w:t>8</w:t>
      </w:r>
      <w:r w:rsidRPr="00874086">
        <w:t xml:space="preserve"> million to Network Upgrades</w:t>
      </w:r>
      <w:r w:rsidR="00885560" w:rsidRPr="00874086">
        <w:t>,</w:t>
      </w:r>
      <w:r w:rsidRPr="00874086">
        <w:t xml:space="preserve"> which is related to construction of the </w:t>
      </w:r>
      <w:r w:rsidR="00B27BC9" w:rsidRPr="00874086">
        <w:t>substation</w:t>
      </w:r>
      <w:r w:rsidR="00420EE8" w:rsidRPr="00874086">
        <w:t xml:space="preserve">, and </w:t>
      </w:r>
      <w:r w:rsidRPr="00874086">
        <w:t>the remaining $2.5 million</w:t>
      </w:r>
      <w:r w:rsidR="003B78D7" w:rsidRPr="00874086">
        <w:t xml:space="preserve"> </w:t>
      </w:r>
      <w:r w:rsidR="00420EE8" w:rsidRPr="00874086">
        <w:t>to</w:t>
      </w:r>
      <w:r w:rsidRPr="00874086">
        <w:t xml:space="preserve"> Interconnection Facilities</w:t>
      </w:r>
      <w:r w:rsidR="00420EE8" w:rsidRPr="00874086">
        <w:t xml:space="preserve">, which are </w:t>
      </w:r>
      <w:r w:rsidR="000A3F8E" w:rsidRPr="00874086">
        <w:t xml:space="preserve">the </w:t>
      </w:r>
      <w:r w:rsidR="00420EE8" w:rsidRPr="00874086">
        <w:t xml:space="preserve">costs </w:t>
      </w:r>
      <w:r w:rsidR="000A3F8E" w:rsidRPr="00874086">
        <w:t xml:space="preserve">of the facilities necessary for </w:t>
      </w:r>
      <w:r w:rsidR="00420EE8" w:rsidRPr="00874086">
        <w:t xml:space="preserve">PSE to connect to the substation itself.  As </w:t>
      </w:r>
      <w:r w:rsidR="000A3F8E" w:rsidRPr="00874086">
        <w:t xml:space="preserve">I </w:t>
      </w:r>
      <w:r w:rsidRPr="00874086">
        <w:t xml:space="preserve">discuss later, </w:t>
      </w:r>
      <w:r w:rsidR="00420EE8" w:rsidRPr="00874086">
        <w:t xml:space="preserve">the costs of the Interconnection Facilities </w:t>
      </w:r>
      <w:r w:rsidRPr="00874086">
        <w:t>are directly assigned to PSE.</w:t>
      </w:r>
      <w:r w:rsidR="00420EE8" w:rsidRPr="00874086">
        <w:t xml:space="preserve">  The issues in my testimony relate to the </w:t>
      </w:r>
      <w:r w:rsidR="000A3F8E" w:rsidRPr="00874086">
        <w:t xml:space="preserve">remaining </w:t>
      </w:r>
      <w:r w:rsidR="00420EE8" w:rsidRPr="00874086">
        <w:t xml:space="preserve">$99.8 million </w:t>
      </w:r>
      <w:r w:rsidR="000A3F8E" w:rsidRPr="00874086">
        <w:t>of the $10</w:t>
      </w:r>
      <w:r w:rsidR="00621901" w:rsidRPr="00874086">
        <w:t>2</w:t>
      </w:r>
      <w:r w:rsidR="000A3F8E" w:rsidRPr="00874086">
        <w:t xml:space="preserve"> million </w:t>
      </w:r>
      <w:r w:rsidR="00420EE8" w:rsidRPr="00874086">
        <w:t>prepayment</w:t>
      </w:r>
      <w:r w:rsidR="000A3F8E" w:rsidRPr="00874086">
        <w:t xml:space="preserve"> amount</w:t>
      </w:r>
      <w:r w:rsidR="00420EE8" w:rsidRPr="00874086">
        <w:t>.</w:t>
      </w:r>
    </w:p>
    <w:p w:rsidR="00621901" w:rsidRPr="00874086" w:rsidRDefault="00621901" w:rsidP="00874086">
      <w:pPr>
        <w:spacing w:line="480" w:lineRule="auto"/>
        <w:ind w:left="720" w:hanging="720"/>
      </w:pPr>
    </w:p>
    <w:p w:rsidR="00621901" w:rsidRPr="00874086" w:rsidRDefault="00621901" w:rsidP="00874086">
      <w:pPr>
        <w:spacing w:line="480" w:lineRule="auto"/>
        <w:ind w:left="720" w:hanging="720"/>
        <w:rPr>
          <w:b/>
        </w:rPr>
      </w:pPr>
      <w:r w:rsidRPr="00874086">
        <w:rPr>
          <w:b/>
        </w:rPr>
        <w:t>Q.</w:t>
      </w:r>
      <w:r w:rsidRPr="00874086">
        <w:rPr>
          <w:b/>
        </w:rPr>
        <w:tab/>
        <w:t>What types of facilities did BPA construct?</w:t>
      </w:r>
    </w:p>
    <w:p w:rsidR="00621901" w:rsidRPr="00874086" w:rsidRDefault="00621901" w:rsidP="00874086">
      <w:pPr>
        <w:spacing w:line="480" w:lineRule="auto"/>
        <w:ind w:left="720" w:hanging="720"/>
      </w:pPr>
      <w:r w:rsidRPr="00874086">
        <w:t>A.</w:t>
      </w:r>
      <w:r w:rsidRPr="00874086">
        <w:tab/>
        <w:t>BPA constructed two types of facilities:  Interconnection Facilities ($2.5 million) and Network Upgrades ($99.8 million).</w:t>
      </w:r>
      <w:r w:rsidR="00A1595B" w:rsidRPr="00874086">
        <w:t xml:space="preserve">  </w:t>
      </w:r>
    </w:p>
    <w:p w:rsidR="00621901" w:rsidRPr="00874086" w:rsidRDefault="00621901" w:rsidP="00874086">
      <w:pPr>
        <w:pStyle w:val="BodyTextIndent"/>
        <w:spacing w:after="0" w:line="480" w:lineRule="auto"/>
        <w:ind w:left="720" w:hanging="720"/>
        <w:rPr>
          <w:b/>
        </w:rPr>
      </w:pPr>
    </w:p>
    <w:p w:rsidR="00621901" w:rsidRPr="00874086" w:rsidRDefault="00621901" w:rsidP="00874086">
      <w:pPr>
        <w:pStyle w:val="BodyTextIndent"/>
        <w:spacing w:after="0" w:line="480" w:lineRule="auto"/>
        <w:ind w:left="720" w:hanging="720"/>
        <w:rPr>
          <w:b/>
        </w:rPr>
      </w:pPr>
      <w:r w:rsidRPr="00874086">
        <w:rPr>
          <w:b/>
        </w:rPr>
        <w:t>Q.</w:t>
      </w:r>
      <w:r w:rsidRPr="00874086">
        <w:rPr>
          <w:b/>
        </w:rPr>
        <w:tab/>
        <w:t>Please describe the Interconnection</w:t>
      </w:r>
      <w:r w:rsidRPr="00874086">
        <w:t xml:space="preserve"> </w:t>
      </w:r>
      <w:r w:rsidRPr="00874086">
        <w:rPr>
          <w:b/>
        </w:rPr>
        <w:t>Facilities.</w:t>
      </w:r>
    </w:p>
    <w:p w:rsidR="00621901" w:rsidRPr="00874086" w:rsidRDefault="00621901" w:rsidP="00874086">
      <w:pPr>
        <w:spacing w:line="480" w:lineRule="auto"/>
        <w:ind w:left="720" w:hanging="720"/>
      </w:pPr>
      <w:r w:rsidRPr="00874086">
        <w:t>A.</w:t>
      </w:r>
      <w:r w:rsidRPr="00874086">
        <w:tab/>
        <w:t xml:space="preserve">These facilities allow PSE to connect the output of the LSR Project to the transmission grid.  The Interconnection Facilities are located before the point of interconnection </w:t>
      </w:r>
      <w:r w:rsidR="00E4325A" w:rsidRPr="00874086">
        <w:t>of the</w:t>
      </w:r>
      <w:r w:rsidRPr="00874086">
        <w:t xml:space="preserve"> LSR Project and the BPA Central Ferry Substation.  Interconnection Facilities include the electric wires, switches and all facilities and </w:t>
      </w:r>
      <w:r w:rsidRPr="00874086">
        <w:lastRenderedPageBreak/>
        <w:t xml:space="preserve">equipment owned by the electrical company (PSE) necessary to interconnect a generating facility to the electric system at the Central Ferry Substation.  </w:t>
      </w:r>
    </w:p>
    <w:p w:rsidR="00621901" w:rsidRPr="00874086" w:rsidRDefault="00621901" w:rsidP="00874086">
      <w:pPr>
        <w:spacing w:line="480" w:lineRule="auto"/>
        <w:ind w:left="720" w:hanging="720"/>
      </w:pPr>
    </w:p>
    <w:p w:rsidR="00621901" w:rsidRPr="00874086" w:rsidRDefault="00621901" w:rsidP="00D25DE9">
      <w:pPr>
        <w:keepNext/>
        <w:spacing w:line="480" w:lineRule="auto"/>
        <w:ind w:left="720" w:hanging="720"/>
        <w:rPr>
          <w:b/>
        </w:rPr>
      </w:pPr>
      <w:r w:rsidRPr="00874086">
        <w:rPr>
          <w:b/>
        </w:rPr>
        <w:t>Q.</w:t>
      </w:r>
      <w:r w:rsidRPr="00874086">
        <w:rPr>
          <w:b/>
        </w:rPr>
        <w:tab/>
        <w:t>Who benefits from these Interconnection Facilities?</w:t>
      </w:r>
    </w:p>
    <w:p w:rsidR="00621901" w:rsidRPr="00874086" w:rsidRDefault="00621901" w:rsidP="00874086">
      <w:pPr>
        <w:spacing w:line="480" w:lineRule="auto"/>
        <w:ind w:left="720" w:hanging="720"/>
      </w:pPr>
      <w:r w:rsidRPr="00874086">
        <w:t>A.</w:t>
      </w:r>
      <w:r w:rsidRPr="00874086">
        <w:tab/>
        <w:t xml:space="preserve">Only PSE benefits from the Interconnecting Facilities.  </w:t>
      </w:r>
    </w:p>
    <w:p w:rsidR="00621901" w:rsidRPr="00874086" w:rsidRDefault="00621901" w:rsidP="00874086">
      <w:pPr>
        <w:spacing w:line="480" w:lineRule="auto"/>
        <w:ind w:left="720" w:hanging="720"/>
      </w:pPr>
    </w:p>
    <w:p w:rsidR="00621901" w:rsidRPr="00874086" w:rsidRDefault="00621901" w:rsidP="00874086">
      <w:pPr>
        <w:spacing w:line="480" w:lineRule="auto"/>
        <w:ind w:left="720" w:hanging="720"/>
        <w:rPr>
          <w:b/>
        </w:rPr>
      </w:pPr>
      <w:r w:rsidRPr="00874086">
        <w:rPr>
          <w:b/>
        </w:rPr>
        <w:t>Q.</w:t>
      </w:r>
      <w:r w:rsidRPr="00874086">
        <w:rPr>
          <w:b/>
        </w:rPr>
        <w:tab/>
        <w:t>What are the implications of that fact?</w:t>
      </w:r>
    </w:p>
    <w:p w:rsidR="00621901" w:rsidRPr="00874086" w:rsidRDefault="00621901" w:rsidP="00874086">
      <w:pPr>
        <w:spacing w:line="480" w:lineRule="auto"/>
        <w:ind w:left="720" w:hanging="720"/>
      </w:pPr>
      <w:r w:rsidRPr="00874086">
        <w:t>A.</w:t>
      </w:r>
      <w:r w:rsidRPr="00874086">
        <w:tab/>
        <w:t xml:space="preserve">Because only PSE benefits from the Interconnection Facilities, PSE should bear the full cost of the Interconnection Facilities.  PSE includes this $2.5 million in a </w:t>
      </w:r>
      <w:r w:rsidR="00E4325A" w:rsidRPr="00874086">
        <w:t>Construction</w:t>
      </w:r>
      <w:r w:rsidRPr="00874086">
        <w:t xml:space="preserve"> Work in Process account for the LSR Project before May 14, 2012.  After that date, this amount is in a Plant account.</w:t>
      </w:r>
    </w:p>
    <w:p w:rsidR="00621901" w:rsidRPr="00874086" w:rsidRDefault="00621901" w:rsidP="00874086">
      <w:pPr>
        <w:spacing w:line="480" w:lineRule="auto"/>
      </w:pPr>
    </w:p>
    <w:p w:rsidR="00621901" w:rsidRPr="00874086" w:rsidRDefault="00621901" w:rsidP="00874086">
      <w:pPr>
        <w:pStyle w:val="BodyTextIndent"/>
        <w:spacing w:after="0" w:line="480" w:lineRule="auto"/>
        <w:ind w:left="720" w:hanging="720"/>
        <w:rPr>
          <w:b/>
        </w:rPr>
      </w:pPr>
      <w:r w:rsidRPr="00874086">
        <w:rPr>
          <w:b/>
        </w:rPr>
        <w:t>Q.</w:t>
      </w:r>
      <w:r w:rsidRPr="00874086">
        <w:rPr>
          <w:b/>
        </w:rPr>
        <w:tab/>
        <w:t>Please describe the Network Upgrades.</w:t>
      </w:r>
    </w:p>
    <w:p w:rsidR="00621901" w:rsidRPr="00874086" w:rsidRDefault="00621901" w:rsidP="00874086">
      <w:pPr>
        <w:spacing w:line="480" w:lineRule="auto"/>
        <w:ind w:left="720" w:hanging="720"/>
      </w:pPr>
      <w:r w:rsidRPr="00874086">
        <w:t>A.</w:t>
      </w:r>
      <w:r w:rsidRPr="00874086">
        <w:tab/>
        <w:t xml:space="preserve">The “Network Upgrades” are </w:t>
      </w:r>
      <w:r w:rsidR="00E4325A" w:rsidRPr="00874086">
        <w:t xml:space="preserve">the Central Ferry Substation </w:t>
      </w:r>
      <w:r w:rsidR="00B27BC9" w:rsidRPr="00874086">
        <w:t xml:space="preserve">facilities </w:t>
      </w:r>
      <w:r w:rsidRPr="00874086">
        <w:t xml:space="preserve">located at or beyond the point of </w:t>
      </w:r>
      <w:r w:rsidR="00B27BC9" w:rsidRPr="00874086">
        <w:t xml:space="preserve">PSE’s </w:t>
      </w:r>
      <w:r w:rsidRPr="00874086">
        <w:t>interconnection.  The role of th</w:t>
      </w:r>
      <w:r w:rsidR="00B27BC9" w:rsidRPr="00874086">
        <w:t xml:space="preserve">e Network Upgrades </w:t>
      </w:r>
      <w:r w:rsidRPr="00874086">
        <w:t>is to bring power from the LSR Project, and to improve the entire transmission system.  The cost of construct</w:t>
      </w:r>
      <w:r w:rsidR="00B27BC9" w:rsidRPr="00874086">
        <w:t>ing</w:t>
      </w:r>
      <w:r w:rsidRPr="00874086">
        <w:t xml:space="preserve"> the Central Ferry Substation was solely determined by BPA in accordance with its standardized interconnection requirements to step up power from 230 kv to </w:t>
      </w:r>
      <w:r w:rsidR="002E3A74" w:rsidRPr="00874086">
        <w:t>500 kv</w:t>
      </w:r>
      <w:r w:rsidRPr="00874086">
        <w:t xml:space="preserve"> for 1250 MW of capacity.</w:t>
      </w:r>
    </w:p>
    <w:p w:rsidR="00621901" w:rsidRPr="00874086" w:rsidRDefault="00621901" w:rsidP="00874086">
      <w:pPr>
        <w:spacing w:line="480" w:lineRule="auto"/>
        <w:ind w:left="720" w:hanging="720"/>
      </w:pPr>
    </w:p>
    <w:p w:rsidR="00621901" w:rsidRPr="00874086" w:rsidRDefault="00621901" w:rsidP="00874086">
      <w:pPr>
        <w:spacing w:line="480" w:lineRule="auto"/>
        <w:ind w:left="720" w:hanging="720"/>
        <w:rPr>
          <w:b/>
        </w:rPr>
      </w:pPr>
      <w:r w:rsidRPr="00874086">
        <w:rPr>
          <w:b/>
        </w:rPr>
        <w:t>Q.</w:t>
      </w:r>
      <w:r w:rsidRPr="00874086">
        <w:rPr>
          <w:b/>
        </w:rPr>
        <w:tab/>
        <w:t>Who benefits from these Network Upgrades?</w:t>
      </w:r>
    </w:p>
    <w:p w:rsidR="00621901" w:rsidRPr="00874086" w:rsidRDefault="00621901" w:rsidP="00874086">
      <w:pPr>
        <w:spacing w:line="480" w:lineRule="auto"/>
        <w:ind w:left="720" w:hanging="720"/>
      </w:pPr>
      <w:r w:rsidRPr="00874086">
        <w:t>A.</w:t>
      </w:r>
      <w:r w:rsidRPr="00874086">
        <w:tab/>
        <w:t>All users of the transmission system benefit from the Network Upgrades.</w:t>
      </w:r>
    </w:p>
    <w:p w:rsidR="00621901" w:rsidRPr="00874086" w:rsidRDefault="00621901" w:rsidP="00874086">
      <w:pPr>
        <w:spacing w:line="480" w:lineRule="auto"/>
        <w:ind w:left="720" w:hanging="720"/>
      </w:pPr>
    </w:p>
    <w:p w:rsidR="00621901" w:rsidRPr="00874086" w:rsidRDefault="00621901" w:rsidP="00874086">
      <w:pPr>
        <w:spacing w:line="480" w:lineRule="auto"/>
        <w:ind w:left="720" w:hanging="720"/>
        <w:rPr>
          <w:b/>
        </w:rPr>
      </w:pPr>
      <w:r w:rsidRPr="00874086">
        <w:rPr>
          <w:b/>
        </w:rPr>
        <w:lastRenderedPageBreak/>
        <w:t>Q</w:t>
      </w:r>
      <w:r w:rsidRPr="00874086">
        <w:rPr>
          <w:b/>
        </w:rPr>
        <w:tab/>
        <w:t>What are the implications of that fact?</w:t>
      </w:r>
    </w:p>
    <w:p w:rsidR="00627C10" w:rsidRPr="00874086" w:rsidRDefault="00621901" w:rsidP="00874086">
      <w:pPr>
        <w:pStyle w:val="BodyTextIndent"/>
        <w:spacing w:after="0" w:line="480" w:lineRule="auto"/>
        <w:ind w:left="720" w:hanging="720"/>
      </w:pPr>
      <w:r w:rsidRPr="00874086">
        <w:t>A.</w:t>
      </w:r>
      <w:r w:rsidRPr="00874086">
        <w:tab/>
        <w:t>Because all users of the transmission system</w:t>
      </w:r>
      <w:r w:rsidRPr="00874086">
        <w:rPr>
          <w:b/>
        </w:rPr>
        <w:t xml:space="preserve"> </w:t>
      </w:r>
      <w:r w:rsidRPr="00874086">
        <w:t>benefit from the Network Upgrades, all users of the transmission grid must pay BPA to use it.  Therefore, BPA rolls the cost of the Network Upgrades into its transmission rates so that all users of the transmission pay their fair share of the facility cost.</w:t>
      </w:r>
    </w:p>
    <w:p w:rsidR="00283F96" w:rsidRPr="00874086" w:rsidRDefault="00283F96" w:rsidP="00874086">
      <w:pPr>
        <w:pStyle w:val="BodyTextIndent"/>
        <w:spacing w:after="0" w:line="480" w:lineRule="auto"/>
        <w:ind w:left="720" w:hanging="720"/>
        <w:rPr>
          <w:b/>
        </w:rPr>
      </w:pPr>
    </w:p>
    <w:p w:rsidR="00721D54" w:rsidRPr="00874086" w:rsidRDefault="00721D54" w:rsidP="00874086">
      <w:pPr>
        <w:pStyle w:val="BodyTextIndent"/>
        <w:spacing w:after="0" w:line="480" w:lineRule="auto"/>
        <w:ind w:left="720" w:hanging="720"/>
        <w:rPr>
          <w:b/>
        </w:rPr>
      </w:pPr>
      <w:r w:rsidRPr="00874086">
        <w:rPr>
          <w:b/>
        </w:rPr>
        <w:t>Q.</w:t>
      </w:r>
      <w:r w:rsidRPr="00874086">
        <w:rPr>
          <w:b/>
        </w:rPr>
        <w:tab/>
        <w:t>D</w:t>
      </w:r>
      <w:r w:rsidR="00924EAA" w:rsidRPr="00874086">
        <w:rPr>
          <w:b/>
        </w:rPr>
        <w:t>id</w:t>
      </w:r>
      <w:r w:rsidRPr="00874086">
        <w:rPr>
          <w:b/>
        </w:rPr>
        <w:t xml:space="preserve"> PSE have the option to construct the Central Ferry Substation?</w:t>
      </w:r>
    </w:p>
    <w:p w:rsidR="00721D54" w:rsidRPr="00874086" w:rsidRDefault="00721D54" w:rsidP="00874086">
      <w:pPr>
        <w:autoSpaceDE w:val="0"/>
        <w:autoSpaceDN w:val="0"/>
        <w:adjustRightInd w:val="0"/>
        <w:spacing w:line="480" w:lineRule="auto"/>
        <w:ind w:left="720" w:hanging="720"/>
        <w:rPr>
          <w:b/>
        </w:rPr>
      </w:pPr>
      <w:r w:rsidRPr="00874086">
        <w:t>A.</w:t>
      </w:r>
      <w:r w:rsidRPr="00874086">
        <w:rPr>
          <w:b/>
        </w:rPr>
        <w:t xml:space="preserve"> </w:t>
      </w:r>
      <w:r w:rsidRPr="00874086">
        <w:rPr>
          <w:b/>
        </w:rPr>
        <w:tab/>
      </w:r>
      <w:r w:rsidRPr="00874086">
        <w:t>No</w:t>
      </w:r>
      <w:r w:rsidR="00924EAA" w:rsidRPr="00874086">
        <w:t>.</w:t>
      </w:r>
      <w:r w:rsidR="00924EAA" w:rsidRPr="00874086" w:rsidDel="00924EAA">
        <w:t xml:space="preserve"> </w:t>
      </w:r>
      <w:r w:rsidR="00924EAA" w:rsidRPr="00874086">
        <w:t xml:space="preserve"> </w:t>
      </w:r>
      <w:r w:rsidR="00FE0FCE" w:rsidRPr="00874086">
        <w:t xml:space="preserve">BPA </w:t>
      </w:r>
      <w:r w:rsidR="00924EAA" w:rsidRPr="00874086">
        <w:t xml:space="preserve">was responsible for </w:t>
      </w:r>
      <w:r w:rsidR="00FE0FCE" w:rsidRPr="00874086">
        <w:t>constr</w:t>
      </w:r>
      <w:r w:rsidR="00924EAA" w:rsidRPr="00874086">
        <w:t>u</w:t>
      </w:r>
      <w:r w:rsidR="00FE0FCE" w:rsidRPr="00874086">
        <w:t>ct</w:t>
      </w:r>
      <w:r w:rsidR="00924EAA" w:rsidRPr="00874086">
        <w:t>ing the Central Ferry S</w:t>
      </w:r>
      <w:r w:rsidR="00FE0FCE" w:rsidRPr="00874086">
        <w:t>ubstation</w:t>
      </w:r>
      <w:r w:rsidR="00924EAA" w:rsidRPr="00874086">
        <w:t>,</w:t>
      </w:r>
      <w:r w:rsidR="00FE0FCE" w:rsidRPr="00874086">
        <w:t xml:space="preserve"> with an additional transformer to connect to the BPA high voltage transmission system to serve the L</w:t>
      </w:r>
      <w:r w:rsidR="00550C2C" w:rsidRPr="00874086">
        <w:t>SR Project</w:t>
      </w:r>
      <w:r w:rsidR="00420EE8" w:rsidRPr="00874086">
        <w:t>.</w:t>
      </w:r>
      <w:r w:rsidR="00FE0FCE" w:rsidRPr="00874086">
        <w:t xml:space="preserve"> </w:t>
      </w:r>
    </w:p>
    <w:p w:rsidR="000445B0" w:rsidRPr="00874086" w:rsidRDefault="00782891" w:rsidP="00874086">
      <w:pPr>
        <w:spacing w:line="480" w:lineRule="auto"/>
        <w:ind w:left="720" w:hanging="720"/>
      </w:pPr>
      <w:r w:rsidRPr="00874086">
        <w:t xml:space="preserve"> </w:t>
      </w:r>
    </w:p>
    <w:p w:rsidR="00CA381B" w:rsidRPr="00874086" w:rsidRDefault="00CA381B" w:rsidP="00874086">
      <w:pPr>
        <w:pStyle w:val="BodyTextIndent"/>
        <w:spacing w:after="0" w:line="480" w:lineRule="auto"/>
        <w:ind w:left="720" w:hanging="720"/>
        <w:rPr>
          <w:b/>
        </w:rPr>
      </w:pPr>
      <w:r w:rsidRPr="00874086">
        <w:rPr>
          <w:b/>
        </w:rPr>
        <w:t>Q.</w:t>
      </w:r>
      <w:r w:rsidRPr="00874086">
        <w:rPr>
          <w:b/>
        </w:rPr>
        <w:tab/>
      </w:r>
      <w:r w:rsidR="003311CB" w:rsidRPr="00874086">
        <w:rPr>
          <w:b/>
        </w:rPr>
        <w:t xml:space="preserve">How </w:t>
      </w:r>
      <w:r w:rsidR="00924EAA" w:rsidRPr="00874086">
        <w:rPr>
          <w:b/>
        </w:rPr>
        <w:t xml:space="preserve">did </w:t>
      </w:r>
      <w:r w:rsidR="003311CB" w:rsidRPr="00874086">
        <w:rPr>
          <w:b/>
        </w:rPr>
        <w:t xml:space="preserve">PSE </w:t>
      </w:r>
      <w:r w:rsidR="003B03B2" w:rsidRPr="00874086">
        <w:rPr>
          <w:b/>
        </w:rPr>
        <w:t>pay</w:t>
      </w:r>
      <w:r w:rsidR="003311CB" w:rsidRPr="00874086">
        <w:rPr>
          <w:b/>
        </w:rPr>
        <w:t xml:space="preserve"> BPA </w:t>
      </w:r>
      <w:r w:rsidR="00471ED6" w:rsidRPr="00874086">
        <w:rPr>
          <w:b/>
        </w:rPr>
        <w:t xml:space="preserve">for </w:t>
      </w:r>
      <w:r w:rsidR="003311CB" w:rsidRPr="00874086">
        <w:rPr>
          <w:b/>
        </w:rPr>
        <w:t>the Central Ferry Substation</w:t>
      </w:r>
      <w:r w:rsidR="00B27BC9" w:rsidRPr="00874086">
        <w:rPr>
          <w:b/>
        </w:rPr>
        <w:t xml:space="preserve"> (Network </w:t>
      </w:r>
      <w:r w:rsidR="007D1ABE" w:rsidRPr="00874086">
        <w:rPr>
          <w:b/>
        </w:rPr>
        <w:t>Upgrades</w:t>
      </w:r>
      <w:r w:rsidR="00B27BC9" w:rsidRPr="00874086">
        <w:rPr>
          <w:b/>
        </w:rPr>
        <w:t>)</w:t>
      </w:r>
      <w:r w:rsidR="00471ED6" w:rsidRPr="00874086">
        <w:rPr>
          <w:b/>
        </w:rPr>
        <w:t>?</w:t>
      </w:r>
    </w:p>
    <w:p w:rsidR="00471ED6" w:rsidRPr="00874086" w:rsidRDefault="00CA381B" w:rsidP="00874086">
      <w:pPr>
        <w:spacing w:line="480" w:lineRule="auto"/>
        <w:ind w:left="720" w:hanging="720"/>
      </w:pPr>
      <w:r w:rsidRPr="00874086">
        <w:t>A.</w:t>
      </w:r>
      <w:r w:rsidRPr="00874086">
        <w:tab/>
      </w:r>
      <w:r w:rsidR="00782891" w:rsidRPr="00874086">
        <w:t xml:space="preserve">BPA </w:t>
      </w:r>
      <w:r w:rsidR="003311CB" w:rsidRPr="00874086">
        <w:t xml:space="preserve">required </w:t>
      </w:r>
      <w:r w:rsidR="00782891" w:rsidRPr="00874086">
        <w:t xml:space="preserve">PSE </w:t>
      </w:r>
      <w:r w:rsidR="003311CB" w:rsidRPr="00874086">
        <w:t xml:space="preserve">to pay </w:t>
      </w:r>
      <w:r w:rsidR="00317FC2" w:rsidRPr="00874086">
        <w:t xml:space="preserve">BPA </w:t>
      </w:r>
      <w:r w:rsidR="003B03B2" w:rsidRPr="00874086">
        <w:t>$</w:t>
      </w:r>
      <w:r w:rsidR="005A04FB" w:rsidRPr="00874086">
        <w:t>99.8</w:t>
      </w:r>
      <w:r w:rsidR="00764D65" w:rsidRPr="00874086">
        <w:t xml:space="preserve"> </w:t>
      </w:r>
      <w:r w:rsidR="00317FC2" w:rsidRPr="00874086">
        <w:t>m</w:t>
      </w:r>
      <w:r w:rsidR="003B03B2" w:rsidRPr="00874086">
        <w:t>illion</w:t>
      </w:r>
      <w:r w:rsidR="00374AE1" w:rsidRPr="00874086">
        <w:t xml:space="preserve">.  </w:t>
      </w:r>
      <w:r w:rsidR="00420EE8" w:rsidRPr="00874086">
        <w:t>PSE made a s</w:t>
      </w:r>
      <w:r w:rsidR="00374AE1" w:rsidRPr="00874086">
        <w:t>eries of payments to BPA from August 2008 to August 2011.</w:t>
      </w:r>
      <w:r w:rsidR="00420EE8" w:rsidRPr="00874086">
        <w:t xml:space="preserve">  PSE made full payment </w:t>
      </w:r>
      <w:r w:rsidR="00AC3AE5" w:rsidRPr="00874086">
        <w:t xml:space="preserve">of this $99.8 million </w:t>
      </w:r>
      <w:r w:rsidR="00420EE8" w:rsidRPr="00874086">
        <w:t>to BPA before the substation was built.</w:t>
      </w:r>
    </w:p>
    <w:p w:rsidR="00471ED6" w:rsidRPr="00874086" w:rsidRDefault="00471ED6" w:rsidP="00874086">
      <w:pPr>
        <w:spacing w:line="480" w:lineRule="auto"/>
        <w:ind w:left="720" w:hanging="720"/>
      </w:pPr>
    </w:p>
    <w:p w:rsidR="0096038D" w:rsidRPr="00874086" w:rsidRDefault="0096038D" w:rsidP="00874086">
      <w:pPr>
        <w:pStyle w:val="BodyTextIndent"/>
        <w:spacing w:after="0" w:line="480" w:lineRule="auto"/>
        <w:ind w:left="720" w:hanging="720"/>
        <w:rPr>
          <w:b/>
        </w:rPr>
      </w:pPr>
      <w:r w:rsidRPr="00874086">
        <w:rPr>
          <w:b/>
        </w:rPr>
        <w:t>Q.</w:t>
      </w:r>
      <w:r w:rsidRPr="00874086">
        <w:rPr>
          <w:b/>
        </w:rPr>
        <w:tab/>
        <w:t xml:space="preserve">Does BPA repay PSE for the </w:t>
      </w:r>
      <w:r w:rsidR="00420EE8" w:rsidRPr="00874086">
        <w:rPr>
          <w:b/>
        </w:rPr>
        <w:t xml:space="preserve">$99.8 million </w:t>
      </w:r>
      <w:r w:rsidRPr="00874086">
        <w:rPr>
          <w:b/>
        </w:rPr>
        <w:t xml:space="preserve">prepayment PSE </w:t>
      </w:r>
      <w:r w:rsidR="00420EE8" w:rsidRPr="00874086">
        <w:rPr>
          <w:b/>
        </w:rPr>
        <w:t xml:space="preserve">made </w:t>
      </w:r>
      <w:r w:rsidRPr="00874086">
        <w:rPr>
          <w:b/>
        </w:rPr>
        <w:t>for the substation?</w:t>
      </w:r>
    </w:p>
    <w:p w:rsidR="0096038D" w:rsidRPr="00874086" w:rsidRDefault="0096038D" w:rsidP="00874086">
      <w:pPr>
        <w:spacing w:line="480" w:lineRule="auto"/>
        <w:ind w:left="720" w:hanging="720"/>
      </w:pPr>
      <w:r w:rsidRPr="00874086">
        <w:t xml:space="preserve">A.  </w:t>
      </w:r>
      <w:r w:rsidRPr="00874086">
        <w:tab/>
        <w:t xml:space="preserve">Yes.  BPA repays PSE’s prepayment </w:t>
      </w:r>
      <w:r w:rsidR="005A04FB" w:rsidRPr="00874086">
        <w:t xml:space="preserve">of $99.8 </w:t>
      </w:r>
      <w:r w:rsidR="00420EE8" w:rsidRPr="00874086">
        <w:t xml:space="preserve">million </w:t>
      </w:r>
      <w:r w:rsidRPr="00874086">
        <w:t>through “</w:t>
      </w:r>
      <w:r w:rsidR="00420EE8" w:rsidRPr="00874086">
        <w:t>T</w:t>
      </w:r>
      <w:r w:rsidRPr="00874086">
        <w:t xml:space="preserve">ransmission </w:t>
      </w:r>
      <w:r w:rsidR="00420EE8" w:rsidRPr="00874086">
        <w:t>Service C</w:t>
      </w:r>
      <w:r w:rsidRPr="00874086">
        <w:t xml:space="preserve">redits” applied monthly until PSE recovers the </w:t>
      </w:r>
      <w:r w:rsidR="00E4325A" w:rsidRPr="00874086">
        <w:t>cost associated</w:t>
      </w:r>
      <w:r w:rsidRPr="00874086">
        <w:t xml:space="preserve"> with the </w:t>
      </w:r>
      <w:r w:rsidR="003B78D7" w:rsidRPr="00874086">
        <w:t>$99.8 million</w:t>
      </w:r>
      <w:r w:rsidR="00AC3AE5" w:rsidRPr="00874086">
        <w:t>,</w:t>
      </w:r>
      <w:r w:rsidR="003B78D7" w:rsidRPr="00874086">
        <w:t xml:space="preserve"> plus interest</w:t>
      </w:r>
      <w:r w:rsidRPr="00874086">
        <w:t xml:space="preserve">.  Each month, PSE’s cost to use the Central Ferry Substation is offset by an equal amount of </w:t>
      </w:r>
      <w:r w:rsidR="00AC3AE5" w:rsidRPr="00874086">
        <w:t>T</w:t>
      </w:r>
      <w:r w:rsidRPr="00874086">
        <w:t xml:space="preserve">ransmission </w:t>
      </w:r>
      <w:r w:rsidR="00AC3AE5" w:rsidRPr="00874086">
        <w:t>S</w:t>
      </w:r>
      <w:r w:rsidRPr="00874086">
        <w:t xml:space="preserve">ervice </w:t>
      </w:r>
      <w:r w:rsidR="00AC3AE5" w:rsidRPr="00874086">
        <w:t>C</w:t>
      </w:r>
      <w:r w:rsidRPr="00874086">
        <w:t xml:space="preserve">redits provided by BPA.  BPA accrues interest on the outstanding balance of the prepayment at the annual FERC </w:t>
      </w:r>
      <w:r w:rsidRPr="00874086">
        <w:lastRenderedPageBreak/>
        <w:t>interest rate.  This interest will be returned to PSE in the form of future transmission services from BPA.  BPA’s accrued interest plus principal reduce</w:t>
      </w:r>
      <w:r w:rsidR="00783874">
        <w:t>s</w:t>
      </w:r>
      <w:r w:rsidRPr="00874086">
        <w:t xml:space="preserve"> the regulatory assets associated with the substation </w:t>
      </w:r>
      <w:r w:rsidR="00374AE1" w:rsidRPr="00874086">
        <w:t xml:space="preserve">prepayment </w:t>
      </w:r>
      <w:r w:rsidRPr="00874086">
        <w:t>PSE made to BPA for the benefit of ratepayers.</w:t>
      </w:r>
    </w:p>
    <w:p w:rsidR="003311CB" w:rsidRPr="00874086" w:rsidRDefault="003311CB" w:rsidP="00874086">
      <w:pPr>
        <w:spacing w:line="480" w:lineRule="auto"/>
      </w:pPr>
    </w:p>
    <w:p w:rsidR="00874086" w:rsidRPr="00D25DE9" w:rsidRDefault="00317FC2" w:rsidP="00E7446F">
      <w:pPr>
        <w:spacing w:after="480"/>
        <w:ind w:left="1440" w:hanging="720"/>
        <w:rPr>
          <w:b/>
        </w:rPr>
      </w:pPr>
      <w:r>
        <w:rPr>
          <w:b/>
        </w:rPr>
        <w:t>C.</w:t>
      </w:r>
      <w:r w:rsidR="00E307D3">
        <w:rPr>
          <w:b/>
        </w:rPr>
        <w:tab/>
        <w:t xml:space="preserve">PSE’s </w:t>
      </w:r>
      <w:r w:rsidR="00471ED6">
        <w:rPr>
          <w:b/>
        </w:rPr>
        <w:t xml:space="preserve">Accounting for </w:t>
      </w:r>
      <w:r w:rsidR="00420EE8">
        <w:rPr>
          <w:b/>
        </w:rPr>
        <w:t>PSE’s</w:t>
      </w:r>
      <w:r w:rsidR="00471ED6">
        <w:rPr>
          <w:b/>
        </w:rPr>
        <w:t xml:space="preserve"> </w:t>
      </w:r>
      <w:r w:rsidR="005A04FB">
        <w:rPr>
          <w:b/>
        </w:rPr>
        <w:t>Prep</w:t>
      </w:r>
      <w:r w:rsidR="00471ED6">
        <w:rPr>
          <w:b/>
        </w:rPr>
        <w:t xml:space="preserve">ayment to BPA for the Central Ferry </w:t>
      </w:r>
      <w:r w:rsidR="00E307D3">
        <w:rPr>
          <w:b/>
        </w:rPr>
        <w:t xml:space="preserve">Substation </w:t>
      </w:r>
    </w:p>
    <w:p w:rsidR="00331B25" w:rsidRPr="005A04FB" w:rsidRDefault="00331B25" w:rsidP="00874086">
      <w:pPr>
        <w:pStyle w:val="BodyTextIndent"/>
        <w:spacing w:after="0" w:line="480" w:lineRule="auto"/>
        <w:ind w:left="720" w:hanging="720"/>
        <w:rPr>
          <w:b/>
        </w:rPr>
      </w:pPr>
      <w:r>
        <w:rPr>
          <w:b/>
        </w:rPr>
        <w:t>Q.</w:t>
      </w:r>
      <w:r>
        <w:rPr>
          <w:b/>
        </w:rPr>
        <w:tab/>
      </w:r>
      <w:r w:rsidR="0048024F">
        <w:rPr>
          <w:b/>
        </w:rPr>
        <w:t xml:space="preserve">Please describe the accounting treatment </w:t>
      </w:r>
      <w:r w:rsidRPr="00747F9A">
        <w:rPr>
          <w:b/>
        </w:rPr>
        <w:t xml:space="preserve">the </w:t>
      </w:r>
      <w:r w:rsidR="00880C8E">
        <w:rPr>
          <w:b/>
        </w:rPr>
        <w:t>C</w:t>
      </w:r>
      <w:r w:rsidRPr="00747F9A">
        <w:rPr>
          <w:b/>
        </w:rPr>
        <w:t>ommission authoriz</w:t>
      </w:r>
      <w:r w:rsidR="0048024F">
        <w:rPr>
          <w:b/>
        </w:rPr>
        <w:t xml:space="preserve">ed for PSE for </w:t>
      </w:r>
      <w:r w:rsidRPr="00747F9A">
        <w:rPr>
          <w:b/>
        </w:rPr>
        <w:t xml:space="preserve">the costs associated with </w:t>
      </w:r>
      <w:r w:rsidR="00E307D3">
        <w:rPr>
          <w:b/>
        </w:rPr>
        <w:t xml:space="preserve">PSE’s </w:t>
      </w:r>
      <w:r w:rsidR="00420EE8">
        <w:rPr>
          <w:b/>
        </w:rPr>
        <w:t xml:space="preserve">$99.8 million </w:t>
      </w:r>
      <w:r w:rsidR="00E307D3" w:rsidRPr="005A04FB">
        <w:rPr>
          <w:b/>
        </w:rPr>
        <w:t xml:space="preserve">prepayment to BPA </w:t>
      </w:r>
      <w:r w:rsidR="0096038D" w:rsidRPr="005A04FB">
        <w:rPr>
          <w:b/>
        </w:rPr>
        <w:t xml:space="preserve">to construct </w:t>
      </w:r>
      <w:r w:rsidR="00E307D3" w:rsidRPr="005A04FB">
        <w:rPr>
          <w:b/>
        </w:rPr>
        <w:t xml:space="preserve">the Central Ferry </w:t>
      </w:r>
      <w:r w:rsidR="00E4325A" w:rsidRPr="005A04FB">
        <w:rPr>
          <w:b/>
        </w:rPr>
        <w:t>Substation.</w:t>
      </w:r>
    </w:p>
    <w:p w:rsidR="00420EE8" w:rsidRDefault="00331B25" w:rsidP="00874086">
      <w:pPr>
        <w:spacing w:line="480" w:lineRule="auto"/>
        <w:ind w:left="720" w:hanging="720"/>
      </w:pPr>
      <w:r w:rsidRPr="00367C02">
        <w:t>A.</w:t>
      </w:r>
      <w:r>
        <w:tab/>
      </w:r>
      <w:r w:rsidR="0096038D">
        <w:t>T</w:t>
      </w:r>
      <w:r w:rsidR="0048024F">
        <w:t xml:space="preserve">he </w:t>
      </w:r>
      <w:r w:rsidR="00880C8E">
        <w:t>C</w:t>
      </w:r>
      <w:r w:rsidR="00F32E0D">
        <w:t xml:space="preserve">ommission </w:t>
      </w:r>
      <w:r w:rsidR="00E307D3">
        <w:t>allowed</w:t>
      </w:r>
      <w:r w:rsidR="00880C8E">
        <w:t xml:space="preserve"> </w:t>
      </w:r>
      <w:r w:rsidR="0048024F">
        <w:t xml:space="preserve">PSE to </w:t>
      </w:r>
      <w:r w:rsidR="00F32E0D">
        <w:t xml:space="preserve">defer </w:t>
      </w:r>
      <w:r w:rsidR="00880C8E">
        <w:t>PSE’s</w:t>
      </w:r>
      <w:r w:rsidR="00470774">
        <w:t xml:space="preserve"> </w:t>
      </w:r>
      <w:r w:rsidR="00AC3AE5">
        <w:t xml:space="preserve">$99.8 million </w:t>
      </w:r>
      <w:r w:rsidR="00E4325A">
        <w:t>prepayment as</w:t>
      </w:r>
      <w:r w:rsidR="00CA71BE">
        <w:t xml:space="preserve"> </w:t>
      </w:r>
      <w:r w:rsidR="00B27BC9">
        <w:t>a r</w:t>
      </w:r>
      <w:r w:rsidR="00CA71BE">
        <w:t xml:space="preserve">egulatory </w:t>
      </w:r>
      <w:r w:rsidR="00B27BC9">
        <w:t>a</w:t>
      </w:r>
      <w:r w:rsidR="00CA71BE">
        <w:t>sset</w:t>
      </w:r>
      <w:r w:rsidR="00470774">
        <w:t>.</w:t>
      </w:r>
      <w:r w:rsidR="00AC3AE5">
        <w:rPr>
          <w:rStyle w:val="FootnoteReference"/>
        </w:rPr>
        <w:footnoteReference w:id="1"/>
      </w:r>
      <w:r w:rsidR="00F32E0D">
        <w:t xml:space="preserve">  </w:t>
      </w:r>
      <w:r w:rsidR="00E307D3">
        <w:t xml:space="preserve">The Commission </w:t>
      </w:r>
      <w:r w:rsidR="00B27BC9">
        <w:t xml:space="preserve">also </w:t>
      </w:r>
      <w:r w:rsidR="00E307D3">
        <w:t xml:space="preserve">allowed PSE to book monthly carrying charges on the deferred prepayment costs at PSE’s approved net of tax rate of return, which was 6.9 percent at that time.  </w:t>
      </w:r>
      <w:r w:rsidR="00B27BC9">
        <w:t xml:space="preserve">These carrying charges are </w:t>
      </w:r>
      <w:r w:rsidR="00C8641C">
        <w:t xml:space="preserve">a </w:t>
      </w:r>
      <w:r w:rsidR="00656642">
        <w:t>separate</w:t>
      </w:r>
      <w:r w:rsidR="00B27BC9">
        <w:t xml:space="preserve"> regulatory asset associated with the prepayment PSE made to BPA.</w:t>
      </w:r>
    </w:p>
    <w:p w:rsidR="00F32E0D" w:rsidRDefault="00420EE8" w:rsidP="00874086">
      <w:pPr>
        <w:spacing w:line="480" w:lineRule="auto"/>
        <w:ind w:left="720" w:hanging="720"/>
      </w:pPr>
      <w:r>
        <w:tab/>
      </w:r>
      <w:r>
        <w:tab/>
      </w:r>
      <w:r w:rsidR="0052210D">
        <w:t xml:space="preserve">PSE began </w:t>
      </w:r>
      <w:r w:rsidR="00E307D3">
        <w:t>accru</w:t>
      </w:r>
      <w:r w:rsidR="0052210D">
        <w:t xml:space="preserve">ing </w:t>
      </w:r>
      <w:r w:rsidR="00E307D3">
        <w:t xml:space="preserve">carrying charges on the deferred prepayment costs </w:t>
      </w:r>
      <w:r w:rsidR="0052210D">
        <w:t>as of May 20, 2010</w:t>
      </w:r>
      <w:r w:rsidR="00DE4040">
        <w:t>;</w:t>
      </w:r>
      <w:r w:rsidR="00E307D3">
        <w:t xml:space="preserve"> the date </w:t>
      </w:r>
      <w:r w:rsidR="0052210D">
        <w:t xml:space="preserve">PSE filed </w:t>
      </w:r>
      <w:r w:rsidR="00DE4040">
        <w:t>its</w:t>
      </w:r>
      <w:r w:rsidR="0052210D">
        <w:t xml:space="preserve"> </w:t>
      </w:r>
      <w:r w:rsidR="00E307D3">
        <w:t>accounting petition in Docket UE-100882</w:t>
      </w:r>
      <w:r w:rsidR="00E307D3" w:rsidRPr="00747F9A">
        <w:t>.</w:t>
      </w:r>
    </w:p>
    <w:p w:rsidR="00E158D1" w:rsidRDefault="00E158D1" w:rsidP="00874086">
      <w:pPr>
        <w:spacing w:line="480" w:lineRule="auto"/>
        <w:ind w:left="720" w:hanging="720"/>
      </w:pPr>
    </w:p>
    <w:p w:rsidR="00470774" w:rsidRDefault="00470774" w:rsidP="00874086">
      <w:pPr>
        <w:pStyle w:val="NumberedParagraph"/>
        <w:numPr>
          <w:ilvl w:val="0"/>
          <w:numId w:val="0"/>
        </w:numPr>
        <w:spacing w:after="0" w:line="480" w:lineRule="auto"/>
        <w:ind w:left="720" w:hanging="720"/>
        <w:rPr>
          <w:b/>
        </w:rPr>
      </w:pPr>
      <w:r w:rsidRPr="000C23E5">
        <w:rPr>
          <w:b/>
        </w:rPr>
        <w:t xml:space="preserve">Q. </w:t>
      </w:r>
      <w:r w:rsidRPr="000C23E5">
        <w:rPr>
          <w:b/>
        </w:rPr>
        <w:tab/>
      </w:r>
      <w:r w:rsidR="0096038D">
        <w:rPr>
          <w:b/>
        </w:rPr>
        <w:t xml:space="preserve">What amounts has PSE accrued on </w:t>
      </w:r>
      <w:r w:rsidR="00420EE8">
        <w:rPr>
          <w:b/>
        </w:rPr>
        <w:t>its</w:t>
      </w:r>
      <w:r w:rsidR="0096038D">
        <w:rPr>
          <w:b/>
        </w:rPr>
        <w:t xml:space="preserve"> </w:t>
      </w:r>
      <w:r>
        <w:rPr>
          <w:b/>
        </w:rPr>
        <w:t xml:space="preserve">$99.8 million </w:t>
      </w:r>
      <w:r w:rsidR="0096038D">
        <w:rPr>
          <w:b/>
        </w:rPr>
        <w:t xml:space="preserve">prepayment </w:t>
      </w:r>
      <w:r>
        <w:rPr>
          <w:b/>
        </w:rPr>
        <w:t>to BPA</w:t>
      </w:r>
      <w:r w:rsidRPr="000C23E5">
        <w:rPr>
          <w:b/>
        </w:rPr>
        <w:t>?</w:t>
      </w:r>
    </w:p>
    <w:p w:rsidR="00470774" w:rsidRDefault="00470774" w:rsidP="00874086">
      <w:pPr>
        <w:pStyle w:val="NumberedParagraph"/>
        <w:numPr>
          <w:ilvl w:val="0"/>
          <w:numId w:val="0"/>
        </w:numPr>
        <w:spacing w:after="0" w:line="480" w:lineRule="auto"/>
        <w:ind w:left="720" w:hanging="720"/>
      </w:pPr>
      <w:r>
        <w:t>A.</w:t>
      </w:r>
      <w:r>
        <w:tab/>
        <w:t xml:space="preserve">PSE </w:t>
      </w:r>
      <w:r w:rsidR="0096038D">
        <w:t xml:space="preserve">has </w:t>
      </w:r>
      <w:r>
        <w:t>accrued carrying charges of $17,372,419</w:t>
      </w:r>
      <w:r w:rsidR="00E158D1">
        <w:t xml:space="preserve"> </w:t>
      </w:r>
      <w:r w:rsidR="0096038D">
        <w:t xml:space="preserve">over the period </w:t>
      </w:r>
      <w:r>
        <w:t>May 20, 2010</w:t>
      </w:r>
      <w:r w:rsidR="00DE4040">
        <w:t>,</w:t>
      </w:r>
      <w:r>
        <w:t xml:space="preserve"> to May 2012</w:t>
      </w:r>
      <w:r w:rsidR="00DE4040">
        <w:t xml:space="preserve">.  </w:t>
      </w:r>
      <w:r w:rsidR="00B27BC9">
        <w:t>As I stated, t</w:t>
      </w:r>
      <w:r w:rsidR="00DE4040">
        <w:t xml:space="preserve">hese accrued carrying charges are also </w:t>
      </w:r>
      <w:r w:rsidR="00BA118E">
        <w:t>a regulatory asset</w:t>
      </w:r>
      <w:r>
        <w:t xml:space="preserve">.  </w:t>
      </w:r>
      <w:r w:rsidR="00B27BC9">
        <w:tab/>
      </w:r>
      <w:r w:rsidR="0096038D">
        <w:t xml:space="preserve">In addition, </w:t>
      </w:r>
      <w:r w:rsidR="00FD3780">
        <w:t xml:space="preserve">since </w:t>
      </w:r>
      <w:r w:rsidR="0096038D">
        <w:t xml:space="preserve">May 14, 2012, PSE </w:t>
      </w:r>
      <w:r w:rsidR="00FD3780">
        <w:t xml:space="preserve">has earned a return of 7.8 percent on </w:t>
      </w:r>
      <w:r w:rsidR="00FD3780">
        <w:lastRenderedPageBreak/>
        <w:t>t</w:t>
      </w:r>
      <w:r>
        <w:t xml:space="preserve">he </w:t>
      </w:r>
      <w:r w:rsidR="00BA118E">
        <w:t>r</w:t>
      </w:r>
      <w:r w:rsidR="00BA118E" w:rsidRPr="00261B5F">
        <w:t xml:space="preserve">egulatory </w:t>
      </w:r>
      <w:r w:rsidR="00BA118E">
        <w:t>a</w:t>
      </w:r>
      <w:r w:rsidR="00BA118E" w:rsidRPr="00261B5F">
        <w:t>sset</w:t>
      </w:r>
      <w:r w:rsidR="00BA118E">
        <w:t xml:space="preserve"> </w:t>
      </w:r>
      <w:r>
        <w:t xml:space="preserve">represented by </w:t>
      </w:r>
      <w:r w:rsidRPr="00A6190C">
        <w:t xml:space="preserve">the prepayment of $99.8 million </w:t>
      </w:r>
      <w:r>
        <w:t xml:space="preserve">(principal portion) </w:t>
      </w:r>
      <w:r w:rsidR="00DE4040">
        <w:t xml:space="preserve">and </w:t>
      </w:r>
      <w:r w:rsidR="00656642">
        <w:t xml:space="preserve">on </w:t>
      </w:r>
      <w:r>
        <w:t xml:space="preserve">the </w:t>
      </w:r>
      <w:r w:rsidR="00BA118E">
        <w:t>regulatory asset of</w:t>
      </w:r>
      <w:r>
        <w:t xml:space="preserve"> $17,372,419</w:t>
      </w:r>
      <w:r w:rsidR="00E74DB3">
        <w:t xml:space="preserve"> </w:t>
      </w:r>
      <w:r w:rsidR="00DE4040">
        <w:t xml:space="preserve">representing </w:t>
      </w:r>
      <w:r w:rsidR="00BA118E">
        <w:t>the</w:t>
      </w:r>
      <w:r w:rsidR="00E74DB3">
        <w:t xml:space="preserve"> </w:t>
      </w:r>
      <w:r w:rsidR="00BA118E">
        <w:t xml:space="preserve">accrued </w:t>
      </w:r>
      <w:r w:rsidR="0096038D">
        <w:t>c</w:t>
      </w:r>
      <w:r w:rsidRPr="00261B5F">
        <w:t xml:space="preserve">arrying </w:t>
      </w:r>
      <w:r w:rsidR="0096038D">
        <w:t>c</w:t>
      </w:r>
      <w:r w:rsidRPr="00261B5F">
        <w:t>harges</w:t>
      </w:r>
      <w:r w:rsidR="00FD3780">
        <w:t xml:space="preserve">.  May </w:t>
      </w:r>
      <w:r>
        <w:t xml:space="preserve">14, 2012, is the date of the Commission’s rate order that included LSR Phase </w:t>
      </w:r>
      <w:r w:rsidR="00D019AE">
        <w:t>1</w:t>
      </w:r>
      <w:r>
        <w:t xml:space="preserve"> in rate base.</w:t>
      </w:r>
      <w:r>
        <w:rPr>
          <w:rStyle w:val="FootnoteReference"/>
        </w:rPr>
        <w:footnoteReference w:id="2"/>
      </w:r>
      <w:r>
        <w:t xml:space="preserve">  7.8 percent </w:t>
      </w:r>
      <w:r w:rsidR="00FD3780">
        <w:t>is</w:t>
      </w:r>
      <w:r>
        <w:t xml:space="preserve"> the rate of return the Commission authorized in that order.</w:t>
      </w:r>
    </w:p>
    <w:p w:rsidR="00E158D1" w:rsidRDefault="00E158D1" w:rsidP="00D25DE9">
      <w:pPr>
        <w:pStyle w:val="NumberedParagraph"/>
        <w:numPr>
          <w:ilvl w:val="0"/>
          <w:numId w:val="0"/>
        </w:numPr>
        <w:spacing w:after="0" w:line="480" w:lineRule="auto"/>
        <w:rPr>
          <w:b/>
        </w:rPr>
      </w:pPr>
    </w:p>
    <w:p w:rsidR="0052210D" w:rsidRDefault="0052210D" w:rsidP="00E7446F">
      <w:pPr>
        <w:pStyle w:val="NumberedParagraph"/>
        <w:numPr>
          <w:ilvl w:val="0"/>
          <w:numId w:val="0"/>
        </w:numPr>
        <w:spacing w:after="0" w:line="480" w:lineRule="auto"/>
        <w:ind w:firstLine="720"/>
        <w:rPr>
          <w:b/>
        </w:rPr>
      </w:pPr>
      <w:r>
        <w:rPr>
          <w:b/>
        </w:rPr>
        <w:t>D.</w:t>
      </w:r>
      <w:r>
        <w:rPr>
          <w:b/>
        </w:rPr>
        <w:tab/>
        <w:t xml:space="preserve">PSE’s Sale of </w:t>
      </w:r>
      <w:r w:rsidR="00D019AE">
        <w:rPr>
          <w:b/>
        </w:rPr>
        <w:t>LSR Phase 2</w:t>
      </w:r>
      <w:r>
        <w:rPr>
          <w:b/>
        </w:rPr>
        <w:t xml:space="preserve"> </w:t>
      </w:r>
    </w:p>
    <w:p w:rsidR="00874086" w:rsidRPr="00E158D1" w:rsidRDefault="00874086" w:rsidP="00874086">
      <w:pPr>
        <w:pStyle w:val="NumberedParagraph"/>
        <w:numPr>
          <w:ilvl w:val="0"/>
          <w:numId w:val="0"/>
        </w:numPr>
        <w:spacing w:after="0" w:line="480" w:lineRule="auto"/>
        <w:rPr>
          <w:b/>
        </w:rPr>
      </w:pPr>
    </w:p>
    <w:p w:rsidR="00852096" w:rsidRDefault="004515B7" w:rsidP="00874086">
      <w:pPr>
        <w:spacing w:line="480" w:lineRule="auto"/>
        <w:ind w:left="720" w:hanging="720"/>
        <w:rPr>
          <w:b/>
        </w:rPr>
      </w:pPr>
      <w:r w:rsidRPr="000F17F7">
        <w:rPr>
          <w:b/>
        </w:rPr>
        <w:t xml:space="preserve">Q. </w:t>
      </w:r>
      <w:r w:rsidRPr="000F17F7">
        <w:rPr>
          <w:b/>
        </w:rPr>
        <w:tab/>
      </w:r>
      <w:bookmarkEnd w:id="0"/>
      <w:bookmarkEnd w:id="1"/>
      <w:r w:rsidR="003747E1">
        <w:rPr>
          <w:b/>
        </w:rPr>
        <w:t>Please describe the</w:t>
      </w:r>
      <w:r w:rsidR="00852096">
        <w:rPr>
          <w:b/>
        </w:rPr>
        <w:t xml:space="preserve"> </w:t>
      </w:r>
      <w:r w:rsidR="00D019AE">
        <w:rPr>
          <w:b/>
        </w:rPr>
        <w:t>LSR Phase 2</w:t>
      </w:r>
      <w:r w:rsidR="003747E1">
        <w:rPr>
          <w:b/>
        </w:rPr>
        <w:t xml:space="preserve"> </w:t>
      </w:r>
      <w:r w:rsidR="0052210D">
        <w:rPr>
          <w:b/>
        </w:rPr>
        <w:t xml:space="preserve">sales </w:t>
      </w:r>
      <w:r w:rsidR="003747E1">
        <w:rPr>
          <w:b/>
        </w:rPr>
        <w:t>transaction</w:t>
      </w:r>
      <w:r w:rsidR="001F5AAF">
        <w:rPr>
          <w:b/>
        </w:rPr>
        <w:t>.</w:t>
      </w:r>
    </w:p>
    <w:p w:rsidR="00224A56" w:rsidRDefault="00852096" w:rsidP="00874086">
      <w:pPr>
        <w:spacing w:line="480" w:lineRule="auto"/>
        <w:ind w:left="720" w:hanging="720"/>
      </w:pPr>
      <w:r w:rsidRPr="000C23E5">
        <w:t>A.</w:t>
      </w:r>
      <w:r>
        <w:t xml:space="preserve"> </w:t>
      </w:r>
      <w:r w:rsidR="00435FC5">
        <w:tab/>
      </w:r>
      <w:r w:rsidRPr="00761FBD">
        <w:t xml:space="preserve">On June 2, 2013, PSE entered into </w:t>
      </w:r>
      <w:r w:rsidR="001F5AAF">
        <w:t xml:space="preserve">an </w:t>
      </w:r>
      <w:r w:rsidRPr="00761FBD">
        <w:t xml:space="preserve">Asset Purchase and Sale Agreement to sell </w:t>
      </w:r>
      <w:r w:rsidR="001F5AAF" w:rsidRPr="00761FBD">
        <w:t xml:space="preserve">to </w:t>
      </w:r>
      <w:r w:rsidR="00DE4040">
        <w:t>PGE</w:t>
      </w:r>
      <w:r w:rsidR="00BB5252">
        <w:t>,</w:t>
      </w:r>
      <w:r w:rsidR="008C2EFA">
        <w:t xml:space="preserve"> </w:t>
      </w:r>
      <w:r w:rsidR="001F5AAF">
        <w:t>PSE’s</w:t>
      </w:r>
      <w:r w:rsidRPr="00761FBD">
        <w:t xml:space="preserve"> interest in the development assets required for the construction and operation of </w:t>
      </w:r>
      <w:r w:rsidR="00D019AE">
        <w:t>LSR Phase 2</w:t>
      </w:r>
      <w:r w:rsidR="001F5AAF">
        <w:t xml:space="preserve">.  </w:t>
      </w:r>
      <w:r w:rsidR="00C87765">
        <w:t xml:space="preserve">PGE paid </w:t>
      </w:r>
      <w:r>
        <w:t>$16,008,000</w:t>
      </w:r>
      <w:r w:rsidR="00C87765">
        <w:t xml:space="preserve"> to PSE for the development rights and assets</w:t>
      </w:r>
      <w:r>
        <w:t xml:space="preserve">. </w:t>
      </w:r>
      <w:r w:rsidR="001F5AAF">
        <w:t xml:space="preserve"> PSE’s </w:t>
      </w:r>
      <w:r w:rsidRPr="00761FBD">
        <w:t xml:space="preserve">net book value for </w:t>
      </w:r>
      <w:r w:rsidR="00D019AE">
        <w:t>LSR Phase 2</w:t>
      </w:r>
      <w:r>
        <w:t xml:space="preserve"> is approximately $15,933,493</w:t>
      </w:r>
      <w:r w:rsidR="003747E1">
        <w:t xml:space="preserve">, and the transaction costs for this sale are </w:t>
      </w:r>
      <w:r w:rsidR="001F5AAF">
        <w:t>approximately</w:t>
      </w:r>
      <w:r w:rsidR="003747E1">
        <w:t xml:space="preserve"> $175,000</w:t>
      </w:r>
      <w:r>
        <w:t xml:space="preserve">. </w:t>
      </w:r>
      <w:r w:rsidR="00224A56">
        <w:t xml:space="preserve">  </w:t>
      </w:r>
    </w:p>
    <w:p w:rsidR="0009146E" w:rsidRDefault="000A1544" w:rsidP="00874086">
      <w:pPr>
        <w:spacing w:line="480" w:lineRule="auto"/>
        <w:ind w:left="720" w:hanging="720"/>
      </w:pPr>
      <w:r>
        <w:tab/>
      </w:r>
      <w:r>
        <w:tab/>
        <w:t xml:space="preserve">PSE </w:t>
      </w:r>
      <w:r w:rsidR="00C87765">
        <w:t xml:space="preserve">also sold </w:t>
      </w:r>
      <w:r w:rsidR="003505DB">
        <w:t xml:space="preserve">a share of its </w:t>
      </w:r>
      <w:r w:rsidR="00452EFA">
        <w:t xml:space="preserve">BPA </w:t>
      </w:r>
      <w:r w:rsidR="00DE4040">
        <w:t>T</w:t>
      </w:r>
      <w:r w:rsidR="003505DB">
        <w:t xml:space="preserve">ransmission </w:t>
      </w:r>
      <w:r w:rsidR="00DE4040">
        <w:t>S</w:t>
      </w:r>
      <w:r w:rsidR="003505DB">
        <w:t xml:space="preserve">ervice </w:t>
      </w:r>
      <w:r w:rsidR="00DE4040">
        <w:t>C</w:t>
      </w:r>
      <w:r w:rsidR="003505DB">
        <w:t>redits to PGE for $20.5 million</w:t>
      </w:r>
      <w:r>
        <w:t xml:space="preserve">.  This </w:t>
      </w:r>
      <w:r w:rsidRPr="00C26308">
        <w:t>$20</w:t>
      </w:r>
      <w:r>
        <w:t xml:space="preserve">.5 million is </w:t>
      </w:r>
      <w:r w:rsidRPr="00D71993">
        <w:rPr>
          <w:rFonts w:eastAsia="Times New Roman"/>
        </w:rPr>
        <w:t xml:space="preserve">LSR </w:t>
      </w:r>
      <w:r w:rsidR="00D019AE">
        <w:rPr>
          <w:rFonts w:eastAsia="Times New Roman"/>
        </w:rPr>
        <w:t>Phase 2</w:t>
      </w:r>
      <w:r w:rsidRPr="00D71993">
        <w:rPr>
          <w:rFonts w:eastAsia="Times New Roman"/>
        </w:rPr>
        <w:t xml:space="preserve">’s </w:t>
      </w:r>
      <w:r w:rsidR="00DE4040">
        <w:rPr>
          <w:rFonts w:eastAsia="Times New Roman"/>
        </w:rPr>
        <w:t xml:space="preserve">approximate 21 percent share </w:t>
      </w:r>
      <w:r w:rsidRPr="00D71993">
        <w:rPr>
          <w:rFonts w:eastAsia="Times New Roman"/>
        </w:rPr>
        <w:t>of the $99.</w:t>
      </w:r>
      <w:r>
        <w:rPr>
          <w:rFonts w:eastAsia="Times New Roman"/>
        </w:rPr>
        <w:t>8</w:t>
      </w:r>
      <w:r w:rsidRPr="00D71993">
        <w:rPr>
          <w:rFonts w:eastAsia="Times New Roman"/>
        </w:rPr>
        <w:t xml:space="preserve"> million </w:t>
      </w:r>
      <w:r w:rsidR="00095F42">
        <w:rPr>
          <w:rFonts w:eastAsia="Times New Roman"/>
        </w:rPr>
        <w:t>prepayment</w:t>
      </w:r>
      <w:r w:rsidR="005B1E86">
        <w:rPr>
          <w:rFonts w:eastAsia="Times New Roman"/>
        </w:rPr>
        <w:t xml:space="preserve"> </w:t>
      </w:r>
      <w:r w:rsidR="00DE4040">
        <w:rPr>
          <w:rFonts w:eastAsia="Times New Roman"/>
        </w:rPr>
        <w:t xml:space="preserve">PSE made to BPA </w:t>
      </w:r>
      <w:r w:rsidR="005B1E86">
        <w:rPr>
          <w:rFonts w:eastAsia="Times New Roman"/>
        </w:rPr>
        <w:t>for the Central Ferry Substation</w:t>
      </w:r>
      <w:r w:rsidRPr="00D71993">
        <w:rPr>
          <w:rFonts w:eastAsia="Times New Roman"/>
        </w:rPr>
        <w:t xml:space="preserve">. </w:t>
      </w:r>
      <w:r>
        <w:rPr>
          <w:rFonts w:eastAsia="Times New Roman"/>
        </w:rPr>
        <w:t xml:space="preserve"> This </w:t>
      </w:r>
      <w:r w:rsidR="00B87873">
        <w:rPr>
          <w:rFonts w:eastAsia="Times New Roman"/>
        </w:rPr>
        <w:t xml:space="preserve">percentage </w:t>
      </w:r>
      <w:r>
        <w:rPr>
          <w:rFonts w:eastAsia="Times New Roman"/>
        </w:rPr>
        <w:t xml:space="preserve">is based on </w:t>
      </w:r>
      <w:r w:rsidRPr="00D71993">
        <w:rPr>
          <w:rFonts w:eastAsia="Times New Roman"/>
        </w:rPr>
        <w:t xml:space="preserve">LSR </w:t>
      </w:r>
      <w:r w:rsidR="00D019AE">
        <w:rPr>
          <w:rFonts w:eastAsia="Times New Roman"/>
        </w:rPr>
        <w:t>Phase 2</w:t>
      </w:r>
      <w:r w:rsidRPr="00D71993">
        <w:rPr>
          <w:rFonts w:eastAsia="Times New Roman"/>
        </w:rPr>
        <w:t>’s assigned capacity of 2</w:t>
      </w:r>
      <w:r>
        <w:rPr>
          <w:rFonts w:eastAsia="Times New Roman"/>
        </w:rPr>
        <w:t>67</w:t>
      </w:r>
      <w:r w:rsidRPr="00D71993">
        <w:rPr>
          <w:rFonts w:eastAsia="Times New Roman"/>
        </w:rPr>
        <w:t xml:space="preserve"> megawatts in the substation</w:t>
      </w:r>
      <w:r>
        <w:rPr>
          <w:rFonts w:eastAsia="Times New Roman"/>
        </w:rPr>
        <w:t>, which represents</w:t>
      </w:r>
      <w:r w:rsidRPr="00D71993">
        <w:rPr>
          <w:rFonts w:eastAsia="Times New Roman"/>
        </w:rPr>
        <w:t xml:space="preserve"> approximately 21 percent of the 1,250 megawatt substation capacity. </w:t>
      </w:r>
      <w:r>
        <w:rPr>
          <w:rFonts w:eastAsia="Times New Roman"/>
        </w:rPr>
        <w:t xml:space="preserve"> </w:t>
      </w:r>
      <w:r>
        <w:t>My Exhibit No.</w:t>
      </w:r>
      <w:r w:rsidR="00F80263">
        <w:t xml:space="preserve"> </w:t>
      </w:r>
      <w:proofErr w:type="spellStart"/>
      <w:r w:rsidR="00783874">
        <w:t>JH</w:t>
      </w:r>
      <w:proofErr w:type="spellEnd"/>
      <w:r w:rsidR="00783874">
        <w:t xml:space="preserve">-2, page </w:t>
      </w:r>
      <w:r w:rsidR="00F816E2">
        <w:t>5</w:t>
      </w:r>
      <w:r w:rsidR="00E4325A">
        <w:t>, shows</w:t>
      </w:r>
      <w:r>
        <w:t xml:space="preserve"> how the $20.5 million was determined.</w:t>
      </w:r>
    </w:p>
    <w:p w:rsidR="005537A5" w:rsidRDefault="005537A5" w:rsidP="00874086">
      <w:pPr>
        <w:spacing w:line="480" w:lineRule="auto"/>
        <w:ind w:left="720" w:hanging="720"/>
      </w:pPr>
    </w:p>
    <w:p w:rsidR="001F5AAF" w:rsidRDefault="001F5AAF" w:rsidP="00D25DE9">
      <w:pPr>
        <w:keepNext/>
        <w:spacing w:line="480" w:lineRule="auto"/>
        <w:ind w:left="720" w:hanging="720"/>
      </w:pPr>
      <w:r>
        <w:rPr>
          <w:b/>
        </w:rPr>
        <w:lastRenderedPageBreak/>
        <w:t>Q.</w:t>
      </w:r>
      <w:r>
        <w:rPr>
          <w:b/>
        </w:rPr>
        <w:tab/>
        <w:t>Ha</w:t>
      </w:r>
      <w:r w:rsidR="00BB5252">
        <w:rPr>
          <w:b/>
        </w:rPr>
        <w:t xml:space="preserve">ve the </w:t>
      </w:r>
      <w:r w:rsidR="00D019AE">
        <w:rPr>
          <w:b/>
        </w:rPr>
        <w:t>LSR Phase 2</w:t>
      </w:r>
      <w:r w:rsidR="00852096" w:rsidRPr="0009146E">
        <w:rPr>
          <w:b/>
        </w:rPr>
        <w:t xml:space="preserve"> </w:t>
      </w:r>
      <w:r w:rsidR="00BB5252">
        <w:rPr>
          <w:b/>
        </w:rPr>
        <w:t>development assets ever provided service to ratepayers</w:t>
      </w:r>
      <w:r w:rsidRPr="005537A5">
        <w:rPr>
          <w:b/>
        </w:rPr>
        <w:t>?</w:t>
      </w:r>
    </w:p>
    <w:p w:rsidR="00313C2F" w:rsidRPr="005723C8" w:rsidRDefault="001F5AAF" w:rsidP="00874086">
      <w:pPr>
        <w:spacing w:line="480" w:lineRule="auto"/>
        <w:ind w:left="720" w:hanging="720"/>
      </w:pPr>
      <w:r>
        <w:t>A.</w:t>
      </w:r>
      <w:r>
        <w:tab/>
        <w:t xml:space="preserve">No.  </w:t>
      </w:r>
      <w:r w:rsidR="00BB5252">
        <w:t xml:space="preserve">The Commission never included </w:t>
      </w:r>
      <w:r w:rsidR="00D019AE">
        <w:t>LSR Phase 2</w:t>
      </w:r>
      <w:r w:rsidR="00F10468" w:rsidRPr="005723C8">
        <w:t xml:space="preserve"> assets in rate base for ratemaking purposes</w:t>
      </w:r>
      <w:r w:rsidR="005723C8">
        <w:t xml:space="preserve">, </w:t>
      </w:r>
      <w:r w:rsidR="00DE4040">
        <w:t>and these assets otherwise have never been used by PSE to provide service to ratepayers</w:t>
      </w:r>
      <w:r w:rsidR="00BB5252">
        <w:t>.  Therefore</w:t>
      </w:r>
      <w:r w:rsidR="00DE4040">
        <w:t xml:space="preserve">, </w:t>
      </w:r>
      <w:r w:rsidR="005723C8">
        <w:t xml:space="preserve">the total cost of the sale at $16,008,000 has no impact </w:t>
      </w:r>
      <w:r w:rsidR="00DE4040">
        <w:t xml:space="preserve">on </w:t>
      </w:r>
      <w:r w:rsidR="005723C8">
        <w:t>ratepayer</w:t>
      </w:r>
      <w:r w:rsidR="00DE4040">
        <w:t>s</w:t>
      </w:r>
      <w:r w:rsidR="005723C8">
        <w:t xml:space="preserve">. </w:t>
      </w:r>
      <w:r w:rsidR="00BB5252">
        <w:t xml:space="preserve"> I do not discuss this aspect of the sale further in my testimony.</w:t>
      </w:r>
    </w:p>
    <w:p w:rsidR="005537A5" w:rsidRDefault="005537A5" w:rsidP="00874086">
      <w:pPr>
        <w:spacing w:line="480" w:lineRule="auto"/>
        <w:ind w:left="720" w:hanging="720"/>
      </w:pPr>
    </w:p>
    <w:p w:rsidR="00470C2D" w:rsidRDefault="00470C2D" w:rsidP="00874086">
      <w:pPr>
        <w:spacing w:line="480" w:lineRule="auto"/>
        <w:ind w:left="720" w:hanging="720"/>
        <w:rPr>
          <w:b/>
        </w:rPr>
      </w:pPr>
      <w:r w:rsidRPr="000F17F7">
        <w:rPr>
          <w:b/>
        </w:rPr>
        <w:t xml:space="preserve">Q. </w:t>
      </w:r>
      <w:r w:rsidRPr="000F17F7">
        <w:rPr>
          <w:b/>
        </w:rPr>
        <w:tab/>
      </w:r>
      <w:r w:rsidR="001F5AAF">
        <w:rPr>
          <w:b/>
        </w:rPr>
        <w:t xml:space="preserve">Are you familiar with the </w:t>
      </w:r>
      <w:r w:rsidR="00093446">
        <w:rPr>
          <w:b/>
        </w:rPr>
        <w:t xml:space="preserve">petition </w:t>
      </w:r>
      <w:r w:rsidR="001F5AAF">
        <w:rPr>
          <w:b/>
        </w:rPr>
        <w:t xml:space="preserve">PSE filed in Docket UE-131230, seeking certain </w:t>
      </w:r>
      <w:r w:rsidR="00C725A0">
        <w:rPr>
          <w:b/>
        </w:rPr>
        <w:t>action</w:t>
      </w:r>
      <w:r w:rsidR="0052210D">
        <w:rPr>
          <w:b/>
        </w:rPr>
        <w:t>s</w:t>
      </w:r>
      <w:r w:rsidR="001F5AAF">
        <w:rPr>
          <w:b/>
        </w:rPr>
        <w:t xml:space="preserve"> by the Commission</w:t>
      </w:r>
      <w:r w:rsidR="00C725A0">
        <w:rPr>
          <w:b/>
        </w:rPr>
        <w:t xml:space="preserve"> concerning the </w:t>
      </w:r>
      <w:r w:rsidR="00D019AE">
        <w:rPr>
          <w:b/>
        </w:rPr>
        <w:t>LSR Phase 2</w:t>
      </w:r>
      <w:r w:rsidR="00C725A0">
        <w:rPr>
          <w:b/>
        </w:rPr>
        <w:t xml:space="preserve"> sale</w:t>
      </w:r>
      <w:r w:rsidR="001F5AAF">
        <w:rPr>
          <w:b/>
        </w:rPr>
        <w:t>s transaction</w:t>
      </w:r>
      <w:r>
        <w:rPr>
          <w:b/>
        </w:rPr>
        <w:t>?</w:t>
      </w:r>
    </w:p>
    <w:p w:rsidR="001F5AAF" w:rsidRDefault="00470C2D" w:rsidP="00874086">
      <w:pPr>
        <w:spacing w:line="480" w:lineRule="auto"/>
        <w:ind w:left="720" w:hanging="720"/>
      </w:pPr>
      <w:r w:rsidRPr="000C23E5">
        <w:t>A.</w:t>
      </w:r>
      <w:r>
        <w:t xml:space="preserve"> </w:t>
      </w:r>
      <w:r>
        <w:tab/>
      </w:r>
      <w:r w:rsidR="001F5AAF">
        <w:t>Yes.</w:t>
      </w:r>
    </w:p>
    <w:p w:rsidR="001F5AAF" w:rsidRDefault="001F5AAF" w:rsidP="00874086">
      <w:pPr>
        <w:spacing w:line="480" w:lineRule="auto"/>
        <w:ind w:left="720" w:hanging="720"/>
      </w:pPr>
    </w:p>
    <w:p w:rsidR="001F5AAF" w:rsidRDefault="001F5AAF" w:rsidP="00874086">
      <w:pPr>
        <w:spacing w:line="480" w:lineRule="auto"/>
        <w:ind w:left="720" w:hanging="720"/>
        <w:rPr>
          <w:b/>
        </w:rPr>
      </w:pPr>
      <w:r>
        <w:rPr>
          <w:b/>
        </w:rPr>
        <w:t>Q.</w:t>
      </w:r>
      <w:r>
        <w:rPr>
          <w:b/>
        </w:rPr>
        <w:tab/>
        <w:t>What did the Commission determine in that docket?</w:t>
      </w:r>
    </w:p>
    <w:p w:rsidR="00C02C20" w:rsidRDefault="001F5AAF" w:rsidP="00874086">
      <w:pPr>
        <w:spacing w:line="480" w:lineRule="auto"/>
        <w:ind w:left="720" w:hanging="720"/>
      </w:pPr>
      <w:r>
        <w:t>A.</w:t>
      </w:r>
      <w:r>
        <w:tab/>
      </w:r>
      <w:r w:rsidR="00C02C20">
        <w:t>First, t</w:t>
      </w:r>
      <w:r w:rsidR="00470C2D">
        <w:t xml:space="preserve">he Commission </w:t>
      </w:r>
      <w:r w:rsidR="00093446">
        <w:t>determined</w:t>
      </w:r>
      <w:r w:rsidR="00470C2D">
        <w:t xml:space="preserve"> that the purchased assets </w:t>
      </w:r>
      <w:r w:rsidR="00C02C20">
        <w:t xml:space="preserve">for LSR II </w:t>
      </w:r>
      <w:r w:rsidR="00470C2D">
        <w:t>are not necessary or useful</w:t>
      </w:r>
      <w:r>
        <w:t>,</w:t>
      </w:r>
      <w:r w:rsidR="00470C2D">
        <w:t xml:space="preserve"> </w:t>
      </w:r>
      <w:r w:rsidR="00093446">
        <w:t>there</w:t>
      </w:r>
      <w:r>
        <w:t>by</w:t>
      </w:r>
      <w:r w:rsidR="00093446">
        <w:t xml:space="preserve"> allowing PSE</w:t>
      </w:r>
      <w:r w:rsidR="00470C2D">
        <w:t xml:space="preserve"> to </w:t>
      </w:r>
      <w:r w:rsidR="00093446">
        <w:t xml:space="preserve">sell </w:t>
      </w:r>
      <w:r w:rsidR="00470C2D">
        <w:t xml:space="preserve">its development assets related to </w:t>
      </w:r>
      <w:r w:rsidR="00D019AE">
        <w:t>LSR Phase 2</w:t>
      </w:r>
      <w:r w:rsidR="00470C2D">
        <w:t xml:space="preserve"> to </w:t>
      </w:r>
      <w:r w:rsidR="0052210D">
        <w:t>PGE</w:t>
      </w:r>
      <w:r w:rsidR="00C02C20">
        <w:t xml:space="preserve"> without the need for Commission approval under RCW 80.12. </w:t>
      </w:r>
    </w:p>
    <w:p w:rsidR="00C02C20" w:rsidRDefault="00C02C20" w:rsidP="00874086">
      <w:pPr>
        <w:spacing w:line="480" w:lineRule="auto"/>
        <w:ind w:left="720" w:hanging="720"/>
      </w:pPr>
      <w:r>
        <w:tab/>
      </w:r>
      <w:r>
        <w:tab/>
      </w:r>
      <w:r w:rsidR="00097F1B">
        <w:t xml:space="preserve">Second, </w:t>
      </w:r>
      <w:r w:rsidR="00470C2D">
        <w:t xml:space="preserve">the </w:t>
      </w:r>
      <w:r w:rsidR="003B03B2">
        <w:t>Commission</w:t>
      </w:r>
      <w:r w:rsidR="00470C2D">
        <w:t xml:space="preserve"> approve</w:t>
      </w:r>
      <w:r w:rsidR="00093446">
        <w:t>d</w:t>
      </w:r>
      <w:r w:rsidR="00470C2D">
        <w:t xml:space="preserve"> </w:t>
      </w:r>
      <w:r>
        <w:t xml:space="preserve">PSE’s application to </w:t>
      </w:r>
      <w:r w:rsidR="00470C2D">
        <w:t xml:space="preserve">transfer </w:t>
      </w:r>
      <w:r w:rsidR="00093446">
        <w:t xml:space="preserve">a pro rata share </w:t>
      </w:r>
      <w:r w:rsidR="00470C2D">
        <w:t xml:space="preserve">of </w:t>
      </w:r>
      <w:r w:rsidR="00093446">
        <w:t xml:space="preserve">PSE’s </w:t>
      </w:r>
      <w:r w:rsidR="00470C2D">
        <w:t xml:space="preserve">Transmission </w:t>
      </w:r>
      <w:r w:rsidR="00093446">
        <w:t xml:space="preserve">Service </w:t>
      </w:r>
      <w:r w:rsidR="00470C2D">
        <w:t>Credit</w:t>
      </w:r>
      <w:r w:rsidR="0009146E">
        <w:t>s</w:t>
      </w:r>
      <w:r w:rsidR="00470C2D">
        <w:t xml:space="preserve"> t</w:t>
      </w:r>
      <w:r w:rsidR="00097F1B">
        <w:t xml:space="preserve">o </w:t>
      </w:r>
      <w:r w:rsidR="0052210D">
        <w:t>PGE</w:t>
      </w:r>
      <w:r w:rsidR="00097F1B">
        <w:t xml:space="preserve">. </w:t>
      </w:r>
      <w:r>
        <w:t xml:space="preserve"> </w:t>
      </w:r>
    </w:p>
    <w:p w:rsidR="00470C2D" w:rsidRDefault="00C02C20" w:rsidP="00874086">
      <w:pPr>
        <w:spacing w:line="480" w:lineRule="auto"/>
        <w:ind w:left="720" w:hanging="720"/>
      </w:pPr>
      <w:r>
        <w:tab/>
      </w:r>
      <w:r>
        <w:tab/>
        <w:t xml:space="preserve">Third, </w:t>
      </w:r>
      <w:r w:rsidR="00470C2D">
        <w:t xml:space="preserve">the </w:t>
      </w:r>
      <w:r w:rsidR="003B03B2">
        <w:t>Commission</w:t>
      </w:r>
      <w:r w:rsidR="00470C2D">
        <w:t xml:space="preserve"> </w:t>
      </w:r>
      <w:r w:rsidR="00093446">
        <w:t xml:space="preserve">set for hearing PSE’s </w:t>
      </w:r>
      <w:r w:rsidR="00470C2D">
        <w:t>proposed accounting and ratemaking treatment associated with the</w:t>
      </w:r>
      <w:r w:rsidR="00FE1254">
        <w:t xml:space="preserve"> PSE’s </w:t>
      </w:r>
      <w:r w:rsidR="00E4325A">
        <w:t>transfer of</w:t>
      </w:r>
      <w:r w:rsidR="00FE1254">
        <w:t xml:space="preserve"> these Transmission Service Credits to PGE.  </w:t>
      </w:r>
    </w:p>
    <w:p w:rsidR="000A1544" w:rsidRDefault="000A1544" w:rsidP="00874086">
      <w:pPr>
        <w:spacing w:line="480" w:lineRule="auto"/>
        <w:ind w:left="720" w:hanging="720"/>
        <w:rPr>
          <w:b/>
        </w:rPr>
      </w:pPr>
    </w:p>
    <w:p w:rsidR="000A1544" w:rsidRPr="000A1544" w:rsidRDefault="009B45F0" w:rsidP="00874086">
      <w:pPr>
        <w:spacing w:line="480" w:lineRule="auto"/>
        <w:ind w:left="720" w:hanging="720"/>
        <w:rPr>
          <w:rFonts w:eastAsia="Times New Roman"/>
        </w:rPr>
      </w:pPr>
      <w:r w:rsidRPr="000C23E5">
        <w:rPr>
          <w:b/>
        </w:rPr>
        <w:t xml:space="preserve">Q. </w:t>
      </w:r>
      <w:r w:rsidRPr="000C23E5">
        <w:rPr>
          <w:b/>
        </w:rPr>
        <w:tab/>
      </w:r>
      <w:r w:rsidR="005C1361" w:rsidRPr="000C23E5">
        <w:rPr>
          <w:b/>
        </w:rPr>
        <w:t xml:space="preserve">Does Staff </w:t>
      </w:r>
      <w:r w:rsidR="00C02C20" w:rsidRPr="000C23E5">
        <w:rPr>
          <w:b/>
        </w:rPr>
        <w:t xml:space="preserve">contest </w:t>
      </w:r>
      <w:r w:rsidR="005C1361" w:rsidRPr="000C23E5">
        <w:rPr>
          <w:b/>
        </w:rPr>
        <w:t>the</w:t>
      </w:r>
      <w:r w:rsidR="000E3B70" w:rsidRPr="00C02C20">
        <w:rPr>
          <w:b/>
        </w:rPr>
        <w:t xml:space="preserve"> </w:t>
      </w:r>
      <w:r w:rsidR="00C02C20" w:rsidRPr="00C02C20">
        <w:rPr>
          <w:b/>
        </w:rPr>
        <w:t xml:space="preserve">adequacy of the </w:t>
      </w:r>
      <w:r w:rsidR="000E3B70" w:rsidRPr="00C02C20">
        <w:rPr>
          <w:b/>
        </w:rPr>
        <w:t>$</w:t>
      </w:r>
      <w:r w:rsidR="00097F1B" w:rsidRPr="000C23E5">
        <w:rPr>
          <w:b/>
        </w:rPr>
        <w:t xml:space="preserve">20.5 million </w:t>
      </w:r>
      <w:r w:rsidR="005C1361" w:rsidRPr="000C23E5">
        <w:rPr>
          <w:b/>
        </w:rPr>
        <w:t xml:space="preserve">payment </w:t>
      </w:r>
      <w:r w:rsidR="000E3B70" w:rsidRPr="000C23E5">
        <w:rPr>
          <w:b/>
        </w:rPr>
        <w:t xml:space="preserve">for </w:t>
      </w:r>
      <w:r w:rsidR="005C1361" w:rsidRPr="000C23E5">
        <w:rPr>
          <w:b/>
        </w:rPr>
        <w:t xml:space="preserve">the sale of </w:t>
      </w:r>
      <w:r w:rsidR="00452EFA">
        <w:rPr>
          <w:b/>
        </w:rPr>
        <w:t xml:space="preserve">BPA </w:t>
      </w:r>
      <w:r w:rsidR="00C02C20" w:rsidRPr="000C23E5">
        <w:rPr>
          <w:b/>
        </w:rPr>
        <w:t>T</w:t>
      </w:r>
      <w:r w:rsidR="005C1361" w:rsidRPr="000C23E5">
        <w:rPr>
          <w:b/>
        </w:rPr>
        <w:t xml:space="preserve">ransmission </w:t>
      </w:r>
      <w:r w:rsidR="00C02C20" w:rsidRPr="000C23E5">
        <w:rPr>
          <w:b/>
        </w:rPr>
        <w:t>S</w:t>
      </w:r>
      <w:r w:rsidR="005C1361" w:rsidRPr="000C23E5">
        <w:rPr>
          <w:b/>
        </w:rPr>
        <w:t xml:space="preserve">ervice </w:t>
      </w:r>
      <w:r w:rsidR="00C02C20" w:rsidRPr="000C23E5">
        <w:rPr>
          <w:b/>
        </w:rPr>
        <w:t>C</w:t>
      </w:r>
      <w:r w:rsidR="005C1361" w:rsidRPr="000C23E5">
        <w:rPr>
          <w:b/>
        </w:rPr>
        <w:t xml:space="preserve">redits to </w:t>
      </w:r>
      <w:r w:rsidR="0052210D">
        <w:rPr>
          <w:b/>
        </w:rPr>
        <w:t>PGE</w:t>
      </w:r>
      <w:r w:rsidR="00FD3780">
        <w:rPr>
          <w:b/>
        </w:rPr>
        <w:t>?</w:t>
      </w:r>
    </w:p>
    <w:p w:rsidR="00604DAB" w:rsidRDefault="009B45F0" w:rsidP="00874086">
      <w:pPr>
        <w:pStyle w:val="NumberedParagraph"/>
        <w:numPr>
          <w:ilvl w:val="0"/>
          <w:numId w:val="0"/>
        </w:numPr>
        <w:spacing w:after="0" w:line="480" w:lineRule="auto"/>
        <w:ind w:left="720" w:hanging="720"/>
      </w:pPr>
      <w:r w:rsidRPr="000C23E5">
        <w:lastRenderedPageBreak/>
        <w:t>A</w:t>
      </w:r>
      <w:r w:rsidRPr="00C02C20">
        <w:t>.</w:t>
      </w:r>
      <w:r>
        <w:t xml:space="preserve"> </w:t>
      </w:r>
      <w:r>
        <w:tab/>
      </w:r>
      <w:r w:rsidR="000E3B70">
        <w:t>No.</w:t>
      </w:r>
      <w:r w:rsidR="005C1361">
        <w:t xml:space="preserve">  </w:t>
      </w:r>
      <w:r w:rsidR="000A1544">
        <w:t xml:space="preserve">As I explain next, Staff contests PSE’s failure to </w:t>
      </w:r>
      <w:r w:rsidR="00BA118E">
        <w:t xml:space="preserve">sufficiently </w:t>
      </w:r>
      <w:r w:rsidR="000A1544">
        <w:t xml:space="preserve">reduce the </w:t>
      </w:r>
      <w:r w:rsidR="00BA118E">
        <w:t xml:space="preserve">balance of the </w:t>
      </w:r>
      <w:r w:rsidR="00BB5252">
        <w:t>r</w:t>
      </w:r>
      <w:r w:rsidR="000A1544">
        <w:t xml:space="preserve">egulatory </w:t>
      </w:r>
      <w:r w:rsidR="00BB5252">
        <w:t>a</w:t>
      </w:r>
      <w:r w:rsidR="000A1544">
        <w:t>sset</w:t>
      </w:r>
      <w:r w:rsidR="00BA118E">
        <w:t>s</w:t>
      </w:r>
      <w:r w:rsidR="000A1544">
        <w:t>.</w:t>
      </w:r>
      <w:r w:rsidR="004C610B">
        <w:t xml:space="preserve">  </w:t>
      </w:r>
      <w:r w:rsidR="00BA118E">
        <w:t xml:space="preserve">The </w:t>
      </w:r>
      <w:r w:rsidR="004C610B" w:rsidRPr="00C26308">
        <w:t>$20</w:t>
      </w:r>
      <w:r w:rsidR="004C610B">
        <w:t>.5 million</w:t>
      </w:r>
      <w:r w:rsidR="00BA118E">
        <w:t xml:space="preserve"> represents only</w:t>
      </w:r>
      <w:r w:rsidR="004C610B">
        <w:t xml:space="preserve"> </w:t>
      </w:r>
      <w:r w:rsidR="00D019AE">
        <w:t>LSR Phase 2</w:t>
      </w:r>
      <w:r w:rsidR="004C610B" w:rsidRPr="00D71993">
        <w:t xml:space="preserve">’s </w:t>
      </w:r>
      <w:r w:rsidR="00DE4040">
        <w:t>share</w:t>
      </w:r>
      <w:r w:rsidR="004C610B" w:rsidRPr="00D71993">
        <w:t xml:space="preserve"> of the $99.</w:t>
      </w:r>
      <w:r w:rsidR="004C610B">
        <w:t>8</w:t>
      </w:r>
      <w:r w:rsidR="004C610B" w:rsidRPr="00D71993">
        <w:t xml:space="preserve"> million </w:t>
      </w:r>
      <w:r w:rsidR="00BA118E">
        <w:t xml:space="preserve">prepaid transmission rights </w:t>
      </w:r>
      <w:r w:rsidR="004C610B">
        <w:t>for the Central Ferry Substation</w:t>
      </w:r>
      <w:r w:rsidR="00BA118E">
        <w:t>.</w:t>
      </w:r>
      <w:r w:rsidR="004C610B">
        <w:t xml:space="preserve">  </w:t>
      </w:r>
      <w:r w:rsidR="00BA118E">
        <w:t>It does not capture</w:t>
      </w:r>
      <w:r w:rsidR="00DE4040">
        <w:t xml:space="preserve"> </w:t>
      </w:r>
      <w:r w:rsidR="00D019AE">
        <w:t>LSR Phase 2</w:t>
      </w:r>
      <w:r w:rsidR="00DE4040">
        <w:t xml:space="preserve">’s share of </w:t>
      </w:r>
      <w:r w:rsidR="004C610B">
        <w:t>accrued carrying charge</w:t>
      </w:r>
      <w:r w:rsidR="00B87873">
        <w:t>s</w:t>
      </w:r>
      <w:r w:rsidR="00604DAB">
        <w:t>.</w:t>
      </w:r>
      <w:r w:rsidR="004C610B">
        <w:t xml:space="preserve"> </w:t>
      </w:r>
    </w:p>
    <w:p w:rsidR="00E40132" w:rsidRPr="000A1544" w:rsidRDefault="00E40132" w:rsidP="00874086">
      <w:pPr>
        <w:pStyle w:val="NumberedParagraph"/>
        <w:numPr>
          <w:ilvl w:val="0"/>
          <w:numId w:val="0"/>
        </w:numPr>
        <w:spacing w:after="0" w:line="480" w:lineRule="auto"/>
        <w:ind w:left="720" w:hanging="720"/>
        <w:rPr>
          <w:b/>
        </w:rPr>
      </w:pPr>
    </w:p>
    <w:p w:rsidR="00470774" w:rsidRDefault="00CF7033" w:rsidP="00E7446F">
      <w:pPr>
        <w:pStyle w:val="NumberedParagraph"/>
        <w:numPr>
          <w:ilvl w:val="0"/>
          <w:numId w:val="0"/>
        </w:numPr>
        <w:ind w:left="1440" w:hanging="720"/>
        <w:rPr>
          <w:b/>
        </w:rPr>
      </w:pPr>
      <w:r>
        <w:rPr>
          <w:b/>
        </w:rPr>
        <w:t>E</w:t>
      </w:r>
      <w:r w:rsidR="00470774">
        <w:rPr>
          <w:b/>
        </w:rPr>
        <w:t>.</w:t>
      </w:r>
      <w:r w:rsidR="00470774">
        <w:rPr>
          <w:b/>
        </w:rPr>
        <w:tab/>
        <w:t xml:space="preserve">The Appropriate Accounting and Ratemaking Treatment of the Sale of </w:t>
      </w:r>
      <w:r w:rsidR="00452EFA">
        <w:rPr>
          <w:b/>
        </w:rPr>
        <w:t xml:space="preserve">BPA </w:t>
      </w:r>
      <w:r w:rsidR="00BA118E">
        <w:rPr>
          <w:b/>
        </w:rPr>
        <w:t xml:space="preserve">Transmission Service Credits for </w:t>
      </w:r>
      <w:r w:rsidR="00D019AE">
        <w:rPr>
          <w:b/>
        </w:rPr>
        <w:t>LSR Phase 2</w:t>
      </w:r>
    </w:p>
    <w:p w:rsidR="00A1595B" w:rsidRDefault="00A1595B" w:rsidP="00A1595B">
      <w:pPr>
        <w:pStyle w:val="NumberedParagraph"/>
        <w:numPr>
          <w:ilvl w:val="0"/>
          <w:numId w:val="0"/>
        </w:numPr>
        <w:ind w:left="720" w:hanging="720"/>
        <w:rPr>
          <w:b/>
        </w:rPr>
      </w:pPr>
    </w:p>
    <w:p w:rsidR="000E3B70" w:rsidRPr="00A6190C" w:rsidRDefault="000E3B70" w:rsidP="00874086">
      <w:pPr>
        <w:pStyle w:val="NumberedParagraph"/>
        <w:numPr>
          <w:ilvl w:val="0"/>
          <w:numId w:val="0"/>
        </w:numPr>
        <w:spacing w:after="0" w:line="480" w:lineRule="auto"/>
        <w:ind w:left="723" w:hangingChars="300" w:hanging="723"/>
        <w:rPr>
          <w:b/>
        </w:rPr>
      </w:pPr>
      <w:r w:rsidRPr="00104BC6">
        <w:rPr>
          <w:b/>
        </w:rPr>
        <w:t xml:space="preserve">Q. </w:t>
      </w:r>
      <w:r w:rsidRPr="00104BC6">
        <w:rPr>
          <w:b/>
        </w:rPr>
        <w:tab/>
        <w:t xml:space="preserve">What </w:t>
      </w:r>
      <w:r w:rsidR="00A6190C">
        <w:rPr>
          <w:b/>
        </w:rPr>
        <w:t>is the appropriate</w:t>
      </w:r>
      <w:r w:rsidRPr="00104BC6">
        <w:rPr>
          <w:b/>
        </w:rPr>
        <w:t xml:space="preserve"> accounting and ratemaking treatment </w:t>
      </w:r>
      <w:r w:rsidR="007F206C">
        <w:rPr>
          <w:b/>
        </w:rPr>
        <w:t>for</w:t>
      </w:r>
      <w:r w:rsidRPr="00104BC6">
        <w:rPr>
          <w:b/>
        </w:rPr>
        <w:t xml:space="preserve"> </w:t>
      </w:r>
      <w:r w:rsidR="00DE4040">
        <w:rPr>
          <w:b/>
        </w:rPr>
        <w:t xml:space="preserve">PSE’s </w:t>
      </w:r>
      <w:r w:rsidRPr="00A6190C">
        <w:rPr>
          <w:b/>
        </w:rPr>
        <w:t>sale</w:t>
      </w:r>
      <w:r w:rsidR="00C02C20" w:rsidRPr="00A6190C">
        <w:rPr>
          <w:b/>
        </w:rPr>
        <w:t xml:space="preserve"> of</w:t>
      </w:r>
      <w:r w:rsidR="007F206C">
        <w:rPr>
          <w:b/>
        </w:rPr>
        <w:t xml:space="preserve"> </w:t>
      </w:r>
      <w:r w:rsidR="00DE4040">
        <w:rPr>
          <w:b/>
        </w:rPr>
        <w:t xml:space="preserve">the $20.5 million of </w:t>
      </w:r>
      <w:r w:rsidR="00452EFA">
        <w:rPr>
          <w:b/>
        </w:rPr>
        <w:t xml:space="preserve">BPA </w:t>
      </w:r>
      <w:r w:rsidR="00BA118E">
        <w:rPr>
          <w:b/>
        </w:rPr>
        <w:t>Transmission Service Credits for</w:t>
      </w:r>
      <w:r w:rsidR="00BA118E" w:rsidRPr="00A6190C">
        <w:rPr>
          <w:b/>
        </w:rPr>
        <w:t xml:space="preserve"> </w:t>
      </w:r>
      <w:r w:rsidR="00D019AE">
        <w:rPr>
          <w:b/>
        </w:rPr>
        <w:t>LSR Phase 2</w:t>
      </w:r>
      <w:r w:rsidR="00A6190C" w:rsidRPr="00A6190C">
        <w:rPr>
          <w:b/>
        </w:rPr>
        <w:t xml:space="preserve"> </w:t>
      </w:r>
      <w:r w:rsidR="00A6190C">
        <w:rPr>
          <w:b/>
        </w:rPr>
        <w:t xml:space="preserve">to </w:t>
      </w:r>
      <w:r w:rsidR="0052210D">
        <w:rPr>
          <w:b/>
        </w:rPr>
        <w:t>PGE</w:t>
      </w:r>
      <w:r w:rsidR="00A6190C" w:rsidRPr="003A554D">
        <w:rPr>
          <w:b/>
        </w:rPr>
        <w:t>?</w:t>
      </w:r>
      <w:r w:rsidR="000A7FFA">
        <w:rPr>
          <w:b/>
        </w:rPr>
        <w:t xml:space="preserve">   </w:t>
      </w:r>
    </w:p>
    <w:p w:rsidR="00604DAB" w:rsidRDefault="000E3B70" w:rsidP="00874086">
      <w:pPr>
        <w:spacing w:line="480" w:lineRule="auto"/>
        <w:ind w:left="720" w:hangingChars="300" w:hanging="720"/>
      </w:pPr>
      <w:r w:rsidRPr="00104BC6">
        <w:t>A</w:t>
      </w:r>
      <w:r w:rsidRPr="005C1361">
        <w:t xml:space="preserve">. </w:t>
      </w:r>
      <w:r w:rsidRPr="005C1361">
        <w:tab/>
      </w:r>
      <w:r w:rsidR="00B65B6F">
        <w:t>T</w:t>
      </w:r>
      <w:r w:rsidR="00366137">
        <w:t xml:space="preserve">he </w:t>
      </w:r>
      <w:r w:rsidR="00B65B6F">
        <w:t xml:space="preserve">appropriate </w:t>
      </w:r>
      <w:r w:rsidR="00470774">
        <w:t xml:space="preserve">accounting and ratemaking </w:t>
      </w:r>
      <w:r w:rsidR="00DE4040">
        <w:t xml:space="preserve">for </w:t>
      </w:r>
      <w:r w:rsidR="00470774">
        <w:t xml:space="preserve">the sale </w:t>
      </w:r>
      <w:r w:rsidR="00BA118E">
        <w:t>of the</w:t>
      </w:r>
      <w:r w:rsidR="00DE4040">
        <w:t>se</w:t>
      </w:r>
      <w:r w:rsidR="00BA118E">
        <w:t xml:space="preserve"> </w:t>
      </w:r>
      <w:r w:rsidR="00DE4040">
        <w:t>T</w:t>
      </w:r>
      <w:r w:rsidR="00BA118E">
        <w:t xml:space="preserve">ransmission </w:t>
      </w:r>
      <w:r w:rsidR="00DE4040">
        <w:t>S</w:t>
      </w:r>
      <w:r w:rsidR="00BA118E">
        <w:t xml:space="preserve">ervice </w:t>
      </w:r>
      <w:r w:rsidR="00DE4040">
        <w:t>C</w:t>
      </w:r>
      <w:r w:rsidR="00BA118E">
        <w:t xml:space="preserve">redits </w:t>
      </w:r>
      <w:r w:rsidR="00470774">
        <w:t xml:space="preserve">is to reduce </w:t>
      </w:r>
      <w:r w:rsidR="009F24D8">
        <w:t>by $20.5 million the principle balance of</w:t>
      </w:r>
      <w:r w:rsidR="000D4997">
        <w:t xml:space="preserve"> </w:t>
      </w:r>
      <w:r w:rsidR="00470774">
        <w:t xml:space="preserve">PSE’s </w:t>
      </w:r>
      <w:r w:rsidR="009F24D8">
        <w:t>$99.8 million prepayment r</w:t>
      </w:r>
      <w:r w:rsidR="00366137">
        <w:t xml:space="preserve">egulatory </w:t>
      </w:r>
      <w:r w:rsidR="009F24D8">
        <w:t>a</w:t>
      </w:r>
      <w:r w:rsidR="00366137">
        <w:t>sset</w:t>
      </w:r>
      <w:r w:rsidR="00EF1659">
        <w:t>,</w:t>
      </w:r>
      <w:r w:rsidR="00E02E60">
        <w:t xml:space="preserve"> </w:t>
      </w:r>
      <w:r w:rsidR="00604DAB">
        <w:t xml:space="preserve">and </w:t>
      </w:r>
      <w:r w:rsidR="00BB5252">
        <w:t xml:space="preserve">to </w:t>
      </w:r>
      <w:r w:rsidR="00DE4040">
        <w:t xml:space="preserve">reduce by </w:t>
      </w:r>
      <w:r w:rsidR="00604DAB">
        <w:t>$</w:t>
      </w:r>
      <w:r w:rsidR="001860D4">
        <w:t>3,390,059</w:t>
      </w:r>
      <w:r w:rsidR="00604DAB">
        <w:t xml:space="preserve"> </w:t>
      </w:r>
      <w:r w:rsidR="00BB5252">
        <w:t xml:space="preserve">the </w:t>
      </w:r>
      <w:r w:rsidR="00831FD0">
        <w:t>carrying charges</w:t>
      </w:r>
      <w:r w:rsidR="003A7DE6">
        <w:t xml:space="preserve"> </w:t>
      </w:r>
      <w:r w:rsidR="00E85BA3">
        <w:t>regulatory asset</w:t>
      </w:r>
      <w:r w:rsidR="00DE4040">
        <w:t>.</w:t>
      </w:r>
    </w:p>
    <w:p w:rsidR="003A554D" w:rsidRDefault="003A554D" w:rsidP="00874086">
      <w:pPr>
        <w:spacing w:line="480" w:lineRule="auto"/>
        <w:ind w:left="720" w:hangingChars="300" w:hanging="720"/>
      </w:pPr>
    </w:p>
    <w:p w:rsidR="00435FC5" w:rsidRPr="00104BC6" w:rsidRDefault="00435FC5" w:rsidP="00D25DE9">
      <w:pPr>
        <w:pStyle w:val="NumberedParagraph"/>
        <w:numPr>
          <w:ilvl w:val="0"/>
          <w:numId w:val="0"/>
        </w:numPr>
        <w:spacing w:after="0" w:line="480" w:lineRule="auto"/>
        <w:rPr>
          <w:b/>
        </w:rPr>
      </w:pPr>
      <w:r w:rsidRPr="00104BC6">
        <w:rPr>
          <w:b/>
        </w:rPr>
        <w:t xml:space="preserve">Q. </w:t>
      </w:r>
      <w:r w:rsidRPr="00104BC6">
        <w:rPr>
          <w:b/>
        </w:rPr>
        <w:tab/>
        <w:t xml:space="preserve">Please explain </w:t>
      </w:r>
      <w:r w:rsidR="00E02E60">
        <w:rPr>
          <w:b/>
        </w:rPr>
        <w:t>how Staff arrived at th</w:t>
      </w:r>
      <w:r w:rsidR="00831FD0">
        <w:rPr>
          <w:b/>
        </w:rPr>
        <w:t>e $</w:t>
      </w:r>
      <w:r w:rsidR="001860D4">
        <w:rPr>
          <w:b/>
        </w:rPr>
        <w:t>3,390,059</w:t>
      </w:r>
      <w:r w:rsidR="007F206C">
        <w:rPr>
          <w:b/>
        </w:rPr>
        <w:t xml:space="preserve"> </w:t>
      </w:r>
      <w:r w:rsidR="00831FD0">
        <w:rPr>
          <w:b/>
        </w:rPr>
        <w:t>figure</w:t>
      </w:r>
      <w:r w:rsidRPr="00104BC6">
        <w:rPr>
          <w:b/>
        </w:rPr>
        <w:t>.</w:t>
      </w:r>
    </w:p>
    <w:p w:rsidR="003A7DE6" w:rsidRDefault="00435FC5" w:rsidP="00874086">
      <w:pPr>
        <w:spacing w:line="480" w:lineRule="auto"/>
        <w:ind w:left="720" w:hangingChars="300" w:hanging="720"/>
      </w:pPr>
      <w:r w:rsidRPr="000C23E5">
        <w:t>A</w:t>
      </w:r>
      <w:r w:rsidRPr="00831FD0">
        <w:t>.</w:t>
      </w:r>
      <w:r>
        <w:t xml:space="preserve"> </w:t>
      </w:r>
      <w:r>
        <w:tab/>
      </w:r>
      <w:r w:rsidR="009554DE">
        <w:t xml:space="preserve">LSR </w:t>
      </w:r>
      <w:r w:rsidR="00D019AE">
        <w:t>Phase 2</w:t>
      </w:r>
      <w:r w:rsidR="00274A36">
        <w:t xml:space="preserve"> represents about 21 percent of the total</w:t>
      </w:r>
      <w:r w:rsidR="009554DE">
        <w:t xml:space="preserve"> capacity</w:t>
      </w:r>
      <w:r w:rsidR="00274A36">
        <w:t xml:space="preserve"> of the LSR project.  This percentage applied to the balance of </w:t>
      </w:r>
      <w:r w:rsidR="00330379">
        <w:t xml:space="preserve">the </w:t>
      </w:r>
      <w:r w:rsidR="00274A36">
        <w:t>carrying charge</w:t>
      </w:r>
      <w:r w:rsidR="00330379">
        <w:t>s</w:t>
      </w:r>
      <w:r w:rsidR="00274A36">
        <w:t xml:space="preserve"> as </w:t>
      </w:r>
      <w:r w:rsidR="0055696A">
        <w:t>of July</w:t>
      </w:r>
      <w:r w:rsidR="001860D4">
        <w:t xml:space="preserve"> 31, 2013</w:t>
      </w:r>
      <w:r w:rsidR="003326B6">
        <w:t xml:space="preserve">, </w:t>
      </w:r>
      <w:r w:rsidR="00330379">
        <w:t>is</w:t>
      </w:r>
      <w:r w:rsidR="009554DE">
        <w:t xml:space="preserve"> $</w:t>
      </w:r>
      <w:r w:rsidR="001860D4">
        <w:t>3,390,059</w:t>
      </w:r>
      <w:r w:rsidR="009554DE">
        <w:t>.</w:t>
      </w:r>
      <w:r w:rsidR="00F816E2">
        <w:rPr>
          <w:rStyle w:val="FootnoteReference"/>
        </w:rPr>
        <w:footnoteReference w:id="3"/>
      </w:r>
      <w:r w:rsidR="009554DE">
        <w:t xml:space="preserve"> </w:t>
      </w:r>
      <w:r w:rsidR="00831FD0">
        <w:t xml:space="preserve"> </w:t>
      </w:r>
      <w:r w:rsidR="00F427B9">
        <w:t xml:space="preserve">This reflects the </w:t>
      </w:r>
      <w:r w:rsidR="00D019AE">
        <w:t>LSR Phase 2</w:t>
      </w:r>
      <w:r w:rsidR="00F427B9">
        <w:t xml:space="preserve">’s assigned carrying charges of the total amount </w:t>
      </w:r>
      <w:r w:rsidR="00F31D65">
        <w:t>of carrying</w:t>
      </w:r>
      <w:r w:rsidR="00F427B9">
        <w:t xml:space="preserve"> charges. </w:t>
      </w:r>
      <w:r w:rsidR="00F816E2">
        <w:t xml:space="preserve"> </w:t>
      </w:r>
    </w:p>
    <w:p w:rsidR="00F816E2" w:rsidRDefault="00F816E2" w:rsidP="00874086">
      <w:pPr>
        <w:spacing w:line="480" w:lineRule="auto"/>
        <w:ind w:left="720" w:hangingChars="300" w:hanging="720"/>
      </w:pPr>
    </w:p>
    <w:p w:rsidR="0075752F" w:rsidRPr="00812884" w:rsidRDefault="0075752F" w:rsidP="00874086">
      <w:pPr>
        <w:spacing w:line="480" w:lineRule="auto"/>
        <w:ind w:left="723" w:hangingChars="300" w:hanging="723"/>
        <w:rPr>
          <w:b/>
        </w:rPr>
      </w:pPr>
      <w:r w:rsidRPr="00812884">
        <w:rPr>
          <w:b/>
        </w:rPr>
        <w:lastRenderedPageBreak/>
        <w:t>Q.</w:t>
      </w:r>
      <w:r w:rsidRPr="00812884">
        <w:rPr>
          <w:b/>
        </w:rPr>
        <w:tab/>
        <w:t xml:space="preserve">Why </w:t>
      </w:r>
      <w:r w:rsidR="00BB5252">
        <w:rPr>
          <w:b/>
        </w:rPr>
        <w:t xml:space="preserve">is </w:t>
      </w:r>
      <w:r w:rsidRPr="00812884">
        <w:rPr>
          <w:b/>
        </w:rPr>
        <w:t>this $</w:t>
      </w:r>
      <w:r w:rsidR="001860D4">
        <w:rPr>
          <w:b/>
        </w:rPr>
        <w:t>3,390,059</w:t>
      </w:r>
      <w:r w:rsidRPr="00812884">
        <w:rPr>
          <w:b/>
        </w:rPr>
        <w:t xml:space="preserve"> </w:t>
      </w:r>
      <w:r w:rsidR="00BB5252">
        <w:rPr>
          <w:b/>
        </w:rPr>
        <w:t xml:space="preserve">amount </w:t>
      </w:r>
      <w:r w:rsidRPr="00812884">
        <w:rPr>
          <w:b/>
        </w:rPr>
        <w:t xml:space="preserve">different from the Staff </w:t>
      </w:r>
      <w:r w:rsidR="00BB5252">
        <w:rPr>
          <w:b/>
        </w:rPr>
        <w:t xml:space="preserve">amount </w:t>
      </w:r>
      <w:r w:rsidRPr="00812884">
        <w:rPr>
          <w:b/>
        </w:rPr>
        <w:t xml:space="preserve">in </w:t>
      </w:r>
      <w:r w:rsidR="00BB5252">
        <w:rPr>
          <w:b/>
        </w:rPr>
        <w:t xml:space="preserve">Staff’s </w:t>
      </w:r>
      <w:r w:rsidRPr="00812884">
        <w:rPr>
          <w:b/>
        </w:rPr>
        <w:t xml:space="preserve">revised memorandum </w:t>
      </w:r>
      <w:r w:rsidR="00BB5252">
        <w:rPr>
          <w:b/>
        </w:rPr>
        <w:t xml:space="preserve">presented at the Commission’s </w:t>
      </w:r>
      <w:r w:rsidRPr="00812884">
        <w:rPr>
          <w:b/>
        </w:rPr>
        <w:t>July 26, open meeting?</w:t>
      </w:r>
    </w:p>
    <w:p w:rsidR="003A7DE6" w:rsidRPr="003F3B37" w:rsidRDefault="0075752F" w:rsidP="00874086">
      <w:pPr>
        <w:spacing w:line="480" w:lineRule="auto"/>
        <w:ind w:left="720" w:hangingChars="300" w:hanging="720"/>
      </w:pPr>
      <w:r w:rsidRPr="003F3B37">
        <w:t>A.</w:t>
      </w:r>
      <w:r>
        <w:tab/>
      </w:r>
      <w:r w:rsidR="00812884">
        <w:t>Staff</w:t>
      </w:r>
      <w:r w:rsidR="00BB5252">
        <w:t xml:space="preserve">’s earlier calculation </w:t>
      </w:r>
      <w:r w:rsidR="00F80263">
        <w:t xml:space="preserve">reflected Staff’s </w:t>
      </w:r>
      <w:r w:rsidR="000F733C">
        <w:t>preliminary review</w:t>
      </w:r>
      <w:r w:rsidR="00812884">
        <w:t xml:space="preserve">.  </w:t>
      </w:r>
      <w:r w:rsidR="005D64A2">
        <w:t xml:space="preserve">The Commission received </w:t>
      </w:r>
      <w:r w:rsidR="00E4325A">
        <w:t>PSE’s application</w:t>
      </w:r>
      <w:r w:rsidR="005D64A2">
        <w:t xml:space="preserve"> for accounting petition requesting the sale of interest in the development assets required </w:t>
      </w:r>
      <w:r w:rsidR="00E4325A">
        <w:t xml:space="preserve">for </w:t>
      </w:r>
      <w:r w:rsidR="00D019AE">
        <w:t>LSR Phase 2</w:t>
      </w:r>
      <w:r w:rsidR="005D64A2">
        <w:t xml:space="preserve"> on June 26, 2013.  PSE requested the Commission issue an order authorizing the sale of </w:t>
      </w:r>
      <w:r w:rsidR="00D019AE">
        <w:t>LSR Phase 2</w:t>
      </w:r>
      <w:r w:rsidR="005D64A2">
        <w:t xml:space="preserve"> on July 26, 2013.  </w:t>
      </w:r>
      <w:r w:rsidR="000815B7">
        <w:t xml:space="preserve">Given additional time, </w:t>
      </w:r>
      <w:r w:rsidR="00E4325A">
        <w:t>Staff</w:t>
      </w:r>
      <w:r w:rsidR="005D64A2">
        <w:t xml:space="preserve"> </w:t>
      </w:r>
      <w:r w:rsidR="007E0348">
        <w:t>has refine</w:t>
      </w:r>
      <w:r w:rsidR="000F733C">
        <w:t>d</w:t>
      </w:r>
      <w:r w:rsidR="007E0348">
        <w:t xml:space="preserve"> its analysis</w:t>
      </w:r>
      <w:r w:rsidR="000F733C">
        <w:t xml:space="preserve"> and </w:t>
      </w:r>
      <w:r w:rsidR="000815B7">
        <w:t xml:space="preserve">now </w:t>
      </w:r>
      <w:r w:rsidR="000F733C">
        <w:t>recommends a simple reduction to the regulatory asset for accrued carrying charges</w:t>
      </w:r>
      <w:r w:rsidR="007E0348">
        <w:t>.</w:t>
      </w:r>
      <w:r w:rsidR="005D64A2">
        <w:t xml:space="preserve">   </w:t>
      </w:r>
    </w:p>
    <w:p w:rsidR="00831FD0" w:rsidRDefault="00831FD0" w:rsidP="00874086">
      <w:pPr>
        <w:spacing w:line="480" w:lineRule="auto"/>
        <w:ind w:left="720" w:hangingChars="300" w:hanging="720"/>
      </w:pPr>
    </w:p>
    <w:p w:rsidR="003F3B37" w:rsidRDefault="00AD2D78" w:rsidP="00874086">
      <w:pPr>
        <w:spacing w:line="480" w:lineRule="auto"/>
        <w:ind w:left="723" w:hangingChars="300" w:hanging="723"/>
      </w:pPr>
      <w:r w:rsidRPr="00AD2D78">
        <w:rPr>
          <w:b/>
        </w:rPr>
        <w:t>Q.</w:t>
      </w:r>
      <w:r w:rsidRPr="00AD2D78">
        <w:rPr>
          <w:b/>
        </w:rPr>
        <w:tab/>
      </w:r>
      <w:r w:rsidRPr="009554DE">
        <w:rPr>
          <w:b/>
        </w:rPr>
        <w:t xml:space="preserve">Please </w:t>
      </w:r>
      <w:r w:rsidR="009554DE">
        <w:rPr>
          <w:b/>
        </w:rPr>
        <w:t>explain</w:t>
      </w:r>
      <w:r w:rsidR="009554DE" w:rsidRPr="009554DE">
        <w:rPr>
          <w:b/>
        </w:rPr>
        <w:t xml:space="preserve"> </w:t>
      </w:r>
      <w:r w:rsidR="003F3B37">
        <w:rPr>
          <w:b/>
        </w:rPr>
        <w:t xml:space="preserve">the rationale for </w:t>
      </w:r>
      <w:r w:rsidRPr="009554DE">
        <w:rPr>
          <w:b/>
        </w:rPr>
        <w:t xml:space="preserve">Staff’s </w:t>
      </w:r>
      <w:r w:rsidRPr="00104BC6">
        <w:rPr>
          <w:b/>
        </w:rPr>
        <w:t xml:space="preserve">proposed </w:t>
      </w:r>
      <w:r w:rsidR="003F3B37">
        <w:rPr>
          <w:b/>
        </w:rPr>
        <w:t xml:space="preserve">accounting </w:t>
      </w:r>
      <w:r w:rsidR="009554DE">
        <w:rPr>
          <w:b/>
        </w:rPr>
        <w:t>treatment</w:t>
      </w:r>
      <w:r w:rsidR="00DE4040">
        <w:rPr>
          <w:b/>
        </w:rPr>
        <w:t>.</w:t>
      </w:r>
    </w:p>
    <w:p w:rsidR="000D4997" w:rsidRDefault="00097F1B" w:rsidP="00874086">
      <w:pPr>
        <w:spacing w:line="480" w:lineRule="auto"/>
        <w:ind w:left="720" w:hangingChars="300" w:hanging="720"/>
      </w:pPr>
      <w:r w:rsidRPr="003F3B37">
        <w:t>A.</w:t>
      </w:r>
      <w:r>
        <w:tab/>
      </w:r>
      <w:r w:rsidR="00095F42">
        <w:t>Generally, c</w:t>
      </w:r>
      <w:r w:rsidR="003326B6">
        <w:t xml:space="preserve">arrying </w:t>
      </w:r>
      <w:r w:rsidR="00920AA2">
        <w:t>charge</w:t>
      </w:r>
      <w:r w:rsidR="00095F42">
        <w:t>s</w:t>
      </w:r>
      <w:r w:rsidR="003326B6">
        <w:t xml:space="preserve"> </w:t>
      </w:r>
      <w:r w:rsidR="00095F42">
        <w:t xml:space="preserve">become </w:t>
      </w:r>
      <w:r w:rsidR="009554DE">
        <w:t xml:space="preserve">part of the </w:t>
      </w:r>
      <w:r w:rsidR="00095F42">
        <w:t xml:space="preserve">initial </w:t>
      </w:r>
      <w:r w:rsidR="009554DE">
        <w:t>balance of an asset.  Therefore, when</w:t>
      </w:r>
      <w:r w:rsidR="008A1485">
        <w:t xml:space="preserve"> part of </w:t>
      </w:r>
      <w:r w:rsidR="009554DE">
        <w:t xml:space="preserve">the asset is sold, the </w:t>
      </w:r>
      <w:r w:rsidR="00750EF2">
        <w:t xml:space="preserve">entire </w:t>
      </w:r>
      <w:r w:rsidR="008A1485">
        <w:t xml:space="preserve">booked </w:t>
      </w:r>
      <w:r w:rsidR="00750EF2">
        <w:t xml:space="preserve">value </w:t>
      </w:r>
      <w:r w:rsidR="008A1485">
        <w:t>associated with</w:t>
      </w:r>
      <w:r w:rsidR="00750EF2">
        <w:t xml:space="preserve"> th</w:t>
      </w:r>
      <w:r w:rsidR="000D4997">
        <w:t>at part</w:t>
      </w:r>
      <w:r w:rsidR="00750EF2">
        <w:t xml:space="preserve">, </w:t>
      </w:r>
      <w:r w:rsidR="009554DE">
        <w:t>includ</w:t>
      </w:r>
      <w:r w:rsidR="00750EF2">
        <w:t>ing</w:t>
      </w:r>
      <w:r w:rsidR="009554DE">
        <w:t xml:space="preserve"> </w:t>
      </w:r>
      <w:r w:rsidR="0096038D">
        <w:t xml:space="preserve">a share of </w:t>
      </w:r>
      <w:r w:rsidR="009554DE">
        <w:t xml:space="preserve">the </w:t>
      </w:r>
      <w:r w:rsidR="0096038D">
        <w:t xml:space="preserve">total </w:t>
      </w:r>
      <w:r w:rsidR="008A1485">
        <w:t>carr</w:t>
      </w:r>
      <w:r w:rsidR="003326B6">
        <w:t>y</w:t>
      </w:r>
      <w:r w:rsidR="008A1485">
        <w:t>ing charge</w:t>
      </w:r>
      <w:r w:rsidR="000D4997">
        <w:t>s</w:t>
      </w:r>
      <w:r w:rsidR="00750EF2">
        <w:t xml:space="preserve">, should be </w:t>
      </w:r>
      <w:r w:rsidR="000D4997">
        <w:t xml:space="preserve">removed from the </w:t>
      </w:r>
      <w:r w:rsidR="00DA6F77">
        <w:t xml:space="preserve">company’s </w:t>
      </w:r>
      <w:r w:rsidR="000D4997">
        <w:t>books of account</w:t>
      </w:r>
      <w:r w:rsidR="009554DE">
        <w:t>.</w:t>
      </w:r>
      <w:r w:rsidR="00750EF2">
        <w:t xml:space="preserve">  </w:t>
      </w:r>
    </w:p>
    <w:p w:rsidR="00AD2D78" w:rsidRDefault="000D4997" w:rsidP="00874086">
      <w:pPr>
        <w:spacing w:line="480" w:lineRule="auto"/>
        <w:ind w:left="720" w:hangingChars="300" w:hanging="720"/>
      </w:pPr>
      <w:r>
        <w:tab/>
      </w:r>
      <w:r>
        <w:tab/>
      </w:r>
      <w:r w:rsidR="007F206C">
        <w:t>T</w:t>
      </w:r>
      <w:r w:rsidR="003F3B37">
        <w:t xml:space="preserve">he same principle should </w:t>
      </w:r>
      <w:r w:rsidR="00750EF2">
        <w:t>appl</w:t>
      </w:r>
      <w:r w:rsidR="003F3B37">
        <w:t>y</w:t>
      </w:r>
      <w:r w:rsidR="00750EF2">
        <w:t xml:space="preserve"> to regulatory assets.  Therefore, </w:t>
      </w:r>
      <w:r w:rsidR="007B0772">
        <w:t xml:space="preserve">after the sale of </w:t>
      </w:r>
      <w:r w:rsidR="00D019AE">
        <w:t>LSR Phase 2</w:t>
      </w:r>
      <w:r w:rsidR="007B0772">
        <w:t xml:space="preserve"> to PGE, </w:t>
      </w:r>
      <w:r w:rsidR="00F10468">
        <w:t xml:space="preserve">not only </w:t>
      </w:r>
      <w:r w:rsidR="00DA6F77">
        <w:t>must the</w:t>
      </w:r>
      <w:r w:rsidR="00F10468">
        <w:t xml:space="preserve"> principle balance of PSE’s $99.8 million prepayment regulatory asset </w:t>
      </w:r>
      <w:r w:rsidR="00DA6F77">
        <w:t>for T</w:t>
      </w:r>
      <w:r w:rsidR="00F10468">
        <w:t xml:space="preserve">ransmission </w:t>
      </w:r>
      <w:r w:rsidR="00DA6F77">
        <w:t>S</w:t>
      </w:r>
      <w:r w:rsidR="00F10468">
        <w:t xml:space="preserve">ervice </w:t>
      </w:r>
      <w:r w:rsidR="00DA6F77">
        <w:t>C</w:t>
      </w:r>
      <w:r w:rsidR="00F10468">
        <w:t xml:space="preserve">redits </w:t>
      </w:r>
      <w:r w:rsidR="007B0772">
        <w:t xml:space="preserve">be </w:t>
      </w:r>
      <w:r w:rsidR="00F10468">
        <w:t xml:space="preserve">reduced </w:t>
      </w:r>
      <w:r w:rsidR="00DA6F77">
        <w:t>(</w:t>
      </w:r>
      <w:r w:rsidR="00F10468">
        <w:t>by $20.5 million</w:t>
      </w:r>
      <w:r w:rsidR="00DA6F77">
        <w:t>)</w:t>
      </w:r>
      <w:r w:rsidR="00F10468">
        <w:t xml:space="preserve">, but the accrued carrying charges balance of </w:t>
      </w:r>
      <w:r w:rsidR="00DA6F77">
        <w:t>must also be reduced (</w:t>
      </w:r>
      <w:r w:rsidR="00750EF2">
        <w:t xml:space="preserve">by </w:t>
      </w:r>
      <w:r w:rsidR="00AD2D78">
        <w:t>$</w:t>
      </w:r>
      <w:r w:rsidR="001860D4">
        <w:t>3,390,059</w:t>
      </w:r>
      <w:r w:rsidR="00DA6F77">
        <w:t>)</w:t>
      </w:r>
      <w:r w:rsidR="00F10468">
        <w:t>.</w:t>
      </w:r>
      <w:r w:rsidR="00762A5A">
        <w:rPr>
          <w:rStyle w:val="FootnoteReference"/>
        </w:rPr>
        <w:footnoteReference w:id="4"/>
      </w:r>
      <w:r w:rsidR="00750EF2">
        <w:t xml:space="preserve">  </w:t>
      </w:r>
    </w:p>
    <w:p w:rsidR="0075412E" w:rsidRDefault="0075412E" w:rsidP="00874086">
      <w:pPr>
        <w:spacing w:line="480" w:lineRule="auto"/>
        <w:ind w:left="720" w:hangingChars="300" w:hanging="720"/>
      </w:pPr>
    </w:p>
    <w:p w:rsidR="00E16EA0" w:rsidRPr="00E7446F" w:rsidRDefault="00E16EA0" w:rsidP="00E7446F">
      <w:pPr>
        <w:spacing w:line="480" w:lineRule="auto"/>
        <w:ind w:left="723" w:hangingChars="300" w:hanging="723"/>
        <w:rPr>
          <w:b/>
        </w:rPr>
      </w:pPr>
      <w:r w:rsidRPr="00E7446F">
        <w:rPr>
          <w:b/>
        </w:rPr>
        <w:t xml:space="preserve">Q. </w:t>
      </w:r>
      <w:r w:rsidRPr="00E7446F">
        <w:rPr>
          <w:b/>
        </w:rPr>
        <w:tab/>
        <w:t xml:space="preserve">What </w:t>
      </w:r>
      <w:r w:rsidR="00F31D65" w:rsidRPr="00E7446F">
        <w:rPr>
          <w:b/>
        </w:rPr>
        <w:t>are the net balances</w:t>
      </w:r>
      <w:r w:rsidRPr="00E7446F">
        <w:rPr>
          <w:b/>
        </w:rPr>
        <w:t xml:space="preserve"> of the </w:t>
      </w:r>
      <w:r w:rsidR="00D019AE" w:rsidRPr="00E7446F">
        <w:rPr>
          <w:b/>
        </w:rPr>
        <w:t>LSR Phase 2</w:t>
      </w:r>
      <w:r w:rsidRPr="00E7446F">
        <w:rPr>
          <w:b/>
        </w:rPr>
        <w:t>’s prepaid transmission for the ra</w:t>
      </w:r>
      <w:r w:rsidR="00B00DD8" w:rsidRPr="00E7446F">
        <w:rPr>
          <w:b/>
        </w:rPr>
        <w:t>te year in the Power Cost Only R</w:t>
      </w:r>
      <w:r w:rsidRPr="00E7446F">
        <w:rPr>
          <w:b/>
        </w:rPr>
        <w:t>ate Case?</w:t>
      </w:r>
    </w:p>
    <w:p w:rsidR="00E16EA0" w:rsidRDefault="00E16EA0" w:rsidP="00E16EA0">
      <w:pPr>
        <w:spacing w:line="480" w:lineRule="auto"/>
        <w:ind w:left="720" w:hangingChars="300" w:hanging="720"/>
      </w:pPr>
      <w:r>
        <w:lastRenderedPageBreak/>
        <w:t>A.</w:t>
      </w:r>
      <w:r>
        <w:tab/>
        <w:t>The net</w:t>
      </w:r>
      <w:r w:rsidR="00E16024">
        <w:t xml:space="preserve"> average of monthly average (AMA)</w:t>
      </w:r>
      <w:r>
        <w:t xml:space="preserve"> balance of the </w:t>
      </w:r>
      <w:r w:rsidR="00D019AE">
        <w:t>LSR Phase 2</w:t>
      </w:r>
      <w:r>
        <w:t xml:space="preserve">’s prepaid transmission for the </w:t>
      </w:r>
      <w:r w:rsidR="00B00DD8">
        <w:t>rate</w:t>
      </w:r>
      <w:r>
        <w:t xml:space="preserve"> year is $76,</w:t>
      </w:r>
      <w:r w:rsidR="001860D4">
        <w:t>591,342</w:t>
      </w:r>
      <w:r w:rsidR="00F31D65">
        <w:t xml:space="preserve"> </w:t>
      </w:r>
      <w:r>
        <w:t xml:space="preserve">and the </w:t>
      </w:r>
      <w:r w:rsidR="000815B7">
        <w:t xml:space="preserve">net </w:t>
      </w:r>
      <w:r w:rsidR="00E16024">
        <w:t xml:space="preserve">AMA </w:t>
      </w:r>
      <w:r w:rsidR="000815B7">
        <w:t>bala</w:t>
      </w:r>
      <w:r w:rsidR="00E16024">
        <w:t>n</w:t>
      </w:r>
      <w:r w:rsidR="000815B7">
        <w:t xml:space="preserve">ce of the </w:t>
      </w:r>
      <w:r>
        <w:t>carrying charge</w:t>
      </w:r>
      <w:r w:rsidR="000815B7">
        <w:t>s</w:t>
      </w:r>
      <w:r>
        <w:t xml:space="preserve"> is $7,</w:t>
      </w:r>
      <w:r w:rsidR="001860D4">
        <w:t>834,337</w:t>
      </w:r>
      <w:r>
        <w:t>, which reflects the re</w:t>
      </w:r>
      <w:r w:rsidR="000815B7">
        <w:t xml:space="preserve">duction </w:t>
      </w:r>
      <w:r>
        <w:t>of the regulatory assets (principal and carrying charges</w:t>
      </w:r>
      <w:r w:rsidR="00D80DF2">
        <w:t xml:space="preserve">, </w:t>
      </w:r>
      <w:r w:rsidR="00E16024">
        <w:t xml:space="preserve"> accumulated </w:t>
      </w:r>
      <w:r w:rsidR="00D80DF2">
        <w:t xml:space="preserve">amortization and </w:t>
      </w:r>
      <w:r w:rsidR="00E16024">
        <w:t>deferred income taxes</w:t>
      </w:r>
      <w:r>
        <w:t xml:space="preserve">) </w:t>
      </w:r>
      <w:r w:rsidR="000815B7">
        <w:t>per Staff’s adjustment</w:t>
      </w:r>
      <w:r w:rsidR="00A47E32">
        <w:t xml:space="preserve">. </w:t>
      </w:r>
      <w:r w:rsidR="000815B7">
        <w:t xml:space="preserve"> </w:t>
      </w:r>
      <w:r w:rsidR="00A47E32">
        <w:t>Staff also</w:t>
      </w:r>
      <w:r>
        <w:t xml:space="preserve"> </w:t>
      </w:r>
      <w:r w:rsidR="00A47E32">
        <w:t xml:space="preserve">appropriately </w:t>
      </w:r>
      <w:r w:rsidR="00E16024">
        <w:t>revised</w:t>
      </w:r>
      <w:r w:rsidR="00A47E32">
        <w:t xml:space="preserve"> the</w:t>
      </w:r>
      <w:r w:rsidR="00E16024">
        <w:t xml:space="preserve"> amortization and deferred income tax </w:t>
      </w:r>
      <w:r>
        <w:t>expenses.</w:t>
      </w:r>
    </w:p>
    <w:p w:rsidR="00E16EA0" w:rsidRDefault="00E16EA0" w:rsidP="00E16EA0">
      <w:pPr>
        <w:spacing w:line="480" w:lineRule="auto"/>
        <w:ind w:left="720" w:hangingChars="300" w:hanging="720"/>
      </w:pPr>
    </w:p>
    <w:p w:rsidR="0075412E" w:rsidRDefault="0075412E" w:rsidP="00874086">
      <w:pPr>
        <w:pStyle w:val="NumberedParagraph"/>
        <w:numPr>
          <w:ilvl w:val="0"/>
          <w:numId w:val="0"/>
        </w:numPr>
        <w:spacing w:after="0" w:line="480" w:lineRule="auto"/>
        <w:ind w:left="723" w:hangingChars="300" w:hanging="723"/>
      </w:pPr>
      <w:r w:rsidRPr="008A1485">
        <w:rPr>
          <w:b/>
        </w:rPr>
        <w:t>Q.</w:t>
      </w:r>
      <w:r w:rsidRPr="000F17F7">
        <w:t xml:space="preserve"> </w:t>
      </w:r>
      <w:r w:rsidRPr="000F17F7">
        <w:tab/>
      </w:r>
      <w:r w:rsidR="00FA5874">
        <w:rPr>
          <w:b/>
        </w:rPr>
        <w:t xml:space="preserve">What </w:t>
      </w:r>
      <w:r w:rsidRPr="003A554D">
        <w:rPr>
          <w:b/>
        </w:rPr>
        <w:t>d</w:t>
      </w:r>
      <w:r>
        <w:rPr>
          <w:b/>
        </w:rPr>
        <w:t>oes</w:t>
      </w:r>
      <w:r w:rsidRPr="003A554D">
        <w:rPr>
          <w:b/>
        </w:rPr>
        <w:t xml:space="preserve"> PSE propose</w:t>
      </w:r>
      <w:r w:rsidR="00FA5874">
        <w:rPr>
          <w:b/>
        </w:rPr>
        <w:t xml:space="preserve"> for the </w:t>
      </w:r>
      <w:r w:rsidR="00FA5874" w:rsidRPr="00104BC6">
        <w:rPr>
          <w:b/>
        </w:rPr>
        <w:t xml:space="preserve">accounting and ratemaking treatment </w:t>
      </w:r>
      <w:r w:rsidR="0055232F">
        <w:rPr>
          <w:b/>
        </w:rPr>
        <w:t xml:space="preserve">for </w:t>
      </w:r>
      <w:r w:rsidR="00FA5874" w:rsidRPr="00A6190C">
        <w:rPr>
          <w:b/>
        </w:rPr>
        <w:t xml:space="preserve">the </w:t>
      </w:r>
      <w:r w:rsidR="00DA6F77">
        <w:rPr>
          <w:b/>
        </w:rPr>
        <w:t xml:space="preserve">sale to PGE of the Transmission Service Credits for </w:t>
      </w:r>
      <w:r w:rsidR="00D019AE">
        <w:rPr>
          <w:b/>
        </w:rPr>
        <w:t>LSR Phase 2</w:t>
      </w:r>
      <w:r w:rsidR="00FA5874">
        <w:rPr>
          <w:b/>
        </w:rPr>
        <w:t>?</w:t>
      </w:r>
    </w:p>
    <w:p w:rsidR="0075412E" w:rsidRDefault="00F80263" w:rsidP="00874086">
      <w:pPr>
        <w:spacing w:line="480" w:lineRule="auto"/>
        <w:ind w:left="720" w:hangingChars="300" w:hanging="720"/>
        <w:rPr>
          <w:b/>
        </w:rPr>
      </w:pPr>
      <w:r w:rsidRPr="000C23E5">
        <w:t>A</w:t>
      </w:r>
      <w:r w:rsidRPr="00831FD0">
        <w:t>.</w:t>
      </w:r>
      <w:r>
        <w:t xml:space="preserve"> </w:t>
      </w:r>
      <w:r>
        <w:tab/>
        <w:t xml:space="preserve">PSE proposes to reduce only the principal balance of PSE’s $99.8 million prepayment, by $20.5 million; the amount PGE paid PSE for the Transmission Service Credits.  </w:t>
      </w:r>
    </w:p>
    <w:p w:rsidR="00620A4C" w:rsidRDefault="00620A4C" w:rsidP="00874086">
      <w:pPr>
        <w:spacing w:line="480" w:lineRule="auto"/>
        <w:ind w:left="720" w:hangingChars="300" w:hanging="720"/>
      </w:pPr>
    </w:p>
    <w:p w:rsidR="0075412E" w:rsidRDefault="0075412E" w:rsidP="00877232">
      <w:pPr>
        <w:keepNext/>
        <w:spacing w:line="480" w:lineRule="auto"/>
        <w:ind w:left="720" w:hanging="720"/>
        <w:rPr>
          <w:b/>
        </w:rPr>
      </w:pPr>
      <w:r>
        <w:rPr>
          <w:b/>
        </w:rPr>
        <w:t>Q.</w:t>
      </w:r>
      <w:r>
        <w:rPr>
          <w:b/>
        </w:rPr>
        <w:tab/>
        <w:t>Is PSE’s proposal appropriate?</w:t>
      </w:r>
    </w:p>
    <w:p w:rsidR="0075412E" w:rsidRPr="00FA5874" w:rsidRDefault="0075412E" w:rsidP="00874086">
      <w:pPr>
        <w:spacing w:line="480" w:lineRule="auto"/>
        <w:ind w:left="720" w:hangingChars="300" w:hanging="720"/>
      </w:pPr>
      <w:r>
        <w:t>A.</w:t>
      </w:r>
      <w:r>
        <w:tab/>
        <w:t xml:space="preserve">No.  </w:t>
      </w:r>
      <w:r w:rsidR="00FA5874">
        <w:t xml:space="preserve">PSE fails to take into account the fact that there </w:t>
      </w:r>
      <w:r w:rsidR="00A47E32">
        <w:t xml:space="preserve">are </w:t>
      </w:r>
      <w:r w:rsidR="00FA5874">
        <w:t xml:space="preserve">carrying </w:t>
      </w:r>
      <w:r w:rsidR="0055696A">
        <w:t>charges associated</w:t>
      </w:r>
      <w:r w:rsidR="00FA5874">
        <w:t xml:space="preserve"> with that $20.5 million.</w:t>
      </w:r>
      <w:r w:rsidR="00284B49">
        <w:t xml:space="preserve">  </w:t>
      </w:r>
      <w:r w:rsidR="00A47E32">
        <w:t xml:space="preserve">As of July 31, 2013, those carrying charges </w:t>
      </w:r>
      <w:r w:rsidR="00D80DF2">
        <w:t xml:space="preserve">associated with that $20.5 million </w:t>
      </w:r>
      <w:r w:rsidR="00A47E32">
        <w:t xml:space="preserve">amount to $3,390,059.  </w:t>
      </w:r>
      <w:r w:rsidR="00284B49">
        <w:t xml:space="preserve">Staff’s proposal captures the totality of costs associated with the sale of </w:t>
      </w:r>
      <w:r w:rsidR="00DA6F77">
        <w:t>T</w:t>
      </w:r>
      <w:r w:rsidR="00284B49">
        <w:t xml:space="preserve">ransmission </w:t>
      </w:r>
      <w:r w:rsidR="00DA6F77">
        <w:t>S</w:t>
      </w:r>
      <w:r w:rsidR="00284B49">
        <w:t xml:space="preserve">ervice </w:t>
      </w:r>
      <w:r w:rsidR="00DA6F77">
        <w:t>C</w:t>
      </w:r>
      <w:r w:rsidR="00284B49">
        <w:t>redits to PGE.</w:t>
      </w:r>
    </w:p>
    <w:p w:rsidR="00B87873" w:rsidRDefault="00B87873" w:rsidP="00874086">
      <w:pPr>
        <w:spacing w:line="480" w:lineRule="auto"/>
        <w:ind w:left="723" w:hangingChars="300" w:hanging="723"/>
        <w:rPr>
          <w:b/>
        </w:rPr>
      </w:pPr>
    </w:p>
    <w:p w:rsidR="00B814E2" w:rsidRPr="000F17F7" w:rsidRDefault="00ED1577" w:rsidP="00874086">
      <w:pPr>
        <w:spacing w:line="480" w:lineRule="auto"/>
        <w:ind w:left="723" w:hangingChars="300" w:hanging="723"/>
        <w:rPr>
          <w:b/>
        </w:rPr>
      </w:pPr>
      <w:r>
        <w:rPr>
          <w:b/>
        </w:rPr>
        <w:t>Q.</w:t>
      </w:r>
      <w:r>
        <w:rPr>
          <w:b/>
        </w:rPr>
        <w:tab/>
      </w:r>
      <w:r w:rsidR="00B814E2" w:rsidRPr="000F17F7">
        <w:rPr>
          <w:b/>
        </w:rPr>
        <w:t xml:space="preserve">Does this conclude your testimony?  </w:t>
      </w:r>
    </w:p>
    <w:p w:rsidR="00B814E2" w:rsidRDefault="00B814E2" w:rsidP="00874086">
      <w:pPr>
        <w:spacing w:line="480" w:lineRule="auto"/>
        <w:ind w:left="720" w:hangingChars="300" w:hanging="720"/>
      </w:pPr>
      <w:r w:rsidRPr="000F17F7">
        <w:t>A.</w:t>
      </w:r>
      <w:r w:rsidRPr="000F17F7">
        <w:tab/>
        <w:t>Yes.</w:t>
      </w:r>
      <w:r w:rsidRPr="00964C86">
        <w:t xml:space="preserve"> </w:t>
      </w:r>
    </w:p>
    <w:p w:rsidR="0075752F" w:rsidRPr="00964C86" w:rsidRDefault="0075752F" w:rsidP="00874086">
      <w:pPr>
        <w:spacing w:line="480" w:lineRule="auto"/>
        <w:ind w:left="720" w:hangingChars="300" w:hanging="720"/>
      </w:pPr>
    </w:p>
    <w:sectPr w:rsidR="0075752F" w:rsidRPr="00964C86" w:rsidSect="002C43AB">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14" w:rsidRDefault="00CB3114" w:rsidP="0015026F">
      <w:r>
        <w:separator/>
      </w:r>
    </w:p>
  </w:endnote>
  <w:endnote w:type="continuationSeparator" w:id="0">
    <w:p w:rsidR="00CB3114" w:rsidRDefault="00CB3114"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036" w:rsidRPr="000619AE" w:rsidRDefault="00047036" w:rsidP="0015026F">
    <w:pPr>
      <w:pStyle w:val="Footer"/>
      <w:tabs>
        <w:tab w:val="clear" w:pos="9360"/>
        <w:tab w:val="right" w:pos="8910"/>
      </w:tabs>
      <w:rPr>
        <w:sz w:val="20"/>
        <w:szCs w:val="20"/>
      </w:rPr>
    </w:pPr>
  </w:p>
  <w:p w:rsidR="00047036" w:rsidRPr="000619AE" w:rsidRDefault="00047036"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sidR="00783874">
      <w:rPr>
        <w:sz w:val="20"/>
        <w:szCs w:val="20"/>
      </w:rPr>
      <w:t>T</w:t>
    </w:r>
    <w:r>
      <w:rPr>
        <w:sz w:val="20"/>
        <w:szCs w:val="20"/>
      </w:rPr>
      <w:t xml:space="preserve"> </w:t>
    </w:r>
    <w:r w:rsidRPr="000619AE">
      <w:rPr>
        <w:sz w:val="20"/>
        <w:szCs w:val="20"/>
      </w:rPr>
      <w:t>(JH-1T)</w:t>
    </w:r>
  </w:p>
  <w:p w:rsidR="00047036" w:rsidRPr="000619AE" w:rsidRDefault="00047036" w:rsidP="0015026F">
    <w:pPr>
      <w:pStyle w:val="Footer"/>
      <w:tabs>
        <w:tab w:val="clear" w:pos="9360"/>
        <w:tab w:val="right" w:pos="8910"/>
      </w:tabs>
      <w:rPr>
        <w:sz w:val="20"/>
        <w:szCs w:val="20"/>
      </w:rPr>
    </w:pPr>
    <w:r w:rsidRPr="000619AE">
      <w:rPr>
        <w:sz w:val="20"/>
        <w:szCs w:val="20"/>
      </w:rPr>
      <w:t>Docket UE-1</w:t>
    </w:r>
    <w:r>
      <w:rPr>
        <w:sz w:val="20"/>
        <w:szCs w:val="20"/>
      </w:rPr>
      <w:t>30671</w:t>
    </w:r>
    <w:r>
      <w:rPr>
        <w:sz w:val="20"/>
        <w:szCs w:val="20"/>
      </w:rPr>
      <w:tab/>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5776A0">
      <w:rPr>
        <w:noProof/>
        <w:sz w:val="20"/>
        <w:szCs w:val="20"/>
      </w:rPr>
      <w:t>11</w:t>
    </w:r>
    <w:r w:rsidRPr="000619A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14" w:rsidRDefault="00CB3114" w:rsidP="0015026F">
      <w:r>
        <w:separator/>
      </w:r>
    </w:p>
  </w:footnote>
  <w:footnote w:type="continuationSeparator" w:id="0">
    <w:p w:rsidR="00CB3114" w:rsidRDefault="00CB3114" w:rsidP="0015026F">
      <w:r>
        <w:continuationSeparator/>
      </w:r>
    </w:p>
  </w:footnote>
  <w:footnote w:id="1">
    <w:p w:rsidR="00AC3AE5" w:rsidRPr="00C87765" w:rsidRDefault="00AC3AE5" w:rsidP="00AC3AE5">
      <w:pPr>
        <w:rPr>
          <w:sz w:val="20"/>
          <w:szCs w:val="20"/>
        </w:rPr>
      </w:pPr>
      <w:r w:rsidRPr="00C87765">
        <w:rPr>
          <w:rStyle w:val="FootnoteReference"/>
          <w:sz w:val="20"/>
          <w:szCs w:val="20"/>
        </w:rPr>
        <w:footnoteRef/>
      </w:r>
      <w:r w:rsidRPr="00C87765">
        <w:rPr>
          <w:sz w:val="20"/>
          <w:szCs w:val="20"/>
        </w:rPr>
        <w:t xml:space="preserve"> </w:t>
      </w:r>
      <w:r w:rsidRPr="00C87765">
        <w:rPr>
          <w:i/>
          <w:sz w:val="20"/>
          <w:szCs w:val="20"/>
        </w:rPr>
        <w:t>Application f</w:t>
      </w:r>
      <w:r w:rsidRPr="00C87765">
        <w:rPr>
          <w:rFonts w:eastAsia="Times New Roman"/>
          <w:i/>
          <w:sz w:val="20"/>
          <w:szCs w:val="20"/>
        </w:rPr>
        <w:t>or an Accounting Order Authorizing Deferred Accounting Treatment for the Costs Associated with the Transmission Network Upgrades to Meet Transmission Capacity Needs of the Region and Serve the Lower Snake River Wind Project</w:t>
      </w:r>
      <w:r w:rsidRPr="00C87765">
        <w:rPr>
          <w:rFonts w:eastAsia="Times New Roman"/>
          <w:sz w:val="20"/>
          <w:szCs w:val="20"/>
        </w:rPr>
        <w:t xml:space="preserve">, </w:t>
      </w:r>
      <w:r w:rsidRPr="00C87765">
        <w:rPr>
          <w:sz w:val="20"/>
          <w:szCs w:val="20"/>
        </w:rPr>
        <w:t>Docket UE-100882, Order 01 (</w:t>
      </w:r>
      <w:r>
        <w:rPr>
          <w:sz w:val="20"/>
          <w:szCs w:val="20"/>
        </w:rPr>
        <w:t>May 31, 2012)</w:t>
      </w:r>
      <w:r w:rsidRPr="00C87765">
        <w:rPr>
          <w:sz w:val="20"/>
          <w:szCs w:val="20"/>
        </w:rPr>
        <w:t>, page 3, ¶ 12.</w:t>
      </w:r>
    </w:p>
  </w:footnote>
  <w:footnote w:id="2">
    <w:p w:rsidR="0096038D" w:rsidRDefault="0096038D" w:rsidP="00470774">
      <w:pPr>
        <w:pStyle w:val="FootnoteText"/>
      </w:pPr>
      <w:r>
        <w:rPr>
          <w:rStyle w:val="FootnoteReference"/>
        </w:rPr>
        <w:footnoteRef/>
      </w:r>
      <w:r>
        <w:t xml:space="preserve"> </w:t>
      </w:r>
      <w:r>
        <w:rPr>
          <w:i/>
        </w:rPr>
        <w:t xml:space="preserve">Utilities and Transp. Comm’n v. Puget Sound Energy, </w:t>
      </w:r>
      <w:r>
        <w:t xml:space="preserve">Dockets UE-111048 </w:t>
      </w:r>
      <w:r w:rsidR="005031ED">
        <w:t>and</w:t>
      </w:r>
      <w:r>
        <w:t xml:space="preserve"> UG-111049 (Consolidated), Order 08, Rejecting Tariff Sheets; Authorizing and Requiring Compliance Filing (May 14, 2012)</w:t>
      </w:r>
    </w:p>
  </w:footnote>
  <w:footnote w:id="3">
    <w:p w:rsidR="00F816E2" w:rsidRDefault="00F816E2">
      <w:pPr>
        <w:pStyle w:val="FootnoteText"/>
      </w:pPr>
      <w:r>
        <w:rPr>
          <w:rStyle w:val="FootnoteReference"/>
        </w:rPr>
        <w:footnoteRef/>
      </w:r>
      <w:r>
        <w:t xml:space="preserve"> $16,503,798 * </w:t>
      </w:r>
      <w:r w:rsidR="005776A0">
        <w:t>(</w:t>
      </w:r>
      <w:r>
        <w:t>20.5/99.8</w:t>
      </w:r>
      <w:r w:rsidR="005776A0">
        <w:t>)</w:t>
      </w:r>
      <w:bookmarkStart w:id="2" w:name="_GoBack"/>
      <w:bookmarkEnd w:id="2"/>
      <w:r>
        <w:t xml:space="preserve"> = $3,390,259.  My Exhibit </w:t>
      </w:r>
      <w:proofErr w:type="spellStart"/>
      <w:r>
        <w:t>JH</w:t>
      </w:r>
      <w:proofErr w:type="spellEnd"/>
      <w:r>
        <w:t xml:space="preserve">-2, page 2, column (g), “July 2013,” shows the $16,503,798.  </w:t>
      </w:r>
    </w:p>
  </w:footnote>
  <w:footnote w:id="4">
    <w:p w:rsidR="00762A5A" w:rsidRDefault="00762A5A">
      <w:pPr>
        <w:pStyle w:val="FootnoteText"/>
      </w:pPr>
      <w:r>
        <w:rPr>
          <w:rStyle w:val="FootnoteReference"/>
        </w:rPr>
        <w:footnoteRef/>
      </w:r>
      <w:r>
        <w:t xml:space="preserve"> The total reduction</w:t>
      </w:r>
      <w:r w:rsidR="00F816E2">
        <w:t>,</w:t>
      </w:r>
      <w:r>
        <w:t xml:space="preserve"> shown in Exhibit No. </w:t>
      </w:r>
      <w:proofErr w:type="spellStart"/>
      <w:r>
        <w:t>JH</w:t>
      </w:r>
      <w:proofErr w:type="spellEnd"/>
      <w:r>
        <w:t>-2</w:t>
      </w:r>
      <w:r w:rsidR="00D80DF2">
        <w:t xml:space="preserve">, page 2, </w:t>
      </w:r>
      <w:proofErr w:type="spellStart"/>
      <w:r w:rsidR="00F816E2">
        <w:t>columb</w:t>
      </w:r>
      <w:proofErr w:type="spellEnd"/>
      <w:r w:rsidR="00F816E2">
        <w:t xml:space="preserve"> (b), “August 2013,” </w:t>
      </w:r>
      <w:r>
        <w:t xml:space="preserve">includes $87,913 for one-half month of accrued interest.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2DD0EC"/>
    <w:multiLevelType w:val="hybridMultilevel"/>
    <w:tmpl w:val="1F2AC9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4204C"/>
    <w:multiLevelType w:val="multilevel"/>
    <w:tmpl w:val="BE6835E6"/>
    <w:lvl w:ilvl="0">
      <w:start w:val="1"/>
      <w:numFmt w:val="decimal"/>
      <w:pStyle w:val="NumberedParagraph"/>
      <w:lvlText w:val="%1"/>
      <w:lvlJc w:val="left"/>
      <w:pPr>
        <w:tabs>
          <w:tab w:val="num" w:pos="0"/>
        </w:tabs>
        <w:ind w:left="0" w:hanging="720"/>
      </w:pPr>
      <w:rPr>
        <w:rFonts w:ascii="Palatino Linotype" w:hAnsi="Palatino Linotype" w:hint="default"/>
        <w:b w:val="0"/>
        <w:i/>
        <w:caps w:val="0"/>
        <w:strike w:val="0"/>
        <w:dstrike w:val="0"/>
        <w:outline w:val="0"/>
        <w:shadow w:val="0"/>
        <w:emboss w:val="0"/>
        <w:imprint w:val="0"/>
        <w:vanish w:val="0"/>
        <w:webHidden w:val="0"/>
        <w:sz w:val="20"/>
        <w:u w:val="none"/>
        <w:effect w:val="none"/>
        <w:vertAlign w:val="baseline"/>
        <w:specVanish w:val="0"/>
      </w:rPr>
    </w:lvl>
    <w:lvl w:ilvl="1">
      <w:start w:val="1"/>
      <w:numFmt w:val="lowerRoman"/>
      <w:lvlText w:val="(%2)"/>
      <w:lvlJc w:val="left"/>
      <w:pPr>
        <w:tabs>
          <w:tab w:val="num" w:pos="0"/>
        </w:tabs>
        <w:ind w:left="-360" w:hanging="360"/>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12">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512B301"/>
    <w:multiLevelType w:val="hybridMultilevel"/>
    <w:tmpl w:val="9934E5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6"/>
  </w:num>
  <w:num w:numId="3">
    <w:abstractNumId w:val="1"/>
  </w:num>
  <w:num w:numId="4">
    <w:abstractNumId w:val="18"/>
  </w:num>
  <w:num w:numId="5">
    <w:abstractNumId w:val="13"/>
  </w:num>
  <w:num w:numId="6">
    <w:abstractNumId w:val="16"/>
  </w:num>
  <w:num w:numId="7">
    <w:abstractNumId w:val="2"/>
  </w:num>
  <w:num w:numId="8">
    <w:abstractNumId w:val="11"/>
  </w:num>
  <w:num w:numId="9">
    <w:abstractNumId w:val="8"/>
  </w:num>
  <w:num w:numId="10">
    <w:abstractNumId w:val="12"/>
  </w:num>
  <w:num w:numId="11">
    <w:abstractNumId w:val="7"/>
  </w:num>
  <w:num w:numId="12">
    <w:abstractNumId w:val="10"/>
  </w:num>
  <w:num w:numId="13">
    <w:abstractNumId w:val="15"/>
  </w:num>
  <w:num w:numId="14">
    <w:abstractNumId w:val="3"/>
  </w:num>
  <w:num w:numId="15">
    <w:abstractNumId w:val="5"/>
  </w:num>
  <w:num w:numId="16">
    <w:abstractNumId w:val="9"/>
  </w:num>
  <w:num w:numId="17">
    <w:abstractNumId w:val="17"/>
  </w:num>
  <w:num w:numId="18">
    <w:abstractNumId w:val="0"/>
  </w:num>
  <w:num w:numId="1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0C60"/>
    <w:rsid w:val="00002012"/>
    <w:rsid w:val="00003BD4"/>
    <w:rsid w:val="00003E28"/>
    <w:rsid w:val="00005935"/>
    <w:rsid w:val="00007325"/>
    <w:rsid w:val="00007E11"/>
    <w:rsid w:val="00011A8B"/>
    <w:rsid w:val="00012762"/>
    <w:rsid w:val="000144E6"/>
    <w:rsid w:val="00014FB2"/>
    <w:rsid w:val="00017ED1"/>
    <w:rsid w:val="0002088F"/>
    <w:rsid w:val="00021EEA"/>
    <w:rsid w:val="00022979"/>
    <w:rsid w:val="00024279"/>
    <w:rsid w:val="00024EE8"/>
    <w:rsid w:val="00024F9C"/>
    <w:rsid w:val="0002791A"/>
    <w:rsid w:val="000357A7"/>
    <w:rsid w:val="00036FEF"/>
    <w:rsid w:val="00037914"/>
    <w:rsid w:val="00037975"/>
    <w:rsid w:val="00040735"/>
    <w:rsid w:val="00040F0C"/>
    <w:rsid w:val="00042E01"/>
    <w:rsid w:val="000445B0"/>
    <w:rsid w:val="00045486"/>
    <w:rsid w:val="00047036"/>
    <w:rsid w:val="00050243"/>
    <w:rsid w:val="00051A3C"/>
    <w:rsid w:val="00051BC8"/>
    <w:rsid w:val="00052453"/>
    <w:rsid w:val="00060C15"/>
    <w:rsid w:val="000618F6"/>
    <w:rsid w:val="000619AE"/>
    <w:rsid w:val="000636AE"/>
    <w:rsid w:val="00067D3C"/>
    <w:rsid w:val="00073FB5"/>
    <w:rsid w:val="00075C70"/>
    <w:rsid w:val="000815B7"/>
    <w:rsid w:val="00083D0A"/>
    <w:rsid w:val="00083FAE"/>
    <w:rsid w:val="00085CA6"/>
    <w:rsid w:val="00086617"/>
    <w:rsid w:val="000869FD"/>
    <w:rsid w:val="00086AC8"/>
    <w:rsid w:val="00090575"/>
    <w:rsid w:val="00090625"/>
    <w:rsid w:val="0009146E"/>
    <w:rsid w:val="00091A39"/>
    <w:rsid w:val="00091AE3"/>
    <w:rsid w:val="00091E92"/>
    <w:rsid w:val="0009334B"/>
    <w:rsid w:val="00093446"/>
    <w:rsid w:val="00093ECF"/>
    <w:rsid w:val="00095F42"/>
    <w:rsid w:val="000962E2"/>
    <w:rsid w:val="00097B03"/>
    <w:rsid w:val="00097F1B"/>
    <w:rsid w:val="000A0B49"/>
    <w:rsid w:val="000A1544"/>
    <w:rsid w:val="000A166F"/>
    <w:rsid w:val="000A1F85"/>
    <w:rsid w:val="000A3F8E"/>
    <w:rsid w:val="000A7A00"/>
    <w:rsid w:val="000A7FFA"/>
    <w:rsid w:val="000B37CF"/>
    <w:rsid w:val="000B6A10"/>
    <w:rsid w:val="000C23E5"/>
    <w:rsid w:val="000C2D89"/>
    <w:rsid w:val="000C58E0"/>
    <w:rsid w:val="000C7D25"/>
    <w:rsid w:val="000D4997"/>
    <w:rsid w:val="000E21D1"/>
    <w:rsid w:val="000E3B70"/>
    <w:rsid w:val="000E4878"/>
    <w:rsid w:val="000F0A79"/>
    <w:rsid w:val="000F17F7"/>
    <w:rsid w:val="000F20F2"/>
    <w:rsid w:val="000F4E5D"/>
    <w:rsid w:val="000F733C"/>
    <w:rsid w:val="001017E6"/>
    <w:rsid w:val="00101D26"/>
    <w:rsid w:val="00102909"/>
    <w:rsid w:val="001038B6"/>
    <w:rsid w:val="00104BC6"/>
    <w:rsid w:val="00110351"/>
    <w:rsid w:val="00113FFC"/>
    <w:rsid w:val="001144B9"/>
    <w:rsid w:val="00116CB2"/>
    <w:rsid w:val="00117082"/>
    <w:rsid w:val="00117A5B"/>
    <w:rsid w:val="00117D45"/>
    <w:rsid w:val="001205C9"/>
    <w:rsid w:val="0012363A"/>
    <w:rsid w:val="00123AE5"/>
    <w:rsid w:val="00123B79"/>
    <w:rsid w:val="0012714E"/>
    <w:rsid w:val="00131C0A"/>
    <w:rsid w:val="00134AE5"/>
    <w:rsid w:val="001375F4"/>
    <w:rsid w:val="001437F2"/>
    <w:rsid w:val="00147898"/>
    <w:rsid w:val="0015026F"/>
    <w:rsid w:val="0015392B"/>
    <w:rsid w:val="00153A69"/>
    <w:rsid w:val="00153AE6"/>
    <w:rsid w:val="001564C6"/>
    <w:rsid w:val="001622CD"/>
    <w:rsid w:val="0016254A"/>
    <w:rsid w:val="0016479B"/>
    <w:rsid w:val="00165938"/>
    <w:rsid w:val="00166F86"/>
    <w:rsid w:val="001700A6"/>
    <w:rsid w:val="00175386"/>
    <w:rsid w:val="00176869"/>
    <w:rsid w:val="00176ABE"/>
    <w:rsid w:val="00177EC9"/>
    <w:rsid w:val="0018030B"/>
    <w:rsid w:val="00181590"/>
    <w:rsid w:val="001822CF"/>
    <w:rsid w:val="0018349A"/>
    <w:rsid w:val="001852BB"/>
    <w:rsid w:val="00185553"/>
    <w:rsid w:val="00185728"/>
    <w:rsid w:val="001860D4"/>
    <w:rsid w:val="00191019"/>
    <w:rsid w:val="00191D9F"/>
    <w:rsid w:val="001951EB"/>
    <w:rsid w:val="00195BBB"/>
    <w:rsid w:val="001961D1"/>
    <w:rsid w:val="001966C2"/>
    <w:rsid w:val="00196839"/>
    <w:rsid w:val="00196A26"/>
    <w:rsid w:val="00197731"/>
    <w:rsid w:val="001A437E"/>
    <w:rsid w:val="001A63A9"/>
    <w:rsid w:val="001B36AD"/>
    <w:rsid w:val="001B37D0"/>
    <w:rsid w:val="001B6F9E"/>
    <w:rsid w:val="001B7AB0"/>
    <w:rsid w:val="001B7E5F"/>
    <w:rsid w:val="001C1779"/>
    <w:rsid w:val="001C470B"/>
    <w:rsid w:val="001C5B62"/>
    <w:rsid w:val="001C6920"/>
    <w:rsid w:val="001C6B0F"/>
    <w:rsid w:val="001C7351"/>
    <w:rsid w:val="001D124A"/>
    <w:rsid w:val="001D16A5"/>
    <w:rsid w:val="001D1A77"/>
    <w:rsid w:val="001D1D01"/>
    <w:rsid w:val="001D3157"/>
    <w:rsid w:val="001D3900"/>
    <w:rsid w:val="001D4F22"/>
    <w:rsid w:val="001D521E"/>
    <w:rsid w:val="001E2928"/>
    <w:rsid w:val="001E398D"/>
    <w:rsid w:val="001E520F"/>
    <w:rsid w:val="001F15F8"/>
    <w:rsid w:val="001F2743"/>
    <w:rsid w:val="001F5AAF"/>
    <w:rsid w:val="001F76BC"/>
    <w:rsid w:val="002035AB"/>
    <w:rsid w:val="00204EA5"/>
    <w:rsid w:val="00211154"/>
    <w:rsid w:val="00212436"/>
    <w:rsid w:val="00212D23"/>
    <w:rsid w:val="002167A8"/>
    <w:rsid w:val="00222CA0"/>
    <w:rsid w:val="0022301B"/>
    <w:rsid w:val="002240E2"/>
    <w:rsid w:val="00224A56"/>
    <w:rsid w:val="002262E6"/>
    <w:rsid w:val="00230856"/>
    <w:rsid w:val="00230DD1"/>
    <w:rsid w:val="00233608"/>
    <w:rsid w:val="00233FE2"/>
    <w:rsid w:val="00234844"/>
    <w:rsid w:val="0023489C"/>
    <w:rsid w:val="00237FE9"/>
    <w:rsid w:val="00245777"/>
    <w:rsid w:val="002529BE"/>
    <w:rsid w:val="00253A75"/>
    <w:rsid w:val="00254A26"/>
    <w:rsid w:val="00256025"/>
    <w:rsid w:val="00256493"/>
    <w:rsid w:val="00256BE9"/>
    <w:rsid w:val="00257625"/>
    <w:rsid w:val="00261B5F"/>
    <w:rsid w:val="00266D1A"/>
    <w:rsid w:val="00270754"/>
    <w:rsid w:val="00273633"/>
    <w:rsid w:val="00274A36"/>
    <w:rsid w:val="00276723"/>
    <w:rsid w:val="00276C6F"/>
    <w:rsid w:val="00276DBB"/>
    <w:rsid w:val="00282FDE"/>
    <w:rsid w:val="00283E40"/>
    <w:rsid w:val="00283F96"/>
    <w:rsid w:val="00284B49"/>
    <w:rsid w:val="002858B7"/>
    <w:rsid w:val="00286722"/>
    <w:rsid w:val="002937ED"/>
    <w:rsid w:val="00293B73"/>
    <w:rsid w:val="002948CE"/>
    <w:rsid w:val="00295534"/>
    <w:rsid w:val="002956E3"/>
    <w:rsid w:val="002A17D9"/>
    <w:rsid w:val="002A2962"/>
    <w:rsid w:val="002A31C4"/>
    <w:rsid w:val="002A59C5"/>
    <w:rsid w:val="002A5FFB"/>
    <w:rsid w:val="002A7D45"/>
    <w:rsid w:val="002B271A"/>
    <w:rsid w:val="002B37EB"/>
    <w:rsid w:val="002B6E71"/>
    <w:rsid w:val="002C2F83"/>
    <w:rsid w:val="002C3284"/>
    <w:rsid w:val="002C337C"/>
    <w:rsid w:val="002C43AB"/>
    <w:rsid w:val="002C4A10"/>
    <w:rsid w:val="002C4F3E"/>
    <w:rsid w:val="002C63E3"/>
    <w:rsid w:val="002C7735"/>
    <w:rsid w:val="002D671B"/>
    <w:rsid w:val="002E0A38"/>
    <w:rsid w:val="002E3A74"/>
    <w:rsid w:val="002E460A"/>
    <w:rsid w:val="002E52AC"/>
    <w:rsid w:val="002F19C2"/>
    <w:rsid w:val="002F22C7"/>
    <w:rsid w:val="002F3723"/>
    <w:rsid w:val="002F46CC"/>
    <w:rsid w:val="002F71A0"/>
    <w:rsid w:val="00300438"/>
    <w:rsid w:val="00311848"/>
    <w:rsid w:val="00312806"/>
    <w:rsid w:val="003135CD"/>
    <w:rsid w:val="00313C2F"/>
    <w:rsid w:val="00313C6B"/>
    <w:rsid w:val="00314FBA"/>
    <w:rsid w:val="00317FC2"/>
    <w:rsid w:val="003206D0"/>
    <w:rsid w:val="00320FD9"/>
    <w:rsid w:val="00323559"/>
    <w:rsid w:val="0032412E"/>
    <w:rsid w:val="00324A06"/>
    <w:rsid w:val="00330379"/>
    <w:rsid w:val="003311CB"/>
    <w:rsid w:val="00331B25"/>
    <w:rsid w:val="003326B6"/>
    <w:rsid w:val="00334448"/>
    <w:rsid w:val="00336770"/>
    <w:rsid w:val="003375AA"/>
    <w:rsid w:val="00340C04"/>
    <w:rsid w:val="003411B9"/>
    <w:rsid w:val="0034255D"/>
    <w:rsid w:val="00344828"/>
    <w:rsid w:val="00344FDE"/>
    <w:rsid w:val="003505DB"/>
    <w:rsid w:val="00350DF1"/>
    <w:rsid w:val="00353DA0"/>
    <w:rsid w:val="00355673"/>
    <w:rsid w:val="0035628F"/>
    <w:rsid w:val="0035790D"/>
    <w:rsid w:val="00361BFF"/>
    <w:rsid w:val="00364544"/>
    <w:rsid w:val="00365666"/>
    <w:rsid w:val="00366083"/>
    <w:rsid w:val="00366137"/>
    <w:rsid w:val="00366392"/>
    <w:rsid w:val="00367C02"/>
    <w:rsid w:val="003705C8"/>
    <w:rsid w:val="00373228"/>
    <w:rsid w:val="003747E1"/>
    <w:rsid w:val="00374AE1"/>
    <w:rsid w:val="00377358"/>
    <w:rsid w:val="00382BF1"/>
    <w:rsid w:val="00383A32"/>
    <w:rsid w:val="00385B2F"/>
    <w:rsid w:val="00391302"/>
    <w:rsid w:val="003929B2"/>
    <w:rsid w:val="00394268"/>
    <w:rsid w:val="003A089B"/>
    <w:rsid w:val="003A1744"/>
    <w:rsid w:val="003A1B01"/>
    <w:rsid w:val="003A4BF3"/>
    <w:rsid w:val="003A554D"/>
    <w:rsid w:val="003A737A"/>
    <w:rsid w:val="003A7DE6"/>
    <w:rsid w:val="003B03B2"/>
    <w:rsid w:val="003B6781"/>
    <w:rsid w:val="003B78D7"/>
    <w:rsid w:val="003C3B11"/>
    <w:rsid w:val="003C4E18"/>
    <w:rsid w:val="003C4F89"/>
    <w:rsid w:val="003C5839"/>
    <w:rsid w:val="003C5C70"/>
    <w:rsid w:val="003C61DD"/>
    <w:rsid w:val="003C71B8"/>
    <w:rsid w:val="003D16D8"/>
    <w:rsid w:val="003D2A0A"/>
    <w:rsid w:val="003D4674"/>
    <w:rsid w:val="003D6760"/>
    <w:rsid w:val="003E2D27"/>
    <w:rsid w:val="003E5374"/>
    <w:rsid w:val="003E541A"/>
    <w:rsid w:val="003F03EF"/>
    <w:rsid w:val="003F2F5F"/>
    <w:rsid w:val="003F3130"/>
    <w:rsid w:val="003F3B37"/>
    <w:rsid w:val="003F694F"/>
    <w:rsid w:val="004012FF"/>
    <w:rsid w:val="00402542"/>
    <w:rsid w:val="00403636"/>
    <w:rsid w:val="0040630D"/>
    <w:rsid w:val="00411C89"/>
    <w:rsid w:val="00414405"/>
    <w:rsid w:val="004145CF"/>
    <w:rsid w:val="00417B9A"/>
    <w:rsid w:val="00420EE8"/>
    <w:rsid w:val="00422536"/>
    <w:rsid w:val="004276B1"/>
    <w:rsid w:val="0043274D"/>
    <w:rsid w:val="00434002"/>
    <w:rsid w:val="00434F95"/>
    <w:rsid w:val="0043587F"/>
    <w:rsid w:val="00435FC5"/>
    <w:rsid w:val="004366F8"/>
    <w:rsid w:val="004433E8"/>
    <w:rsid w:val="0044441C"/>
    <w:rsid w:val="00445081"/>
    <w:rsid w:val="00445C1E"/>
    <w:rsid w:val="00447E7A"/>
    <w:rsid w:val="004515B7"/>
    <w:rsid w:val="00452EFA"/>
    <w:rsid w:val="004532D3"/>
    <w:rsid w:val="0045628B"/>
    <w:rsid w:val="00456968"/>
    <w:rsid w:val="0045794B"/>
    <w:rsid w:val="00457B6D"/>
    <w:rsid w:val="0046101E"/>
    <w:rsid w:val="00461C73"/>
    <w:rsid w:val="0046251D"/>
    <w:rsid w:val="00462F31"/>
    <w:rsid w:val="00466432"/>
    <w:rsid w:val="00470774"/>
    <w:rsid w:val="00470C2D"/>
    <w:rsid w:val="00471ED6"/>
    <w:rsid w:val="00474238"/>
    <w:rsid w:val="0047546A"/>
    <w:rsid w:val="00475602"/>
    <w:rsid w:val="00475C87"/>
    <w:rsid w:val="00477343"/>
    <w:rsid w:val="0048024F"/>
    <w:rsid w:val="00485B11"/>
    <w:rsid w:val="0048604A"/>
    <w:rsid w:val="004902B0"/>
    <w:rsid w:val="00495087"/>
    <w:rsid w:val="00496B54"/>
    <w:rsid w:val="004A3A6A"/>
    <w:rsid w:val="004B6C7C"/>
    <w:rsid w:val="004B6EFE"/>
    <w:rsid w:val="004B773D"/>
    <w:rsid w:val="004C208F"/>
    <w:rsid w:val="004C21B2"/>
    <w:rsid w:val="004C2C8A"/>
    <w:rsid w:val="004C4BAD"/>
    <w:rsid w:val="004C610B"/>
    <w:rsid w:val="004C7074"/>
    <w:rsid w:val="004D009A"/>
    <w:rsid w:val="004D15E6"/>
    <w:rsid w:val="004D1D39"/>
    <w:rsid w:val="004D1E6F"/>
    <w:rsid w:val="004D2934"/>
    <w:rsid w:val="004D3931"/>
    <w:rsid w:val="004E09EE"/>
    <w:rsid w:val="004E224E"/>
    <w:rsid w:val="004E2DC1"/>
    <w:rsid w:val="004E44D1"/>
    <w:rsid w:val="004E4D89"/>
    <w:rsid w:val="004E5160"/>
    <w:rsid w:val="004E5252"/>
    <w:rsid w:val="004E5A6C"/>
    <w:rsid w:val="004F217B"/>
    <w:rsid w:val="004F6458"/>
    <w:rsid w:val="00502FB8"/>
    <w:rsid w:val="005031ED"/>
    <w:rsid w:val="005041DF"/>
    <w:rsid w:val="00504E32"/>
    <w:rsid w:val="00510BED"/>
    <w:rsid w:val="00512792"/>
    <w:rsid w:val="00514EF0"/>
    <w:rsid w:val="005165F9"/>
    <w:rsid w:val="005218C5"/>
    <w:rsid w:val="0052210D"/>
    <w:rsid w:val="00526D3A"/>
    <w:rsid w:val="00526E66"/>
    <w:rsid w:val="00527CDD"/>
    <w:rsid w:val="00532725"/>
    <w:rsid w:val="005330C5"/>
    <w:rsid w:val="00534093"/>
    <w:rsid w:val="00534E2B"/>
    <w:rsid w:val="005357E0"/>
    <w:rsid w:val="0054052C"/>
    <w:rsid w:val="005416DF"/>
    <w:rsid w:val="00541D34"/>
    <w:rsid w:val="00542C36"/>
    <w:rsid w:val="00550C2C"/>
    <w:rsid w:val="0055232F"/>
    <w:rsid w:val="005537A5"/>
    <w:rsid w:val="00554488"/>
    <w:rsid w:val="00554D38"/>
    <w:rsid w:val="00555785"/>
    <w:rsid w:val="00555809"/>
    <w:rsid w:val="00555DF4"/>
    <w:rsid w:val="0055696A"/>
    <w:rsid w:val="005574E8"/>
    <w:rsid w:val="00561602"/>
    <w:rsid w:val="005646C7"/>
    <w:rsid w:val="00564CA0"/>
    <w:rsid w:val="0056629F"/>
    <w:rsid w:val="00566549"/>
    <w:rsid w:val="00566752"/>
    <w:rsid w:val="005723C8"/>
    <w:rsid w:val="00573FB7"/>
    <w:rsid w:val="00574836"/>
    <w:rsid w:val="005775D0"/>
    <w:rsid w:val="005776A0"/>
    <w:rsid w:val="00580645"/>
    <w:rsid w:val="00580773"/>
    <w:rsid w:val="005811C5"/>
    <w:rsid w:val="005823F3"/>
    <w:rsid w:val="0058293E"/>
    <w:rsid w:val="00590600"/>
    <w:rsid w:val="00591C10"/>
    <w:rsid w:val="00592CF3"/>
    <w:rsid w:val="00592E24"/>
    <w:rsid w:val="00594588"/>
    <w:rsid w:val="005A04FB"/>
    <w:rsid w:val="005A1737"/>
    <w:rsid w:val="005A184B"/>
    <w:rsid w:val="005A2BDB"/>
    <w:rsid w:val="005A47FE"/>
    <w:rsid w:val="005B167F"/>
    <w:rsid w:val="005B1E86"/>
    <w:rsid w:val="005B1FCB"/>
    <w:rsid w:val="005B35CF"/>
    <w:rsid w:val="005B415F"/>
    <w:rsid w:val="005B51D0"/>
    <w:rsid w:val="005B5F81"/>
    <w:rsid w:val="005B6405"/>
    <w:rsid w:val="005C1361"/>
    <w:rsid w:val="005C1678"/>
    <w:rsid w:val="005C50CA"/>
    <w:rsid w:val="005C5453"/>
    <w:rsid w:val="005C6731"/>
    <w:rsid w:val="005D1875"/>
    <w:rsid w:val="005D1A87"/>
    <w:rsid w:val="005D64A2"/>
    <w:rsid w:val="005E02AA"/>
    <w:rsid w:val="005E4015"/>
    <w:rsid w:val="005F0D94"/>
    <w:rsid w:val="005F2834"/>
    <w:rsid w:val="005F34DB"/>
    <w:rsid w:val="005F3804"/>
    <w:rsid w:val="005F4382"/>
    <w:rsid w:val="005F749D"/>
    <w:rsid w:val="00602E6B"/>
    <w:rsid w:val="00604DAB"/>
    <w:rsid w:val="006051A8"/>
    <w:rsid w:val="00607116"/>
    <w:rsid w:val="0061070F"/>
    <w:rsid w:val="00610AA3"/>
    <w:rsid w:val="00610C8B"/>
    <w:rsid w:val="00614EBC"/>
    <w:rsid w:val="006154FD"/>
    <w:rsid w:val="006163AA"/>
    <w:rsid w:val="00616E5B"/>
    <w:rsid w:val="0062095A"/>
    <w:rsid w:val="00620A4C"/>
    <w:rsid w:val="00621901"/>
    <w:rsid w:val="00621CB3"/>
    <w:rsid w:val="00622B71"/>
    <w:rsid w:val="006236E2"/>
    <w:rsid w:val="00627C10"/>
    <w:rsid w:val="0063083B"/>
    <w:rsid w:val="006358EA"/>
    <w:rsid w:val="006362A2"/>
    <w:rsid w:val="006370D1"/>
    <w:rsid w:val="00637152"/>
    <w:rsid w:val="00637AA7"/>
    <w:rsid w:val="0064140E"/>
    <w:rsid w:val="0064362B"/>
    <w:rsid w:val="00644577"/>
    <w:rsid w:val="00647652"/>
    <w:rsid w:val="00652C21"/>
    <w:rsid w:val="0065625E"/>
    <w:rsid w:val="00656642"/>
    <w:rsid w:val="00661B67"/>
    <w:rsid w:val="00661DC9"/>
    <w:rsid w:val="0067048E"/>
    <w:rsid w:val="006729B2"/>
    <w:rsid w:val="00675AB8"/>
    <w:rsid w:val="00675EC8"/>
    <w:rsid w:val="006814C4"/>
    <w:rsid w:val="00683358"/>
    <w:rsid w:val="00685BF8"/>
    <w:rsid w:val="006927E0"/>
    <w:rsid w:val="00694D48"/>
    <w:rsid w:val="00697830"/>
    <w:rsid w:val="00697A04"/>
    <w:rsid w:val="00697C01"/>
    <w:rsid w:val="006A303D"/>
    <w:rsid w:val="006A3668"/>
    <w:rsid w:val="006B513B"/>
    <w:rsid w:val="006B6063"/>
    <w:rsid w:val="006B6C09"/>
    <w:rsid w:val="006B78E9"/>
    <w:rsid w:val="006B7D20"/>
    <w:rsid w:val="006C1A35"/>
    <w:rsid w:val="006C1FF9"/>
    <w:rsid w:val="006C2779"/>
    <w:rsid w:val="006C2DB9"/>
    <w:rsid w:val="006C4658"/>
    <w:rsid w:val="006C56E6"/>
    <w:rsid w:val="006C62B8"/>
    <w:rsid w:val="006C6A3F"/>
    <w:rsid w:val="006C7919"/>
    <w:rsid w:val="006D22CE"/>
    <w:rsid w:val="006D504A"/>
    <w:rsid w:val="006E31D4"/>
    <w:rsid w:val="006E378F"/>
    <w:rsid w:val="006E5E58"/>
    <w:rsid w:val="006F2228"/>
    <w:rsid w:val="006F26A8"/>
    <w:rsid w:val="006F3DB4"/>
    <w:rsid w:val="006F7C49"/>
    <w:rsid w:val="00701692"/>
    <w:rsid w:val="007021F0"/>
    <w:rsid w:val="00702D39"/>
    <w:rsid w:val="00706147"/>
    <w:rsid w:val="0070658B"/>
    <w:rsid w:val="00706CD2"/>
    <w:rsid w:val="00707277"/>
    <w:rsid w:val="007079BB"/>
    <w:rsid w:val="00710412"/>
    <w:rsid w:val="007122ED"/>
    <w:rsid w:val="007150BB"/>
    <w:rsid w:val="00716CE9"/>
    <w:rsid w:val="007200B7"/>
    <w:rsid w:val="00720D07"/>
    <w:rsid w:val="00721BCA"/>
    <w:rsid w:val="00721D54"/>
    <w:rsid w:val="00734DFB"/>
    <w:rsid w:val="00735995"/>
    <w:rsid w:val="007401FA"/>
    <w:rsid w:val="007442EF"/>
    <w:rsid w:val="00744713"/>
    <w:rsid w:val="00744E65"/>
    <w:rsid w:val="00745DE6"/>
    <w:rsid w:val="00747F45"/>
    <w:rsid w:val="00747F9A"/>
    <w:rsid w:val="00750EF2"/>
    <w:rsid w:val="007536F2"/>
    <w:rsid w:val="0075412E"/>
    <w:rsid w:val="00754DD5"/>
    <w:rsid w:val="00756435"/>
    <w:rsid w:val="0075752F"/>
    <w:rsid w:val="00757545"/>
    <w:rsid w:val="00762A5A"/>
    <w:rsid w:val="00762AC7"/>
    <w:rsid w:val="007645C5"/>
    <w:rsid w:val="00764D65"/>
    <w:rsid w:val="0077388D"/>
    <w:rsid w:val="007738CF"/>
    <w:rsid w:val="0077552E"/>
    <w:rsid w:val="00781618"/>
    <w:rsid w:val="00782891"/>
    <w:rsid w:val="0078381D"/>
    <w:rsid w:val="00783874"/>
    <w:rsid w:val="007840DD"/>
    <w:rsid w:val="00786172"/>
    <w:rsid w:val="0078677F"/>
    <w:rsid w:val="007911BF"/>
    <w:rsid w:val="007919D5"/>
    <w:rsid w:val="0079536C"/>
    <w:rsid w:val="007A0714"/>
    <w:rsid w:val="007A1828"/>
    <w:rsid w:val="007A362B"/>
    <w:rsid w:val="007A4012"/>
    <w:rsid w:val="007B06BE"/>
    <w:rsid w:val="007B0772"/>
    <w:rsid w:val="007B08BC"/>
    <w:rsid w:val="007B4433"/>
    <w:rsid w:val="007B5148"/>
    <w:rsid w:val="007B571B"/>
    <w:rsid w:val="007B60B6"/>
    <w:rsid w:val="007B68B8"/>
    <w:rsid w:val="007C1AAF"/>
    <w:rsid w:val="007C2DA8"/>
    <w:rsid w:val="007C4239"/>
    <w:rsid w:val="007C4287"/>
    <w:rsid w:val="007C5290"/>
    <w:rsid w:val="007C7EC2"/>
    <w:rsid w:val="007D11B8"/>
    <w:rsid w:val="007D1ABE"/>
    <w:rsid w:val="007D29C7"/>
    <w:rsid w:val="007E0348"/>
    <w:rsid w:val="007E4BE9"/>
    <w:rsid w:val="007F206C"/>
    <w:rsid w:val="007F29BD"/>
    <w:rsid w:val="007F7599"/>
    <w:rsid w:val="00802D9D"/>
    <w:rsid w:val="008050AB"/>
    <w:rsid w:val="00806893"/>
    <w:rsid w:val="00807ED5"/>
    <w:rsid w:val="008102C8"/>
    <w:rsid w:val="0081255F"/>
    <w:rsid w:val="00812884"/>
    <w:rsid w:val="00812CEF"/>
    <w:rsid w:val="008158D7"/>
    <w:rsid w:val="008206F4"/>
    <w:rsid w:val="0082258F"/>
    <w:rsid w:val="00823E65"/>
    <w:rsid w:val="00824851"/>
    <w:rsid w:val="008258C2"/>
    <w:rsid w:val="00825A77"/>
    <w:rsid w:val="00825ED7"/>
    <w:rsid w:val="00826E14"/>
    <w:rsid w:val="00827363"/>
    <w:rsid w:val="00831A9F"/>
    <w:rsid w:val="00831FD0"/>
    <w:rsid w:val="0083204A"/>
    <w:rsid w:val="00832256"/>
    <w:rsid w:val="00832A8E"/>
    <w:rsid w:val="00832BBA"/>
    <w:rsid w:val="00833C39"/>
    <w:rsid w:val="0084267C"/>
    <w:rsid w:val="008448B3"/>
    <w:rsid w:val="00844EB0"/>
    <w:rsid w:val="00850149"/>
    <w:rsid w:val="00852096"/>
    <w:rsid w:val="00852FE9"/>
    <w:rsid w:val="00853318"/>
    <w:rsid w:val="0085474D"/>
    <w:rsid w:val="00856555"/>
    <w:rsid w:val="00861813"/>
    <w:rsid w:val="008627C6"/>
    <w:rsid w:val="00864286"/>
    <w:rsid w:val="00864CD1"/>
    <w:rsid w:val="00865CF1"/>
    <w:rsid w:val="0087057F"/>
    <w:rsid w:val="0087165D"/>
    <w:rsid w:val="008738B3"/>
    <w:rsid w:val="00874086"/>
    <w:rsid w:val="00874487"/>
    <w:rsid w:val="00875415"/>
    <w:rsid w:val="00875D67"/>
    <w:rsid w:val="0087660F"/>
    <w:rsid w:val="00876633"/>
    <w:rsid w:val="00877232"/>
    <w:rsid w:val="00877A80"/>
    <w:rsid w:val="00880395"/>
    <w:rsid w:val="008805D6"/>
    <w:rsid w:val="008807B4"/>
    <w:rsid w:val="00880C8E"/>
    <w:rsid w:val="0088127A"/>
    <w:rsid w:val="008848BA"/>
    <w:rsid w:val="00885560"/>
    <w:rsid w:val="0089113E"/>
    <w:rsid w:val="00893262"/>
    <w:rsid w:val="008A1485"/>
    <w:rsid w:val="008A266C"/>
    <w:rsid w:val="008B10A2"/>
    <w:rsid w:val="008B149A"/>
    <w:rsid w:val="008B4329"/>
    <w:rsid w:val="008C2EFA"/>
    <w:rsid w:val="008C51F1"/>
    <w:rsid w:val="008C59A3"/>
    <w:rsid w:val="008D09DB"/>
    <w:rsid w:val="008D1416"/>
    <w:rsid w:val="008D1543"/>
    <w:rsid w:val="008D157D"/>
    <w:rsid w:val="008D1EB5"/>
    <w:rsid w:val="008D5F7C"/>
    <w:rsid w:val="008D6378"/>
    <w:rsid w:val="008E0DB0"/>
    <w:rsid w:val="008E2995"/>
    <w:rsid w:val="008E4877"/>
    <w:rsid w:val="008E78B4"/>
    <w:rsid w:val="008F05E9"/>
    <w:rsid w:val="008F50BD"/>
    <w:rsid w:val="008F7B28"/>
    <w:rsid w:val="008F7F7E"/>
    <w:rsid w:val="0090089E"/>
    <w:rsid w:val="00901ACC"/>
    <w:rsid w:val="00901F46"/>
    <w:rsid w:val="00904B98"/>
    <w:rsid w:val="00907D96"/>
    <w:rsid w:val="00911098"/>
    <w:rsid w:val="00911C55"/>
    <w:rsid w:val="009155A1"/>
    <w:rsid w:val="0091601F"/>
    <w:rsid w:val="00916249"/>
    <w:rsid w:val="009162B9"/>
    <w:rsid w:val="00916544"/>
    <w:rsid w:val="00920AA2"/>
    <w:rsid w:val="0092133B"/>
    <w:rsid w:val="00922F91"/>
    <w:rsid w:val="00924165"/>
    <w:rsid w:val="00924200"/>
    <w:rsid w:val="00924EAA"/>
    <w:rsid w:val="00930AC8"/>
    <w:rsid w:val="00931848"/>
    <w:rsid w:val="00931D4F"/>
    <w:rsid w:val="00932828"/>
    <w:rsid w:val="0093464F"/>
    <w:rsid w:val="0093534D"/>
    <w:rsid w:val="00937C48"/>
    <w:rsid w:val="00937F78"/>
    <w:rsid w:val="00943100"/>
    <w:rsid w:val="00945FD0"/>
    <w:rsid w:val="00946E69"/>
    <w:rsid w:val="00950F7A"/>
    <w:rsid w:val="00952000"/>
    <w:rsid w:val="009533C5"/>
    <w:rsid w:val="009538D6"/>
    <w:rsid w:val="009554DE"/>
    <w:rsid w:val="00955D1B"/>
    <w:rsid w:val="009573E7"/>
    <w:rsid w:val="0096038D"/>
    <w:rsid w:val="009643C1"/>
    <w:rsid w:val="0096499B"/>
    <w:rsid w:val="00964A21"/>
    <w:rsid w:val="00964C86"/>
    <w:rsid w:val="009668D4"/>
    <w:rsid w:val="00966C8A"/>
    <w:rsid w:val="0098201B"/>
    <w:rsid w:val="00982399"/>
    <w:rsid w:val="0098411C"/>
    <w:rsid w:val="009845AE"/>
    <w:rsid w:val="00987C8D"/>
    <w:rsid w:val="00992DA5"/>
    <w:rsid w:val="009942C1"/>
    <w:rsid w:val="009956A2"/>
    <w:rsid w:val="0099583E"/>
    <w:rsid w:val="00996567"/>
    <w:rsid w:val="00997710"/>
    <w:rsid w:val="00997F86"/>
    <w:rsid w:val="009A0EFF"/>
    <w:rsid w:val="009A2123"/>
    <w:rsid w:val="009A2C2F"/>
    <w:rsid w:val="009A7389"/>
    <w:rsid w:val="009B06A8"/>
    <w:rsid w:val="009B084D"/>
    <w:rsid w:val="009B1148"/>
    <w:rsid w:val="009B1D4D"/>
    <w:rsid w:val="009B3D4C"/>
    <w:rsid w:val="009B45F0"/>
    <w:rsid w:val="009B4B19"/>
    <w:rsid w:val="009C0137"/>
    <w:rsid w:val="009C0960"/>
    <w:rsid w:val="009C2AD9"/>
    <w:rsid w:val="009C351B"/>
    <w:rsid w:val="009C6960"/>
    <w:rsid w:val="009D2FA7"/>
    <w:rsid w:val="009D528E"/>
    <w:rsid w:val="009D7FB8"/>
    <w:rsid w:val="009E0B3C"/>
    <w:rsid w:val="009E24A4"/>
    <w:rsid w:val="009E2BF2"/>
    <w:rsid w:val="009E3A66"/>
    <w:rsid w:val="009E434E"/>
    <w:rsid w:val="009E5805"/>
    <w:rsid w:val="009E5E08"/>
    <w:rsid w:val="009E79E2"/>
    <w:rsid w:val="009F24D8"/>
    <w:rsid w:val="009F4760"/>
    <w:rsid w:val="00A00876"/>
    <w:rsid w:val="00A02CA0"/>
    <w:rsid w:val="00A03D8E"/>
    <w:rsid w:val="00A0459C"/>
    <w:rsid w:val="00A053D9"/>
    <w:rsid w:val="00A06061"/>
    <w:rsid w:val="00A10F10"/>
    <w:rsid w:val="00A1595B"/>
    <w:rsid w:val="00A20462"/>
    <w:rsid w:val="00A21079"/>
    <w:rsid w:val="00A25349"/>
    <w:rsid w:val="00A26F7D"/>
    <w:rsid w:val="00A30E94"/>
    <w:rsid w:val="00A319C7"/>
    <w:rsid w:val="00A31C98"/>
    <w:rsid w:val="00A33F7C"/>
    <w:rsid w:val="00A34BCC"/>
    <w:rsid w:val="00A37FCC"/>
    <w:rsid w:val="00A45D44"/>
    <w:rsid w:val="00A47E32"/>
    <w:rsid w:val="00A51100"/>
    <w:rsid w:val="00A52B7B"/>
    <w:rsid w:val="00A55D4A"/>
    <w:rsid w:val="00A606C5"/>
    <w:rsid w:val="00A60983"/>
    <w:rsid w:val="00A6190C"/>
    <w:rsid w:val="00A61AFE"/>
    <w:rsid w:val="00A636EB"/>
    <w:rsid w:val="00A65F75"/>
    <w:rsid w:val="00A66E60"/>
    <w:rsid w:val="00A71F96"/>
    <w:rsid w:val="00A746B8"/>
    <w:rsid w:val="00A8657C"/>
    <w:rsid w:val="00A91886"/>
    <w:rsid w:val="00A94696"/>
    <w:rsid w:val="00A9745F"/>
    <w:rsid w:val="00AA3F09"/>
    <w:rsid w:val="00AB0305"/>
    <w:rsid w:val="00AB106C"/>
    <w:rsid w:val="00AB221F"/>
    <w:rsid w:val="00AB70AE"/>
    <w:rsid w:val="00AC0683"/>
    <w:rsid w:val="00AC0D37"/>
    <w:rsid w:val="00AC3AE5"/>
    <w:rsid w:val="00AC5B64"/>
    <w:rsid w:val="00AC7830"/>
    <w:rsid w:val="00AD289C"/>
    <w:rsid w:val="00AD2D78"/>
    <w:rsid w:val="00AD500B"/>
    <w:rsid w:val="00AD5CEC"/>
    <w:rsid w:val="00AE021F"/>
    <w:rsid w:val="00AE3896"/>
    <w:rsid w:val="00AE48CE"/>
    <w:rsid w:val="00AE6A1F"/>
    <w:rsid w:val="00AF2C12"/>
    <w:rsid w:val="00AF319F"/>
    <w:rsid w:val="00AF5DBF"/>
    <w:rsid w:val="00B00BFF"/>
    <w:rsid w:val="00B00DD8"/>
    <w:rsid w:val="00B01414"/>
    <w:rsid w:val="00B04FF7"/>
    <w:rsid w:val="00B062AE"/>
    <w:rsid w:val="00B07B8F"/>
    <w:rsid w:val="00B1096C"/>
    <w:rsid w:val="00B11178"/>
    <w:rsid w:val="00B12C67"/>
    <w:rsid w:val="00B13685"/>
    <w:rsid w:val="00B16DD6"/>
    <w:rsid w:val="00B23665"/>
    <w:rsid w:val="00B24B80"/>
    <w:rsid w:val="00B250F6"/>
    <w:rsid w:val="00B27BC9"/>
    <w:rsid w:val="00B310F2"/>
    <w:rsid w:val="00B320AB"/>
    <w:rsid w:val="00B327CC"/>
    <w:rsid w:val="00B37A7C"/>
    <w:rsid w:val="00B40337"/>
    <w:rsid w:val="00B406D1"/>
    <w:rsid w:val="00B428D4"/>
    <w:rsid w:val="00B430C5"/>
    <w:rsid w:val="00B43826"/>
    <w:rsid w:val="00B507A8"/>
    <w:rsid w:val="00B52FCB"/>
    <w:rsid w:val="00B53100"/>
    <w:rsid w:val="00B536A2"/>
    <w:rsid w:val="00B55F78"/>
    <w:rsid w:val="00B65B6F"/>
    <w:rsid w:val="00B662FF"/>
    <w:rsid w:val="00B709CD"/>
    <w:rsid w:val="00B73517"/>
    <w:rsid w:val="00B75CAF"/>
    <w:rsid w:val="00B75E1E"/>
    <w:rsid w:val="00B76B77"/>
    <w:rsid w:val="00B8070F"/>
    <w:rsid w:val="00B814E2"/>
    <w:rsid w:val="00B83CC4"/>
    <w:rsid w:val="00B83E29"/>
    <w:rsid w:val="00B85345"/>
    <w:rsid w:val="00B87873"/>
    <w:rsid w:val="00B931F2"/>
    <w:rsid w:val="00B97391"/>
    <w:rsid w:val="00BA118E"/>
    <w:rsid w:val="00BA1FA4"/>
    <w:rsid w:val="00BA28B1"/>
    <w:rsid w:val="00BA3E91"/>
    <w:rsid w:val="00BA4BDB"/>
    <w:rsid w:val="00BA5112"/>
    <w:rsid w:val="00BB317F"/>
    <w:rsid w:val="00BB4339"/>
    <w:rsid w:val="00BB5252"/>
    <w:rsid w:val="00BB5D86"/>
    <w:rsid w:val="00BB6DC7"/>
    <w:rsid w:val="00BC08EF"/>
    <w:rsid w:val="00BC0B07"/>
    <w:rsid w:val="00BC2A01"/>
    <w:rsid w:val="00BC4CAE"/>
    <w:rsid w:val="00BD2716"/>
    <w:rsid w:val="00BD502B"/>
    <w:rsid w:val="00BD5178"/>
    <w:rsid w:val="00BD5F16"/>
    <w:rsid w:val="00BD62C7"/>
    <w:rsid w:val="00BD6CB2"/>
    <w:rsid w:val="00BD7C48"/>
    <w:rsid w:val="00BE034F"/>
    <w:rsid w:val="00BE09E4"/>
    <w:rsid w:val="00BE24FF"/>
    <w:rsid w:val="00BE2B48"/>
    <w:rsid w:val="00BE2E91"/>
    <w:rsid w:val="00BE4E7D"/>
    <w:rsid w:val="00BE7C52"/>
    <w:rsid w:val="00BE7E37"/>
    <w:rsid w:val="00BF1550"/>
    <w:rsid w:val="00BF3CDF"/>
    <w:rsid w:val="00BF5367"/>
    <w:rsid w:val="00BF61DF"/>
    <w:rsid w:val="00BF62B8"/>
    <w:rsid w:val="00C0258B"/>
    <w:rsid w:val="00C02C20"/>
    <w:rsid w:val="00C03CD5"/>
    <w:rsid w:val="00C0665B"/>
    <w:rsid w:val="00C06ACD"/>
    <w:rsid w:val="00C071B3"/>
    <w:rsid w:val="00C07BC2"/>
    <w:rsid w:val="00C104F2"/>
    <w:rsid w:val="00C13353"/>
    <w:rsid w:val="00C154CA"/>
    <w:rsid w:val="00C15884"/>
    <w:rsid w:val="00C15E94"/>
    <w:rsid w:val="00C16FAF"/>
    <w:rsid w:val="00C21F59"/>
    <w:rsid w:val="00C25804"/>
    <w:rsid w:val="00C276D5"/>
    <w:rsid w:val="00C307AA"/>
    <w:rsid w:val="00C31BA2"/>
    <w:rsid w:val="00C348AF"/>
    <w:rsid w:val="00C353FB"/>
    <w:rsid w:val="00C3654A"/>
    <w:rsid w:val="00C367E0"/>
    <w:rsid w:val="00C42BC5"/>
    <w:rsid w:val="00C430AB"/>
    <w:rsid w:val="00C43557"/>
    <w:rsid w:val="00C43D62"/>
    <w:rsid w:val="00C44C0F"/>
    <w:rsid w:val="00C450B1"/>
    <w:rsid w:val="00C46796"/>
    <w:rsid w:val="00C517C0"/>
    <w:rsid w:val="00C518FF"/>
    <w:rsid w:val="00C5238F"/>
    <w:rsid w:val="00C57B14"/>
    <w:rsid w:val="00C62C18"/>
    <w:rsid w:val="00C64D94"/>
    <w:rsid w:val="00C67205"/>
    <w:rsid w:val="00C6738A"/>
    <w:rsid w:val="00C675B8"/>
    <w:rsid w:val="00C70EFC"/>
    <w:rsid w:val="00C71413"/>
    <w:rsid w:val="00C725A0"/>
    <w:rsid w:val="00C7483D"/>
    <w:rsid w:val="00C74B3E"/>
    <w:rsid w:val="00C77D6B"/>
    <w:rsid w:val="00C807FE"/>
    <w:rsid w:val="00C8241F"/>
    <w:rsid w:val="00C8504F"/>
    <w:rsid w:val="00C8641C"/>
    <w:rsid w:val="00C86A10"/>
    <w:rsid w:val="00C87765"/>
    <w:rsid w:val="00C94139"/>
    <w:rsid w:val="00C963E4"/>
    <w:rsid w:val="00CA16B5"/>
    <w:rsid w:val="00CA381B"/>
    <w:rsid w:val="00CA42EA"/>
    <w:rsid w:val="00CA71BE"/>
    <w:rsid w:val="00CB05DB"/>
    <w:rsid w:val="00CB11CD"/>
    <w:rsid w:val="00CB3114"/>
    <w:rsid w:val="00CB45C2"/>
    <w:rsid w:val="00CB56F8"/>
    <w:rsid w:val="00CB7D11"/>
    <w:rsid w:val="00CC235B"/>
    <w:rsid w:val="00CC42DC"/>
    <w:rsid w:val="00CC4F7E"/>
    <w:rsid w:val="00CC7551"/>
    <w:rsid w:val="00CD11A0"/>
    <w:rsid w:val="00CD33A1"/>
    <w:rsid w:val="00CD5DD1"/>
    <w:rsid w:val="00CD635E"/>
    <w:rsid w:val="00CE29C4"/>
    <w:rsid w:val="00CE3E06"/>
    <w:rsid w:val="00CE44DC"/>
    <w:rsid w:val="00CE49FC"/>
    <w:rsid w:val="00CE63A2"/>
    <w:rsid w:val="00CE75BC"/>
    <w:rsid w:val="00CF1E43"/>
    <w:rsid w:val="00CF2750"/>
    <w:rsid w:val="00CF47EF"/>
    <w:rsid w:val="00CF7033"/>
    <w:rsid w:val="00D000C2"/>
    <w:rsid w:val="00D00138"/>
    <w:rsid w:val="00D019AE"/>
    <w:rsid w:val="00D04158"/>
    <w:rsid w:val="00D04561"/>
    <w:rsid w:val="00D10925"/>
    <w:rsid w:val="00D1099A"/>
    <w:rsid w:val="00D13C01"/>
    <w:rsid w:val="00D2339E"/>
    <w:rsid w:val="00D24704"/>
    <w:rsid w:val="00D25DE9"/>
    <w:rsid w:val="00D303A7"/>
    <w:rsid w:val="00D35226"/>
    <w:rsid w:val="00D4304C"/>
    <w:rsid w:val="00D460E8"/>
    <w:rsid w:val="00D46534"/>
    <w:rsid w:val="00D515B1"/>
    <w:rsid w:val="00D53195"/>
    <w:rsid w:val="00D55DEA"/>
    <w:rsid w:val="00D5627D"/>
    <w:rsid w:val="00D674DB"/>
    <w:rsid w:val="00D67E2D"/>
    <w:rsid w:val="00D703E7"/>
    <w:rsid w:val="00D70ECF"/>
    <w:rsid w:val="00D71993"/>
    <w:rsid w:val="00D75DA9"/>
    <w:rsid w:val="00D77C53"/>
    <w:rsid w:val="00D80DF2"/>
    <w:rsid w:val="00D80FF2"/>
    <w:rsid w:val="00D83705"/>
    <w:rsid w:val="00D846AC"/>
    <w:rsid w:val="00D86254"/>
    <w:rsid w:val="00D9124F"/>
    <w:rsid w:val="00D92F8A"/>
    <w:rsid w:val="00D93F42"/>
    <w:rsid w:val="00D968D2"/>
    <w:rsid w:val="00D97491"/>
    <w:rsid w:val="00D97567"/>
    <w:rsid w:val="00DA1032"/>
    <w:rsid w:val="00DA1566"/>
    <w:rsid w:val="00DA6087"/>
    <w:rsid w:val="00DA6F77"/>
    <w:rsid w:val="00DB027E"/>
    <w:rsid w:val="00DB17BF"/>
    <w:rsid w:val="00DB3709"/>
    <w:rsid w:val="00DB58B8"/>
    <w:rsid w:val="00DB6234"/>
    <w:rsid w:val="00DC049F"/>
    <w:rsid w:val="00DC0904"/>
    <w:rsid w:val="00DC47CB"/>
    <w:rsid w:val="00DC6124"/>
    <w:rsid w:val="00DC6781"/>
    <w:rsid w:val="00DD1283"/>
    <w:rsid w:val="00DD49C7"/>
    <w:rsid w:val="00DD7DB2"/>
    <w:rsid w:val="00DE4040"/>
    <w:rsid w:val="00DE6E06"/>
    <w:rsid w:val="00DE7016"/>
    <w:rsid w:val="00DF2014"/>
    <w:rsid w:val="00DF47B1"/>
    <w:rsid w:val="00DF4EC1"/>
    <w:rsid w:val="00E01261"/>
    <w:rsid w:val="00E02E60"/>
    <w:rsid w:val="00E0452F"/>
    <w:rsid w:val="00E04BCE"/>
    <w:rsid w:val="00E05AC7"/>
    <w:rsid w:val="00E116E0"/>
    <w:rsid w:val="00E13701"/>
    <w:rsid w:val="00E158D1"/>
    <w:rsid w:val="00E15AA1"/>
    <w:rsid w:val="00E16024"/>
    <w:rsid w:val="00E16567"/>
    <w:rsid w:val="00E16EA0"/>
    <w:rsid w:val="00E17F07"/>
    <w:rsid w:val="00E20C6D"/>
    <w:rsid w:val="00E213F5"/>
    <w:rsid w:val="00E23A7D"/>
    <w:rsid w:val="00E23FC3"/>
    <w:rsid w:val="00E24518"/>
    <w:rsid w:val="00E250FE"/>
    <w:rsid w:val="00E3039A"/>
    <w:rsid w:val="00E307D3"/>
    <w:rsid w:val="00E3433F"/>
    <w:rsid w:val="00E400D2"/>
    <w:rsid w:val="00E40132"/>
    <w:rsid w:val="00E40D75"/>
    <w:rsid w:val="00E4325A"/>
    <w:rsid w:val="00E475CF"/>
    <w:rsid w:val="00E5141C"/>
    <w:rsid w:val="00E523F9"/>
    <w:rsid w:val="00E54990"/>
    <w:rsid w:val="00E54F28"/>
    <w:rsid w:val="00E55E54"/>
    <w:rsid w:val="00E64979"/>
    <w:rsid w:val="00E6578F"/>
    <w:rsid w:val="00E678DE"/>
    <w:rsid w:val="00E7194A"/>
    <w:rsid w:val="00E7446F"/>
    <w:rsid w:val="00E74DB3"/>
    <w:rsid w:val="00E7597C"/>
    <w:rsid w:val="00E760D9"/>
    <w:rsid w:val="00E80518"/>
    <w:rsid w:val="00E835EB"/>
    <w:rsid w:val="00E846FF"/>
    <w:rsid w:val="00E85B82"/>
    <w:rsid w:val="00E85BA3"/>
    <w:rsid w:val="00E87B5C"/>
    <w:rsid w:val="00E87E4C"/>
    <w:rsid w:val="00E91D1C"/>
    <w:rsid w:val="00E920E4"/>
    <w:rsid w:val="00E940BD"/>
    <w:rsid w:val="00E94A3E"/>
    <w:rsid w:val="00E95DF5"/>
    <w:rsid w:val="00E95E4E"/>
    <w:rsid w:val="00E96F5F"/>
    <w:rsid w:val="00EA13F8"/>
    <w:rsid w:val="00EA1847"/>
    <w:rsid w:val="00EA37D0"/>
    <w:rsid w:val="00EB2081"/>
    <w:rsid w:val="00EB3EF3"/>
    <w:rsid w:val="00EB42CC"/>
    <w:rsid w:val="00EB74E0"/>
    <w:rsid w:val="00EC0363"/>
    <w:rsid w:val="00EC05CA"/>
    <w:rsid w:val="00EC118B"/>
    <w:rsid w:val="00EC2FCA"/>
    <w:rsid w:val="00EC3044"/>
    <w:rsid w:val="00EC3F73"/>
    <w:rsid w:val="00EC6A99"/>
    <w:rsid w:val="00ED1577"/>
    <w:rsid w:val="00ED1C0E"/>
    <w:rsid w:val="00ED5EB7"/>
    <w:rsid w:val="00EE1FAB"/>
    <w:rsid w:val="00EE2951"/>
    <w:rsid w:val="00EE2FB8"/>
    <w:rsid w:val="00EE348B"/>
    <w:rsid w:val="00EE75CE"/>
    <w:rsid w:val="00EE7EFB"/>
    <w:rsid w:val="00EF06D1"/>
    <w:rsid w:val="00EF1659"/>
    <w:rsid w:val="00EF186B"/>
    <w:rsid w:val="00EF1AEB"/>
    <w:rsid w:val="00EF3017"/>
    <w:rsid w:val="00EF4FF7"/>
    <w:rsid w:val="00F03D82"/>
    <w:rsid w:val="00F045EC"/>
    <w:rsid w:val="00F10468"/>
    <w:rsid w:val="00F15B06"/>
    <w:rsid w:val="00F23F2D"/>
    <w:rsid w:val="00F24252"/>
    <w:rsid w:val="00F2618F"/>
    <w:rsid w:val="00F30306"/>
    <w:rsid w:val="00F31956"/>
    <w:rsid w:val="00F31D65"/>
    <w:rsid w:val="00F322D9"/>
    <w:rsid w:val="00F32512"/>
    <w:rsid w:val="00F32E0D"/>
    <w:rsid w:val="00F36DE9"/>
    <w:rsid w:val="00F37482"/>
    <w:rsid w:val="00F42478"/>
    <w:rsid w:val="00F427B9"/>
    <w:rsid w:val="00F4340E"/>
    <w:rsid w:val="00F4462C"/>
    <w:rsid w:val="00F458DE"/>
    <w:rsid w:val="00F46EC3"/>
    <w:rsid w:val="00F53835"/>
    <w:rsid w:val="00F53904"/>
    <w:rsid w:val="00F56D46"/>
    <w:rsid w:val="00F62A5F"/>
    <w:rsid w:val="00F63262"/>
    <w:rsid w:val="00F63C86"/>
    <w:rsid w:val="00F66224"/>
    <w:rsid w:val="00F669D2"/>
    <w:rsid w:val="00F67985"/>
    <w:rsid w:val="00F67BBB"/>
    <w:rsid w:val="00F7025D"/>
    <w:rsid w:val="00F71824"/>
    <w:rsid w:val="00F74528"/>
    <w:rsid w:val="00F77B16"/>
    <w:rsid w:val="00F80263"/>
    <w:rsid w:val="00F80D9E"/>
    <w:rsid w:val="00F816E2"/>
    <w:rsid w:val="00F83D0A"/>
    <w:rsid w:val="00F8562F"/>
    <w:rsid w:val="00F85FA5"/>
    <w:rsid w:val="00F8623A"/>
    <w:rsid w:val="00F877E4"/>
    <w:rsid w:val="00F90BEA"/>
    <w:rsid w:val="00F91C60"/>
    <w:rsid w:val="00F92361"/>
    <w:rsid w:val="00F945C5"/>
    <w:rsid w:val="00F9475F"/>
    <w:rsid w:val="00FA5874"/>
    <w:rsid w:val="00FA63E4"/>
    <w:rsid w:val="00FB0C41"/>
    <w:rsid w:val="00FB1426"/>
    <w:rsid w:val="00FB2C9A"/>
    <w:rsid w:val="00FB30C8"/>
    <w:rsid w:val="00FB3657"/>
    <w:rsid w:val="00FB46A9"/>
    <w:rsid w:val="00FB5EAC"/>
    <w:rsid w:val="00FB751F"/>
    <w:rsid w:val="00FC1816"/>
    <w:rsid w:val="00FC20F3"/>
    <w:rsid w:val="00FC221B"/>
    <w:rsid w:val="00FC3891"/>
    <w:rsid w:val="00FC6043"/>
    <w:rsid w:val="00FC69D4"/>
    <w:rsid w:val="00FD1851"/>
    <w:rsid w:val="00FD279D"/>
    <w:rsid w:val="00FD2D67"/>
    <w:rsid w:val="00FD3780"/>
    <w:rsid w:val="00FD4C77"/>
    <w:rsid w:val="00FD50F8"/>
    <w:rsid w:val="00FD623A"/>
    <w:rsid w:val="00FD65C7"/>
    <w:rsid w:val="00FD7D6D"/>
    <w:rsid w:val="00FE0118"/>
    <w:rsid w:val="00FE0FCE"/>
    <w:rsid w:val="00FE1254"/>
    <w:rsid w:val="00FE2C93"/>
    <w:rsid w:val="00FE2E5B"/>
    <w:rsid w:val="00FE3931"/>
    <w:rsid w:val="00FE61BC"/>
    <w:rsid w:val="00FE65FE"/>
    <w:rsid w:val="00FE6F44"/>
    <w:rsid w:val="00FF0470"/>
    <w:rsid w:val="00FF087C"/>
    <w:rsid w:val="00FF25E8"/>
    <w:rsid w:val="00FF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basedOn w:val="Normal"/>
    <w:link w:val="FootnoteTextChar"/>
    <w:unhideWhenUsed/>
    <w:rsid w:val="00C86A10"/>
    <w:rPr>
      <w:sz w:val="20"/>
      <w:szCs w:val="20"/>
    </w:rPr>
  </w:style>
  <w:style w:type="character" w:customStyle="1" w:styleId="FootnoteTextChar">
    <w:name w:val="Footnote Text Char"/>
    <w:basedOn w:val="DefaultParagraphFont"/>
    <w:link w:val="FootnoteText"/>
    <w:rsid w:val="00C86A10"/>
    <w:rPr>
      <w:sz w:val="20"/>
      <w:szCs w:val="20"/>
    </w:rPr>
  </w:style>
  <w:style w:type="character" w:styleId="FootnoteReference">
    <w:name w:val="footnote reference"/>
    <w:basedOn w:val="DefaultParagraphFont"/>
    <w:semiHidden/>
    <w:unhideWhenUsed/>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paragraph" w:customStyle="1" w:styleId="Default">
    <w:name w:val="Default"/>
    <w:rsid w:val="00A053D9"/>
    <w:pPr>
      <w:autoSpaceDE w:val="0"/>
      <w:autoSpaceDN w:val="0"/>
      <w:adjustRightInd w:val="0"/>
      <w:spacing w:after="0" w:line="240" w:lineRule="auto"/>
    </w:pPr>
    <w:rPr>
      <w:rFonts w:ascii="Arial" w:hAnsi="Arial" w:cs="Arial"/>
      <w:color w:val="000000"/>
    </w:rPr>
  </w:style>
  <w:style w:type="paragraph" w:customStyle="1" w:styleId="NumberedParagraph">
    <w:name w:val="Numbered Paragraph"/>
    <w:basedOn w:val="Normal"/>
    <w:rsid w:val="007D29C7"/>
    <w:pPr>
      <w:numPr>
        <w:numId w:val="19"/>
      </w:numPr>
      <w:spacing w:after="240"/>
    </w:pPr>
    <w:rPr>
      <w:rFonts w:eastAsia="Times New Roman"/>
    </w:rPr>
  </w:style>
  <w:style w:type="paragraph" w:styleId="EndnoteText">
    <w:name w:val="endnote text"/>
    <w:basedOn w:val="Normal"/>
    <w:link w:val="EndnoteTextChar"/>
    <w:uiPriority w:val="99"/>
    <w:semiHidden/>
    <w:unhideWhenUsed/>
    <w:rsid w:val="0009146E"/>
    <w:rPr>
      <w:sz w:val="20"/>
      <w:szCs w:val="20"/>
    </w:rPr>
  </w:style>
  <w:style w:type="character" w:customStyle="1" w:styleId="EndnoteTextChar">
    <w:name w:val="Endnote Text Char"/>
    <w:basedOn w:val="DefaultParagraphFont"/>
    <w:link w:val="EndnoteText"/>
    <w:uiPriority w:val="99"/>
    <w:semiHidden/>
    <w:rsid w:val="0009146E"/>
    <w:rPr>
      <w:sz w:val="20"/>
      <w:szCs w:val="20"/>
    </w:rPr>
  </w:style>
  <w:style w:type="character" w:styleId="EndnoteReference">
    <w:name w:val="endnote reference"/>
    <w:basedOn w:val="DefaultParagraphFont"/>
    <w:uiPriority w:val="99"/>
    <w:semiHidden/>
    <w:unhideWhenUsed/>
    <w:rsid w:val="000914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basedOn w:val="Normal"/>
    <w:link w:val="FootnoteTextChar"/>
    <w:unhideWhenUsed/>
    <w:rsid w:val="00C86A10"/>
    <w:rPr>
      <w:sz w:val="20"/>
      <w:szCs w:val="20"/>
    </w:rPr>
  </w:style>
  <w:style w:type="character" w:customStyle="1" w:styleId="FootnoteTextChar">
    <w:name w:val="Footnote Text Char"/>
    <w:basedOn w:val="DefaultParagraphFont"/>
    <w:link w:val="FootnoteText"/>
    <w:rsid w:val="00C86A10"/>
    <w:rPr>
      <w:sz w:val="20"/>
      <w:szCs w:val="20"/>
    </w:rPr>
  </w:style>
  <w:style w:type="character" w:styleId="FootnoteReference">
    <w:name w:val="footnote reference"/>
    <w:basedOn w:val="DefaultParagraphFont"/>
    <w:semiHidden/>
    <w:unhideWhenUsed/>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paragraph" w:customStyle="1" w:styleId="Default">
    <w:name w:val="Default"/>
    <w:rsid w:val="00A053D9"/>
    <w:pPr>
      <w:autoSpaceDE w:val="0"/>
      <w:autoSpaceDN w:val="0"/>
      <w:adjustRightInd w:val="0"/>
      <w:spacing w:after="0" w:line="240" w:lineRule="auto"/>
    </w:pPr>
    <w:rPr>
      <w:rFonts w:ascii="Arial" w:hAnsi="Arial" w:cs="Arial"/>
      <w:color w:val="000000"/>
    </w:rPr>
  </w:style>
  <w:style w:type="paragraph" w:customStyle="1" w:styleId="NumberedParagraph">
    <w:name w:val="Numbered Paragraph"/>
    <w:basedOn w:val="Normal"/>
    <w:rsid w:val="007D29C7"/>
    <w:pPr>
      <w:numPr>
        <w:numId w:val="19"/>
      </w:numPr>
      <w:spacing w:after="240"/>
    </w:pPr>
    <w:rPr>
      <w:rFonts w:eastAsia="Times New Roman"/>
    </w:rPr>
  </w:style>
  <w:style w:type="paragraph" w:styleId="EndnoteText">
    <w:name w:val="endnote text"/>
    <w:basedOn w:val="Normal"/>
    <w:link w:val="EndnoteTextChar"/>
    <w:uiPriority w:val="99"/>
    <w:semiHidden/>
    <w:unhideWhenUsed/>
    <w:rsid w:val="0009146E"/>
    <w:rPr>
      <w:sz w:val="20"/>
      <w:szCs w:val="20"/>
    </w:rPr>
  </w:style>
  <w:style w:type="character" w:customStyle="1" w:styleId="EndnoteTextChar">
    <w:name w:val="Endnote Text Char"/>
    <w:basedOn w:val="DefaultParagraphFont"/>
    <w:link w:val="EndnoteText"/>
    <w:uiPriority w:val="99"/>
    <w:semiHidden/>
    <w:rsid w:val="0009146E"/>
    <w:rPr>
      <w:sz w:val="20"/>
      <w:szCs w:val="20"/>
    </w:rPr>
  </w:style>
  <w:style w:type="character" w:styleId="EndnoteReference">
    <w:name w:val="endnote reference"/>
    <w:basedOn w:val="DefaultParagraphFont"/>
    <w:uiPriority w:val="99"/>
    <w:semiHidden/>
    <w:unhideWhenUsed/>
    <w:rsid w:val="00091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51465026">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457846371">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68743828">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60554574">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4EFBD-4813-4E46-A105-D3C3801A159F}"/>
</file>

<file path=customXml/itemProps2.xml><?xml version="1.0" encoding="utf-8"?>
<ds:datastoreItem xmlns:ds="http://schemas.openxmlformats.org/officeDocument/2006/customXml" ds:itemID="{BAD8593C-FD15-4380-BE05-E69EA8A96256}"/>
</file>

<file path=customXml/itemProps3.xml><?xml version="1.0" encoding="utf-8"?>
<ds:datastoreItem xmlns:ds="http://schemas.openxmlformats.org/officeDocument/2006/customXml" ds:itemID="{C4C4BAC7-F6F8-4B9F-80EB-3299CA73ABEB}"/>
</file>

<file path=customXml/itemProps4.xml><?xml version="1.0" encoding="utf-8"?>
<ds:datastoreItem xmlns:ds="http://schemas.openxmlformats.org/officeDocument/2006/customXml" ds:itemID="{C76DE6B4-95FF-4A55-B077-940C3E14A3FD}"/>
</file>

<file path=customXml/itemProps5.xml><?xml version="1.0" encoding="utf-8"?>
<ds:datastoreItem xmlns:ds="http://schemas.openxmlformats.org/officeDocument/2006/customXml" ds:itemID="{C9AB111F-B80E-43B8-8E34-5DE95A4A898F}"/>
</file>

<file path=docProps/app.xml><?xml version="1.0" encoding="utf-8"?>
<Properties xmlns="http://schemas.openxmlformats.org/officeDocument/2006/extended-properties" xmlns:vt="http://schemas.openxmlformats.org/officeDocument/2006/docPropsVTypes">
  <Template>Normal.dotm</Template>
  <TotalTime>14</TotalTime>
  <Pages>15</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Gross</dc:creator>
  <cp:lastModifiedBy>Krista Gross</cp:lastModifiedBy>
  <cp:revision>6</cp:revision>
  <cp:lastPrinted>2013-08-12T17:08:00Z</cp:lastPrinted>
  <dcterms:created xsi:type="dcterms:W3CDTF">2013-08-14T14:37:00Z</dcterms:created>
  <dcterms:modified xsi:type="dcterms:W3CDTF">2013-08-14T17:36:00Z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