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3A" w:rsidRPr="00981E74" w:rsidRDefault="0012483A" w:rsidP="0012483A">
      <w:pPr>
        <w:pStyle w:val="BodyText"/>
        <w:jc w:val="center"/>
        <w:rPr>
          <w:b/>
        </w:rPr>
      </w:pPr>
      <w:bookmarkStart w:id="0" w:name="_GoBack"/>
      <w:bookmarkEnd w:id="0"/>
      <w:r w:rsidRPr="00981E74">
        <w:rPr>
          <w:b/>
        </w:rPr>
        <w:t>BEFORE THE WASHINGTON</w:t>
      </w:r>
    </w:p>
    <w:p w:rsidR="0012483A" w:rsidRPr="00981E74" w:rsidRDefault="0012483A" w:rsidP="0012483A">
      <w:pPr>
        <w:pStyle w:val="BodyText"/>
        <w:jc w:val="center"/>
        <w:rPr>
          <w:b/>
        </w:rPr>
      </w:pPr>
      <w:r w:rsidRPr="00981E74">
        <w:rPr>
          <w:b/>
        </w:rPr>
        <w:t>UTILITIES AND TRANSPORTATION COMMISSION</w:t>
      </w:r>
    </w:p>
    <w:p w:rsidR="0012483A" w:rsidRPr="00981E74" w:rsidRDefault="0012483A" w:rsidP="0012483A"/>
    <w:tbl>
      <w:tblPr>
        <w:tblW w:w="0" w:type="auto"/>
        <w:tblLook w:val="01E0" w:firstRow="1" w:lastRow="1" w:firstColumn="1" w:lastColumn="1" w:noHBand="0" w:noVBand="0"/>
      </w:tblPr>
      <w:tblGrid>
        <w:gridCol w:w="4248"/>
        <w:gridCol w:w="4608"/>
      </w:tblGrid>
      <w:tr w:rsidR="0012483A" w:rsidRPr="00981E74" w:rsidTr="00C1768E">
        <w:tc>
          <w:tcPr>
            <w:tcW w:w="4248" w:type="dxa"/>
          </w:tcPr>
          <w:p w:rsidR="0012483A" w:rsidRPr="00981E74" w:rsidRDefault="0012483A" w:rsidP="00C1768E">
            <w:r w:rsidRPr="00981E74">
              <w:t xml:space="preserve">In the Matter of A Complaint By The Joint CLECs Against the Joint Applicants Regarding </w:t>
            </w:r>
            <w:smartTag w:uri="urn:schemas-microsoft-com:office:smarttags" w:element="City">
              <w:smartTag w:uri="urn:schemas-microsoft-com:office:smarttags" w:element="place">
                <w:r w:rsidRPr="00981E74">
                  <w:t>OSS</w:t>
                </w:r>
              </w:smartTag>
            </w:smartTag>
            <w:r w:rsidRPr="00981E74">
              <w:t xml:space="preserve"> For Maintenance And Repair</w:t>
            </w:r>
          </w:p>
          <w:p w:rsidR="0012483A" w:rsidRPr="00981E74" w:rsidRDefault="0012483A" w:rsidP="00C1768E"/>
        </w:tc>
        <w:tc>
          <w:tcPr>
            <w:tcW w:w="4608" w:type="dxa"/>
          </w:tcPr>
          <w:p w:rsidR="0012483A" w:rsidRPr="00981E74" w:rsidRDefault="0012483A" w:rsidP="00C1768E">
            <w:r w:rsidRPr="00981E74">
              <w:t>Docket No. UT-</w:t>
            </w:r>
            <w:r>
              <w:t>111254</w:t>
            </w:r>
          </w:p>
          <w:p w:rsidR="0012483A" w:rsidRPr="00981E74" w:rsidRDefault="0012483A" w:rsidP="00C1768E"/>
          <w:p w:rsidR="0012483A" w:rsidRPr="00397269" w:rsidRDefault="00E3173D" w:rsidP="00F414FD">
            <w:pPr>
              <w:rPr>
                <w:b/>
              </w:rPr>
            </w:pPr>
            <w:r>
              <w:rPr>
                <w:b/>
              </w:rPr>
              <w:t>POST-HEARING INITIAL</w:t>
            </w:r>
            <w:r w:rsidR="00397269">
              <w:rPr>
                <w:b/>
              </w:rPr>
              <w:t xml:space="preserve"> BRIEF OF </w:t>
            </w:r>
            <w:r w:rsidR="00F414FD">
              <w:rPr>
                <w:b/>
              </w:rPr>
              <w:t>TW TELECOM OF WASHINGTON, LLC</w:t>
            </w:r>
          </w:p>
        </w:tc>
      </w:tr>
      <w:tr w:rsidR="0012483A" w:rsidRPr="00981E74" w:rsidTr="00C1768E">
        <w:tc>
          <w:tcPr>
            <w:tcW w:w="4248" w:type="dxa"/>
          </w:tcPr>
          <w:p w:rsidR="0012483A" w:rsidRPr="00981E74" w:rsidRDefault="0012483A" w:rsidP="00C1768E"/>
        </w:tc>
        <w:tc>
          <w:tcPr>
            <w:tcW w:w="4608" w:type="dxa"/>
          </w:tcPr>
          <w:p w:rsidR="0012483A" w:rsidRPr="00981E74" w:rsidRDefault="0012483A" w:rsidP="00C1768E"/>
        </w:tc>
      </w:tr>
    </w:tbl>
    <w:p w:rsidR="0012483A" w:rsidRPr="00981E74" w:rsidRDefault="0012483A" w:rsidP="0012483A"/>
    <w:p w:rsidR="0012483A" w:rsidRPr="00981E74" w:rsidRDefault="0012483A" w:rsidP="0012483A"/>
    <w:p w:rsidR="0012483A" w:rsidRDefault="0012483A" w:rsidP="0012483A"/>
    <w:p w:rsidR="0012483A" w:rsidRDefault="00E3173D" w:rsidP="0012483A">
      <w:pPr>
        <w:pStyle w:val="BodyText"/>
        <w:ind w:firstLine="0"/>
        <w:jc w:val="center"/>
        <w:rPr>
          <w:b/>
        </w:rPr>
      </w:pPr>
      <w:r>
        <w:rPr>
          <w:b/>
        </w:rPr>
        <w:t>INTRODUCTION</w:t>
      </w:r>
    </w:p>
    <w:p w:rsidR="0012483A" w:rsidRPr="00CF6232" w:rsidRDefault="0012483A" w:rsidP="00E3173D">
      <w:pPr>
        <w:pStyle w:val="BodyText"/>
        <w:ind w:firstLine="0"/>
      </w:pPr>
      <w:r>
        <w:tab/>
      </w:r>
      <w:r w:rsidR="00E3173D">
        <w:rPr>
          <w:b/>
        </w:rPr>
        <w:t>tw telecom of washington, llc</w:t>
      </w:r>
      <w:r w:rsidR="00E3173D">
        <w:t xml:space="preserve"> (“</w:t>
      </w:r>
      <w:r w:rsidR="00E3173D">
        <w:rPr>
          <w:b/>
        </w:rPr>
        <w:t>tw</w:t>
      </w:r>
      <w:r w:rsidR="00E3173D">
        <w:t xml:space="preserve">”) respectfully submits this Post-Hearing Initial Brief.  </w:t>
      </w:r>
      <w:r w:rsidR="00E3173D" w:rsidRPr="00E3173D">
        <w:rPr>
          <w:b/>
        </w:rPr>
        <w:t>tw</w:t>
      </w:r>
      <w:r w:rsidR="00E3173D">
        <w:t xml:space="preserve"> is also a signatory to the Post-Hearing Initial Brief submitted today by Advanced Telecom, Inc., d/b/a Integra, Electric Lightwave, LLC, d/b/a Integra, Eschelon Telecom of Washington, Inc., d/b/a Integra Telecom, Oregon Telecom, Inc., d/b/a Washington Telecom d/b/a Integra and Unicom f/k/a United Communications, Inc., d/b/a Integra (collectively, “Integra”); and Windstream Communications f/k/a McLeodUSA Telecommunications Services, LLC, d/b/a PAETEC Business Services (“PAETEC”, and collectively with Integra and </w:t>
      </w:r>
      <w:r w:rsidR="00E3173D">
        <w:rPr>
          <w:b/>
        </w:rPr>
        <w:t>tw</w:t>
      </w:r>
      <w:r w:rsidR="00E3173D">
        <w:t>, the “Joint CLECs”)</w:t>
      </w:r>
      <w:r w:rsidR="00735D40">
        <w:t>, and concurs in the arguments therein</w:t>
      </w:r>
      <w:r w:rsidR="00E3173D">
        <w:t xml:space="preserve">.  </w:t>
      </w:r>
      <w:r w:rsidR="00E3173D">
        <w:rPr>
          <w:b/>
        </w:rPr>
        <w:t xml:space="preserve"> </w:t>
      </w:r>
      <w:r w:rsidR="008D6051">
        <w:rPr>
          <w:b/>
        </w:rPr>
        <w:t>tw</w:t>
      </w:r>
      <w:r w:rsidR="00735D40">
        <w:t xml:space="preserve"> writes separately to address </w:t>
      </w:r>
      <w:r w:rsidR="00F414FD">
        <w:t xml:space="preserve">an issue raised by Qwest Corporation and CenturyLink, Inc. (collectively, “Respondents”) in their cross-examination of </w:t>
      </w:r>
      <w:r w:rsidR="00F414FD">
        <w:rPr>
          <w:b/>
        </w:rPr>
        <w:t>tw</w:t>
      </w:r>
      <w:r w:rsidR="00DD1121">
        <w:t>’s witness, Mr. Lyndall Nipps.  Respo</w:t>
      </w:r>
      <w:r w:rsidR="00CF6232">
        <w:t xml:space="preserve">ndents attempt, by raising </w:t>
      </w:r>
      <w:r w:rsidR="00CF6232">
        <w:rPr>
          <w:b/>
        </w:rPr>
        <w:t>tw</w:t>
      </w:r>
      <w:r w:rsidR="00CF6232">
        <w:t xml:space="preserve">’s unrelated attempt to secure e-bonding in Embarq legacy territory, to deflect attention from their breach of the Settlement Agreement approved by this Commission.  This is a red herring:  </w:t>
      </w:r>
      <w:r w:rsidR="00CF6232">
        <w:rPr>
          <w:b/>
        </w:rPr>
        <w:t>tw</w:t>
      </w:r>
      <w:r w:rsidR="00CF6232">
        <w:t xml:space="preserve">’s negotiations with Respondents in another service territory are unrelated to the OSS commitments Respondents made in this state, and upon which </w:t>
      </w:r>
      <w:r w:rsidR="00CF6232">
        <w:rPr>
          <w:b/>
        </w:rPr>
        <w:t xml:space="preserve">tw </w:t>
      </w:r>
      <w:r w:rsidR="00CF6232">
        <w:t xml:space="preserve">has relied. </w:t>
      </w:r>
    </w:p>
    <w:p w:rsidR="00645DC5" w:rsidRDefault="00645DC5" w:rsidP="0012483A">
      <w:pPr>
        <w:pStyle w:val="BodyText"/>
        <w:ind w:firstLine="0"/>
        <w:jc w:val="center"/>
        <w:rPr>
          <w:b/>
        </w:rPr>
      </w:pPr>
    </w:p>
    <w:p w:rsidR="0012483A" w:rsidRDefault="00F414FD" w:rsidP="0012483A">
      <w:pPr>
        <w:pStyle w:val="BodyText"/>
        <w:ind w:firstLine="0"/>
        <w:jc w:val="center"/>
        <w:rPr>
          <w:b/>
        </w:rPr>
      </w:pPr>
      <w:r>
        <w:rPr>
          <w:b/>
        </w:rPr>
        <w:lastRenderedPageBreak/>
        <w:t>ARGUMENT</w:t>
      </w:r>
    </w:p>
    <w:p w:rsidR="0012483A" w:rsidRDefault="0012483A" w:rsidP="00F414FD">
      <w:pPr>
        <w:pStyle w:val="BodyText"/>
        <w:ind w:firstLine="0"/>
      </w:pPr>
      <w:r>
        <w:tab/>
      </w:r>
      <w:r w:rsidR="00B8591D">
        <w:t xml:space="preserve">On February 4, 2011, </w:t>
      </w:r>
      <w:r w:rsidR="00B8591D">
        <w:rPr>
          <w:b/>
        </w:rPr>
        <w:t>tw</w:t>
      </w:r>
      <w:r w:rsidR="00B8591D">
        <w:t xml:space="preserve"> and Respondents entered into a settlement agreement (the “Settlement Agreement”).  Pursuant to the Settlement Agreement, </w:t>
      </w:r>
      <w:r w:rsidR="00B8591D">
        <w:rPr>
          <w:b/>
        </w:rPr>
        <w:t>tw</w:t>
      </w:r>
      <w:r w:rsidR="00B8591D">
        <w:t xml:space="preserve"> opted in to the terms of the settlement reached between Respondents and Integra</w:t>
      </w:r>
      <w:r w:rsidR="00FB6F79">
        <w:t xml:space="preserve"> (the “Integra Settlement Agreement”)</w:t>
      </w:r>
      <w:r w:rsidR="00B8591D">
        <w:t xml:space="preserve">, with certain additional conditions intended to protect existing agreements between </w:t>
      </w:r>
      <w:r w:rsidR="00B8591D">
        <w:rPr>
          <w:b/>
        </w:rPr>
        <w:t>tw</w:t>
      </w:r>
      <w:r w:rsidR="00B8591D">
        <w:t xml:space="preserve"> and Respondents.</w:t>
      </w:r>
      <w:r w:rsidR="00B8591D">
        <w:rPr>
          <w:rStyle w:val="FootnoteReference"/>
        </w:rPr>
        <w:footnoteReference w:id="1"/>
      </w:r>
      <w:r w:rsidR="00271066">
        <w:t xml:space="preserve">  The Settlement Agreement was approved and adopted by the Utilities and Transportation Commission (the “UTC” or the “Commission”) in its Order approving the merger transaction.</w:t>
      </w:r>
      <w:r w:rsidR="00271066">
        <w:rPr>
          <w:rStyle w:val="FootnoteReference"/>
        </w:rPr>
        <w:footnoteReference w:id="2"/>
      </w:r>
      <w:r w:rsidR="00271066">
        <w:t xml:space="preserve">  </w:t>
      </w:r>
      <w:r w:rsidR="00FB6F79">
        <w:t xml:space="preserve">Pursuant to the Settlement Agreement and the Integra Settlement Agreement, Respondents </w:t>
      </w:r>
      <w:r w:rsidR="000E145F">
        <w:t xml:space="preserve">agreed to certain conditions regarding the maintenance of Qwest operational support systems (“OSS”) and the required process for the replacement thereof.  It is those provisions that are the subject of this proceeding. </w:t>
      </w:r>
    </w:p>
    <w:p w:rsidR="000E145F" w:rsidRDefault="000E145F" w:rsidP="00F414FD">
      <w:pPr>
        <w:pStyle w:val="BodyText"/>
        <w:ind w:firstLine="0"/>
      </w:pPr>
      <w:r>
        <w:tab/>
        <w:t xml:space="preserve">In </w:t>
      </w:r>
      <w:r w:rsidR="00BA28E5">
        <w:t>early</w:t>
      </w:r>
      <w:r>
        <w:t xml:space="preserve"> 2011, </w:t>
      </w:r>
      <w:r>
        <w:rPr>
          <w:b/>
        </w:rPr>
        <w:t>tw</w:t>
      </w:r>
      <w:r>
        <w:t xml:space="preserve"> initiated discussions with CenturyLink regarding development of electronic bonding (“e-bonding”) for mean time to repair (“MTTR”) trouble reporting in legacy Embarq territory.</w:t>
      </w:r>
      <w:r>
        <w:rPr>
          <w:rStyle w:val="FootnoteReference"/>
        </w:rPr>
        <w:footnoteReference w:id="3"/>
      </w:r>
      <w:r w:rsidR="00BA28E5">
        <w:t xml:space="preserve">  Currently, </w:t>
      </w:r>
      <w:r w:rsidR="00BA28E5">
        <w:rPr>
          <w:b/>
        </w:rPr>
        <w:t>tw</w:t>
      </w:r>
      <w:r w:rsidR="00BA28E5">
        <w:t>’s MTTR trouble reporting in legacy Embarq territory is via a graphical user inter</w:t>
      </w:r>
      <w:r w:rsidR="00D545C3">
        <w:t xml:space="preserve">face developed by its vendor </w:t>
      </w:r>
      <w:r w:rsidR="00BA28E5">
        <w:t xml:space="preserve">Synchronoss.  To date, </w:t>
      </w:r>
      <w:r w:rsidR="00BA28E5">
        <w:rPr>
          <w:b/>
        </w:rPr>
        <w:t>tw</w:t>
      </w:r>
      <w:r w:rsidR="00BA28E5">
        <w:t xml:space="preserve">’s attempts to </w:t>
      </w:r>
      <w:r w:rsidR="00D545C3">
        <w:t xml:space="preserve">commence and engage in </w:t>
      </w:r>
      <w:r w:rsidR="00BA28E5">
        <w:t xml:space="preserve">substantive discussions with CenturyLink regarding </w:t>
      </w:r>
      <w:r w:rsidR="00736B79">
        <w:t>e-bonding in legacy Embarq territory have been rebuffed.</w:t>
      </w:r>
      <w:r w:rsidR="00736B79">
        <w:rPr>
          <w:rStyle w:val="FootnoteReference"/>
        </w:rPr>
        <w:footnoteReference w:id="4"/>
      </w:r>
    </w:p>
    <w:p w:rsidR="00736B79" w:rsidRDefault="00736B79" w:rsidP="00F414FD">
      <w:pPr>
        <w:pStyle w:val="BodyText"/>
        <w:ind w:firstLine="0"/>
      </w:pPr>
      <w:r>
        <w:tab/>
        <w:t xml:space="preserve">In cross-examination, Respondents’ counsel asked Mr. Nipps a series of questions regarding </w:t>
      </w:r>
      <w:r>
        <w:rPr>
          <w:b/>
        </w:rPr>
        <w:t>tw</w:t>
      </w:r>
      <w:r>
        <w:t xml:space="preserve">’s efforts to secure an e-bonding interface in legacy Embarq territory, as well as regarding </w:t>
      </w:r>
      <w:r>
        <w:rPr>
          <w:b/>
        </w:rPr>
        <w:t>tw</w:t>
      </w:r>
      <w:r>
        <w:t>’s use of an XML interface in the service territories of other carriers.</w:t>
      </w:r>
      <w:r>
        <w:rPr>
          <w:rStyle w:val="FootnoteReference"/>
        </w:rPr>
        <w:footnoteReference w:id="5"/>
      </w:r>
      <w:r>
        <w:t xml:space="preserve">  </w:t>
      </w:r>
      <w:r>
        <w:rPr>
          <w:b/>
        </w:rPr>
        <w:t>tw</w:t>
      </w:r>
      <w:r>
        <w:t xml:space="preserve"> assumes that this line of inquiry was intended to raise questions in the minds of the Administrative Law Judge and the Commission regarding why </w:t>
      </w:r>
      <w:r>
        <w:rPr>
          <w:b/>
        </w:rPr>
        <w:t>tw</w:t>
      </w:r>
      <w:r>
        <w:t xml:space="preserve"> </w:t>
      </w:r>
      <w:r w:rsidR="002560B0">
        <w:t>is</w:t>
      </w:r>
      <w:r>
        <w:t xml:space="preserve"> reluctant to convert to </w:t>
      </w:r>
      <w:r w:rsidR="002560B0">
        <w:t>MTG in Washington despite its use of, or interest in the use of</w:t>
      </w:r>
      <w:r w:rsidR="00D545C3">
        <w:t>,</w:t>
      </w:r>
      <w:r w:rsidR="002560B0">
        <w:t xml:space="preserve"> similar interfaces in other territories.</w:t>
      </w:r>
    </w:p>
    <w:p w:rsidR="002560B0" w:rsidRDefault="002560B0" w:rsidP="00F414FD">
      <w:pPr>
        <w:pStyle w:val="BodyText"/>
        <w:ind w:firstLine="0"/>
      </w:pPr>
      <w:r>
        <w:tab/>
        <w:t xml:space="preserve">As a prefatory matter, it should be noted that </w:t>
      </w:r>
      <w:r>
        <w:rPr>
          <w:b/>
        </w:rPr>
        <w:t>tw</w:t>
      </w:r>
      <w:r>
        <w:t>’s objection</w:t>
      </w:r>
      <w:r w:rsidR="00D545C3">
        <w:t xml:space="preserve"> in this docket</w:t>
      </w:r>
      <w:r>
        <w:t xml:space="preserve"> is not to the eventual implementation of MTG.  Rather, </w:t>
      </w:r>
      <w:r>
        <w:rPr>
          <w:b/>
        </w:rPr>
        <w:t>tw</w:t>
      </w:r>
      <w:r>
        <w:t>’s overriding concern is that Respondents adhere to the timelines and procedural protections set forth in the Settlement Agreement</w:t>
      </w:r>
      <w:r w:rsidR="00D545C3">
        <w:t xml:space="preserve"> approved by this Commission</w:t>
      </w:r>
      <w:r>
        <w:t>.</w:t>
      </w:r>
      <w:r>
        <w:rPr>
          <w:rStyle w:val="FootnoteReference"/>
        </w:rPr>
        <w:footnoteReference w:id="6"/>
      </w:r>
      <w:r>
        <w:t xml:space="preserve">  </w:t>
      </w:r>
      <w:r>
        <w:rPr>
          <w:b/>
        </w:rPr>
        <w:t>tw</w:t>
      </w:r>
      <w:r>
        <w:t xml:space="preserve">'s withdrawal of its objection to the merger of CenturyLink and Qwest was premised upon the Respondents’ compliance with the commitments that Respondents voluntarily made in the Settlement Agreement and the Integra Settlement Agreement. </w:t>
      </w:r>
      <w:r w:rsidR="00740050">
        <w:rPr>
          <w:b/>
        </w:rPr>
        <w:t xml:space="preserve"> </w:t>
      </w:r>
      <w:r w:rsidR="00740050">
        <w:t xml:space="preserve">A change in OSS is not a mere flip of the switch, and requires a commitment of resources by the CLEC, a commitment that </w:t>
      </w:r>
      <w:r w:rsidR="00740050">
        <w:rPr>
          <w:b/>
        </w:rPr>
        <w:t>tw</w:t>
      </w:r>
      <w:r w:rsidR="00740050">
        <w:t>, in light of the Settlement Agreement, had not planned or budgeted for in the 2011-2012 timeframe.</w:t>
      </w:r>
      <w:r w:rsidR="00740050">
        <w:rPr>
          <w:rStyle w:val="FootnoteReference"/>
        </w:rPr>
        <w:footnoteReference w:id="7"/>
      </w:r>
    </w:p>
    <w:p w:rsidR="00CD209A" w:rsidRDefault="00740050" w:rsidP="00E735AA">
      <w:pPr>
        <w:pStyle w:val="BodyText"/>
        <w:ind w:firstLine="0"/>
      </w:pPr>
      <w:r>
        <w:tab/>
      </w:r>
      <w:r>
        <w:rPr>
          <w:b/>
        </w:rPr>
        <w:t>tw</w:t>
      </w:r>
      <w:r>
        <w:t>’s plans regarding e-bonding in legacy Embarq territory are unrelated</w:t>
      </w:r>
      <w:r w:rsidR="004A3FC4">
        <w:t xml:space="preserve"> to the OSS commitments that Respondents have made in Washington.  </w:t>
      </w:r>
      <w:r w:rsidR="00E735AA">
        <w:t xml:space="preserve">Obviously, </w:t>
      </w:r>
      <w:r w:rsidR="00E735AA">
        <w:rPr>
          <w:b/>
        </w:rPr>
        <w:t>tw</w:t>
      </w:r>
      <w:r w:rsidR="00E735AA">
        <w:t xml:space="preserve"> was aware of its own ongoing efforts to secure e-bonding elsewhere prior to signing the Settlement Agreement here.  Had </w:t>
      </w:r>
      <w:r w:rsidR="00E735AA">
        <w:rPr>
          <w:b/>
        </w:rPr>
        <w:t>tw</w:t>
      </w:r>
      <w:r w:rsidR="00E735AA">
        <w:t xml:space="preserve"> wished to move immediately to an XML interface in Washington, the company was, of course, fully capable of pursuing that issue in negotiations with Respondents during the merger proceedings.  However, </w:t>
      </w:r>
      <w:r w:rsidR="00E735AA">
        <w:rPr>
          <w:b/>
        </w:rPr>
        <w:t>tw</w:t>
      </w:r>
      <w:r w:rsidR="00E735AA">
        <w:t xml:space="preserve"> chose not to do so, believing that stability in OSS post-merger in Washington was more beneficial to </w:t>
      </w:r>
      <w:r w:rsidR="00E735AA">
        <w:rPr>
          <w:b/>
        </w:rPr>
        <w:t>tw</w:t>
      </w:r>
      <w:r w:rsidR="00E735AA">
        <w:t xml:space="preserve">’s customers than an immediate change.  </w:t>
      </w:r>
      <w:r w:rsidR="00E735AA">
        <w:rPr>
          <w:b/>
        </w:rPr>
        <w:t>tw</w:t>
      </w:r>
      <w:r w:rsidR="00E735AA">
        <w:t xml:space="preserve">’s determination that moving to an XML interface is preferable for MTTR reporting and other trouble administration in other service territories should not serve to gut the merger commitments that Respondents made in this state. </w:t>
      </w:r>
    </w:p>
    <w:p w:rsidR="00CF6232" w:rsidRDefault="00CF6232" w:rsidP="00CF6232">
      <w:pPr>
        <w:pStyle w:val="BodyText"/>
        <w:ind w:firstLine="0"/>
        <w:jc w:val="center"/>
      </w:pPr>
      <w:r>
        <w:t>CONCLUSION</w:t>
      </w:r>
    </w:p>
    <w:p w:rsidR="00CF6232" w:rsidRPr="00CF6232" w:rsidRDefault="00CF6232" w:rsidP="00E735AA">
      <w:pPr>
        <w:pStyle w:val="BodyText"/>
        <w:ind w:firstLine="0"/>
      </w:pPr>
      <w:r>
        <w:tab/>
        <w:t xml:space="preserve">Respondents attempt, by raising an unrelated issue, to deflect the Commission’s attention from the real question at issue in this docket.  Respondents’ obligations under the Settlement Agreement are independent of any negotiations between </w:t>
      </w:r>
      <w:r>
        <w:rPr>
          <w:b/>
        </w:rPr>
        <w:t>tw</w:t>
      </w:r>
      <w:r>
        <w:t xml:space="preserve"> and Respondents in Embarq legacy territory.  </w:t>
      </w:r>
      <w:r>
        <w:rPr>
          <w:b/>
        </w:rPr>
        <w:t>tw</w:t>
      </w:r>
      <w:r>
        <w:t xml:space="preserve"> had hoped to make greater progress in those negotiations; </w:t>
      </w:r>
      <w:r>
        <w:rPr>
          <w:b/>
        </w:rPr>
        <w:t>tw</w:t>
      </w:r>
      <w:r>
        <w:t xml:space="preserve"> had also relied upon Respondents’ compliance with the merger conditions at issu</w:t>
      </w:r>
      <w:r w:rsidR="00F73A40">
        <w:t xml:space="preserve">e here.   It is those conditions that have been breached, and that the Commission should enforce.   </w:t>
      </w:r>
      <w:r>
        <w:t xml:space="preserve"> </w:t>
      </w:r>
    </w:p>
    <w:p w:rsidR="00E735AA" w:rsidRDefault="00224465" w:rsidP="00E735AA">
      <w:pPr>
        <w:spacing w:after="240"/>
      </w:pPr>
      <w:r>
        <w:tab/>
      </w:r>
    </w:p>
    <w:p w:rsidR="00E735AA" w:rsidRDefault="00E735AA">
      <w:pPr>
        <w:overflowPunct/>
        <w:autoSpaceDE/>
        <w:autoSpaceDN/>
        <w:adjustRightInd/>
        <w:spacing w:after="200" w:line="276" w:lineRule="auto"/>
        <w:textAlignment w:val="auto"/>
      </w:pPr>
      <w:r>
        <w:br w:type="page"/>
      </w:r>
    </w:p>
    <w:p w:rsidR="00E642EC" w:rsidRDefault="00E642EC" w:rsidP="00E735AA">
      <w:pPr>
        <w:spacing w:after="240"/>
      </w:pPr>
    </w:p>
    <w:p w:rsidR="000A5F4F" w:rsidRDefault="000A5F4F" w:rsidP="000A5F4F">
      <w:pPr>
        <w:pStyle w:val="BodyText"/>
        <w:keepNext/>
      </w:pPr>
      <w:r>
        <w:t xml:space="preserve">Respectfully submitted on this ___ day of </w:t>
      </w:r>
      <w:r w:rsidR="00E735AA">
        <w:t>March, 2012</w:t>
      </w:r>
    </w:p>
    <w:p w:rsidR="000A5F4F" w:rsidRPr="00981E74" w:rsidRDefault="00911070" w:rsidP="000A5F4F">
      <w:pPr>
        <w:pStyle w:val="Closing"/>
      </w:pPr>
      <w:r>
        <w:t>DAVIS WRIGHT TREMAINE LLP</w:t>
      </w:r>
    </w:p>
    <w:p w:rsidR="000A5F4F" w:rsidRPr="00981E74" w:rsidRDefault="000A5F4F" w:rsidP="000A5F4F">
      <w:pPr>
        <w:pStyle w:val="Closing"/>
      </w:pPr>
    </w:p>
    <w:p w:rsidR="000A5F4F" w:rsidRPr="00981E74" w:rsidRDefault="000A5F4F" w:rsidP="000A5F4F">
      <w:pPr>
        <w:pStyle w:val="Closing"/>
      </w:pPr>
      <w:r w:rsidRPr="00981E74">
        <w:t>_______________________________________</w:t>
      </w:r>
    </w:p>
    <w:p w:rsidR="000A5F4F" w:rsidRPr="00981E74" w:rsidRDefault="00911070" w:rsidP="000A5F4F">
      <w:pPr>
        <w:pStyle w:val="Closing"/>
      </w:pPr>
      <w:r>
        <w:t>Lauren P. Giles (WA 40890)</w:t>
      </w:r>
    </w:p>
    <w:p w:rsidR="000A5F4F" w:rsidRDefault="001D7984" w:rsidP="000A5F4F">
      <w:pPr>
        <w:pStyle w:val="Closing"/>
      </w:pPr>
      <w:r>
        <w:t>1201 Third Avenue, Suite 2200</w:t>
      </w:r>
    </w:p>
    <w:p w:rsidR="001D7984" w:rsidRDefault="001D7984" w:rsidP="000A5F4F">
      <w:pPr>
        <w:pStyle w:val="Closing"/>
      </w:pPr>
      <w:r>
        <w:t>Seattle, WA 98101</w:t>
      </w:r>
    </w:p>
    <w:p w:rsidR="001D7984" w:rsidRDefault="001D7984" w:rsidP="000A5F4F">
      <w:pPr>
        <w:pStyle w:val="Closing"/>
      </w:pPr>
      <w:r>
        <w:t>Telephone: (206) 757-8259</w:t>
      </w:r>
    </w:p>
    <w:p w:rsidR="001D7984" w:rsidRDefault="001D7984" w:rsidP="000A5F4F">
      <w:pPr>
        <w:pStyle w:val="Closing"/>
      </w:pPr>
      <w:r>
        <w:t>Facsimile: (206) 757-7259</w:t>
      </w:r>
    </w:p>
    <w:p w:rsidR="001D7984" w:rsidRPr="00981E74" w:rsidRDefault="001D7984" w:rsidP="000A5F4F">
      <w:pPr>
        <w:pStyle w:val="Closing"/>
      </w:pPr>
      <w:r>
        <w:t>laurengiles@dwt.com</w:t>
      </w:r>
    </w:p>
    <w:p w:rsidR="000A5F4F" w:rsidRPr="00981E74" w:rsidRDefault="000A5F4F" w:rsidP="000A5F4F">
      <w:pPr>
        <w:pStyle w:val="Closing"/>
      </w:pPr>
    </w:p>
    <w:p w:rsidR="000A5F4F" w:rsidRPr="00981E74" w:rsidRDefault="000A5F4F" w:rsidP="000A5F4F">
      <w:pPr>
        <w:pStyle w:val="Closing"/>
      </w:pPr>
      <w:r w:rsidRPr="00981E74">
        <w:t xml:space="preserve">Attorney for </w:t>
      </w:r>
      <w:r w:rsidR="001D7984" w:rsidRPr="00271066">
        <w:rPr>
          <w:b/>
        </w:rPr>
        <w:t>tw telecom of washington llc</w:t>
      </w:r>
    </w:p>
    <w:p w:rsidR="000A5F4F" w:rsidRDefault="000A5F4F" w:rsidP="000A5F4F">
      <w:pPr>
        <w:ind w:left="4320"/>
      </w:pPr>
    </w:p>
    <w:p w:rsidR="000A5F4F" w:rsidRPr="00981E74" w:rsidRDefault="000A5F4F" w:rsidP="000A5F4F">
      <w:pPr>
        <w:ind w:left="4320"/>
      </w:pPr>
    </w:p>
    <w:p w:rsidR="00C44232" w:rsidRDefault="004310FF">
      <w:r>
        <w:rPr>
          <w:noProof/>
        </w:rPr>
        <w:pict>
          <v:shapetype id="_x0000_t202" coordsize="21600,21600" o:spt="202" path="m,l,21600r21600,l21600,xe">
            <v:stroke joinstyle="miter"/>
            <v:path gradientshapeok="t" o:connecttype="rect"/>
          </v:shapetype>
          <v:shape id="Text Box 1"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" fillcolor="white [3212]" stroked="f">
            <v:textbox style="mso-fit-shape-to-text:t" inset="0,10.8pt,0,0">
              <w:txbxContent>
                <w:p w:rsidR="00C44232" w:rsidRDefault="00C44232">
                  <w:pPr>
                    <w:pStyle w:val="MacPacTrailer"/>
                  </w:pPr>
                </w:p>
              </w:txbxContent>
            </v:textbox>
            <w10:wrap anchorx="margin"/>
          </v:shape>
        </w:pict>
      </w:r>
    </w:p>
    <w:sectPr w:rsidR="00C442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3A" w:rsidRDefault="0012483A" w:rsidP="0012483A">
      <w:r>
        <w:separator/>
      </w:r>
    </w:p>
  </w:endnote>
  <w:endnote w:type="continuationSeparator" w:id="0">
    <w:p w:rsidR="0012483A" w:rsidRDefault="0012483A" w:rsidP="0012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6FE" w:rsidRDefault="00382C25">
    <w:pPr>
      <w:pStyle w:val="Footer"/>
    </w:pPr>
    <w:r w:rsidRPr="00382C25">
      <w:rPr>
        <w:rStyle w:val="DocID"/>
      </w:rPr>
      <w:t>DWT 19172167v2 0056259-000026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151744"/>
      <w:docPartObj>
        <w:docPartGallery w:val="Page Numbers (Bottom of Page)"/>
        <w:docPartUnique/>
      </w:docPartObj>
    </w:sdtPr>
    <w:sdtEndPr>
      <w:rPr>
        <w:noProof/>
      </w:rPr>
    </w:sdtEndPr>
    <w:sdtContent>
      <w:p w:rsidR="00D86B06" w:rsidRDefault="00D86B06">
        <w:pPr>
          <w:pStyle w:val="Footer"/>
          <w:jc w:val="center"/>
        </w:pPr>
        <w:r>
          <w:fldChar w:fldCharType="begin"/>
        </w:r>
        <w:r>
          <w:instrText xml:space="preserve"> PAGE   \* MERGEFORMAT </w:instrText>
        </w:r>
        <w:r>
          <w:fldChar w:fldCharType="separate"/>
        </w:r>
        <w:r w:rsidR="004310FF">
          <w:rPr>
            <w:noProof/>
          </w:rPr>
          <w:t>1</w:t>
        </w:r>
        <w:r>
          <w:rPr>
            <w:noProof/>
          </w:rPr>
          <w:fldChar w:fldCharType="end"/>
        </w:r>
      </w:p>
    </w:sdtContent>
  </w:sdt>
  <w:p w:rsidR="00D86B06" w:rsidRDefault="00382C25">
    <w:pPr>
      <w:pStyle w:val="Footer"/>
    </w:pPr>
    <w:r w:rsidRPr="00382C25">
      <w:rPr>
        <w:rStyle w:val="DocID"/>
      </w:rPr>
      <w:t>DWT 19172167v2 0056259-000026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6FE" w:rsidRDefault="00382C25">
    <w:pPr>
      <w:pStyle w:val="Footer"/>
    </w:pPr>
    <w:r w:rsidRPr="00382C25">
      <w:rPr>
        <w:rStyle w:val="DocID"/>
      </w:rPr>
      <w:t>DWT 19172167v2 0056259-000026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3A" w:rsidRDefault="0012483A" w:rsidP="0012483A">
      <w:r>
        <w:separator/>
      </w:r>
    </w:p>
  </w:footnote>
  <w:footnote w:type="continuationSeparator" w:id="0">
    <w:p w:rsidR="0012483A" w:rsidRDefault="0012483A" w:rsidP="0012483A">
      <w:r>
        <w:continuationSeparator/>
      </w:r>
    </w:p>
  </w:footnote>
  <w:footnote w:id="1">
    <w:p w:rsidR="00B8591D" w:rsidRDefault="00B8591D">
      <w:pPr>
        <w:pStyle w:val="FootnoteText"/>
      </w:pPr>
      <w:r>
        <w:rPr>
          <w:rStyle w:val="FootnoteReference"/>
        </w:rPr>
        <w:footnoteRef/>
      </w:r>
      <w:r>
        <w:t xml:space="preserve"> </w:t>
      </w:r>
      <w:r w:rsidR="00271066" w:rsidRPr="00271066">
        <w:rPr>
          <w:i/>
        </w:rPr>
        <w:t xml:space="preserve">See </w:t>
      </w:r>
      <w:r w:rsidR="00271066">
        <w:rPr>
          <w:i/>
        </w:rPr>
        <w:t>generally</w:t>
      </w:r>
      <w:r w:rsidR="00271066">
        <w:t xml:space="preserve"> Appendix E to </w:t>
      </w:r>
      <w:r w:rsidR="00271066" w:rsidRPr="00271066">
        <w:t>WUTC</w:t>
      </w:r>
      <w:r w:rsidR="00271066">
        <w:t>, Order 14:  Final Order Approving and Adopting, Subject to Conditions, Multiparty Settlement Agreements and Authorizing Transaction, (March 14, 2011), Docket No. UT-111254 (the “Final Order”).</w:t>
      </w:r>
    </w:p>
  </w:footnote>
  <w:footnote w:id="2">
    <w:p w:rsidR="00271066" w:rsidRPr="00271066" w:rsidRDefault="00271066">
      <w:pPr>
        <w:pStyle w:val="FootnoteText"/>
      </w:pPr>
      <w:r>
        <w:rPr>
          <w:rStyle w:val="FootnoteReference"/>
        </w:rPr>
        <w:footnoteRef/>
      </w:r>
      <w:r>
        <w:t xml:space="preserve"> Final Order at ¶ 292.</w:t>
      </w:r>
    </w:p>
  </w:footnote>
  <w:footnote w:id="3">
    <w:p w:rsidR="000E145F" w:rsidRDefault="000E145F">
      <w:pPr>
        <w:pStyle w:val="FootnoteText"/>
      </w:pPr>
      <w:r>
        <w:rPr>
          <w:rStyle w:val="FootnoteReference"/>
        </w:rPr>
        <w:footnoteRef/>
      </w:r>
      <w:r>
        <w:t xml:space="preserve"> </w:t>
      </w:r>
      <w:r w:rsidR="00BA28E5">
        <w:t xml:space="preserve">Direct Testimony of Lyndall Nipps (October 14, 2011), Docket No. UT-111254 (“Nipps Testimony”), p. 6, lines 3-6; Hrg. Tr. </w:t>
      </w:r>
      <w:r w:rsidR="00736B79">
        <w:t>p</w:t>
      </w:r>
      <w:r w:rsidR="00BA28E5">
        <w:t xml:space="preserve">. 81, lines 12-16 (Respondents’ cross-examination of Lyndall Nipps, </w:t>
      </w:r>
      <w:r w:rsidR="00BA28E5">
        <w:rPr>
          <w:b/>
        </w:rPr>
        <w:t>tw telecom of washington, llc</w:t>
      </w:r>
      <w:r w:rsidR="00BA28E5">
        <w:t xml:space="preserve">).  Note that Mr. Nipps’ cross-examination testimony erroneously states that discussions with Qwest regarding e-bonding commenced around April 2012; the correct reference is to April 2011. </w:t>
      </w:r>
    </w:p>
  </w:footnote>
  <w:footnote w:id="4">
    <w:p w:rsidR="00736B79" w:rsidRDefault="00736B79">
      <w:pPr>
        <w:pStyle w:val="FootnoteText"/>
      </w:pPr>
      <w:r>
        <w:rPr>
          <w:rStyle w:val="FootnoteReference"/>
        </w:rPr>
        <w:footnoteRef/>
      </w:r>
      <w:r>
        <w:t xml:space="preserve"> Nipps Testimony, p. 9, lines 14-17. </w:t>
      </w:r>
    </w:p>
  </w:footnote>
  <w:footnote w:id="5">
    <w:p w:rsidR="00736B79" w:rsidRDefault="00736B79">
      <w:pPr>
        <w:pStyle w:val="FootnoteText"/>
      </w:pPr>
      <w:r>
        <w:rPr>
          <w:rStyle w:val="FootnoteReference"/>
        </w:rPr>
        <w:footnoteRef/>
      </w:r>
      <w:r>
        <w:t xml:space="preserve"> Hrg. Tr. p. 79, lines 18-25; p. 80, line 1; p. 81, lines 8-25; p. 82, lines 1-17</w:t>
      </w:r>
      <w:r w:rsidR="002560B0">
        <w:t xml:space="preserve"> (Respondents’ cross-examination of Mr. Nipps)</w:t>
      </w:r>
      <w:r>
        <w:t>.</w:t>
      </w:r>
    </w:p>
  </w:footnote>
  <w:footnote w:id="6">
    <w:p w:rsidR="002560B0" w:rsidRPr="002560B0" w:rsidRDefault="002560B0">
      <w:pPr>
        <w:pStyle w:val="FootnoteText"/>
      </w:pPr>
      <w:r>
        <w:rPr>
          <w:rStyle w:val="FootnoteReference"/>
        </w:rPr>
        <w:footnoteRef/>
      </w:r>
      <w:r>
        <w:t xml:space="preserve"> </w:t>
      </w:r>
      <w:r>
        <w:rPr>
          <w:i/>
        </w:rPr>
        <w:t>Id</w:t>
      </w:r>
      <w:r w:rsidR="00740050">
        <w:t>.,</w:t>
      </w:r>
      <w:r w:rsidR="00F0181F">
        <w:t xml:space="preserve"> p. 88,</w:t>
      </w:r>
      <w:r w:rsidR="00740050">
        <w:t xml:space="preserve"> lines 20-25;  Nipps Testimony, p. 9, lines 17-20.</w:t>
      </w:r>
    </w:p>
  </w:footnote>
  <w:footnote w:id="7">
    <w:p w:rsidR="00740050" w:rsidRDefault="00740050">
      <w:pPr>
        <w:pStyle w:val="FootnoteText"/>
      </w:pPr>
      <w:r>
        <w:rPr>
          <w:rStyle w:val="FootnoteReference"/>
        </w:rPr>
        <w:footnoteRef/>
      </w:r>
      <w:r>
        <w:t xml:space="preserve"> Nipps Testimony, p. 9, lines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25" w:rsidRDefault="00382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25" w:rsidRDefault="00382C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25" w:rsidRDefault="00382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6897"/>
    <w:multiLevelType w:val="hybridMultilevel"/>
    <w:tmpl w:val="1226A8DE"/>
    <w:lvl w:ilvl="0" w:tplc="24065E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954E1E"/>
    <w:multiLevelType w:val="hybridMultilevel"/>
    <w:tmpl w:val="29E6A82A"/>
    <w:lvl w:ilvl="0" w:tplc="DD42B9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6F12101"/>
    <w:multiLevelType w:val="hybridMultilevel"/>
    <w:tmpl w:val="3236A230"/>
    <w:lvl w:ilvl="0" w:tplc="53D694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522FE7"/>
    <w:multiLevelType w:val="hybridMultilevel"/>
    <w:tmpl w:val="C55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AF0457"/>
    <w:multiLevelType w:val="hybridMultilevel"/>
    <w:tmpl w:val="29E6A82A"/>
    <w:lvl w:ilvl="0" w:tplc="DD42B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55640F"/>
    <w:multiLevelType w:val="hybridMultilevel"/>
    <w:tmpl w:val="EBE8B736"/>
    <w:lvl w:ilvl="0" w:tplc="FC3E86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3A"/>
    <w:rsid w:val="00052065"/>
    <w:rsid w:val="00057062"/>
    <w:rsid w:val="00073AEC"/>
    <w:rsid w:val="000755A3"/>
    <w:rsid w:val="000A5F4F"/>
    <w:rsid w:val="000E145F"/>
    <w:rsid w:val="000E1614"/>
    <w:rsid w:val="0012483A"/>
    <w:rsid w:val="00150E45"/>
    <w:rsid w:val="00166536"/>
    <w:rsid w:val="001D7984"/>
    <w:rsid w:val="00224465"/>
    <w:rsid w:val="002432E6"/>
    <w:rsid w:val="002560B0"/>
    <w:rsid w:val="00271066"/>
    <w:rsid w:val="002946D5"/>
    <w:rsid w:val="002B7953"/>
    <w:rsid w:val="002F3EF1"/>
    <w:rsid w:val="003656FE"/>
    <w:rsid w:val="00382C25"/>
    <w:rsid w:val="00397269"/>
    <w:rsid w:val="003C18A7"/>
    <w:rsid w:val="004310FF"/>
    <w:rsid w:val="00483F0E"/>
    <w:rsid w:val="004A3FC4"/>
    <w:rsid w:val="0052418D"/>
    <w:rsid w:val="0058406A"/>
    <w:rsid w:val="005924CC"/>
    <w:rsid w:val="005E395F"/>
    <w:rsid w:val="00645DC5"/>
    <w:rsid w:val="00667D70"/>
    <w:rsid w:val="006A11E4"/>
    <w:rsid w:val="006E777D"/>
    <w:rsid w:val="007211B8"/>
    <w:rsid w:val="00735D40"/>
    <w:rsid w:val="00736B79"/>
    <w:rsid w:val="00740050"/>
    <w:rsid w:val="007935C6"/>
    <w:rsid w:val="007C4C43"/>
    <w:rsid w:val="00846B50"/>
    <w:rsid w:val="00855BB9"/>
    <w:rsid w:val="008D6051"/>
    <w:rsid w:val="0090205D"/>
    <w:rsid w:val="00911070"/>
    <w:rsid w:val="00971218"/>
    <w:rsid w:val="009E1B87"/>
    <w:rsid w:val="00A036E6"/>
    <w:rsid w:val="00AA0B86"/>
    <w:rsid w:val="00B8591D"/>
    <w:rsid w:val="00BA28E5"/>
    <w:rsid w:val="00C42CBA"/>
    <w:rsid w:val="00C44232"/>
    <w:rsid w:val="00CD209A"/>
    <w:rsid w:val="00CF6232"/>
    <w:rsid w:val="00D545C3"/>
    <w:rsid w:val="00D86B06"/>
    <w:rsid w:val="00DD1121"/>
    <w:rsid w:val="00E3173D"/>
    <w:rsid w:val="00E642EC"/>
    <w:rsid w:val="00E65835"/>
    <w:rsid w:val="00E735AA"/>
    <w:rsid w:val="00ED093E"/>
    <w:rsid w:val="00EE60AA"/>
    <w:rsid w:val="00EE665E"/>
    <w:rsid w:val="00F0181F"/>
    <w:rsid w:val="00F400D3"/>
    <w:rsid w:val="00F414FD"/>
    <w:rsid w:val="00F67010"/>
    <w:rsid w:val="00F73A40"/>
    <w:rsid w:val="00FA261F"/>
    <w:rsid w:val="00FB6F79"/>
    <w:rsid w:val="00FD4CE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3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83A"/>
    <w:pPr>
      <w:tabs>
        <w:tab w:val="center" w:pos="4680"/>
        <w:tab w:val="right" w:pos="9360"/>
      </w:tabs>
    </w:pPr>
  </w:style>
  <w:style w:type="character" w:customStyle="1" w:styleId="HeaderChar">
    <w:name w:val="Header Char"/>
    <w:basedOn w:val="DefaultParagraphFont"/>
    <w:link w:val="Header"/>
    <w:uiPriority w:val="99"/>
    <w:rsid w:val="0012483A"/>
    <w:rPr>
      <w:rFonts w:ascii="Times New Roman" w:hAnsi="Times New Roman"/>
      <w:sz w:val="24"/>
    </w:rPr>
  </w:style>
  <w:style w:type="paragraph" w:styleId="Footer">
    <w:name w:val="footer"/>
    <w:basedOn w:val="Normal"/>
    <w:link w:val="FooterChar"/>
    <w:uiPriority w:val="99"/>
    <w:unhideWhenUsed/>
    <w:rsid w:val="0012483A"/>
    <w:pPr>
      <w:tabs>
        <w:tab w:val="center" w:pos="4680"/>
        <w:tab w:val="right" w:pos="9360"/>
      </w:tabs>
    </w:pPr>
  </w:style>
  <w:style w:type="character" w:customStyle="1" w:styleId="FooterChar">
    <w:name w:val="Footer Char"/>
    <w:basedOn w:val="DefaultParagraphFont"/>
    <w:link w:val="Footer"/>
    <w:uiPriority w:val="99"/>
    <w:rsid w:val="0012483A"/>
    <w:rPr>
      <w:rFonts w:ascii="Times New Roman" w:hAnsi="Times New Roman"/>
      <w:sz w:val="24"/>
    </w:rPr>
  </w:style>
  <w:style w:type="paragraph" w:styleId="BodyText">
    <w:name w:val="Body Text"/>
    <w:basedOn w:val="Normal"/>
    <w:link w:val="BodyTextChar1"/>
    <w:uiPriority w:val="99"/>
    <w:rsid w:val="0012483A"/>
    <w:pPr>
      <w:spacing w:line="480" w:lineRule="auto"/>
      <w:ind w:firstLine="720"/>
    </w:pPr>
  </w:style>
  <w:style w:type="character" w:customStyle="1" w:styleId="BodyTextChar">
    <w:name w:val="Body Text Char"/>
    <w:basedOn w:val="DefaultParagraphFont"/>
    <w:uiPriority w:val="99"/>
    <w:semiHidden/>
    <w:rsid w:val="0012483A"/>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locked/>
    <w:rsid w:val="0012483A"/>
    <w:rPr>
      <w:rFonts w:ascii="Times New Roman" w:eastAsia="Times New Roman" w:hAnsi="Times New Roman" w:cs="Times New Roman"/>
      <w:sz w:val="24"/>
      <w:szCs w:val="24"/>
    </w:rPr>
  </w:style>
  <w:style w:type="character" w:styleId="FootnoteReference">
    <w:name w:val="footnote reference"/>
    <w:aliases w:val="fr,o,Style 3,Footnote 1r,Style 17,Style 9,Style 12,(NECG) Footnote Reference,Appel note de bas de p,Style 5,Style 2,Style 124,Style 6,Style 20,FR,Style 13,callout,Style 11,o1,o2,o3,o4,o5,o6,o11,o21,o7,Style 28,Style 8"/>
    <w:basedOn w:val="DefaultParagraphFont"/>
    <w:rsid w:val="0012483A"/>
    <w:rPr>
      <w:rFonts w:cs="Times New Roman"/>
      <w:vertAlign w:val="superscript"/>
    </w:rPr>
  </w:style>
  <w:style w:type="character" w:styleId="Hyperlink">
    <w:name w:val="Hyperlink"/>
    <w:basedOn w:val="DefaultParagraphFont"/>
    <w:uiPriority w:val="99"/>
    <w:rsid w:val="0012483A"/>
    <w:rPr>
      <w:rFonts w:cs="Times New Roman"/>
      <w:color w:val="0000FF"/>
      <w:u w:val="single"/>
    </w:rPr>
  </w:style>
  <w:style w:type="paragraph" w:styleId="Closing">
    <w:name w:val="Closing"/>
    <w:basedOn w:val="Normal"/>
    <w:link w:val="ClosingChar1"/>
    <w:uiPriority w:val="99"/>
    <w:rsid w:val="000A5F4F"/>
    <w:pPr>
      <w:tabs>
        <w:tab w:val="left" w:leader="underscore" w:pos="9360"/>
      </w:tabs>
      <w:ind w:left="4320"/>
    </w:pPr>
  </w:style>
  <w:style w:type="character" w:customStyle="1" w:styleId="ClosingChar">
    <w:name w:val="Closing Char"/>
    <w:basedOn w:val="DefaultParagraphFont"/>
    <w:uiPriority w:val="99"/>
    <w:semiHidden/>
    <w:rsid w:val="000A5F4F"/>
    <w:rPr>
      <w:rFonts w:ascii="Times New Roman" w:eastAsia="Times New Roman" w:hAnsi="Times New Roman" w:cs="Times New Roman"/>
      <w:sz w:val="24"/>
      <w:szCs w:val="24"/>
    </w:rPr>
  </w:style>
  <w:style w:type="character" w:customStyle="1" w:styleId="ClosingChar1">
    <w:name w:val="Closing Char1"/>
    <w:basedOn w:val="DefaultParagraphFont"/>
    <w:link w:val="Closing"/>
    <w:uiPriority w:val="99"/>
    <w:locked/>
    <w:rsid w:val="000A5F4F"/>
    <w:rPr>
      <w:rFonts w:ascii="Times New Roman" w:eastAsia="Times New Roman" w:hAnsi="Times New Roman" w:cs="Times New Roman"/>
      <w:sz w:val="24"/>
      <w:szCs w:val="24"/>
    </w:rPr>
  </w:style>
  <w:style w:type="paragraph" w:customStyle="1" w:styleId="MacPacTrailer">
    <w:name w:val="MacPac Trailer"/>
    <w:rsid w:val="00C44232"/>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C44232"/>
    <w:rPr>
      <w:color w:val="808080"/>
    </w:rPr>
  </w:style>
  <w:style w:type="character" w:customStyle="1" w:styleId="hwc">
    <w:name w:val="hwc"/>
    <w:basedOn w:val="DefaultParagraphFont"/>
    <w:rsid w:val="00F67010"/>
  </w:style>
  <w:style w:type="paragraph" w:styleId="FootnoteText">
    <w:name w:val="footnote text"/>
    <w:basedOn w:val="Normal"/>
    <w:link w:val="FootnoteTextChar"/>
    <w:uiPriority w:val="99"/>
    <w:semiHidden/>
    <w:unhideWhenUsed/>
    <w:rsid w:val="00F67010"/>
    <w:pPr>
      <w:overflowPunct/>
      <w:autoSpaceDE/>
      <w:autoSpaceDN/>
      <w:adjustRightInd/>
      <w:textAlignment w:val="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67010"/>
    <w:rPr>
      <w:rFonts w:ascii="Times New Roman" w:hAnsi="Times New Roman"/>
      <w:sz w:val="20"/>
      <w:szCs w:val="20"/>
    </w:rPr>
  </w:style>
  <w:style w:type="paragraph" w:styleId="ListParagraph">
    <w:name w:val="List Paragraph"/>
    <w:basedOn w:val="Normal"/>
    <w:uiPriority w:val="34"/>
    <w:qFormat/>
    <w:rsid w:val="00E642EC"/>
    <w:pPr>
      <w:overflowPunct/>
      <w:autoSpaceDE/>
      <w:autoSpaceDN/>
      <w:adjustRightInd/>
      <w:ind w:left="720"/>
      <w:contextualSpacing/>
      <w:textAlignment w:val="auto"/>
    </w:pPr>
    <w:rPr>
      <w:rFonts w:eastAsiaTheme="minorHAnsi" w:cstheme="minorBidi"/>
      <w:szCs w:val="22"/>
    </w:rPr>
  </w:style>
  <w:style w:type="character" w:customStyle="1" w:styleId="DocID">
    <w:name w:val="DocID"/>
    <w:basedOn w:val="DefaultParagraphFont"/>
    <w:uiPriority w:val="99"/>
    <w:semiHidden/>
    <w:rsid w:val="003656FE"/>
    <w:rPr>
      <w:rFonts w:ascii="Times New Roman" w:hAnsi="Times New Roman"/>
      <w:sz w:val="16"/>
    </w:rPr>
  </w:style>
  <w:style w:type="paragraph" w:customStyle="1" w:styleId="Default">
    <w:name w:val="Default"/>
    <w:basedOn w:val="Normal"/>
    <w:rsid w:val="00911070"/>
    <w:pPr>
      <w:overflowPunct/>
      <w:adjustRightInd/>
      <w:textAlignment w:val="auto"/>
    </w:pPr>
    <w:rPr>
      <w:rFonts w:eastAsiaTheme="minorHAnsi"/>
      <w:color w:val="000000"/>
    </w:rPr>
  </w:style>
  <w:style w:type="paragraph" w:styleId="BalloonText">
    <w:name w:val="Balloon Text"/>
    <w:basedOn w:val="Normal"/>
    <w:link w:val="BalloonTextChar"/>
    <w:uiPriority w:val="99"/>
    <w:semiHidden/>
    <w:unhideWhenUsed/>
    <w:rsid w:val="009E1B87"/>
    <w:rPr>
      <w:rFonts w:ascii="Tahoma" w:hAnsi="Tahoma" w:cs="Tahoma"/>
      <w:sz w:val="16"/>
      <w:szCs w:val="16"/>
    </w:rPr>
  </w:style>
  <w:style w:type="character" w:customStyle="1" w:styleId="BalloonTextChar">
    <w:name w:val="Balloon Text Char"/>
    <w:basedOn w:val="DefaultParagraphFont"/>
    <w:link w:val="BalloonText"/>
    <w:uiPriority w:val="99"/>
    <w:semiHidden/>
    <w:rsid w:val="009E1B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3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83A"/>
    <w:pPr>
      <w:tabs>
        <w:tab w:val="center" w:pos="4680"/>
        <w:tab w:val="right" w:pos="9360"/>
      </w:tabs>
    </w:pPr>
  </w:style>
  <w:style w:type="character" w:customStyle="1" w:styleId="HeaderChar">
    <w:name w:val="Header Char"/>
    <w:basedOn w:val="DefaultParagraphFont"/>
    <w:link w:val="Header"/>
    <w:uiPriority w:val="99"/>
    <w:rsid w:val="0012483A"/>
    <w:rPr>
      <w:rFonts w:ascii="Times New Roman" w:hAnsi="Times New Roman"/>
      <w:sz w:val="24"/>
    </w:rPr>
  </w:style>
  <w:style w:type="paragraph" w:styleId="Footer">
    <w:name w:val="footer"/>
    <w:basedOn w:val="Normal"/>
    <w:link w:val="FooterChar"/>
    <w:uiPriority w:val="99"/>
    <w:unhideWhenUsed/>
    <w:rsid w:val="0012483A"/>
    <w:pPr>
      <w:tabs>
        <w:tab w:val="center" w:pos="4680"/>
        <w:tab w:val="right" w:pos="9360"/>
      </w:tabs>
    </w:pPr>
  </w:style>
  <w:style w:type="character" w:customStyle="1" w:styleId="FooterChar">
    <w:name w:val="Footer Char"/>
    <w:basedOn w:val="DefaultParagraphFont"/>
    <w:link w:val="Footer"/>
    <w:uiPriority w:val="99"/>
    <w:rsid w:val="0012483A"/>
    <w:rPr>
      <w:rFonts w:ascii="Times New Roman" w:hAnsi="Times New Roman"/>
      <w:sz w:val="24"/>
    </w:rPr>
  </w:style>
  <w:style w:type="paragraph" w:styleId="BodyText">
    <w:name w:val="Body Text"/>
    <w:basedOn w:val="Normal"/>
    <w:link w:val="BodyTextChar1"/>
    <w:uiPriority w:val="99"/>
    <w:rsid w:val="0012483A"/>
    <w:pPr>
      <w:spacing w:line="480" w:lineRule="auto"/>
      <w:ind w:firstLine="720"/>
    </w:pPr>
  </w:style>
  <w:style w:type="character" w:customStyle="1" w:styleId="BodyTextChar">
    <w:name w:val="Body Text Char"/>
    <w:basedOn w:val="DefaultParagraphFont"/>
    <w:uiPriority w:val="99"/>
    <w:semiHidden/>
    <w:rsid w:val="0012483A"/>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locked/>
    <w:rsid w:val="0012483A"/>
    <w:rPr>
      <w:rFonts w:ascii="Times New Roman" w:eastAsia="Times New Roman" w:hAnsi="Times New Roman" w:cs="Times New Roman"/>
      <w:sz w:val="24"/>
      <w:szCs w:val="24"/>
    </w:rPr>
  </w:style>
  <w:style w:type="character" w:styleId="FootnoteReference">
    <w:name w:val="footnote reference"/>
    <w:aliases w:val="fr,o,Style 3,Footnote 1r,Style 17,Style 9,Style 12,(NECG) Footnote Reference,Appel note de bas de p,Style 5,Style 2,Style 124,Style 6,Style 20,FR,Style 13,callout,Style 11,o1,o2,o3,o4,o5,o6,o11,o21,o7,Style 28,Style 8"/>
    <w:basedOn w:val="DefaultParagraphFont"/>
    <w:rsid w:val="0012483A"/>
    <w:rPr>
      <w:rFonts w:cs="Times New Roman"/>
      <w:vertAlign w:val="superscript"/>
    </w:rPr>
  </w:style>
  <w:style w:type="character" w:styleId="Hyperlink">
    <w:name w:val="Hyperlink"/>
    <w:basedOn w:val="DefaultParagraphFont"/>
    <w:uiPriority w:val="99"/>
    <w:rsid w:val="0012483A"/>
    <w:rPr>
      <w:rFonts w:cs="Times New Roman"/>
      <w:color w:val="0000FF"/>
      <w:u w:val="single"/>
    </w:rPr>
  </w:style>
  <w:style w:type="paragraph" w:styleId="Closing">
    <w:name w:val="Closing"/>
    <w:basedOn w:val="Normal"/>
    <w:link w:val="ClosingChar1"/>
    <w:uiPriority w:val="99"/>
    <w:rsid w:val="000A5F4F"/>
    <w:pPr>
      <w:tabs>
        <w:tab w:val="left" w:leader="underscore" w:pos="9360"/>
      </w:tabs>
      <w:ind w:left="4320"/>
    </w:pPr>
  </w:style>
  <w:style w:type="character" w:customStyle="1" w:styleId="ClosingChar">
    <w:name w:val="Closing Char"/>
    <w:basedOn w:val="DefaultParagraphFont"/>
    <w:uiPriority w:val="99"/>
    <w:semiHidden/>
    <w:rsid w:val="000A5F4F"/>
    <w:rPr>
      <w:rFonts w:ascii="Times New Roman" w:eastAsia="Times New Roman" w:hAnsi="Times New Roman" w:cs="Times New Roman"/>
      <w:sz w:val="24"/>
      <w:szCs w:val="24"/>
    </w:rPr>
  </w:style>
  <w:style w:type="character" w:customStyle="1" w:styleId="ClosingChar1">
    <w:name w:val="Closing Char1"/>
    <w:basedOn w:val="DefaultParagraphFont"/>
    <w:link w:val="Closing"/>
    <w:uiPriority w:val="99"/>
    <w:locked/>
    <w:rsid w:val="000A5F4F"/>
    <w:rPr>
      <w:rFonts w:ascii="Times New Roman" w:eastAsia="Times New Roman" w:hAnsi="Times New Roman" w:cs="Times New Roman"/>
      <w:sz w:val="24"/>
      <w:szCs w:val="24"/>
    </w:rPr>
  </w:style>
  <w:style w:type="paragraph" w:customStyle="1" w:styleId="MacPacTrailer">
    <w:name w:val="MacPac Trailer"/>
    <w:rsid w:val="00C44232"/>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C44232"/>
    <w:rPr>
      <w:color w:val="808080"/>
    </w:rPr>
  </w:style>
  <w:style w:type="character" w:customStyle="1" w:styleId="hwc">
    <w:name w:val="hwc"/>
    <w:basedOn w:val="DefaultParagraphFont"/>
    <w:rsid w:val="00F67010"/>
  </w:style>
  <w:style w:type="paragraph" w:styleId="FootnoteText">
    <w:name w:val="footnote text"/>
    <w:basedOn w:val="Normal"/>
    <w:link w:val="FootnoteTextChar"/>
    <w:uiPriority w:val="99"/>
    <w:semiHidden/>
    <w:unhideWhenUsed/>
    <w:rsid w:val="00F67010"/>
    <w:pPr>
      <w:overflowPunct/>
      <w:autoSpaceDE/>
      <w:autoSpaceDN/>
      <w:adjustRightInd/>
      <w:textAlignment w:val="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67010"/>
    <w:rPr>
      <w:rFonts w:ascii="Times New Roman" w:hAnsi="Times New Roman"/>
      <w:sz w:val="20"/>
      <w:szCs w:val="20"/>
    </w:rPr>
  </w:style>
  <w:style w:type="paragraph" w:styleId="ListParagraph">
    <w:name w:val="List Paragraph"/>
    <w:basedOn w:val="Normal"/>
    <w:uiPriority w:val="34"/>
    <w:qFormat/>
    <w:rsid w:val="00E642EC"/>
    <w:pPr>
      <w:overflowPunct/>
      <w:autoSpaceDE/>
      <w:autoSpaceDN/>
      <w:adjustRightInd/>
      <w:ind w:left="720"/>
      <w:contextualSpacing/>
      <w:textAlignment w:val="auto"/>
    </w:pPr>
    <w:rPr>
      <w:rFonts w:eastAsiaTheme="minorHAnsi" w:cstheme="minorBidi"/>
      <w:szCs w:val="22"/>
    </w:rPr>
  </w:style>
  <w:style w:type="character" w:customStyle="1" w:styleId="DocID">
    <w:name w:val="DocID"/>
    <w:basedOn w:val="DefaultParagraphFont"/>
    <w:uiPriority w:val="99"/>
    <w:semiHidden/>
    <w:rsid w:val="003656FE"/>
    <w:rPr>
      <w:rFonts w:ascii="Times New Roman" w:hAnsi="Times New Roman"/>
      <w:sz w:val="16"/>
    </w:rPr>
  </w:style>
  <w:style w:type="paragraph" w:customStyle="1" w:styleId="Default">
    <w:name w:val="Default"/>
    <w:basedOn w:val="Normal"/>
    <w:rsid w:val="00911070"/>
    <w:pPr>
      <w:overflowPunct/>
      <w:adjustRightInd/>
      <w:textAlignment w:val="auto"/>
    </w:pPr>
    <w:rPr>
      <w:rFonts w:eastAsiaTheme="minorHAnsi"/>
      <w:color w:val="000000"/>
    </w:rPr>
  </w:style>
  <w:style w:type="paragraph" w:styleId="BalloonText">
    <w:name w:val="Balloon Text"/>
    <w:basedOn w:val="Normal"/>
    <w:link w:val="BalloonTextChar"/>
    <w:uiPriority w:val="99"/>
    <w:semiHidden/>
    <w:unhideWhenUsed/>
    <w:rsid w:val="009E1B87"/>
    <w:rPr>
      <w:rFonts w:ascii="Tahoma" w:hAnsi="Tahoma" w:cs="Tahoma"/>
      <w:sz w:val="16"/>
      <w:szCs w:val="16"/>
    </w:rPr>
  </w:style>
  <w:style w:type="character" w:customStyle="1" w:styleId="BalloonTextChar">
    <w:name w:val="Balloon Text Char"/>
    <w:basedOn w:val="DefaultParagraphFont"/>
    <w:link w:val="BalloonText"/>
    <w:uiPriority w:val="99"/>
    <w:semiHidden/>
    <w:rsid w:val="009E1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2012-03-14T07:00:00+00:00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50EB47-D1ED-46D1-8919-ADF0BB2272C9}"/>
</file>

<file path=customXml/itemProps2.xml><?xml version="1.0" encoding="utf-8"?>
<ds:datastoreItem xmlns:ds="http://schemas.openxmlformats.org/officeDocument/2006/customXml" ds:itemID="{33114EC9-B7CB-40C0-8E42-153081E9F07D}"/>
</file>

<file path=customXml/itemProps3.xml><?xml version="1.0" encoding="utf-8"?>
<ds:datastoreItem xmlns:ds="http://schemas.openxmlformats.org/officeDocument/2006/customXml" ds:itemID="{E167E7A6-4D2C-4C36-8700-B816A2B46125}"/>
</file>

<file path=customXml/itemProps4.xml><?xml version="1.0" encoding="utf-8"?>
<ds:datastoreItem xmlns:ds="http://schemas.openxmlformats.org/officeDocument/2006/customXml" ds:itemID="{551F0E30-D296-4117-A7ED-9B3966C3652B}"/>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4998</Characters>
  <Application>Microsoft Office Word</Application>
  <DocSecurity>0</DocSecurity>
  <Lines>101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2012-03-14T17:52:00Z</cp:lastPrinted>
  <dcterms:created xsi:type="dcterms:W3CDTF">2012-03-14T21:21:00Z</dcterms:created>
  <dcterms:modified xsi:type="dcterms:W3CDTF">2012-03-14T21:21:00Z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