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39" w:rsidRPr="00AF31F3" w:rsidRDefault="00000439" w:rsidP="00AF31F3">
      <w:pPr>
        <w:pStyle w:val="center"/>
        <w:keepLines w:val="0"/>
        <w:widowControl w:val="0"/>
        <w:spacing w:before="0" w:line="240" w:lineRule="auto"/>
        <w:jc w:val="left"/>
      </w:pPr>
    </w:p>
    <w:p w:rsidR="006D77CD" w:rsidRDefault="000F7A06" w:rsidP="00C2014A">
      <w:pPr>
        <w:suppressLineNumbers/>
        <w:jc w:val="center"/>
        <w:rPr>
          <w:rFonts w:ascii="Times New Roman" w:hAnsi="Times New Roman"/>
          <w:b/>
          <w:sz w:val="24"/>
          <w:szCs w:val="24"/>
        </w:rPr>
      </w:pPr>
      <w:r w:rsidRPr="00F53E71">
        <w:rPr>
          <w:rFonts w:ascii="Times New Roman" w:hAnsi="Times New Roman"/>
          <w:b/>
          <w:sz w:val="24"/>
          <w:szCs w:val="24"/>
        </w:rPr>
        <w:t xml:space="preserve">BEFORE THE </w:t>
      </w:r>
      <w:r w:rsidR="00563A1A">
        <w:rPr>
          <w:rFonts w:ascii="Times New Roman" w:hAnsi="Times New Roman"/>
          <w:b/>
          <w:sz w:val="24"/>
          <w:szCs w:val="24"/>
        </w:rPr>
        <w:t>WASHINGTON UTILITIES AND TRANSPORTATION COMMISSION</w:t>
      </w:r>
    </w:p>
    <w:p w:rsidR="006D77CD" w:rsidRPr="00F53E71" w:rsidRDefault="006D77CD" w:rsidP="000F7A06">
      <w:pPr>
        <w:suppressLineNumbers/>
        <w:jc w:val="center"/>
        <w:rPr>
          <w:rFonts w:ascii="Times New Roman" w:hAnsi="Times New Roman"/>
          <w:b/>
          <w:sz w:val="24"/>
          <w:szCs w:val="24"/>
        </w:rPr>
      </w:pPr>
    </w:p>
    <w:p w:rsidR="000F7A06" w:rsidRPr="00F53E71" w:rsidRDefault="000F7A06" w:rsidP="000F7A06">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tblPr>
      <w:tblGrid>
        <w:gridCol w:w="4608"/>
        <w:gridCol w:w="360"/>
        <w:gridCol w:w="4608"/>
      </w:tblGrid>
      <w:tr w:rsidR="000F7A06" w:rsidRPr="00F53E71" w:rsidTr="00C2014A">
        <w:trPr>
          <w:trHeight w:val="3600"/>
        </w:trPr>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563A1A" w:rsidP="00CE63CF">
            <w:pPr>
              <w:suppressLineNumbers/>
              <w:rPr>
                <w:rFonts w:ascii="Times New Roman" w:hAnsi="Times New Roman"/>
                <w:sz w:val="24"/>
                <w:szCs w:val="24"/>
              </w:rPr>
            </w:pPr>
            <w:r>
              <w:rPr>
                <w:rFonts w:ascii="Times New Roman" w:hAnsi="Times New Roman"/>
                <w:sz w:val="24"/>
                <w:szCs w:val="24"/>
              </w:rPr>
              <w:t>WASHINGTON UTILITIES AND</w:t>
            </w:r>
            <w:r w:rsidR="006D77CD">
              <w:rPr>
                <w:rFonts w:ascii="Times New Roman" w:hAnsi="Times New Roman"/>
                <w:sz w:val="24"/>
                <w:szCs w:val="24"/>
              </w:rPr>
              <w:t xml:space="preserve"> </w:t>
            </w:r>
            <w:r w:rsidR="000F7A06" w:rsidRPr="00F53E71">
              <w:rPr>
                <w:rFonts w:ascii="Times New Roman" w:hAnsi="Times New Roman"/>
                <w:sz w:val="24"/>
                <w:szCs w:val="24"/>
              </w:rPr>
              <w:t xml:space="preserve"> </w:t>
            </w:r>
          </w:p>
          <w:p w:rsidR="000F7A06" w:rsidRDefault="00563A1A" w:rsidP="00CE63CF">
            <w:pPr>
              <w:suppressLineNumbers/>
              <w:rPr>
                <w:rFonts w:ascii="Times New Roman" w:hAnsi="Times New Roman"/>
                <w:sz w:val="24"/>
                <w:szCs w:val="24"/>
              </w:rPr>
            </w:pPr>
            <w:r>
              <w:rPr>
                <w:rFonts w:ascii="Times New Roman" w:hAnsi="Times New Roman"/>
                <w:sz w:val="24"/>
                <w:szCs w:val="24"/>
              </w:rPr>
              <w:t>TRANSPORTATION COMMISSION,</w:t>
            </w:r>
          </w:p>
          <w:p w:rsidR="0038569F" w:rsidRPr="00F53E71" w:rsidRDefault="0038569F" w:rsidP="00CE63CF">
            <w:pPr>
              <w:suppressLineNumbers/>
              <w:rPr>
                <w:rFonts w:ascii="Times New Roman" w:hAnsi="Times New Roman"/>
                <w:sz w:val="24"/>
                <w:szCs w:val="24"/>
              </w:rPr>
            </w:pPr>
          </w:p>
          <w:p w:rsidR="000F7A06" w:rsidRDefault="00563A1A" w:rsidP="00CE63CF">
            <w:pPr>
              <w:suppressLineNumbers/>
              <w:rPr>
                <w:rFonts w:ascii="Times New Roman" w:hAnsi="Times New Roman"/>
                <w:sz w:val="24"/>
                <w:szCs w:val="24"/>
              </w:rPr>
            </w:pPr>
            <w:r>
              <w:rPr>
                <w:rFonts w:ascii="Times New Roman" w:hAnsi="Times New Roman"/>
                <w:sz w:val="24"/>
                <w:szCs w:val="24"/>
              </w:rPr>
              <w:t xml:space="preserve">                      Complainant,</w:t>
            </w:r>
          </w:p>
          <w:p w:rsidR="00563A1A" w:rsidRDefault="00563A1A" w:rsidP="00CE63CF">
            <w:pPr>
              <w:suppressLineNumbers/>
              <w:rPr>
                <w:rFonts w:ascii="Times New Roman" w:hAnsi="Times New Roman"/>
                <w:sz w:val="24"/>
                <w:szCs w:val="24"/>
              </w:rPr>
            </w:pPr>
          </w:p>
          <w:p w:rsidR="00563A1A" w:rsidRDefault="00563A1A" w:rsidP="00CE63CF">
            <w:pPr>
              <w:suppressLineNumbers/>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563A1A" w:rsidRDefault="00563A1A" w:rsidP="00CE63CF">
            <w:pPr>
              <w:suppressLineNumbers/>
              <w:rPr>
                <w:rFonts w:ascii="Times New Roman" w:hAnsi="Times New Roman"/>
                <w:sz w:val="24"/>
                <w:szCs w:val="24"/>
              </w:rPr>
            </w:pPr>
          </w:p>
          <w:p w:rsidR="00563A1A" w:rsidRDefault="00E03451" w:rsidP="00CE63CF">
            <w:pPr>
              <w:suppressLineNumbers/>
              <w:rPr>
                <w:rFonts w:ascii="Times New Roman" w:hAnsi="Times New Roman"/>
                <w:sz w:val="24"/>
                <w:szCs w:val="24"/>
              </w:rPr>
            </w:pPr>
            <w:r>
              <w:rPr>
                <w:rFonts w:ascii="Times New Roman" w:hAnsi="Times New Roman"/>
                <w:sz w:val="24"/>
                <w:szCs w:val="24"/>
              </w:rPr>
              <w:t>AVISTA CORPORATION</w:t>
            </w:r>
            <w:r w:rsidR="00CF49BB">
              <w:rPr>
                <w:rFonts w:ascii="Times New Roman" w:hAnsi="Times New Roman"/>
                <w:sz w:val="24"/>
                <w:szCs w:val="24"/>
              </w:rPr>
              <w:t xml:space="preserve"> d/b/a AVISTA UTILITIES</w:t>
            </w:r>
            <w:r w:rsidR="00B92A9D">
              <w:rPr>
                <w:rFonts w:ascii="Times New Roman" w:hAnsi="Times New Roman"/>
                <w:sz w:val="24"/>
                <w:szCs w:val="24"/>
              </w:rPr>
              <w:t>,</w:t>
            </w:r>
          </w:p>
          <w:p w:rsidR="0038569F" w:rsidRDefault="0038569F" w:rsidP="00CE63CF">
            <w:pPr>
              <w:suppressLineNumbers/>
              <w:rPr>
                <w:rFonts w:ascii="Times New Roman" w:hAnsi="Times New Roman"/>
                <w:sz w:val="24"/>
                <w:szCs w:val="24"/>
              </w:rPr>
            </w:pPr>
          </w:p>
          <w:p w:rsidR="00563A1A" w:rsidRPr="00F53E71" w:rsidRDefault="00563A1A" w:rsidP="00CE63CF">
            <w:pPr>
              <w:suppressLineNumbers/>
              <w:rPr>
                <w:rFonts w:ascii="Times New Roman" w:hAnsi="Times New Roman"/>
                <w:sz w:val="24"/>
                <w:szCs w:val="24"/>
              </w:rPr>
            </w:pPr>
            <w:r>
              <w:rPr>
                <w:rFonts w:ascii="Times New Roman" w:hAnsi="Times New Roman"/>
                <w:sz w:val="24"/>
                <w:szCs w:val="24"/>
              </w:rPr>
              <w:t xml:space="preserve">                      Respondent.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ab/>
            </w:r>
            <w:r w:rsidRPr="00F53E71">
              <w:rPr>
                <w:rFonts w:ascii="Times New Roman" w:hAnsi="Times New Roman"/>
                <w:sz w:val="24"/>
                <w:szCs w:val="24"/>
              </w:rPr>
              <w:tab/>
            </w:r>
          </w:p>
          <w:p w:rsidR="00B92A9D" w:rsidRPr="00F53E71" w:rsidRDefault="00B92A9D" w:rsidP="00CE63CF">
            <w:pPr>
              <w:suppressLineNumbers/>
              <w:rPr>
                <w:rFonts w:ascii="Times New Roman" w:hAnsi="Times New Roman"/>
                <w:sz w:val="24"/>
                <w:szCs w:val="24"/>
              </w:rPr>
            </w:pPr>
          </w:p>
          <w:p w:rsidR="000F7A06" w:rsidRPr="00945373" w:rsidRDefault="00F16221" w:rsidP="00945373">
            <w:pPr>
              <w:tabs>
                <w:tab w:val="left" w:pos="2145"/>
              </w:tabs>
              <w:rPr>
                <w:sz w:val="25"/>
                <w:szCs w:val="25"/>
              </w:rPr>
            </w:pPr>
            <w:r>
              <w:rPr>
                <w:sz w:val="25"/>
                <w:szCs w:val="25"/>
              </w:rPr>
              <w:t>_______________________________</w:t>
            </w:r>
            <w:r w:rsidR="009B5C65">
              <w:rPr>
                <w:sz w:val="25"/>
                <w:szCs w:val="25"/>
              </w:rPr>
              <w:t xml:space="preserve"> </w:t>
            </w:r>
          </w:p>
        </w:tc>
        <w:tc>
          <w:tcPr>
            <w:tcW w:w="360" w:type="dxa"/>
          </w:tcPr>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6232B4" w:rsidRPr="00F53E71" w:rsidRDefault="006232B4" w:rsidP="00CE63CF">
            <w:pPr>
              <w:suppressLineNumbers/>
              <w:rPr>
                <w:rFonts w:ascii="Times New Roman" w:hAnsi="Times New Roman"/>
                <w:sz w:val="24"/>
                <w:szCs w:val="24"/>
              </w:rPr>
            </w:pPr>
            <w:r>
              <w:rPr>
                <w:rFonts w:ascii="Times New Roman" w:hAnsi="Times New Roman"/>
                <w:sz w:val="24"/>
                <w:szCs w:val="24"/>
              </w:rPr>
              <w:t>)</w:t>
            </w:r>
          </w:p>
        </w:tc>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6C339E" w:rsidRPr="00F2295E" w:rsidRDefault="00430E69" w:rsidP="006C339E">
            <w:pPr>
              <w:pStyle w:val="Heading3"/>
              <w:ind w:left="792"/>
              <w:rPr>
                <w:b w:val="0"/>
              </w:rPr>
            </w:pPr>
            <w:r>
              <w:rPr>
                <w:rFonts w:ascii="Times New Roman" w:hAnsi="Times New Roman"/>
                <w:b w:val="0"/>
                <w:sz w:val="24"/>
              </w:rPr>
              <w:t>Docket No</w:t>
            </w:r>
            <w:r w:rsidR="002F022F">
              <w:rPr>
                <w:rFonts w:ascii="Times New Roman" w:hAnsi="Times New Roman"/>
                <w:b w:val="0"/>
                <w:sz w:val="24"/>
              </w:rPr>
              <w:t>s</w:t>
            </w:r>
            <w:r>
              <w:rPr>
                <w:rFonts w:ascii="Times New Roman" w:hAnsi="Times New Roman"/>
                <w:b w:val="0"/>
                <w:sz w:val="24"/>
              </w:rPr>
              <w:t>. UE-1</w:t>
            </w:r>
            <w:r w:rsidR="00B92A9D">
              <w:rPr>
                <w:rFonts w:ascii="Times New Roman" w:hAnsi="Times New Roman"/>
                <w:b w:val="0"/>
                <w:sz w:val="24"/>
              </w:rPr>
              <w:t>1</w:t>
            </w:r>
            <w:r w:rsidR="00E03451">
              <w:rPr>
                <w:rFonts w:ascii="Times New Roman" w:hAnsi="Times New Roman"/>
                <w:b w:val="0"/>
                <w:sz w:val="24"/>
              </w:rPr>
              <w:t>0876</w:t>
            </w:r>
            <w:r w:rsidR="002F022F">
              <w:rPr>
                <w:rFonts w:ascii="Times New Roman" w:hAnsi="Times New Roman"/>
                <w:b w:val="0"/>
                <w:sz w:val="24"/>
              </w:rPr>
              <w:t>/UG-11</w:t>
            </w:r>
            <w:r w:rsidR="00E03451">
              <w:rPr>
                <w:rFonts w:ascii="Times New Roman" w:hAnsi="Times New Roman"/>
                <w:b w:val="0"/>
                <w:sz w:val="24"/>
              </w:rPr>
              <w:t>0877</w:t>
            </w:r>
            <w:r w:rsidR="00382E70">
              <w:rPr>
                <w:rFonts w:ascii="Times New Roman" w:hAnsi="Times New Roman"/>
                <w:b w:val="0"/>
                <w:sz w:val="24"/>
              </w:rPr>
              <w:br/>
            </w:r>
            <w:r w:rsidR="00382E70" w:rsidRPr="00656CFC">
              <w:rPr>
                <w:rFonts w:ascii="Times New Roman" w:hAnsi="Times New Roman"/>
                <w:b w:val="0"/>
                <w:i/>
                <w:sz w:val="24"/>
              </w:rPr>
              <w:t>(</w:t>
            </w:r>
            <w:r w:rsidR="00B22737">
              <w:rPr>
                <w:rFonts w:ascii="Times New Roman" w:hAnsi="Times New Roman"/>
                <w:b w:val="0"/>
                <w:i/>
                <w:sz w:val="24"/>
              </w:rPr>
              <w:t>C</w:t>
            </w:r>
            <w:r w:rsidR="00382E70" w:rsidRPr="00656CFC">
              <w:rPr>
                <w:rFonts w:ascii="Times New Roman" w:hAnsi="Times New Roman"/>
                <w:b w:val="0"/>
                <w:i/>
                <w:sz w:val="24"/>
              </w:rPr>
              <w:t>onsolidated)</w:t>
            </w:r>
          </w:p>
          <w:p w:rsidR="000F7A06" w:rsidRPr="00F53E71" w:rsidRDefault="000F7A06" w:rsidP="00EB1712">
            <w:pPr>
              <w:pStyle w:val="Heading3"/>
              <w:ind w:left="792"/>
              <w:rPr>
                <w:rFonts w:ascii="Times New Roman" w:hAnsi="Times New Roman" w:cs="Times New Roman"/>
                <w:sz w:val="24"/>
                <w:szCs w:val="24"/>
              </w:rPr>
            </w:pPr>
          </w:p>
        </w:tc>
      </w:tr>
    </w:tbl>
    <w:p w:rsidR="000F7A06" w:rsidRDefault="000F7A06"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Pr="00F53E71" w:rsidRDefault="00F16221" w:rsidP="000F7A06">
      <w:pPr>
        <w:suppressLineNumbers/>
        <w:rPr>
          <w:rFonts w:ascii="Times New Roman" w:hAnsi="Times New Roman"/>
          <w:sz w:val="24"/>
          <w:szCs w:val="24"/>
        </w:rPr>
      </w:pPr>
    </w:p>
    <w:p w:rsidR="00000439" w:rsidRDefault="00000439" w:rsidP="00000439">
      <w:pPr>
        <w:pStyle w:val="center"/>
        <w:keepLines w:val="0"/>
        <w:widowControl w:val="0"/>
        <w:spacing w:before="0" w:line="240" w:lineRule="auto"/>
        <w:rPr>
          <w:b/>
        </w:rPr>
      </w:pPr>
    </w:p>
    <w:p w:rsidR="00AF31F3" w:rsidRDefault="00E03451" w:rsidP="00000439">
      <w:pPr>
        <w:pStyle w:val="center"/>
        <w:spacing w:before="0" w:line="240" w:lineRule="auto"/>
        <w:rPr>
          <w:b/>
        </w:rPr>
      </w:pPr>
      <w:r>
        <w:rPr>
          <w:b/>
        </w:rPr>
        <w:t>RESPONSIVE</w:t>
      </w:r>
      <w:r w:rsidR="0005210C">
        <w:rPr>
          <w:b/>
        </w:rPr>
        <w:t xml:space="preserve"> </w:t>
      </w:r>
      <w:r w:rsidR="00000439">
        <w:rPr>
          <w:b/>
        </w:rPr>
        <w:t>TESTIMONY OF</w:t>
      </w:r>
      <w:r w:rsidR="00AF31F3">
        <w:rPr>
          <w:b/>
        </w:rPr>
        <w:t xml:space="preserve"> </w:t>
      </w:r>
      <w:r w:rsidR="00B92A9D">
        <w:rPr>
          <w:b/>
        </w:rPr>
        <w:t>MICHAEL C. DEEN</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000439" w:rsidP="00000439">
      <w:pPr>
        <w:pStyle w:val="center"/>
        <w:spacing w:before="0" w:line="240" w:lineRule="auto"/>
        <w:rPr>
          <w:b/>
        </w:rPr>
      </w:pPr>
      <w:r>
        <w:rPr>
          <w:b/>
        </w:rPr>
        <w:t xml:space="preserve">THE INDUSTRIAL CUSTOMERS OF NORTHWEST UTILITIES </w:t>
      </w:r>
    </w:p>
    <w:p w:rsidR="00000439" w:rsidRDefault="00000439"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CE63CF" w:rsidRPr="0005210C" w:rsidRDefault="00E03451" w:rsidP="0005210C">
      <w:pPr>
        <w:pStyle w:val="center"/>
        <w:keepLines w:val="0"/>
        <w:widowControl w:val="0"/>
        <w:spacing w:before="0" w:line="240" w:lineRule="auto"/>
        <w:rPr>
          <w:b/>
          <w:szCs w:val="24"/>
        </w:rPr>
      </w:pPr>
      <w:r>
        <w:rPr>
          <w:b/>
          <w:szCs w:val="24"/>
        </w:rPr>
        <w:t>February 24</w:t>
      </w:r>
      <w:r w:rsidR="0005210C" w:rsidRPr="0005210C">
        <w:rPr>
          <w:b/>
          <w:szCs w:val="24"/>
        </w:rPr>
        <w:t xml:space="preserve">, </w:t>
      </w:r>
      <w:r w:rsidR="00B71863" w:rsidRPr="0005210C">
        <w:rPr>
          <w:b/>
          <w:szCs w:val="24"/>
        </w:rPr>
        <w:t>201</w:t>
      </w:r>
      <w:r w:rsidR="00B71863">
        <w:rPr>
          <w:b/>
          <w:szCs w:val="24"/>
        </w:rPr>
        <w:t>2</w:t>
      </w:r>
    </w:p>
    <w:p w:rsidR="00000439" w:rsidRDefault="00000439" w:rsidP="00000439">
      <w:pPr>
        <w:pStyle w:val="center"/>
        <w:keepLines w:val="0"/>
        <w:widowControl w:val="0"/>
        <w:spacing w:before="0" w:line="240" w:lineRule="auto"/>
        <w:rPr>
          <w:b/>
        </w:rPr>
      </w:pPr>
    </w:p>
    <w:p w:rsidR="00AF31F3" w:rsidRDefault="00AF31F3" w:rsidP="00571B64">
      <w:pPr>
        <w:pStyle w:val="center"/>
        <w:keepLines w:val="0"/>
        <w:widowControl w:val="0"/>
        <w:spacing w:before="0" w:line="240" w:lineRule="auto"/>
        <w:rPr>
          <w:b/>
        </w:rPr>
        <w:sectPr w:rsidR="00AF31F3" w:rsidSect="00AF31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64" w:gutter="0"/>
          <w:pgNumType w:start="1"/>
          <w:cols w:space="720"/>
        </w:sectPr>
      </w:pPr>
    </w:p>
    <w:p w:rsidR="00B92A9D" w:rsidRPr="00976A23" w:rsidRDefault="004343DA" w:rsidP="004343DA">
      <w:pPr>
        <w:spacing w:line="480" w:lineRule="auto"/>
        <w:jc w:val="center"/>
        <w:rPr>
          <w:rFonts w:ascii="Times New Roman" w:hAnsi="Times New Roman"/>
          <w:b/>
          <w:sz w:val="24"/>
          <w:u w:val="single"/>
        </w:rPr>
      </w:pPr>
      <w:r w:rsidRPr="00976A23">
        <w:rPr>
          <w:rFonts w:ascii="Times New Roman" w:hAnsi="Times New Roman"/>
          <w:b/>
          <w:sz w:val="24"/>
          <w:u w:val="single"/>
        </w:rPr>
        <w:lastRenderedPageBreak/>
        <w:t>I. INTRODUCTION</w:t>
      </w:r>
    </w:p>
    <w:p w:rsidR="00B92A9D" w:rsidRDefault="00B92A9D" w:rsidP="00B92A9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4343DA">
        <w:rPr>
          <w:rFonts w:ascii="Times New Roman" w:hAnsi="Times New Roman"/>
          <w:b/>
          <w:sz w:val="24"/>
        </w:rPr>
        <w:t>PLEASE STATE YOUR NAME AND BUSINESS ADDRESS.</w:t>
      </w:r>
    </w:p>
    <w:p w:rsidR="00B92A9D"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t>My name is Michael C. Deen</w:t>
      </w:r>
      <w:r w:rsidR="0051788D">
        <w:rPr>
          <w:rFonts w:ascii="Times New Roman" w:hAnsi="Times New Roman"/>
          <w:sz w:val="24"/>
        </w:rPr>
        <w:t>,</w:t>
      </w:r>
      <w:r>
        <w:rPr>
          <w:rFonts w:ascii="Times New Roman" w:hAnsi="Times New Roman"/>
          <w:sz w:val="24"/>
        </w:rPr>
        <w:t xml:space="preserve"> and my business address is 900 Washington Street, Suite 780, Vancouver, Washington 98660.  I am employed by Regulatory and Cogeneration Services, Inc. (“RCS”), a utility rate and consulting firm.</w:t>
      </w:r>
    </w:p>
    <w:p w:rsidR="00E03451" w:rsidRPr="00B44C3E" w:rsidRDefault="00E03451" w:rsidP="00E03451">
      <w:pPr>
        <w:spacing w:line="480" w:lineRule="auto"/>
        <w:rPr>
          <w:rFonts w:ascii="Times New Roman" w:hAnsi="Times New Roman"/>
          <w:b/>
          <w:sz w:val="24"/>
        </w:rPr>
      </w:pPr>
      <w:r w:rsidRPr="00B44C3E">
        <w:rPr>
          <w:rFonts w:ascii="Times New Roman" w:hAnsi="Times New Roman"/>
          <w:b/>
          <w:sz w:val="24"/>
        </w:rPr>
        <w:t>Q.</w:t>
      </w:r>
      <w:r w:rsidRPr="00B44C3E">
        <w:rPr>
          <w:rFonts w:ascii="Times New Roman" w:hAnsi="Times New Roman"/>
          <w:b/>
          <w:sz w:val="24"/>
        </w:rPr>
        <w:tab/>
        <w:t>PLEASE DESCRIBE YOUR BACKGROUND AND EXPERIENCE.</w:t>
      </w:r>
    </w:p>
    <w:p w:rsidR="00E03451" w:rsidRDefault="00E03451" w:rsidP="00E03451">
      <w:pPr>
        <w:spacing w:line="480" w:lineRule="auto"/>
        <w:ind w:left="720" w:hanging="720"/>
        <w:rPr>
          <w:rFonts w:ascii="Times New Roman" w:hAnsi="Times New Roman"/>
          <w:sz w:val="24"/>
        </w:rPr>
      </w:pPr>
      <w:r w:rsidRPr="00B44C3E">
        <w:rPr>
          <w:rFonts w:ascii="Times New Roman" w:hAnsi="Times New Roman"/>
          <w:b/>
          <w:sz w:val="24"/>
        </w:rPr>
        <w:t>A.</w:t>
      </w:r>
      <w:r w:rsidRPr="00B44C3E">
        <w:rPr>
          <w:rFonts w:ascii="Times New Roman" w:hAnsi="Times New Roman"/>
          <w:sz w:val="24"/>
        </w:rPr>
        <w:tab/>
        <w:t xml:space="preserve">I have been involved in the electric utility industry for over 5 years.  During that time, I have served as an analyst and expert on a variety of power supply, cost, ratemaking, and policy topics, primarily regarding the Bonneville Power Administration and Pacific Northwest utilities.  </w:t>
      </w:r>
      <w:r>
        <w:rPr>
          <w:rFonts w:ascii="Times New Roman" w:hAnsi="Times New Roman"/>
          <w:sz w:val="24"/>
        </w:rPr>
        <w:t>I recently provided testimony on behalf of the Industrial Customers of Northwest Utilities (“ICNU”)</w:t>
      </w:r>
      <w:r w:rsidRPr="00B44C3E">
        <w:rPr>
          <w:rFonts w:ascii="Times New Roman" w:hAnsi="Times New Roman"/>
          <w:sz w:val="24"/>
        </w:rPr>
        <w:t xml:space="preserve"> before the Washington Utilities and Transportation Commission (the “Commission”)</w:t>
      </w:r>
      <w:r>
        <w:rPr>
          <w:rFonts w:ascii="Times New Roman" w:hAnsi="Times New Roman"/>
          <w:sz w:val="24"/>
        </w:rPr>
        <w:t xml:space="preserve"> </w:t>
      </w:r>
      <w:r w:rsidR="00872C89">
        <w:rPr>
          <w:rFonts w:ascii="Times New Roman" w:hAnsi="Times New Roman"/>
          <w:sz w:val="24"/>
        </w:rPr>
        <w:t>in the Puget Sound Energy general rate case,</w:t>
      </w:r>
      <w:r>
        <w:rPr>
          <w:rFonts w:ascii="Times New Roman" w:hAnsi="Times New Roman"/>
          <w:sz w:val="24"/>
        </w:rPr>
        <w:t xml:space="preserve"> consolidated dockets </w:t>
      </w:r>
      <w:proofErr w:type="spellStart"/>
      <w:r>
        <w:rPr>
          <w:rFonts w:ascii="Times New Roman" w:hAnsi="Times New Roman"/>
          <w:sz w:val="24"/>
        </w:rPr>
        <w:t>UE</w:t>
      </w:r>
      <w:proofErr w:type="spellEnd"/>
      <w:r>
        <w:rPr>
          <w:rFonts w:ascii="Times New Roman" w:hAnsi="Times New Roman"/>
          <w:sz w:val="24"/>
        </w:rPr>
        <w:t>-111048/</w:t>
      </w:r>
      <w:proofErr w:type="spellStart"/>
      <w:r>
        <w:rPr>
          <w:rFonts w:ascii="Times New Roman" w:hAnsi="Times New Roman"/>
          <w:sz w:val="24"/>
        </w:rPr>
        <w:t>UG</w:t>
      </w:r>
      <w:proofErr w:type="spellEnd"/>
      <w:r>
        <w:rPr>
          <w:rFonts w:ascii="Times New Roman" w:hAnsi="Times New Roman"/>
          <w:sz w:val="24"/>
        </w:rPr>
        <w:t>-111049</w:t>
      </w:r>
      <w:r w:rsidR="00CF2B81">
        <w:rPr>
          <w:rFonts w:ascii="Times New Roman" w:hAnsi="Times New Roman"/>
          <w:sz w:val="24"/>
        </w:rPr>
        <w:t>,</w:t>
      </w:r>
      <w:r w:rsidR="00964E91">
        <w:rPr>
          <w:rFonts w:ascii="Times New Roman" w:hAnsi="Times New Roman"/>
          <w:sz w:val="24"/>
        </w:rPr>
        <w:t xml:space="preserve"> and in the 2011 PacifiCorp Washington general rate case, docket UE-111190</w:t>
      </w:r>
      <w:r w:rsidRPr="00B44C3E">
        <w:rPr>
          <w:rFonts w:ascii="Times New Roman" w:hAnsi="Times New Roman"/>
          <w:sz w:val="24"/>
        </w:rPr>
        <w:t xml:space="preserve">.  A further description of my educational background and work experience can be found in Exhibit No. </w:t>
      </w:r>
      <w:proofErr w:type="gramStart"/>
      <w:r w:rsidRPr="00B44C3E">
        <w:rPr>
          <w:rFonts w:ascii="Times New Roman" w:hAnsi="Times New Roman"/>
          <w:sz w:val="24"/>
        </w:rPr>
        <w:t>__ (MCD-2).</w:t>
      </w:r>
      <w:proofErr w:type="gramEnd"/>
    </w:p>
    <w:p w:rsidR="00E03451" w:rsidRPr="00B44C3E" w:rsidRDefault="00E03451" w:rsidP="00E03451">
      <w:pPr>
        <w:spacing w:line="480" w:lineRule="auto"/>
        <w:rPr>
          <w:rFonts w:ascii="Times New Roman" w:hAnsi="Times New Roman"/>
          <w:b/>
          <w:sz w:val="24"/>
        </w:rPr>
      </w:pPr>
      <w:r w:rsidRPr="00B44C3E">
        <w:rPr>
          <w:rFonts w:ascii="Times New Roman" w:hAnsi="Times New Roman"/>
          <w:b/>
          <w:sz w:val="24"/>
        </w:rPr>
        <w:t>Q.</w:t>
      </w:r>
      <w:r w:rsidRPr="00B44C3E">
        <w:rPr>
          <w:rFonts w:ascii="Times New Roman" w:hAnsi="Times New Roman"/>
          <w:b/>
          <w:sz w:val="24"/>
        </w:rPr>
        <w:tab/>
        <w:t>ON WHOSE BEHALF ARE YOU APPEARING IN THIS PROCEEDING?</w:t>
      </w:r>
    </w:p>
    <w:p w:rsidR="00E03451" w:rsidRPr="00B44C3E" w:rsidRDefault="00E03451" w:rsidP="00E03451">
      <w:pPr>
        <w:spacing w:line="480" w:lineRule="auto"/>
        <w:ind w:left="720" w:hanging="720"/>
        <w:rPr>
          <w:rFonts w:ascii="Times New Roman" w:hAnsi="Times New Roman"/>
          <w:sz w:val="24"/>
        </w:rPr>
      </w:pPr>
      <w:r w:rsidRPr="00B44C3E">
        <w:rPr>
          <w:rFonts w:ascii="Times New Roman" w:hAnsi="Times New Roman"/>
          <w:b/>
          <w:sz w:val="24"/>
        </w:rPr>
        <w:t>A.</w:t>
      </w:r>
      <w:r w:rsidRPr="00B44C3E">
        <w:rPr>
          <w:rFonts w:ascii="Times New Roman" w:hAnsi="Times New Roman"/>
          <w:sz w:val="24"/>
        </w:rPr>
        <w:tab/>
        <w:t xml:space="preserve">I am testifying on behalf of </w:t>
      </w:r>
      <w:r w:rsidR="00872C89">
        <w:rPr>
          <w:rFonts w:ascii="Times New Roman" w:hAnsi="Times New Roman"/>
          <w:sz w:val="24"/>
        </w:rPr>
        <w:t>ICNU</w:t>
      </w:r>
      <w:r w:rsidRPr="00B44C3E">
        <w:rPr>
          <w:rFonts w:ascii="Times New Roman" w:hAnsi="Times New Roman"/>
          <w:sz w:val="24"/>
        </w:rPr>
        <w:t xml:space="preserve">.  ICNU is a non-profit trade association whose members are large industrial customers served by electric utilities throughout the Pacific Northwest, including </w:t>
      </w:r>
      <w:r>
        <w:rPr>
          <w:rFonts w:ascii="Times New Roman" w:hAnsi="Times New Roman"/>
          <w:sz w:val="24"/>
        </w:rPr>
        <w:t>Avista Corporation</w:t>
      </w:r>
      <w:r w:rsidRPr="00B44C3E">
        <w:rPr>
          <w:rFonts w:ascii="Times New Roman" w:hAnsi="Times New Roman"/>
          <w:sz w:val="24"/>
        </w:rPr>
        <w:t xml:space="preserve"> (“</w:t>
      </w:r>
      <w:r>
        <w:rPr>
          <w:rFonts w:ascii="Times New Roman" w:hAnsi="Times New Roman"/>
          <w:sz w:val="24"/>
        </w:rPr>
        <w:t>Avista</w:t>
      </w:r>
      <w:r w:rsidRPr="00B44C3E">
        <w:rPr>
          <w:rFonts w:ascii="Times New Roman" w:hAnsi="Times New Roman"/>
          <w:sz w:val="24"/>
        </w:rPr>
        <w:t>” or the “Company”).</w:t>
      </w:r>
    </w:p>
    <w:p w:rsidR="00B92A9D" w:rsidRDefault="00B92A9D" w:rsidP="000C56F6">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0C56F6">
        <w:rPr>
          <w:rFonts w:ascii="Times New Roman" w:hAnsi="Times New Roman"/>
          <w:b/>
          <w:sz w:val="24"/>
        </w:rPr>
        <w:t xml:space="preserve">WHAT IS THE PURPOSE OF YOUR </w:t>
      </w:r>
      <w:r w:rsidR="00E03451">
        <w:rPr>
          <w:rFonts w:ascii="Times New Roman" w:hAnsi="Times New Roman"/>
          <w:b/>
          <w:sz w:val="24"/>
        </w:rPr>
        <w:t>RESPONSIVE</w:t>
      </w:r>
      <w:r w:rsidR="000C56F6">
        <w:rPr>
          <w:rFonts w:ascii="Times New Roman" w:hAnsi="Times New Roman"/>
          <w:b/>
          <w:sz w:val="24"/>
        </w:rPr>
        <w:t xml:space="preserve"> TESTIMONY?</w:t>
      </w:r>
    </w:p>
    <w:p w:rsidR="000C56F6" w:rsidRDefault="000C56F6"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1A4CA9">
        <w:rPr>
          <w:rFonts w:ascii="Times New Roman" w:hAnsi="Times New Roman"/>
          <w:sz w:val="24"/>
        </w:rPr>
        <w:t>The purpose of this testimony is to address</w:t>
      </w:r>
      <w:r w:rsidR="004F167B">
        <w:rPr>
          <w:rFonts w:ascii="Times New Roman" w:hAnsi="Times New Roman"/>
          <w:sz w:val="24"/>
        </w:rPr>
        <w:t xml:space="preserve"> </w:t>
      </w:r>
      <w:r w:rsidR="004E399E">
        <w:rPr>
          <w:rFonts w:ascii="Times New Roman" w:hAnsi="Times New Roman"/>
          <w:sz w:val="24"/>
        </w:rPr>
        <w:t>the decoupling proposal of the N</w:t>
      </w:r>
      <w:r w:rsidR="00B27267">
        <w:rPr>
          <w:rFonts w:ascii="Times New Roman" w:hAnsi="Times New Roman"/>
          <w:sz w:val="24"/>
        </w:rPr>
        <w:t>orthwest</w:t>
      </w:r>
      <w:r w:rsidR="004E399E">
        <w:rPr>
          <w:rFonts w:ascii="Times New Roman" w:hAnsi="Times New Roman"/>
          <w:sz w:val="24"/>
        </w:rPr>
        <w:t xml:space="preserve"> Energy Coalition</w:t>
      </w:r>
      <w:r w:rsidR="00B27267">
        <w:rPr>
          <w:rFonts w:ascii="Times New Roman" w:hAnsi="Times New Roman"/>
          <w:sz w:val="24"/>
        </w:rPr>
        <w:t xml:space="preserve"> (“NWEC”)</w:t>
      </w:r>
      <w:r w:rsidR="00DE5D0F">
        <w:rPr>
          <w:rFonts w:ascii="Times New Roman" w:hAnsi="Times New Roman"/>
          <w:sz w:val="24"/>
        </w:rPr>
        <w:t xml:space="preserve"> described in Exhibit No. __</w:t>
      </w:r>
      <w:proofErr w:type="gramStart"/>
      <w:r w:rsidR="00DE5D0F">
        <w:rPr>
          <w:rFonts w:ascii="Times New Roman" w:hAnsi="Times New Roman"/>
          <w:sz w:val="24"/>
        </w:rPr>
        <w:t>_(</w:t>
      </w:r>
      <w:proofErr w:type="gramEnd"/>
      <w:r w:rsidR="00DE5D0F">
        <w:rPr>
          <w:rFonts w:ascii="Times New Roman" w:hAnsi="Times New Roman"/>
          <w:sz w:val="24"/>
        </w:rPr>
        <w:t>RCC-1T).</w:t>
      </w:r>
      <w:r w:rsidR="00F645F7">
        <w:rPr>
          <w:rFonts w:ascii="Times New Roman" w:hAnsi="Times New Roman"/>
          <w:sz w:val="24"/>
        </w:rPr>
        <w:t xml:space="preserve">  </w:t>
      </w:r>
    </w:p>
    <w:p w:rsidR="000714CA" w:rsidRDefault="000714CA" w:rsidP="00872C89">
      <w:pPr>
        <w:keepNext/>
        <w:keepLines/>
        <w:spacing w:line="480" w:lineRule="auto"/>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PLEASE SUMMARIZE YOUR RECOMMENDATIONS</w:t>
      </w:r>
      <w:r w:rsidR="006E70A8">
        <w:rPr>
          <w:rFonts w:ascii="Times New Roman" w:hAnsi="Times New Roman"/>
          <w:b/>
          <w:sz w:val="24"/>
        </w:rPr>
        <w:t>.</w:t>
      </w:r>
    </w:p>
    <w:p w:rsidR="006E70A8" w:rsidRDefault="006E70A8"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proofErr w:type="spellStart"/>
      <w:r w:rsidR="00DE5D0F">
        <w:rPr>
          <w:rFonts w:ascii="Times New Roman" w:hAnsi="Times New Roman"/>
          <w:sz w:val="24"/>
        </w:rPr>
        <w:t>NWEC’s</w:t>
      </w:r>
      <w:proofErr w:type="spellEnd"/>
      <w:r w:rsidR="004F167B">
        <w:rPr>
          <w:rFonts w:ascii="Times New Roman" w:hAnsi="Times New Roman"/>
          <w:sz w:val="24"/>
        </w:rPr>
        <w:t xml:space="preserve"> decoupling proposal in this proceeding </w:t>
      </w:r>
      <w:r w:rsidR="00DE5D0F">
        <w:rPr>
          <w:rFonts w:ascii="Times New Roman" w:hAnsi="Times New Roman"/>
          <w:sz w:val="24"/>
        </w:rPr>
        <w:t xml:space="preserve">is </w:t>
      </w:r>
      <w:r w:rsidR="00DE765A">
        <w:rPr>
          <w:rFonts w:ascii="Times New Roman" w:hAnsi="Times New Roman"/>
          <w:sz w:val="24"/>
        </w:rPr>
        <w:t>in</w:t>
      </w:r>
      <w:r w:rsidR="004F167B">
        <w:rPr>
          <w:rFonts w:ascii="Times New Roman" w:hAnsi="Times New Roman"/>
          <w:sz w:val="24"/>
        </w:rPr>
        <w:t xml:space="preserve">appropriate for industrial customers.  </w:t>
      </w:r>
      <w:r w:rsidR="00DE765A">
        <w:rPr>
          <w:rFonts w:ascii="Times New Roman" w:hAnsi="Times New Roman"/>
          <w:sz w:val="24"/>
        </w:rPr>
        <w:t xml:space="preserve">Further, </w:t>
      </w:r>
      <w:proofErr w:type="spellStart"/>
      <w:r w:rsidR="00F54736">
        <w:rPr>
          <w:rFonts w:ascii="Times New Roman" w:hAnsi="Times New Roman"/>
          <w:sz w:val="24"/>
        </w:rPr>
        <w:t>NWEC’s</w:t>
      </w:r>
      <w:proofErr w:type="spellEnd"/>
      <w:r w:rsidR="00F54736">
        <w:rPr>
          <w:rFonts w:ascii="Times New Roman" w:hAnsi="Times New Roman"/>
          <w:sz w:val="24"/>
        </w:rPr>
        <w:t xml:space="preserve"> proposal is not sufficiently developed</w:t>
      </w:r>
      <w:r w:rsidR="00DE765A">
        <w:rPr>
          <w:rFonts w:ascii="Times New Roman" w:hAnsi="Times New Roman"/>
          <w:sz w:val="24"/>
        </w:rPr>
        <w:t>,</w:t>
      </w:r>
      <w:r w:rsidR="00F54736">
        <w:rPr>
          <w:rFonts w:ascii="Times New Roman" w:hAnsi="Times New Roman"/>
          <w:sz w:val="24"/>
        </w:rPr>
        <w:t xml:space="preserve"> and</w:t>
      </w:r>
      <w:r w:rsidR="00DE765A">
        <w:rPr>
          <w:rFonts w:ascii="Times New Roman" w:hAnsi="Times New Roman"/>
          <w:sz w:val="24"/>
        </w:rPr>
        <w:t xml:space="preserve"> it is</w:t>
      </w:r>
      <w:r w:rsidR="00872C89">
        <w:rPr>
          <w:rFonts w:ascii="Times New Roman" w:hAnsi="Times New Roman"/>
          <w:sz w:val="24"/>
        </w:rPr>
        <w:t xml:space="preserve"> inconsistent with the Commission’s stated policy goals for decoupling. </w:t>
      </w:r>
      <w:r w:rsidR="00F54736">
        <w:rPr>
          <w:rFonts w:ascii="Times New Roman" w:hAnsi="Times New Roman"/>
          <w:sz w:val="24"/>
        </w:rPr>
        <w:t xml:space="preserve"> </w:t>
      </w:r>
      <w:r w:rsidR="00872C89">
        <w:rPr>
          <w:rFonts w:ascii="Times New Roman" w:hAnsi="Times New Roman"/>
          <w:sz w:val="24"/>
        </w:rPr>
        <w:t>I</w:t>
      </w:r>
      <w:r w:rsidR="00F54736">
        <w:rPr>
          <w:rFonts w:ascii="Times New Roman" w:hAnsi="Times New Roman"/>
          <w:sz w:val="24"/>
        </w:rPr>
        <w:t>f the Commission wishes to pursue a full decoupling mechanism, then</w:t>
      </w:r>
      <w:r w:rsidR="004F167B">
        <w:rPr>
          <w:rFonts w:ascii="Times New Roman" w:hAnsi="Times New Roman"/>
          <w:sz w:val="24"/>
        </w:rPr>
        <w:t xml:space="preserve"> it should be</w:t>
      </w:r>
      <w:r w:rsidR="00D63919">
        <w:rPr>
          <w:rFonts w:ascii="Times New Roman" w:hAnsi="Times New Roman"/>
          <w:sz w:val="24"/>
        </w:rPr>
        <w:t xml:space="preserve"> considered</w:t>
      </w:r>
      <w:r w:rsidR="004F167B">
        <w:rPr>
          <w:rFonts w:ascii="Times New Roman" w:hAnsi="Times New Roman"/>
          <w:sz w:val="24"/>
        </w:rPr>
        <w:t xml:space="preserve"> in the context of a separate, later proceeding </w:t>
      </w:r>
      <w:r w:rsidR="00F54736">
        <w:rPr>
          <w:rFonts w:ascii="Times New Roman" w:hAnsi="Times New Roman"/>
          <w:sz w:val="24"/>
        </w:rPr>
        <w:t xml:space="preserve">after a </w:t>
      </w:r>
      <w:r w:rsidR="00F645F7">
        <w:rPr>
          <w:rFonts w:ascii="Times New Roman" w:hAnsi="Times New Roman"/>
          <w:sz w:val="24"/>
        </w:rPr>
        <w:t>complete</w:t>
      </w:r>
      <w:r w:rsidR="00F54736">
        <w:rPr>
          <w:rFonts w:ascii="Times New Roman" w:hAnsi="Times New Roman"/>
          <w:sz w:val="24"/>
        </w:rPr>
        <w:t xml:space="preserve"> proposal</w:t>
      </w:r>
      <w:r w:rsidR="004F167B">
        <w:rPr>
          <w:rFonts w:ascii="Times New Roman" w:hAnsi="Times New Roman"/>
          <w:sz w:val="24"/>
        </w:rPr>
        <w:t xml:space="preserve"> </w:t>
      </w:r>
      <w:r w:rsidR="00F54736">
        <w:rPr>
          <w:rFonts w:ascii="Times New Roman" w:hAnsi="Times New Roman"/>
          <w:sz w:val="24"/>
        </w:rPr>
        <w:t>is filed</w:t>
      </w:r>
      <w:r w:rsidR="004F167B">
        <w:rPr>
          <w:rFonts w:ascii="Times New Roman" w:hAnsi="Times New Roman"/>
          <w:sz w:val="24"/>
        </w:rPr>
        <w:t>.</w:t>
      </w:r>
      <w:r w:rsidR="00976A23">
        <w:rPr>
          <w:rFonts w:ascii="Times New Roman" w:hAnsi="Times New Roman"/>
          <w:sz w:val="24"/>
        </w:rPr>
        <w:t xml:space="preserve">  </w:t>
      </w:r>
    </w:p>
    <w:p w:rsidR="004F167B" w:rsidRPr="004F167B" w:rsidRDefault="004F167B" w:rsidP="004F167B">
      <w:pPr>
        <w:spacing w:line="480" w:lineRule="auto"/>
        <w:ind w:left="720" w:hanging="720"/>
        <w:jc w:val="center"/>
        <w:rPr>
          <w:rFonts w:ascii="Times New Roman" w:hAnsi="Times New Roman"/>
          <w:sz w:val="24"/>
          <w:u w:val="single"/>
        </w:rPr>
      </w:pPr>
      <w:r>
        <w:rPr>
          <w:rFonts w:ascii="Times New Roman" w:hAnsi="Times New Roman"/>
          <w:b/>
          <w:sz w:val="24"/>
          <w:u w:val="single"/>
        </w:rPr>
        <w:t>II. DECOUPLING PROPOSAL</w:t>
      </w:r>
    </w:p>
    <w:p w:rsidR="004F167B" w:rsidRDefault="004F167B" w:rsidP="000B2B57">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THE BACKGROUND OF DECOUPLING PROPOSAL</w:t>
      </w:r>
      <w:r w:rsidR="00BE715C">
        <w:rPr>
          <w:rFonts w:ascii="Times New Roman" w:hAnsi="Times New Roman"/>
          <w:b/>
          <w:sz w:val="24"/>
        </w:rPr>
        <w:t>S</w:t>
      </w:r>
      <w:r w:rsidR="00FD6507">
        <w:rPr>
          <w:rFonts w:ascii="Times New Roman" w:hAnsi="Times New Roman"/>
          <w:b/>
          <w:sz w:val="24"/>
        </w:rPr>
        <w:t xml:space="preserve"> </w:t>
      </w:r>
      <w:r>
        <w:rPr>
          <w:rFonts w:ascii="Times New Roman" w:hAnsi="Times New Roman"/>
          <w:b/>
          <w:sz w:val="24"/>
        </w:rPr>
        <w:t>IN THIS PROCEEDING.</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F645F7">
        <w:rPr>
          <w:rFonts w:ascii="Times New Roman" w:hAnsi="Times New Roman"/>
          <w:sz w:val="24"/>
        </w:rPr>
        <w:t xml:space="preserve">In </w:t>
      </w:r>
      <w:r w:rsidR="008E65AE">
        <w:rPr>
          <w:rFonts w:ascii="Times New Roman" w:hAnsi="Times New Roman"/>
          <w:sz w:val="24"/>
        </w:rPr>
        <w:t xml:space="preserve">a prior phase of this proceeding, </w:t>
      </w:r>
      <w:r w:rsidR="00F645F7">
        <w:rPr>
          <w:rFonts w:ascii="Times New Roman" w:hAnsi="Times New Roman"/>
          <w:sz w:val="24"/>
        </w:rPr>
        <w:t xml:space="preserve">the Commission approved </w:t>
      </w:r>
      <w:r w:rsidR="009E2F0A">
        <w:rPr>
          <w:rFonts w:ascii="Times New Roman" w:hAnsi="Times New Roman"/>
          <w:sz w:val="24"/>
        </w:rPr>
        <w:t xml:space="preserve">a </w:t>
      </w:r>
      <w:r w:rsidR="00F645F7">
        <w:rPr>
          <w:rFonts w:ascii="Times New Roman" w:hAnsi="Times New Roman"/>
          <w:sz w:val="24"/>
        </w:rPr>
        <w:t>settlement</w:t>
      </w:r>
      <w:r w:rsidR="00AD6CB1">
        <w:rPr>
          <w:rFonts w:ascii="Times New Roman" w:hAnsi="Times New Roman"/>
          <w:sz w:val="24"/>
        </w:rPr>
        <w:t>,</w:t>
      </w:r>
      <w:r w:rsidR="00F645F7">
        <w:rPr>
          <w:rFonts w:ascii="Times New Roman" w:hAnsi="Times New Roman"/>
          <w:sz w:val="24"/>
        </w:rPr>
        <w:t xml:space="preserve"> </w:t>
      </w:r>
      <w:r w:rsidR="00AD6CB1">
        <w:rPr>
          <w:rFonts w:ascii="Times New Roman" w:hAnsi="Times New Roman"/>
          <w:sz w:val="24"/>
        </w:rPr>
        <w:t xml:space="preserve">pursuant to which </w:t>
      </w:r>
      <w:r w:rsidR="00F645F7">
        <w:rPr>
          <w:rFonts w:ascii="Times New Roman" w:hAnsi="Times New Roman"/>
          <w:sz w:val="24"/>
        </w:rPr>
        <w:t>Avista abandoned its</w:t>
      </w:r>
      <w:r w:rsidR="0019142B">
        <w:rPr>
          <w:rFonts w:ascii="Times New Roman" w:hAnsi="Times New Roman"/>
          <w:sz w:val="24"/>
        </w:rPr>
        <w:t xml:space="preserve"> Energy Efficiency Lead Adjustment (“EELA”), a</w:t>
      </w:r>
      <w:r w:rsidR="00F645F7">
        <w:rPr>
          <w:rFonts w:ascii="Times New Roman" w:hAnsi="Times New Roman"/>
          <w:sz w:val="24"/>
        </w:rPr>
        <w:t xml:space="preserve"> limited decoupling proposal.  </w:t>
      </w:r>
      <w:r w:rsidR="004708CA">
        <w:rPr>
          <w:rFonts w:ascii="Times New Roman" w:hAnsi="Times New Roman"/>
          <w:sz w:val="24"/>
        </w:rPr>
        <w:t>On June 28, 2011, t</w:t>
      </w:r>
      <w:r w:rsidRPr="004F167B">
        <w:rPr>
          <w:rFonts w:ascii="Times New Roman" w:hAnsi="Times New Roman"/>
          <w:sz w:val="24"/>
        </w:rPr>
        <w:t xml:space="preserve">he </w:t>
      </w:r>
      <w:r w:rsidR="004708CA" w:rsidRPr="004F167B">
        <w:rPr>
          <w:rFonts w:ascii="Times New Roman" w:hAnsi="Times New Roman"/>
          <w:sz w:val="24"/>
        </w:rPr>
        <w:t>Washington Utilities</w:t>
      </w:r>
      <w:r w:rsidR="004708CA">
        <w:rPr>
          <w:rFonts w:ascii="Times New Roman" w:hAnsi="Times New Roman"/>
          <w:sz w:val="24"/>
        </w:rPr>
        <w:t xml:space="preserve"> and Transportation Commission</w:t>
      </w:r>
      <w:r w:rsidR="004708CA" w:rsidRPr="004F167B">
        <w:rPr>
          <w:rFonts w:ascii="Times New Roman" w:hAnsi="Times New Roman"/>
          <w:sz w:val="24"/>
        </w:rPr>
        <w:t xml:space="preserve"> (“WUTC” or the “Commission”)</w:t>
      </w:r>
      <w:r w:rsidRPr="004F167B">
        <w:rPr>
          <w:rFonts w:ascii="Times New Roman" w:hAnsi="Times New Roman"/>
          <w:sz w:val="24"/>
        </w:rPr>
        <w:t xml:space="preserve">, through a bench request, </w:t>
      </w:r>
      <w:r w:rsidR="004708CA">
        <w:rPr>
          <w:rFonts w:ascii="Times New Roman" w:hAnsi="Times New Roman"/>
          <w:sz w:val="24"/>
        </w:rPr>
        <w:t xml:space="preserve">invited </w:t>
      </w:r>
      <w:proofErr w:type="spellStart"/>
      <w:r w:rsidR="004708CA">
        <w:rPr>
          <w:rFonts w:ascii="Times New Roman" w:hAnsi="Times New Roman"/>
          <w:sz w:val="24"/>
        </w:rPr>
        <w:t>intervenors</w:t>
      </w:r>
      <w:proofErr w:type="spellEnd"/>
      <w:r w:rsidR="004708CA">
        <w:rPr>
          <w:rFonts w:ascii="Times New Roman" w:hAnsi="Times New Roman"/>
          <w:sz w:val="24"/>
        </w:rPr>
        <w:t xml:space="preserve"> to</w:t>
      </w:r>
      <w:r w:rsidRPr="004F167B">
        <w:rPr>
          <w:rFonts w:ascii="Times New Roman" w:hAnsi="Times New Roman"/>
          <w:sz w:val="24"/>
        </w:rPr>
        <w:t xml:space="preserve"> examine full decoupling for </w:t>
      </w:r>
      <w:r w:rsidR="004708CA">
        <w:rPr>
          <w:rFonts w:ascii="Times New Roman" w:hAnsi="Times New Roman"/>
          <w:sz w:val="24"/>
        </w:rPr>
        <w:t>Avista</w:t>
      </w:r>
      <w:r w:rsidRPr="004F167B">
        <w:rPr>
          <w:rFonts w:ascii="Times New Roman" w:hAnsi="Times New Roman"/>
          <w:sz w:val="24"/>
        </w:rPr>
        <w:t xml:space="preserve">, </w:t>
      </w:r>
      <w:r w:rsidR="005F6AE8">
        <w:rPr>
          <w:rFonts w:ascii="Times New Roman" w:hAnsi="Times New Roman"/>
          <w:sz w:val="24"/>
        </w:rPr>
        <w:t xml:space="preserve">by </w:t>
      </w:r>
      <w:r w:rsidRPr="004F167B">
        <w:rPr>
          <w:rFonts w:ascii="Times New Roman" w:hAnsi="Times New Roman"/>
          <w:sz w:val="24"/>
        </w:rPr>
        <w:t>present</w:t>
      </w:r>
      <w:r w:rsidR="005F6AE8">
        <w:rPr>
          <w:rFonts w:ascii="Times New Roman" w:hAnsi="Times New Roman"/>
          <w:sz w:val="24"/>
        </w:rPr>
        <w:t>ing</w:t>
      </w:r>
      <w:r w:rsidRPr="004F167B">
        <w:rPr>
          <w:rFonts w:ascii="Times New Roman" w:hAnsi="Times New Roman"/>
          <w:sz w:val="24"/>
        </w:rPr>
        <w:t xml:space="preserve"> the critical elements of a full decoupling proposal, and indicat</w:t>
      </w:r>
      <w:r w:rsidR="00940FAE">
        <w:rPr>
          <w:rFonts w:ascii="Times New Roman" w:hAnsi="Times New Roman"/>
          <w:sz w:val="24"/>
        </w:rPr>
        <w:t>ing</w:t>
      </w:r>
      <w:r w:rsidRPr="004F167B">
        <w:rPr>
          <w:rFonts w:ascii="Times New Roman" w:hAnsi="Times New Roman"/>
          <w:sz w:val="24"/>
        </w:rPr>
        <w:t xml:space="preserve"> whether or not a decision on decoupling could be made by the end of this rate case.  </w:t>
      </w:r>
      <w:r w:rsidR="00BA4400">
        <w:rPr>
          <w:rFonts w:ascii="Times New Roman" w:hAnsi="Times New Roman"/>
          <w:sz w:val="24"/>
        </w:rPr>
        <w:t>The parties reached a settlement of all issues</w:t>
      </w:r>
      <w:r w:rsidR="0007164E">
        <w:rPr>
          <w:rFonts w:ascii="Times New Roman" w:hAnsi="Times New Roman"/>
          <w:sz w:val="24"/>
        </w:rPr>
        <w:t>,</w:t>
      </w:r>
      <w:r w:rsidR="00BA4400">
        <w:rPr>
          <w:rFonts w:ascii="Times New Roman" w:hAnsi="Times New Roman"/>
          <w:sz w:val="24"/>
        </w:rPr>
        <w:t xml:space="preserve"> except decoupling, and agreed to address decoupling in a separate schedule.  </w:t>
      </w:r>
      <w:r w:rsidR="004708CA">
        <w:rPr>
          <w:rFonts w:ascii="Times New Roman" w:hAnsi="Times New Roman"/>
          <w:sz w:val="24"/>
        </w:rPr>
        <w:t>NWEC’s</w:t>
      </w:r>
      <w:r w:rsidR="004708CA" w:rsidRPr="004F167B">
        <w:rPr>
          <w:rFonts w:ascii="Times New Roman" w:hAnsi="Times New Roman"/>
          <w:sz w:val="24"/>
        </w:rPr>
        <w:t xml:space="preserve"> </w:t>
      </w:r>
      <w:r w:rsidRPr="004F167B">
        <w:rPr>
          <w:rFonts w:ascii="Times New Roman" w:hAnsi="Times New Roman"/>
          <w:sz w:val="24"/>
        </w:rPr>
        <w:t xml:space="preserve">proposal was filed on </w:t>
      </w:r>
      <w:r w:rsidR="004708CA">
        <w:rPr>
          <w:rFonts w:ascii="Times New Roman" w:hAnsi="Times New Roman"/>
          <w:sz w:val="24"/>
        </w:rPr>
        <w:t>November 3</w:t>
      </w:r>
      <w:r w:rsidRPr="004F167B">
        <w:rPr>
          <w:rFonts w:ascii="Times New Roman" w:hAnsi="Times New Roman"/>
          <w:sz w:val="24"/>
        </w:rPr>
        <w:t>, 2011, and parties are invited to r</w:t>
      </w:r>
      <w:r>
        <w:rPr>
          <w:rFonts w:ascii="Times New Roman" w:hAnsi="Times New Roman"/>
          <w:sz w:val="24"/>
        </w:rPr>
        <w:t xml:space="preserve">espond to the proposal in </w:t>
      </w:r>
      <w:r w:rsidR="004708CA">
        <w:rPr>
          <w:rFonts w:ascii="Times New Roman" w:hAnsi="Times New Roman"/>
          <w:sz w:val="24"/>
        </w:rPr>
        <w:t>responsive</w:t>
      </w:r>
      <w:r w:rsidRPr="004F167B">
        <w:rPr>
          <w:rFonts w:ascii="Times New Roman" w:hAnsi="Times New Roman"/>
          <w:sz w:val="24"/>
        </w:rPr>
        <w:t xml:space="preserve"> testimony, due on </w:t>
      </w:r>
      <w:r w:rsidR="004708CA">
        <w:rPr>
          <w:rFonts w:ascii="Times New Roman" w:hAnsi="Times New Roman"/>
          <w:sz w:val="24"/>
        </w:rPr>
        <w:t>February 24</w:t>
      </w:r>
      <w:r w:rsidRPr="004F167B">
        <w:rPr>
          <w:rFonts w:ascii="Times New Roman" w:hAnsi="Times New Roman"/>
          <w:sz w:val="24"/>
        </w:rPr>
        <w:t xml:space="preserve">, </w:t>
      </w:r>
      <w:r w:rsidR="000D1C52" w:rsidRPr="004F167B">
        <w:rPr>
          <w:rFonts w:ascii="Times New Roman" w:hAnsi="Times New Roman"/>
          <w:sz w:val="24"/>
        </w:rPr>
        <w:t>201</w:t>
      </w:r>
      <w:r w:rsidR="000D1C52">
        <w:rPr>
          <w:rFonts w:ascii="Times New Roman" w:hAnsi="Times New Roman"/>
          <w:sz w:val="24"/>
        </w:rPr>
        <w:t>2</w:t>
      </w:r>
      <w:r w:rsidRPr="004F167B">
        <w:rPr>
          <w:rFonts w:ascii="Times New Roman" w:hAnsi="Times New Roman"/>
          <w:sz w:val="24"/>
        </w:rPr>
        <w:t>.  This</w:t>
      </w:r>
      <w:r>
        <w:rPr>
          <w:rFonts w:ascii="Times New Roman" w:hAnsi="Times New Roman"/>
          <w:sz w:val="24"/>
        </w:rPr>
        <w:t xml:space="preserve"> testimony</w:t>
      </w:r>
      <w:r w:rsidRPr="004F167B">
        <w:rPr>
          <w:rFonts w:ascii="Times New Roman" w:hAnsi="Times New Roman"/>
          <w:sz w:val="24"/>
        </w:rPr>
        <w:t xml:space="preserve"> analyzes </w:t>
      </w:r>
      <w:r w:rsidR="004708CA">
        <w:rPr>
          <w:rFonts w:ascii="Times New Roman" w:hAnsi="Times New Roman"/>
          <w:sz w:val="24"/>
        </w:rPr>
        <w:t>NWEC’s</w:t>
      </w:r>
      <w:r w:rsidR="004708CA" w:rsidRPr="004F167B">
        <w:rPr>
          <w:rFonts w:ascii="Times New Roman" w:hAnsi="Times New Roman"/>
          <w:sz w:val="24"/>
        </w:rPr>
        <w:t xml:space="preserve"> </w:t>
      </w:r>
      <w:r w:rsidRPr="004F167B">
        <w:rPr>
          <w:rFonts w:ascii="Times New Roman" w:hAnsi="Times New Roman"/>
          <w:sz w:val="24"/>
        </w:rPr>
        <w:t>proposal in light of the WUTC’s Policy Statement on Decoupling and responds to some issues raised in testimony by the NWEC.</w:t>
      </w:r>
      <w:r w:rsidR="00F645F7">
        <w:rPr>
          <w:rFonts w:ascii="Times New Roman" w:hAnsi="Times New Roman"/>
          <w:sz w:val="24"/>
        </w:rPr>
        <w:t xml:space="preserve">  </w:t>
      </w:r>
    </w:p>
    <w:p w:rsidR="004F167B" w:rsidRPr="004F167B" w:rsidRDefault="004F167B" w:rsidP="00BA4400">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r>
      <w:r w:rsidRPr="004F167B">
        <w:rPr>
          <w:rFonts w:ascii="Times New Roman" w:hAnsi="Times New Roman"/>
          <w:b/>
          <w:sz w:val="24"/>
        </w:rPr>
        <w:t>THE COMMISSION HAS INVITED PARTIES TO ADDRESS THE DECOUPLING PROPOSALS FILED IN RESPONSE TO THE BENCH REQUEST.  HOW DO</w:t>
      </w:r>
      <w:r>
        <w:rPr>
          <w:rFonts w:ascii="Times New Roman" w:hAnsi="Times New Roman"/>
          <w:b/>
          <w:sz w:val="24"/>
        </w:rPr>
        <w:t>ES</w:t>
      </w:r>
      <w:r w:rsidRPr="004F167B">
        <w:rPr>
          <w:rFonts w:ascii="Times New Roman" w:hAnsi="Times New Roman"/>
          <w:b/>
          <w:sz w:val="24"/>
        </w:rPr>
        <w:t xml:space="preserve"> </w:t>
      </w:r>
      <w:r>
        <w:rPr>
          <w:rFonts w:ascii="Times New Roman" w:hAnsi="Times New Roman"/>
          <w:b/>
          <w:sz w:val="24"/>
        </w:rPr>
        <w:t>ICNU</w:t>
      </w:r>
      <w:r w:rsidRPr="004F167B">
        <w:rPr>
          <w:rFonts w:ascii="Times New Roman" w:hAnsi="Times New Roman"/>
          <w:b/>
          <w:sz w:val="24"/>
        </w:rPr>
        <w:t xml:space="preserve"> VIEW THESE PROPOSALS?</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4708CA">
        <w:rPr>
          <w:rFonts w:ascii="Times New Roman" w:hAnsi="Times New Roman"/>
          <w:sz w:val="24"/>
        </w:rPr>
        <w:t>Only</w:t>
      </w:r>
      <w:r w:rsidRPr="004F167B">
        <w:rPr>
          <w:rFonts w:ascii="Times New Roman" w:hAnsi="Times New Roman"/>
          <w:sz w:val="24"/>
        </w:rPr>
        <w:t xml:space="preserve"> NWEC</w:t>
      </w:r>
      <w:r w:rsidR="009623F3">
        <w:rPr>
          <w:rFonts w:ascii="Times New Roman" w:hAnsi="Times New Roman"/>
          <w:sz w:val="24"/>
        </w:rPr>
        <w:t xml:space="preserve"> </w:t>
      </w:r>
      <w:r w:rsidR="004708CA">
        <w:rPr>
          <w:rFonts w:ascii="Times New Roman" w:hAnsi="Times New Roman"/>
          <w:sz w:val="24"/>
        </w:rPr>
        <w:t>has</w:t>
      </w:r>
      <w:r w:rsidR="004708CA" w:rsidRPr="004F167B">
        <w:rPr>
          <w:rFonts w:ascii="Times New Roman" w:hAnsi="Times New Roman"/>
          <w:sz w:val="24"/>
        </w:rPr>
        <w:t xml:space="preserve"> </w:t>
      </w:r>
      <w:r w:rsidRPr="004F167B">
        <w:rPr>
          <w:rFonts w:ascii="Times New Roman" w:hAnsi="Times New Roman"/>
          <w:sz w:val="24"/>
        </w:rPr>
        <w:t xml:space="preserve">proposed </w:t>
      </w:r>
      <w:r w:rsidR="004708CA">
        <w:rPr>
          <w:rFonts w:ascii="Times New Roman" w:hAnsi="Times New Roman"/>
          <w:sz w:val="24"/>
        </w:rPr>
        <w:t xml:space="preserve">a </w:t>
      </w:r>
      <w:r w:rsidRPr="004F167B">
        <w:rPr>
          <w:rFonts w:ascii="Times New Roman" w:hAnsi="Times New Roman"/>
          <w:sz w:val="24"/>
        </w:rPr>
        <w:t xml:space="preserve">decoupling mechanism.  ICNU does not believe that </w:t>
      </w:r>
      <w:r w:rsidR="004708CA">
        <w:rPr>
          <w:rFonts w:ascii="Times New Roman" w:hAnsi="Times New Roman"/>
          <w:sz w:val="24"/>
        </w:rPr>
        <w:t>this proposal is</w:t>
      </w:r>
      <w:r w:rsidRPr="004F167B">
        <w:rPr>
          <w:rFonts w:ascii="Times New Roman" w:hAnsi="Times New Roman"/>
          <w:sz w:val="24"/>
        </w:rPr>
        <w:t xml:space="preserve"> appropriate or necessary for promoting industrial conservation.  The Commission has stated that the purpose of considering decoupling is to “remove barriers to utilities acquiring all cost-effective conservation or to encourage utilities to acquire all cost-effective conservation.”</w:t>
      </w:r>
      <w:r w:rsidR="00EB5456">
        <w:rPr>
          <w:rStyle w:val="FootnoteReference"/>
          <w:sz w:val="24"/>
        </w:rPr>
        <w:footnoteReference w:id="1"/>
      </w:r>
      <w:proofErr w:type="gramStart"/>
      <w:r w:rsidR="00EB5456">
        <w:rPr>
          <w:rFonts w:ascii="Times New Roman" w:hAnsi="Times New Roman"/>
          <w:sz w:val="24"/>
          <w:vertAlign w:val="superscript"/>
        </w:rPr>
        <w:t>/</w:t>
      </w:r>
      <w:r w:rsidR="007B25A8">
        <w:rPr>
          <w:rFonts w:ascii="Times New Roman" w:hAnsi="Times New Roman"/>
          <w:sz w:val="24"/>
        </w:rPr>
        <w:t xml:space="preserve">  </w:t>
      </w:r>
      <w:r w:rsidR="00F645F7">
        <w:rPr>
          <w:rFonts w:ascii="Times New Roman" w:hAnsi="Times New Roman"/>
          <w:sz w:val="24"/>
        </w:rPr>
        <w:t>The</w:t>
      </w:r>
      <w:proofErr w:type="gramEnd"/>
      <w:r w:rsidRPr="004F167B">
        <w:rPr>
          <w:rFonts w:ascii="Times New Roman" w:hAnsi="Times New Roman"/>
          <w:sz w:val="24"/>
        </w:rPr>
        <w:t xml:space="preserve"> decoupling mechanism presented would </w:t>
      </w:r>
      <w:r w:rsidR="00F645F7">
        <w:rPr>
          <w:rFonts w:ascii="Times New Roman" w:hAnsi="Times New Roman"/>
          <w:sz w:val="24"/>
        </w:rPr>
        <w:t xml:space="preserve">not </w:t>
      </w:r>
      <w:r w:rsidRPr="004F167B">
        <w:rPr>
          <w:rFonts w:ascii="Times New Roman" w:hAnsi="Times New Roman"/>
          <w:sz w:val="24"/>
        </w:rPr>
        <w:t>accomplish either of these goals.</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Washington law mandates </w:t>
      </w:r>
      <w:r w:rsidR="00BB260D">
        <w:rPr>
          <w:rFonts w:ascii="Times New Roman" w:hAnsi="Times New Roman"/>
          <w:sz w:val="24"/>
        </w:rPr>
        <w:t xml:space="preserve">implementation of </w:t>
      </w:r>
      <w:r w:rsidRPr="004F167B">
        <w:rPr>
          <w:rFonts w:ascii="Times New Roman" w:hAnsi="Times New Roman"/>
          <w:sz w:val="24"/>
        </w:rPr>
        <w:t xml:space="preserve">conservation.  The Energy Independence Act (“EIA” or “I-937”) requires </w:t>
      </w:r>
      <w:r w:rsidR="00B20650">
        <w:rPr>
          <w:rFonts w:ascii="Times New Roman" w:hAnsi="Times New Roman"/>
          <w:sz w:val="24"/>
        </w:rPr>
        <w:t>Avista</w:t>
      </w:r>
      <w:r w:rsidR="00B20650" w:rsidRPr="004F167B">
        <w:rPr>
          <w:rFonts w:ascii="Times New Roman" w:hAnsi="Times New Roman"/>
          <w:sz w:val="24"/>
        </w:rPr>
        <w:t xml:space="preserve"> </w:t>
      </w:r>
      <w:r w:rsidRPr="004F167B">
        <w:rPr>
          <w:rFonts w:ascii="Times New Roman" w:hAnsi="Times New Roman"/>
          <w:sz w:val="24"/>
        </w:rPr>
        <w:t xml:space="preserve">to acquire all cost-effective conservation available to it.  </w:t>
      </w:r>
      <w:r w:rsidR="00875DAE">
        <w:rPr>
          <w:rFonts w:ascii="Times New Roman" w:hAnsi="Times New Roman"/>
          <w:sz w:val="24"/>
        </w:rPr>
        <w:t>No Party</w:t>
      </w:r>
      <w:r w:rsidR="00B20650" w:rsidRPr="004F167B">
        <w:rPr>
          <w:rFonts w:ascii="Times New Roman" w:hAnsi="Times New Roman"/>
          <w:sz w:val="24"/>
        </w:rPr>
        <w:t xml:space="preserve"> </w:t>
      </w:r>
      <w:r w:rsidRPr="004F167B">
        <w:rPr>
          <w:rFonts w:ascii="Times New Roman" w:hAnsi="Times New Roman"/>
          <w:sz w:val="24"/>
        </w:rPr>
        <w:t xml:space="preserve">has demonstrated that any barriers are preventing </w:t>
      </w:r>
      <w:r w:rsidR="00EB14C7">
        <w:rPr>
          <w:rFonts w:ascii="Times New Roman" w:hAnsi="Times New Roman"/>
          <w:sz w:val="24"/>
        </w:rPr>
        <w:t>Avista</w:t>
      </w:r>
      <w:r w:rsidRPr="004F167B">
        <w:rPr>
          <w:rFonts w:ascii="Times New Roman" w:hAnsi="Times New Roman"/>
          <w:sz w:val="24"/>
        </w:rPr>
        <w:t xml:space="preserve"> from acquiring all cost-effective conservation; in fact, </w:t>
      </w:r>
      <w:r w:rsidR="00C8202A">
        <w:rPr>
          <w:rFonts w:ascii="Times New Roman" w:hAnsi="Times New Roman"/>
          <w:sz w:val="24"/>
        </w:rPr>
        <w:t xml:space="preserve">there </w:t>
      </w:r>
      <w:proofErr w:type="gramStart"/>
      <w:r w:rsidR="00C8202A">
        <w:rPr>
          <w:rFonts w:ascii="Times New Roman" w:hAnsi="Times New Roman"/>
          <w:sz w:val="24"/>
        </w:rPr>
        <w:t>is no allegations</w:t>
      </w:r>
      <w:proofErr w:type="gramEnd"/>
      <w:r w:rsidR="00C8202A">
        <w:rPr>
          <w:rFonts w:ascii="Times New Roman" w:hAnsi="Times New Roman"/>
          <w:sz w:val="24"/>
        </w:rPr>
        <w:t xml:space="preserve"> that Avista</w:t>
      </w:r>
      <w:r w:rsidRPr="004F167B">
        <w:rPr>
          <w:rFonts w:ascii="Times New Roman" w:hAnsi="Times New Roman"/>
          <w:sz w:val="24"/>
        </w:rPr>
        <w:t xml:space="preserve"> is failing to meet its state-mandated conservation targets.  This demonstrates that </w:t>
      </w:r>
      <w:r w:rsidR="00E2082A">
        <w:rPr>
          <w:rFonts w:ascii="Times New Roman" w:hAnsi="Times New Roman"/>
          <w:sz w:val="24"/>
        </w:rPr>
        <w:t xml:space="preserve">there is </w:t>
      </w:r>
      <w:r w:rsidRPr="004F167B">
        <w:rPr>
          <w:rFonts w:ascii="Times New Roman" w:hAnsi="Times New Roman"/>
          <w:sz w:val="24"/>
        </w:rPr>
        <w:t>no barrier to the acquisition of cost-effective conservation</w:t>
      </w:r>
      <w:r w:rsidR="00E2082A">
        <w:rPr>
          <w:rFonts w:ascii="Times New Roman" w:hAnsi="Times New Roman"/>
          <w:sz w:val="24"/>
        </w:rPr>
        <w:t>.</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 </w:t>
      </w:r>
      <w:r w:rsidR="00B20650">
        <w:rPr>
          <w:rFonts w:ascii="Times New Roman" w:hAnsi="Times New Roman"/>
          <w:sz w:val="24"/>
        </w:rPr>
        <w:t>Avista</w:t>
      </w:r>
      <w:r w:rsidR="00B20650" w:rsidRPr="004F167B">
        <w:rPr>
          <w:rFonts w:ascii="Times New Roman" w:hAnsi="Times New Roman"/>
          <w:sz w:val="24"/>
        </w:rPr>
        <w:t xml:space="preserve"> </w:t>
      </w:r>
      <w:r w:rsidRPr="004F167B">
        <w:rPr>
          <w:rFonts w:ascii="Times New Roman" w:hAnsi="Times New Roman"/>
          <w:sz w:val="24"/>
        </w:rPr>
        <w:t>has not indicated that it needs further incentive</w:t>
      </w:r>
      <w:r w:rsidR="002A1C73">
        <w:rPr>
          <w:rFonts w:ascii="Times New Roman" w:hAnsi="Times New Roman"/>
          <w:sz w:val="24"/>
        </w:rPr>
        <w:t>s</w:t>
      </w:r>
      <w:r w:rsidRPr="004F167B">
        <w:rPr>
          <w:rFonts w:ascii="Times New Roman" w:hAnsi="Times New Roman"/>
          <w:sz w:val="24"/>
        </w:rPr>
        <w:t xml:space="preserve"> to acquire more cost-effective conservation than its state mandated target requires.  The EIA requires </w:t>
      </w:r>
      <w:r w:rsidR="00B20650">
        <w:rPr>
          <w:rFonts w:ascii="Times New Roman" w:hAnsi="Times New Roman"/>
          <w:sz w:val="24"/>
        </w:rPr>
        <w:t>Avista’s</w:t>
      </w:r>
      <w:r w:rsidR="00B20650" w:rsidRPr="004F167B">
        <w:rPr>
          <w:rFonts w:ascii="Times New Roman" w:hAnsi="Times New Roman"/>
          <w:sz w:val="24"/>
        </w:rPr>
        <w:t xml:space="preserve"> </w:t>
      </w:r>
      <w:r w:rsidRPr="004F167B">
        <w:rPr>
          <w:rFonts w:ascii="Times New Roman" w:hAnsi="Times New Roman"/>
          <w:sz w:val="24"/>
        </w:rPr>
        <w:t xml:space="preserve">conservation target to include all cost-effective conservation available, and </w:t>
      </w:r>
      <w:r w:rsidR="00C8202A">
        <w:rPr>
          <w:rFonts w:ascii="Times New Roman" w:hAnsi="Times New Roman"/>
          <w:sz w:val="24"/>
        </w:rPr>
        <w:t>no party</w:t>
      </w:r>
      <w:r w:rsidRPr="004F167B">
        <w:rPr>
          <w:rFonts w:ascii="Times New Roman" w:hAnsi="Times New Roman"/>
          <w:sz w:val="24"/>
        </w:rPr>
        <w:t xml:space="preserve"> has demonstrate</w:t>
      </w:r>
      <w:r w:rsidR="00421868">
        <w:rPr>
          <w:rFonts w:ascii="Times New Roman" w:hAnsi="Times New Roman"/>
          <w:sz w:val="24"/>
        </w:rPr>
        <w:t>d</w:t>
      </w:r>
      <w:r w:rsidRPr="004F167B">
        <w:rPr>
          <w:rFonts w:ascii="Times New Roman" w:hAnsi="Times New Roman"/>
          <w:sz w:val="24"/>
        </w:rPr>
        <w:t xml:space="preserve"> that there is more cost-effective conservation available than required by its conservation target.  </w:t>
      </w:r>
      <w:r w:rsidR="002A1C73">
        <w:rPr>
          <w:rFonts w:ascii="Times New Roman" w:hAnsi="Times New Roman"/>
          <w:sz w:val="24"/>
        </w:rPr>
        <w:t xml:space="preserve">Thus, </w:t>
      </w:r>
      <w:r w:rsidR="00B20650">
        <w:rPr>
          <w:rFonts w:ascii="Times New Roman" w:hAnsi="Times New Roman"/>
          <w:sz w:val="24"/>
        </w:rPr>
        <w:t>Avista</w:t>
      </w:r>
      <w:r w:rsidR="00B20650" w:rsidRPr="004F167B">
        <w:rPr>
          <w:rFonts w:ascii="Times New Roman" w:hAnsi="Times New Roman"/>
          <w:sz w:val="24"/>
        </w:rPr>
        <w:t xml:space="preserve"> </w:t>
      </w:r>
      <w:r w:rsidRPr="004F167B">
        <w:rPr>
          <w:rFonts w:ascii="Times New Roman" w:hAnsi="Times New Roman"/>
          <w:sz w:val="24"/>
        </w:rPr>
        <w:t>does not need further incentive to reach its conservation target.  In the words of the Commission, “the EIA already provides ample incentive.”</w:t>
      </w:r>
      <w:r w:rsidR="00A6424F">
        <w:rPr>
          <w:rStyle w:val="FootnoteReference"/>
          <w:sz w:val="24"/>
        </w:rPr>
        <w:footnoteReference w:id="2"/>
      </w:r>
      <w:r w:rsidR="00A6424F">
        <w:rPr>
          <w:rFonts w:ascii="Times New Roman" w:hAnsi="Times New Roman"/>
          <w:sz w:val="24"/>
          <w:vertAlign w:val="superscript"/>
        </w:rPr>
        <w:t>/</w:t>
      </w:r>
      <w:r w:rsidRPr="004F167B">
        <w:rPr>
          <w:rFonts w:ascii="Times New Roman" w:hAnsi="Times New Roman"/>
          <w:sz w:val="24"/>
        </w:rPr>
        <w:t xml:space="preserve"> </w:t>
      </w:r>
    </w:p>
    <w:p w:rsid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lastRenderedPageBreak/>
        <w:t xml:space="preserve">This means that a decoupling scheme will likely have no actual effect on </w:t>
      </w:r>
      <w:r w:rsidR="00B20650">
        <w:rPr>
          <w:rFonts w:ascii="Times New Roman" w:hAnsi="Times New Roman"/>
          <w:sz w:val="24"/>
        </w:rPr>
        <w:t>Avista’s</w:t>
      </w:r>
      <w:r w:rsidR="00B20650" w:rsidRPr="004F167B">
        <w:rPr>
          <w:rFonts w:ascii="Times New Roman" w:hAnsi="Times New Roman"/>
          <w:sz w:val="24"/>
        </w:rPr>
        <w:t xml:space="preserve"> </w:t>
      </w:r>
      <w:r w:rsidRPr="004F167B">
        <w:rPr>
          <w:rFonts w:ascii="Times New Roman" w:hAnsi="Times New Roman"/>
          <w:sz w:val="24"/>
        </w:rPr>
        <w:t>conservation efforts.  It will neither remove existing barriers</w:t>
      </w:r>
      <w:r w:rsidR="00D3496B">
        <w:rPr>
          <w:rFonts w:ascii="Times New Roman" w:hAnsi="Times New Roman"/>
          <w:sz w:val="24"/>
        </w:rPr>
        <w:t>,</w:t>
      </w:r>
      <w:r w:rsidRPr="004F167B">
        <w:rPr>
          <w:rFonts w:ascii="Times New Roman" w:hAnsi="Times New Roman"/>
          <w:sz w:val="24"/>
        </w:rPr>
        <w:t xml:space="preserve"> nor supply a needed incentive.  The only c</w:t>
      </w:r>
      <w:r w:rsidR="004A4850">
        <w:rPr>
          <w:rFonts w:ascii="Times New Roman" w:hAnsi="Times New Roman"/>
          <w:sz w:val="24"/>
        </w:rPr>
        <w:t xml:space="preserve">hange decoupling would </w:t>
      </w:r>
      <w:r w:rsidR="00B867A5">
        <w:rPr>
          <w:rFonts w:ascii="Times New Roman" w:hAnsi="Times New Roman"/>
          <w:sz w:val="24"/>
        </w:rPr>
        <w:t xml:space="preserve">likely </w:t>
      </w:r>
      <w:r w:rsidR="004A4850">
        <w:rPr>
          <w:rFonts w:ascii="Times New Roman" w:hAnsi="Times New Roman"/>
          <w:sz w:val="24"/>
        </w:rPr>
        <w:t>bring is greater</w:t>
      </w:r>
      <w:r w:rsidRPr="004F167B">
        <w:rPr>
          <w:rFonts w:ascii="Times New Roman" w:hAnsi="Times New Roman"/>
          <w:sz w:val="24"/>
        </w:rPr>
        <w:t xml:space="preserve"> </w:t>
      </w:r>
      <w:r w:rsidR="004A4850">
        <w:rPr>
          <w:rFonts w:ascii="Times New Roman" w:hAnsi="Times New Roman"/>
          <w:sz w:val="24"/>
        </w:rPr>
        <w:t>certainty</w:t>
      </w:r>
      <w:r w:rsidRPr="004F167B">
        <w:rPr>
          <w:rFonts w:ascii="Times New Roman" w:hAnsi="Times New Roman"/>
          <w:sz w:val="24"/>
        </w:rPr>
        <w:t xml:space="preserve"> of revenue to the Company</w:t>
      </w:r>
      <w:r w:rsidR="00C40586">
        <w:rPr>
          <w:rFonts w:ascii="Times New Roman" w:hAnsi="Times New Roman"/>
          <w:sz w:val="24"/>
        </w:rPr>
        <w:t>,</w:t>
      </w:r>
      <w:r w:rsidRPr="004F167B">
        <w:rPr>
          <w:rFonts w:ascii="Times New Roman" w:hAnsi="Times New Roman"/>
          <w:sz w:val="24"/>
        </w:rPr>
        <w:t xml:space="preserve"> regardless of quality of service, economic conditions, or changes in customer use.  The cost of this </w:t>
      </w:r>
      <w:r w:rsidR="004A4850">
        <w:rPr>
          <w:rFonts w:ascii="Times New Roman" w:hAnsi="Times New Roman"/>
          <w:sz w:val="24"/>
        </w:rPr>
        <w:t>certainty</w:t>
      </w:r>
      <w:r w:rsidRPr="004F167B">
        <w:rPr>
          <w:rFonts w:ascii="Times New Roman" w:hAnsi="Times New Roman"/>
          <w:sz w:val="24"/>
        </w:rPr>
        <w:t xml:space="preserve"> would be borne by ratepayers.</w:t>
      </w:r>
    </w:p>
    <w:p w:rsidR="004F167B" w:rsidRPr="004F167B" w:rsidRDefault="004F167B" w:rsidP="0019142B">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IF DECOUPLING WERE MANDATED BY THE COMMISSION, SHOULD INDUSTRIAL CUSTOMERS BE INCLUDED?</w:t>
      </w:r>
    </w:p>
    <w:p w:rsidR="004F167B" w:rsidRPr="004F167B" w:rsidRDefault="004F167B" w:rsidP="00A55E5F">
      <w:pPr>
        <w:keepNext/>
        <w:keepLines/>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No.  Large industrial customers are fundamentally differently situated than customers in other classes.</w:t>
      </w:r>
      <w:r w:rsidR="0019142B">
        <w:rPr>
          <w:rFonts w:ascii="Times New Roman" w:hAnsi="Times New Roman"/>
          <w:sz w:val="24"/>
        </w:rPr>
        <w:t xml:space="preserve"> </w:t>
      </w:r>
      <w:r w:rsidRPr="004F167B">
        <w:rPr>
          <w:rFonts w:ascii="Times New Roman" w:hAnsi="Times New Roman"/>
          <w:sz w:val="24"/>
        </w:rPr>
        <w:t xml:space="preserve"> During the development of the Commission’s Policy Statement, Avista </w:t>
      </w:r>
      <w:r w:rsidR="00B20650">
        <w:rPr>
          <w:rFonts w:ascii="Times New Roman" w:hAnsi="Times New Roman"/>
          <w:sz w:val="24"/>
        </w:rPr>
        <w:t xml:space="preserve">itself </w:t>
      </w:r>
      <w:r w:rsidRPr="004F167B">
        <w:rPr>
          <w:rFonts w:ascii="Times New Roman" w:hAnsi="Times New Roman"/>
          <w:sz w:val="24"/>
        </w:rPr>
        <w:t>noted that large industrial customers should be excluded from decoupling programs because they are “much more prone to changes in general economic and business climate, and . . . any decrease in use per customer is often not related to conservation</w:t>
      </w:r>
      <w:r w:rsidR="00A55E5F">
        <w:rPr>
          <w:rFonts w:ascii="Times New Roman" w:hAnsi="Times New Roman"/>
          <w:sz w:val="24"/>
        </w:rPr>
        <w:br/>
      </w:r>
      <w:r w:rsidRPr="004F167B">
        <w:rPr>
          <w:rFonts w:ascii="Times New Roman" w:hAnsi="Times New Roman"/>
          <w:sz w:val="24"/>
        </w:rPr>
        <w:t xml:space="preserve"> programs</w:t>
      </w:r>
      <w:r w:rsidR="00F46215">
        <w:rPr>
          <w:rFonts w:ascii="Times New Roman" w:hAnsi="Times New Roman"/>
          <w:sz w:val="24"/>
        </w:rPr>
        <w:t xml:space="preserve"> </w:t>
      </w:r>
      <w:r w:rsidR="002808F7">
        <w:rPr>
          <w:rFonts w:ascii="Times New Roman" w:hAnsi="Times New Roman"/>
          <w:sz w:val="24"/>
        </w:rPr>
        <w:t>. . . .</w:t>
      </w:r>
      <w:r w:rsidRPr="004F167B">
        <w:rPr>
          <w:rFonts w:ascii="Times New Roman" w:hAnsi="Times New Roman"/>
          <w:sz w:val="24"/>
        </w:rPr>
        <w:t xml:space="preserve">” </w:t>
      </w:r>
      <w:r w:rsidR="00AC4125">
        <w:rPr>
          <w:rStyle w:val="FootnoteReference"/>
          <w:sz w:val="24"/>
        </w:rPr>
        <w:footnoteReference w:id="3"/>
      </w:r>
      <w:r w:rsidR="00AC4125">
        <w:rPr>
          <w:rFonts w:ascii="Times New Roman" w:hAnsi="Times New Roman"/>
          <w:sz w:val="24"/>
          <w:vertAlign w:val="superscript"/>
        </w:rPr>
        <w:t>/</w:t>
      </w:r>
      <w:r w:rsidRPr="004F167B">
        <w:rPr>
          <w:rFonts w:ascii="Times New Roman" w:hAnsi="Times New Roman"/>
          <w:sz w:val="24"/>
        </w:rPr>
        <w:t xml:space="preserve"> </w:t>
      </w:r>
    </w:p>
    <w:p w:rsid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NWEC has recognized that it would be unfair to extend a decoupling mechanism to industrial customers in this case.  NWEC has proposed that </w:t>
      </w:r>
      <w:r w:rsidR="00B20650">
        <w:rPr>
          <w:rFonts w:ascii="Times New Roman" w:hAnsi="Times New Roman"/>
          <w:sz w:val="24"/>
        </w:rPr>
        <w:t>an Avista</w:t>
      </w:r>
      <w:r w:rsidRPr="004F167B">
        <w:rPr>
          <w:rFonts w:ascii="Times New Roman" w:hAnsi="Times New Roman"/>
          <w:sz w:val="24"/>
        </w:rPr>
        <w:t xml:space="preserve"> decoupling mechanism should exclude customers in rate schedule</w:t>
      </w:r>
      <w:r w:rsidR="00677F89">
        <w:rPr>
          <w:rFonts w:ascii="Times New Roman" w:hAnsi="Times New Roman"/>
          <w:sz w:val="24"/>
        </w:rPr>
        <w:t xml:space="preserve"> 25</w:t>
      </w:r>
      <w:r w:rsidRPr="004F167B">
        <w:rPr>
          <w:rFonts w:ascii="Times New Roman" w:hAnsi="Times New Roman"/>
          <w:sz w:val="24"/>
        </w:rPr>
        <w:t xml:space="preserve"> because </w:t>
      </w:r>
      <w:r w:rsidR="00677F89">
        <w:rPr>
          <w:rFonts w:ascii="Times New Roman" w:hAnsi="Times New Roman"/>
          <w:sz w:val="24"/>
        </w:rPr>
        <w:t>this</w:t>
      </w:r>
      <w:r w:rsidR="00677F89" w:rsidRPr="004F167B">
        <w:rPr>
          <w:rFonts w:ascii="Times New Roman" w:hAnsi="Times New Roman"/>
          <w:sz w:val="24"/>
        </w:rPr>
        <w:t xml:space="preserve"> </w:t>
      </w:r>
      <w:r w:rsidRPr="004F167B">
        <w:rPr>
          <w:rFonts w:ascii="Times New Roman" w:hAnsi="Times New Roman"/>
          <w:sz w:val="24"/>
        </w:rPr>
        <w:t xml:space="preserve">schedule </w:t>
      </w:r>
      <w:r w:rsidR="00677F89">
        <w:rPr>
          <w:rFonts w:ascii="Times New Roman" w:hAnsi="Times New Roman"/>
          <w:sz w:val="24"/>
        </w:rPr>
        <w:t>has</w:t>
      </w:r>
      <w:r w:rsidR="00677F89" w:rsidRPr="004F167B">
        <w:rPr>
          <w:rFonts w:ascii="Times New Roman" w:hAnsi="Times New Roman"/>
          <w:sz w:val="24"/>
        </w:rPr>
        <w:t xml:space="preserve"> </w:t>
      </w:r>
      <w:r w:rsidRPr="004F167B">
        <w:rPr>
          <w:rFonts w:ascii="Times New Roman" w:hAnsi="Times New Roman"/>
          <w:sz w:val="24"/>
        </w:rPr>
        <w:t>very few members and account</w:t>
      </w:r>
      <w:r w:rsidR="00677F89">
        <w:rPr>
          <w:rFonts w:ascii="Times New Roman" w:hAnsi="Times New Roman"/>
          <w:sz w:val="24"/>
        </w:rPr>
        <w:t>s</w:t>
      </w:r>
      <w:r w:rsidRPr="004F167B">
        <w:rPr>
          <w:rFonts w:ascii="Times New Roman" w:hAnsi="Times New Roman"/>
          <w:sz w:val="24"/>
        </w:rPr>
        <w:t xml:space="preserve"> for only </w:t>
      </w:r>
      <w:r w:rsidR="00677F89">
        <w:rPr>
          <w:rFonts w:ascii="Times New Roman" w:hAnsi="Times New Roman"/>
          <w:sz w:val="24"/>
        </w:rPr>
        <w:t>10</w:t>
      </w:r>
      <w:r w:rsidRPr="004F167B">
        <w:rPr>
          <w:rFonts w:ascii="Times New Roman" w:hAnsi="Times New Roman"/>
          <w:sz w:val="24"/>
        </w:rPr>
        <w:t xml:space="preserve">% of energy charges but </w:t>
      </w:r>
      <w:r w:rsidR="00677F89">
        <w:rPr>
          <w:rFonts w:ascii="Times New Roman" w:hAnsi="Times New Roman"/>
          <w:sz w:val="24"/>
        </w:rPr>
        <w:t>20</w:t>
      </w:r>
      <w:r w:rsidRPr="004F167B">
        <w:rPr>
          <w:rFonts w:ascii="Times New Roman" w:hAnsi="Times New Roman"/>
          <w:sz w:val="24"/>
        </w:rPr>
        <w:t>% of retail sales.</w:t>
      </w:r>
      <w:r w:rsidR="00475656">
        <w:rPr>
          <w:rStyle w:val="FootnoteReference"/>
          <w:sz w:val="24"/>
        </w:rPr>
        <w:footnoteReference w:id="4"/>
      </w:r>
      <w:proofErr w:type="gramStart"/>
      <w:r w:rsidR="00475656">
        <w:rPr>
          <w:rFonts w:ascii="Times New Roman" w:hAnsi="Times New Roman"/>
          <w:sz w:val="24"/>
          <w:vertAlign w:val="superscript"/>
        </w:rPr>
        <w:t>/</w:t>
      </w:r>
      <w:r w:rsidR="00475656">
        <w:rPr>
          <w:rFonts w:ascii="Times New Roman" w:hAnsi="Times New Roman"/>
          <w:sz w:val="24"/>
        </w:rPr>
        <w:t xml:space="preserve">  </w:t>
      </w:r>
      <w:r w:rsidRPr="004F167B">
        <w:rPr>
          <w:rFonts w:ascii="Times New Roman" w:hAnsi="Times New Roman"/>
          <w:sz w:val="24"/>
        </w:rPr>
        <w:t>This</w:t>
      </w:r>
      <w:proofErr w:type="gramEnd"/>
      <w:r w:rsidRPr="004F167B">
        <w:rPr>
          <w:rFonts w:ascii="Times New Roman" w:hAnsi="Times New Roman"/>
          <w:sz w:val="24"/>
        </w:rPr>
        <w:t xml:space="preserve"> m</w:t>
      </w:r>
      <w:r w:rsidR="0066396F">
        <w:rPr>
          <w:rFonts w:ascii="Times New Roman" w:hAnsi="Times New Roman"/>
          <w:sz w:val="24"/>
        </w:rPr>
        <w:t>eans that industrial customers c</w:t>
      </w:r>
      <w:r w:rsidRPr="004F167B">
        <w:rPr>
          <w:rFonts w:ascii="Times New Roman" w:hAnsi="Times New Roman"/>
          <w:sz w:val="24"/>
        </w:rPr>
        <w:t>ould end up subsidizing other classes if they were to pay decoupled rates on their large share of retail sales</w:t>
      </w:r>
      <w:r w:rsidR="00FE62B9">
        <w:rPr>
          <w:rFonts w:ascii="Times New Roman" w:hAnsi="Times New Roman"/>
          <w:sz w:val="24"/>
        </w:rPr>
        <w:t>,</w:t>
      </w:r>
      <w:r w:rsidRPr="004F167B">
        <w:rPr>
          <w:rFonts w:ascii="Times New Roman" w:hAnsi="Times New Roman"/>
          <w:sz w:val="24"/>
        </w:rPr>
        <w:t xml:space="preserve"> despite being responsible for only a small fraction of the fixed costs being recovered.</w:t>
      </w:r>
    </w:p>
    <w:p w:rsidR="00631C7A" w:rsidRDefault="001E0F81" w:rsidP="004F167B">
      <w:pPr>
        <w:spacing w:line="480" w:lineRule="auto"/>
        <w:ind w:left="720" w:firstLine="720"/>
        <w:rPr>
          <w:rFonts w:ascii="Times New Roman" w:hAnsi="Times New Roman"/>
          <w:sz w:val="24"/>
        </w:rPr>
      </w:pPr>
      <w:r>
        <w:rPr>
          <w:rFonts w:ascii="Times New Roman" w:hAnsi="Times New Roman"/>
          <w:sz w:val="24"/>
        </w:rPr>
        <w:t>L</w:t>
      </w:r>
      <w:r w:rsidR="004F167B" w:rsidRPr="004F167B">
        <w:rPr>
          <w:rFonts w:ascii="Times New Roman" w:hAnsi="Times New Roman"/>
          <w:sz w:val="24"/>
        </w:rPr>
        <w:t>arge industrial customers have widely disparate load shapes and unique service requirements.  Because these classes contain few</w:t>
      </w:r>
      <w:r w:rsidR="0019142B">
        <w:rPr>
          <w:rFonts w:ascii="Times New Roman" w:hAnsi="Times New Roman"/>
          <w:sz w:val="24"/>
        </w:rPr>
        <w:t>,</w:t>
      </w:r>
      <w:r w:rsidR="004F167B" w:rsidRPr="004F167B">
        <w:rPr>
          <w:rFonts w:ascii="Times New Roman" w:hAnsi="Times New Roman"/>
          <w:sz w:val="24"/>
        </w:rPr>
        <w:t xml:space="preserve"> unique customers, the loss of load </w:t>
      </w:r>
      <w:r w:rsidR="004F167B" w:rsidRPr="004F167B">
        <w:rPr>
          <w:rFonts w:ascii="Times New Roman" w:hAnsi="Times New Roman"/>
          <w:sz w:val="24"/>
        </w:rPr>
        <w:lastRenderedPageBreak/>
        <w:t xml:space="preserve">caused by even a single customer changing usage habits or going out of business during times of economic difficulty could drastically change the class-generated revenue. This could activate a decoupling mechanism and raise prices for the few remaining customers in the class, despite the lack of any connection to </w:t>
      </w:r>
      <w:proofErr w:type="spellStart"/>
      <w:r w:rsidR="002255DC">
        <w:rPr>
          <w:rFonts w:ascii="Times New Roman" w:hAnsi="Times New Roman"/>
          <w:sz w:val="24"/>
        </w:rPr>
        <w:t>Avista’s</w:t>
      </w:r>
      <w:proofErr w:type="spellEnd"/>
      <w:r w:rsidR="004F167B" w:rsidRPr="004F167B">
        <w:rPr>
          <w:rFonts w:ascii="Times New Roman" w:hAnsi="Times New Roman"/>
          <w:sz w:val="24"/>
        </w:rPr>
        <w:t xml:space="preserve"> conservation efforts.  </w:t>
      </w:r>
    </w:p>
    <w:p w:rsidR="00631C7A" w:rsidRDefault="00631C7A" w:rsidP="004F167B">
      <w:pPr>
        <w:spacing w:line="480" w:lineRule="auto"/>
        <w:ind w:left="720" w:firstLine="720"/>
        <w:rPr>
          <w:rFonts w:ascii="Times New Roman" w:hAnsi="Times New Roman"/>
          <w:sz w:val="24"/>
        </w:rPr>
      </w:pPr>
      <w:r>
        <w:rPr>
          <w:rFonts w:ascii="Times New Roman" w:hAnsi="Times New Roman"/>
          <w:sz w:val="24"/>
        </w:rPr>
        <w:t xml:space="preserve">Applying decoupling to large industrial customers would send the wrong message and potentially harm </w:t>
      </w:r>
      <w:proofErr w:type="spellStart"/>
      <w:r>
        <w:rPr>
          <w:rFonts w:ascii="Times New Roman" w:hAnsi="Times New Roman"/>
          <w:sz w:val="24"/>
        </w:rPr>
        <w:t>Avista’s</w:t>
      </w:r>
      <w:proofErr w:type="spellEnd"/>
      <w:r>
        <w:rPr>
          <w:rFonts w:ascii="Times New Roman" w:hAnsi="Times New Roman"/>
          <w:sz w:val="24"/>
        </w:rPr>
        <w:t xml:space="preserve"> conservation programs.  Currently, industrial customers know that if they invest in conservation, they will lower their own energy costs and reduce </w:t>
      </w:r>
      <w:proofErr w:type="spellStart"/>
      <w:r>
        <w:rPr>
          <w:rFonts w:ascii="Times New Roman" w:hAnsi="Times New Roman"/>
          <w:sz w:val="24"/>
        </w:rPr>
        <w:t>Avista’s</w:t>
      </w:r>
      <w:proofErr w:type="spellEnd"/>
      <w:r>
        <w:rPr>
          <w:rFonts w:ascii="Times New Roman" w:hAnsi="Times New Roman"/>
          <w:sz w:val="24"/>
        </w:rPr>
        <w:t xml:space="preserve"> need for acquiring more expensive new generation.  Under decoupling, however, industrial conservation will result in higher rates and discourage industry from supporting conservation.</w:t>
      </w:r>
      <w:r w:rsidR="00385D63">
        <w:rPr>
          <w:rFonts w:ascii="Times New Roman" w:hAnsi="Times New Roman"/>
          <w:sz w:val="24"/>
        </w:rPr>
        <w:t xml:space="preserve">  Industry will know that their conservation efforts will result in decoupling charges, which will provide an incentive for industry not to invest in conservation or support </w:t>
      </w:r>
      <w:proofErr w:type="spellStart"/>
      <w:r w:rsidR="00385D63">
        <w:rPr>
          <w:rFonts w:ascii="Times New Roman" w:hAnsi="Times New Roman"/>
          <w:sz w:val="24"/>
        </w:rPr>
        <w:t>Avista’s</w:t>
      </w:r>
      <w:proofErr w:type="spellEnd"/>
      <w:r w:rsidR="00385D63">
        <w:rPr>
          <w:rFonts w:ascii="Times New Roman" w:hAnsi="Times New Roman"/>
          <w:sz w:val="24"/>
        </w:rPr>
        <w:t xml:space="preserve"> conservation programs.</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For </w:t>
      </w:r>
      <w:r w:rsidR="00631C7A">
        <w:rPr>
          <w:rFonts w:ascii="Times New Roman" w:hAnsi="Times New Roman"/>
          <w:sz w:val="24"/>
        </w:rPr>
        <w:t xml:space="preserve">all of </w:t>
      </w:r>
      <w:r w:rsidRPr="004F167B">
        <w:rPr>
          <w:rFonts w:ascii="Times New Roman" w:hAnsi="Times New Roman"/>
          <w:sz w:val="24"/>
        </w:rPr>
        <w:t>these reasons, I agree with NWEC</w:t>
      </w:r>
      <w:r w:rsidR="00CF106F">
        <w:rPr>
          <w:rFonts w:ascii="Times New Roman" w:hAnsi="Times New Roman"/>
          <w:sz w:val="24"/>
        </w:rPr>
        <w:t>’</w:t>
      </w:r>
      <w:r w:rsidRPr="004F167B">
        <w:rPr>
          <w:rFonts w:ascii="Times New Roman" w:hAnsi="Times New Roman"/>
          <w:sz w:val="24"/>
        </w:rPr>
        <w:t xml:space="preserve">s proposal to exclude customers in rate schedule </w:t>
      </w:r>
      <w:r w:rsidR="00D30E87">
        <w:rPr>
          <w:rFonts w:ascii="Times New Roman" w:hAnsi="Times New Roman"/>
          <w:sz w:val="24"/>
        </w:rPr>
        <w:t>25</w:t>
      </w:r>
      <w:r w:rsidRPr="004F167B">
        <w:rPr>
          <w:rFonts w:ascii="Times New Roman" w:hAnsi="Times New Roman"/>
          <w:sz w:val="24"/>
        </w:rPr>
        <w:t xml:space="preserve"> from any potential decoupling mechanism.</w:t>
      </w:r>
    </w:p>
    <w:p w:rsidR="004F167B" w:rsidRPr="004F167B" w:rsidRDefault="004F167B" w:rsidP="0019142B">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0019142B">
        <w:rPr>
          <w:rFonts w:ascii="Times New Roman" w:hAnsi="Times New Roman"/>
          <w:b/>
          <w:sz w:val="24"/>
        </w:rPr>
        <w:t xml:space="preserve">IF THE WUTC WISHES TO PURSUE DECOUPLING FOR AVISTA, WHAT </w:t>
      </w:r>
      <w:r w:rsidR="00880091">
        <w:rPr>
          <w:rFonts w:ascii="Times New Roman" w:hAnsi="Times New Roman"/>
          <w:b/>
          <w:sz w:val="24"/>
        </w:rPr>
        <w:t>PROCESS DO YOU RECOMMEND</w:t>
      </w:r>
      <w:r w:rsidR="0019142B">
        <w:rPr>
          <w:rFonts w:ascii="Times New Roman" w:hAnsi="Times New Roman"/>
          <w:b/>
          <w:sz w:val="24"/>
        </w:rPr>
        <w:t>?</w:t>
      </w:r>
    </w:p>
    <w:p w:rsidR="008379A4" w:rsidRDefault="004F167B" w:rsidP="006B373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The WUTC has made clear that a decoupling mechanism should be adopted in the context of a general rate case so that the effect of decoupling on the cost of capital, the criteria for exclusion of customer classes, and many other issues could be considered in context.</w:t>
      </w:r>
      <w:r w:rsidR="0032604F">
        <w:rPr>
          <w:rStyle w:val="FootnoteReference"/>
          <w:sz w:val="24"/>
        </w:rPr>
        <w:footnoteReference w:id="5"/>
      </w:r>
      <w:proofErr w:type="gramStart"/>
      <w:r w:rsidR="00C20DBA">
        <w:rPr>
          <w:rFonts w:ascii="Times New Roman" w:hAnsi="Times New Roman"/>
          <w:sz w:val="24"/>
          <w:vertAlign w:val="superscript"/>
        </w:rPr>
        <w:t>/</w:t>
      </w:r>
      <w:r w:rsidR="009A2507">
        <w:rPr>
          <w:rFonts w:ascii="Times New Roman" w:hAnsi="Times New Roman"/>
          <w:sz w:val="24"/>
        </w:rPr>
        <w:t xml:space="preserve">  </w:t>
      </w:r>
      <w:r w:rsidR="000938FD">
        <w:rPr>
          <w:rFonts w:ascii="Times New Roman" w:hAnsi="Times New Roman"/>
          <w:sz w:val="24"/>
        </w:rPr>
        <w:t>The</w:t>
      </w:r>
      <w:proofErr w:type="gramEnd"/>
      <w:r w:rsidRPr="004F167B">
        <w:rPr>
          <w:rFonts w:ascii="Times New Roman" w:hAnsi="Times New Roman"/>
          <w:sz w:val="24"/>
        </w:rPr>
        <w:t xml:space="preserve"> burden should be upon </w:t>
      </w:r>
      <w:r w:rsidR="00C003EE">
        <w:rPr>
          <w:rFonts w:ascii="Times New Roman" w:hAnsi="Times New Roman"/>
          <w:sz w:val="24"/>
        </w:rPr>
        <w:t>Avista</w:t>
      </w:r>
      <w:r w:rsidRPr="004F167B">
        <w:rPr>
          <w:rFonts w:ascii="Times New Roman" w:hAnsi="Times New Roman"/>
          <w:sz w:val="24"/>
        </w:rPr>
        <w:t xml:space="preserve"> </w:t>
      </w:r>
      <w:r w:rsidR="00385D63">
        <w:rPr>
          <w:rFonts w:ascii="Times New Roman" w:hAnsi="Times New Roman"/>
          <w:sz w:val="24"/>
        </w:rPr>
        <w:t xml:space="preserve">or </w:t>
      </w:r>
      <w:proofErr w:type="spellStart"/>
      <w:r w:rsidR="00385D63">
        <w:rPr>
          <w:rFonts w:ascii="Times New Roman" w:hAnsi="Times New Roman"/>
          <w:sz w:val="24"/>
        </w:rPr>
        <w:t>NWEC</w:t>
      </w:r>
      <w:proofErr w:type="spellEnd"/>
      <w:r w:rsidR="00385D63">
        <w:rPr>
          <w:rFonts w:ascii="Times New Roman" w:hAnsi="Times New Roman"/>
          <w:sz w:val="24"/>
        </w:rPr>
        <w:t xml:space="preserve"> </w:t>
      </w:r>
      <w:r w:rsidRPr="004F167B">
        <w:rPr>
          <w:rFonts w:ascii="Times New Roman" w:hAnsi="Times New Roman"/>
          <w:sz w:val="24"/>
        </w:rPr>
        <w:t>to design a decoupling mechanism that complies with Commission standards and present it in a future rate case where it can be considered in proper context.</w:t>
      </w:r>
      <w:r w:rsidR="000F592F">
        <w:rPr>
          <w:rFonts w:ascii="Times New Roman" w:hAnsi="Times New Roman"/>
          <w:sz w:val="24"/>
        </w:rPr>
        <w:t xml:space="preserve"> </w:t>
      </w:r>
      <w:r w:rsidR="00385D63">
        <w:rPr>
          <w:rFonts w:ascii="Times New Roman" w:hAnsi="Times New Roman"/>
          <w:sz w:val="24"/>
        </w:rPr>
        <w:t xml:space="preserve"> </w:t>
      </w:r>
      <w:r w:rsidRPr="004F167B">
        <w:rPr>
          <w:rFonts w:ascii="Times New Roman" w:hAnsi="Times New Roman"/>
          <w:sz w:val="24"/>
        </w:rPr>
        <w:t xml:space="preserve">This would comport with the </w:t>
      </w:r>
      <w:r w:rsidRPr="004F167B">
        <w:rPr>
          <w:rFonts w:ascii="Times New Roman" w:hAnsi="Times New Roman"/>
          <w:sz w:val="24"/>
        </w:rPr>
        <w:lastRenderedPageBreak/>
        <w:t>Commission’s requirement that “[a] utility’s request for a full decoupling mechanism must be made in its direct testimony of its rate case filing . . . .”</w:t>
      </w:r>
      <w:r w:rsidR="008314F9">
        <w:rPr>
          <w:rStyle w:val="FootnoteReference"/>
          <w:sz w:val="24"/>
        </w:rPr>
        <w:footnoteReference w:id="6"/>
      </w:r>
      <w:r w:rsidR="008314F9">
        <w:rPr>
          <w:rFonts w:ascii="Times New Roman" w:hAnsi="Times New Roman"/>
          <w:sz w:val="24"/>
          <w:vertAlign w:val="superscript"/>
        </w:rPr>
        <w:t>/</w:t>
      </w:r>
      <w:r w:rsidRPr="004F167B">
        <w:rPr>
          <w:rFonts w:ascii="Times New Roman" w:hAnsi="Times New Roman"/>
          <w:sz w:val="24"/>
        </w:rPr>
        <w:t xml:space="preserve">  </w:t>
      </w:r>
    </w:p>
    <w:p w:rsidR="004F167B" w:rsidRPr="004F167B" w:rsidRDefault="004F167B" w:rsidP="00631C7A">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 xml:space="preserve">DOES THE MECHANISM PROPOSED BY </w:t>
      </w:r>
      <w:r w:rsidR="00C003EE">
        <w:rPr>
          <w:rFonts w:ascii="Times New Roman" w:hAnsi="Times New Roman"/>
          <w:b/>
          <w:sz w:val="24"/>
        </w:rPr>
        <w:t>NWEC</w:t>
      </w:r>
      <w:r w:rsidRPr="004F167B">
        <w:rPr>
          <w:rFonts w:ascii="Times New Roman" w:hAnsi="Times New Roman"/>
          <w:b/>
          <w:sz w:val="24"/>
        </w:rPr>
        <w:t xml:space="preserve"> CONFORM TO THE COMMISSION’S POLICY STATEMENT?</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C003EE">
        <w:rPr>
          <w:rFonts w:ascii="Times New Roman" w:hAnsi="Times New Roman"/>
          <w:sz w:val="24"/>
        </w:rPr>
        <w:t>NWEC’s</w:t>
      </w:r>
      <w:r w:rsidRPr="004F167B">
        <w:rPr>
          <w:rFonts w:ascii="Times New Roman" w:hAnsi="Times New Roman"/>
          <w:sz w:val="24"/>
        </w:rPr>
        <w:t xml:space="preserve"> mechanism conforms </w:t>
      </w:r>
      <w:r w:rsidR="007E1226">
        <w:rPr>
          <w:rFonts w:ascii="Times New Roman" w:hAnsi="Times New Roman"/>
          <w:sz w:val="24"/>
        </w:rPr>
        <w:t>to</w:t>
      </w:r>
      <w:r w:rsidRPr="004F167B">
        <w:rPr>
          <w:rFonts w:ascii="Times New Roman" w:hAnsi="Times New Roman"/>
          <w:sz w:val="24"/>
        </w:rPr>
        <w:t xml:space="preserve"> </w:t>
      </w:r>
      <w:r w:rsidR="00C003EE">
        <w:rPr>
          <w:rFonts w:ascii="Times New Roman" w:hAnsi="Times New Roman"/>
          <w:sz w:val="24"/>
        </w:rPr>
        <w:t>some</w:t>
      </w:r>
      <w:r w:rsidRPr="004F167B">
        <w:rPr>
          <w:rFonts w:ascii="Times New Roman" w:hAnsi="Times New Roman"/>
          <w:sz w:val="24"/>
        </w:rPr>
        <w:t xml:space="preserve"> of the principles discussed by the Commission in its Policy Statement.  Nonetheless, </w:t>
      </w:r>
      <w:r w:rsidR="00C003EE">
        <w:rPr>
          <w:rFonts w:ascii="Times New Roman" w:hAnsi="Times New Roman"/>
          <w:sz w:val="24"/>
        </w:rPr>
        <w:t>NWEC’s</w:t>
      </w:r>
      <w:r w:rsidRPr="004F167B">
        <w:rPr>
          <w:rFonts w:ascii="Times New Roman" w:hAnsi="Times New Roman"/>
          <w:sz w:val="24"/>
        </w:rPr>
        <w:t xml:space="preserve"> mechanism does not appear to conform to the Commission’s stated preference for per-class decoupling</w:t>
      </w:r>
      <w:r w:rsidR="00C003EE">
        <w:rPr>
          <w:rFonts w:ascii="Times New Roman" w:hAnsi="Times New Roman"/>
          <w:sz w:val="24"/>
        </w:rPr>
        <w:t xml:space="preserve"> or include a suitable</w:t>
      </w:r>
      <w:r w:rsidRPr="004F167B">
        <w:rPr>
          <w:rFonts w:ascii="Times New Roman" w:hAnsi="Times New Roman"/>
          <w:sz w:val="24"/>
        </w:rPr>
        <w:t xml:space="preserve"> conservation test. </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Additionally, the </w:t>
      </w:r>
      <w:r w:rsidR="00A00CEF">
        <w:rPr>
          <w:rFonts w:ascii="Times New Roman" w:hAnsi="Times New Roman"/>
          <w:sz w:val="24"/>
        </w:rPr>
        <w:t>m</w:t>
      </w:r>
      <w:r w:rsidR="00A00CEF" w:rsidRPr="004F167B">
        <w:rPr>
          <w:rFonts w:ascii="Times New Roman" w:hAnsi="Times New Roman"/>
          <w:sz w:val="24"/>
        </w:rPr>
        <w:t xml:space="preserve">echanism </w:t>
      </w:r>
      <w:r w:rsidRPr="004F167B">
        <w:rPr>
          <w:rFonts w:ascii="Times New Roman" w:hAnsi="Times New Roman"/>
          <w:sz w:val="24"/>
        </w:rPr>
        <w:t>includes some elements that</w:t>
      </w:r>
      <w:r w:rsidR="007945D5">
        <w:rPr>
          <w:rFonts w:ascii="Times New Roman" w:hAnsi="Times New Roman"/>
          <w:sz w:val="24"/>
        </w:rPr>
        <w:t xml:space="preserve"> </w:t>
      </w:r>
      <w:r w:rsidRPr="004F167B">
        <w:rPr>
          <w:rFonts w:ascii="Times New Roman" w:hAnsi="Times New Roman"/>
          <w:sz w:val="24"/>
        </w:rPr>
        <w:t xml:space="preserve">do not function to eliminate disincentives to conservation, but rather solely operate to </w:t>
      </w:r>
      <w:r w:rsidR="007E1226">
        <w:rPr>
          <w:rFonts w:ascii="Times New Roman" w:hAnsi="Times New Roman"/>
          <w:sz w:val="24"/>
        </w:rPr>
        <w:t>generate additional</w:t>
      </w:r>
      <w:r w:rsidRPr="004F167B">
        <w:rPr>
          <w:rFonts w:ascii="Times New Roman" w:hAnsi="Times New Roman"/>
          <w:sz w:val="24"/>
        </w:rPr>
        <w:t xml:space="preserve"> utility revenue.  These include </w:t>
      </w:r>
      <w:r w:rsidR="007945D5">
        <w:rPr>
          <w:rFonts w:ascii="Times New Roman" w:hAnsi="Times New Roman"/>
          <w:sz w:val="24"/>
        </w:rPr>
        <w:t>the lack of an ROE adjustment</w:t>
      </w:r>
      <w:r w:rsidRPr="004F167B">
        <w:rPr>
          <w:rFonts w:ascii="Times New Roman" w:hAnsi="Times New Roman"/>
          <w:sz w:val="24"/>
        </w:rPr>
        <w:t xml:space="preserve"> and the possibility of </w:t>
      </w:r>
      <w:r w:rsidR="007945D5">
        <w:rPr>
          <w:rFonts w:ascii="Times New Roman" w:hAnsi="Times New Roman"/>
          <w:sz w:val="24"/>
        </w:rPr>
        <w:t>five</w:t>
      </w:r>
      <w:r w:rsidRPr="004F167B">
        <w:rPr>
          <w:rFonts w:ascii="Times New Roman" w:hAnsi="Times New Roman"/>
          <w:sz w:val="24"/>
        </w:rPr>
        <w:t>-year periods in which the mechanism would function with</w:t>
      </w:r>
      <w:r w:rsidR="007E1226">
        <w:rPr>
          <w:rFonts w:ascii="Times New Roman" w:hAnsi="Times New Roman"/>
          <w:sz w:val="24"/>
        </w:rPr>
        <w:t xml:space="preserve"> minimal</w:t>
      </w:r>
      <w:r w:rsidRPr="004F167B">
        <w:rPr>
          <w:rFonts w:ascii="Times New Roman" w:hAnsi="Times New Roman"/>
          <w:sz w:val="24"/>
        </w:rPr>
        <w:t xml:space="preserve"> Commission scrutiny.</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In order to fully conform to the Policy Statement and protect customers, any potential full decoupling mechanism should be administered per-class</w:t>
      </w:r>
      <w:r w:rsidR="00882BE2">
        <w:rPr>
          <w:rFonts w:ascii="Times New Roman" w:hAnsi="Times New Roman"/>
          <w:sz w:val="24"/>
        </w:rPr>
        <w:t>, rather than per-customer, and</w:t>
      </w:r>
      <w:r w:rsidRPr="004F167B">
        <w:rPr>
          <w:rFonts w:ascii="Times New Roman" w:hAnsi="Times New Roman"/>
          <w:sz w:val="24"/>
        </w:rPr>
        <w:t xml:space="preserve"> should contain an earnings test</w:t>
      </w:r>
      <w:r w:rsidR="00DF20DC">
        <w:rPr>
          <w:rFonts w:ascii="Times New Roman" w:hAnsi="Times New Roman"/>
          <w:sz w:val="24"/>
        </w:rPr>
        <w:t xml:space="preserve"> and a conservation test</w:t>
      </w:r>
      <w:r w:rsidRPr="004F167B">
        <w:rPr>
          <w:rFonts w:ascii="Times New Roman" w:hAnsi="Times New Roman"/>
          <w:sz w:val="24"/>
        </w:rPr>
        <w:t xml:space="preserve"> that protect customers while removing the disincentive to promote conservation</w:t>
      </w:r>
      <w:r w:rsidR="00DF20DC">
        <w:rPr>
          <w:rFonts w:ascii="Times New Roman" w:hAnsi="Times New Roman"/>
          <w:sz w:val="24"/>
        </w:rPr>
        <w:t>.  It</w:t>
      </w:r>
      <w:r w:rsidR="007945D5">
        <w:rPr>
          <w:rFonts w:ascii="Times New Roman" w:hAnsi="Times New Roman"/>
          <w:sz w:val="24"/>
        </w:rPr>
        <w:t xml:space="preserve"> should </w:t>
      </w:r>
      <w:r w:rsidR="00DF20DC">
        <w:rPr>
          <w:rFonts w:ascii="Times New Roman" w:hAnsi="Times New Roman"/>
          <w:sz w:val="24"/>
        </w:rPr>
        <w:t xml:space="preserve">also </w:t>
      </w:r>
      <w:r w:rsidR="007945D5">
        <w:rPr>
          <w:rFonts w:ascii="Times New Roman" w:hAnsi="Times New Roman"/>
          <w:sz w:val="24"/>
        </w:rPr>
        <w:t>reflect the utility’s reduced risk and be subject to review by the Commission</w:t>
      </w:r>
      <w:r w:rsidRPr="004F167B">
        <w:rPr>
          <w:rFonts w:ascii="Times New Roman" w:hAnsi="Times New Roman"/>
          <w:sz w:val="24"/>
        </w:rPr>
        <w:t xml:space="preserve">.  </w:t>
      </w:r>
    </w:p>
    <w:p w:rsidR="004F167B" w:rsidRPr="004F167B" w:rsidRDefault="004F167B" w:rsidP="0042022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PLEASE EXPLAIN WHAT YOU MEAN BY PER-CUSTOMER AND PER-CLASS DECOUPLING.</w:t>
      </w:r>
    </w:p>
    <w:p w:rsid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One study identifies per-customer decoupling as a system that sets a revenue-per-customer rate, meaning that when a utility’s customer base grows, so does the total </w:t>
      </w:r>
      <w:r w:rsidRPr="004F167B">
        <w:rPr>
          <w:rFonts w:ascii="Times New Roman" w:hAnsi="Times New Roman"/>
          <w:sz w:val="24"/>
        </w:rPr>
        <w:lastRenderedPageBreak/>
        <w:t>revenue the utility is entitled to receive through the true-up.</w:t>
      </w:r>
      <w:r w:rsidR="00DE5B76">
        <w:rPr>
          <w:rStyle w:val="FootnoteReference"/>
          <w:sz w:val="24"/>
        </w:rPr>
        <w:footnoteReference w:id="7"/>
      </w:r>
      <w:proofErr w:type="gramStart"/>
      <w:r w:rsidR="001A0485">
        <w:rPr>
          <w:rFonts w:ascii="Times New Roman" w:hAnsi="Times New Roman"/>
          <w:sz w:val="24"/>
          <w:vertAlign w:val="superscript"/>
        </w:rPr>
        <w:t>/</w:t>
      </w:r>
      <w:r w:rsidR="001A0485">
        <w:rPr>
          <w:rFonts w:ascii="Times New Roman" w:hAnsi="Times New Roman"/>
          <w:sz w:val="24"/>
        </w:rPr>
        <w:t xml:space="preserve">  </w:t>
      </w:r>
      <w:r w:rsidRPr="004F167B">
        <w:rPr>
          <w:rFonts w:ascii="Times New Roman" w:hAnsi="Times New Roman"/>
          <w:sz w:val="24"/>
        </w:rPr>
        <w:t>On</w:t>
      </w:r>
      <w:proofErr w:type="gramEnd"/>
      <w:r w:rsidRPr="004F167B">
        <w:rPr>
          <w:rFonts w:ascii="Times New Roman" w:hAnsi="Times New Roman"/>
          <w:sz w:val="24"/>
        </w:rPr>
        <w:t xml:space="preserve"> the other hand, per-class decoupling (sometimes called “rate-cap” decoupling) divides a utility’s revenue requirement proportionately among classes, and trues-up each class to this amount.  While both methods ultimately assign a revenue requirement per customer, the primary difference is that under straight per-customer decoupling, when new customers join the system, the utility automatically raises its revenue requirement.</w:t>
      </w:r>
    </w:p>
    <w:p w:rsidR="004F167B" w:rsidRPr="004F167B" w:rsidRDefault="004F167B" w:rsidP="0042022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HAS THE COMMISSION INDICATED WHETHER PER-CUSTOMER OR PER-CLASS DECOUPLING IS APPROPRIATE?</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Yes.  The WUTC Policy Statement explicitly states that a true-up should track customer use by class, and recover “revenue attributed to each affected class of customer,” rather than revenue per-customer.</w:t>
      </w:r>
      <w:r w:rsidR="00AB73D4">
        <w:rPr>
          <w:rStyle w:val="FootnoteReference"/>
          <w:sz w:val="24"/>
        </w:rPr>
        <w:footnoteReference w:id="8"/>
      </w:r>
      <w:proofErr w:type="gramStart"/>
      <w:r w:rsidR="002903D6">
        <w:rPr>
          <w:rFonts w:ascii="Times New Roman" w:hAnsi="Times New Roman"/>
          <w:sz w:val="24"/>
          <w:vertAlign w:val="superscript"/>
        </w:rPr>
        <w:t>/</w:t>
      </w:r>
      <w:r w:rsidR="002903D6">
        <w:rPr>
          <w:rFonts w:ascii="Times New Roman" w:hAnsi="Times New Roman"/>
          <w:sz w:val="24"/>
        </w:rPr>
        <w:t xml:space="preserve">  </w:t>
      </w:r>
      <w:r w:rsidRPr="004F167B">
        <w:rPr>
          <w:rFonts w:ascii="Times New Roman" w:hAnsi="Times New Roman"/>
          <w:sz w:val="24"/>
        </w:rPr>
        <w:t>This</w:t>
      </w:r>
      <w:proofErr w:type="gramEnd"/>
      <w:r w:rsidRPr="004F167B">
        <w:rPr>
          <w:rFonts w:ascii="Times New Roman" w:hAnsi="Times New Roman"/>
          <w:sz w:val="24"/>
        </w:rPr>
        <w:t xml:space="preserve"> deliberate choice is consistent with the rest of the Policy Statement, where the WUTC stated that the revenue produced by additional customers is a constituent of “found margin,” meaning that it would offset reductions due to conservation, weather, or economic malaise.</w:t>
      </w:r>
      <w:r w:rsidR="000350DA">
        <w:rPr>
          <w:rStyle w:val="FootnoteReference"/>
          <w:sz w:val="24"/>
        </w:rPr>
        <w:footnoteReference w:id="9"/>
      </w:r>
      <w:proofErr w:type="gramStart"/>
      <w:r w:rsidR="000350DA">
        <w:rPr>
          <w:rFonts w:ascii="Times New Roman" w:hAnsi="Times New Roman"/>
          <w:sz w:val="24"/>
          <w:vertAlign w:val="superscript"/>
        </w:rPr>
        <w:t>/</w:t>
      </w:r>
      <w:r w:rsidRPr="004F167B">
        <w:rPr>
          <w:rFonts w:ascii="Times New Roman" w:hAnsi="Times New Roman"/>
          <w:sz w:val="24"/>
        </w:rPr>
        <w:t xml:space="preserve">  If</w:t>
      </w:r>
      <w:proofErr w:type="gramEnd"/>
      <w:r w:rsidRPr="004F167B">
        <w:rPr>
          <w:rFonts w:ascii="Times New Roman" w:hAnsi="Times New Roman"/>
          <w:sz w:val="24"/>
        </w:rPr>
        <w:t xml:space="preserve"> additional customers simply add to the revenue requirement</w:t>
      </w:r>
      <w:r w:rsidR="006F3266">
        <w:rPr>
          <w:rFonts w:ascii="Times New Roman" w:hAnsi="Times New Roman"/>
          <w:sz w:val="24"/>
        </w:rPr>
        <w:t xml:space="preserve"> as would occur under the NWEC proposal</w:t>
      </w:r>
      <w:r w:rsidRPr="004F167B">
        <w:rPr>
          <w:rFonts w:ascii="Times New Roman" w:hAnsi="Times New Roman"/>
          <w:sz w:val="24"/>
        </w:rPr>
        <w:t xml:space="preserve">, then the revenue they produce cannot offset reductions.  </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Should a utility later demonstrate that there is no longer “reasonable balance” between this found margin and the cost to serve new customers, the Commission suggested that the utility’s line extension tariffs could be amended, or some portion of this found margin could be excluded from the true-</w:t>
      </w:r>
      <w:proofErr w:type="gramStart"/>
      <w:r w:rsidRPr="004F167B">
        <w:rPr>
          <w:rFonts w:ascii="Times New Roman" w:hAnsi="Times New Roman"/>
          <w:sz w:val="24"/>
        </w:rPr>
        <w:t>up.</w:t>
      </w:r>
      <w:proofErr w:type="gramEnd"/>
      <w:r w:rsidRPr="004F167B">
        <w:rPr>
          <w:rFonts w:ascii="Times New Roman" w:hAnsi="Times New Roman"/>
          <w:sz w:val="24"/>
        </w:rPr>
        <w:t xml:space="preserve"> </w:t>
      </w:r>
      <w:r w:rsidR="00B40ED6">
        <w:rPr>
          <w:rStyle w:val="FootnoteReference"/>
          <w:sz w:val="24"/>
        </w:rPr>
        <w:footnoteReference w:id="10"/>
      </w:r>
      <w:proofErr w:type="gramStart"/>
      <w:r w:rsidR="00B40ED6">
        <w:rPr>
          <w:rFonts w:ascii="Times New Roman" w:hAnsi="Times New Roman"/>
          <w:sz w:val="24"/>
          <w:vertAlign w:val="superscript"/>
        </w:rPr>
        <w:t>/</w:t>
      </w:r>
      <w:r w:rsidR="002C3E12">
        <w:rPr>
          <w:rFonts w:ascii="Times New Roman" w:hAnsi="Times New Roman"/>
          <w:sz w:val="24"/>
        </w:rPr>
        <w:t xml:space="preserve">  </w:t>
      </w:r>
      <w:r w:rsidR="0060750A">
        <w:rPr>
          <w:rFonts w:ascii="Times New Roman" w:hAnsi="Times New Roman"/>
          <w:sz w:val="24"/>
        </w:rPr>
        <w:t>ICNU</w:t>
      </w:r>
      <w:proofErr w:type="gramEnd"/>
      <w:r w:rsidR="0060750A">
        <w:rPr>
          <w:rFonts w:ascii="Times New Roman" w:hAnsi="Times New Roman"/>
          <w:sz w:val="24"/>
        </w:rPr>
        <w:t xml:space="preserve"> believes this</w:t>
      </w:r>
      <w:r w:rsidRPr="004F167B">
        <w:rPr>
          <w:rFonts w:ascii="Times New Roman" w:hAnsi="Times New Roman"/>
          <w:sz w:val="24"/>
        </w:rPr>
        <w:t xml:space="preserve"> </w:t>
      </w:r>
      <w:r w:rsidRPr="004F167B">
        <w:rPr>
          <w:rFonts w:ascii="Times New Roman" w:hAnsi="Times New Roman"/>
          <w:sz w:val="24"/>
        </w:rPr>
        <w:lastRenderedPageBreak/>
        <w:t xml:space="preserve">demonstrates that the Commission’s articulation of a per-class mechanism was intentional.  </w:t>
      </w:r>
    </w:p>
    <w:p w:rsidR="006D0B1F" w:rsidRDefault="004F167B">
      <w:pPr>
        <w:spacing w:line="480" w:lineRule="auto"/>
        <w:ind w:left="720" w:firstLine="720"/>
        <w:rPr>
          <w:rFonts w:ascii="Times New Roman" w:hAnsi="Times New Roman"/>
          <w:sz w:val="24"/>
        </w:rPr>
      </w:pPr>
      <w:r w:rsidRPr="004F167B">
        <w:rPr>
          <w:rFonts w:ascii="Times New Roman" w:hAnsi="Times New Roman"/>
          <w:sz w:val="24"/>
        </w:rPr>
        <w:t xml:space="preserve">An adjustment to line extension tariffs, if necessary, directly addresses the costs of serving new customers.  Per-customer decoupling is a blunt instrument that primarily removes an important segment of found margin from the true-up. </w:t>
      </w:r>
      <w:r w:rsidR="006925AE">
        <w:rPr>
          <w:rFonts w:ascii="Times New Roman" w:hAnsi="Times New Roman"/>
          <w:sz w:val="24"/>
        </w:rPr>
        <w:t xml:space="preserve"> </w:t>
      </w:r>
      <w:r w:rsidRPr="004F167B">
        <w:rPr>
          <w:rFonts w:ascii="Times New Roman" w:hAnsi="Times New Roman"/>
          <w:sz w:val="24"/>
        </w:rPr>
        <w:t>Further, the Report and Policy statement indicates that it should be the responsibility of the utility to demonstrate an actual inequity before it would be corrected through a line</w:t>
      </w:r>
      <w:r w:rsidR="0060750A">
        <w:rPr>
          <w:rFonts w:ascii="Times New Roman" w:hAnsi="Times New Roman"/>
          <w:sz w:val="24"/>
        </w:rPr>
        <w:t xml:space="preserve"> extension</w:t>
      </w:r>
      <w:r w:rsidRPr="004F167B">
        <w:rPr>
          <w:rFonts w:ascii="Times New Roman" w:hAnsi="Times New Roman"/>
          <w:sz w:val="24"/>
        </w:rPr>
        <w:t xml:space="preserve"> tariff adjustment or removal of some new customer revenue from found margin.</w:t>
      </w:r>
      <w:r w:rsidR="00E65C4D">
        <w:rPr>
          <w:rStyle w:val="FootnoteReference"/>
          <w:sz w:val="24"/>
        </w:rPr>
        <w:footnoteReference w:id="11"/>
      </w:r>
      <w:r w:rsidR="00E65C4D">
        <w:rPr>
          <w:rFonts w:ascii="Times New Roman" w:hAnsi="Times New Roman"/>
          <w:sz w:val="24"/>
          <w:vertAlign w:val="superscript"/>
        </w:rPr>
        <w:t>/</w:t>
      </w:r>
      <w:r w:rsidRPr="004F167B">
        <w:rPr>
          <w:rFonts w:ascii="Times New Roman" w:hAnsi="Times New Roman"/>
          <w:sz w:val="24"/>
        </w:rPr>
        <w:t xml:space="preserve">  </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DOES </w:t>
      </w:r>
      <w:r w:rsidR="00314180">
        <w:rPr>
          <w:rFonts w:ascii="Times New Roman" w:hAnsi="Times New Roman"/>
          <w:b/>
          <w:sz w:val="24"/>
        </w:rPr>
        <w:t>NWEC’S</w:t>
      </w:r>
      <w:r w:rsidRPr="00A17730">
        <w:rPr>
          <w:rFonts w:ascii="Times New Roman" w:hAnsi="Times New Roman"/>
          <w:b/>
          <w:sz w:val="24"/>
        </w:rPr>
        <w:t xml:space="preserve"> MECHANISM USE PER-CLASS DECOUPLING?</w:t>
      </w:r>
    </w:p>
    <w:p w:rsidR="00A17730" w:rsidRPr="00A17730" w:rsidRDefault="00A17730" w:rsidP="00A17730">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7232EE">
        <w:rPr>
          <w:rFonts w:ascii="Times New Roman" w:hAnsi="Times New Roman"/>
          <w:sz w:val="24"/>
        </w:rPr>
        <w:t>No.  NWEC</w:t>
      </w:r>
      <w:r w:rsidRPr="00A17730">
        <w:rPr>
          <w:rFonts w:ascii="Times New Roman" w:hAnsi="Times New Roman"/>
          <w:sz w:val="24"/>
        </w:rPr>
        <w:t xml:space="preserve"> </w:t>
      </w:r>
      <w:r w:rsidR="00314180">
        <w:rPr>
          <w:rFonts w:ascii="Times New Roman" w:hAnsi="Times New Roman"/>
          <w:sz w:val="24"/>
        </w:rPr>
        <w:t xml:space="preserve">fails to </w:t>
      </w:r>
      <w:r w:rsidRPr="00A17730">
        <w:rPr>
          <w:rFonts w:ascii="Times New Roman" w:hAnsi="Times New Roman"/>
          <w:sz w:val="24"/>
        </w:rPr>
        <w:t>acknowledge the Commission’s decision to implement decoupling based on r</w:t>
      </w:r>
      <w:r w:rsidR="00314180">
        <w:rPr>
          <w:rFonts w:ascii="Times New Roman" w:hAnsi="Times New Roman"/>
          <w:sz w:val="24"/>
        </w:rPr>
        <w:t>evenue attributed to each class; rather,</w:t>
      </w:r>
      <w:r w:rsidRPr="00A17730">
        <w:rPr>
          <w:rFonts w:ascii="Times New Roman" w:hAnsi="Times New Roman"/>
          <w:sz w:val="24"/>
        </w:rPr>
        <w:t xml:space="preserve"> </w:t>
      </w:r>
      <w:r w:rsidR="00314180">
        <w:rPr>
          <w:rFonts w:ascii="Times New Roman" w:hAnsi="Times New Roman"/>
          <w:sz w:val="24"/>
        </w:rPr>
        <w:t>t</w:t>
      </w:r>
      <w:r w:rsidRPr="00A17730">
        <w:rPr>
          <w:rFonts w:ascii="Times New Roman" w:hAnsi="Times New Roman"/>
          <w:sz w:val="24"/>
        </w:rPr>
        <w:t xml:space="preserve">he </w:t>
      </w:r>
      <w:r w:rsidR="006F629D">
        <w:rPr>
          <w:rFonts w:ascii="Times New Roman" w:hAnsi="Times New Roman"/>
          <w:sz w:val="24"/>
        </w:rPr>
        <w:t>m</w:t>
      </w:r>
      <w:r w:rsidR="006F629D" w:rsidRPr="00A17730">
        <w:rPr>
          <w:rFonts w:ascii="Times New Roman" w:hAnsi="Times New Roman"/>
          <w:sz w:val="24"/>
        </w:rPr>
        <w:t xml:space="preserve">echanism </w:t>
      </w:r>
      <w:r w:rsidR="00314180">
        <w:rPr>
          <w:rFonts w:ascii="Times New Roman" w:hAnsi="Times New Roman"/>
          <w:sz w:val="24"/>
        </w:rPr>
        <w:t>proposes “per-customer decoupling based on the fixed-cost per-customer revenue requirement</w:t>
      </w:r>
      <w:r w:rsidRPr="00A17730">
        <w:rPr>
          <w:rFonts w:ascii="Times New Roman" w:hAnsi="Times New Roman"/>
          <w:sz w:val="24"/>
        </w:rPr>
        <w:t>.</w:t>
      </w:r>
      <w:r w:rsidR="00314180">
        <w:rPr>
          <w:rFonts w:ascii="Times New Roman" w:hAnsi="Times New Roman"/>
          <w:sz w:val="24"/>
        </w:rPr>
        <w:t>”</w:t>
      </w:r>
      <w:r w:rsidR="00314180">
        <w:rPr>
          <w:rStyle w:val="FootnoteReference"/>
          <w:sz w:val="24"/>
        </w:rPr>
        <w:footnoteReference w:id="12"/>
      </w:r>
      <w:r w:rsidR="00314180" w:rsidRPr="00314180">
        <w:rPr>
          <w:rFonts w:ascii="Times New Roman" w:hAnsi="Times New Roman"/>
          <w:sz w:val="24"/>
          <w:vertAlign w:val="superscript"/>
        </w:rPr>
        <w:t>/</w:t>
      </w:r>
    </w:p>
    <w:p w:rsidR="00A17730" w:rsidRPr="00A17730" w:rsidRDefault="00A17730" w:rsidP="00DF20DC">
      <w:pPr>
        <w:keepNext/>
        <w:keepLines/>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HOW COULD THIS OUTCOME BE AVOIDED?</w:t>
      </w:r>
    </w:p>
    <w:p w:rsidR="00A17730" w:rsidRPr="00A17730" w:rsidRDefault="00A17730" w:rsidP="00A17730">
      <w:pPr>
        <w:spacing w:line="480" w:lineRule="auto"/>
        <w:ind w:left="720"/>
        <w:rPr>
          <w:rFonts w:ascii="Times New Roman" w:hAnsi="Times New Roman"/>
          <w:sz w:val="24"/>
        </w:rPr>
      </w:pPr>
      <w:r w:rsidRPr="00A17730">
        <w:rPr>
          <w:rFonts w:ascii="Times New Roman" w:hAnsi="Times New Roman"/>
          <w:sz w:val="24"/>
        </w:rPr>
        <w:t>First and foremost, the distinction</w:t>
      </w:r>
      <w:r w:rsidR="00C117A8">
        <w:rPr>
          <w:rFonts w:ascii="Times New Roman" w:hAnsi="Times New Roman"/>
          <w:sz w:val="24"/>
        </w:rPr>
        <w:t>s</w:t>
      </w:r>
      <w:r w:rsidRPr="00A17730">
        <w:rPr>
          <w:rFonts w:ascii="Times New Roman" w:hAnsi="Times New Roman"/>
          <w:sz w:val="24"/>
        </w:rPr>
        <w:t xml:space="preserve"> between these kinds of decoupling </w:t>
      </w:r>
      <w:r w:rsidR="00FE118D">
        <w:rPr>
          <w:rFonts w:ascii="Times New Roman" w:hAnsi="Times New Roman"/>
          <w:sz w:val="24"/>
        </w:rPr>
        <w:t>shows</w:t>
      </w:r>
      <w:r w:rsidR="00FE118D" w:rsidRPr="00A17730">
        <w:rPr>
          <w:rFonts w:ascii="Times New Roman" w:hAnsi="Times New Roman"/>
          <w:sz w:val="24"/>
        </w:rPr>
        <w:t xml:space="preserve"> </w:t>
      </w:r>
      <w:r w:rsidRPr="00A17730">
        <w:rPr>
          <w:rFonts w:ascii="Times New Roman" w:hAnsi="Times New Roman"/>
          <w:sz w:val="24"/>
        </w:rPr>
        <w:t xml:space="preserve">that there are far too many issues to resolve to adopt decoupling </w:t>
      </w:r>
      <w:r w:rsidR="00625E46">
        <w:rPr>
          <w:rFonts w:ascii="Times New Roman" w:hAnsi="Times New Roman"/>
          <w:sz w:val="24"/>
        </w:rPr>
        <w:t>based on the record in this case</w:t>
      </w:r>
      <w:r w:rsidR="00DF20DC">
        <w:rPr>
          <w:rFonts w:ascii="Times New Roman" w:hAnsi="Times New Roman"/>
          <w:sz w:val="24"/>
        </w:rPr>
        <w:t>.  However, i</w:t>
      </w:r>
      <w:r w:rsidRPr="00A17730">
        <w:rPr>
          <w:rFonts w:ascii="Times New Roman" w:hAnsi="Times New Roman"/>
          <w:sz w:val="24"/>
        </w:rPr>
        <w:t xml:space="preserve">f the Commission decides to adopt a decoupling mechanism now, it is important that the revenue requirement established in this General Rate Case (“GRC”) remain in effect, and </w:t>
      </w:r>
      <w:r w:rsidR="00FE118D">
        <w:rPr>
          <w:rFonts w:ascii="Times New Roman" w:hAnsi="Times New Roman"/>
          <w:sz w:val="24"/>
        </w:rPr>
        <w:t xml:space="preserve">that the Company’s revenues </w:t>
      </w:r>
      <w:r w:rsidRPr="00A17730">
        <w:rPr>
          <w:rFonts w:ascii="Times New Roman" w:hAnsi="Times New Roman"/>
          <w:sz w:val="24"/>
        </w:rPr>
        <w:t>be trued-up to that amount on a per-class basis</w:t>
      </w:r>
      <w:r w:rsidR="0060750A">
        <w:rPr>
          <w:rFonts w:ascii="Times New Roman" w:hAnsi="Times New Roman"/>
          <w:sz w:val="24"/>
        </w:rPr>
        <w:t xml:space="preserve"> for participating classes</w:t>
      </w:r>
      <w:r w:rsidRPr="00A17730">
        <w:rPr>
          <w:rFonts w:ascii="Times New Roman" w:hAnsi="Times New Roman"/>
          <w:sz w:val="24"/>
        </w:rPr>
        <w:t xml:space="preserve">.  This means that if a decoupling mechanism is adopted, it should function as described in the WUTC’s Policy Statement, and it should exclude industrial customers.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lastRenderedPageBreak/>
        <w:t>This Commission has long assumed that a properly adjusted historic test year creates the most accurate relationship between costs and revenues.  Lost margin due to conservation and the found margin represented by additional customer revenue are only two of the multitude of factors affecting a utility’s ability to recover its costs.  There is no reason to depart from this sound regulatory practice to allow a utility to automatically increase its revenue requirement outside of a rate</w:t>
      </w:r>
      <w:r w:rsidR="00E4053B">
        <w:rPr>
          <w:rFonts w:ascii="Times New Roman" w:hAnsi="Times New Roman"/>
          <w:sz w:val="24"/>
        </w:rPr>
        <w:t xml:space="preserve"> </w:t>
      </w:r>
      <w:r w:rsidRPr="00A17730">
        <w:rPr>
          <w:rFonts w:ascii="Times New Roman" w:hAnsi="Times New Roman"/>
          <w:sz w:val="24"/>
        </w:rPr>
        <w:t xml:space="preserve">case, as </w:t>
      </w:r>
      <w:r w:rsidR="00625E46">
        <w:rPr>
          <w:rFonts w:ascii="Times New Roman" w:hAnsi="Times New Roman"/>
          <w:sz w:val="24"/>
        </w:rPr>
        <w:t>NWEC’s</w:t>
      </w:r>
      <w:r w:rsidRPr="00A17730">
        <w:rPr>
          <w:rFonts w:ascii="Times New Roman" w:hAnsi="Times New Roman"/>
          <w:sz w:val="24"/>
        </w:rPr>
        <w:t xml:space="preserve"> </w:t>
      </w:r>
      <w:r w:rsidR="00E55BCC">
        <w:rPr>
          <w:rFonts w:ascii="Times New Roman" w:hAnsi="Times New Roman"/>
          <w:sz w:val="24"/>
        </w:rPr>
        <w:t>m</w:t>
      </w:r>
      <w:r w:rsidR="00E55BCC" w:rsidRPr="00A17730">
        <w:rPr>
          <w:rFonts w:ascii="Times New Roman" w:hAnsi="Times New Roman"/>
          <w:sz w:val="24"/>
        </w:rPr>
        <w:t xml:space="preserve">echanism </w:t>
      </w:r>
      <w:r w:rsidRPr="00A17730">
        <w:rPr>
          <w:rFonts w:ascii="Times New Roman" w:hAnsi="Times New Roman"/>
          <w:sz w:val="24"/>
        </w:rPr>
        <w:t>would do.  Rather, a per-class decoupling mechanism would assure that lost and found margin remain in reasonable balance.</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HOW </w:t>
      </w:r>
      <w:proofErr w:type="gramStart"/>
      <w:r w:rsidRPr="00A17730">
        <w:rPr>
          <w:rFonts w:ascii="Times New Roman" w:hAnsi="Times New Roman"/>
          <w:b/>
          <w:sz w:val="24"/>
        </w:rPr>
        <w:t>DO</w:t>
      </w:r>
      <w:proofErr w:type="gramEnd"/>
      <w:r w:rsidRPr="00A17730">
        <w:rPr>
          <w:rFonts w:ascii="Times New Roman" w:hAnsi="Times New Roman"/>
          <w:b/>
          <w:sz w:val="24"/>
        </w:rPr>
        <w:t xml:space="preserve"> YOU RECOMMEND </w:t>
      </w:r>
      <w:r w:rsidR="00625E46">
        <w:rPr>
          <w:rFonts w:ascii="Times New Roman" w:hAnsi="Times New Roman"/>
          <w:b/>
          <w:sz w:val="24"/>
        </w:rPr>
        <w:t>NWEC’S</w:t>
      </w:r>
      <w:r w:rsidRPr="00A17730">
        <w:rPr>
          <w:rFonts w:ascii="Times New Roman" w:hAnsi="Times New Roman"/>
          <w:b/>
          <w:sz w:val="24"/>
        </w:rPr>
        <w:t xml:space="preserve"> MECHANISM BE ADJUSTED?</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Under the WUTC standards, a utility’s revenue requirement is established in a GRC, and that revenue is </w:t>
      </w:r>
      <w:r w:rsidR="0060750A">
        <w:rPr>
          <w:rFonts w:ascii="Times New Roman" w:hAnsi="Times New Roman"/>
          <w:sz w:val="24"/>
        </w:rPr>
        <w:t>allocated</w:t>
      </w:r>
      <w:r w:rsidRPr="00A17730">
        <w:rPr>
          <w:rFonts w:ascii="Times New Roman" w:hAnsi="Times New Roman"/>
          <w:sz w:val="24"/>
        </w:rPr>
        <w:t xml:space="preserve"> by class according to accepted </w:t>
      </w:r>
      <w:r w:rsidR="0060750A">
        <w:rPr>
          <w:rFonts w:ascii="Times New Roman" w:hAnsi="Times New Roman"/>
          <w:sz w:val="24"/>
        </w:rPr>
        <w:t>ratemaking</w:t>
      </w:r>
      <w:r>
        <w:rPr>
          <w:rFonts w:ascii="Times New Roman" w:hAnsi="Times New Roman"/>
          <w:sz w:val="24"/>
        </w:rPr>
        <w:t xml:space="preserve"> </w:t>
      </w:r>
      <w:r w:rsidRPr="00A17730">
        <w:rPr>
          <w:rFonts w:ascii="Times New Roman" w:hAnsi="Times New Roman"/>
          <w:sz w:val="24"/>
        </w:rPr>
        <w:t>principles.  This would maintain current practice during the GRC.</w:t>
      </w:r>
      <w:r w:rsidR="00C81EF8">
        <w:rPr>
          <w:rFonts w:ascii="Times New Roman" w:hAnsi="Times New Roman"/>
          <w:sz w:val="24"/>
        </w:rPr>
        <w:t xml:space="preserve">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 xml:space="preserve">One year after the GRC, the utility would calculate the difference, per </w:t>
      </w:r>
      <w:r w:rsidR="005D0806">
        <w:rPr>
          <w:rFonts w:ascii="Times New Roman" w:hAnsi="Times New Roman"/>
          <w:sz w:val="24"/>
        </w:rPr>
        <w:t xml:space="preserve">included </w:t>
      </w:r>
      <w:r w:rsidRPr="00A17730">
        <w:rPr>
          <w:rFonts w:ascii="Times New Roman" w:hAnsi="Times New Roman"/>
          <w:sz w:val="24"/>
        </w:rPr>
        <w:t xml:space="preserve">class, between the revenue projected by the adjusted historic test year and the actual revenue attributable to each class.  Subject to a conservation test and an earnings test, any over collection would be returned to the customer class over the following rate year and any under collection would be charged to the customer class over the following rate year. </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IS </w:t>
      </w:r>
      <w:r w:rsidR="00625E46">
        <w:rPr>
          <w:rFonts w:ascii="Times New Roman" w:hAnsi="Times New Roman"/>
          <w:b/>
          <w:sz w:val="24"/>
        </w:rPr>
        <w:t>NWEC’S</w:t>
      </w:r>
      <w:r w:rsidRPr="00A17730">
        <w:rPr>
          <w:rFonts w:ascii="Times New Roman" w:hAnsi="Times New Roman"/>
          <w:b/>
          <w:sz w:val="24"/>
        </w:rPr>
        <w:t xml:space="preserve"> DECOUPLING MECHANISM CONDITIONED UPON A UTILITY’S LEVEL OF ACHIEVEMENT WITH RESPECT TO ITS CONSERVATION TARGET? </w:t>
      </w:r>
    </w:p>
    <w:p w:rsid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00625E46">
        <w:rPr>
          <w:rFonts w:ascii="Times New Roman" w:hAnsi="Times New Roman"/>
          <w:sz w:val="24"/>
        </w:rPr>
        <w:t>No</w:t>
      </w:r>
      <w:r w:rsidR="0060750A">
        <w:rPr>
          <w:rFonts w:ascii="Times New Roman" w:hAnsi="Times New Roman"/>
          <w:sz w:val="24"/>
        </w:rPr>
        <w:t>.</w:t>
      </w:r>
      <w:r w:rsidRPr="00A17730">
        <w:rPr>
          <w:rFonts w:ascii="Times New Roman" w:hAnsi="Times New Roman"/>
          <w:sz w:val="24"/>
        </w:rPr>
        <w:t xml:space="preserve"> </w:t>
      </w:r>
      <w:r w:rsidR="0060750A">
        <w:rPr>
          <w:rFonts w:ascii="Times New Roman" w:hAnsi="Times New Roman"/>
          <w:sz w:val="24"/>
        </w:rPr>
        <w:t xml:space="preserve"> </w:t>
      </w:r>
      <w:r w:rsidR="00625E46">
        <w:rPr>
          <w:rFonts w:ascii="Times New Roman" w:hAnsi="Times New Roman"/>
          <w:sz w:val="24"/>
        </w:rPr>
        <w:t>The NWEC proposal does not appear to conform to this key Commission requirement</w:t>
      </w:r>
      <w:r w:rsidRPr="00A17730">
        <w:rPr>
          <w:rFonts w:ascii="Times New Roman" w:hAnsi="Times New Roman"/>
          <w:sz w:val="24"/>
        </w:rPr>
        <w:t>.</w:t>
      </w:r>
    </w:p>
    <w:p w:rsidR="00F310A1" w:rsidRDefault="00F310A1">
      <w:pPr>
        <w:suppressLineNumbers/>
        <w:spacing w:line="480" w:lineRule="auto"/>
        <w:ind w:left="720" w:hanging="720"/>
        <w:rPr>
          <w:rFonts w:ascii="Times New Roman" w:hAnsi="Times New Roman"/>
          <w:sz w:val="24"/>
        </w:rPr>
      </w:pPr>
    </w:p>
    <w:p w:rsidR="00F310A1" w:rsidRDefault="00F310A1">
      <w:pPr>
        <w:suppressLineNumbers/>
        <w:spacing w:line="480" w:lineRule="auto"/>
        <w:ind w:left="720" w:hanging="720"/>
        <w:rPr>
          <w:rFonts w:ascii="Times New Roman" w:hAnsi="Times New Roman"/>
          <w:sz w:val="24"/>
        </w:rPr>
      </w:pP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lastRenderedPageBreak/>
        <w:t>Q.</w:t>
      </w:r>
      <w:r w:rsidRPr="00A17730">
        <w:rPr>
          <w:rFonts w:ascii="Times New Roman" w:hAnsi="Times New Roman"/>
          <w:b/>
          <w:sz w:val="24"/>
        </w:rPr>
        <w:tab/>
        <w:t>WHAT DO YOU SUGGEST REGARDING THE CONSERVATION TEST?</w:t>
      </w:r>
    </w:p>
    <w:p w:rsidR="00A17730" w:rsidRPr="00A17730" w:rsidRDefault="00A17730" w:rsidP="00FE686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sidRPr="00A17730">
        <w:rPr>
          <w:rFonts w:ascii="Times New Roman" w:hAnsi="Times New Roman"/>
          <w:sz w:val="24"/>
        </w:rPr>
        <w:t xml:space="preserve">A conservation test is important and must be included to ensure that the decoupling mechanism actually functions to promote conservation, not simply to guarantee revenue or automatic rate increases to the utility.  </w:t>
      </w:r>
      <w:r w:rsidR="005C4CFE">
        <w:rPr>
          <w:rFonts w:ascii="Times New Roman" w:hAnsi="Times New Roman"/>
          <w:sz w:val="24"/>
        </w:rPr>
        <w:t xml:space="preserve">A conservation test should have been included in NWEC’s direct testimony so that parties would have sufficient opportunity to review how it would work.  </w:t>
      </w:r>
    </w:p>
    <w:p w:rsidR="00A17730" w:rsidRPr="00A17730" w:rsidRDefault="00A17730" w:rsidP="00625E46">
      <w:pPr>
        <w:keepNext/>
        <w:keepLines/>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DOES THE </w:t>
      </w:r>
      <w:r w:rsidR="00625E46">
        <w:rPr>
          <w:rFonts w:ascii="Times New Roman" w:hAnsi="Times New Roman"/>
          <w:b/>
          <w:sz w:val="24"/>
        </w:rPr>
        <w:t>NWEC</w:t>
      </w:r>
      <w:r w:rsidRPr="00A17730">
        <w:rPr>
          <w:rFonts w:ascii="Times New Roman" w:hAnsi="Times New Roman"/>
          <w:b/>
          <w:sz w:val="24"/>
        </w:rPr>
        <w:t xml:space="preserve"> PROPOSAL INCLUDE AN EARNINGS TEST?</w:t>
      </w:r>
    </w:p>
    <w:p w:rsidR="00A17730" w:rsidRDefault="00A17730" w:rsidP="00FE686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sidR="00855CE1">
        <w:rPr>
          <w:rFonts w:ascii="Times New Roman" w:hAnsi="Times New Roman"/>
          <w:sz w:val="24"/>
        </w:rPr>
        <w:t>NWEC argues that the Commission’s earning test requirement should be rescinded.  In the alternative, it suggests</w:t>
      </w:r>
      <w:r w:rsidRPr="00A17730">
        <w:rPr>
          <w:rFonts w:ascii="Times New Roman" w:hAnsi="Times New Roman"/>
          <w:sz w:val="24"/>
        </w:rPr>
        <w:t xml:space="preserve"> that the Company </w:t>
      </w:r>
      <w:r w:rsidR="005D0806">
        <w:rPr>
          <w:rFonts w:ascii="Times New Roman" w:hAnsi="Times New Roman"/>
          <w:sz w:val="24"/>
        </w:rPr>
        <w:t>should</w:t>
      </w:r>
      <w:r w:rsidRPr="00A17730">
        <w:rPr>
          <w:rFonts w:ascii="Times New Roman" w:hAnsi="Times New Roman"/>
          <w:sz w:val="24"/>
        </w:rPr>
        <w:t xml:space="preserve"> recover from customers even if its earnings before the true-up surpassed its allowed </w:t>
      </w:r>
      <w:r w:rsidR="00855CE1">
        <w:rPr>
          <w:rFonts w:ascii="Times New Roman" w:hAnsi="Times New Roman"/>
          <w:sz w:val="24"/>
        </w:rPr>
        <w:t>return on its investment</w:t>
      </w:r>
      <w:r w:rsidRPr="00A17730">
        <w:rPr>
          <w:rFonts w:ascii="Times New Roman" w:hAnsi="Times New Roman"/>
          <w:sz w:val="24"/>
        </w:rPr>
        <w:t xml:space="preserve">.  </w:t>
      </w:r>
      <w:r w:rsidR="005C4CFE">
        <w:rPr>
          <w:rFonts w:ascii="Times New Roman" w:hAnsi="Times New Roman"/>
          <w:sz w:val="24"/>
        </w:rPr>
        <w:t>An earnings test should limit a utility to collecting the percentage of annual true-up that equals the percentage of its conservation target it achieves</w:t>
      </w:r>
      <w:r w:rsidR="005C4CFE" w:rsidRPr="00A17730">
        <w:rPr>
          <w:rFonts w:ascii="Times New Roman" w:hAnsi="Times New Roman"/>
          <w:sz w:val="24"/>
        </w:rPr>
        <w:t>.</w:t>
      </w:r>
      <w:r w:rsidR="005C4CFE">
        <w:rPr>
          <w:rFonts w:ascii="Times New Roman" w:hAnsi="Times New Roman"/>
          <w:sz w:val="24"/>
        </w:rPr>
        <w:t xml:space="preserve">  </w:t>
      </w:r>
      <w:r w:rsidRPr="00A17730">
        <w:rPr>
          <w:rFonts w:ascii="Times New Roman" w:hAnsi="Times New Roman"/>
          <w:sz w:val="24"/>
        </w:rPr>
        <w:t xml:space="preserve">I recommend that the true-up be capped at the allowable </w:t>
      </w:r>
      <w:r w:rsidR="00BC75B4">
        <w:rPr>
          <w:rFonts w:ascii="Times New Roman" w:hAnsi="Times New Roman"/>
          <w:sz w:val="24"/>
        </w:rPr>
        <w:t>rate of return (“</w:t>
      </w:r>
      <w:r w:rsidRPr="00A17730">
        <w:rPr>
          <w:rFonts w:ascii="Times New Roman" w:hAnsi="Times New Roman"/>
          <w:sz w:val="24"/>
        </w:rPr>
        <w:t>RO</w:t>
      </w:r>
      <w:r w:rsidR="00024EB6">
        <w:rPr>
          <w:rFonts w:ascii="Times New Roman" w:hAnsi="Times New Roman"/>
          <w:sz w:val="24"/>
        </w:rPr>
        <w:t>R</w:t>
      </w:r>
      <w:r w:rsidR="00BC75B4">
        <w:rPr>
          <w:rFonts w:ascii="Times New Roman" w:hAnsi="Times New Roman"/>
          <w:sz w:val="24"/>
        </w:rPr>
        <w:t>”)</w:t>
      </w:r>
      <w:r w:rsidRPr="00A17730">
        <w:rPr>
          <w:rFonts w:ascii="Times New Roman" w:hAnsi="Times New Roman"/>
          <w:sz w:val="24"/>
        </w:rPr>
        <w:t>, not 25 basis points above the RO</w:t>
      </w:r>
      <w:r w:rsidR="00024EB6">
        <w:rPr>
          <w:rFonts w:ascii="Times New Roman" w:hAnsi="Times New Roman"/>
          <w:sz w:val="24"/>
        </w:rPr>
        <w:t>R</w:t>
      </w:r>
      <w:r w:rsidRPr="00A17730">
        <w:rPr>
          <w:rFonts w:ascii="Times New Roman" w:hAnsi="Times New Roman"/>
          <w:sz w:val="24"/>
        </w:rPr>
        <w:t>.</w:t>
      </w:r>
    </w:p>
    <w:p w:rsidR="006D0B1F" w:rsidRDefault="001900D6">
      <w:pPr>
        <w:ind w:left="720" w:hanging="720"/>
        <w:rPr>
          <w:rFonts w:ascii="Times New Roman" w:hAnsi="Times New Roman"/>
          <w:b/>
          <w:sz w:val="24"/>
        </w:rPr>
      </w:pPr>
      <w:r w:rsidRPr="001900D6">
        <w:rPr>
          <w:rFonts w:ascii="Times New Roman" w:hAnsi="Times New Roman"/>
          <w:b/>
          <w:sz w:val="24"/>
        </w:rPr>
        <w:t>Q.</w:t>
      </w:r>
      <w:r w:rsidRPr="001900D6">
        <w:rPr>
          <w:rFonts w:ascii="Times New Roman" w:hAnsi="Times New Roman"/>
          <w:b/>
          <w:sz w:val="24"/>
        </w:rPr>
        <w:tab/>
        <w:t xml:space="preserve">CAN YOU COMMENT ON THE DISTINCTION BETWEEN USING ROR </w:t>
      </w:r>
      <w:proofErr w:type="gramStart"/>
      <w:r w:rsidRPr="001900D6">
        <w:rPr>
          <w:rFonts w:ascii="Times New Roman" w:hAnsi="Times New Roman"/>
          <w:b/>
          <w:sz w:val="24"/>
        </w:rPr>
        <w:t>OR</w:t>
      </w:r>
      <w:proofErr w:type="gramEnd"/>
      <w:r w:rsidRPr="001900D6">
        <w:rPr>
          <w:rFonts w:ascii="Times New Roman" w:hAnsi="Times New Roman"/>
          <w:b/>
          <w:sz w:val="24"/>
        </w:rPr>
        <w:t xml:space="preserve"> </w:t>
      </w:r>
      <w:r w:rsidR="00BC75B4">
        <w:rPr>
          <w:rFonts w:ascii="Times New Roman" w:hAnsi="Times New Roman"/>
          <w:b/>
          <w:sz w:val="24"/>
        </w:rPr>
        <w:t>RETURN ON EQUITY (“</w:t>
      </w:r>
      <w:r w:rsidRPr="001900D6">
        <w:rPr>
          <w:rFonts w:ascii="Times New Roman" w:hAnsi="Times New Roman"/>
          <w:b/>
          <w:sz w:val="24"/>
        </w:rPr>
        <w:t>ROE</w:t>
      </w:r>
      <w:r w:rsidR="00BC75B4">
        <w:rPr>
          <w:rFonts w:ascii="Times New Roman" w:hAnsi="Times New Roman"/>
          <w:b/>
          <w:sz w:val="24"/>
        </w:rPr>
        <w:t>”)</w:t>
      </w:r>
      <w:r w:rsidRPr="001900D6">
        <w:rPr>
          <w:rFonts w:ascii="Times New Roman" w:hAnsi="Times New Roman"/>
          <w:b/>
          <w:sz w:val="24"/>
        </w:rPr>
        <w:t xml:space="preserve"> IN THE EARNINGS TEST?</w:t>
      </w:r>
    </w:p>
    <w:p w:rsidR="006D0B1F" w:rsidRDefault="001900D6">
      <w:pPr>
        <w:spacing w:before="240" w:line="480" w:lineRule="auto"/>
        <w:ind w:left="720" w:hanging="720"/>
        <w:rPr>
          <w:rFonts w:ascii="Times New Roman" w:hAnsi="Times New Roman"/>
          <w:sz w:val="24"/>
        </w:rPr>
      </w:pPr>
      <w:r w:rsidRPr="001900D6">
        <w:rPr>
          <w:rFonts w:ascii="Times New Roman" w:hAnsi="Times New Roman"/>
          <w:b/>
          <w:sz w:val="24"/>
        </w:rPr>
        <w:t>A.</w:t>
      </w:r>
      <w:r w:rsidR="00024EB6">
        <w:rPr>
          <w:rFonts w:ascii="Times New Roman" w:hAnsi="Times New Roman"/>
          <w:sz w:val="24"/>
        </w:rPr>
        <w:tab/>
        <w:t xml:space="preserve">Yes.  </w:t>
      </w:r>
      <w:r w:rsidR="00C072F3">
        <w:rPr>
          <w:rFonts w:ascii="Times New Roman" w:hAnsi="Times New Roman"/>
          <w:sz w:val="24"/>
        </w:rPr>
        <w:t>ROR</w:t>
      </w:r>
      <w:r w:rsidR="002669AD">
        <w:rPr>
          <w:rFonts w:ascii="Times New Roman" w:hAnsi="Times New Roman"/>
          <w:sz w:val="24"/>
        </w:rPr>
        <w:t>,</w:t>
      </w:r>
      <w:r w:rsidR="00C072F3">
        <w:rPr>
          <w:rFonts w:ascii="Times New Roman" w:hAnsi="Times New Roman"/>
          <w:sz w:val="24"/>
        </w:rPr>
        <w:t xml:space="preserve"> of course</w:t>
      </w:r>
      <w:r w:rsidR="002669AD">
        <w:rPr>
          <w:rFonts w:ascii="Times New Roman" w:hAnsi="Times New Roman"/>
          <w:sz w:val="24"/>
        </w:rPr>
        <w:t>,</w:t>
      </w:r>
      <w:r w:rsidR="00C072F3">
        <w:rPr>
          <w:rFonts w:ascii="Times New Roman" w:hAnsi="Times New Roman"/>
          <w:sz w:val="24"/>
        </w:rPr>
        <w:t xml:space="preserve"> represents the Company’s weighted average return on capital investment, including both debt and equity components.  ROE is only the return on the equity portion of the Company’s authorized capital structure.  </w:t>
      </w:r>
      <w:r w:rsidR="00F51BCB">
        <w:rPr>
          <w:rFonts w:ascii="Times New Roman" w:hAnsi="Times New Roman"/>
          <w:sz w:val="24"/>
        </w:rPr>
        <w:t>NWEC’s</w:t>
      </w:r>
      <w:r w:rsidR="00C072F3">
        <w:rPr>
          <w:rFonts w:ascii="Times New Roman" w:hAnsi="Times New Roman"/>
          <w:sz w:val="24"/>
        </w:rPr>
        <w:t xml:space="preserve"> Mechanism </w:t>
      </w:r>
      <w:r w:rsidR="00F51BCB">
        <w:rPr>
          <w:rFonts w:ascii="Times New Roman" w:hAnsi="Times New Roman"/>
          <w:sz w:val="24"/>
        </w:rPr>
        <w:t>appears to use</w:t>
      </w:r>
      <w:r w:rsidR="00C072F3">
        <w:rPr>
          <w:rFonts w:ascii="Times New Roman" w:hAnsi="Times New Roman"/>
          <w:sz w:val="24"/>
        </w:rPr>
        <w:t xml:space="preserve"> ROR as the basis for the Earnings Test, </w:t>
      </w:r>
      <w:r w:rsidR="00F51BCB">
        <w:rPr>
          <w:rFonts w:ascii="Times New Roman" w:hAnsi="Times New Roman"/>
          <w:sz w:val="24"/>
        </w:rPr>
        <w:t xml:space="preserve">but </w:t>
      </w:r>
      <w:r w:rsidR="00C072F3">
        <w:rPr>
          <w:rFonts w:ascii="Times New Roman" w:hAnsi="Times New Roman"/>
          <w:sz w:val="24"/>
        </w:rPr>
        <w:t>ROE could be used instead.  ICNU does not see a theoretical basis for preferring either type</w:t>
      </w:r>
      <w:r w:rsidR="00655CEC">
        <w:rPr>
          <w:rFonts w:ascii="Times New Roman" w:hAnsi="Times New Roman"/>
          <w:sz w:val="24"/>
        </w:rPr>
        <w:t xml:space="preserve"> of test but notes </w:t>
      </w:r>
      <w:r w:rsidR="002669AD">
        <w:rPr>
          <w:rFonts w:ascii="Times New Roman" w:hAnsi="Times New Roman"/>
          <w:sz w:val="24"/>
        </w:rPr>
        <w:t xml:space="preserve">that </w:t>
      </w:r>
      <w:r w:rsidR="00655CEC">
        <w:rPr>
          <w:rFonts w:ascii="Times New Roman" w:hAnsi="Times New Roman"/>
          <w:sz w:val="24"/>
        </w:rPr>
        <w:t>the ROR test</w:t>
      </w:r>
      <w:r w:rsidR="00C072F3">
        <w:rPr>
          <w:rFonts w:ascii="Times New Roman" w:hAnsi="Times New Roman"/>
          <w:sz w:val="24"/>
        </w:rPr>
        <w:t xml:space="preserve"> could have differential effects</w:t>
      </w:r>
      <w:r w:rsidR="00655CEC">
        <w:rPr>
          <w:rFonts w:ascii="Times New Roman" w:hAnsi="Times New Roman"/>
          <w:sz w:val="24"/>
        </w:rPr>
        <w:t xml:space="preserve"> on the Company’s actual realized ROE</w:t>
      </w:r>
      <w:r w:rsidR="00C072F3">
        <w:rPr>
          <w:rFonts w:ascii="Times New Roman" w:hAnsi="Times New Roman"/>
          <w:sz w:val="24"/>
        </w:rPr>
        <w:t xml:space="preserve"> under c</w:t>
      </w:r>
      <w:r w:rsidR="00655CEC">
        <w:rPr>
          <w:rFonts w:ascii="Times New Roman" w:hAnsi="Times New Roman"/>
          <w:sz w:val="24"/>
        </w:rPr>
        <w:t>hanging</w:t>
      </w:r>
      <w:r w:rsidR="00C072F3">
        <w:rPr>
          <w:rFonts w:ascii="Times New Roman" w:hAnsi="Times New Roman"/>
          <w:sz w:val="24"/>
        </w:rPr>
        <w:t xml:space="preserve"> economic conditions.  For example, i</w:t>
      </w:r>
      <w:r w:rsidR="00C072F3" w:rsidRPr="00C072F3">
        <w:rPr>
          <w:rFonts w:ascii="Times New Roman" w:hAnsi="Times New Roman"/>
          <w:sz w:val="24"/>
        </w:rPr>
        <w:t xml:space="preserve">n periods of </w:t>
      </w:r>
      <w:r w:rsidR="00655CEC">
        <w:rPr>
          <w:rFonts w:ascii="Times New Roman" w:hAnsi="Times New Roman"/>
          <w:sz w:val="24"/>
        </w:rPr>
        <w:t>declining</w:t>
      </w:r>
      <w:r w:rsidR="00C072F3" w:rsidRPr="00C072F3">
        <w:rPr>
          <w:rFonts w:ascii="Times New Roman" w:hAnsi="Times New Roman"/>
          <w:sz w:val="24"/>
        </w:rPr>
        <w:t xml:space="preserve"> debt costs, an overall </w:t>
      </w:r>
      <w:proofErr w:type="spellStart"/>
      <w:r w:rsidR="00C072F3" w:rsidRPr="00C072F3">
        <w:rPr>
          <w:rFonts w:ascii="Times New Roman" w:hAnsi="Times New Roman"/>
          <w:sz w:val="24"/>
        </w:rPr>
        <w:t>ROR</w:t>
      </w:r>
      <w:proofErr w:type="spellEnd"/>
      <w:r w:rsidR="00C072F3" w:rsidRPr="00C072F3">
        <w:rPr>
          <w:rFonts w:ascii="Times New Roman" w:hAnsi="Times New Roman"/>
          <w:sz w:val="24"/>
        </w:rPr>
        <w:t xml:space="preserve"> earning</w:t>
      </w:r>
      <w:r w:rsidR="00422DCB">
        <w:rPr>
          <w:rFonts w:ascii="Times New Roman" w:hAnsi="Times New Roman"/>
          <w:sz w:val="24"/>
        </w:rPr>
        <w:t>s</w:t>
      </w:r>
      <w:r w:rsidR="00C072F3" w:rsidRPr="00C072F3">
        <w:rPr>
          <w:rFonts w:ascii="Times New Roman" w:hAnsi="Times New Roman"/>
          <w:sz w:val="24"/>
        </w:rPr>
        <w:t xml:space="preserve"> test would allow a utility to earn a higher ROE.  Conversely, in </w:t>
      </w:r>
      <w:r w:rsidR="00C072F3" w:rsidRPr="00C072F3">
        <w:rPr>
          <w:rFonts w:ascii="Times New Roman" w:hAnsi="Times New Roman"/>
          <w:sz w:val="24"/>
        </w:rPr>
        <w:lastRenderedPageBreak/>
        <w:t>periods of rising debt costs, an ROR earnings test would lower the ROE.</w:t>
      </w:r>
      <w:r w:rsidR="00E2264D">
        <w:rPr>
          <w:rFonts w:ascii="Times New Roman" w:hAnsi="Times New Roman"/>
          <w:sz w:val="24"/>
        </w:rPr>
        <w:t xml:space="preserve">  If the Commission decides to pursue decoupling</w:t>
      </w:r>
      <w:r w:rsidR="00127584">
        <w:rPr>
          <w:rFonts w:ascii="Times New Roman" w:hAnsi="Times New Roman"/>
          <w:sz w:val="24"/>
        </w:rPr>
        <w:t>,</w:t>
      </w:r>
      <w:r w:rsidR="00E2264D">
        <w:rPr>
          <w:rFonts w:ascii="Times New Roman" w:hAnsi="Times New Roman"/>
          <w:sz w:val="24"/>
        </w:rPr>
        <w:t xml:space="preserve"> this distinction should be considered in the type of earnings test that is ultimately adopted.</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WHY IS </w:t>
      </w:r>
      <w:r w:rsidR="00BC75B4">
        <w:rPr>
          <w:rFonts w:ascii="Times New Roman" w:hAnsi="Times New Roman"/>
          <w:b/>
          <w:sz w:val="24"/>
        </w:rPr>
        <w:t>NWEC’S PROPOSAL</w:t>
      </w:r>
      <w:r w:rsidRPr="00A17730">
        <w:rPr>
          <w:rFonts w:ascii="Times New Roman" w:hAnsi="Times New Roman"/>
          <w:b/>
          <w:sz w:val="24"/>
        </w:rPr>
        <w:t xml:space="preserve"> INAPPROPRIATE?</w:t>
      </w:r>
    </w:p>
    <w:p w:rsidR="00A17730" w:rsidRPr="00A17730" w:rsidRDefault="00A17730" w:rsidP="00AB6252">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Decoupling is meant to enable a utility to recover its costs and </w:t>
      </w:r>
      <w:r w:rsidR="00AB6252">
        <w:rPr>
          <w:rFonts w:ascii="Times New Roman" w:hAnsi="Times New Roman"/>
          <w:sz w:val="24"/>
        </w:rPr>
        <w:t xml:space="preserve">have the opportunity to </w:t>
      </w:r>
      <w:r w:rsidRPr="00A17730">
        <w:rPr>
          <w:rFonts w:ascii="Times New Roman" w:hAnsi="Times New Roman"/>
          <w:sz w:val="24"/>
        </w:rPr>
        <w:t>earn the ROR that the Commission finds appropriate.  The Commission notes lost margin is only “one decrease in revenue among many decreases and increases in revenues and expenses.”</w:t>
      </w:r>
      <w:r w:rsidR="00F56593">
        <w:rPr>
          <w:rStyle w:val="FootnoteReference"/>
          <w:sz w:val="24"/>
        </w:rPr>
        <w:footnoteReference w:id="13"/>
      </w:r>
      <w:proofErr w:type="gramStart"/>
      <w:r w:rsidR="00F56593">
        <w:rPr>
          <w:rFonts w:ascii="Times New Roman" w:hAnsi="Times New Roman"/>
          <w:sz w:val="24"/>
          <w:vertAlign w:val="superscript"/>
        </w:rPr>
        <w:t>/</w:t>
      </w:r>
      <w:r w:rsidR="00F56593">
        <w:rPr>
          <w:rFonts w:ascii="Times New Roman" w:hAnsi="Times New Roman"/>
          <w:sz w:val="24"/>
        </w:rPr>
        <w:t xml:space="preserve">  </w:t>
      </w:r>
      <w:r w:rsidRPr="00A17730">
        <w:rPr>
          <w:rFonts w:ascii="Times New Roman" w:hAnsi="Times New Roman"/>
          <w:sz w:val="24"/>
        </w:rPr>
        <w:t>Thus</w:t>
      </w:r>
      <w:proofErr w:type="gramEnd"/>
      <w:r w:rsidRPr="00A17730">
        <w:rPr>
          <w:rFonts w:ascii="Times New Roman" w:hAnsi="Times New Roman"/>
          <w:sz w:val="24"/>
        </w:rPr>
        <w:t xml:space="preserve">, if a utility is able to meet the ROR set by the Commission, the matching principle is functioning properly and increases in revenue are offsetting decreases.  To allow a true-up beyond the ROR would function purely as a transfer of wealth from ratepayers to shareholders.  If a utility believes that </w:t>
      </w:r>
      <w:r w:rsidR="00E2264D">
        <w:rPr>
          <w:rFonts w:ascii="Times New Roman" w:hAnsi="Times New Roman"/>
          <w:sz w:val="24"/>
        </w:rPr>
        <w:t>it is unable to earn a fair ROR</w:t>
      </w:r>
      <w:r w:rsidRPr="00A17730">
        <w:rPr>
          <w:rFonts w:ascii="Times New Roman" w:hAnsi="Times New Roman"/>
          <w:sz w:val="24"/>
        </w:rPr>
        <w:t xml:space="preserve">, the proper way to address this is by filing </w:t>
      </w:r>
      <w:r w:rsidR="002E0037">
        <w:rPr>
          <w:rFonts w:ascii="Times New Roman" w:hAnsi="Times New Roman"/>
          <w:sz w:val="24"/>
        </w:rPr>
        <w:t xml:space="preserve">a </w:t>
      </w:r>
      <w:r w:rsidRPr="00A17730">
        <w:rPr>
          <w:rFonts w:ascii="Times New Roman" w:hAnsi="Times New Roman"/>
          <w:sz w:val="24"/>
        </w:rPr>
        <w:t>GRC.  A utility should be required to prevail in a full rate case to receive a higher ROR</w:t>
      </w:r>
      <w:r w:rsidR="00951783">
        <w:rPr>
          <w:rFonts w:ascii="Times New Roman" w:hAnsi="Times New Roman"/>
          <w:sz w:val="24"/>
        </w:rPr>
        <w:t>,</w:t>
      </w:r>
      <w:r w:rsidRPr="00A17730">
        <w:rPr>
          <w:rFonts w:ascii="Times New Roman" w:hAnsi="Times New Roman"/>
          <w:sz w:val="24"/>
        </w:rPr>
        <w:t xml:space="preserve"> rather than be allowed to increase its ROR by 25 basis points through an automatic mechanism intended to promote conservation.</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DO YOU AGREE WITH </w:t>
      </w:r>
      <w:r w:rsidR="00C63B67">
        <w:rPr>
          <w:rFonts w:ascii="Times New Roman" w:hAnsi="Times New Roman"/>
          <w:b/>
          <w:sz w:val="24"/>
        </w:rPr>
        <w:t>NWEC’S</w:t>
      </w:r>
      <w:r w:rsidRPr="00A17730">
        <w:rPr>
          <w:rFonts w:ascii="Times New Roman" w:hAnsi="Times New Roman"/>
          <w:b/>
          <w:sz w:val="24"/>
        </w:rPr>
        <w:t xml:space="preserve"> </w:t>
      </w:r>
      <w:r w:rsidR="00C63B67">
        <w:rPr>
          <w:rFonts w:ascii="Times New Roman" w:hAnsi="Times New Roman"/>
          <w:b/>
          <w:sz w:val="24"/>
        </w:rPr>
        <w:t>ASSERTION</w:t>
      </w:r>
      <w:r w:rsidRPr="00A17730">
        <w:rPr>
          <w:rFonts w:ascii="Times New Roman" w:hAnsi="Times New Roman"/>
          <w:b/>
          <w:sz w:val="24"/>
        </w:rPr>
        <w:t xml:space="preserve"> THAT FULL DECOUPLING SHOULD</w:t>
      </w:r>
      <w:r w:rsidR="00C63B67">
        <w:rPr>
          <w:rFonts w:ascii="Times New Roman" w:hAnsi="Times New Roman"/>
          <w:b/>
          <w:sz w:val="24"/>
        </w:rPr>
        <w:t xml:space="preserve"> NOT</w:t>
      </w:r>
      <w:r w:rsidRPr="00A17730">
        <w:rPr>
          <w:rFonts w:ascii="Times New Roman" w:hAnsi="Times New Roman"/>
          <w:b/>
          <w:sz w:val="24"/>
        </w:rPr>
        <w:t xml:space="preserve"> BE REFLECTED IN THE COMPANY’S ROE?</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00C63B67">
        <w:rPr>
          <w:rFonts w:ascii="Times New Roman" w:hAnsi="Times New Roman"/>
          <w:sz w:val="24"/>
        </w:rPr>
        <w:t>No</w:t>
      </w:r>
      <w:r w:rsidRPr="00A17730">
        <w:rPr>
          <w:rFonts w:ascii="Times New Roman" w:hAnsi="Times New Roman"/>
          <w:sz w:val="24"/>
        </w:rPr>
        <w:t xml:space="preserve">.  </w:t>
      </w:r>
      <w:r w:rsidR="00C63B67">
        <w:rPr>
          <w:rFonts w:ascii="Times New Roman" w:hAnsi="Times New Roman"/>
          <w:sz w:val="24"/>
        </w:rPr>
        <w:t>I recommend that if full decoupling is adopted</w:t>
      </w:r>
      <w:r w:rsidRPr="00A17730">
        <w:rPr>
          <w:rFonts w:ascii="Times New Roman" w:hAnsi="Times New Roman"/>
          <w:sz w:val="24"/>
        </w:rPr>
        <w:t>, the Commission should reflect the risk reduction by selecting an ROE at the low end of the reasonable range</w:t>
      </w:r>
      <w:r w:rsidR="0073395E">
        <w:rPr>
          <w:rFonts w:ascii="Times New Roman" w:hAnsi="Times New Roman"/>
          <w:sz w:val="24"/>
        </w:rPr>
        <w:t xml:space="preserve"> that has been established in this case</w:t>
      </w:r>
      <w:r w:rsidRPr="00A17730">
        <w:rPr>
          <w:rFonts w:ascii="Times New Roman" w:hAnsi="Times New Roman"/>
          <w:sz w:val="24"/>
        </w:rPr>
        <w:t>.</w:t>
      </w:r>
      <w:r w:rsidR="0073395E">
        <w:rPr>
          <w:rFonts w:ascii="Times New Roman" w:hAnsi="Times New Roman"/>
          <w:sz w:val="24"/>
        </w:rPr>
        <w:t xml:space="preserve"> </w:t>
      </w:r>
      <w:r w:rsidRPr="00A17730">
        <w:rPr>
          <w:rFonts w:ascii="Times New Roman" w:hAnsi="Times New Roman"/>
          <w:sz w:val="24"/>
        </w:rPr>
        <w:t xml:space="preserve"> </w:t>
      </w:r>
      <w:r w:rsidR="000528EE">
        <w:rPr>
          <w:rFonts w:ascii="Times New Roman" w:hAnsi="Times New Roman"/>
          <w:sz w:val="24"/>
        </w:rPr>
        <w:t>This of course</w:t>
      </w:r>
      <w:r w:rsidR="0073395E">
        <w:rPr>
          <w:rFonts w:ascii="Times New Roman" w:hAnsi="Times New Roman"/>
          <w:sz w:val="24"/>
        </w:rPr>
        <w:t xml:space="preserve"> will</w:t>
      </w:r>
      <w:r w:rsidR="000528EE">
        <w:rPr>
          <w:rFonts w:ascii="Times New Roman" w:hAnsi="Times New Roman"/>
          <w:sz w:val="24"/>
        </w:rPr>
        <w:t xml:space="preserve"> lower the Company’s overall authorized ROR for any given capital structure.  </w:t>
      </w:r>
      <w:r w:rsidR="002E0037">
        <w:rPr>
          <w:rFonts w:ascii="Times New Roman" w:hAnsi="Times New Roman"/>
          <w:sz w:val="24"/>
        </w:rPr>
        <w:t xml:space="preserve">The fact that the parties did not explicitly agree to an authorized </w:t>
      </w:r>
      <w:proofErr w:type="spellStart"/>
      <w:r w:rsidR="002E0037">
        <w:rPr>
          <w:rFonts w:ascii="Times New Roman" w:hAnsi="Times New Roman"/>
          <w:sz w:val="24"/>
        </w:rPr>
        <w:t>ROR</w:t>
      </w:r>
      <w:proofErr w:type="spellEnd"/>
      <w:r w:rsidR="002E0037">
        <w:rPr>
          <w:rFonts w:ascii="Times New Roman" w:hAnsi="Times New Roman"/>
          <w:sz w:val="24"/>
        </w:rPr>
        <w:t xml:space="preserve"> in the Avista settlement should not prevent the Commission from making a ROR adjustment in this case.  The Commission can estimate the revenue </w:t>
      </w:r>
      <w:r w:rsidR="002E0037">
        <w:rPr>
          <w:rFonts w:ascii="Times New Roman" w:hAnsi="Times New Roman"/>
          <w:sz w:val="24"/>
        </w:rPr>
        <w:lastRenderedPageBreak/>
        <w:t>requirement impact based on the ROR that will be used for bookkeeping purposes.</w:t>
      </w:r>
      <w:r w:rsidR="00B604DD">
        <w:rPr>
          <w:rFonts w:ascii="Times New Roman" w:hAnsi="Times New Roman"/>
          <w:sz w:val="24"/>
        </w:rPr>
        <w:t xml:space="preserve">  If the Commission believes more information regarding decoupling’s impact on </w:t>
      </w:r>
      <w:proofErr w:type="spellStart"/>
      <w:r w:rsidR="00B604DD">
        <w:rPr>
          <w:rFonts w:ascii="Times New Roman" w:hAnsi="Times New Roman"/>
          <w:sz w:val="24"/>
        </w:rPr>
        <w:t>Avista’s</w:t>
      </w:r>
      <w:proofErr w:type="spellEnd"/>
      <w:r w:rsidR="00B604DD">
        <w:rPr>
          <w:rFonts w:ascii="Times New Roman" w:hAnsi="Times New Roman"/>
          <w:sz w:val="24"/>
        </w:rPr>
        <w:t xml:space="preserve"> </w:t>
      </w:r>
      <w:proofErr w:type="spellStart"/>
      <w:r w:rsidR="00B604DD">
        <w:rPr>
          <w:rFonts w:ascii="Times New Roman" w:hAnsi="Times New Roman"/>
          <w:sz w:val="24"/>
        </w:rPr>
        <w:t>ROR</w:t>
      </w:r>
      <w:proofErr w:type="spellEnd"/>
      <w:r w:rsidR="00B604DD">
        <w:rPr>
          <w:rFonts w:ascii="Times New Roman" w:hAnsi="Times New Roman"/>
          <w:sz w:val="24"/>
        </w:rPr>
        <w:t xml:space="preserve"> is needed, then the Commission should defer consideration of decoupling until </w:t>
      </w:r>
      <w:proofErr w:type="spellStart"/>
      <w:r w:rsidR="00B604DD">
        <w:rPr>
          <w:rFonts w:ascii="Times New Roman" w:hAnsi="Times New Roman"/>
          <w:sz w:val="24"/>
        </w:rPr>
        <w:t>Avista’s</w:t>
      </w:r>
      <w:proofErr w:type="spellEnd"/>
      <w:r w:rsidR="00B604DD">
        <w:rPr>
          <w:rFonts w:ascii="Times New Roman" w:hAnsi="Times New Roman"/>
          <w:sz w:val="24"/>
        </w:rPr>
        <w:t xml:space="preserve"> next general rate case.</w:t>
      </w:r>
      <w:r w:rsidR="002E0037">
        <w:rPr>
          <w:rFonts w:ascii="Times New Roman" w:hAnsi="Times New Roman"/>
          <w:sz w:val="24"/>
        </w:rPr>
        <w:t xml:space="preserve">  </w:t>
      </w:r>
      <w:r w:rsidR="00AB6252">
        <w:rPr>
          <w:rFonts w:ascii="Times New Roman" w:hAnsi="Times New Roman"/>
          <w:sz w:val="24"/>
        </w:rPr>
        <w:t>It is commonly accepted that mitigation of revenue variability via</w:t>
      </w:r>
      <w:r w:rsidRPr="00A17730">
        <w:rPr>
          <w:rFonts w:ascii="Times New Roman" w:hAnsi="Times New Roman"/>
          <w:sz w:val="24"/>
        </w:rPr>
        <w:t xml:space="preserve"> electric decoupling changes a company’s risk profile.  In a great majority of the electric decoupling programs currently in place, the decoupled utility’s </w:t>
      </w:r>
      <w:r w:rsidR="001A649C" w:rsidRPr="00A17730">
        <w:rPr>
          <w:rFonts w:ascii="Times New Roman" w:hAnsi="Times New Roman"/>
          <w:sz w:val="24"/>
        </w:rPr>
        <w:t>RO</w:t>
      </w:r>
      <w:r w:rsidR="001A649C">
        <w:rPr>
          <w:rFonts w:ascii="Times New Roman" w:hAnsi="Times New Roman"/>
          <w:sz w:val="24"/>
        </w:rPr>
        <w:t>R</w:t>
      </w:r>
      <w:r w:rsidR="001A649C" w:rsidRPr="00A17730">
        <w:rPr>
          <w:rFonts w:ascii="Times New Roman" w:hAnsi="Times New Roman"/>
          <w:sz w:val="24"/>
        </w:rPr>
        <w:t xml:space="preserve"> </w:t>
      </w:r>
      <w:r w:rsidRPr="00A17730">
        <w:rPr>
          <w:rFonts w:ascii="Times New Roman" w:hAnsi="Times New Roman"/>
          <w:sz w:val="24"/>
        </w:rPr>
        <w:t xml:space="preserve">has been adjusted downward to reflect that </w:t>
      </w:r>
      <w:r w:rsidR="00AB6252">
        <w:rPr>
          <w:rFonts w:ascii="Times New Roman" w:hAnsi="Times New Roman"/>
          <w:sz w:val="24"/>
        </w:rPr>
        <w:t xml:space="preserve">change in </w:t>
      </w:r>
      <w:r w:rsidRPr="00A17730">
        <w:rPr>
          <w:rFonts w:ascii="Times New Roman" w:hAnsi="Times New Roman"/>
          <w:sz w:val="24"/>
        </w:rPr>
        <w:t>risk</w:t>
      </w:r>
      <w:r w:rsidR="001A649C">
        <w:rPr>
          <w:rFonts w:ascii="Times New Roman" w:hAnsi="Times New Roman"/>
          <w:sz w:val="24"/>
        </w:rPr>
        <w:t xml:space="preserve"> (either through a direct reduction to ROE or by reducing the equity component of the capital structure)</w:t>
      </w:r>
      <w:r w:rsidRPr="00A17730">
        <w:rPr>
          <w:rFonts w:ascii="Times New Roman" w:hAnsi="Times New Roman"/>
          <w:sz w:val="24"/>
        </w:rPr>
        <w:t>.</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HOW DO YOU RESPOND</w:t>
      </w:r>
      <w:r w:rsidR="0073395E">
        <w:rPr>
          <w:rFonts w:ascii="Times New Roman" w:hAnsi="Times New Roman"/>
          <w:b/>
          <w:sz w:val="24"/>
        </w:rPr>
        <w:t xml:space="preserve"> TO NWEC’S CLAIM THAT NO ADJUSTMENT I</w:t>
      </w:r>
      <w:r w:rsidR="00301D38">
        <w:rPr>
          <w:rFonts w:ascii="Times New Roman" w:hAnsi="Times New Roman"/>
          <w:b/>
          <w:sz w:val="24"/>
        </w:rPr>
        <w:t>S</w:t>
      </w:r>
      <w:r w:rsidR="0073395E">
        <w:rPr>
          <w:rFonts w:ascii="Times New Roman" w:hAnsi="Times New Roman"/>
          <w:b/>
          <w:sz w:val="24"/>
        </w:rPr>
        <w:t xml:space="preserve"> WARRANTED</w:t>
      </w:r>
      <w:r w:rsidRPr="00A17730">
        <w:rPr>
          <w:rFonts w:ascii="Times New Roman" w:hAnsi="Times New Roman"/>
          <w:b/>
          <w:sz w:val="24"/>
        </w:rPr>
        <w:t xml:space="preserve">? </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sidRPr="00A17730">
        <w:rPr>
          <w:rFonts w:ascii="Times New Roman" w:hAnsi="Times New Roman"/>
          <w:sz w:val="24"/>
        </w:rPr>
        <w:t>NWEC based its conclusion primarily on two sources that it claims demonstrate that no ROE adjustment is necessary.</w:t>
      </w:r>
      <w:r w:rsidR="00496609">
        <w:rPr>
          <w:rStyle w:val="FootnoteReference"/>
          <w:sz w:val="24"/>
        </w:rPr>
        <w:footnoteReference w:id="14"/>
      </w:r>
      <w:proofErr w:type="gramStart"/>
      <w:r w:rsidR="00496609">
        <w:rPr>
          <w:rFonts w:ascii="Times New Roman" w:hAnsi="Times New Roman"/>
          <w:sz w:val="24"/>
          <w:vertAlign w:val="superscript"/>
        </w:rPr>
        <w:t>/</w:t>
      </w:r>
      <w:r w:rsidR="00472CC2">
        <w:rPr>
          <w:rFonts w:ascii="Times New Roman" w:hAnsi="Times New Roman"/>
          <w:sz w:val="24"/>
        </w:rPr>
        <w:t xml:space="preserve">  </w:t>
      </w:r>
      <w:r w:rsidRPr="00A17730">
        <w:rPr>
          <w:rFonts w:ascii="Times New Roman" w:hAnsi="Times New Roman"/>
          <w:sz w:val="24"/>
        </w:rPr>
        <w:t>The</w:t>
      </w:r>
      <w:proofErr w:type="gramEnd"/>
      <w:r w:rsidRPr="00A17730">
        <w:rPr>
          <w:rFonts w:ascii="Times New Roman" w:hAnsi="Times New Roman"/>
          <w:sz w:val="24"/>
        </w:rPr>
        <w:t xml:space="preserve"> first is a study by the Brattle Group</w:t>
      </w:r>
      <w:r w:rsidR="008B2F02">
        <w:rPr>
          <w:rFonts w:ascii="Times New Roman" w:hAnsi="Times New Roman"/>
          <w:sz w:val="24"/>
        </w:rPr>
        <w:t>,</w:t>
      </w:r>
      <w:r w:rsidRPr="00A17730">
        <w:rPr>
          <w:rFonts w:ascii="Times New Roman" w:hAnsi="Times New Roman"/>
          <w:sz w:val="24"/>
        </w:rPr>
        <w:t xml:space="preserve"> and the second</w:t>
      </w:r>
      <w:r w:rsidR="008B2F02">
        <w:rPr>
          <w:rFonts w:ascii="Times New Roman" w:hAnsi="Times New Roman"/>
          <w:sz w:val="24"/>
        </w:rPr>
        <w:t xml:space="preserve"> is</w:t>
      </w:r>
      <w:r w:rsidRPr="00A17730">
        <w:rPr>
          <w:rFonts w:ascii="Times New Roman" w:hAnsi="Times New Roman"/>
          <w:sz w:val="24"/>
        </w:rPr>
        <w:t xml:space="preserve"> a white paper by the Regulatory Assistance Project (“RAP”).  The study by the Brattle Group is completely inapplicable to electric decoupling and should not be relied on in this proceeding.  Ironically, the RAP white paper cited by NWEC addresses and debunks the usefulness of the Brattle Study.  Further, the RAP white paper does not conclude that</w:t>
      </w:r>
      <w:r w:rsidR="002E0037">
        <w:rPr>
          <w:rFonts w:ascii="Times New Roman" w:hAnsi="Times New Roman"/>
          <w:sz w:val="24"/>
        </w:rPr>
        <w:t xml:space="preserve"> no ROE adjustment is necessary, and</w:t>
      </w:r>
      <w:r w:rsidRPr="00A17730">
        <w:rPr>
          <w:rFonts w:ascii="Times New Roman" w:hAnsi="Times New Roman"/>
          <w:sz w:val="24"/>
        </w:rPr>
        <w:t xml:space="preserve"> the section cited to by NWEC primarily considers what type of ROE adjustment is proper when full decoupling is adopted.</w:t>
      </w:r>
    </w:p>
    <w:p w:rsidR="00A17730" w:rsidRPr="00A17730" w:rsidRDefault="00A17730" w:rsidP="0073395E">
      <w:pPr>
        <w:keepNext/>
        <w:keepLines/>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PLEASE ELABORATE.</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sidRPr="00A17730">
        <w:rPr>
          <w:rFonts w:ascii="Times New Roman" w:hAnsi="Times New Roman"/>
          <w:sz w:val="24"/>
        </w:rPr>
        <w:t xml:space="preserve">The Brattle Study relies exclusively on data drawn from gas utilities but tries to apply its findings to all types of utilities and all types of decoupling.  As an example, Brattle </w:t>
      </w:r>
      <w:r w:rsidRPr="00A17730">
        <w:rPr>
          <w:rFonts w:ascii="Times New Roman" w:hAnsi="Times New Roman"/>
          <w:sz w:val="24"/>
        </w:rPr>
        <w:lastRenderedPageBreak/>
        <w:t>claims that only a minority of jurisdictions have adjusted ROE to reflect decoupling.</w:t>
      </w:r>
      <w:r w:rsidR="00C142E4">
        <w:rPr>
          <w:rStyle w:val="FootnoteReference"/>
          <w:sz w:val="24"/>
        </w:rPr>
        <w:footnoteReference w:id="15"/>
      </w:r>
      <w:r w:rsidR="00C142E4">
        <w:rPr>
          <w:rFonts w:ascii="Times New Roman" w:hAnsi="Times New Roman"/>
          <w:sz w:val="24"/>
          <w:vertAlign w:val="superscript"/>
        </w:rPr>
        <w:t>/</w:t>
      </w:r>
      <w:r w:rsidRPr="00A17730">
        <w:rPr>
          <w:rFonts w:ascii="Times New Roman" w:hAnsi="Times New Roman"/>
          <w:sz w:val="24"/>
        </w:rPr>
        <w:t xml:space="preserve">  This may be true for the study’s sample group, which overwhelmingly consists of limited decoupling and straight-fixed-variable rate design (arguably not decoupling at all), but my review of electric decoupling cases currently in operation suggests that an overwhelming majority of Commissions approving full decoupling for electric utilities have had made downward ROE adjustments.</w:t>
      </w:r>
      <w:r w:rsidR="00D56C1D">
        <w:rPr>
          <w:rStyle w:val="FootnoteReference"/>
          <w:sz w:val="24"/>
        </w:rPr>
        <w:footnoteReference w:id="16"/>
      </w:r>
      <w:r w:rsidR="00D56C1D">
        <w:rPr>
          <w:rFonts w:ascii="Times New Roman" w:hAnsi="Times New Roman"/>
          <w:sz w:val="24"/>
          <w:vertAlign w:val="superscript"/>
        </w:rPr>
        <w:t>/</w:t>
      </w:r>
      <w:r w:rsidRPr="00A17730">
        <w:rPr>
          <w:rFonts w:ascii="Times New Roman" w:hAnsi="Times New Roman"/>
          <w:sz w:val="24"/>
        </w:rPr>
        <w:t xml:space="preserve">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 xml:space="preserve">The </w:t>
      </w:r>
      <w:r w:rsidR="003D0821">
        <w:rPr>
          <w:rFonts w:ascii="Times New Roman" w:hAnsi="Times New Roman"/>
          <w:sz w:val="24"/>
        </w:rPr>
        <w:t>Brattle Study</w:t>
      </w:r>
      <w:r w:rsidRPr="00A17730">
        <w:rPr>
          <w:rFonts w:ascii="Times New Roman" w:hAnsi="Times New Roman"/>
          <w:sz w:val="24"/>
        </w:rPr>
        <w:t xml:space="preserve"> was conducted exclusively on an entirely separate industry.  There is no reason assume that electric companies, facing </w:t>
      </w:r>
      <w:r w:rsidR="004D04B8">
        <w:rPr>
          <w:rFonts w:ascii="Times New Roman" w:hAnsi="Times New Roman"/>
          <w:sz w:val="24"/>
        </w:rPr>
        <w:t xml:space="preserve">operating profiles and therefore </w:t>
      </w:r>
      <w:r w:rsidRPr="00A17730">
        <w:rPr>
          <w:rFonts w:ascii="Times New Roman" w:hAnsi="Times New Roman"/>
          <w:sz w:val="24"/>
        </w:rPr>
        <w:t>risks</w:t>
      </w:r>
      <w:r w:rsidR="00D5069C" w:rsidRPr="00D5069C">
        <w:rPr>
          <w:rFonts w:ascii="Times New Roman" w:hAnsi="Times New Roman"/>
          <w:sz w:val="24"/>
        </w:rPr>
        <w:t xml:space="preserve"> </w:t>
      </w:r>
      <w:r w:rsidR="00D5069C" w:rsidRPr="00A17730">
        <w:rPr>
          <w:rFonts w:ascii="Times New Roman" w:hAnsi="Times New Roman"/>
          <w:sz w:val="24"/>
        </w:rPr>
        <w:t>different</w:t>
      </w:r>
      <w:r w:rsidRPr="00A17730">
        <w:rPr>
          <w:rFonts w:ascii="Times New Roman" w:hAnsi="Times New Roman"/>
          <w:sz w:val="24"/>
        </w:rPr>
        <w:t xml:space="preserve"> </w:t>
      </w:r>
      <w:r w:rsidR="00D5069C">
        <w:rPr>
          <w:rFonts w:ascii="Times New Roman" w:hAnsi="Times New Roman"/>
          <w:sz w:val="24"/>
        </w:rPr>
        <w:t>from</w:t>
      </w:r>
      <w:r w:rsidR="00D5069C" w:rsidRPr="00A17730">
        <w:rPr>
          <w:rFonts w:ascii="Times New Roman" w:hAnsi="Times New Roman"/>
          <w:sz w:val="24"/>
        </w:rPr>
        <w:t xml:space="preserve"> </w:t>
      </w:r>
      <w:r w:rsidRPr="00A17730">
        <w:rPr>
          <w:rFonts w:ascii="Times New Roman" w:hAnsi="Times New Roman"/>
          <w:sz w:val="24"/>
        </w:rPr>
        <w:t xml:space="preserve">gas companies, would have identical risk profiles.  Second, and more importantly, </w:t>
      </w:r>
      <w:r w:rsidR="003D0821">
        <w:rPr>
          <w:rFonts w:ascii="Times New Roman" w:hAnsi="Times New Roman"/>
          <w:sz w:val="24"/>
        </w:rPr>
        <w:t xml:space="preserve">the </w:t>
      </w:r>
      <w:r w:rsidRPr="00A17730">
        <w:rPr>
          <w:rFonts w:ascii="Times New Roman" w:hAnsi="Times New Roman"/>
          <w:sz w:val="24"/>
        </w:rPr>
        <w:t xml:space="preserve">Brattle Study is </w:t>
      </w:r>
      <w:r w:rsidR="00AB6252">
        <w:rPr>
          <w:rFonts w:ascii="Times New Roman" w:hAnsi="Times New Roman"/>
          <w:sz w:val="24"/>
        </w:rPr>
        <w:t>not applicable</w:t>
      </w:r>
      <w:r w:rsidRPr="00A17730">
        <w:rPr>
          <w:rFonts w:ascii="Times New Roman" w:hAnsi="Times New Roman"/>
          <w:sz w:val="24"/>
        </w:rPr>
        <w:t xml:space="preserve"> to full-decoupling because full decoupling eliminates risk from any revenue reduction rather than limiting recovery to conservation-specific losses.</w:t>
      </w:r>
    </w:p>
    <w:p w:rsidR="00A17730" w:rsidRPr="00A17730" w:rsidRDefault="00A17730" w:rsidP="00FE6860">
      <w:pPr>
        <w:spacing w:line="480" w:lineRule="auto"/>
        <w:ind w:left="720" w:firstLine="720"/>
        <w:rPr>
          <w:rFonts w:ascii="Times New Roman" w:hAnsi="Times New Roman"/>
          <w:sz w:val="24"/>
        </w:rPr>
      </w:pPr>
      <w:r w:rsidRPr="00A17730">
        <w:rPr>
          <w:rFonts w:ascii="Times New Roman" w:hAnsi="Times New Roman"/>
          <w:sz w:val="24"/>
        </w:rPr>
        <w:t>The RAP report cited by NWEC states that the Brattle Study “focused on only one approach to measure the cost of capital . . . [and] did not consider the reduction in systematic risk . . . .”</w:t>
      </w:r>
      <w:r w:rsidR="00265C5A">
        <w:rPr>
          <w:rStyle w:val="FootnoteReference"/>
          <w:sz w:val="24"/>
        </w:rPr>
        <w:footnoteReference w:id="17"/>
      </w:r>
      <w:proofErr w:type="gramStart"/>
      <w:r w:rsidR="00265C5A">
        <w:rPr>
          <w:rFonts w:ascii="Times New Roman" w:hAnsi="Times New Roman"/>
          <w:sz w:val="24"/>
          <w:vertAlign w:val="superscript"/>
        </w:rPr>
        <w:t>/</w:t>
      </w:r>
      <w:r w:rsidRPr="00A17730">
        <w:rPr>
          <w:rFonts w:ascii="Times New Roman" w:hAnsi="Times New Roman"/>
          <w:sz w:val="24"/>
        </w:rPr>
        <w:t xml:space="preserve">  The</w:t>
      </w:r>
      <w:proofErr w:type="gramEnd"/>
      <w:r w:rsidRPr="00A17730">
        <w:rPr>
          <w:rFonts w:ascii="Times New Roman" w:hAnsi="Times New Roman"/>
          <w:sz w:val="24"/>
        </w:rPr>
        <w:t xml:space="preserve"> paper explains that decoupling “will reduce systematic risk (reduced earnings volatility due to economic cycles) because sales variations in business cycles do not affect earnings under decoupling.”</w:t>
      </w:r>
      <w:r w:rsidR="00984925">
        <w:rPr>
          <w:rStyle w:val="FootnoteReference"/>
          <w:sz w:val="24"/>
        </w:rPr>
        <w:footnoteReference w:id="18"/>
      </w:r>
      <w:proofErr w:type="gramStart"/>
      <w:r w:rsidR="00984925">
        <w:rPr>
          <w:rFonts w:ascii="Times New Roman" w:hAnsi="Times New Roman"/>
          <w:sz w:val="24"/>
          <w:vertAlign w:val="superscript"/>
        </w:rPr>
        <w:t>/</w:t>
      </w:r>
      <w:r w:rsidRPr="00A17730">
        <w:rPr>
          <w:rFonts w:ascii="Times New Roman" w:hAnsi="Times New Roman"/>
          <w:sz w:val="24"/>
        </w:rPr>
        <w:t xml:space="preserve">  Thus</w:t>
      </w:r>
      <w:proofErr w:type="gramEnd"/>
      <w:r w:rsidRPr="00A17730">
        <w:rPr>
          <w:rFonts w:ascii="Times New Roman" w:hAnsi="Times New Roman"/>
          <w:sz w:val="24"/>
        </w:rPr>
        <w:t xml:space="preserve">, RAP concludes that the Brattle Study, focused on limited decoupling, does not even consider the primary risk reduction effect of full decoupling, </w:t>
      </w:r>
      <w:r w:rsidR="00FE6860">
        <w:rPr>
          <w:rFonts w:ascii="Times New Roman" w:hAnsi="Times New Roman"/>
          <w:sz w:val="24"/>
        </w:rPr>
        <w:t>and based on this flaw</w:t>
      </w:r>
      <w:r w:rsidRPr="00A17730">
        <w:rPr>
          <w:rFonts w:ascii="Times New Roman" w:hAnsi="Times New Roman"/>
          <w:sz w:val="24"/>
        </w:rPr>
        <w:t xml:space="preserve">, RAP finds the study unconvincing and recommends adjustments to a decoupled utility’s </w:t>
      </w:r>
      <w:r w:rsidR="000528EE" w:rsidRPr="00A17730">
        <w:rPr>
          <w:rFonts w:ascii="Times New Roman" w:hAnsi="Times New Roman"/>
          <w:sz w:val="24"/>
        </w:rPr>
        <w:t>RO</w:t>
      </w:r>
      <w:r w:rsidR="000528EE">
        <w:rPr>
          <w:rFonts w:ascii="Times New Roman" w:hAnsi="Times New Roman"/>
          <w:sz w:val="24"/>
        </w:rPr>
        <w:t>E</w:t>
      </w:r>
      <w:r w:rsidR="0067156E">
        <w:rPr>
          <w:rFonts w:ascii="Times New Roman" w:hAnsi="Times New Roman"/>
          <w:sz w:val="24"/>
        </w:rPr>
        <w:t xml:space="preserve"> or capital structure</w:t>
      </w:r>
      <w:r w:rsidRPr="00A17730">
        <w:rPr>
          <w:rFonts w:ascii="Times New Roman" w:hAnsi="Times New Roman"/>
          <w:sz w:val="24"/>
        </w:rPr>
        <w:t>.</w:t>
      </w:r>
    </w:p>
    <w:p w:rsidR="00A17730" w:rsidRPr="00FE6860" w:rsidRDefault="00FE6860" w:rsidP="00705879">
      <w:pPr>
        <w:spacing w:after="240"/>
        <w:ind w:left="720" w:hanging="720"/>
        <w:rPr>
          <w:rFonts w:ascii="Times New Roman" w:hAnsi="Times New Roman"/>
          <w:b/>
          <w:sz w:val="24"/>
        </w:rPr>
      </w:pPr>
      <w:r w:rsidRPr="00FE6860">
        <w:rPr>
          <w:rFonts w:ascii="Times New Roman" w:hAnsi="Times New Roman"/>
          <w:b/>
          <w:sz w:val="24"/>
        </w:rPr>
        <w:lastRenderedPageBreak/>
        <w:t>Q.</w:t>
      </w:r>
      <w:r w:rsidRPr="00FE6860">
        <w:rPr>
          <w:rFonts w:ascii="Times New Roman" w:hAnsi="Times New Roman"/>
          <w:b/>
          <w:sz w:val="24"/>
        </w:rPr>
        <w:tab/>
      </w:r>
      <w:r w:rsidR="00A17730" w:rsidRPr="00FE6860">
        <w:rPr>
          <w:rFonts w:ascii="Times New Roman" w:hAnsi="Times New Roman"/>
          <w:b/>
          <w:sz w:val="24"/>
        </w:rPr>
        <w:t>WHAT DOES THE RAP REPORT SUGGEST REGARDING RISK REDUCTION?</w:t>
      </w:r>
    </w:p>
    <w:p w:rsidR="00A17730" w:rsidRPr="00A17730" w:rsidRDefault="00FE6860" w:rsidP="00FE6860">
      <w:pPr>
        <w:spacing w:line="480" w:lineRule="auto"/>
        <w:ind w:left="720" w:hanging="720"/>
        <w:rPr>
          <w:rFonts w:ascii="Times New Roman" w:hAnsi="Times New Roman"/>
          <w:sz w:val="24"/>
        </w:rPr>
      </w:pPr>
      <w:r w:rsidRPr="00FE6860">
        <w:rPr>
          <w:rFonts w:ascii="Times New Roman" w:hAnsi="Times New Roman"/>
          <w:b/>
          <w:sz w:val="24"/>
        </w:rPr>
        <w:t>A.</w:t>
      </w:r>
      <w:r>
        <w:rPr>
          <w:rFonts w:ascii="Times New Roman" w:hAnsi="Times New Roman"/>
          <w:sz w:val="24"/>
        </w:rPr>
        <w:tab/>
        <w:t xml:space="preserve">The </w:t>
      </w:r>
      <w:r w:rsidR="00A17730" w:rsidRPr="00A17730">
        <w:rPr>
          <w:rFonts w:ascii="Times New Roman" w:hAnsi="Times New Roman"/>
          <w:sz w:val="24"/>
        </w:rPr>
        <w:t>RAP</w:t>
      </w:r>
      <w:r>
        <w:rPr>
          <w:rFonts w:ascii="Times New Roman" w:hAnsi="Times New Roman"/>
          <w:sz w:val="24"/>
        </w:rPr>
        <w:t xml:space="preserve"> report</w:t>
      </w:r>
      <w:r w:rsidR="00A17730" w:rsidRPr="00A17730">
        <w:rPr>
          <w:rFonts w:ascii="Times New Roman" w:hAnsi="Times New Roman"/>
          <w:sz w:val="24"/>
        </w:rPr>
        <w:t xml:space="preserve"> </w:t>
      </w:r>
      <w:r w:rsidR="004A723E">
        <w:rPr>
          <w:rFonts w:ascii="Times New Roman" w:hAnsi="Times New Roman"/>
          <w:sz w:val="24"/>
        </w:rPr>
        <w:t>reaches precisely the opposite conclusion th</w:t>
      </w:r>
      <w:r w:rsidR="007E30E6">
        <w:rPr>
          <w:rFonts w:ascii="Times New Roman" w:hAnsi="Times New Roman"/>
          <w:sz w:val="24"/>
        </w:rPr>
        <w:t>a</w:t>
      </w:r>
      <w:r w:rsidR="0077400B">
        <w:rPr>
          <w:rFonts w:ascii="Times New Roman" w:hAnsi="Times New Roman"/>
          <w:sz w:val="24"/>
        </w:rPr>
        <w:t>n</w:t>
      </w:r>
      <w:r w:rsidR="004A723E">
        <w:rPr>
          <w:rFonts w:ascii="Times New Roman" w:hAnsi="Times New Roman"/>
          <w:sz w:val="24"/>
        </w:rPr>
        <w:t xml:space="preserve"> </w:t>
      </w:r>
      <w:proofErr w:type="spellStart"/>
      <w:r w:rsidR="004A723E">
        <w:rPr>
          <w:rFonts w:ascii="Times New Roman" w:hAnsi="Times New Roman"/>
          <w:sz w:val="24"/>
        </w:rPr>
        <w:t>NWEC</w:t>
      </w:r>
      <w:proofErr w:type="spellEnd"/>
      <w:r w:rsidR="004A723E">
        <w:rPr>
          <w:rFonts w:ascii="Times New Roman" w:hAnsi="Times New Roman"/>
          <w:sz w:val="24"/>
        </w:rPr>
        <w:t xml:space="preserve"> does.  It </w:t>
      </w:r>
      <w:r w:rsidR="00A17730" w:rsidRPr="00A17730">
        <w:rPr>
          <w:rFonts w:ascii="Times New Roman" w:hAnsi="Times New Roman"/>
          <w:sz w:val="24"/>
        </w:rPr>
        <w:t>notes that it would be unfair to shift market risk away from the utility and force customers to wait until the bond market reflects the change in market risk.  This is because the lag to a bond market upgrade can be years, or even a decade.  If customers must wait for the bond market to respond to decoupling, savings for customers will be phased in slowly over many years while the benefits of guaranteed revenue for the Company and assured dividends for the shareholders accrue immediately.  Thus, RAP states that a regulator should recognize the reduction in business risk either by an R</w:t>
      </w:r>
      <w:r w:rsidR="003F22E8">
        <w:rPr>
          <w:rFonts w:ascii="Times New Roman" w:hAnsi="Times New Roman"/>
          <w:sz w:val="24"/>
        </w:rPr>
        <w:t>OE reduction or by lowering the</w:t>
      </w:r>
      <w:r w:rsidR="00A17730" w:rsidRPr="00A17730">
        <w:rPr>
          <w:rFonts w:ascii="Times New Roman" w:hAnsi="Times New Roman"/>
          <w:sz w:val="24"/>
        </w:rPr>
        <w:t xml:space="preserve"> equity component</w:t>
      </w:r>
      <w:r w:rsidR="003F22E8">
        <w:rPr>
          <w:rFonts w:ascii="Times New Roman" w:hAnsi="Times New Roman"/>
          <w:sz w:val="24"/>
        </w:rPr>
        <w:t xml:space="preserve"> of the utility’s capital structure</w:t>
      </w:r>
      <w:r w:rsidR="007E30E6">
        <w:rPr>
          <w:rFonts w:ascii="Times New Roman" w:hAnsi="Times New Roman"/>
          <w:sz w:val="24"/>
        </w:rPr>
        <w:t>,</w:t>
      </w:r>
      <w:r w:rsidR="0067156E">
        <w:rPr>
          <w:rFonts w:ascii="Times New Roman" w:hAnsi="Times New Roman"/>
          <w:sz w:val="24"/>
        </w:rPr>
        <w:t xml:space="preserve"> and the principle reason for such an adjustment is “so that it can be implemented concurrently with the imposition of the risk mitigation</w:t>
      </w:r>
      <w:r w:rsidR="00A17730" w:rsidRPr="00A17730">
        <w:rPr>
          <w:rFonts w:ascii="Times New Roman" w:hAnsi="Times New Roman"/>
          <w:sz w:val="24"/>
        </w:rPr>
        <w:t>.</w:t>
      </w:r>
      <w:r w:rsidR="0067156E">
        <w:rPr>
          <w:rFonts w:ascii="Times New Roman" w:hAnsi="Times New Roman"/>
          <w:sz w:val="24"/>
        </w:rPr>
        <w:t>”</w:t>
      </w:r>
      <w:r w:rsidR="00024DC3">
        <w:rPr>
          <w:rStyle w:val="FootnoteReference"/>
          <w:sz w:val="24"/>
        </w:rPr>
        <w:footnoteReference w:id="19"/>
      </w:r>
      <w:proofErr w:type="gramStart"/>
      <w:r w:rsidR="00024DC3">
        <w:rPr>
          <w:rFonts w:ascii="Times New Roman" w:hAnsi="Times New Roman"/>
          <w:sz w:val="24"/>
          <w:vertAlign w:val="superscript"/>
        </w:rPr>
        <w:t>/</w:t>
      </w:r>
      <w:r w:rsidR="00024DC3">
        <w:rPr>
          <w:rFonts w:ascii="Times New Roman" w:hAnsi="Times New Roman"/>
          <w:sz w:val="24"/>
        </w:rPr>
        <w:t xml:space="preserve">  </w:t>
      </w:r>
      <w:r w:rsidR="00A17730" w:rsidRPr="00A17730">
        <w:rPr>
          <w:rFonts w:ascii="Times New Roman" w:hAnsi="Times New Roman"/>
          <w:sz w:val="24"/>
        </w:rPr>
        <w:t>RAP</w:t>
      </w:r>
      <w:proofErr w:type="gramEnd"/>
      <w:r w:rsidR="00A17730" w:rsidRPr="00A17730">
        <w:rPr>
          <w:rFonts w:ascii="Times New Roman" w:hAnsi="Times New Roman"/>
          <w:sz w:val="24"/>
        </w:rPr>
        <w:t xml:space="preserve"> prefers the latter method, but Commissions in most jurisdictions I have examined have chosen the former.</w:t>
      </w:r>
      <w:r w:rsidR="0067156E">
        <w:rPr>
          <w:rFonts w:ascii="Times New Roman" w:hAnsi="Times New Roman"/>
          <w:sz w:val="24"/>
        </w:rPr>
        <w:t xml:space="preserve">  In either case, RAP’s recommendation is precisely the opposite of NWEC’s wait-and-see approach.</w:t>
      </w:r>
    </w:p>
    <w:p w:rsidR="00A17730" w:rsidRPr="00FE6860" w:rsidRDefault="00FE6860" w:rsidP="00A17730">
      <w:pPr>
        <w:spacing w:line="480" w:lineRule="auto"/>
        <w:rPr>
          <w:rFonts w:ascii="Times New Roman" w:hAnsi="Times New Roman"/>
          <w:b/>
          <w:sz w:val="24"/>
        </w:rPr>
      </w:pPr>
      <w:r w:rsidRPr="00FE6860">
        <w:rPr>
          <w:rFonts w:ascii="Times New Roman" w:hAnsi="Times New Roman"/>
          <w:b/>
          <w:sz w:val="24"/>
        </w:rPr>
        <w:t>Q.</w:t>
      </w:r>
      <w:r w:rsidRPr="00FE6860">
        <w:rPr>
          <w:rFonts w:ascii="Times New Roman" w:hAnsi="Times New Roman"/>
          <w:b/>
          <w:sz w:val="24"/>
        </w:rPr>
        <w:tab/>
      </w:r>
      <w:r w:rsidR="00A17730" w:rsidRPr="00FE6860">
        <w:rPr>
          <w:rFonts w:ascii="Times New Roman" w:hAnsi="Times New Roman"/>
          <w:b/>
          <w:sz w:val="24"/>
        </w:rPr>
        <w:t xml:space="preserve">WHAT IS </w:t>
      </w:r>
      <w:r w:rsidRPr="00FE6860">
        <w:rPr>
          <w:rFonts w:ascii="Times New Roman" w:hAnsi="Times New Roman"/>
          <w:b/>
          <w:sz w:val="24"/>
        </w:rPr>
        <w:t>ICNU’S</w:t>
      </w:r>
      <w:r w:rsidR="00A17730" w:rsidRPr="00FE6860">
        <w:rPr>
          <w:rFonts w:ascii="Times New Roman" w:hAnsi="Times New Roman"/>
          <w:b/>
          <w:sz w:val="24"/>
        </w:rPr>
        <w:t xml:space="preserve"> RECOMMENDATION?</w:t>
      </w:r>
    </w:p>
    <w:p w:rsidR="00A17730" w:rsidRDefault="00FE6860" w:rsidP="004A723E">
      <w:pPr>
        <w:spacing w:line="480" w:lineRule="auto"/>
        <w:ind w:left="720" w:hanging="720"/>
        <w:rPr>
          <w:rFonts w:ascii="Times New Roman" w:hAnsi="Times New Roman"/>
          <w:sz w:val="24"/>
        </w:rPr>
      </w:pPr>
      <w:r w:rsidRPr="00FE6860">
        <w:rPr>
          <w:rFonts w:ascii="Times New Roman" w:hAnsi="Times New Roman"/>
          <w:b/>
          <w:sz w:val="24"/>
        </w:rPr>
        <w:t>A.</w:t>
      </w:r>
      <w:r>
        <w:rPr>
          <w:rFonts w:ascii="Times New Roman" w:hAnsi="Times New Roman"/>
          <w:sz w:val="24"/>
        </w:rPr>
        <w:tab/>
      </w:r>
      <w:r w:rsidR="00A17730" w:rsidRPr="00A17730">
        <w:rPr>
          <w:rFonts w:ascii="Times New Roman" w:hAnsi="Times New Roman"/>
          <w:sz w:val="24"/>
        </w:rPr>
        <w:t xml:space="preserve">Exhibit </w:t>
      </w:r>
      <w:r>
        <w:rPr>
          <w:rFonts w:ascii="Times New Roman" w:hAnsi="Times New Roman"/>
          <w:sz w:val="24"/>
        </w:rPr>
        <w:t xml:space="preserve">No. </w:t>
      </w:r>
      <w:r w:rsidR="00A17730" w:rsidRPr="00531251">
        <w:rPr>
          <w:rFonts w:ascii="Times New Roman" w:hAnsi="Times New Roman"/>
          <w:sz w:val="24"/>
        </w:rPr>
        <w:t>___</w:t>
      </w:r>
      <w:r w:rsidRPr="00531251">
        <w:rPr>
          <w:rFonts w:ascii="Times New Roman" w:hAnsi="Times New Roman"/>
          <w:sz w:val="24"/>
        </w:rPr>
        <w:t xml:space="preserve"> (MCD-</w:t>
      </w:r>
      <w:r w:rsidR="00362867">
        <w:rPr>
          <w:rFonts w:ascii="Times New Roman" w:hAnsi="Times New Roman"/>
          <w:sz w:val="24"/>
        </w:rPr>
        <w:t>3</w:t>
      </w:r>
      <w:r w:rsidRPr="00531251">
        <w:rPr>
          <w:rFonts w:ascii="Times New Roman" w:hAnsi="Times New Roman"/>
          <w:sz w:val="24"/>
        </w:rPr>
        <w:t>)</w:t>
      </w:r>
      <w:r w:rsidR="00A17730" w:rsidRPr="00A17730">
        <w:rPr>
          <w:rFonts w:ascii="Times New Roman" w:hAnsi="Times New Roman"/>
          <w:sz w:val="24"/>
        </w:rPr>
        <w:t xml:space="preserve"> shows that of 16 currently active </w:t>
      </w:r>
      <w:r w:rsidR="00655CEC">
        <w:rPr>
          <w:rFonts w:ascii="Times New Roman" w:hAnsi="Times New Roman"/>
          <w:sz w:val="24"/>
        </w:rPr>
        <w:t xml:space="preserve">decoupling </w:t>
      </w:r>
      <w:r w:rsidR="00A17730" w:rsidRPr="00A17730">
        <w:rPr>
          <w:rFonts w:ascii="Times New Roman" w:hAnsi="Times New Roman"/>
          <w:sz w:val="24"/>
        </w:rPr>
        <w:t xml:space="preserve">programs that I have examined, 11 were adopted in conjunction with an ROE adjustment.  While most of these reductions were a specified number of basis points, the </w:t>
      </w:r>
      <w:r w:rsidR="004A723E" w:rsidRPr="00A17730">
        <w:rPr>
          <w:rFonts w:ascii="Times New Roman" w:hAnsi="Times New Roman"/>
          <w:sz w:val="24"/>
        </w:rPr>
        <w:t xml:space="preserve">most appropriate response to any potential decoupling </w:t>
      </w:r>
      <w:r w:rsidR="004A723E">
        <w:rPr>
          <w:rFonts w:ascii="Times New Roman" w:hAnsi="Times New Roman"/>
          <w:sz w:val="24"/>
        </w:rPr>
        <w:t xml:space="preserve">in this case </w:t>
      </w:r>
      <w:r w:rsidR="004A723E" w:rsidRPr="00A17730">
        <w:rPr>
          <w:rFonts w:ascii="Times New Roman" w:hAnsi="Times New Roman"/>
          <w:sz w:val="24"/>
        </w:rPr>
        <w:t>is to select an ROE at the low end of the range the Commission finds reasonable, rather than at the midpoint.</w:t>
      </w:r>
      <w:r w:rsidR="004A723E">
        <w:rPr>
          <w:rFonts w:ascii="Times New Roman" w:hAnsi="Times New Roman"/>
          <w:sz w:val="24"/>
        </w:rPr>
        <w:t xml:space="preserve">  </w:t>
      </w:r>
      <w:r w:rsidR="00A17730" w:rsidRPr="00A17730">
        <w:rPr>
          <w:rFonts w:ascii="Times New Roman" w:hAnsi="Times New Roman"/>
          <w:sz w:val="24"/>
        </w:rPr>
        <w:t>I</w:t>
      </w:r>
      <w:r>
        <w:rPr>
          <w:rFonts w:ascii="Times New Roman" w:hAnsi="Times New Roman"/>
          <w:sz w:val="24"/>
        </w:rPr>
        <w:t xml:space="preserve">CNU </w:t>
      </w:r>
      <w:r w:rsidR="00A17730" w:rsidRPr="00A17730">
        <w:rPr>
          <w:rFonts w:ascii="Times New Roman" w:hAnsi="Times New Roman"/>
          <w:sz w:val="24"/>
        </w:rPr>
        <w:t>agree</w:t>
      </w:r>
      <w:r>
        <w:rPr>
          <w:rFonts w:ascii="Times New Roman" w:hAnsi="Times New Roman"/>
          <w:sz w:val="24"/>
        </w:rPr>
        <w:t xml:space="preserve">s with the </w:t>
      </w:r>
      <w:r w:rsidR="00455516">
        <w:rPr>
          <w:rFonts w:ascii="Times New Roman" w:hAnsi="Times New Roman"/>
          <w:sz w:val="24"/>
        </w:rPr>
        <w:t>Commission’s</w:t>
      </w:r>
      <w:r w:rsidR="00455516" w:rsidRPr="00A17730">
        <w:rPr>
          <w:rFonts w:ascii="Times New Roman" w:hAnsi="Times New Roman"/>
          <w:sz w:val="24"/>
        </w:rPr>
        <w:t xml:space="preserve"> </w:t>
      </w:r>
      <w:r w:rsidR="00A17730" w:rsidRPr="00A17730">
        <w:rPr>
          <w:rFonts w:ascii="Times New Roman" w:hAnsi="Times New Roman"/>
          <w:sz w:val="24"/>
        </w:rPr>
        <w:t xml:space="preserve">own statement that “if it is necessary [to reflect reduced risk in rates] . . . </w:t>
      </w:r>
      <w:r w:rsidR="00A17730" w:rsidRPr="00A17730">
        <w:rPr>
          <w:rFonts w:ascii="Times New Roman" w:hAnsi="Times New Roman"/>
          <w:sz w:val="24"/>
        </w:rPr>
        <w:lastRenderedPageBreak/>
        <w:t>we think it is more appropriate to make a direct adjustment to return on equity, for example, moving to the low end o</w:t>
      </w:r>
      <w:r w:rsidR="00AD5CBE">
        <w:rPr>
          <w:rFonts w:ascii="Times New Roman" w:hAnsi="Times New Roman"/>
          <w:sz w:val="24"/>
        </w:rPr>
        <w:t xml:space="preserve">f a range of reasonable returns </w:t>
      </w:r>
      <w:r w:rsidR="00A17730" w:rsidRPr="00A17730">
        <w:rPr>
          <w:rFonts w:ascii="Times New Roman" w:hAnsi="Times New Roman"/>
          <w:sz w:val="24"/>
        </w:rPr>
        <w:t>. . . .”</w:t>
      </w:r>
      <w:r w:rsidR="00062CC5">
        <w:rPr>
          <w:rStyle w:val="FootnoteReference"/>
          <w:sz w:val="24"/>
        </w:rPr>
        <w:footnoteReference w:id="20"/>
      </w:r>
      <w:r w:rsidR="00062CC5">
        <w:rPr>
          <w:rFonts w:ascii="Times New Roman" w:hAnsi="Times New Roman"/>
          <w:sz w:val="24"/>
          <w:vertAlign w:val="superscript"/>
        </w:rPr>
        <w:t>/</w:t>
      </w:r>
      <w:r w:rsidR="00A17730" w:rsidRPr="00A17730">
        <w:rPr>
          <w:rFonts w:ascii="Times New Roman" w:hAnsi="Times New Roman"/>
          <w:sz w:val="24"/>
        </w:rPr>
        <w:t xml:space="preserve">  </w:t>
      </w:r>
    </w:p>
    <w:p w:rsidR="003D0821" w:rsidRPr="00A17730" w:rsidRDefault="003D0821" w:rsidP="003D0821">
      <w:pPr>
        <w:keepNext/>
        <w:keepLines/>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DO YOU AGREE THAT A 5-YEAR DECOUPLING PROGRAM IS APPROPRIATE</w:t>
      </w:r>
      <w:r w:rsidRPr="00A17730">
        <w:rPr>
          <w:rFonts w:ascii="Times New Roman" w:hAnsi="Times New Roman"/>
          <w:b/>
          <w:sz w:val="24"/>
        </w:rPr>
        <w:t>?</w:t>
      </w:r>
    </w:p>
    <w:p w:rsidR="003D0821" w:rsidRPr="00A17730" w:rsidRDefault="003D0821" w:rsidP="003D0821">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No.  ICNU </w:t>
      </w:r>
      <w:r>
        <w:rPr>
          <w:rFonts w:ascii="Times New Roman" w:hAnsi="Times New Roman"/>
          <w:sz w:val="24"/>
        </w:rPr>
        <w:t>is</w:t>
      </w:r>
      <w:r w:rsidRPr="00A17730">
        <w:rPr>
          <w:rFonts w:ascii="Times New Roman" w:hAnsi="Times New Roman"/>
          <w:sz w:val="24"/>
        </w:rPr>
        <w:t xml:space="preserve"> concern</w:t>
      </w:r>
      <w:r>
        <w:rPr>
          <w:rFonts w:ascii="Times New Roman" w:hAnsi="Times New Roman"/>
          <w:sz w:val="24"/>
        </w:rPr>
        <w:t>ed</w:t>
      </w:r>
      <w:r w:rsidRPr="00A17730">
        <w:rPr>
          <w:rFonts w:ascii="Times New Roman" w:hAnsi="Times New Roman"/>
          <w:sz w:val="24"/>
        </w:rPr>
        <w:t xml:space="preserve"> that instituting decoupling will lessen a utility’s incentive to carefully manage costs.  While frequent rate cases are not desirable, avoiding cost scrutiny through automatic rate increases is worse for customers.</w:t>
      </w:r>
      <w:r>
        <w:rPr>
          <w:rFonts w:ascii="Times New Roman" w:hAnsi="Times New Roman"/>
          <w:sz w:val="24"/>
        </w:rPr>
        <w:t xml:space="preserve">  Thus, complete review of the decoupling mechanism should occur far sooner than five years.</w:t>
      </w:r>
    </w:p>
    <w:p w:rsidR="003D0821" w:rsidRPr="00A17730" w:rsidRDefault="003D0821" w:rsidP="003D0821">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WHEN SHOULD A DECOUPLING PROGRAM BE REVIEWED</w:t>
      </w:r>
      <w:r w:rsidRPr="00A17730">
        <w:rPr>
          <w:rFonts w:ascii="Times New Roman" w:hAnsi="Times New Roman"/>
          <w:b/>
          <w:sz w:val="24"/>
        </w:rPr>
        <w:t>?</w:t>
      </w:r>
    </w:p>
    <w:p w:rsidR="003D0821" w:rsidRPr="00A17730" w:rsidRDefault="003D0821" w:rsidP="003D0821">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 xml:space="preserve">In the ongoing Puget </w:t>
      </w:r>
      <w:r w:rsidR="000D5259">
        <w:rPr>
          <w:rFonts w:ascii="Times New Roman" w:hAnsi="Times New Roman"/>
          <w:sz w:val="24"/>
        </w:rPr>
        <w:t xml:space="preserve">Sound Energy </w:t>
      </w:r>
      <w:r>
        <w:rPr>
          <w:rFonts w:ascii="Times New Roman" w:hAnsi="Times New Roman"/>
          <w:sz w:val="24"/>
        </w:rPr>
        <w:t xml:space="preserve">decoupling proceeding, </w:t>
      </w:r>
      <w:r w:rsidRPr="00A17730">
        <w:rPr>
          <w:rFonts w:ascii="Times New Roman" w:hAnsi="Times New Roman"/>
          <w:sz w:val="24"/>
        </w:rPr>
        <w:t>Staff states that “</w:t>
      </w:r>
      <w:r>
        <w:rPr>
          <w:rFonts w:ascii="Times New Roman" w:hAnsi="Times New Roman"/>
          <w:sz w:val="24"/>
        </w:rPr>
        <w:t>[</w:t>
      </w:r>
      <w:r w:rsidRPr="00A17730">
        <w:rPr>
          <w:rFonts w:ascii="Times New Roman" w:hAnsi="Times New Roman"/>
          <w:sz w:val="24"/>
        </w:rPr>
        <w:t>w</w:t>
      </w:r>
      <w:r>
        <w:rPr>
          <w:rFonts w:ascii="Times New Roman" w:hAnsi="Times New Roman"/>
          <w:sz w:val="24"/>
        </w:rPr>
        <w:t>]</w:t>
      </w:r>
      <w:proofErr w:type="spellStart"/>
      <w:r w:rsidRPr="00A17730">
        <w:rPr>
          <w:rFonts w:ascii="Times New Roman" w:hAnsi="Times New Roman"/>
          <w:sz w:val="24"/>
        </w:rPr>
        <w:t>hile</w:t>
      </w:r>
      <w:proofErr w:type="spellEnd"/>
      <w:r w:rsidRPr="00A17730">
        <w:rPr>
          <w:rFonts w:ascii="Times New Roman" w:hAnsi="Times New Roman"/>
          <w:sz w:val="24"/>
        </w:rPr>
        <w:t xml:space="preserve"> it is possible management would become less vigilant over costs under full decoupling, because revenues are assured, the period rate case requirement assures continuing Commission scrutiny</w:t>
      </w:r>
      <w:r>
        <w:rPr>
          <w:rFonts w:ascii="Times New Roman" w:hAnsi="Times New Roman"/>
          <w:sz w:val="24"/>
        </w:rPr>
        <w:t xml:space="preserve"> . . . .</w:t>
      </w:r>
      <w:r w:rsidRPr="00A17730">
        <w:rPr>
          <w:rFonts w:ascii="Times New Roman" w:hAnsi="Times New Roman"/>
          <w:sz w:val="24"/>
        </w:rPr>
        <w:t>”</w:t>
      </w:r>
      <w:r>
        <w:rPr>
          <w:rStyle w:val="FootnoteReference"/>
          <w:sz w:val="24"/>
        </w:rPr>
        <w:footnoteReference w:id="21"/>
      </w:r>
      <w:proofErr w:type="gramStart"/>
      <w:r>
        <w:rPr>
          <w:rFonts w:ascii="Times New Roman" w:hAnsi="Times New Roman"/>
          <w:sz w:val="24"/>
          <w:vertAlign w:val="superscript"/>
        </w:rPr>
        <w:t>/</w:t>
      </w:r>
      <w:r>
        <w:rPr>
          <w:rFonts w:ascii="Times New Roman" w:hAnsi="Times New Roman"/>
          <w:sz w:val="24"/>
        </w:rPr>
        <w:t xml:space="preserve">  This</w:t>
      </w:r>
      <w:proofErr w:type="gramEnd"/>
      <w:r>
        <w:rPr>
          <w:rFonts w:ascii="Times New Roman" w:hAnsi="Times New Roman"/>
          <w:sz w:val="24"/>
        </w:rPr>
        <w:t xml:space="preserve"> practice is widely followed for decoupling nationally</w:t>
      </w:r>
      <w:r w:rsidRPr="00A17730">
        <w:rPr>
          <w:rFonts w:ascii="Times New Roman" w:hAnsi="Times New Roman"/>
          <w:sz w:val="24"/>
        </w:rPr>
        <w:t>.  Some state commissions approve decoupling programs tha</w:t>
      </w:r>
      <w:r>
        <w:rPr>
          <w:rFonts w:ascii="Times New Roman" w:hAnsi="Times New Roman"/>
          <w:sz w:val="24"/>
        </w:rPr>
        <w:t>t sunset after one or two years</w:t>
      </w:r>
      <w:r w:rsidRPr="00A17730">
        <w:rPr>
          <w:rFonts w:ascii="Times New Roman" w:hAnsi="Times New Roman"/>
          <w:sz w:val="24"/>
        </w:rPr>
        <w:t xml:space="preserve"> or</w:t>
      </w:r>
      <w:r>
        <w:rPr>
          <w:rFonts w:ascii="Times New Roman" w:hAnsi="Times New Roman"/>
          <w:sz w:val="24"/>
        </w:rPr>
        <w:t xml:space="preserve"> </w:t>
      </w:r>
      <w:proofErr w:type="gramStart"/>
      <w:r>
        <w:rPr>
          <w:rFonts w:ascii="Times New Roman" w:hAnsi="Times New Roman"/>
          <w:sz w:val="24"/>
        </w:rPr>
        <w:t>that</w:t>
      </w:r>
      <w:r w:rsidRPr="00A17730">
        <w:rPr>
          <w:rFonts w:ascii="Times New Roman" w:hAnsi="Times New Roman"/>
          <w:sz w:val="24"/>
        </w:rPr>
        <w:t xml:space="preserve"> make</w:t>
      </w:r>
      <w:proofErr w:type="gramEnd"/>
      <w:r w:rsidRPr="00A17730">
        <w:rPr>
          <w:rFonts w:ascii="Times New Roman" w:hAnsi="Times New Roman"/>
          <w:sz w:val="24"/>
        </w:rPr>
        <w:t xml:space="preserve"> renewal contingent upon full review in a subsequent rate case.  I</w:t>
      </w:r>
      <w:r>
        <w:rPr>
          <w:rFonts w:ascii="Times New Roman" w:hAnsi="Times New Roman"/>
          <w:sz w:val="24"/>
        </w:rPr>
        <w:t>CNU</w:t>
      </w:r>
      <w:r w:rsidRPr="00A17730">
        <w:rPr>
          <w:rFonts w:ascii="Times New Roman" w:hAnsi="Times New Roman"/>
          <w:sz w:val="24"/>
        </w:rPr>
        <w:t xml:space="preserve"> recommend</w:t>
      </w:r>
      <w:r>
        <w:rPr>
          <w:rFonts w:ascii="Times New Roman" w:hAnsi="Times New Roman"/>
          <w:sz w:val="24"/>
        </w:rPr>
        <w:t>s</w:t>
      </w:r>
      <w:r w:rsidRPr="00A17730">
        <w:rPr>
          <w:rFonts w:ascii="Times New Roman" w:hAnsi="Times New Roman"/>
          <w:sz w:val="24"/>
        </w:rPr>
        <w:t xml:space="preserve"> that any decoupling program adopted for </w:t>
      </w:r>
      <w:r>
        <w:rPr>
          <w:rFonts w:ascii="Times New Roman" w:hAnsi="Times New Roman"/>
          <w:sz w:val="24"/>
        </w:rPr>
        <w:t>Avista</w:t>
      </w:r>
      <w:r w:rsidRPr="00A17730">
        <w:rPr>
          <w:rFonts w:ascii="Times New Roman" w:hAnsi="Times New Roman"/>
          <w:sz w:val="24"/>
        </w:rPr>
        <w:t xml:space="preserve"> be subject to a full review after 12 months, and </w:t>
      </w:r>
      <w:r>
        <w:rPr>
          <w:rFonts w:ascii="Times New Roman" w:hAnsi="Times New Roman"/>
          <w:sz w:val="24"/>
        </w:rPr>
        <w:t xml:space="preserve">that it </w:t>
      </w:r>
      <w:r w:rsidRPr="00A17730">
        <w:rPr>
          <w:rFonts w:ascii="Times New Roman" w:hAnsi="Times New Roman"/>
          <w:sz w:val="24"/>
        </w:rPr>
        <w:t xml:space="preserve">be reviewed at least every two years thereafter.  </w:t>
      </w:r>
    </w:p>
    <w:p w:rsidR="00A17730" w:rsidRPr="00FE6860" w:rsidRDefault="00FE6860" w:rsidP="0006405E">
      <w:pPr>
        <w:keepNext/>
        <w:keepLines/>
        <w:spacing w:line="480" w:lineRule="auto"/>
        <w:rPr>
          <w:rFonts w:ascii="Times New Roman" w:hAnsi="Times New Roman"/>
          <w:b/>
          <w:sz w:val="24"/>
        </w:rPr>
      </w:pPr>
      <w:r w:rsidRPr="00FE6860">
        <w:rPr>
          <w:rFonts w:ascii="Times New Roman" w:hAnsi="Times New Roman"/>
          <w:b/>
          <w:sz w:val="24"/>
        </w:rPr>
        <w:t>Q.</w:t>
      </w:r>
      <w:r w:rsidRPr="00FE6860">
        <w:rPr>
          <w:rFonts w:ascii="Times New Roman" w:hAnsi="Times New Roman"/>
          <w:b/>
          <w:sz w:val="24"/>
        </w:rPr>
        <w:tab/>
      </w:r>
      <w:r w:rsidR="00A17730" w:rsidRPr="00FE6860">
        <w:rPr>
          <w:rFonts w:ascii="Times New Roman" w:hAnsi="Times New Roman"/>
          <w:b/>
          <w:sz w:val="24"/>
        </w:rPr>
        <w:t>DOES ICNU SUPPORT NWEC’S PROPOSED DECOUPLING REGIME?</w:t>
      </w:r>
    </w:p>
    <w:p w:rsidR="00A17730" w:rsidRDefault="00FE6860" w:rsidP="00FE6860">
      <w:pPr>
        <w:spacing w:line="480" w:lineRule="auto"/>
        <w:ind w:left="720" w:hanging="720"/>
        <w:rPr>
          <w:rFonts w:ascii="Times New Roman" w:hAnsi="Times New Roman"/>
          <w:sz w:val="24"/>
        </w:rPr>
      </w:pPr>
      <w:r w:rsidRPr="00FE6860">
        <w:rPr>
          <w:rFonts w:ascii="Times New Roman" w:hAnsi="Times New Roman"/>
          <w:b/>
          <w:sz w:val="24"/>
        </w:rPr>
        <w:t>A.</w:t>
      </w:r>
      <w:r>
        <w:rPr>
          <w:rFonts w:ascii="Times New Roman" w:hAnsi="Times New Roman"/>
          <w:sz w:val="24"/>
        </w:rPr>
        <w:tab/>
      </w:r>
      <w:r w:rsidR="00A17730" w:rsidRPr="00A17730">
        <w:rPr>
          <w:rFonts w:ascii="Times New Roman" w:hAnsi="Times New Roman"/>
          <w:sz w:val="24"/>
        </w:rPr>
        <w:t>No. NWEC’s proposal does not conform to the Commission’s Policy statement</w:t>
      </w:r>
      <w:r>
        <w:rPr>
          <w:rFonts w:ascii="Times New Roman" w:hAnsi="Times New Roman"/>
          <w:sz w:val="24"/>
        </w:rPr>
        <w:t>, particularly in regard to adjustments for return on equity</w:t>
      </w:r>
      <w:r w:rsidR="00A17730" w:rsidRPr="00A17730">
        <w:rPr>
          <w:rFonts w:ascii="Times New Roman" w:hAnsi="Times New Roman"/>
          <w:sz w:val="24"/>
        </w:rPr>
        <w:t>.  ICNU agree</w:t>
      </w:r>
      <w:r w:rsidR="004925DA">
        <w:rPr>
          <w:rFonts w:ascii="Times New Roman" w:hAnsi="Times New Roman"/>
          <w:sz w:val="24"/>
        </w:rPr>
        <w:t>s</w:t>
      </w:r>
      <w:r w:rsidR="00A17730" w:rsidRPr="00A17730">
        <w:rPr>
          <w:rFonts w:ascii="Times New Roman" w:hAnsi="Times New Roman"/>
          <w:sz w:val="24"/>
        </w:rPr>
        <w:t xml:space="preserve"> with NWEC that industrial customers should be exempted from any decoupling mechanism, if the Commission decides to impose one.</w:t>
      </w:r>
    </w:p>
    <w:p w:rsidR="001F0CE7" w:rsidRPr="001F0CE7" w:rsidRDefault="001F0CE7" w:rsidP="00FE6860">
      <w:pPr>
        <w:spacing w:line="480" w:lineRule="auto"/>
        <w:ind w:left="720" w:hanging="720"/>
        <w:rPr>
          <w:rFonts w:ascii="Times New Roman" w:hAnsi="Times New Roman"/>
          <w:sz w:val="24"/>
        </w:rPr>
      </w:pPr>
      <w:r>
        <w:rPr>
          <w:rFonts w:ascii="Times New Roman" w:hAnsi="Times New Roman"/>
          <w:b/>
          <w:sz w:val="24"/>
        </w:rPr>
        <w:lastRenderedPageBreak/>
        <w:tab/>
      </w:r>
      <w:r w:rsidR="00124049">
        <w:rPr>
          <w:rFonts w:ascii="Times New Roman" w:hAnsi="Times New Roman"/>
          <w:b/>
          <w:sz w:val="24"/>
        </w:rPr>
        <w:tab/>
      </w:r>
      <w:r>
        <w:rPr>
          <w:rFonts w:ascii="Times New Roman" w:hAnsi="Times New Roman"/>
          <w:sz w:val="24"/>
        </w:rPr>
        <w:t>It is also disturbing that NWEC makes a number of sweeping assertions about decoupling that are simply not supported by the evidence it presents.  For example,</w:t>
      </w:r>
      <w:r w:rsidR="001C6ACA">
        <w:rPr>
          <w:rFonts w:ascii="Times New Roman" w:hAnsi="Times New Roman"/>
          <w:sz w:val="24"/>
        </w:rPr>
        <w:t xml:space="preserve"> it</w:t>
      </w:r>
      <w:r>
        <w:rPr>
          <w:rFonts w:ascii="Times New Roman" w:hAnsi="Times New Roman"/>
          <w:sz w:val="24"/>
        </w:rPr>
        <w:t xml:space="preserve"> claims that decoupling supports aggressive investment in cost</w:t>
      </w:r>
      <w:r w:rsidR="004572C5">
        <w:rPr>
          <w:rFonts w:ascii="Times New Roman" w:hAnsi="Times New Roman"/>
          <w:sz w:val="24"/>
        </w:rPr>
        <w:t>-</w:t>
      </w:r>
      <w:r>
        <w:rPr>
          <w:rFonts w:ascii="Times New Roman" w:hAnsi="Times New Roman"/>
          <w:sz w:val="24"/>
        </w:rPr>
        <w:t>effective energy efficiency because 7 of 10 states it claims to have high ratios of efficiency investment per capita have decoupling.</w:t>
      </w:r>
      <w:r>
        <w:rPr>
          <w:rStyle w:val="FootnoteReference"/>
          <w:sz w:val="24"/>
        </w:rPr>
        <w:footnoteReference w:id="22"/>
      </w:r>
      <w:proofErr w:type="gramStart"/>
      <w:r>
        <w:rPr>
          <w:rFonts w:ascii="Times New Roman" w:hAnsi="Times New Roman"/>
          <w:sz w:val="24"/>
          <w:vertAlign w:val="superscript"/>
        </w:rPr>
        <w:t xml:space="preserve">/ </w:t>
      </w:r>
      <w:r>
        <w:rPr>
          <w:rFonts w:ascii="Times New Roman" w:hAnsi="Times New Roman"/>
          <w:sz w:val="24"/>
        </w:rPr>
        <w:t xml:space="preserve"> Yet</w:t>
      </w:r>
      <w:proofErr w:type="gramEnd"/>
      <w:r>
        <w:rPr>
          <w:rFonts w:ascii="Times New Roman" w:hAnsi="Times New Roman"/>
          <w:sz w:val="24"/>
        </w:rPr>
        <w:t xml:space="preserve"> neither NWEC nor the spreadsheet it references indicates whether there is any connection between decoupling and high investment per capita.  </w:t>
      </w:r>
      <w:proofErr w:type="gramStart"/>
      <w:r>
        <w:rPr>
          <w:rFonts w:ascii="Times New Roman" w:hAnsi="Times New Roman"/>
          <w:sz w:val="24"/>
        </w:rPr>
        <w:t xml:space="preserve">Claiming that decoupling </w:t>
      </w:r>
      <w:r w:rsidRPr="002825B6">
        <w:rPr>
          <w:rFonts w:ascii="Times New Roman" w:hAnsi="Times New Roman"/>
          <w:i/>
          <w:sz w:val="24"/>
        </w:rPr>
        <w:t>caused</w:t>
      </w:r>
      <w:r>
        <w:rPr>
          <w:rFonts w:ascii="Times New Roman" w:hAnsi="Times New Roman"/>
          <w:sz w:val="24"/>
        </w:rPr>
        <w:t xml:space="preserve"> efficiency when it is equally as likely that these states were already leaders in energy efficiency when they considered adopting decoupling</w:t>
      </w:r>
      <w:r w:rsidR="003D0821">
        <w:rPr>
          <w:rFonts w:ascii="Times New Roman" w:hAnsi="Times New Roman"/>
          <w:sz w:val="24"/>
        </w:rPr>
        <w:t>—</w:t>
      </w:r>
      <w:r w:rsidR="002825B6">
        <w:rPr>
          <w:rFonts w:ascii="Times New Roman" w:hAnsi="Times New Roman"/>
          <w:sz w:val="24"/>
        </w:rPr>
        <w:t>as is the case in Washington</w:t>
      </w:r>
      <w:r w:rsidR="003D0821">
        <w:rPr>
          <w:rFonts w:ascii="Times New Roman" w:hAnsi="Times New Roman"/>
          <w:sz w:val="24"/>
        </w:rPr>
        <w:t>—</w:t>
      </w:r>
      <w:r>
        <w:rPr>
          <w:rFonts w:ascii="Times New Roman" w:hAnsi="Times New Roman"/>
          <w:sz w:val="24"/>
        </w:rPr>
        <w:t>appears to be an attempt to create a causal lin</w:t>
      </w:r>
      <w:r w:rsidR="002825B6">
        <w:rPr>
          <w:rFonts w:ascii="Times New Roman" w:hAnsi="Times New Roman"/>
          <w:sz w:val="24"/>
        </w:rPr>
        <w:t>k when there is only proof of a correlation.</w:t>
      </w:r>
      <w:proofErr w:type="gramEnd"/>
      <w:r w:rsidR="002825B6">
        <w:rPr>
          <w:rFonts w:ascii="Times New Roman" w:hAnsi="Times New Roman"/>
          <w:sz w:val="24"/>
        </w:rPr>
        <w:t xml:space="preserve">  Further, NWEC includes Oregon and Idaho in its list of 7 efficiency investment leaders with decoupling, whereas the cited report only gives one figure for the Northwest generally, aggregating data from Washington, Oregon, Idaho, and Montana.</w:t>
      </w:r>
      <w:r w:rsidR="002825B6">
        <w:rPr>
          <w:rStyle w:val="FootnoteReference"/>
          <w:sz w:val="24"/>
        </w:rPr>
        <w:footnoteReference w:id="23"/>
      </w:r>
      <w:proofErr w:type="gramStart"/>
      <w:r w:rsidR="003D0821">
        <w:rPr>
          <w:rFonts w:ascii="Times New Roman" w:hAnsi="Times New Roman"/>
          <w:sz w:val="24"/>
          <w:vertAlign w:val="superscript"/>
        </w:rPr>
        <w:t>/</w:t>
      </w:r>
      <w:r w:rsidR="002825B6">
        <w:rPr>
          <w:rFonts w:ascii="Times New Roman" w:hAnsi="Times New Roman"/>
          <w:sz w:val="24"/>
        </w:rPr>
        <w:t xml:space="preserve">  It</w:t>
      </w:r>
      <w:proofErr w:type="gramEnd"/>
      <w:r w:rsidR="002825B6">
        <w:rPr>
          <w:rFonts w:ascii="Times New Roman" w:hAnsi="Times New Roman"/>
          <w:sz w:val="24"/>
        </w:rPr>
        <w:t xml:space="preserve"> is perfectly possible that Washington, the largest of these states and a pioneer in energy efficiency, is without decoupling, raising the energy efficiency ratios for </w:t>
      </w:r>
      <w:r w:rsidR="00B456DF">
        <w:rPr>
          <w:rFonts w:ascii="Times New Roman" w:hAnsi="Times New Roman"/>
          <w:sz w:val="24"/>
        </w:rPr>
        <w:t>the region.</w:t>
      </w:r>
      <w:r w:rsidR="002825B6">
        <w:rPr>
          <w:rFonts w:ascii="Times New Roman" w:hAnsi="Times New Roman"/>
          <w:sz w:val="24"/>
        </w:rPr>
        <w:t xml:space="preserve"> </w:t>
      </w:r>
      <w:r w:rsidR="00B456DF">
        <w:rPr>
          <w:rFonts w:ascii="Times New Roman" w:hAnsi="Times New Roman"/>
          <w:sz w:val="24"/>
        </w:rPr>
        <w:t xml:space="preserve"> In addition, NWEC fails to note that Oregon has completely removed </w:t>
      </w:r>
      <w:r w:rsidR="004D04B8">
        <w:rPr>
          <w:rFonts w:ascii="Times New Roman" w:hAnsi="Times New Roman"/>
          <w:sz w:val="24"/>
        </w:rPr>
        <w:t xml:space="preserve">investor-owned </w:t>
      </w:r>
      <w:r w:rsidR="00B456DF">
        <w:rPr>
          <w:rFonts w:ascii="Times New Roman" w:hAnsi="Times New Roman"/>
          <w:sz w:val="24"/>
        </w:rPr>
        <w:t xml:space="preserve">utilities from the conservation business, </w:t>
      </w:r>
      <w:r w:rsidR="004D04B8">
        <w:rPr>
          <w:rFonts w:ascii="Times New Roman" w:hAnsi="Times New Roman"/>
          <w:sz w:val="24"/>
        </w:rPr>
        <w:t>with those</w:t>
      </w:r>
      <w:r w:rsidR="00B456DF">
        <w:rPr>
          <w:rFonts w:ascii="Times New Roman" w:hAnsi="Times New Roman"/>
          <w:sz w:val="24"/>
        </w:rPr>
        <w:t xml:space="preserve"> conservation programs </w:t>
      </w:r>
      <w:r w:rsidR="004D04B8">
        <w:rPr>
          <w:rFonts w:ascii="Times New Roman" w:hAnsi="Times New Roman"/>
          <w:sz w:val="24"/>
        </w:rPr>
        <w:t xml:space="preserve">now being </w:t>
      </w:r>
      <w:r w:rsidR="00B456DF">
        <w:rPr>
          <w:rFonts w:ascii="Times New Roman" w:hAnsi="Times New Roman"/>
          <w:sz w:val="24"/>
        </w:rPr>
        <w:t>developed and administered by the Oregon Energy Trust</w:t>
      </w:r>
      <w:r w:rsidR="002825B6">
        <w:rPr>
          <w:rFonts w:ascii="Times New Roman" w:hAnsi="Times New Roman"/>
          <w:sz w:val="24"/>
        </w:rPr>
        <w:t xml:space="preserve">. </w:t>
      </w:r>
    </w:p>
    <w:p w:rsidR="00FE6860" w:rsidRDefault="00FE6860" w:rsidP="0070587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ICNU’S RECOMMENDATIONS REGARDING DECOUPLING IN THIS PROCEEDING.</w:t>
      </w:r>
    </w:p>
    <w:p w:rsidR="004F167B" w:rsidRDefault="003F22E8" w:rsidP="009A75E2">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ICNU disagrees with a number of </w:t>
      </w:r>
      <w:r w:rsidR="00B74660">
        <w:rPr>
          <w:rFonts w:ascii="Times New Roman" w:hAnsi="Times New Roman"/>
          <w:sz w:val="24"/>
        </w:rPr>
        <w:t xml:space="preserve">specific recommendations in </w:t>
      </w:r>
      <w:r w:rsidR="004A723E">
        <w:rPr>
          <w:rFonts w:ascii="Times New Roman" w:hAnsi="Times New Roman"/>
          <w:sz w:val="24"/>
        </w:rPr>
        <w:t>NWEC’s</w:t>
      </w:r>
      <w:r>
        <w:rPr>
          <w:rFonts w:ascii="Times New Roman" w:hAnsi="Times New Roman"/>
          <w:sz w:val="24"/>
        </w:rPr>
        <w:t xml:space="preserve"> </w:t>
      </w:r>
      <w:r w:rsidR="000D5259">
        <w:rPr>
          <w:rFonts w:ascii="Times New Roman" w:hAnsi="Times New Roman"/>
          <w:sz w:val="24"/>
        </w:rPr>
        <w:t>decoupling proposal</w:t>
      </w:r>
      <w:r>
        <w:rPr>
          <w:rFonts w:ascii="Times New Roman" w:hAnsi="Times New Roman"/>
          <w:sz w:val="24"/>
        </w:rPr>
        <w:t xml:space="preserve">.  ICNU fundamentally </w:t>
      </w:r>
      <w:r w:rsidR="004A723E">
        <w:rPr>
          <w:rFonts w:ascii="Times New Roman" w:hAnsi="Times New Roman"/>
          <w:sz w:val="24"/>
        </w:rPr>
        <w:t>believes</w:t>
      </w:r>
      <w:r>
        <w:rPr>
          <w:rFonts w:ascii="Times New Roman" w:hAnsi="Times New Roman"/>
          <w:sz w:val="24"/>
        </w:rPr>
        <w:t xml:space="preserve"> that it would be impractical to implement a fully considered decoupling mechanism before the end of this proceeding</w:t>
      </w:r>
      <w:r w:rsidR="00B456DF">
        <w:rPr>
          <w:rFonts w:ascii="Times New Roman" w:hAnsi="Times New Roman"/>
          <w:sz w:val="24"/>
        </w:rPr>
        <w:t xml:space="preserve"> given </w:t>
      </w:r>
      <w:r w:rsidR="004A723E">
        <w:rPr>
          <w:rFonts w:ascii="Times New Roman" w:hAnsi="Times New Roman"/>
          <w:sz w:val="24"/>
        </w:rPr>
        <w:t xml:space="preserve">the vague </w:t>
      </w:r>
      <w:r w:rsidR="004A723E">
        <w:rPr>
          <w:rFonts w:ascii="Times New Roman" w:hAnsi="Times New Roman"/>
          <w:sz w:val="24"/>
        </w:rPr>
        <w:lastRenderedPageBreak/>
        <w:t>nature of NWEC’s proposal</w:t>
      </w:r>
      <w:r>
        <w:rPr>
          <w:rFonts w:ascii="Times New Roman" w:hAnsi="Times New Roman"/>
          <w:sz w:val="24"/>
        </w:rPr>
        <w:t xml:space="preserve">.  As such, any pursuit of decoupling for </w:t>
      </w:r>
      <w:r w:rsidR="004A723E">
        <w:rPr>
          <w:rFonts w:ascii="Times New Roman" w:hAnsi="Times New Roman"/>
          <w:sz w:val="24"/>
        </w:rPr>
        <w:t>Avista</w:t>
      </w:r>
      <w:r>
        <w:rPr>
          <w:rFonts w:ascii="Times New Roman" w:hAnsi="Times New Roman"/>
          <w:sz w:val="24"/>
        </w:rPr>
        <w:t xml:space="preserve"> should take place in a future proceeding and be supported by the Company in its own direct case.  Further, it is inappropriate to include large industrial customer classes as part of a decoupling mechanism</w:t>
      </w:r>
      <w:r w:rsidR="00937DE6">
        <w:rPr>
          <w:rFonts w:ascii="Times New Roman" w:hAnsi="Times New Roman"/>
          <w:sz w:val="24"/>
        </w:rPr>
        <w:t>,</w:t>
      </w:r>
      <w:r>
        <w:rPr>
          <w:rFonts w:ascii="Times New Roman" w:hAnsi="Times New Roman"/>
          <w:sz w:val="24"/>
        </w:rPr>
        <w:t xml:space="preserve"> due to their relatively small contribution to the fixed-cost recovery issues related to utility conservation programs and also their unique load characteristics.  Finally, ICNU finds the lack of adjustment to ROE in light of decoupling particularly problematic.</w:t>
      </w:r>
    </w:p>
    <w:p w:rsidR="004B7878" w:rsidRDefault="004B7878" w:rsidP="004F167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THIS CONCLUDE YOUR TESTIMONY?</w:t>
      </w:r>
    </w:p>
    <w:p w:rsidR="004B7878" w:rsidRPr="004B7878" w:rsidRDefault="004B7878"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w:t>
      </w:r>
    </w:p>
    <w:sectPr w:rsidR="004B7878" w:rsidRPr="004B7878" w:rsidSect="009D4F98">
      <w:headerReference w:type="default" r:id="rId15"/>
      <w:footerReference w:type="default" r:id="rId16"/>
      <w:headerReference w:type="first" r:id="rId17"/>
      <w:footerReference w:type="first" r:id="rId18"/>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0A1" w:rsidRDefault="00F310A1">
      <w:r>
        <w:separator/>
      </w:r>
    </w:p>
  </w:endnote>
  <w:endnote w:type="continuationSeparator" w:id="0">
    <w:p w:rsidR="00F310A1" w:rsidRDefault="00F310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0A1" w:rsidRDefault="00F31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rsidP="002436CC">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Pr="006A4EC4" w:rsidRDefault="00F310A1"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F310A1" w:rsidRPr="006A4EC4" w:rsidRDefault="00F310A1" w:rsidP="002436CC">
    <w:pPr>
      <w:pStyle w:val="Footer"/>
      <w:ind w:left="-630" w:hanging="4"/>
      <w:rPr>
        <w:sz w:val="10"/>
        <w:szCs w:val="10"/>
      </w:rPr>
    </w:pPr>
  </w:p>
  <w:p w:rsidR="00F310A1" w:rsidRDefault="00F310A1" w:rsidP="002436CC">
    <w:pPr>
      <w:pStyle w:val="Footer"/>
      <w:ind w:left="-630" w:hanging="4"/>
    </w:pPr>
    <w:r>
      <w:t>Pre-filed Direct Testimony of</w:t>
    </w:r>
    <w:r>
      <w:tab/>
      <w:t>Exhibit No. __</w:t>
    </w:r>
    <w:proofErr w:type="gramStart"/>
    <w:r>
      <w:t>_(</w:t>
    </w:r>
    <w:proofErr w:type="gramEnd"/>
    <w:smartTag w:uri="urn:schemas-microsoft-com:office:smarttags" w:element="Street">
      <w:smartTag w:uri="urn:schemas-microsoft-com:office:smarttags" w:element="address">
        <w:r>
          <w:t>EMM-1CT</w:t>
        </w:r>
      </w:smartTag>
    </w:smartTag>
    <w:r>
      <w:t>)</w:t>
    </w:r>
  </w:p>
  <w:p w:rsidR="00F310A1" w:rsidRDefault="00F310A1" w:rsidP="002436CC">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pPr>
      <w:pStyle w:val="Footer"/>
      <w:rPr>
        <w:rFonts w:ascii="Times New Roman" w:hAnsi="Times New Roman"/>
        <w:sz w:val="24"/>
      </w:rPr>
    </w:pPr>
  </w:p>
  <w:p w:rsidR="00F310A1" w:rsidRPr="002277D2" w:rsidRDefault="00F310A1">
    <w:pPr>
      <w:pStyle w:val="Footer"/>
      <w:rPr>
        <w:rFonts w:ascii="Times New Roman" w:hAnsi="Times New Roman"/>
        <w:sz w:val="32"/>
        <w:szCs w:val="24"/>
      </w:rPr>
    </w:pPr>
    <w:r>
      <w:rPr>
        <w:rFonts w:ascii="Times New Roman" w:hAnsi="Times New Roman"/>
        <w:sz w:val="24"/>
      </w:rPr>
      <w:t>Michael C. Deen Responsive Testimony</w:t>
    </w:r>
    <w:r>
      <w:rPr>
        <w:rFonts w:ascii="Times New Roman" w:hAnsi="Times New Roman"/>
        <w:sz w:val="24"/>
      </w:rPr>
      <w:tab/>
    </w:r>
    <w:r w:rsidRPr="002277D2">
      <w:rPr>
        <w:rFonts w:ascii="Times New Roman" w:hAnsi="Times New Roman"/>
        <w:sz w:val="32"/>
        <w:szCs w:val="24"/>
      </w:rPr>
      <w:tab/>
    </w:r>
    <w:r w:rsidRPr="002277D2">
      <w:rPr>
        <w:rFonts w:ascii="Times New Roman" w:hAnsi="Times New Roman"/>
        <w:sz w:val="24"/>
      </w:rPr>
      <w:t>Exhibit No.__</w:t>
    </w:r>
    <w:proofErr w:type="gramStart"/>
    <w:r w:rsidRPr="002277D2">
      <w:rPr>
        <w:rFonts w:ascii="Times New Roman" w:hAnsi="Times New Roman"/>
        <w:sz w:val="24"/>
      </w:rPr>
      <w:t>_(</w:t>
    </w:r>
    <w:proofErr w:type="gramEnd"/>
    <w:r>
      <w:rPr>
        <w:rFonts w:ascii="Times New Roman" w:hAnsi="Times New Roman"/>
        <w:sz w:val="24"/>
      </w:rPr>
      <w:t>MCD</w:t>
    </w:r>
    <w:r w:rsidRPr="002277D2">
      <w:rPr>
        <w:rFonts w:ascii="Times New Roman" w:hAnsi="Times New Roman"/>
        <w:sz w:val="24"/>
      </w:rPr>
      <w:t>-</w:t>
    </w:r>
    <w:r>
      <w:rPr>
        <w:rFonts w:ascii="Times New Roman" w:hAnsi="Times New Roman"/>
        <w:sz w:val="24"/>
      </w:rPr>
      <w:t>1</w:t>
    </w:r>
    <w:r w:rsidRPr="002277D2">
      <w:rPr>
        <w:rFonts w:ascii="Times New Roman" w:hAnsi="Times New Roman"/>
        <w:sz w:val="24"/>
      </w:rPr>
      <w:t>T)</w:t>
    </w:r>
  </w:p>
  <w:p w:rsidR="00F310A1" w:rsidRPr="002277D2" w:rsidRDefault="00F310A1" w:rsidP="00563A1A">
    <w:pPr>
      <w:pStyle w:val="Footer"/>
      <w:rPr>
        <w:rFonts w:ascii="Times New Roman" w:hAnsi="Times New Roman"/>
        <w:smallCaps/>
        <w:sz w:val="24"/>
      </w:rPr>
    </w:pPr>
    <w:r w:rsidRPr="002277D2">
      <w:rPr>
        <w:rFonts w:ascii="Times New Roman" w:hAnsi="Times New Roman"/>
        <w:sz w:val="24"/>
      </w:rPr>
      <w:t>Docket No</w:t>
    </w:r>
    <w:r>
      <w:rPr>
        <w:rFonts w:ascii="Times New Roman" w:hAnsi="Times New Roman"/>
        <w:sz w:val="24"/>
      </w:rPr>
      <w:t>s</w:t>
    </w:r>
    <w:r>
      <w:rPr>
        <w:rFonts w:ascii="Times New Roman" w:hAnsi="Times New Roman"/>
        <w:smallCaps/>
        <w:sz w:val="24"/>
      </w:rPr>
      <w:t>.  UE-110876/UG-110877</w:t>
    </w:r>
    <w:r>
      <w:rPr>
        <w:rFonts w:ascii="Times New Roman" w:hAnsi="Times New Roman"/>
        <w:smallCaps/>
        <w:sz w:val="24"/>
      </w:rPr>
      <w:tab/>
    </w:r>
    <w:r w:rsidRPr="002277D2">
      <w:rPr>
        <w:rFonts w:ascii="Times New Roman" w:hAnsi="Times New Roman"/>
        <w:smallCaps/>
        <w:sz w:val="24"/>
      </w:rPr>
      <w:tab/>
    </w:r>
    <w:r w:rsidRPr="002277D2">
      <w:rPr>
        <w:rFonts w:ascii="Times New Roman" w:hAnsi="Times New Roman"/>
        <w:sz w:val="24"/>
      </w:rPr>
      <w:t>Page</w:t>
    </w:r>
    <w:r w:rsidRPr="002277D2">
      <w:rPr>
        <w:rFonts w:ascii="Times New Roman" w:hAnsi="Times New Roman"/>
        <w:smallCaps/>
        <w:sz w:val="24"/>
      </w:rPr>
      <w:t xml:space="preserve"> </w:t>
    </w:r>
    <w:r w:rsidRPr="002277D2">
      <w:rPr>
        <w:rFonts w:ascii="Times New Roman" w:hAnsi="Times New Roman"/>
        <w:smallCaps/>
        <w:sz w:val="24"/>
      </w:rPr>
      <w:fldChar w:fldCharType="begin"/>
    </w:r>
    <w:r w:rsidRPr="002277D2">
      <w:rPr>
        <w:rFonts w:ascii="Times New Roman" w:hAnsi="Times New Roman"/>
        <w:smallCaps/>
        <w:sz w:val="24"/>
      </w:rPr>
      <w:instrText xml:space="preserve"> PAGE   \* MERGEFORMAT </w:instrText>
    </w:r>
    <w:r w:rsidRPr="002277D2">
      <w:rPr>
        <w:rFonts w:ascii="Times New Roman" w:hAnsi="Times New Roman"/>
        <w:smallCaps/>
        <w:sz w:val="24"/>
      </w:rPr>
      <w:fldChar w:fldCharType="separate"/>
    </w:r>
    <w:r>
      <w:rPr>
        <w:rFonts w:ascii="Times New Roman" w:hAnsi="Times New Roman"/>
        <w:smallCaps/>
        <w:noProof/>
        <w:sz w:val="24"/>
      </w:rPr>
      <w:t>17</w:t>
    </w:r>
    <w:r w:rsidRPr="002277D2">
      <w:rPr>
        <w:rFonts w:ascii="Times New Roman" w:hAnsi="Times New Roman"/>
        <w:smallCaps/>
        <w:sz w:val="24"/>
      </w:rPr>
      <w:fldChar w:fldCharType="end"/>
    </w:r>
    <w:r w:rsidRPr="002277D2">
      <w:rPr>
        <w:rFonts w:ascii="Times New Roman" w:hAnsi="Times New Roman"/>
        <w:smallCaps/>
        <w:sz w:val="24"/>
      </w:rPr>
      <w:tab/>
    </w:r>
  </w:p>
  <w:p w:rsidR="00F310A1" w:rsidRDefault="00F310A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pPr>
      <w:pStyle w:val="Header"/>
      <w:tabs>
        <w:tab w:val="clear" w:pos="8640"/>
        <w:tab w:val="left" w:pos="6474"/>
      </w:tabs>
      <w:rPr>
        <w:rFonts w:ascii="Times New Roman" w:hAnsi="Times New Roman"/>
        <w:sz w:val="24"/>
      </w:rPr>
    </w:pPr>
  </w:p>
  <w:p w:rsidR="00F310A1" w:rsidRDefault="00F310A1">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w:t>
    </w:r>
    <w:smartTag w:uri="urn:schemas-microsoft-com:office:smarttags" w:element="Street">
      <w:smartTag w:uri="urn:schemas-microsoft-com:office:smarttags" w:element="address">
        <w:r>
          <w:rPr>
            <w:rFonts w:ascii="Times New Roman" w:hAnsi="Times New Roman"/>
            <w:sz w:val="24"/>
          </w:rPr>
          <w:t>MPG-1CT</w:t>
        </w:r>
      </w:smartTag>
    </w:smartTag>
    <w:r>
      <w:rPr>
        <w:rFonts w:ascii="Times New Roman" w:hAnsi="Times New Roman"/>
        <w:sz w:val="24"/>
      </w:rPr>
      <w:t>)</w:t>
    </w:r>
  </w:p>
  <w:p w:rsidR="00F310A1" w:rsidRDefault="00F310A1">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310A1" w:rsidRDefault="00F310A1">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0A1" w:rsidRDefault="00F310A1">
      <w:r>
        <w:separator/>
      </w:r>
    </w:p>
  </w:footnote>
  <w:footnote w:type="continuationSeparator" w:id="0">
    <w:p w:rsidR="00F310A1" w:rsidRDefault="00F310A1">
      <w:r>
        <w:continuationSeparator/>
      </w:r>
    </w:p>
  </w:footnote>
  <w:footnote w:id="1">
    <w:p w:rsidR="00F310A1" w:rsidRDefault="00F310A1">
      <w:pPr>
        <w:pStyle w:val="FootnoteText"/>
      </w:pPr>
      <w:r>
        <w:rPr>
          <w:rStyle w:val="FootnoteReference"/>
        </w:rPr>
        <w:footnoteRef/>
      </w:r>
      <w:r>
        <w:rPr>
          <w:vertAlign w:val="superscript"/>
        </w:rPr>
        <w:t>/</w:t>
      </w:r>
      <w:r>
        <w:t xml:space="preserve"> </w:t>
      </w:r>
      <w:r>
        <w:tab/>
      </w:r>
      <w:r w:rsidRPr="00EB5456">
        <w:t xml:space="preserve">WUTC Docket No. </w:t>
      </w:r>
      <w:r>
        <w:t>U-</w:t>
      </w:r>
      <w:r w:rsidRPr="00EB5456">
        <w:t xml:space="preserve">100522, Report and Policy Statement </w:t>
      </w:r>
      <w:r>
        <w:t>¶</w:t>
      </w:r>
      <w:r w:rsidRPr="00EB5456" w:rsidDel="00F32C03">
        <w:t xml:space="preserve"> </w:t>
      </w:r>
      <w:r>
        <w:t xml:space="preserve">12 </w:t>
      </w:r>
      <w:r w:rsidRPr="00EB5456">
        <w:t xml:space="preserve">(Nov. 4, 2010).  </w:t>
      </w:r>
    </w:p>
  </w:footnote>
  <w:footnote w:id="2">
    <w:p w:rsidR="00F310A1" w:rsidRDefault="00F310A1">
      <w:pPr>
        <w:pStyle w:val="FootnoteText"/>
      </w:pPr>
      <w:r>
        <w:rPr>
          <w:rStyle w:val="FootnoteReference"/>
        </w:rPr>
        <w:footnoteRef/>
      </w:r>
      <w:r>
        <w:rPr>
          <w:vertAlign w:val="superscript"/>
        </w:rPr>
        <w:t>/</w:t>
      </w:r>
      <w:r>
        <w:t xml:space="preserve"> </w:t>
      </w:r>
      <w:r>
        <w:tab/>
      </w:r>
      <w:r w:rsidRPr="006C4927">
        <w:rPr>
          <w:u w:val="single"/>
        </w:rPr>
        <w:t>Id</w:t>
      </w:r>
      <w:r w:rsidRPr="00E2082A">
        <w:rPr>
          <w:u w:val="single"/>
        </w:rPr>
        <w:t>.</w:t>
      </w:r>
      <w:r w:rsidRPr="00A6424F">
        <w:t xml:space="preserve"> at </w:t>
      </w:r>
      <w:r>
        <w:t>¶ 24</w:t>
      </w:r>
      <w:r w:rsidRPr="00A6424F">
        <w:t xml:space="preserve">.  </w:t>
      </w:r>
    </w:p>
  </w:footnote>
  <w:footnote w:id="3">
    <w:p w:rsidR="00F310A1" w:rsidRDefault="00F310A1">
      <w:pPr>
        <w:pStyle w:val="FootnoteText"/>
      </w:pPr>
      <w:r>
        <w:rPr>
          <w:rStyle w:val="FootnoteReference"/>
        </w:rPr>
        <w:footnoteRef/>
      </w:r>
      <w:r>
        <w:rPr>
          <w:vertAlign w:val="superscript"/>
        </w:rPr>
        <w:t>/</w:t>
      </w:r>
      <w:r>
        <w:t xml:space="preserve"> </w:t>
      </w:r>
      <w:r>
        <w:tab/>
      </w:r>
      <w:r w:rsidRPr="00AC4125">
        <w:t>WUTC Docket No. U-100522, Comments of Avista at 9</w:t>
      </w:r>
      <w:r>
        <w:t xml:space="preserve"> (June 4, 2010)</w:t>
      </w:r>
      <w:r w:rsidRPr="00AC4125">
        <w:t>.</w:t>
      </w:r>
    </w:p>
  </w:footnote>
  <w:footnote w:id="4">
    <w:p w:rsidR="00F310A1" w:rsidRDefault="00F310A1">
      <w:pPr>
        <w:pStyle w:val="FootnoteText"/>
      </w:pPr>
      <w:r>
        <w:rPr>
          <w:rStyle w:val="FootnoteReference"/>
        </w:rPr>
        <w:footnoteRef/>
      </w:r>
      <w:r>
        <w:rPr>
          <w:vertAlign w:val="superscript"/>
        </w:rPr>
        <w:t>/</w:t>
      </w:r>
      <w:r>
        <w:t xml:space="preserve"> </w:t>
      </w:r>
      <w:r>
        <w:tab/>
        <w:t xml:space="preserve">Direct Testimony of Ralph C. Cavanagh, </w:t>
      </w:r>
      <w:r w:rsidRPr="00475656">
        <w:t xml:space="preserve">Exhibit No. </w:t>
      </w:r>
      <w:proofErr w:type="gramStart"/>
      <w:r w:rsidRPr="00475656">
        <w:t>__ (RCC-1T) at 13.</w:t>
      </w:r>
      <w:proofErr w:type="gramEnd"/>
      <w:r w:rsidRPr="00475656">
        <w:t xml:space="preserve">  </w:t>
      </w:r>
    </w:p>
  </w:footnote>
  <w:footnote w:id="5">
    <w:p w:rsidR="00F310A1" w:rsidRDefault="00F310A1">
      <w:pPr>
        <w:pStyle w:val="FootnoteText"/>
      </w:pPr>
      <w:r>
        <w:rPr>
          <w:rStyle w:val="FootnoteReference"/>
        </w:rPr>
        <w:footnoteRef/>
      </w:r>
      <w:r>
        <w:rPr>
          <w:vertAlign w:val="superscript"/>
        </w:rPr>
        <w:t>/</w:t>
      </w:r>
      <w:r>
        <w:t xml:space="preserve"> </w:t>
      </w:r>
      <w:r>
        <w:tab/>
      </w:r>
      <w:r w:rsidRPr="0032604F">
        <w:t xml:space="preserve">Report and Policy Statement </w:t>
      </w:r>
      <w:r>
        <w:t>¶ 28</w:t>
      </w:r>
      <w:r w:rsidRPr="0032604F">
        <w:t>.</w:t>
      </w:r>
    </w:p>
  </w:footnote>
  <w:footnote w:id="6">
    <w:p w:rsidR="00F310A1" w:rsidRDefault="00F310A1">
      <w:pPr>
        <w:pStyle w:val="FootnoteText"/>
      </w:pPr>
      <w:r>
        <w:rPr>
          <w:rStyle w:val="FootnoteReference"/>
        </w:rPr>
        <w:footnoteRef/>
      </w:r>
      <w:r>
        <w:rPr>
          <w:vertAlign w:val="superscript"/>
        </w:rPr>
        <w:t>/</w:t>
      </w:r>
      <w:r>
        <w:t xml:space="preserve"> </w:t>
      </w:r>
      <w:r>
        <w:tab/>
      </w:r>
      <w:r w:rsidRPr="008314F9">
        <w:rPr>
          <w:u w:val="single"/>
        </w:rPr>
        <w:t>Id</w:t>
      </w:r>
      <w:r w:rsidRPr="00385D63">
        <w:rPr>
          <w:u w:val="single"/>
        </w:rPr>
        <w:t>.</w:t>
      </w:r>
    </w:p>
  </w:footnote>
  <w:footnote w:id="7">
    <w:p w:rsidR="00F310A1" w:rsidRDefault="00F310A1" w:rsidP="006C4927">
      <w:pPr>
        <w:pStyle w:val="FootnoteText"/>
        <w:ind w:left="720" w:hanging="720"/>
      </w:pPr>
      <w:r>
        <w:rPr>
          <w:rStyle w:val="FootnoteReference"/>
        </w:rPr>
        <w:footnoteRef/>
      </w:r>
      <w:r>
        <w:rPr>
          <w:vertAlign w:val="superscript"/>
        </w:rPr>
        <w:t>/</w:t>
      </w:r>
      <w:r>
        <w:t xml:space="preserve"> </w:t>
      </w:r>
      <w:r>
        <w:tab/>
      </w:r>
      <w:r w:rsidRPr="006C4927">
        <w:rPr>
          <w:u w:val="single"/>
        </w:rPr>
        <w:t>See</w:t>
      </w:r>
      <w:r w:rsidRPr="00DE5B76">
        <w:t xml:space="preserve"> </w:t>
      </w:r>
      <w:r>
        <w:t xml:space="preserve">Pamela </w:t>
      </w:r>
      <w:proofErr w:type="spellStart"/>
      <w:r>
        <w:t>Lesh</w:t>
      </w:r>
      <w:proofErr w:type="spellEnd"/>
      <w:r>
        <w:t xml:space="preserve">, Rate Impacts and Key Design Elements </w:t>
      </w:r>
      <w:proofErr w:type="gramStart"/>
      <w:r>
        <w:t>Of</w:t>
      </w:r>
      <w:proofErr w:type="gramEnd"/>
      <w:r>
        <w:t xml:space="preserve"> Gas a</w:t>
      </w:r>
      <w:r w:rsidRPr="00DE5B76">
        <w:t>nd Electric Utility Decoupling, 7 (2009)</w:t>
      </w:r>
      <w:r>
        <w:t xml:space="preserve">; </w:t>
      </w:r>
      <w:r w:rsidRPr="00C16480">
        <w:rPr>
          <w:u w:val="single"/>
        </w:rPr>
        <w:t>WUTC</w:t>
      </w:r>
      <w:r>
        <w:rPr>
          <w:u w:val="single"/>
        </w:rPr>
        <w:t xml:space="preserve"> v, Avista Corpor</w:t>
      </w:r>
      <w:r w:rsidRPr="00C16480">
        <w:rPr>
          <w:u w:val="single"/>
        </w:rPr>
        <w:t>ation</w:t>
      </w:r>
      <w:r>
        <w:t>,</w:t>
      </w:r>
      <w:r w:rsidRPr="00AC4125">
        <w:t xml:space="preserve"> Docket No. </w:t>
      </w:r>
      <w:proofErr w:type="gramStart"/>
      <w:r>
        <w:t>UE-090134, Brief of NW Energy Coalition, App.</w:t>
      </w:r>
      <w:proofErr w:type="gramEnd"/>
      <w:r>
        <w:t xml:space="preserve"> A (Nov. 10, 2009)</w:t>
      </w:r>
      <w:r w:rsidRPr="00DE5B76">
        <w:t>.</w:t>
      </w:r>
    </w:p>
  </w:footnote>
  <w:footnote w:id="8">
    <w:p w:rsidR="00F310A1" w:rsidRDefault="00F310A1">
      <w:pPr>
        <w:pStyle w:val="FootnoteText"/>
      </w:pPr>
      <w:r>
        <w:rPr>
          <w:rStyle w:val="FootnoteReference"/>
        </w:rPr>
        <w:footnoteRef/>
      </w:r>
      <w:r>
        <w:rPr>
          <w:vertAlign w:val="superscript"/>
        </w:rPr>
        <w:t>/</w:t>
      </w:r>
      <w:r>
        <w:t xml:space="preserve"> </w:t>
      </w:r>
      <w:r>
        <w:tab/>
      </w:r>
      <w:r w:rsidRPr="00AB73D4">
        <w:t xml:space="preserve">Report and Policy Statement </w:t>
      </w:r>
      <w:r>
        <w:t>¶ 28</w:t>
      </w:r>
      <w:r w:rsidRPr="00AB73D4">
        <w:t>.</w:t>
      </w:r>
    </w:p>
  </w:footnote>
  <w:footnote w:id="9">
    <w:p w:rsidR="00F310A1" w:rsidRDefault="00F310A1">
      <w:pPr>
        <w:pStyle w:val="FootnoteText"/>
      </w:pPr>
      <w:r>
        <w:rPr>
          <w:rStyle w:val="FootnoteReference"/>
        </w:rPr>
        <w:footnoteRef/>
      </w:r>
      <w:r>
        <w:rPr>
          <w:vertAlign w:val="superscript"/>
        </w:rPr>
        <w:t>/</w:t>
      </w:r>
      <w:r>
        <w:t xml:space="preserve"> </w:t>
      </w:r>
      <w:r>
        <w:tab/>
      </w:r>
      <w:r w:rsidRPr="007232EE">
        <w:rPr>
          <w:u w:val="single"/>
        </w:rPr>
        <w:t>Id.</w:t>
      </w:r>
      <w:r>
        <w:t xml:space="preserve"> ¶ 11</w:t>
      </w:r>
      <w:r w:rsidRPr="000350DA">
        <w:t xml:space="preserve">.  </w:t>
      </w:r>
    </w:p>
  </w:footnote>
  <w:footnote w:id="10">
    <w:p w:rsidR="00F310A1" w:rsidRDefault="00F310A1">
      <w:pPr>
        <w:pStyle w:val="FootnoteText"/>
      </w:pPr>
      <w:r>
        <w:rPr>
          <w:rStyle w:val="FootnoteReference"/>
        </w:rPr>
        <w:footnoteRef/>
      </w:r>
      <w:r>
        <w:rPr>
          <w:vertAlign w:val="superscript"/>
        </w:rPr>
        <w:t>/</w:t>
      </w:r>
      <w:r>
        <w:t xml:space="preserve"> </w:t>
      </w:r>
      <w:r>
        <w:tab/>
      </w:r>
      <w:r w:rsidRPr="007232EE">
        <w:rPr>
          <w:u w:val="single"/>
        </w:rPr>
        <w:t>Id.</w:t>
      </w:r>
      <w:r w:rsidRPr="007232EE">
        <w:t xml:space="preserve"> </w:t>
      </w:r>
      <w:r>
        <w:t xml:space="preserve">¶ 28, </w:t>
      </w:r>
      <w:r w:rsidRPr="00B40ED6">
        <w:t>n.44.</w:t>
      </w:r>
    </w:p>
  </w:footnote>
  <w:footnote w:id="11">
    <w:p w:rsidR="00F310A1" w:rsidRDefault="00F310A1">
      <w:pPr>
        <w:pStyle w:val="FootnoteText"/>
      </w:pPr>
      <w:r>
        <w:rPr>
          <w:rStyle w:val="FootnoteReference"/>
        </w:rPr>
        <w:footnoteRef/>
      </w:r>
      <w:r>
        <w:rPr>
          <w:vertAlign w:val="superscript"/>
        </w:rPr>
        <w:t>/</w:t>
      </w:r>
      <w:r>
        <w:rPr>
          <w:vertAlign w:val="superscript"/>
        </w:rPr>
        <w:tab/>
      </w:r>
      <w:r>
        <w:rPr>
          <w:u w:val="single"/>
        </w:rPr>
        <w:t>Id</w:t>
      </w:r>
      <w:r w:rsidRPr="005C4CFE">
        <w:rPr>
          <w:u w:val="single"/>
        </w:rPr>
        <w:t>.</w:t>
      </w:r>
      <w:r>
        <w:t xml:space="preserve"> </w:t>
      </w:r>
    </w:p>
  </w:footnote>
  <w:footnote w:id="12">
    <w:p w:rsidR="00F310A1" w:rsidRDefault="00F310A1">
      <w:pPr>
        <w:pStyle w:val="FootnoteText"/>
      </w:pPr>
      <w:r>
        <w:rPr>
          <w:rStyle w:val="FootnoteReference"/>
        </w:rPr>
        <w:footnoteRef/>
      </w:r>
      <w:r>
        <w:rPr>
          <w:vertAlign w:val="superscript"/>
        </w:rPr>
        <w:t>/</w:t>
      </w:r>
      <w:r>
        <w:t xml:space="preserve"> </w:t>
      </w:r>
      <w:r>
        <w:tab/>
      </w:r>
      <w:r w:rsidRPr="00314180">
        <w:t>Responsive Testimony of Ralph C. Cavanagh</w:t>
      </w:r>
      <w:r>
        <w:t>, Exhibit No.__</w:t>
      </w:r>
      <w:proofErr w:type="gramStart"/>
      <w:r>
        <w:t>_(</w:t>
      </w:r>
      <w:proofErr w:type="gramEnd"/>
      <w:r>
        <w:t>RCC-1T) at 8.</w:t>
      </w:r>
    </w:p>
  </w:footnote>
  <w:footnote w:id="13">
    <w:p w:rsidR="00F310A1" w:rsidRDefault="00F310A1">
      <w:pPr>
        <w:pStyle w:val="FootnoteText"/>
      </w:pPr>
      <w:r>
        <w:rPr>
          <w:rStyle w:val="FootnoteReference"/>
        </w:rPr>
        <w:footnoteRef/>
      </w:r>
      <w:r>
        <w:rPr>
          <w:vertAlign w:val="superscript"/>
        </w:rPr>
        <w:t>/</w:t>
      </w:r>
      <w:r>
        <w:t xml:space="preserve"> </w:t>
      </w:r>
      <w:r>
        <w:tab/>
      </w:r>
      <w:r w:rsidRPr="00F56593">
        <w:t xml:space="preserve">Report and Policy Statement </w:t>
      </w:r>
      <w:r>
        <w:t>¶ 9, ¶ 28.</w:t>
      </w:r>
      <w:r w:rsidRPr="00F56593">
        <w:t xml:space="preserve"> </w:t>
      </w:r>
    </w:p>
  </w:footnote>
  <w:footnote w:id="14">
    <w:p w:rsidR="00F310A1" w:rsidRDefault="00F310A1">
      <w:pPr>
        <w:pStyle w:val="FootnoteText"/>
      </w:pPr>
      <w:r>
        <w:rPr>
          <w:rStyle w:val="FootnoteReference"/>
        </w:rPr>
        <w:footnoteRef/>
      </w:r>
      <w:r>
        <w:rPr>
          <w:vertAlign w:val="superscript"/>
        </w:rPr>
        <w:t>/</w:t>
      </w:r>
      <w:r>
        <w:t xml:space="preserve"> </w:t>
      </w:r>
      <w:r>
        <w:tab/>
      </w:r>
      <w:r w:rsidRPr="00496609">
        <w:t xml:space="preserve">Exhibit No. __ (RCC-1T) at </w:t>
      </w:r>
      <w:r>
        <w:t>16-17</w:t>
      </w:r>
      <w:r w:rsidRPr="00496609">
        <w:t xml:space="preserve">.  </w:t>
      </w:r>
    </w:p>
  </w:footnote>
  <w:footnote w:id="15">
    <w:p w:rsidR="00F310A1" w:rsidRDefault="00F310A1" w:rsidP="000A7639">
      <w:pPr>
        <w:pStyle w:val="FootnoteText"/>
        <w:ind w:left="720" w:hanging="720"/>
      </w:pPr>
      <w:r>
        <w:rPr>
          <w:rStyle w:val="FootnoteReference"/>
        </w:rPr>
        <w:footnoteRef/>
      </w:r>
      <w:r>
        <w:rPr>
          <w:vertAlign w:val="superscript"/>
        </w:rPr>
        <w:t>/</w:t>
      </w:r>
      <w:r>
        <w:t xml:space="preserve"> </w:t>
      </w:r>
      <w:r>
        <w:tab/>
      </w:r>
      <w:r w:rsidRPr="00C142E4">
        <w:t>WHARTON ET AL., THE IMPACT OF DECOUPLING ON THE COST OF CAPITAL, 2</w:t>
      </w:r>
      <w:r>
        <w:t>,</w:t>
      </w:r>
      <w:r w:rsidRPr="00C142E4">
        <w:t xml:space="preserve"> The Brattle Group, (March 2011).  </w:t>
      </w:r>
    </w:p>
  </w:footnote>
  <w:footnote w:id="16">
    <w:p w:rsidR="00F310A1" w:rsidRDefault="00F310A1">
      <w:pPr>
        <w:pStyle w:val="FootnoteText"/>
      </w:pPr>
      <w:r>
        <w:rPr>
          <w:rStyle w:val="FootnoteReference"/>
        </w:rPr>
        <w:footnoteRef/>
      </w:r>
      <w:r>
        <w:rPr>
          <w:vertAlign w:val="superscript"/>
        </w:rPr>
        <w:t>/</w:t>
      </w:r>
      <w:r>
        <w:t xml:space="preserve"> </w:t>
      </w:r>
      <w:r>
        <w:tab/>
      </w:r>
      <w:r w:rsidRPr="00D56C1D">
        <w:t>Exh</w:t>
      </w:r>
      <w:r>
        <w:t>ibit No.</w:t>
      </w:r>
      <w:r w:rsidRPr="00D56C1D">
        <w:t xml:space="preserve"> </w:t>
      </w:r>
      <w:proofErr w:type="gramStart"/>
      <w:r w:rsidRPr="00D56C1D">
        <w:t>___ (</w:t>
      </w:r>
      <w:r w:rsidRPr="00A039EE">
        <w:t>MCD-</w:t>
      </w:r>
      <w:r>
        <w:t>3</w:t>
      </w:r>
      <w:r w:rsidRPr="00A039EE">
        <w:t>).</w:t>
      </w:r>
      <w:proofErr w:type="gramEnd"/>
      <w:r w:rsidRPr="00D56C1D">
        <w:t xml:space="preserve"> </w:t>
      </w:r>
    </w:p>
  </w:footnote>
  <w:footnote w:id="17">
    <w:p w:rsidR="00F310A1" w:rsidRDefault="00F310A1" w:rsidP="00990E8B">
      <w:pPr>
        <w:pStyle w:val="FootnoteText"/>
        <w:ind w:left="720" w:hanging="720"/>
      </w:pPr>
      <w:r>
        <w:rPr>
          <w:rStyle w:val="FootnoteReference"/>
        </w:rPr>
        <w:footnoteRef/>
      </w:r>
      <w:r>
        <w:rPr>
          <w:vertAlign w:val="superscript"/>
        </w:rPr>
        <w:t>/</w:t>
      </w:r>
      <w:r>
        <w:t xml:space="preserve"> </w:t>
      </w:r>
      <w:r>
        <w:tab/>
      </w:r>
      <w:r w:rsidRPr="00265C5A">
        <w:t xml:space="preserve">Revenue Regulation </w:t>
      </w:r>
      <w:r>
        <w:t>a</w:t>
      </w:r>
      <w:r w:rsidRPr="00265C5A">
        <w:t>nd Decoupling</w:t>
      </w:r>
      <w:r>
        <w:t>: A Guide to Theory and Application, The Regulatory Assistance Project (June 2011)</w:t>
      </w:r>
      <w:r w:rsidRPr="00265C5A">
        <w:t xml:space="preserve">, 39 </w:t>
      </w:r>
      <w:proofErr w:type="spellStart"/>
      <w:r w:rsidRPr="00265C5A">
        <w:t>n.31</w:t>
      </w:r>
      <w:proofErr w:type="spellEnd"/>
      <w:r w:rsidRPr="00265C5A">
        <w:t xml:space="preserve">.  </w:t>
      </w:r>
    </w:p>
  </w:footnote>
  <w:footnote w:id="18">
    <w:p w:rsidR="00F310A1" w:rsidRDefault="00F310A1">
      <w:pPr>
        <w:pStyle w:val="FootnoteText"/>
      </w:pPr>
      <w:r>
        <w:rPr>
          <w:rStyle w:val="FootnoteReference"/>
        </w:rPr>
        <w:footnoteRef/>
      </w:r>
      <w:r>
        <w:rPr>
          <w:vertAlign w:val="superscript"/>
        </w:rPr>
        <w:t>/</w:t>
      </w:r>
      <w:r>
        <w:t xml:space="preserve"> </w:t>
      </w:r>
      <w:r>
        <w:tab/>
      </w:r>
      <w:r w:rsidRPr="000A7639">
        <w:rPr>
          <w:u w:val="single"/>
        </w:rPr>
        <w:t>Id</w:t>
      </w:r>
      <w:r w:rsidRPr="000D5259">
        <w:rPr>
          <w:u w:val="single"/>
        </w:rPr>
        <w:t>.</w:t>
      </w:r>
      <w:r w:rsidRPr="00984925">
        <w:t xml:space="preserve">  </w:t>
      </w:r>
    </w:p>
  </w:footnote>
  <w:footnote w:id="19">
    <w:p w:rsidR="00F310A1" w:rsidRDefault="00F310A1">
      <w:pPr>
        <w:pStyle w:val="FootnoteText"/>
      </w:pPr>
      <w:r>
        <w:rPr>
          <w:rStyle w:val="FootnoteReference"/>
        </w:rPr>
        <w:footnoteRef/>
      </w:r>
      <w:r>
        <w:rPr>
          <w:vertAlign w:val="superscript"/>
        </w:rPr>
        <w:t>/</w:t>
      </w:r>
      <w:r>
        <w:t xml:space="preserve"> </w:t>
      </w:r>
      <w:r>
        <w:tab/>
      </w:r>
      <w:r w:rsidRPr="000A7639">
        <w:rPr>
          <w:u w:val="single"/>
        </w:rPr>
        <w:t>Id</w:t>
      </w:r>
      <w:r w:rsidRPr="000D5259">
        <w:rPr>
          <w:u w:val="single"/>
        </w:rPr>
        <w:t>.</w:t>
      </w:r>
      <w:r w:rsidRPr="00024DC3">
        <w:t xml:space="preserve"> at 37</w:t>
      </w:r>
      <w:r>
        <w:t>, 39</w:t>
      </w:r>
      <w:r w:rsidRPr="00024DC3">
        <w:t>.</w:t>
      </w:r>
    </w:p>
  </w:footnote>
  <w:footnote w:id="20">
    <w:p w:rsidR="00F310A1" w:rsidRDefault="00F310A1">
      <w:pPr>
        <w:pStyle w:val="FootnoteText"/>
      </w:pPr>
      <w:r>
        <w:rPr>
          <w:rStyle w:val="FootnoteReference"/>
        </w:rPr>
        <w:footnoteRef/>
      </w:r>
      <w:r>
        <w:rPr>
          <w:vertAlign w:val="superscript"/>
        </w:rPr>
        <w:t>/</w:t>
      </w:r>
      <w:r>
        <w:t xml:space="preserve"> </w:t>
      </w:r>
      <w:r>
        <w:tab/>
      </w:r>
      <w:r>
        <w:rPr>
          <w:u w:val="single"/>
        </w:rPr>
        <w:t>Re PacifiCorp</w:t>
      </w:r>
      <w:r w:rsidRPr="00062CC5">
        <w:t xml:space="preserve">, WUTC Docket No. </w:t>
      </w:r>
      <w:proofErr w:type="gramStart"/>
      <w:r w:rsidRPr="00062CC5">
        <w:t xml:space="preserve">UE-061546, Order No. 8 </w:t>
      </w:r>
      <w:r>
        <w:t xml:space="preserve">¶ 106, </w:t>
      </w:r>
      <w:r w:rsidRPr="00062CC5">
        <w:t>n.6</w:t>
      </w:r>
      <w:r>
        <w:t>7</w:t>
      </w:r>
      <w:r w:rsidRPr="00062CC5">
        <w:t xml:space="preserve"> (June 21, 2007).</w:t>
      </w:r>
      <w:proofErr w:type="gramEnd"/>
    </w:p>
  </w:footnote>
  <w:footnote w:id="21">
    <w:p w:rsidR="00F310A1" w:rsidRDefault="00F310A1" w:rsidP="003D0821">
      <w:pPr>
        <w:pStyle w:val="FootnoteText"/>
        <w:ind w:left="720" w:hanging="720"/>
      </w:pPr>
      <w:r>
        <w:rPr>
          <w:rStyle w:val="FootnoteReference"/>
        </w:rPr>
        <w:footnoteRef/>
      </w:r>
      <w:r>
        <w:rPr>
          <w:vertAlign w:val="superscript"/>
        </w:rPr>
        <w:t>/</w:t>
      </w:r>
      <w:r>
        <w:t xml:space="preserve"> </w:t>
      </w:r>
      <w:r>
        <w:tab/>
      </w:r>
      <w:r>
        <w:rPr>
          <w:u w:val="single"/>
        </w:rPr>
        <w:t>WUTC v. Puget Sound Energy, Inc.</w:t>
      </w:r>
      <w:r>
        <w:t xml:space="preserve">, </w:t>
      </w:r>
      <w:r w:rsidRPr="009A75E2">
        <w:t>Docket Nos. UE-111048/UG-111049</w:t>
      </w:r>
      <w:r>
        <w:t>, Staff Response to Bench Request</w:t>
      </w:r>
      <w:r w:rsidRPr="007B2875">
        <w:t xml:space="preserve"> at 12-13.</w:t>
      </w:r>
    </w:p>
  </w:footnote>
  <w:footnote w:id="22">
    <w:p w:rsidR="00F310A1" w:rsidRDefault="00F310A1">
      <w:pPr>
        <w:pStyle w:val="FootnoteText"/>
      </w:pPr>
      <w:r>
        <w:rPr>
          <w:rStyle w:val="FootnoteReference"/>
        </w:rPr>
        <w:footnoteRef/>
      </w:r>
      <w:r w:rsidRPr="003D0821">
        <w:rPr>
          <w:vertAlign w:val="superscript"/>
        </w:rPr>
        <w:t>/</w:t>
      </w:r>
      <w:r>
        <w:tab/>
      </w:r>
      <w:r w:rsidRPr="00314180">
        <w:t>Responsive Testimony of Ralph C. Cavanagh</w:t>
      </w:r>
      <w:r>
        <w:t>, Exhibit No.__</w:t>
      </w:r>
      <w:proofErr w:type="gramStart"/>
      <w:r>
        <w:t>_(</w:t>
      </w:r>
      <w:proofErr w:type="gramEnd"/>
      <w:r>
        <w:t>RCC-1T) at 22.</w:t>
      </w:r>
    </w:p>
  </w:footnote>
  <w:footnote w:id="23">
    <w:p w:rsidR="00F310A1" w:rsidRDefault="00F310A1">
      <w:pPr>
        <w:pStyle w:val="FootnoteText"/>
      </w:pPr>
      <w:r>
        <w:rPr>
          <w:rStyle w:val="FootnoteReference"/>
        </w:rPr>
        <w:footnoteRef/>
      </w:r>
      <w:r w:rsidRPr="003D0821">
        <w:rPr>
          <w:vertAlign w:val="superscript"/>
        </w:rPr>
        <w:t>/</w:t>
      </w:r>
      <w:r>
        <w:t xml:space="preserve">  </w:t>
      </w:r>
      <w:r>
        <w:tab/>
      </w:r>
      <w:r w:rsidRPr="002825B6">
        <w:rPr>
          <w:u w:val="single"/>
        </w:rPr>
        <w:t>Id.</w:t>
      </w:r>
      <w:r>
        <w:t xml:space="preserve"> </w:t>
      </w:r>
      <w:proofErr w:type="gramStart"/>
      <w:r>
        <w:t>at 22 n.27</w:t>
      </w:r>
      <w:proofErr w:type="gram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rsidP="00A343C2">
    <w:pPr>
      <w:pStyle w:val="Header"/>
      <w:jc w:val="right"/>
      <w:rPr>
        <w:rFonts w:ascii="Times New Roman" w:hAnsi="Times New Roman"/>
        <w:sz w:val="24"/>
        <w:szCs w:val="24"/>
      </w:rPr>
    </w:pPr>
    <w:r>
      <w:rPr>
        <w:rFonts w:ascii="Times New Roman" w:hAnsi="Times New Roman"/>
        <w:sz w:val="24"/>
        <w:szCs w:val="24"/>
      </w:rPr>
      <w:t>Exhibit No.__</w:t>
    </w:r>
    <w:proofErr w:type="gramStart"/>
    <w:r>
      <w:rPr>
        <w:rFonts w:ascii="Times New Roman" w:hAnsi="Times New Roman"/>
        <w:sz w:val="24"/>
        <w:szCs w:val="24"/>
      </w:rPr>
      <w:t>_(</w:t>
    </w:r>
    <w:proofErr w:type="gramEnd"/>
    <w:r>
      <w:rPr>
        <w:rFonts w:ascii="Times New Roman" w:hAnsi="Times New Roman"/>
        <w:sz w:val="24"/>
        <w:szCs w:val="24"/>
      </w:rPr>
      <w:t>MCD-1T)</w:t>
    </w:r>
  </w:p>
  <w:p w:rsidR="00F310A1" w:rsidRPr="002F022F" w:rsidRDefault="00F310A1" w:rsidP="002F022F">
    <w:pPr>
      <w:jc w:val="right"/>
      <w:rPr>
        <w:rFonts w:ascii="Times New Roman" w:hAnsi="Times New Roman"/>
        <w:sz w:val="24"/>
        <w:szCs w:val="24"/>
      </w:rPr>
    </w:pPr>
    <w:r w:rsidRPr="002F022F">
      <w:rPr>
        <w:rFonts w:ascii="Times New Roman" w:hAnsi="Times New Roman"/>
        <w:sz w:val="24"/>
        <w:szCs w:val="24"/>
      </w:rPr>
      <w:t>Docket Nos. UE-11</w:t>
    </w:r>
    <w:r>
      <w:rPr>
        <w:rFonts w:ascii="Times New Roman" w:hAnsi="Times New Roman"/>
        <w:sz w:val="24"/>
        <w:szCs w:val="24"/>
      </w:rPr>
      <w:t>0876</w:t>
    </w:r>
    <w:r w:rsidRPr="002F022F">
      <w:rPr>
        <w:rFonts w:ascii="Times New Roman" w:hAnsi="Times New Roman"/>
        <w:sz w:val="24"/>
        <w:szCs w:val="24"/>
      </w:rPr>
      <w:t>/U</w:t>
    </w:r>
    <w:r>
      <w:rPr>
        <w:rFonts w:ascii="Times New Roman" w:hAnsi="Times New Roman"/>
        <w:sz w:val="24"/>
        <w:szCs w:val="24"/>
      </w:rPr>
      <w:t>G</w:t>
    </w:r>
    <w:r w:rsidRPr="002F022F">
      <w:rPr>
        <w:rFonts w:ascii="Times New Roman" w:hAnsi="Times New Roman"/>
        <w:sz w:val="24"/>
        <w:szCs w:val="24"/>
      </w:rPr>
      <w:t>-11</w:t>
    </w:r>
    <w:r>
      <w:rPr>
        <w:rFonts w:ascii="Times New Roman" w:hAnsi="Times New Roman"/>
        <w:sz w:val="24"/>
        <w:szCs w:val="24"/>
      </w:rPr>
      <w:t>0876</w:t>
    </w:r>
  </w:p>
  <w:p w:rsidR="00F310A1" w:rsidRPr="00A343C2" w:rsidRDefault="00F310A1" w:rsidP="00A343C2">
    <w:pPr>
      <w:pStyle w:val="Header"/>
      <w:jc w:val="right"/>
      <w:rPr>
        <w:rFonts w:ascii="Times New Roman" w:hAnsi="Times New Roman"/>
        <w:sz w:val="24"/>
        <w:szCs w:val="24"/>
      </w:rPr>
    </w:pPr>
    <w:r>
      <w:rPr>
        <w:rFonts w:ascii="Times New Roman" w:hAnsi="Times New Roman"/>
        <w:sz w:val="24"/>
        <w:szCs w:val="24"/>
      </w:rPr>
      <w:t>Witness:  Michael C. Deen</w:t>
    </w:r>
  </w:p>
  <w:p w:rsidR="00F310A1" w:rsidRPr="00AF31F3" w:rsidRDefault="00F310A1" w:rsidP="00AF31F3">
    <w:pPr>
      <w:pStyle w:val="Header"/>
      <w:tabs>
        <w:tab w:val="clear" w:pos="4320"/>
        <w:tab w:val="clear" w:pos="8640"/>
      </w:tabs>
      <w:jc w:val="right"/>
      <w:rPr>
        <w:rFonts w:ascii="Times New Roman" w:hAnsi="Times New Roman"/>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Pr="0006677C" w:rsidRDefault="00F310A1" w:rsidP="002436CC">
    <w:pPr>
      <w:pStyle w:val="Header"/>
      <w:jc w:val="right"/>
      <w:rPr>
        <w:b/>
        <w:i/>
      </w:rPr>
    </w:pPr>
    <w:r w:rsidRPr="0006677C">
      <w:rPr>
        <w:b/>
        <w:i/>
        <w:color w:val="FF0000"/>
        <w:sz w:val="20"/>
      </w:rPr>
      <w:t xml:space="preserve">CONFIDENTIAL ATTORNEY-CLIENT PRIVILEGED/ATTORNEY </w:t>
    </w:r>
    <w:smartTag w:uri="urn:schemas-microsoft-com:office:smarttags" w:element="PlaceType">
      <w:r w:rsidRPr="0006677C">
        <w:rPr>
          <w:b/>
          <w:i/>
          <w:color w:val="FF0000"/>
          <w:sz w:val="20"/>
        </w:rPr>
        <w:t>WORK</w:t>
      </w:r>
    </w:smartTag>
    <w:r w:rsidRPr="0006677C">
      <w:rPr>
        <w:b/>
        <w:i/>
        <w:color w:val="FF0000"/>
        <w:sz w:val="20"/>
      </w:rPr>
      <w:t xml:space="preserve"> PRODUCT</w:t>
    </w:r>
  </w:p>
  <w:p w:rsidR="00F310A1" w:rsidRDefault="00F310A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A1" w:rsidRDefault="00F310A1">
    <w:pPr>
      <w:pStyle w:val="Header"/>
      <w:tabs>
        <w:tab w:val="left" w:pos="6110"/>
      </w:tabs>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7749EA"/>
    <w:rsid w:val="00000439"/>
    <w:rsid w:val="000011F5"/>
    <w:rsid w:val="00003A8A"/>
    <w:rsid w:val="00003BB6"/>
    <w:rsid w:val="00012B7E"/>
    <w:rsid w:val="000152F5"/>
    <w:rsid w:val="00020F74"/>
    <w:rsid w:val="00024DC3"/>
    <w:rsid w:val="00024EB6"/>
    <w:rsid w:val="00025241"/>
    <w:rsid w:val="00025A33"/>
    <w:rsid w:val="00027CBB"/>
    <w:rsid w:val="00031E57"/>
    <w:rsid w:val="000350DA"/>
    <w:rsid w:val="00035147"/>
    <w:rsid w:val="00043358"/>
    <w:rsid w:val="00051382"/>
    <w:rsid w:val="0005210C"/>
    <w:rsid w:val="000528EE"/>
    <w:rsid w:val="000574D8"/>
    <w:rsid w:val="00057928"/>
    <w:rsid w:val="00062CC5"/>
    <w:rsid w:val="00062ECC"/>
    <w:rsid w:val="0006405E"/>
    <w:rsid w:val="000651C0"/>
    <w:rsid w:val="00067AF5"/>
    <w:rsid w:val="00070C3C"/>
    <w:rsid w:val="000714CA"/>
    <w:rsid w:val="0007164E"/>
    <w:rsid w:val="0007340F"/>
    <w:rsid w:val="00073F4C"/>
    <w:rsid w:val="00074A27"/>
    <w:rsid w:val="00075C1D"/>
    <w:rsid w:val="00083CDB"/>
    <w:rsid w:val="0008482C"/>
    <w:rsid w:val="00086B59"/>
    <w:rsid w:val="00087430"/>
    <w:rsid w:val="00087E6F"/>
    <w:rsid w:val="000920C8"/>
    <w:rsid w:val="00092FAE"/>
    <w:rsid w:val="000938FD"/>
    <w:rsid w:val="000A40A0"/>
    <w:rsid w:val="000A7639"/>
    <w:rsid w:val="000B2B57"/>
    <w:rsid w:val="000B7831"/>
    <w:rsid w:val="000C0D33"/>
    <w:rsid w:val="000C4462"/>
    <w:rsid w:val="000C4700"/>
    <w:rsid w:val="000C56F6"/>
    <w:rsid w:val="000C698E"/>
    <w:rsid w:val="000C7488"/>
    <w:rsid w:val="000D0B83"/>
    <w:rsid w:val="000D1C52"/>
    <w:rsid w:val="000D4ACA"/>
    <w:rsid w:val="000D5259"/>
    <w:rsid w:val="000D5FCC"/>
    <w:rsid w:val="000E1BF9"/>
    <w:rsid w:val="000E2D9D"/>
    <w:rsid w:val="000F0195"/>
    <w:rsid w:val="000F0B33"/>
    <w:rsid w:val="000F1881"/>
    <w:rsid w:val="000F31D3"/>
    <w:rsid w:val="000F321E"/>
    <w:rsid w:val="000F38ED"/>
    <w:rsid w:val="000F4733"/>
    <w:rsid w:val="000F4FDC"/>
    <w:rsid w:val="000F592F"/>
    <w:rsid w:val="000F7A06"/>
    <w:rsid w:val="00100101"/>
    <w:rsid w:val="00100383"/>
    <w:rsid w:val="00100C89"/>
    <w:rsid w:val="00101A86"/>
    <w:rsid w:val="00101EE1"/>
    <w:rsid w:val="00102E6E"/>
    <w:rsid w:val="00103E1E"/>
    <w:rsid w:val="00104339"/>
    <w:rsid w:val="00104373"/>
    <w:rsid w:val="001076E9"/>
    <w:rsid w:val="00114213"/>
    <w:rsid w:val="001146FD"/>
    <w:rsid w:val="0012205A"/>
    <w:rsid w:val="001227AA"/>
    <w:rsid w:val="00124049"/>
    <w:rsid w:val="001251E5"/>
    <w:rsid w:val="00127584"/>
    <w:rsid w:val="00127791"/>
    <w:rsid w:val="0013228D"/>
    <w:rsid w:val="00133CBE"/>
    <w:rsid w:val="001346CF"/>
    <w:rsid w:val="00136A6E"/>
    <w:rsid w:val="00136E78"/>
    <w:rsid w:val="0013705C"/>
    <w:rsid w:val="001371B7"/>
    <w:rsid w:val="00137385"/>
    <w:rsid w:val="001404B0"/>
    <w:rsid w:val="00143B27"/>
    <w:rsid w:val="0014699C"/>
    <w:rsid w:val="001472FA"/>
    <w:rsid w:val="00151308"/>
    <w:rsid w:val="001545EA"/>
    <w:rsid w:val="001625A4"/>
    <w:rsid w:val="00162735"/>
    <w:rsid w:val="00163CBB"/>
    <w:rsid w:val="00163D58"/>
    <w:rsid w:val="00167F10"/>
    <w:rsid w:val="00170DCD"/>
    <w:rsid w:val="00174715"/>
    <w:rsid w:val="00176F9F"/>
    <w:rsid w:val="00177826"/>
    <w:rsid w:val="001778F8"/>
    <w:rsid w:val="00177C3A"/>
    <w:rsid w:val="001805B4"/>
    <w:rsid w:val="00181B15"/>
    <w:rsid w:val="0018213D"/>
    <w:rsid w:val="0018751F"/>
    <w:rsid w:val="001900D6"/>
    <w:rsid w:val="0019142B"/>
    <w:rsid w:val="0019245F"/>
    <w:rsid w:val="00193217"/>
    <w:rsid w:val="00195A4D"/>
    <w:rsid w:val="00197D7E"/>
    <w:rsid w:val="00197F95"/>
    <w:rsid w:val="001A0485"/>
    <w:rsid w:val="001A20C7"/>
    <w:rsid w:val="001A25B3"/>
    <w:rsid w:val="001A3118"/>
    <w:rsid w:val="001A4BB3"/>
    <w:rsid w:val="001A4CA9"/>
    <w:rsid w:val="001A55A2"/>
    <w:rsid w:val="001A649C"/>
    <w:rsid w:val="001A754C"/>
    <w:rsid w:val="001A7F0E"/>
    <w:rsid w:val="001B25F4"/>
    <w:rsid w:val="001B2775"/>
    <w:rsid w:val="001B309A"/>
    <w:rsid w:val="001B39F0"/>
    <w:rsid w:val="001B6143"/>
    <w:rsid w:val="001C02E6"/>
    <w:rsid w:val="001C196E"/>
    <w:rsid w:val="001C1BE0"/>
    <w:rsid w:val="001C3DE7"/>
    <w:rsid w:val="001C4568"/>
    <w:rsid w:val="001C5A40"/>
    <w:rsid w:val="001C6ACA"/>
    <w:rsid w:val="001D1514"/>
    <w:rsid w:val="001D2FC3"/>
    <w:rsid w:val="001D6137"/>
    <w:rsid w:val="001D70B5"/>
    <w:rsid w:val="001E0F81"/>
    <w:rsid w:val="001E1BFD"/>
    <w:rsid w:val="001E1C9B"/>
    <w:rsid w:val="001E23A3"/>
    <w:rsid w:val="001E2D7D"/>
    <w:rsid w:val="001E3FF5"/>
    <w:rsid w:val="001E5B2F"/>
    <w:rsid w:val="001F086B"/>
    <w:rsid w:val="001F0CE7"/>
    <w:rsid w:val="001F2F88"/>
    <w:rsid w:val="001F31EB"/>
    <w:rsid w:val="001F7AE7"/>
    <w:rsid w:val="00201957"/>
    <w:rsid w:val="0020335C"/>
    <w:rsid w:val="002036D7"/>
    <w:rsid w:val="00204123"/>
    <w:rsid w:val="002045CF"/>
    <w:rsid w:val="002046A4"/>
    <w:rsid w:val="00211C67"/>
    <w:rsid w:val="002140A2"/>
    <w:rsid w:val="00217A2E"/>
    <w:rsid w:val="00220708"/>
    <w:rsid w:val="0022127B"/>
    <w:rsid w:val="00221918"/>
    <w:rsid w:val="002230A8"/>
    <w:rsid w:val="002246E4"/>
    <w:rsid w:val="002248BC"/>
    <w:rsid w:val="002255DC"/>
    <w:rsid w:val="0022640C"/>
    <w:rsid w:val="002277D2"/>
    <w:rsid w:val="00231397"/>
    <w:rsid w:val="00231DDA"/>
    <w:rsid w:val="00232807"/>
    <w:rsid w:val="00232DD1"/>
    <w:rsid w:val="002355B9"/>
    <w:rsid w:val="0023610C"/>
    <w:rsid w:val="002363F0"/>
    <w:rsid w:val="00236615"/>
    <w:rsid w:val="002374AC"/>
    <w:rsid w:val="002436CC"/>
    <w:rsid w:val="00244547"/>
    <w:rsid w:val="0024792C"/>
    <w:rsid w:val="002512C5"/>
    <w:rsid w:val="002516A8"/>
    <w:rsid w:val="00253266"/>
    <w:rsid w:val="002533B7"/>
    <w:rsid w:val="0025345C"/>
    <w:rsid w:val="00254003"/>
    <w:rsid w:val="00254F86"/>
    <w:rsid w:val="00262945"/>
    <w:rsid w:val="0026512E"/>
    <w:rsid w:val="00265C5A"/>
    <w:rsid w:val="002669AD"/>
    <w:rsid w:val="002740C5"/>
    <w:rsid w:val="002763F2"/>
    <w:rsid w:val="002808F7"/>
    <w:rsid w:val="00280DE8"/>
    <w:rsid w:val="0028177F"/>
    <w:rsid w:val="00281D39"/>
    <w:rsid w:val="00282027"/>
    <w:rsid w:val="002825B6"/>
    <w:rsid w:val="00285D0B"/>
    <w:rsid w:val="002903D6"/>
    <w:rsid w:val="002906BC"/>
    <w:rsid w:val="00291CE9"/>
    <w:rsid w:val="002A0758"/>
    <w:rsid w:val="002A1C73"/>
    <w:rsid w:val="002A34AE"/>
    <w:rsid w:val="002B18AB"/>
    <w:rsid w:val="002B1AB9"/>
    <w:rsid w:val="002B25CB"/>
    <w:rsid w:val="002B3720"/>
    <w:rsid w:val="002B75DB"/>
    <w:rsid w:val="002B781D"/>
    <w:rsid w:val="002C38B6"/>
    <w:rsid w:val="002C3E12"/>
    <w:rsid w:val="002C6D65"/>
    <w:rsid w:val="002D145E"/>
    <w:rsid w:val="002D1BFD"/>
    <w:rsid w:val="002D2B24"/>
    <w:rsid w:val="002D33CB"/>
    <w:rsid w:val="002D391C"/>
    <w:rsid w:val="002D4E50"/>
    <w:rsid w:val="002D5EA8"/>
    <w:rsid w:val="002D6AC4"/>
    <w:rsid w:val="002E0037"/>
    <w:rsid w:val="002E12F5"/>
    <w:rsid w:val="002E2F0F"/>
    <w:rsid w:val="002E3A19"/>
    <w:rsid w:val="002E3A5B"/>
    <w:rsid w:val="002E42F2"/>
    <w:rsid w:val="002E451D"/>
    <w:rsid w:val="002E57E0"/>
    <w:rsid w:val="002E597C"/>
    <w:rsid w:val="002E7855"/>
    <w:rsid w:val="002F022F"/>
    <w:rsid w:val="002F0694"/>
    <w:rsid w:val="002F0B1A"/>
    <w:rsid w:val="002F20B2"/>
    <w:rsid w:val="002F2746"/>
    <w:rsid w:val="002F7359"/>
    <w:rsid w:val="00301221"/>
    <w:rsid w:val="00301D38"/>
    <w:rsid w:val="00303BE5"/>
    <w:rsid w:val="003065ED"/>
    <w:rsid w:val="003066C0"/>
    <w:rsid w:val="00312CF2"/>
    <w:rsid w:val="00312E8F"/>
    <w:rsid w:val="00314180"/>
    <w:rsid w:val="00315116"/>
    <w:rsid w:val="003168A9"/>
    <w:rsid w:val="00317910"/>
    <w:rsid w:val="0032100F"/>
    <w:rsid w:val="003212BF"/>
    <w:rsid w:val="00322530"/>
    <w:rsid w:val="003229A8"/>
    <w:rsid w:val="00324FEB"/>
    <w:rsid w:val="00325041"/>
    <w:rsid w:val="0032604F"/>
    <w:rsid w:val="0032758A"/>
    <w:rsid w:val="003279FF"/>
    <w:rsid w:val="003336B3"/>
    <w:rsid w:val="00336541"/>
    <w:rsid w:val="003367F5"/>
    <w:rsid w:val="003454BF"/>
    <w:rsid w:val="003561EC"/>
    <w:rsid w:val="00362705"/>
    <w:rsid w:val="00362867"/>
    <w:rsid w:val="003704E3"/>
    <w:rsid w:val="0037072F"/>
    <w:rsid w:val="00373085"/>
    <w:rsid w:val="00375702"/>
    <w:rsid w:val="00375AA4"/>
    <w:rsid w:val="00382B82"/>
    <w:rsid w:val="00382E70"/>
    <w:rsid w:val="003840C8"/>
    <w:rsid w:val="0038461E"/>
    <w:rsid w:val="00385670"/>
    <w:rsid w:val="0038569F"/>
    <w:rsid w:val="00385AB9"/>
    <w:rsid w:val="00385D63"/>
    <w:rsid w:val="003868F5"/>
    <w:rsid w:val="00387361"/>
    <w:rsid w:val="003931FF"/>
    <w:rsid w:val="003947B2"/>
    <w:rsid w:val="003956B4"/>
    <w:rsid w:val="003978F3"/>
    <w:rsid w:val="003A6572"/>
    <w:rsid w:val="003A75E0"/>
    <w:rsid w:val="003A7AAD"/>
    <w:rsid w:val="003B30D9"/>
    <w:rsid w:val="003B644B"/>
    <w:rsid w:val="003B7491"/>
    <w:rsid w:val="003C162E"/>
    <w:rsid w:val="003C187D"/>
    <w:rsid w:val="003C3314"/>
    <w:rsid w:val="003C36CD"/>
    <w:rsid w:val="003C620A"/>
    <w:rsid w:val="003D050E"/>
    <w:rsid w:val="003D0821"/>
    <w:rsid w:val="003D44B4"/>
    <w:rsid w:val="003E03C9"/>
    <w:rsid w:val="003E241B"/>
    <w:rsid w:val="003E4A6C"/>
    <w:rsid w:val="003E4FD7"/>
    <w:rsid w:val="003E697D"/>
    <w:rsid w:val="003E7679"/>
    <w:rsid w:val="003E7F55"/>
    <w:rsid w:val="003F22E8"/>
    <w:rsid w:val="003F5BBB"/>
    <w:rsid w:val="003F6182"/>
    <w:rsid w:val="003F74DB"/>
    <w:rsid w:val="003F7A92"/>
    <w:rsid w:val="004000EC"/>
    <w:rsid w:val="00400B38"/>
    <w:rsid w:val="00401804"/>
    <w:rsid w:val="004018B3"/>
    <w:rsid w:val="004036FF"/>
    <w:rsid w:val="00404561"/>
    <w:rsid w:val="00406297"/>
    <w:rsid w:val="0040755E"/>
    <w:rsid w:val="00407993"/>
    <w:rsid w:val="00411FFF"/>
    <w:rsid w:val="0041753E"/>
    <w:rsid w:val="00420229"/>
    <w:rsid w:val="00421868"/>
    <w:rsid w:val="004226E5"/>
    <w:rsid w:val="00422DCB"/>
    <w:rsid w:val="00426248"/>
    <w:rsid w:val="00426573"/>
    <w:rsid w:val="0042671F"/>
    <w:rsid w:val="00426F9A"/>
    <w:rsid w:val="00430E69"/>
    <w:rsid w:val="00433600"/>
    <w:rsid w:val="004343DA"/>
    <w:rsid w:val="004419E3"/>
    <w:rsid w:val="00444116"/>
    <w:rsid w:val="00445EDC"/>
    <w:rsid w:val="00450CB0"/>
    <w:rsid w:val="0045361B"/>
    <w:rsid w:val="00455516"/>
    <w:rsid w:val="004563AC"/>
    <w:rsid w:val="004572C5"/>
    <w:rsid w:val="004708CA"/>
    <w:rsid w:val="004714B3"/>
    <w:rsid w:val="00472CC2"/>
    <w:rsid w:val="0047530C"/>
    <w:rsid w:val="00475656"/>
    <w:rsid w:val="004770CD"/>
    <w:rsid w:val="0047720C"/>
    <w:rsid w:val="00482C51"/>
    <w:rsid w:val="00482CEC"/>
    <w:rsid w:val="00484486"/>
    <w:rsid w:val="00484613"/>
    <w:rsid w:val="004846A2"/>
    <w:rsid w:val="00486ADA"/>
    <w:rsid w:val="00487687"/>
    <w:rsid w:val="004925DA"/>
    <w:rsid w:val="00494F80"/>
    <w:rsid w:val="00496609"/>
    <w:rsid w:val="004A041F"/>
    <w:rsid w:val="004A2CE5"/>
    <w:rsid w:val="004A3CBA"/>
    <w:rsid w:val="004A4850"/>
    <w:rsid w:val="004A723E"/>
    <w:rsid w:val="004B2586"/>
    <w:rsid w:val="004B7878"/>
    <w:rsid w:val="004B7FA5"/>
    <w:rsid w:val="004C00E7"/>
    <w:rsid w:val="004C0EAE"/>
    <w:rsid w:val="004C50EE"/>
    <w:rsid w:val="004C67E1"/>
    <w:rsid w:val="004D04B8"/>
    <w:rsid w:val="004D111A"/>
    <w:rsid w:val="004D195E"/>
    <w:rsid w:val="004D4F7F"/>
    <w:rsid w:val="004D6B34"/>
    <w:rsid w:val="004E025B"/>
    <w:rsid w:val="004E046C"/>
    <w:rsid w:val="004E0A0A"/>
    <w:rsid w:val="004E3966"/>
    <w:rsid w:val="004E399E"/>
    <w:rsid w:val="004E498F"/>
    <w:rsid w:val="004E52F8"/>
    <w:rsid w:val="004E55BC"/>
    <w:rsid w:val="004E571C"/>
    <w:rsid w:val="004E6231"/>
    <w:rsid w:val="004E6DA8"/>
    <w:rsid w:val="004F167B"/>
    <w:rsid w:val="004F19B5"/>
    <w:rsid w:val="004F45CA"/>
    <w:rsid w:val="004F5D12"/>
    <w:rsid w:val="005021C7"/>
    <w:rsid w:val="005027F4"/>
    <w:rsid w:val="005030F7"/>
    <w:rsid w:val="00504165"/>
    <w:rsid w:val="00504C8B"/>
    <w:rsid w:val="0050795B"/>
    <w:rsid w:val="0051248F"/>
    <w:rsid w:val="00512DB1"/>
    <w:rsid w:val="005138A4"/>
    <w:rsid w:val="005157D9"/>
    <w:rsid w:val="0051691A"/>
    <w:rsid w:val="0051788D"/>
    <w:rsid w:val="00521DA0"/>
    <w:rsid w:val="00526E41"/>
    <w:rsid w:val="00530FDB"/>
    <w:rsid w:val="00531251"/>
    <w:rsid w:val="005317D7"/>
    <w:rsid w:val="005329F4"/>
    <w:rsid w:val="0053439A"/>
    <w:rsid w:val="00535566"/>
    <w:rsid w:val="005368F4"/>
    <w:rsid w:val="00540D9C"/>
    <w:rsid w:val="00543B39"/>
    <w:rsid w:val="00544928"/>
    <w:rsid w:val="00546730"/>
    <w:rsid w:val="00547F14"/>
    <w:rsid w:val="005523CF"/>
    <w:rsid w:val="00563630"/>
    <w:rsid w:val="00563A1A"/>
    <w:rsid w:val="00563FD4"/>
    <w:rsid w:val="00567619"/>
    <w:rsid w:val="0056789B"/>
    <w:rsid w:val="00567A27"/>
    <w:rsid w:val="00570848"/>
    <w:rsid w:val="00571B64"/>
    <w:rsid w:val="0057289A"/>
    <w:rsid w:val="00573C8B"/>
    <w:rsid w:val="00576EFF"/>
    <w:rsid w:val="00577A5E"/>
    <w:rsid w:val="005824E1"/>
    <w:rsid w:val="00585C41"/>
    <w:rsid w:val="00585DE9"/>
    <w:rsid w:val="00593AB2"/>
    <w:rsid w:val="005955DC"/>
    <w:rsid w:val="005A2484"/>
    <w:rsid w:val="005A2BD2"/>
    <w:rsid w:val="005A3548"/>
    <w:rsid w:val="005A56C1"/>
    <w:rsid w:val="005A7A05"/>
    <w:rsid w:val="005B0E96"/>
    <w:rsid w:val="005B454D"/>
    <w:rsid w:val="005B7BE5"/>
    <w:rsid w:val="005C3214"/>
    <w:rsid w:val="005C4CFE"/>
    <w:rsid w:val="005C7105"/>
    <w:rsid w:val="005D0806"/>
    <w:rsid w:val="005D7732"/>
    <w:rsid w:val="005E03C5"/>
    <w:rsid w:val="005E1866"/>
    <w:rsid w:val="005E39BF"/>
    <w:rsid w:val="005E4354"/>
    <w:rsid w:val="005E477D"/>
    <w:rsid w:val="005F0BC2"/>
    <w:rsid w:val="005F2780"/>
    <w:rsid w:val="005F368E"/>
    <w:rsid w:val="005F5708"/>
    <w:rsid w:val="005F6AE8"/>
    <w:rsid w:val="0060750A"/>
    <w:rsid w:val="006106A8"/>
    <w:rsid w:val="00611BAE"/>
    <w:rsid w:val="00612593"/>
    <w:rsid w:val="00620F5C"/>
    <w:rsid w:val="00621050"/>
    <w:rsid w:val="006210DE"/>
    <w:rsid w:val="006228D0"/>
    <w:rsid w:val="006232B4"/>
    <w:rsid w:val="00625E46"/>
    <w:rsid w:val="00627EA3"/>
    <w:rsid w:val="00631C7A"/>
    <w:rsid w:val="00634E86"/>
    <w:rsid w:val="00636555"/>
    <w:rsid w:val="00645555"/>
    <w:rsid w:val="006521BC"/>
    <w:rsid w:val="00653EEC"/>
    <w:rsid w:val="00655CEC"/>
    <w:rsid w:val="00656CFC"/>
    <w:rsid w:val="006571C4"/>
    <w:rsid w:val="0066396F"/>
    <w:rsid w:val="006650A7"/>
    <w:rsid w:val="00670895"/>
    <w:rsid w:val="0067156E"/>
    <w:rsid w:val="006716A0"/>
    <w:rsid w:val="00672ECB"/>
    <w:rsid w:val="006738D0"/>
    <w:rsid w:val="0067538F"/>
    <w:rsid w:val="0067553A"/>
    <w:rsid w:val="00677F89"/>
    <w:rsid w:val="00680159"/>
    <w:rsid w:val="006814B7"/>
    <w:rsid w:val="00682065"/>
    <w:rsid w:val="00684139"/>
    <w:rsid w:val="00684EF9"/>
    <w:rsid w:val="00687611"/>
    <w:rsid w:val="00687918"/>
    <w:rsid w:val="006925AE"/>
    <w:rsid w:val="00694A8B"/>
    <w:rsid w:val="00696D49"/>
    <w:rsid w:val="006A07A9"/>
    <w:rsid w:val="006A1302"/>
    <w:rsid w:val="006A1F59"/>
    <w:rsid w:val="006A2485"/>
    <w:rsid w:val="006A3B2D"/>
    <w:rsid w:val="006A6407"/>
    <w:rsid w:val="006B318B"/>
    <w:rsid w:val="006B3738"/>
    <w:rsid w:val="006B4093"/>
    <w:rsid w:val="006B4BFD"/>
    <w:rsid w:val="006B6F09"/>
    <w:rsid w:val="006B7867"/>
    <w:rsid w:val="006C130A"/>
    <w:rsid w:val="006C14E7"/>
    <w:rsid w:val="006C20A5"/>
    <w:rsid w:val="006C24E7"/>
    <w:rsid w:val="006C2F7E"/>
    <w:rsid w:val="006C339E"/>
    <w:rsid w:val="006C45AA"/>
    <w:rsid w:val="006C4927"/>
    <w:rsid w:val="006C4D39"/>
    <w:rsid w:val="006C69CD"/>
    <w:rsid w:val="006C7340"/>
    <w:rsid w:val="006D0386"/>
    <w:rsid w:val="006D0B1F"/>
    <w:rsid w:val="006D2BF1"/>
    <w:rsid w:val="006D589F"/>
    <w:rsid w:val="006D77CD"/>
    <w:rsid w:val="006E1501"/>
    <w:rsid w:val="006E43AF"/>
    <w:rsid w:val="006E70A8"/>
    <w:rsid w:val="006E7176"/>
    <w:rsid w:val="006F1544"/>
    <w:rsid w:val="006F2B42"/>
    <w:rsid w:val="006F3266"/>
    <w:rsid w:val="006F629D"/>
    <w:rsid w:val="006F6CF4"/>
    <w:rsid w:val="006F7DF7"/>
    <w:rsid w:val="00700F6F"/>
    <w:rsid w:val="00704C20"/>
    <w:rsid w:val="00704F05"/>
    <w:rsid w:val="00705294"/>
    <w:rsid w:val="00705879"/>
    <w:rsid w:val="00706EC8"/>
    <w:rsid w:val="00707108"/>
    <w:rsid w:val="00711BAD"/>
    <w:rsid w:val="007143AE"/>
    <w:rsid w:val="00715465"/>
    <w:rsid w:val="00715DDC"/>
    <w:rsid w:val="00715F6D"/>
    <w:rsid w:val="007232EE"/>
    <w:rsid w:val="00723329"/>
    <w:rsid w:val="007238EF"/>
    <w:rsid w:val="007241BF"/>
    <w:rsid w:val="00730CEF"/>
    <w:rsid w:val="00732773"/>
    <w:rsid w:val="0073395E"/>
    <w:rsid w:val="00742441"/>
    <w:rsid w:val="0074463E"/>
    <w:rsid w:val="0075021A"/>
    <w:rsid w:val="00750296"/>
    <w:rsid w:val="00754B42"/>
    <w:rsid w:val="00754C27"/>
    <w:rsid w:val="007628B3"/>
    <w:rsid w:val="00763E7B"/>
    <w:rsid w:val="007713FF"/>
    <w:rsid w:val="00772068"/>
    <w:rsid w:val="007737C3"/>
    <w:rsid w:val="00773BC1"/>
    <w:rsid w:val="0077400B"/>
    <w:rsid w:val="007749EA"/>
    <w:rsid w:val="00785767"/>
    <w:rsid w:val="007907AA"/>
    <w:rsid w:val="00790A79"/>
    <w:rsid w:val="007941EA"/>
    <w:rsid w:val="007945D5"/>
    <w:rsid w:val="00795811"/>
    <w:rsid w:val="007A5A7C"/>
    <w:rsid w:val="007A781C"/>
    <w:rsid w:val="007B25A8"/>
    <w:rsid w:val="007B2875"/>
    <w:rsid w:val="007B46B6"/>
    <w:rsid w:val="007B4747"/>
    <w:rsid w:val="007C0BAD"/>
    <w:rsid w:val="007C1A2A"/>
    <w:rsid w:val="007C7837"/>
    <w:rsid w:val="007D6C4B"/>
    <w:rsid w:val="007E0C18"/>
    <w:rsid w:val="007E1226"/>
    <w:rsid w:val="007E30E6"/>
    <w:rsid w:val="007E43B8"/>
    <w:rsid w:val="007F0082"/>
    <w:rsid w:val="007F03BC"/>
    <w:rsid w:val="007F09C2"/>
    <w:rsid w:val="007F3382"/>
    <w:rsid w:val="007F5CA3"/>
    <w:rsid w:val="008038A9"/>
    <w:rsid w:val="00810970"/>
    <w:rsid w:val="00810DEF"/>
    <w:rsid w:val="008118E2"/>
    <w:rsid w:val="008125A0"/>
    <w:rsid w:val="008127D8"/>
    <w:rsid w:val="00817D51"/>
    <w:rsid w:val="00821769"/>
    <w:rsid w:val="00827813"/>
    <w:rsid w:val="00830EB0"/>
    <w:rsid w:val="008314F9"/>
    <w:rsid w:val="00836B9C"/>
    <w:rsid w:val="008379A4"/>
    <w:rsid w:val="00844360"/>
    <w:rsid w:val="008448BD"/>
    <w:rsid w:val="0084650A"/>
    <w:rsid w:val="00851BE1"/>
    <w:rsid w:val="00853A42"/>
    <w:rsid w:val="008544B4"/>
    <w:rsid w:val="008551F1"/>
    <w:rsid w:val="00855CE1"/>
    <w:rsid w:val="00865A9C"/>
    <w:rsid w:val="00866D27"/>
    <w:rsid w:val="00871FC1"/>
    <w:rsid w:val="00872C89"/>
    <w:rsid w:val="00874332"/>
    <w:rsid w:val="00875DAE"/>
    <w:rsid w:val="00880091"/>
    <w:rsid w:val="008829ED"/>
    <w:rsid w:val="00882BE2"/>
    <w:rsid w:val="0088411F"/>
    <w:rsid w:val="00890C2D"/>
    <w:rsid w:val="00892847"/>
    <w:rsid w:val="008937F9"/>
    <w:rsid w:val="00895282"/>
    <w:rsid w:val="0089771C"/>
    <w:rsid w:val="008A3AFB"/>
    <w:rsid w:val="008A6034"/>
    <w:rsid w:val="008A6BFC"/>
    <w:rsid w:val="008A7359"/>
    <w:rsid w:val="008B09DB"/>
    <w:rsid w:val="008B2047"/>
    <w:rsid w:val="008B2F02"/>
    <w:rsid w:val="008B303D"/>
    <w:rsid w:val="008B4927"/>
    <w:rsid w:val="008B5E4C"/>
    <w:rsid w:val="008B6D50"/>
    <w:rsid w:val="008B7FFC"/>
    <w:rsid w:val="008C0D79"/>
    <w:rsid w:val="008C0DC4"/>
    <w:rsid w:val="008C32F6"/>
    <w:rsid w:val="008C3E11"/>
    <w:rsid w:val="008C47C3"/>
    <w:rsid w:val="008C61BE"/>
    <w:rsid w:val="008C670F"/>
    <w:rsid w:val="008C6897"/>
    <w:rsid w:val="008D4251"/>
    <w:rsid w:val="008D4C8A"/>
    <w:rsid w:val="008E3742"/>
    <w:rsid w:val="008E4E51"/>
    <w:rsid w:val="008E65AE"/>
    <w:rsid w:val="008E6B66"/>
    <w:rsid w:val="008E73CB"/>
    <w:rsid w:val="008F1D27"/>
    <w:rsid w:val="008F3160"/>
    <w:rsid w:val="008F3C5C"/>
    <w:rsid w:val="008F519D"/>
    <w:rsid w:val="008F55FA"/>
    <w:rsid w:val="008F7597"/>
    <w:rsid w:val="008F7900"/>
    <w:rsid w:val="00901F9B"/>
    <w:rsid w:val="0090352B"/>
    <w:rsid w:val="00904071"/>
    <w:rsid w:val="00904FBD"/>
    <w:rsid w:val="0090568B"/>
    <w:rsid w:val="00906DBC"/>
    <w:rsid w:val="00906F32"/>
    <w:rsid w:val="00920E6A"/>
    <w:rsid w:val="00922B78"/>
    <w:rsid w:val="00925A5B"/>
    <w:rsid w:val="00927F34"/>
    <w:rsid w:val="00931CEB"/>
    <w:rsid w:val="00934382"/>
    <w:rsid w:val="00936318"/>
    <w:rsid w:val="00937DE6"/>
    <w:rsid w:val="00940709"/>
    <w:rsid w:val="00940FAE"/>
    <w:rsid w:val="0094276A"/>
    <w:rsid w:val="0094301C"/>
    <w:rsid w:val="00945373"/>
    <w:rsid w:val="0094665A"/>
    <w:rsid w:val="009505E9"/>
    <w:rsid w:val="00951783"/>
    <w:rsid w:val="009523CA"/>
    <w:rsid w:val="00954E17"/>
    <w:rsid w:val="009611EA"/>
    <w:rsid w:val="009612A2"/>
    <w:rsid w:val="009623F3"/>
    <w:rsid w:val="0096348F"/>
    <w:rsid w:val="00964E91"/>
    <w:rsid w:val="00967BD2"/>
    <w:rsid w:val="009708B7"/>
    <w:rsid w:val="00970ED5"/>
    <w:rsid w:val="00972D12"/>
    <w:rsid w:val="00972E0A"/>
    <w:rsid w:val="00972FD3"/>
    <w:rsid w:val="00976691"/>
    <w:rsid w:val="00976A23"/>
    <w:rsid w:val="00980F34"/>
    <w:rsid w:val="00981769"/>
    <w:rsid w:val="00983C6E"/>
    <w:rsid w:val="00984925"/>
    <w:rsid w:val="00987F09"/>
    <w:rsid w:val="00990E8B"/>
    <w:rsid w:val="0099402C"/>
    <w:rsid w:val="009A197D"/>
    <w:rsid w:val="009A2507"/>
    <w:rsid w:val="009A5472"/>
    <w:rsid w:val="009A75E2"/>
    <w:rsid w:val="009B057F"/>
    <w:rsid w:val="009B3A35"/>
    <w:rsid w:val="009B411F"/>
    <w:rsid w:val="009B5C65"/>
    <w:rsid w:val="009B752B"/>
    <w:rsid w:val="009B793D"/>
    <w:rsid w:val="009C5225"/>
    <w:rsid w:val="009D0BC4"/>
    <w:rsid w:val="009D2B95"/>
    <w:rsid w:val="009D4CD9"/>
    <w:rsid w:val="009D4F98"/>
    <w:rsid w:val="009D59F2"/>
    <w:rsid w:val="009D5BF5"/>
    <w:rsid w:val="009D7675"/>
    <w:rsid w:val="009D7F9B"/>
    <w:rsid w:val="009E0F21"/>
    <w:rsid w:val="009E13AE"/>
    <w:rsid w:val="009E15CD"/>
    <w:rsid w:val="009E2F0A"/>
    <w:rsid w:val="009E4AD4"/>
    <w:rsid w:val="009E6159"/>
    <w:rsid w:val="009F0D75"/>
    <w:rsid w:val="009F46AE"/>
    <w:rsid w:val="009F714F"/>
    <w:rsid w:val="009F7E05"/>
    <w:rsid w:val="00A00CEF"/>
    <w:rsid w:val="00A039EE"/>
    <w:rsid w:val="00A10DE3"/>
    <w:rsid w:val="00A1236D"/>
    <w:rsid w:val="00A1286F"/>
    <w:rsid w:val="00A13D4C"/>
    <w:rsid w:val="00A17730"/>
    <w:rsid w:val="00A202F2"/>
    <w:rsid w:val="00A219CA"/>
    <w:rsid w:val="00A23415"/>
    <w:rsid w:val="00A23CF4"/>
    <w:rsid w:val="00A24F53"/>
    <w:rsid w:val="00A250F7"/>
    <w:rsid w:val="00A254B5"/>
    <w:rsid w:val="00A2594D"/>
    <w:rsid w:val="00A27629"/>
    <w:rsid w:val="00A27DBE"/>
    <w:rsid w:val="00A30B5E"/>
    <w:rsid w:val="00A33A34"/>
    <w:rsid w:val="00A3413C"/>
    <w:rsid w:val="00A343C2"/>
    <w:rsid w:val="00A34CC3"/>
    <w:rsid w:val="00A34DAC"/>
    <w:rsid w:val="00A37111"/>
    <w:rsid w:val="00A441C0"/>
    <w:rsid w:val="00A54CEE"/>
    <w:rsid w:val="00A55E5F"/>
    <w:rsid w:val="00A60AB6"/>
    <w:rsid w:val="00A630AF"/>
    <w:rsid w:val="00A6424F"/>
    <w:rsid w:val="00A71F40"/>
    <w:rsid w:val="00A748A6"/>
    <w:rsid w:val="00A76C64"/>
    <w:rsid w:val="00A820AE"/>
    <w:rsid w:val="00A834FF"/>
    <w:rsid w:val="00A9073E"/>
    <w:rsid w:val="00A91A51"/>
    <w:rsid w:val="00A91E64"/>
    <w:rsid w:val="00A944C0"/>
    <w:rsid w:val="00A97441"/>
    <w:rsid w:val="00AA0343"/>
    <w:rsid w:val="00AA2B74"/>
    <w:rsid w:val="00AA4E01"/>
    <w:rsid w:val="00AB1B0B"/>
    <w:rsid w:val="00AB2357"/>
    <w:rsid w:val="00AB3D0A"/>
    <w:rsid w:val="00AB611F"/>
    <w:rsid w:val="00AB6252"/>
    <w:rsid w:val="00AB73D4"/>
    <w:rsid w:val="00AC2465"/>
    <w:rsid w:val="00AC4125"/>
    <w:rsid w:val="00AC4A75"/>
    <w:rsid w:val="00AC5A19"/>
    <w:rsid w:val="00AC7C31"/>
    <w:rsid w:val="00AD5CBE"/>
    <w:rsid w:val="00AD6CB1"/>
    <w:rsid w:val="00AD6EC3"/>
    <w:rsid w:val="00AE0F75"/>
    <w:rsid w:val="00AE17D0"/>
    <w:rsid w:val="00AE1962"/>
    <w:rsid w:val="00AE41EB"/>
    <w:rsid w:val="00AE7335"/>
    <w:rsid w:val="00AE7BF8"/>
    <w:rsid w:val="00AF04B9"/>
    <w:rsid w:val="00AF18D5"/>
    <w:rsid w:val="00AF31F3"/>
    <w:rsid w:val="00AF3D5A"/>
    <w:rsid w:val="00AF41D6"/>
    <w:rsid w:val="00AF6948"/>
    <w:rsid w:val="00AF7AA7"/>
    <w:rsid w:val="00B0430C"/>
    <w:rsid w:val="00B10393"/>
    <w:rsid w:val="00B11016"/>
    <w:rsid w:val="00B12A27"/>
    <w:rsid w:val="00B15154"/>
    <w:rsid w:val="00B20650"/>
    <w:rsid w:val="00B2066A"/>
    <w:rsid w:val="00B212A5"/>
    <w:rsid w:val="00B21D9D"/>
    <w:rsid w:val="00B22737"/>
    <w:rsid w:val="00B263D5"/>
    <w:rsid w:val="00B264FC"/>
    <w:rsid w:val="00B271E2"/>
    <w:rsid w:val="00B27267"/>
    <w:rsid w:val="00B27BDB"/>
    <w:rsid w:val="00B319E4"/>
    <w:rsid w:val="00B3270A"/>
    <w:rsid w:val="00B32CFC"/>
    <w:rsid w:val="00B3330B"/>
    <w:rsid w:val="00B36CCA"/>
    <w:rsid w:val="00B36EE4"/>
    <w:rsid w:val="00B37394"/>
    <w:rsid w:val="00B40B84"/>
    <w:rsid w:val="00B40ED6"/>
    <w:rsid w:val="00B43A50"/>
    <w:rsid w:val="00B44EC4"/>
    <w:rsid w:val="00B456DF"/>
    <w:rsid w:val="00B47E93"/>
    <w:rsid w:val="00B510CC"/>
    <w:rsid w:val="00B51726"/>
    <w:rsid w:val="00B52157"/>
    <w:rsid w:val="00B53650"/>
    <w:rsid w:val="00B5598A"/>
    <w:rsid w:val="00B562FA"/>
    <w:rsid w:val="00B5666B"/>
    <w:rsid w:val="00B604DD"/>
    <w:rsid w:val="00B60BEF"/>
    <w:rsid w:val="00B665DB"/>
    <w:rsid w:val="00B6724E"/>
    <w:rsid w:val="00B70C49"/>
    <w:rsid w:val="00B70FB3"/>
    <w:rsid w:val="00B71863"/>
    <w:rsid w:val="00B722BF"/>
    <w:rsid w:val="00B74660"/>
    <w:rsid w:val="00B8052B"/>
    <w:rsid w:val="00B82506"/>
    <w:rsid w:val="00B845A6"/>
    <w:rsid w:val="00B85434"/>
    <w:rsid w:val="00B85849"/>
    <w:rsid w:val="00B867A5"/>
    <w:rsid w:val="00B900D5"/>
    <w:rsid w:val="00B90EFF"/>
    <w:rsid w:val="00B91428"/>
    <w:rsid w:val="00B91E0B"/>
    <w:rsid w:val="00B928D1"/>
    <w:rsid w:val="00B9292E"/>
    <w:rsid w:val="00B92A9D"/>
    <w:rsid w:val="00B96107"/>
    <w:rsid w:val="00B96C4F"/>
    <w:rsid w:val="00B97FDF"/>
    <w:rsid w:val="00BA18DA"/>
    <w:rsid w:val="00BA4400"/>
    <w:rsid w:val="00BA4BC3"/>
    <w:rsid w:val="00BB054D"/>
    <w:rsid w:val="00BB193A"/>
    <w:rsid w:val="00BB260D"/>
    <w:rsid w:val="00BB3D07"/>
    <w:rsid w:val="00BB3EB3"/>
    <w:rsid w:val="00BB57C3"/>
    <w:rsid w:val="00BC37C4"/>
    <w:rsid w:val="00BC4273"/>
    <w:rsid w:val="00BC5715"/>
    <w:rsid w:val="00BC5722"/>
    <w:rsid w:val="00BC75B4"/>
    <w:rsid w:val="00BD4D46"/>
    <w:rsid w:val="00BD5489"/>
    <w:rsid w:val="00BD6FD0"/>
    <w:rsid w:val="00BE15CD"/>
    <w:rsid w:val="00BE2B81"/>
    <w:rsid w:val="00BE3073"/>
    <w:rsid w:val="00BE6477"/>
    <w:rsid w:val="00BE715C"/>
    <w:rsid w:val="00BF2BDE"/>
    <w:rsid w:val="00C003EE"/>
    <w:rsid w:val="00C00CE9"/>
    <w:rsid w:val="00C00D8F"/>
    <w:rsid w:val="00C07263"/>
    <w:rsid w:val="00C072F3"/>
    <w:rsid w:val="00C117A8"/>
    <w:rsid w:val="00C118F4"/>
    <w:rsid w:val="00C142E4"/>
    <w:rsid w:val="00C1642E"/>
    <w:rsid w:val="00C16480"/>
    <w:rsid w:val="00C2014A"/>
    <w:rsid w:val="00C20DBA"/>
    <w:rsid w:val="00C2131F"/>
    <w:rsid w:val="00C253A1"/>
    <w:rsid w:val="00C26959"/>
    <w:rsid w:val="00C301C4"/>
    <w:rsid w:val="00C30986"/>
    <w:rsid w:val="00C31924"/>
    <w:rsid w:val="00C31C63"/>
    <w:rsid w:val="00C33903"/>
    <w:rsid w:val="00C36557"/>
    <w:rsid w:val="00C376EC"/>
    <w:rsid w:val="00C40586"/>
    <w:rsid w:val="00C4181C"/>
    <w:rsid w:val="00C42405"/>
    <w:rsid w:val="00C43B03"/>
    <w:rsid w:val="00C50008"/>
    <w:rsid w:val="00C615B5"/>
    <w:rsid w:val="00C63B67"/>
    <w:rsid w:val="00C63CBD"/>
    <w:rsid w:val="00C65671"/>
    <w:rsid w:val="00C6579F"/>
    <w:rsid w:val="00C66A8A"/>
    <w:rsid w:val="00C66D70"/>
    <w:rsid w:val="00C67D20"/>
    <w:rsid w:val="00C67F0A"/>
    <w:rsid w:val="00C70F0B"/>
    <w:rsid w:val="00C71C72"/>
    <w:rsid w:val="00C71E27"/>
    <w:rsid w:val="00C76D9F"/>
    <w:rsid w:val="00C77B3A"/>
    <w:rsid w:val="00C81EF8"/>
    <w:rsid w:val="00C8202A"/>
    <w:rsid w:val="00C82B4E"/>
    <w:rsid w:val="00C85F84"/>
    <w:rsid w:val="00C87B3E"/>
    <w:rsid w:val="00C87B9F"/>
    <w:rsid w:val="00C95052"/>
    <w:rsid w:val="00C95793"/>
    <w:rsid w:val="00C97144"/>
    <w:rsid w:val="00CA3C13"/>
    <w:rsid w:val="00CA4C3B"/>
    <w:rsid w:val="00CB0708"/>
    <w:rsid w:val="00CB1EB1"/>
    <w:rsid w:val="00CB5121"/>
    <w:rsid w:val="00CB6828"/>
    <w:rsid w:val="00CB6ADD"/>
    <w:rsid w:val="00CB7E3C"/>
    <w:rsid w:val="00CC2D99"/>
    <w:rsid w:val="00CC2E7E"/>
    <w:rsid w:val="00CC37AA"/>
    <w:rsid w:val="00CC3920"/>
    <w:rsid w:val="00CD04DE"/>
    <w:rsid w:val="00CD160D"/>
    <w:rsid w:val="00CD33E1"/>
    <w:rsid w:val="00CD48B8"/>
    <w:rsid w:val="00CE05FC"/>
    <w:rsid w:val="00CE2603"/>
    <w:rsid w:val="00CE63CF"/>
    <w:rsid w:val="00CE70D1"/>
    <w:rsid w:val="00CF106F"/>
    <w:rsid w:val="00CF2B81"/>
    <w:rsid w:val="00CF3A60"/>
    <w:rsid w:val="00CF49BB"/>
    <w:rsid w:val="00CF6B0C"/>
    <w:rsid w:val="00CF7A0F"/>
    <w:rsid w:val="00D00F6E"/>
    <w:rsid w:val="00D024FD"/>
    <w:rsid w:val="00D027EF"/>
    <w:rsid w:val="00D04D58"/>
    <w:rsid w:val="00D06282"/>
    <w:rsid w:val="00D1297F"/>
    <w:rsid w:val="00D16AEE"/>
    <w:rsid w:val="00D237FB"/>
    <w:rsid w:val="00D249D1"/>
    <w:rsid w:val="00D24F1B"/>
    <w:rsid w:val="00D27106"/>
    <w:rsid w:val="00D27776"/>
    <w:rsid w:val="00D30E87"/>
    <w:rsid w:val="00D31C5E"/>
    <w:rsid w:val="00D31DB4"/>
    <w:rsid w:val="00D32923"/>
    <w:rsid w:val="00D3399D"/>
    <w:rsid w:val="00D3496B"/>
    <w:rsid w:val="00D36DA3"/>
    <w:rsid w:val="00D37955"/>
    <w:rsid w:val="00D40017"/>
    <w:rsid w:val="00D43160"/>
    <w:rsid w:val="00D43FA8"/>
    <w:rsid w:val="00D5069C"/>
    <w:rsid w:val="00D51F4E"/>
    <w:rsid w:val="00D53B78"/>
    <w:rsid w:val="00D5477A"/>
    <w:rsid w:val="00D55629"/>
    <w:rsid w:val="00D55979"/>
    <w:rsid w:val="00D56C1D"/>
    <w:rsid w:val="00D60431"/>
    <w:rsid w:val="00D6202B"/>
    <w:rsid w:val="00D6242C"/>
    <w:rsid w:val="00D62B7D"/>
    <w:rsid w:val="00D62F1B"/>
    <w:rsid w:val="00D63919"/>
    <w:rsid w:val="00D668AA"/>
    <w:rsid w:val="00D71A33"/>
    <w:rsid w:val="00D71DB2"/>
    <w:rsid w:val="00D72948"/>
    <w:rsid w:val="00D76E21"/>
    <w:rsid w:val="00D833D1"/>
    <w:rsid w:val="00D92A07"/>
    <w:rsid w:val="00D95270"/>
    <w:rsid w:val="00DA227C"/>
    <w:rsid w:val="00DA4075"/>
    <w:rsid w:val="00DA4E35"/>
    <w:rsid w:val="00DB7535"/>
    <w:rsid w:val="00DB7813"/>
    <w:rsid w:val="00DC5448"/>
    <w:rsid w:val="00DC5B87"/>
    <w:rsid w:val="00DC6DEA"/>
    <w:rsid w:val="00DD01C6"/>
    <w:rsid w:val="00DD01FE"/>
    <w:rsid w:val="00DD0C49"/>
    <w:rsid w:val="00DD1416"/>
    <w:rsid w:val="00DD6792"/>
    <w:rsid w:val="00DD77ED"/>
    <w:rsid w:val="00DE06FC"/>
    <w:rsid w:val="00DE3F38"/>
    <w:rsid w:val="00DE4F81"/>
    <w:rsid w:val="00DE5B76"/>
    <w:rsid w:val="00DE5D0F"/>
    <w:rsid w:val="00DE765A"/>
    <w:rsid w:val="00DF20DC"/>
    <w:rsid w:val="00DF49F0"/>
    <w:rsid w:val="00DF5056"/>
    <w:rsid w:val="00E03451"/>
    <w:rsid w:val="00E0559C"/>
    <w:rsid w:val="00E1014F"/>
    <w:rsid w:val="00E13135"/>
    <w:rsid w:val="00E146C0"/>
    <w:rsid w:val="00E1511C"/>
    <w:rsid w:val="00E16417"/>
    <w:rsid w:val="00E2082A"/>
    <w:rsid w:val="00E20908"/>
    <w:rsid w:val="00E2231D"/>
    <w:rsid w:val="00E2264D"/>
    <w:rsid w:val="00E22B1E"/>
    <w:rsid w:val="00E22CE4"/>
    <w:rsid w:val="00E2471E"/>
    <w:rsid w:val="00E27B7E"/>
    <w:rsid w:val="00E31676"/>
    <w:rsid w:val="00E32FAC"/>
    <w:rsid w:val="00E33C98"/>
    <w:rsid w:val="00E36181"/>
    <w:rsid w:val="00E37A27"/>
    <w:rsid w:val="00E4053B"/>
    <w:rsid w:val="00E4285C"/>
    <w:rsid w:val="00E47131"/>
    <w:rsid w:val="00E5025C"/>
    <w:rsid w:val="00E53A9F"/>
    <w:rsid w:val="00E55BCC"/>
    <w:rsid w:val="00E56233"/>
    <w:rsid w:val="00E60808"/>
    <w:rsid w:val="00E65C4D"/>
    <w:rsid w:val="00E660ED"/>
    <w:rsid w:val="00E75516"/>
    <w:rsid w:val="00E8227F"/>
    <w:rsid w:val="00E82723"/>
    <w:rsid w:val="00E831E8"/>
    <w:rsid w:val="00E836DA"/>
    <w:rsid w:val="00E85CD4"/>
    <w:rsid w:val="00E86A24"/>
    <w:rsid w:val="00E87500"/>
    <w:rsid w:val="00E907F6"/>
    <w:rsid w:val="00E94C97"/>
    <w:rsid w:val="00E95260"/>
    <w:rsid w:val="00E976D7"/>
    <w:rsid w:val="00EA0F79"/>
    <w:rsid w:val="00EA45D1"/>
    <w:rsid w:val="00EA4A3D"/>
    <w:rsid w:val="00EA7F52"/>
    <w:rsid w:val="00EB0DAB"/>
    <w:rsid w:val="00EB11CC"/>
    <w:rsid w:val="00EB14C7"/>
    <w:rsid w:val="00EB1712"/>
    <w:rsid w:val="00EB1CF6"/>
    <w:rsid w:val="00EB357F"/>
    <w:rsid w:val="00EB5456"/>
    <w:rsid w:val="00EB5535"/>
    <w:rsid w:val="00EB7FF4"/>
    <w:rsid w:val="00EC16BF"/>
    <w:rsid w:val="00EC3B00"/>
    <w:rsid w:val="00EC7D16"/>
    <w:rsid w:val="00EC7D53"/>
    <w:rsid w:val="00ED19D1"/>
    <w:rsid w:val="00ED208E"/>
    <w:rsid w:val="00ED41E5"/>
    <w:rsid w:val="00ED41F1"/>
    <w:rsid w:val="00ED438C"/>
    <w:rsid w:val="00EE2AF7"/>
    <w:rsid w:val="00EF15E5"/>
    <w:rsid w:val="00EF55EE"/>
    <w:rsid w:val="00F04D06"/>
    <w:rsid w:val="00F05022"/>
    <w:rsid w:val="00F10078"/>
    <w:rsid w:val="00F10A02"/>
    <w:rsid w:val="00F12384"/>
    <w:rsid w:val="00F13386"/>
    <w:rsid w:val="00F15C12"/>
    <w:rsid w:val="00F16221"/>
    <w:rsid w:val="00F16741"/>
    <w:rsid w:val="00F2295E"/>
    <w:rsid w:val="00F233F8"/>
    <w:rsid w:val="00F25B38"/>
    <w:rsid w:val="00F27032"/>
    <w:rsid w:val="00F310A1"/>
    <w:rsid w:val="00F31A99"/>
    <w:rsid w:val="00F32C03"/>
    <w:rsid w:val="00F33DEF"/>
    <w:rsid w:val="00F34ED2"/>
    <w:rsid w:val="00F46215"/>
    <w:rsid w:val="00F47C0F"/>
    <w:rsid w:val="00F5190D"/>
    <w:rsid w:val="00F51BCB"/>
    <w:rsid w:val="00F536E0"/>
    <w:rsid w:val="00F53C0E"/>
    <w:rsid w:val="00F53E04"/>
    <w:rsid w:val="00F54736"/>
    <w:rsid w:val="00F56593"/>
    <w:rsid w:val="00F60175"/>
    <w:rsid w:val="00F602E3"/>
    <w:rsid w:val="00F604EA"/>
    <w:rsid w:val="00F61753"/>
    <w:rsid w:val="00F645F7"/>
    <w:rsid w:val="00F656F5"/>
    <w:rsid w:val="00F663CC"/>
    <w:rsid w:val="00F670BA"/>
    <w:rsid w:val="00F72168"/>
    <w:rsid w:val="00F7598D"/>
    <w:rsid w:val="00F80F47"/>
    <w:rsid w:val="00F81FF7"/>
    <w:rsid w:val="00F91AB3"/>
    <w:rsid w:val="00F92B1A"/>
    <w:rsid w:val="00F9320E"/>
    <w:rsid w:val="00F93D27"/>
    <w:rsid w:val="00F958FF"/>
    <w:rsid w:val="00F97C47"/>
    <w:rsid w:val="00FA25A5"/>
    <w:rsid w:val="00FA33F9"/>
    <w:rsid w:val="00FA7768"/>
    <w:rsid w:val="00FB4187"/>
    <w:rsid w:val="00FB4BB9"/>
    <w:rsid w:val="00FB718D"/>
    <w:rsid w:val="00FB7805"/>
    <w:rsid w:val="00FC03D5"/>
    <w:rsid w:val="00FC065A"/>
    <w:rsid w:val="00FD1395"/>
    <w:rsid w:val="00FD1CCA"/>
    <w:rsid w:val="00FD6507"/>
    <w:rsid w:val="00FE118D"/>
    <w:rsid w:val="00FE1AEA"/>
    <w:rsid w:val="00FE3913"/>
    <w:rsid w:val="00FE4E78"/>
    <w:rsid w:val="00FE57CF"/>
    <w:rsid w:val="00FE62B9"/>
    <w:rsid w:val="00FE6860"/>
    <w:rsid w:val="00FF0A1C"/>
    <w:rsid w:val="00FF37EA"/>
    <w:rsid w:val="00FF659C"/>
    <w:rsid w:val="00FF68F1"/>
    <w:rsid w:val="00FF76EF"/>
    <w:rsid w:val="00FF7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F4D1BB-7D4E-4A25-B81E-6D73AB286304}"/>
</file>

<file path=customXml/itemProps2.xml><?xml version="1.0" encoding="utf-8"?>
<ds:datastoreItem xmlns:ds="http://schemas.openxmlformats.org/officeDocument/2006/customXml" ds:itemID="{4A32B07F-721C-40A5-AAF2-C3207B09A42C}"/>
</file>

<file path=customXml/itemProps3.xml><?xml version="1.0" encoding="utf-8"?>
<ds:datastoreItem xmlns:ds="http://schemas.openxmlformats.org/officeDocument/2006/customXml" ds:itemID="{5ABECFC7-DD95-4FC4-B4D1-FF357A5F5E75}"/>
</file>

<file path=customXml/itemProps4.xml><?xml version="1.0" encoding="utf-8"?>
<ds:datastoreItem xmlns:ds="http://schemas.openxmlformats.org/officeDocument/2006/customXml" ds:itemID="{9AA7D33E-C017-4C5D-8EBE-E9E5BB15810D}"/>
</file>

<file path=customXml/itemProps5.xml><?xml version="1.0" encoding="utf-8"?>
<ds:datastoreItem xmlns:ds="http://schemas.openxmlformats.org/officeDocument/2006/customXml" ds:itemID="{B56FA6E0-A589-4DE8-8335-74AB5DA81DBD}"/>
</file>

<file path=customXml/itemProps6.xml><?xml version="1.0" encoding="utf-8"?>
<ds:datastoreItem xmlns:ds="http://schemas.openxmlformats.org/officeDocument/2006/customXml" ds:itemID="{475CA6CD-3615-4823-AD29-4AF18C3DC080}"/>
</file>

<file path=docProps/app.xml><?xml version="1.0" encoding="utf-8"?>
<Properties xmlns="http://schemas.openxmlformats.org/officeDocument/2006/extended-properties" xmlns:vt="http://schemas.openxmlformats.org/officeDocument/2006/docPropsVTypes">
  <Template>Normal</Template>
  <TotalTime>90</TotalTime>
  <Pages>18</Pages>
  <Words>4222</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27367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jes</cp:lastModifiedBy>
  <cp:revision>41</cp:revision>
  <cp:lastPrinted>2012-02-24T19:16:00Z</cp:lastPrinted>
  <dcterms:created xsi:type="dcterms:W3CDTF">2012-02-23T00:34:00Z</dcterms:created>
  <dcterms:modified xsi:type="dcterms:W3CDTF">2012-02-24T19:35:00Z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0x0101006E56B4D1795A2E4DB2F0B01679ED314A003D2EDE5D49710546BF34E24D0FD386C8</vt:lpwstr>
  </property>
  <property fmtid="{D5CDD505-2E9C-101B-9397-08002B2CF9AE}" pid="4" name="_docset_NoMedatataSyncRequired">
    <vt:lpwstr>False</vt:lpwstr>
  </property>
</Properties>
</file>