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DF" w:rsidRDefault="00FC78DF" w:rsidP="00FC78DF">
      <w:pPr>
        <w:tabs>
          <w:tab w:val="center" w:pos="4680"/>
        </w:tabs>
        <w:spacing w:after="0" w:line="240" w:lineRule="auto"/>
        <w:ind w:right="-108" w:hanging="180"/>
        <w:jc w:val="both"/>
      </w:pPr>
    </w:p>
    <w:p w:rsidR="00FC78DF" w:rsidRDefault="00FC78DF" w:rsidP="00FC78DF">
      <w:pPr>
        <w:tabs>
          <w:tab w:val="center" w:pos="4680"/>
        </w:tabs>
        <w:spacing w:after="0" w:line="240" w:lineRule="auto"/>
        <w:ind w:right="-108" w:hanging="180"/>
        <w:jc w:val="both"/>
      </w:pPr>
    </w:p>
    <w:p w:rsidR="00FC78DF" w:rsidRDefault="00FC78DF" w:rsidP="00FC78DF">
      <w:pPr>
        <w:tabs>
          <w:tab w:val="center" w:pos="4680"/>
        </w:tabs>
        <w:spacing w:after="0" w:line="240" w:lineRule="auto"/>
        <w:ind w:right="-108" w:hanging="180"/>
        <w:jc w:val="both"/>
      </w:pPr>
    </w:p>
    <w:p w:rsidR="00FC78DF" w:rsidRDefault="00FC78DF" w:rsidP="00FC78DF">
      <w:pPr>
        <w:tabs>
          <w:tab w:val="center" w:pos="4680"/>
        </w:tabs>
        <w:spacing w:after="0" w:line="240" w:lineRule="auto"/>
        <w:ind w:right="-108" w:hanging="180"/>
        <w:jc w:val="both"/>
      </w:pPr>
    </w:p>
    <w:p w:rsidR="00FC78DF" w:rsidRDefault="00FC78DF" w:rsidP="00FC78DF">
      <w:pPr>
        <w:tabs>
          <w:tab w:val="center" w:pos="4680"/>
        </w:tabs>
        <w:spacing w:after="0" w:line="240" w:lineRule="auto"/>
        <w:ind w:right="-108" w:hanging="180"/>
        <w:jc w:val="both"/>
      </w:pPr>
    </w:p>
    <w:p w:rsidR="00FC78DF" w:rsidRPr="004A2910" w:rsidRDefault="00FC78DF" w:rsidP="00FC78DF">
      <w:pPr>
        <w:tabs>
          <w:tab w:val="center" w:pos="4680"/>
        </w:tabs>
        <w:spacing w:after="0" w:line="240" w:lineRule="auto"/>
        <w:ind w:right="-108" w:hanging="180"/>
        <w:jc w:val="both"/>
      </w:pPr>
      <w:r w:rsidRPr="004A2910">
        <w:t>BEFORE THE WASHINGTON UTILITIES AND TRANSPORTATION COMMISSION</w:t>
      </w:r>
    </w:p>
    <w:p w:rsidR="00FC78DF" w:rsidRPr="004A2910" w:rsidRDefault="00FC78DF" w:rsidP="00FC78DF">
      <w:pPr>
        <w:spacing w:after="0" w:line="240" w:lineRule="auto"/>
        <w:jc w:val="both"/>
      </w:pPr>
    </w:p>
    <w:p w:rsidR="00FC78DF" w:rsidRPr="004A2910" w:rsidRDefault="00FC78DF" w:rsidP="00FC78DF">
      <w:pPr>
        <w:spacing w:after="0" w:line="240" w:lineRule="auto"/>
        <w:jc w:val="both"/>
      </w:pPr>
    </w:p>
    <w:tbl>
      <w:tblPr>
        <w:tblW w:w="0" w:type="auto"/>
        <w:tblInd w:w="124" w:type="dxa"/>
        <w:tblLayout w:type="fixed"/>
        <w:tblCellMar>
          <w:left w:w="124" w:type="dxa"/>
          <w:right w:w="124" w:type="dxa"/>
        </w:tblCellMar>
        <w:tblLook w:val="0000"/>
      </w:tblPr>
      <w:tblGrid>
        <w:gridCol w:w="4590"/>
        <w:gridCol w:w="4590"/>
      </w:tblGrid>
      <w:tr w:rsidR="00FC78DF" w:rsidRPr="00910239" w:rsidTr="00460E04">
        <w:tc>
          <w:tcPr>
            <w:tcW w:w="4590" w:type="dxa"/>
            <w:tcBorders>
              <w:top w:val="single" w:sz="6" w:space="0" w:color="FFFFFF"/>
              <w:left w:val="single" w:sz="6" w:space="0" w:color="FFFFFF"/>
              <w:bottom w:val="single" w:sz="7" w:space="0" w:color="000000"/>
              <w:right w:val="single" w:sz="6" w:space="0" w:color="FFFFFF"/>
            </w:tcBorders>
          </w:tcPr>
          <w:p w:rsidR="00FC78DF" w:rsidRPr="00910239" w:rsidRDefault="00FC78DF" w:rsidP="00460E04">
            <w:pPr>
              <w:spacing w:after="0" w:line="240" w:lineRule="auto"/>
            </w:pPr>
          </w:p>
          <w:p w:rsidR="00FC78DF" w:rsidRPr="00910239" w:rsidRDefault="00FC78DF" w:rsidP="00460E04">
            <w:pPr>
              <w:spacing w:after="0" w:line="240" w:lineRule="auto"/>
            </w:pPr>
            <w:r w:rsidRPr="00910239">
              <w:t xml:space="preserve">WASHINGTON UTILITIES AND TRANSPORTATION COMMISSION, </w:t>
            </w:r>
          </w:p>
          <w:p w:rsidR="00FC78DF" w:rsidRPr="00910239" w:rsidRDefault="00FC78DF" w:rsidP="00460E04">
            <w:pPr>
              <w:spacing w:after="0" w:line="240" w:lineRule="auto"/>
            </w:pPr>
          </w:p>
          <w:p w:rsidR="00FC78DF" w:rsidRPr="00910239" w:rsidRDefault="00FC78DF" w:rsidP="00460E04">
            <w:pPr>
              <w:spacing w:after="0" w:line="240" w:lineRule="auto"/>
            </w:pPr>
            <w:r w:rsidRPr="00910239">
              <w:tab/>
            </w:r>
            <w:r w:rsidRPr="00910239">
              <w:tab/>
              <w:t>Complainant,</w:t>
            </w:r>
          </w:p>
          <w:p w:rsidR="00FC78DF" w:rsidRPr="00910239" w:rsidRDefault="00FC78DF" w:rsidP="00460E04">
            <w:pPr>
              <w:spacing w:after="0" w:line="240" w:lineRule="auto"/>
            </w:pPr>
          </w:p>
          <w:p w:rsidR="00FC78DF" w:rsidRPr="00910239" w:rsidRDefault="00FC78DF" w:rsidP="00460E04">
            <w:pPr>
              <w:spacing w:after="0" w:line="240" w:lineRule="auto"/>
            </w:pPr>
            <w:r w:rsidRPr="00910239">
              <w:t>v.</w:t>
            </w:r>
          </w:p>
          <w:p w:rsidR="00FC78DF" w:rsidRPr="00910239" w:rsidRDefault="00FC78DF" w:rsidP="00460E04">
            <w:pPr>
              <w:spacing w:after="0" w:line="240" w:lineRule="auto"/>
            </w:pPr>
          </w:p>
          <w:p w:rsidR="00FC78DF" w:rsidRPr="00910239" w:rsidRDefault="00FC78DF" w:rsidP="00460E04">
            <w:pPr>
              <w:spacing w:after="0" w:line="240" w:lineRule="auto"/>
            </w:pPr>
            <w:r w:rsidRPr="00910239">
              <w:t xml:space="preserve">PACIFICORP d/b/a PACIFIC POWER &amp; LIGHT COMPANY, </w:t>
            </w:r>
          </w:p>
          <w:p w:rsidR="00FC78DF" w:rsidRPr="00910239" w:rsidRDefault="00FC78DF" w:rsidP="00460E04">
            <w:pPr>
              <w:spacing w:after="0" w:line="240" w:lineRule="auto"/>
            </w:pPr>
          </w:p>
          <w:p w:rsidR="00FC78DF" w:rsidRPr="00910239" w:rsidRDefault="00FC78DF" w:rsidP="00460E04">
            <w:pPr>
              <w:spacing w:after="0" w:line="240" w:lineRule="auto"/>
            </w:pPr>
            <w:r w:rsidRPr="00910239">
              <w:tab/>
            </w:r>
            <w:r w:rsidRPr="00910239">
              <w:tab/>
              <w:t>Respondent.</w:t>
            </w:r>
          </w:p>
          <w:p w:rsidR="00FC78DF" w:rsidRPr="00910239" w:rsidRDefault="00FC78DF" w:rsidP="00460E04">
            <w:pPr>
              <w:spacing w:after="0" w:line="240" w:lineRule="auto"/>
            </w:pPr>
          </w:p>
        </w:tc>
        <w:tc>
          <w:tcPr>
            <w:tcW w:w="4590" w:type="dxa"/>
            <w:tcBorders>
              <w:top w:val="single" w:sz="6" w:space="0" w:color="FFFFFF"/>
              <w:left w:val="single" w:sz="7" w:space="0" w:color="000000"/>
              <w:bottom w:val="single" w:sz="6" w:space="0" w:color="FFFFFF"/>
              <w:right w:val="single" w:sz="6" w:space="0" w:color="FFFFFF"/>
            </w:tcBorders>
          </w:tcPr>
          <w:p w:rsidR="00FC78DF" w:rsidRPr="00910239" w:rsidRDefault="00FC78DF" w:rsidP="00460E04">
            <w:pPr>
              <w:spacing w:after="0" w:line="240" w:lineRule="auto"/>
              <w:ind w:firstLine="720"/>
            </w:pPr>
          </w:p>
          <w:p w:rsidR="00FC78DF" w:rsidRPr="00910239" w:rsidRDefault="00FC78DF" w:rsidP="00460E04">
            <w:pPr>
              <w:spacing w:after="0" w:line="240" w:lineRule="auto"/>
              <w:ind w:firstLine="720"/>
            </w:pPr>
            <w:r w:rsidRPr="00910239">
              <w:t>DOCKET UE-090205</w:t>
            </w:r>
          </w:p>
          <w:p w:rsidR="00FC78DF" w:rsidRPr="00910239" w:rsidRDefault="00FC78DF" w:rsidP="00460E04">
            <w:pPr>
              <w:spacing w:after="0" w:line="240" w:lineRule="auto"/>
            </w:pPr>
          </w:p>
          <w:p w:rsidR="00FC78DF" w:rsidRDefault="00FC78DF" w:rsidP="00460E04">
            <w:pPr>
              <w:spacing w:after="0" w:line="240" w:lineRule="auto"/>
              <w:ind w:left="720"/>
            </w:pPr>
            <w:r w:rsidRPr="00910239">
              <w:t xml:space="preserve">COMMISSION STAFF </w:t>
            </w:r>
            <w:r>
              <w:t xml:space="preserve">REPLY TO ICNU RESPONSE TO COMMISSION STAFF </w:t>
            </w:r>
            <w:r w:rsidRPr="00910239">
              <w:t xml:space="preserve">MOTION FOR PREHEARING CONFERENCE </w:t>
            </w:r>
          </w:p>
          <w:p w:rsidR="00FC78DF" w:rsidRDefault="00FC78DF" w:rsidP="00460E04">
            <w:pPr>
              <w:spacing w:after="0" w:line="240" w:lineRule="auto"/>
              <w:ind w:left="720"/>
            </w:pPr>
          </w:p>
          <w:p w:rsidR="00FC78DF" w:rsidRPr="00910239" w:rsidRDefault="00FC78DF" w:rsidP="00460E04">
            <w:pPr>
              <w:spacing w:after="0" w:line="240" w:lineRule="auto"/>
              <w:ind w:left="720"/>
            </w:pPr>
          </w:p>
        </w:tc>
      </w:tr>
    </w:tbl>
    <w:p w:rsidR="00FC78DF" w:rsidRDefault="00FC78DF" w:rsidP="00FC78DF">
      <w:pPr>
        <w:spacing w:after="0" w:line="240" w:lineRule="auto"/>
        <w:jc w:val="both"/>
      </w:pPr>
    </w:p>
    <w:p w:rsidR="00FC78DF" w:rsidRDefault="00FC78DF" w:rsidP="00FC78DF">
      <w:pPr>
        <w:spacing w:after="0" w:line="240" w:lineRule="auto"/>
      </w:pPr>
    </w:p>
    <w:p w:rsidR="007E42EE" w:rsidRDefault="006509C9" w:rsidP="006509C9">
      <w:pPr>
        <w:pStyle w:val="ListParagraph"/>
        <w:numPr>
          <w:ilvl w:val="0"/>
          <w:numId w:val="1"/>
        </w:numPr>
        <w:spacing w:after="0" w:line="480" w:lineRule="auto"/>
      </w:pPr>
      <w:r>
        <w:tab/>
      </w:r>
      <w:r w:rsidR="007E42EE">
        <w:t xml:space="preserve">Staff </w:t>
      </w:r>
      <w:r w:rsidR="00EB7D46">
        <w:t xml:space="preserve">offers this brief </w:t>
      </w:r>
      <w:r w:rsidR="007E42EE">
        <w:t>repl</w:t>
      </w:r>
      <w:r w:rsidR="00EB7D46">
        <w:t>y</w:t>
      </w:r>
      <w:r w:rsidR="007E42EE">
        <w:t xml:space="preserve"> to ICNU’s </w:t>
      </w:r>
      <w:r w:rsidR="00EB7D46">
        <w:t>R</w:t>
      </w:r>
      <w:r w:rsidR="007E42EE">
        <w:t xml:space="preserve">esponse to Staff’s </w:t>
      </w:r>
      <w:r w:rsidR="00EB7D46">
        <w:t>M</w:t>
      </w:r>
      <w:r w:rsidR="007E42EE">
        <w:t>otion</w:t>
      </w:r>
      <w:r w:rsidR="0051404E">
        <w:t>.  That Motion</w:t>
      </w:r>
      <w:r w:rsidR="00EB7D46">
        <w:t xml:space="preserve"> was filed and </w:t>
      </w:r>
      <w:r w:rsidR="001041EC">
        <w:t xml:space="preserve">dated September 9, 2009.  The parties are seeking guidance on the sort of testimony needed to support the revenue </w:t>
      </w:r>
      <w:r w:rsidR="00CE3F3A">
        <w:t xml:space="preserve">change </w:t>
      </w:r>
      <w:r w:rsidR="001041EC">
        <w:t>and cost of service/rate design elements of the Settlement Stipulation.</w:t>
      </w:r>
      <w:r w:rsidR="00CE3F3A">
        <w:t xml:space="preserve"> </w:t>
      </w:r>
    </w:p>
    <w:p w:rsidR="005F20FE" w:rsidRDefault="006509C9" w:rsidP="006509C9">
      <w:pPr>
        <w:pStyle w:val="ListParagraph"/>
        <w:numPr>
          <w:ilvl w:val="0"/>
          <w:numId w:val="1"/>
        </w:numPr>
        <w:spacing w:after="0" w:line="480" w:lineRule="auto"/>
      </w:pPr>
      <w:r>
        <w:rPr>
          <w:b/>
        </w:rPr>
        <w:tab/>
      </w:r>
      <w:r w:rsidR="00EB7D46" w:rsidRPr="006509C9">
        <w:rPr>
          <w:b/>
        </w:rPr>
        <w:t xml:space="preserve">The common goal is to provide the Commission what it needs.  </w:t>
      </w:r>
      <w:r w:rsidR="005F20FE">
        <w:t xml:space="preserve">Staff is encouraged that ICNU shares Staff’s </w:t>
      </w:r>
      <w:r w:rsidR="007E42EE">
        <w:t xml:space="preserve">goal </w:t>
      </w:r>
      <w:r w:rsidR="005F20FE">
        <w:t xml:space="preserve">of </w:t>
      </w:r>
      <w:r w:rsidR="007E42EE">
        <w:t>provid</w:t>
      </w:r>
      <w:r w:rsidR="005F20FE">
        <w:t>ing</w:t>
      </w:r>
      <w:r w:rsidR="007E42EE">
        <w:t xml:space="preserve"> the Commission </w:t>
      </w:r>
      <w:r w:rsidR="00764DC0">
        <w:t>the record it needs</w:t>
      </w:r>
      <w:r w:rsidR="007E42EE">
        <w:t xml:space="preserve"> in support of a Settlement Stipulation</w:t>
      </w:r>
      <w:r w:rsidR="005F20FE">
        <w:t xml:space="preserve"> such as this</w:t>
      </w:r>
      <w:r w:rsidR="00EB7D46">
        <w:t>, or, as</w:t>
      </w:r>
      <w:r w:rsidR="007E42EE">
        <w:t xml:space="preserve"> ICNU</w:t>
      </w:r>
      <w:r w:rsidR="005F20FE">
        <w:t xml:space="preserve"> puts it</w:t>
      </w:r>
      <w:r w:rsidR="007E42EE">
        <w:t>, what the Commission “would appreciate being apprised of in reviewing the Settlement Stipulation…”</w:t>
      </w:r>
      <w:r w:rsidR="001041EC">
        <w:t>.</w:t>
      </w:r>
      <w:r w:rsidR="007E42EE">
        <w:rPr>
          <w:rStyle w:val="FootnoteReference"/>
        </w:rPr>
        <w:footnoteReference w:id="1"/>
      </w:r>
      <w:r w:rsidR="007E42EE">
        <w:t xml:space="preserve">  </w:t>
      </w:r>
      <w:r w:rsidR="0063319D">
        <w:t>It is also helpful that ICNU shares Staff’s need to have clarification on this issue.</w:t>
      </w:r>
      <w:r w:rsidR="0063319D">
        <w:rPr>
          <w:rStyle w:val="FootnoteReference"/>
        </w:rPr>
        <w:footnoteReference w:id="2"/>
      </w:r>
      <w:r w:rsidR="0063319D">
        <w:t xml:space="preserve">  </w:t>
      </w:r>
      <w:r w:rsidR="00764DC0">
        <w:t>Right now, t</w:t>
      </w:r>
      <w:r w:rsidR="001C1352">
        <w:t>he parties need that guidance</w:t>
      </w:r>
      <w:r w:rsidR="0063319D">
        <w:t xml:space="preserve"> and clarification</w:t>
      </w:r>
      <w:r w:rsidR="001C1352">
        <w:t>, so they may fulfill the Settlement Stipulation’s “cooperation” mandate.</w:t>
      </w:r>
    </w:p>
    <w:p w:rsidR="00764DC0" w:rsidRDefault="006509C9" w:rsidP="006509C9">
      <w:pPr>
        <w:pStyle w:val="ListParagraph"/>
        <w:numPr>
          <w:ilvl w:val="0"/>
          <w:numId w:val="1"/>
        </w:numPr>
        <w:spacing w:after="0" w:line="480" w:lineRule="auto"/>
      </w:pPr>
      <w:r>
        <w:rPr>
          <w:b/>
        </w:rPr>
        <w:lastRenderedPageBreak/>
        <w:tab/>
      </w:r>
      <w:r w:rsidR="00EB7D46" w:rsidRPr="006509C9">
        <w:rPr>
          <w:b/>
        </w:rPr>
        <w:t xml:space="preserve">Commission rules do not require ICNU’s approach.  </w:t>
      </w:r>
      <w:r w:rsidR="00EB7D46">
        <w:t>Because of th</w:t>
      </w:r>
      <w:r w:rsidR="00CE3F3A">
        <w:t>ese</w:t>
      </w:r>
      <w:r w:rsidR="0063319D">
        <w:t xml:space="preserve"> shared </w:t>
      </w:r>
      <w:r w:rsidR="00EB7D46">
        <w:t>goal</w:t>
      </w:r>
      <w:r w:rsidR="00CE3F3A">
        <w:t>s</w:t>
      </w:r>
      <w:r w:rsidR="00EB7D46">
        <w:t xml:space="preserve">, application of Commission settlement rules is not the issue.   </w:t>
      </w:r>
      <w:r w:rsidR="00CE3F3A">
        <w:t xml:space="preserve">But, </w:t>
      </w:r>
      <w:r w:rsidR="001041EC">
        <w:t>I</w:t>
      </w:r>
      <w:r w:rsidR="007E42EE">
        <w:t xml:space="preserve">CNU is </w:t>
      </w:r>
      <w:r w:rsidR="005F20FE">
        <w:t xml:space="preserve">simply </w:t>
      </w:r>
      <w:r w:rsidR="007E42EE">
        <w:t xml:space="preserve">wrong to argue that Commission rules require a party to identify its litigation positions, provide alternative analyses, or litigate </w:t>
      </w:r>
      <w:r w:rsidR="001041EC">
        <w:t>its</w:t>
      </w:r>
      <w:r w:rsidR="007E42EE">
        <w:t xml:space="preserve"> issues.  </w:t>
      </w:r>
      <w:r w:rsidR="00EB7D46">
        <w:t>As the Commission has doubtless observed</w:t>
      </w:r>
      <w:r w:rsidR="00764DC0">
        <w:t xml:space="preserve"> already</w:t>
      </w:r>
      <w:r w:rsidR="00EB7D46">
        <w:t>, th</w:t>
      </w:r>
      <w:r w:rsidR="00764DC0">
        <w:t>e</w:t>
      </w:r>
      <w:r w:rsidR="007E42EE">
        <w:t xml:space="preserve"> rules </w:t>
      </w:r>
      <w:r w:rsidR="00764DC0">
        <w:t xml:space="preserve">ICNU cites </w:t>
      </w:r>
      <w:r w:rsidR="007E42EE">
        <w:t xml:space="preserve">are worded </w:t>
      </w:r>
      <w:r w:rsidR="00EB7D46">
        <w:t xml:space="preserve">in </w:t>
      </w:r>
      <w:r w:rsidR="00764DC0">
        <w:t xml:space="preserve">general </w:t>
      </w:r>
      <w:r w:rsidR="00EB7D46">
        <w:t xml:space="preserve">terms that </w:t>
      </w:r>
      <w:r w:rsidR="007E42EE">
        <w:t>would support a broad range of presentations.</w:t>
      </w:r>
      <w:r w:rsidR="00CE3F3A">
        <w:rPr>
          <w:rStyle w:val="FootnoteReference"/>
        </w:rPr>
        <w:footnoteReference w:id="3"/>
      </w:r>
      <w:r w:rsidR="007E42EE">
        <w:t xml:space="preserve">  </w:t>
      </w:r>
    </w:p>
    <w:p w:rsidR="007E42EE" w:rsidRDefault="006509C9" w:rsidP="006509C9">
      <w:pPr>
        <w:pStyle w:val="ListParagraph"/>
        <w:numPr>
          <w:ilvl w:val="0"/>
          <w:numId w:val="1"/>
        </w:numPr>
        <w:spacing w:after="0" w:line="480" w:lineRule="auto"/>
      </w:pPr>
      <w:r>
        <w:tab/>
      </w:r>
      <w:r w:rsidR="00EB7D46">
        <w:t xml:space="preserve">For example, </w:t>
      </w:r>
      <w:r w:rsidR="0063319D">
        <w:t xml:space="preserve">we offer for the </w:t>
      </w:r>
      <w:r w:rsidR="00301C7C">
        <w:t>Commission</w:t>
      </w:r>
      <w:r w:rsidR="0063319D">
        <w:t>’s</w:t>
      </w:r>
      <w:r w:rsidR="00EB7D46">
        <w:t xml:space="preserve"> </w:t>
      </w:r>
      <w:r w:rsidR="00764DC0">
        <w:t xml:space="preserve">review </w:t>
      </w:r>
      <w:r w:rsidR="00EB7D46">
        <w:t xml:space="preserve">the testimony </w:t>
      </w:r>
      <w:r w:rsidR="007E42EE">
        <w:t>ICNU</w:t>
      </w:r>
      <w:r w:rsidR="00EB7D46">
        <w:t xml:space="preserve"> filed in support of </w:t>
      </w:r>
      <w:r w:rsidR="007E42EE">
        <w:t>the settlement in the last PacifiCorp rate case, Docket UE-080220</w:t>
      </w:r>
      <w:r w:rsidR="00EB7D46">
        <w:t xml:space="preserve">. Set forth below is the </w:t>
      </w:r>
      <w:r w:rsidR="007E42EE">
        <w:t xml:space="preserve">entirety </w:t>
      </w:r>
      <w:r w:rsidR="00EB7D46">
        <w:t xml:space="preserve">of that testimony </w:t>
      </w:r>
      <w:r w:rsidR="007E42EE">
        <w:t>(by Mr. Early):</w:t>
      </w:r>
    </w:p>
    <w:p w:rsidR="007E42EE" w:rsidRDefault="007E42EE" w:rsidP="007E42EE">
      <w:pPr>
        <w:autoSpaceDE w:val="0"/>
        <w:autoSpaceDN w:val="0"/>
        <w:ind w:left="720"/>
        <w:rPr>
          <w:rFonts w:ascii="TimesNewRomanPS-BoldMT" w:hAnsi="TimesNewRomanPS-BoldMT"/>
          <w:b/>
          <w:bCs/>
        </w:rPr>
      </w:pPr>
      <w:r>
        <w:rPr>
          <w:rFonts w:ascii="TimesNewRomanPS-BoldMT" w:hAnsi="TimesNewRomanPS-BoldMT"/>
          <w:b/>
          <w:bCs/>
        </w:rPr>
        <w:t>Q.</w:t>
      </w:r>
      <w:r>
        <w:rPr>
          <w:rFonts w:ascii="TimesNewRomanPS-BoldMT" w:hAnsi="TimesNewRomanPS-BoldMT"/>
          <w:b/>
          <w:bCs/>
        </w:rPr>
        <w:tab/>
        <w:t>Please explain why the Stipulation satisfies the interests of ICNU.</w:t>
      </w:r>
    </w:p>
    <w:p w:rsidR="007E42EE" w:rsidRDefault="007E42EE" w:rsidP="0063319D">
      <w:pPr>
        <w:autoSpaceDE w:val="0"/>
        <w:autoSpaceDN w:val="0"/>
        <w:spacing w:after="0" w:line="240" w:lineRule="auto"/>
        <w:ind w:left="1440" w:hanging="720"/>
        <w:rPr>
          <w:rFonts w:ascii="TimesNewRomanPSMT" w:hAnsi="TimesNewRomanPSMT"/>
        </w:rPr>
      </w:pPr>
      <w:r>
        <w:rPr>
          <w:rFonts w:ascii="TimesNewRomanPSMT" w:hAnsi="TimesNewRomanPSMT"/>
        </w:rPr>
        <w:t>A.</w:t>
      </w:r>
      <w:r>
        <w:rPr>
          <w:rFonts w:ascii="TimesNewRomanPSMT" w:hAnsi="TimesNewRomanPSMT"/>
        </w:rPr>
        <w:tab/>
        <w:t>ICNU believes that this “black box” settlement is a reasonable compromise of the</w:t>
      </w:r>
      <w:r w:rsidR="0063319D">
        <w:rPr>
          <w:rFonts w:ascii="TimesNewRomanPSMT" w:hAnsi="TimesNewRomanPSMT"/>
        </w:rPr>
        <w:t xml:space="preserve"> </w:t>
      </w:r>
      <w:r>
        <w:rPr>
          <w:rFonts w:ascii="TimesNewRomanPSMT" w:hAnsi="TimesNewRomanPSMT"/>
        </w:rPr>
        <w:t>position of the Parties.  It is in the interests of ICNU's members to avoid litigation when possible and to ensure no further rate related filings until February 2009. It is especially important to ICNU's members to avoid another dispute over a power cost recovery mechanism in this case as well as the next general rate case. While this settlement represents a significant rate increase, it is hoped that perhaps customers could see a period of some rate stability as a result of this settlement.</w:t>
      </w:r>
      <w:r w:rsidR="001549E9">
        <w:rPr>
          <w:rStyle w:val="FootnoteReference"/>
          <w:rFonts w:ascii="TimesNewRomanPSMT" w:hAnsi="TimesNewRomanPSMT"/>
        </w:rPr>
        <w:footnoteReference w:id="4"/>
      </w:r>
    </w:p>
    <w:p w:rsidR="007E42EE" w:rsidRDefault="007E42EE" w:rsidP="007E42EE">
      <w:pPr>
        <w:autoSpaceDE w:val="0"/>
        <w:autoSpaceDN w:val="0"/>
        <w:spacing w:after="0"/>
        <w:ind w:left="1440" w:hanging="720"/>
        <w:rPr>
          <w:rFonts w:ascii="TimesNewRomanPSMT" w:hAnsi="TimesNewRomanPSMT"/>
        </w:rPr>
      </w:pPr>
    </w:p>
    <w:p w:rsidR="007E42EE" w:rsidRPr="006509C9" w:rsidRDefault="006509C9"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rPr>
        <w:tab/>
      </w:r>
      <w:r w:rsidR="00C87283">
        <w:rPr>
          <w:rFonts w:ascii="TimesNewRomanPSMT" w:hAnsi="TimesNewRomanPSMT"/>
        </w:rPr>
        <w:t xml:space="preserve">Note that in the prior rate case, </w:t>
      </w:r>
      <w:r w:rsidR="00764DC0" w:rsidRPr="006509C9">
        <w:rPr>
          <w:rFonts w:ascii="TimesNewRomanPSMT" w:hAnsi="TimesNewRomanPSMT"/>
        </w:rPr>
        <w:t>ICNU</w:t>
      </w:r>
      <w:r w:rsidR="00CE3F3A">
        <w:rPr>
          <w:rFonts w:ascii="TimesNewRomanPSMT" w:hAnsi="TimesNewRomanPSMT"/>
        </w:rPr>
        <w:t xml:space="preserve">’s testimony </w:t>
      </w:r>
      <w:r w:rsidR="00764DC0" w:rsidRPr="006509C9">
        <w:rPr>
          <w:rFonts w:ascii="TimesNewRomanPSMT" w:hAnsi="TimesNewRomanPSMT"/>
        </w:rPr>
        <w:t xml:space="preserve">did not identify </w:t>
      </w:r>
      <w:r w:rsidR="0063319D">
        <w:rPr>
          <w:rFonts w:ascii="TimesNewRomanPSMT" w:hAnsi="TimesNewRomanPSMT"/>
        </w:rPr>
        <w:t xml:space="preserve">even </w:t>
      </w:r>
      <w:r w:rsidR="00764DC0" w:rsidRPr="006509C9">
        <w:rPr>
          <w:rFonts w:ascii="TimesNewRomanPSMT" w:hAnsi="TimesNewRomanPSMT"/>
        </w:rPr>
        <w:t xml:space="preserve">a single error or omission in PacifiCorp’s direct case, </w:t>
      </w:r>
      <w:r w:rsidR="0063319D">
        <w:rPr>
          <w:rFonts w:ascii="TimesNewRomanPSMT" w:hAnsi="TimesNewRomanPSMT"/>
        </w:rPr>
        <w:t xml:space="preserve">or </w:t>
      </w:r>
      <w:r w:rsidR="00C87283">
        <w:rPr>
          <w:rFonts w:ascii="TimesNewRomanPSMT" w:hAnsi="TimesNewRomanPSMT"/>
        </w:rPr>
        <w:t xml:space="preserve">offer </w:t>
      </w:r>
      <w:r w:rsidR="00D06805">
        <w:rPr>
          <w:rFonts w:ascii="TimesNewRomanPSMT" w:hAnsi="TimesNewRomanPSMT"/>
        </w:rPr>
        <w:t xml:space="preserve">a single ICNU litigation position, </w:t>
      </w:r>
      <w:r w:rsidR="0063319D">
        <w:rPr>
          <w:rFonts w:ascii="TimesNewRomanPSMT" w:hAnsi="TimesNewRomanPSMT"/>
        </w:rPr>
        <w:t>n</w:t>
      </w:r>
      <w:r w:rsidR="00D06805">
        <w:rPr>
          <w:rFonts w:ascii="TimesNewRomanPSMT" w:hAnsi="TimesNewRomanPSMT"/>
        </w:rPr>
        <w:t xml:space="preserve">or </w:t>
      </w:r>
      <w:r w:rsidR="0063319D">
        <w:rPr>
          <w:rFonts w:ascii="TimesNewRomanPSMT" w:hAnsi="TimesNewRomanPSMT"/>
        </w:rPr>
        <w:t xml:space="preserve">did ICNU offer </w:t>
      </w:r>
      <w:r w:rsidR="00D06805">
        <w:rPr>
          <w:rFonts w:ascii="TimesNewRomanPSMT" w:hAnsi="TimesNewRomanPSMT"/>
        </w:rPr>
        <w:t xml:space="preserve">any </w:t>
      </w:r>
      <w:r w:rsidR="00764DC0" w:rsidRPr="006509C9">
        <w:rPr>
          <w:rFonts w:ascii="TimesNewRomanPSMT" w:hAnsi="TimesNewRomanPSMT"/>
        </w:rPr>
        <w:t xml:space="preserve">alternative analyses.  </w:t>
      </w:r>
      <w:r w:rsidR="0063319D">
        <w:rPr>
          <w:rFonts w:ascii="TimesNewRomanPSMT" w:hAnsi="TimesNewRomanPSMT"/>
        </w:rPr>
        <w:t xml:space="preserve">Because </w:t>
      </w:r>
      <w:r w:rsidR="0063319D" w:rsidRPr="006509C9">
        <w:rPr>
          <w:rFonts w:ascii="TimesNewRomanPSMT" w:hAnsi="TimesNewRomanPSMT"/>
        </w:rPr>
        <w:t xml:space="preserve">the rules </w:t>
      </w:r>
      <w:r w:rsidR="0063319D">
        <w:rPr>
          <w:rFonts w:ascii="TimesNewRomanPSMT" w:hAnsi="TimesNewRomanPSMT"/>
        </w:rPr>
        <w:t xml:space="preserve">ICNU </w:t>
      </w:r>
      <w:r w:rsidR="0063319D" w:rsidRPr="006509C9">
        <w:rPr>
          <w:rFonts w:ascii="TimesNewRomanPSMT" w:hAnsi="TimesNewRomanPSMT"/>
        </w:rPr>
        <w:t xml:space="preserve">now cites have not changed </w:t>
      </w:r>
      <w:r w:rsidR="0063319D">
        <w:rPr>
          <w:rFonts w:ascii="TimesNewRomanPSMT" w:hAnsi="TimesNewRomanPSMT"/>
        </w:rPr>
        <w:t xml:space="preserve">since that case, </w:t>
      </w:r>
      <w:r w:rsidR="005F20FE" w:rsidRPr="006509C9">
        <w:rPr>
          <w:rFonts w:ascii="TimesNewRomanPSMT" w:hAnsi="TimesNewRomanPSMT"/>
        </w:rPr>
        <w:t xml:space="preserve">ICNU cannot credibly argue that </w:t>
      </w:r>
      <w:r w:rsidR="001041EC">
        <w:rPr>
          <w:rFonts w:ascii="TimesNewRomanPSMT" w:hAnsi="TimesNewRomanPSMT"/>
        </w:rPr>
        <w:t>such</w:t>
      </w:r>
      <w:r w:rsidR="00D06805">
        <w:rPr>
          <w:rFonts w:ascii="TimesNewRomanPSMT" w:hAnsi="TimesNewRomanPSMT"/>
        </w:rPr>
        <w:t xml:space="preserve"> rules require </w:t>
      </w:r>
      <w:r w:rsidR="001041EC">
        <w:rPr>
          <w:rFonts w:ascii="TimesNewRomanPSMT" w:hAnsi="TimesNewRomanPSMT"/>
        </w:rPr>
        <w:t>ICNU</w:t>
      </w:r>
      <w:r w:rsidR="00D06805">
        <w:rPr>
          <w:rFonts w:ascii="TimesNewRomanPSMT" w:hAnsi="TimesNewRomanPSMT"/>
        </w:rPr>
        <w:t xml:space="preserve"> </w:t>
      </w:r>
      <w:r w:rsidR="005F20FE" w:rsidRPr="006509C9">
        <w:rPr>
          <w:rFonts w:ascii="TimesNewRomanPSMT" w:hAnsi="TimesNewRomanPSMT"/>
        </w:rPr>
        <w:t xml:space="preserve">to </w:t>
      </w:r>
      <w:r w:rsidR="00D06805">
        <w:rPr>
          <w:rFonts w:ascii="TimesNewRomanPSMT" w:hAnsi="TimesNewRomanPSMT"/>
        </w:rPr>
        <w:t>do so</w:t>
      </w:r>
      <w:r w:rsidR="001041EC">
        <w:rPr>
          <w:rFonts w:ascii="TimesNewRomanPSMT" w:hAnsi="TimesNewRomanPSMT"/>
        </w:rPr>
        <w:t xml:space="preserve"> in this case</w:t>
      </w:r>
      <w:r w:rsidR="00D06805">
        <w:rPr>
          <w:rFonts w:ascii="TimesNewRomanPSMT" w:hAnsi="TimesNewRomanPSMT"/>
        </w:rPr>
        <w:t xml:space="preserve">, in order to </w:t>
      </w:r>
      <w:r w:rsidR="005F20FE" w:rsidRPr="006509C9">
        <w:rPr>
          <w:rFonts w:ascii="TimesNewRomanPSMT" w:hAnsi="TimesNewRomanPSMT"/>
        </w:rPr>
        <w:t xml:space="preserve">demonstrate there </w:t>
      </w:r>
      <w:r w:rsidR="00C87283">
        <w:rPr>
          <w:rFonts w:ascii="TimesNewRomanPSMT" w:hAnsi="TimesNewRomanPSMT"/>
        </w:rPr>
        <w:t xml:space="preserve">is </w:t>
      </w:r>
      <w:r w:rsidR="005F20FE" w:rsidRPr="006509C9">
        <w:rPr>
          <w:rFonts w:ascii="TimesNewRomanPSMT" w:hAnsi="TimesNewRomanPSMT"/>
        </w:rPr>
        <w:t>a “compromise</w:t>
      </w:r>
      <w:r w:rsidR="00764DC0" w:rsidRPr="006509C9">
        <w:rPr>
          <w:rFonts w:ascii="TimesNewRomanPSMT" w:hAnsi="TimesNewRomanPSMT"/>
        </w:rPr>
        <w:t>.</w:t>
      </w:r>
      <w:r w:rsidR="005F20FE" w:rsidRPr="006509C9">
        <w:rPr>
          <w:rFonts w:ascii="TimesNewRomanPSMT" w:hAnsi="TimesNewRomanPSMT"/>
        </w:rPr>
        <w:t>”</w:t>
      </w:r>
      <w:r w:rsidR="005F20FE">
        <w:rPr>
          <w:rStyle w:val="FootnoteReference"/>
          <w:rFonts w:ascii="TimesNewRomanPSMT" w:hAnsi="TimesNewRomanPSMT"/>
        </w:rPr>
        <w:footnoteReference w:id="5"/>
      </w:r>
      <w:r w:rsidR="00EB7D46" w:rsidRPr="006509C9">
        <w:rPr>
          <w:rFonts w:ascii="TimesNewRomanPSMT" w:hAnsi="TimesNewRomanPSMT"/>
        </w:rPr>
        <w:t xml:space="preserve"> </w:t>
      </w:r>
      <w:r w:rsidR="00764DC0" w:rsidRPr="006509C9">
        <w:rPr>
          <w:rFonts w:ascii="TimesNewRomanPSMT" w:hAnsi="TimesNewRomanPSMT"/>
        </w:rPr>
        <w:t xml:space="preserve"> </w:t>
      </w:r>
    </w:p>
    <w:p w:rsidR="005F20FE" w:rsidRPr="006509C9" w:rsidRDefault="006509C9"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b/>
        </w:rPr>
        <w:lastRenderedPageBreak/>
        <w:tab/>
      </w:r>
      <w:r w:rsidR="00EB7D46" w:rsidRPr="006509C9">
        <w:rPr>
          <w:rFonts w:ascii="TimesNewRomanPSMT" w:hAnsi="TimesNewRomanPSMT"/>
          <w:b/>
        </w:rPr>
        <w:t xml:space="preserve">The Settlement Stipulation </w:t>
      </w:r>
      <w:r w:rsidR="001549E9" w:rsidRPr="006509C9">
        <w:rPr>
          <w:rFonts w:ascii="TimesNewRomanPSMT" w:hAnsi="TimesNewRomanPSMT"/>
          <w:b/>
        </w:rPr>
        <w:t xml:space="preserve">supports Staff’s </w:t>
      </w:r>
      <w:r w:rsidR="00764DC0" w:rsidRPr="006509C9">
        <w:rPr>
          <w:rFonts w:ascii="TimesNewRomanPSMT" w:hAnsi="TimesNewRomanPSMT"/>
          <w:b/>
        </w:rPr>
        <w:t xml:space="preserve">recommended </w:t>
      </w:r>
      <w:r w:rsidR="001549E9" w:rsidRPr="006509C9">
        <w:rPr>
          <w:rFonts w:ascii="TimesNewRomanPSMT" w:hAnsi="TimesNewRomanPSMT"/>
          <w:b/>
        </w:rPr>
        <w:t>approach, not ICNU’s</w:t>
      </w:r>
      <w:r w:rsidR="00EB7D46" w:rsidRPr="006509C9">
        <w:rPr>
          <w:rFonts w:ascii="TimesNewRomanPSMT" w:hAnsi="TimesNewRomanPSMT"/>
          <w:b/>
        </w:rPr>
        <w:t xml:space="preserve">.  </w:t>
      </w:r>
      <w:r w:rsidR="005F20FE" w:rsidRPr="006509C9">
        <w:rPr>
          <w:rFonts w:ascii="TimesNewRomanPSMT" w:hAnsi="TimesNewRomanPSMT"/>
        </w:rPr>
        <w:t xml:space="preserve">Nor is ICNU’s novel approach </w:t>
      </w:r>
      <w:r w:rsidR="00EB7D46" w:rsidRPr="006509C9">
        <w:rPr>
          <w:rFonts w:ascii="TimesNewRomanPSMT" w:hAnsi="TimesNewRomanPSMT"/>
        </w:rPr>
        <w:t xml:space="preserve">in this case </w:t>
      </w:r>
      <w:r w:rsidR="005F20FE" w:rsidRPr="006509C9">
        <w:rPr>
          <w:rFonts w:ascii="TimesNewRomanPSMT" w:hAnsi="TimesNewRomanPSMT"/>
        </w:rPr>
        <w:t xml:space="preserve">required by the Settlement Stipulation, which is patterned off the one the Commission approved in Docket UE-080200.  As we pointed out in our Motion, the Settlement Stipulation </w:t>
      </w:r>
      <w:r w:rsidR="0063319D">
        <w:rPr>
          <w:rFonts w:ascii="TimesNewRomanPSMT" w:hAnsi="TimesNewRomanPSMT"/>
        </w:rPr>
        <w:t xml:space="preserve">states that it </w:t>
      </w:r>
      <w:r w:rsidR="005F20FE" w:rsidRPr="006509C9">
        <w:rPr>
          <w:rFonts w:ascii="TimesNewRomanPSMT" w:hAnsi="TimesNewRomanPSMT"/>
        </w:rPr>
        <w:t xml:space="preserve">resolves all issues between the parties in a manner that establishes no precedent, </w:t>
      </w:r>
      <w:r w:rsidR="0063319D">
        <w:rPr>
          <w:rFonts w:ascii="TimesNewRomanPSMT" w:hAnsi="TimesNewRomanPSMT"/>
        </w:rPr>
        <w:t>and this</w:t>
      </w:r>
      <w:r w:rsidR="005F20FE" w:rsidRPr="006509C9">
        <w:rPr>
          <w:rFonts w:ascii="TimesNewRomanPSMT" w:hAnsi="TimesNewRomanPSMT"/>
        </w:rPr>
        <w:t xml:space="preserve"> protects all parties from having to </w:t>
      </w:r>
      <w:r w:rsidR="00764DC0" w:rsidRPr="006509C9">
        <w:rPr>
          <w:rFonts w:ascii="TimesNewRomanPSMT" w:hAnsi="TimesNewRomanPSMT"/>
        </w:rPr>
        <w:t>attack PacifiCorp’s direct case</w:t>
      </w:r>
      <w:r w:rsidR="005F20FE" w:rsidRPr="006509C9">
        <w:rPr>
          <w:rFonts w:ascii="TimesNewRomanPSMT" w:hAnsi="TimesNewRomanPSMT"/>
        </w:rPr>
        <w:t>.</w:t>
      </w:r>
      <w:r w:rsidR="005F20FE">
        <w:rPr>
          <w:rStyle w:val="FootnoteReference"/>
          <w:rFonts w:ascii="TimesNewRomanPSMT" w:hAnsi="TimesNewRomanPSMT"/>
        </w:rPr>
        <w:footnoteReference w:id="6"/>
      </w:r>
      <w:r w:rsidR="00EB7D46" w:rsidRPr="006509C9">
        <w:rPr>
          <w:rFonts w:ascii="TimesNewRomanPSMT" w:hAnsi="TimesNewRomanPSMT"/>
        </w:rPr>
        <w:t xml:space="preserve">  ICNU does not contest the point.</w:t>
      </w:r>
    </w:p>
    <w:p w:rsidR="001041EC" w:rsidRDefault="006509C9" w:rsidP="006509C9">
      <w:pPr>
        <w:pStyle w:val="ListParagraph"/>
        <w:numPr>
          <w:ilvl w:val="0"/>
          <w:numId w:val="1"/>
        </w:numPr>
        <w:autoSpaceDE w:val="0"/>
        <w:autoSpaceDN w:val="0"/>
        <w:spacing w:after="0" w:line="480" w:lineRule="auto"/>
        <w:rPr>
          <w:rFonts w:ascii="TimesNewRomanPSMT" w:hAnsi="TimesNewRomanPSMT"/>
        </w:rPr>
      </w:pPr>
      <w:r w:rsidRPr="001041EC">
        <w:rPr>
          <w:rFonts w:ascii="TimesNewRomanPSMT" w:hAnsi="TimesNewRomanPSMT"/>
          <w:b/>
        </w:rPr>
        <w:tab/>
      </w:r>
      <w:r w:rsidR="001C1352" w:rsidRPr="001041EC">
        <w:rPr>
          <w:rFonts w:ascii="TimesNewRomanPSMT" w:hAnsi="TimesNewRomanPSMT"/>
          <w:b/>
        </w:rPr>
        <w:t>The guidance of ALJ Moss support</w:t>
      </w:r>
      <w:r w:rsidR="001549E9" w:rsidRPr="001041EC">
        <w:rPr>
          <w:rFonts w:ascii="TimesNewRomanPSMT" w:hAnsi="TimesNewRomanPSMT"/>
          <w:b/>
        </w:rPr>
        <w:t xml:space="preserve">s Staff’s </w:t>
      </w:r>
      <w:r w:rsidR="00764DC0" w:rsidRPr="001041EC">
        <w:rPr>
          <w:rFonts w:ascii="TimesNewRomanPSMT" w:hAnsi="TimesNewRomanPSMT"/>
          <w:b/>
        </w:rPr>
        <w:t xml:space="preserve">recommended </w:t>
      </w:r>
      <w:r w:rsidR="001549E9" w:rsidRPr="001041EC">
        <w:rPr>
          <w:rFonts w:ascii="TimesNewRomanPSMT" w:hAnsi="TimesNewRomanPSMT"/>
          <w:b/>
        </w:rPr>
        <w:t xml:space="preserve">approach, not </w:t>
      </w:r>
      <w:r w:rsidR="001C1352" w:rsidRPr="001041EC">
        <w:rPr>
          <w:rFonts w:ascii="TimesNewRomanPSMT" w:hAnsi="TimesNewRomanPSMT"/>
          <w:b/>
        </w:rPr>
        <w:t xml:space="preserve">ICNU’s.  </w:t>
      </w:r>
      <w:r w:rsidR="001C1352" w:rsidRPr="001041EC">
        <w:rPr>
          <w:rFonts w:ascii="TimesNewRomanPSMT" w:hAnsi="TimesNewRomanPSMT"/>
        </w:rPr>
        <w:t xml:space="preserve">ICNU says its approach is consistent with the guidance provided by ALJ Dennis Moss in the recent Puget Sound Energy rate case prehearing conference.  We quoted that guidance in footnote 2 of </w:t>
      </w:r>
      <w:r w:rsidR="0063319D" w:rsidRPr="001041EC">
        <w:rPr>
          <w:rFonts w:ascii="TimesNewRomanPSMT" w:hAnsi="TimesNewRomanPSMT"/>
        </w:rPr>
        <w:t>Staff’s</w:t>
      </w:r>
      <w:r w:rsidR="001C1352" w:rsidRPr="001041EC">
        <w:rPr>
          <w:rFonts w:ascii="TimesNewRomanPSMT" w:hAnsi="TimesNewRomanPSMT"/>
        </w:rPr>
        <w:t xml:space="preserve"> Motion.  ICNU </w:t>
      </w:r>
      <w:r w:rsidR="001041EC" w:rsidRPr="001041EC">
        <w:rPr>
          <w:rFonts w:ascii="TimesNewRomanPSMT" w:hAnsi="TimesNewRomanPSMT"/>
        </w:rPr>
        <w:t>explains</w:t>
      </w:r>
      <w:r w:rsidR="001C1352" w:rsidRPr="001041EC">
        <w:rPr>
          <w:rFonts w:ascii="TimesNewRomanPSMT" w:hAnsi="TimesNewRomanPSMT"/>
        </w:rPr>
        <w:t>: “None of the proposed supporting testimony is focused upon the specific results of such expert analysis …”</w:t>
      </w:r>
      <w:r w:rsidR="001041EC" w:rsidRPr="001041EC">
        <w:rPr>
          <w:rFonts w:ascii="TimesNewRomanPSMT" w:hAnsi="TimesNewRomanPSMT"/>
        </w:rPr>
        <w:t>.</w:t>
      </w:r>
      <w:r w:rsidR="001C1352">
        <w:rPr>
          <w:rStyle w:val="FootnoteReference"/>
          <w:rFonts w:ascii="TimesNewRomanPSMT" w:hAnsi="TimesNewRomanPSMT"/>
        </w:rPr>
        <w:footnoteReference w:id="7"/>
      </w:r>
      <w:r w:rsidR="001C1352" w:rsidRPr="001041EC">
        <w:rPr>
          <w:rFonts w:ascii="TimesNewRomanPSMT" w:hAnsi="TimesNewRomanPSMT"/>
        </w:rPr>
        <w:t xml:space="preserve">  </w:t>
      </w:r>
    </w:p>
    <w:p w:rsidR="001C1352" w:rsidRPr="001041EC" w:rsidRDefault="001041EC"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b/>
        </w:rPr>
        <w:tab/>
      </w:r>
      <w:r w:rsidR="001C1352" w:rsidRPr="001041EC">
        <w:rPr>
          <w:rFonts w:ascii="TimesNewRomanPSMT" w:hAnsi="TimesNewRomanPSMT"/>
        </w:rPr>
        <w:t xml:space="preserve">Not so.  For example, ICNU plans to offer testimony of an expert who will challenge PacifiCorp’s cost of service study.  </w:t>
      </w:r>
      <w:r w:rsidR="00460E04">
        <w:rPr>
          <w:rFonts w:ascii="TimesNewRomanPSMT" w:hAnsi="TimesNewRomanPSMT"/>
        </w:rPr>
        <w:t xml:space="preserve">He plans to identify three specific “significant areas” where he differs from the Company’s approach.  He </w:t>
      </w:r>
      <w:r w:rsidR="00CE3F3A">
        <w:rPr>
          <w:rFonts w:ascii="TimesNewRomanPSMT" w:hAnsi="TimesNewRomanPSMT"/>
        </w:rPr>
        <w:t xml:space="preserve">plans to </w:t>
      </w:r>
      <w:r w:rsidR="00460E04">
        <w:rPr>
          <w:rFonts w:ascii="TimesNewRomanPSMT" w:hAnsi="TimesNewRomanPSMT"/>
        </w:rPr>
        <w:t xml:space="preserve">explain one </w:t>
      </w:r>
      <w:r w:rsidR="00CE3F3A">
        <w:rPr>
          <w:rFonts w:ascii="TimesNewRomanPSMT" w:hAnsi="TimesNewRomanPSMT"/>
        </w:rPr>
        <w:t xml:space="preserve">such area </w:t>
      </w:r>
      <w:r w:rsidR="00460E04">
        <w:rPr>
          <w:rFonts w:ascii="TimesNewRomanPSMT" w:hAnsi="TimesNewRomanPSMT"/>
        </w:rPr>
        <w:t xml:space="preserve">in detail, </w:t>
      </w:r>
      <w:r w:rsidR="00CE3F3A">
        <w:rPr>
          <w:rFonts w:ascii="TimesNewRomanPSMT" w:hAnsi="TimesNewRomanPSMT"/>
        </w:rPr>
        <w:t xml:space="preserve">and </w:t>
      </w:r>
      <w:r w:rsidR="00460E04">
        <w:rPr>
          <w:rFonts w:ascii="TimesNewRomanPSMT" w:hAnsi="TimesNewRomanPSMT"/>
        </w:rPr>
        <w:t xml:space="preserve">present </w:t>
      </w:r>
      <w:r w:rsidR="008362A6">
        <w:rPr>
          <w:rFonts w:ascii="TimesNewRomanPSMT" w:hAnsi="TimesNewRomanPSMT"/>
        </w:rPr>
        <w:t xml:space="preserve">alternative </w:t>
      </w:r>
      <w:r w:rsidR="00460E04">
        <w:rPr>
          <w:rFonts w:ascii="TimesNewRomanPSMT" w:hAnsi="TimesNewRomanPSMT"/>
        </w:rPr>
        <w:t>ideas for power cost allocations</w:t>
      </w:r>
      <w:r w:rsidR="00CE3F3A">
        <w:rPr>
          <w:rFonts w:ascii="TimesNewRomanPSMT" w:hAnsi="TimesNewRomanPSMT"/>
        </w:rPr>
        <w:t xml:space="preserve">.  He </w:t>
      </w:r>
      <w:r w:rsidR="008362A6">
        <w:rPr>
          <w:rFonts w:ascii="TimesNewRomanPSMT" w:hAnsi="TimesNewRomanPSMT"/>
        </w:rPr>
        <w:t xml:space="preserve">plans to </w:t>
      </w:r>
      <w:r w:rsidR="00CE3F3A">
        <w:rPr>
          <w:rFonts w:ascii="TimesNewRomanPSMT" w:hAnsi="TimesNewRomanPSMT"/>
        </w:rPr>
        <w:t xml:space="preserve">present the </w:t>
      </w:r>
      <w:r w:rsidR="001C1352" w:rsidRPr="001041EC">
        <w:rPr>
          <w:rFonts w:ascii="TimesNewRomanPSMT" w:hAnsi="TimesNewRomanPSMT"/>
        </w:rPr>
        <w:t xml:space="preserve">impact of at least one of these </w:t>
      </w:r>
      <w:r w:rsidR="00CE3F3A">
        <w:rPr>
          <w:rFonts w:ascii="TimesNewRomanPSMT" w:hAnsi="TimesNewRomanPSMT"/>
        </w:rPr>
        <w:t xml:space="preserve">differences </w:t>
      </w:r>
      <w:r w:rsidR="001C1352" w:rsidRPr="001041EC">
        <w:rPr>
          <w:rFonts w:ascii="TimesNewRomanPSMT" w:hAnsi="TimesNewRomanPSMT"/>
        </w:rPr>
        <w:t>on the cost of service study.  This is a clear example of testimony “focused on the specific results of such expert analysis.”</w:t>
      </w:r>
      <w:r w:rsidR="00CE3F3A">
        <w:rPr>
          <w:rFonts w:ascii="TimesNewRomanPSMT" w:hAnsi="TimesNewRomanPSMT"/>
        </w:rPr>
        <w:t xml:space="preserve">  </w:t>
      </w:r>
    </w:p>
    <w:p w:rsidR="00EB7D46" w:rsidRPr="006509C9" w:rsidRDefault="006509C9"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rPr>
        <w:tab/>
      </w:r>
      <w:r w:rsidR="001549E9" w:rsidRPr="006509C9">
        <w:rPr>
          <w:rFonts w:ascii="TimesNewRomanPSMT" w:hAnsi="TimesNewRomanPSMT"/>
        </w:rPr>
        <w:t xml:space="preserve">Another </w:t>
      </w:r>
      <w:r w:rsidR="008362A6">
        <w:rPr>
          <w:rFonts w:ascii="TimesNewRomanPSMT" w:hAnsi="TimesNewRomanPSMT"/>
        </w:rPr>
        <w:t xml:space="preserve">ICNU </w:t>
      </w:r>
      <w:r w:rsidR="001549E9" w:rsidRPr="006509C9">
        <w:rPr>
          <w:rFonts w:ascii="TimesNewRomanPSMT" w:hAnsi="TimesNewRomanPSMT"/>
        </w:rPr>
        <w:t xml:space="preserve">witness plans to itemize over 20 specific </w:t>
      </w:r>
      <w:r w:rsidR="0063319D">
        <w:rPr>
          <w:rFonts w:ascii="TimesNewRomanPSMT" w:hAnsi="TimesNewRomanPSMT"/>
        </w:rPr>
        <w:t xml:space="preserve">alleged </w:t>
      </w:r>
      <w:r w:rsidR="001549E9" w:rsidRPr="006509C9">
        <w:rPr>
          <w:rFonts w:ascii="TimesNewRomanPSMT" w:hAnsi="TimesNewRomanPSMT"/>
        </w:rPr>
        <w:t xml:space="preserve">errors, omissions and other problems he found with PacifiCorp’s power supply figures.  While these items are not quantified, they certainly qualify as “results of such expert analysis.” </w:t>
      </w:r>
    </w:p>
    <w:p w:rsidR="00301C7C" w:rsidRPr="006509C9" w:rsidRDefault="006509C9"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b/>
        </w:rPr>
        <w:tab/>
      </w:r>
      <w:r w:rsidR="001549E9" w:rsidRPr="006509C9">
        <w:rPr>
          <w:rFonts w:ascii="TimesNewRomanPSMT" w:hAnsi="TimesNewRomanPSMT"/>
          <w:b/>
        </w:rPr>
        <w:t xml:space="preserve">ICNU’s approach fosters increased adversity among the parties.  </w:t>
      </w:r>
      <w:r w:rsidR="001549E9" w:rsidRPr="006509C9">
        <w:rPr>
          <w:rFonts w:ascii="TimesNewRomanPSMT" w:hAnsi="TimesNewRomanPSMT"/>
        </w:rPr>
        <w:t xml:space="preserve">If ICNU files the sort of testimony we have seen, Staff will need an opportunity to reply, and may need </w:t>
      </w:r>
      <w:r w:rsidR="001549E9" w:rsidRPr="006509C9">
        <w:rPr>
          <w:rFonts w:ascii="TimesNewRomanPSMT" w:hAnsi="TimesNewRomanPSMT"/>
        </w:rPr>
        <w:lastRenderedPageBreak/>
        <w:t xml:space="preserve">discovery.  This was not necessary under the procedures ICNU and other parties followed in the last case, and it </w:t>
      </w:r>
      <w:r w:rsidR="00764DC0" w:rsidRPr="006509C9">
        <w:rPr>
          <w:rFonts w:ascii="TimesNewRomanPSMT" w:hAnsi="TimesNewRomanPSMT"/>
        </w:rPr>
        <w:t xml:space="preserve">should not be </w:t>
      </w:r>
      <w:r w:rsidR="001549E9" w:rsidRPr="006509C9">
        <w:rPr>
          <w:rFonts w:ascii="TimesNewRomanPSMT" w:hAnsi="TimesNewRomanPSMT"/>
        </w:rPr>
        <w:t>necessary now.</w:t>
      </w:r>
      <w:r w:rsidR="00764DC0" w:rsidRPr="006509C9">
        <w:rPr>
          <w:rFonts w:ascii="TimesNewRomanPSMT" w:hAnsi="TimesNewRomanPSMT"/>
        </w:rPr>
        <w:t xml:space="preserve">  Such a reply will further litigious </w:t>
      </w:r>
      <w:r w:rsidR="0063319D">
        <w:rPr>
          <w:rFonts w:ascii="TimesNewRomanPSMT" w:hAnsi="TimesNewRomanPSMT"/>
        </w:rPr>
        <w:t>and adversarial conduct</w:t>
      </w:r>
      <w:r w:rsidR="00764DC0" w:rsidRPr="006509C9">
        <w:rPr>
          <w:rFonts w:ascii="TimesNewRomanPSMT" w:hAnsi="TimesNewRomanPSMT"/>
        </w:rPr>
        <w:t>, all under the guise of “supporting” a settlement.   As we indicated in our Motion, th</w:t>
      </w:r>
      <w:r w:rsidR="0063319D">
        <w:rPr>
          <w:rFonts w:ascii="TimesNewRomanPSMT" w:hAnsi="TimesNewRomanPSMT"/>
        </w:rPr>
        <w:t>at</w:t>
      </w:r>
      <w:r w:rsidR="00764DC0" w:rsidRPr="006509C9">
        <w:rPr>
          <w:rFonts w:ascii="TimesNewRomanPSMT" w:hAnsi="TimesNewRomanPSMT"/>
        </w:rPr>
        <w:t xml:space="preserve"> is oxymoronic, and nothing ICNU has offered challenges that description.</w:t>
      </w:r>
    </w:p>
    <w:p w:rsidR="001549E9" w:rsidRPr="006509C9" w:rsidRDefault="006509C9"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b/>
        </w:rPr>
        <w:tab/>
      </w:r>
      <w:r w:rsidR="001549E9" w:rsidRPr="006509C9">
        <w:rPr>
          <w:rFonts w:ascii="TimesNewRomanPSMT" w:hAnsi="TimesNewRomanPSMT"/>
          <w:b/>
        </w:rPr>
        <w:t xml:space="preserve">Staff does not believe it should draft ICNU’s testimony.  </w:t>
      </w:r>
      <w:r w:rsidR="00C87283" w:rsidRPr="00C87283">
        <w:rPr>
          <w:rFonts w:ascii="TimesNewRomanPSMT" w:hAnsi="TimesNewRomanPSMT"/>
        </w:rPr>
        <w:t>An example of the increa</w:t>
      </w:r>
      <w:r w:rsidR="00C87283">
        <w:rPr>
          <w:rFonts w:ascii="TimesNewRomanPSMT" w:hAnsi="TimesNewRomanPSMT"/>
        </w:rPr>
        <w:t>s</w:t>
      </w:r>
      <w:r w:rsidR="00C87283" w:rsidRPr="00C87283">
        <w:rPr>
          <w:rFonts w:ascii="TimesNewRomanPSMT" w:hAnsi="TimesNewRomanPSMT"/>
        </w:rPr>
        <w:t>e</w:t>
      </w:r>
      <w:r w:rsidR="00C87283">
        <w:rPr>
          <w:rFonts w:ascii="TimesNewRomanPSMT" w:hAnsi="TimesNewRomanPSMT"/>
        </w:rPr>
        <w:t>d</w:t>
      </w:r>
      <w:r w:rsidR="00C87283" w:rsidRPr="00C87283">
        <w:rPr>
          <w:rFonts w:ascii="TimesNewRomanPSMT" w:hAnsi="TimesNewRomanPSMT"/>
        </w:rPr>
        <w:t xml:space="preserve"> adversity is </w:t>
      </w:r>
      <w:r w:rsidR="001549E9" w:rsidRPr="00C87283">
        <w:rPr>
          <w:rFonts w:ascii="TimesNewRomanPSMT" w:hAnsi="TimesNewRomanPSMT"/>
        </w:rPr>
        <w:t>ICNU</w:t>
      </w:r>
      <w:r w:rsidR="00C87283" w:rsidRPr="00C87283">
        <w:rPr>
          <w:rFonts w:ascii="TimesNewRomanPSMT" w:hAnsi="TimesNewRomanPSMT"/>
        </w:rPr>
        <w:t>’s unsupp</w:t>
      </w:r>
      <w:r w:rsidR="00C87283">
        <w:rPr>
          <w:rFonts w:ascii="TimesNewRomanPSMT" w:hAnsi="TimesNewRomanPSMT"/>
        </w:rPr>
        <w:t>o</w:t>
      </w:r>
      <w:r w:rsidR="00C87283" w:rsidRPr="00C87283">
        <w:rPr>
          <w:rFonts w:ascii="TimesNewRomanPSMT" w:hAnsi="TimesNewRomanPSMT"/>
        </w:rPr>
        <w:t xml:space="preserve">rted </w:t>
      </w:r>
      <w:r w:rsidR="001549E9" w:rsidRPr="00C87283">
        <w:rPr>
          <w:rFonts w:ascii="TimesNewRomanPSMT" w:hAnsi="TimesNewRomanPSMT"/>
        </w:rPr>
        <w:t>alleg</w:t>
      </w:r>
      <w:r w:rsidR="00C87283" w:rsidRPr="00C87283">
        <w:rPr>
          <w:rFonts w:ascii="TimesNewRomanPSMT" w:hAnsi="TimesNewRomanPSMT"/>
        </w:rPr>
        <w:t>ation that</w:t>
      </w:r>
      <w:r w:rsidR="001549E9" w:rsidRPr="00C87283">
        <w:rPr>
          <w:rFonts w:ascii="TimesNewRomanPSMT" w:hAnsi="TimesNewRomanPSMT"/>
        </w:rPr>
        <w:t xml:space="preserve"> Staff believ</w:t>
      </w:r>
      <w:r w:rsidR="001549E9" w:rsidRPr="006509C9">
        <w:rPr>
          <w:rFonts w:ascii="TimesNewRomanPSMT" w:hAnsi="TimesNewRomanPSMT"/>
        </w:rPr>
        <w:t>es it should draft ICNU’s testimony.</w:t>
      </w:r>
      <w:r w:rsidR="008362A6">
        <w:rPr>
          <w:rStyle w:val="FootnoteReference"/>
          <w:rFonts w:ascii="TimesNewRomanPSMT" w:hAnsi="TimesNewRomanPSMT"/>
        </w:rPr>
        <w:footnoteReference w:id="8"/>
      </w:r>
      <w:r w:rsidR="001549E9" w:rsidRPr="006509C9">
        <w:rPr>
          <w:rFonts w:ascii="TimesNewRomanPSMT" w:hAnsi="TimesNewRomanPSMT"/>
        </w:rPr>
        <w:t xml:space="preserve">  </w:t>
      </w:r>
      <w:r w:rsidR="00764DC0" w:rsidRPr="006509C9">
        <w:rPr>
          <w:rFonts w:ascii="TimesNewRomanPSMT" w:hAnsi="TimesNewRomanPSMT"/>
        </w:rPr>
        <w:t xml:space="preserve">In fact, </w:t>
      </w:r>
      <w:r w:rsidR="001549E9" w:rsidRPr="006509C9">
        <w:rPr>
          <w:rFonts w:ascii="TimesNewRomanPSMT" w:hAnsi="TimesNewRomanPSMT"/>
        </w:rPr>
        <w:t xml:space="preserve">Staff has no such desire.  However, if ICNU chooses to </w:t>
      </w:r>
      <w:r w:rsidR="001041EC">
        <w:rPr>
          <w:rFonts w:ascii="TimesNewRomanPSMT" w:hAnsi="TimesNewRomanPSMT"/>
        </w:rPr>
        <w:t xml:space="preserve">pursue its novel approach, </w:t>
      </w:r>
      <w:r w:rsidR="001549E9" w:rsidRPr="006509C9">
        <w:rPr>
          <w:rFonts w:ascii="TimesNewRomanPSMT" w:hAnsi="TimesNewRomanPSMT"/>
        </w:rPr>
        <w:t xml:space="preserve">that choice will have consequences.  </w:t>
      </w:r>
      <w:r w:rsidR="0063319D">
        <w:rPr>
          <w:rFonts w:ascii="TimesNewRomanPSMT" w:hAnsi="TimesNewRomanPSMT"/>
        </w:rPr>
        <w:t>A</w:t>
      </w:r>
      <w:r w:rsidR="001549E9" w:rsidRPr="006509C9">
        <w:rPr>
          <w:rFonts w:ascii="TimesNewRomanPSMT" w:hAnsi="TimesNewRomanPSMT"/>
        </w:rPr>
        <w:t xml:space="preserve"> short-term consequence could be a potential breach of the Settlement Stipulation’s agreement to cooperate.  </w:t>
      </w:r>
      <w:r w:rsidR="0063319D">
        <w:rPr>
          <w:rFonts w:ascii="TimesNewRomanPSMT" w:hAnsi="TimesNewRomanPSMT"/>
        </w:rPr>
        <w:t>A</w:t>
      </w:r>
      <w:r w:rsidR="001549E9" w:rsidRPr="006509C9">
        <w:rPr>
          <w:rFonts w:ascii="TimesNewRomanPSMT" w:hAnsi="TimesNewRomanPSMT"/>
        </w:rPr>
        <w:t xml:space="preserve"> longer term consequence </w:t>
      </w:r>
      <w:r w:rsidR="0063319D">
        <w:rPr>
          <w:rFonts w:ascii="TimesNewRomanPSMT" w:hAnsi="TimesNewRomanPSMT"/>
        </w:rPr>
        <w:t>is</w:t>
      </w:r>
      <w:r w:rsidR="001549E9" w:rsidRPr="006509C9">
        <w:rPr>
          <w:rFonts w:ascii="TimesNewRomanPSMT" w:hAnsi="TimesNewRomanPSMT"/>
        </w:rPr>
        <w:t xml:space="preserve"> that Staff </w:t>
      </w:r>
      <w:r w:rsidR="00764DC0" w:rsidRPr="006509C9">
        <w:rPr>
          <w:rFonts w:ascii="TimesNewRomanPSMT" w:hAnsi="TimesNewRomanPSMT"/>
        </w:rPr>
        <w:t>will be highly reluctant to engage in future settlements under ICNU’s approach</w:t>
      </w:r>
      <w:r w:rsidR="001549E9" w:rsidRPr="006509C9">
        <w:rPr>
          <w:rFonts w:ascii="TimesNewRomanPSMT" w:hAnsi="TimesNewRomanPSMT"/>
        </w:rPr>
        <w:t>.</w:t>
      </w:r>
    </w:p>
    <w:p w:rsidR="008362A6" w:rsidRDefault="006509C9"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b/>
        </w:rPr>
        <w:tab/>
      </w:r>
      <w:r w:rsidR="00764DC0" w:rsidRPr="006509C9">
        <w:rPr>
          <w:rFonts w:ascii="TimesNewRomanPSMT" w:hAnsi="TimesNewRomanPSMT"/>
          <w:b/>
        </w:rPr>
        <w:t xml:space="preserve">Conclusion.  </w:t>
      </w:r>
      <w:r w:rsidR="00764DC0" w:rsidRPr="006509C9">
        <w:rPr>
          <w:rFonts w:ascii="TimesNewRomanPSMT" w:hAnsi="TimesNewRomanPSMT"/>
        </w:rPr>
        <w:t xml:space="preserve">Staff is dismayed that </w:t>
      </w:r>
      <w:r w:rsidR="00C87283">
        <w:rPr>
          <w:rFonts w:ascii="TimesNewRomanPSMT" w:hAnsi="TimesNewRomanPSMT"/>
        </w:rPr>
        <w:t>it</w:t>
      </w:r>
      <w:r w:rsidR="00764DC0" w:rsidRPr="006509C9">
        <w:rPr>
          <w:rFonts w:ascii="TimesNewRomanPSMT" w:hAnsi="TimesNewRomanPSMT"/>
        </w:rPr>
        <w:t xml:space="preserve"> must bring this issue to the Commission.  The parties have spent more time sparring on this issue than </w:t>
      </w:r>
      <w:r w:rsidR="0063319D">
        <w:rPr>
          <w:rFonts w:ascii="TimesNewRomanPSMT" w:hAnsi="TimesNewRomanPSMT"/>
        </w:rPr>
        <w:t xml:space="preserve">they spent </w:t>
      </w:r>
      <w:r w:rsidR="00764DC0" w:rsidRPr="006509C9">
        <w:rPr>
          <w:rFonts w:ascii="TimesNewRomanPSMT" w:hAnsi="TimesNewRomanPSMT"/>
        </w:rPr>
        <w:t xml:space="preserve">reaching a settlement </w:t>
      </w:r>
      <w:r w:rsidR="0063319D">
        <w:rPr>
          <w:rFonts w:ascii="TimesNewRomanPSMT" w:hAnsi="TimesNewRomanPSMT"/>
        </w:rPr>
        <w:t xml:space="preserve">that </w:t>
      </w:r>
      <w:r w:rsidR="00764DC0" w:rsidRPr="006509C9">
        <w:rPr>
          <w:rFonts w:ascii="TimesNewRomanPSMT" w:hAnsi="TimesNewRomanPSMT"/>
        </w:rPr>
        <w:t xml:space="preserve">all </w:t>
      </w:r>
      <w:r w:rsidR="008362A6">
        <w:rPr>
          <w:rFonts w:ascii="TimesNewRomanPSMT" w:hAnsi="TimesNewRomanPSMT"/>
        </w:rPr>
        <w:t xml:space="preserve">parties </w:t>
      </w:r>
      <w:r w:rsidR="00764DC0" w:rsidRPr="006509C9">
        <w:rPr>
          <w:rFonts w:ascii="TimesNewRomanPSMT" w:hAnsi="TimesNewRomanPSMT"/>
        </w:rPr>
        <w:t xml:space="preserve">agree is a worthy one.  </w:t>
      </w:r>
    </w:p>
    <w:p w:rsidR="00764DC0" w:rsidRPr="006509C9" w:rsidRDefault="008362A6" w:rsidP="006509C9">
      <w:pPr>
        <w:pStyle w:val="ListParagraph"/>
        <w:numPr>
          <w:ilvl w:val="0"/>
          <w:numId w:val="1"/>
        </w:numPr>
        <w:autoSpaceDE w:val="0"/>
        <w:autoSpaceDN w:val="0"/>
        <w:spacing w:after="0" w:line="480" w:lineRule="auto"/>
        <w:rPr>
          <w:rFonts w:ascii="TimesNewRomanPSMT" w:hAnsi="TimesNewRomanPSMT"/>
        </w:rPr>
      </w:pPr>
      <w:r>
        <w:rPr>
          <w:rFonts w:ascii="TimesNewRomanPSMT" w:hAnsi="TimesNewRomanPSMT"/>
          <w:b/>
        </w:rPr>
        <w:tab/>
      </w:r>
      <w:r w:rsidR="00764DC0" w:rsidRPr="006509C9">
        <w:rPr>
          <w:rFonts w:ascii="TimesNewRomanPSMT" w:hAnsi="TimesNewRomanPSMT"/>
        </w:rPr>
        <w:t xml:space="preserve">Staff asks the Commission for guidance that there is no need for the parties to itemize the errors they have found, or </w:t>
      </w:r>
      <w:r w:rsidR="00CE3F3A">
        <w:rPr>
          <w:rFonts w:ascii="TimesNewRomanPSMT" w:hAnsi="TimesNewRomanPSMT"/>
        </w:rPr>
        <w:t>to offer alternative analyses in testimony which purportedly supports</w:t>
      </w:r>
      <w:r w:rsidR="0063319D">
        <w:rPr>
          <w:rFonts w:ascii="TimesNewRomanPSMT" w:hAnsi="TimesNewRomanPSMT"/>
        </w:rPr>
        <w:t xml:space="preserve"> the revenue </w:t>
      </w:r>
      <w:r>
        <w:rPr>
          <w:rFonts w:ascii="TimesNewRomanPSMT" w:hAnsi="TimesNewRomanPSMT"/>
        </w:rPr>
        <w:t>change</w:t>
      </w:r>
      <w:r w:rsidR="0063319D">
        <w:rPr>
          <w:rFonts w:ascii="TimesNewRomanPSMT" w:hAnsi="TimesNewRomanPSMT"/>
        </w:rPr>
        <w:t xml:space="preserve"> and cost of service/rate design elements of the Settlement Stipulation</w:t>
      </w:r>
      <w:r w:rsidR="00764DC0" w:rsidRPr="006509C9">
        <w:rPr>
          <w:rFonts w:ascii="TimesNewRomanPSMT" w:hAnsi="TimesNewRomanPSMT"/>
        </w:rPr>
        <w:t xml:space="preserve">.  </w:t>
      </w:r>
      <w:r w:rsidR="0063319D">
        <w:rPr>
          <w:rFonts w:ascii="TimesNewRomanPSMT" w:hAnsi="TimesNewRomanPSMT"/>
        </w:rPr>
        <w:t xml:space="preserve">With that guidance, the parties can achieve </w:t>
      </w:r>
      <w:r w:rsidR="004A25D1" w:rsidRPr="006509C9">
        <w:rPr>
          <w:rFonts w:ascii="TimesNewRomanPSMT" w:hAnsi="TimesNewRomanPSMT"/>
        </w:rPr>
        <w:t>the</w:t>
      </w:r>
      <w:r w:rsidR="0063319D">
        <w:rPr>
          <w:rFonts w:ascii="TimesNewRomanPSMT" w:hAnsi="TimesNewRomanPSMT"/>
        </w:rPr>
        <w:t>ir</w:t>
      </w:r>
      <w:r w:rsidR="004A25D1" w:rsidRPr="006509C9">
        <w:rPr>
          <w:rFonts w:ascii="TimesNewRomanPSMT" w:hAnsi="TimesNewRomanPSMT"/>
        </w:rPr>
        <w:t xml:space="preserve"> common goal we identified at the outset, </w:t>
      </w:r>
      <w:r w:rsidR="0063319D">
        <w:rPr>
          <w:rFonts w:ascii="TimesNewRomanPSMT" w:hAnsi="TimesNewRomanPSMT"/>
        </w:rPr>
        <w:t xml:space="preserve">and </w:t>
      </w:r>
      <w:r w:rsidR="004A25D1" w:rsidRPr="006509C9">
        <w:rPr>
          <w:rFonts w:ascii="TimesNewRomanPSMT" w:hAnsi="TimesNewRomanPSMT"/>
        </w:rPr>
        <w:t>t</w:t>
      </w:r>
      <w:r w:rsidR="00764DC0" w:rsidRPr="006509C9">
        <w:rPr>
          <w:rFonts w:ascii="TimesNewRomanPSMT" w:hAnsi="TimesNewRomanPSMT"/>
        </w:rPr>
        <w:t xml:space="preserve">hat should allow this settlement to proceed.  </w:t>
      </w:r>
      <w:r w:rsidR="004A25D1" w:rsidRPr="006509C9">
        <w:rPr>
          <w:rFonts w:ascii="TimesNewRomanPSMT" w:hAnsi="TimesNewRomanPSMT"/>
        </w:rPr>
        <w:t>Upon review of the supporting testimony that is to be filed, if</w:t>
      </w:r>
      <w:r w:rsidR="00764DC0" w:rsidRPr="006509C9">
        <w:rPr>
          <w:rFonts w:ascii="TimesNewRomanPSMT" w:hAnsi="TimesNewRomanPSMT"/>
        </w:rPr>
        <w:t xml:space="preserve"> the Commission decides</w:t>
      </w:r>
      <w:r w:rsidR="004A25D1" w:rsidRPr="006509C9">
        <w:rPr>
          <w:rFonts w:ascii="TimesNewRomanPSMT" w:hAnsi="TimesNewRomanPSMT"/>
        </w:rPr>
        <w:t xml:space="preserve"> </w:t>
      </w:r>
      <w:r w:rsidR="00764DC0" w:rsidRPr="006509C9">
        <w:rPr>
          <w:rFonts w:ascii="TimesNewRomanPSMT" w:hAnsi="TimesNewRomanPSMT"/>
        </w:rPr>
        <w:t>additional information</w:t>
      </w:r>
      <w:r w:rsidR="004A25D1" w:rsidRPr="006509C9">
        <w:rPr>
          <w:rFonts w:ascii="TimesNewRomanPSMT" w:hAnsi="TimesNewRomanPSMT"/>
        </w:rPr>
        <w:t xml:space="preserve"> is needed</w:t>
      </w:r>
      <w:r w:rsidR="00764DC0" w:rsidRPr="006509C9">
        <w:rPr>
          <w:rFonts w:ascii="TimesNewRomanPSMT" w:hAnsi="TimesNewRomanPSMT"/>
        </w:rPr>
        <w:t>, it need only ask.</w:t>
      </w:r>
    </w:p>
    <w:p w:rsidR="00764DC0" w:rsidRPr="006509C9" w:rsidRDefault="006509C9" w:rsidP="00953C87">
      <w:pPr>
        <w:pStyle w:val="ListParagraph"/>
        <w:keepNext/>
        <w:numPr>
          <w:ilvl w:val="0"/>
          <w:numId w:val="1"/>
        </w:numPr>
        <w:autoSpaceDE w:val="0"/>
        <w:autoSpaceDN w:val="0"/>
        <w:spacing w:after="0" w:line="480" w:lineRule="auto"/>
        <w:rPr>
          <w:rFonts w:ascii="TimesNewRomanPSMT" w:hAnsi="TimesNewRomanPSMT"/>
        </w:rPr>
      </w:pPr>
      <w:r>
        <w:rPr>
          <w:rFonts w:ascii="TimesNewRomanPSMT" w:hAnsi="TimesNewRomanPSMT"/>
        </w:rPr>
        <w:lastRenderedPageBreak/>
        <w:tab/>
      </w:r>
      <w:r w:rsidR="00764DC0" w:rsidRPr="006509C9">
        <w:rPr>
          <w:rFonts w:ascii="TimesNewRomanPSMT" w:hAnsi="TimesNewRomanPSMT"/>
        </w:rPr>
        <w:t>Staff appreciates the Commission’s attention to this important matter.</w:t>
      </w:r>
    </w:p>
    <w:p w:rsidR="00FC78DF" w:rsidRDefault="00FC78DF" w:rsidP="00953C87">
      <w:pPr>
        <w:keepNext/>
        <w:tabs>
          <w:tab w:val="left" w:pos="720"/>
        </w:tabs>
        <w:spacing w:after="0" w:line="240" w:lineRule="auto"/>
      </w:pPr>
      <w:r>
        <w:tab/>
      </w:r>
      <w:r w:rsidRPr="003846B5">
        <w:t xml:space="preserve">DATED this </w:t>
      </w:r>
      <w:r>
        <w:t>11</w:t>
      </w:r>
      <w:r w:rsidRPr="008A49D8">
        <w:rPr>
          <w:vertAlign w:val="superscript"/>
        </w:rPr>
        <w:t>th</w:t>
      </w:r>
      <w:r>
        <w:t xml:space="preserve"> </w:t>
      </w:r>
      <w:r w:rsidRPr="003846B5">
        <w:t xml:space="preserve">day of </w:t>
      </w:r>
      <w:r>
        <w:t xml:space="preserve">September, </w:t>
      </w:r>
      <w:r w:rsidRPr="003846B5">
        <w:t>2009.</w:t>
      </w:r>
    </w:p>
    <w:p w:rsidR="00FC78DF" w:rsidRDefault="00FC78DF" w:rsidP="00FC78DF">
      <w:pPr>
        <w:tabs>
          <w:tab w:val="left" w:pos="720"/>
        </w:tabs>
        <w:spacing w:after="0" w:line="240" w:lineRule="auto"/>
      </w:pPr>
    </w:p>
    <w:p w:rsidR="00FC78DF" w:rsidRPr="003846B5" w:rsidRDefault="00FC78DF" w:rsidP="00FC78DF">
      <w:pPr>
        <w:spacing w:after="0" w:line="240" w:lineRule="auto"/>
        <w:ind w:left="4320"/>
      </w:pPr>
      <w:r w:rsidRPr="003846B5">
        <w:t xml:space="preserve">Respectfully submitted, </w:t>
      </w:r>
    </w:p>
    <w:p w:rsidR="00FC78DF" w:rsidRPr="003846B5" w:rsidRDefault="00FC78DF" w:rsidP="00FC78DF">
      <w:pPr>
        <w:pStyle w:val="BodyTextIndent2"/>
        <w:ind w:left="4320"/>
        <w:rPr>
          <w:rFonts w:ascii="Times New Roman" w:hAnsi="Times New Roman"/>
        </w:rPr>
      </w:pPr>
    </w:p>
    <w:p w:rsidR="00FC78DF" w:rsidRPr="003846B5" w:rsidRDefault="00FC78DF" w:rsidP="00FC78DF">
      <w:pPr>
        <w:spacing w:after="0" w:line="240" w:lineRule="auto"/>
        <w:ind w:left="4320"/>
        <w:jc w:val="both"/>
      </w:pPr>
      <w:r w:rsidRPr="003846B5">
        <w:t xml:space="preserve">ROBERT M. MCKENNA </w:t>
      </w:r>
    </w:p>
    <w:p w:rsidR="00FC78DF" w:rsidRPr="003846B5" w:rsidRDefault="00FC78DF" w:rsidP="00FC78DF">
      <w:pPr>
        <w:spacing w:after="0" w:line="240" w:lineRule="auto"/>
        <w:ind w:left="4320"/>
        <w:jc w:val="both"/>
      </w:pPr>
      <w:r w:rsidRPr="003846B5">
        <w:t>Attorney General</w:t>
      </w:r>
    </w:p>
    <w:p w:rsidR="00FC78DF" w:rsidRDefault="00FC78DF" w:rsidP="00FC78DF">
      <w:pPr>
        <w:spacing w:after="0" w:line="240" w:lineRule="auto"/>
        <w:ind w:left="4320"/>
        <w:jc w:val="both"/>
      </w:pPr>
    </w:p>
    <w:p w:rsidR="00FC78DF" w:rsidRDefault="00FC78DF" w:rsidP="00FC78DF">
      <w:pPr>
        <w:spacing w:after="0" w:line="240" w:lineRule="auto"/>
        <w:ind w:left="4320"/>
        <w:jc w:val="both"/>
      </w:pPr>
    </w:p>
    <w:p w:rsidR="00FC78DF" w:rsidRPr="003846B5" w:rsidRDefault="00FC78DF" w:rsidP="00FC78DF">
      <w:pPr>
        <w:spacing w:after="0" w:line="240" w:lineRule="auto"/>
        <w:ind w:left="4320"/>
        <w:jc w:val="both"/>
      </w:pPr>
      <w:r w:rsidRPr="003846B5">
        <w:t>______________________________</w:t>
      </w:r>
    </w:p>
    <w:p w:rsidR="00FC78DF" w:rsidRPr="003846B5" w:rsidRDefault="00FC78DF" w:rsidP="00FC78DF">
      <w:pPr>
        <w:spacing w:after="0" w:line="240" w:lineRule="auto"/>
        <w:ind w:left="4320"/>
        <w:jc w:val="both"/>
      </w:pPr>
      <w:r w:rsidRPr="003846B5">
        <w:t>DONALD T. TROTTER</w:t>
      </w:r>
    </w:p>
    <w:p w:rsidR="00FC78DF" w:rsidRPr="003846B5" w:rsidRDefault="00FC78DF" w:rsidP="00FC78DF">
      <w:pPr>
        <w:spacing w:after="0" w:line="240" w:lineRule="auto"/>
        <w:ind w:left="4320"/>
        <w:jc w:val="both"/>
      </w:pPr>
      <w:r w:rsidRPr="003846B5">
        <w:t>Assistant Attorney General</w:t>
      </w:r>
    </w:p>
    <w:p w:rsidR="00FC78DF" w:rsidRPr="003846B5" w:rsidRDefault="00FC78DF" w:rsidP="00FC78DF">
      <w:pPr>
        <w:spacing w:after="0" w:line="240" w:lineRule="auto"/>
        <w:ind w:left="4320"/>
        <w:jc w:val="both"/>
      </w:pPr>
      <w:r w:rsidRPr="003846B5">
        <w:t>Counsel for Washington Utilities and</w:t>
      </w:r>
    </w:p>
    <w:p w:rsidR="00FC78DF" w:rsidRPr="003846B5" w:rsidRDefault="00FC78DF" w:rsidP="00FC78DF">
      <w:pPr>
        <w:spacing w:after="0" w:line="240" w:lineRule="auto"/>
        <w:ind w:left="4320"/>
        <w:jc w:val="both"/>
      </w:pPr>
      <w:r w:rsidRPr="003846B5">
        <w:t>Transportation Commission Staff</w:t>
      </w:r>
    </w:p>
    <w:p w:rsidR="00FC78DF" w:rsidRPr="00764DC0" w:rsidRDefault="00FC78DF" w:rsidP="00764DC0">
      <w:pPr>
        <w:autoSpaceDE w:val="0"/>
        <w:autoSpaceDN w:val="0"/>
        <w:spacing w:after="0" w:line="480" w:lineRule="auto"/>
      </w:pPr>
    </w:p>
    <w:sectPr w:rsidR="00FC78DF" w:rsidRPr="00764DC0" w:rsidSect="006509C9">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BA" w:rsidRDefault="004851BA" w:rsidP="007E42EE">
      <w:pPr>
        <w:spacing w:after="0" w:line="240" w:lineRule="auto"/>
      </w:pPr>
      <w:r>
        <w:separator/>
      </w:r>
    </w:p>
  </w:endnote>
  <w:endnote w:type="continuationSeparator" w:id="0">
    <w:p w:rsidR="004851BA" w:rsidRDefault="004851BA" w:rsidP="007E4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3A" w:rsidRDefault="00CE3F3A" w:rsidP="00BF6A8B">
    <w:pPr>
      <w:spacing w:after="0" w:line="240" w:lineRule="auto"/>
      <w:rPr>
        <w:sz w:val="20"/>
        <w:szCs w:val="20"/>
      </w:rPr>
    </w:pPr>
  </w:p>
  <w:p w:rsidR="00CE3F3A" w:rsidRDefault="00CE3F3A" w:rsidP="00BF6A8B">
    <w:pPr>
      <w:spacing w:after="0" w:line="240" w:lineRule="auto"/>
      <w:rPr>
        <w:sz w:val="20"/>
        <w:szCs w:val="20"/>
      </w:rPr>
    </w:pPr>
    <w:r w:rsidRPr="00BF6A8B">
      <w:rPr>
        <w:sz w:val="20"/>
        <w:szCs w:val="20"/>
      </w:rPr>
      <w:t xml:space="preserve">COMMISSION STAFF REPLY TO ICNU RESPONSE TO </w:t>
    </w:r>
  </w:p>
  <w:p w:rsidR="00CE3F3A" w:rsidRPr="00BF6A8B" w:rsidRDefault="00CE3F3A" w:rsidP="00BF6A8B">
    <w:pPr>
      <w:spacing w:after="0" w:line="240" w:lineRule="auto"/>
      <w:rPr>
        <w:sz w:val="20"/>
        <w:szCs w:val="20"/>
      </w:rPr>
    </w:pPr>
    <w:r w:rsidRPr="00BF6A8B">
      <w:rPr>
        <w:sz w:val="20"/>
        <w:szCs w:val="20"/>
      </w:rPr>
      <w:t xml:space="preserve">COMMISSION STAFF MOTION FOR PREHEARING CONFERENCE </w:t>
    </w:r>
    <w:r>
      <w:rPr>
        <w:sz w:val="20"/>
        <w:szCs w:val="20"/>
      </w:rPr>
      <w:t xml:space="preserve">- </w:t>
    </w:r>
    <w:r w:rsidR="00643C35" w:rsidRPr="00BF6A8B">
      <w:rPr>
        <w:sz w:val="20"/>
        <w:szCs w:val="20"/>
      </w:rPr>
      <w:fldChar w:fldCharType="begin"/>
    </w:r>
    <w:r w:rsidRPr="00BF6A8B">
      <w:rPr>
        <w:sz w:val="20"/>
        <w:szCs w:val="20"/>
      </w:rPr>
      <w:instrText xml:space="preserve"> PAGE   \* MERGEFORMAT </w:instrText>
    </w:r>
    <w:r w:rsidR="00643C35" w:rsidRPr="00BF6A8B">
      <w:rPr>
        <w:sz w:val="20"/>
        <w:szCs w:val="20"/>
      </w:rPr>
      <w:fldChar w:fldCharType="separate"/>
    </w:r>
    <w:r w:rsidR="0051404E">
      <w:rPr>
        <w:noProof/>
        <w:sz w:val="20"/>
        <w:szCs w:val="20"/>
      </w:rPr>
      <w:t>1</w:t>
    </w:r>
    <w:r w:rsidR="00643C35" w:rsidRPr="00BF6A8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BA" w:rsidRDefault="004851BA" w:rsidP="007E42EE">
      <w:pPr>
        <w:spacing w:after="0" w:line="240" w:lineRule="auto"/>
      </w:pPr>
      <w:r>
        <w:separator/>
      </w:r>
    </w:p>
  </w:footnote>
  <w:footnote w:type="continuationSeparator" w:id="0">
    <w:p w:rsidR="004851BA" w:rsidRDefault="004851BA" w:rsidP="007E42EE">
      <w:pPr>
        <w:spacing w:after="0" w:line="240" w:lineRule="auto"/>
      </w:pPr>
      <w:r>
        <w:continuationSeparator/>
      </w:r>
    </w:p>
  </w:footnote>
  <w:footnote w:id="1">
    <w:p w:rsidR="00CE3F3A" w:rsidRDefault="00CE3F3A">
      <w:pPr>
        <w:pStyle w:val="FootnoteText"/>
      </w:pPr>
      <w:r>
        <w:rPr>
          <w:rStyle w:val="FootnoteReference"/>
        </w:rPr>
        <w:footnoteRef/>
      </w:r>
      <w:r>
        <w:t xml:space="preserve"> ICNU Response at 3, ¶ 6.</w:t>
      </w:r>
    </w:p>
  </w:footnote>
  <w:footnote w:id="2">
    <w:p w:rsidR="00CE3F3A" w:rsidRDefault="00CE3F3A">
      <w:pPr>
        <w:pStyle w:val="FootnoteText"/>
      </w:pPr>
      <w:r>
        <w:rPr>
          <w:rStyle w:val="FootnoteReference"/>
        </w:rPr>
        <w:footnoteRef/>
      </w:r>
      <w:r>
        <w:t xml:space="preserve"> ICNU Response at 1, ¶ 1.</w:t>
      </w:r>
    </w:p>
  </w:footnote>
  <w:footnote w:id="3">
    <w:p w:rsidR="00CE3F3A" w:rsidRDefault="00CE3F3A" w:rsidP="00953C87">
      <w:pPr>
        <w:spacing w:after="0" w:line="240" w:lineRule="auto"/>
      </w:pPr>
      <w:r w:rsidRPr="00CE3F3A">
        <w:rPr>
          <w:rStyle w:val="FootnoteReference"/>
          <w:sz w:val="20"/>
          <w:szCs w:val="20"/>
        </w:rPr>
        <w:footnoteRef/>
      </w:r>
      <w:r w:rsidRPr="00CE3F3A">
        <w:rPr>
          <w:sz w:val="20"/>
          <w:szCs w:val="20"/>
        </w:rPr>
        <w:t xml:space="preserve"> For example, ICNU states</w:t>
      </w:r>
      <w:r>
        <w:rPr>
          <w:sz w:val="20"/>
          <w:szCs w:val="20"/>
        </w:rPr>
        <w:t>:</w:t>
      </w:r>
      <w:r w:rsidRPr="00CE3F3A">
        <w:rPr>
          <w:sz w:val="20"/>
          <w:szCs w:val="20"/>
        </w:rPr>
        <w:t xml:space="preserve"> “According to WAC 480-07-740(2)(a), documentation in support of a settlement ‘should include a narrative outlining the scope of the underlying dispute.’”  ICNU Response at 3, ¶ 6.  </w:t>
      </w:r>
      <w:r>
        <w:rPr>
          <w:sz w:val="20"/>
          <w:szCs w:val="20"/>
        </w:rPr>
        <w:t>Simply put, a</w:t>
      </w:r>
      <w:r w:rsidRPr="00CE3F3A">
        <w:rPr>
          <w:sz w:val="20"/>
          <w:szCs w:val="20"/>
        </w:rPr>
        <w:t xml:space="preserve"> description of the </w:t>
      </w:r>
      <w:r>
        <w:rPr>
          <w:sz w:val="20"/>
          <w:szCs w:val="20"/>
        </w:rPr>
        <w:t xml:space="preserve">“scope of the </w:t>
      </w:r>
      <w:r w:rsidRPr="00CE3F3A">
        <w:rPr>
          <w:sz w:val="20"/>
          <w:szCs w:val="20"/>
        </w:rPr>
        <w:t>underlying dispute</w:t>
      </w:r>
      <w:r>
        <w:rPr>
          <w:sz w:val="20"/>
          <w:szCs w:val="20"/>
        </w:rPr>
        <w:t>”</w:t>
      </w:r>
      <w:r w:rsidRPr="00CE3F3A">
        <w:rPr>
          <w:sz w:val="20"/>
          <w:szCs w:val="20"/>
        </w:rPr>
        <w:t xml:space="preserve"> </w:t>
      </w:r>
      <w:r>
        <w:rPr>
          <w:sz w:val="20"/>
          <w:szCs w:val="20"/>
        </w:rPr>
        <w:t xml:space="preserve">can be accomplished without </w:t>
      </w:r>
      <w:r w:rsidRPr="00CE3F3A">
        <w:rPr>
          <w:sz w:val="20"/>
          <w:szCs w:val="20"/>
        </w:rPr>
        <w:t>specify</w:t>
      </w:r>
      <w:r>
        <w:rPr>
          <w:sz w:val="20"/>
          <w:szCs w:val="20"/>
        </w:rPr>
        <w:t>ing</w:t>
      </w:r>
      <w:r w:rsidRPr="00CE3F3A">
        <w:rPr>
          <w:sz w:val="20"/>
          <w:szCs w:val="20"/>
        </w:rPr>
        <w:t xml:space="preserve"> a party’s litigation position on each issue.</w:t>
      </w:r>
    </w:p>
  </w:footnote>
  <w:footnote w:id="4">
    <w:p w:rsidR="00CE3F3A" w:rsidRDefault="00CE3F3A" w:rsidP="00561D30">
      <w:pPr>
        <w:spacing w:after="0" w:line="240" w:lineRule="auto"/>
      </w:pPr>
      <w:r w:rsidRPr="001549E9">
        <w:rPr>
          <w:rStyle w:val="FootnoteReference"/>
          <w:sz w:val="20"/>
          <w:szCs w:val="20"/>
        </w:rPr>
        <w:footnoteRef/>
      </w:r>
      <w:r w:rsidRPr="001549E9">
        <w:rPr>
          <w:sz w:val="20"/>
          <w:szCs w:val="20"/>
        </w:rPr>
        <w:t xml:space="preserve"> Exhibit</w:t>
      </w:r>
      <w:r>
        <w:rPr>
          <w:sz w:val="20"/>
          <w:szCs w:val="20"/>
        </w:rPr>
        <w:t xml:space="preserve"> ___ (</w:t>
      </w:r>
      <w:r w:rsidRPr="001549E9">
        <w:rPr>
          <w:sz w:val="20"/>
          <w:szCs w:val="20"/>
        </w:rPr>
        <w:t>JT-1T</w:t>
      </w:r>
      <w:r>
        <w:rPr>
          <w:sz w:val="20"/>
          <w:szCs w:val="20"/>
        </w:rPr>
        <w:t>)</w:t>
      </w:r>
      <w:r w:rsidRPr="001549E9">
        <w:rPr>
          <w:sz w:val="20"/>
          <w:szCs w:val="20"/>
        </w:rPr>
        <w:t>, Prefiled Joint Testimony of Thomas E. Schooley, Michael B. Early, Glenn A. Watkins, Charles Eberdt, and Andrea Kelly Supporting Settlement Stipulation</w:t>
      </w:r>
      <w:r>
        <w:rPr>
          <w:sz w:val="20"/>
          <w:szCs w:val="20"/>
        </w:rPr>
        <w:t xml:space="preserve"> at</w:t>
      </w:r>
      <w:r w:rsidRPr="001549E9">
        <w:rPr>
          <w:sz w:val="20"/>
          <w:szCs w:val="20"/>
        </w:rPr>
        <w:t xml:space="preserve"> 13</w:t>
      </w:r>
      <w:r>
        <w:rPr>
          <w:sz w:val="20"/>
          <w:szCs w:val="20"/>
        </w:rPr>
        <w:t>:</w:t>
      </w:r>
      <w:r w:rsidRPr="001549E9">
        <w:rPr>
          <w:sz w:val="20"/>
          <w:szCs w:val="20"/>
        </w:rPr>
        <w:t>2-9</w:t>
      </w:r>
      <w:r>
        <w:rPr>
          <w:sz w:val="20"/>
          <w:szCs w:val="20"/>
        </w:rPr>
        <w:t xml:space="preserve"> (ICNU’s separate statement section). </w:t>
      </w:r>
    </w:p>
  </w:footnote>
  <w:footnote w:id="5">
    <w:p w:rsidR="00CE3F3A" w:rsidRDefault="00CE3F3A">
      <w:pPr>
        <w:pStyle w:val="FootnoteText"/>
      </w:pPr>
      <w:r>
        <w:rPr>
          <w:rStyle w:val="FootnoteReference"/>
        </w:rPr>
        <w:footnoteRef/>
      </w:r>
      <w:r>
        <w:t xml:space="preserve"> ICNU Response at 5, ¶ 11.</w:t>
      </w:r>
    </w:p>
  </w:footnote>
  <w:footnote w:id="6">
    <w:p w:rsidR="00CE3F3A" w:rsidRDefault="00CE3F3A">
      <w:pPr>
        <w:pStyle w:val="FootnoteText"/>
      </w:pPr>
      <w:r>
        <w:rPr>
          <w:rStyle w:val="FootnoteReference"/>
        </w:rPr>
        <w:footnoteRef/>
      </w:r>
      <w:r>
        <w:t xml:space="preserve"> Staff Motion at 2-3, ¶ 5.</w:t>
      </w:r>
    </w:p>
  </w:footnote>
  <w:footnote w:id="7">
    <w:p w:rsidR="00CE3F3A" w:rsidRDefault="00CE3F3A">
      <w:pPr>
        <w:pStyle w:val="FootnoteText"/>
      </w:pPr>
      <w:r>
        <w:rPr>
          <w:rStyle w:val="FootnoteReference"/>
        </w:rPr>
        <w:footnoteRef/>
      </w:r>
      <w:r>
        <w:t xml:space="preserve"> ICNU Response at 4-5, ¶ 10.</w:t>
      </w:r>
    </w:p>
  </w:footnote>
  <w:footnote w:id="8">
    <w:p w:rsidR="008362A6" w:rsidRDefault="008362A6">
      <w:pPr>
        <w:pStyle w:val="FootnoteText"/>
      </w:pPr>
      <w:r>
        <w:rPr>
          <w:rStyle w:val="FootnoteReference"/>
        </w:rPr>
        <w:footnoteRef/>
      </w:r>
      <w:r>
        <w:t xml:space="preserve"> ICNU Response at 4, ¶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7B1"/>
    <w:multiLevelType w:val="hybridMultilevel"/>
    <w:tmpl w:val="2454F3A2"/>
    <w:lvl w:ilvl="0" w:tplc="5428ED68">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284289"/>
    <w:multiLevelType w:val="hybridMultilevel"/>
    <w:tmpl w:val="0C4ABE82"/>
    <w:lvl w:ilvl="0" w:tplc="5428ED68">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42EE"/>
    <w:rsid w:val="000B65F4"/>
    <w:rsid w:val="001041EC"/>
    <w:rsid w:val="001549E9"/>
    <w:rsid w:val="001B5469"/>
    <w:rsid w:val="001C1352"/>
    <w:rsid w:val="001E6A66"/>
    <w:rsid w:val="002E3F39"/>
    <w:rsid w:val="00301C7C"/>
    <w:rsid w:val="00460E04"/>
    <w:rsid w:val="004851BA"/>
    <w:rsid w:val="004A25D1"/>
    <w:rsid w:val="0051404E"/>
    <w:rsid w:val="00555E83"/>
    <w:rsid w:val="00561D30"/>
    <w:rsid w:val="005F20FE"/>
    <w:rsid w:val="0063319D"/>
    <w:rsid w:val="00643C35"/>
    <w:rsid w:val="006509C9"/>
    <w:rsid w:val="00764DC0"/>
    <w:rsid w:val="007829CA"/>
    <w:rsid w:val="007E42EE"/>
    <w:rsid w:val="008362A6"/>
    <w:rsid w:val="0092234F"/>
    <w:rsid w:val="00953C87"/>
    <w:rsid w:val="00A27CD7"/>
    <w:rsid w:val="00B633EE"/>
    <w:rsid w:val="00BF6A8B"/>
    <w:rsid w:val="00C87283"/>
    <w:rsid w:val="00CB1F51"/>
    <w:rsid w:val="00CD4830"/>
    <w:rsid w:val="00CE3F3A"/>
    <w:rsid w:val="00D06805"/>
    <w:rsid w:val="00DA733A"/>
    <w:rsid w:val="00EB7D46"/>
    <w:rsid w:val="00FC7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4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2EE"/>
    <w:rPr>
      <w:sz w:val="20"/>
      <w:szCs w:val="20"/>
    </w:rPr>
  </w:style>
  <w:style w:type="character" w:styleId="FootnoteReference">
    <w:name w:val="footnote reference"/>
    <w:basedOn w:val="DefaultParagraphFont"/>
    <w:uiPriority w:val="99"/>
    <w:semiHidden/>
    <w:unhideWhenUsed/>
    <w:rsid w:val="007E42EE"/>
    <w:rPr>
      <w:vertAlign w:val="superscript"/>
    </w:rPr>
  </w:style>
  <w:style w:type="paragraph" w:styleId="BodyTextIndent2">
    <w:name w:val="Body Text Indent 2"/>
    <w:basedOn w:val="Normal"/>
    <w:link w:val="BodyTextIndent2Char"/>
    <w:rsid w:val="00FC78DF"/>
    <w:pPr>
      <w:spacing w:after="0" w:line="240" w:lineRule="auto"/>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FC78DF"/>
    <w:rPr>
      <w:rFonts w:ascii="Palatino Linotype" w:eastAsia="Times New Roman" w:hAnsi="Palatino Linotype"/>
    </w:rPr>
  </w:style>
  <w:style w:type="paragraph" w:styleId="ListParagraph">
    <w:name w:val="List Paragraph"/>
    <w:basedOn w:val="Normal"/>
    <w:uiPriority w:val="34"/>
    <w:qFormat/>
    <w:rsid w:val="006509C9"/>
    <w:pPr>
      <w:ind w:left="720"/>
      <w:contextualSpacing/>
    </w:pPr>
  </w:style>
  <w:style w:type="paragraph" w:styleId="Header">
    <w:name w:val="header"/>
    <w:basedOn w:val="Normal"/>
    <w:link w:val="HeaderChar"/>
    <w:uiPriority w:val="99"/>
    <w:semiHidden/>
    <w:unhideWhenUsed/>
    <w:rsid w:val="00BF6A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A8B"/>
  </w:style>
  <w:style w:type="paragraph" w:styleId="Footer">
    <w:name w:val="footer"/>
    <w:basedOn w:val="Normal"/>
    <w:link w:val="FooterChar"/>
    <w:uiPriority w:val="99"/>
    <w:semiHidden/>
    <w:unhideWhenUsed/>
    <w:rsid w:val="00BF6A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A8B"/>
  </w:style>
  <w:style w:type="paragraph" w:styleId="BalloonText">
    <w:name w:val="Balloon Text"/>
    <w:basedOn w:val="Normal"/>
    <w:link w:val="BalloonTextChar"/>
    <w:uiPriority w:val="99"/>
    <w:semiHidden/>
    <w:unhideWhenUsed/>
    <w:rsid w:val="00555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74413">
      <w:bodyDiv w:val="1"/>
      <w:marLeft w:val="0"/>
      <w:marRight w:val="0"/>
      <w:marTop w:val="0"/>
      <w:marBottom w:val="0"/>
      <w:divBdr>
        <w:top w:val="none" w:sz="0" w:space="0" w:color="auto"/>
        <w:left w:val="none" w:sz="0" w:space="0" w:color="auto"/>
        <w:bottom w:val="none" w:sz="0" w:space="0" w:color="auto"/>
        <w:right w:val="none" w:sz="0" w:space="0" w:color="auto"/>
      </w:divBdr>
    </w:div>
    <w:div w:id="532501341">
      <w:bodyDiv w:val="1"/>
      <w:marLeft w:val="0"/>
      <w:marRight w:val="0"/>
      <w:marTop w:val="0"/>
      <w:marBottom w:val="0"/>
      <w:divBdr>
        <w:top w:val="none" w:sz="0" w:space="0" w:color="auto"/>
        <w:left w:val="none" w:sz="0" w:space="0" w:color="auto"/>
        <w:bottom w:val="none" w:sz="0" w:space="0" w:color="auto"/>
        <w:right w:val="none" w:sz="0" w:space="0" w:color="auto"/>
      </w:divBdr>
    </w:div>
    <w:div w:id="9933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2009-02-09T08:00:00+00:00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355D0936F3054597C78CD7AE8A771D" ma:contentTypeVersion="131" ma:contentTypeDescription="" ma:contentTypeScope="" ma:versionID="90cc59f5b6e514e6c171a38af4ff12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58FA11-59F0-4828-AD16-7824E216F04C}"/>
</file>

<file path=customXml/itemProps2.xml><?xml version="1.0" encoding="utf-8"?>
<ds:datastoreItem xmlns:ds="http://schemas.openxmlformats.org/officeDocument/2006/customXml" ds:itemID="{29C3686C-26BF-4FD5-91F2-3296B1915AFA}"/>
</file>

<file path=customXml/itemProps3.xml><?xml version="1.0" encoding="utf-8"?>
<ds:datastoreItem xmlns:ds="http://schemas.openxmlformats.org/officeDocument/2006/customXml" ds:itemID="{E6A8963F-7C55-468E-9ACC-7F644042AA88}"/>
</file>

<file path=customXml/itemProps4.xml><?xml version="1.0" encoding="utf-8"?>
<ds:datastoreItem xmlns:ds="http://schemas.openxmlformats.org/officeDocument/2006/customXml" ds:itemID="{ED1A485A-814F-4AF3-ADAA-4FBD50A5A712}"/>
</file>

<file path=customXml/itemProps5.xml><?xml version="1.0" encoding="utf-8"?>
<ds:datastoreItem xmlns:ds="http://schemas.openxmlformats.org/officeDocument/2006/customXml" ds:itemID="{A81158F6-D7FD-4C5F-866C-C70BCAA8E606}"/>
</file>

<file path=docProps/app.xml><?xml version="1.0" encoding="utf-8"?>
<Properties xmlns="http://schemas.openxmlformats.org/officeDocument/2006/extended-properties" xmlns:vt="http://schemas.openxmlformats.org/officeDocument/2006/docPropsVTypes">
  <Template>Normal.dotm</Template>
  <TotalTime>2</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4</cp:revision>
  <cp:lastPrinted>2009-09-11T22:42:00Z</cp:lastPrinted>
  <dcterms:created xsi:type="dcterms:W3CDTF">2009-09-11T22:42:00Z</dcterms:created>
  <dcterms:modified xsi:type="dcterms:W3CDTF">2009-09-11T22:43:00Z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0x0101006E56B4D1795A2E4DB2F0B01679ED314A00A0355D0936F3054597C78CD7AE8A771D</vt:lpwstr>
  </property>
  <property fmtid="{D5CDD505-2E9C-101B-9397-08002B2CF9AE}" pid="3" name="_docset_NoMedatataSyncRequired">
    <vt:lpwstr>False</vt:lpwstr>
  </property>
</Properties>
</file>