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91D" w:rsidRPr="00443662" w:rsidRDefault="009A091D" w:rsidP="00D7765A">
      <w:pPr>
        <w:ind w:left="5580"/>
        <w:rPr>
          <w:b/>
          <w:bCs/>
          <w:lang w:val="fr-FR"/>
        </w:rPr>
      </w:pPr>
      <w:r w:rsidRPr="00443662">
        <w:rPr>
          <w:b/>
          <w:bCs/>
          <w:lang w:val="fr-FR"/>
        </w:rPr>
        <w:t xml:space="preserve">Exhibit </w:t>
      </w:r>
      <w:r w:rsidR="00D20D5A" w:rsidRPr="00443662">
        <w:rPr>
          <w:b/>
          <w:bCs/>
          <w:lang w:val="fr-FR"/>
        </w:rPr>
        <w:t xml:space="preserve">No. </w:t>
      </w:r>
      <w:r w:rsidRPr="00443662">
        <w:rPr>
          <w:b/>
          <w:bCs/>
          <w:lang w:val="fr-FR"/>
        </w:rPr>
        <w:t xml:space="preserve">___ </w:t>
      </w:r>
      <w:r w:rsidR="00D20D5A" w:rsidRPr="00443662">
        <w:rPr>
          <w:b/>
          <w:bCs/>
          <w:lang w:val="fr-FR"/>
        </w:rPr>
        <w:t xml:space="preserve">T </w:t>
      </w:r>
      <w:r w:rsidRPr="00443662">
        <w:rPr>
          <w:b/>
          <w:bCs/>
          <w:lang w:val="fr-FR"/>
        </w:rPr>
        <w:t>(</w:t>
      </w:r>
      <w:r w:rsidR="004C5F6C" w:rsidRPr="00443662">
        <w:rPr>
          <w:b/>
          <w:bCs/>
          <w:lang w:val="fr-FR"/>
        </w:rPr>
        <w:t>WHW</w:t>
      </w:r>
      <w:r w:rsidRPr="00443662">
        <w:rPr>
          <w:b/>
          <w:bCs/>
          <w:lang w:val="fr-FR"/>
        </w:rPr>
        <w:t>-1T)</w:t>
      </w:r>
    </w:p>
    <w:p w:rsidR="008C0634" w:rsidRPr="00443662" w:rsidRDefault="008C0634" w:rsidP="00D7765A">
      <w:pPr>
        <w:ind w:left="5580"/>
        <w:rPr>
          <w:b/>
          <w:bCs/>
        </w:rPr>
      </w:pPr>
      <w:r w:rsidRPr="00443662">
        <w:rPr>
          <w:b/>
          <w:bCs/>
        </w:rPr>
        <w:t>D</w:t>
      </w:r>
      <w:r w:rsidR="00CA36D5" w:rsidRPr="00443662">
        <w:rPr>
          <w:b/>
          <w:bCs/>
        </w:rPr>
        <w:t>ocket</w:t>
      </w:r>
      <w:r w:rsidR="00B8349E" w:rsidRPr="00443662">
        <w:rPr>
          <w:b/>
          <w:bCs/>
        </w:rPr>
        <w:t xml:space="preserve"> No.</w:t>
      </w:r>
      <w:r w:rsidRPr="00443662">
        <w:rPr>
          <w:b/>
          <w:bCs/>
        </w:rPr>
        <w:t xml:space="preserve"> </w:t>
      </w:r>
      <w:r w:rsidR="00B8349E" w:rsidRPr="00443662">
        <w:rPr>
          <w:b/>
          <w:bCs/>
        </w:rPr>
        <w:t>UT</w:t>
      </w:r>
      <w:r w:rsidRPr="00443662">
        <w:rPr>
          <w:b/>
          <w:bCs/>
        </w:rPr>
        <w:t>-</w:t>
      </w:r>
      <w:r w:rsidR="00FF0831" w:rsidRPr="00443662">
        <w:rPr>
          <w:b/>
          <w:bCs/>
        </w:rPr>
        <w:t>09084</w:t>
      </w:r>
      <w:r w:rsidR="00C42AB9" w:rsidRPr="00443662">
        <w:rPr>
          <w:b/>
          <w:bCs/>
        </w:rPr>
        <w:t>2</w:t>
      </w:r>
    </w:p>
    <w:p w:rsidR="009A091D" w:rsidRPr="00443662" w:rsidRDefault="004C5F6C" w:rsidP="00D7765A">
      <w:pPr>
        <w:ind w:left="5580"/>
        <w:rPr>
          <w:b/>
          <w:bCs/>
        </w:rPr>
      </w:pPr>
      <w:r w:rsidRPr="00443662">
        <w:rPr>
          <w:b/>
          <w:bCs/>
        </w:rPr>
        <w:t>Witness: William H. Weinman</w:t>
      </w:r>
    </w:p>
    <w:p w:rsidR="008C0634" w:rsidRPr="00443662" w:rsidRDefault="008C0634" w:rsidP="008C0634">
      <w:pPr>
        <w:ind w:firstLine="5580"/>
        <w:rPr>
          <w:b/>
          <w:bCs/>
        </w:rPr>
      </w:pPr>
    </w:p>
    <w:p w:rsidR="008C0634" w:rsidRPr="00443662" w:rsidRDefault="008C0634" w:rsidP="008C0634">
      <w:pPr>
        <w:ind w:firstLine="5580"/>
        <w:rPr>
          <w:b/>
          <w:bCs/>
        </w:rPr>
      </w:pPr>
    </w:p>
    <w:p w:rsidR="008C0634" w:rsidRPr="00443662" w:rsidRDefault="008C0634" w:rsidP="008C0634">
      <w:pPr>
        <w:ind w:firstLine="5580"/>
        <w:rPr>
          <w:b/>
          <w:bCs/>
        </w:rPr>
      </w:pPr>
    </w:p>
    <w:p w:rsidR="009A091D" w:rsidRPr="00443662" w:rsidRDefault="009A091D">
      <w:pPr>
        <w:tabs>
          <w:tab w:val="center" w:pos="4680"/>
        </w:tabs>
        <w:jc w:val="both"/>
      </w:pPr>
    </w:p>
    <w:p w:rsidR="009A091D" w:rsidRPr="00443662" w:rsidRDefault="009A091D" w:rsidP="008C0634">
      <w:pPr>
        <w:tabs>
          <w:tab w:val="center" w:pos="4680"/>
        </w:tabs>
        <w:ind w:right="-342"/>
        <w:jc w:val="center"/>
        <w:rPr>
          <w:b/>
        </w:rPr>
      </w:pPr>
      <w:r w:rsidRPr="00443662">
        <w:rPr>
          <w:b/>
        </w:rPr>
        <w:t xml:space="preserve">BEFORE THE WASHINGTON UTILITIES AND TRANSPORTATION </w:t>
      </w:r>
      <w:r w:rsidR="008C0634" w:rsidRPr="00443662">
        <w:rPr>
          <w:b/>
        </w:rPr>
        <w:t>C</w:t>
      </w:r>
      <w:r w:rsidRPr="00443662">
        <w:rPr>
          <w:b/>
        </w:rPr>
        <w:t>OMMISSION</w:t>
      </w:r>
    </w:p>
    <w:p w:rsidR="009A091D" w:rsidRPr="00443662" w:rsidRDefault="009A091D">
      <w:pPr>
        <w:jc w:val="both"/>
      </w:pPr>
    </w:p>
    <w:p w:rsidR="008C0634" w:rsidRPr="00443662" w:rsidRDefault="008C0634">
      <w:pPr>
        <w:jc w:val="both"/>
      </w:pPr>
    </w:p>
    <w:tbl>
      <w:tblPr>
        <w:tblW w:w="0" w:type="auto"/>
        <w:tblInd w:w="124" w:type="dxa"/>
        <w:tblLayout w:type="fixed"/>
        <w:tblCellMar>
          <w:left w:w="124" w:type="dxa"/>
          <w:right w:w="124" w:type="dxa"/>
        </w:tblCellMar>
        <w:tblLook w:val="0000"/>
      </w:tblPr>
      <w:tblGrid>
        <w:gridCol w:w="4590"/>
        <w:gridCol w:w="4590"/>
      </w:tblGrid>
      <w:tr w:rsidR="009A091D" w:rsidRPr="00443662">
        <w:tc>
          <w:tcPr>
            <w:tcW w:w="4590" w:type="dxa"/>
            <w:tcBorders>
              <w:top w:val="single" w:sz="6" w:space="0" w:color="FFFFFF"/>
              <w:left w:val="single" w:sz="6" w:space="0" w:color="FFFFFF"/>
              <w:bottom w:val="single" w:sz="7" w:space="0" w:color="000000"/>
              <w:right w:val="single" w:sz="6" w:space="0" w:color="FFFFFF"/>
            </w:tcBorders>
          </w:tcPr>
          <w:p w:rsidR="009A091D" w:rsidRPr="00443662" w:rsidRDefault="00AD327A" w:rsidP="00AD327A">
            <w:pPr>
              <w:rPr>
                <w:b/>
              </w:rPr>
            </w:pPr>
            <w:r w:rsidRPr="00443662">
              <w:rPr>
                <w:b/>
              </w:rPr>
              <w:t>In the Matter of the Joint Application of</w:t>
            </w:r>
          </w:p>
          <w:p w:rsidR="00AD327A" w:rsidRPr="00443662" w:rsidRDefault="00AD327A" w:rsidP="00AD327A">
            <w:pPr>
              <w:rPr>
                <w:b/>
              </w:rPr>
            </w:pPr>
          </w:p>
          <w:p w:rsidR="009A091D" w:rsidRPr="00443662" w:rsidRDefault="009B7753" w:rsidP="00AD327A">
            <w:pPr>
              <w:rPr>
                <w:b/>
              </w:rPr>
            </w:pPr>
            <w:r w:rsidRPr="00443662">
              <w:rPr>
                <w:b/>
              </w:rPr>
              <w:t>Frontier Communications, Inc.</w:t>
            </w:r>
            <w:r w:rsidR="00AD327A" w:rsidRPr="00443662">
              <w:rPr>
                <w:b/>
              </w:rPr>
              <w:t xml:space="preserve"> and </w:t>
            </w:r>
            <w:r w:rsidRPr="00443662">
              <w:rPr>
                <w:b/>
              </w:rPr>
              <w:t>Verizon Communications, Inc.</w:t>
            </w:r>
          </w:p>
          <w:p w:rsidR="00AD327A" w:rsidRPr="00443662" w:rsidRDefault="00AD327A">
            <w:pPr>
              <w:rPr>
                <w:b/>
              </w:rPr>
            </w:pPr>
          </w:p>
          <w:p w:rsidR="00AD327A" w:rsidRPr="00443662" w:rsidRDefault="00AD327A" w:rsidP="00AD327A"/>
          <w:p w:rsidR="009A091D" w:rsidRPr="00443662" w:rsidRDefault="00AD327A" w:rsidP="00AD327A">
            <w:pPr>
              <w:rPr>
                <w:b/>
              </w:rPr>
            </w:pPr>
            <w:r w:rsidRPr="00443662">
              <w:rPr>
                <w:b/>
              </w:rPr>
              <w:t>For approval of Transfer of Control</w:t>
            </w:r>
          </w:p>
        </w:tc>
        <w:tc>
          <w:tcPr>
            <w:tcW w:w="4590" w:type="dxa"/>
            <w:tcBorders>
              <w:top w:val="single" w:sz="6" w:space="0" w:color="FFFFFF"/>
              <w:left w:val="single" w:sz="7" w:space="0" w:color="000000"/>
              <w:bottom w:val="single" w:sz="6" w:space="0" w:color="FFFFFF"/>
              <w:right w:val="single" w:sz="6" w:space="0" w:color="FFFFFF"/>
            </w:tcBorders>
          </w:tcPr>
          <w:p w:rsidR="009A091D" w:rsidRPr="00443662" w:rsidRDefault="009A091D">
            <w:pPr>
              <w:spacing w:line="144" w:lineRule="exact"/>
            </w:pPr>
          </w:p>
          <w:p w:rsidR="009A091D" w:rsidRPr="00443662" w:rsidRDefault="009A091D">
            <w:pPr>
              <w:ind w:left="192"/>
              <w:rPr>
                <w:b/>
              </w:rPr>
            </w:pPr>
            <w:r w:rsidRPr="00443662">
              <w:rPr>
                <w:b/>
              </w:rPr>
              <w:t>DOC</w:t>
            </w:r>
            <w:r w:rsidR="00587F71" w:rsidRPr="00443662">
              <w:rPr>
                <w:b/>
              </w:rPr>
              <w:t>KET NO. U</w:t>
            </w:r>
            <w:r w:rsidR="00AD327A" w:rsidRPr="00443662">
              <w:rPr>
                <w:b/>
              </w:rPr>
              <w:t>T</w:t>
            </w:r>
            <w:r w:rsidR="00587F71" w:rsidRPr="00443662">
              <w:rPr>
                <w:b/>
              </w:rPr>
              <w:t>-0</w:t>
            </w:r>
            <w:r w:rsidR="00FF0831" w:rsidRPr="00443662">
              <w:rPr>
                <w:b/>
              </w:rPr>
              <w:t>9084</w:t>
            </w:r>
            <w:r w:rsidR="00C42AB9" w:rsidRPr="00443662">
              <w:rPr>
                <w:b/>
              </w:rPr>
              <w:t>2</w:t>
            </w:r>
          </w:p>
          <w:p w:rsidR="009A091D" w:rsidRPr="00443662" w:rsidRDefault="009A091D">
            <w:pPr>
              <w:ind w:left="192"/>
              <w:rPr>
                <w:b/>
              </w:rPr>
            </w:pPr>
          </w:p>
          <w:p w:rsidR="008C0634" w:rsidRPr="00443662" w:rsidRDefault="008C0634">
            <w:pPr>
              <w:ind w:left="192"/>
              <w:rPr>
                <w:b/>
              </w:rPr>
            </w:pPr>
          </w:p>
          <w:p w:rsidR="009A091D" w:rsidRPr="00443662" w:rsidRDefault="009A091D">
            <w:pPr>
              <w:ind w:left="192"/>
            </w:pPr>
          </w:p>
          <w:p w:rsidR="009A091D" w:rsidRPr="00443662" w:rsidRDefault="009A091D">
            <w:pPr>
              <w:ind w:left="192"/>
              <w:rPr>
                <w:i/>
                <w:iCs/>
              </w:rPr>
            </w:pPr>
          </w:p>
          <w:p w:rsidR="009A091D" w:rsidRPr="00443662" w:rsidRDefault="009A091D">
            <w:pPr>
              <w:spacing w:after="19"/>
              <w:ind w:left="720"/>
            </w:pPr>
          </w:p>
        </w:tc>
      </w:tr>
    </w:tbl>
    <w:p w:rsidR="009A091D" w:rsidRPr="00443662" w:rsidRDefault="009A091D">
      <w:pPr>
        <w:jc w:val="both"/>
      </w:pPr>
    </w:p>
    <w:p w:rsidR="009A091D" w:rsidRPr="00443662" w:rsidRDefault="009A091D">
      <w:pPr>
        <w:jc w:val="both"/>
      </w:pPr>
    </w:p>
    <w:p w:rsidR="009A091D" w:rsidRPr="00443662" w:rsidRDefault="009A091D">
      <w:pPr>
        <w:jc w:val="both"/>
      </w:pPr>
    </w:p>
    <w:p w:rsidR="009A091D" w:rsidRPr="00443662" w:rsidRDefault="009A091D">
      <w:pPr>
        <w:jc w:val="center"/>
        <w:rPr>
          <w:b/>
          <w:bCs/>
        </w:rPr>
      </w:pPr>
      <w:r w:rsidRPr="00443662">
        <w:rPr>
          <w:b/>
          <w:bCs/>
        </w:rPr>
        <w:t>TESTIMONY OF</w:t>
      </w:r>
    </w:p>
    <w:p w:rsidR="009A091D" w:rsidRPr="00443662" w:rsidRDefault="009A091D">
      <w:pPr>
        <w:jc w:val="center"/>
        <w:rPr>
          <w:b/>
          <w:bCs/>
        </w:rPr>
      </w:pPr>
    </w:p>
    <w:p w:rsidR="0076196D" w:rsidRPr="00443662" w:rsidRDefault="0076196D">
      <w:pPr>
        <w:jc w:val="center"/>
        <w:rPr>
          <w:b/>
          <w:bCs/>
        </w:rPr>
      </w:pPr>
    </w:p>
    <w:p w:rsidR="009A091D" w:rsidRPr="00443662" w:rsidRDefault="004C5F6C">
      <w:pPr>
        <w:jc w:val="center"/>
        <w:rPr>
          <w:b/>
          <w:bCs/>
        </w:rPr>
      </w:pPr>
      <w:r w:rsidRPr="00443662">
        <w:rPr>
          <w:b/>
          <w:bCs/>
        </w:rPr>
        <w:t>WILLIAM H</w:t>
      </w:r>
      <w:r w:rsidR="0076196D" w:rsidRPr="00443662">
        <w:rPr>
          <w:b/>
          <w:bCs/>
        </w:rPr>
        <w:t>.</w:t>
      </w:r>
      <w:r w:rsidRPr="00443662">
        <w:rPr>
          <w:b/>
          <w:bCs/>
        </w:rPr>
        <w:t xml:space="preserve"> WEINMAN</w:t>
      </w:r>
    </w:p>
    <w:p w:rsidR="009A091D" w:rsidRPr="00443662" w:rsidRDefault="009A091D">
      <w:pPr>
        <w:jc w:val="center"/>
        <w:rPr>
          <w:b/>
          <w:bCs/>
        </w:rPr>
      </w:pPr>
    </w:p>
    <w:p w:rsidR="0076196D" w:rsidRPr="00443662" w:rsidRDefault="0076196D">
      <w:pPr>
        <w:jc w:val="center"/>
        <w:rPr>
          <w:b/>
          <w:bCs/>
        </w:rPr>
      </w:pPr>
    </w:p>
    <w:p w:rsidR="00D7765A" w:rsidRDefault="00D7765A">
      <w:pPr>
        <w:jc w:val="center"/>
        <w:rPr>
          <w:b/>
          <w:bCs/>
        </w:rPr>
      </w:pPr>
      <w:r>
        <w:rPr>
          <w:b/>
          <w:bCs/>
        </w:rPr>
        <w:t>STAFF</w:t>
      </w:r>
    </w:p>
    <w:p w:rsidR="00D7765A" w:rsidRDefault="00D7765A">
      <w:pPr>
        <w:jc w:val="center"/>
        <w:rPr>
          <w:b/>
          <w:bCs/>
        </w:rPr>
      </w:pPr>
    </w:p>
    <w:p w:rsidR="00D7765A" w:rsidRDefault="00D7765A">
      <w:pPr>
        <w:jc w:val="center"/>
        <w:rPr>
          <w:b/>
          <w:bCs/>
        </w:rPr>
      </w:pPr>
      <w:r>
        <w:rPr>
          <w:b/>
          <w:bCs/>
        </w:rPr>
        <w:t>OF</w:t>
      </w:r>
    </w:p>
    <w:p w:rsidR="00D7765A" w:rsidRDefault="00D7765A">
      <w:pPr>
        <w:jc w:val="center"/>
        <w:rPr>
          <w:b/>
          <w:bCs/>
        </w:rPr>
      </w:pPr>
    </w:p>
    <w:p w:rsidR="009A091D" w:rsidRPr="00443662" w:rsidRDefault="009A091D">
      <w:pPr>
        <w:jc w:val="center"/>
        <w:rPr>
          <w:b/>
          <w:bCs/>
        </w:rPr>
      </w:pPr>
      <w:r w:rsidRPr="00443662">
        <w:rPr>
          <w:b/>
          <w:bCs/>
        </w:rPr>
        <w:t>THE WASHINGTON UTILITIES</w:t>
      </w:r>
    </w:p>
    <w:p w:rsidR="009A091D" w:rsidRPr="00443662" w:rsidRDefault="009A091D">
      <w:pPr>
        <w:jc w:val="center"/>
        <w:rPr>
          <w:b/>
          <w:bCs/>
        </w:rPr>
      </w:pPr>
      <w:r w:rsidRPr="00443662">
        <w:rPr>
          <w:b/>
          <w:bCs/>
        </w:rPr>
        <w:t>AND TRANSPORTATION COMMISSION</w:t>
      </w:r>
    </w:p>
    <w:p w:rsidR="009A091D" w:rsidRPr="00443662" w:rsidRDefault="009A091D">
      <w:pPr>
        <w:jc w:val="center"/>
        <w:rPr>
          <w:b/>
          <w:bCs/>
        </w:rPr>
      </w:pPr>
    </w:p>
    <w:p w:rsidR="0076196D" w:rsidRPr="00443662" w:rsidRDefault="0076196D">
      <w:pPr>
        <w:jc w:val="center"/>
        <w:rPr>
          <w:b/>
          <w:bCs/>
        </w:rPr>
      </w:pPr>
    </w:p>
    <w:p w:rsidR="009A091D" w:rsidRPr="00443662" w:rsidRDefault="009A091D">
      <w:pPr>
        <w:jc w:val="center"/>
        <w:rPr>
          <w:b/>
          <w:bCs/>
          <w:i/>
        </w:rPr>
      </w:pPr>
    </w:p>
    <w:p w:rsidR="00AD327A" w:rsidRPr="00443662" w:rsidRDefault="00AD327A">
      <w:pPr>
        <w:jc w:val="center"/>
        <w:rPr>
          <w:b/>
          <w:bCs/>
          <w:i/>
        </w:rPr>
      </w:pPr>
    </w:p>
    <w:p w:rsidR="00AD327A" w:rsidRPr="00443662" w:rsidRDefault="00AD327A">
      <w:pPr>
        <w:jc w:val="center"/>
        <w:rPr>
          <w:b/>
          <w:bCs/>
          <w:i/>
        </w:rPr>
      </w:pPr>
    </w:p>
    <w:p w:rsidR="00AD327A" w:rsidRPr="00443662" w:rsidRDefault="00AD327A">
      <w:pPr>
        <w:jc w:val="center"/>
        <w:rPr>
          <w:b/>
          <w:bCs/>
          <w:i/>
        </w:rPr>
      </w:pPr>
    </w:p>
    <w:p w:rsidR="00AD327A" w:rsidRPr="00443662" w:rsidRDefault="00AD327A">
      <w:pPr>
        <w:jc w:val="center"/>
        <w:rPr>
          <w:b/>
          <w:bCs/>
          <w:i/>
        </w:rPr>
      </w:pPr>
    </w:p>
    <w:p w:rsidR="00AD327A" w:rsidRPr="00443662" w:rsidRDefault="00AD327A">
      <w:pPr>
        <w:jc w:val="center"/>
        <w:rPr>
          <w:b/>
          <w:bCs/>
        </w:rPr>
      </w:pPr>
    </w:p>
    <w:p w:rsidR="009A091D" w:rsidRPr="00443662" w:rsidRDefault="009B7753" w:rsidP="008F11F6">
      <w:pPr>
        <w:jc w:val="center"/>
        <w:rPr>
          <w:b/>
          <w:bCs/>
        </w:rPr>
      </w:pPr>
      <w:r w:rsidRPr="00443662">
        <w:rPr>
          <w:b/>
          <w:bCs/>
        </w:rPr>
        <w:t>November 3, 2009</w:t>
      </w:r>
    </w:p>
    <w:p w:rsidR="00D7765A" w:rsidRDefault="00D7765A">
      <w:pPr>
        <w:rPr>
          <w:b/>
          <w:bCs/>
        </w:rPr>
        <w:sectPr w:rsidR="00D7765A" w:rsidSect="00CE5110">
          <w:pgSz w:w="12240" w:h="15840" w:code="1"/>
          <w:pgMar w:top="1440" w:right="1350" w:bottom="1440" w:left="1872" w:header="720" w:footer="720" w:gutter="0"/>
          <w:pgNumType w:start="1"/>
          <w:cols w:space="720"/>
          <w:docGrid w:linePitch="360"/>
        </w:sectPr>
      </w:pPr>
    </w:p>
    <w:p w:rsidR="00540AA3" w:rsidRPr="00443662" w:rsidRDefault="00540AA3" w:rsidP="00540AA3">
      <w:pPr>
        <w:pStyle w:val="Heading3"/>
      </w:pPr>
      <w:r w:rsidRPr="00443662">
        <w:lastRenderedPageBreak/>
        <w:t>TABLE OF CONTENTS</w:t>
      </w:r>
    </w:p>
    <w:p w:rsidR="00E244B2" w:rsidRPr="00443662" w:rsidRDefault="00E244B2" w:rsidP="00D7765A">
      <w:pPr>
        <w:jc w:val="right"/>
      </w:pPr>
      <w:r w:rsidRPr="00443662">
        <w:tab/>
      </w:r>
      <w:r w:rsidRPr="00443662">
        <w:tab/>
      </w:r>
      <w:r w:rsidRPr="00443662">
        <w:tab/>
      </w:r>
      <w:r w:rsidRPr="00443662">
        <w:tab/>
      </w:r>
      <w:r w:rsidRPr="00443662">
        <w:tab/>
      </w:r>
      <w:r w:rsidRPr="00443662">
        <w:tab/>
      </w:r>
      <w:r w:rsidRPr="00443662">
        <w:tab/>
      </w:r>
      <w:r w:rsidRPr="00443662">
        <w:tab/>
      </w:r>
      <w:r w:rsidRPr="00443662">
        <w:tab/>
      </w:r>
      <w:r w:rsidRPr="00443662">
        <w:tab/>
      </w:r>
      <w:r w:rsidRPr="00443662">
        <w:tab/>
      </w:r>
    </w:p>
    <w:p w:rsidR="00E244B2" w:rsidRPr="00443662" w:rsidRDefault="00E244B2" w:rsidP="00CE5110">
      <w:pPr>
        <w:tabs>
          <w:tab w:val="left" w:pos="720"/>
          <w:tab w:val="left" w:pos="1440"/>
          <w:tab w:val="left" w:pos="2160"/>
          <w:tab w:val="right" w:leader="dot" w:pos="9000"/>
        </w:tabs>
      </w:pPr>
    </w:p>
    <w:p w:rsidR="00540AA3" w:rsidRPr="00443662" w:rsidRDefault="00540AA3" w:rsidP="00CE5110">
      <w:pPr>
        <w:tabs>
          <w:tab w:val="left" w:pos="720"/>
          <w:tab w:val="left" w:pos="1440"/>
          <w:tab w:val="left" w:pos="2160"/>
          <w:tab w:val="right" w:leader="dot" w:pos="9000"/>
        </w:tabs>
      </w:pPr>
      <w:r w:rsidRPr="00443662">
        <w:t>I.</w:t>
      </w:r>
      <w:r w:rsidRPr="00443662">
        <w:tab/>
        <w:t xml:space="preserve">INTRODUCTION </w:t>
      </w:r>
      <w:r w:rsidRPr="00443662">
        <w:tab/>
        <w:t>1</w:t>
      </w:r>
    </w:p>
    <w:p w:rsidR="002C0A25" w:rsidRPr="00443662" w:rsidRDefault="002C0A25" w:rsidP="002C0A25">
      <w:pPr>
        <w:tabs>
          <w:tab w:val="left" w:pos="720"/>
          <w:tab w:val="left" w:pos="1440"/>
          <w:tab w:val="left" w:pos="2160"/>
          <w:tab w:val="right" w:leader="dot" w:pos="9000"/>
        </w:tabs>
      </w:pPr>
    </w:p>
    <w:p w:rsidR="002C0A25" w:rsidRDefault="00247106" w:rsidP="006045C9">
      <w:pPr>
        <w:tabs>
          <w:tab w:val="left" w:pos="720"/>
          <w:tab w:val="left" w:pos="1440"/>
          <w:tab w:val="left" w:pos="2160"/>
          <w:tab w:val="left" w:pos="2880"/>
          <w:tab w:val="right" w:leader="dot" w:pos="9000"/>
        </w:tabs>
      </w:pPr>
      <w:r w:rsidRPr="00443662">
        <w:t>II.</w:t>
      </w:r>
      <w:r w:rsidRPr="00443662">
        <w:tab/>
      </w:r>
      <w:r w:rsidR="008D0518" w:rsidRPr="00443662">
        <w:t>SUMMARY</w:t>
      </w:r>
      <w:r w:rsidR="006045C9">
        <w:t xml:space="preserve"> OF TESTIMONY</w:t>
      </w:r>
      <w:r w:rsidR="006045C9">
        <w:tab/>
        <w:t>3</w:t>
      </w:r>
    </w:p>
    <w:p w:rsidR="006045C9" w:rsidRPr="00443662" w:rsidRDefault="006045C9" w:rsidP="006045C9">
      <w:pPr>
        <w:tabs>
          <w:tab w:val="left" w:pos="720"/>
          <w:tab w:val="left" w:pos="1440"/>
          <w:tab w:val="left" w:pos="2160"/>
          <w:tab w:val="left" w:pos="2880"/>
          <w:tab w:val="right" w:leader="dot" w:pos="9000"/>
        </w:tabs>
      </w:pPr>
    </w:p>
    <w:p w:rsidR="002C0A25" w:rsidRPr="00443662" w:rsidRDefault="00E244B2" w:rsidP="002C0A25">
      <w:pPr>
        <w:tabs>
          <w:tab w:val="left" w:pos="720"/>
          <w:tab w:val="left" w:pos="2520"/>
          <w:tab w:val="right" w:leader="dot" w:pos="9000"/>
        </w:tabs>
      </w:pPr>
      <w:r w:rsidRPr="00443662">
        <w:t xml:space="preserve">III.       </w:t>
      </w:r>
      <w:r w:rsidR="006045C9" w:rsidRPr="006045C9">
        <w:rPr>
          <w:bCs/>
        </w:rPr>
        <w:t>RISKS ASSOCIATED WITH THE TRANSFER OF CONTROL</w:t>
      </w:r>
      <w:r w:rsidR="006045C9">
        <w:rPr>
          <w:bCs/>
        </w:rPr>
        <w:tab/>
      </w:r>
      <w:r w:rsidR="004354DC">
        <w:rPr>
          <w:bCs/>
        </w:rPr>
        <w:t>5</w:t>
      </w:r>
    </w:p>
    <w:p w:rsidR="002C0A25" w:rsidRPr="00443662" w:rsidRDefault="002C0A25" w:rsidP="002C0A25">
      <w:pPr>
        <w:tabs>
          <w:tab w:val="left" w:pos="720"/>
          <w:tab w:val="left" w:pos="2520"/>
          <w:tab w:val="right" w:leader="dot" w:pos="9000"/>
        </w:tabs>
      </w:pPr>
    </w:p>
    <w:p w:rsidR="00D7765A" w:rsidRDefault="00203469" w:rsidP="006045C9">
      <w:pPr>
        <w:tabs>
          <w:tab w:val="left" w:pos="720"/>
          <w:tab w:val="left" w:pos="2520"/>
          <w:tab w:val="right" w:leader="dot" w:pos="9000"/>
        </w:tabs>
        <w:rPr>
          <w:bCs/>
        </w:rPr>
      </w:pPr>
      <w:r w:rsidRPr="00443662">
        <w:t>IV.</w:t>
      </w:r>
      <w:r w:rsidR="006045C9">
        <w:tab/>
      </w:r>
      <w:r w:rsidR="006045C9" w:rsidRPr="006045C9">
        <w:rPr>
          <w:bCs/>
        </w:rPr>
        <w:t>FINANCIAL RISKS</w:t>
      </w:r>
      <w:r w:rsidR="006045C9">
        <w:rPr>
          <w:bCs/>
        </w:rPr>
        <w:tab/>
        <w:t>5</w:t>
      </w:r>
    </w:p>
    <w:p w:rsidR="006045C9" w:rsidRDefault="006045C9" w:rsidP="006045C9">
      <w:pPr>
        <w:tabs>
          <w:tab w:val="left" w:pos="720"/>
          <w:tab w:val="left" w:pos="2520"/>
          <w:tab w:val="right" w:leader="dot" w:pos="9000"/>
        </w:tabs>
        <w:rPr>
          <w:bCs/>
        </w:rPr>
      </w:pPr>
    </w:p>
    <w:p w:rsidR="006045C9" w:rsidRDefault="006045C9" w:rsidP="006045C9">
      <w:pPr>
        <w:tabs>
          <w:tab w:val="left" w:pos="720"/>
          <w:tab w:val="left" w:pos="2520"/>
          <w:tab w:val="right" w:leader="dot" w:pos="9000"/>
        </w:tabs>
      </w:pPr>
      <w:r>
        <w:rPr>
          <w:bCs/>
        </w:rPr>
        <w:t>V.</w:t>
      </w:r>
      <w:r>
        <w:rPr>
          <w:bCs/>
        </w:rPr>
        <w:tab/>
      </w:r>
      <w:r w:rsidR="006C1C65" w:rsidRPr="006C1C65">
        <w:rPr>
          <w:bCs/>
        </w:rPr>
        <w:t>STAFF CONDITIONS FOR MERGER</w:t>
      </w:r>
      <w:r w:rsidR="006C1C65" w:rsidRPr="006C1C65">
        <w:rPr>
          <w:bCs/>
        </w:rPr>
        <w:tab/>
        <w:t>24</w:t>
      </w:r>
    </w:p>
    <w:p w:rsidR="00D7765A" w:rsidRDefault="00D7765A" w:rsidP="00D7765A">
      <w:pPr>
        <w:tabs>
          <w:tab w:val="left" w:pos="720"/>
          <w:tab w:val="left" w:pos="2520"/>
          <w:tab w:val="right" w:leader="dot" w:pos="8640"/>
        </w:tabs>
      </w:pPr>
    </w:p>
    <w:p w:rsidR="00D7765A" w:rsidRDefault="00D7765A" w:rsidP="00D7765A">
      <w:pPr>
        <w:tabs>
          <w:tab w:val="left" w:pos="720"/>
          <w:tab w:val="left" w:pos="2520"/>
          <w:tab w:val="right" w:leader="dot" w:pos="8640"/>
        </w:tabs>
      </w:pPr>
    </w:p>
    <w:p w:rsidR="00D7765A" w:rsidRDefault="00D7765A" w:rsidP="00D7765A">
      <w:pPr>
        <w:tabs>
          <w:tab w:val="left" w:pos="720"/>
          <w:tab w:val="left" w:pos="2520"/>
          <w:tab w:val="right" w:leader="dot" w:pos="8640"/>
        </w:tabs>
      </w:pPr>
    </w:p>
    <w:p w:rsidR="00D7765A" w:rsidRPr="00443662" w:rsidRDefault="00D7765A" w:rsidP="00D7765A">
      <w:pPr>
        <w:tabs>
          <w:tab w:val="left" w:pos="720"/>
          <w:tab w:val="left" w:pos="2520"/>
          <w:tab w:val="right" w:leader="dot" w:pos="8640"/>
        </w:tabs>
      </w:pPr>
    </w:p>
    <w:p w:rsidR="00D7765A" w:rsidRDefault="00D7765A" w:rsidP="00D7765A">
      <w:pPr>
        <w:autoSpaceDE w:val="0"/>
        <w:autoSpaceDN w:val="0"/>
        <w:adjustRightInd w:val="0"/>
        <w:spacing w:line="240" w:lineRule="atLeast"/>
        <w:jc w:val="center"/>
        <w:rPr>
          <w:b/>
          <w:color w:val="000000"/>
        </w:rPr>
        <w:sectPr w:rsidR="00D7765A" w:rsidSect="00D7765A">
          <w:footerReference w:type="default" r:id="rId8"/>
          <w:pgSz w:w="12240" w:h="15840" w:code="1"/>
          <w:pgMar w:top="1440" w:right="1350" w:bottom="1440" w:left="1872" w:header="720" w:footer="720" w:gutter="0"/>
          <w:pgNumType w:fmt="lowerRoman" w:start="1"/>
          <w:cols w:space="720"/>
          <w:docGrid w:linePitch="360"/>
        </w:sectPr>
      </w:pPr>
    </w:p>
    <w:p w:rsidR="009A091D" w:rsidRDefault="00D7765A" w:rsidP="00D7765A">
      <w:pPr>
        <w:autoSpaceDE w:val="0"/>
        <w:autoSpaceDN w:val="0"/>
        <w:adjustRightInd w:val="0"/>
        <w:spacing w:line="240" w:lineRule="atLeast"/>
        <w:jc w:val="center"/>
        <w:rPr>
          <w:color w:val="000000"/>
        </w:rPr>
      </w:pPr>
      <w:r>
        <w:rPr>
          <w:b/>
          <w:color w:val="000000"/>
        </w:rPr>
        <w:lastRenderedPageBreak/>
        <w:t>EXHIBIT LIST</w:t>
      </w:r>
    </w:p>
    <w:p w:rsidR="00D7765A" w:rsidRDefault="00D7765A" w:rsidP="00D7765A">
      <w:pPr>
        <w:autoSpaceDE w:val="0"/>
        <w:autoSpaceDN w:val="0"/>
        <w:adjustRightInd w:val="0"/>
        <w:spacing w:line="240" w:lineRule="atLeast"/>
        <w:jc w:val="center"/>
        <w:rPr>
          <w:color w:val="000000"/>
        </w:rPr>
      </w:pPr>
    </w:p>
    <w:p w:rsidR="00D7765A" w:rsidRDefault="00D7765A" w:rsidP="00D7765A">
      <w:pPr>
        <w:autoSpaceDE w:val="0"/>
        <w:autoSpaceDN w:val="0"/>
        <w:adjustRightInd w:val="0"/>
        <w:spacing w:line="240" w:lineRule="atLeast"/>
        <w:rPr>
          <w:color w:val="000000"/>
        </w:rPr>
      </w:pPr>
      <w:r>
        <w:rPr>
          <w:color w:val="000000"/>
        </w:rPr>
        <w:t>Exhibit No. ___ (WHW-2)</w:t>
      </w:r>
      <w:r>
        <w:rPr>
          <w:color w:val="000000"/>
        </w:rPr>
        <w:tab/>
        <w:t>Applicants’ Response to Staff Data Request No. 110</w:t>
      </w:r>
    </w:p>
    <w:p w:rsidR="00D7765A" w:rsidRDefault="00D7765A" w:rsidP="00D7765A">
      <w:pPr>
        <w:autoSpaceDE w:val="0"/>
        <w:autoSpaceDN w:val="0"/>
        <w:adjustRightInd w:val="0"/>
        <w:spacing w:line="240" w:lineRule="atLeast"/>
        <w:rPr>
          <w:color w:val="000000"/>
        </w:rPr>
      </w:pPr>
    </w:p>
    <w:p w:rsidR="00D7765A" w:rsidRDefault="00D7765A" w:rsidP="00D7765A">
      <w:pPr>
        <w:autoSpaceDE w:val="0"/>
        <w:autoSpaceDN w:val="0"/>
        <w:adjustRightInd w:val="0"/>
        <w:spacing w:line="240" w:lineRule="atLeast"/>
        <w:rPr>
          <w:color w:val="000000"/>
        </w:rPr>
      </w:pPr>
      <w:r>
        <w:rPr>
          <w:color w:val="000000"/>
        </w:rPr>
        <w:t>Exhibit No. ___ (WHW-3)</w:t>
      </w:r>
      <w:r>
        <w:rPr>
          <w:color w:val="000000"/>
        </w:rPr>
        <w:tab/>
        <w:t>Applicants’ Response to Staff Data Request No. 107</w:t>
      </w:r>
    </w:p>
    <w:p w:rsidR="00D7765A" w:rsidRDefault="00D7765A" w:rsidP="00D7765A">
      <w:pPr>
        <w:autoSpaceDE w:val="0"/>
        <w:autoSpaceDN w:val="0"/>
        <w:adjustRightInd w:val="0"/>
        <w:spacing w:line="240" w:lineRule="atLeast"/>
        <w:rPr>
          <w:color w:val="000000"/>
        </w:rPr>
      </w:pPr>
    </w:p>
    <w:p w:rsidR="00D7765A" w:rsidRDefault="00D7765A" w:rsidP="00D7765A">
      <w:pPr>
        <w:autoSpaceDE w:val="0"/>
        <w:autoSpaceDN w:val="0"/>
        <w:adjustRightInd w:val="0"/>
        <w:spacing w:line="240" w:lineRule="atLeast"/>
        <w:rPr>
          <w:color w:val="000000"/>
        </w:rPr>
      </w:pPr>
      <w:r>
        <w:rPr>
          <w:color w:val="000000"/>
        </w:rPr>
        <w:t>Exhibit No. ___ (WHW-4)</w:t>
      </w:r>
      <w:r>
        <w:rPr>
          <w:color w:val="000000"/>
        </w:rPr>
        <w:tab/>
        <w:t>Applicants’ Response to Staff Data Request No. 7</w:t>
      </w:r>
    </w:p>
    <w:p w:rsidR="00D7765A" w:rsidRDefault="00D7765A" w:rsidP="00D7765A">
      <w:pPr>
        <w:autoSpaceDE w:val="0"/>
        <w:autoSpaceDN w:val="0"/>
        <w:adjustRightInd w:val="0"/>
        <w:spacing w:line="240" w:lineRule="atLeast"/>
        <w:rPr>
          <w:color w:val="000000"/>
        </w:rPr>
      </w:pPr>
    </w:p>
    <w:p w:rsidR="00D7765A" w:rsidRDefault="00D7765A" w:rsidP="00D7765A">
      <w:pPr>
        <w:autoSpaceDE w:val="0"/>
        <w:autoSpaceDN w:val="0"/>
        <w:adjustRightInd w:val="0"/>
        <w:spacing w:line="240" w:lineRule="atLeast"/>
        <w:rPr>
          <w:color w:val="000000"/>
        </w:rPr>
      </w:pPr>
      <w:r>
        <w:rPr>
          <w:color w:val="000000"/>
        </w:rPr>
        <w:t>Exhibit No. ___ (WHW-5)</w:t>
      </w:r>
      <w:r>
        <w:rPr>
          <w:color w:val="000000"/>
        </w:rPr>
        <w:tab/>
        <w:t>Applicants’ Response to Public Counsel Data Request No. 96</w:t>
      </w:r>
    </w:p>
    <w:p w:rsidR="00D7765A" w:rsidRDefault="00D7765A" w:rsidP="00D7765A">
      <w:pPr>
        <w:autoSpaceDE w:val="0"/>
        <w:autoSpaceDN w:val="0"/>
        <w:adjustRightInd w:val="0"/>
        <w:spacing w:line="240" w:lineRule="atLeast"/>
        <w:rPr>
          <w:color w:val="000000"/>
        </w:rPr>
      </w:pPr>
    </w:p>
    <w:p w:rsidR="009A091D" w:rsidRPr="00D7765A" w:rsidRDefault="00D7765A" w:rsidP="00D7765A">
      <w:pPr>
        <w:autoSpaceDE w:val="0"/>
        <w:autoSpaceDN w:val="0"/>
        <w:adjustRightInd w:val="0"/>
        <w:spacing w:line="240" w:lineRule="atLeast"/>
        <w:rPr>
          <w:color w:val="000000"/>
        </w:rPr>
      </w:pPr>
      <w:r>
        <w:rPr>
          <w:color w:val="000000"/>
        </w:rPr>
        <w:t>Exhibit No. ___ (WHW-6)</w:t>
      </w:r>
      <w:r>
        <w:rPr>
          <w:color w:val="000000"/>
        </w:rPr>
        <w:tab/>
        <w:t>Applicants’ Response to Public Counsel Data Request No. 97</w:t>
      </w:r>
    </w:p>
    <w:p w:rsidR="008F11F6" w:rsidRDefault="008F11F6" w:rsidP="008F11F6"/>
    <w:p w:rsidR="00D7765A" w:rsidRDefault="00D7765A" w:rsidP="008F11F6"/>
    <w:p w:rsidR="00D7765A" w:rsidRDefault="00D7765A" w:rsidP="008F11F6"/>
    <w:p w:rsidR="00D7765A" w:rsidRDefault="00D7765A" w:rsidP="008F11F6"/>
    <w:p w:rsidR="00D7765A" w:rsidRDefault="00D7765A" w:rsidP="008F11F6"/>
    <w:p w:rsidR="00D7765A" w:rsidRDefault="00D7765A" w:rsidP="008F11F6"/>
    <w:p w:rsidR="00D7765A" w:rsidRDefault="00D7765A" w:rsidP="008F11F6"/>
    <w:p w:rsidR="00D7765A" w:rsidRDefault="00D7765A" w:rsidP="008F11F6"/>
    <w:p w:rsidR="00D7765A" w:rsidRDefault="00D7765A" w:rsidP="008F11F6"/>
    <w:p w:rsidR="00D7765A" w:rsidRDefault="00D7765A" w:rsidP="008F11F6"/>
    <w:p w:rsidR="00D7765A" w:rsidRDefault="00D7765A" w:rsidP="008F11F6"/>
    <w:p w:rsidR="00D7765A" w:rsidRPr="00443662" w:rsidRDefault="00D7765A" w:rsidP="008F11F6">
      <w:pPr>
        <w:sectPr w:rsidR="00D7765A" w:rsidRPr="00443662" w:rsidSect="00D7765A">
          <w:footerReference w:type="default" r:id="rId9"/>
          <w:pgSz w:w="12240" w:h="15840" w:code="1"/>
          <w:pgMar w:top="1440" w:right="1350" w:bottom="1440" w:left="1872" w:header="720" w:footer="720" w:gutter="0"/>
          <w:pgNumType w:fmt="lowerRoman"/>
          <w:cols w:space="720"/>
          <w:docGrid w:linePitch="360"/>
        </w:sectPr>
      </w:pPr>
    </w:p>
    <w:p w:rsidR="008C0634" w:rsidRPr="00443662" w:rsidRDefault="00E02665" w:rsidP="006045C9">
      <w:pPr>
        <w:pStyle w:val="Heading3"/>
        <w:numPr>
          <w:ilvl w:val="0"/>
          <w:numId w:val="3"/>
        </w:numPr>
        <w:ind w:left="0" w:firstLine="0"/>
      </w:pPr>
      <w:r w:rsidRPr="00443662">
        <w:lastRenderedPageBreak/>
        <w:t>INTRO</w:t>
      </w:r>
      <w:r w:rsidR="00B50313" w:rsidRPr="00443662">
        <w:t>DUCTION</w:t>
      </w:r>
    </w:p>
    <w:p w:rsidR="008C0634" w:rsidRPr="00443662" w:rsidRDefault="008C0634" w:rsidP="008C0634">
      <w:pPr>
        <w:pStyle w:val="Heading3"/>
        <w:ind w:left="0" w:firstLine="0"/>
        <w:jc w:val="left"/>
      </w:pPr>
    </w:p>
    <w:p w:rsidR="009A091D" w:rsidRPr="00443662" w:rsidRDefault="009A091D" w:rsidP="008C0634">
      <w:pPr>
        <w:pStyle w:val="Heading3"/>
        <w:ind w:left="0" w:firstLine="0"/>
        <w:jc w:val="left"/>
        <w:rPr>
          <w:b w:val="0"/>
          <w:bCs w:val="0"/>
        </w:rPr>
      </w:pPr>
      <w:r w:rsidRPr="00443662">
        <w:t>Q.</w:t>
      </w:r>
      <w:r w:rsidRPr="00443662">
        <w:tab/>
        <w:t>Please stat</w:t>
      </w:r>
      <w:r w:rsidR="00B6545C" w:rsidRPr="00443662">
        <w:t>e your name and business address</w:t>
      </w:r>
      <w:r w:rsidRPr="00443662">
        <w:t>.</w:t>
      </w:r>
      <w:r w:rsidRPr="00443662">
        <w:rPr>
          <w:b w:val="0"/>
          <w:bCs w:val="0"/>
        </w:rPr>
        <w:t xml:space="preserve"> </w:t>
      </w:r>
    </w:p>
    <w:p w:rsidR="009A091D" w:rsidRPr="00443662" w:rsidRDefault="009A091D">
      <w:pPr>
        <w:pStyle w:val="BodyTextIndent"/>
      </w:pPr>
      <w:r w:rsidRPr="00443662">
        <w:t>A.</w:t>
      </w:r>
      <w:r w:rsidRPr="00443662">
        <w:tab/>
      </w:r>
      <w:r w:rsidR="0092669C" w:rsidRPr="00443662">
        <w:t>My name is</w:t>
      </w:r>
      <w:r w:rsidRPr="00443662">
        <w:t xml:space="preserve"> </w:t>
      </w:r>
      <w:r w:rsidR="004C5F6C" w:rsidRPr="00443662">
        <w:t>William H</w:t>
      </w:r>
      <w:r w:rsidR="00B8349E" w:rsidRPr="00443662">
        <w:t>.</w:t>
      </w:r>
      <w:r w:rsidR="004C5F6C" w:rsidRPr="00443662">
        <w:t xml:space="preserve"> Weinman</w:t>
      </w:r>
      <w:r w:rsidRPr="00443662">
        <w:t xml:space="preserve">.  My business address is </w:t>
      </w:r>
      <w:r w:rsidR="00AD0F5B" w:rsidRPr="00443662">
        <w:t xml:space="preserve">the Richard Hemstad Building, </w:t>
      </w:r>
      <w:r w:rsidRPr="00443662">
        <w:t>1300 S. Evergreen Park Drive S.W., P.O. Box 47250, Olympia, WA  98504.</w:t>
      </w:r>
      <w:r w:rsidR="00AD0F5B" w:rsidRPr="00443662">
        <w:t xml:space="preserve">  My e-mail address is wweinman@utc.wa.gov.</w:t>
      </w:r>
    </w:p>
    <w:p w:rsidR="009A091D" w:rsidRPr="00443662" w:rsidRDefault="009A091D">
      <w:pPr>
        <w:pStyle w:val="BodyTextIndent"/>
      </w:pPr>
    </w:p>
    <w:p w:rsidR="009A091D" w:rsidRPr="00443662" w:rsidRDefault="009A091D">
      <w:pPr>
        <w:pStyle w:val="Heading1"/>
      </w:pPr>
      <w:r w:rsidRPr="00443662">
        <w:t>Q.</w:t>
      </w:r>
      <w:r w:rsidRPr="00443662">
        <w:tab/>
        <w:t xml:space="preserve">By whom are you employed and in what capacity?  </w:t>
      </w:r>
    </w:p>
    <w:p w:rsidR="009A091D" w:rsidRPr="00443662" w:rsidRDefault="009A091D">
      <w:pPr>
        <w:spacing w:line="480" w:lineRule="auto"/>
        <w:ind w:left="720" w:hanging="720"/>
      </w:pPr>
      <w:r w:rsidRPr="00443662">
        <w:t>A.</w:t>
      </w:r>
      <w:r w:rsidRPr="00443662">
        <w:tab/>
        <w:t xml:space="preserve">I am employed by the Washington Utilities and Transportation Commission </w:t>
      </w:r>
      <w:r w:rsidR="00AD0F5B" w:rsidRPr="00443662">
        <w:t>(“UTC</w:t>
      </w:r>
      <w:r w:rsidR="0004762B" w:rsidRPr="00443662">
        <w:t xml:space="preserve"> or Commission</w:t>
      </w:r>
      <w:r w:rsidR="00AD0F5B" w:rsidRPr="00443662">
        <w:t xml:space="preserve">”) </w:t>
      </w:r>
      <w:r w:rsidRPr="00443662">
        <w:t xml:space="preserve">as </w:t>
      </w:r>
      <w:r w:rsidR="0063592C" w:rsidRPr="00443662">
        <w:t>Assistant Director – Telecom</w:t>
      </w:r>
      <w:r w:rsidR="000205F4" w:rsidRPr="00443662">
        <w:t>munications</w:t>
      </w:r>
      <w:r w:rsidR="0063592C" w:rsidRPr="00443662">
        <w:t xml:space="preserve"> Section</w:t>
      </w:r>
      <w:r w:rsidR="004C5F6C" w:rsidRPr="00443662">
        <w:t>.</w:t>
      </w:r>
    </w:p>
    <w:p w:rsidR="009A091D" w:rsidRPr="00443662" w:rsidRDefault="009A091D">
      <w:pPr>
        <w:spacing w:line="480" w:lineRule="auto"/>
        <w:ind w:left="720" w:hanging="720"/>
      </w:pPr>
    </w:p>
    <w:p w:rsidR="009A091D" w:rsidRPr="00443662" w:rsidRDefault="009A091D">
      <w:pPr>
        <w:tabs>
          <w:tab w:val="left" w:pos="-1440"/>
        </w:tabs>
        <w:spacing w:line="480" w:lineRule="auto"/>
        <w:ind w:left="720" w:hanging="720"/>
      </w:pPr>
      <w:r w:rsidRPr="00443662">
        <w:rPr>
          <w:b/>
          <w:bCs/>
        </w:rPr>
        <w:t>Q.</w:t>
      </w:r>
      <w:r w:rsidRPr="00443662">
        <w:rPr>
          <w:b/>
          <w:bCs/>
        </w:rPr>
        <w:tab/>
        <w:t>How long have you been employed by the Commission?</w:t>
      </w:r>
    </w:p>
    <w:p w:rsidR="009A091D" w:rsidRPr="00443662" w:rsidRDefault="009A091D" w:rsidP="00D20D5A">
      <w:pPr>
        <w:tabs>
          <w:tab w:val="left" w:pos="-1440"/>
        </w:tabs>
        <w:spacing w:line="480" w:lineRule="auto"/>
        <w:ind w:left="720" w:hanging="720"/>
      </w:pPr>
      <w:r w:rsidRPr="00443662">
        <w:t>A.</w:t>
      </w:r>
      <w:r w:rsidRPr="00443662">
        <w:tab/>
      </w:r>
      <w:r w:rsidR="004C5F6C" w:rsidRPr="00443662">
        <w:t xml:space="preserve">I have been employed with the </w:t>
      </w:r>
      <w:r w:rsidR="00AD0F5B" w:rsidRPr="00443662">
        <w:t>UTC</w:t>
      </w:r>
      <w:r w:rsidR="004C5F6C" w:rsidRPr="00443662">
        <w:t xml:space="preserve"> since June 2007</w:t>
      </w:r>
      <w:r w:rsidRPr="00443662">
        <w:t>.</w:t>
      </w:r>
      <w:r w:rsidR="00D20D5A" w:rsidRPr="00443662">
        <w:t xml:space="preserve">  I was </w:t>
      </w:r>
      <w:r w:rsidR="00C524EF" w:rsidRPr="00443662">
        <w:t xml:space="preserve">also </w:t>
      </w:r>
      <w:r w:rsidR="00D20D5A" w:rsidRPr="00443662">
        <w:t xml:space="preserve">employed by the UTC </w:t>
      </w:r>
      <w:r w:rsidR="00C524EF" w:rsidRPr="00443662">
        <w:t>in a similar position fro</w:t>
      </w:r>
      <w:r w:rsidR="00D20D5A" w:rsidRPr="00443662">
        <w:t>m</w:t>
      </w:r>
      <w:r w:rsidR="00C524EF" w:rsidRPr="00443662">
        <w:t xml:space="preserve"> </w:t>
      </w:r>
      <w:r w:rsidR="00160329" w:rsidRPr="00443662">
        <w:t xml:space="preserve">1974 </w:t>
      </w:r>
      <w:r w:rsidR="00D20D5A" w:rsidRPr="00443662">
        <w:t>to</w:t>
      </w:r>
      <w:r w:rsidR="00C524EF" w:rsidRPr="00443662">
        <w:t xml:space="preserve"> </w:t>
      </w:r>
      <w:r w:rsidR="00160329" w:rsidRPr="00443662">
        <w:t>1978</w:t>
      </w:r>
      <w:r w:rsidR="00D20D5A" w:rsidRPr="00443662">
        <w:t>.</w:t>
      </w:r>
      <w:r w:rsidR="0063592C" w:rsidRPr="00443662">
        <w:t xml:space="preserve"> I </w:t>
      </w:r>
      <w:r w:rsidR="0004762B" w:rsidRPr="00443662">
        <w:t>have been</w:t>
      </w:r>
      <w:r w:rsidR="0063592C" w:rsidRPr="00443662">
        <w:t xml:space="preserve"> a Regulatory Analyst from June 2007 through September 30, 2008. I have been</w:t>
      </w:r>
      <w:r w:rsidR="00E322F7" w:rsidRPr="00443662">
        <w:t xml:space="preserve"> in the</w:t>
      </w:r>
      <w:r w:rsidR="0063592C" w:rsidRPr="00443662">
        <w:t xml:space="preserve"> Acting</w:t>
      </w:r>
      <w:r w:rsidR="009B7753" w:rsidRPr="00443662">
        <w:t xml:space="preserve"> Assistant</w:t>
      </w:r>
      <w:r w:rsidR="0063592C" w:rsidRPr="00443662">
        <w:t xml:space="preserve"> Director</w:t>
      </w:r>
      <w:r w:rsidR="009B7753" w:rsidRPr="00443662">
        <w:t xml:space="preserve"> or Assistant Director</w:t>
      </w:r>
      <w:r w:rsidR="00E322F7" w:rsidRPr="00443662">
        <w:t xml:space="preserve"> position</w:t>
      </w:r>
      <w:r w:rsidR="009B7753" w:rsidRPr="00443662">
        <w:t>s</w:t>
      </w:r>
      <w:r w:rsidR="0063592C" w:rsidRPr="00443662">
        <w:t xml:space="preserve"> of the Telecom</w:t>
      </w:r>
      <w:r w:rsidR="0004762B" w:rsidRPr="00443662">
        <w:t>munications</w:t>
      </w:r>
      <w:r w:rsidR="0063592C" w:rsidRPr="00443662">
        <w:t xml:space="preserve"> Section since October 1, 2008.</w:t>
      </w:r>
      <w:r w:rsidR="006D4BB3" w:rsidRPr="00443662">
        <w:t xml:space="preserve">  </w:t>
      </w:r>
    </w:p>
    <w:p w:rsidR="009A091D" w:rsidRPr="00443662" w:rsidRDefault="009A091D">
      <w:pPr>
        <w:tabs>
          <w:tab w:val="left" w:pos="-1440"/>
        </w:tabs>
        <w:spacing w:line="480" w:lineRule="auto"/>
      </w:pPr>
    </w:p>
    <w:p w:rsidR="009A091D" w:rsidRPr="00443662" w:rsidRDefault="009A091D">
      <w:pPr>
        <w:tabs>
          <w:tab w:val="left" w:pos="-1440"/>
        </w:tabs>
        <w:spacing w:line="480" w:lineRule="auto"/>
        <w:ind w:left="720" w:hanging="720"/>
        <w:rPr>
          <w:b/>
          <w:bCs/>
        </w:rPr>
      </w:pPr>
      <w:r w:rsidRPr="00443662">
        <w:rPr>
          <w:b/>
          <w:bCs/>
        </w:rPr>
        <w:t>Q.</w:t>
      </w:r>
      <w:r w:rsidRPr="00443662">
        <w:rPr>
          <w:b/>
          <w:bCs/>
        </w:rPr>
        <w:tab/>
      </w:r>
      <w:r w:rsidR="00F47596" w:rsidRPr="00443662">
        <w:rPr>
          <w:b/>
          <w:bCs/>
        </w:rPr>
        <w:t>P</w:t>
      </w:r>
      <w:r w:rsidRPr="00443662">
        <w:rPr>
          <w:b/>
          <w:bCs/>
        </w:rPr>
        <w:t>lease state your educational and professional background</w:t>
      </w:r>
      <w:r w:rsidR="00F47596" w:rsidRPr="00443662">
        <w:rPr>
          <w:b/>
          <w:bCs/>
        </w:rPr>
        <w:t>.</w:t>
      </w:r>
    </w:p>
    <w:p w:rsidR="00D20D5A" w:rsidRPr="00443662" w:rsidRDefault="009A091D" w:rsidP="0013211C">
      <w:pPr>
        <w:pStyle w:val="BodyTextIndent"/>
        <w:rPr>
          <w:b/>
        </w:rPr>
      </w:pPr>
      <w:r w:rsidRPr="00443662">
        <w:t>A.</w:t>
      </w:r>
      <w:r w:rsidRPr="00443662">
        <w:tab/>
        <w:t>I graduated from Washington State University in 19</w:t>
      </w:r>
      <w:r w:rsidR="00D7362F" w:rsidRPr="00443662">
        <w:t>71</w:t>
      </w:r>
      <w:r w:rsidRPr="00443662">
        <w:t xml:space="preserve"> receiving a Bachelor of Arts in Business Administration with a major in accounting.</w:t>
      </w:r>
      <w:r w:rsidR="001C42E2" w:rsidRPr="00443662">
        <w:t xml:space="preserve"> </w:t>
      </w:r>
      <w:r w:rsidR="00AD0F5B" w:rsidRPr="00443662">
        <w:t xml:space="preserve"> </w:t>
      </w:r>
      <w:r w:rsidR="001C42E2" w:rsidRPr="00443662">
        <w:t>I am a member of the American Institute of Certified Public Accountants.</w:t>
      </w:r>
    </w:p>
    <w:p w:rsidR="003B78AA" w:rsidRPr="00443662" w:rsidRDefault="0013211C" w:rsidP="00D20D5A">
      <w:pPr>
        <w:pStyle w:val="BodyTextIndent"/>
      </w:pPr>
      <w:r w:rsidRPr="00443662">
        <w:lastRenderedPageBreak/>
        <w:tab/>
      </w:r>
      <w:r w:rsidR="00D7765A">
        <w:tab/>
      </w:r>
      <w:r w:rsidR="009A091D" w:rsidRPr="00443662">
        <w:t>My</w:t>
      </w:r>
      <w:r w:rsidR="00D20D5A" w:rsidRPr="00443662">
        <w:t xml:space="preserve"> current responsibilities</w:t>
      </w:r>
      <w:r w:rsidR="009A091D" w:rsidRPr="00443662">
        <w:t xml:space="preserve"> at the </w:t>
      </w:r>
      <w:r w:rsidR="00AD0F5B" w:rsidRPr="00443662">
        <w:t>UTC</w:t>
      </w:r>
      <w:r w:rsidR="009A091D" w:rsidRPr="00443662">
        <w:t xml:space="preserve"> generally include</w:t>
      </w:r>
      <w:r w:rsidR="00E322F7" w:rsidRPr="00443662">
        <w:t xml:space="preserve"> all issues in the Telecom section</w:t>
      </w:r>
      <w:r w:rsidR="00612272" w:rsidRPr="00443662">
        <w:t>,</w:t>
      </w:r>
      <w:r w:rsidR="00E322F7" w:rsidRPr="00443662">
        <w:t xml:space="preserve"> e</w:t>
      </w:r>
      <w:r w:rsidR="00F41745" w:rsidRPr="00443662">
        <w:t>.</w:t>
      </w:r>
      <w:r w:rsidR="00E322F7" w:rsidRPr="00443662">
        <w:t>g</w:t>
      </w:r>
      <w:r w:rsidR="00F41745" w:rsidRPr="00443662">
        <w:t>.</w:t>
      </w:r>
      <w:r w:rsidR="00612272" w:rsidRPr="00443662">
        <w:t>,</w:t>
      </w:r>
      <w:r w:rsidR="009A091D" w:rsidRPr="00443662">
        <w:t xml:space="preserve"> </w:t>
      </w:r>
      <w:r w:rsidR="00E322F7" w:rsidRPr="00443662">
        <w:t xml:space="preserve">assigning dockets to staff, </w:t>
      </w:r>
      <w:r w:rsidR="0022575F" w:rsidRPr="00443662">
        <w:t xml:space="preserve"> analyzing </w:t>
      </w:r>
      <w:r w:rsidR="009A091D" w:rsidRPr="00443662">
        <w:t>financial</w:t>
      </w:r>
      <w:r w:rsidR="00E322F7" w:rsidRPr="00443662">
        <w:t xml:space="preserve"> and</w:t>
      </w:r>
      <w:r w:rsidR="009A091D" w:rsidRPr="00443662">
        <w:t xml:space="preserve"> accounting</w:t>
      </w:r>
      <w:r w:rsidR="00E322F7" w:rsidRPr="00443662">
        <w:t xml:space="preserve"> issues</w:t>
      </w:r>
      <w:r w:rsidR="009A091D" w:rsidRPr="00443662">
        <w:t xml:space="preserve">, </w:t>
      </w:r>
      <w:r w:rsidR="00612272" w:rsidRPr="00443662">
        <w:t xml:space="preserve">reviewing </w:t>
      </w:r>
      <w:r w:rsidR="00E322F7" w:rsidRPr="00443662">
        <w:t xml:space="preserve">interconnection contracts between carriers, </w:t>
      </w:r>
      <w:r w:rsidR="00612272" w:rsidRPr="00443662">
        <w:t xml:space="preserve">ensuring </w:t>
      </w:r>
      <w:r w:rsidR="00E322F7" w:rsidRPr="00443662">
        <w:t xml:space="preserve">compliance with UTC orders, </w:t>
      </w:r>
      <w:r w:rsidR="00612272" w:rsidRPr="00443662">
        <w:t xml:space="preserve">reviewing </w:t>
      </w:r>
      <w:r w:rsidR="00E322F7" w:rsidRPr="00443662">
        <w:t>intrastate access</w:t>
      </w:r>
      <w:r w:rsidR="00612272" w:rsidRPr="00443662">
        <w:t xml:space="preserve"> issues</w:t>
      </w:r>
      <w:r w:rsidR="00E322F7" w:rsidRPr="00443662">
        <w:t xml:space="preserve">, </w:t>
      </w:r>
      <w:r w:rsidR="00612272" w:rsidRPr="00443662">
        <w:t xml:space="preserve">providing </w:t>
      </w:r>
      <w:r w:rsidR="00E322F7" w:rsidRPr="00443662">
        <w:t>expert analysis</w:t>
      </w:r>
      <w:r w:rsidR="00612272" w:rsidRPr="00443662">
        <w:t xml:space="preserve"> of</w:t>
      </w:r>
      <w:r w:rsidR="00E322F7" w:rsidRPr="00443662">
        <w:t xml:space="preserve"> </w:t>
      </w:r>
      <w:r w:rsidR="001C42E2" w:rsidRPr="00443662">
        <w:t>depreciation</w:t>
      </w:r>
      <w:r w:rsidR="00612272" w:rsidRPr="00443662">
        <w:t xml:space="preserve"> matters</w:t>
      </w:r>
      <w:r w:rsidR="00150349" w:rsidRPr="00443662">
        <w:t>,</w:t>
      </w:r>
      <w:r w:rsidR="00612272" w:rsidRPr="00443662">
        <w:t xml:space="preserve"> and</w:t>
      </w:r>
      <w:r w:rsidR="00150349" w:rsidRPr="00443662">
        <w:t xml:space="preserve"> </w:t>
      </w:r>
      <w:r w:rsidR="00612272" w:rsidRPr="00443662">
        <w:t xml:space="preserve">providing </w:t>
      </w:r>
      <w:r w:rsidR="009A091D" w:rsidRPr="00443662">
        <w:t>analys</w:t>
      </w:r>
      <w:r w:rsidR="00F47596" w:rsidRPr="00443662">
        <w:t>e</w:t>
      </w:r>
      <w:r w:rsidR="009A091D" w:rsidRPr="00443662">
        <w:t xml:space="preserve">s </w:t>
      </w:r>
      <w:r w:rsidR="00D550F0" w:rsidRPr="00443662">
        <w:t>in</w:t>
      </w:r>
      <w:r w:rsidR="009A091D" w:rsidRPr="00443662">
        <w:t xml:space="preserve"> general rate case</w:t>
      </w:r>
      <w:r w:rsidR="00C524EF" w:rsidRPr="00443662">
        <w:t>s</w:t>
      </w:r>
      <w:r w:rsidR="00150349" w:rsidRPr="00443662">
        <w:t>,</w:t>
      </w:r>
      <w:r w:rsidR="009A091D" w:rsidRPr="00443662">
        <w:t xml:space="preserve"> </w:t>
      </w:r>
      <w:r w:rsidR="0022575F" w:rsidRPr="00443662">
        <w:t>including</w:t>
      </w:r>
      <w:r w:rsidR="00F52E4D" w:rsidRPr="00443662">
        <w:t xml:space="preserve"> </w:t>
      </w:r>
      <w:r w:rsidR="009A091D" w:rsidRPr="00443662">
        <w:t>tariff filings</w:t>
      </w:r>
      <w:r w:rsidR="001C42E2" w:rsidRPr="00443662">
        <w:t xml:space="preserve"> </w:t>
      </w:r>
      <w:r w:rsidR="00150349" w:rsidRPr="00443662">
        <w:t xml:space="preserve">and </w:t>
      </w:r>
      <w:r w:rsidR="009A091D" w:rsidRPr="00443662">
        <w:t>rulemaking</w:t>
      </w:r>
      <w:r w:rsidR="00F52E4D" w:rsidRPr="00443662">
        <w:t>s</w:t>
      </w:r>
      <w:r w:rsidR="009A091D" w:rsidRPr="00443662">
        <w:t xml:space="preserve"> involving investor</w:t>
      </w:r>
      <w:r w:rsidR="00EA42FA" w:rsidRPr="00443662">
        <w:t>-</w:t>
      </w:r>
      <w:r w:rsidR="009A091D" w:rsidRPr="00443662">
        <w:t xml:space="preserve">owned </w:t>
      </w:r>
      <w:r w:rsidR="00753FB9" w:rsidRPr="00443662">
        <w:t>telecommunications companies</w:t>
      </w:r>
      <w:r w:rsidR="009A091D" w:rsidRPr="00443662">
        <w:t xml:space="preserve"> regulated by</w:t>
      </w:r>
      <w:r w:rsidR="001C42E2" w:rsidRPr="00443662">
        <w:t xml:space="preserve"> the </w:t>
      </w:r>
      <w:r w:rsidR="00F52E4D" w:rsidRPr="00443662">
        <w:t>UTC</w:t>
      </w:r>
      <w:r w:rsidR="001C42E2" w:rsidRPr="00443662">
        <w:t xml:space="preserve">. </w:t>
      </w:r>
      <w:r w:rsidR="00F47596" w:rsidRPr="00443662">
        <w:t xml:space="preserve"> </w:t>
      </w:r>
      <w:r w:rsidR="001C42E2" w:rsidRPr="00443662">
        <w:t>Over my career,</w:t>
      </w:r>
      <w:r w:rsidR="009A091D" w:rsidRPr="00443662">
        <w:t xml:space="preserve"> I have provided </w:t>
      </w:r>
      <w:r w:rsidR="0092669C" w:rsidRPr="00443662">
        <w:t xml:space="preserve">expert </w:t>
      </w:r>
      <w:r w:rsidR="001C42E2" w:rsidRPr="00443662">
        <w:t>testimony</w:t>
      </w:r>
      <w:r w:rsidR="009A091D" w:rsidRPr="00443662">
        <w:t xml:space="preserve"> </w:t>
      </w:r>
      <w:r w:rsidR="001C42E2" w:rsidRPr="00443662">
        <w:t>before th</w:t>
      </w:r>
      <w:r w:rsidR="00F52E4D" w:rsidRPr="00443662">
        <w:t>e UTC</w:t>
      </w:r>
      <w:r w:rsidR="001C42E2" w:rsidRPr="00443662">
        <w:t xml:space="preserve"> </w:t>
      </w:r>
      <w:r w:rsidR="00C524EF" w:rsidRPr="00443662">
        <w:t>regarding</w:t>
      </w:r>
      <w:r w:rsidR="001C42E2" w:rsidRPr="00443662">
        <w:t xml:space="preserve"> electric, </w:t>
      </w:r>
      <w:r w:rsidR="00C524EF" w:rsidRPr="00443662">
        <w:t xml:space="preserve">natural </w:t>
      </w:r>
      <w:r w:rsidR="001C42E2" w:rsidRPr="00443662">
        <w:t>gas and telephone companies.</w:t>
      </w:r>
      <w:r w:rsidR="00D20D5A" w:rsidRPr="00443662">
        <w:t xml:space="preserve">  Most recently, </w:t>
      </w:r>
      <w:r w:rsidR="008D0518" w:rsidRPr="00443662">
        <w:t>I reviewed and prepared testimony</w:t>
      </w:r>
      <w:r w:rsidR="00D20D5A" w:rsidRPr="00443662">
        <w:t xml:space="preserve"> on depreciation and pole replacement in Avista’s </w:t>
      </w:r>
      <w:r w:rsidR="008D0518" w:rsidRPr="00443662">
        <w:t>general rate case, Docket No.</w:t>
      </w:r>
      <w:r w:rsidR="00D20D5A" w:rsidRPr="00443662">
        <w:t>U</w:t>
      </w:r>
      <w:r w:rsidR="00A86582" w:rsidRPr="00443662">
        <w:t>E</w:t>
      </w:r>
      <w:r w:rsidR="00AA7604" w:rsidRPr="00443662">
        <w:t>-</w:t>
      </w:r>
      <w:r w:rsidR="00A86582" w:rsidRPr="00443662">
        <w:t>070804 and UG-070805</w:t>
      </w:r>
      <w:r w:rsidR="003B78AA" w:rsidRPr="00443662">
        <w:t>. I participated as UTC’s</w:t>
      </w:r>
      <w:r w:rsidR="008D0518" w:rsidRPr="00443662">
        <w:t xml:space="preserve"> </w:t>
      </w:r>
      <w:r w:rsidR="003B78AA" w:rsidRPr="00443662">
        <w:t xml:space="preserve">Staff </w:t>
      </w:r>
      <w:r w:rsidR="008D0518" w:rsidRPr="00443662">
        <w:t xml:space="preserve">analyst </w:t>
      </w:r>
      <w:r w:rsidR="00D20D5A" w:rsidRPr="00443662">
        <w:t xml:space="preserve">in a settlement with PacifiCorp on depreciation </w:t>
      </w:r>
      <w:r w:rsidR="00DE79D1" w:rsidRPr="00443662">
        <w:t xml:space="preserve">rates and parameters </w:t>
      </w:r>
      <w:r w:rsidR="00D20D5A" w:rsidRPr="00443662">
        <w:t xml:space="preserve">that the </w:t>
      </w:r>
      <w:r w:rsidR="0022575F" w:rsidRPr="00443662">
        <w:t xml:space="preserve">Commission </w:t>
      </w:r>
      <w:r w:rsidR="00D20D5A" w:rsidRPr="00443662">
        <w:t>adopted in Docket</w:t>
      </w:r>
      <w:r w:rsidR="0022575F" w:rsidRPr="00443662">
        <w:t xml:space="preserve"> No.</w:t>
      </w:r>
      <w:r w:rsidR="00D20D5A" w:rsidRPr="00443662">
        <w:t xml:space="preserve"> </w:t>
      </w:r>
      <w:proofErr w:type="gramStart"/>
      <w:r w:rsidR="00D20D5A" w:rsidRPr="00443662">
        <w:t>UE-071795.</w:t>
      </w:r>
      <w:proofErr w:type="gramEnd"/>
      <w:r w:rsidR="00D20D5A" w:rsidRPr="00443662">
        <w:t xml:space="preserve">  </w:t>
      </w:r>
      <w:r w:rsidR="009B7753" w:rsidRPr="00443662">
        <w:t xml:space="preserve">I provided testimony in the Embarq Corporation and CenturyTel, Inc. petition to approve a transfer of control, Docket No. </w:t>
      </w:r>
      <w:proofErr w:type="gramStart"/>
      <w:r w:rsidR="009B7753" w:rsidRPr="00443662">
        <w:t>UT-</w:t>
      </w:r>
      <w:r w:rsidR="004400F7" w:rsidRPr="00443662">
        <w:t>0</w:t>
      </w:r>
      <w:r w:rsidR="009B7753" w:rsidRPr="00443662">
        <w:t>82119.</w:t>
      </w:r>
      <w:proofErr w:type="gramEnd"/>
    </w:p>
    <w:p w:rsidR="00EF259C" w:rsidRPr="00443662" w:rsidRDefault="003B78AA" w:rsidP="00D7765A">
      <w:pPr>
        <w:pStyle w:val="BodyTextIndent"/>
      </w:pPr>
      <w:r w:rsidRPr="00443662">
        <w:tab/>
      </w:r>
      <w:r w:rsidR="00D7765A">
        <w:tab/>
      </w:r>
      <w:r w:rsidR="00936DA5" w:rsidRPr="00443662">
        <w:t xml:space="preserve">Between my prior and current employments with the UTC, I worked on utility regulatory and operational issues for the consulting firm R.W. Beck (1979), Elllensburg Telephone Company (1980-1984), Pacific Telecom, Inc. (1985-2003) and Integra </w:t>
      </w:r>
      <w:r w:rsidR="00B8349E" w:rsidRPr="00443662">
        <w:t xml:space="preserve">Telecom </w:t>
      </w:r>
      <w:r w:rsidR="00936DA5" w:rsidRPr="00443662">
        <w:t xml:space="preserve">(2004-2007).  </w:t>
      </w:r>
      <w:r w:rsidR="001C42E2" w:rsidRPr="00443662">
        <w:t xml:space="preserve">I testified </w:t>
      </w:r>
      <w:r w:rsidR="006D4BB3" w:rsidRPr="00443662">
        <w:t xml:space="preserve">and </w:t>
      </w:r>
      <w:r w:rsidR="00936DA5" w:rsidRPr="00443662">
        <w:t>was</w:t>
      </w:r>
      <w:r w:rsidR="006D4BB3" w:rsidRPr="00443662">
        <w:t xml:space="preserve"> involved with regulatory issues </w:t>
      </w:r>
      <w:r w:rsidR="001C42E2" w:rsidRPr="00443662">
        <w:t>before the Oregon Public Utilities Commission</w:t>
      </w:r>
      <w:r w:rsidR="006D4BB3" w:rsidRPr="00443662">
        <w:t xml:space="preserve"> as </w:t>
      </w:r>
      <w:r w:rsidR="00E66F51" w:rsidRPr="00443662">
        <w:t>Vice President/General Manager</w:t>
      </w:r>
      <w:r w:rsidR="00C524EF" w:rsidRPr="00443662">
        <w:t xml:space="preserve"> </w:t>
      </w:r>
      <w:r w:rsidR="00936DA5" w:rsidRPr="00443662">
        <w:t xml:space="preserve">for Pacific Telecom </w:t>
      </w:r>
      <w:r w:rsidR="006D4BB3" w:rsidRPr="00443662">
        <w:t>from</w:t>
      </w:r>
      <w:r w:rsidR="00E66F51" w:rsidRPr="00443662">
        <w:t xml:space="preserve"> 1992</w:t>
      </w:r>
      <w:r w:rsidR="00C524EF" w:rsidRPr="00443662">
        <w:t xml:space="preserve"> to </w:t>
      </w:r>
      <w:r w:rsidR="00E66F51" w:rsidRPr="00443662">
        <w:t>2003</w:t>
      </w:r>
      <w:r w:rsidR="001C42E2" w:rsidRPr="00443662">
        <w:t>.</w:t>
      </w:r>
    </w:p>
    <w:p w:rsidR="00EF259C" w:rsidRPr="00443662" w:rsidRDefault="00EF259C" w:rsidP="0098508A">
      <w:pPr>
        <w:pStyle w:val="BodyTextIndent"/>
        <w:ind w:firstLine="720"/>
      </w:pPr>
    </w:p>
    <w:p w:rsidR="00EF259C" w:rsidRPr="00443662" w:rsidRDefault="00EF259C" w:rsidP="00D7765A">
      <w:pPr>
        <w:pStyle w:val="BodyTextIndent"/>
        <w:keepNext/>
        <w:keepLines/>
        <w:rPr>
          <w:b/>
          <w:bCs/>
        </w:rPr>
      </w:pPr>
      <w:r w:rsidRPr="00443662">
        <w:rPr>
          <w:b/>
          <w:bCs/>
        </w:rPr>
        <w:lastRenderedPageBreak/>
        <w:t>Q.</w:t>
      </w:r>
      <w:r w:rsidRPr="00443662">
        <w:rPr>
          <w:b/>
          <w:bCs/>
        </w:rPr>
        <w:tab/>
        <w:t xml:space="preserve">Please describe the </w:t>
      </w:r>
      <w:r w:rsidR="0022575F" w:rsidRPr="00443662">
        <w:rPr>
          <w:b/>
          <w:bCs/>
        </w:rPr>
        <w:t>s</w:t>
      </w:r>
      <w:r w:rsidRPr="00443662">
        <w:rPr>
          <w:b/>
          <w:bCs/>
        </w:rPr>
        <w:t>cope of your testimony.</w:t>
      </w:r>
    </w:p>
    <w:p w:rsidR="00A04E65" w:rsidRDefault="00EF259C" w:rsidP="00D7765A">
      <w:pPr>
        <w:pStyle w:val="BodyTextIndent"/>
        <w:keepNext/>
        <w:keepLines/>
        <w:rPr>
          <w:bCs/>
        </w:rPr>
      </w:pPr>
      <w:r w:rsidRPr="00443662">
        <w:rPr>
          <w:bCs/>
        </w:rPr>
        <w:t>A.</w:t>
      </w:r>
      <w:r w:rsidRPr="00443662">
        <w:rPr>
          <w:bCs/>
        </w:rPr>
        <w:tab/>
        <w:t>My testimony address</w:t>
      </w:r>
      <w:r w:rsidR="00B02EAD" w:rsidRPr="00443662">
        <w:rPr>
          <w:bCs/>
        </w:rPr>
        <w:t xml:space="preserve">es </w:t>
      </w:r>
      <w:r w:rsidR="004435BE" w:rsidRPr="00443662">
        <w:rPr>
          <w:bCs/>
        </w:rPr>
        <w:t xml:space="preserve">financial issues and </w:t>
      </w:r>
      <w:r w:rsidR="00B02EAD" w:rsidRPr="00443662">
        <w:rPr>
          <w:bCs/>
        </w:rPr>
        <w:t xml:space="preserve">the </w:t>
      </w:r>
      <w:r w:rsidR="004435BE" w:rsidRPr="00443662">
        <w:rPr>
          <w:bCs/>
        </w:rPr>
        <w:t xml:space="preserve">general </w:t>
      </w:r>
      <w:r w:rsidR="00B02EAD" w:rsidRPr="00443662">
        <w:rPr>
          <w:bCs/>
        </w:rPr>
        <w:t xml:space="preserve">policy foundation </w:t>
      </w:r>
      <w:r w:rsidR="00615B8A" w:rsidRPr="00443662">
        <w:rPr>
          <w:bCs/>
        </w:rPr>
        <w:t>for</w:t>
      </w:r>
      <w:r w:rsidR="00B02EAD" w:rsidRPr="00443662">
        <w:rPr>
          <w:bCs/>
        </w:rPr>
        <w:t xml:space="preserve"> Staff’s position on the proposed transaction</w:t>
      </w:r>
      <w:r w:rsidR="004435BE" w:rsidRPr="00443662">
        <w:rPr>
          <w:bCs/>
        </w:rPr>
        <w:t xml:space="preserve">.  It also </w:t>
      </w:r>
      <w:r w:rsidR="00B02EAD" w:rsidRPr="00443662">
        <w:rPr>
          <w:bCs/>
        </w:rPr>
        <w:t>provides context for the specific testimony of Ms</w:t>
      </w:r>
      <w:r w:rsidR="009B7753" w:rsidRPr="00443662">
        <w:rPr>
          <w:bCs/>
        </w:rPr>
        <w:t xml:space="preserve">. </w:t>
      </w:r>
      <w:r w:rsidR="003E37E9" w:rsidRPr="00443662">
        <w:rPr>
          <w:bCs/>
        </w:rPr>
        <w:t>Jing Roth</w:t>
      </w:r>
      <w:r w:rsidR="004F7151" w:rsidRPr="00443662">
        <w:rPr>
          <w:bCs/>
        </w:rPr>
        <w:t>,</w:t>
      </w:r>
      <w:r w:rsidR="003E37E9" w:rsidRPr="00443662">
        <w:rPr>
          <w:bCs/>
        </w:rPr>
        <w:t xml:space="preserve"> Mr. Robert</w:t>
      </w:r>
      <w:r w:rsidR="00B84FD7" w:rsidRPr="00443662">
        <w:rPr>
          <w:bCs/>
        </w:rPr>
        <w:t xml:space="preserve"> T. Williamson</w:t>
      </w:r>
      <w:r w:rsidR="004F7151" w:rsidRPr="00443662">
        <w:rPr>
          <w:bCs/>
        </w:rPr>
        <w:t xml:space="preserve">, Ms. Jing Liu, Ms. Kristen M. Russell, </w:t>
      </w:r>
      <w:proofErr w:type="gramStart"/>
      <w:r w:rsidR="004F7151" w:rsidRPr="00443662">
        <w:rPr>
          <w:bCs/>
        </w:rPr>
        <w:t>Mr</w:t>
      </w:r>
      <w:proofErr w:type="gramEnd"/>
      <w:r w:rsidR="004F7151" w:rsidRPr="00443662">
        <w:rPr>
          <w:bCs/>
        </w:rPr>
        <w:t xml:space="preserve">. </w:t>
      </w:r>
      <w:r w:rsidR="00711636" w:rsidRPr="00443662">
        <w:rPr>
          <w:bCs/>
        </w:rPr>
        <w:t xml:space="preserve">Rick </w:t>
      </w:r>
      <w:r w:rsidR="004F7151" w:rsidRPr="00443662">
        <w:rPr>
          <w:bCs/>
        </w:rPr>
        <w:t>T. Applegate</w:t>
      </w:r>
      <w:r w:rsidR="00B02EAD" w:rsidRPr="00443662">
        <w:rPr>
          <w:bCs/>
        </w:rPr>
        <w:t xml:space="preserve"> </w:t>
      </w:r>
      <w:r w:rsidR="003B78AA" w:rsidRPr="00443662">
        <w:rPr>
          <w:bCs/>
        </w:rPr>
        <w:t>Ms. Suzanne Stillwell</w:t>
      </w:r>
      <w:r w:rsidR="00B02EAD" w:rsidRPr="00443662">
        <w:rPr>
          <w:bCs/>
        </w:rPr>
        <w:t xml:space="preserve"> concerning</w:t>
      </w:r>
      <w:r w:rsidR="004F7151" w:rsidRPr="00443662">
        <w:rPr>
          <w:bCs/>
        </w:rPr>
        <w:t xml:space="preserve"> the </w:t>
      </w:r>
      <w:r w:rsidR="00CF0DAF" w:rsidRPr="00443662">
        <w:rPr>
          <w:bCs/>
        </w:rPr>
        <w:t>issues</w:t>
      </w:r>
      <w:r w:rsidR="004F7151" w:rsidRPr="00443662">
        <w:rPr>
          <w:bCs/>
        </w:rPr>
        <w:t xml:space="preserve"> presented by this proposed merger.</w:t>
      </w:r>
    </w:p>
    <w:p w:rsidR="00D7765A" w:rsidRDefault="00D7765A" w:rsidP="00D7765A">
      <w:pPr>
        <w:pStyle w:val="BodyTextIndent"/>
        <w:keepNext/>
        <w:keepLines/>
        <w:rPr>
          <w:bCs/>
        </w:rPr>
      </w:pPr>
    </w:p>
    <w:p w:rsidR="000845AC" w:rsidRPr="00443662" w:rsidRDefault="00B50313" w:rsidP="00D7765A">
      <w:pPr>
        <w:pStyle w:val="BodyTextIndent"/>
        <w:numPr>
          <w:ilvl w:val="0"/>
          <w:numId w:val="3"/>
        </w:numPr>
        <w:ind w:left="720"/>
        <w:jc w:val="center"/>
        <w:rPr>
          <w:b/>
        </w:rPr>
      </w:pPr>
      <w:r w:rsidRPr="00443662">
        <w:rPr>
          <w:b/>
        </w:rPr>
        <w:t>SUMMARY OF TESTIMONY</w:t>
      </w:r>
    </w:p>
    <w:p w:rsidR="00F52E4D" w:rsidRPr="00443662" w:rsidRDefault="00F52E4D" w:rsidP="00FC3714">
      <w:pPr>
        <w:pStyle w:val="BodyTextIndent"/>
        <w:ind w:firstLine="0"/>
        <w:jc w:val="center"/>
      </w:pPr>
    </w:p>
    <w:p w:rsidR="00E02665" w:rsidRPr="00443662" w:rsidRDefault="000845AC" w:rsidP="000845AC">
      <w:pPr>
        <w:pStyle w:val="BodyTextIndent"/>
        <w:rPr>
          <w:b/>
          <w:bCs/>
        </w:rPr>
      </w:pPr>
      <w:r w:rsidRPr="00443662">
        <w:rPr>
          <w:b/>
          <w:bCs/>
        </w:rPr>
        <w:t>Q.</w:t>
      </w:r>
      <w:r w:rsidRPr="00443662">
        <w:rPr>
          <w:b/>
          <w:bCs/>
        </w:rPr>
        <w:tab/>
      </w:r>
      <w:r w:rsidR="00832413" w:rsidRPr="00443662">
        <w:rPr>
          <w:b/>
          <w:bCs/>
        </w:rPr>
        <w:t>Pl</w:t>
      </w:r>
      <w:r w:rsidRPr="00443662">
        <w:rPr>
          <w:b/>
          <w:bCs/>
        </w:rPr>
        <w:t xml:space="preserve">ease </w:t>
      </w:r>
      <w:r w:rsidR="00802A8A" w:rsidRPr="00443662">
        <w:rPr>
          <w:b/>
          <w:bCs/>
        </w:rPr>
        <w:t>summarize your testimony.</w:t>
      </w:r>
    </w:p>
    <w:p w:rsidR="00882029" w:rsidRPr="00443662" w:rsidRDefault="000845AC" w:rsidP="003E37E9">
      <w:pPr>
        <w:pStyle w:val="BodyTextIndent"/>
      </w:pPr>
      <w:r w:rsidRPr="00443662">
        <w:t>A.</w:t>
      </w:r>
      <w:r w:rsidRPr="00443662">
        <w:tab/>
      </w:r>
      <w:r w:rsidR="00BC1A07" w:rsidRPr="00443662">
        <w:t>Staff has studied and analyzed the proposed</w:t>
      </w:r>
      <w:r w:rsidR="00B67EB9" w:rsidRPr="00443662">
        <w:t xml:space="preserve"> transaction and concludes that the </w:t>
      </w:r>
      <w:r w:rsidR="00882029" w:rsidRPr="00443662">
        <w:t>A</w:t>
      </w:r>
      <w:r w:rsidR="003B78AA" w:rsidRPr="00443662">
        <w:t>pplication</w:t>
      </w:r>
      <w:r w:rsidR="00B67EB9" w:rsidRPr="00443662">
        <w:t xml:space="preserve"> to</w:t>
      </w:r>
      <w:r w:rsidR="00BC1A07" w:rsidRPr="00443662">
        <w:t xml:space="preserve"> transfer control of Verizon Northwest, Inc.</w:t>
      </w:r>
      <w:r w:rsidR="00B67EB9" w:rsidRPr="00443662">
        <w:t xml:space="preserve"> to Frontier Communications</w:t>
      </w:r>
      <w:r w:rsidR="003B78AA" w:rsidRPr="00443662">
        <w:t xml:space="preserve"> Corporation</w:t>
      </w:r>
      <w:r w:rsidR="00BC1A07" w:rsidRPr="00443662">
        <w:t xml:space="preserve"> is not in the public interest</w:t>
      </w:r>
      <w:r w:rsidR="001C63D1" w:rsidRPr="00443662">
        <w:t xml:space="preserve"> and the </w:t>
      </w:r>
      <w:r w:rsidR="003B78AA" w:rsidRPr="00443662">
        <w:t xml:space="preserve">application </w:t>
      </w:r>
      <w:r w:rsidR="001C63D1" w:rsidRPr="00443662">
        <w:t>should be denied.</w:t>
      </w:r>
    </w:p>
    <w:p w:rsidR="00FB3CFA" w:rsidRDefault="001C63D1" w:rsidP="003E37E9">
      <w:pPr>
        <w:pStyle w:val="BodyTextIndent"/>
      </w:pPr>
      <w:r w:rsidRPr="00443662">
        <w:t xml:space="preserve"> </w:t>
      </w:r>
      <w:r w:rsidR="002E1D49">
        <w:tab/>
      </w:r>
      <w:r w:rsidR="003B78AA" w:rsidRPr="00443662">
        <w:tab/>
      </w:r>
      <w:r w:rsidR="00882029" w:rsidRPr="00443662">
        <w:t xml:space="preserve">As an alternative to Staff’s primary recommendation of denial, </w:t>
      </w:r>
      <w:r w:rsidRPr="00443662">
        <w:t xml:space="preserve"> Staff </w:t>
      </w:r>
      <w:r w:rsidR="00882029" w:rsidRPr="00443662">
        <w:t>witnesses</w:t>
      </w:r>
      <w:r w:rsidRPr="00443662">
        <w:t xml:space="preserve"> propose </w:t>
      </w:r>
      <w:r w:rsidR="00882029" w:rsidRPr="00443662">
        <w:t xml:space="preserve">a number of </w:t>
      </w:r>
      <w:r w:rsidRPr="00443662">
        <w:t xml:space="preserve">conditions to </w:t>
      </w:r>
      <w:r w:rsidR="00882029" w:rsidRPr="00443662">
        <w:t>mitigate risks associate</w:t>
      </w:r>
      <w:r w:rsidR="004400F7" w:rsidRPr="00443662">
        <w:t>d</w:t>
      </w:r>
      <w:r w:rsidR="00882029" w:rsidRPr="00443662">
        <w:t xml:space="preserve"> with the transfer, and to ensure some benefits</w:t>
      </w:r>
      <w:r w:rsidRPr="00443662">
        <w:t xml:space="preserve"> </w:t>
      </w:r>
      <w:r w:rsidR="00882029" w:rsidRPr="00443662">
        <w:t xml:space="preserve">to </w:t>
      </w:r>
      <w:r w:rsidR="00B67EB9" w:rsidRPr="00443662">
        <w:t>Washington</w:t>
      </w:r>
      <w:r w:rsidRPr="00443662">
        <w:t xml:space="preserve"> customers</w:t>
      </w:r>
      <w:r w:rsidR="00882029" w:rsidRPr="00443662">
        <w:t xml:space="preserve"> to offset at least part of the </w:t>
      </w:r>
      <w:r w:rsidRPr="00443662">
        <w:t xml:space="preserve">substantial harm </w:t>
      </w:r>
      <w:r w:rsidR="00882029" w:rsidRPr="00443662">
        <w:t xml:space="preserve">that would </w:t>
      </w:r>
      <w:r w:rsidRPr="00443662">
        <w:t xml:space="preserve">result </w:t>
      </w:r>
      <w:r w:rsidR="00882029" w:rsidRPr="00443662">
        <w:t>from</w:t>
      </w:r>
      <w:r w:rsidRPr="00443662">
        <w:t xml:space="preserve"> the transfer of control.</w:t>
      </w:r>
      <w:r w:rsidR="002E1D49">
        <w:t xml:space="preserve">  </w:t>
      </w:r>
      <w:r w:rsidR="004354DC">
        <w:t>To be clear, however, Staff believes t</w:t>
      </w:r>
      <w:r w:rsidR="002E1D49">
        <w:t>here may not be any way for Frontier to provide benefits to Washington customers that offset the financial harm and operational risks.  The failure of the companies to offer adequate consumer benefits or protections puts customers at risk of being served by a company without enough financial strength to make necessary improvements to local telephone facilities and widen deployment of broadband access.</w:t>
      </w:r>
    </w:p>
    <w:p w:rsidR="004354DC" w:rsidRPr="00443662" w:rsidRDefault="004354DC" w:rsidP="003E37E9">
      <w:pPr>
        <w:pStyle w:val="BodyTextIndent"/>
      </w:pPr>
    </w:p>
    <w:p w:rsidR="00FB3CFA" w:rsidRPr="00443662" w:rsidRDefault="00FB3CFA" w:rsidP="003E37E9">
      <w:pPr>
        <w:pStyle w:val="BodyTextIndent"/>
        <w:rPr>
          <w:bCs/>
        </w:rPr>
      </w:pPr>
      <w:r w:rsidRPr="00443662">
        <w:rPr>
          <w:b/>
          <w:bCs/>
        </w:rPr>
        <w:lastRenderedPageBreak/>
        <w:t>Q.</w:t>
      </w:r>
      <w:r w:rsidRPr="00443662">
        <w:rPr>
          <w:b/>
          <w:bCs/>
        </w:rPr>
        <w:tab/>
        <w:t xml:space="preserve">Does your recommendation to deny the </w:t>
      </w:r>
      <w:r w:rsidR="00113AB4" w:rsidRPr="00443662">
        <w:rPr>
          <w:b/>
          <w:bCs/>
        </w:rPr>
        <w:t>application</w:t>
      </w:r>
      <w:r w:rsidRPr="00443662">
        <w:rPr>
          <w:b/>
          <w:bCs/>
        </w:rPr>
        <w:t xml:space="preserve"> rely on </w:t>
      </w:r>
      <w:r w:rsidR="00615B8A" w:rsidRPr="00443662">
        <w:rPr>
          <w:b/>
          <w:bCs/>
        </w:rPr>
        <w:t xml:space="preserve">the testimony of </w:t>
      </w:r>
      <w:r w:rsidRPr="00443662">
        <w:rPr>
          <w:b/>
          <w:bCs/>
        </w:rPr>
        <w:t>other Staff members to support your decision?</w:t>
      </w:r>
    </w:p>
    <w:p w:rsidR="00FB3CFA" w:rsidRPr="00443662" w:rsidRDefault="00FB3CFA" w:rsidP="003E37E9">
      <w:pPr>
        <w:pStyle w:val="BodyTextIndent"/>
        <w:rPr>
          <w:bCs/>
        </w:rPr>
      </w:pPr>
      <w:r w:rsidRPr="00443662">
        <w:rPr>
          <w:bCs/>
        </w:rPr>
        <w:t>A.</w:t>
      </w:r>
      <w:r w:rsidRPr="00443662">
        <w:rPr>
          <w:bCs/>
        </w:rPr>
        <w:tab/>
      </w:r>
      <w:r w:rsidR="00113AB4" w:rsidRPr="00443662">
        <w:rPr>
          <w:bCs/>
        </w:rPr>
        <w:t>For the most part it does not.</w:t>
      </w:r>
      <w:r w:rsidRPr="00443662">
        <w:rPr>
          <w:bCs/>
        </w:rPr>
        <w:t xml:space="preserve"> The other Staff members will provide testimony recommending conditions </w:t>
      </w:r>
      <w:r w:rsidR="00882029" w:rsidRPr="00443662">
        <w:rPr>
          <w:bCs/>
        </w:rPr>
        <w:t xml:space="preserve">for the Commission to require of Frontier if the Commission </w:t>
      </w:r>
      <w:r w:rsidRPr="00443662">
        <w:rPr>
          <w:bCs/>
        </w:rPr>
        <w:t>decide</w:t>
      </w:r>
      <w:r w:rsidR="00882029" w:rsidRPr="00443662">
        <w:rPr>
          <w:bCs/>
        </w:rPr>
        <w:t>s</w:t>
      </w:r>
      <w:r w:rsidRPr="00443662">
        <w:rPr>
          <w:bCs/>
        </w:rPr>
        <w:t xml:space="preserve"> to approve the transfer of control</w:t>
      </w:r>
      <w:r w:rsidR="00113AB4" w:rsidRPr="00443662">
        <w:rPr>
          <w:bCs/>
        </w:rPr>
        <w:t xml:space="preserve"> </w:t>
      </w:r>
      <w:r w:rsidR="00882029" w:rsidRPr="00443662">
        <w:rPr>
          <w:bCs/>
        </w:rPr>
        <w:t xml:space="preserve">of Verizon NW </w:t>
      </w:r>
      <w:r w:rsidR="00113AB4" w:rsidRPr="00443662">
        <w:rPr>
          <w:bCs/>
        </w:rPr>
        <w:t>to Frontier Communications Corporation</w:t>
      </w:r>
      <w:r w:rsidR="006C702B" w:rsidRPr="00443662">
        <w:rPr>
          <w:bCs/>
        </w:rPr>
        <w:t>.</w:t>
      </w:r>
      <w:r w:rsidR="00113AB4" w:rsidRPr="00443662">
        <w:rPr>
          <w:bCs/>
        </w:rPr>
        <w:t xml:space="preserve"> However, I do rely on Robert Williamson’s testimony regarding the risks associated </w:t>
      </w:r>
      <w:r w:rsidR="00882029" w:rsidRPr="00443662">
        <w:rPr>
          <w:bCs/>
        </w:rPr>
        <w:t>with operations support systems conversions.</w:t>
      </w:r>
    </w:p>
    <w:p w:rsidR="00511167" w:rsidRPr="00443662" w:rsidRDefault="00511167" w:rsidP="003E37E9">
      <w:pPr>
        <w:pStyle w:val="BodyTextIndent"/>
        <w:rPr>
          <w:bCs/>
        </w:rPr>
      </w:pPr>
    </w:p>
    <w:p w:rsidR="00620D8B" w:rsidRPr="00443662" w:rsidRDefault="00620D8B" w:rsidP="00620D8B">
      <w:pPr>
        <w:pStyle w:val="BodyTextIndent"/>
        <w:rPr>
          <w:b/>
        </w:rPr>
      </w:pPr>
      <w:r w:rsidRPr="00443662">
        <w:rPr>
          <w:b/>
        </w:rPr>
        <w:t>Q.</w:t>
      </w:r>
      <w:r w:rsidRPr="00443662">
        <w:rPr>
          <w:b/>
        </w:rPr>
        <w:tab/>
      </w:r>
      <w:proofErr w:type="gramStart"/>
      <w:r w:rsidRPr="00443662">
        <w:rPr>
          <w:b/>
        </w:rPr>
        <w:t>Since</w:t>
      </w:r>
      <w:proofErr w:type="gramEnd"/>
      <w:r w:rsidRPr="00443662">
        <w:rPr>
          <w:b/>
        </w:rPr>
        <w:t xml:space="preserve"> there are multiple companies involved and both parents have subsidiary companies, would you list the companies you will discuss in your testimony and their abbreviations?</w:t>
      </w:r>
    </w:p>
    <w:p w:rsidR="00620D8B" w:rsidRPr="00443662" w:rsidRDefault="00620D8B" w:rsidP="00620D8B">
      <w:pPr>
        <w:pStyle w:val="BodyTextIndent"/>
      </w:pPr>
      <w:r w:rsidRPr="00443662">
        <w:t xml:space="preserve">A. </w:t>
      </w:r>
      <w:r w:rsidRPr="00443662">
        <w:tab/>
        <w:t>The companies and their abbreviations are as follows:</w:t>
      </w:r>
    </w:p>
    <w:p w:rsidR="00620D8B" w:rsidRPr="00443662" w:rsidRDefault="00620D8B" w:rsidP="006045C9">
      <w:pPr>
        <w:pStyle w:val="BodyTextIndent"/>
        <w:tabs>
          <w:tab w:val="left" w:pos="6480"/>
        </w:tabs>
      </w:pPr>
      <w:r w:rsidRPr="00443662">
        <w:tab/>
        <w:t xml:space="preserve">Verizon Communications, Inc.  </w:t>
      </w:r>
      <w:r w:rsidR="00C22013" w:rsidRPr="00443662">
        <w:tab/>
      </w:r>
      <w:r w:rsidRPr="00443662">
        <w:t>Verizon</w:t>
      </w:r>
    </w:p>
    <w:p w:rsidR="00620D8B" w:rsidRPr="00443662" w:rsidRDefault="00620D8B" w:rsidP="006045C9">
      <w:pPr>
        <w:pStyle w:val="BodyTextIndent"/>
        <w:tabs>
          <w:tab w:val="left" w:pos="6480"/>
        </w:tabs>
      </w:pPr>
      <w:r w:rsidRPr="00443662">
        <w:tab/>
        <w:t xml:space="preserve">Verizon Northwest, Inc. (operating company)  </w:t>
      </w:r>
      <w:r w:rsidR="00C22013" w:rsidRPr="00443662">
        <w:tab/>
      </w:r>
      <w:r w:rsidRPr="00443662">
        <w:t>Verizon NW</w:t>
      </w:r>
    </w:p>
    <w:p w:rsidR="00620D8B" w:rsidRPr="00443662" w:rsidRDefault="00620D8B" w:rsidP="006045C9">
      <w:pPr>
        <w:pStyle w:val="BodyTextIndent"/>
        <w:tabs>
          <w:tab w:val="left" w:pos="6480"/>
        </w:tabs>
      </w:pPr>
      <w:r w:rsidRPr="00443662">
        <w:tab/>
      </w:r>
      <w:proofErr w:type="spellStart"/>
      <w:r w:rsidRPr="00443662">
        <w:t>Spinco</w:t>
      </w:r>
      <w:proofErr w:type="spellEnd"/>
      <w:r w:rsidRPr="00443662">
        <w:t xml:space="preserve"> </w:t>
      </w:r>
      <w:r w:rsidR="00C22013" w:rsidRPr="00443662">
        <w:tab/>
      </w:r>
      <w:r w:rsidRPr="00443662">
        <w:t>Not abbreviated</w:t>
      </w:r>
    </w:p>
    <w:p w:rsidR="00620D8B" w:rsidRPr="00443662" w:rsidRDefault="00620D8B" w:rsidP="006045C9">
      <w:pPr>
        <w:pStyle w:val="BodyTextIndent"/>
        <w:tabs>
          <w:tab w:val="left" w:pos="6480"/>
        </w:tabs>
      </w:pPr>
      <w:r w:rsidRPr="00443662">
        <w:tab/>
        <w:t xml:space="preserve">Frontier Communications, Inc </w:t>
      </w:r>
      <w:r w:rsidR="006045C9">
        <w:tab/>
      </w:r>
      <w:r w:rsidRPr="00443662">
        <w:t>Frontier</w:t>
      </w:r>
    </w:p>
    <w:p w:rsidR="00620D8B" w:rsidRPr="00443662" w:rsidRDefault="00620D8B" w:rsidP="006045C9">
      <w:pPr>
        <w:pStyle w:val="BodyTextIndent"/>
        <w:tabs>
          <w:tab w:val="left" w:pos="6480"/>
        </w:tabs>
        <w:rPr>
          <w:b/>
        </w:rPr>
      </w:pPr>
      <w:r w:rsidRPr="00443662">
        <w:tab/>
        <w:t xml:space="preserve">Frontier Northwest, Inc. (new </w:t>
      </w:r>
      <w:r w:rsidR="00C22013" w:rsidRPr="00443662">
        <w:t>name for Verizon NW</w:t>
      </w:r>
      <w:r w:rsidRPr="00443662">
        <w:t>)</w:t>
      </w:r>
      <w:r w:rsidR="00C22013" w:rsidRPr="00443662">
        <w:tab/>
      </w:r>
      <w:r w:rsidRPr="00443662">
        <w:t>Frontier NW</w:t>
      </w:r>
      <w:r w:rsidRPr="00443662">
        <w:rPr>
          <w:b/>
        </w:rPr>
        <w:t xml:space="preserve"> </w:t>
      </w:r>
    </w:p>
    <w:p w:rsidR="00203469" w:rsidRPr="00443662" w:rsidRDefault="00203469" w:rsidP="002E1D49">
      <w:pPr>
        <w:pStyle w:val="BodyTextIndent"/>
        <w:rPr>
          <w:bCs/>
        </w:rPr>
      </w:pPr>
    </w:p>
    <w:p w:rsidR="006A0AD9" w:rsidRPr="00443662" w:rsidRDefault="006A0AD9" w:rsidP="004354DC">
      <w:pPr>
        <w:pStyle w:val="BodyTextIndent"/>
        <w:keepNext/>
        <w:keepLines/>
        <w:numPr>
          <w:ilvl w:val="0"/>
          <w:numId w:val="3"/>
        </w:numPr>
        <w:jc w:val="center"/>
        <w:rPr>
          <w:b/>
          <w:bCs/>
        </w:rPr>
      </w:pPr>
      <w:r w:rsidRPr="00443662">
        <w:rPr>
          <w:b/>
          <w:bCs/>
        </w:rPr>
        <w:t>RISKS ASSOCIATED WITH THE TRANSFER OF CONTROL</w:t>
      </w:r>
    </w:p>
    <w:p w:rsidR="006A0AD9" w:rsidRPr="00443662" w:rsidRDefault="006A0AD9" w:rsidP="004354DC">
      <w:pPr>
        <w:pStyle w:val="BodyTextIndent"/>
        <w:keepNext/>
        <w:keepLines/>
        <w:jc w:val="center"/>
        <w:rPr>
          <w:b/>
          <w:bCs/>
        </w:rPr>
      </w:pPr>
    </w:p>
    <w:p w:rsidR="006A0AD9" w:rsidRPr="00443662" w:rsidRDefault="006A0AD9" w:rsidP="004354DC">
      <w:pPr>
        <w:pStyle w:val="BodyTextIndent"/>
        <w:keepNext/>
        <w:keepLines/>
        <w:rPr>
          <w:b/>
          <w:bCs/>
        </w:rPr>
      </w:pPr>
      <w:r w:rsidRPr="00443662">
        <w:rPr>
          <w:b/>
          <w:bCs/>
        </w:rPr>
        <w:t>Q.</w:t>
      </w:r>
      <w:r w:rsidRPr="00443662">
        <w:rPr>
          <w:b/>
          <w:bCs/>
        </w:rPr>
        <w:tab/>
        <w:t>Before we discuss the risks</w:t>
      </w:r>
      <w:r w:rsidR="005E0AD7" w:rsidRPr="00443662">
        <w:rPr>
          <w:b/>
          <w:bCs/>
        </w:rPr>
        <w:t xml:space="preserve"> or potential risks</w:t>
      </w:r>
      <w:r w:rsidRPr="00443662">
        <w:rPr>
          <w:b/>
          <w:bCs/>
        </w:rPr>
        <w:t xml:space="preserve"> involved with this transaction, what criteria did you </w:t>
      </w:r>
      <w:proofErr w:type="gramStart"/>
      <w:r w:rsidRPr="00443662">
        <w:rPr>
          <w:b/>
          <w:bCs/>
        </w:rPr>
        <w:t>use</w:t>
      </w:r>
      <w:proofErr w:type="gramEnd"/>
      <w:r w:rsidRPr="00443662">
        <w:rPr>
          <w:b/>
          <w:bCs/>
        </w:rPr>
        <w:t xml:space="preserve"> to evaluate the </w:t>
      </w:r>
      <w:r w:rsidR="00113AB4" w:rsidRPr="00443662">
        <w:rPr>
          <w:b/>
          <w:bCs/>
        </w:rPr>
        <w:t>application</w:t>
      </w:r>
      <w:r w:rsidRPr="00443662">
        <w:rPr>
          <w:b/>
          <w:bCs/>
        </w:rPr>
        <w:t xml:space="preserve"> to transfer control</w:t>
      </w:r>
      <w:r w:rsidR="005E0AD7" w:rsidRPr="00443662">
        <w:rPr>
          <w:b/>
          <w:bCs/>
        </w:rPr>
        <w:t xml:space="preserve"> </w:t>
      </w:r>
      <w:r w:rsidR="00615B8A" w:rsidRPr="00443662">
        <w:rPr>
          <w:b/>
          <w:bCs/>
        </w:rPr>
        <w:t xml:space="preserve">of </w:t>
      </w:r>
      <w:r w:rsidR="005E0AD7" w:rsidRPr="00443662">
        <w:rPr>
          <w:b/>
          <w:bCs/>
        </w:rPr>
        <w:t xml:space="preserve">Verizon </w:t>
      </w:r>
      <w:r w:rsidR="00113AB4" w:rsidRPr="00443662">
        <w:rPr>
          <w:b/>
          <w:bCs/>
        </w:rPr>
        <w:t>NW</w:t>
      </w:r>
      <w:r w:rsidRPr="00443662">
        <w:rPr>
          <w:b/>
          <w:bCs/>
        </w:rPr>
        <w:t xml:space="preserve"> to Frontier. </w:t>
      </w:r>
    </w:p>
    <w:p w:rsidR="006A0AD9" w:rsidRPr="00443662" w:rsidRDefault="006A0AD9" w:rsidP="006045C9">
      <w:pPr>
        <w:pStyle w:val="BodyTextIndent"/>
        <w:rPr>
          <w:bCs/>
        </w:rPr>
      </w:pPr>
      <w:r w:rsidRPr="00443662">
        <w:rPr>
          <w:bCs/>
        </w:rPr>
        <w:lastRenderedPageBreak/>
        <w:t>A.</w:t>
      </w:r>
      <w:r w:rsidR="00407869" w:rsidRPr="00443662">
        <w:rPr>
          <w:bCs/>
        </w:rPr>
        <w:tab/>
      </w:r>
      <w:r w:rsidR="00EF4257" w:rsidRPr="00443662">
        <w:rPr>
          <w:bCs/>
        </w:rPr>
        <w:t xml:space="preserve">My understanding is that the standard used to review an application such as this is the </w:t>
      </w:r>
      <w:r w:rsidR="004D03F5" w:rsidRPr="00443662">
        <w:rPr>
          <w:bCs/>
        </w:rPr>
        <w:t>“no harm” standard</w:t>
      </w:r>
      <w:r w:rsidR="006C702B" w:rsidRPr="00443662">
        <w:rPr>
          <w:bCs/>
        </w:rPr>
        <w:t>. Th</w:t>
      </w:r>
      <w:r w:rsidR="004D03F5" w:rsidRPr="00443662">
        <w:rPr>
          <w:bCs/>
        </w:rPr>
        <w:t xml:space="preserve">e transfer of control </w:t>
      </w:r>
      <w:r w:rsidR="00EF4257" w:rsidRPr="00443662">
        <w:rPr>
          <w:bCs/>
        </w:rPr>
        <w:t>of a jurisdictional t</w:t>
      </w:r>
      <w:r w:rsidR="004D03F5" w:rsidRPr="00443662">
        <w:rPr>
          <w:bCs/>
        </w:rPr>
        <w:t>elecommunications</w:t>
      </w:r>
      <w:r w:rsidR="00086910" w:rsidRPr="00443662">
        <w:rPr>
          <w:bCs/>
        </w:rPr>
        <w:t xml:space="preserve"> c</w:t>
      </w:r>
      <w:r w:rsidR="004D03F5" w:rsidRPr="00443662">
        <w:rPr>
          <w:bCs/>
        </w:rPr>
        <w:t>ompany</w:t>
      </w:r>
      <w:r w:rsidR="006C702B" w:rsidRPr="00443662">
        <w:rPr>
          <w:bCs/>
        </w:rPr>
        <w:t xml:space="preserve"> should not cause harm to the Washington customers</w:t>
      </w:r>
      <w:r w:rsidR="00EF4257" w:rsidRPr="00443662">
        <w:rPr>
          <w:bCs/>
        </w:rPr>
        <w:t xml:space="preserve"> of the transferred entity</w:t>
      </w:r>
      <w:r w:rsidR="00086910" w:rsidRPr="00443662">
        <w:rPr>
          <w:bCs/>
        </w:rPr>
        <w:t>.</w:t>
      </w:r>
      <w:r w:rsidR="004D03F5" w:rsidRPr="00443662">
        <w:rPr>
          <w:bCs/>
        </w:rPr>
        <w:t xml:space="preserve"> </w:t>
      </w:r>
      <w:r w:rsidR="005E0AD7" w:rsidRPr="00443662">
        <w:rPr>
          <w:bCs/>
        </w:rPr>
        <w:t xml:space="preserve">My testimony will </w:t>
      </w:r>
      <w:r w:rsidR="00B95A2A" w:rsidRPr="00443662">
        <w:rPr>
          <w:bCs/>
        </w:rPr>
        <w:t xml:space="preserve">show </w:t>
      </w:r>
      <w:r w:rsidR="00615B8A" w:rsidRPr="00443662">
        <w:rPr>
          <w:bCs/>
        </w:rPr>
        <w:t xml:space="preserve">that </w:t>
      </w:r>
      <w:r w:rsidR="00B95A2A" w:rsidRPr="00443662">
        <w:rPr>
          <w:bCs/>
        </w:rPr>
        <w:t>the customers of Verizon NW w</w:t>
      </w:r>
      <w:r w:rsidR="00EF4257" w:rsidRPr="00443662">
        <w:rPr>
          <w:bCs/>
        </w:rPr>
        <w:t>ould not only</w:t>
      </w:r>
      <w:r w:rsidR="00B95A2A" w:rsidRPr="00443662">
        <w:rPr>
          <w:bCs/>
        </w:rPr>
        <w:t xml:space="preserve"> be harmed</w:t>
      </w:r>
      <w:r w:rsidR="00C22013" w:rsidRPr="00443662">
        <w:rPr>
          <w:bCs/>
        </w:rPr>
        <w:t>,</w:t>
      </w:r>
      <w:r w:rsidR="00EF4257" w:rsidRPr="00443662">
        <w:rPr>
          <w:bCs/>
        </w:rPr>
        <w:t xml:space="preserve"> but would also face </w:t>
      </w:r>
      <w:r w:rsidR="00C22013" w:rsidRPr="00443662">
        <w:rPr>
          <w:bCs/>
        </w:rPr>
        <w:t xml:space="preserve">unacceptable </w:t>
      </w:r>
      <w:r w:rsidR="00EF4257" w:rsidRPr="00443662">
        <w:rPr>
          <w:bCs/>
        </w:rPr>
        <w:t xml:space="preserve">risks </w:t>
      </w:r>
      <w:r w:rsidR="00B95A2A" w:rsidRPr="00443662">
        <w:rPr>
          <w:bCs/>
        </w:rPr>
        <w:t>d</w:t>
      </w:r>
      <w:r w:rsidR="00500CE9" w:rsidRPr="00443662">
        <w:rPr>
          <w:bCs/>
        </w:rPr>
        <w:t>ue</w:t>
      </w:r>
      <w:r w:rsidR="00B95A2A" w:rsidRPr="00443662">
        <w:rPr>
          <w:bCs/>
        </w:rPr>
        <w:t xml:space="preserve"> to the</w:t>
      </w:r>
      <w:r w:rsidR="00E267D5" w:rsidRPr="00443662">
        <w:rPr>
          <w:bCs/>
        </w:rPr>
        <w:t xml:space="preserve"> lack of verifiable data, the</w:t>
      </w:r>
      <w:r w:rsidR="00B95A2A" w:rsidRPr="00443662">
        <w:rPr>
          <w:bCs/>
        </w:rPr>
        <w:t xml:space="preserve"> cost structure of Frontier</w:t>
      </w:r>
      <w:r w:rsidR="00E267D5" w:rsidRPr="00443662">
        <w:rPr>
          <w:bCs/>
        </w:rPr>
        <w:t xml:space="preserve"> and the financing issues associated with the </w:t>
      </w:r>
      <w:r w:rsidR="00EF4257" w:rsidRPr="00443662">
        <w:rPr>
          <w:bCs/>
        </w:rPr>
        <w:t>application</w:t>
      </w:r>
      <w:r w:rsidR="00E267D5" w:rsidRPr="00443662">
        <w:rPr>
          <w:bCs/>
        </w:rPr>
        <w:t>.</w:t>
      </w:r>
    </w:p>
    <w:p w:rsidR="005E0AD7" w:rsidRPr="00443662" w:rsidRDefault="005E0AD7" w:rsidP="00497A72">
      <w:pPr>
        <w:pStyle w:val="BodyTextIndent"/>
        <w:rPr>
          <w:bCs/>
        </w:rPr>
      </w:pPr>
    </w:p>
    <w:p w:rsidR="005E0AD7" w:rsidRPr="00443662" w:rsidRDefault="005E0AD7" w:rsidP="006045C9">
      <w:pPr>
        <w:pStyle w:val="BodyTextIndent"/>
        <w:numPr>
          <w:ilvl w:val="0"/>
          <w:numId w:val="3"/>
        </w:numPr>
        <w:jc w:val="center"/>
        <w:rPr>
          <w:b/>
          <w:bCs/>
        </w:rPr>
      </w:pPr>
      <w:r w:rsidRPr="00443662">
        <w:rPr>
          <w:b/>
          <w:bCs/>
        </w:rPr>
        <w:t>FINANCIAL RISKS</w:t>
      </w:r>
    </w:p>
    <w:p w:rsidR="0044723C" w:rsidRPr="00443662" w:rsidRDefault="0044723C" w:rsidP="00792BDD">
      <w:pPr>
        <w:pStyle w:val="BodyTextIndent"/>
        <w:rPr>
          <w:b/>
          <w:bCs/>
        </w:rPr>
      </w:pPr>
    </w:p>
    <w:p w:rsidR="00B71E97" w:rsidRPr="00443662" w:rsidRDefault="00B71E97" w:rsidP="00792BDD">
      <w:pPr>
        <w:pStyle w:val="BodyTextIndent"/>
        <w:rPr>
          <w:b/>
          <w:bCs/>
        </w:rPr>
      </w:pPr>
      <w:r w:rsidRPr="00443662">
        <w:rPr>
          <w:b/>
          <w:bCs/>
        </w:rPr>
        <w:t>Q.</w:t>
      </w:r>
      <w:r w:rsidRPr="00443662">
        <w:rPr>
          <w:b/>
          <w:bCs/>
        </w:rPr>
        <w:tab/>
        <w:t>Would you summarize the reasons Staff is recommending the Commission deny the application for transfer of control</w:t>
      </w:r>
      <w:r w:rsidR="00C22013" w:rsidRPr="00443662">
        <w:rPr>
          <w:b/>
          <w:bCs/>
        </w:rPr>
        <w:t xml:space="preserve"> of Verizon NW</w:t>
      </w:r>
      <w:r w:rsidRPr="00443662">
        <w:rPr>
          <w:b/>
          <w:bCs/>
        </w:rPr>
        <w:t>?</w:t>
      </w:r>
    </w:p>
    <w:p w:rsidR="00B71E97" w:rsidRPr="00443662" w:rsidRDefault="00B71E97" w:rsidP="00792BDD">
      <w:pPr>
        <w:pStyle w:val="BodyTextIndent"/>
        <w:rPr>
          <w:bCs/>
        </w:rPr>
      </w:pPr>
      <w:r w:rsidRPr="00443662">
        <w:rPr>
          <w:bCs/>
        </w:rPr>
        <w:t>A.</w:t>
      </w:r>
      <w:r w:rsidRPr="00443662">
        <w:rPr>
          <w:bCs/>
        </w:rPr>
        <w:tab/>
        <w:t>The reasons this application should be denied are as follows:</w:t>
      </w:r>
    </w:p>
    <w:p w:rsidR="00812C1E" w:rsidRPr="00443662" w:rsidRDefault="00812C1E" w:rsidP="002E1D49">
      <w:pPr>
        <w:pStyle w:val="BodyTextIndent"/>
        <w:numPr>
          <w:ilvl w:val="0"/>
          <w:numId w:val="42"/>
        </w:numPr>
        <w:spacing w:line="240" w:lineRule="auto"/>
        <w:ind w:left="1440" w:hanging="720"/>
        <w:rPr>
          <w:bCs/>
        </w:rPr>
      </w:pPr>
      <w:r w:rsidRPr="00443662">
        <w:rPr>
          <w:bCs/>
        </w:rPr>
        <w:t>Frontier has a lower debt rating than Verizon which will result in increased costs for Washington customers.</w:t>
      </w:r>
    </w:p>
    <w:p w:rsidR="00812C1E" w:rsidRPr="00443662" w:rsidRDefault="00812C1E" w:rsidP="002E1D49">
      <w:pPr>
        <w:pStyle w:val="BodyTextIndent"/>
        <w:numPr>
          <w:ilvl w:val="0"/>
          <w:numId w:val="42"/>
        </w:numPr>
        <w:spacing w:line="240" w:lineRule="auto"/>
        <w:ind w:left="1440" w:hanging="720"/>
        <w:rPr>
          <w:bCs/>
        </w:rPr>
      </w:pPr>
      <w:r w:rsidRPr="00443662">
        <w:rPr>
          <w:bCs/>
        </w:rPr>
        <w:t>The increased Frontier debt costs will probably also result in higher equity cost to Washington customers.</w:t>
      </w:r>
    </w:p>
    <w:p w:rsidR="00812C1E" w:rsidRPr="00443662" w:rsidRDefault="00812C1E" w:rsidP="002E1D49">
      <w:pPr>
        <w:pStyle w:val="BodyTextIndent"/>
        <w:numPr>
          <w:ilvl w:val="0"/>
          <w:numId w:val="42"/>
        </w:numPr>
        <w:spacing w:line="240" w:lineRule="auto"/>
        <w:ind w:left="1440" w:hanging="720"/>
        <w:rPr>
          <w:bCs/>
        </w:rPr>
      </w:pPr>
      <w:r w:rsidRPr="00443662">
        <w:rPr>
          <w:bCs/>
        </w:rPr>
        <w:t>Verizon has a broader product line that helps offset the Washington access line loss.</w:t>
      </w:r>
    </w:p>
    <w:p w:rsidR="00812C1E" w:rsidRPr="00443662" w:rsidRDefault="00812C1E" w:rsidP="002E1D49">
      <w:pPr>
        <w:pStyle w:val="BodyTextIndent"/>
        <w:numPr>
          <w:ilvl w:val="0"/>
          <w:numId w:val="42"/>
        </w:numPr>
        <w:spacing w:line="240" w:lineRule="auto"/>
        <w:ind w:left="1440" w:hanging="720"/>
        <w:rPr>
          <w:bCs/>
        </w:rPr>
      </w:pPr>
      <w:r w:rsidRPr="00443662">
        <w:rPr>
          <w:bCs/>
        </w:rPr>
        <w:t>Data requests re</w:t>
      </w:r>
      <w:r w:rsidR="004400F7" w:rsidRPr="00443662">
        <w:rPr>
          <w:bCs/>
        </w:rPr>
        <w:t>s</w:t>
      </w:r>
      <w:r w:rsidRPr="00443662">
        <w:rPr>
          <w:bCs/>
        </w:rPr>
        <w:t>ponses from Frontier show that the Company has not done enough to investigate the condition of the plant it is acquiring or to determine whether its own projections are realistic given the many risks the Company identifies.</w:t>
      </w:r>
    </w:p>
    <w:p w:rsidR="00812C1E" w:rsidRPr="00443662" w:rsidRDefault="00812C1E" w:rsidP="002E1D49">
      <w:pPr>
        <w:pStyle w:val="BodyTextIndent"/>
        <w:numPr>
          <w:ilvl w:val="0"/>
          <w:numId w:val="42"/>
        </w:numPr>
        <w:spacing w:line="240" w:lineRule="auto"/>
        <w:ind w:left="1440" w:hanging="720"/>
        <w:rPr>
          <w:bCs/>
        </w:rPr>
      </w:pPr>
      <w:r w:rsidRPr="00443662">
        <w:rPr>
          <w:bCs/>
        </w:rPr>
        <w:t>The merger agreement requires Frontier to issue additional equity if regulatory agencies require additional expenditures by Verizon as a condition of merger approval.</w:t>
      </w:r>
    </w:p>
    <w:p w:rsidR="00812C1E" w:rsidRPr="00443662" w:rsidRDefault="00812C1E" w:rsidP="002E1D49">
      <w:pPr>
        <w:pStyle w:val="BodyTextIndent"/>
        <w:numPr>
          <w:ilvl w:val="0"/>
          <w:numId w:val="42"/>
        </w:numPr>
        <w:spacing w:line="240" w:lineRule="auto"/>
        <w:ind w:left="1440" w:hanging="720"/>
        <w:rPr>
          <w:bCs/>
        </w:rPr>
      </w:pPr>
      <w:r w:rsidRPr="00443662">
        <w:rPr>
          <w:bCs/>
        </w:rPr>
        <w:t>Frontier will be constrained from offering equity placements for two years after the close date of the transaction.</w:t>
      </w:r>
    </w:p>
    <w:p w:rsidR="00812C1E" w:rsidRPr="00443662" w:rsidRDefault="00812C1E" w:rsidP="002E1D49">
      <w:pPr>
        <w:pStyle w:val="BodyTextIndent"/>
        <w:numPr>
          <w:ilvl w:val="0"/>
          <w:numId w:val="42"/>
        </w:numPr>
        <w:spacing w:line="240" w:lineRule="auto"/>
        <w:ind w:left="1440" w:hanging="720"/>
        <w:rPr>
          <w:bCs/>
        </w:rPr>
      </w:pPr>
      <w:r w:rsidRPr="00443662">
        <w:rPr>
          <w:bCs/>
        </w:rPr>
        <w:t>Frontier is declaring and paying dividends that exceed earnings per share.</w:t>
      </w:r>
    </w:p>
    <w:p w:rsidR="00812C1E" w:rsidRPr="00443662" w:rsidRDefault="00812C1E" w:rsidP="002E1D49">
      <w:pPr>
        <w:pStyle w:val="BodyTextIndent"/>
        <w:numPr>
          <w:ilvl w:val="0"/>
          <w:numId w:val="42"/>
        </w:numPr>
        <w:spacing w:line="240" w:lineRule="auto"/>
        <w:ind w:left="1440" w:hanging="720"/>
        <w:rPr>
          <w:bCs/>
        </w:rPr>
      </w:pPr>
      <w:r w:rsidRPr="00443662">
        <w:rPr>
          <w:bCs/>
        </w:rPr>
        <w:t>Risk factors disclosed by Frontier indicate there are substantial issues that could affect the results of Frontier’s projected financial results from the merger.</w:t>
      </w:r>
    </w:p>
    <w:p w:rsidR="00812C1E" w:rsidRPr="00443662" w:rsidRDefault="00812C1E" w:rsidP="002E1D49">
      <w:pPr>
        <w:pStyle w:val="BodyTextIndent"/>
        <w:numPr>
          <w:ilvl w:val="0"/>
          <w:numId w:val="42"/>
        </w:numPr>
        <w:spacing w:line="240" w:lineRule="auto"/>
        <w:ind w:left="1440" w:hanging="720"/>
        <w:rPr>
          <w:bCs/>
        </w:rPr>
      </w:pPr>
      <w:r w:rsidRPr="00443662">
        <w:rPr>
          <w:bCs/>
        </w:rPr>
        <w:lastRenderedPageBreak/>
        <w:t>Frontier is not able to give adequate interest rate cost estimates of the additional debt ($3.3 billion) needed to be issued by Frontier to make the special cash payment to Verizon.</w:t>
      </w:r>
    </w:p>
    <w:p w:rsidR="00812C1E" w:rsidRPr="00443662" w:rsidRDefault="00812C1E" w:rsidP="002E1D49">
      <w:pPr>
        <w:pStyle w:val="BodyTextIndent"/>
        <w:numPr>
          <w:ilvl w:val="0"/>
          <w:numId w:val="42"/>
        </w:numPr>
        <w:spacing w:line="240" w:lineRule="auto"/>
        <w:ind w:left="1440" w:hanging="720"/>
        <w:rPr>
          <w:bCs/>
        </w:rPr>
      </w:pPr>
      <w:r w:rsidRPr="00443662">
        <w:rPr>
          <w:bCs/>
        </w:rPr>
        <w:t xml:space="preserve">Frontier is not able to articulate the debt covenants that would be required to issue $3.3 billion dollars in debt.     </w:t>
      </w:r>
    </w:p>
    <w:p w:rsidR="00812C1E" w:rsidRPr="00443662" w:rsidRDefault="004400F7" w:rsidP="002E1D49">
      <w:pPr>
        <w:pStyle w:val="BodyTextIndent"/>
        <w:numPr>
          <w:ilvl w:val="0"/>
          <w:numId w:val="42"/>
        </w:numPr>
        <w:spacing w:line="240" w:lineRule="auto"/>
        <w:ind w:left="1440" w:hanging="720"/>
        <w:rPr>
          <w:bCs/>
        </w:rPr>
      </w:pPr>
      <w:r w:rsidRPr="00443662">
        <w:rPr>
          <w:bCs/>
        </w:rPr>
        <w:t xml:space="preserve">Merger </w:t>
      </w:r>
      <w:r w:rsidR="00812C1E" w:rsidRPr="00443662">
        <w:rPr>
          <w:bCs/>
        </w:rPr>
        <w:t>synergies will not provide any benefit to Washington customers.</w:t>
      </w:r>
    </w:p>
    <w:p w:rsidR="006045C9" w:rsidRPr="006045C9" w:rsidRDefault="00812C1E" w:rsidP="002E1D49">
      <w:pPr>
        <w:pStyle w:val="BodyTextIndent"/>
        <w:numPr>
          <w:ilvl w:val="0"/>
          <w:numId w:val="42"/>
        </w:numPr>
        <w:spacing w:line="240" w:lineRule="auto"/>
        <w:ind w:left="1440" w:hanging="720"/>
        <w:rPr>
          <w:b/>
          <w:bCs/>
        </w:rPr>
      </w:pPr>
      <w:r w:rsidRPr="006045C9">
        <w:rPr>
          <w:bCs/>
        </w:rPr>
        <w:t xml:space="preserve">Frontier discloses numerous </w:t>
      </w:r>
      <w:r w:rsidR="00A11F40" w:rsidRPr="006045C9">
        <w:rPr>
          <w:bCs/>
        </w:rPr>
        <w:t>r</w:t>
      </w:r>
      <w:r w:rsidRPr="006045C9">
        <w:rPr>
          <w:bCs/>
        </w:rPr>
        <w:t xml:space="preserve">isk </w:t>
      </w:r>
      <w:r w:rsidR="00A11F40" w:rsidRPr="006045C9">
        <w:rPr>
          <w:bCs/>
        </w:rPr>
        <w:t>f</w:t>
      </w:r>
      <w:r w:rsidRPr="006045C9">
        <w:rPr>
          <w:bCs/>
        </w:rPr>
        <w:t xml:space="preserve">actors in its Securities and Exchange </w:t>
      </w:r>
      <w:r w:rsidR="00A11F40" w:rsidRPr="006045C9">
        <w:rPr>
          <w:bCs/>
        </w:rPr>
        <w:t>F</w:t>
      </w:r>
      <w:r w:rsidRPr="006045C9">
        <w:rPr>
          <w:bCs/>
        </w:rPr>
        <w:t>orm S-4</w:t>
      </w:r>
      <w:r w:rsidR="00A11F40" w:rsidRPr="006045C9">
        <w:rPr>
          <w:bCs/>
        </w:rPr>
        <w:t>, none of which are adequately addressed or assuaged in the company’s testimony or data request responses</w:t>
      </w:r>
      <w:r w:rsidRPr="006045C9">
        <w:rPr>
          <w:bCs/>
        </w:rPr>
        <w:t>.</w:t>
      </w:r>
    </w:p>
    <w:p w:rsidR="006045C9" w:rsidRDefault="006045C9" w:rsidP="006045C9">
      <w:pPr>
        <w:pStyle w:val="BodyTextIndent"/>
        <w:spacing w:line="240" w:lineRule="auto"/>
        <w:rPr>
          <w:bCs/>
        </w:rPr>
      </w:pPr>
    </w:p>
    <w:p w:rsidR="006045C9" w:rsidRDefault="006045C9" w:rsidP="006045C9">
      <w:pPr>
        <w:pStyle w:val="BodyTextIndent"/>
        <w:spacing w:line="240" w:lineRule="auto"/>
        <w:rPr>
          <w:bCs/>
        </w:rPr>
      </w:pPr>
    </w:p>
    <w:p w:rsidR="006045C9" w:rsidRPr="006045C9" w:rsidRDefault="006045C9" w:rsidP="006045C9">
      <w:pPr>
        <w:pStyle w:val="BodyTextIndent"/>
        <w:spacing w:line="240" w:lineRule="auto"/>
        <w:rPr>
          <w:b/>
          <w:bCs/>
        </w:rPr>
      </w:pPr>
    </w:p>
    <w:p w:rsidR="00792BDD" w:rsidRPr="00443662" w:rsidRDefault="00792BDD" w:rsidP="00792BDD">
      <w:pPr>
        <w:pStyle w:val="BodyTextIndent"/>
        <w:rPr>
          <w:b/>
          <w:bCs/>
        </w:rPr>
      </w:pPr>
      <w:r w:rsidRPr="00443662">
        <w:rPr>
          <w:b/>
          <w:bCs/>
        </w:rPr>
        <w:t xml:space="preserve">Q. </w:t>
      </w:r>
      <w:r w:rsidRPr="00443662">
        <w:rPr>
          <w:b/>
          <w:bCs/>
        </w:rPr>
        <w:tab/>
        <w:t>Briefly describe the mechanism</w:t>
      </w:r>
      <w:r w:rsidR="00EF4257" w:rsidRPr="00443662">
        <w:rPr>
          <w:b/>
          <w:bCs/>
        </w:rPr>
        <w:t xml:space="preserve"> the Applicants intend to</w:t>
      </w:r>
      <w:r w:rsidRPr="00443662">
        <w:rPr>
          <w:b/>
          <w:bCs/>
        </w:rPr>
        <w:t xml:space="preserve"> use to complete the</w:t>
      </w:r>
      <w:r w:rsidR="0080333F" w:rsidRPr="00443662">
        <w:rPr>
          <w:b/>
          <w:bCs/>
        </w:rPr>
        <w:t xml:space="preserve"> proposed</w:t>
      </w:r>
      <w:r w:rsidRPr="00443662">
        <w:rPr>
          <w:b/>
          <w:bCs/>
        </w:rPr>
        <w:t xml:space="preserve"> transaction.</w:t>
      </w:r>
    </w:p>
    <w:p w:rsidR="0072115D" w:rsidRPr="00443662" w:rsidRDefault="00792BDD" w:rsidP="00792BDD">
      <w:pPr>
        <w:pStyle w:val="BodyTextIndent"/>
        <w:rPr>
          <w:bCs/>
        </w:rPr>
      </w:pPr>
      <w:r w:rsidRPr="00443662">
        <w:rPr>
          <w:bCs/>
        </w:rPr>
        <w:t>A</w:t>
      </w:r>
      <w:r w:rsidR="00F91B14" w:rsidRPr="00443662">
        <w:rPr>
          <w:bCs/>
        </w:rPr>
        <w:t>.</w:t>
      </w:r>
      <w:r w:rsidRPr="00443662">
        <w:rPr>
          <w:bCs/>
        </w:rPr>
        <w:tab/>
      </w:r>
      <w:r w:rsidR="00F91B14" w:rsidRPr="00443662">
        <w:rPr>
          <w:bCs/>
        </w:rPr>
        <w:t xml:space="preserve">The transaction uses a Reverse Morris Trust to create </w:t>
      </w:r>
      <w:r w:rsidR="00615B8A" w:rsidRPr="00443662">
        <w:rPr>
          <w:bCs/>
        </w:rPr>
        <w:t xml:space="preserve">a </w:t>
      </w:r>
      <w:r w:rsidR="00F91B14" w:rsidRPr="00443662">
        <w:rPr>
          <w:bCs/>
        </w:rPr>
        <w:t>tax free exchange</w:t>
      </w:r>
      <w:r w:rsidR="00EF4257" w:rsidRPr="00443662">
        <w:rPr>
          <w:bCs/>
        </w:rPr>
        <w:t xml:space="preserve"> of ILEC properties in fourteen states from Verizon to Frontier</w:t>
      </w:r>
      <w:r w:rsidR="00F91B14" w:rsidRPr="00443662">
        <w:rPr>
          <w:bCs/>
        </w:rPr>
        <w:t>.</w:t>
      </w:r>
      <w:r w:rsidR="005B31D9" w:rsidRPr="00443662">
        <w:rPr>
          <w:bCs/>
        </w:rPr>
        <w:t xml:space="preserve"> </w:t>
      </w:r>
      <w:r w:rsidR="00536133" w:rsidRPr="00443662">
        <w:rPr>
          <w:bCs/>
        </w:rPr>
        <w:t xml:space="preserve">Verizon will </w:t>
      </w:r>
      <w:r w:rsidR="00EF4257" w:rsidRPr="00443662">
        <w:rPr>
          <w:bCs/>
        </w:rPr>
        <w:t xml:space="preserve">incur </w:t>
      </w:r>
      <w:r w:rsidR="00536133" w:rsidRPr="00443662">
        <w:rPr>
          <w:bCs/>
        </w:rPr>
        <w:t xml:space="preserve">a series of restructuring transactions to accomplish the </w:t>
      </w:r>
      <w:r w:rsidR="00DC5679" w:rsidRPr="00443662">
        <w:rPr>
          <w:bCs/>
        </w:rPr>
        <w:t>merger</w:t>
      </w:r>
      <w:r w:rsidR="00536133" w:rsidRPr="00443662">
        <w:rPr>
          <w:bCs/>
        </w:rPr>
        <w:t xml:space="preserve">. Verizon will transfer the assets and liabilities of </w:t>
      </w:r>
      <w:r w:rsidR="001456EC" w:rsidRPr="00443662">
        <w:rPr>
          <w:bCs/>
        </w:rPr>
        <w:t>its</w:t>
      </w:r>
      <w:r w:rsidR="00536133" w:rsidRPr="00443662">
        <w:rPr>
          <w:bCs/>
        </w:rPr>
        <w:t xml:space="preserve"> operating companies</w:t>
      </w:r>
      <w:r w:rsidR="00850D78" w:rsidRPr="00443662">
        <w:rPr>
          <w:bCs/>
        </w:rPr>
        <w:t xml:space="preserve"> in the fourteen states, including Verizon Northwest,</w:t>
      </w:r>
      <w:r w:rsidR="00536133" w:rsidRPr="00443662">
        <w:rPr>
          <w:bCs/>
        </w:rPr>
        <w:t xml:space="preserve"> to</w:t>
      </w:r>
      <w:r w:rsidR="00C84566" w:rsidRPr="00443662">
        <w:rPr>
          <w:bCs/>
        </w:rPr>
        <w:t xml:space="preserve"> a subsidiary company called </w:t>
      </w:r>
      <w:proofErr w:type="spellStart"/>
      <w:r w:rsidR="00C84566" w:rsidRPr="00443662">
        <w:rPr>
          <w:bCs/>
        </w:rPr>
        <w:t>Spinco</w:t>
      </w:r>
      <w:proofErr w:type="spellEnd"/>
      <w:r w:rsidR="00DC5679" w:rsidRPr="00443662">
        <w:rPr>
          <w:bCs/>
        </w:rPr>
        <w:t xml:space="preserve">. </w:t>
      </w:r>
      <w:proofErr w:type="spellStart"/>
      <w:r w:rsidR="00DC5679" w:rsidRPr="00443662">
        <w:rPr>
          <w:bCs/>
        </w:rPr>
        <w:t>Spinco</w:t>
      </w:r>
      <w:proofErr w:type="spellEnd"/>
      <w:r w:rsidR="00DC5679" w:rsidRPr="00443662">
        <w:rPr>
          <w:bCs/>
        </w:rPr>
        <w:t xml:space="preserve"> will </w:t>
      </w:r>
      <w:r w:rsidR="00850D78" w:rsidRPr="00443662">
        <w:rPr>
          <w:bCs/>
        </w:rPr>
        <w:t xml:space="preserve">then </w:t>
      </w:r>
      <w:r w:rsidR="00DC5679" w:rsidRPr="00443662">
        <w:rPr>
          <w:bCs/>
        </w:rPr>
        <w:t>be</w:t>
      </w:r>
      <w:r w:rsidR="00C84566" w:rsidRPr="00443662">
        <w:rPr>
          <w:bCs/>
        </w:rPr>
        <w:t xml:space="preserve"> transfer</w:t>
      </w:r>
      <w:r w:rsidR="00DC5679" w:rsidRPr="00443662">
        <w:rPr>
          <w:bCs/>
        </w:rPr>
        <w:t>red</w:t>
      </w:r>
      <w:r w:rsidR="001456EC" w:rsidRPr="00443662">
        <w:rPr>
          <w:bCs/>
        </w:rPr>
        <w:t xml:space="preserve"> </w:t>
      </w:r>
      <w:r w:rsidR="00277C38" w:rsidRPr="00443662">
        <w:rPr>
          <w:bCs/>
        </w:rPr>
        <w:t>to Frontier</w:t>
      </w:r>
      <w:r w:rsidR="00C84566" w:rsidRPr="00443662">
        <w:rPr>
          <w:bCs/>
        </w:rPr>
        <w:t xml:space="preserve">. </w:t>
      </w:r>
      <w:r w:rsidR="005B31D9" w:rsidRPr="00443662">
        <w:rPr>
          <w:bCs/>
        </w:rPr>
        <w:t xml:space="preserve"> </w:t>
      </w:r>
    </w:p>
    <w:p w:rsidR="005D44AA" w:rsidRPr="00443662" w:rsidRDefault="006045C9" w:rsidP="00792BDD">
      <w:pPr>
        <w:pStyle w:val="BodyTextIndent"/>
        <w:rPr>
          <w:bCs/>
        </w:rPr>
      </w:pPr>
      <w:r>
        <w:rPr>
          <w:bCs/>
        </w:rPr>
        <w:tab/>
      </w:r>
      <w:r w:rsidR="0072115D" w:rsidRPr="00443662">
        <w:rPr>
          <w:bCs/>
        </w:rPr>
        <w:tab/>
      </w:r>
      <w:r w:rsidR="005B31D9" w:rsidRPr="00443662">
        <w:rPr>
          <w:bCs/>
        </w:rPr>
        <w:t>The total value of the transaction is estimated to be approximately $8.5 billion. Verizon stockholders will ultimately receive</w:t>
      </w:r>
      <w:r w:rsidR="00DC5679" w:rsidRPr="00443662">
        <w:rPr>
          <w:bCs/>
        </w:rPr>
        <w:t xml:space="preserve"> approximately</w:t>
      </w:r>
      <w:r w:rsidR="005B31D9" w:rsidRPr="00443662">
        <w:rPr>
          <w:bCs/>
        </w:rPr>
        <w:t xml:space="preserve"> $5.2 billion in Frontier common equity</w:t>
      </w:r>
      <w:r w:rsidR="003E5D3E" w:rsidRPr="00443662">
        <w:rPr>
          <w:bCs/>
        </w:rPr>
        <w:t xml:space="preserve"> and Frontier will increase its debt by $3.3 billion to make a special cash payment to Verizon. To qualify for a Reverse Morris Trust, Verizon</w:t>
      </w:r>
      <w:r w:rsidR="00500CE9" w:rsidRPr="00443662">
        <w:rPr>
          <w:bCs/>
        </w:rPr>
        <w:t xml:space="preserve"> shareholders</w:t>
      </w:r>
      <w:r w:rsidR="003E5D3E" w:rsidRPr="00443662">
        <w:rPr>
          <w:bCs/>
        </w:rPr>
        <w:t xml:space="preserve"> will need to have</w:t>
      </w:r>
      <w:r w:rsidR="00500CE9" w:rsidRPr="00443662">
        <w:rPr>
          <w:bCs/>
        </w:rPr>
        <w:t xml:space="preserve"> a</w:t>
      </w:r>
      <w:r w:rsidR="003E5D3E" w:rsidRPr="00443662">
        <w:rPr>
          <w:bCs/>
        </w:rPr>
        <w:t xml:space="preserve"> </w:t>
      </w:r>
      <w:r w:rsidR="00850D78" w:rsidRPr="00443662">
        <w:rPr>
          <w:bCs/>
        </w:rPr>
        <w:t>50</w:t>
      </w:r>
      <w:r w:rsidR="003E5D3E" w:rsidRPr="00443662">
        <w:rPr>
          <w:bCs/>
        </w:rPr>
        <w:t xml:space="preserve"> percent</w:t>
      </w:r>
      <w:r w:rsidR="00620D8B" w:rsidRPr="00443662">
        <w:rPr>
          <w:bCs/>
        </w:rPr>
        <w:t xml:space="preserve"> or greater equity stake</w:t>
      </w:r>
      <w:r w:rsidR="003E5D3E" w:rsidRPr="00443662">
        <w:rPr>
          <w:bCs/>
        </w:rPr>
        <w:t xml:space="preserve"> in Frontier</w:t>
      </w:r>
      <w:r w:rsidR="00500CE9" w:rsidRPr="00443662">
        <w:rPr>
          <w:bCs/>
        </w:rPr>
        <w:t xml:space="preserve"> after the merger</w:t>
      </w:r>
      <w:r w:rsidR="003E5D3E" w:rsidRPr="00443662">
        <w:rPr>
          <w:bCs/>
        </w:rPr>
        <w:t xml:space="preserve">. It is estimated </w:t>
      </w:r>
      <w:r w:rsidR="00E916F4" w:rsidRPr="00443662">
        <w:rPr>
          <w:bCs/>
        </w:rPr>
        <w:t xml:space="preserve">that </w:t>
      </w:r>
      <w:r w:rsidR="003E5D3E" w:rsidRPr="00443662">
        <w:rPr>
          <w:bCs/>
        </w:rPr>
        <w:t xml:space="preserve">Verizon stockholders will have an equity stake between </w:t>
      </w:r>
      <w:r w:rsidR="00850D78" w:rsidRPr="00443662">
        <w:rPr>
          <w:bCs/>
        </w:rPr>
        <w:t>66</w:t>
      </w:r>
      <w:r w:rsidR="003E5D3E" w:rsidRPr="00443662">
        <w:rPr>
          <w:bCs/>
        </w:rPr>
        <w:t xml:space="preserve"> to </w:t>
      </w:r>
      <w:r w:rsidR="00850D78" w:rsidRPr="00443662">
        <w:rPr>
          <w:bCs/>
        </w:rPr>
        <w:t>71</w:t>
      </w:r>
      <w:r w:rsidR="003E5D3E" w:rsidRPr="00443662">
        <w:rPr>
          <w:bCs/>
        </w:rPr>
        <w:t xml:space="preserve"> percent of Frontier if the transaction is completed and Frontier’s existing stockholders would collectively own </w:t>
      </w:r>
      <w:r w:rsidR="0072115D" w:rsidRPr="00443662">
        <w:rPr>
          <w:bCs/>
        </w:rPr>
        <w:t>29</w:t>
      </w:r>
      <w:r w:rsidR="003E5D3E" w:rsidRPr="00443662">
        <w:rPr>
          <w:bCs/>
        </w:rPr>
        <w:t xml:space="preserve"> to </w:t>
      </w:r>
      <w:r w:rsidR="0072115D" w:rsidRPr="00443662">
        <w:rPr>
          <w:bCs/>
        </w:rPr>
        <w:t>34</w:t>
      </w:r>
      <w:r w:rsidR="003E5D3E" w:rsidRPr="00443662">
        <w:rPr>
          <w:bCs/>
        </w:rPr>
        <w:t xml:space="preserve"> percent</w:t>
      </w:r>
      <w:r w:rsidR="00500CE9" w:rsidRPr="00443662">
        <w:rPr>
          <w:bCs/>
        </w:rPr>
        <w:t xml:space="preserve"> of the company</w:t>
      </w:r>
      <w:r w:rsidR="003E5D3E" w:rsidRPr="00443662">
        <w:rPr>
          <w:bCs/>
        </w:rPr>
        <w:t>.</w:t>
      </w:r>
    </w:p>
    <w:p w:rsidR="00DC5679" w:rsidRPr="00443662" w:rsidRDefault="00DC5679" w:rsidP="00792BDD">
      <w:pPr>
        <w:pStyle w:val="BodyTextIndent"/>
        <w:rPr>
          <w:bCs/>
        </w:rPr>
      </w:pPr>
    </w:p>
    <w:p w:rsidR="00DC5679" w:rsidRPr="00443662" w:rsidRDefault="00DC5679" w:rsidP="006045C9">
      <w:pPr>
        <w:pStyle w:val="BodyTextIndent"/>
        <w:keepNext/>
        <w:keepLines/>
        <w:rPr>
          <w:b/>
          <w:bCs/>
        </w:rPr>
      </w:pPr>
      <w:r w:rsidRPr="00443662">
        <w:rPr>
          <w:b/>
          <w:bCs/>
        </w:rPr>
        <w:lastRenderedPageBreak/>
        <w:t>Q.</w:t>
      </w:r>
      <w:r w:rsidRPr="00443662">
        <w:rPr>
          <w:b/>
          <w:bCs/>
        </w:rPr>
        <w:tab/>
        <w:t xml:space="preserve">Why </w:t>
      </w:r>
      <w:r w:rsidR="00605D77" w:rsidRPr="00443662">
        <w:rPr>
          <w:b/>
          <w:bCs/>
        </w:rPr>
        <w:t xml:space="preserve">is there a range of </w:t>
      </w:r>
      <w:r w:rsidRPr="00443662">
        <w:rPr>
          <w:b/>
          <w:bCs/>
        </w:rPr>
        <w:t>percentage</w:t>
      </w:r>
      <w:r w:rsidR="00605D77" w:rsidRPr="00443662">
        <w:rPr>
          <w:b/>
          <w:bCs/>
        </w:rPr>
        <w:t>s for</w:t>
      </w:r>
      <w:r w:rsidRPr="00443662">
        <w:rPr>
          <w:b/>
          <w:bCs/>
        </w:rPr>
        <w:t xml:space="preserve"> Verizon stockholders and the existing Frontier stockho</w:t>
      </w:r>
      <w:r w:rsidR="00605D77" w:rsidRPr="00443662">
        <w:rPr>
          <w:b/>
          <w:bCs/>
        </w:rPr>
        <w:t>lders after the merger?</w:t>
      </w:r>
    </w:p>
    <w:p w:rsidR="00AF252D" w:rsidRPr="00443662" w:rsidRDefault="00605D77" w:rsidP="006045C9">
      <w:pPr>
        <w:pStyle w:val="BodyTextIndent"/>
        <w:keepNext/>
        <w:keepLines/>
        <w:rPr>
          <w:bCs/>
        </w:rPr>
      </w:pPr>
      <w:r w:rsidRPr="00443662">
        <w:rPr>
          <w:bCs/>
        </w:rPr>
        <w:t>A.</w:t>
      </w:r>
      <w:r w:rsidRPr="00443662">
        <w:rPr>
          <w:bCs/>
        </w:rPr>
        <w:tab/>
        <w:t>The number of Frontier shares of common stock issued to Verizon shareholders is based upon the average price of Frontier shares. The merger agreement provi</w:t>
      </w:r>
      <w:r w:rsidR="0072115D" w:rsidRPr="00443662">
        <w:rPr>
          <w:bCs/>
        </w:rPr>
        <w:t>des for the issuance of</w:t>
      </w:r>
      <w:r w:rsidRPr="00443662">
        <w:rPr>
          <w:bCs/>
        </w:rPr>
        <w:t xml:space="preserve"> shares at Frontier</w:t>
      </w:r>
      <w:r w:rsidR="0072115D" w:rsidRPr="00443662">
        <w:rPr>
          <w:bCs/>
        </w:rPr>
        <w:t>’</w:t>
      </w:r>
      <w:r w:rsidRPr="00443662">
        <w:rPr>
          <w:bCs/>
        </w:rPr>
        <w:t xml:space="preserve">s average share price with an upper limit of $8.50 per share or a lower limit of $ 7.00 per share. </w:t>
      </w:r>
      <w:r w:rsidR="00AF252D" w:rsidRPr="00443662">
        <w:rPr>
          <w:bCs/>
        </w:rPr>
        <w:t>For example</w:t>
      </w:r>
      <w:r w:rsidR="0072115D" w:rsidRPr="00443662">
        <w:rPr>
          <w:bCs/>
        </w:rPr>
        <w:t>,</w:t>
      </w:r>
      <w:r w:rsidR="00AF252D" w:rsidRPr="00443662">
        <w:rPr>
          <w:bCs/>
        </w:rPr>
        <w:t xml:space="preserve"> if Frontier’s average price exceeds $8.50 per share, the calculation of the number of shares issued to Verizon shareholders is $5.2 billion/ $8.50 = 611 million shares or 66</w:t>
      </w:r>
      <w:r w:rsidR="0072115D" w:rsidRPr="00443662">
        <w:rPr>
          <w:bCs/>
        </w:rPr>
        <w:t xml:space="preserve"> percent</w:t>
      </w:r>
      <w:r w:rsidR="00AF252D" w:rsidRPr="00443662">
        <w:rPr>
          <w:bCs/>
        </w:rPr>
        <w:t>. If Frontier’s average price is less than $7.00 per share, performing the calculation would result in Verizon shareholders having 71</w:t>
      </w:r>
      <w:r w:rsidR="0072115D" w:rsidRPr="00443662">
        <w:rPr>
          <w:bCs/>
        </w:rPr>
        <w:t xml:space="preserve"> percent</w:t>
      </w:r>
      <w:r w:rsidR="00AF252D" w:rsidRPr="00443662">
        <w:rPr>
          <w:bCs/>
        </w:rPr>
        <w:t xml:space="preserve"> equity stake after the merger.</w:t>
      </w:r>
      <w:r w:rsidR="00EE4567" w:rsidRPr="00443662">
        <w:rPr>
          <w:bCs/>
        </w:rPr>
        <w:t xml:space="preserve"> </w:t>
      </w:r>
    </w:p>
    <w:p w:rsidR="00EE4567" w:rsidRPr="00443662" w:rsidRDefault="00EE4567" w:rsidP="00792BDD">
      <w:pPr>
        <w:pStyle w:val="BodyTextIndent"/>
        <w:rPr>
          <w:bCs/>
        </w:rPr>
      </w:pPr>
    </w:p>
    <w:p w:rsidR="00EE4567" w:rsidRPr="00443662" w:rsidRDefault="00EE4567" w:rsidP="00792BDD">
      <w:pPr>
        <w:pStyle w:val="BodyTextIndent"/>
        <w:rPr>
          <w:b/>
          <w:bCs/>
        </w:rPr>
      </w:pPr>
      <w:r w:rsidRPr="00443662">
        <w:rPr>
          <w:b/>
          <w:bCs/>
        </w:rPr>
        <w:t>Q.</w:t>
      </w:r>
      <w:r w:rsidRPr="00443662">
        <w:rPr>
          <w:b/>
          <w:bCs/>
        </w:rPr>
        <w:tab/>
      </w:r>
      <w:r w:rsidR="0072115D" w:rsidRPr="00443662">
        <w:rPr>
          <w:b/>
          <w:bCs/>
        </w:rPr>
        <w:t>Will Verizon NW survive the transaction</w:t>
      </w:r>
      <w:r w:rsidRPr="00443662">
        <w:rPr>
          <w:b/>
          <w:bCs/>
        </w:rPr>
        <w:t>?</w:t>
      </w:r>
    </w:p>
    <w:p w:rsidR="00EE4567" w:rsidRPr="00443662" w:rsidRDefault="00EE4567" w:rsidP="00792BDD">
      <w:pPr>
        <w:pStyle w:val="BodyTextIndent"/>
        <w:rPr>
          <w:bCs/>
        </w:rPr>
      </w:pPr>
      <w:r w:rsidRPr="00443662">
        <w:rPr>
          <w:bCs/>
        </w:rPr>
        <w:t>A.</w:t>
      </w:r>
      <w:r w:rsidRPr="00443662">
        <w:rPr>
          <w:bCs/>
        </w:rPr>
        <w:tab/>
      </w:r>
      <w:r w:rsidR="0072115D" w:rsidRPr="00443662">
        <w:rPr>
          <w:bCs/>
        </w:rPr>
        <w:t>Yes.  However, the Applicants have</w:t>
      </w:r>
      <w:r w:rsidRPr="00443662">
        <w:rPr>
          <w:bCs/>
        </w:rPr>
        <w:t xml:space="preserve"> indicated that Verizon NW will be</w:t>
      </w:r>
      <w:r w:rsidR="0072115D" w:rsidRPr="00443662">
        <w:rPr>
          <w:bCs/>
        </w:rPr>
        <w:t xml:space="preserve"> renamed</w:t>
      </w:r>
      <w:r w:rsidRPr="00443662">
        <w:rPr>
          <w:bCs/>
        </w:rPr>
        <w:t xml:space="preserve"> Frontier NW after the merger.</w:t>
      </w:r>
    </w:p>
    <w:p w:rsidR="005764A9" w:rsidRPr="00443662" w:rsidRDefault="005764A9" w:rsidP="000E3C30">
      <w:pPr>
        <w:pStyle w:val="BodyTextIndent"/>
        <w:ind w:left="0" w:firstLine="0"/>
        <w:rPr>
          <w:bCs/>
        </w:rPr>
      </w:pPr>
    </w:p>
    <w:p w:rsidR="005D44AA" w:rsidRPr="00443662" w:rsidRDefault="005D44AA" w:rsidP="000E3C30">
      <w:pPr>
        <w:pStyle w:val="BodyTextIndent"/>
        <w:ind w:left="0" w:firstLine="0"/>
        <w:rPr>
          <w:bCs/>
        </w:rPr>
      </w:pPr>
      <w:r w:rsidRPr="00443662">
        <w:rPr>
          <w:b/>
          <w:bCs/>
        </w:rPr>
        <w:t xml:space="preserve">Q. </w:t>
      </w:r>
      <w:r w:rsidRPr="00443662">
        <w:rPr>
          <w:b/>
          <w:bCs/>
        </w:rPr>
        <w:tab/>
        <w:t>Will Frontier be constrained in raising capital if this transaction is completed?</w:t>
      </w:r>
    </w:p>
    <w:p w:rsidR="005D18A8" w:rsidRPr="00443662" w:rsidRDefault="005D44AA" w:rsidP="00792BDD">
      <w:pPr>
        <w:pStyle w:val="BodyTextIndent"/>
        <w:rPr>
          <w:bCs/>
        </w:rPr>
      </w:pPr>
      <w:r w:rsidRPr="00443662">
        <w:rPr>
          <w:bCs/>
        </w:rPr>
        <w:t>A.</w:t>
      </w:r>
      <w:r w:rsidRPr="00443662">
        <w:rPr>
          <w:bCs/>
        </w:rPr>
        <w:tab/>
        <w:t xml:space="preserve">Yes. </w:t>
      </w:r>
      <w:r w:rsidR="001456EC" w:rsidRPr="00443662">
        <w:rPr>
          <w:bCs/>
        </w:rPr>
        <w:t>T</w:t>
      </w:r>
      <w:r w:rsidR="00086910" w:rsidRPr="00443662">
        <w:rPr>
          <w:bCs/>
        </w:rPr>
        <w:t>o evaluate</w:t>
      </w:r>
      <w:r w:rsidR="00B95A2A" w:rsidRPr="00443662">
        <w:rPr>
          <w:bCs/>
        </w:rPr>
        <w:t xml:space="preserve"> the potential harm </w:t>
      </w:r>
      <w:r w:rsidR="001456EC" w:rsidRPr="00443662">
        <w:rPr>
          <w:bCs/>
        </w:rPr>
        <w:t xml:space="preserve">I </w:t>
      </w:r>
      <w:r w:rsidR="00B95A2A" w:rsidRPr="00443662">
        <w:rPr>
          <w:bCs/>
        </w:rPr>
        <w:t>analy</w:t>
      </w:r>
      <w:r w:rsidR="001456EC" w:rsidRPr="00443662">
        <w:rPr>
          <w:bCs/>
        </w:rPr>
        <w:t>zed</w:t>
      </w:r>
      <w:r w:rsidR="002A2893" w:rsidRPr="00443662">
        <w:rPr>
          <w:bCs/>
        </w:rPr>
        <w:t xml:space="preserve"> </w:t>
      </w:r>
      <w:r w:rsidR="00B95A2A" w:rsidRPr="00443662">
        <w:rPr>
          <w:bCs/>
        </w:rPr>
        <w:t>the companies’</w:t>
      </w:r>
      <w:r w:rsidR="003E5D3E" w:rsidRPr="00443662">
        <w:rPr>
          <w:bCs/>
        </w:rPr>
        <w:t xml:space="preserve"> </w:t>
      </w:r>
      <w:r w:rsidR="00086910" w:rsidRPr="00443662">
        <w:rPr>
          <w:bCs/>
        </w:rPr>
        <w:t>debt ratings</w:t>
      </w:r>
      <w:r w:rsidR="00242988" w:rsidRPr="00443662">
        <w:rPr>
          <w:bCs/>
        </w:rPr>
        <w:t xml:space="preserve"> </w:t>
      </w:r>
      <w:r w:rsidR="0072115D" w:rsidRPr="00443662">
        <w:rPr>
          <w:bCs/>
        </w:rPr>
        <w:t xml:space="preserve">with </w:t>
      </w:r>
      <w:r w:rsidR="00242988" w:rsidRPr="00443662">
        <w:rPr>
          <w:bCs/>
        </w:rPr>
        <w:t xml:space="preserve">the </w:t>
      </w:r>
      <w:r w:rsidR="0072115D" w:rsidRPr="00443662">
        <w:rPr>
          <w:bCs/>
        </w:rPr>
        <w:t xml:space="preserve">major credit </w:t>
      </w:r>
      <w:r w:rsidR="00242988" w:rsidRPr="00443662">
        <w:rPr>
          <w:bCs/>
        </w:rPr>
        <w:t>rating agencies</w:t>
      </w:r>
      <w:r w:rsidR="00086910" w:rsidRPr="00443662">
        <w:rPr>
          <w:bCs/>
        </w:rPr>
        <w:t>. The three primary agencies</w:t>
      </w:r>
      <w:r w:rsidR="005953CC" w:rsidRPr="00443662">
        <w:rPr>
          <w:bCs/>
        </w:rPr>
        <w:t xml:space="preserve"> that issue debt ratings</w:t>
      </w:r>
      <w:r w:rsidR="00484FCB" w:rsidRPr="00443662">
        <w:rPr>
          <w:bCs/>
        </w:rPr>
        <w:t xml:space="preserve"> are</w:t>
      </w:r>
      <w:r w:rsidR="005953CC" w:rsidRPr="00443662">
        <w:rPr>
          <w:bCs/>
        </w:rPr>
        <w:t xml:space="preserve"> Moody’s, Standard and Poor’s and Fitch. The debt ratings of the highest quality companies are </w:t>
      </w:r>
      <w:proofErr w:type="spellStart"/>
      <w:proofErr w:type="gramStart"/>
      <w:r w:rsidR="005953CC" w:rsidRPr="00443662">
        <w:rPr>
          <w:bCs/>
        </w:rPr>
        <w:t>Aaa</w:t>
      </w:r>
      <w:proofErr w:type="spellEnd"/>
      <w:proofErr w:type="gramEnd"/>
      <w:r w:rsidR="005953CC" w:rsidRPr="00443662">
        <w:rPr>
          <w:bCs/>
        </w:rPr>
        <w:t xml:space="preserve"> for Moody’s and AAA for Standard and Poor</w:t>
      </w:r>
      <w:r w:rsidR="00B67EB9" w:rsidRPr="00443662">
        <w:rPr>
          <w:bCs/>
        </w:rPr>
        <w:t>’</w:t>
      </w:r>
      <w:r w:rsidR="005953CC" w:rsidRPr="00443662">
        <w:rPr>
          <w:bCs/>
        </w:rPr>
        <w:t xml:space="preserve">s and Fitch. </w:t>
      </w:r>
      <w:r w:rsidR="00B67EB9" w:rsidRPr="00443662">
        <w:rPr>
          <w:bCs/>
        </w:rPr>
        <w:t xml:space="preserve">The lowest rated companies </w:t>
      </w:r>
      <w:r w:rsidR="005953CC" w:rsidRPr="00443662">
        <w:rPr>
          <w:bCs/>
        </w:rPr>
        <w:t xml:space="preserve">are C (Moody’s) and D (Standard and Poor’s and Fitch). </w:t>
      </w:r>
      <w:r w:rsidR="002A2893" w:rsidRPr="00443662">
        <w:rPr>
          <w:bCs/>
        </w:rPr>
        <w:t>For the remainder of this discussion, I will refer to Standard and Poor’s ratings.</w:t>
      </w:r>
      <w:r w:rsidR="000B31CD" w:rsidRPr="00443662">
        <w:rPr>
          <w:bCs/>
        </w:rPr>
        <w:t xml:space="preserve"> The ratings are split between two </w:t>
      </w:r>
      <w:r w:rsidR="00484FCB" w:rsidRPr="00443662">
        <w:rPr>
          <w:bCs/>
        </w:rPr>
        <w:t>major</w:t>
      </w:r>
      <w:r w:rsidR="000B31CD" w:rsidRPr="00443662">
        <w:rPr>
          <w:bCs/>
        </w:rPr>
        <w:t xml:space="preserve"> categories</w:t>
      </w:r>
      <w:r w:rsidR="00484FCB" w:rsidRPr="00443662">
        <w:rPr>
          <w:bCs/>
        </w:rPr>
        <w:t>,</w:t>
      </w:r>
      <w:r w:rsidR="000B31CD" w:rsidRPr="00443662">
        <w:rPr>
          <w:bCs/>
        </w:rPr>
        <w:t xml:space="preserve"> </w:t>
      </w:r>
      <w:r w:rsidR="00B67EB9" w:rsidRPr="00443662">
        <w:rPr>
          <w:bCs/>
        </w:rPr>
        <w:t>“</w:t>
      </w:r>
      <w:r w:rsidR="000B31CD" w:rsidRPr="00443662">
        <w:rPr>
          <w:bCs/>
        </w:rPr>
        <w:t>investment grade</w:t>
      </w:r>
      <w:r w:rsidR="00B67EB9" w:rsidRPr="00443662">
        <w:rPr>
          <w:bCs/>
        </w:rPr>
        <w:t>”</w:t>
      </w:r>
      <w:r w:rsidR="000B31CD" w:rsidRPr="00443662">
        <w:rPr>
          <w:bCs/>
        </w:rPr>
        <w:t xml:space="preserve"> and </w:t>
      </w:r>
      <w:r w:rsidR="00B67EB9" w:rsidRPr="00443662">
        <w:rPr>
          <w:bCs/>
        </w:rPr>
        <w:t>“</w:t>
      </w:r>
      <w:r w:rsidR="000B31CD" w:rsidRPr="00443662">
        <w:rPr>
          <w:bCs/>
        </w:rPr>
        <w:t xml:space="preserve">below </w:t>
      </w:r>
      <w:r w:rsidR="000B31CD" w:rsidRPr="00443662">
        <w:rPr>
          <w:bCs/>
        </w:rPr>
        <w:lastRenderedPageBreak/>
        <w:t>investment grade</w:t>
      </w:r>
      <w:r w:rsidR="00B67EB9" w:rsidRPr="00443662">
        <w:rPr>
          <w:bCs/>
        </w:rPr>
        <w:t xml:space="preserve"> or </w:t>
      </w:r>
      <w:r w:rsidR="000B31CD" w:rsidRPr="00443662">
        <w:rPr>
          <w:bCs/>
        </w:rPr>
        <w:t>junk bonds</w:t>
      </w:r>
      <w:r w:rsidR="00CA36D5" w:rsidRPr="00443662">
        <w:rPr>
          <w:bCs/>
        </w:rPr>
        <w:t>.</w:t>
      </w:r>
      <w:r w:rsidR="00B67EB9" w:rsidRPr="00443662">
        <w:rPr>
          <w:bCs/>
        </w:rPr>
        <w:t>”</w:t>
      </w:r>
      <w:r w:rsidR="000B31CD" w:rsidRPr="00443662">
        <w:rPr>
          <w:bCs/>
        </w:rPr>
        <w:t xml:space="preserve"> Companies with bonds considered to be investment grade are rated from A</w:t>
      </w:r>
      <w:r w:rsidR="0009023D" w:rsidRPr="00443662">
        <w:rPr>
          <w:bCs/>
        </w:rPr>
        <w:t>AA</w:t>
      </w:r>
      <w:r w:rsidR="000B31CD" w:rsidRPr="00443662">
        <w:rPr>
          <w:bCs/>
        </w:rPr>
        <w:t xml:space="preserve"> to B</w:t>
      </w:r>
      <w:r w:rsidR="0009023D" w:rsidRPr="00443662">
        <w:rPr>
          <w:bCs/>
        </w:rPr>
        <w:t>BB</w:t>
      </w:r>
      <w:r w:rsidR="000B31CD" w:rsidRPr="00443662">
        <w:rPr>
          <w:bCs/>
        </w:rPr>
        <w:t xml:space="preserve"> by </w:t>
      </w:r>
      <w:r w:rsidR="0009023D" w:rsidRPr="00443662">
        <w:rPr>
          <w:bCs/>
        </w:rPr>
        <w:t>Standard and Poor’s</w:t>
      </w:r>
      <w:r w:rsidR="000B31CD" w:rsidRPr="00443662">
        <w:rPr>
          <w:bCs/>
        </w:rPr>
        <w:t>. Companies w</w:t>
      </w:r>
      <w:r w:rsidR="00242988" w:rsidRPr="00443662">
        <w:rPr>
          <w:bCs/>
        </w:rPr>
        <w:t>i</w:t>
      </w:r>
      <w:r w:rsidR="00CA36D5" w:rsidRPr="00443662">
        <w:rPr>
          <w:bCs/>
        </w:rPr>
        <w:t>th</w:t>
      </w:r>
      <w:r w:rsidR="000B31CD" w:rsidRPr="00443662">
        <w:rPr>
          <w:bCs/>
        </w:rPr>
        <w:t xml:space="preserve"> bonds considered </w:t>
      </w:r>
      <w:proofErr w:type="gramStart"/>
      <w:r w:rsidR="000B31CD" w:rsidRPr="00443662">
        <w:rPr>
          <w:bCs/>
        </w:rPr>
        <w:t>to be</w:t>
      </w:r>
      <w:proofErr w:type="gramEnd"/>
      <w:r w:rsidR="000B31CD" w:rsidRPr="00443662">
        <w:rPr>
          <w:bCs/>
        </w:rPr>
        <w:t xml:space="preserve"> below investment grade</w:t>
      </w:r>
      <w:r w:rsidR="002A2893" w:rsidRPr="00443662">
        <w:rPr>
          <w:bCs/>
        </w:rPr>
        <w:t xml:space="preserve"> or junk bonds</w:t>
      </w:r>
      <w:r w:rsidR="006556EE" w:rsidRPr="00443662">
        <w:rPr>
          <w:bCs/>
        </w:rPr>
        <w:t xml:space="preserve"> are rated</w:t>
      </w:r>
      <w:r w:rsidR="00B67EB9" w:rsidRPr="00443662">
        <w:rPr>
          <w:bCs/>
        </w:rPr>
        <w:t xml:space="preserve"> from</w:t>
      </w:r>
      <w:r w:rsidR="006556EE" w:rsidRPr="00443662">
        <w:rPr>
          <w:bCs/>
        </w:rPr>
        <w:t xml:space="preserve"> B</w:t>
      </w:r>
      <w:r w:rsidR="000B31CD" w:rsidRPr="00443662">
        <w:rPr>
          <w:bCs/>
        </w:rPr>
        <w:t xml:space="preserve"> to </w:t>
      </w:r>
      <w:r w:rsidR="0009023D" w:rsidRPr="00443662">
        <w:rPr>
          <w:bCs/>
        </w:rPr>
        <w:t>D</w:t>
      </w:r>
      <w:r w:rsidR="000B31CD" w:rsidRPr="00443662">
        <w:rPr>
          <w:bCs/>
        </w:rPr>
        <w:t xml:space="preserve"> by </w:t>
      </w:r>
      <w:r w:rsidR="0009023D" w:rsidRPr="00443662">
        <w:rPr>
          <w:bCs/>
        </w:rPr>
        <w:t>Standard and Poor’s</w:t>
      </w:r>
      <w:r w:rsidR="000B31CD" w:rsidRPr="00443662">
        <w:rPr>
          <w:bCs/>
        </w:rPr>
        <w:t>.</w:t>
      </w:r>
      <w:r w:rsidR="005D18A8" w:rsidRPr="00443662">
        <w:rPr>
          <w:bCs/>
        </w:rPr>
        <w:t xml:space="preserve"> </w:t>
      </w:r>
    </w:p>
    <w:p w:rsidR="005D18A8" w:rsidRPr="00443662" w:rsidRDefault="005D18A8" w:rsidP="00792BDD">
      <w:pPr>
        <w:pStyle w:val="BodyTextIndent"/>
        <w:rPr>
          <w:bCs/>
        </w:rPr>
      </w:pPr>
    </w:p>
    <w:p w:rsidR="005D18A8" w:rsidRPr="00443662" w:rsidRDefault="005D18A8" w:rsidP="00792BDD">
      <w:pPr>
        <w:pStyle w:val="BodyTextIndent"/>
        <w:rPr>
          <w:b/>
          <w:bCs/>
        </w:rPr>
      </w:pPr>
      <w:r w:rsidRPr="00443662">
        <w:rPr>
          <w:b/>
          <w:bCs/>
        </w:rPr>
        <w:t xml:space="preserve">Q. </w:t>
      </w:r>
      <w:r w:rsidRPr="00443662">
        <w:rPr>
          <w:b/>
          <w:bCs/>
        </w:rPr>
        <w:tab/>
        <w:t xml:space="preserve">How do </w:t>
      </w:r>
      <w:r w:rsidR="00CA36D5" w:rsidRPr="00443662">
        <w:rPr>
          <w:b/>
          <w:bCs/>
        </w:rPr>
        <w:t>Verizon and Frontier</w:t>
      </w:r>
      <w:r w:rsidRPr="00443662">
        <w:rPr>
          <w:b/>
          <w:bCs/>
        </w:rPr>
        <w:t xml:space="preserve"> compare </w:t>
      </w:r>
      <w:r w:rsidR="00CA36D5" w:rsidRPr="00443662">
        <w:rPr>
          <w:b/>
          <w:bCs/>
        </w:rPr>
        <w:t>based on</w:t>
      </w:r>
      <w:r w:rsidRPr="00443662">
        <w:rPr>
          <w:b/>
          <w:bCs/>
        </w:rPr>
        <w:t xml:space="preserve"> debt ratings?</w:t>
      </w:r>
    </w:p>
    <w:p w:rsidR="005D18A8" w:rsidRPr="00443662" w:rsidRDefault="00242988" w:rsidP="00792BDD">
      <w:pPr>
        <w:pStyle w:val="BodyTextIndent"/>
        <w:rPr>
          <w:bCs/>
        </w:rPr>
      </w:pPr>
      <w:r w:rsidRPr="00443662">
        <w:rPr>
          <w:bCs/>
        </w:rPr>
        <w:t>A.</w:t>
      </w:r>
      <w:r w:rsidRPr="00443662">
        <w:rPr>
          <w:bCs/>
        </w:rPr>
        <w:tab/>
        <w:t>Verizon</w:t>
      </w:r>
      <w:r w:rsidR="00B67EB9" w:rsidRPr="00443662">
        <w:rPr>
          <w:bCs/>
        </w:rPr>
        <w:t xml:space="preserve"> is rated</w:t>
      </w:r>
      <w:r w:rsidR="00CA3A9B" w:rsidRPr="00443662">
        <w:rPr>
          <w:bCs/>
        </w:rPr>
        <w:t xml:space="preserve"> </w:t>
      </w:r>
      <w:r w:rsidR="00754B28" w:rsidRPr="00443662">
        <w:rPr>
          <w:bCs/>
        </w:rPr>
        <w:t>A by Standard &amp; Poor</w:t>
      </w:r>
      <w:r w:rsidR="007E0451" w:rsidRPr="00443662">
        <w:rPr>
          <w:bCs/>
        </w:rPr>
        <w:t>’</w:t>
      </w:r>
      <w:r w:rsidR="00754B28" w:rsidRPr="00443662">
        <w:rPr>
          <w:bCs/>
        </w:rPr>
        <w:t>s</w:t>
      </w:r>
      <w:r w:rsidRPr="00443662">
        <w:rPr>
          <w:bCs/>
        </w:rPr>
        <w:t>. Frontier</w:t>
      </w:r>
      <w:r w:rsidR="00CA3A9B" w:rsidRPr="00443662">
        <w:rPr>
          <w:bCs/>
        </w:rPr>
        <w:t xml:space="preserve"> </w:t>
      </w:r>
      <w:r w:rsidR="00484FCB" w:rsidRPr="00443662">
        <w:rPr>
          <w:bCs/>
        </w:rPr>
        <w:t>has a rating of</w:t>
      </w:r>
      <w:r w:rsidR="00CA3A9B" w:rsidRPr="00443662">
        <w:rPr>
          <w:bCs/>
        </w:rPr>
        <w:t xml:space="preserve"> B which </w:t>
      </w:r>
      <w:r w:rsidR="002A2893" w:rsidRPr="00443662">
        <w:rPr>
          <w:bCs/>
        </w:rPr>
        <w:t xml:space="preserve">falls into the </w:t>
      </w:r>
      <w:r w:rsidR="00484FCB" w:rsidRPr="00443662">
        <w:rPr>
          <w:bCs/>
        </w:rPr>
        <w:t>“</w:t>
      </w:r>
      <w:r w:rsidR="00CA3A9B" w:rsidRPr="00443662">
        <w:rPr>
          <w:bCs/>
        </w:rPr>
        <w:t>below investment grade or junk bond</w:t>
      </w:r>
      <w:r w:rsidR="00484FCB" w:rsidRPr="00443662">
        <w:rPr>
          <w:bCs/>
        </w:rPr>
        <w:t>”</w:t>
      </w:r>
      <w:r w:rsidR="00CA3A9B" w:rsidRPr="00443662">
        <w:rPr>
          <w:bCs/>
        </w:rPr>
        <w:t xml:space="preserve"> category.</w:t>
      </w:r>
    </w:p>
    <w:p w:rsidR="00816C4D" w:rsidRPr="00443662" w:rsidRDefault="00816C4D" w:rsidP="00792BDD">
      <w:pPr>
        <w:pStyle w:val="BodyTextIndent"/>
        <w:rPr>
          <w:bCs/>
        </w:rPr>
      </w:pPr>
    </w:p>
    <w:p w:rsidR="00086910" w:rsidRPr="00443662" w:rsidRDefault="00816C4D" w:rsidP="00792BDD">
      <w:pPr>
        <w:pStyle w:val="BodyTextIndent"/>
        <w:rPr>
          <w:b/>
          <w:bCs/>
        </w:rPr>
      </w:pPr>
      <w:r w:rsidRPr="00443662">
        <w:rPr>
          <w:b/>
          <w:bCs/>
        </w:rPr>
        <w:t>Q.</w:t>
      </w:r>
      <w:r w:rsidRPr="00443662">
        <w:rPr>
          <w:b/>
          <w:bCs/>
        </w:rPr>
        <w:tab/>
        <w:t xml:space="preserve">What can we conclude from the </w:t>
      </w:r>
      <w:r w:rsidR="00B95A2A" w:rsidRPr="00443662">
        <w:rPr>
          <w:b/>
          <w:bCs/>
        </w:rPr>
        <w:t>debt</w:t>
      </w:r>
      <w:r w:rsidRPr="00443662">
        <w:rPr>
          <w:b/>
          <w:bCs/>
        </w:rPr>
        <w:t xml:space="preserve"> ratings?</w:t>
      </w:r>
      <w:r w:rsidR="000B31CD" w:rsidRPr="00443662">
        <w:rPr>
          <w:b/>
          <w:bCs/>
        </w:rPr>
        <w:t xml:space="preserve">  </w:t>
      </w:r>
      <w:r w:rsidR="00086910" w:rsidRPr="00443662">
        <w:rPr>
          <w:b/>
          <w:bCs/>
        </w:rPr>
        <w:t xml:space="preserve"> </w:t>
      </w:r>
    </w:p>
    <w:p w:rsidR="00086910" w:rsidRPr="00443662" w:rsidRDefault="00792BDD" w:rsidP="00792BDD">
      <w:pPr>
        <w:pStyle w:val="BodyTextIndent"/>
        <w:rPr>
          <w:bCs/>
        </w:rPr>
      </w:pPr>
      <w:r w:rsidRPr="00443662">
        <w:rPr>
          <w:bCs/>
        </w:rPr>
        <w:t>A.</w:t>
      </w:r>
      <w:r w:rsidRPr="00443662">
        <w:rPr>
          <w:bCs/>
        </w:rPr>
        <w:tab/>
        <w:t>In my opinion</w:t>
      </w:r>
      <w:r w:rsidR="00C82F78" w:rsidRPr="00443662">
        <w:rPr>
          <w:bCs/>
        </w:rPr>
        <w:t>,</w:t>
      </w:r>
      <w:r w:rsidRPr="00443662">
        <w:rPr>
          <w:bCs/>
        </w:rPr>
        <w:t xml:space="preserve"> the</w:t>
      </w:r>
      <w:r w:rsidR="0055147A" w:rsidRPr="00443662">
        <w:rPr>
          <w:bCs/>
        </w:rPr>
        <w:t xml:space="preserve">re are financial risks </w:t>
      </w:r>
      <w:r w:rsidR="00816C4D" w:rsidRPr="00443662">
        <w:rPr>
          <w:bCs/>
        </w:rPr>
        <w:t>that are</w:t>
      </w:r>
      <w:r w:rsidR="0055147A" w:rsidRPr="00443662">
        <w:rPr>
          <w:bCs/>
        </w:rPr>
        <w:t xml:space="preserve"> likely </w:t>
      </w:r>
      <w:r w:rsidR="00816C4D" w:rsidRPr="00443662">
        <w:rPr>
          <w:bCs/>
        </w:rPr>
        <w:t>to cause</w:t>
      </w:r>
      <w:r w:rsidR="00B95A2A" w:rsidRPr="00443662">
        <w:rPr>
          <w:bCs/>
        </w:rPr>
        <w:t xml:space="preserve"> harm</w:t>
      </w:r>
      <w:r w:rsidR="00816C4D" w:rsidRPr="00443662">
        <w:rPr>
          <w:bCs/>
        </w:rPr>
        <w:t xml:space="preserve"> </w:t>
      </w:r>
      <w:r w:rsidR="0055147A" w:rsidRPr="00443662">
        <w:rPr>
          <w:bCs/>
        </w:rPr>
        <w:t>to</w:t>
      </w:r>
      <w:r w:rsidR="00816C4D" w:rsidRPr="00443662">
        <w:rPr>
          <w:bCs/>
        </w:rPr>
        <w:t xml:space="preserve"> the Verizon</w:t>
      </w:r>
      <w:r w:rsidR="00425124" w:rsidRPr="00443662">
        <w:rPr>
          <w:bCs/>
        </w:rPr>
        <w:t xml:space="preserve"> NW</w:t>
      </w:r>
      <w:r w:rsidR="002A2893" w:rsidRPr="00443662">
        <w:rPr>
          <w:bCs/>
        </w:rPr>
        <w:t xml:space="preserve"> </w:t>
      </w:r>
      <w:r w:rsidR="0055147A" w:rsidRPr="00443662">
        <w:rPr>
          <w:bCs/>
        </w:rPr>
        <w:t>Washington customers</w:t>
      </w:r>
      <w:r w:rsidR="00484FCB" w:rsidRPr="00443662">
        <w:rPr>
          <w:bCs/>
        </w:rPr>
        <w:t xml:space="preserve"> because Frontier has a lower debt rating</w:t>
      </w:r>
      <w:r w:rsidR="00242988" w:rsidRPr="00443662">
        <w:rPr>
          <w:bCs/>
        </w:rPr>
        <w:t xml:space="preserve"> than Verizon</w:t>
      </w:r>
      <w:r w:rsidR="0009023D" w:rsidRPr="00443662">
        <w:rPr>
          <w:bCs/>
        </w:rPr>
        <w:t>.</w:t>
      </w:r>
      <w:r w:rsidR="0055147A" w:rsidRPr="00443662">
        <w:rPr>
          <w:bCs/>
        </w:rPr>
        <w:t xml:space="preserve"> </w:t>
      </w:r>
      <w:r w:rsidR="0052177E" w:rsidRPr="00443662">
        <w:rPr>
          <w:bCs/>
        </w:rPr>
        <w:t xml:space="preserve">The </w:t>
      </w:r>
      <w:r w:rsidR="00F353A3" w:rsidRPr="00443662">
        <w:rPr>
          <w:bCs/>
        </w:rPr>
        <w:t>lower debt rating</w:t>
      </w:r>
      <w:r w:rsidR="0052177E" w:rsidRPr="00443662">
        <w:rPr>
          <w:bCs/>
        </w:rPr>
        <w:t xml:space="preserve"> of Frontier </w:t>
      </w:r>
      <w:r w:rsidR="00F353A3" w:rsidRPr="00443662">
        <w:rPr>
          <w:bCs/>
        </w:rPr>
        <w:t xml:space="preserve">indicates </w:t>
      </w:r>
      <w:r w:rsidR="0052177E" w:rsidRPr="00443662">
        <w:rPr>
          <w:bCs/>
        </w:rPr>
        <w:t>the company</w:t>
      </w:r>
      <w:r w:rsidR="00F353A3" w:rsidRPr="00443662">
        <w:rPr>
          <w:bCs/>
        </w:rPr>
        <w:t xml:space="preserve"> will have less access to bond </w:t>
      </w:r>
      <w:r w:rsidR="00B95A2A" w:rsidRPr="00443662">
        <w:rPr>
          <w:bCs/>
        </w:rPr>
        <w:t>markets</w:t>
      </w:r>
      <w:r w:rsidR="00F353A3" w:rsidRPr="00443662">
        <w:rPr>
          <w:bCs/>
        </w:rPr>
        <w:t xml:space="preserve"> than Verizon</w:t>
      </w:r>
      <w:r w:rsidR="00B95A2A" w:rsidRPr="00443662">
        <w:rPr>
          <w:bCs/>
        </w:rPr>
        <w:t xml:space="preserve"> presently </w:t>
      </w:r>
      <w:r w:rsidR="0009023D" w:rsidRPr="00443662">
        <w:rPr>
          <w:bCs/>
        </w:rPr>
        <w:t>enjoys</w:t>
      </w:r>
      <w:r w:rsidR="009F3355" w:rsidRPr="00443662">
        <w:rPr>
          <w:bCs/>
        </w:rPr>
        <w:t xml:space="preserve"> and</w:t>
      </w:r>
      <w:r w:rsidR="00B95A2A" w:rsidRPr="00443662">
        <w:rPr>
          <w:bCs/>
        </w:rPr>
        <w:t xml:space="preserve"> </w:t>
      </w:r>
      <w:r w:rsidR="00F353A3" w:rsidRPr="00443662">
        <w:rPr>
          <w:bCs/>
        </w:rPr>
        <w:t>Frontier will</w:t>
      </w:r>
      <w:r w:rsidR="00B67EB9" w:rsidRPr="00443662">
        <w:rPr>
          <w:bCs/>
        </w:rPr>
        <w:t xml:space="preserve"> also</w:t>
      </w:r>
      <w:r w:rsidR="00F353A3" w:rsidRPr="00443662">
        <w:rPr>
          <w:bCs/>
        </w:rPr>
        <w:t xml:space="preserve"> incur higher interest rates than Verizon</w:t>
      </w:r>
      <w:r w:rsidR="002A2893" w:rsidRPr="00443662">
        <w:rPr>
          <w:bCs/>
        </w:rPr>
        <w:t xml:space="preserve">. Data </w:t>
      </w:r>
      <w:r w:rsidR="002A47F3" w:rsidRPr="00443662">
        <w:rPr>
          <w:bCs/>
        </w:rPr>
        <w:t xml:space="preserve">from the </w:t>
      </w:r>
      <w:r w:rsidR="00837EB2" w:rsidRPr="00443662">
        <w:rPr>
          <w:bCs/>
        </w:rPr>
        <w:t xml:space="preserve">various </w:t>
      </w:r>
      <w:r w:rsidR="002A47F3" w:rsidRPr="00443662">
        <w:rPr>
          <w:bCs/>
        </w:rPr>
        <w:t>agencies confirms companies</w:t>
      </w:r>
      <w:r w:rsidR="00242988" w:rsidRPr="00443662">
        <w:rPr>
          <w:bCs/>
        </w:rPr>
        <w:t xml:space="preserve"> with</w:t>
      </w:r>
      <w:r w:rsidR="002A47F3" w:rsidRPr="00443662">
        <w:rPr>
          <w:bCs/>
        </w:rPr>
        <w:t xml:space="preserve"> lower debt ratings will incur higher interest rates on bonds, experience higher yields</w:t>
      </w:r>
      <w:r w:rsidR="00837EB2" w:rsidRPr="00443662">
        <w:rPr>
          <w:bCs/>
        </w:rPr>
        <w:t xml:space="preserve">, </w:t>
      </w:r>
      <w:r w:rsidR="00CE572C" w:rsidRPr="00443662">
        <w:rPr>
          <w:bCs/>
        </w:rPr>
        <w:t xml:space="preserve">and </w:t>
      </w:r>
      <w:r w:rsidR="0044723C" w:rsidRPr="00443662">
        <w:rPr>
          <w:bCs/>
        </w:rPr>
        <w:t>incur</w:t>
      </w:r>
      <w:r w:rsidR="00837EB2" w:rsidRPr="00443662">
        <w:rPr>
          <w:bCs/>
        </w:rPr>
        <w:t xml:space="preserve"> more defaults than companies with higher ratings.</w:t>
      </w:r>
    </w:p>
    <w:p w:rsidR="00C82C83" w:rsidRPr="00443662" w:rsidRDefault="00C82C83" w:rsidP="00C82C83">
      <w:pPr>
        <w:pStyle w:val="BodyTextIndent"/>
        <w:rPr>
          <w:b/>
          <w:bCs/>
        </w:rPr>
      </w:pPr>
    </w:p>
    <w:p w:rsidR="00C82C83" w:rsidRPr="00443662" w:rsidRDefault="00C82C83" w:rsidP="00C82C83">
      <w:pPr>
        <w:pStyle w:val="BodyTextIndent"/>
        <w:rPr>
          <w:b/>
          <w:bCs/>
        </w:rPr>
      </w:pPr>
      <w:r w:rsidRPr="00443662">
        <w:rPr>
          <w:b/>
          <w:bCs/>
        </w:rPr>
        <w:t>Q.</w:t>
      </w:r>
      <w:r w:rsidRPr="00443662">
        <w:rPr>
          <w:b/>
          <w:bCs/>
        </w:rPr>
        <w:tab/>
      </w:r>
      <w:r w:rsidR="007E0451" w:rsidRPr="00443662">
        <w:rPr>
          <w:b/>
          <w:bCs/>
        </w:rPr>
        <w:t>D</w:t>
      </w:r>
      <w:r w:rsidRPr="00443662">
        <w:rPr>
          <w:b/>
          <w:bCs/>
        </w:rPr>
        <w:t>oes Frontier</w:t>
      </w:r>
      <w:r w:rsidR="0052177E" w:rsidRPr="00443662">
        <w:rPr>
          <w:b/>
          <w:bCs/>
        </w:rPr>
        <w:t>’s</w:t>
      </w:r>
      <w:r w:rsidRPr="00443662">
        <w:rPr>
          <w:b/>
          <w:bCs/>
        </w:rPr>
        <w:t xml:space="preserve"> dividend policy contribute to these risks</w:t>
      </w:r>
      <w:r w:rsidR="00CA36D5" w:rsidRPr="00443662">
        <w:rPr>
          <w:b/>
          <w:bCs/>
        </w:rPr>
        <w:t xml:space="preserve"> of the proposed transaction</w:t>
      </w:r>
      <w:r w:rsidRPr="00443662">
        <w:rPr>
          <w:b/>
          <w:bCs/>
        </w:rPr>
        <w:t xml:space="preserve">?   </w:t>
      </w:r>
    </w:p>
    <w:p w:rsidR="0052177E" w:rsidRPr="00443662" w:rsidRDefault="00C82C83" w:rsidP="0052177E">
      <w:pPr>
        <w:pStyle w:val="BodyTextIndent"/>
        <w:rPr>
          <w:bCs/>
        </w:rPr>
      </w:pPr>
      <w:r w:rsidRPr="00443662">
        <w:rPr>
          <w:bCs/>
        </w:rPr>
        <w:t>A.</w:t>
      </w:r>
      <w:r w:rsidRPr="00443662">
        <w:rPr>
          <w:bCs/>
        </w:rPr>
        <w:tab/>
      </w:r>
      <w:r w:rsidR="00CE572C" w:rsidRPr="00443662">
        <w:rPr>
          <w:bCs/>
        </w:rPr>
        <w:t xml:space="preserve">Yes. </w:t>
      </w:r>
      <w:r w:rsidRPr="00443662">
        <w:rPr>
          <w:bCs/>
        </w:rPr>
        <w:t>Historically, Frontier has used a high percentage of its free cash flows to fund its dividend</w:t>
      </w:r>
      <w:r w:rsidR="0052177E" w:rsidRPr="00443662">
        <w:rPr>
          <w:bCs/>
        </w:rPr>
        <w:t xml:space="preserve"> payments to common stockholder</w:t>
      </w:r>
      <w:r w:rsidR="001456EC" w:rsidRPr="00443662">
        <w:rPr>
          <w:bCs/>
        </w:rPr>
        <w:t>s</w:t>
      </w:r>
      <w:r w:rsidRPr="00443662">
        <w:rPr>
          <w:bCs/>
        </w:rPr>
        <w:t>.  Following the announcement of this transaction, Frontier stated it will reduce its dividend payment from $1.00</w:t>
      </w:r>
      <w:r w:rsidR="00C3019E" w:rsidRPr="00443662">
        <w:rPr>
          <w:bCs/>
        </w:rPr>
        <w:t xml:space="preserve"> to $.75</w:t>
      </w:r>
      <w:r w:rsidR="00CF6186" w:rsidRPr="00443662">
        <w:rPr>
          <w:bCs/>
        </w:rPr>
        <w:t xml:space="preserve"> per </w:t>
      </w:r>
      <w:r w:rsidR="00CF6186" w:rsidRPr="00443662">
        <w:rPr>
          <w:bCs/>
        </w:rPr>
        <w:lastRenderedPageBreak/>
        <w:t xml:space="preserve">share.  Despite this reduction Frontier </w:t>
      </w:r>
      <w:r w:rsidR="0052177E" w:rsidRPr="00443662">
        <w:rPr>
          <w:bCs/>
        </w:rPr>
        <w:t xml:space="preserve">estimates it </w:t>
      </w:r>
      <w:r w:rsidR="00CF6186" w:rsidRPr="00443662">
        <w:rPr>
          <w:bCs/>
        </w:rPr>
        <w:t xml:space="preserve">will continue to pay </w:t>
      </w:r>
      <w:r w:rsidR="008F38D0" w:rsidRPr="00443662">
        <w:rPr>
          <w:bCs/>
        </w:rPr>
        <w:t>60</w:t>
      </w:r>
      <w:r w:rsidR="0052177E" w:rsidRPr="00443662">
        <w:rPr>
          <w:bCs/>
        </w:rPr>
        <w:t xml:space="preserve"> to </w:t>
      </w:r>
      <w:r w:rsidR="008F38D0" w:rsidRPr="00443662">
        <w:rPr>
          <w:bCs/>
        </w:rPr>
        <w:t>70</w:t>
      </w:r>
      <w:r w:rsidR="00CF6186" w:rsidRPr="00443662">
        <w:rPr>
          <w:bCs/>
        </w:rPr>
        <w:t xml:space="preserve"> percent of its free cash flow </w:t>
      </w:r>
      <w:r w:rsidR="00242988" w:rsidRPr="00443662">
        <w:rPr>
          <w:bCs/>
        </w:rPr>
        <w:t>in</w:t>
      </w:r>
      <w:r w:rsidR="00CF6186" w:rsidRPr="00443662">
        <w:rPr>
          <w:bCs/>
        </w:rPr>
        <w:t xml:space="preserve"> dividend</w:t>
      </w:r>
      <w:r w:rsidR="0052177E" w:rsidRPr="00443662">
        <w:rPr>
          <w:bCs/>
        </w:rPr>
        <w:t>s</w:t>
      </w:r>
      <w:r w:rsidR="00CF6186" w:rsidRPr="00443662">
        <w:rPr>
          <w:bCs/>
        </w:rPr>
        <w:t>.</w:t>
      </w:r>
      <w:r w:rsidR="00CF6186" w:rsidRPr="00443662">
        <w:rPr>
          <w:rStyle w:val="FootnoteReference"/>
          <w:bCs/>
        </w:rPr>
        <w:footnoteReference w:id="1"/>
      </w:r>
      <w:r w:rsidR="00CF6186" w:rsidRPr="00443662">
        <w:rPr>
          <w:bCs/>
        </w:rPr>
        <w:t xml:space="preserve">  This practice is inconsistent with a strategy of building additional broadband infrastructure</w:t>
      </w:r>
      <w:r w:rsidR="007E0451" w:rsidRPr="00443662">
        <w:rPr>
          <w:bCs/>
        </w:rPr>
        <w:t>, investing in next generation operati</w:t>
      </w:r>
      <w:r w:rsidR="0044723C" w:rsidRPr="00443662">
        <w:rPr>
          <w:bCs/>
        </w:rPr>
        <w:t>ng</w:t>
      </w:r>
      <w:r w:rsidR="007E0451" w:rsidRPr="00443662">
        <w:rPr>
          <w:bCs/>
        </w:rPr>
        <w:t xml:space="preserve"> support systems (OSS)</w:t>
      </w:r>
      <w:r w:rsidR="00CF6186" w:rsidRPr="00443662">
        <w:rPr>
          <w:bCs/>
        </w:rPr>
        <w:t xml:space="preserve"> and improving Frontier’s debt-to-</w:t>
      </w:r>
      <w:r w:rsidR="0009023D" w:rsidRPr="00443662">
        <w:rPr>
          <w:bCs/>
        </w:rPr>
        <w:t>E</w:t>
      </w:r>
      <w:r w:rsidR="00CF6186" w:rsidRPr="00443662">
        <w:rPr>
          <w:bCs/>
        </w:rPr>
        <w:t>BITDA ratio, a key driver of the company’s credit rating.</w:t>
      </w:r>
    </w:p>
    <w:p w:rsidR="0052177E" w:rsidRPr="00443662" w:rsidRDefault="0052177E" w:rsidP="006045C9">
      <w:pPr>
        <w:pStyle w:val="BodyTextIndent"/>
        <w:rPr>
          <w:bCs/>
        </w:rPr>
      </w:pPr>
      <w:r w:rsidRPr="00443662">
        <w:rPr>
          <w:bCs/>
        </w:rPr>
        <w:tab/>
      </w:r>
      <w:r w:rsidR="006045C9">
        <w:rPr>
          <w:bCs/>
        </w:rPr>
        <w:tab/>
      </w:r>
      <w:r w:rsidRPr="00443662">
        <w:rPr>
          <w:bCs/>
        </w:rPr>
        <w:t xml:space="preserve">Frontier has made representations that it will expend capital to deploy broadband services to Washington customers not able to currently receive that service from Verizon NW. </w:t>
      </w:r>
      <w:r w:rsidR="002212B5" w:rsidRPr="00443662">
        <w:rPr>
          <w:bCs/>
        </w:rPr>
        <w:t>Frontier will also continue the build-out of fiber</w:t>
      </w:r>
      <w:r w:rsidR="00242988" w:rsidRPr="00443662">
        <w:rPr>
          <w:bCs/>
        </w:rPr>
        <w:t xml:space="preserve"> to the premises</w:t>
      </w:r>
      <w:r w:rsidR="00435CB6" w:rsidRPr="00443662">
        <w:rPr>
          <w:bCs/>
        </w:rPr>
        <w:t xml:space="preserve"> (Verizon’s “</w:t>
      </w:r>
      <w:r w:rsidR="006F47E0" w:rsidRPr="00443662">
        <w:rPr>
          <w:bCs/>
        </w:rPr>
        <w:t xml:space="preserve"> </w:t>
      </w:r>
      <w:proofErr w:type="spellStart"/>
      <w:r w:rsidR="002212B5" w:rsidRPr="00443662">
        <w:rPr>
          <w:bCs/>
        </w:rPr>
        <w:t>F</w:t>
      </w:r>
      <w:r w:rsidR="006F47E0" w:rsidRPr="00443662">
        <w:rPr>
          <w:bCs/>
        </w:rPr>
        <w:t>i</w:t>
      </w:r>
      <w:r w:rsidR="002212B5" w:rsidRPr="00443662">
        <w:rPr>
          <w:bCs/>
        </w:rPr>
        <w:t>OS</w:t>
      </w:r>
      <w:proofErr w:type="spellEnd"/>
      <w:r w:rsidR="00435CB6" w:rsidRPr="00443662">
        <w:rPr>
          <w:bCs/>
        </w:rPr>
        <w:t>” offering)</w:t>
      </w:r>
      <w:r w:rsidR="002212B5" w:rsidRPr="00443662">
        <w:rPr>
          <w:bCs/>
        </w:rPr>
        <w:t xml:space="preserve"> to fulfill Verizon NW’s commitments made to </w:t>
      </w:r>
      <w:r w:rsidR="006F47E0" w:rsidRPr="00443662">
        <w:rPr>
          <w:bCs/>
        </w:rPr>
        <w:t xml:space="preserve">cities that have </w:t>
      </w:r>
      <w:r w:rsidR="002212B5" w:rsidRPr="00443662">
        <w:rPr>
          <w:bCs/>
        </w:rPr>
        <w:t xml:space="preserve">granted franchise rights to Verizon NW for those services. </w:t>
      </w:r>
      <w:r w:rsidR="006F47E0" w:rsidRPr="00443662">
        <w:rPr>
          <w:bCs/>
        </w:rPr>
        <w:t>Response to Staff data request No. 110</w:t>
      </w:r>
      <w:r w:rsidR="00CA36D5" w:rsidRPr="00443662">
        <w:rPr>
          <w:bCs/>
        </w:rPr>
        <w:t>,</w:t>
      </w:r>
      <w:r w:rsidR="00435CB6" w:rsidRPr="00443662">
        <w:rPr>
          <w:bCs/>
        </w:rPr>
        <w:t xml:space="preserve"> Exhibit </w:t>
      </w:r>
      <w:r w:rsidR="00CE572C" w:rsidRPr="00443662">
        <w:rPr>
          <w:bCs/>
        </w:rPr>
        <w:t xml:space="preserve">No. </w:t>
      </w:r>
      <w:r w:rsidR="00435CB6" w:rsidRPr="00443662">
        <w:rPr>
          <w:bCs/>
        </w:rPr>
        <w:t xml:space="preserve">___ </w:t>
      </w:r>
      <w:r w:rsidR="00CE572C" w:rsidRPr="00443662">
        <w:rPr>
          <w:bCs/>
        </w:rPr>
        <w:t>(</w:t>
      </w:r>
      <w:r w:rsidR="00435CB6" w:rsidRPr="00443662">
        <w:rPr>
          <w:bCs/>
        </w:rPr>
        <w:t>WHW</w:t>
      </w:r>
      <w:r w:rsidR="00CE572C" w:rsidRPr="00443662">
        <w:rPr>
          <w:bCs/>
        </w:rPr>
        <w:t>-</w:t>
      </w:r>
      <w:r w:rsidR="00435CB6" w:rsidRPr="00443662">
        <w:rPr>
          <w:bCs/>
        </w:rPr>
        <w:t>2</w:t>
      </w:r>
      <w:proofErr w:type="gramStart"/>
      <w:r w:rsidR="00CE572C" w:rsidRPr="00443662">
        <w:rPr>
          <w:bCs/>
        </w:rPr>
        <w:t>)</w:t>
      </w:r>
      <w:r w:rsidR="006F47E0" w:rsidRPr="00443662">
        <w:rPr>
          <w:bCs/>
        </w:rPr>
        <w:t>,</w:t>
      </w:r>
      <w:proofErr w:type="gramEnd"/>
      <w:r w:rsidR="006F47E0" w:rsidRPr="00443662">
        <w:rPr>
          <w:bCs/>
        </w:rPr>
        <w:t xml:space="preserve"> indicates the</w:t>
      </w:r>
      <w:r w:rsidR="0009023D" w:rsidRPr="00443662">
        <w:rPr>
          <w:bCs/>
        </w:rPr>
        <w:t xml:space="preserve"> </w:t>
      </w:r>
      <w:proofErr w:type="spellStart"/>
      <w:r w:rsidR="0009023D" w:rsidRPr="00443662">
        <w:rPr>
          <w:bCs/>
        </w:rPr>
        <w:t>FiOS</w:t>
      </w:r>
      <w:proofErr w:type="spellEnd"/>
      <w:r w:rsidR="006F47E0" w:rsidRPr="00443662">
        <w:rPr>
          <w:bCs/>
        </w:rPr>
        <w:t xml:space="preserve"> Washington build-out commitments made by Verizon NW</w:t>
      </w:r>
      <w:r w:rsidR="00E267D5" w:rsidRPr="00443662">
        <w:rPr>
          <w:bCs/>
        </w:rPr>
        <w:t xml:space="preserve"> to the franchising cities</w:t>
      </w:r>
      <w:r w:rsidR="006F47E0" w:rsidRPr="00443662">
        <w:rPr>
          <w:bCs/>
        </w:rPr>
        <w:t xml:space="preserve"> will be accomplished between the years 2010 and</w:t>
      </w:r>
      <w:r w:rsidR="00E267D5" w:rsidRPr="00443662">
        <w:rPr>
          <w:bCs/>
        </w:rPr>
        <w:t xml:space="preserve"> 2014. There is one caveat</w:t>
      </w:r>
      <w:r w:rsidR="00435CB6" w:rsidRPr="00443662">
        <w:rPr>
          <w:bCs/>
        </w:rPr>
        <w:t xml:space="preserve"> indicating</w:t>
      </w:r>
      <w:r w:rsidR="00E267D5" w:rsidRPr="00443662">
        <w:rPr>
          <w:bCs/>
        </w:rPr>
        <w:t xml:space="preserve"> </w:t>
      </w:r>
      <w:r w:rsidR="006F47E0" w:rsidRPr="00443662">
        <w:rPr>
          <w:bCs/>
        </w:rPr>
        <w:t>the</w:t>
      </w:r>
      <w:r w:rsidR="007E0451" w:rsidRPr="00443662">
        <w:rPr>
          <w:bCs/>
        </w:rPr>
        <w:t xml:space="preserve"> fiber</w:t>
      </w:r>
      <w:r w:rsidR="006F47E0" w:rsidRPr="00443662">
        <w:rPr>
          <w:bCs/>
        </w:rPr>
        <w:t xml:space="preserve"> build-out may</w:t>
      </w:r>
      <w:r w:rsidR="00435CB6" w:rsidRPr="00443662">
        <w:rPr>
          <w:bCs/>
        </w:rPr>
        <w:t xml:space="preserve"> be</w:t>
      </w:r>
      <w:r w:rsidR="0009023D" w:rsidRPr="00443662">
        <w:rPr>
          <w:bCs/>
        </w:rPr>
        <w:t xml:space="preserve"> </w:t>
      </w:r>
      <w:r w:rsidR="006F47E0" w:rsidRPr="00443662">
        <w:rPr>
          <w:bCs/>
        </w:rPr>
        <w:t>postpone</w:t>
      </w:r>
      <w:r w:rsidR="00435CB6" w:rsidRPr="00443662">
        <w:rPr>
          <w:bCs/>
        </w:rPr>
        <w:t>d</w:t>
      </w:r>
      <w:r w:rsidR="0009023D" w:rsidRPr="00443662">
        <w:rPr>
          <w:bCs/>
        </w:rPr>
        <w:t xml:space="preserve"> </w:t>
      </w:r>
      <w:r w:rsidR="006F47E0" w:rsidRPr="00443662">
        <w:rPr>
          <w:bCs/>
        </w:rPr>
        <w:t>for “events outside of Verizon control and certain density requirements</w:t>
      </w:r>
      <w:r w:rsidR="00CA36D5" w:rsidRPr="00443662">
        <w:rPr>
          <w:bCs/>
        </w:rPr>
        <w:t>.</w:t>
      </w:r>
      <w:r w:rsidR="006F47E0" w:rsidRPr="00443662">
        <w:rPr>
          <w:bCs/>
        </w:rPr>
        <w:t>”</w:t>
      </w:r>
      <w:r w:rsidR="00435CB6" w:rsidRPr="00443662">
        <w:rPr>
          <w:bCs/>
        </w:rPr>
        <w:t xml:space="preserve"> </w:t>
      </w:r>
      <w:r w:rsidR="00E267D5" w:rsidRPr="00443662">
        <w:rPr>
          <w:bCs/>
        </w:rPr>
        <w:t>Frontier’s</w:t>
      </w:r>
      <w:r w:rsidR="00435CB6" w:rsidRPr="00443662">
        <w:rPr>
          <w:bCs/>
        </w:rPr>
        <w:t xml:space="preserve"> assertion that it will</w:t>
      </w:r>
      <w:r w:rsidR="00E267D5" w:rsidRPr="00443662">
        <w:rPr>
          <w:bCs/>
        </w:rPr>
        <w:t xml:space="preserve"> build-out broadband DSL service to smaller communities</w:t>
      </w:r>
      <w:r w:rsidR="00435CB6" w:rsidRPr="00443662">
        <w:rPr>
          <w:bCs/>
        </w:rPr>
        <w:t xml:space="preserve"> in addition</w:t>
      </w:r>
      <w:r w:rsidR="0044723C" w:rsidRPr="00443662">
        <w:rPr>
          <w:bCs/>
        </w:rPr>
        <w:t xml:space="preserve"> to completing Verizon’s build-out of </w:t>
      </w:r>
      <w:proofErr w:type="spellStart"/>
      <w:r w:rsidR="0044723C" w:rsidRPr="00443662">
        <w:rPr>
          <w:bCs/>
        </w:rPr>
        <w:t>FiOS</w:t>
      </w:r>
      <w:proofErr w:type="spellEnd"/>
      <w:r w:rsidR="0044723C" w:rsidRPr="00443662">
        <w:rPr>
          <w:bCs/>
        </w:rPr>
        <w:t xml:space="preserve"> means</w:t>
      </w:r>
      <w:r w:rsidR="00E267D5" w:rsidRPr="00443662">
        <w:rPr>
          <w:bCs/>
        </w:rPr>
        <w:t xml:space="preserve"> Frontier</w:t>
      </w:r>
      <w:r w:rsidR="0044723C" w:rsidRPr="00443662">
        <w:rPr>
          <w:bCs/>
        </w:rPr>
        <w:t xml:space="preserve"> will have</w:t>
      </w:r>
      <w:r w:rsidR="00E267D5" w:rsidRPr="00443662">
        <w:rPr>
          <w:bCs/>
        </w:rPr>
        <w:t xml:space="preserve"> to manage two major projects that will compete for capital resources.</w:t>
      </w:r>
    </w:p>
    <w:p w:rsidR="003E5D3E" w:rsidRPr="00443662" w:rsidRDefault="009F3355" w:rsidP="00792BDD">
      <w:pPr>
        <w:pStyle w:val="BodyTextIndent"/>
        <w:rPr>
          <w:b/>
          <w:bCs/>
        </w:rPr>
      </w:pPr>
      <w:r w:rsidRPr="00443662">
        <w:rPr>
          <w:b/>
          <w:bCs/>
        </w:rPr>
        <w:t>Q.</w:t>
      </w:r>
      <w:r w:rsidRPr="00443662">
        <w:rPr>
          <w:b/>
          <w:bCs/>
        </w:rPr>
        <w:tab/>
        <w:t>What are the terms for the $3.3 billion debt Frontier needs to raise to complete the merger?</w:t>
      </w:r>
    </w:p>
    <w:p w:rsidR="00944E41" w:rsidRPr="00443662" w:rsidRDefault="009F3355" w:rsidP="00792BDD">
      <w:pPr>
        <w:pStyle w:val="BodyTextIndent"/>
        <w:rPr>
          <w:bCs/>
        </w:rPr>
      </w:pPr>
      <w:r w:rsidRPr="00443662">
        <w:rPr>
          <w:bCs/>
        </w:rPr>
        <w:t>A.</w:t>
      </w:r>
      <w:r w:rsidRPr="00443662">
        <w:rPr>
          <w:bCs/>
        </w:rPr>
        <w:tab/>
        <w:t>Unfortunately, Frontier does not have any</w:t>
      </w:r>
      <w:r w:rsidR="00676D27" w:rsidRPr="00443662">
        <w:rPr>
          <w:bCs/>
        </w:rPr>
        <w:t xml:space="preserve"> specific</w:t>
      </w:r>
      <w:r w:rsidRPr="00443662">
        <w:rPr>
          <w:bCs/>
        </w:rPr>
        <w:t xml:space="preserve"> information regarding the debt that needs to be issued for this transaction. </w:t>
      </w:r>
      <w:r w:rsidR="00676D27" w:rsidRPr="00443662">
        <w:rPr>
          <w:bCs/>
        </w:rPr>
        <w:t>A conference call with David R</w:t>
      </w:r>
      <w:r w:rsidR="00CE572C" w:rsidRPr="00443662">
        <w:rPr>
          <w:bCs/>
        </w:rPr>
        <w:t>.</w:t>
      </w:r>
      <w:r w:rsidR="00676D27" w:rsidRPr="00443662">
        <w:rPr>
          <w:bCs/>
        </w:rPr>
        <w:t xml:space="preserve"> </w:t>
      </w:r>
      <w:r w:rsidR="00676D27" w:rsidRPr="00443662">
        <w:rPr>
          <w:bCs/>
        </w:rPr>
        <w:lastRenderedPageBreak/>
        <w:t xml:space="preserve">Whitehouse, Senior Vice President </w:t>
      </w:r>
      <w:r w:rsidR="00531A7D" w:rsidRPr="00443662">
        <w:rPr>
          <w:bCs/>
        </w:rPr>
        <w:t>and</w:t>
      </w:r>
      <w:r w:rsidR="00676D27" w:rsidRPr="00443662">
        <w:rPr>
          <w:bCs/>
        </w:rPr>
        <w:t xml:space="preserve"> Treasurer</w:t>
      </w:r>
      <w:r w:rsidR="00CE572C" w:rsidRPr="00443662">
        <w:rPr>
          <w:bCs/>
        </w:rPr>
        <w:t xml:space="preserve"> for </w:t>
      </w:r>
      <w:proofErr w:type="gramStart"/>
      <w:r w:rsidR="00CE572C" w:rsidRPr="00443662">
        <w:rPr>
          <w:bCs/>
        </w:rPr>
        <w:t>Frontier</w:t>
      </w:r>
      <w:r w:rsidR="006045C9">
        <w:rPr>
          <w:bCs/>
        </w:rPr>
        <w:t>,</w:t>
      </w:r>
      <w:proofErr w:type="gramEnd"/>
      <w:r w:rsidR="00676D27" w:rsidRPr="00443662">
        <w:rPr>
          <w:bCs/>
        </w:rPr>
        <w:t xml:space="preserve"> </w:t>
      </w:r>
      <w:r w:rsidR="00944E41" w:rsidRPr="00443662">
        <w:rPr>
          <w:bCs/>
        </w:rPr>
        <w:t>indicates he generally believes Frontier will have the following favorable terms:</w:t>
      </w:r>
    </w:p>
    <w:p w:rsidR="00944E41" w:rsidRDefault="00944E41" w:rsidP="006045C9">
      <w:pPr>
        <w:pStyle w:val="BodyTextIndent"/>
        <w:numPr>
          <w:ilvl w:val="0"/>
          <w:numId w:val="32"/>
        </w:numPr>
        <w:spacing w:line="240" w:lineRule="auto"/>
        <w:ind w:left="1710" w:hanging="270"/>
        <w:rPr>
          <w:bCs/>
        </w:rPr>
      </w:pPr>
      <w:r w:rsidRPr="00443662">
        <w:rPr>
          <w:bCs/>
        </w:rPr>
        <w:t>A projected interest rate of less than 9.5 percent (currently</w:t>
      </w:r>
      <w:r w:rsidR="00695DF3" w:rsidRPr="00443662">
        <w:rPr>
          <w:bCs/>
        </w:rPr>
        <w:t xml:space="preserve"> Mr. Whitehouse estimates a rate of </w:t>
      </w:r>
      <w:r w:rsidRPr="00443662">
        <w:rPr>
          <w:bCs/>
        </w:rPr>
        <w:t xml:space="preserve"> 8.375 percent)</w:t>
      </w:r>
    </w:p>
    <w:p w:rsidR="006045C9" w:rsidRPr="00443662" w:rsidRDefault="006045C9" w:rsidP="006045C9">
      <w:pPr>
        <w:pStyle w:val="BodyTextIndent"/>
        <w:spacing w:line="240" w:lineRule="auto"/>
        <w:ind w:left="1440" w:firstLine="0"/>
        <w:rPr>
          <w:bCs/>
        </w:rPr>
      </w:pPr>
    </w:p>
    <w:p w:rsidR="00944E41" w:rsidRDefault="00944E41" w:rsidP="006045C9">
      <w:pPr>
        <w:pStyle w:val="BodyTextIndent"/>
        <w:numPr>
          <w:ilvl w:val="0"/>
          <w:numId w:val="32"/>
        </w:numPr>
        <w:spacing w:line="240" w:lineRule="auto"/>
        <w:ind w:left="1710" w:hanging="270"/>
        <w:rPr>
          <w:bCs/>
        </w:rPr>
      </w:pPr>
      <w:r w:rsidRPr="00443662">
        <w:rPr>
          <w:bCs/>
        </w:rPr>
        <w:t>A minimum weighted maturity of five years</w:t>
      </w:r>
    </w:p>
    <w:p w:rsidR="006045C9" w:rsidRPr="00443662" w:rsidRDefault="006045C9" w:rsidP="006045C9">
      <w:pPr>
        <w:pStyle w:val="BodyTextIndent"/>
        <w:spacing w:line="240" w:lineRule="auto"/>
        <w:rPr>
          <w:bCs/>
        </w:rPr>
      </w:pPr>
    </w:p>
    <w:p w:rsidR="00944E41" w:rsidRDefault="00944E41" w:rsidP="006045C9">
      <w:pPr>
        <w:pStyle w:val="BodyTextIndent"/>
        <w:numPr>
          <w:ilvl w:val="0"/>
          <w:numId w:val="32"/>
        </w:numPr>
        <w:spacing w:line="240" w:lineRule="auto"/>
        <w:ind w:left="1710" w:hanging="270"/>
        <w:rPr>
          <w:bCs/>
        </w:rPr>
      </w:pPr>
      <w:r w:rsidRPr="00443662">
        <w:rPr>
          <w:bCs/>
        </w:rPr>
        <w:t>Unsecured debt that is senior to all existing and future subordinated indebtedness</w:t>
      </w:r>
    </w:p>
    <w:p w:rsidR="006045C9" w:rsidRPr="00443662" w:rsidRDefault="006045C9" w:rsidP="006045C9">
      <w:pPr>
        <w:pStyle w:val="BodyTextIndent"/>
        <w:spacing w:line="240" w:lineRule="auto"/>
        <w:ind w:left="0" w:firstLine="0"/>
        <w:rPr>
          <w:bCs/>
        </w:rPr>
      </w:pPr>
    </w:p>
    <w:p w:rsidR="00944E41" w:rsidRDefault="00944E41" w:rsidP="006045C9">
      <w:pPr>
        <w:pStyle w:val="BodyTextIndent"/>
        <w:numPr>
          <w:ilvl w:val="0"/>
          <w:numId w:val="32"/>
        </w:numPr>
        <w:spacing w:line="240" w:lineRule="auto"/>
        <w:ind w:left="1710" w:hanging="270"/>
        <w:rPr>
          <w:bCs/>
        </w:rPr>
      </w:pPr>
      <w:r w:rsidRPr="00443662">
        <w:rPr>
          <w:bCs/>
        </w:rPr>
        <w:t>Covenants that are consistent with existing senior unsecured notes</w:t>
      </w:r>
    </w:p>
    <w:p w:rsidR="006045C9" w:rsidRPr="00443662" w:rsidRDefault="006045C9" w:rsidP="006045C9">
      <w:pPr>
        <w:pStyle w:val="BodyTextIndent"/>
        <w:spacing w:line="240" w:lineRule="auto"/>
        <w:ind w:left="0" w:firstLine="0"/>
        <w:rPr>
          <w:bCs/>
        </w:rPr>
      </w:pPr>
    </w:p>
    <w:p w:rsidR="00B6250A" w:rsidRDefault="00B6250A" w:rsidP="006045C9">
      <w:pPr>
        <w:pStyle w:val="BodyTextIndent"/>
        <w:numPr>
          <w:ilvl w:val="0"/>
          <w:numId w:val="32"/>
        </w:numPr>
        <w:spacing w:line="240" w:lineRule="auto"/>
        <w:ind w:left="1710" w:hanging="270"/>
        <w:rPr>
          <w:bCs/>
        </w:rPr>
      </w:pPr>
      <w:r w:rsidRPr="00443662">
        <w:rPr>
          <w:bCs/>
        </w:rPr>
        <w:t>Frontier may consider bank financing that might include the stock of subsidiaries or upstream guarantees as security</w:t>
      </w:r>
    </w:p>
    <w:p w:rsidR="006045C9" w:rsidRPr="00443662" w:rsidRDefault="006045C9" w:rsidP="006045C9">
      <w:pPr>
        <w:pStyle w:val="BodyTextIndent"/>
        <w:spacing w:line="240" w:lineRule="auto"/>
        <w:ind w:left="0" w:firstLine="0"/>
        <w:rPr>
          <w:bCs/>
        </w:rPr>
      </w:pPr>
    </w:p>
    <w:p w:rsidR="00B6250A" w:rsidRDefault="00B6250A" w:rsidP="006045C9">
      <w:pPr>
        <w:pStyle w:val="BodyTextIndent"/>
        <w:numPr>
          <w:ilvl w:val="0"/>
          <w:numId w:val="32"/>
        </w:numPr>
        <w:spacing w:line="240" w:lineRule="auto"/>
        <w:ind w:left="1710" w:hanging="270"/>
        <w:rPr>
          <w:bCs/>
        </w:rPr>
      </w:pPr>
      <w:r w:rsidRPr="00443662">
        <w:rPr>
          <w:bCs/>
        </w:rPr>
        <w:t>No amortization of principle – debt due at maturity</w:t>
      </w:r>
    </w:p>
    <w:p w:rsidR="006045C9" w:rsidRPr="00443662" w:rsidRDefault="006045C9" w:rsidP="006045C9">
      <w:pPr>
        <w:pStyle w:val="BodyTextIndent"/>
        <w:spacing w:line="240" w:lineRule="auto"/>
        <w:ind w:left="0" w:firstLine="0"/>
        <w:rPr>
          <w:bCs/>
        </w:rPr>
      </w:pPr>
    </w:p>
    <w:p w:rsidR="00B6250A" w:rsidRPr="00443662" w:rsidRDefault="00B6250A" w:rsidP="00B6250A">
      <w:pPr>
        <w:pStyle w:val="BodyTextIndent"/>
        <w:ind w:firstLine="0"/>
        <w:rPr>
          <w:bCs/>
        </w:rPr>
      </w:pPr>
      <w:r w:rsidRPr="00443662">
        <w:rPr>
          <w:bCs/>
        </w:rPr>
        <w:t xml:space="preserve">Mr. Whitehouse cites improvement </w:t>
      </w:r>
      <w:r w:rsidR="00531A7D" w:rsidRPr="00443662">
        <w:rPr>
          <w:bCs/>
        </w:rPr>
        <w:t>in the</w:t>
      </w:r>
      <w:r w:rsidRPr="00443662">
        <w:rPr>
          <w:bCs/>
        </w:rPr>
        <w:t xml:space="preserve"> capital markets as the justification</w:t>
      </w:r>
      <w:r w:rsidR="00F54EC0" w:rsidRPr="00443662">
        <w:rPr>
          <w:bCs/>
        </w:rPr>
        <w:t xml:space="preserve"> for </w:t>
      </w:r>
      <w:r w:rsidRPr="00443662">
        <w:rPr>
          <w:bCs/>
        </w:rPr>
        <w:t>his optimism.</w:t>
      </w:r>
    </w:p>
    <w:p w:rsidR="006173A3" w:rsidRPr="00443662" w:rsidRDefault="00D40E77" w:rsidP="006045C9">
      <w:pPr>
        <w:pStyle w:val="BodyTextIndent"/>
        <w:ind w:firstLine="720"/>
        <w:rPr>
          <w:bCs/>
        </w:rPr>
      </w:pPr>
      <w:r w:rsidRPr="00443662">
        <w:rPr>
          <w:bCs/>
        </w:rPr>
        <w:t xml:space="preserve">Thus, </w:t>
      </w:r>
      <w:r w:rsidR="006173A3" w:rsidRPr="00443662">
        <w:rPr>
          <w:bCs/>
        </w:rPr>
        <w:t>Frontier relies on</w:t>
      </w:r>
      <w:r w:rsidRPr="00443662">
        <w:rPr>
          <w:bCs/>
        </w:rPr>
        <w:t xml:space="preserve"> optimistic</w:t>
      </w:r>
      <w:r w:rsidR="006173A3" w:rsidRPr="00443662">
        <w:rPr>
          <w:bCs/>
        </w:rPr>
        <w:t xml:space="preserve"> management opinions</w:t>
      </w:r>
      <w:r w:rsidRPr="00443662">
        <w:rPr>
          <w:bCs/>
        </w:rPr>
        <w:t xml:space="preserve"> without any</w:t>
      </w:r>
      <w:r w:rsidR="00F54EC0" w:rsidRPr="00443662">
        <w:rPr>
          <w:bCs/>
        </w:rPr>
        <w:t xml:space="preserve"> </w:t>
      </w:r>
      <w:r w:rsidR="006173A3" w:rsidRPr="00443662">
        <w:rPr>
          <w:bCs/>
        </w:rPr>
        <w:t>definiti</w:t>
      </w:r>
      <w:r w:rsidR="00AF78F9" w:rsidRPr="00443662">
        <w:rPr>
          <w:bCs/>
        </w:rPr>
        <w:t>ve data regarding the terms of the debt issuance</w:t>
      </w:r>
      <w:r w:rsidRPr="00443662">
        <w:rPr>
          <w:bCs/>
        </w:rPr>
        <w:t>.</w:t>
      </w:r>
      <w:r w:rsidR="006173A3" w:rsidRPr="00443662">
        <w:rPr>
          <w:bCs/>
        </w:rPr>
        <w:t xml:space="preserve"> </w:t>
      </w:r>
    </w:p>
    <w:p w:rsidR="00B6250A" w:rsidRPr="00443662" w:rsidRDefault="00B6250A" w:rsidP="00B6250A">
      <w:pPr>
        <w:pStyle w:val="BodyTextIndent"/>
        <w:ind w:firstLine="0"/>
        <w:rPr>
          <w:bCs/>
        </w:rPr>
      </w:pPr>
    </w:p>
    <w:p w:rsidR="00536133" w:rsidRPr="00443662" w:rsidRDefault="00B6250A" w:rsidP="00B6250A">
      <w:pPr>
        <w:pStyle w:val="BodyTextIndent"/>
        <w:tabs>
          <w:tab w:val="left" w:pos="2970"/>
        </w:tabs>
        <w:rPr>
          <w:b/>
          <w:bCs/>
        </w:rPr>
      </w:pPr>
      <w:r w:rsidRPr="00443662">
        <w:rPr>
          <w:b/>
          <w:bCs/>
        </w:rPr>
        <w:t>Q.</w:t>
      </w:r>
      <w:r w:rsidRPr="00443662">
        <w:rPr>
          <w:b/>
          <w:bCs/>
        </w:rPr>
        <w:tab/>
      </w:r>
      <w:r w:rsidR="00536133" w:rsidRPr="00443662">
        <w:rPr>
          <w:b/>
          <w:bCs/>
        </w:rPr>
        <w:t>What is the significance of an interest rate less than 9.5 percent?</w:t>
      </w:r>
    </w:p>
    <w:p w:rsidR="004354DC" w:rsidRDefault="00536133" w:rsidP="00B6250A">
      <w:pPr>
        <w:pStyle w:val="BodyTextIndent"/>
        <w:tabs>
          <w:tab w:val="left" w:pos="2970"/>
        </w:tabs>
        <w:rPr>
          <w:bCs/>
        </w:rPr>
      </w:pPr>
      <w:r w:rsidRPr="00443662">
        <w:rPr>
          <w:bCs/>
        </w:rPr>
        <w:t>A.</w:t>
      </w:r>
      <w:r w:rsidRPr="00443662">
        <w:rPr>
          <w:bCs/>
        </w:rPr>
        <w:tab/>
      </w:r>
      <w:r w:rsidR="00277C38" w:rsidRPr="00443662">
        <w:rPr>
          <w:bCs/>
        </w:rPr>
        <w:t>The merger agreement sets a ceiling on the $3.3 billion debt issuance of 9.5 percent. If Frontier</w:t>
      </w:r>
      <w:r w:rsidR="00E7134A" w:rsidRPr="00443662">
        <w:rPr>
          <w:bCs/>
        </w:rPr>
        <w:t xml:space="preserve"> cannot find a market for its debt at an </w:t>
      </w:r>
      <w:r w:rsidR="00277C38" w:rsidRPr="00443662">
        <w:rPr>
          <w:bCs/>
        </w:rPr>
        <w:t xml:space="preserve">interest rate </w:t>
      </w:r>
      <w:r w:rsidR="00E7134A" w:rsidRPr="00443662">
        <w:rPr>
          <w:bCs/>
        </w:rPr>
        <w:t xml:space="preserve">that is </w:t>
      </w:r>
      <w:r w:rsidR="00277C38" w:rsidRPr="00443662">
        <w:rPr>
          <w:bCs/>
        </w:rPr>
        <w:t>9.5 percent</w:t>
      </w:r>
      <w:r w:rsidR="00E7134A" w:rsidRPr="00443662">
        <w:rPr>
          <w:bCs/>
        </w:rPr>
        <w:t xml:space="preserve"> or lower, Frontier is not obligated to pursue debt financing at a</w:t>
      </w:r>
      <w:r w:rsidR="00B108A0" w:rsidRPr="00443662">
        <w:rPr>
          <w:bCs/>
        </w:rPr>
        <w:t>n interest</w:t>
      </w:r>
      <w:r w:rsidR="00E7134A" w:rsidRPr="00443662">
        <w:rPr>
          <w:bCs/>
        </w:rPr>
        <w:t xml:space="preserve"> rate higher than 9.5 percent. </w:t>
      </w:r>
      <w:r w:rsidR="00D95FBC" w:rsidRPr="00443662">
        <w:rPr>
          <w:bCs/>
        </w:rPr>
        <w:t>Even though Frontier does not have to pursue issuing debt when the interest rate is greater than 9.5 percent, Verizon</w:t>
      </w:r>
      <w:r w:rsidR="0009023D" w:rsidRPr="00443662">
        <w:rPr>
          <w:bCs/>
        </w:rPr>
        <w:t xml:space="preserve"> does</w:t>
      </w:r>
      <w:r w:rsidR="00D95FBC" w:rsidRPr="00443662">
        <w:rPr>
          <w:bCs/>
        </w:rPr>
        <w:t xml:space="preserve"> ha</w:t>
      </w:r>
      <w:r w:rsidR="0009023D" w:rsidRPr="00443662">
        <w:rPr>
          <w:bCs/>
        </w:rPr>
        <w:t xml:space="preserve">ve </w:t>
      </w:r>
      <w:r w:rsidR="00D95FBC" w:rsidRPr="00443662">
        <w:rPr>
          <w:bCs/>
        </w:rPr>
        <w:t xml:space="preserve">the </w:t>
      </w:r>
      <w:r w:rsidR="0009023D" w:rsidRPr="00443662">
        <w:rPr>
          <w:bCs/>
        </w:rPr>
        <w:t>contractual right</w:t>
      </w:r>
      <w:r w:rsidR="00D95FBC" w:rsidRPr="00443662">
        <w:rPr>
          <w:bCs/>
        </w:rPr>
        <w:t xml:space="preserve"> to have debt securities transferred to the stockholders or creditors of Verizon. Thus Frontier’s inability to obtain debt financing at a rate 9.5 percent or lower does not necessarily </w:t>
      </w:r>
      <w:r w:rsidR="00576039" w:rsidRPr="00443662">
        <w:rPr>
          <w:bCs/>
        </w:rPr>
        <w:t>mean the transaction is dead</w:t>
      </w:r>
      <w:r w:rsidR="00D95FBC" w:rsidRPr="00443662">
        <w:rPr>
          <w:bCs/>
        </w:rPr>
        <w:t>.</w:t>
      </w:r>
      <w:r w:rsidR="00277C38" w:rsidRPr="00443662">
        <w:rPr>
          <w:bCs/>
        </w:rPr>
        <w:t xml:space="preserve"> </w:t>
      </w:r>
    </w:p>
    <w:p w:rsidR="009F3355" w:rsidRPr="00443662" w:rsidRDefault="00B6250A" w:rsidP="00B6250A">
      <w:pPr>
        <w:pStyle w:val="BodyTextIndent"/>
        <w:tabs>
          <w:tab w:val="left" w:pos="2970"/>
        </w:tabs>
        <w:rPr>
          <w:bCs/>
        </w:rPr>
      </w:pPr>
      <w:r w:rsidRPr="00443662">
        <w:rPr>
          <w:bCs/>
        </w:rPr>
        <w:tab/>
      </w:r>
      <w:r w:rsidR="00676D27" w:rsidRPr="00443662">
        <w:rPr>
          <w:bCs/>
        </w:rPr>
        <w:t xml:space="preserve"> </w:t>
      </w:r>
    </w:p>
    <w:p w:rsidR="00674465" w:rsidRPr="00443662" w:rsidRDefault="00086910" w:rsidP="00D95FBC">
      <w:pPr>
        <w:pStyle w:val="BodyTextIndent"/>
        <w:rPr>
          <w:b/>
          <w:bCs/>
        </w:rPr>
      </w:pPr>
      <w:r w:rsidRPr="00443662">
        <w:rPr>
          <w:b/>
          <w:bCs/>
        </w:rPr>
        <w:lastRenderedPageBreak/>
        <w:t>Q.</w:t>
      </w:r>
      <w:r w:rsidRPr="00443662">
        <w:rPr>
          <w:b/>
          <w:bCs/>
        </w:rPr>
        <w:tab/>
        <w:t xml:space="preserve">Are there other </w:t>
      </w:r>
      <w:r w:rsidR="00B108A0" w:rsidRPr="00443662">
        <w:rPr>
          <w:b/>
          <w:bCs/>
        </w:rPr>
        <w:t>financial issues</w:t>
      </w:r>
      <w:r w:rsidR="00F47924" w:rsidRPr="00443662">
        <w:rPr>
          <w:b/>
          <w:bCs/>
        </w:rPr>
        <w:t xml:space="preserve"> raised in </w:t>
      </w:r>
      <w:r w:rsidR="00B108A0" w:rsidRPr="00443662">
        <w:rPr>
          <w:b/>
          <w:bCs/>
        </w:rPr>
        <w:t>the Joint Applica</w:t>
      </w:r>
      <w:r w:rsidR="00CE572C" w:rsidRPr="00443662">
        <w:rPr>
          <w:b/>
          <w:bCs/>
        </w:rPr>
        <w:t>tion</w:t>
      </w:r>
      <w:r w:rsidR="00B108A0" w:rsidRPr="00443662">
        <w:rPr>
          <w:b/>
          <w:bCs/>
        </w:rPr>
        <w:t xml:space="preserve"> that cause S</w:t>
      </w:r>
      <w:r w:rsidR="00674465" w:rsidRPr="00443662">
        <w:rPr>
          <w:b/>
          <w:bCs/>
        </w:rPr>
        <w:t>taff concerns?</w:t>
      </w:r>
    </w:p>
    <w:p w:rsidR="00674465" w:rsidRPr="00443662" w:rsidRDefault="00674465" w:rsidP="00792BDD">
      <w:pPr>
        <w:pStyle w:val="BodyTextIndent"/>
        <w:rPr>
          <w:bCs/>
        </w:rPr>
      </w:pPr>
      <w:r w:rsidRPr="00443662">
        <w:rPr>
          <w:bCs/>
        </w:rPr>
        <w:t>A.</w:t>
      </w:r>
      <w:r w:rsidRPr="00443662">
        <w:rPr>
          <w:bCs/>
        </w:rPr>
        <w:tab/>
        <w:t>On page 17 of the Joint Application of part E, Frontier states “as a result of the Transaction, Frontier will have a stronger balance sheet and greater cash flow generation capabilities. Most notably, this Transaction will “de</w:t>
      </w:r>
      <w:r w:rsidR="00D95FBC" w:rsidRPr="00443662">
        <w:rPr>
          <w:bCs/>
        </w:rPr>
        <w:t>-</w:t>
      </w:r>
      <w:r w:rsidRPr="00443662">
        <w:rPr>
          <w:bCs/>
        </w:rPr>
        <w:t>lever” Frontier, i.e., it will reduce significantly the Company’s debt-to-EBITDA ratio. The increased financial strength is expected to improve Frontier’s access to capital and lower its cost of capital, which will inure to the benefit of the Washington operating companies and their customers.”</w:t>
      </w:r>
    </w:p>
    <w:p w:rsidR="00674465" w:rsidRPr="00443662" w:rsidRDefault="00674465" w:rsidP="00792BDD">
      <w:pPr>
        <w:pStyle w:val="BodyTextIndent"/>
        <w:rPr>
          <w:bCs/>
        </w:rPr>
      </w:pPr>
    </w:p>
    <w:p w:rsidR="00674465" w:rsidRPr="00443662" w:rsidRDefault="00674465" w:rsidP="00792BDD">
      <w:pPr>
        <w:pStyle w:val="BodyTextIndent"/>
        <w:rPr>
          <w:b/>
          <w:bCs/>
        </w:rPr>
      </w:pPr>
      <w:r w:rsidRPr="00443662">
        <w:rPr>
          <w:b/>
          <w:bCs/>
        </w:rPr>
        <w:t>Q.</w:t>
      </w:r>
      <w:r w:rsidRPr="00443662">
        <w:rPr>
          <w:b/>
          <w:bCs/>
        </w:rPr>
        <w:tab/>
        <w:t>Why does this passage cause concern?</w:t>
      </w:r>
    </w:p>
    <w:p w:rsidR="00FB1D1E" w:rsidRPr="00443662" w:rsidRDefault="00674465" w:rsidP="00792BDD">
      <w:pPr>
        <w:pStyle w:val="BodyTextIndent"/>
        <w:rPr>
          <w:bCs/>
        </w:rPr>
      </w:pPr>
      <w:r w:rsidRPr="00443662">
        <w:rPr>
          <w:bCs/>
        </w:rPr>
        <w:t>A.</w:t>
      </w:r>
      <w:r w:rsidRPr="00443662">
        <w:rPr>
          <w:bCs/>
        </w:rPr>
        <w:tab/>
        <w:t xml:space="preserve">The passage </w:t>
      </w:r>
      <w:r w:rsidR="00B108A0" w:rsidRPr="00443662">
        <w:rPr>
          <w:bCs/>
        </w:rPr>
        <w:t xml:space="preserve">causes concern because </w:t>
      </w:r>
      <w:r w:rsidRPr="00443662">
        <w:rPr>
          <w:bCs/>
        </w:rPr>
        <w:t xml:space="preserve">the financial implications of the transaction </w:t>
      </w:r>
      <w:r w:rsidR="00B108A0" w:rsidRPr="00443662">
        <w:rPr>
          <w:bCs/>
        </w:rPr>
        <w:t xml:space="preserve">are viewed </w:t>
      </w:r>
      <w:r w:rsidRPr="00443662">
        <w:rPr>
          <w:bCs/>
        </w:rPr>
        <w:t>from a flawed perspective. It is immaterial to customer</w:t>
      </w:r>
      <w:r w:rsidR="0009023D" w:rsidRPr="00443662">
        <w:rPr>
          <w:bCs/>
        </w:rPr>
        <w:t>s</w:t>
      </w:r>
      <w:r w:rsidRPr="00443662">
        <w:rPr>
          <w:bCs/>
        </w:rPr>
        <w:t xml:space="preserve"> in Washington if this transaction improves the financial condition of Frontier because Frontier does not have significant</w:t>
      </w:r>
      <w:r w:rsidR="00FB1D1E" w:rsidRPr="00443662">
        <w:rPr>
          <w:bCs/>
        </w:rPr>
        <w:t xml:space="preserve"> business offerings in Washington. This</w:t>
      </w:r>
      <w:r w:rsidR="00B108A0" w:rsidRPr="00443662">
        <w:rPr>
          <w:bCs/>
        </w:rPr>
        <w:t xml:space="preserve"> C</w:t>
      </w:r>
      <w:r w:rsidR="00FB1D1E" w:rsidRPr="00443662">
        <w:rPr>
          <w:bCs/>
        </w:rPr>
        <w:t>ommission should view the financial implications from the perspective of the local operating company and consider the likely impact that this transaction will have on</w:t>
      </w:r>
      <w:r w:rsidR="00B67EB9" w:rsidRPr="00443662">
        <w:rPr>
          <w:bCs/>
        </w:rPr>
        <w:t xml:space="preserve"> Verizon</w:t>
      </w:r>
      <w:r w:rsidR="00FB1D1E" w:rsidRPr="00443662">
        <w:rPr>
          <w:bCs/>
        </w:rPr>
        <w:t xml:space="preserve"> NW</w:t>
      </w:r>
      <w:r w:rsidR="00B67EB9" w:rsidRPr="00443662">
        <w:rPr>
          <w:bCs/>
        </w:rPr>
        <w:t>’s</w:t>
      </w:r>
      <w:r w:rsidR="0009023D" w:rsidRPr="00443662">
        <w:rPr>
          <w:bCs/>
        </w:rPr>
        <w:t xml:space="preserve"> financial </w:t>
      </w:r>
      <w:r w:rsidR="00FB1D1E" w:rsidRPr="00443662">
        <w:rPr>
          <w:bCs/>
        </w:rPr>
        <w:t>condition</w:t>
      </w:r>
      <w:r w:rsidR="00C3019E" w:rsidRPr="00443662">
        <w:rPr>
          <w:bCs/>
        </w:rPr>
        <w:t xml:space="preserve"> and </w:t>
      </w:r>
      <w:r w:rsidR="0009023D" w:rsidRPr="00443662">
        <w:rPr>
          <w:bCs/>
        </w:rPr>
        <w:t>its</w:t>
      </w:r>
      <w:r w:rsidR="00C3019E" w:rsidRPr="00443662">
        <w:rPr>
          <w:bCs/>
        </w:rPr>
        <w:t xml:space="preserve"> effect on Washington customers</w:t>
      </w:r>
      <w:r w:rsidR="00B108A0" w:rsidRPr="00443662">
        <w:rPr>
          <w:bCs/>
        </w:rPr>
        <w:t>. Frontier’s</w:t>
      </w:r>
      <w:r w:rsidR="00D40E77" w:rsidRPr="00443662">
        <w:rPr>
          <w:bCs/>
        </w:rPr>
        <w:t xml:space="preserve"> higher</w:t>
      </w:r>
      <w:r w:rsidR="00B108A0" w:rsidRPr="00443662">
        <w:rPr>
          <w:bCs/>
        </w:rPr>
        <w:t xml:space="preserve"> debt rating </w:t>
      </w:r>
      <w:r w:rsidR="00D40E77" w:rsidRPr="00443662">
        <w:rPr>
          <w:bCs/>
        </w:rPr>
        <w:t xml:space="preserve">compared to </w:t>
      </w:r>
      <w:r w:rsidR="00FB1D1E" w:rsidRPr="00443662">
        <w:rPr>
          <w:bCs/>
        </w:rPr>
        <w:t xml:space="preserve">Verizon’s </w:t>
      </w:r>
      <w:r w:rsidR="00B108A0" w:rsidRPr="00443662">
        <w:rPr>
          <w:bCs/>
        </w:rPr>
        <w:t>means that</w:t>
      </w:r>
      <w:r w:rsidR="00FB1D1E" w:rsidRPr="00443662">
        <w:rPr>
          <w:bCs/>
        </w:rPr>
        <w:t xml:space="preserve"> </w:t>
      </w:r>
      <w:r w:rsidR="00D40E77" w:rsidRPr="00443662">
        <w:rPr>
          <w:bCs/>
        </w:rPr>
        <w:t xml:space="preserve">Washington customers are likely </w:t>
      </w:r>
      <w:r w:rsidR="00FB1D1E" w:rsidRPr="00443662">
        <w:rPr>
          <w:bCs/>
        </w:rPr>
        <w:t>to be receiving services from a company with higher capital costs</w:t>
      </w:r>
      <w:r w:rsidR="00B108A0" w:rsidRPr="00443662">
        <w:rPr>
          <w:bCs/>
        </w:rPr>
        <w:t xml:space="preserve">. Even if Frontier is able to improve its financial condition as it predicts, it will still not be as strong as </w:t>
      </w:r>
      <w:r w:rsidR="008B3466" w:rsidRPr="00443662">
        <w:rPr>
          <w:bCs/>
        </w:rPr>
        <w:t>Verizon</w:t>
      </w:r>
      <w:r w:rsidR="00B108A0" w:rsidRPr="00443662">
        <w:rPr>
          <w:bCs/>
        </w:rPr>
        <w:t>.</w:t>
      </w:r>
      <w:r w:rsidR="00037A15" w:rsidRPr="00443662">
        <w:rPr>
          <w:bCs/>
        </w:rPr>
        <w:t xml:space="preserve"> </w:t>
      </w:r>
      <w:r w:rsidR="00B108A0" w:rsidRPr="00443662">
        <w:rPr>
          <w:bCs/>
        </w:rPr>
        <w:t xml:space="preserve">This </w:t>
      </w:r>
      <w:r w:rsidR="00FB1D1E" w:rsidRPr="00443662">
        <w:rPr>
          <w:bCs/>
        </w:rPr>
        <w:t>will cause harm to</w:t>
      </w:r>
      <w:r w:rsidR="00B108A0" w:rsidRPr="00443662">
        <w:rPr>
          <w:bCs/>
        </w:rPr>
        <w:t xml:space="preserve"> Washington</w:t>
      </w:r>
      <w:r w:rsidR="00FB1D1E" w:rsidRPr="00443662">
        <w:rPr>
          <w:bCs/>
        </w:rPr>
        <w:t xml:space="preserve"> customers</w:t>
      </w:r>
      <w:r w:rsidR="00B108A0" w:rsidRPr="00443662">
        <w:rPr>
          <w:bCs/>
        </w:rPr>
        <w:t xml:space="preserve"> of Verizon NW</w:t>
      </w:r>
      <w:r w:rsidR="00FB1D1E" w:rsidRPr="00443662">
        <w:rPr>
          <w:bCs/>
        </w:rPr>
        <w:t>.</w:t>
      </w:r>
    </w:p>
    <w:p w:rsidR="00D95FBC" w:rsidRPr="00443662" w:rsidRDefault="00D95FBC" w:rsidP="00792BDD">
      <w:pPr>
        <w:pStyle w:val="BodyTextIndent"/>
        <w:rPr>
          <w:bCs/>
        </w:rPr>
      </w:pPr>
    </w:p>
    <w:p w:rsidR="00D95FBC" w:rsidRPr="00443662" w:rsidRDefault="00D95FBC" w:rsidP="00792BDD">
      <w:pPr>
        <w:pStyle w:val="BodyTextIndent"/>
        <w:rPr>
          <w:b/>
          <w:bCs/>
        </w:rPr>
      </w:pPr>
      <w:r w:rsidRPr="00443662">
        <w:rPr>
          <w:b/>
          <w:bCs/>
        </w:rPr>
        <w:lastRenderedPageBreak/>
        <w:t>Q.</w:t>
      </w:r>
      <w:r w:rsidRPr="00443662">
        <w:rPr>
          <w:b/>
          <w:bCs/>
        </w:rPr>
        <w:tab/>
        <w:t>Does Frontier expect to achieve synergies from this transaction?</w:t>
      </w:r>
    </w:p>
    <w:p w:rsidR="00F47924" w:rsidRPr="00443662" w:rsidRDefault="00D95FBC" w:rsidP="00792BDD">
      <w:pPr>
        <w:pStyle w:val="BodyTextIndent"/>
        <w:rPr>
          <w:bCs/>
        </w:rPr>
      </w:pPr>
      <w:r w:rsidRPr="00443662">
        <w:rPr>
          <w:bCs/>
        </w:rPr>
        <w:t>A.</w:t>
      </w:r>
      <w:r w:rsidR="00D25C45" w:rsidRPr="00443662">
        <w:rPr>
          <w:bCs/>
        </w:rPr>
        <w:tab/>
      </w:r>
      <w:r w:rsidR="006D0FD0" w:rsidRPr="00443662">
        <w:rPr>
          <w:bCs/>
        </w:rPr>
        <w:t>Company witness Daniel McCarthy does not directly address synergies, but he states on page 18 of his testimony that “Frontier will become larger and stronger, which in turn wil</w:t>
      </w:r>
      <w:r w:rsidR="00FE05E4" w:rsidRPr="00443662">
        <w:rPr>
          <w:bCs/>
        </w:rPr>
        <w:t>l benefit Washington customers.”</w:t>
      </w:r>
      <w:r w:rsidR="006D0FD0" w:rsidRPr="00443662">
        <w:rPr>
          <w:bCs/>
        </w:rPr>
        <w:t xml:space="preserve"> The growth from 2.25 million access lines to more than 7 million access lines is a classic description of a company that expects to see economies of scope and scale to lower its per unit costs. </w:t>
      </w:r>
      <w:r w:rsidR="00FE05E4" w:rsidRPr="00443662">
        <w:rPr>
          <w:bCs/>
        </w:rPr>
        <w:t xml:space="preserve">When </w:t>
      </w:r>
      <w:r w:rsidR="006D0FD0" w:rsidRPr="00443662">
        <w:rPr>
          <w:bCs/>
        </w:rPr>
        <w:t>Frontier representatives</w:t>
      </w:r>
      <w:r w:rsidR="008B3466" w:rsidRPr="00443662">
        <w:rPr>
          <w:bCs/>
        </w:rPr>
        <w:t xml:space="preserve"> met with Staff and Public Counsel</w:t>
      </w:r>
      <w:r w:rsidR="006D0FD0" w:rsidRPr="00443662">
        <w:rPr>
          <w:bCs/>
        </w:rPr>
        <w:t xml:space="preserve"> in </w:t>
      </w:r>
      <w:r w:rsidR="00FE05E4" w:rsidRPr="00443662">
        <w:rPr>
          <w:bCs/>
        </w:rPr>
        <w:t>October,</w:t>
      </w:r>
      <w:r w:rsidR="008B3466" w:rsidRPr="00443662">
        <w:rPr>
          <w:bCs/>
        </w:rPr>
        <w:t xml:space="preserve"> </w:t>
      </w:r>
      <w:r w:rsidR="00FE05E4" w:rsidRPr="00443662">
        <w:rPr>
          <w:bCs/>
        </w:rPr>
        <w:t>a</w:t>
      </w:r>
      <w:r w:rsidR="008B3466" w:rsidRPr="00443662">
        <w:rPr>
          <w:bCs/>
        </w:rPr>
        <w:t xml:space="preserve"> company representative </w:t>
      </w:r>
      <w:r w:rsidR="006D0FD0" w:rsidRPr="00443662">
        <w:rPr>
          <w:bCs/>
        </w:rPr>
        <w:t>confirmed that economies of scope and scal</w:t>
      </w:r>
      <w:r w:rsidR="007811D2" w:rsidRPr="00443662">
        <w:rPr>
          <w:bCs/>
        </w:rPr>
        <w:t>e are the primary drivers of the</w:t>
      </w:r>
      <w:r w:rsidR="008B3466" w:rsidRPr="00443662">
        <w:rPr>
          <w:bCs/>
        </w:rPr>
        <w:t xml:space="preserve"> synergy estimate.</w:t>
      </w:r>
      <w:r w:rsidR="00F47924" w:rsidRPr="00443662">
        <w:rPr>
          <w:bCs/>
        </w:rPr>
        <w:t xml:space="preserve"> This argument is also made from a flawed perspective.</w:t>
      </w:r>
    </w:p>
    <w:p w:rsidR="00253DC9" w:rsidRPr="00443662" w:rsidRDefault="007811D2" w:rsidP="00792BDD">
      <w:pPr>
        <w:pStyle w:val="BodyTextIndent"/>
        <w:rPr>
          <w:bCs/>
        </w:rPr>
      </w:pPr>
      <w:r w:rsidRPr="00443662">
        <w:rPr>
          <w:bCs/>
        </w:rPr>
        <w:t xml:space="preserve"> </w:t>
      </w:r>
      <w:r w:rsidR="006045C9">
        <w:rPr>
          <w:bCs/>
        </w:rPr>
        <w:tab/>
      </w:r>
      <w:r w:rsidR="00DF0C54" w:rsidRPr="00443662">
        <w:rPr>
          <w:bCs/>
        </w:rPr>
        <w:tab/>
        <w:t>It is important to recognize that Verizon</w:t>
      </w:r>
      <w:r w:rsidR="00576039" w:rsidRPr="00443662">
        <w:rPr>
          <w:bCs/>
        </w:rPr>
        <w:t xml:space="preserve"> also</w:t>
      </w:r>
      <w:r w:rsidR="00DF0C54" w:rsidRPr="00443662">
        <w:rPr>
          <w:bCs/>
        </w:rPr>
        <w:t xml:space="preserve"> has economies of scope and scale for its operations </w:t>
      </w:r>
      <w:r w:rsidR="00FE6ADF" w:rsidRPr="00443662">
        <w:rPr>
          <w:bCs/>
        </w:rPr>
        <w:t xml:space="preserve">that </w:t>
      </w:r>
      <w:r w:rsidR="00AE49C8" w:rsidRPr="00443662">
        <w:rPr>
          <w:bCs/>
        </w:rPr>
        <w:t xml:space="preserve">flows </w:t>
      </w:r>
      <w:r w:rsidR="00F54EC0" w:rsidRPr="00443662">
        <w:rPr>
          <w:bCs/>
        </w:rPr>
        <w:t xml:space="preserve">to </w:t>
      </w:r>
      <w:r w:rsidR="00F47924" w:rsidRPr="00443662">
        <w:rPr>
          <w:bCs/>
        </w:rPr>
        <w:t>its</w:t>
      </w:r>
      <w:r w:rsidR="00DF0C54" w:rsidRPr="00443662">
        <w:rPr>
          <w:bCs/>
        </w:rPr>
        <w:t xml:space="preserve"> operating companies, including Verizon NW.</w:t>
      </w:r>
      <w:r w:rsidR="00FE6ADF" w:rsidRPr="00443662">
        <w:rPr>
          <w:bCs/>
        </w:rPr>
        <w:t xml:space="preserve"> </w:t>
      </w:r>
      <w:r w:rsidR="00AE49C8" w:rsidRPr="00443662">
        <w:rPr>
          <w:bCs/>
        </w:rPr>
        <w:t>According to the Federal Communications Commission’s A</w:t>
      </w:r>
      <w:r w:rsidR="00FE05E4" w:rsidRPr="00443662">
        <w:rPr>
          <w:bCs/>
        </w:rPr>
        <w:t>utomat</w:t>
      </w:r>
      <w:r w:rsidR="00F47924" w:rsidRPr="00443662">
        <w:rPr>
          <w:bCs/>
        </w:rPr>
        <w:t>ed</w:t>
      </w:r>
      <w:r w:rsidR="00FE05E4" w:rsidRPr="00443662">
        <w:rPr>
          <w:bCs/>
        </w:rPr>
        <w:t xml:space="preserve"> </w:t>
      </w:r>
      <w:r w:rsidR="00AE49C8" w:rsidRPr="00443662">
        <w:rPr>
          <w:bCs/>
        </w:rPr>
        <w:t>R</w:t>
      </w:r>
      <w:r w:rsidR="00FE05E4" w:rsidRPr="00443662">
        <w:rPr>
          <w:bCs/>
        </w:rPr>
        <w:t>e</w:t>
      </w:r>
      <w:r w:rsidR="00F47924" w:rsidRPr="00443662">
        <w:rPr>
          <w:bCs/>
        </w:rPr>
        <w:t>p</w:t>
      </w:r>
      <w:r w:rsidR="00FE05E4" w:rsidRPr="00443662">
        <w:rPr>
          <w:bCs/>
        </w:rPr>
        <w:t>or</w:t>
      </w:r>
      <w:r w:rsidR="00F47924" w:rsidRPr="00443662">
        <w:rPr>
          <w:bCs/>
        </w:rPr>
        <w:t>t</w:t>
      </w:r>
      <w:r w:rsidR="00FE05E4" w:rsidRPr="00443662">
        <w:rPr>
          <w:bCs/>
        </w:rPr>
        <w:t>ing Management Information System (AR</w:t>
      </w:r>
      <w:r w:rsidR="00AE49C8" w:rsidRPr="00443662">
        <w:rPr>
          <w:bCs/>
        </w:rPr>
        <w:t>MIS</w:t>
      </w:r>
      <w:r w:rsidR="00FE05E4" w:rsidRPr="00443662">
        <w:rPr>
          <w:bCs/>
        </w:rPr>
        <w:t>)</w:t>
      </w:r>
      <w:r w:rsidR="00AE49C8" w:rsidRPr="00443662">
        <w:rPr>
          <w:bCs/>
        </w:rPr>
        <w:t xml:space="preserve"> report, Verizon had</w:t>
      </w:r>
      <w:r w:rsidR="00FE6ADF" w:rsidRPr="00443662">
        <w:rPr>
          <w:bCs/>
        </w:rPr>
        <w:t xml:space="preserve"> </w:t>
      </w:r>
      <w:r w:rsidR="00AE49C8" w:rsidRPr="00443662">
        <w:rPr>
          <w:bCs/>
        </w:rPr>
        <w:t xml:space="preserve">approximately 34 million access lines on December 31, 2008. Verizon NW </w:t>
      </w:r>
      <w:r w:rsidR="00FE05E4" w:rsidRPr="00443662">
        <w:rPr>
          <w:bCs/>
        </w:rPr>
        <w:t>benefits from Verizon’s</w:t>
      </w:r>
      <w:r w:rsidR="00AE49C8" w:rsidRPr="00443662">
        <w:rPr>
          <w:bCs/>
        </w:rPr>
        <w:t xml:space="preserve"> economies of scale and scope</w:t>
      </w:r>
      <w:r w:rsidR="00FE05E4" w:rsidRPr="00443662">
        <w:rPr>
          <w:bCs/>
        </w:rPr>
        <w:t>, which are</w:t>
      </w:r>
      <w:r w:rsidR="000F3536" w:rsidRPr="00443662">
        <w:rPr>
          <w:bCs/>
        </w:rPr>
        <w:t xml:space="preserve"> based upon</w:t>
      </w:r>
      <w:r w:rsidR="00576039" w:rsidRPr="00443662">
        <w:rPr>
          <w:bCs/>
        </w:rPr>
        <w:t xml:space="preserve"> a</w:t>
      </w:r>
      <w:r w:rsidR="00AF78F9" w:rsidRPr="00443662">
        <w:rPr>
          <w:bCs/>
        </w:rPr>
        <w:t xml:space="preserve"> much</w:t>
      </w:r>
      <w:r w:rsidR="00576039" w:rsidRPr="00443662">
        <w:rPr>
          <w:bCs/>
        </w:rPr>
        <w:t xml:space="preserve"> larger base of </w:t>
      </w:r>
      <w:r w:rsidR="001B0DFC" w:rsidRPr="00443662">
        <w:rPr>
          <w:bCs/>
        </w:rPr>
        <w:t xml:space="preserve">access lines </w:t>
      </w:r>
      <w:r w:rsidR="00576039" w:rsidRPr="00443662">
        <w:rPr>
          <w:bCs/>
        </w:rPr>
        <w:t>than Frontier. Logic dictates Verizon NW cu</w:t>
      </w:r>
      <w:r w:rsidR="00253DC9" w:rsidRPr="00443662">
        <w:rPr>
          <w:bCs/>
        </w:rPr>
        <w:t>stomers will not experience any</w:t>
      </w:r>
      <w:r w:rsidR="00576039" w:rsidRPr="00443662">
        <w:rPr>
          <w:bCs/>
        </w:rPr>
        <w:t xml:space="preserve"> synergies </w:t>
      </w:r>
      <w:r w:rsidR="00AF78F9" w:rsidRPr="00443662">
        <w:rPr>
          <w:bCs/>
        </w:rPr>
        <w:t xml:space="preserve">from this transaction </w:t>
      </w:r>
      <w:r w:rsidR="00576039" w:rsidRPr="00443662">
        <w:rPr>
          <w:bCs/>
        </w:rPr>
        <w:t>b</w:t>
      </w:r>
      <w:r w:rsidR="00F54EC0" w:rsidRPr="00443662">
        <w:rPr>
          <w:bCs/>
        </w:rPr>
        <w:t xml:space="preserve">ecause </w:t>
      </w:r>
      <w:r w:rsidR="00F47924" w:rsidRPr="00443662">
        <w:rPr>
          <w:bCs/>
        </w:rPr>
        <w:t>the company</w:t>
      </w:r>
      <w:r w:rsidR="00F54EC0" w:rsidRPr="00443662">
        <w:rPr>
          <w:bCs/>
        </w:rPr>
        <w:t xml:space="preserve"> will experience higher</w:t>
      </w:r>
      <w:r w:rsidR="00576039" w:rsidRPr="00443662">
        <w:rPr>
          <w:bCs/>
        </w:rPr>
        <w:t xml:space="preserve"> per unit costs in the Washington operations</w:t>
      </w:r>
      <w:r w:rsidR="00253DC9" w:rsidRPr="00443662">
        <w:rPr>
          <w:bCs/>
        </w:rPr>
        <w:t xml:space="preserve"> </w:t>
      </w:r>
      <w:r w:rsidR="00AF78F9" w:rsidRPr="00443662">
        <w:rPr>
          <w:bCs/>
        </w:rPr>
        <w:t xml:space="preserve">should </w:t>
      </w:r>
      <w:r w:rsidR="00674D16" w:rsidRPr="00443662">
        <w:rPr>
          <w:bCs/>
        </w:rPr>
        <w:t>the company</w:t>
      </w:r>
      <w:r w:rsidR="00AF78F9" w:rsidRPr="00443662">
        <w:rPr>
          <w:bCs/>
        </w:rPr>
        <w:t xml:space="preserve"> become a subsidiary</w:t>
      </w:r>
      <w:r w:rsidR="00253DC9" w:rsidRPr="00443662">
        <w:rPr>
          <w:bCs/>
        </w:rPr>
        <w:t xml:space="preserve"> of Frontier</w:t>
      </w:r>
      <w:r w:rsidR="00576039" w:rsidRPr="00443662">
        <w:rPr>
          <w:bCs/>
        </w:rPr>
        <w:t>.</w:t>
      </w:r>
      <w:r w:rsidR="00253DC9" w:rsidRPr="00443662">
        <w:rPr>
          <w:bCs/>
        </w:rPr>
        <w:t xml:space="preserve"> Any synergies experienced by</w:t>
      </w:r>
      <w:r w:rsidR="00674D16" w:rsidRPr="00443662">
        <w:rPr>
          <w:bCs/>
        </w:rPr>
        <w:t xml:space="preserve"> </w:t>
      </w:r>
      <w:r w:rsidR="00253DC9" w:rsidRPr="00443662">
        <w:rPr>
          <w:bCs/>
        </w:rPr>
        <w:t xml:space="preserve">Frontier </w:t>
      </w:r>
      <w:r w:rsidR="00674D16" w:rsidRPr="00443662">
        <w:rPr>
          <w:bCs/>
        </w:rPr>
        <w:t>may</w:t>
      </w:r>
      <w:r w:rsidR="00253DC9" w:rsidRPr="00443662">
        <w:rPr>
          <w:bCs/>
        </w:rPr>
        <w:t xml:space="preserve"> be beneficial to </w:t>
      </w:r>
      <w:r w:rsidR="00674D16" w:rsidRPr="00443662">
        <w:rPr>
          <w:bCs/>
        </w:rPr>
        <w:t>Frontier</w:t>
      </w:r>
      <w:r w:rsidR="00253DC9" w:rsidRPr="00443662">
        <w:rPr>
          <w:bCs/>
        </w:rPr>
        <w:t xml:space="preserve"> and its existing customer base but not to</w:t>
      </w:r>
      <w:r w:rsidR="00F54EC0" w:rsidRPr="00443662">
        <w:rPr>
          <w:bCs/>
        </w:rPr>
        <w:t xml:space="preserve"> the Washington</w:t>
      </w:r>
      <w:r w:rsidR="00253DC9" w:rsidRPr="00443662">
        <w:rPr>
          <w:bCs/>
        </w:rPr>
        <w:t xml:space="preserve"> Verizon customers</w:t>
      </w:r>
      <w:r w:rsidR="00F54EC0" w:rsidRPr="00443662">
        <w:rPr>
          <w:bCs/>
        </w:rPr>
        <w:t xml:space="preserve"> Frontier intends to acquire.</w:t>
      </w:r>
    </w:p>
    <w:p w:rsidR="00C82C83" w:rsidRPr="00443662" w:rsidRDefault="00C82C83" w:rsidP="00792BDD">
      <w:pPr>
        <w:pStyle w:val="BodyTextIndent"/>
        <w:rPr>
          <w:bCs/>
        </w:rPr>
      </w:pPr>
    </w:p>
    <w:p w:rsidR="00FE05E4" w:rsidRPr="00443662" w:rsidRDefault="00D40E77" w:rsidP="00D77E0B">
      <w:pPr>
        <w:pStyle w:val="BodyTextIndent"/>
        <w:rPr>
          <w:b/>
          <w:bCs/>
        </w:rPr>
      </w:pPr>
      <w:r w:rsidRPr="00443662">
        <w:rPr>
          <w:b/>
          <w:bCs/>
        </w:rPr>
        <w:lastRenderedPageBreak/>
        <w:t>Q.</w:t>
      </w:r>
      <w:r w:rsidRPr="00443662">
        <w:rPr>
          <w:b/>
          <w:bCs/>
        </w:rPr>
        <w:tab/>
      </w:r>
      <w:r w:rsidR="00F47924" w:rsidRPr="00443662">
        <w:rPr>
          <w:b/>
          <w:bCs/>
        </w:rPr>
        <w:t xml:space="preserve">How were </w:t>
      </w:r>
      <w:r w:rsidR="00D77E0B" w:rsidRPr="00443662">
        <w:rPr>
          <w:b/>
          <w:bCs/>
        </w:rPr>
        <w:t xml:space="preserve">Frontier’s </w:t>
      </w:r>
      <w:r w:rsidR="00F47924" w:rsidRPr="00443662">
        <w:rPr>
          <w:b/>
          <w:bCs/>
        </w:rPr>
        <w:t>s</w:t>
      </w:r>
      <w:r w:rsidR="00D77E0B" w:rsidRPr="00443662">
        <w:rPr>
          <w:b/>
          <w:bCs/>
        </w:rPr>
        <w:t>ynergy estimates</w:t>
      </w:r>
      <w:r w:rsidR="00F47924" w:rsidRPr="00443662">
        <w:rPr>
          <w:b/>
          <w:bCs/>
        </w:rPr>
        <w:t xml:space="preserve"> developed and d</w:t>
      </w:r>
      <w:r w:rsidR="00742CEA" w:rsidRPr="00443662">
        <w:rPr>
          <w:b/>
          <w:bCs/>
        </w:rPr>
        <w:t xml:space="preserve">oes this process </w:t>
      </w:r>
      <w:r w:rsidR="00F47924" w:rsidRPr="00443662">
        <w:rPr>
          <w:b/>
          <w:bCs/>
        </w:rPr>
        <w:t>give you confidence in those estimates?</w:t>
      </w:r>
      <w:r w:rsidR="0044723C" w:rsidRPr="00443662">
        <w:rPr>
          <w:b/>
          <w:bCs/>
        </w:rPr>
        <w:t xml:space="preserve">  </w:t>
      </w:r>
    </w:p>
    <w:p w:rsidR="00FE05E4" w:rsidRPr="00443662" w:rsidRDefault="00D77E0B" w:rsidP="00D77E0B">
      <w:pPr>
        <w:pStyle w:val="BodyTextIndent"/>
        <w:rPr>
          <w:bCs/>
        </w:rPr>
      </w:pPr>
      <w:r w:rsidRPr="00443662">
        <w:rPr>
          <w:bCs/>
        </w:rPr>
        <w:t>A.</w:t>
      </w:r>
      <w:r w:rsidRPr="00443662">
        <w:rPr>
          <w:bCs/>
        </w:rPr>
        <w:tab/>
        <w:t>Frontier</w:t>
      </w:r>
      <w:r w:rsidR="00FE05E4" w:rsidRPr="00443662">
        <w:rPr>
          <w:bCs/>
        </w:rPr>
        <w:t xml:space="preserve"> explains how it developed its</w:t>
      </w:r>
      <w:r w:rsidRPr="00443662">
        <w:rPr>
          <w:bCs/>
        </w:rPr>
        <w:t xml:space="preserve"> synergy estimates</w:t>
      </w:r>
      <w:r w:rsidR="00FE05E4" w:rsidRPr="00443662">
        <w:rPr>
          <w:bCs/>
        </w:rPr>
        <w:t xml:space="preserve"> as follows:</w:t>
      </w:r>
    </w:p>
    <w:p w:rsidR="00647EC5" w:rsidRPr="00443662" w:rsidRDefault="0076001D" w:rsidP="00647EC5">
      <w:pPr>
        <w:pStyle w:val="BodyTextIndent"/>
        <w:spacing w:line="240" w:lineRule="auto"/>
        <w:ind w:left="1440" w:firstLine="0"/>
        <w:rPr>
          <w:bCs/>
        </w:rPr>
      </w:pPr>
      <w:r w:rsidRPr="00443662">
        <w:rPr>
          <w:bCs/>
        </w:rPr>
        <w:t>Using</w:t>
      </w:r>
      <w:r w:rsidR="00DD56E7" w:rsidRPr="00443662">
        <w:rPr>
          <w:bCs/>
        </w:rPr>
        <w:t xml:space="preserve"> </w:t>
      </w:r>
      <w:r w:rsidR="00D77E0B" w:rsidRPr="00443662">
        <w:rPr>
          <w:bCs/>
        </w:rPr>
        <w:t xml:space="preserve">revenue and unit information, and the underlying metrics of demand activity that were available in the data room and via discussions with Verizon personnel, Frontier compared its stand-alone operating performance metrics to the projected view of </w:t>
      </w:r>
      <w:proofErr w:type="spellStart"/>
      <w:r w:rsidR="00D77E0B" w:rsidRPr="00443662">
        <w:rPr>
          <w:bCs/>
        </w:rPr>
        <w:t>SpinCo</w:t>
      </w:r>
      <w:proofErr w:type="spellEnd"/>
      <w:r w:rsidR="00D77E0B" w:rsidRPr="00443662">
        <w:rPr>
          <w:bCs/>
        </w:rPr>
        <w:t xml:space="preserve"> for the </w:t>
      </w:r>
      <w:r w:rsidR="00674D16" w:rsidRPr="00443662">
        <w:rPr>
          <w:bCs/>
        </w:rPr>
        <w:t>fiscal year</w:t>
      </w:r>
      <w:r w:rsidR="00D77E0B" w:rsidRPr="00443662">
        <w:rPr>
          <w:bCs/>
        </w:rPr>
        <w:t xml:space="preserve"> 2013</w:t>
      </w:r>
      <w:r w:rsidR="00674D16" w:rsidRPr="00443662">
        <w:rPr>
          <w:bCs/>
        </w:rPr>
        <w:t>. O</w:t>
      </w:r>
      <w:r w:rsidR="00D77E0B" w:rsidRPr="00443662">
        <w:rPr>
          <w:bCs/>
        </w:rPr>
        <w:t>ur functional area team develop</w:t>
      </w:r>
      <w:r w:rsidR="00F47924" w:rsidRPr="00443662">
        <w:rPr>
          <w:bCs/>
        </w:rPr>
        <w:t>ed</w:t>
      </w:r>
      <w:r w:rsidR="00D77E0B" w:rsidRPr="00443662">
        <w:rPr>
          <w:bCs/>
        </w:rPr>
        <w:t xml:space="preserve"> a view of incremental headcount, wage expense (see Exhibit A.) and non-wage expenses (see Exhibit B.) necessary to operate the acquired properties at current Frontier stand-alone performance levels.</w:t>
      </w:r>
      <w:r w:rsidR="00D77E0B" w:rsidRPr="00443662">
        <w:rPr>
          <w:rStyle w:val="FootnoteReference"/>
          <w:bCs/>
        </w:rPr>
        <w:footnoteReference w:id="2"/>
      </w:r>
    </w:p>
    <w:p w:rsidR="00647EC5" w:rsidRPr="00443662" w:rsidRDefault="00742CEA" w:rsidP="00647EC5">
      <w:pPr>
        <w:pStyle w:val="BodyTextIndent"/>
        <w:spacing w:line="240" w:lineRule="auto"/>
        <w:ind w:left="1440" w:firstLine="0"/>
        <w:rPr>
          <w:bCs/>
        </w:rPr>
      </w:pPr>
      <w:r w:rsidRPr="00443662">
        <w:rPr>
          <w:bCs/>
        </w:rPr>
        <w:t xml:space="preserve">  </w:t>
      </w:r>
    </w:p>
    <w:p w:rsidR="00C82C83" w:rsidRPr="00443662" w:rsidRDefault="00742CEA" w:rsidP="00F47924">
      <w:pPr>
        <w:pStyle w:val="BodyTextIndent"/>
        <w:ind w:firstLine="0"/>
        <w:rPr>
          <w:bCs/>
        </w:rPr>
      </w:pPr>
      <w:r w:rsidRPr="00443662">
        <w:rPr>
          <w:bCs/>
        </w:rPr>
        <w:t xml:space="preserve">What is troubling about this analysis is the limited amount of information that was available to Frontier at the time of its development and the resulting caveats that Frontier has attached to this analysis.  According to Frontier’s supporting documentation for its synergy claims:  </w:t>
      </w:r>
    </w:p>
    <w:p w:rsidR="00CE572C" w:rsidRPr="00443662" w:rsidRDefault="0076001D">
      <w:pPr>
        <w:pStyle w:val="BodyTextIndent"/>
        <w:spacing w:line="240" w:lineRule="auto"/>
        <w:ind w:left="1440" w:right="720" w:firstLine="0"/>
        <w:rPr>
          <w:bCs/>
        </w:rPr>
      </w:pPr>
      <w:r w:rsidRPr="00443662">
        <w:rPr>
          <w:bCs/>
        </w:rPr>
        <w:t xml:space="preserve"> D</w:t>
      </w:r>
      <w:r w:rsidR="00D77E0B" w:rsidRPr="00443662">
        <w:rPr>
          <w:bCs/>
        </w:rPr>
        <w:t>ue to the nature of the data provided, synergy estimates by functional area and by state were unable to be created.  Additionally, the calculation of synergies used numerous estimates and assumptions, which have yet to be validated by supporting documentation from Verizon. No information regarding Verizon’s “realignment” plan was provided prior to the determination of the anticipated value of the synergies.</w:t>
      </w:r>
      <w:r w:rsidR="00647EC5" w:rsidRPr="00443662">
        <w:rPr>
          <w:vertAlign w:val="superscript"/>
        </w:rPr>
        <w:footnoteReference w:id="3"/>
      </w:r>
      <w:r w:rsidR="00D77E0B" w:rsidRPr="00443662">
        <w:rPr>
          <w:bCs/>
        </w:rPr>
        <w:t xml:space="preserve"> </w:t>
      </w:r>
    </w:p>
    <w:p w:rsidR="007D395B" w:rsidRPr="00443662" w:rsidRDefault="007D395B">
      <w:pPr>
        <w:pStyle w:val="BodyTextIndent"/>
        <w:spacing w:line="240" w:lineRule="auto"/>
        <w:ind w:left="1440" w:right="720" w:firstLine="0"/>
        <w:rPr>
          <w:bCs/>
        </w:rPr>
      </w:pPr>
    </w:p>
    <w:p w:rsidR="002A2DEF" w:rsidRPr="00443662" w:rsidRDefault="002A2DEF" w:rsidP="00792BDD">
      <w:pPr>
        <w:pStyle w:val="BodyTextIndent"/>
        <w:rPr>
          <w:bCs/>
        </w:rPr>
      </w:pPr>
      <w:r w:rsidRPr="00443662">
        <w:rPr>
          <w:bCs/>
        </w:rPr>
        <w:tab/>
      </w:r>
      <w:r w:rsidR="00F47924" w:rsidRPr="00443662">
        <w:rPr>
          <w:bCs/>
        </w:rPr>
        <w:t>Given the limited amount of information available to Frontier, there is reason to doubt the company’s estimate of synergy benefits. Failure to achieve synergy benefits would mean less money available for investment in the network in Washington and elsewhere, or for the competing demands of Frontier’s dividend policy.</w:t>
      </w:r>
    </w:p>
    <w:p w:rsidR="002A2DEF" w:rsidRPr="00443662" w:rsidRDefault="002A2DEF" w:rsidP="00792BDD">
      <w:pPr>
        <w:pStyle w:val="BodyTextIndent"/>
        <w:rPr>
          <w:bCs/>
        </w:rPr>
      </w:pPr>
    </w:p>
    <w:p w:rsidR="009606B3" w:rsidRPr="00443662" w:rsidRDefault="009606B3" w:rsidP="009606B3">
      <w:pPr>
        <w:pStyle w:val="BodyTextIndent"/>
        <w:rPr>
          <w:b/>
          <w:bCs/>
        </w:rPr>
      </w:pPr>
      <w:r w:rsidRPr="00443662">
        <w:rPr>
          <w:b/>
          <w:bCs/>
        </w:rPr>
        <w:lastRenderedPageBreak/>
        <w:t>Q.</w:t>
      </w:r>
      <w:r w:rsidRPr="00443662">
        <w:rPr>
          <w:b/>
          <w:bCs/>
        </w:rPr>
        <w:tab/>
        <w:t>Does Staff have concerns about the availability</w:t>
      </w:r>
      <w:r w:rsidR="008B3466" w:rsidRPr="00443662">
        <w:rPr>
          <w:b/>
          <w:bCs/>
        </w:rPr>
        <w:t xml:space="preserve"> of data</w:t>
      </w:r>
      <w:r w:rsidRPr="00443662">
        <w:rPr>
          <w:b/>
          <w:bCs/>
        </w:rPr>
        <w:t xml:space="preserve"> to ad</w:t>
      </w:r>
      <w:r w:rsidR="00F47924" w:rsidRPr="00443662">
        <w:rPr>
          <w:b/>
          <w:bCs/>
        </w:rPr>
        <w:t>equately analyze the merger</w:t>
      </w:r>
      <w:r w:rsidRPr="00443662">
        <w:rPr>
          <w:b/>
          <w:bCs/>
        </w:rPr>
        <w:t>?</w:t>
      </w:r>
    </w:p>
    <w:p w:rsidR="00D20FAA" w:rsidRPr="00443662" w:rsidRDefault="009606B3" w:rsidP="00F47924">
      <w:pPr>
        <w:pStyle w:val="BodyTextIndent"/>
        <w:rPr>
          <w:bCs/>
        </w:rPr>
      </w:pPr>
      <w:r w:rsidRPr="00443662">
        <w:rPr>
          <w:bCs/>
        </w:rPr>
        <w:t>A.</w:t>
      </w:r>
      <w:r w:rsidRPr="00443662">
        <w:rPr>
          <w:bCs/>
        </w:rPr>
        <w:tab/>
        <w:t>Yes</w:t>
      </w:r>
      <w:r w:rsidR="006045C9">
        <w:rPr>
          <w:bCs/>
        </w:rPr>
        <w:t>,</w:t>
      </w:r>
      <w:r w:rsidR="0076001D" w:rsidRPr="00443662">
        <w:rPr>
          <w:bCs/>
        </w:rPr>
        <w:t xml:space="preserve"> we</w:t>
      </w:r>
      <w:r w:rsidRPr="00443662">
        <w:rPr>
          <w:bCs/>
        </w:rPr>
        <w:t xml:space="preserve"> do</w:t>
      </w:r>
      <w:r w:rsidR="0076001D" w:rsidRPr="00443662">
        <w:rPr>
          <w:bCs/>
        </w:rPr>
        <w:t>.</w:t>
      </w:r>
      <w:r w:rsidRPr="00443662">
        <w:rPr>
          <w:bCs/>
        </w:rPr>
        <w:t xml:space="preserve"> </w:t>
      </w:r>
      <w:r w:rsidR="006045C9">
        <w:rPr>
          <w:bCs/>
        </w:rPr>
        <w:t xml:space="preserve">  </w:t>
      </w:r>
      <w:r w:rsidRPr="00443662">
        <w:rPr>
          <w:bCs/>
        </w:rPr>
        <w:t>Telecommunications</w:t>
      </w:r>
      <w:r w:rsidR="0076001D" w:rsidRPr="00443662">
        <w:rPr>
          <w:bCs/>
        </w:rPr>
        <w:t xml:space="preserve"> companies are</w:t>
      </w:r>
      <w:r w:rsidRPr="00443662">
        <w:rPr>
          <w:bCs/>
        </w:rPr>
        <w:t xml:space="preserve"> experiencing rapid technological and market changes from entitie</w:t>
      </w:r>
      <w:r w:rsidR="00F54EC0" w:rsidRPr="00443662">
        <w:rPr>
          <w:bCs/>
        </w:rPr>
        <w:t>s such as cable companies,</w:t>
      </w:r>
      <w:r w:rsidR="0076001D" w:rsidRPr="00443662">
        <w:rPr>
          <w:bCs/>
        </w:rPr>
        <w:t xml:space="preserve"> and</w:t>
      </w:r>
      <w:r w:rsidRPr="00443662">
        <w:rPr>
          <w:bCs/>
        </w:rPr>
        <w:t xml:space="preserve"> voice over internet provid</w:t>
      </w:r>
      <w:r w:rsidR="008B3466" w:rsidRPr="00443662">
        <w:rPr>
          <w:bCs/>
        </w:rPr>
        <w:t>ers</w:t>
      </w:r>
      <w:r w:rsidR="0076001D" w:rsidRPr="00443662">
        <w:rPr>
          <w:bCs/>
        </w:rPr>
        <w:t>.</w:t>
      </w:r>
      <w:r w:rsidR="008B3466" w:rsidRPr="00443662">
        <w:rPr>
          <w:bCs/>
        </w:rPr>
        <w:t xml:space="preserve"> These conditions make</w:t>
      </w:r>
      <w:r w:rsidRPr="00443662">
        <w:rPr>
          <w:bCs/>
        </w:rPr>
        <w:t xml:space="preserve"> merger analysis of telecommunication companies much more difficult</w:t>
      </w:r>
      <w:r w:rsidR="0076001D" w:rsidRPr="00443662">
        <w:rPr>
          <w:bCs/>
        </w:rPr>
        <w:t xml:space="preserve"> than in the other industries the Commission regulates</w:t>
      </w:r>
      <w:r w:rsidRPr="00443662">
        <w:rPr>
          <w:bCs/>
        </w:rPr>
        <w:t xml:space="preserve"> because of the loss of access lines and market share to their competitors.</w:t>
      </w:r>
      <w:r w:rsidR="0076001D" w:rsidRPr="00443662">
        <w:rPr>
          <w:bCs/>
        </w:rPr>
        <w:t xml:space="preserve"> Frontier’s own disclosures (discussed below) regarding the many risks attendant to this transaction should raise the bar for the company to present convincing evidence that the transaction will be a success. T</w:t>
      </w:r>
      <w:r w:rsidR="0040561F" w:rsidRPr="00443662">
        <w:rPr>
          <w:bCs/>
        </w:rPr>
        <w:t xml:space="preserve">he disastrous history of recent local exchange business sales by Verizon, described in the testimony of Robert Williamson and other witnesses </w:t>
      </w:r>
      <w:r w:rsidR="00F47924" w:rsidRPr="00443662">
        <w:rPr>
          <w:bCs/>
        </w:rPr>
        <w:t>in</w:t>
      </w:r>
      <w:r w:rsidR="0040561F" w:rsidRPr="00443662">
        <w:rPr>
          <w:bCs/>
        </w:rPr>
        <w:t xml:space="preserve"> this case make the showing of due diligence on the part of Frontier even more important. The company’s direct testimony does almost nothing to assure this Commission that Frontier is up to the task of addressing the many risks that the company admits to in its </w:t>
      </w:r>
      <w:r w:rsidR="00D40E77" w:rsidRPr="00443662">
        <w:rPr>
          <w:bCs/>
        </w:rPr>
        <w:t xml:space="preserve">Security and Exchange Commission </w:t>
      </w:r>
      <w:r w:rsidR="0040561F" w:rsidRPr="00443662">
        <w:rPr>
          <w:bCs/>
        </w:rPr>
        <w:t>S-4</w:t>
      </w:r>
      <w:r w:rsidR="00D40E77" w:rsidRPr="00443662">
        <w:rPr>
          <w:bCs/>
        </w:rPr>
        <w:t xml:space="preserve"> filing </w:t>
      </w:r>
      <w:r w:rsidR="0040561F" w:rsidRPr="00443662">
        <w:rPr>
          <w:bCs/>
        </w:rPr>
        <w:t>disclosures</w:t>
      </w:r>
      <w:r w:rsidR="00D40E77" w:rsidRPr="00443662">
        <w:rPr>
          <w:bCs/>
        </w:rPr>
        <w:t xml:space="preserve"> (Exhibit DM-7)</w:t>
      </w:r>
      <w:r w:rsidR="0040561F" w:rsidRPr="00443662">
        <w:rPr>
          <w:bCs/>
        </w:rPr>
        <w:t>.</w:t>
      </w:r>
    </w:p>
    <w:p w:rsidR="00D20FAA" w:rsidRPr="00443662" w:rsidRDefault="0040561F" w:rsidP="006045C9">
      <w:pPr>
        <w:pStyle w:val="BodyTextIndent"/>
        <w:rPr>
          <w:bCs/>
        </w:rPr>
      </w:pPr>
      <w:r w:rsidRPr="00443662">
        <w:rPr>
          <w:bCs/>
        </w:rPr>
        <w:t xml:space="preserve"> </w:t>
      </w:r>
      <w:r w:rsidR="006045C9">
        <w:rPr>
          <w:bCs/>
        </w:rPr>
        <w:tab/>
      </w:r>
      <w:r w:rsidR="006045C9">
        <w:rPr>
          <w:bCs/>
        </w:rPr>
        <w:tab/>
      </w:r>
      <w:r w:rsidRPr="00443662">
        <w:rPr>
          <w:bCs/>
        </w:rPr>
        <w:t xml:space="preserve">Another factor the </w:t>
      </w:r>
      <w:r w:rsidR="006C1C65">
        <w:rPr>
          <w:bCs/>
        </w:rPr>
        <w:t>C</w:t>
      </w:r>
      <w:r w:rsidRPr="00443662">
        <w:rPr>
          <w:bCs/>
        </w:rPr>
        <w:t xml:space="preserve">ompany should have addressed is </w:t>
      </w:r>
      <w:r w:rsidR="00213A19" w:rsidRPr="00443662">
        <w:rPr>
          <w:bCs/>
        </w:rPr>
        <w:t xml:space="preserve">its ability to rapidly deploy </w:t>
      </w:r>
      <w:r w:rsidRPr="00443662">
        <w:rPr>
          <w:bCs/>
        </w:rPr>
        <w:t>high speed internet services</w:t>
      </w:r>
      <w:r w:rsidR="005D0FC2" w:rsidRPr="00443662">
        <w:rPr>
          <w:bCs/>
        </w:rPr>
        <w:t>.</w:t>
      </w:r>
      <w:r w:rsidRPr="00443662">
        <w:rPr>
          <w:bCs/>
        </w:rPr>
        <w:t xml:space="preserve"> </w:t>
      </w:r>
      <w:r w:rsidR="005D0FC2" w:rsidRPr="00443662">
        <w:rPr>
          <w:bCs/>
        </w:rPr>
        <w:t>However,</w:t>
      </w:r>
      <w:r w:rsidRPr="00443662">
        <w:rPr>
          <w:bCs/>
        </w:rPr>
        <w:t xml:space="preserve"> Staff data request number 10</w:t>
      </w:r>
      <w:r w:rsidR="00B20F9A">
        <w:rPr>
          <w:bCs/>
        </w:rPr>
        <w:t>7</w:t>
      </w:r>
      <w:r w:rsidRPr="00443662">
        <w:rPr>
          <w:bCs/>
        </w:rPr>
        <w:t xml:space="preserve">, </w:t>
      </w:r>
      <w:r w:rsidR="00647EC5" w:rsidRPr="00443662">
        <w:rPr>
          <w:bCs/>
        </w:rPr>
        <w:t>Exh</w:t>
      </w:r>
      <w:r w:rsidR="008F38D0" w:rsidRPr="00443662">
        <w:rPr>
          <w:bCs/>
        </w:rPr>
        <w:t>ibit</w:t>
      </w:r>
      <w:r w:rsidR="00647EC5" w:rsidRPr="00443662">
        <w:rPr>
          <w:bCs/>
        </w:rPr>
        <w:t>. No. ___</w:t>
      </w:r>
      <w:r w:rsidR="00647EC5" w:rsidRPr="00443662">
        <w:rPr>
          <w:bCs/>
        </w:rPr>
        <w:softHyphen/>
        <w:t xml:space="preserve"> (WHW-</w:t>
      </w:r>
      <w:r w:rsidR="00B20F9A">
        <w:rPr>
          <w:bCs/>
        </w:rPr>
        <w:t>3</w:t>
      </w:r>
      <w:r w:rsidR="00647EC5" w:rsidRPr="00443662">
        <w:rPr>
          <w:bCs/>
        </w:rPr>
        <w:t>)</w:t>
      </w:r>
      <w:r w:rsidRPr="00443662">
        <w:rPr>
          <w:bCs/>
        </w:rPr>
        <w:t xml:space="preserve"> states </w:t>
      </w:r>
      <w:r w:rsidR="00213A19" w:rsidRPr="00443662">
        <w:rPr>
          <w:bCs/>
        </w:rPr>
        <w:t xml:space="preserve">that </w:t>
      </w:r>
      <w:r w:rsidRPr="00443662">
        <w:rPr>
          <w:bCs/>
        </w:rPr>
        <w:t>Frontier did no operational due diligence of Verizon N</w:t>
      </w:r>
      <w:r w:rsidR="00D20FAA" w:rsidRPr="00443662">
        <w:rPr>
          <w:bCs/>
        </w:rPr>
        <w:t>W</w:t>
      </w:r>
      <w:r w:rsidRPr="00443662">
        <w:rPr>
          <w:bCs/>
        </w:rPr>
        <w:t xml:space="preserve"> plant. Thus Frontier has not ascertained </w:t>
      </w:r>
      <w:r w:rsidR="00D20FAA" w:rsidRPr="00443662">
        <w:rPr>
          <w:bCs/>
        </w:rPr>
        <w:t>its</w:t>
      </w:r>
      <w:r w:rsidRPr="00443662">
        <w:rPr>
          <w:bCs/>
        </w:rPr>
        <w:t xml:space="preserve"> ability to deploy broadband services in the</w:t>
      </w:r>
      <w:r w:rsidR="00213A19" w:rsidRPr="00443662">
        <w:rPr>
          <w:bCs/>
        </w:rPr>
        <w:t xml:space="preserve"> more rural</w:t>
      </w:r>
      <w:r w:rsidRPr="00443662">
        <w:rPr>
          <w:bCs/>
        </w:rPr>
        <w:t xml:space="preserve"> exchanges</w:t>
      </w:r>
      <w:r w:rsidR="00D20FAA" w:rsidRPr="00443662">
        <w:rPr>
          <w:bCs/>
        </w:rPr>
        <w:t>,</w:t>
      </w:r>
      <w:r w:rsidRPr="00443662">
        <w:rPr>
          <w:bCs/>
        </w:rPr>
        <w:t xml:space="preserve"> which is one of the </w:t>
      </w:r>
      <w:r w:rsidR="00213A19" w:rsidRPr="00443662">
        <w:rPr>
          <w:bCs/>
        </w:rPr>
        <w:t xml:space="preserve">main selling points the company </w:t>
      </w:r>
      <w:r w:rsidRPr="00443662">
        <w:rPr>
          <w:bCs/>
        </w:rPr>
        <w:t>give</w:t>
      </w:r>
      <w:r w:rsidR="00213A19" w:rsidRPr="00443662">
        <w:rPr>
          <w:bCs/>
        </w:rPr>
        <w:t>s for</w:t>
      </w:r>
      <w:r w:rsidRPr="00443662">
        <w:rPr>
          <w:bCs/>
        </w:rPr>
        <w:t xml:space="preserve"> approv</w:t>
      </w:r>
      <w:r w:rsidR="00213A19" w:rsidRPr="00443662">
        <w:rPr>
          <w:bCs/>
        </w:rPr>
        <w:t>al of</w:t>
      </w:r>
      <w:r w:rsidRPr="00443662">
        <w:rPr>
          <w:bCs/>
        </w:rPr>
        <w:t xml:space="preserve"> the transfer of control.</w:t>
      </w:r>
      <w:r w:rsidR="00213A19" w:rsidRPr="00443662">
        <w:rPr>
          <w:bCs/>
        </w:rPr>
        <w:t xml:space="preserve"> Even if the company installs the DSL electronics in a wire center, it will not be able to provide service to </w:t>
      </w:r>
      <w:r w:rsidR="00213A19" w:rsidRPr="00443662">
        <w:rPr>
          <w:bCs/>
        </w:rPr>
        <w:lastRenderedPageBreak/>
        <w:t>customers over cable pairs that have load coils and bridge taps without incurring additional costs before the service can be provided to Washington customers. Frontier’s</w:t>
      </w:r>
      <w:r w:rsidRPr="00443662">
        <w:rPr>
          <w:bCs/>
        </w:rPr>
        <w:t xml:space="preserve"> decision </w:t>
      </w:r>
      <w:r w:rsidR="00213A19" w:rsidRPr="00443662">
        <w:rPr>
          <w:bCs/>
        </w:rPr>
        <w:t xml:space="preserve">not to investigate the condition of outside plant may </w:t>
      </w:r>
      <w:r w:rsidR="0084443B" w:rsidRPr="00443662">
        <w:rPr>
          <w:bCs/>
        </w:rPr>
        <w:t xml:space="preserve">restrict DSL service in some wire centers or </w:t>
      </w:r>
      <w:r w:rsidR="00D20FAA" w:rsidRPr="00443662">
        <w:rPr>
          <w:bCs/>
        </w:rPr>
        <w:t>lead to</w:t>
      </w:r>
      <w:r w:rsidRPr="00443662">
        <w:rPr>
          <w:bCs/>
        </w:rPr>
        <w:t xml:space="preserve"> slow installation times</w:t>
      </w:r>
      <w:r w:rsidR="00D20FAA" w:rsidRPr="00443662">
        <w:rPr>
          <w:bCs/>
        </w:rPr>
        <w:t>,</w:t>
      </w:r>
      <w:r w:rsidR="0084443B" w:rsidRPr="00443662">
        <w:rPr>
          <w:bCs/>
        </w:rPr>
        <w:t xml:space="preserve"> which will reduce cash flows from those services.</w:t>
      </w:r>
    </w:p>
    <w:p w:rsidR="002E5D6A" w:rsidRPr="00443662" w:rsidRDefault="0084443B" w:rsidP="006045C9">
      <w:pPr>
        <w:pStyle w:val="BodyTextIndent"/>
        <w:ind w:firstLine="720"/>
        <w:rPr>
          <w:bCs/>
        </w:rPr>
      </w:pPr>
      <w:r w:rsidRPr="00443662">
        <w:rPr>
          <w:bCs/>
        </w:rPr>
        <w:t xml:space="preserve">Public Counsel and </w:t>
      </w:r>
      <w:r w:rsidR="002E5D6A" w:rsidRPr="00443662">
        <w:rPr>
          <w:bCs/>
        </w:rPr>
        <w:t>Staff ha</w:t>
      </w:r>
      <w:r w:rsidRPr="00443662">
        <w:rPr>
          <w:bCs/>
        </w:rPr>
        <w:t>ve</w:t>
      </w:r>
      <w:r w:rsidR="002E5D6A" w:rsidRPr="00443662">
        <w:rPr>
          <w:bCs/>
        </w:rPr>
        <w:t xml:space="preserve"> made significant efforts to investigate the assurances by Verizon and Frontier that this transaction will have better results than previous divestitures of Verizon ILEC properties. However</w:t>
      </w:r>
      <w:r w:rsidR="00D20FAA" w:rsidRPr="00443662">
        <w:rPr>
          <w:bCs/>
        </w:rPr>
        <w:t>,</w:t>
      </w:r>
      <w:r w:rsidR="002E5D6A" w:rsidRPr="00443662">
        <w:rPr>
          <w:bCs/>
        </w:rPr>
        <w:t xml:space="preserve"> based upon responses to data requests, </w:t>
      </w:r>
      <w:r w:rsidR="00D20FAA" w:rsidRPr="00443662">
        <w:rPr>
          <w:bCs/>
        </w:rPr>
        <w:t>Staff</w:t>
      </w:r>
      <w:r w:rsidR="002E5D6A" w:rsidRPr="00443662">
        <w:rPr>
          <w:bCs/>
        </w:rPr>
        <w:t xml:space="preserve"> has been </w:t>
      </w:r>
      <w:r w:rsidR="00D20FAA" w:rsidRPr="00443662">
        <w:rPr>
          <w:bCs/>
        </w:rPr>
        <w:t>un</w:t>
      </w:r>
      <w:r w:rsidR="002E5D6A" w:rsidRPr="00443662">
        <w:rPr>
          <w:bCs/>
        </w:rPr>
        <w:t>able to confirm that the assurances given by the petitioners are valid.</w:t>
      </w:r>
    </w:p>
    <w:p w:rsidR="009606B3" w:rsidRPr="00443662" w:rsidRDefault="009606B3" w:rsidP="009606B3">
      <w:pPr>
        <w:pStyle w:val="BodyTextIndent"/>
        <w:ind w:firstLine="0"/>
        <w:rPr>
          <w:rStyle w:val="CommentReference"/>
          <w:sz w:val="24"/>
          <w:szCs w:val="24"/>
        </w:rPr>
      </w:pPr>
    </w:p>
    <w:p w:rsidR="009606B3" w:rsidRPr="00443662" w:rsidRDefault="009606B3" w:rsidP="002E5D6A">
      <w:pPr>
        <w:pStyle w:val="BodyTextIndent"/>
        <w:ind w:left="0" w:firstLine="0"/>
        <w:rPr>
          <w:rStyle w:val="CommentReference"/>
          <w:b/>
          <w:sz w:val="24"/>
          <w:szCs w:val="24"/>
        </w:rPr>
      </w:pPr>
      <w:r w:rsidRPr="00443662">
        <w:rPr>
          <w:rStyle w:val="CommentReference"/>
          <w:b/>
          <w:sz w:val="24"/>
          <w:szCs w:val="24"/>
        </w:rPr>
        <w:t>Q.</w:t>
      </w:r>
      <w:r w:rsidRPr="00443662">
        <w:rPr>
          <w:rStyle w:val="CommentReference"/>
          <w:b/>
          <w:sz w:val="24"/>
          <w:szCs w:val="24"/>
        </w:rPr>
        <w:tab/>
        <w:t>Can you give examples of responses to data requests that illustrate your point?</w:t>
      </w:r>
    </w:p>
    <w:p w:rsidR="009606B3" w:rsidRPr="00443662" w:rsidRDefault="009606B3" w:rsidP="009606B3">
      <w:pPr>
        <w:pStyle w:val="BodyTextIndent"/>
        <w:rPr>
          <w:bCs/>
        </w:rPr>
      </w:pPr>
      <w:r w:rsidRPr="00443662">
        <w:rPr>
          <w:rStyle w:val="CommentReference"/>
          <w:sz w:val="24"/>
          <w:szCs w:val="24"/>
        </w:rPr>
        <w:t>A.</w:t>
      </w:r>
      <w:r w:rsidRPr="00443662">
        <w:rPr>
          <w:rStyle w:val="CommentReference"/>
          <w:b/>
          <w:sz w:val="24"/>
          <w:szCs w:val="24"/>
        </w:rPr>
        <w:t xml:space="preserve"> </w:t>
      </w:r>
      <w:r w:rsidRPr="00443662">
        <w:rPr>
          <w:bCs/>
        </w:rPr>
        <w:t xml:space="preserve">     </w:t>
      </w:r>
      <w:r w:rsidR="002E5D6A" w:rsidRPr="00443662">
        <w:rPr>
          <w:bCs/>
        </w:rPr>
        <w:tab/>
        <w:t>Public counsel and S</w:t>
      </w:r>
      <w:r w:rsidRPr="00443662">
        <w:rPr>
          <w:bCs/>
        </w:rPr>
        <w:t>taff have repeatedly attempted to ascertain</w:t>
      </w:r>
      <w:r w:rsidR="00D20FAA" w:rsidRPr="00443662">
        <w:rPr>
          <w:bCs/>
        </w:rPr>
        <w:t xml:space="preserve"> through data requests</w:t>
      </w:r>
      <w:r w:rsidRPr="00443662">
        <w:rPr>
          <w:bCs/>
        </w:rPr>
        <w:t xml:space="preserve"> </w:t>
      </w:r>
      <w:r w:rsidR="005D0FC2" w:rsidRPr="00443662">
        <w:rPr>
          <w:bCs/>
        </w:rPr>
        <w:t>the</w:t>
      </w:r>
      <w:r w:rsidRPr="00443662">
        <w:rPr>
          <w:bCs/>
        </w:rPr>
        <w:t xml:space="preserve"> financial impact this transaction will have</w:t>
      </w:r>
      <w:r w:rsidR="00F54EC0" w:rsidRPr="00443662">
        <w:rPr>
          <w:bCs/>
        </w:rPr>
        <w:t xml:space="preserve"> on</w:t>
      </w:r>
      <w:r w:rsidRPr="00443662">
        <w:rPr>
          <w:bCs/>
        </w:rPr>
        <w:t xml:space="preserve"> </w:t>
      </w:r>
      <w:r w:rsidR="002E5D6A" w:rsidRPr="00443662">
        <w:rPr>
          <w:bCs/>
        </w:rPr>
        <w:t>Washington customers</w:t>
      </w:r>
      <w:r w:rsidRPr="00443662">
        <w:rPr>
          <w:bCs/>
        </w:rPr>
        <w:t>. In r</w:t>
      </w:r>
      <w:r w:rsidR="002E5D6A" w:rsidRPr="00443662">
        <w:rPr>
          <w:bCs/>
        </w:rPr>
        <w:t>esponse to these requests, the Joint A</w:t>
      </w:r>
      <w:r w:rsidRPr="00443662">
        <w:rPr>
          <w:bCs/>
        </w:rPr>
        <w:t>pplicants have indicat</w:t>
      </w:r>
      <w:r w:rsidR="00D20FAA" w:rsidRPr="00443662">
        <w:rPr>
          <w:bCs/>
        </w:rPr>
        <w:t>ed</w:t>
      </w:r>
      <w:r w:rsidRPr="00443662">
        <w:rPr>
          <w:bCs/>
        </w:rPr>
        <w:t xml:space="preserve"> that the forecasts have </w:t>
      </w:r>
      <w:r w:rsidR="00D20FAA" w:rsidRPr="00443662">
        <w:rPr>
          <w:bCs/>
        </w:rPr>
        <w:t xml:space="preserve">not </w:t>
      </w:r>
      <w:r w:rsidR="0084443B" w:rsidRPr="00443662">
        <w:rPr>
          <w:bCs/>
        </w:rPr>
        <w:t>yet</w:t>
      </w:r>
      <w:r w:rsidRPr="00443662">
        <w:rPr>
          <w:bCs/>
        </w:rPr>
        <w:t xml:space="preserve"> been developed or</w:t>
      </w:r>
      <w:r w:rsidR="0084443B" w:rsidRPr="00443662">
        <w:rPr>
          <w:bCs/>
        </w:rPr>
        <w:t xml:space="preserve"> that</w:t>
      </w:r>
      <w:r w:rsidRPr="00443662">
        <w:rPr>
          <w:bCs/>
        </w:rPr>
        <w:t xml:space="preserve"> </w:t>
      </w:r>
      <w:r w:rsidR="00D20FAA" w:rsidRPr="00443662">
        <w:rPr>
          <w:bCs/>
        </w:rPr>
        <w:t xml:space="preserve">the </w:t>
      </w:r>
      <w:r w:rsidRPr="00443662">
        <w:rPr>
          <w:bCs/>
        </w:rPr>
        <w:t xml:space="preserve">important business decisions have not </w:t>
      </w:r>
      <w:r w:rsidR="00D20FAA" w:rsidRPr="00443662">
        <w:rPr>
          <w:bCs/>
        </w:rPr>
        <w:t xml:space="preserve">yet </w:t>
      </w:r>
      <w:r w:rsidRPr="00443662">
        <w:rPr>
          <w:bCs/>
        </w:rPr>
        <w:t>been made. Examples include:</w:t>
      </w:r>
    </w:p>
    <w:p w:rsidR="009606B3" w:rsidRDefault="002E5D6A" w:rsidP="006045C9">
      <w:pPr>
        <w:pStyle w:val="BodyTextIndent"/>
        <w:numPr>
          <w:ilvl w:val="0"/>
          <w:numId w:val="24"/>
        </w:numPr>
        <w:spacing w:line="240" w:lineRule="auto"/>
        <w:ind w:left="1710" w:hanging="270"/>
        <w:rPr>
          <w:bCs/>
        </w:rPr>
      </w:pPr>
      <w:r w:rsidRPr="00443662">
        <w:rPr>
          <w:bCs/>
        </w:rPr>
        <w:t>Staff asked the Joint A</w:t>
      </w:r>
      <w:r w:rsidR="009606B3" w:rsidRPr="00443662">
        <w:rPr>
          <w:bCs/>
        </w:rPr>
        <w:t>pplicants to identify which Frontier affiliates will likely engage in affiliated interest tra</w:t>
      </w:r>
      <w:r w:rsidR="0084443B" w:rsidRPr="00443662">
        <w:rPr>
          <w:bCs/>
        </w:rPr>
        <w:t>nsaction with Frontier NW</w:t>
      </w:r>
      <w:r w:rsidR="00D20FAA" w:rsidRPr="00443662">
        <w:rPr>
          <w:bCs/>
        </w:rPr>
        <w:t>.</w:t>
      </w:r>
      <w:r w:rsidR="0084443B" w:rsidRPr="00443662">
        <w:rPr>
          <w:bCs/>
        </w:rPr>
        <w:t xml:space="preserve">  The Joint A</w:t>
      </w:r>
      <w:r w:rsidR="009606B3" w:rsidRPr="00443662">
        <w:rPr>
          <w:bCs/>
        </w:rPr>
        <w:t xml:space="preserve">pplicants </w:t>
      </w:r>
      <w:r w:rsidR="00D20FAA" w:rsidRPr="00443662">
        <w:rPr>
          <w:bCs/>
        </w:rPr>
        <w:t>state</w:t>
      </w:r>
      <w:r w:rsidRPr="00443662">
        <w:rPr>
          <w:bCs/>
        </w:rPr>
        <w:t xml:space="preserve"> that</w:t>
      </w:r>
      <w:r w:rsidR="009606B3" w:rsidRPr="00443662">
        <w:rPr>
          <w:bCs/>
        </w:rPr>
        <w:t xml:space="preserve"> Frontier has not determined which entities will engage in affiliated interest transactions with Frontier NW. The fact that Frontier cannot answer this data request calls into question Frontier’s ability to understand what it is buying and how it will operate Frontier NW in Washington. This response also makes it impossible</w:t>
      </w:r>
      <w:r w:rsidRPr="00443662">
        <w:rPr>
          <w:bCs/>
        </w:rPr>
        <w:t xml:space="preserve"> for Staff</w:t>
      </w:r>
      <w:r w:rsidR="009606B3" w:rsidRPr="00443662">
        <w:rPr>
          <w:bCs/>
        </w:rPr>
        <w:t xml:space="preserve"> to perform any</w:t>
      </w:r>
      <w:r w:rsidR="00F54EC0" w:rsidRPr="00443662">
        <w:rPr>
          <w:bCs/>
        </w:rPr>
        <w:t xml:space="preserve"> meaningful</w:t>
      </w:r>
      <w:r w:rsidR="009606B3" w:rsidRPr="00443662">
        <w:rPr>
          <w:bCs/>
        </w:rPr>
        <w:t xml:space="preserve"> analysis to determine if this transaction will </w:t>
      </w:r>
      <w:r w:rsidR="0084443B" w:rsidRPr="00443662">
        <w:rPr>
          <w:bCs/>
        </w:rPr>
        <w:t>result in</w:t>
      </w:r>
      <w:r w:rsidR="009606B3" w:rsidRPr="00443662">
        <w:rPr>
          <w:bCs/>
        </w:rPr>
        <w:t xml:space="preserve"> harm to the Washington customers.</w:t>
      </w:r>
      <w:r w:rsidR="006045C9">
        <w:rPr>
          <w:bCs/>
        </w:rPr>
        <w:t xml:space="preserve"> Exhibit No. ___ (WHW</w:t>
      </w:r>
      <w:r w:rsidR="00B20F9A">
        <w:rPr>
          <w:bCs/>
        </w:rPr>
        <w:t>-4</w:t>
      </w:r>
      <w:r w:rsidR="00B23116" w:rsidRPr="00443662">
        <w:rPr>
          <w:bCs/>
        </w:rPr>
        <w:t>)</w:t>
      </w:r>
      <w:r w:rsidR="009A0FB3" w:rsidRPr="00443662">
        <w:rPr>
          <w:bCs/>
        </w:rPr>
        <w:t>.</w:t>
      </w:r>
    </w:p>
    <w:p w:rsidR="006045C9" w:rsidRPr="00443662" w:rsidRDefault="006045C9" w:rsidP="006045C9">
      <w:pPr>
        <w:pStyle w:val="BodyTextIndent"/>
        <w:spacing w:line="240" w:lineRule="auto"/>
        <w:rPr>
          <w:bCs/>
        </w:rPr>
      </w:pPr>
    </w:p>
    <w:p w:rsidR="009606B3" w:rsidRDefault="009606B3" w:rsidP="006045C9">
      <w:pPr>
        <w:pStyle w:val="BodyTextIndent"/>
        <w:numPr>
          <w:ilvl w:val="0"/>
          <w:numId w:val="24"/>
        </w:numPr>
        <w:spacing w:line="240" w:lineRule="auto"/>
        <w:ind w:left="1710" w:hanging="270"/>
        <w:rPr>
          <w:bCs/>
        </w:rPr>
      </w:pPr>
      <w:r w:rsidRPr="00443662">
        <w:rPr>
          <w:bCs/>
        </w:rPr>
        <w:t>Public Counsel</w:t>
      </w:r>
      <w:r w:rsidR="002E5D6A" w:rsidRPr="00443662">
        <w:rPr>
          <w:bCs/>
        </w:rPr>
        <w:t xml:space="preserve"> asked the</w:t>
      </w:r>
      <w:r w:rsidRPr="00443662">
        <w:rPr>
          <w:bCs/>
        </w:rPr>
        <w:t xml:space="preserve"> Joint Applicants</w:t>
      </w:r>
      <w:r w:rsidR="002E5D6A" w:rsidRPr="00443662">
        <w:rPr>
          <w:bCs/>
        </w:rPr>
        <w:t xml:space="preserve"> to </w:t>
      </w:r>
      <w:r w:rsidR="00B23116" w:rsidRPr="00443662">
        <w:rPr>
          <w:bCs/>
        </w:rPr>
        <w:t>“</w:t>
      </w:r>
      <w:r w:rsidRPr="00443662">
        <w:rPr>
          <w:bCs/>
        </w:rPr>
        <w:t xml:space="preserve">provide the Company’s financial model … that shows Frontier will be able to fulfill its broadband </w:t>
      </w:r>
      <w:r w:rsidRPr="00443662">
        <w:rPr>
          <w:bCs/>
        </w:rPr>
        <w:lastRenderedPageBreak/>
        <w:t xml:space="preserve">build-out commitments while servicing its current debt load as well as the additional debt assumed </w:t>
      </w:r>
      <w:r w:rsidR="00B23116" w:rsidRPr="00443662">
        <w:rPr>
          <w:bCs/>
        </w:rPr>
        <w:t>to</w:t>
      </w:r>
      <w:r w:rsidRPr="00443662">
        <w:rPr>
          <w:bCs/>
        </w:rPr>
        <w:t xml:space="preserve"> financ</w:t>
      </w:r>
      <w:r w:rsidR="00B23116" w:rsidRPr="00443662">
        <w:rPr>
          <w:bCs/>
        </w:rPr>
        <w:t xml:space="preserve">e </w:t>
      </w:r>
      <w:r w:rsidRPr="00443662">
        <w:rPr>
          <w:bCs/>
        </w:rPr>
        <w:t xml:space="preserve">the transaction.” The </w:t>
      </w:r>
      <w:r w:rsidR="0084443B" w:rsidRPr="00443662">
        <w:rPr>
          <w:bCs/>
        </w:rPr>
        <w:t>Joint A</w:t>
      </w:r>
      <w:r w:rsidRPr="00443662">
        <w:rPr>
          <w:bCs/>
        </w:rPr>
        <w:t xml:space="preserve">pplicants responded that no such model exists as Frontier has not made any specific broadband build-out commitments. </w:t>
      </w:r>
      <w:r w:rsidR="00B23116" w:rsidRPr="00443662">
        <w:rPr>
          <w:bCs/>
        </w:rPr>
        <w:t xml:space="preserve"> (Exh</w:t>
      </w:r>
      <w:r w:rsidR="006045C9">
        <w:rPr>
          <w:bCs/>
        </w:rPr>
        <w:t>ibit</w:t>
      </w:r>
      <w:r w:rsidR="00B23116" w:rsidRPr="00443662">
        <w:rPr>
          <w:bCs/>
        </w:rPr>
        <w:t xml:space="preserve"> No. ___</w:t>
      </w:r>
      <w:r w:rsidR="006045C9">
        <w:rPr>
          <w:bCs/>
        </w:rPr>
        <w:t xml:space="preserve"> </w:t>
      </w:r>
      <w:r w:rsidR="00B20F9A">
        <w:rPr>
          <w:bCs/>
        </w:rPr>
        <w:t>(</w:t>
      </w:r>
      <w:r w:rsidR="006045C9">
        <w:rPr>
          <w:bCs/>
        </w:rPr>
        <w:t>WHW</w:t>
      </w:r>
      <w:r w:rsidR="00B20F9A">
        <w:rPr>
          <w:bCs/>
        </w:rPr>
        <w:t>-5</w:t>
      </w:r>
      <w:r w:rsidR="00B23116" w:rsidRPr="00443662">
        <w:rPr>
          <w:bCs/>
        </w:rPr>
        <w:t>)</w:t>
      </w:r>
      <w:r w:rsidR="009A0FB3" w:rsidRPr="00443662">
        <w:rPr>
          <w:bCs/>
        </w:rPr>
        <w:t>.</w:t>
      </w:r>
    </w:p>
    <w:p w:rsidR="006045C9" w:rsidRPr="00443662" w:rsidRDefault="006045C9" w:rsidP="006045C9">
      <w:pPr>
        <w:pStyle w:val="BodyTextIndent"/>
        <w:spacing w:line="240" w:lineRule="auto"/>
        <w:ind w:left="0" w:firstLine="0"/>
        <w:rPr>
          <w:bCs/>
        </w:rPr>
      </w:pPr>
    </w:p>
    <w:p w:rsidR="009606B3" w:rsidRDefault="009606B3" w:rsidP="006045C9">
      <w:pPr>
        <w:pStyle w:val="BodyTextIndent"/>
        <w:numPr>
          <w:ilvl w:val="0"/>
          <w:numId w:val="24"/>
        </w:numPr>
        <w:spacing w:line="240" w:lineRule="auto"/>
        <w:ind w:left="1710" w:hanging="270"/>
        <w:rPr>
          <w:bCs/>
        </w:rPr>
      </w:pPr>
      <w:r w:rsidRPr="00443662">
        <w:rPr>
          <w:bCs/>
        </w:rPr>
        <w:t>Public Counsel</w:t>
      </w:r>
      <w:r w:rsidR="00B23116" w:rsidRPr="00443662">
        <w:rPr>
          <w:bCs/>
        </w:rPr>
        <w:t xml:space="preserve"> asked the Joint A</w:t>
      </w:r>
      <w:r w:rsidRPr="00443662">
        <w:rPr>
          <w:bCs/>
        </w:rPr>
        <w:t>pplicants to provide Frontier’s most recent five-year capital budget showing its projected capital additions to telephone plant in Washington. Frontier responded that it does not currently have access lines within Washington State and does not have a five-year capital budget.</w:t>
      </w:r>
      <w:r w:rsidR="00B23116" w:rsidRPr="00443662">
        <w:rPr>
          <w:bCs/>
        </w:rPr>
        <w:t xml:space="preserve"> Exh</w:t>
      </w:r>
      <w:r w:rsidR="006045C9">
        <w:rPr>
          <w:bCs/>
        </w:rPr>
        <w:t>ibit</w:t>
      </w:r>
      <w:r w:rsidR="00B23116" w:rsidRPr="00443662">
        <w:rPr>
          <w:bCs/>
        </w:rPr>
        <w:t xml:space="preserve"> N</w:t>
      </w:r>
      <w:r w:rsidR="00443662" w:rsidRPr="00443662">
        <w:rPr>
          <w:bCs/>
        </w:rPr>
        <w:t>o</w:t>
      </w:r>
      <w:r w:rsidR="00B23116" w:rsidRPr="00443662">
        <w:rPr>
          <w:bCs/>
        </w:rPr>
        <w:t>. __</w:t>
      </w:r>
      <w:r w:rsidR="006045C9">
        <w:rPr>
          <w:bCs/>
        </w:rPr>
        <w:t>_</w:t>
      </w:r>
      <w:r w:rsidR="00B23116" w:rsidRPr="00443662">
        <w:rPr>
          <w:bCs/>
        </w:rPr>
        <w:t xml:space="preserve"> </w:t>
      </w:r>
      <w:r w:rsidR="00B20F9A">
        <w:rPr>
          <w:bCs/>
        </w:rPr>
        <w:t>(</w:t>
      </w:r>
      <w:r w:rsidR="00B23116" w:rsidRPr="00443662">
        <w:rPr>
          <w:bCs/>
        </w:rPr>
        <w:t>WHW-</w:t>
      </w:r>
      <w:r w:rsidR="00B20F9A">
        <w:rPr>
          <w:bCs/>
        </w:rPr>
        <w:t>6</w:t>
      </w:r>
      <w:r w:rsidR="00B23116" w:rsidRPr="00443662">
        <w:rPr>
          <w:bCs/>
        </w:rPr>
        <w:t>)</w:t>
      </w:r>
      <w:r w:rsidR="009A0FB3" w:rsidRPr="00443662">
        <w:rPr>
          <w:bCs/>
        </w:rPr>
        <w:t>.</w:t>
      </w:r>
      <w:r w:rsidRPr="00443662">
        <w:rPr>
          <w:bCs/>
        </w:rPr>
        <w:t xml:space="preserve"> This matter is of particular concern because as part of the risk factor discussion in Frontier’s S-4 filed with the SEC, the company stated:</w:t>
      </w:r>
    </w:p>
    <w:p w:rsidR="006045C9" w:rsidRPr="00443662" w:rsidRDefault="006045C9" w:rsidP="006045C9">
      <w:pPr>
        <w:pStyle w:val="BodyTextIndent"/>
        <w:spacing w:line="240" w:lineRule="auto"/>
        <w:ind w:left="0" w:firstLine="0"/>
        <w:rPr>
          <w:bCs/>
        </w:rPr>
      </w:pPr>
    </w:p>
    <w:p w:rsidR="00647EC5" w:rsidRPr="00443662" w:rsidRDefault="009606B3" w:rsidP="006045C9">
      <w:pPr>
        <w:pStyle w:val="BodyTextIndent"/>
        <w:spacing w:line="240" w:lineRule="auto"/>
        <w:ind w:left="2160" w:right="18" w:firstLine="0"/>
        <w:rPr>
          <w:b/>
          <w:bCs/>
        </w:rPr>
      </w:pPr>
      <w:r w:rsidRPr="00443662">
        <w:rPr>
          <w:b/>
          <w:bCs/>
        </w:rPr>
        <w:t xml:space="preserve">The combined company will require substantial capital to upgrade and enhance its operations. </w:t>
      </w:r>
    </w:p>
    <w:p w:rsidR="00647EC5" w:rsidRPr="00443662" w:rsidRDefault="00647EC5" w:rsidP="006045C9">
      <w:pPr>
        <w:pStyle w:val="BodyTextIndent"/>
        <w:spacing w:line="240" w:lineRule="auto"/>
        <w:ind w:left="2160" w:right="18" w:firstLine="0"/>
        <w:rPr>
          <w:b/>
          <w:bCs/>
        </w:rPr>
      </w:pPr>
    </w:p>
    <w:p w:rsidR="00647EC5" w:rsidRDefault="009606B3" w:rsidP="006045C9">
      <w:pPr>
        <w:pStyle w:val="BodyTextIndent"/>
        <w:spacing w:line="240" w:lineRule="auto"/>
        <w:ind w:left="2160" w:right="18" w:firstLine="0"/>
        <w:rPr>
          <w:bCs/>
        </w:rPr>
      </w:pPr>
      <w:r w:rsidRPr="00443662">
        <w:rPr>
          <w:bCs/>
        </w:rPr>
        <w:t xml:space="preserve">Verizon’s historical capital expenditures in connection with the </w:t>
      </w:r>
      <w:proofErr w:type="spellStart"/>
      <w:r w:rsidRPr="00443662">
        <w:rPr>
          <w:bCs/>
        </w:rPr>
        <w:t>Spinco</w:t>
      </w:r>
      <w:proofErr w:type="spellEnd"/>
      <w:r w:rsidRPr="00443662">
        <w:rPr>
          <w:bCs/>
        </w:rPr>
        <w:t xml:space="preserve"> business have been significantly lower than Frontier’s level of capital expenditures. Replacing or upgrading the combined company’s infrastructure will require significant capital expenditures, including any expected or unexpected expenditures necessary to make replacements or upgrades to the existing infrastructure of the </w:t>
      </w:r>
      <w:proofErr w:type="spellStart"/>
      <w:r w:rsidRPr="00443662">
        <w:rPr>
          <w:bCs/>
        </w:rPr>
        <w:t>Spinco</w:t>
      </w:r>
      <w:proofErr w:type="spellEnd"/>
      <w:r w:rsidRPr="00443662">
        <w:rPr>
          <w:bCs/>
        </w:rPr>
        <w:t xml:space="preserve"> Business.</w:t>
      </w:r>
    </w:p>
    <w:p w:rsidR="006045C9" w:rsidRPr="00443662" w:rsidRDefault="006045C9" w:rsidP="006045C9">
      <w:pPr>
        <w:pStyle w:val="BodyTextIndent"/>
        <w:spacing w:line="240" w:lineRule="auto"/>
        <w:ind w:left="2160" w:right="18" w:firstLine="0"/>
        <w:rPr>
          <w:bCs/>
        </w:rPr>
      </w:pPr>
    </w:p>
    <w:p w:rsidR="009606B3" w:rsidRPr="00443662" w:rsidRDefault="00B23116" w:rsidP="006045C9">
      <w:pPr>
        <w:pStyle w:val="BodyTextIndent"/>
        <w:numPr>
          <w:ilvl w:val="0"/>
          <w:numId w:val="27"/>
        </w:numPr>
        <w:spacing w:line="240" w:lineRule="auto"/>
        <w:ind w:left="1710" w:hanging="270"/>
        <w:rPr>
          <w:bCs/>
        </w:rPr>
      </w:pPr>
      <w:r w:rsidRPr="00443662">
        <w:rPr>
          <w:bCs/>
        </w:rPr>
        <w:t xml:space="preserve">Public Counsel </w:t>
      </w:r>
      <w:r w:rsidR="009606B3" w:rsidRPr="00443662">
        <w:rPr>
          <w:bCs/>
        </w:rPr>
        <w:t xml:space="preserve">asked the Joint Applicants to “provide a cash flow interest coverage analysis for both Frontier Communications and Verizon Northwest (or the corporate entity that includes Verizon’s Washington ILEC operations) before and after the merger.”  The Joint Applicants </w:t>
      </w:r>
      <w:r w:rsidRPr="00443662">
        <w:rPr>
          <w:bCs/>
        </w:rPr>
        <w:t xml:space="preserve">provided no such analysis </w:t>
      </w:r>
      <w:r w:rsidR="009606B3" w:rsidRPr="00443662">
        <w:rPr>
          <w:bCs/>
        </w:rPr>
        <w:t>respond</w:t>
      </w:r>
      <w:r w:rsidRPr="00443662">
        <w:rPr>
          <w:bCs/>
        </w:rPr>
        <w:t>ing in part that “there is no post-merger analysis.”</w:t>
      </w:r>
      <w:r w:rsidR="009606B3" w:rsidRPr="00443662">
        <w:rPr>
          <w:bCs/>
        </w:rPr>
        <w:t xml:space="preserve"> This analysis would help determine if Frontier’s cash flow from Frontier NW would be able to fund its investment </w:t>
      </w:r>
      <w:r w:rsidR="00F54EC0" w:rsidRPr="00443662">
        <w:rPr>
          <w:bCs/>
        </w:rPr>
        <w:t>commitments</w:t>
      </w:r>
      <w:r w:rsidR="0084443B" w:rsidRPr="00443662">
        <w:rPr>
          <w:bCs/>
        </w:rPr>
        <w:t xml:space="preserve"> (including </w:t>
      </w:r>
      <w:proofErr w:type="spellStart"/>
      <w:r w:rsidR="0084443B" w:rsidRPr="00443662">
        <w:rPr>
          <w:bCs/>
        </w:rPr>
        <w:t>Fi</w:t>
      </w:r>
      <w:r w:rsidR="009606B3" w:rsidRPr="00443662">
        <w:rPr>
          <w:bCs/>
        </w:rPr>
        <w:t>OS</w:t>
      </w:r>
      <w:proofErr w:type="spellEnd"/>
      <w:r w:rsidR="009606B3" w:rsidRPr="00443662">
        <w:rPr>
          <w:bCs/>
        </w:rPr>
        <w:t>),</w:t>
      </w:r>
      <w:r w:rsidR="00F54EC0" w:rsidRPr="00443662">
        <w:rPr>
          <w:bCs/>
        </w:rPr>
        <w:t xml:space="preserve"> operating expenses,</w:t>
      </w:r>
      <w:r w:rsidR="009606B3" w:rsidRPr="00443662">
        <w:rPr>
          <w:bCs/>
        </w:rPr>
        <w:t xml:space="preserve"> interest payments on B rated debt, and dividends to common stockholders.</w:t>
      </w:r>
    </w:p>
    <w:p w:rsidR="006C1C65" w:rsidRDefault="006C1C65" w:rsidP="006C1C65">
      <w:pPr>
        <w:pStyle w:val="BodyTextIndent"/>
        <w:ind w:left="0" w:firstLine="0"/>
        <w:rPr>
          <w:bCs/>
        </w:rPr>
      </w:pPr>
    </w:p>
    <w:p w:rsidR="008B3466" w:rsidRPr="00443662" w:rsidRDefault="009606B3" w:rsidP="006C1C65">
      <w:pPr>
        <w:pStyle w:val="BodyTextIndent"/>
        <w:ind w:firstLine="720"/>
        <w:rPr>
          <w:bCs/>
        </w:rPr>
      </w:pPr>
      <w:r w:rsidRPr="00443662">
        <w:rPr>
          <w:bCs/>
        </w:rPr>
        <w:t xml:space="preserve">The absence of information severely impairs </w:t>
      </w:r>
      <w:r w:rsidR="0084443B" w:rsidRPr="00443662">
        <w:rPr>
          <w:bCs/>
        </w:rPr>
        <w:t xml:space="preserve">the Commission’s </w:t>
      </w:r>
      <w:r w:rsidRPr="00443662">
        <w:rPr>
          <w:bCs/>
        </w:rPr>
        <w:t xml:space="preserve">ability to determine </w:t>
      </w:r>
      <w:r w:rsidR="0084443B" w:rsidRPr="00443662">
        <w:rPr>
          <w:bCs/>
        </w:rPr>
        <w:t xml:space="preserve">that no </w:t>
      </w:r>
      <w:r w:rsidR="009A0FB3" w:rsidRPr="00443662">
        <w:rPr>
          <w:bCs/>
        </w:rPr>
        <w:t xml:space="preserve">harm </w:t>
      </w:r>
      <w:r w:rsidR="0084443B" w:rsidRPr="00443662">
        <w:rPr>
          <w:bCs/>
        </w:rPr>
        <w:t xml:space="preserve">will result </w:t>
      </w:r>
      <w:r w:rsidRPr="00443662">
        <w:rPr>
          <w:bCs/>
        </w:rPr>
        <w:t>Washington customers.</w:t>
      </w:r>
    </w:p>
    <w:p w:rsidR="00333E56" w:rsidRPr="00443662" w:rsidRDefault="00333E56" w:rsidP="008B3466">
      <w:pPr>
        <w:pStyle w:val="BodyTextIndent"/>
        <w:ind w:left="1440" w:firstLine="0"/>
        <w:rPr>
          <w:bCs/>
        </w:rPr>
      </w:pPr>
    </w:p>
    <w:p w:rsidR="00333E56" w:rsidRPr="00443662" w:rsidRDefault="00333E56" w:rsidP="00333E56">
      <w:pPr>
        <w:pStyle w:val="BodyTextIndent"/>
        <w:rPr>
          <w:b/>
        </w:rPr>
      </w:pPr>
      <w:r w:rsidRPr="00443662">
        <w:rPr>
          <w:b/>
          <w:bCs/>
        </w:rPr>
        <w:t>Q.</w:t>
      </w:r>
      <w:r w:rsidRPr="00443662">
        <w:rPr>
          <w:b/>
          <w:bCs/>
        </w:rPr>
        <w:tab/>
        <w:t>Is there a regulatory mechanism that can mitigate harms to ratepayers that arise as the result of financial distress?</w:t>
      </w:r>
    </w:p>
    <w:p w:rsidR="00333E56" w:rsidRPr="00443662" w:rsidRDefault="00333E56" w:rsidP="00B843D5">
      <w:pPr>
        <w:pStyle w:val="BodyTextIndent"/>
        <w:rPr>
          <w:bCs/>
        </w:rPr>
      </w:pPr>
      <w:r w:rsidRPr="00443662">
        <w:rPr>
          <w:bCs/>
        </w:rPr>
        <w:lastRenderedPageBreak/>
        <w:t>A.</w:t>
      </w:r>
      <w:r w:rsidRPr="00443662">
        <w:rPr>
          <w:bCs/>
        </w:rPr>
        <w:tab/>
        <w:t xml:space="preserve">Ring fencing is a term </w:t>
      </w:r>
      <w:r w:rsidR="0084443B" w:rsidRPr="00443662">
        <w:rPr>
          <w:bCs/>
        </w:rPr>
        <w:t xml:space="preserve">to describe certain types of restrictions intended to </w:t>
      </w:r>
      <w:r w:rsidRPr="00443662">
        <w:rPr>
          <w:bCs/>
        </w:rPr>
        <w:t>insulate a regulated utility from legal or financial misfortunes that might befall</w:t>
      </w:r>
      <w:r w:rsidR="0084443B" w:rsidRPr="00443662">
        <w:rPr>
          <w:bCs/>
        </w:rPr>
        <w:t xml:space="preserve"> an a</w:t>
      </w:r>
      <w:r w:rsidRPr="00443662">
        <w:rPr>
          <w:bCs/>
        </w:rPr>
        <w:t>cquiring company or its affiliates.  In theory, ring fencing enables a utility to continue normal business operations as a standalone company</w:t>
      </w:r>
      <w:r w:rsidR="00B23116" w:rsidRPr="00443662">
        <w:rPr>
          <w:bCs/>
        </w:rPr>
        <w:t xml:space="preserve"> even when the parent is in financial distress or bankruptcy.</w:t>
      </w:r>
      <w:r w:rsidRPr="00443662">
        <w:rPr>
          <w:bCs/>
        </w:rPr>
        <w:t xml:space="preserve">  Typical </w:t>
      </w:r>
      <w:r w:rsidR="00B843D5" w:rsidRPr="00443662">
        <w:rPr>
          <w:bCs/>
        </w:rPr>
        <w:t>aspects of ring fencing include d</w:t>
      </w:r>
      <w:r w:rsidRPr="00443662">
        <w:rPr>
          <w:bCs/>
        </w:rPr>
        <w:t>ividend payment restrictions</w:t>
      </w:r>
      <w:r w:rsidR="009A0FB3" w:rsidRPr="00443662">
        <w:rPr>
          <w:bCs/>
        </w:rPr>
        <w:t xml:space="preserve"> and</w:t>
      </w:r>
      <w:r w:rsidR="00B843D5" w:rsidRPr="00443662">
        <w:rPr>
          <w:bCs/>
        </w:rPr>
        <w:t xml:space="preserve"> l</w:t>
      </w:r>
      <w:r w:rsidRPr="00443662">
        <w:rPr>
          <w:bCs/>
        </w:rPr>
        <w:t>imit</w:t>
      </w:r>
      <w:r w:rsidR="00B843D5" w:rsidRPr="00443662">
        <w:rPr>
          <w:bCs/>
        </w:rPr>
        <w:t xml:space="preserve">ations on operating company debt. </w:t>
      </w:r>
      <w:r w:rsidRPr="00443662">
        <w:rPr>
          <w:bCs/>
        </w:rPr>
        <w:t xml:space="preserve">This </w:t>
      </w:r>
      <w:r w:rsidR="009A0FB3" w:rsidRPr="00443662">
        <w:rPr>
          <w:bCs/>
        </w:rPr>
        <w:t>C</w:t>
      </w:r>
      <w:r w:rsidRPr="00443662">
        <w:rPr>
          <w:bCs/>
        </w:rPr>
        <w:t>ommission has generally required the companies to accept “ring fence” architecture before receiving approval of a merger or divestiture</w:t>
      </w:r>
      <w:r w:rsidR="00FB3869" w:rsidRPr="00443662">
        <w:rPr>
          <w:bCs/>
        </w:rPr>
        <w:t xml:space="preserve">.  Precedential cases include </w:t>
      </w:r>
      <w:r w:rsidRPr="00443662">
        <w:rPr>
          <w:bCs/>
        </w:rPr>
        <w:t>Scottish Power’s acquisition of PacifiCorp, Bell Atlantic’s acquisition of GTE, Sprint’s divestiture of United and, recently, Puget Holdings, LLC’s acquisition of Puget Sound Energy.</w:t>
      </w:r>
    </w:p>
    <w:p w:rsidR="00333E56" w:rsidRPr="00443662" w:rsidRDefault="00333E56" w:rsidP="00333E56">
      <w:pPr>
        <w:pStyle w:val="BodyTextIndent"/>
        <w:rPr>
          <w:b/>
          <w:bCs/>
        </w:rPr>
      </w:pPr>
    </w:p>
    <w:p w:rsidR="00333E56" w:rsidRPr="00443662" w:rsidRDefault="00333E56" w:rsidP="00B843D5">
      <w:pPr>
        <w:pStyle w:val="BodyTextIndent"/>
        <w:rPr>
          <w:b/>
        </w:rPr>
      </w:pPr>
      <w:r w:rsidRPr="00443662">
        <w:rPr>
          <w:b/>
          <w:bCs/>
        </w:rPr>
        <w:t>Q.</w:t>
      </w:r>
      <w:r w:rsidRPr="00443662">
        <w:rPr>
          <w:b/>
          <w:bCs/>
        </w:rPr>
        <w:tab/>
        <w:t>W</w:t>
      </w:r>
      <w:r w:rsidR="00FB3869" w:rsidRPr="00443662">
        <w:rPr>
          <w:b/>
          <w:bCs/>
        </w:rPr>
        <w:t>ould a</w:t>
      </w:r>
      <w:r w:rsidRPr="00443662">
        <w:rPr>
          <w:b/>
          <w:bCs/>
        </w:rPr>
        <w:t xml:space="preserve"> ring fencing </w:t>
      </w:r>
      <w:r w:rsidR="00FB3869" w:rsidRPr="00443662">
        <w:rPr>
          <w:b/>
          <w:bCs/>
        </w:rPr>
        <w:t xml:space="preserve">requirement in this case </w:t>
      </w:r>
      <w:r w:rsidRPr="00443662">
        <w:rPr>
          <w:b/>
          <w:bCs/>
        </w:rPr>
        <w:t>mitigate the potential harms discussed above?</w:t>
      </w:r>
    </w:p>
    <w:p w:rsidR="00333E56" w:rsidRPr="00443662" w:rsidRDefault="00333E56" w:rsidP="00333E56">
      <w:pPr>
        <w:pStyle w:val="BodyTextIndent"/>
        <w:rPr>
          <w:bCs/>
        </w:rPr>
      </w:pPr>
      <w:r w:rsidRPr="00443662">
        <w:rPr>
          <w:bCs/>
        </w:rPr>
        <w:t>A.</w:t>
      </w:r>
      <w:r w:rsidRPr="00443662">
        <w:rPr>
          <w:bCs/>
        </w:rPr>
        <w:tab/>
      </w:r>
      <w:r w:rsidR="00FB3869" w:rsidRPr="00443662">
        <w:rPr>
          <w:bCs/>
        </w:rPr>
        <w:t>No.</w:t>
      </w:r>
      <w:r w:rsidR="006C1C65">
        <w:rPr>
          <w:bCs/>
        </w:rPr>
        <w:t xml:space="preserve"> </w:t>
      </w:r>
      <w:r w:rsidR="00FB3869" w:rsidRPr="00443662">
        <w:rPr>
          <w:bCs/>
        </w:rPr>
        <w:t xml:space="preserve"> Ring fencing cannot </w:t>
      </w:r>
      <w:r w:rsidRPr="00443662">
        <w:rPr>
          <w:bCs/>
        </w:rPr>
        <w:t xml:space="preserve">protect </w:t>
      </w:r>
      <w:r w:rsidR="00BD1A53" w:rsidRPr="00443662">
        <w:rPr>
          <w:bCs/>
        </w:rPr>
        <w:t xml:space="preserve">an </w:t>
      </w:r>
      <w:r w:rsidR="00FB3869" w:rsidRPr="00443662">
        <w:rPr>
          <w:bCs/>
        </w:rPr>
        <w:t>ILEC</w:t>
      </w:r>
      <w:r w:rsidR="00BD1A53" w:rsidRPr="00443662">
        <w:rPr>
          <w:bCs/>
        </w:rPr>
        <w:t xml:space="preserve"> </w:t>
      </w:r>
      <w:r w:rsidRPr="00443662">
        <w:rPr>
          <w:bCs/>
        </w:rPr>
        <w:t>from</w:t>
      </w:r>
      <w:r w:rsidR="00BD1A53" w:rsidRPr="00443662">
        <w:rPr>
          <w:bCs/>
        </w:rPr>
        <w:t xml:space="preserve"> the</w:t>
      </w:r>
      <w:r w:rsidRPr="00443662">
        <w:rPr>
          <w:bCs/>
        </w:rPr>
        <w:t xml:space="preserve"> financial risk profile of </w:t>
      </w:r>
      <w:r w:rsidR="00FB3869" w:rsidRPr="00443662">
        <w:rPr>
          <w:bCs/>
        </w:rPr>
        <w:t>its</w:t>
      </w:r>
      <w:r w:rsidR="00BD1A53" w:rsidRPr="00443662">
        <w:rPr>
          <w:bCs/>
        </w:rPr>
        <w:t xml:space="preserve"> parent</w:t>
      </w:r>
      <w:r w:rsidRPr="00443662">
        <w:rPr>
          <w:bCs/>
        </w:rPr>
        <w:t xml:space="preserve"> because </w:t>
      </w:r>
      <w:r w:rsidR="00BD1A53" w:rsidRPr="00443662">
        <w:rPr>
          <w:bCs/>
        </w:rPr>
        <w:t>most of the transactions needed to keep the</w:t>
      </w:r>
      <w:r w:rsidR="00FB3869" w:rsidRPr="00443662">
        <w:rPr>
          <w:bCs/>
        </w:rPr>
        <w:t xml:space="preserve"> operating</w:t>
      </w:r>
      <w:r w:rsidR="00BD1A53" w:rsidRPr="00443662">
        <w:rPr>
          <w:bCs/>
        </w:rPr>
        <w:t xml:space="preserve"> company a “going concern” </w:t>
      </w:r>
      <w:r w:rsidR="006C52F8" w:rsidRPr="00443662">
        <w:rPr>
          <w:bCs/>
        </w:rPr>
        <w:t>are</w:t>
      </w:r>
      <w:r w:rsidR="00BD1A53" w:rsidRPr="00443662">
        <w:rPr>
          <w:bCs/>
        </w:rPr>
        <w:t xml:space="preserve"> performed at the parent level.</w:t>
      </w:r>
      <w:r w:rsidRPr="00443662">
        <w:rPr>
          <w:bCs/>
        </w:rPr>
        <w:t xml:space="preserve"> </w:t>
      </w:r>
      <w:r w:rsidR="00FB3869" w:rsidRPr="00443662">
        <w:rPr>
          <w:bCs/>
        </w:rPr>
        <w:t>Additionally</w:t>
      </w:r>
      <w:r w:rsidRPr="00443662">
        <w:rPr>
          <w:bCs/>
        </w:rPr>
        <w:t xml:space="preserve">, </w:t>
      </w:r>
      <w:r w:rsidR="00BD1A53" w:rsidRPr="00443662">
        <w:rPr>
          <w:bCs/>
        </w:rPr>
        <w:t>any restriction of the operating company’s</w:t>
      </w:r>
      <w:r w:rsidR="00863A1F" w:rsidRPr="00443662">
        <w:rPr>
          <w:bCs/>
        </w:rPr>
        <w:t xml:space="preserve"> </w:t>
      </w:r>
      <w:r w:rsidR="00BD1A53" w:rsidRPr="00443662">
        <w:rPr>
          <w:bCs/>
        </w:rPr>
        <w:t>dividends become</w:t>
      </w:r>
      <w:r w:rsidR="00FB3869" w:rsidRPr="00443662">
        <w:rPr>
          <w:bCs/>
        </w:rPr>
        <w:t>s</w:t>
      </w:r>
      <w:r w:rsidR="00BD1A53" w:rsidRPr="00443662">
        <w:rPr>
          <w:bCs/>
        </w:rPr>
        <w:t xml:space="preserve"> a paper tiger</w:t>
      </w:r>
      <w:r w:rsidR="00FB3869" w:rsidRPr="00443662">
        <w:rPr>
          <w:bCs/>
        </w:rPr>
        <w:t xml:space="preserve"> because cash flows </w:t>
      </w:r>
      <w:r w:rsidR="00B843D5" w:rsidRPr="00443662">
        <w:rPr>
          <w:bCs/>
        </w:rPr>
        <w:t>from</w:t>
      </w:r>
      <w:r w:rsidR="00FB3869" w:rsidRPr="00443662">
        <w:rPr>
          <w:bCs/>
        </w:rPr>
        <w:t xml:space="preserve"> the</w:t>
      </w:r>
      <w:r w:rsidR="00B843D5" w:rsidRPr="00443662">
        <w:rPr>
          <w:bCs/>
        </w:rPr>
        <w:t xml:space="preserve"> operating company to the parent are recorded in the</w:t>
      </w:r>
      <w:r w:rsidR="00FB3869" w:rsidRPr="00443662">
        <w:rPr>
          <w:bCs/>
        </w:rPr>
        <w:t xml:space="preserve"> intercompany receivable and payables accounts</w:t>
      </w:r>
      <w:r w:rsidR="00BD1A53" w:rsidRPr="00443662">
        <w:rPr>
          <w:bCs/>
        </w:rPr>
        <w:t>.</w:t>
      </w:r>
      <w:r w:rsidRPr="00443662">
        <w:rPr>
          <w:bCs/>
        </w:rPr>
        <w:t xml:space="preserve">  </w:t>
      </w:r>
    </w:p>
    <w:p w:rsidR="00333E56" w:rsidRPr="00443662" w:rsidRDefault="00333E56" w:rsidP="00333E56">
      <w:pPr>
        <w:pStyle w:val="BodyTextIndent"/>
        <w:ind w:left="1440" w:firstLine="0"/>
        <w:rPr>
          <w:bCs/>
        </w:rPr>
      </w:pPr>
    </w:p>
    <w:p w:rsidR="00FB3869" w:rsidRPr="00443662" w:rsidRDefault="00333E56" w:rsidP="00333E56">
      <w:pPr>
        <w:pStyle w:val="BodyTextIndent"/>
        <w:rPr>
          <w:b/>
          <w:bCs/>
        </w:rPr>
      </w:pPr>
      <w:r w:rsidRPr="00443662">
        <w:rPr>
          <w:b/>
          <w:bCs/>
        </w:rPr>
        <w:t>Q.</w:t>
      </w:r>
      <w:r w:rsidRPr="00443662">
        <w:rPr>
          <w:b/>
          <w:bCs/>
        </w:rPr>
        <w:tab/>
      </w:r>
      <w:r w:rsidR="00FB3869" w:rsidRPr="00443662">
        <w:rPr>
          <w:b/>
          <w:bCs/>
        </w:rPr>
        <w:t>Can you provide examples of how Frontier Northwest would be heavily integrated into the Frontier parent structure?</w:t>
      </w:r>
    </w:p>
    <w:p w:rsidR="00FB3869" w:rsidRPr="00443662" w:rsidRDefault="00FB3869" w:rsidP="00333E56">
      <w:pPr>
        <w:pStyle w:val="BodyTextIndent"/>
        <w:rPr>
          <w:bCs/>
        </w:rPr>
      </w:pPr>
      <w:r w:rsidRPr="00443662">
        <w:rPr>
          <w:bCs/>
        </w:rPr>
        <w:lastRenderedPageBreak/>
        <w:t xml:space="preserve"> </w:t>
      </w:r>
      <w:r w:rsidR="00333E56" w:rsidRPr="00443662">
        <w:rPr>
          <w:bCs/>
        </w:rPr>
        <w:t>A.</w:t>
      </w:r>
      <w:r w:rsidR="00333E56" w:rsidRPr="00443662">
        <w:rPr>
          <w:bCs/>
        </w:rPr>
        <w:tab/>
        <w:t xml:space="preserve">Yes.  </w:t>
      </w:r>
      <w:r w:rsidRPr="00443662">
        <w:rPr>
          <w:bCs/>
        </w:rPr>
        <w:t xml:space="preserve">As with Verizon, </w:t>
      </w:r>
      <w:r w:rsidR="00333E56" w:rsidRPr="00443662">
        <w:rPr>
          <w:bCs/>
        </w:rPr>
        <w:t xml:space="preserve">Frontier </w:t>
      </w:r>
      <w:r w:rsidR="00045974" w:rsidRPr="00443662">
        <w:rPr>
          <w:bCs/>
        </w:rPr>
        <w:t xml:space="preserve">performs </w:t>
      </w:r>
      <w:r w:rsidR="00BD1A53" w:rsidRPr="00443662">
        <w:rPr>
          <w:bCs/>
        </w:rPr>
        <w:t>most of the</w:t>
      </w:r>
      <w:r w:rsidR="00045974" w:rsidRPr="00443662">
        <w:rPr>
          <w:bCs/>
        </w:rPr>
        <w:t xml:space="preserve"> functions for the operating company such as executive management, accounting, treasury, human r</w:t>
      </w:r>
      <w:r w:rsidR="00B843D5" w:rsidRPr="00443662">
        <w:rPr>
          <w:bCs/>
        </w:rPr>
        <w:t>esources, and legal</w:t>
      </w:r>
      <w:r w:rsidRPr="00443662">
        <w:rPr>
          <w:bCs/>
        </w:rPr>
        <w:t xml:space="preserve">. Frontier </w:t>
      </w:r>
      <w:r w:rsidR="00045974" w:rsidRPr="00443662">
        <w:rPr>
          <w:bCs/>
        </w:rPr>
        <w:t>pay</w:t>
      </w:r>
      <w:r w:rsidR="00BD1A53" w:rsidRPr="00443662">
        <w:rPr>
          <w:bCs/>
        </w:rPr>
        <w:t>s its</w:t>
      </w:r>
      <w:r w:rsidR="00045974" w:rsidRPr="00443662">
        <w:rPr>
          <w:bCs/>
        </w:rPr>
        <w:t xml:space="preserve"> dividends </w:t>
      </w:r>
      <w:r w:rsidR="00BD1A53" w:rsidRPr="00443662">
        <w:rPr>
          <w:bCs/>
        </w:rPr>
        <w:t>based upon</w:t>
      </w:r>
      <w:r w:rsidR="00045974" w:rsidRPr="00443662">
        <w:rPr>
          <w:bCs/>
        </w:rPr>
        <w:t xml:space="preserve"> EBITDA and free cash flow. Restricting dividends</w:t>
      </w:r>
      <w:r w:rsidRPr="00443662">
        <w:rPr>
          <w:bCs/>
        </w:rPr>
        <w:t xml:space="preserve"> from</w:t>
      </w:r>
      <w:r w:rsidR="00BD1A53" w:rsidRPr="00443662">
        <w:rPr>
          <w:bCs/>
        </w:rPr>
        <w:t xml:space="preserve"> t</w:t>
      </w:r>
      <w:r w:rsidR="00045974" w:rsidRPr="00443662">
        <w:rPr>
          <w:bCs/>
        </w:rPr>
        <w:t>he operating company</w:t>
      </w:r>
      <w:r w:rsidRPr="00443662">
        <w:rPr>
          <w:bCs/>
        </w:rPr>
        <w:t xml:space="preserve"> to the parent</w:t>
      </w:r>
      <w:r w:rsidR="00045974" w:rsidRPr="00443662">
        <w:rPr>
          <w:bCs/>
        </w:rPr>
        <w:t xml:space="preserve"> does not stop the intercompany cash flow</w:t>
      </w:r>
      <w:r w:rsidR="00B843D5" w:rsidRPr="00443662">
        <w:rPr>
          <w:bCs/>
        </w:rPr>
        <w:t xml:space="preserve"> from</w:t>
      </w:r>
      <w:r w:rsidRPr="00443662">
        <w:rPr>
          <w:bCs/>
        </w:rPr>
        <w:t xml:space="preserve"> the</w:t>
      </w:r>
      <w:r w:rsidR="00045974" w:rsidRPr="00443662">
        <w:rPr>
          <w:bCs/>
        </w:rPr>
        <w:t xml:space="preserve"> operating company</w:t>
      </w:r>
      <w:r w:rsidR="00B843D5" w:rsidRPr="00443662">
        <w:rPr>
          <w:bCs/>
        </w:rPr>
        <w:t xml:space="preserve"> to the parent</w:t>
      </w:r>
      <w:r w:rsidR="00045974" w:rsidRPr="00443662">
        <w:rPr>
          <w:bCs/>
        </w:rPr>
        <w:t>. The dividend restriction does not work for an entity that is not able to function as a stand</w:t>
      </w:r>
      <w:r w:rsidR="006C52F8" w:rsidRPr="00443662">
        <w:rPr>
          <w:bCs/>
        </w:rPr>
        <w:t>-</w:t>
      </w:r>
      <w:r w:rsidR="00045974" w:rsidRPr="00443662">
        <w:rPr>
          <w:bCs/>
        </w:rPr>
        <w:t xml:space="preserve">alone operation. </w:t>
      </w:r>
      <w:r w:rsidRPr="00443662">
        <w:rPr>
          <w:bCs/>
        </w:rPr>
        <w:t xml:space="preserve">Additionally, a restriction on dividends would have to be accompanied by a requirement that the company report the balances of the intercompany receivables and payables on a monthly or quarterly basis so that the </w:t>
      </w:r>
      <w:r w:rsidR="009A0FB3" w:rsidRPr="00443662">
        <w:rPr>
          <w:bCs/>
        </w:rPr>
        <w:t>C</w:t>
      </w:r>
      <w:r w:rsidRPr="00443662">
        <w:rPr>
          <w:bCs/>
        </w:rPr>
        <w:t>ommission could more effectively police those transaction to ensure that the subsidiary is not overpaying for services it receives or undercharging for services it provides. But even with this information, this would still be a very difficult task.</w:t>
      </w:r>
    </w:p>
    <w:p w:rsidR="008B3466" w:rsidRPr="00443662" w:rsidRDefault="00045974" w:rsidP="00333E56">
      <w:pPr>
        <w:pStyle w:val="BodyTextIndent"/>
        <w:rPr>
          <w:bCs/>
        </w:rPr>
      </w:pPr>
      <w:r w:rsidRPr="00443662">
        <w:rPr>
          <w:bCs/>
        </w:rPr>
        <w:t xml:space="preserve">   </w:t>
      </w:r>
    </w:p>
    <w:p w:rsidR="00253DC9" w:rsidRPr="00443662" w:rsidRDefault="008B3466" w:rsidP="008B3466">
      <w:pPr>
        <w:pStyle w:val="BodyTextIndent"/>
        <w:rPr>
          <w:bCs/>
        </w:rPr>
      </w:pPr>
      <w:r w:rsidRPr="00F34764">
        <w:rPr>
          <w:b/>
          <w:bCs/>
        </w:rPr>
        <w:t>Q.</w:t>
      </w:r>
      <w:r w:rsidRPr="00F34764">
        <w:rPr>
          <w:b/>
          <w:bCs/>
        </w:rPr>
        <w:tab/>
      </w:r>
      <w:r w:rsidR="00253DC9" w:rsidRPr="00443662">
        <w:rPr>
          <w:b/>
          <w:bCs/>
        </w:rPr>
        <w:t xml:space="preserve">Does the merger agreement </w:t>
      </w:r>
      <w:r w:rsidR="00D2296F" w:rsidRPr="00443662">
        <w:rPr>
          <w:b/>
          <w:bCs/>
        </w:rPr>
        <w:t xml:space="preserve">itself </w:t>
      </w:r>
      <w:r w:rsidR="00253DC9" w:rsidRPr="00443662">
        <w:rPr>
          <w:b/>
          <w:bCs/>
        </w:rPr>
        <w:t>pose</w:t>
      </w:r>
      <w:r w:rsidR="001D40A7" w:rsidRPr="00443662">
        <w:rPr>
          <w:b/>
          <w:bCs/>
        </w:rPr>
        <w:t xml:space="preserve"> problems that could potentially harm Washington customers?</w:t>
      </w:r>
    </w:p>
    <w:p w:rsidR="00EC1C76" w:rsidRPr="00443662" w:rsidRDefault="001D40A7" w:rsidP="00792BDD">
      <w:pPr>
        <w:pStyle w:val="BodyTextIndent"/>
        <w:rPr>
          <w:bCs/>
        </w:rPr>
      </w:pPr>
      <w:r w:rsidRPr="00443662">
        <w:rPr>
          <w:bCs/>
        </w:rPr>
        <w:t>A.</w:t>
      </w:r>
      <w:r w:rsidRPr="00443662">
        <w:rPr>
          <w:bCs/>
        </w:rPr>
        <w:tab/>
        <w:t xml:space="preserve">I believe it does. </w:t>
      </w:r>
      <w:proofErr w:type="gramStart"/>
      <w:r w:rsidRPr="00443662">
        <w:rPr>
          <w:bCs/>
        </w:rPr>
        <w:t xml:space="preserve">On </w:t>
      </w:r>
      <w:r w:rsidR="009A0FB3" w:rsidRPr="00443662">
        <w:rPr>
          <w:bCs/>
        </w:rPr>
        <w:t>p</w:t>
      </w:r>
      <w:r w:rsidRPr="00443662">
        <w:rPr>
          <w:bCs/>
        </w:rPr>
        <w:t xml:space="preserve">age </w:t>
      </w:r>
      <w:r w:rsidR="009A0FB3" w:rsidRPr="00443662">
        <w:rPr>
          <w:bCs/>
        </w:rPr>
        <w:t>44</w:t>
      </w:r>
      <w:r w:rsidRPr="00443662">
        <w:rPr>
          <w:bCs/>
        </w:rPr>
        <w:t xml:space="preserve"> of </w:t>
      </w:r>
      <w:r w:rsidR="00B843D5" w:rsidRPr="00443662">
        <w:rPr>
          <w:bCs/>
        </w:rPr>
        <w:t>E</w:t>
      </w:r>
      <w:r w:rsidRPr="00443662">
        <w:rPr>
          <w:bCs/>
        </w:rPr>
        <w:t>xhibit</w:t>
      </w:r>
      <w:r w:rsidR="00B843D5" w:rsidRPr="00443662">
        <w:rPr>
          <w:bCs/>
        </w:rPr>
        <w:t xml:space="preserve"> </w:t>
      </w:r>
      <w:r w:rsidR="009A2069">
        <w:rPr>
          <w:bCs/>
        </w:rPr>
        <w:t>No.</w:t>
      </w:r>
      <w:proofErr w:type="gramEnd"/>
      <w:r w:rsidR="009A2069">
        <w:rPr>
          <w:bCs/>
        </w:rPr>
        <w:t xml:space="preserve"> </w:t>
      </w:r>
      <w:r w:rsidR="00B843D5" w:rsidRPr="00443662">
        <w:rPr>
          <w:bCs/>
        </w:rPr>
        <w:t>___ (DM-7)</w:t>
      </w:r>
      <w:r w:rsidRPr="00443662">
        <w:rPr>
          <w:bCs/>
        </w:rPr>
        <w:t xml:space="preserve">, </w:t>
      </w:r>
      <w:r w:rsidR="00C07D46" w:rsidRPr="00443662">
        <w:rPr>
          <w:bCs/>
        </w:rPr>
        <w:t>the company summarizes information about the transaction. In that summary, there is a description of a “make whole” provision for Verizon in the agreement:</w:t>
      </w:r>
    </w:p>
    <w:p w:rsidR="00647EC5" w:rsidRPr="00443662" w:rsidRDefault="00EC1C76" w:rsidP="00647EC5">
      <w:pPr>
        <w:pStyle w:val="BodyTextIndent"/>
        <w:spacing w:line="240" w:lineRule="auto"/>
        <w:ind w:left="1440" w:firstLine="0"/>
        <w:rPr>
          <w:bCs/>
        </w:rPr>
      </w:pPr>
      <w:r w:rsidRPr="00443662">
        <w:rPr>
          <w:bCs/>
        </w:rPr>
        <w:t>Additionally, the amount referred to in clause (1) above is subject to</w:t>
      </w:r>
      <w:r w:rsidR="008B3466" w:rsidRPr="00443662">
        <w:rPr>
          <w:bCs/>
        </w:rPr>
        <w:t xml:space="preserve"> </w:t>
      </w:r>
      <w:r w:rsidRPr="00443662">
        <w:rPr>
          <w:bCs/>
        </w:rPr>
        <w:t xml:space="preserve">  increase by any amounts paid, payable or forgone by Verizon pursuant to orders or settlements that are issued or entered into in order to obtain governmental approvals in the </w:t>
      </w:r>
      <w:proofErr w:type="spellStart"/>
      <w:r w:rsidRPr="00443662">
        <w:rPr>
          <w:bCs/>
        </w:rPr>
        <w:t>Spinco</w:t>
      </w:r>
      <w:proofErr w:type="spellEnd"/>
      <w:r w:rsidRPr="00443662">
        <w:rPr>
          <w:bCs/>
        </w:rPr>
        <w:t xml:space="preserve"> territory that are required to complete the merger or the spin-off. As a result, the number of shares of Frontier common stock issuable pursuant to the merger agreement may increase, and any such increase could be significant.</w:t>
      </w:r>
    </w:p>
    <w:p w:rsidR="00647EC5" w:rsidRPr="00443662" w:rsidRDefault="00647EC5" w:rsidP="00647EC5">
      <w:pPr>
        <w:pStyle w:val="BodyTextIndent"/>
        <w:spacing w:line="240" w:lineRule="auto"/>
        <w:ind w:left="1440" w:firstLine="0"/>
        <w:rPr>
          <w:bCs/>
        </w:rPr>
      </w:pPr>
    </w:p>
    <w:p w:rsidR="00E827C3" w:rsidRPr="00443662" w:rsidRDefault="005557F7" w:rsidP="00B843D5">
      <w:pPr>
        <w:pStyle w:val="BodyTextIndent"/>
        <w:rPr>
          <w:bCs/>
        </w:rPr>
      </w:pPr>
      <w:r w:rsidRPr="00443662">
        <w:rPr>
          <w:bCs/>
        </w:rPr>
        <w:lastRenderedPageBreak/>
        <w:tab/>
      </w:r>
      <w:r w:rsidR="00C07D46" w:rsidRPr="00443662">
        <w:rPr>
          <w:bCs/>
        </w:rPr>
        <w:t xml:space="preserve">Generally, state commissions have been known to impose conditions on the approval of mergers. The current merger agreement would </w:t>
      </w:r>
      <w:r w:rsidR="00C4706A" w:rsidRPr="00443662">
        <w:rPr>
          <w:bCs/>
        </w:rPr>
        <w:t>require</w:t>
      </w:r>
      <w:r w:rsidR="005C53F0" w:rsidRPr="00443662">
        <w:rPr>
          <w:bCs/>
        </w:rPr>
        <w:t xml:space="preserve"> Frontier to issue additional equity shares to Verizon</w:t>
      </w:r>
      <w:r w:rsidR="00D2296F" w:rsidRPr="00443662">
        <w:rPr>
          <w:bCs/>
        </w:rPr>
        <w:t xml:space="preserve"> </w:t>
      </w:r>
      <w:r w:rsidR="00C07D46" w:rsidRPr="00443662">
        <w:rPr>
          <w:bCs/>
        </w:rPr>
        <w:t xml:space="preserve">for any amount that a regulatory body requires Verizon to pay or forego for approval of the transaction. If Frontier issues more </w:t>
      </w:r>
      <w:proofErr w:type="gramStart"/>
      <w:r w:rsidR="00C07D46" w:rsidRPr="00443662">
        <w:rPr>
          <w:bCs/>
        </w:rPr>
        <w:t>shares,</w:t>
      </w:r>
      <w:r w:rsidR="00990EBF" w:rsidRPr="00443662">
        <w:rPr>
          <w:bCs/>
        </w:rPr>
        <w:t xml:space="preserve"> </w:t>
      </w:r>
      <w:r w:rsidR="00C07D46" w:rsidRPr="00443662">
        <w:rPr>
          <w:bCs/>
        </w:rPr>
        <w:t>that</w:t>
      </w:r>
      <w:proofErr w:type="gramEnd"/>
      <w:r w:rsidR="00C07D46" w:rsidRPr="00443662">
        <w:rPr>
          <w:bCs/>
        </w:rPr>
        <w:t xml:space="preserve"> will increase the total dividends Frontier must pay to stockholders (based on its commitment to shareholders). Increased dividend payments </w:t>
      </w:r>
      <w:r w:rsidR="00C4706A" w:rsidRPr="00443662">
        <w:rPr>
          <w:bCs/>
        </w:rPr>
        <w:t>would</w:t>
      </w:r>
      <w:r w:rsidR="005C53F0" w:rsidRPr="00443662">
        <w:rPr>
          <w:bCs/>
        </w:rPr>
        <w:t xml:space="preserve"> restrict cash available</w:t>
      </w:r>
      <w:r w:rsidR="00C07D46" w:rsidRPr="00443662">
        <w:rPr>
          <w:bCs/>
        </w:rPr>
        <w:t xml:space="preserve"> for</w:t>
      </w:r>
      <w:r w:rsidR="005C53F0" w:rsidRPr="00443662">
        <w:rPr>
          <w:bCs/>
        </w:rPr>
        <w:t xml:space="preserve"> other purposes </w:t>
      </w:r>
      <w:r w:rsidR="00990EBF" w:rsidRPr="00443662">
        <w:rPr>
          <w:bCs/>
        </w:rPr>
        <w:t>such as</w:t>
      </w:r>
      <w:r w:rsidR="005C53F0" w:rsidRPr="00443662">
        <w:rPr>
          <w:bCs/>
        </w:rPr>
        <w:t xml:space="preserve"> deploying broadband DSL services</w:t>
      </w:r>
      <w:r w:rsidR="00990EBF" w:rsidRPr="00443662">
        <w:rPr>
          <w:bCs/>
        </w:rPr>
        <w:t xml:space="preserve"> or </w:t>
      </w:r>
      <w:proofErr w:type="spellStart"/>
      <w:r w:rsidR="00990EBF" w:rsidRPr="00443662">
        <w:rPr>
          <w:bCs/>
        </w:rPr>
        <w:t>FiOS</w:t>
      </w:r>
      <w:proofErr w:type="spellEnd"/>
      <w:r w:rsidR="00990EBF" w:rsidRPr="00443662">
        <w:rPr>
          <w:bCs/>
        </w:rPr>
        <w:t xml:space="preserve"> and</w:t>
      </w:r>
      <w:r w:rsidR="00C4706A" w:rsidRPr="00443662">
        <w:rPr>
          <w:bCs/>
        </w:rPr>
        <w:t xml:space="preserve"> other necessary capital expenditures</w:t>
      </w:r>
      <w:r w:rsidR="00990EBF" w:rsidRPr="00443662">
        <w:rPr>
          <w:bCs/>
        </w:rPr>
        <w:t>.</w:t>
      </w:r>
      <w:r w:rsidR="005C53F0" w:rsidRPr="00443662">
        <w:rPr>
          <w:bCs/>
        </w:rPr>
        <w:t xml:space="preserve"> </w:t>
      </w:r>
      <w:r w:rsidR="00C07D46" w:rsidRPr="00443662">
        <w:rPr>
          <w:bCs/>
        </w:rPr>
        <w:t>Therefore, any attempt to impose merger conditions</w:t>
      </w:r>
      <w:r w:rsidR="00C4706A" w:rsidRPr="00443662">
        <w:rPr>
          <w:bCs/>
        </w:rPr>
        <w:t xml:space="preserve"> </w:t>
      </w:r>
      <w:r w:rsidR="00C07D46" w:rsidRPr="00443662">
        <w:rPr>
          <w:bCs/>
        </w:rPr>
        <w:t>with a price tag on Verizon could have the perverse effect of weakening Frontier.</w:t>
      </w:r>
    </w:p>
    <w:p w:rsidR="00333E56" w:rsidRPr="00443662" w:rsidRDefault="00333E56" w:rsidP="005557F7">
      <w:pPr>
        <w:pStyle w:val="BodyTextIndent"/>
        <w:rPr>
          <w:b/>
          <w:bCs/>
        </w:rPr>
      </w:pPr>
    </w:p>
    <w:p w:rsidR="00E827C3" w:rsidRPr="00443662" w:rsidRDefault="00333E56" w:rsidP="00333E56">
      <w:pPr>
        <w:pStyle w:val="BodyTextIndent"/>
        <w:rPr>
          <w:b/>
          <w:bCs/>
        </w:rPr>
      </w:pPr>
      <w:r w:rsidRPr="00443662">
        <w:rPr>
          <w:b/>
          <w:bCs/>
        </w:rPr>
        <w:t>Q.</w:t>
      </w:r>
      <w:r w:rsidRPr="00443662">
        <w:rPr>
          <w:b/>
          <w:bCs/>
        </w:rPr>
        <w:tab/>
      </w:r>
      <w:r w:rsidR="00E827C3" w:rsidRPr="00443662">
        <w:rPr>
          <w:b/>
          <w:bCs/>
        </w:rPr>
        <w:t xml:space="preserve">Has Frontier disclosed risk factors that could affect </w:t>
      </w:r>
      <w:r w:rsidR="00C07D46" w:rsidRPr="00443662">
        <w:rPr>
          <w:b/>
          <w:bCs/>
        </w:rPr>
        <w:t>its</w:t>
      </w:r>
      <w:r w:rsidR="00E827C3" w:rsidRPr="00443662">
        <w:rPr>
          <w:b/>
          <w:bCs/>
        </w:rPr>
        <w:t xml:space="preserve"> operations?</w:t>
      </w:r>
    </w:p>
    <w:p w:rsidR="00570101" w:rsidRPr="00443662" w:rsidRDefault="00E827C3" w:rsidP="005557F7">
      <w:pPr>
        <w:pStyle w:val="BodyTextIndent"/>
        <w:rPr>
          <w:bCs/>
        </w:rPr>
      </w:pPr>
      <w:r w:rsidRPr="00443662">
        <w:rPr>
          <w:bCs/>
        </w:rPr>
        <w:t>A.</w:t>
      </w:r>
      <w:r w:rsidRPr="00443662">
        <w:rPr>
          <w:bCs/>
        </w:rPr>
        <w:tab/>
        <w:t xml:space="preserve">Yes. </w:t>
      </w:r>
      <w:r w:rsidR="006C1C65">
        <w:rPr>
          <w:bCs/>
        </w:rPr>
        <w:t xml:space="preserve"> </w:t>
      </w:r>
      <w:proofErr w:type="gramStart"/>
      <w:r w:rsidR="00990EBF" w:rsidRPr="00443662">
        <w:rPr>
          <w:bCs/>
        </w:rPr>
        <w:t xml:space="preserve">Starting on page </w:t>
      </w:r>
      <w:r w:rsidR="009A0FB3" w:rsidRPr="00443662">
        <w:rPr>
          <w:bCs/>
        </w:rPr>
        <w:t>24</w:t>
      </w:r>
      <w:r w:rsidR="00990EBF" w:rsidRPr="00443662">
        <w:rPr>
          <w:bCs/>
        </w:rPr>
        <w:t xml:space="preserve"> of Frontier’s S-4 filing, Exhibit No.</w:t>
      </w:r>
      <w:proofErr w:type="gramEnd"/>
      <w:r w:rsidR="00990EBF" w:rsidRPr="00443662">
        <w:rPr>
          <w:bCs/>
        </w:rPr>
        <w:t xml:space="preserve"> ___</w:t>
      </w:r>
      <w:r w:rsidR="006C1C65">
        <w:rPr>
          <w:bCs/>
        </w:rPr>
        <w:t xml:space="preserve"> </w:t>
      </w:r>
      <w:r w:rsidR="00990EBF" w:rsidRPr="00443662">
        <w:rPr>
          <w:bCs/>
        </w:rPr>
        <w:t>(DM-7), there are thirty items identifying the risks associated with the “combined company” (</w:t>
      </w:r>
      <w:r w:rsidR="009A0FB3" w:rsidRPr="00443662">
        <w:rPr>
          <w:bCs/>
        </w:rPr>
        <w:t xml:space="preserve">i.e., the combined </w:t>
      </w:r>
      <w:r w:rsidR="00990EBF" w:rsidRPr="00443662">
        <w:rPr>
          <w:bCs/>
        </w:rPr>
        <w:t xml:space="preserve">Frontier and </w:t>
      </w:r>
      <w:proofErr w:type="spellStart"/>
      <w:r w:rsidR="00990EBF" w:rsidRPr="00443662">
        <w:rPr>
          <w:bCs/>
        </w:rPr>
        <w:t>Spinco</w:t>
      </w:r>
      <w:proofErr w:type="spellEnd"/>
      <w:r w:rsidR="00990EBF" w:rsidRPr="00443662">
        <w:rPr>
          <w:bCs/>
        </w:rPr>
        <w:t xml:space="preserve"> operations).</w:t>
      </w:r>
      <w:r w:rsidRPr="00443662">
        <w:rPr>
          <w:bCs/>
        </w:rPr>
        <w:t xml:space="preserve"> The following is a</w:t>
      </w:r>
      <w:r w:rsidR="00570101" w:rsidRPr="00443662">
        <w:rPr>
          <w:bCs/>
        </w:rPr>
        <w:t xml:space="preserve"> brief list of the risk factors</w:t>
      </w:r>
      <w:r w:rsidR="00D2296F" w:rsidRPr="00443662">
        <w:rPr>
          <w:bCs/>
        </w:rPr>
        <w:t>:</w:t>
      </w:r>
    </w:p>
    <w:p w:rsidR="00570101" w:rsidRDefault="00570101" w:rsidP="006C1C65">
      <w:pPr>
        <w:pStyle w:val="BodyTextIndent"/>
        <w:numPr>
          <w:ilvl w:val="0"/>
          <w:numId w:val="33"/>
        </w:numPr>
        <w:spacing w:line="240" w:lineRule="auto"/>
        <w:ind w:left="1710" w:hanging="270"/>
        <w:rPr>
          <w:bCs/>
        </w:rPr>
      </w:pPr>
      <w:r w:rsidRPr="00443662">
        <w:rPr>
          <w:bCs/>
        </w:rPr>
        <w:t xml:space="preserve">The calculation of the merger consideration will not be adjusted in the event the value of the </w:t>
      </w:r>
      <w:proofErr w:type="spellStart"/>
      <w:r w:rsidRPr="00443662">
        <w:rPr>
          <w:bCs/>
        </w:rPr>
        <w:t>Spinco</w:t>
      </w:r>
      <w:proofErr w:type="spellEnd"/>
      <w:r w:rsidRPr="00443662">
        <w:rPr>
          <w:bCs/>
        </w:rPr>
        <w:t xml:space="preserve"> business or assets declines before the merger is completed.</w:t>
      </w:r>
    </w:p>
    <w:p w:rsidR="006C1C65" w:rsidRPr="00443662" w:rsidRDefault="006C1C65" w:rsidP="006C1C65">
      <w:pPr>
        <w:pStyle w:val="BodyTextIndent"/>
        <w:spacing w:line="240" w:lineRule="auto"/>
        <w:ind w:left="1440" w:firstLine="0"/>
        <w:rPr>
          <w:bCs/>
        </w:rPr>
      </w:pPr>
    </w:p>
    <w:p w:rsidR="00570101" w:rsidRDefault="00570101" w:rsidP="006C1C65">
      <w:pPr>
        <w:pStyle w:val="BodyTextIndent"/>
        <w:numPr>
          <w:ilvl w:val="0"/>
          <w:numId w:val="33"/>
        </w:numPr>
        <w:spacing w:line="240" w:lineRule="auto"/>
        <w:ind w:left="1710" w:hanging="270"/>
        <w:rPr>
          <w:bCs/>
        </w:rPr>
      </w:pPr>
      <w:r w:rsidRPr="00443662">
        <w:rPr>
          <w:bCs/>
        </w:rPr>
        <w:t xml:space="preserve">Frontier’s effort to combine Frontier’s business and the </w:t>
      </w:r>
      <w:proofErr w:type="spellStart"/>
      <w:r w:rsidRPr="00443662">
        <w:rPr>
          <w:bCs/>
        </w:rPr>
        <w:t>Spinco</w:t>
      </w:r>
      <w:proofErr w:type="spellEnd"/>
      <w:r w:rsidRPr="00443662">
        <w:rPr>
          <w:bCs/>
        </w:rPr>
        <w:t xml:space="preserve"> business may not be successful.</w:t>
      </w:r>
    </w:p>
    <w:p w:rsidR="006C1C65" w:rsidRPr="00443662" w:rsidRDefault="006C1C65" w:rsidP="006C1C65">
      <w:pPr>
        <w:pStyle w:val="BodyTextIndent"/>
        <w:spacing w:line="240" w:lineRule="auto"/>
        <w:ind w:left="0" w:firstLine="0"/>
        <w:rPr>
          <w:bCs/>
        </w:rPr>
      </w:pPr>
    </w:p>
    <w:p w:rsidR="00570101" w:rsidRDefault="00570101" w:rsidP="006C1C65">
      <w:pPr>
        <w:pStyle w:val="BodyTextIndent"/>
        <w:numPr>
          <w:ilvl w:val="0"/>
          <w:numId w:val="33"/>
        </w:numPr>
        <w:spacing w:line="240" w:lineRule="auto"/>
        <w:ind w:left="1710" w:hanging="270"/>
        <w:rPr>
          <w:bCs/>
        </w:rPr>
      </w:pPr>
      <w:r w:rsidRPr="00443662">
        <w:rPr>
          <w:bCs/>
        </w:rPr>
        <w:t>The combined company may not realize the growth opportunities and cost synergies that are anticipated from the merger.</w:t>
      </w:r>
    </w:p>
    <w:p w:rsidR="006C1C65" w:rsidRPr="00443662" w:rsidRDefault="006C1C65" w:rsidP="006C1C65">
      <w:pPr>
        <w:pStyle w:val="BodyTextIndent"/>
        <w:spacing w:line="240" w:lineRule="auto"/>
        <w:ind w:left="0" w:firstLine="0"/>
        <w:rPr>
          <w:bCs/>
        </w:rPr>
      </w:pPr>
    </w:p>
    <w:p w:rsidR="00570101" w:rsidRDefault="00570101" w:rsidP="006C1C65">
      <w:pPr>
        <w:pStyle w:val="BodyTextIndent"/>
        <w:numPr>
          <w:ilvl w:val="0"/>
          <w:numId w:val="33"/>
        </w:numPr>
        <w:spacing w:line="240" w:lineRule="auto"/>
        <w:ind w:left="1710" w:hanging="270"/>
        <w:rPr>
          <w:bCs/>
        </w:rPr>
      </w:pPr>
      <w:r w:rsidRPr="00443662">
        <w:rPr>
          <w:bCs/>
        </w:rPr>
        <w:t>After the close of the transaction, sales of Frontier common stock may negatively affect its market price.</w:t>
      </w:r>
    </w:p>
    <w:p w:rsidR="004354DC" w:rsidRPr="00443662" w:rsidRDefault="004354DC" w:rsidP="004354DC">
      <w:pPr>
        <w:pStyle w:val="BodyTextIndent"/>
        <w:spacing w:line="240" w:lineRule="auto"/>
        <w:ind w:left="0" w:firstLine="0"/>
        <w:rPr>
          <w:bCs/>
        </w:rPr>
      </w:pPr>
    </w:p>
    <w:p w:rsidR="00570101" w:rsidRDefault="00570101" w:rsidP="006C1C65">
      <w:pPr>
        <w:pStyle w:val="BodyTextIndent"/>
        <w:numPr>
          <w:ilvl w:val="0"/>
          <w:numId w:val="33"/>
        </w:numPr>
        <w:spacing w:line="240" w:lineRule="auto"/>
        <w:ind w:left="1710" w:hanging="270"/>
        <w:rPr>
          <w:bCs/>
        </w:rPr>
      </w:pPr>
      <w:r w:rsidRPr="00443662">
        <w:rPr>
          <w:bCs/>
        </w:rPr>
        <w:lastRenderedPageBreak/>
        <w:t xml:space="preserve">If the assets contributed to </w:t>
      </w:r>
      <w:proofErr w:type="spellStart"/>
      <w:r w:rsidRPr="00443662">
        <w:rPr>
          <w:bCs/>
        </w:rPr>
        <w:t>Spinco</w:t>
      </w:r>
      <w:proofErr w:type="spellEnd"/>
      <w:r w:rsidRPr="00443662">
        <w:rPr>
          <w:bCs/>
        </w:rPr>
        <w:t xml:space="preserve"> by Verizon a</w:t>
      </w:r>
      <w:r w:rsidR="003F2A88" w:rsidRPr="00443662">
        <w:rPr>
          <w:bCs/>
        </w:rPr>
        <w:t xml:space="preserve">re insufficient to operate the </w:t>
      </w:r>
      <w:proofErr w:type="spellStart"/>
      <w:r w:rsidR="003F2A88" w:rsidRPr="00443662">
        <w:rPr>
          <w:bCs/>
        </w:rPr>
        <w:t>S</w:t>
      </w:r>
      <w:r w:rsidRPr="00443662">
        <w:rPr>
          <w:bCs/>
        </w:rPr>
        <w:t>pinco</w:t>
      </w:r>
      <w:proofErr w:type="spellEnd"/>
      <w:r w:rsidRPr="00443662">
        <w:rPr>
          <w:bCs/>
        </w:rPr>
        <w:t xml:space="preserve"> business, it could adversely affect the combined company’s business</w:t>
      </w:r>
      <w:r w:rsidR="009A0FB3" w:rsidRPr="00443662">
        <w:rPr>
          <w:bCs/>
        </w:rPr>
        <w:t>,</w:t>
      </w:r>
      <w:r w:rsidR="00D2296F" w:rsidRPr="00443662">
        <w:rPr>
          <w:bCs/>
        </w:rPr>
        <w:t xml:space="preserve"> </w:t>
      </w:r>
      <w:r w:rsidRPr="00443662">
        <w:rPr>
          <w:bCs/>
        </w:rPr>
        <w:t>financial condition</w:t>
      </w:r>
      <w:r w:rsidR="009A0FB3" w:rsidRPr="00443662">
        <w:rPr>
          <w:bCs/>
        </w:rPr>
        <w:t>,</w:t>
      </w:r>
      <w:r w:rsidRPr="00443662">
        <w:rPr>
          <w:bCs/>
        </w:rPr>
        <w:t xml:space="preserve"> and results of operations.</w:t>
      </w:r>
    </w:p>
    <w:p w:rsidR="006C1C65" w:rsidRPr="00443662" w:rsidRDefault="006C1C65" w:rsidP="006C1C65">
      <w:pPr>
        <w:pStyle w:val="BodyTextIndent"/>
        <w:spacing w:line="240" w:lineRule="auto"/>
        <w:ind w:left="1440" w:firstLine="0"/>
        <w:rPr>
          <w:bCs/>
        </w:rPr>
      </w:pPr>
    </w:p>
    <w:p w:rsidR="00570101" w:rsidRDefault="00570101" w:rsidP="006C1C65">
      <w:pPr>
        <w:pStyle w:val="BodyTextIndent"/>
        <w:numPr>
          <w:ilvl w:val="0"/>
          <w:numId w:val="33"/>
        </w:numPr>
        <w:spacing w:line="240" w:lineRule="auto"/>
        <w:ind w:left="1710" w:hanging="270"/>
        <w:rPr>
          <w:bCs/>
        </w:rPr>
      </w:pPr>
      <w:r w:rsidRPr="00443662">
        <w:rPr>
          <w:bCs/>
        </w:rPr>
        <w:t xml:space="preserve">The combined company’s business, financial </w:t>
      </w:r>
      <w:proofErr w:type="gramStart"/>
      <w:r w:rsidRPr="00443662">
        <w:rPr>
          <w:bCs/>
        </w:rPr>
        <w:t>condition</w:t>
      </w:r>
      <w:r w:rsidR="009A0FB3" w:rsidRPr="00443662">
        <w:rPr>
          <w:bCs/>
        </w:rPr>
        <w:t>,</w:t>
      </w:r>
      <w:proofErr w:type="gramEnd"/>
      <w:r w:rsidRPr="00443662">
        <w:rPr>
          <w:bCs/>
        </w:rPr>
        <w:t xml:space="preserve"> and results of operations may be adversely affected following the merger if it is not able to obtain consents to assign certain Verizon contracts to </w:t>
      </w:r>
      <w:proofErr w:type="spellStart"/>
      <w:r w:rsidRPr="00443662">
        <w:rPr>
          <w:bCs/>
        </w:rPr>
        <w:t>Spinco</w:t>
      </w:r>
      <w:proofErr w:type="spellEnd"/>
      <w:r w:rsidRPr="00443662">
        <w:rPr>
          <w:bCs/>
        </w:rPr>
        <w:t>.</w:t>
      </w:r>
    </w:p>
    <w:p w:rsidR="006C1C65" w:rsidRPr="00443662" w:rsidRDefault="006C1C65" w:rsidP="006C1C65">
      <w:pPr>
        <w:pStyle w:val="BodyTextIndent"/>
        <w:spacing w:line="240" w:lineRule="auto"/>
        <w:ind w:left="0" w:firstLine="0"/>
        <w:rPr>
          <w:bCs/>
        </w:rPr>
      </w:pPr>
    </w:p>
    <w:p w:rsidR="00570101" w:rsidRDefault="00570101" w:rsidP="006C1C65">
      <w:pPr>
        <w:pStyle w:val="BodyTextIndent"/>
        <w:numPr>
          <w:ilvl w:val="0"/>
          <w:numId w:val="33"/>
        </w:numPr>
        <w:spacing w:line="240" w:lineRule="auto"/>
        <w:ind w:left="1710" w:hanging="270"/>
        <w:rPr>
          <w:bCs/>
        </w:rPr>
      </w:pPr>
      <w:r w:rsidRPr="00443662">
        <w:rPr>
          <w:bCs/>
        </w:rPr>
        <w:t>Regulatory agencies may delay approval of the spin-off and the merger, fail to approve t</w:t>
      </w:r>
      <w:r w:rsidR="00D2296F" w:rsidRPr="00443662">
        <w:rPr>
          <w:bCs/>
        </w:rPr>
        <w:t>h</w:t>
      </w:r>
      <w:r w:rsidRPr="00443662">
        <w:rPr>
          <w:bCs/>
        </w:rPr>
        <w:t>em, or approve them in a manner that may diminish the anticipated benefits of the merger.</w:t>
      </w:r>
    </w:p>
    <w:p w:rsidR="006C1C65" w:rsidRDefault="006C1C65" w:rsidP="006C1C65">
      <w:pPr>
        <w:pStyle w:val="ListParagraph"/>
        <w:rPr>
          <w:bCs/>
        </w:rPr>
      </w:pPr>
    </w:p>
    <w:p w:rsidR="00570101" w:rsidRDefault="00570101" w:rsidP="006C1C65">
      <w:pPr>
        <w:pStyle w:val="BodyTextIndent"/>
        <w:numPr>
          <w:ilvl w:val="0"/>
          <w:numId w:val="33"/>
        </w:numPr>
        <w:spacing w:line="240" w:lineRule="auto"/>
        <w:ind w:left="1710" w:hanging="270"/>
        <w:rPr>
          <w:bCs/>
        </w:rPr>
      </w:pPr>
      <w:r w:rsidRPr="00443662">
        <w:rPr>
          <w:bCs/>
        </w:rPr>
        <w:t>The merger agreement contains provisions that may discourage other companies from trying to acquire Frontier.</w:t>
      </w:r>
    </w:p>
    <w:p w:rsidR="006C1C65" w:rsidRPr="00443662" w:rsidRDefault="006C1C65" w:rsidP="006C1C65">
      <w:pPr>
        <w:pStyle w:val="BodyTextIndent"/>
        <w:spacing w:line="240" w:lineRule="auto"/>
        <w:ind w:left="0" w:firstLine="0"/>
        <w:rPr>
          <w:bCs/>
        </w:rPr>
      </w:pPr>
    </w:p>
    <w:p w:rsidR="00B37FE0" w:rsidRDefault="00570101" w:rsidP="006C1C65">
      <w:pPr>
        <w:pStyle w:val="BodyTextIndent"/>
        <w:numPr>
          <w:ilvl w:val="0"/>
          <w:numId w:val="33"/>
        </w:numPr>
        <w:spacing w:line="240" w:lineRule="auto"/>
        <w:ind w:left="1710" w:hanging="270"/>
        <w:rPr>
          <w:bCs/>
        </w:rPr>
      </w:pPr>
      <w:r w:rsidRPr="00443662">
        <w:rPr>
          <w:bCs/>
        </w:rPr>
        <w:t xml:space="preserve">Failure to complete the merger could adversely affect the market price of Frontier common </w:t>
      </w:r>
      <w:r w:rsidR="00B37FE0" w:rsidRPr="00443662">
        <w:rPr>
          <w:bCs/>
        </w:rPr>
        <w:t>stock</w:t>
      </w:r>
      <w:r w:rsidRPr="00443662">
        <w:rPr>
          <w:bCs/>
        </w:rPr>
        <w:t xml:space="preserve"> as well as Frontier’s</w:t>
      </w:r>
      <w:r w:rsidR="00B37FE0" w:rsidRPr="00443662">
        <w:rPr>
          <w:bCs/>
        </w:rPr>
        <w:t xml:space="preserve"> business, financial condition</w:t>
      </w:r>
      <w:r w:rsidR="009A0FB3" w:rsidRPr="00443662">
        <w:rPr>
          <w:bCs/>
        </w:rPr>
        <w:t>,</w:t>
      </w:r>
      <w:r w:rsidR="00B37FE0" w:rsidRPr="00443662">
        <w:rPr>
          <w:bCs/>
        </w:rPr>
        <w:t xml:space="preserve"> and results of operations.</w:t>
      </w:r>
    </w:p>
    <w:p w:rsidR="006C1C65" w:rsidRPr="00443662" w:rsidRDefault="006C1C65" w:rsidP="006C1C65">
      <w:pPr>
        <w:pStyle w:val="BodyTextIndent"/>
        <w:spacing w:line="240" w:lineRule="auto"/>
        <w:ind w:left="0" w:firstLine="0"/>
        <w:rPr>
          <w:bCs/>
        </w:rPr>
      </w:pPr>
    </w:p>
    <w:p w:rsidR="00B37FE0" w:rsidRDefault="00B37FE0" w:rsidP="006C1C65">
      <w:pPr>
        <w:pStyle w:val="BodyTextIndent"/>
        <w:numPr>
          <w:ilvl w:val="0"/>
          <w:numId w:val="33"/>
        </w:numPr>
        <w:spacing w:line="240" w:lineRule="auto"/>
        <w:ind w:left="1710" w:hanging="270"/>
        <w:rPr>
          <w:bCs/>
        </w:rPr>
      </w:pPr>
      <w:r w:rsidRPr="00443662">
        <w:rPr>
          <w:bCs/>
        </w:rPr>
        <w:t>If the spin-off does not qualify as a tax-free spin-off under Section 355 of the Internal Revenue Code, referred to as the Code, including as a result of subsequent acquisitions of stock of Verizon or Frontier, then Verizon or Verizon stockholders may be required to pay substantial U.S. federal income taxes, and Frontier may be obligated to indemnify Verizon for such taxes imposed on Verizon.</w:t>
      </w:r>
    </w:p>
    <w:p w:rsidR="006C1C65" w:rsidRPr="00443662" w:rsidRDefault="006C1C65" w:rsidP="006C1C65">
      <w:pPr>
        <w:pStyle w:val="BodyTextIndent"/>
        <w:spacing w:line="240" w:lineRule="auto"/>
        <w:ind w:left="0" w:firstLine="0"/>
        <w:rPr>
          <w:bCs/>
        </w:rPr>
      </w:pPr>
    </w:p>
    <w:p w:rsidR="00B37FE0" w:rsidRDefault="00B37FE0" w:rsidP="006C1C65">
      <w:pPr>
        <w:pStyle w:val="BodyTextIndent"/>
        <w:numPr>
          <w:ilvl w:val="0"/>
          <w:numId w:val="33"/>
        </w:numPr>
        <w:spacing w:line="240" w:lineRule="auto"/>
        <w:ind w:left="1710" w:hanging="270"/>
        <w:rPr>
          <w:bCs/>
        </w:rPr>
      </w:pPr>
      <w:r w:rsidRPr="00443662">
        <w:rPr>
          <w:bCs/>
        </w:rPr>
        <w:t>If the merger does not qualify as a tax-free reor</w:t>
      </w:r>
      <w:r w:rsidR="00D2296F" w:rsidRPr="00443662">
        <w:rPr>
          <w:bCs/>
        </w:rPr>
        <w:t>g</w:t>
      </w:r>
      <w:r w:rsidRPr="00443662">
        <w:rPr>
          <w:bCs/>
        </w:rPr>
        <w:t>anization under Section 368 of the Code, Frontier and the stockholders of Verizon may be required to pay substantial U.S. federal income taxes.</w:t>
      </w:r>
    </w:p>
    <w:p w:rsidR="006C1C65" w:rsidRPr="00443662" w:rsidRDefault="006C1C65" w:rsidP="006C1C65">
      <w:pPr>
        <w:pStyle w:val="BodyTextIndent"/>
        <w:spacing w:line="240" w:lineRule="auto"/>
        <w:ind w:left="0" w:firstLine="0"/>
        <w:rPr>
          <w:bCs/>
        </w:rPr>
      </w:pPr>
    </w:p>
    <w:p w:rsidR="006C1C65" w:rsidRDefault="00B37FE0" w:rsidP="006C1C65">
      <w:pPr>
        <w:pStyle w:val="BodyTextIndent"/>
        <w:numPr>
          <w:ilvl w:val="0"/>
          <w:numId w:val="33"/>
        </w:numPr>
        <w:spacing w:line="240" w:lineRule="auto"/>
        <w:ind w:left="1710" w:hanging="270"/>
        <w:rPr>
          <w:bCs/>
        </w:rPr>
      </w:pPr>
      <w:r w:rsidRPr="00443662">
        <w:rPr>
          <w:bCs/>
        </w:rPr>
        <w:t>Frontier will be unable to take certain actions after the merger because such actions could jeopardize the tax-free status of the spin-off or the merger, and such restrictions could be significant.</w:t>
      </w:r>
    </w:p>
    <w:p w:rsidR="006C1C65" w:rsidRPr="006C1C65" w:rsidRDefault="006C1C65" w:rsidP="006C1C65">
      <w:pPr>
        <w:pStyle w:val="BodyTextIndent"/>
        <w:spacing w:line="240" w:lineRule="auto"/>
        <w:ind w:left="0" w:firstLine="0"/>
        <w:rPr>
          <w:bCs/>
        </w:rPr>
      </w:pPr>
    </w:p>
    <w:p w:rsidR="00B37FE0" w:rsidRDefault="00B37FE0" w:rsidP="006C1C65">
      <w:pPr>
        <w:pStyle w:val="BodyTextIndent"/>
        <w:numPr>
          <w:ilvl w:val="0"/>
          <w:numId w:val="33"/>
        </w:numPr>
        <w:spacing w:line="240" w:lineRule="auto"/>
        <w:ind w:left="1710" w:hanging="270"/>
        <w:rPr>
          <w:bCs/>
        </w:rPr>
      </w:pPr>
      <w:r w:rsidRPr="00443662">
        <w:rPr>
          <w:bCs/>
        </w:rPr>
        <w:t>Investors holding shares of Frontier common stock immediately prior to the merger will, in the aggregate, have a significantly reduced ownership and voting interest after the merger and will exercise less influence over management.</w:t>
      </w:r>
    </w:p>
    <w:p w:rsidR="006C1C65" w:rsidRPr="00443662" w:rsidRDefault="006C1C65" w:rsidP="006C1C65">
      <w:pPr>
        <w:pStyle w:val="BodyTextIndent"/>
        <w:spacing w:line="240" w:lineRule="auto"/>
        <w:ind w:left="0" w:firstLine="0"/>
        <w:rPr>
          <w:bCs/>
        </w:rPr>
      </w:pPr>
    </w:p>
    <w:p w:rsidR="006C1C65" w:rsidRDefault="00B37FE0" w:rsidP="006C1C65">
      <w:pPr>
        <w:pStyle w:val="BodyTextIndent"/>
        <w:numPr>
          <w:ilvl w:val="0"/>
          <w:numId w:val="33"/>
        </w:numPr>
        <w:spacing w:line="240" w:lineRule="auto"/>
        <w:ind w:left="1710" w:hanging="270"/>
        <w:rPr>
          <w:bCs/>
        </w:rPr>
      </w:pPr>
      <w:r w:rsidRPr="00443662">
        <w:rPr>
          <w:bCs/>
        </w:rPr>
        <w:t xml:space="preserve">The pendency of the merger could adversely affect the business and operations of Frontier and the </w:t>
      </w:r>
      <w:proofErr w:type="spellStart"/>
      <w:r w:rsidRPr="00443662">
        <w:rPr>
          <w:bCs/>
        </w:rPr>
        <w:t>Spinco</w:t>
      </w:r>
      <w:proofErr w:type="spellEnd"/>
      <w:r w:rsidRPr="00443662">
        <w:rPr>
          <w:bCs/>
        </w:rPr>
        <w:t xml:space="preserve"> business.</w:t>
      </w:r>
    </w:p>
    <w:p w:rsidR="006C1C65" w:rsidRPr="006C1C65" w:rsidRDefault="006C1C65" w:rsidP="006C1C65">
      <w:pPr>
        <w:pStyle w:val="BodyTextIndent"/>
        <w:spacing w:line="240" w:lineRule="auto"/>
        <w:ind w:left="0" w:firstLine="0"/>
        <w:rPr>
          <w:bCs/>
        </w:rPr>
      </w:pPr>
    </w:p>
    <w:p w:rsidR="00B37FE0" w:rsidRDefault="00B37FE0" w:rsidP="006C1C65">
      <w:pPr>
        <w:pStyle w:val="BodyTextIndent"/>
        <w:numPr>
          <w:ilvl w:val="0"/>
          <w:numId w:val="33"/>
        </w:numPr>
        <w:spacing w:line="240" w:lineRule="auto"/>
        <w:ind w:left="1710" w:hanging="270"/>
        <w:rPr>
          <w:bCs/>
        </w:rPr>
      </w:pPr>
      <w:r w:rsidRPr="00443662">
        <w:rPr>
          <w:bCs/>
        </w:rPr>
        <w:t>The combined company will likely face further reductions in access lines, switched access minutes of use, long distance revenues and federal and state subsidy revenues, which could adversely affect it.</w:t>
      </w:r>
    </w:p>
    <w:p w:rsidR="004354DC" w:rsidRPr="00443662" w:rsidRDefault="004354DC" w:rsidP="004354DC">
      <w:pPr>
        <w:pStyle w:val="BodyTextIndent"/>
        <w:spacing w:line="240" w:lineRule="auto"/>
        <w:ind w:left="0" w:firstLine="0"/>
        <w:rPr>
          <w:bCs/>
        </w:rPr>
      </w:pPr>
    </w:p>
    <w:p w:rsidR="00B37FE0" w:rsidRDefault="00B37FE0" w:rsidP="006C1C65">
      <w:pPr>
        <w:pStyle w:val="BodyTextIndent"/>
        <w:numPr>
          <w:ilvl w:val="0"/>
          <w:numId w:val="33"/>
        </w:numPr>
        <w:spacing w:line="240" w:lineRule="auto"/>
        <w:ind w:left="1710" w:hanging="270"/>
        <w:rPr>
          <w:bCs/>
        </w:rPr>
      </w:pPr>
      <w:r w:rsidRPr="00443662">
        <w:rPr>
          <w:bCs/>
        </w:rPr>
        <w:lastRenderedPageBreak/>
        <w:t>The combined company will face intense competition, which could adversely affect it.</w:t>
      </w:r>
    </w:p>
    <w:p w:rsidR="006C1C65" w:rsidRPr="00443662" w:rsidRDefault="006C1C65" w:rsidP="006C1C65">
      <w:pPr>
        <w:pStyle w:val="BodyTextIndent"/>
        <w:spacing w:line="240" w:lineRule="auto"/>
        <w:rPr>
          <w:bCs/>
        </w:rPr>
      </w:pPr>
    </w:p>
    <w:p w:rsidR="00B37FE0" w:rsidRDefault="00B37FE0" w:rsidP="006C1C65">
      <w:pPr>
        <w:pStyle w:val="BodyTextIndent"/>
        <w:numPr>
          <w:ilvl w:val="0"/>
          <w:numId w:val="33"/>
        </w:numPr>
        <w:spacing w:line="240" w:lineRule="auto"/>
        <w:ind w:left="1710" w:hanging="270"/>
        <w:rPr>
          <w:bCs/>
        </w:rPr>
      </w:pPr>
      <w:r w:rsidRPr="00443662">
        <w:rPr>
          <w:bCs/>
        </w:rPr>
        <w:t>Some of the combined company’s future competitors will have superior resources, which may place the combined company at a cost and price disadvantage.</w:t>
      </w:r>
    </w:p>
    <w:p w:rsidR="006C1C65" w:rsidRPr="00443662" w:rsidRDefault="006C1C65" w:rsidP="006C1C65">
      <w:pPr>
        <w:pStyle w:val="BodyTextIndent"/>
        <w:spacing w:line="240" w:lineRule="auto"/>
        <w:ind w:left="0" w:firstLine="0"/>
        <w:rPr>
          <w:bCs/>
        </w:rPr>
      </w:pPr>
    </w:p>
    <w:p w:rsidR="00B37FE0" w:rsidRDefault="00B37FE0" w:rsidP="006C1C65">
      <w:pPr>
        <w:pStyle w:val="BodyTextIndent"/>
        <w:numPr>
          <w:ilvl w:val="0"/>
          <w:numId w:val="33"/>
        </w:numPr>
        <w:spacing w:line="240" w:lineRule="auto"/>
        <w:ind w:left="1710" w:hanging="270"/>
        <w:rPr>
          <w:bCs/>
        </w:rPr>
      </w:pPr>
      <w:r w:rsidRPr="00443662">
        <w:rPr>
          <w:bCs/>
        </w:rPr>
        <w:t>The combined company may be unable to grow its revenues and cash</w:t>
      </w:r>
      <w:r w:rsidR="003F2A88" w:rsidRPr="00443662">
        <w:rPr>
          <w:bCs/>
        </w:rPr>
        <w:t xml:space="preserve"> flows despite the initiatives F</w:t>
      </w:r>
      <w:r w:rsidRPr="00443662">
        <w:rPr>
          <w:bCs/>
        </w:rPr>
        <w:t>rontier has implemented and inten</w:t>
      </w:r>
      <w:r w:rsidR="006C1C65">
        <w:rPr>
          <w:bCs/>
        </w:rPr>
        <w:t>ds to continue after the merger.</w:t>
      </w:r>
    </w:p>
    <w:p w:rsidR="006C1C65" w:rsidRPr="00443662" w:rsidRDefault="006C1C65" w:rsidP="006C1C65">
      <w:pPr>
        <w:pStyle w:val="BodyTextIndent"/>
        <w:spacing w:line="240" w:lineRule="auto"/>
        <w:ind w:left="0" w:firstLine="0"/>
        <w:rPr>
          <w:bCs/>
        </w:rPr>
      </w:pPr>
    </w:p>
    <w:p w:rsidR="00B37FE0" w:rsidRDefault="00B37FE0" w:rsidP="006C1C65">
      <w:pPr>
        <w:pStyle w:val="BodyTextIndent"/>
        <w:numPr>
          <w:ilvl w:val="0"/>
          <w:numId w:val="33"/>
        </w:numPr>
        <w:spacing w:line="240" w:lineRule="auto"/>
        <w:ind w:left="1710" w:hanging="270"/>
        <w:rPr>
          <w:bCs/>
        </w:rPr>
      </w:pPr>
      <w:r w:rsidRPr="00443662">
        <w:rPr>
          <w:bCs/>
        </w:rPr>
        <w:t>Weak economic conditions may decrease demand for the combined company’s services.</w:t>
      </w:r>
    </w:p>
    <w:p w:rsidR="006C1C65" w:rsidRPr="00443662" w:rsidRDefault="006C1C65" w:rsidP="006C1C65">
      <w:pPr>
        <w:pStyle w:val="BodyTextIndent"/>
        <w:spacing w:line="240" w:lineRule="auto"/>
        <w:ind w:left="0" w:firstLine="0"/>
        <w:rPr>
          <w:bCs/>
        </w:rPr>
      </w:pPr>
    </w:p>
    <w:p w:rsidR="00D0782F" w:rsidRDefault="00B37FE0" w:rsidP="006C1C65">
      <w:pPr>
        <w:pStyle w:val="BodyTextIndent"/>
        <w:numPr>
          <w:ilvl w:val="0"/>
          <w:numId w:val="33"/>
        </w:numPr>
        <w:spacing w:line="240" w:lineRule="auto"/>
        <w:ind w:left="1710" w:hanging="270"/>
        <w:rPr>
          <w:bCs/>
        </w:rPr>
      </w:pPr>
      <w:r w:rsidRPr="00443662">
        <w:rPr>
          <w:bCs/>
        </w:rPr>
        <w:t>Disruption in the combined company’s networks and infrastructure may cause the combined company to los</w:t>
      </w:r>
      <w:r w:rsidR="00D0782F" w:rsidRPr="00443662">
        <w:rPr>
          <w:bCs/>
        </w:rPr>
        <w:t>e</w:t>
      </w:r>
      <w:r w:rsidRPr="00443662">
        <w:rPr>
          <w:bCs/>
        </w:rPr>
        <w:t xml:space="preserve"> customers and incu</w:t>
      </w:r>
      <w:r w:rsidR="00D0782F" w:rsidRPr="00443662">
        <w:rPr>
          <w:bCs/>
        </w:rPr>
        <w:t>r</w:t>
      </w:r>
      <w:r w:rsidRPr="00443662">
        <w:rPr>
          <w:bCs/>
        </w:rPr>
        <w:t xml:space="preserve"> </w:t>
      </w:r>
      <w:r w:rsidR="006C1C65">
        <w:rPr>
          <w:bCs/>
        </w:rPr>
        <w:t>additional expenses.</w:t>
      </w:r>
    </w:p>
    <w:p w:rsidR="006C1C65" w:rsidRPr="00443662" w:rsidRDefault="006C1C65" w:rsidP="006C1C65">
      <w:pPr>
        <w:pStyle w:val="BodyTextIndent"/>
        <w:spacing w:line="240" w:lineRule="auto"/>
        <w:ind w:left="0" w:firstLine="0"/>
        <w:rPr>
          <w:bCs/>
        </w:rPr>
      </w:pPr>
    </w:p>
    <w:p w:rsidR="00D0782F" w:rsidRDefault="00D0782F" w:rsidP="006C1C65">
      <w:pPr>
        <w:pStyle w:val="BodyTextIndent"/>
        <w:numPr>
          <w:ilvl w:val="0"/>
          <w:numId w:val="33"/>
        </w:numPr>
        <w:spacing w:line="240" w:lineRule="auto"/>
        <w:ind w:left="1710" w:hanging="270"/>
        <w:rPr>
          <w:bCs/>
        </w:rPr>
      </w:pPr>
      <w:r w:rsidRPr="00443662">
        <w:rPr>
          <w:bCs/>
        </w:rPr>
        <w:t>The combined company’s business will be sensitive to the creditworthiness of its wholesale customers.</w:t>
      </w:r>
    </w:p>
    <w:p w:rsidR="006C1C65" w:rsidRPr="00443662" w:rsidRDefault="006C1C65" w:rsidP="006C1C65">
      <w:pPr>
        <w:pStyle w:val="BodyTextIndent"/>
        <w:spacing w:line="240" w:lineRule="auto"/>
        <w:ind w:left="0" w:firstLine="0"/>
        <w:rPr>
          <w:bCs/>
        </w:rPr>
      </w:pPr>
    </w:p>
    <w:p w:rsidR="00D0782F" w:rsidRDefault="00D0782F" w:rsidP="006C1C65">
      <w:pPr>
        <w:pStyle w:val="BodyTextIndent"/>
        <w:numPr>
          <w:ilvl w:val="0"/>
          <w:numId w:val="33"/>
        </w:numPr>
        <w:spacing w:line="240" w:lineRule="auto"/>
        <w:ind w:left="1710" w:hanging="270"/>
        <w:rPr>
          <w:bCs/>
        </w:rPr>
      </w:pPr>
      <w:r w:rsidRPr="00443662">
        <w:rPr>
          <w:bCs/>
        </w:rPr>
        <w:t>A significant portion of the combined company’s workforce will be represented by labor unions…that could materially disrupt the combined company’s ability to provide services to its customers.</w:t>
      </w:r>
    </w:p>
    <w:p w:rsidR="006C1C65" w:rsidRPr="00443662" w:rsidRDefault="006C1C65" w:rsidP="006C1C65">
      <w:pPr>
        <w:pStyle w:val="BodyTextIndent"/>
        <w:spacing w:line="240" w:lineRule="auto"/>
        <w:ind w:left="0" w:firstLine="0"/>
        <w:rPr>
          <w:bCs/>
        </w:rPr>
      </w:pPr>
    </w:p>
    <w:p w:rsidR="00D0782F" w:rsidRDefault="00D0782F" w:rsidP="006C1C65">
      <w:pPr>
        <w:pStyle w:val="BodyTextIndent"/>
        <w:numPr>
          <w:ilvl w:val="0"/>
          <w:numId w:val="33"/>
        </w:numPr>
        <w:spacing w:line="240" w:lineRule="auto"/>
        <w:ind w:left="1710" w:hanging="270"/>
        <w:rPr>
          <w:bCs/>
        </w:rPr>
      </w:pPr>
      <w:r w:rsidRPr="00443662">
        <w:rPr>
          <w:bCs/>
        </w:rPr>
        <w:t>The combined company may complete a significant strategic transaction that may not achieve intended results or could increase the number of its outstanding shares or amount of outstanding debt or result in a change of control.</w:t>
      </w:r>
    </w:p>
    <w:p w:rsidR="006C1C65" w:rsidRPr="00443662" w:rsidRDefault="006C1C65" w:rsidP="006C1C65">
      <w:pPr>
        <w:pStyle w:val="BodyTextIndent"/>
        <w:spacing w:line="240" w:lineRule="auto"/>
        <w:ind w:left="0" w:firstLine="0"/>
        <w:rPr>
          <w:bCs/>
        </w:rPr>
      </w:pPr>
    </w:p>
    <w:p w:rsidR="00D0782F" w:rsidRDefault="00D0782F" w:rsidP="006C1C65">
      <w:pPr>
        <w:pStyle w:val="BodyTextIndent"/>
        <w:numPr>
          <w:ilvl w:val="0"/>
          <w:numId w:val="33"/>
        </w:numPr>
        <w:spacing w:line="240" w:lineRule="auto"/>
        <w:ind w:left="1710" w:hanging="270"/>
        <w:rPr>
          <w:bCs/>
        </w:rPr>
      </w:pPr>
      <w:r w:rsidRPr="00443662">
        <w:rPr>
          <w:bCs/>
        </w:rPr>
        <w:t>If the recent severe contraction in the global financial markets and current economic conditions continue into 2010, this economic scenario may have an impact on the combined company’s b</w:t>
      </w:r>
      <w:r w:rsidR="006C1C65">
        <w:rPr>
          <w:bCs/>
        </w:rPr>
        <w:t>usiness and financial condition.</w:t>
      </w:r>
    </w:p>
    <w:p w:rsidR="006C1C65" w:rsidRPr="00443662" w:rsidRDefault="006C1C65" w:rsidP="006C1C65">
      <w:pPr>
        <w:pStyle w:val="BodyTextIndent"/>
        <w:spacing w:line="240" w:lineRule="auto"/>
        <w:ind w:left="0" w:firstLine="0"/>
        <w:rPr>
          <w:bCs/>
        </w:rPr>
      </w:pPr>
    </w:p>
    <w:p w:rsidR="00D0782F" w:rsidRDefault="00D0782F" w:rsidP="006C1C65">
      <w:pPr>
        <w:pStyle w:val="BodyTextIndent"/>
        <w:numPr>
          <w:ilvl w:val="0"/>
          <w:numId w:val="33"/>
        </w:numPr>
        <w:spacing w:line="240" w:lineRule="auto"/>
        <w:ind w:left="1710" w:hanging="270"/>
        <w:rPr>
          <w:bCs/>
        </w:rPr>
      </w:pPr>
      <w:r w:rsidRPr="00443662">
        <w:rPr>
          <w:bCs/>
        </w:rPr>
        <w:t>Substantial debt and debt service obligations may adversely affect the combined company.</w:t>
      </w:r>
    </w:p>
    <w:p w:rsidR="006C1C65" w:rsidRPr="00443662" w:rsidRDefault="006C1C65" w:rsidP="006C1C65">
      <w:pPr>
        <w:pStyle w:val="BodyTextIndent"/>
        <w:spacing w:line="240" w:lineRule="auto"/>
        <w:ind w:left="0" w:firstLine="0"/>
        <w:rPr>
          <w:bCs/>
        </w:rPr>
      </w:pPr>
    </w:p>
    <w:p w:rsidR="00D0782F" w:rsidRDefault="00D0782F" w:rsidP="006C1C65">
      <w:pPr>
        <w:pStyle w:val="BodyTextIndent"/>
        <w:numPr>
          <w:ilvl w:val="0"/>
          <w:numId w:val="33"/>
        </w:numPr>
        <w:spacing w:line="240" w:lineRule="auto"/>
        <w:ind w:left="1710" w:hanging="270"/>
        <w:rPr>
          <w:bCs/>
        </w:rPr>
      </w:pPr>
      <w:r w:rsidRPr="00443662">
        <w:rPr>
          <w:bCs/>
        </w:rPr>
        <w:t>The combined company will require substantial capital to upgrade and enhance its operations.</w:t>
      </w:r>
    </w:p>
    <w:p w:rsidR="006C1C65" w:rsidRPr="00443662" w:rsidRDefault="006C1C65" w:rsidP="006C1C65">
      <w:pPr>
        <w:pStyle w:val="BodyTextIndent"/>
        <w:spacing w:line="240" w:lineRule="auto"/>
        <w:ind w:left="0" w:firstLine="0"/>
        <w:rPr>
          <w:bCs/>
        </w:rPr>
      </w:pPr>
    </w:p>
    <w:p w:rsidR="00D0782F" w:rsidRDefault="00D0782F" w:rsidP="006C1C65">
      <w:pPr>
        <w:pStyle w:val="BodyTextIndent"/>
        <w:numPr>
          <w:ilvl w:val="0"/>
          <w:numId w:val="33"/>
        </w:numPr>
        <w:spacing w:line="240" w:lineRule="auto"/>
        <w:ind w:left="1710" w:hanging="270"/>
        <w:rPr>
          <w:bCs/>
        </w:rPr>
      </w:pPr>
      <w:r w:rsidRPr="00443662">
        <w:rPr>
          <w:bCs/>
        </w:rPr>
        <w:t>Changes in federal or state regulations may reduce the access charge revenues the combined company will receive.</w:t>
      </w:r>
    </w:p>
    <w:p w:rsidR="00D0782F" w:rsidRDefault="00D0782F" w:rsidP="006C1C65">
      <w:pPr>
        <w:pStyle w:val="BodyTextIndent"/>
        <w:numPr>
          <w:ilvl w:val="0"/>
          <w:numId w:val="33"/>
        </w:numPr>
        <w:spacing w:line="240" w:lineRule="auto"/>
        <w:ind w:left="1710" w:hanging="270"/>
        <w:rPr>
          <w:bCs/>
        </w:rPr>
      </w:pPr>
      <w:r w:rsidRPr="00443662">
        <w:rPr>
          <w:bCs/>
        </w:rPr>
        <w:t>The combined company will be reliant on support funds provided under federal and state laws.</w:t>
      </w:r>
    </w:p>
    <w:p w:rsidR="004354DC" w:rsidRPr="00443662" w:rsidRDefault="004354DC" w:rsidP="004354DC">
      <w:pPr>
        <w:pStyle w:val="BodyTextIndent"/>
        <w:spacing w:line="240" w:lineRule="auto"/>
        <w:ind w:left="0" w:firstLine="0"/>
        <w:rPr>
          <w:bCs/>
        </w:rPr>
      </w:pPr>
    </w:p>
    <w:p w:rsidR="00D0782F" w:rsidRDefault="00D0782F" w:rsidP="006C1C65">
      <w:pPr>
        <w:pStyle w:val="BodyTextIndent"/>
        <w:numPr>
          <w:ilvl w:val="0"/>
          <w:numId w:val="33"/>
        </w:numPr>
        <w:spacing w:line="240" w:lineRule="auto"/>
        <w:ind w:left="1710" w:hanging="270"/>
        <w:rPr>
          <w:bCs/>
        </w:rPr>
      </w:pPr>
      <w:r w:rsidRPr="00443662">
        <w:rPr>
          <w:bCs/>
        </w:rPr>
        <w:lastRenderedPageBreak/>
        <w:t>The combined company and its industry will likely remain highly regulated, and the combined company will likely incur substantial compliance costs that could constrain its ability to compete in its target markets.</w:t>
      </w:r>
    </w:p>
    <w:p w:rsidR="006C1C65" w:rsidRPr="00443662" w:rsidRDefault="006C1C65" w:rsidP="006C1C65">
      <w:pPr>
        <w:pStyle w:val="BodyTextIndent"/>
        <w:spacing w:line="240" w:lineRule="auto"/>
        <w:ind w:left="1440" w:firstLine="0"/>
        <w:rPr>
          <w:bCs/>
        </w:rPr>
      </w:pPr>
    </w:p>
    <w:p w:rsidR="005557F7" w:rsidRDefault="00D0782F" w:rsidP="006C1C65">
      <w:pPr>
        <w:pStyle w:val="BodyTextIndent"/>
        <w:numPr>
          <w:ilvl w:val="0"/>
          <w:numId w:val="33"/>
        </w:numPr>
        <w:spacing w:line="240" w:lineRule="auto"/>
        <w:ind w:left="1710" w:hanging="270"/>
        <w:rPr>
          <w:bCs/>
        </w:rPr>
      </w:pPr>
      <w:r w:rsidRPr="00443662">
        <w:rPr>
          <w:bCs/>
        </w:rPr>
        <w:t>In the future, as competition intensifies within the combined company’s markets, the combined company may be unable to</w:t>
      </w:r>
      <w:r w:rsidR="00ED084C" w:rsidRPr="00443662">
        <w:rPr>
          <w:bCs/>
        </w:rPr>
        <w:t xml:space="preserve"> </w:t>
      </w:r>
      <w:r w:rsidRPr="00443662">
        <w:rPr>
          <w:bCs/>
        </w:rPr>
        <w:t xml:space="preserve">meet the technological needs or expectations of its customers, and </w:t>
      </w:r>
      <w:r w:rsidR="006C1C65">
        <w:rPr>
          <w:bCs/>
        </w:rPr>
        <w:t>may lose customers as a result.</w:t>
      </w:r>
    </w:p>
    <w:p w:rsidR="006C1C65" w:rsidRPr="00443662" w:rsidRDefault="006C1C65" w:rsidP="006C1C65">
      <w:pPr>
        <w:pStyle w:val="BodyTextIndent"/>
        <w:spacing w:line="240" w:lineRule="auto"/>
        <w:ind w:left="0" w:firstLine="0"/>
        <w:rPr>
          <w:bCs/>
        </w:rPr>
      </w:pPr>
    </w:p>
    <w:p w:rsidR="00674D16" w:rsidRPr="00443662" w:rsidRDefault="00EC1C76" w:rsidP="00CA36D5">
      <w:pPr>
        <w:pStyle w:val="BodyTextIndent"/>
        <w:rPr>
          <w:bCs/>
        </w:rPr>
      </w:pPr>
      <w:r w:rsidRPr="00443662">
        <w:rPr>
          <w:bCs/>
        </w:rPr>
        <w:tab/>
      </w:r>
      <w:r w:rsidR="00312DA7" w:rsidRPr="00443662">
        <w:rPr>
          <w:bCs/>
        </w:rPr>
        <w:t xml:space="preserve">These risk factors are explained in greater detail in </w:t>
      </w:r>
      <w:r w:rsidR="00612272" w:rsidRPr="00443662">
        <w:rPr>
          <w:bCs/>
        </w:rPr>
        <w:t xml:space="preserve">Exhibit No. </w:t>
      </w:r>
      <w:proofErr w:type="gramStart"/>
      <w:r w:rsidR="00612272" w:rsidRPr="00443662">
        <w:rPr>
          <w:bCs/>
        </w:rPr>
        <w:t>___</w:t>
      </w:r>
      <w:r w:rsidR="006C1C65">
        <w:rPr>
          <w:bCs/>
        </w:rPr>
        <w:t xml:space="preserve"> </w:t>
      </w:r>
      <w:r w:rsidR="00612272" w:rsidRPr="00443662">
        <w:rPr>
          <w:bCs/>
        </w:rPr>
        <w:t>(DM-7)</w:t>
      </w:r>
      <w:r w:rsidR="00612272" w:rsidRPr="00443662" w:rsidDel="00612272">
        <w:rPr>
          <w:bCs/>
        </w:rPr>
        <w:t xml:space="preserve"> </w:t>
      </w:r>
      <w:r w:rsidR="00312DA7" w:rsidRPr="00443662">
        <w:rPr>
          <w:bCs/>
        </w:rPr>
        <w:t>(</w:t>
      </w:r>
      <w:r w:rsidR="00612272" w:rsidRPr="00443662">
        <w:rPr>
          <w:bCs/>
        </w:rPr>
        <w:t xml:space="preserve">Frontier’s </w:t>
      </w:r>
      <w:r w:rsidR="00312DA7" w:rsidRPr="00443662">
        <w:rPr>
          <w:bCs/>
        </w:rPr>
        <w:t>S-4)</w:t>
      </w:r>
      <w:r w:rsidR="00211119" w:rsidRPr="00443662">
        <w:rPr>
          <w:bCs/>
        </w:rPr>
        <w:t>.</w:t>
      </w:r>
      <w:proofErr w:type="gramEnd"/>
    </w:p>
    <w:p w:rsidR="00C4706A" w:rsidRPr="00443662" w:rsidRDefault="00C4706A" w:rsidP="00792BDD">
      <w:pPr>
        <w:pStyle w:val="BodyTextIndent"/>
        <w:rPr>
          <w:b/>
          <w:bCs/>
        </w:rPr>
      </w:pPr>
    </w:p>
    <w:p w:rsidR="00674D16" w:rsidRPr="00443662" w:rsidRDefault="00674D16" w:rsidP="00792BDD">
      <w:pPr>
        <w:pStyle w:val="BodyTextIndent"/>
        <w:rPr>
          <w:b/>
          <w:bCs/>
        </w:rPr>
      </w:pPr>
      <w:r w:rsidRPr="00443662">
        <w:rPr>
          <w:b/>
          <w:bCs/>
        </w:rPr>
        <w:t>Q.</w:t>
      </w:r>
      <w:r w:rsidRPr="00443662">
        <w:rPr>
          <w:b/>
          <w:bCs/>
        </w:rPr>
        <w:tab/>
        <w:t>Are these the only risk factors presented by the Frontier?</w:t>
      </w:r>
    </w:p>
    <w:p w:rsidR="00AF3557" w:rsidRPr="00443662" w:rsidRDefault="00674D16" w:rsidP="00792BDD">
      <w:pPr>
        <w:pStyle w:val="BodyTextIndent"/>
        <w:rPr>
          <w:bCs/>
        </w:rPr>
      </w:pPr>
      <w:r w:rsidRPr="00443662">
        <w:rPr>
          <w:bCs/>
        </w:rPr>
        <w:t>A.</w:t>
      </w:r>
      <w:r w:rsidRPr="00443662">
        <w:rPr>
          <w:bCs/>
        </w:rPr>
        <w:tab/>
        <w:t xml:space="preserve">No. </w:t>
      </w:r>
      <w:r w:rsidR="006C1C65">
        <w:rPr>
          <w:bCs/>
        </w:rPr>
        <w:t xml:space="preserve"> </w:t>
      </w:r>
      <w:r w:rsidRPr="00443662">
        <w:rPr>
          <w:bCs/>
        </w:rPr>
        <w:t>On page 37 of the</w:t>
      </w:r>
      <w:r w:rsidR="003F2A88" w:rsidRPr="00443662">
        <w:rPr>
          <w:bCs/>
        </w:rPr>
        <w:t xml:space="preserve"> SEC </w:t>
      </w:r>
      <w:r w:rsidR="00612272" w:rsidRPr="00443662">
        <w:rPr>
          <w:bCs/>
        </w:rPr>
        <w:t>F</w:t>
      </w:r>
      <w:r w:rsidR="003F2A88" w:rsidRPr="00443662">
        <w:rPr>
          <w:bCs/>
        </w:rPr>
        <w:t>orm</w:t>
      </w:r>
      <w:r w:rsidRPr="00443662">
        <w:rPr>
          <w:bCs/>
        </w:rPr>
        <w:t xml:space="preserve"> S-4 filing, </w:t>
      </w:r>
      <w:r w:rsidR="00367927" w:rsidRPr="00443662">
        <w:rPr>
          <w:bCs/>
        </w:rPr>
        <w:t xml:space="preserve">Frontier has another </w:t>
      </w:r>
      <w:r w:rsidR="00C4706A" w:rsidRPr="00443662">
        <w:rPr>
          <w:bCs/>
        </w:rPr>
        <w:t>category</w:t>
      </w:r>
      <w:r w:rsidR="00367927" w:rsidRPr="00443662">
        <w:rPr>
          <w:bCs/>
        </w:rPr>
        <w:t xml:space="preserve"> entitled “CAUTIONARY STATEMENT REGARDING</w:t>
      </w:r>
      <w:r w:rsidR="00AF3557" w:rsidRPr="00443662">
        <w:rPr>
          <w:bCs/>
        </w:rPr>
        <w:t xml:space="preserve"> FORWARD-LOOKING STATEME</w:t>
      </w:r>
      <w:r w:rsidR="00367927" w:rsidRPr="00443662">
        <w:rPr>
          <w:bCs/>
        </w:rPr>
        <w:t>N</w:t>
      </w:r>
      <w:r w:rsidR="00AF3557" w:rsidRPr="00443662">
        <w:rPr>
          <w:bCs/>
        </w:rPr>
        <w:t>T</w:t>
      </w:r>
      <w:r w:rsidR="00367927" w:rsidRPr="00443662">
        <w:rPr>
          <w:bCs/>
        </w:rPr>
        <w:t xml:space="preserve">S”.  Frontier then lists </w:t>
      </w:r>
      <w:r w:rsidR="008F38D0" w:rsidRPr="00443662">
        <w:rPr>
          <w:bCs/>
        </w:rPr>
        <w:t>29</w:t>
      </w:r>
      <w:r w:rsidR="00C4706A" w:rsidRPr="00443662">
        <w:rPr>
          <w:bCs/>
        </w:rPr>
        <w:t xml:space="preserve"> </w:t>
      </w:r>
      <w:r w:rsidR="00612272" w:rsidRPr="00443662">
        <w:rPr>
          <w:bCs/>
        </w:rPr>
        <w:t>additional factors</w:t>
      </w:r>
      <w:r w:rsidR="00C4706A" w:rsidRPr="00443662">
        <w:rPr>
          <w:bCs/>
        </w:rPr>
        <w:t xml:space="preserve"> that may </w:t>
      </w:r>
      <w:r w:rsidR="00367927" w:rsidRPr="00443662">
        <w:rPr>
          <w:bCs/>
        </w:rPr>
        <w:t>impact the forward-looking statements.</w:t>
      </w:r>
      <w:r w:rsidR="007A0367" w:rsidRPr="00443662">
        <w:rPr>
          <w:bCs/>
        </w:rPr>
        <w:t xml:space="preserve">   </w:t>
      </w:r>
    </w:p>
    <w:p w:rsidR="00C70B6F" w:rsidRPr="00443662" w:rsidRDefault="006C1C65" w:rsidP="00792BDD">
      <w:pPr>
        <w:pStyle w:val="BodyTextIndent"/>
        <w:rPr>
          <w:bCs/>
        </w:rPr>
      </w:pPr>
      <w:r>
        <w:rPr>
          <w:bCs/>
        </w:rPr>
        <w:tab/>
      </w:r>
      <w:r w:rsidR="00AF3557" w:rsidRPr="00443662">
        <w:rPr>
          <w:bCs/>
        </w:rPr>
        <w:tab/>
        <w:t xml:space="preserve">Between the risk factors and the forward-looking statement disclosure, there are </w:t>
      </w:r>
      <w:r w:rsidR="007A0367" w:rsidRPr="00443662">
        <w:rPr>
          <w:bCs/>
        </w:rPr>
        <w:t>fifty nine items qualifying projections and statements made by Frontier.</w:t>
      </w:r>
      <w:r w:rsidR="00C70B6F" w:rsidRPr="00443662">
        <w:rPr>
          <w:bCs/>
        </w:rPr>
        <w:t xml:space="preserve"> The most important point of the disclosures is Frontier’s statement that these qualifying items may cause “material” changes in the projections.</w:t>
      </w:r>
    </w:p>
    <w:p w:rsidR="00174403" w:rsidRPr="00443662" w:rsidRDefault="00174403" w:rsidP="00792BDD">
      <w:pPr>
        <w:pStyle w:val="BodyTextIndent"/>
        <w:rPr>
          <w:bCs/>
        </w:rPr>
      </w:pPr>
    </w:p>
    <w:p w:rsidR="00174403" w:rsidRPr="00443662" w:rsidRDefault="00174403" w:rsidP="00792BDD">
      <w:pPr>
        <w:pStyle w:val="BodyTextIndent"/>
        <w:rPr>
          <w:b/>
          <w:bCs/>
        </w:rPr>
      </w:pPr>
      <w:r w:rsidRPr="00443662">
        <w:rPr>
          <w:b/>
          <w:bCs/>
        </w:rPr>
        <w:t>Q.</w:t>
      </w:r>
      <w:r w:rsidRPr="00443662">
        <w:rPr>
          <w:b/>
          <w:bCs/>
        </w:rPr>
        <w:tab/>
        <w:t>Are there other financial issues the Commission should consider?</w:t>
      </w:r>
    </w:p>
    <w:p w:rsidR="00174403" w:rsidRPr="00443662" w:rsidRDefault="00174403" w:rsidP="00174403">
      <w:pPr>
        <w:pStyle w:val="BodyTextIndent"/>
        <w:rPr>
          <w:bCs/>
        </w:rPr>
      </w:pPr>
      <w:r w:rsidRPr="00443662">
        <w:rPr>
          <w:bCs/>
        </w:rPr>
        <w:t>A.</w:t>
      </w:r>
      <w:r w:rsidRPr="00443662">
        <w:rPr>
          <w:bCs/>
        </w:rPr>
        <w:tab/>
      </w:r>
      <w:r w:rsidR="00C4706A" w:rsidRPr="00443662">
        <w:rPr>
          <w:bCs/>
        </w:rPr>
        <w:t xml:space="preserve">Verizon </w:t>
      </w:r>
      <w:r w:rsidRPr="00443662">
        <w:rPr>
          <w:bCs/>
        </w:rPr>
        <w:t xml:space="preserve">NW’s current parent is a large and diversified communications conglomerate with considerable and growing revenues from wireless and global IP operations.  It had $202 billion in assets and $160 billion in total liabilities at the end of 2008.  During the course of that year, it received $97 billion in revenues and </w:t>
      </w:r>
      <w:r w:rsidRPr="00443662">
        <w:rPr>
          <w:bCs/>
        </w:rPr>
        <w:lastRenderedPageBreak/>
        <w:t xml:space="preserve">earned $6.4 billion in net income.  It currently maintains a debt to EBITDA ratio of </w:t>
      </w:r>
      <w:proofErr w:type="gramStart"/>
      <w:r w:rsidRPr="00443662">
        <w:rPr>
          <w:bCs/>
        </w:rPr>
        <w:t>2.7x</w:t>
      </w:r>
      <w:proofErr w:type="gramEnd"/>
      <w:r w:rsidRPr="00443662">
        <w:rPr>
          <w:bCs/>
        </w:rPr>
        <w:t xml:space="preserve"> and an ‘A’ credit rating with the rating agency Standard &amp; Poor’s.</w:t>
      </w:r>
    </w:p>
    <w:p w:rsidR="00211119" w:rsidRPr="00443662" w:rsidRDefault="00174403" w:rsidP="00C4706A">
      <w:pPr>
        <w:pStyle w:val="BodyTextIndent"/>
        <w:ind w:firstLine="0"/>
        <w:rPr>
          <w:bCs/>
        </w:rPr>
      </w:pPr>
      <w:r w:rsidRPr="00443662">
        <w:rPr>
          <w:bCs/>
        </w:rPr>
        <w:t>Frontier is primarily a provider of wireline telephone and high-speed internet services</w:t>
      </w:r>
      <w:r w:rsidR="00C81EC5" w:rsidRPr="00443662">
        <w:rPr>
          <w:bCs/>
        </w:rPr>
        <w:t xml:space="preserve"> provided</w:t>
      </w:r>
      <w:r w:rsidRPr="00443662">
        <w:rPr>
          <w:bCs/>
        </w:rPr>
        <w:t xml:space="preserve"> to rural markets. It ended 2008 with $6.9 billion in assets and total long term debt, liabilities, and deferred credits of $6.4 billion.  It received revenues of $569 million and earned $46 million in net income.  As of June 30, 2009, Frontier maintained a debt to EBITDA ratio of </w:t>
      </w:r>
      <w:proofErr w:type="gramStart"/>
      <w:r w:rsidRPr="00443662">
        <w:rPr>
          <w:bCs/>
        </w:rPr>
        <w:t>4.6x</w:t>
      </w:r>
      <w:proofErr w:type="gramEnd"/>
      <w:r w:rsidRPr="00443662">
        <w:rPr>
          <w:bCs/>
        </w:rPr>
        <w:t xml:space="preserve">, which is expected to decline to 3.0x on a pro forma basis following the merger.  Standard &amp; Poor’s currently rates Frontier’s senior unsecured notes as </w:t>
      </w:r>
      <w:r w:rsidR="00211119" w:rsidRPr="00443662">
        <w:rPr>
          <w:bCs/>
        </w:rPr>
        <w:t>“</w:t>
      </w:r>
      <w:r w:rsidRPr="00443662">
        <w:rPr>
          <w:bCs/>
        </w:rPr>
        <w:t>B</w:t>
      </w:r>
      <w:r w:rsidR="00211119" w:rsidRPr="00443662">
        <w:rPr>
          <w:bCs/>
        </w:rPr>
        <w:t>”</w:t>
      </w:r>
      <w:r w:rsidRPr="00443662">
        <w:rPr>
          <w:bCs/>
        </w:rPr>
        <w:t>.</w:t>
      </w:r>
    </w:p>
    <w:p w:rsidR="00174403" w:rsidRPr="00443662" w:rsidRDefault="00174403" w:rsidP="006C1C65">
      <w:pPr>
        <w:pStyle w:val="BodyTextIndent"/>
        <w:ind w:firstLine="0"/>
        <w:rPr>
          <w:bCs/>
        </w:rPr>
      </w:pPr>
      <w:r w:rsidRPr="00443662">
        <w:rPr>
          <w:bCs/>
        </w:rPr>
        <w:t xml:space="preserve">  </w:t>
      </w:r>
      <w:r w:rsidRPr="00443662">
        <w:rPr>
          <w:bCs/>
        </w:rPr>
        <w:tab/>
      </w:r>
      <w:r w:rsidR="00E267D5" w:rsidRPr="00443662">
        <w:rPr>
          <w:bCs/>
        </w:rPr>
        <w:t>If the</w:t>
      </w:r>
      <w:r w:rsidRPr="00443662">
        <w:rPr>
          <w:bCs/>
        </w:rPr>
        <w:t xml:space="preserve"> merger</w:t>
      </w:r>
      <w:r w:rsidR="00E267D5" w:rsidRPr="00443662">
        <w:rPr>
          <w:bCs/>
        </w:rPr>
        <w:t xml:space="preserve"> is approved</w:t>
      </w:r>
      <w:r w:rsidRPr="00443662">
        <w:rPr>
          <w:bCs/>
        </w:rPr>
        <w:t xml:space="preserve">, </w:t>
      </w:r>
      <w:r w:rsidR="00E267D5" w:rsidRPr="00443662">
        <w:rPr>
          <w:bCs/>
        </w:rPr>
        <w:t xml:space="preserve">Verizon </w:t>
      </w:r>
      <w:r w:rsidRPr="00443662">
        <w:rPr>
          <w:bCs/>
        </w:rPr>
        <w:t xml:space="preserve">NW will be owned by a company with less diversified operations, a smaller asset base, smaller earnings, and a lower credit rating.  As a result, </w:t>
      </w:r>
      <w:r w:rsidR="00211119" w:rsidRPr="00443662">
        <w:rPr>
          <w:bCs/>
        </w:rPr>
        <w:t>the operating company</w:t>
      </w:r>
      <w:r w:rsidRPr="00443662">
        <w:rPr>
          <w:bCs/>
        </w:rPr>
        <w:t xml:space="preserve"> will face greater expense and greater difficulty raising capital.  </w:t>
      </w:r>
    </w:p>
    <w:p w:rsidR="00174403" w:rsidRPr="00443662" w:rsidRDefault="00174403" w:rsidP="00792BDD">
      <w:pPr>
        <w:pStyle w:val="BodyTextIndent"/>
        <w:rPr>
          <w:bCs/>
        </w:rPr>
      </w:pPr>
    </w:p>
    <w:p w:rsidR="00E267D5" w:rsidRPr="00443662" w:rsidRDefault="00E267D5" w:rsidP="00792BDD">
      <w:pPr>
        <w:pStyle w:val="BodyTextIndent"/>
        <w:rPr>
          <w:b/>
          <w:bCs/>
        </w:rPr>
      </w:pPr>
      <w:r w:rsidRPr="00443662">
        <w:rPr>
          <w:b/>
          <w:bCs/>
        </w:rPr>
        <w:t>Q.</w:t>
      </w:r>
      <w:r w:rsidRPr="00443662">
        <w:rPr>
          <w:b/>
          <w:bCs/>
        </w:rPr>
        <w:tab/>
        <w:t>Has Frontier engaged investment bankers to analyze the merger proposal?</w:t>
      </w:r>
    </w:p>
    <w:p w:rsidR="00647EC5" w:rsidRPr="00443662" w:rsidRDefault="00E267D5" w:rsidP="00647EC5">
      <w:pPr>
        <w:pStyle w:val="BodyTextIndent"/>
        <w:rPr>
          <w:bCs/>
        </w:rPr>
      </w:pPr>
      <w:r w:rsidRPr="00443662">
        <w:rPr>
          <w:bCs/>
        </w:rPr>
        <w:t>A.</w:t>
      </w:r>
      <w:r w:rsidRPr="00443662">
        <w:rPr>
          <w:bCs/>
        </w:rPr>
        <w:tab/>
      </w:r>
      <w:r w:rsidRPr="00443662">
        <w:rPr>
          <w:b/>
          <w:bCs/>
        </w:rPr>
        <w:t xml:space="preserve"> </w:t>
      </w:r>
      <w:r w:rsidR="00647EC5" w:rsidRPr="00443662">
        <w:rPr>
          <w:bCs/>
        </w:rPr>
        <w:t>Yes.</w:t>
      </w:r>
      <w:r w:rsidR="00211119" w:rsidRPr="00443662">
        <w:rPr>
          <w:b/>
          <w:bCs/>
        </w:rPr>
        <w:t xml:space="preserve"> </w:t>
      </w:r>
      <w:r w:rsidR="006C1C65">
        <w:rPr>
          <w:b/>
          <w:bCs/>
        </w:rPr>
        <w:t xml:space="preserve"> </w:t>
      </w:r>
      <w:r w:rsidR="00105679" w:rsidRPr="00443662">
        <w:rPr>
          <w:bCs/>
        </w:rPr>
        <w:t xml:space="preserve">Both </w:t>
      </w:r>
      <w:proofErr w:type="spellStart"/>
      <w:r w:rsidR="00105679" w:rsidRPr="00443662">
        <w:rPr>
          <w:bCs/>
        </w:rPr>
        <w:t>Evercore</w:t>
      </w:r>
      <w:proofErr w:type="spellEnd"/>
      <w:r w:rsidR="00105679" w:rsidRPr="00443662">
        <w:rPr>
          <w:bCs/>
        </w:rPr>
        <w:t xml:space="preserve"> Group </w:t>
      </w:r>
      <w:proofErr w:type="spellStart"/>
      <w:r w:rsidR="00105679" w:rsidRPr="00443662">
        <w:rPr>
          <w:bCs/>
        </w:rPr>
        <w:t>L.L</w:t>
      </w:r>
      <w:r w:rsidR="00211119" w:rsidRPr="00443662">
        <w:rPr>
          <w:bCs/>
        </w:rPr>
        <w:t>.</w:t>
      </w:r>
      <w:r w:rsidR="00105679" w:rsidRPr="00443662">
        <w:rPr>
          <w:bCs/>
        </w:rPr>
        <w:t>C.</w:t>
      </w:r>
      <w:proofErr w:type="spellEnd"/>
      <w:r w:rsidR="00105679" w:rsidRPr="00443662">
        <w:rPr>
          <w:bCs/>
        </w:rPr>
        <w:t xml:space="preserve"> and Citigroup Global Markets Inc. have expressed opinions concerning this transaction. A</w:t>
      </w:r>
      <w:r w:rsidR="00E857F3" w:rsidRPr="00443662">
        <w:rPr>
          <w:bCs/>
        </w:rPr>
        <w:t>nn</w:t>
      </w:r>
      <w:r w:rsidR="00105679" w:rsidRPr="00443662">
        <w:rPr>
          <w:bCs/>
        </w:rPr>
        <w:t>e</w:t>
      </w:r>
      <w:r w:rsidR="00E857F3" w:rsidRPr="00443662">
        <w:rPr>
          <w:bCs/>
        </w:rPr>
        <w:t>x</w:t>
      </w:r>
      <w:r w:rsidR="00105679" w:rsidRPr="00443662">
        <w:rPr>
          <w:bCs/>
        </w:rPr>
        <w:t xml:space="preserve"> B-1 and B-2 of Frontier</w:t>
      </w:r>
      <w:r w:rsidR="00D80512" w:rsidRPr="00443662">
        <w:rPr>
          <w:bCs/>
        </w:rPr>
        <w:t>’</w:t>
      </w:r>
      <w:r w:rsidR="00105679" w:rsidRPr="00443662">
        <w:rPr>
          <w:bCs/>
        </w:rPr>
        <w:t>s S-4 filing contain the opinions of the firms. Both firms qualify the assumptions and data used to render their opin</w:t>
      </w:r>
      <w:r w:rsidR="00150EF4" w:rsidRPr="00443662">
        <w:rPr>
          <w:bCs/>
        </w:rPr>
        <w:t xml:space="preserve">ions. </w:t>
      </w:r>
      <w:proofErr w:type="spellStart"/>
      <w:r w:rsidR="00150EF4" w:rsidRPr="00443662">
        <w:rPr>
          <w:bCs/>
        </w:rPr>
        <w:t>Evercore</w:t>
      </w:r>
      <w:proofErr w:type="spellEnd"/>
      <w:r w:rsidR="00150EF4" w:rsidRPr="00443662">
        <w:rPr>
          <w:bCs/>
        </w:rPr>
        <w:t xml:space="preserve"> makes the following statement:</w:t>
      </w:r>
      <w:r w:rsidR="00150EF4" w:rsidRPr="00443662">
        <w:rPr>
          <w:bCs/>
        </w:rPr>
        <w:tab/>
      </w:r>
    </w:p>
    <w:p w:rsidR="00647EC5" w:rsidRPr="00443662" w:rsidRDefault="00150EF4" w:rsidP="00647EC5">
      <w:pPr>
        <w:pStyle w:val="BodyTextIndent"/>
        <w:spacing w:line="240" w:lineRule="auto"/>
        <w:ind w:left="1440" w:hanging="1440"/>
        <w:rPr>
          <w:bCs/>
        </w:rPr>
      </w:pPr>
      <w:r w:rsidRPr="00443662">
        <w:rPr>
          <w:bCs/>
        </w:rPr>
        <w:tab/>
        <w:t>For purposes of our analysis and opinion, we have assumed and relied upon, without undertaking any independent verification of, the accuracy and completeness of all of the information publicly available, and all of the information supplied or otherwise made available to, discussed with, or reviewed by us, and we assume no liability therefor</w:t>
      </w:r>
      <w:r w:rsidR="008B6757" w:rsidRPr="00443662">
        <w:rPr>
          <w:bCs/>
        </w:rPr>
        <w:t>e</w:t>
      </w:r>
      <w:r w:rsidRPr="00443662">
        <w:rPr>
          <w:bCs/>
        </w:rPr>
        <w:t xml:space="preserve">. With respect to the Projections, we have assumed that they have been reasonably prepared on bases reflecting the best available estimates and good faith judgments of management of the company as to the matters covered thereby. We have also </w:t>
      </w:r>
      <w:r w:rsidRPr="00443662">
        <w:rPr>
          <w:bCs/>
        </w:rPr>
        <w:lastRenderedPageBreak/>
        <w:t>assumed that the Synergies are reasonably obtainable, on bases reflecting the best currently available estimates and good faith judgments</w:t>
      </w:r>
      <w:r w:rsidR="00D80512" w:rsidRPr="00443662">
        <w:rPr>
          <w:bCs/>
        </w:rPr>
        <w:t xml:space="preserve"> of future competitiveness, operating and regulatory environments…</w:t>
      </w:r>
    </w:p>
    <w:p w:rsidR="00647EC5" w:rsidRPr="00443662" w:rsidRDefault="00647EC5" w:rsidP="00647EC5">
      <w:pPr>
        <w:pStyle w:val="BodyTextIndent"/>
        <w:spacing w:line="240" w:lineRule="auto"/>
        <w:ind w:left="1440" w:hanging="1440"/>
        <w:rPr>
          <w:bCs/>
        </w:rPr>
      </w:pPr>
    </w:p>
    <w:p w:rsidR="00D80512" w:rsidRPr="00443662" w:rsidRDefault="00D80512" w:rsidP="00D80512">
      <w:pPr>
        <w:pStyle w:val="BodyTextIndent"/>
        <w:rPr>
          <w:bCs/>
        </w:rPr>
      </w:pPr>
      <w:r w:rsidRPr="00443662">
        <w:rPr>
          <w:bCs/>
        </w:rPr>
        <w:tab/>
        <w:t>This statement can be found on Annex B-1-2. Citigroup has a similar qualification that can be found on Annex B-2-2.</w:t>
      </w:r>
    </w:p>
    <w:p w:rsidR="00D319E7" w:rsidRPr="00443662" w:rsidRDefault="006C1C65" w:rsidP="00C81EC5">
      <w:pPr>
        <w:pStyle w:val="BodyTextIndent"/>
        <w:rPr>
          <w:bCs/>
        </w:rPr>
      </w:pPr>
      <w:r>
        <w:rPr>
          <w:bCs/>
        </w:rPr>
        <w:tab/>
      </w:r>
      <w:r w:rsidR="00D80512" w:rsidRPr="00443662">
        <w:rPr>
          <w:bCs/>
        </w:rPr>
        <w:tab/>
        <w:t>While these are favorable opinions given by the investment bankers, they rely on the same information and estimates given to Staff that have been found to be lacking for the purposes of determining “no harm” to Washington customers.</w:t>
      </w:r>
    </w:p>
    <w:p w:rsidR="00C81EC5" w:rsidRPr="00443662" w:rsidRDefault="00C81EC5" w:rsidP="00C81EC5">
      <w:pPr>
        <w:pStyle w:val="BodyTextIndent"/>
        <w:rPr>
          <w:bCs/>
        </w:rPr>
      </w:pPr>
    </w:p>
    <w:p w:rsidR="005629DC" w:rsidRDefault="00C81EC5" w:rsidP="005629DC">
      <w:pPr>
        <w:pStyle w:val="BodyTextIndent"/>
        <w:numPr>
          <w:ilvl w:val="0"/>
          <w:numId w:val="3"/>
        </w:numPr>
        <w:jc w:val="center"/>
        <w:rPr>
          <w:b/>
          <w:bCs/>
        </w:rPr>
      </w:pPr>
      <w:r w:rsidRPr="00443662">
        <w:rPr>
          <w:b/>
          <w:bCs/>
        </w:rPr>
        <w:t>S</w:t>
      </w:r>
      <w:r w:rsidR="006C1C65">
        <w:rPr>
          <w:b/>
          <w:bCs/>
        </w:rPr>
        <w:t>TAFF CONDITIONS FOR MERGER</w:t>
      </w:r>
    </w:p>
    <w:p w:rsidR="006C1C65" w:rsidRPr="00443662" w:rsidRDefault="006C1C65" w:rsidP="006C1C65">
      <w:pPr>
        <w:pStyle w:val="BodyTextIndent"/>
        <w:rPr>
          <w:b/>
          <w:bCs/>
        </w:rPr>
      </w:pPr>
    </w:p>
    <w:p w:rsidR="005629DC" w:rsidRPr="00443662" w:rsidRDefault="00C81EC5" w:rsidP="005629DC">
      <w:pPr>
        <w:pStyle w:val="BodyTextIndent"/>
        <w:rPr>
          <w:b/>
          <w:bCs/>
        </w:rPr>
      </w:pPr>
      <w:r w:rsidRPr="00443662">
        <w:rPr>
          <w:b/>
          <w:bCs/>
        </w:rPr>
        <w:t xml:space="preserve">Q. </w:t>
      </w:r>
      <w:r w:rsidRPr="00443662">
        <w:rPr>
          <w:b/>
          <w:bCs/>
        </w:rPr>
        <w:tab/>
        <w:t>If the Commission decides the transfer of control should be approved, does Staff have any recommendations of conditions the Commission should require of the petitioning parties</w:t>
      </w:r>
      <w:r w:rsidR="005629DC" w:rsidRPr="00443662">
        <w:rPr>
          <w:b/>
          <w:bCs/>
        </w:rPr>
        <w:t>?</w:t>
      </w:r>
    </w:p>
    <w:p w:rsidR="00647EC5" w:rsidRPr="00443662" w:rsidRDefault="00C81EC5" w:rsidP="00647EC5">
      <w:pPr>
        <w:pStyle w:val="BodyTextIndent"/>
        <w:rPr>
          <w:bCs/>
        </w:rPr>
      </w:pPr>
      <w:r w:rsidRPr="00443662">
        <w:rPr>
          <w:bCs/>
        </w:rPr>
        <w:t>A.</w:t>
      </w:r>
      <w:r w:rsidRPr="00443662">
        <w:rPr>
          <w:bCs/>
        </w:rPr>
        <w:tab/>
        <w:t xml:space="preserve">Yes. </w:t>
      </w:r>
      <w:r w:rsidR="00015E7C" w:rsidRPr="00443662">
        <w:rPr>
          <w:bCs/>
        </w:rPr>
        <w:t xml:space="preserve">Although Staff’s primary recommendation is that the Commission </w:t>
      </w:r>
      <w:proofErr w:type="gramStart"/>
      <w:r w:rsidR="00015E7C" w:rsidRPr="00443662">
        <w:rPr>
          <w:bCs/>
        </w:rPr>
        <w:t>deny</w:t>
      </w:r>
      <w:proofErr w:type="gramEnd"/>
      <w:r w:rsidR="00015E7C" w:rsidRPr="00443662">
        <w:rPr>
          <w:bCs/>
        </w:rPr>
        <w:t xml:space="preserve"> the Application, Staff realizes that the Commission may conclude that the public interest would be better served by approving the transaction with conditions designed to mitigate harms and to provide offsetting benefits.</w:t>
      </w:r>
    </w:p>
    <w:p w:rsidR="00B20F9A" w:rsidRDefault="006C1C65" w:rsidP="006C1C65">
      <w:pPr>
        <w:pStyle w:val="BodyTextIndent"/>
        <w:rPr>
          <w:bCs/>
        </w:rPr>
      </w:pPr>
      <w:r>
        <w:rPr>
          <w:bCs/>
        </w:rPr>
        <w:tab/>
      </w:r>
      <w:r w:rsidR="00015E7C" w:rsidRPr="00443662">
        <w:rPr>
          <w:bCs/>
        </w:rPr>
        <w:tab/>
      </w:r>
      <w:r w:rsidR="00C81EC5" w:rsidRPr="00443662">
        <w:rPr>
          <w:bCs/>
        </w:rPr>
        <w:t>I will</w:t>
      </w:r>
      <w:r w:rsidR="00812C1E" w:rsidRPr="00443662">
        <w:rPr>
          <w:bCs/>
        </w:rPr>
        <w:t>,</w:t>
      </w:r>
      <w:r w:rsidR="00C81EC5" w:rsidRPr="00443662">
        <w:rPr>
          <w:bCs/>
        </w:rPr>
        <w:t xml:space="preserve"> </w:t>
      </w:r>
      <w:r w:rsidR="00015E7C" w:rsidRPr="00443662">
        <w:rPr>
          <w:bCs/>
        </w:rPr>
        <w:t>therefore</w:t>
      </w:r>
      <w:r w:rsidR="00812C1E" w:rsidRPr="00443662">
        <w:rPr>
          <w:bCs/>
        </w:rPr>
        <w:t>,</w:t>
      </w:r>
      <w:r w:rsidR="00015E7C" w:rsidRPr="00443662">
        <w:rPr>
          <w:bCs/>
        </w:rPr>
        <w:t xml:space="preserve"> </w:t>
      </w:r>
      <w:r w:rsidR="00C81EC5" w:rsidRPr="00443662">
        <w:rPr>
          <w:bCs/>
        </w:rPr>
        <w:t>recommend conditions</w:t>
      </w:r>
      <w:r w:rsidR="00211119" w:rsidRPr="00443662">
        <w:rPr>
          <w:bCs/>
        </w:rPr>
        <w:t xml:space="preserve"> </w:t>
      </w:r>
      <w:r w:rsidR="00812C1E" w:rsidRPr="00443662">
        <w:rPr>
          <w:bCs/>
        </w:rPr>
        <w:t xml:space="preserve">pertaining </w:t>
      </w:r>
      <w:r w:rsidR="00211119" w:rsidRPr="00443662">
        <w:rPr>
          <w:bCs/>
        </w:rPr>
        <w:t xml:space="preserve">to </w:t>
      </w:r>
      <w:r w:rsidR="00812C1E" w:rsidRPr="00443662">
        <w:rPr>
          <w:bCs/>
        </w:rPr>
        <w:t xml:space="preserve">the </w:t>
      </w:r>
      <w:r w:rsidR="00211119" w:rsidRPr="00443662">
        <w:rPr>
          <w:bCs/>
        </w:rPr>
        <w:t>financial issues</w:t>
      </w:r>
      <w:r w:rsidR="00812C1E" w:rsidRPr="00443662">
        <w:rPr>
          <w:bCs/>
        </w:rPr>
        <w:t xml:space="preserve"> discussed above.</w:t>
      </w:r>
      <w:r w:rsidR="00C81EC5" w:rsidRPr="00443662">
        <w:rPr>
          <w:bCs/>
        </w:rPr>
        <w:t xml:space="preserve"> </w:t>
      </w:r>
      <w:r w:rsidR="00812C1E" w:rsidRPr="00443662">
        <w:rPr>
          <w:bCs/>
        </w:rPr>
        <w:t xml:space="preserve"> </w:t>
      </w:r>
      <w:r w:rsidR="00C81EC5" w:rsidRPr="00443662">
        <w:rPr>
          <w:bCs/>
        </w:rPr>
        <w:t>I will</w:t>
      </w:r>
      <w:r w:rsidR="00812C1E" w:rsidRPr="00443662">
        <w:rPr>
          <w:bCs/>
        </w:rPr>
        <w:t xml:space="preserve"> then</w:t>
      </w:r>
      <w:r w:rsidR="00C81EC5" w:rsidRPr="00443662">
        <w:rPr>
          <w:bCs/>
        </w:rPr>
        <w:t xml:space="preserve"> give a summarized list other conditions </w:t>
      </w:r>
      <w:r w:rsidR="00812C1E" w:rsidRPr="00443662">
        <w:rPr>
          <w:bCs/>
        </w:rPr>
        <w:t>that are set forth,</w:t>
      </w:r>
      <w:r w:rsidR="00211119" w:rsidRPr="00443662">
        <w:rPr>
          <w:bCs/>
        </w:rPr>
        <w:t xml:space="preserve"> and explained in greater detail</w:t>
      </w:r>
      <w:r w:rsidR="00015E7C" w:rsidRPr="00443662">
        <w:rPr>
          <w:bCs/>
        </w:rPr>
        <w:t>,</w:t>
      </w:r>
      <w:r w:rsidR="00211119" w:rsidRPr="00443662">
        <w:rPr>
          <w:bCs/>
        </w:rPr>
        <w:t xml:space="preserve"> in the testimon</w:t>
      </w:r>
      <w:r w:rsidR="00015E7C" w:rsidRPr="00443662">
        <w:rPr>
          <w:bCs/>
        </w:rPr>
        <w:t>ies</w:t>
      </w:r>
      <w:r w:rsidR="00211119" w:rsidRPr="00443662">
        <w:rPr>
          <w:bCs/>
        </w:rPr>
        <w:t xml:space="preserve"> of S</w:t>
      </w:r>
      <w:r w:rsidR="00C81EC5" w:rsidRPr="00443662">
        <w:rPr>
          <w:bCs/>
        </w:rPr>
        <w:t xml:space="preserve">taff </w:t>
      </w:r>
      <w:r w:rsidR="00E857F3" w:rsidRPr="00443662">
        <w:rPr>
          <w:bCs/>
        </w:rPr>
        <w:t xml:space="preserve">members Ms. </w:t>
      </w:r>
      <w:r w:rsidR="00C81EC5" w:rsidRPr="00443662">
        <w:rPr>
          <w:bCs/>
        </w:rPr>
        <w:t xml:space="preserve">Jing Roth, </w:t>
      </w:r>
      <w:r w:rsidR="00E857F3" w:rsidRPr="00443662">
        <w:rPr>
          <w:bCs/>
        </w:rPr>
        <w:t xml:space="preserve">Mr. </w:t>
      </w:r>
      <w:r w:rsidR="00C81EC5" w:rsidRPr="00443662">
        <w:rPr>
          <w:bCs/>
        </w:rPr>
        <w:t>Robert Williamson,</w:t>
      </w:r>
      <w:r w:rsidR="00E857F3" w:rsidRPr="00443662">
        <w:rPr>
          <w:bCs/>
        </w:rPr>
        <w:t xml:space="preserve"> Ms.</w:t>
      </w:r>
      <w:r w:rsidR="00C81EC5" w:rsidRPr="00443662">
        <w:rPr>
          <w:bCs/>
        </w:rPr>
        <w:t xml:space="preserve"> Kristen Russel,</w:t>
      </w:r>
      <w:r w:rsidR="00E857F3" w:rsidRPr="00443662">
        <w:rPr>
          <w:bCs/>
        </w:rPr>
        <w:t xml:space="preserve"> MR.</w:t>
      </w:r>
      <w:r w:rsidR="00C81EC5" w:rsidRPr="00443662">
        <w:rPr>
          <w:bCs/>
        </w:rPr>
        <w:t xml:space="preserve"> Rick Applegate,</w:t>
      </w:r>
      <w:r w:rsidR="00E857F3" w:rsidRPr="00443662">
        <w:rPr>
          <w:bCs/>
        </w:rPr>
        <w:t xml:space="preserve"> MS.</w:t>
      </w:r>
      <w:r w:rsidR="00C81EC5" w:rsidRPr="00443662">
        <w:rPr>
          <w:bCs/>
        </w:rPr>
        <w:t xml:space="preserve"> Jing Liu, and </w:t>
      </w:r>
      <w:r w:rsidR="00E857F3" w:rsidRPr="00443662">
        <w:rPr>
          <w:bCs/>
        </w:rPr>
        <w:t xml:space="preserve">Ms. </w:t>
      </w:r>
      <w:r w:rsidR="00C81EC5" w:rsidRPr="00443662">
        <w:rPr>
          <w:bCs/>
        </w:rPr>
        <w:t>Suzanne Stilwell.</w:t>
      </w:r>
      <w:r w:rsidR="00015E7C" w:rsidRPr="00443662">
        <w:rPr>
          <w:bCs/>
        </w:rPr>
        <w:t xml:space="preserve">  </w:t>
      </w:r>
      <w:r w:rsidR="00812C1E" w:rsidRPr="00443662">
        <w:rPr>
          <w:bCs/>
        </w:rPr>
        <w:t>Aside from my own testimony set forth above, a</w:t>
      </w:r>
      <w:r w:rsidR="00015E7C" w:rsidRPr="00443662">
        <w:rPr>
          <w:bCs/>
        </w:rPr>
        <w:t>ll of the other Staff witnesses’</w:t>
      </w:r>
      <w:r w:rsidR="00812C1E" w:rsidRPr="00443662">
        <w:rPr>
          <w:bCs/>
        </w:rPr>
        <w:t xml:space="preserve"> testimony begins from the assumption </w:t>
      </w:r>
      <w:r w:rsidR="00015E7C" w:rsidRPr="00443662">
        <w:rPr>
          <w:bCs/>
        </w:rPr>
        <w:t>that the Commission</w:t>
      </w:r>
      <w:r w:rsidR="00812C1E" w:rsidRPr="00443662">
        <w:rPr>
          <w:bCs/>
        </w:rPr>
        <w:t xml:space="preserve"> </w:t>
      </w:r>
      <w:r w:rsidR="00812C1E" w:rsidRPr="00443662">
        <w:rPr>
          <w:bCs/>
        </w:rPr>
        <w:lastRenderedPageBreak/>
        <w:t>has</w:t>
      </w:r>
      <w:r w:rsidR="00015E7C" w:rsidRPr="00443662">
        <w:rPr>
          <w:bCs/>
        </w:rPr>
        <w:t xml:space="preserve"> decide</w:t>
      </w:r>
      <w:r w:rsidR="00812C1E" w:rsidRPr="00443662">
        <w:rPr>
          <w:bCs/>
        </w:rPr>
        <w:t xml:space="preserve">d </w:t>
      </w:r>
      <w:r w:rsidR="00015E7C" w:rsidRPr="00443662">
        <w:rPr>
          <w:bCs/>
        </w:rPr>
        <w:t>to approve the transaction with conditions, despite Staff’s primary recommendation of denial.</w:t>
      </w:r>
    </w:p>
    <w:p w:rsidR="001A05C6" w:rsidRDefault="001A05C6" w:rsidP="006C1C65">
      <w:pPr>
        <w:pStyle w:val="BodyTextIndent"/>
        <w:rPr>
          <w:bCs/>
        </w:rPr>
      </w:pPr>
    </w:p>
    <w:p w:rsidR="00B20F9A" w:rsidRDefault="00C81EC5" w:rsidP="00B20F9A">
      <w:pPr>
        <w:pStyle w:val="BodyTextIndent"/>
        <w:rPr>
          <w:b/>
          <w:bCs/>
        </w:rPr>
      </w:pPr>
      <w:r w:rsidRPr="00443662">
        <w:rPr>
          <w:b/>
          <w:bCs/>
        </w:rPr>
        <w:t>Q.</w:t>
      </w:r>
      <w:r w:rsidRPr="00443662">
        <w:rPr>
          <w:b/>
          <w:bCs/>
        </w:rPr>
        <w:tab/>
        <w:t>What conditions do you recommend should be placed upon the companies</w:t>
      </w:r>
      <w:r w:rsidR="00211119" w:rsidRPr="00443662">
        <w:rPr>
          <w:b/>
          <w:bCs/>
        </w:rPr>
        <w:t xml:space="preserve"> if the Commission approves the transaction</w:t>
      </w:r>
      <w:r w:rsidRPr="00443662">
        <w:rPr>
          <w:b/>
          <w:bCs/>
        </w:rPr>
        <w:t>?</w:t>
      </w:r>
    </w:p>
    <w:p w:rsidR="00B20F9A" w:rsidRDefault="00C81EC5" w:rsidP="00B20F9A">
      <w:pPr>
        <w:pStyle w:val="BodyTextIndent"/>
        <w:rPr>
          <w:b/>
          <w:bCs/>
        </w:rPr>
      </w:pPr>
      <w:r w:rsidRPr="00443662">
        <w:rPr>
          <w:bCs/>
        </w:rPr>
        <w:t>A.</w:t>
      </w:r>
      <w:r w:rsidRPr="00443662">
        <w:rPr>
          <w:bCs/>
        </w:rPr>
        <w:tab/>
        <w:t>My recommendations are as follows:</w:t>
      </w:r>
    </w:p>
    <w:p w:rsidR="00B20F9A" w:rsidRDefault="00B20F9A" w:rsidP="00B20F9A">
      <w:pPr>
        <w:pStyle w:val="BodyTextIndent"/>
        <w:spacing w:line="240" w:lineRule="auto"/>
        <w:ind w:left="1440"/>
        <w:rPr>
          <w:bCs/>
        </w:rPr>
      </w:pPr>
      <w:r w:rsidRPr="00B20F9A">
        <w:rPr>
          <w:bCs/>
        </w:rPr>
        <w:t>1.</w:t>
      </w:r>
      <w:r w:rsidRPr="00B20F9A">
        <w:rPr>
          <w:bCs/>
        </w:rPr>
        <w:tab/>
        <w:t xml:space="preserve">For </w:t>
      </w:r>
      <w:r w:rsidR="002C452B" w:rsidRPr="00443662">
        <w:rPr>
          <w:bCs/>
        </w:rPr>
        <w:t xml:space="preserve">a period of five years from the date of close, Frontier </w:t>
      </w:r>
      <w:r w:rsidR="00211119" w:rsidRPr="00443662">
        <w:rPr>
          <w:bCs/>
        </w:rPr>
        <w:t>must</w:t>
      </w:r>
      <w:r w:rsidR="002C452B" w:rsidRPr="00443662">
        <w:rPr>
          <w:bCs/>
        </w:rPr>
        <w:t xml:space="preserve"> submit a quarterly report to the Commission listing the change in the intercompany receivables and payables accounts of Frontier and Frontier NW by month during the quarter. Frontier </w:t>
      </w:r>
      <w:r w:rsidR="00211119" w:rsidRPr="00443662">
        <w:rPr>
          <w:bCs/>
        </w:rPr>
        <w:t>must</w:t>
      </w:r>
      <w:r w:rsidR="002C452B" w:rsidRPr="00443662">
        <w:rPr>
          <w:bCs/>
        </w:rPr>
        <w:t xml:space="preserve"> also include in this quarterly report the dividend amount Frontier NW will issue to Frontier, the parent. This report </w:t>
      </w:r>
      <w:r w:rsidR="00211119" w:rsidRPr="00443662">
        <w:rPr>
          <w:bCs/>
        </w:rPr>
        <w:t>must</w:t>
      </w:r>
      <w:r w:rsidR="002C452B" w:rsidRPr="00443662">
        <w:rPr>
          <w:bCs/>
        </w:rPr>
        <w:t xml:space="preserve"> also show the dividend payment by quarter Frontier declares to be paid to its shareholders. </w:t>
      </w:r>
      <w:r w:rsidR="00FD2157" w:rsidRPr="00443662">
        <w:rPr>
          <w:bCs/>
        </w:rPr>
        <w:t>(</w:t>
      </w:r>
      <w:r w:rsidR="002C452B" w:rsidRPr="00443662">
        <w:rPr>
          <w:bCs/>
        </w:rPr>
        <w:t>These conditions will provide Staff the necessary information to track Frontier’s performance rather than looking at a “ring fence” requirement.</w:t>
      </w:r>
      <w:r w:rsidR="00FD2157" w:rsidRPr="00443662">
        <w:rPr>
          <w:bCs/>
        </w:rPr>
        <w:t>)</w:t>
      </w:r>
    </w:p>
    <w:p w:rsidR="00B20F9A" w:rsidRDefault="00B20F9A" w:rsidP="00B20F9A">
      <w:pPr>
        <w:pStyle w:val="BodyTextIndent"/>
        <w:spacing w:line="240" w:lineRule="auto"/>
        <w:ind w:left="1440"/>
        <w:rPr>
          <w:b/>
          <w:bCs/>
        </w:rPr>
      </w:pPr>
    </w:p>
    <w:p w:rsidR="00DD353B" w:rsidRDefault="00B20F9A" w:rsidP="00B20F9A">
      <w:pPr>
        <w:pStyle w:val="BodyTextIndent"/>
        <w:spacing w:line="240" w:lineRule="auto"/>
        <w:ind w:left="1440"/>
        <w:rPr>
          <w:bCs/>
        </w:rPr>
      </w:pPr>
      <w:r w:rsidRPr="00B20F9A">
        <w:rPr>
          <w:bCs/>
        </w:rPr>
        <w:t>2.</w:t>
      </w:r>
      <w:r>
        <w:rPr>
          <w:b/>
          <w:bCs/>
        </w:rPr>
        <w:tab/>
      </w:r>
      <w:r w:rsidR="00C81EC5" w:rsidRPr="00443662">
        <w:rPr>
          <w:bCs/>
        </w:rPr>
        <w:t xml:space="preserve">Frontier </w:t>
      </w:r>
      <w:r w:rsidR="00211119" w:rsidRPr="00443662">
        <w:rPr>
          <w:bCs/>
        </w:rPr>
        <w:t>must</w:t>
      </w:r>
      <w:r w:rsidR="00C81EC5" w:rsidRPr="00443662">
        <w:rPr>
          <w:bCs/>
        </w:rPr>
        <w:t xml:space="preserve"> </w:t>
      </w:r>
      <w:r w:rsidR="00211119" w:rsidRPr="00443662">
        <w:rPr>
          <w:bCs/>
        </w:rPr>
        <w:t>petition for an</w:t>
      </w:r>
      <w:r w:rsidR="00C81EC5" w:rsidRPr="00443662">
        <w:rPr>
          <w:bCs/>
        </w:rPr>
        <w:t xml:space="preserve"> Alternative Form of Regulation (AFOR) </w:t>
      </w:r>
      <w:r w:rsidR="005F3262" w:rsidRPr="00443662">
        <w:rPr>
          <w:bCs/>
        </w:rPr>
        <w:t xml:space="preserve">within five years </w:t>
      </w:r>
      <w:r w:rsidR="00C81EC5" w:rsidRPr="00443662">
        <w:rPr>
          <w:bCs/>
        </w:rPr>
        <w:t xml:space="preserve">after the transaction closes. </w:t>
      </w:r>
      <w:r w:rsidR="00DD353B" w:rsidRPr="00443662">
        <w:rPr>
          <w:bCs/>
        </w:rPr>
        <w:t xml:space="preserve">The filing should contain </w:t>
      </w:r>
      <w:proofErr w:type="gramStart"/>
      <w:r w:rsidR="00DD353B" w:rsidRPr="00443662">
        <w:rPr>
          <w:bCs/>
        </w:rPr>
        <w:t>a pro forma results</w:t>
      </w:r>
      <w:proofErr w:type="gramEnd"/>
      <w:r w:rsidR="00DD353B" w:rsidRPr="00443662">
        <w:rPr>
          <w:bCs/>
        </w:rPr>
        <w:t xml:space="preserve"> of operations, cost of capital and an </w:t>
      </w:r>
      <w:proofErr w:type="spellStart"/>
      <w:r w:rsidR="00DD353B" w:rsidRPr="00443662">
        <w:rPr>
          <w:bCs/>
        </w:rPr>
        <w:t>AFOR</w:t>
      </w:r>
      <w:proofErr w:type="spellEnd"/>
      <w:r w:rsidR="00DD353B" w:rsidRPr="00443662">
        <w:rPr>
          <w:bCs/>
        </w:rPr>
        <w:t xml:space="preserve"> proposal</w:t>
      </w:r>
      <w:r w:rsidR="00211119" w:rsidRPr="00443662">
        <w:rPr>
          <w:bCs/>
        </w:rPr>
        <w:t>.</w:t>
      </w:r>
    </w:p>
    <w:p w:rsidR="00B20F9A" w:rsidRPr="00443662" w:rsidRDefault="00B20F9A" w:rsidP="00B20F9A">
      <w:pPr>
        <w:pStyle w:val="BodyTextIndent"/>
        <w:spacing w:line="240" w:lineRule="auto"/>
        <w:ind w:left="1440"/>
        <w:rPr>
          <w:b/>
          <w:bCs/>
        </w:rPr>
      </w:pPr>
    </w:p>
    <w:p w:rsidR="00DD353B" w:rsidRDefault="00C81EC5" w:rsidP="00B20F9A">
      <w:pPr>
        <w:pStyle w:val="BodyTextIndent"/>
        <w:keepNext/>
        <w:numPr>
          <w:ilvl w:val="0"/>
          <w:numId w:val="43"/>
        </w:numPr>
        <w:spacing w:line="240" w:lineRule="auto"/>
        <w:ind w:left="2880" w:hanging="720"/>
        <w:rPr>
          <w:bCs/>
        </w:rPr>
      </w:pPr>
      <w:r w:rsidRPr="00443662">
        <w:rPr>
          <w:bCs/>
        </w:rPr>
        <w:t xml:space="preserve">The results of operations should utilize this Commission’s format using a historical test period with restating and pro forma adjustments to the test period. Restating adjustments should remove non-recurring transactions recorded in the test period and pro forma adjustments should be made using the “known and measurable” standard. </w:t>
      </w:r>
    </w:p>
    <w:p w:rsidR="00B20F9A" w:rsidRPr="00443662" w:rsidRDefault="00B20F9A" w:rsidP="00B20F9A">
      <w:pPr>
        <w:pStyle w:val="BodyTextIndent"/>
        <w:keepNext/>
        <w:spacing w:line="240" w:lineRule="auto"/>
        <w:rPr>
          <w:bCs/>
        </w:rPr>
      </w:pPr>
    </w:p>
    <w:p w:rsidR="00DD353B" w:rsidRPr="00B20F9A" w:rsidRDefault="00DD353B" w:rsidP="00B20F9A">
      <w:pPr>
        <w:pStyle w:val="BodyTextIndent"/>
        <w:keepNext/>
        <w:numPr>
          <w:ilvl w:val="0"/>
          <w:numId w:val="43"/>
        </w:numPr>
        <w:spacing w:line="240" w:lineRule="auto"/>
        <w:ind w:left="2880" w:hanging="720"/>
        <w:rPr>
          <w:b/>
          <w:bCs/>
        </w:rPr>
      </w:pPr>
      <w:r w:rsidRPr="00443662">
        <w:rPr>
          <w:bCs/>
        </w:rPr>
        <w:t>For this filing, t</w:t>
      </w:r>
      <w:r w:rsidR="00C81EC5" w:rsidRPr="00443662">
        <w:rPr>
          <w:bCs/>
        </w:rPr>
        <w:t>he cost of capital should be based upon “investment grade” debt and equity. Verizon NW currently enjoys an investment grade debt rating by the various agencies. Washington customers should not be required to bear higher capital costs due to Frontier’s lower ratings</w:t>
      </w:r>
      <w:r w:rsidRPr="00443662">
        <w:rPr>
          <w:bCs/>
        </w:rPr>
        <w:t xml:space="preserve"> in this filing</w:t>
      </w:r>
      <w:r w:rsidR="00C81EC5" w:rsidRPr="00443662">
        <w:rPr>
          <w:bCs/>
        </w:rPr>
        <w:t>.</w:t>
      </w:r>
    </w:p>
    <w:p w:rsidR="00B20F9A" w:rsidRDefault="00B20F9A" w:rsidP="00B20F9A">
      <w:pPr>
        <w:pStyle w:val="ListParagraph"/>
        <w:rPr>
          <w:b/>
          <w:bCs/>
        </w:rPr>
      </w:pPr>
    </w:p>
    <w:p w:rsidR="00C81EC5" w:rsidRPr="00B20F9A" w:rsidRDefault="00DD353B" w:rsidP="002C04BF">
      <w:pPr>
        <w:pStyle w:val="BodyTextIndent"/>
        <w:numPr>
          <w:ilvl w:val="0"/>
          <w:numId w:val="43"/>
        </w:numPr>
        <w:spacing w:line="240" w:lineRule="auto"/>
        <w:ind w:left="2880" w:hanging="720"/>
        <w:rPr>
          <w:b/>
          <w:bCs/>
        </w:rPr>
      </w:pPr>
      <w:r w:rsidRPr="00443662">
        <w:rPr>
          <w:bCs/>
        </w:rPr>
        <w:t>There should also be an AFOR proposal in this filing.</w:t>
      </w:r>
      <w:r w:rsidR="00C81EC5" w:rsidRPr="00443662">
        <w:rPr>
          <w:bCs/>
        </w:rPr>
        <w:t xml:space="preserve">  </w:t>
      </w:r>
    </w:p>
    <w:p w:rsidR="00B20F9A" w:rsidRPr="00443662" w:rsidRDefault="00B20F9A" w:rsidP="002C04BF">
      <w:pPr>
        <w:pStyle w:val="BodyTextIndent"/>
        <w:spacing w:line="240" w:lineRule="auto"/>
        <w:rPr>
          <w:b/>
          <w:bCs/>
        </w:rPr>
      </w:pPr>
    </w:p>
    <w:p w:rsidR="00C81EC5" w:rsidRPr="001A05C6" w:rsidRDefault="00C81EC5" w:rsidP="002C04BF">
      <w:pPr>
        <w:pStyle w:val="BodyTextIndent"/>
        <w:numPr>
          <w:ilvl w:val="0"/>
          <w:numId w:val="48"/>
        </w:numPr>
        <w:spacing w:line="240" w:lineRule="auto"/>
        <w:ind w:left="1440" w:hanging="720"/>
        <w:rPr>
          <w:b/>
          <w:bCs/>
        </w:rPr>
      </w:pPr>
      <w:r w:rsidRPr="00443662">
        <w:rPr>
          <w:bCs/>
        </w:rPr>
        <w:t xml:space="preserve">The company must </w:t>
      </w:r>
      <w:r w:rsidR="00DD353B" w:rsidRPr="00443662">
        <w:rPr>
          <w:bCs/>
        </w:rPr>
        <w:t xml:space="preserve">not </w:t>
      </w:r>
      <w:r w:rsidRPr="00443662">
        <w:rPr>
          <w:bCs/>
        </w:rPr>
        <w:t xml:space="preserve">seek to recover from Washington ratepayers any separation, branding and transition costs. These costs should be borne by the stockholders. The types of costs in this category include but are not limited </w:t>
      </w:r>
      <w:r w:rsidRPr="00443662">
        <w:rPr>
          <w:bCs/>
        </w:rPr>
        <w:lastRenderedPageBreak/>
        <w:t>to, transaction costs (accounting, banker, legal advisor, investment banker, and other fees), severance costs, new employees</w:t>
      </w:r>
      <w:r w:rsidR="00DD353B" w:rsidRPr="00443662">
        <w:rPr>
          <w:bCs/>
        </w:rPr>
        <w:t xml:space="preserve"> employment</w:t>
      </w:r>
      <w:r w:rsidRPr="00443662">
        <w:rPr>
          <w:bCs/>
        </w:rPr>
        <w:t xml:space="preserve"> costs, and the costs of developing and establishing the brand</w:t>
      </w:r>
      <w:r w:rsidR="00DD353B" w:rsidRPr="00443662">
        <w:rPr>
          <w:bCs/>
        </w:rPr>
        <w:t xml:space="preserve"> name</w:t>
      </w:r>
      <w:r w:rsidRPr="00443662">
        <w:rPr>
          <w:bCs/>
        </w:rPr>
        <w:t xml:space="preserve">. The company </w:t>
      </w:r>
      <w:r w:rsidR="00FD2157" w:rsidRPr="00443662">
        <w:rPr>
          <w:bCs/>
        </w:rPr>
        <w:t>must</w:t>
      </w:r>
      <w:r w:rsidRPr="00443662">
        <w:rPr>
          <w:bCs/>
        </w:rPr>
        <w:t xml:space="preserve"> record these costs in sep</w:t>
      </w:r>
      <w:r w:rsidR="00DD353B" w:rsidRPr="00443662">
        <w:rPr>
          <w:bCs/>
        </w:rPr>
        <w:t>arate subaccounts on the parent and the operating company</w:t>
      </w:r>
      <w:r w:rsidRPr="00443662">
        <w:rPr>
          <w:bCs/>
        </w:rPr>
        <w:t>’s accounting records.</w:t>
      </w:r>
    </w:p>
    <w:p w:rsidR="001A05C6" w:rsidRDefault="001A05C6" w:rsidP="001A05C6">
      <w:pPr>
        <w:pStyle w:val="BodyTextIndent"/>
        <w:keepNext/>
        <w:spacing w:line="240" w:lineRule="auto"/>
        <w:ind w:firstLine="0"/>
        <w:rPr>
          <w:bCs/>
        </w:rPr>
      </w:pPr>
    </w:p>
    <w:p w:rsidR="00C81EC5" w:rsidRPr="00443662" w:rsidRDefault="001A05C6" w:rsidP="001A05C6">
      <w:pPr>
        <w:pStyle w:val="BodyTextIndent"/>
        <w:keepNext/>
        <w:numPr>
          <w:ilvl w:val="0"/>
          <w:numId w:val="48"/>
        </w:numPr>
        <w:spacing w:line="240" w:lineRule="auto"/>
        <w:ind w:left="1440" w:hanging="720"/>
        <w:rPr>
          <w:b/>
          <w:bCs/>
        </w:rPr>
      </w:pPr>
      <w:r>
        <w:rPr>
          <w:bCs/>
        </w:rPr>
        <w:t>A</w:t>
      </w:r>
      <w:r w:rsidR="00C81EC5" w:rsidRPr="00443662">
        <w:rPr>
          <w:bCs/>
        </w:rPr>
        <w:t>fter the close date, Frontier will submit a quarterly report to the Commission identifying synergy savings for the quarter and cumulative year to date savings, the accounts the synergies were recorded in for both Frontier and Frontier NW. The first report should identify the method Frontier used to calculate the synergies. Any subsequent methodology change of the synergy calculation will require a report by the company explaining the change and its affect from the previous calculation.</w:t>
      </w:r>
      <w:r w:rsidR="002C452B" w:rsidRPr="00443662">
        <w:rPr>
          <w:bCs/>
        </w:rPr>
        <w:t xml:space="preserve"> This report should be submitted to the Commission until all the synergies from this transaction have been realized.</w:t>
      </w:r>
    </w:p>
    <w:p w:rsidR="00C81EC5" w:rsidRDefault="00C81EC5" w:rsidP="00C81EC5">
      <w:pPr>
        <w:pStyle w:val="BodyTextIndent"/>
        <w:keepNext/>
        <w:spacing w:line="360" w:lineRule="auto"/>
        <w:ind w:left="1440"/>
        <w:rPr>
          <w:bCs/>
        </w:rPr>
      </w:pPr>
    </w:p>
    <w:p w:rsidR="001A05C6" w:rsidRPr="00443662" w:rsidRDefault="001A05C6" w:rsidP="00C81EC5">
      <w:pPr>
        <w:pStyle w:val="BodyTextIndent"/>
        <w:keepNext/>
        <w:spacing w:line="360" w:lineRule="auto"/>
        <w:ind w:left="1440"/>
        <w:rPr>
          <w:bCs/>
        </w:rPr>
      </w:pPr>
    </w:p>
    <w:p w:rsidR="005629DC" w:rsidRPr="00443662" w:rsidRDefault="005629DC" w:rsidP="001A05C6">
      <w:pPr>
        <w:pStyle w:val="BodyTextIndent"/>
        <w:keepNext/>
        <w:rPr>
          <w:b/>
          <w:bCs/>
        </w:rPr>
      </w:pPr>
      <w:r w:rsidRPr="00443662">
        <w:rPr>
          <w:b/>
          <w:bCs/>
        </w:rPr>
        <w:t xml:space="preserve">Q. </w:t>
      </w:r>
      <w:r w:rsidRPr="00443662">
        <w:rPr>
          <w:b/>
          <w:bCs/>
        </w:rPr>
        <w:tab/>
        <w:t>What conditions does Staff witness Jing Roth recommend?</w:t>
      </w:r>
    </w:p>
    <w:p w:rsidR="005629DC" w:rsidRPr="00443662" w:rsidRDefault="005629DC" w:rsidP="001A05C6">
      <w:pPr>
        <w:pStyle w:val="BodyTextIndent"/>
        <w:keepNext/>
        <w:rPr>
          <w:bCs/>
        </w:rPr>
      </w:pPr>
      <w:r w:rsidRPr="00443662">
        <w:rPr>
          <w:bCs/>
        </w:rPr>
        <w:t>A.</w:t>
      </w:r>
      <w:r w:rsidRPr="00443662">
        <w:rPr>
          <w:bCs/>
        </w:rPr>
        <w:tab/>
        <w:t>Staff witness, Jing Roth, recommends the following conditions:</w:t>
      </w:r>
    </w:p>
    <w:p w:rsidR="005629DC" w:rsidRPr="001A05C6" w:rsidRDefault="005629DC" w:rsidP="001A05C6">
      <w:pPr>
        <w:pStyle w:val="BodyTextIndent"/>
        <w:keepNext/>
        <w:numPr>
          <w:ilvl w:val="0"/>
          <w:numId w:val="37"/>
        </w:numPr>
        <w:spacing w:line="240" w:lineRule="auto"/>
        <w:ind w:left="1440" w:hanging="720"/>
        <w:rPr>
          <w:bCs/>
        </w:rPr>
      </w:pPr>
      <w:r w:rsidRPr="001A05C6">
        <w:rPr>
          <w:bCs/>
        </w:rPr>
        <w:t xml:space="preserve">Residential rates for flat and measured rates </w:t>
      </w:r>
      <w:r w:rsidR="00FD2157" w:rsidRPr="001A05C6">
        <w:rPr>
          <w:bCs/>
        </w:rPr>
        <w:t>must</w:t>
      </w:r>
      <w:r w:rsidRPr="001A05C6">
        <w:rPr>
          <w:bCs/>
        </w:rPr>
        <w:t xml:space="preserve"> be </w:t>
      </w:r>
      <w:proofErr w:type="gramStart"/>
      <w:r w:rsidRPr="001A05C6">
        <w:rPr>
          <w:bCs/>
        </w:rPr>
        <w:t>capped  for</w:t>
      </w:r>
      <w:proofErr w:type="gramEnd"/>
      <w:r w:rsidRPr="001A05C6">
        <w:rPr>
          <w:bCs/>
        </w:rPr>
        <w:t xml:space="preserve"> three years after the close of the transaction</w:t>
      </w:r>
      <w:r w:rsidR="001A05C6">
        <w:rPr>
          <w:bCs/>
        </w:rPr>
        <w:t>.</w:t>
      </w:r>
    </w:p>
    <w:p w:rsidR="005629DC" w:rsidRPr="001A05C6" w:rsidRDefault="005629DC" w:rsidP="001A05C6">
      <w:pPr>
        <w:pStyle w:val="BodyTextIndent"/>
        <w:keepNext/>
        <w:numPr>
          <w:ilvl w:val="0"/>
          <w:numId w:val="37"/>
        </w:numPr>
        <w:spacing w:line="240" w:lineRule="auto"/>
        <w:ind w:left="1440" w:hanging="720"/>
        <w:rPr>
          <w:bCs/>
        </w:rPr>
      </w:pPr>
      <w:r w:rsidRPr="001A05C6">
        <w:rPr>
          <w:bCs/>
        </w:rPr>
        <w:t xml:space="preserve">“Grandfathered” services offered to existing Verizon customers </w:t>
      </w:r>
      <w:r w:rsidR="00FD2157" w:rsidRPr="001A05C6">
        <w:rPr>
          <w:bCs/>
        </w:rPr>
        <w:t>must</w:t>
      </w:r>
      <w:r w:rsidRPr="001A05C6">
        <w:rPr>
          <w:bCs/>
        </w:rPr>
        <w:t xml:space="preserve"> continue to be offered for a minimum period of six months after the date of close.</w:t>
      </w:r>
    </w:p>
    <w:p w:rsidR="005629DC" w:rsidRPr="001A05C6" w:rsidRDefault="005629DC" w:rsidP="001A05C6">
      <w:pPr>
        <w:pStyle w:val="BodyTextIndent"/>
        <w:keepNext/>
        <w:numPr>
          <w:ilvl w:val="0"/>
          <w:numId w:val="37"/>
        </w:numPr>
        <w:spacing w:line="240" w:lineRule="auto"/>
        <w:ind w:left="1440" w:hanging="720"/>
        <w:rPr>
          <w:bCs/>
        </w:rPr>
      </w:pPr>
      <w:r w:rsidRPr="001A05C6">
        <w:rPr>
          <w:bCs/>
        </w:rPr>
        <w:t xml:space="preserve">Verizon Northwest customers wanting to change intrastate long distance services to another carrier </w:t>
      </w:r>
      <w:r w:rsidR="00FD2157" w:rsidRPr="001A05C6">
        <w:rPr>
          <w:bCs/>
        </w:rPr>
        <w:t>must</w:t>
      </w:r>
      <w:r w:rsidRPr="001A05C6">
        <w:rPr>
          <w:bCs/>
        </w:rPr>
        <w:t xml:space="preserve"> be able to do so without incurring a Primary Interexchange Carrier (PIC) charge for a period of ninety days after the close of the transaction.</w:t>
      </w:r>
    </w:p>
    <w:p w:rsidR="005629DC" w:rsidRPr="001A05C6" w:rsidRDefault="005629DC" w:rsidP="001A05C6">
      <w:pPr>
        <w:pStyle w:val="BodyTextIndent"/>
        <w:keepNext/>
        <w:numPr>
          <w:ilvl w:val="0"/>
          <w:numId w:val="37"/>
        </w:numPr>
        <w:spacing w:line="240" w:lineRule="auto"/>
        <w:ind w:left="1440" w:hanging="720"/>
        <w:rPr>
          <w:bCs/>
        </w:rPr>
      </w:pPr>
      <w:r w:rsidRPr="001A05C6">
        <w:rPr>
          <w:bCs/>
        </w:rPr>
        <w:t xml:space="preserve">Frontier Northwest </w:t>
      </w:r>
      <w:r w:rsidR="00FD2157" w:rsidRPr="001A05C6">
        <w:rPr>
          <w:bCs/>
        </w:rPr>
        <w:t>must</w:t>
      </w:r>
      <w:r w:rsidRPr="001A05C6">
        <w:rPr>
          <w:bCs/>
        </w:rPr>
        <w:t xml:space="preserve"> waive early termination charges for any current Verizon Northwest customers choosing to use other alternatives for their bundled and high speed internet services for a minimum period of twelve months after the close date.</w:t>
      </w:r>
    </w:p>
    <w:p w:rsidR="005629DC" w:rsidRPr="001A05C6" w:rsidRDefault="005629DC" w:rsidP="001A05C6">
      <w:pPr>
        <w:pStyle w:val="BodyTextIndent"/>
        <w:keepNext/>
        <w:numPr>
          <w:ilvl w:val="0"/>
          <w:numId w:val="37"/>
        </w:numPr>
        <w:spacing w:line="240" w:lineRule="auto"/>
        <w:ind w:left="1440" w:hanging="720"/>
        <w:rPr>
          <w:bCs/>
        </w:rPr>
      </w:pPr>
      <w:r w:rsidRPr="001A05C6">
        <w:rPr>
          <w:bCs/>
        </w:rPr>
        <w:t xml:space="preserve">Frontier Northwest </w:t>
      </w:r>
      <w:r w:rsidR="00FD2157" w:rsidRPr="001A05C6">
        <w:rPr>
          <w:bCs/>
        </w:rPr>
        <w:t>must</w:t>
      </w:r>
      <w:r w:rsidRPr="001A05C6">
        <w:rPr>
          <w:bCs/>
        </w:rPr>
        <w:t xml:space="preserve"> continue to offer and provide bundled services available to Verizon Northwest customers in Washington for a minimum period of twelve months.</w:t>
      </w:r>
    </w:p>
    <w:p w:rsidR="005629DC" w:rsidRDefault="005629DC" w:rsidP="001A05C6">
      <w:pPr>
        <w:pStyle w:val="BodyTextIndent"/>
        <w:keepNext/>
        <w:spacing w:line="240" w:lineRule="auto"/>
        <w:ind w:left="1440"/>
        <w:rPr>
          <w:bCs/>
        </w:rPr>
      </w:pPr>
    </w:p>
    <w:p w:rsidR="001A05C6" w:rsidRDefault="001A05C6" w:rsidP="001A05C6">
      <w:pPr>
        <w:pStyle w:val="BodyTextIndent"/>
        <w:keepNext/>
        <w:spacing w:line="240" w:lineRule="auto"/>
        <w:ind w:left="1440"/>
        <w:rPr>
          <w:bCs/>
        </w:rPr>
      </w:pPr>
    </w:p>
    <w:p w:rsidR="004354DC" w:rsidRPr="001A05C6" w:rsidRDefault="004354DC" w:rsidP="001A05C6">
      <w:pPr>
        <w:pStyle w:val="BodyTextIndent"/>
        <w:keepNext/>
        <w:spacing w:line="240" w:lineRule="auto"/>
        <w:ind w:left="1440"/>
        <w:rPr>
          <w:bCs/>
        </w:rPr>
      </w:pPr>
    </w:p>
    <w:p w:rsidR="005629DC" w:rsidRPr="00443662" w:rsidRDefault="005629DC" w:rsidP="004354DC">
      <w:pPr>
        <w:pStyle w:val="BodyTextIndent"/>
        <w:keepLines/>
        <w:rPr>
          <w:b/>
          <w:bCs/>
        </w:rPr>
      </w:pPr>
      <w:r w:rsidRPr="00443662">
        <w:rPr>
          <w:b/>
          <w:bCs/>
        </w:rPr>
        <w:t>Q.</w:t>
      </w:r>
      <w:r w:rsidRPr="00443662">
        <w:rPr>
          <w:b/>
          <w:bCs/>
        </w:rPr>
        <w:tab/>
        <w:t>What conditions does Staff witness Robert Williamson recommend?</w:t>
      </w:r>
      <w:r w:rsidRPr="00443662">
        <w:rPr>
          <w:bCs/>
        </w:rPr>
        <w:t xml:space="preserve">   </w:t>
      </w:r>
    </w:p>
    <w:p w:rsidR="005629DC" w:rsidRPr="00443662" w:rsidRDefault="005629DC" w:rsidP="004354DC">
      <w:pPr>
        <w:pStyle w:val="ListParagraph"/>
        <w:keepLines/>
        <w:spacing w:line="480" w:lineRule="auto"/>
        <w:ind w:hanging="720"/>
        <w:rPr>
          <w:bCs/>
        </w:rPr>
      </w:pPr>
      <w:r w:rsidRPr="00443662">
        <w:rPr>
          <w:bCs/>
        </w:rPr>
        <w:t>A.</w:t>
      </w:r>
      <w:r w:rsidRPr="00443662">
        <w:rPr>
          <w:bCs/>
        </w:rPr>
        <w:tab/>
        <w:t>Mr. Williamson’s recommendations relate to operati</w:t>
      </w:r>
      <w:r w:rsidR="00FD2157" w:rsidRPr="00443662">
        <w:rPr>
          <w:bCs/>
        </w:rPr>
        <w:t>ons</w:t>
      </w:r>
      <w:r w:rsidRPr="00443662">
        <w:rPr>
          <w:bCs/>
        </w:rPr>
        <w:t xml:space="preserve"> support systems (OSS). They are as follows:</w:t>
      </w:r>
    </w:p>
    <w:p w:rsidR="005629DC" w:rsidRPr="00443662" w:rsidRDefault="005629DC" w:rsidP="004354DC">
      <w:pPr>
        <w:pStyle w:val="ListParagraph"/>
        <w:keepLines/>
        <w:numPr>
          <w:ilvl w:val="0"/>
          <w:numId w:val="38"/>
        </w:numPr>
        <w:ind w:left="1440" w:hanging="720"/>
        <w:rPr>
          <w:bCs/>
        </w:rPr>
      </w:pPr>
      <w:r w:rsidRPr="00443662">
        <w:rPr>
          <w:bCs/>
        </w:rPr>
        <w:t>Verizon/</w:t>
      </w:r>
      <w:proofErr w:type="spellStart"/>
      <w:r w:rsidRPr="00443662">
        <w:rPr>
          <w:bCs/>
        </w:rPr>
        <w:t>Spinco</w:t>
      </w:r>
      <w:proofErr w:type="spellEnd"/>
      <w:r w:rsidRPr="00443662">
        <w:rPr>
          <w:bCs/>
        </w:rPr>
        <w:t xml:space="preserve"> </w:t>
      </w:r>
      <w:r w:rsidR="00FD2157" w:rsidRPr="00443662">
        <w:rPr>
          <w:bCs/>
        </w:rPr>
        <w:t>must</w:t>
      </w:r>
      <w:r w:rsidRPr="00443662">
        <w:rPr>
          <w:bCs/>
        </w:rPr>
        <w:t xml:space="preserve"> replicate OSS for all customer transactions</w:t>
      </w:r>
      <w:r w:rsidR="00242117" w:rsidRPr="00443662">
        <w:rPr>
          <w:bCs/>
        </w:rPr>
        <w:t>,</w:t>
      </w:r>
      <w:r w:rsidRPr="00443662">
        <w:rPr>
          <w:bCs/>
        </w:rPr>
        <w:t xml:space="preserve"> both retail and wholesale</w:t>
      </w:r>
      <w:r w:rsidR="00242117" w:rsidRPr="00443662">
        <w:rPr>
          <w:bCs/>
        </w:rPr>
        <w:t>,</w:t>
      </w:r>
      <w:r w:rsidRPr="00443662">
        <w:rPr>
          <w:bCs/>
        </w:rPr>
        <w:t xml:space="preserve"> and use these replicated systems for a minimum period of ninety days before the close date.</w:t>
      </w:r>
    </w:p>
    <w:p w:rsidR="005629DC" w:rsidRPr="00443662" w:rsidRDefault="005629DC" w:rsidP="004354DC">
      <w:pPr>
        <w:pStyle w:val="ListParagraph"/>
        <w:keepLines/>
        <w:numPr>
          <w:ilvl w:val="0"/>
          <w:numId w:val="38"/>
        </w:numPr>
        <w:ind w:left="1440" w:hanging="720"/>
        <w:rPr>
          <w:bCs/>
        </w:rPr>
      </w:pPr>
      <w:r w:rsidRPr="00443662">
        <w:rPr>
          <w:bCs/>
        </w:rPr>
        <w:t>Within ninety days prior to closing, Frontier must complete system testing and issue a report to the Commission validating that the OSS are operational in accordance with the terms of the merger agreement.</w:t>
      </w:r>
    </w:p>
    <w:p w:rsidR="005629DC" w:rsidRPr="00443662" w:rsidRDefault="005629DC" w:rsidP="004354DC">
      <w:pPr>
        <w:pStyle w:val="ListParagraph"/>
        <w:keepLines/>
        <w:numPr>
          <w:ilvl w:val="0"/>
          <w:numId w:val="38"/>
        </w:numPr>
        <w:ind w:left="1440" w:hanging="720"/>
        <w:rPr>
          <w:bCs/>
        </w:rPr>
      </w:pPr>
      <w:r w:rsidRPr="00443662">
        <w:rPr>
          <w:bCs/>
        </w:rPr>
        <w:t>Ninety days before the close date Verizon/</w:t>
      </w:r>
      <w:proofErr w:type="spellStart"/>
      <w:r w:rsidRPr="00443662">
        <w:rPr>
          <w:bCs/>
        </w:rPr>
        <w:t>Spinco</w:t>
      </w:r>
      <w:proofErr w:type="spellEnd"/>
      <w:r w:rsidRPr="00443662">
        <w:rPr>
          <w:bCs/>
        </w:rPr>
        <w:t xml:space="preserve"> must meet the retail service quality standards set for</w:t>
      </w:r>
      <w:r w:rsidR="00FD2157" w:rsidRPr="00443662">
        <w:rPr>
          <w:bCs/>
        </w:rPr>
        <w:t>th</w:t>
      </w:r>
      <w:r w:rsidRPr="00443662">
        <w:rPr>
          <w:bCs/>
        </w:rPr>
        <w:t xml:space="preserve"> in Kristen Russell’s testimony and wholesale quality of service should not show substantial degradation.</w:t>
      </w:r>
    </w:p>
    <w:p w:rsidR="00647EC5" w:rsidRPr="00443662" w:rsidRDefault="005629DC" w:rsidP="001A05C6">
      <w:pPr>
        <w:pStyle w:val="ListParagraph"/>
        <w:numPr>
          <w:ilvl w:val="0"/>
          <w:numId w:val="38"/>
        </w:numPr>
        <w:ind w:left="1440" w:hanging="720"/>
        <w:rPr>
          <w:bCs/>
        </w:rPr>
      </w:pPr>
      <w:r w:rsidRPr="00443662">
        <w:rPr>
          <w:bCs/>
        </w:rPr>
        <w:t xml:space="preserve">Verizon </w:t>
      </w:r>
      <w:r w:rsidR="00FD2157" w:rsidRPr="00443662">
        <w:rPr>
          <w:bCs/>
        </w:rPr>
        <w:t>must</w:t>
      </w:r>
      <w:r w:rsidRPr="00443662">
        <w:rPr>
          <w:bCs/>
        </w:rPr>
        <w:t xml:space="preserve"> create an archive of all data transferred to the replicated systems. This data should be maintained by a third party at Verizon’s expense for a period of twelve months following the transactions close date.</w:t>
      </w:r>
    </w:p>
    <w:p w:rsidR="005629DC" w:rsidRPr="00443662" w:rsidRDefault="005629DC" w:rsidP="001A05C6">
      <w:pPr>
        <w:pStyle w:val="ListParagraph"/>
        <w:numPr>
          <w:ilvl w:val="0"/>
          <w:numId w:val="38"/>
        </w:numPr>
        <w:ind w:left="1440" w:hanging="720"/>
        <w:rPr>
          <w:bCs/>
        </w:rPr>
      </w:pPr>
      <w:r w:rsidRPr="00443662">
        <w:rPr>
          <w:bCs/>
        </w:rPr>
        <w:t xml:space="preserve">Frontier </w:t>
      </w:r>
      <w:r w:rsidR="00FD2157" w:rsidRPr="00443662">
        <w:rPr>
          <w:bCs/>
        </w:rPr>
        <w:t>must</w:t>
      </w:r>
      <w:r w:rsidRPr="00443662">
        <w:rPr>
          <w:bCs/>
        </w:rPr>
        <w:t xml:space="preserve"> report quarterly for a period of four years following the close date concerning business and repair office operations and billing system issues to the Commission.</w:t>
      </w:r>
    </w:p>
    <w:p w:rsidR="005629DC" w:rsidRPr="00443662" w:rsidRDefault="005629DC" w:rsidP="001A05C6">
      <w:pPr>
        <w:pStyle w:val="ListParagraph"/>
        <w:numPr>
          <w:ilvl w:val="0"/>
          <w:numId w:val="38"/>
        </w:numPr>
        <w:ind w:left="1440" w:hanging="720"/>
        <w:rPr>
          <w:bCs/>
        </w:rPr>
      </w:pPr>
      <w:r w:rsidRPr="00443662">
        <w:rPr>
          <w:bCs/>
        </w:rPr>
        <w:t xml:space="preserve">Frontier </w:t>
      </w:r>
      <w:r w:rsidR="00FD2157" w:rsidRPr="00443662">
        <w:rPr>
          <w:bCs/>
        </w:rPr>
        <w:t xml:space="preserve">must </w:t>
      </w:r>
      <w:r w:rsidRPr="00443662">
        <w:rPr>
          <w:bCs/>
        </w:rPr>
        <w:t>issue quarterly reports to the Commission on any consolidation of network operations changes and staffing levels.</w:t>
      </w:r>
    </w:p>
    <w:p w:rsidR="005629DC" w:rsidRPr="00443662" w:rsidRDefault="005629DC" w:rsidP="001A05C6">
      <w:pPr>
        <w:pStyle w:val="ListParagraph"/>
        <w:numPr>
          <w:ilvl w:val="0"/>
          <w:numId w:val="38"/>
        </w:numPr>
        <w:ind w:left="1440" w:hanging="720"/>
        <w:rPr>
          <w:bCs/>
        </w:rPr>
      </w:pPr>
      <w:r w:rsidRPr="00443662">
        <w:rPr>
          <w:bCs/>
        </w:rPr>
        <w:t xml:space="preserve">When the OSS is converted to Frontier, a neutral third party </w:t>
      </w:r>
      <w:r w:rsidR="00FD2157" w:rsidRPr="00443662">
        <w:rPr>
          <w:bCs/>
        </w:rPr>
        <w:t>must</w:t>
      </w:r>
      <w:r w:rsidRPr="00443662">
        <w:rPr>
          <w:bCs/>
        </w:rPr>
        <w:t xml:space="preserve"> be engaged to audit the conversion results.</w:t>
      </w:r>
    </w:p>
    <w:p w:rsidR="005629DC" w:rsidRPr="00443662" w:rsidRDefault="005629DC" w:rsidP="001A05C6">
      <w:pPr>
        <w:pStyle w:val="ListParagraph"/>
        <w:numPr>
          <w:ilvl w:val="0"/>
          <w:numId w:val="38"/>
        </w:numPr>
        <w:ind w:left="1440" w:hanging="720"/>
        <w:rPr>
          <w:bCs/>
        </w:rPr>
      </w:pPr>
      <w:r w:rsidRPr="00443662">
        <w:rPr>
          <w:bCs/>
        </w:rPr>
        <w:t>Sixty (60) days prior to cutting over any operation</w:t>
      </w:r>
      <w:r w:rsidR="00FD2157" w:rsidRPr="00443662">
        <w:rPr>
          <w:bCs/>
        </w:rPr>
        <w:t>s</w:t>
      </w:r>
      <w:r w:rsidRPr="00443662">
        <w:rPr>
          <w:bCs/>
        </w:rPr>
        <w:t xml:space="preserve"> support system</w:t>
      </w:r>
      <w:r w:rsidR="00FD2157" w:rsidRPr="00443662">
        <w:rPr>
          <w:bCs/>
        </w:rPr>
        <w:t>s</w:t>
      </w:r>
      <w:r w:rsidRPr="00443662">
        <w:rPr>
          <w:bCs/>
        </w:rPr>
        <w:t>, Frontier Northwest must provide notice to CLECs of any changes in functionality and e-bonding.</w:t>
      </w:r>
    </w:p>
    <w:p w:rsidR="005629DC" w:rsidRPr="00443662" w:rsidRDefault="005629DC" w:rsidP="001A05C6">
      <w:pPr>
        <w:pStyle w:val="ListParagraph"/>
        <w:numPr>
          <w:ilvl w:val="0"/>
          <w:numId w:val="38"/>
        </w:numPr>
        <w:ind w:left="1440" w:hanging="720"/>
        <w:rPr>
          <w:bCs/>
        </w:rPr>
      </w:pPr>
      <w:r w:rsidRPr="00443662">
        <w:rPr>
          <w:bCs/>
        </w:rPr>
        <w:t>Frontier Northwest must maintain functionality performance and e-bonding at a level that at least equals to what Verizon Northwest has been providing pre-transaction.</w:t>
      </w:r>
    </w:p>
    <w:p w:rsidR="005629DC" w:rsidRPr="00443662" w:rsidRDefault="005629DC" w:rsidP="005629DC">
      <w:pPr>
        <w:pStyle w:val="ListParagraph"/>
        <w:ind w:left="1890"/>
        <w:rPr>
          <w:bCs/>
        </w:rPr>
      </w:pPr>
    </w:p>
    <w:p w:rsidR="005629DC" w:rsidRDefault="005629DC" w:rsidP="005629DC">
      <w:pPr>
        <w:rPr>
          <w:bCs/>
        </w:rPr>
      </w:pPr>
    </w:p>
    <w:p w:rsidR="001A05C6" w:rsidRPr="00443662" w:rsidRDefault="001A05C6" w:rsidP="005629DC">
      <w:pPr>
        <w:rPr>
          <w:bCs/>
        </w:rPr>
      </w:pPr>
    </w:p>
    <w:p w:rsidR="005629DC" w:rsidRPr="00443662" w:rsidRDefault="005629DC" w:rsidP="005629DC">
      <w:pPr>
        <w:rPr>
          <w:b/>
          <w:bCs/>
        </w:rPr>
      </w:pPr>
      <w:r w:rsidRPr="00443662">
        <w:rPr>
          <w:b/>
          <w:bCs/>
        </w:rPr>
        <w:t>Q.</w:t>
      </w:r>
      <w:r w:rsidRPr="00443662">
        <w:rPr>
          <w:b/>
          <w:bCs/>
        </w:rPr>
        <w:tab/>
        <w:t>What conditions does Staff witness Kristen Russell recommend?</w:t>
      </w:r>
    </w:p>
    <w:p w:rsidR="00FD2157" w:rsidRPr="00443662" w:rsidRDefault="00FD2157" w:rsidP="005629DC">
      <w:pPr>
        <w:ind w:left="720" w:hanging="720"/>
        <w:rPr>
          <w:bCs/>
        </w:rPr>
      </w:pPr>
    </w:p>
    <w:p w:rsidR="005629DC" w:rsidRPr="00443662" w:rsidRDefault="005629DC" w:rsidP="001A05C6">
      <w:pPr>
        <w:spacing w:line="480" w:lineRule="auto"/>
        <w:ind w:left="720" w:hanging="720"/>
        <w:rPr>
          <w:bCs/>
        </w:rPr>
      </w:pPr>
      <w:r w:rsidRPr="00443662">
        <w:rPr>
          <w:bCs/>
        </w:rPr>
        <w:t>A.</w:t>
      </w:r>
      <w:r w:rsidRPr="00443662">
        <w:rPr>
          <w:bCs/>
        </w:rPr>
        <w:tab/>
        <w:t>Ms. Russell’s recommendations pertain to service quality and yellow page imputation. Her recommendations are as follows:</w:t>
      </w:r>
      <w:r w:rsidRPr="00443662">
        <w:rPr>
          <w:bCs/>
        </w:rPr>
        <w:tab/>
      </w:r>
    </w:p>
    <w:p w:rsidR="005629DC" w:rsidRPr="00443662" w:rsidRDefault="005629DC" w:rsidP="001A05C6">
      <w:pPr>
        <w:pStyle w:val="ListParagraph"/>
        <w:numPr>
          <w:ilvl w:val="0"/>
          <w:numId w:val="39"/>
        </w:numPr>
        <w:ind w:hanging="720"/>
        <w:rPr>
          <w:bCs/>
        </w:rPr>
      </w:pPr>
      <w:r w:rsidRPr="00443662">
        <w:rPr>
          <w:bCs/>
        </w:rPr>
        <w:t xml:space="preserve">Frontier Northwest </w:t>
      </w:r>
      <w:r w:rsidR="00FD2157" w:rsidRPr="00443662">
        <w:rPr>
          <w:bCs/>
        </w:rPr>
        <w:t>must</w:t>
      </w:r>
      <w:r w:rsidRPr="00443662">
        <w:rPr>
          <w:bCs/>
        </w:rPr>
        <w:t xml:space="preserve"> augment the offerings of Verizon’s Service Performance Guarantee (SPG).  In general, staff recommends that the programs be changed to increase credits to customers for failed service repairs and installation.</w:t>
      </w:r>
    </w:p>
    <w:p w:rsidR="005629DC" w:rsidRPr="00443662" w:rsidRDefault="005629DC" w:rsidP="001A05C6">
      <w:pPr>
        <w:pStyle w:val="ListParagraph"/>
        <w:numPr>
          <w:ilvl w:val="0"/>
          <w:numId w:val="39"/>
        </w:numPr>
        <w:ind w:hanging="720"/>
        <w:rPr>
          <w:bCs/>
        </w:rPr>
      </w:pPr>
      <w:r w:rsidRPr="00443662">
        <w:rPr>
          <w:bCs/>
        </w:rPr>
        <w:t xml:space="preserve">Frontier Northwest </w:t>
      </w:r>
      <w:r w:rsidR="00FD2157" w:rsidRPr="00443662">
        <w:rPr>
          <w:bCs/>
        </w:rPr>
        <w:t>must</w:t>
      </w:r>
      <w:r w:rsidRPr="00443662">
        <w:rPr>
          <w:bCs/>
        </w:rPr>
        <w:t xml:space="preserve"> report monthly its service quality report and customer credits associated with SPG.</w:t>
      </w:r>
    </w:p>
    <w:p w:rsidR="005629DC" w:rsidRPr="00443662" w:rsidRDefault="005629DC" w:rsidP="001A05C6">
      <w:pPr>
        <w:pStyle w:val="ListParagraph"/>
        <w:numPr>
          <w:ilvl w:val="0"/>
          <w:numId w:val="39"/>
        </w:numPr>
        <w:ind w:hanging="720"/>
        <w:rPr>
          <w:bCs/>
        </w:rPr>
      </w:pPr>
      <w:r w:rsidRPr="00443662">
        <w:rPr>
          <w:bCs/>
        </w:rPr>
        <w:t xml:space="preserve">Customer credits associated with the services quality benchmarks </w:t>
      </w:r>
      <w:r w:rsidR="00FD2157" w:rsidRPr="00443662">
        <w:rPr>
          <w:bCs/>
        </w:rPr>
        <w:t>w</w:t>
      </w:r>
      <w:r w:rsidRPr="00443662">
        <w:rPr>
          <w:bCs/>
        </w:rPr>
        <w:t>ould be set at approximately two percent of Verizon Northwest’s intrastate operating revenue for 2008.</w:t>
      </w:r>
    </w:p>
    <w:p w:rsidR="005629DC" w:rsidRPr="00443662" w:rsidRDefault="005629DC" w:rsidP="001A05C6">
      <w:pPr>
        <w:pStyle w:val="ListParagraph"/>
        <w:numPr>
          <w:ilvl w:val="0"/>
          <w:numId w:val="39"/>
        </w:numPr>
        <w:ind w:hanging="720"/>
        <w:rPr>
          <w:bCs/>
        </w:rPr>
      </w:pPr>
      <w:r w:rsidRPr="00443662">
        <w:rPr>
          <w:bCs/>
        </w:rPr>
        <w:t xml:space="preserve">Service quality benchmarks </w:t>
      </w:r>
      <w:r w:rsidR="00FD2157" w:rsidRPr="00443662">
        <w:rPr>
          <w:bCs/>
        </w:rPr>
        <w:t>w</w:t>
      </w:r>
      <w:r w:rsidRPr="00443662">
        <w:rPr>
          <w:bCs/>
        </w:rPr>
        <w:t>ould be similar, if not identical, to Qwest’s Service Quality Performance Plan (SQPP) standards.</w:t>
      </w:r>
    </w:p>
    <w:p w:rsidR="005629DC" w:rsidRPr="00443662" w:rsidRDefault="005629DC" w:rsidP="001A05C6">
      <w:pPr>
        <w:pStyle w:val="ListParagraph"/>
        <w:numPr>
          <w:ilvl w:val="0"/>
          <w:numId w:val="39"/>
        </w:numPr>
        <w:ind w:hanging="720"/>
        <w:rPr>
          <w:bCs/>
        </w:rPr>
      </w:pPr>
      <w:r w:rsidRPr="00443662">
        <w:rPr>
          <w:bCs/>
        </w:rPr>
        <w:lastRenderedPageBreak/>
        <w:t xml:space="preserve">Frontier Northwest </w:t>
      </w:r>
      <w:r w:rsidR="00FD2157" w:rsidRPr="00443662">
        <w:rPr>
          <w:bCs/>
        </w:rPr>
        <w:t>must</w:t>
      </w:r>
      <w:r w:rsidRPr="00443662">
        <w:rPr>
          <w:bCs/>
        </w:rPr>
        <w:t xml:space="preserve"> submit an annual benchmark report card to its customers and the Commission.</w:t>
      </w:r>
    </w:p>
    <w:p w:rsidR="005629DC" w:rsidRPr="00443662" w:rsidRDefault="005629DC" w:rsidP="001A05C6">
      <w:pPr>
        <w:pStyle w:val="ListParagraph"/>
        <w:numPr>
          <w:ilvl w:val="0"/>
          <w:numId w:val="39"/>
        </w:numPr>
        <w:ind w:hanging="720"/>
        <w:rPr>
          <w:bCs/>
        </w:rPr>
      </w:pPr>
      <w:r w:rsidRPr="00443662">
        <w:rPr>
          <w:bCs/>
        </w:rPr>
        <w:t xml:space="preserve">Frontier Northwest </w:t>
      </w:r>
      <w:r w:rsidR="00FD2157" w:rsidRPr="00443662">
        <w:rPr>
          <w:bCs/>
        </w:rPr>
        <w:t>may</w:t>
      </w:r>
      <w:r w:rsidRPr="00443662">
        <w:rPr>
          <w:bCs/>
        </w:rPr>
        <w:t xml:space="preserve"> not seek to recover customer performance issue credits in future rate cases.</w:t>
      </w:r>
    </w:p>
    <w:p w:rsidR="00647EC5" w:rsidRPr="00443662" w:rsidRDefault="005629DC" w:rsidP="001A05C6">
      <w:pPr>
        <w:pStyle w:val="ListParagraph"/>
        <w:keepNext/>
        <w:numPr>
          <w:ilvl w:val="0"/>
          <w:numId w:val="39"/>
        </w:numPr>
        <w:ind w:hanging="720"/>
        <w:rPr>
          <w:b/>
          <w:bCs/>
        </w:rPr>
      </w:pPr>
      <w:r w:rsidRPr="00443662">
        <w:rPr>
          <w:bCs/>
        </w:rPr>
        <w:t xml:space="preserve">Frontier </w:t>
      </w:r>
      <w:r w:rsidR="00FD2157" w:rsidRPr="00443662">
        <w:rPr>
          <w:bCs/>
        </w:rPr>
        <w:t xml:space="preserve">must </w:t>
      </w:r>
      <w:r w:rsidRPr="00443662">
        <w:rPr>
          <w:bCs/>
        </w:rPr>
        <w:t>assume the terms of previous Commission orders affecting Verizon NW</w:t>
      </w:r>
      <w:r w:rsidR="00FD2157" w:rsidRPr="00443662">
        <w:rPr>
          <w:bCs/>
        </w:rPr>
        <w:t>, including</w:t>
      </w:r>
      <w:r w:rsidRPr="00443662">
        <w:rPr>
          <w:bCs/>
        </w:rPr>
        <w:t xml:space="preserve"> imputation of yellow page sale gain.</w:t>
      </w:r>
    </w:p>
    <w:p w:rsidR="005629DC" w:rsidRPr="00443662" w:rsidRDefault="005629DC" w:rsidP="005629DC">
      <w:pPr>
        <w:pStyle w:val="ListParagraph"/>
        <w:ind w:left="1890"/>
        <w:rPr>
          <w:bCs/>
        </w:rPr>
      </w:pPr>
    </w:p>
    <w:p w:rsidR="005629DC" w:rsidRDefault="005629DC" w:rsidP="005629DC">
      <w:pPr>
        <w:rPr>
          <w:bCs/>
        </w:rPr>
      </w:pPr>
    </w:p>
    <w:p w:rsidR="001A05C6" w:rsidRPr="00443662" w:rsidRDefault="001A05C6" w:rsidP="005629DC">
      <w:pPr>
        <w:rPr>
          <w:bCs/>
        </w:rPr>
      </w:pPr>
    </w:p>
    <w:p w:rsidR="005629DC" w:rsidRPr="00443662" w:rsidRDefault="005629DC" w:rsidP="005629DC">
      <w:pPr>
        <w:rPr>
          <w:b/>
          <w:bCs/>
        </w:rPr>
      </w:pPr>
      <w:r w:rsidRPr="00443662">
        <w:rPr>
          <w:b/>
          <w:bCs/>
        </w:rPr>
        <w:t>Q.</w:t>
      </w:r>
      <w:r w:rsidRPr="00443662">
        <w:rPr>
          <w:b/>
          <w:bCs/>
        </w:rPr>
        <w:tab/>
        <w:t>What conditions does Staff witness Rick Applegate recommend?</w:t>
      </w:r>
    </w:p>
    <w:p w:rsidR="00FD2157" w:rsidRPr="00443662" w:rsidRDefault="00FD2157" w:rsidP="005629DC">
      <w:pPr>
        <w:ind w:left="720" w:hanging="720"/>
        <w:rPr>
          <w:bCs/>
        </w:rPr>
      </w:pPr>
    </w:p>
    <w:p w:rsidR="005629DC" w:rsidRPr="00443662" w:rsidRDefault="005629DC" w:rsidP="001A05C6">
      <w:pPr>
        <w:spacing w:line="480" w:lineRule="auto"/>
        <w:ind w:left="720" w:hanging="720"/>
        <w:rPr>
          <w:bCs/>
        </w:rPr>
      </w:pPr>
      <w:r w:rsidRPr="00443662">
        <w:rPr>
          <w:bCs/>
        </w:rPr>
        <w:t>A.</w:t>
      </w:r>
      <w:r w:rsidRPr="00443662">
        <w:rPr>
          <w:bCs/>
        </w:rPr>
        <w:tab/>
        <w:t>Mr. Applegate recommends conditions relating to wholesale service quality. They are as follows:</w:t>
      </w:r>
    </w:p>
    <w:p w:rsidR="005629DC" w:rsidRPr="00443662" w:rsidRDefault="005629DC" w:rsidP="001A05C6">
      <w:pPr>
        <w:pStyle w:val="ListParagraph"/>
        <w:numPr>
          <w:ilvl w:val="0"/>
          <w:numId w:val="40"/>
        </w:numPr>
        <w:ind w:hanging="720"/>
        <w:rPr>
          <w:bCs/>
        </w:rPr>
      </w:pPr>
      <w:r w:rsidRPr="00443662">
        <w:rPr>
          <w:bCs/>
        </w:rPr>
        <w:t xml:space="preserve">Frontier Northwest </w:t>
      </w:r>
      <w:r w:rsidR="00FD2157" w:rsidRPr="00443662">
        <w:rPr>
          <w:bCs/>
        </w:rPr>
        <w:t>must</w:t>
      </w:r>
      <w:r w:rsidRPr="00443662">
        <w:rPr>
          <w:bCs/>
        </w:rPr>
        <w:t xml:space="preserve"> continue to offer the current interconnection and wholesale service offerings of Verizon NW for three years following the close date.</w:t>
      </w:r>
    </w:p>
    <w:p w:rsidR="005629DC" w:rsidRPr="00443662" w:rsidRDefault="005629DC" w:rsidP="001A05C6">
      <w:pPr>
        <w:pStyle w:val="ListParagraph"/>
        <w:numPr>
          <w:ilvl w:val="0"/>
          <w:numId w:val="40"/>
        </w:numPr>
        <w:ind w:hanging="720"/>
        <w:rPr>
          <w:bCs/>
        </w:rPr>
      </w:pPr>
      <w:r w:rsidRPr="00443662">
        <w:rPr>
          <w:bCs/>
        </w:rPr>
        <w:t xml:space="preserve">Frontier Northwest </w:t>
      </w:r>
      <w:r w:rsidR="00FD2157" w:rsidRPr="00443662">
        <w:rPr>
          <w:bCs/>
        </w:rPr>
        <w:t>must</w:t>
      </w:r>
      <w:r w:rsidRPr="00443662">
        <w:rPr>
          <w:bCs/>
        </w:rPr>
        <w:t xml:space="preserve"> participate in a Commission docket to set wholesale service quality standards for the various metrics contained the Joint Partial Settlement Agreement (JPSA). The docket will review the current standards and explore the merits of setting and executing remedies.</w:t>
      </w:r>
    </w:p>
    <w:p w:rsidR="005629DC" w:rsidRDefault="005629DC" w:rsidP="005629DC">
      <w:pPr>
        <w:rPr>
          <w:bCs/>
        </w:rPr>
      </w:pPr>
    </w:p>
    <w:p w:rsidR="001A05C6" w:rsidRDefault="001A05C6" w:rsidP="005629DC">
      <w:pPr>
        <w:rPr>
          <w:bCs/>
        </w:rPr>
      </w:pPr>
    </w:p>
    <w:p w:rsidR="001A05C6" w:rsidRPr="00443662" w:rsidRDefault="001A05C6" w:rsidP="005629DC">
      <w:pPr>
        <w:rPr>
          <w:bCs/>
        </w:rPr>
      </w:pPr>
    </w:p>
    <w:p w:rsidR="005629DC" w:rsidRPr="00443662" w:rsidRDefault="005629DC" w:rsidP="005629DC">
      <w:pPr>
        <w:rPr>
          <w:b/>
          <w:bCs/>
        </w:rPr>
      </w:pPr>
      <w:r w:rsidRPr="00443662">
        <w:rPr>
          <w:b/>
          <w:bCs/>
        </w:rPr>
        <w:t>Q</w:t>
      </w:r>
      <w:r w:rsidRPr="00443662">
        <w:rPr>
          <w:b/>
          <w:bCs/>
        </w:rPr>
        <w:tab/>
        <w:t>What conditions does Staff witness Jing Liu recommend?</w:t>
      </w:r>
    </w:p>
    <w:p w:rsidR="00FD2157" w:rsidRPr="00443662" w:rsidRDefault="00FD2157" w:rsidP="005629DC">
      <w:pPr>
        <w:rPr>
          <w:bCs/>
        </w:rPr>
      </w:pPr>
    </w:p>
    <w:p w:rsidR="005629DC" w:rsidRPr="00443662" w:rsidRDefault="005629DC" w:rsidP="005629DC">
      <w:pPr>
        <w:rPr>
          <w:bCs/>
        </w:rPr>
      </w:pPr>
      <w:r w:rsidRPr="00443662">
        <w:rPr>
          <w:bCs/>
        </w:rPr>
        <w:t>A.</w:t>
      </w:r>
      <w:r w:rsidRPr="00443662">
        <w:rPr>
          <w:bCs/>
        </w:rPr>
        <w:tab/>
        <w:t>Ms</w:t>
      </w:r>
      <w:r w:rsidR="00FD2157" w:rsidRPr="00443662">
        <w:rPr>
          <w:bCs/>
        </w:rPr>
        <w:t>.</w:t>
      </w:r>
      <w:r w:rsidRPr="00443662">
        <w:rPr>
          <w:bCs/>
        </w:rPr>
        <w:t xml:space="preserve"> Liu recommends that Frontier Northwest</w:t>
      </w:r>
      <w:r w:rsidR="00FD2157" w:rsidRPr="00443662">
        <w:rPr>
          <w:bCs/>
        </w:rPr>
        <w:t xml:space="preserve"> be required</w:t>
      </w:r>
      <w:r w:rsidRPr="00443662">
        <w:rPr>
          <w:bCs/>
        </w:rPr>
        <w:t xml:space="preserve"> to:</w:t>
      </w:r>
    </w:p>
    <w:p w:rsidR="005629DC" w:rsidRPr="00443662" w:rsidRDefault="005629DC" w:rsidP="005629DC">
      <w:pPr>
        <w:rPr>
          <w:bCs/>
        </w:rPr>
      </w:pPr>
    </w:p>
    <w:p w:rsidR="00647EC5" w:rsidRPr="00443662" w:rsidRDefault="005629DC" w:rsidP="001A05C6">
      <w:pPr>
        <w:pStyle w:val="ListParagraph"/>
        <w:numPr>
          <w:ilvl w:val="0"/>
          <w:numId w:val="44"/>
        </w:numPr>
        <w:ind w:left="1440" w:hanging="720"/>
        <w:rPr>
          <w:bCs/>
        </w:rPr>
      </w:pPr>
      <w:r w:rsidRPr="00443662">
        <w:rPr>
          <w:bCs/>
        </w:rPr>
        <w:t>provide broadband services to ninety five percent (95%) of its customers state-wide by the end of 2013 with annual milestones and with minimum speed capacity requirements;</w:t>
      </w:r>
    </w:p>
    <w:p w:rsidR="00647EC5" w:rsidRPr="00443662" w:rsidRDefault="005629DC" w:rsidP="001A05C6">
      <w:pPr>
        <w:pStyle w:val="NoSpacing"/>
        <w:numPr>
          <w:ilvl w:val="0"/>
          <w:numId w:val="44"/>
        </w:numPr>
        <w:ind w:left="1440" w:hanging="720"/>
        <w:rPr>
          <w:sz w:val="24"/>
          <w:szCs w:val="24"/>
        </w:rPr>
      </w:pPr>
      <w:r w:rsidRPr="00443662">
        <w:rPr>
          <w:sz w:val="24"/>
          <w:szCs w:val="24"/>
        </w:rPr>
        <w:t xml:space="preserve">provide broadband to 90 percent of its customers in each wire center classified in UNE Zones 3-5 by the end of 2013; </w:t>
      </w:r>
    </w:p>
    <w:p w:rsidR="00647EC5" w:rsidRPr="00443662" w:rsidRDefault="005629DC" w:rsidP="001A05C6">
      <w:pPr>
        <w:pStyle w:val="NoSpacing"/>
        <w:numPr>
          <w:ilvl w:val="0"/>
          <w:numId w:val="44"/>
        </w:numPr>
        <w:ind w:left="1440" w:hanging="720"/>
        <w:rPr>
          <w:sz w:val="24"/>
          <w:szCs w:val="24"/>
        </w:rPr>
      </w:pPr>
      <w:r w:rsidRPr="00443662">
        <w:rPr>
          <w:sz w:val="24"/>
          <w:szCs w:val="24"/>
        </w:rPr>
        <w:t xml:space="preserve">submit an initial broadband deployment plan within 90 days of merger approval and thereafter a progress report to the Commission annually; and </w:t>
      </w:r>
    </w:p>
    <w:p w:rsidR="00647EC5" w:rsidRPr="00443662" w:rsidRDefault="005629DC" w:rsidP="001A05C6">
      <w:pPr>
        <w:pStyle w:val="NoSpacing"/>
        <w:numPr>
          <w:ilvl w:val="0"/>
          <w:numId w:val="44"/>
        </w:numPr>
        <w:ind w:left="1440" w:hanging="720"/>
        <w:rPr>
          <w:sz w:val="24"/>
          <w:szCs w:val="24"/>
        </w:rPr>
      </w:pPr>
      <w:r w:rsidRPr="00443662">
        <w:rPr>
          <w:sz w:val="24"/>
          <w:szCs w:val="24"/>
        </w:rPr>
        <w:t xml:space="preserve">Make a stand-alone DSL offering available to consumers and continue to offer stand-alone DSL services at the current Verizon rates, terms and conditions for 12 months after the merger closing. </w:t>
      </w:r>
    </w:p>
    <w:p w:rsidR="005629DC" w:rsidRDefault="005629DC" w:rsidP="005629DC">
      <w:pPr>
        <w:rPr>
          <w:bCs/>
        </w:rPr>
      </w:pPr>
    </w:p>
    <w:p w:rsidR="001A05C6" w:rsidRPr="00443662" w:rsidRDefault="001A05C6" w:rsidP="005629DC">
      <w:pPr>
        <w:rPr>
          <w:bCs/>
        </w:rPr>
      </w:pPr>
    </w:p>
    <w:p w:rsidR="005629DC" w:rsidRPr="00443662" w:rsidRDefault="005629DC" w:rsidP="004354DC">
      <w:pPr>
        <w:spacing w:line="480" w:lineRule="auto"/>
        <w:rPr>
          <w:b/>
          <w:bCs/>
        </w:rPr>
      </w:pPr>
      <w:r w:rsidRPr="00443662">
        <w:rPr>
          <w:b/>
          <w:bCs/>
        </w:rPr>
        <w:t>Q.</w:t>
      </w:r>
      <w:r w:rsidRPr="00443662">
        <w:rPr>
          <w:b/>
          <w:bCs/>
        </w:rPr>
        <w:tab/>
        <w:t>What condition does Staff witness Suzanne Stillwell recommend?</w:t>
      </w:r>
    </w:p>
    <w:p w:rsidR="005629DC" w:rsidRPr="00443662" w:rsidRDefault="005629DC" w:rsidP="004354DC">
      <w:pPr>
        <w:spacing w:line="480" w:lineRule="auto"/>
        <w:ind w:left="720" w:hanging="720"/>
        <w:rPr>
          <w:b/>
          <w:bCs/>
        </w:rPr>
      </w:pPr>
      <w:r w:rsidRPr="00443662">
        <w:rPr>
          <w:bCs/>
        </w:rPr>
        <w:t>A.</w:t>
      </w:r>
      <w:r w:rsidRPr="00443662">
        <w:rPr>
          <w:bCs/>
        </w:rPr>
        <w:tab/>
        <w:t xml:space="preserve">Ms. Stillwell </w:t>
      </w:r>
      <w:r w:rsidR="00015E7C" w:rsidRPr="00443662">
        <w:rPr>
          <w:bCs/>
        </w:rPr>
        <w:t>recommends conditions</w:t>
      </w:r>
      <w:r w:rsidRPr="00443662">
        <w:rPr>
          <w:bCs/>
        </w:rPr>
        <w:t xml:space="preserve"> relating to the Washington Telephone Assistance Program</w:t>
      </w:r>
      <w:r w:rsidR="00015E7C" w:rsidRPr="00443662">
        <w:rPr>
          <w:bCs/>
        </w:rPr>
        <w:t>:</w:t>
      </w:r>
      <w:r w:rsidRPr="00443662">
        <w:rPr>
          <w:b/>
          <w:bCs/>
        </w:rPr>
        <w:t xml:space="preserve"> </w:t>
      </w:r>
    </w:p>
    <w:p w:rsidR="00647EC5" w:rsidRPr="00443662" w:rsidRDefault="00015E7C" w:rsidP="004354DC">
      <w:pPr>
        <w:ind w:left="1440" w:hanging="720"/>
      </w:pPr>
      <w:r w:rsidRPr="00443662">
        <w:lastRenderedPageBreak/>
        <w:t>1.</w:t>
      </w:r>
      <w:r w:rsidRPr="00443662">
        <w:tab/>
        <w:t>Frontier must provide a $75 credit to any WTAP-qualified customer that fails to receive the appropriate discount, credit, or waiver of the deposit, within the first bill cycle after application. This credit shall remain in place for three years following the transaction.</w:t>
      </w:r>
    </w:p>
    <w:p w:rsidR="00647EC5" w:rsidRPr="00443662" w:rsidRDefault="00015E7C" w:rsidP="004354DC">
      <w:pPr>
        <w:ind w:left="1440" w:hanging="720"/>
      </w:pPr>
      <w:r w:rsidRPr="00443662">
        <w:t>2.</w:t>
      </w:r>
      <w:r w:rsidRPr="00443662">
        <w:tab/>
        <w:t>Frontier must report to the Commission, every month for three years following the transfer, certain information pertaining to its processing of WTAP applications.</w:t>
      </w:r>
    </w:p>
    <w:p w:rsidR="00647EC5" w:rsidRPr="00443662" w:rsidRDefault="00647EC5" w:rsidP="004354DC">
      <w:pPr>
        <w:pStyle w:val="BodyText"/>
        <w:tabs>
          <w:tab w:val="center" w:pos="4680"/>
        </w:tabs>
        <w:autoSpaceDE/>
        <w:autoSpaceDN/>
        <w:adjustRightInd/>
        <w:spacing w:line="240" w:lineRule="auto"/>
        <w:ind w:left="1440" w:hanging="720"/>
        <w:rPr>
          <w:rFonts w:ascii="Times New Roman" w:hAnsi="Times New Roman"/>
          <w:b w:val="0"/>
          <w:sz w:val="24"/>
          <w:szCs w:val="24"/>
        </w:rPr>
      </w:pPr>
      <w:r w:rsidRPr="00443662">
        <w:rPr>
          <w:rFonts w:ascii="Times New Roman" w:hAnsi="Times New Roman"/>
          <w:b w:val="0"/>
          <w:sz w:val="24"/>
          <w:szCs w:val="24"/>
        </w:rPr>
        <w:t>3.</w:t>
      </w:r>
      <w:r w:rsidRPr="00443662">
        <w:rPr>
          <w:rFonts w:ascii="Times New Roman" w:hAnsi="Times New Roman"/>
          <w:b w:val="0"/>
          <w:sz w:val="24"/>
          <w:szCs w:val="24"/>
        </w:rPr>
        <w:tab/>
        <w:t xml:space="preserve">Frontier must provide clear scripts to its customer service and sales representatives so that each WTAP customer is aware of the restrictions of bundled service on WTAP credits. Further, this information should be clearly noted on its Web page and other marketing material. </w:t>
      </w:r>
    </w:p>
    <w:p w:rsidR="00015E7C" w:rsidRDefault="00015E7C" w:rsidP="00015E7C">
      <w:pPr>
        <w:pStyle w:val="BodyText"/>
        <w:tabs>
          <w:tab w:val="left" w:pos="360"/>
        </w:tabs>
        <w:ind w:left="720" w:hanging="720"/>
        <w:rPr>
          <w:b w:val="0"/>
        </w:rPr>
      </w:pPr>
    </w:p>
    <w:p w:rsidR="001A05C6" w:rsidRDefault="001A05C6" w:rsidP="00015E7C">
      <w:pPr>
        <w:pStyle w:val="BodyText"/>
        <w:tabs>
          <w:tab w:val="left" w:pos="360"/>
        </w:tabs>
        <w:ind w:left="720" w:hanging="720"/>
        <w:rPr>
          <w:b w:val="0"/>
        </w:rPr>
      </w:pPr>
    </w:p>
    <w:p w:rsidR="004354DC" w:rsidRPr="00443662" w:rsidRDefault="004354DC" w:rsidP="00015E7C">
      <w:pPr>
        <w:pStyle w:val="BodyText"/>
        <w:tabs>
          <w:tab w:val="left" w:pos="360"/>
        </w:tabs>
        <w:ind w:left="720" w:hanging="720"/>
        <w:rPr>
          <w:b w:val="0"/>
        </w:rPr>
      </w:pPr>
    </w:p>
    <w:p w:rsidR="005629DC" w:rsidRPr="00443662" w:rsidRDefault="005629DC" w:rsidP="005629DC">
      <w:pPr>
        <w:pStyle w:val="BodyTextIndent"/>
        <w:rPr>
          <w:b/>
          <w:bCs/>
        </w:rPr>
      </w:pPr>
      <w:r w:rsidRPr="00443662">
        <w:rPr>
          <w:b/>
          <w:bCs/>
        </w:rPr>
        <w:t>Q.</w:t>
      </w:r>
      <w:r w:rsidRPr="00443662">
        <w:rPr>
          <w:b/>
          <w:bCs/>
        </w:rPr>
        <w:tab/>
        <w:t>Does this conclude your testimony?</w:t>
      </w:r>
    </w:p>
    <w:p w:rsidR="00480AA1" w:rsidRPr="005629DC" w:rsidRDefault="005629DC" w:rsidP="005629DC">
      <w:pPr>
        <w:pStyle w:val="BodyTextIndent"/>
        <w:rPr>
          <w:b/>
          <w:bCs/>
        </w:rPr>
      </w:pPr>
      <w:r w:rsidRPr="00443662">
        <w:rPr>
          <w:bCs/>
        </w:rPr>
        <w:t>A.</w:t>
      </w:r>
      <w:r w:rsidRPr="00443662">
        <w:rPr>
          <w:bCs/>
        </w:rPr>
        <w:tab/>
        <w:t>Yes</w:t>
      </w:r>
      <w:r w:rsidR="00E857F3" w:rsidRPr="00443662">
        <w:rPr>
          <w:bCs/>
        </w:rPr>
        <w:t xml:space="preserve">, but I want to reiterate that Staff strongly encourages the Commission to deny the </w:t>
      </w:r>
      <w:r w:rsidR="00AD0054" w:rsidRPr="00443662">
        <w:rPr>
          <w:bCs/>
        </w:rPr>
        <w:t>A</w:t>
      </w:r>
      <w:r w:rsidR="00E857F3" w:rsidRPr="00443662">
        <w:rPr>
          <w:bCs/>
        </w:rPr>
        <w:t>pplication to transfer control to Frontier for the reasons previously cited.</w:t>
      </w:r>
      <w:r>
        <w:rPr>
          <w:b/>
          <w:bCs/>
        </w:rPr>
        <w:tab/>
      </w:r>
    </w:p>
    <w:p w:rsidR="00480AA1" w:rsidRDefault="00480AA1" w:rsidP="00480AA1">
      <w:pPr>
        <w:pStyle w:val="BodyTextIndent"/>
        <w:rPr>
          <w:b/>
          <w:bCs/>
        </w:rPr>
      </w:pPr>
    </w:p>
    <w:p w:rsidR="00480AA1" w:rsidRDefault="00480AA1" w:rsidP="00480AA1">
      <w:pPr>
        <w:pStyle w:val="BodyTextIndent"/>
        <w:rPr>
          <w:b/>
          <w:bCs/>
        </w:rPr>
      </w:pPr>
    </w:p>
    <w:p w:rsidR="003146D9" w:rsidRDefault="003146D9" w:rsidP="00863A1F">
      <w:pPr>
        <w:pStyle w:val="BodyTextIndent"/>
      </w:pPr>
    </w:p>
    <w:sectPr w:rsidR="003146D9" w:rsidSect="008C0634">
      <w:footerReference w:type="default" r:id="rId10"/>
      <w:pgSz w:w="12240" w:h="15840" w:code="1"/>
      <w:pgMar w:top="1440" w:right="1440" w:bottom="1440" w:left="1872" w:header="720" w:footer="432" w:gutter="0"/>
      <w:lnNumType w:countBy="1"/>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D49" w:rsidRDefault="002E1D49">
      <w:r>
        <w:separator/>
      </w:r>
    </w:p>
  </w:endnote>
  <w:endnote w:type="continuationSeparator" w:id="0">
    <w:p w:rsidR="002E1D49" w:rsidRDefault="002E1D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D49" w:rsidRPr="00D7765A" w:rsidRDefault="002E1D49" w:rsidP="00D7765A">
    <w:pPr>
      <w:pStyle w:val="Footer"/>
      <w:tabs>
        <w:tab w:val="clear" w:pos="4320"/>
        <w:tab w:val="clear" w:pos="8640"/>
        <w:tab w:val="right" w:pos="8820"/>
      </w:tabs>
      <w:rPr>
        <w:sz w:val="22"/>
        <w:szCs w:val="22"/>
      </w:rPr>
    </w:pPr>
    <w:r w:rsidRPr="00D7765A">
      <w:rPr>
        <w:sz w:val="22"/>
        <w:szCs w:val="22"/>
      </w:rPr>
      <w:t>TESTIMONY OF WILLIAM H. WEINMAN</w:t>
    </w:r>
    <w:r w:rsidRPr="00D7765A">
      <w:rPr>
        <w:sz w:val="22"/>
        <w:szCs w:val="22"/>
      </w:rPr>
      <w:tab/>
      <w:t>Exhibit No. ___ T (WHW-</w:t>
    </w:r>
    <w:proofErr w:type="spellStart"/>
    <w:r w:rsidRPr="00D7765A">
      <w:rPr>
        <w:sz w:val="22"/>
        <w:szCs w:val="22"/>
      </w:rPr>
      <w:t>1T</w:t>
    </w:r>
    <w:proofErr w:type="spellEnd"/>
    <w:r w:rsidRPr="00D7765A">
      <w:rPr>
        <w:sz w:val="22"/>
        <w:szCs w:val="22"/>
      </w:rPr>
      <w:t>)</w:t>
    </w:r>
  </w:p>
  <w:p w:rsidR="002E1D49" w:rsidRPr="00D7765A" w:rsidRDefault="002E1D49" w:rsidP="00D7765A">
    <w:pPr>
      <w:pStyle w:val="Footer"/>
      <w:tabs>
        <w:tab w:val="clear" w:pos="8640"/>
        <w:tab w:val="right" w:pos="8820"/>
      </w:tabs>
      <w:rPr>
        <w:rStyle w:val="PageNumber"/>
        <w:sz w:val="22"/>
        <w:szCs w:val="22"/>
        <w:lang w:val="fr-FR"/>
      </w:rPr>
    </w:pPr>
    <w:r w:rsidRPr="00D7765A">
      <w:rPr>
        <w:sz w:val="22"/>
        <w:szCs w:val="22"/>
      </w:rPr>
      <w:t>Docket UT-090842</w:t>
    </w:r>
    <w:r w:rsidRPr="00D7765A">
      <w:rPr>
        <w:sz w:val="22"/>
        <w:szCs w:val="22"/>
        <w:lang w:val="fr-FR"/>
      </w:rPr>
      <w:tab/>
    </w:r>
    <w:r w:rsidRPr="00D7765A">
      <w:rPr>
        <w:sz w:val="22"/>
        <w:szCs w:val="22"/>
        <w:lang w:val="fr-FR"/>
      </w:rPr>
      <w:tab/>
      <w:t xml:space="preserve">Page </w:t>
    </w:r>
    <w:r w:rsidR="008206BB" w:rsidRPr="00D7765A">
      <w:rPr>
        <w:rStyle w:val="PageNumber"/>
        <w:sz w:val="22"/>
        <w:szCs w:val="22"/>
      </w:rPr>
      <w:fldChar w:fldCharType="begin"/>
    </w:r>
    <w:r w:rsidRPr="00D7765A">
      <w:rPr>
        <w:rStyle w:val="PageNumber"/>
        <w:sz w:val="22"/>
        <w:szCs w:val="22"/>
        <w:lang w:val="fr-FR"/>
      </w:rPr>
      <w:instrText xml:space="preserve"> PAGE </w:instrText>
    </w:r>
    <w:r w:rsidR="008206BB" w:rsidRPr="00D7765A">
      <w:rPr>
        <w:rStyle w:val="PageNumber"/>
        <w:sz w:val="22"/>
        <w:szCs w:val="22"/>
      </w:rPr>
      <w:fldChar w:fldCharType="separate"/>
    </w:r>
    <w:r w:rsidR="004354DC">
      <w:rPr>
        <w:rStyle w:val="PageNumber"/>
        <w:noProof/>
        <w:sz w:val="22"/>
        <w:szCs w:val="22"/>
        <w:lang w:val="fr-FR"/>
      </w:rPr>
      <w:t>i</w:t>
    </w:r>
    <w:r w:rsidR="008206BB" w:rsidRPr="00D7765A">
      <w:rPr>
        <w:rStyle w:val="PageNumber"/>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D49" w:rsidRPr="00D7765A" w:rsidRDefault="002E1D49" w:rsidP="00D7765A">
    <w:pPr>
      <w:pStyle w:val="Footer"/>
      <w:tabs>
        <w:tab w:val="clear" w:pos="4320"/>
        <w:tab w:val="clear" w:pos="8640"/>
        <w:tab w:val="right" w:pos="8820"/>
      </w:tabs>
      <w:rPr>
        <w:sz w:val="22"/>
        <w:szCs w:val="22"/>
      </w:rPr>
    </w:pPr>
    <w:r w:rsidRPr="00D7765A">
      <w:rPr>
        <w:sz w:val="22"/>
        <w:szCs w:val="22"/>
      </w:rPr>
      <w:t>TESTIMONY OF WILLIAM H. WEINMAN</w:t>
    </w:r>
    <w:r w:rsidRPr="00D7765A">
      <w:rPr>
        <w:sz w:val="22"/>
        <w:szCs w:val="22"/>
      </w:rPr>
      <w:tab/>
      <w:t>Exhibit No. ___ T (WHW-</w:t>
    </w:r>
    <w:proofErr w:type="spellStart"/>
    <w:r w:rsidRPr="00D7765A">
      <w:rPr>
        <w:sz w:val="22"/>
        <w:szCs w:val="22"/>
      </w:rPr>
      <w:t>1T</w:t>
    </w:r>
    <w:proofErr w:type="spellEnd"/>
    <w:r w:rsidRPr="00D7765A">
      <w:rPr>
        <w:sz w:val="22"/>
        <w:szCs w:val="22"/>
      </w:rPr>
      <w:t>)</w:t>
    </w:r>
  </w:p>
  <w:p w:rsidR="002E1D49" w:rsidRPr="00D7765A" w:rsidRDefault="002E1D49" w:rsidP="00D7765A">
    <w:pPr>
      <w:pStyle w:val="Footer"/>
      <w:tabs>
        <w:tab w:val="clear" w:pos="8640"/>
        <w:tab w:val="right" w:pos="8820"/>
      </w:tabs>
      <w:rPr>
        <w:rStyle w:val="PageNumber"/>
        <w:sz w:val="22"/>
        <w:szCs w:val="22"/>
        <w:lang w:val="fr-FR"/>
      </w:rPr>
    </w:pPr>
    <w:r w:rsidRPr="00D7765A">
      <w:rPr>
        <w:sz w:val="22"/>
        <w:szCs w:val="22"/>
      </w:rPr>
      <w:t>Docket UT-090842</w:t>
    </w:r>
    <w:r w:rsidRPr="00D7765A">
      <w:rPr>
        <w:sz w:val="22"/>
        <w:szCs w:val="22"/>
        <w:lang w:val="fr-FR"/>
      </w:rPr>
      <w:tab/>
    </w:r>
    <w:r w:rsidRPr="00D7765A">
      <w:rPr>
        <w:sz w:val="22"/>
        <w:szCs w:val="22"/>
        <w:lang w:val="fr-FR"/>
      </w:rPr>
      <w:tab/>
      <w:t xml:space="preserve">Page </w:t>
    </w:r>
    <w:r w:rsidR="008206BB" w:rsidRPr="00D7765A">
      <w:rPr>
        <w:rStyle w:val="PageNumber"/>
        <w:sz w:val="22"/>
        <w:szCs w:val="22"/>
      </w:rPr>
      <w:fldChar w:fldCharType="begin"/>
    </w:r>
    <w:r w:rsidRPr="00D7765A">
      <w:rPr>
        <w:rStyle w:val="PageNumber"/>
        <w:sz w:val="22"/>
        <w:szCs w:val="22"/>
        <w:lang w:val="fr-FR"/>
      </w:rPr>
      <w:instrText xml:space="preserve"> PAGE </w:instrText>
    </w:r>
    <w:r w:rsidR="008206BB" w:rsidRPr="00D7765A">
      <w:rPr>
        <w:rStyle w:val="PageNumber"/>
        <w:sz w:val="22"/>
        <w:szCs w:val="22"/>
      </w:rPr>
      <w:fldChar w:fldCharType="separate"/>
    </w:r>
    <w:r w:rsidR="004354DC">
      <w:rPr>
        <w:rStyle w:val="PageNumber"/>
        <w:noProof/>
        <w:sz w:val="22"/>
        <w:szCs w:val="22"/>
        <w:lang w:val="fr-FR"/>
      </w:rPr>
      <w:t>ii</w:t>
    </w:r>
    <w:r w:rsidR="008206BB" w:rsidRPr="00D7765A">
      <w:rPr>
        <w:rStyle w:val="PageNumber"/>
        <w:sz w:val="22"/>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D49" w:rsidRPr="00D7765A" w:rsidRDefault="002E1D49" w:rsidP="00D7765A">
    <w:pPr>
      <w:pStyle w:val="Footer"/>
      <w:tabs>
        <w:tab w:val="clear" w:pos="4320"/>
        <w:tab w:val="clear" w:pos="8640"/>
        <w:tab w:val="right" w:pos="8820"/>
      </w:tabs>
      <w:rPr>
        <w:sz w:val="22"/>
        <w:szCs w:val="22"/>
      </w:rPr>
    </w:pPr>
    <w:r w:rsidRPr="00D7765A">
      <w:rPr>
        <w:sz w:val="22"/>
        <w:szCs w:val="22"/>
      </w:rPr>
      <w:t>TESTIMONY OF WILLIAM H. WEINMAN</w:t>
    </w:r>
    <w:r w:rsidRPr="00D7765A">
      <w:rPr>
        <w:sz w:val="22"/>
        <w:szCs w:val="22"/>
      </w:rPr>
      <w:tab/>
      <w:t>Exhibit No. ___ T (WHW-</w:t>
    </w:r>
    <w:proofErr w:type="spellStart"/>
    <w:r w:rsidRPr="00D7765A">
      <w:rPr>
        <w:sz w:val="22"/>
        <w:szCs w:val="22"/>
      </w:rPr>
      <w:t>1T</w:t>
    </w:r>
    <w:proofErr w:type="spellEnd"/>
    <w:r w:rsidRPr="00D7765A">
      <w:rPr>
        <w:sz w:val="22"/>
        <w:szCs w:val="22"/>
      </w:rPr>
      <w:t>)</w:t>
    </w:r>
  </w:p>
  <w:p w:rsidR="002E1D49" w:rsidRPr="00D7765A" w:rsidRDefault="002E1D49" w:rsidP="00D7765A">
    <w:pPr>
      <w:pStyle w:val="Footer"/>
      <w:tabs>
        <w:tab w:val="clear" w:pos="8640"/>
        <w:tab w:val="right" w:pos="8820"/>
      </w:tabs>
      <w:rPr>
        <w:rStyle w:val="PageNumber"/>
        <w:sz w:val="22"/>
        <w:szCs w:val="22"/>
        <w:lang w:val="fr-FR"/>
      </w:rPr>
    </w:pPr>
    <w:r w:rsidRPr="00D7765A">
      <w:rPr>
        <w:sz w:val="22"/>
        <w:szCs w:val="22"/>
      </w:rPr>
      <w:t>Docket UT-090842</w:t>
    </w:r>
    <w:r w:rsidRPr="00D7765A">
      <w:rPr>
        <w:sz w:val="22"/>
        <w:szCs w:val="22"/>
        <w:lang w:val="fr-FR"/>
      </w:rPr>
      <w:tab/>
    </w:r>
    <w:r w:rsidRPr="00D7765A">
      <w:rPr>
        <w:sz w:val="22"/>
        <w:szCs w:val="22"/>
        <w:lang w:val="fr-FR"/>
      </w:rPr>
      <w:tab/>
      <w:t xml:space="preserve">Page </w:t>
    </w:r>
    <w:r w:rsidR="008206BB" w:rsidRPr="00D7765A">
      <w:rPr>
        <w:rStyle w:val="PageNumber"/>
        <w:sz w:val="22"/>
        <w:szCs w:val="22"/>
      </w:rPr>
      <w:fldChar w:fldCharType="begin"/>
    </w:r>
    <w:r w:rsidRPr="00D7765A">
      <w:rPr>
        <w:rStyle w:val="PageNumber"/>
        <w:sz w:val="22"/>
        <w:szCs w:val="22"/>
        <w:lang w:val="fr-FR"/>
      </w:rPr>
      <w:instrText xml:space="preserve"> PAGE </w:instrText>
    </w:r>
    <w:r w:rsidR="008206BB" w:rsidRPr="00D7765A">
      <w:rPr>
        <w:rStyle w:val="PageNumber"/>
        <w:sz w:val="22"/>
        <w:szCs w:val="22"/>
      </w:rPr>
      <w:fldChar w:fldCharType="separate"/>
    </w:r>
    <w:r w:rsidR="002C04BF">
      <w:rPr>
        <w:rStyle w:val="PageNumber"/>
        <w:noProof/>
        <w:sz w:val="22"/>
        <w:szCs w:val="22"/>
        <w:lang w:val="fr-FR"/>
      </w:rPr>
      <w:t>29</w:t>
    </w:r>
    <w:r w:rsidR="008206BB" w:rsidRPr="00D7765A">
      <w:rPr>
        <w:rStyle w:val="PageNumber"/>
        <w:sz w:val="22"/>
        <w:szCs w:val="22"/>
      </w:rPr>
      <w:fldChar w:fldCharType="end"/>
    </w:r>
  </w:p>
  <w:p w:rsidR="002E1D49" w:rsidRPr="00D7765A" w:rsidRDefault="002E1D49">
    <w:pPr>
      <w:pStyle w:val="Footer"/>
      <w:jc w:val="center"/>
      <w:rPr>
        <w:sz w:val="22"/>
        <w:szCs w:val="22"/>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D49" w:rsidRDefault="002E1D49">
      <w:r>
        <w:separator/>
      </w:r>
    </w:p>
  </w:footnote>
  <w:footnote w:type="continuationSeparator" w:id="0">
    <w:p w:rsidR="002E1D49" w:rsidRDefault="002E1D49">
      <w:r>
        <w:continuationSeparator/>
      </w:r>
    </w:p>
  </w:footnote>
  <w:footnote w:id="1">
    <w:p w:rsidR="002E1D49" w:rsidRDefault="002E1D49">
      <w:pPr>
        <w:pStyle w:val="FootnoteText"/>
      </w:pPr>
      <w:r>
        <w:rPr>
          <w:rStyle w:val="FootnoteReference"/>
        </w:rPr>
        <w:footnoteRef/>
      </w:r>
      <w:r>
        <w:t xml:space="preserve"> Frontier Project North – Presentation to Board of Directors, May 12, 2009. </w:t>
      </w:r>
    </w:p>
  </w:footnote>
  <w:footnote w:id="2">
    <w:p w:rsidR="002E1D49" w:rsidRDefault="002E1D49">
      <w:pPr>
        <w:pStyle w:val="FootnoteText"/>
      </w:pPr>
      <w:r>
        <w:rPr>
          <w:rStyle w:val="FootnoteReference"/>
        </w:rPr>
        <w:footnoteRef/>
      </w:r>
      <w:r>
        <w:t xml:space="preserve"> Highly Confidential: </w:t>
      </w:r>
      <w:r w:rsidRPr="00D77E0B">
        <w:t>Project North – Expense Synergy Analysis Overview</w:t>
      </w:r>
      <w:r>
        <w:t>.</w:t>
      </w:r>
    </w:p>
  </w:footnote>
  <w:footnote w:id="3">
    <w:p w:rsidR="002E1D49" w:rsidRDefault="002E1D49">
      <w:pPr>
        <w:pStyle w:val="FootnoteText"/>
      </w:pPr>
      <w:r>
        <w:rPr>
          <w:rStyle w:val="FootnoteReference"/>
        </w:rPr>
        <w:footnoteRef/>
      </w:r>
      <w:r>
        <w:t xml:space="preserve"> </w:t>
      </w:r>
      <w:r w:rsidRPr="006045C9">
        <w:rPr>
          <w:i/>
        </w:rPr>
        <w:t>Id.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4"/>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b/>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2DC597F"/>
    <w:multiLevelType w:val="hybridMultilevel"/>
    <w:tmpl w:val="6ABC2C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353183"/>
    <w:multiLevelType w:val="hybridMultilevel"/>
    <w:tmpl w:val="777076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B2307A"/>
    <w:multiLevelType w:val="hybridMultilevel"/>
    <w:tmpl w:val="2DE64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617B88"/>
    <w:multiLevelType w:val="hybridMultilevel"/>
    <w:tmpl w:val="1A02230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9860192"/>
    <w:multiLevelType w:val="hybridMultilevel"/>
    <w:tmpl w:val="C8026F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9A11BE3"/>
    <w:multiLevelType w:val="hybridMultilevel"/>
    <w:tmpl w:val="075A5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B167F95"/>
    <w:multiLevelType w:val="hybridMultilevel"/>
    <w:tmpl w:val="0AC43F7E"/>
    <w:lvl w:ilvl="0" w:tplc="3EF82864">
      <w:start w:val="1"/>
      <w:numFmt w:val="lowerLetter"/>
      <w:lvlText w:val="%1."/>
      <w:lvlJc w:val="left"/>
      <w:pPr>
        <w:ind w:left="1487" w:hanging="360"/>
      </w:pPr>
      <w:rPr>
        <w:rFonts w:ascii="Times New Roman" w:eastAsiaTheme="minorHAnsi" w:hAnsi="Times New Roman" w:cs="Times New Roman"/>
      </w:rPr>
    </w:lvl>
    <w:lvl w:ilvl="1" w:tplc="04090019">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8">
    <w:nsid w:val="0CBB1F19"/>
    <w:multiLevelType w:val="hybridMultilevel"/>
    <w:tmpl w:val="6234F8C0"/>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9">
    <w:nsid w:val="0D704533"/>
    <w:multiLevelType w:val="hybridMultilevel"/>
    <w:tmpl w:val="EB5A64F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7526319"/>
    <w:multiLevelType w:val="hybridMultilevel"/>
    <w:tmpl w:val="CC6005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96617FC"/>
    <w:multiLevelType w:val="hybridMultilevel"/>
    <w:tmpl w:val="8BFA8702"/>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2">
    <w:nsid w:val="1B0E2AB6"/>
    <w:multiLevelType w:val="hybridMultilevel"/>
    <w:tmpl w:val="384ACC5C"/>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C32D32"/>
    <w:multiLevelType w:val="hybridMultilevel"/>
    <w:tmpl w:val="004487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0714F85"/>
    <w:multiLevelType w:val="hybridMultilevel"/>
    <w:tmpl w:val="E0EEA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EC2C93"/>
    <w:multiLevelType w:val="hybridMultilevel"/>
    <w:tmpl w:val="2E7EFF32"/>
    <w:lvl w:ilvl="0" w:tplc="9B14B4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A75264"/>
    <w:multiLevelType w:val="hybridMultilevel"/>
    <w:tmpl w:val="6928BD8A"/>
    <w:lvl w:ilvl="0" w:tplc="0409000F">
      <w:start w:val="1"/>
      <w:numFmt w:val="decimal"/>
      <w:lvlText w:val="%1."/>
      <w:lvlJc w:val="left"/>
      <w:pPr>
        <w:ind w:left="1800" w:hanging="360"/>
      </w:pPr>
    </w:lvl>
    <w:lvl w:ilvl="1" w:tplc="04090019">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17">
    <w:nsid w:val="2BED603E"/>
    <w:multiLevelType w:val="hybridMultilevel"/>
    <w:tmpl w:val="7F22B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D1052E"/>
    <w:multiLevelType w:val="hybridMultilevel"/>
    <w:tmpl w:val="BBCADF30"/>
    <w:lvl w:ilvl="0" w:tplc="C6705676">
      <w:start w:val="1"/>
      <w:numFmt w:val="upperLetter"/>
      <w:lvlText w:val="%1."/>
      <w:lvlJc w:val="left"/>
      <w:pPr>
        <w:ind w:left="9810" w:hanging="360"/>
      </w:pPr>
      <w:rPr>
        <w:rFonts w:hint="default"/>
        <w:b w:val="0"/>
      </w:rPr>
    </w:lvl>
    <w:lvl w:ilvl="1" w:tplc="04090019" w:tentative="1">
      <w:start w:val="1"/>
      <w:numFmt w:val="lowerLetter"/>
      <w:lvlText w:val="%2."/>
      <w:lvlJc w:val="left"/>
      <w:pPr>
        <w:ind w:left="10530" w:hanging="360"/>
      </w:pPr>
    </w:lvl>
    <w:lvl w:ilvl="2" w:tplc="0409001B" w:tentative="1">
      <w:start w:val="1"/>
      <w:numFmt w:val="lowerRoman"/>
      <w:lvlText w:val="%3."/>
      <w:lvlJc w:val="right"/>
      <w:pPr>
        <w:ind w:left="11250" w:hanging="180"/>
      </w:pPr>
    </w:lvl>
    <w:lvl w:ilvl="3" w:tplc="0409000F" w:tentative="1">
      <w:start w:val="1"/>
      <w:numFmt w:val="decimal"/>
      <w:lvlText w:val="%4."/>
      <w:lvlJc w:val="left"/>
      <w:pPr>
        <w:ind w:left="11970" w:hanging="360"/>
      </w:pPr>
    </w:lvl>
    <w:lvl w:ilvl="4" w:tplc="04090019" w:tentative="1">
      <w:start w:val="1"/>
      <w:numFmt w:val="lowerLetter"/>
      <w:lvlText w:val="%5."/>
      <w:lvlJc w:val="left"/>
      <w:pPr>
        <w:ind w:left="12690" w:hanging="360"/>
      </w:pPr>
    </w:lvl>
    <w:lvl w:ilvl="5" w:tplc="0409001B" w:tentative="1">
      <w:start w:val="1"/>
      <w:numFmt w:val="lowerRoman"/>
      <w:lvlText w:val="%6."/>
      <w:lvlJc w:val="right"/>
      <w:pPr>
        <w:ind w:left="13410" w:hanging="180"/>
      </w:pPr>
    </w:lvl>
    <w:lvl w:ilvl="6" w:tplc="0409000F" w:tentative="1">
      <w:start w:val="1"/>
      <w:numFmt w:val="decimal"/>
      <w:lvlText w:val="%7."/>
      <w:lvlJc w:val="left"/>
      <w:pPr>
        <w:ind w:left="14130" w:hanging="360"/>
      </w:pPr>
    </w:lvl>
    <w:lvl w:ilvl="7" w:tplc="04090019" w:tentative="1">
      <w:start w:val="1"/>
      <w:numFmt w:val="lowerLetter"/>
      <w:lvlText w:val="%8."/>
      <w:lvlJc w:val="left"/>
      <w:pPr>
        <w:ind w:left="14850" w:hanging="360"/>
      </w:pPr>
    </w:lvl>
    <w:lvl w:ilvl="8" w:tplc="0409001B" w:tentative="1">
      <w:start w:val="1"/>
      <w:numFmt w:val="lowerRoman"/>
      <w:lvlText w:val="%9."/>
      <w:lvlJc w:val="right"/>
      <w:pPr>
        <w:ind w:left="15570" w:hanging="180"/>
      </w:pPr>
    </w:lvl>
  </w:abstractNum>
  <w:abstractNum w:abstractNumId="19">
    <w:nsid w:val="2CF32B5E"/>
    <w:multiLevelType w:val="hybridMultilevel"/>
    <w:tmpl w:val="975074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1530A4"/>
    <w:multiLevelType w:val="hybridMultilevel"/>
    <w:tmpl w:val="6DBE8F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21A5E16"/>
    <w:multiLevelType w:val="hybridMultilevel"/>
    <w:tmpl w:val="0CC09CC4"/>
    <w:lvl w:ilvl="0" w:tplc="80245786">
      <w:start w:val="3"/>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24409C6"/>
    <w:multiLevelType w:val="hybridMultilevel"/>
    <w:tmpl w:val="25F0E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B80591"/>
    <w:multiLevelType w:val="hybridMultilevel"/>
    <w:tmpl w:val="2E7EFF32"/>
    <w:lvl w:ilvl="0" w:tplc="9B14B4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700756"/>
    <w:multiLevelType w:val="hybridMultilevel"/>
    <w:tmpl w:val="987691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C92FCB"/>
    <w:multiLevelType w:val="hybridMultilevel"/>
    <w:tmpl w:val="A634C032"/>
    <w:lvl w:ilvl="0" w:tplc="B406F3D6">
      <w:start w:val="1"/>
      <w:numFmt w:val="lowerLetter"/>
      <w:lvlText w:val="%1."/>
      <w:lvlJc w:val="left"/>
      <w:pPr>
        <w:ind w:left="2625" w:hanging="360"/>
      </w:pPr>
      <w:rPr>
        <w:b w:val="0"/>
      </w:rPr>
    </w:lvl>
    <w:lvl w:ilvl="1" w:tplc="04090019" w:tentative="1">
      <w:start w:val="1"/>
      <w:numFmt w:val="lowerLetter"/>
      <w:lvlText w:val="%2."/>
      <w:lvlJc w:val="left"/>
      <w:pPr>
        <w:ind w:left="3345" w:hanging="360"/>
      </w:pPr>
    </w:lvl>
    <w:lvl w:ilvl="2" w:tplc="0409001B" w:tentative="1">
      <w:start w:val="1"/>
      <w:numFmt w:val="lowerRoman"/>
      <w:lvlText w:val="%3."/>
      <w:lvlJc w:val="right"/>
      <w:pPr>
        <w:ind w:left="4065" w:hanging="180"/>
      </w:pPr>
    </w:lvl>
    <w:lvl w:ilvl="3" w:tplc="0409000F" w:tentative="1">
      <w:start w:val="1"/>
      <w:numFmt w:val="decimal"/>
      <w:lvlText w:val="%4."/>
      <w:lvlJc w:val="left"/>
      <w:pPr>
        <w:ind w:left="4785" w:hanging="360"/>
      </w:pPr>
    </w:lvl>
    <w:lvl w:ilvl="4" w:tplc="04090019" w:tentative="1">
      <w:start w:val="1"/>
      <w:numFmt w:val="lowerLetter"/>
      <w:lvlText w:val="%5."/>
      <w:lvlJc w:val="left"/>
      <w:pPr>
        <w:ind w:left="5505" w:hanging="360"/>
      </w:pPr>
    </w:lvl>
    <w:lvl w:ilvl="5" w:tplc="0409001B" w:tentative="1">
      <w:start w:val="1"/>
      <w:numFmt w:val="lowerRoman"/>
      <w:lvlText w:val="%6."/>
      <w:lvlJc w:val="right"/>
      <w:pPr>
        <w:ind w:left="6225" w:hanging="180"/>
      </w:pPr>
    </w:lvl>
    <w:lvl w:ilvl="6" w:tplc="0409000F" w:tentative="1">
      <w:start w:val="1"/>
      <w:numFmt w:val="decimal"/>
      <w:lvlText w:val="%7."/>
      <w:lvlJc w:val="left"/>
      <w:pPr>
        <w:ind w:left="6945" w:hanging="360"/>
      </w:pPr>
    </w:lvl>
    <w:lvl w:ilvl="7" w:tplc="04090019" w:tentative="1">
      <w:start w:val="1"/>
      <w:numFmt w:val="lowerLetter"/>
      <w:lvlText w:val="%8."/>
      <w:lvlJc w:val="left"/>
      <w:pPr>
        <w:ind w:left="7665" w:hanging="360"/>
      </w:pPr>
    </w:lvl>
    <w:lvl w:ilvl="8" w:tplc="0409001B" w:tentative="1">
      <w:start w:val="1"/>
      <w:numFmt w:val="lowerRoman"/>
      <w:lvlText w:val="%9."/>
      <w:lvlJc w:val="right"/>
      <w:pPr>
        <w:ind w:left="8385" w:hanging="180"/>
      </w:pPr>
    </w:lvl>
  </w:abstractNum>
  <w:abstractNum w:abstractNumId="26">
    <w:nsid w:val="40AC511F"/>
    <w:multiLevelType w:val="hybridMultilevel"/>
    <w:tmpl w:val="6422CE56"/>
    <w:lvl w:ilvl="0" w:tplc="67349C00">
      <w:start w:val="1"/>
      <w:numFmt w:val="decimal"/>
      <w:lvlText w:val="%1."/>
      <w:lvlJc w:val="left"/>
      <w:pPr>
        <w:ind w:left="108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8220A35"/>
    <w:multiLevelType w:val="hybridMultilevel"/>
    <w:tmpl w:val="9C96C02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8">
    <w:nsid w:val="48843C62"/>
    <w:multiLevelType w:val="hybridMultilevel"/>
    <w:tmpl w:val="3B3E2DA0"/>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nsid w:val="4A0610A5"/>
    <w:multiLevelType w:val="hybridMultilevel"/>
    <w:tmpl w:val="8926FB2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0">
    <w:nsid w:val="4E7C2B9E"/>
    <w:multiLevelType w:val="hybridMultilevel"/>
    <w:tmpl w:val="2A182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B2330B"/>
    <w:multiLevelType w:val="hybridMultilevel"/>
    <w:tmpl w:val="0B10A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08701EC"/>
    <w:multiLevelType w:val="hybridMultilevel"/>
    <w:tmpl w:val="E146C9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0C13A55"/>
    <w:multiLevelType w:val="singleLevel"/>
    <w:tmpl w:val="3F64702E"/>
    <w:lvl w:ilvl="0">
      <w:start w:val="17"/>
      <w:numFmt w:val="upperLetter"/>
      <w:lvlText w:val="%1."/>
      <w:lvlJc w:val="left"/>
      <w:pPr>
        <w:tabs>
          <w:tab w:val="num" w:pos="720"/>
        </w:tabs>
        <w:ind w:left="720" w:hanging="720"/>
      </w:pPr>
      <w:rPr>
        <w:rFonts w:hint="default"/>
      </w:rPr>
    </w:lvl>
  </w:abstractNum>
  <w:abstractNum w:abstractNumId="34">
    <w:nsid w:val="5D7D4D3F"/>
    <w:multiLevelType w:val="hybridMultilevel"/>
    <w:tmpl w:val="7A3E1B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E1E7E65"/>
    <w:multiLevelType w:val="hybridMultilevel"/>
    <w:tmpl w:val="A8D45EE2"/>
    <w:lvl w:ilvl="0" w:tplc="0409001B">
      <w:start w:val="1"/>
      <w:numFmt w:val="lowerRoman"/>
      <w:lvlText w:val="%1."/>
      <w:lvlJc w:val="right"/>
      <w:pPr>
        <w:ind w:left="2925" w:hanging="360"/>
      </w:pPr>
    </w:lvl>
    <w:lvl w:ilvl="1" w:tplc="6A9C80F0">
      <w:start w:val="1"/>
      <w:numFmt w:val="upperLetter"/>
      <w:lvlText w:val="%2."/>
      <w:lvlJc w:val="left"/>
      <w:pPr>
        <w:ind w:left="4725" w:hanging="1440"/>
      </w:pPr>
      <w:rPr>
        <w:rFonts w:hint="default"/>
      </w:rPr>
    </w:lvl>
    <w:lvl w:ilvl="2" w:tplc="0409001B" w:tentative="1">
      <w:start w:val="1"/>
      <w:numFmt w:val="lowerRoman"/>
      <w:lvlText w:val="%3."/>
      <w:lvlJc w:val="right"/>
      <w:pPr>
        <w:ind w:left="4365" w:hanging="180"/>
      </w:pPr>
    </w:lvl>
    <w:lvl w:ilvl="3" w:tplc="0409000F" w:tentative="1">
      <w:start w:val="1"/>
      <w:numFmt w:val="decimal"/>
      <w:lvlText w:val="%4."/>
      <w:lvlJc w:val="left"/>
      <w:pPr>
        <w:ind w:left="5085" w:hanging="360"/>
      </w:pPr>
    </w:lvl>
    <w:lvl w:ilvl="4" w:tplc="04090019" w:tentative="1">
      <w:start w:val="1"/>
      <w:numFmt w:val="lowerLetter"/>
      <w:lvlText w:val="%5."/>
      <w:lvlJc w:val="left"/>
      <w:pPr>
        <w:ind w:left="5805" w:hanging="360"/>
      </w:pPr>
    </w:lvl>
    <w:lvl w:ilvl="5" w:tplc="0409001B" w:tentative="1">
      <w:start w:val="1"/>
      <w:numFmt w:val="lowerRoman"/>
      <w:lvlText w:val="%6."/>
      <w:lvlJc w:val="right"/>
      <w:pPr>
        <w:ind w:left="6525" w:hanging="180"/>
      </w:pPr>
    </w:lvl>
    <w:lvl w:ilvl="6" w:tplc="0409000F" w:tentative="1">
      <w:start w:val="1"/>
      <w:numFmt w:val="decimal"/>
      <w:lvlText w:val="%7."/>
      <w:lvlJc w:val="left"/>
      <w:pPr>
        <w:ind w:left="7245" w:hanging="360"/>
      </w:pPr>
    </w:lvl>
    <w:lvl w:ilvl="7" w:tplc="04090019" w:tentative="1">
      <w:start w:val="1"/>
      <w:numFmt w:val="lowerLetter"/>
      <w:lvlText w:val="%8."/>
      <w:lvlJc w:val="left"/>
      <w:pPr>
        <w:ind w:left="7965" w:hanging="360"/>
      </w:pPr>
    </w:lvl>
    <w:lvl w:ilvl="8" w:tplc="0409001B" w:tentative="1">
      <w:start w:val="1"/>
      <w:numFmt w:val="lowerRoman"/>
      <w:lvlText w:val="%9."/>
      <w:lvlJc w:val="right"/>
      <w:pPr>
        <w:ind w:left="8685" w:hanging="180"/>
      </w:pPr>
    </w:lvl>
  </w:abstractNum>
  <w:abstractNum w:abstractNumId="36">
    <w:nsid w:val="65215CDA"/>
    <w:multiLevelType w:val="hybridMultilevel"/>
    <w:tmpl w:val="37227226"/>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C42705"/>
    <w:multiLevelType w:val="multilevel"/>
    <w:tmpl w:val="AF422406"/>
    <w:lvl w:ilvl="0">
      <w:start w:val="1"/>
      <w:numFmt w:val="decimal"/>
      <w:pStyle w:val="Int3ATMText"/>
      <w:lvlText w:val="%1."/>
      <w:lvlJc w:val="left"/>
      <w:pPr>
        <w:tabs>
          <w:tab w:val="num" w:pos="360"/>
        </w:tabs>
        <w:ind w:left="360" w:hanging="360"/>
      </w:pPr>
      <w:rPr>
        <w:rFonts w:hint="default"/>
      </w:rPr>
    </w:lvl>
    <w:lvl w:ilvl="1">
      <w:start w:val="1"/>
      <w:numFmt w:val="bullet"/>
      <w:lvlText w:val=""/>
      <w:lvlJc w:val="left"/>
      <w:pPr>
        <w:tabs>
          <w:tab w:val="num" w:pos="720"/>
        </w:tabs>
        <w:ind w:left="547" w:hanging="187"/>
      </w:pPr>
      <w:rPr>
        <w:rFonts w:ascii="Symbol" w:hAnsi="Symbol" w:hint="default"/>
        <w:b w:val="0"/>
        <w:i w:val="0"/>
        <w:sz w:val="23"/>
      </w:rPr>
    </w:lvl>
    <w:lvl w:ilvl="2">
      <w:start w:val="1"/>
      <w:numFmt w:val="bullet"/>
      <w:lvlText w:val=""/>
      <w:lvlJc w:val="left"/>
      <w:pPr>
        <w:tabs>
          <w:tab w:val="num" w:pos="907"/>
        </w:tabs>
        <w:ind w:left="878" w:hanging="331"/>
      </w:pPr>
      <w:rPr>
        <w:rFonts w:ascii="Symbol" w:hAnsi="Symbol" w:hint="default"/>
        <w:b w:val="0"/>
        <w:i w:val="0"/>
        <w:sz w:val="23"/>
      </w:rPr>
    </w:lvl>
    <w:lvl w:ilvl="3">
      <w:start w:val="1"/>
      <w:numFmt w:val="none"/>
      <w:lvlText w:val=""/>
      <w:lvlJc w:val="left"/>
      <w:pPr>
        <w:tabs>
          <w:tab w:val="num" w:pos="1440"/>
        </w:tabs>
        <w:ind w:left="1440" w:hanging="360"/>
      </w:pPr>
      <w:rPr>
        <w:rFonts w:hint="default"/>
      </w:rPr>
    </w:lvl>
    <w:lvl w:ilvl="4">
      <w:start w:val="1"/>
      <w:numFmt w:val="none"/>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8">
    <w:nsid w:val="69FB1603"/>
    <w:multiLevelType w:val="hybridMultilevel"/>
    <w:tmpl w:val="68644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EB4442F"/>
    <w:multiLevelType w:val="hybridMultilevel"/>
    <w:tmpl w:val="EC181664"/>
    <w:lvl w:ilvl="0" w:tplc="0409000F">
      <w:start w:val="1"/>
      <w:numFmt w:val="decimal"/>
      <w:lvlText w:val="%1."/>
      <w:lvlJc w:val="left"/>
      <w:pPr>
        <w:ind w:left="2325" w:hanging="360"/>
      </w:pPr>
    </w:lvl>
    <w:lvl w:ilvl="1" w:tplc="04090019" w:tentative="1">
      <w:start w:val="1"/>
      <w:numFmt w:val="lowerLetter"/>
      <w:lvlText w:val="%2."/>
      <w:lvlJc w:val="left"/>
      <w:pPr>
        <w:ind w:left="3045" w:hanging="360"/>
      </w:pPr>
    </w:lvl>
    <w:lvl w:ilvl="2" w:tplc="0409001B" w:tentative="1">
      <w:start w:val="1"/>
      <w:numFmt w:val="lowerRoman"/>
      <w:lvlText w:val="%3."/>
      <w:lvlJc w:val="right"/>
      <w:pPr>
        <w:ind w:left="3765" w:hanging="180"/>
      </w:pPr>
    </w:lvl>
    <w:lvl w:ilvl="3" w:tplc="0409000F" w:tentative="1">
      <w:start w:val="1"/>
      <w:numFmt w:val="decimal"/>
      <w:lvlText w:val="%4."/>
      <w:lvlJc w:val="left"/>
      <w:pPr>
        <w:ind w:left="4485" w:hanging="360"/>
      </w:pPr>
    </w:lvl>
    <w:lvl w:ilvl="4" w:tplc="04090019" w:tentative="1">
      <w:start w:val="1"/>
      <w:numFmt w:val="lowerLetter"/>
      <w:lvlText w:val="%5."/>
      <w:lvlJc w:val="left"/>
      <w:pPr>
        <w:ind w:left="5205" w:hanging="360"/>
      </w:pPr>
    </w:lvl>
    <w:lvl w:ilvl="5" w:tplc="0409001B" w:tentative="1">
      <w:start w:val="1"/>
      <w:numFmt w:val="lowerRoman"/>
      <w:lvlText w:val="%6."/>
      <w:lvlJc w:val="right"/>
      <w:pPr>
        <w:ind w:left="5925" w:hanging="180"/>
      </w:pPr>
    </w:lvl>
    <w:lvl w:ilvl="6" w:tplc="0409000F" w:tentative="1">
      <w:start w:val="1"/>
      <w:numFmt w:val="decimal"/>
      <w:lvlText w:val="%7."/>
      <w:lvlJc w:val="left"/>
      <w:pPr>
        <w:ind w:left="6645" w:hanging="360"/>
      </w:pPr>
    </w:lvl>
    <w:lvl w:ilvl="7" w:tplc="04090019" w:tentative="1">
      <w:start w:val="1"/>
      <w:numFmt w:val="lowerLetter"/>
      <w:lvlText w:val="%8."/>
      <w:lvlJc w:val="left"/>
      <w:pPr>
        <w:ind w:left="7365" w:hanging="360"/>
      </w:pPr>
    </w:lvl>
    <w:lvl w:ilvl="8" w:tplc="0409001B" w:tentative="1">
      <w:start w:val="1"/>
      <w:numFmt w:val="lowerRoman"/>
      <w:lvlText w:val="%9."/>
      <w:lvlJc w:val="right"/>
      <w:pPr>
        <w:ind w:left="8085" w:hanging="180"/>
      </w:pPr>
    </w:lvl>
  </w:abstractNum>
  <w:abstractNum w:abstractNumId="40">
    <w:nsid w:val="6F8B77C1"/>
    <w:multiLevelType w:val="hybridMultilevel"/>
    <w:tmpl w:val="D28000DE"/>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1">
    <w:nsid w:val="71B7587E"/>
    <w:multiLevelType w:val="hybridMultilevel"/>
    <w:tmpl w:val="3BDA9E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310EC8"/>
    <w:multiLevelType w:val="hybridMultilevel"/>
    <w:tmpl w:val="E0EEA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8173B5"/>
    <w:multiLevelType w:val="hybridMultilevel"/>
    <w:tmpl w:val="23828BC2"/>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4">
    <w:nsid w:val="73DF7956"/>
    <w:multiLevelType w:val="hybridMultilevel"/>
    <w:tmpl w:val="37F8A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nsid w:val="755F7E41"/>
    <w:multiLevelType w:val="hybridMultilevel"/>
    <w:tmpl w:val="44E22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94404F"/>
    <w:multiLevelType w:val="hybridMultilevel"/>
    <w:tmpl w:val="91CE2F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FA3542A"/>
    <w:multiLevelType w:val="hybridMultilevel"/>
    <w:tmpl w:val="53122A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7"/>
  </w:num>
  <w:num w:numId="3">
    <w:abstractNumId w:val="15"/>
  </w:num>
  <w:num w:numId="4">
    <w:abstractNumId w:val="44"/>
  </w:num>
  <w:num w:numId="5">
    <w:abstractNumId w:val="10"/>
  </w:num>
  <w:num w:numId="6">
    <w:abstractNumId w:val="47"/>
  </w:num>
  <w:num w:numId="7">
    <w:abstractNumId w:val="18"/>
  </w:num>
  <w:num w:numId="8">
    <w:abstractNumId w:val="36"/>
  </w:num>
  <w:num w:numId="9">
    <w:abstractNumId w:val="9"/>
  </w:num>
  <w:num w:numId="10">
    <w:abstractNumId w:val="35"/>
  </w:num>
  <w:num w:numId="11">
    <w:abstractNumId w:val="41"/>
  </w:num>
  <w:num w:numId="12">
    <w:abstractNumId w:val="4"/>
  </w:num>
  <w:num w:numId="13">
    <w:abstractNumId w:val="40"/>
  </w:num>
  <w:num w:numId="14">
    <w:abstractNumId w:val="24"/>
  </w:num>
  <w:num w:numId="15">
    <w:abstractNumId w:val="20"/>
  </w:num>
  <w:num w:numId="16">
    <w:abstractNumId w:val="12"/>
  </w:num>
  <w:num w:numId="17">
    <w:abstractNumId w:val="27"/>
  </w:num>
  <w:num w:numId="18">
    <w:abstractNumId w:val="43"/>
  </w:num>
  <w:num w:numId="19">
    <w:abstractNumId w:val="19"/>
  </w:num>
  <w:num w:numId="20">
    <w:abstractNumId w:val="22"/>
  </w:num>
  <w:num w:numId="21">
    <w:abstractNumId w:val="17"/>
  </w:num>
  <w:num w:numId="22">
    <w:abstractNumId w:val="23"/>
  </w:num>
  <w:num w:numId="23">
    <w:abstractNumId w:val="42"/>
  </w:num>
  <w:num w:numId="24">
    <w:abstractNumId w:val="46"/>
  </w:num>
  <w:num w:numId="25">
    <w:abstractNumId w:val="13"/>
  </w:num>
  <w:num w:numId="26">
    <w:abstractNumId w:val="6"/>
  </w:num>
  <w:num w:numId="27">
    <w:abstractNumId w:val="38"/>
  </w:num>
  <w:num w:numId="28">
    <w:abstractNumId w:val="34"/>
  </w:num>
  <w:num w:numId="29">
    <w:abstractNumId w:val="33"/>
  </w:num>
  <w:num w:numId="30">
    <w:abstractNumId w:val="31"/>
  </w:num>
  <w:num w:numId="31">
    <w:abstractNumId w:val="14"/>
  </w:num>
  <w:num w:numId="32">
    <w:abstractNumId w:val="29"/>
  </w:num>
  <w:num w:numId="33">
    <w:abstractNumId w:val="11"/>
  </w:num>
  <w:num w:numId="34">
    <w:abstractNumId w:val="2"/>
  </w:num>
  <w:num w:numId="35">
    <w:abstractNumId w:val="45"/>
  </w:num>
  <w:num w:numId="36">
    <w:abstractNumId w:val="16"/>
  </w:num>
  <w:num w:numId="37">
    <w:abstractNumId w:val="39"/>
  </w:num>
  <w:num w:numId="38">
    <w:abstractNumId w:val="5"/>
  </w:num>
  <w:num w:numId="39">
    <w:abstractNumId w:val="32"/>
  </w:num>
  <w:num w:numId="40">
    <w:abstractNumId w:val="1"/>
  </w:num>
  <w:num w:numId="41">
    <w:abstractNumId w:val="8"/>
  </w:num>
  <w:num w:numId="42">
    <w:abstractNumId w:val="26"/>
  </w:num>
  <w:num w:numId="43">
    <w:abstractNumId w:val="25"/>
  </w:num>
  <w:num w:numId="44">
    <w:abstractNumId w:val="28"/>
  </w:num>
  <w:num w:numId="45">
    <w:abstractNumId w:val="30"/>
  </w:num>
  <w:num w:numId="46">
    <w:abstractNumId w:val="7"/>
  </w:num>
  <w:num w:numId="47">
    <w:abstractNumId w:val="3"/>
  </w:num>
  <w:num w:numId="48">
    <w:abstractNumId w:val="2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160769"/>
  </w:hdrShapeDefaults>
  <w:footnotePr>
    <w:footnote w:id="-1"/>
    <w:footnote w:id="0"/>
  </w:footnotePr>
  <w:endnotePr>
    <w:endnote w:id="-1"/>
    <w:endnote w:id="0"/>
  </w:endnotePr>
  <w:compat/>
  <w:rsids>
    <w:rsidRoot w:val="0092669C"/>
    <w:rsid w:val="000008B3"/>
    <w:rsid w:val="0000114B"/>
    <w:rsid w:val="0000126B"/>
    <w:rsid w:val="00002513"/>
    <w:rsid w:val="000044BA"/>
    <w:rsid w:val="000055B9"/>
    <w:rsid w:val="0000669D"/>
    <w:rsid w:val="00011817"/>
    <w:rsid w:val="0001207A"/>
    <w:rsid w:val="0001405E"/>
    <w:rsid w:val="0001433B"/>
    <w:rsid w:val="00015E7C"/>
    <w:rsid w:val="000205F4"/>
    <w:rsid w:val="00021E50"/>
    <w:rsid w:val="000240C8"/>
    <w:rsid w:val="00027330"/>
    <w:rsid w:val="00032066"/>
    <w:rsid w:val="0003406C"/>
    <w:rsid w:val="0003440F"/>
    <w:rsid w:val="00034942"/>
    <w:rsid w:val="00034A92"/>
    <w:rsid w:val="00034C00"/>
    <w:rsid w:val="00037A15"/>
    <w:rsid w:val="00037B0B"/>
    <w:rsid w:val="00040E81"/>
    <w:rsid w:val="00041B17"/>
    <w:rsid w:val="00044F1F"/>
    <w:rsid w:val="00045974"/>
    <w:rsid w:val="00045B4C"/>
    <w:rsid w:val="00047249"/>
    <w:rsid w:val="0004762B"/>
    <w:rsid w:val="00050158"/>
    <w:rsid w:val="00051F7E"/>
    <w:rsid w:val="00053A0F"/>
    <w:rsid w:val="0005726D"/>
    <w:rsid w:val="00057BD7"/>
    <w:rsid w:val="0006143B"/>
    <w:rsid w:val="000618B3"/>
    <w:rsid w:val="00062361"/>
    <w:rsid w:val="00064B64"/>
    <w:rsid w:val="00064E05"/>
    <w:rsid w:val="000654E7"/>
    <w:rsid w:val="00070D73"/>
    <w:rsid w:val="00072074"/>
    <w:rsid w:val="0007251B"/>
    <w:rsid w:val="000735E9"/>
    <w:rsid w:val="000773ED"/>
    <w:rsid w:val="00080BD3"/>
    <w:rsid w:val="000825B1"/>
    <w:rsid w:val="000845AC"/>
    <w:rsid w:val="000849B6"/>
    <w:rsid w:val="00084C2E"/>
    <w:rsid w:val="00086910"/>
    <w:rsid w:val="00087677"/>
    <w:rsid w:val="0009023D"/>
    <w:rsid w:val="00090D18"/>
    <w:rsid w:val="00094333"/>
    <w:rsid w:val="00094847"/>
    <w:rsid w:val="00094D9B"/>
    <w:rsid w:val="000960C5"/>
    <w:rsid w:val="000A2044"/>
    <w:rsid w:val="000A282C"/>
    <w:rsid w:val="000A386B"/>
    <w:rsid w:val="000B0D28"/>
    <w:rsid w:val="000B2183"/>
    <w:rsid w:val="000B3054"/>
    <w:rsid w:val="000B31CD"/>
    <w:rsid w:val="000B35FB"/>
    <w:rsid w:val="000B5950"/>
    <w:rsid w:val="000B6DE8"/>
    <w:rsid w:val="000B72F0"/>
    <w:rsid w:val="000B7502"/>
    <w:rsid w:val="000C0158"/>
    <w:rsid w:val="000C0316"/>
    <w:rsid w:val="000C1469"/>
    <w:rsid w:val="000C251F"/>
    <w:rsid w:val="000C65AF"/>
    <w:rsid w:val="000C7867"/>
    <w:rsid w:val="000C7A10"/>
    <w:rsid w:val="000D186A"/>
    <w:rsid w:val="000E13E5"/>
    <w:rsid w:val="000E3C2F"/>
    <w:rsid w:val="000E3C30"/>
    <w:rsid w:val="000E4E21"/>
    <w:rsid w:val="000E7954"/>
    <w:rsid w:val="000F0911"/>
    <w:rsid w:val="000F1B9A"/>
    <w:rsid w:val="000F3536"/>
    <w:rsid w:val="000F414D"/>
    <w:rsid w:val="000F529C"/>
    <w:rsid w:val="000F5D22"/>
    <w:rsid w:val="000F6937"/>
    <w:rsid w:val="0010487A"/>
    <w:rsid w:val="00105039"/>
    <w:rsid w:val="00105679"/>
    <w:rsid w:val="001069B1"/>
    <w:rsid w:val="00110ED7"/>
    <w:rsid w:val="00113726"/>
    <w:rsid w:val="00113AB4"/>
    <w:rsid w:val="0011743A"/>
    <w:rsid w:val="00121117"/>
    <w:rsid w:val="0012245A"/>
    <w:rsid w:val="00122470"/>
    <w:rsid w:val="0013055D"/>
    <w:rsid w:val="00130D26"/>
    <w:rsid w:val="0013211C"/>
    <w:rsid w:val="00132F54"/>
    <w:rsid w:val="001339C8"/>
    <w:rsid w:val="00134F06"/>
    <w:rsid w:val="00140A49"/>
    <w:rsid w:val="00141466"/>
    <w:rsid w:val="001439A6"/>
    <w:rsid w:val="00143BC9"/>
    <w:rsid w:val="001456EC"/>
    <w:rsid w:val="00145A60"/>
    <w:rsid w:val="00145CE2"/>
    <w:rsid w:val="00146238"/>
    <w:rsid w:val="00150349"/>
    <w:rsid w:val="00150E14"/>
    <w:rsid w:val="00150EF4"/>
    <w:rsid w:val="001545FA"/>
    <w:rsid w:val="0015609F"/>
    <w:rsid w:val="00160071"/>
    <w:rsid w:val="00160329"/>
    <w:rsid w:val="00162BCA"/>
    <w:rsid w:val="00171C43"/>
    <w:rsid w:val="00174403"/>
    <w:rsid w:val="00174F9E"/>
    <w:rsid w:val="00176172"/>
    <w:rsid w:val="00176502"/>
    <w:rsid w:val="001832A8"/>
    <w:rsid w:val="00184BFC"/>
    <w:rsid w:val="0019004E"/>
    <w:rsid w:val="0019247A"/>
    <w:rsid w:val="00192DCA"/>
    <w:rsid w:val="001958EB"/>
    <w:rsid w:val="00197CC8"/>
    <w:rsid w:val="001A051A"/>
    <w:rsid w:val="001A05C6"/>
    <w:rsid w:val="001A0854"/>
    <w:rsid w:val="001A468E"/>
    <w:rsid w:val="001A5DC1"/>
    <w:rsid w:val="001B0DFC"/>
    <w:rsid w:val="001B706D"/>
    <w:rsid w:val="001C1FEC"/>
    <w:rsid w:val="001C42E2"/>
    <w:rsid w:val="001C52D6"/>
    <w:rsid w:val="001C5C95"/>
    <w:rsid w:val="001C63D1"/>
    <w:rsid w:val="001C66A4"/>
    <w:rsid w:val="001D10F9"/>
    <w:rsid w:val="001D1944"/>
    <w:rsid w:val="001D33CD"/>
    <w:rsid w:val="001D40A7"/>
    <w:rsid w:val="001D42DF"/>
    <w:rsid w:val="001D5724"/>
    <w:rsid w:val="001E167B"/>
    <w:rsid w:val="001E26D1"/>
    <w:rsid w:val="001E2C48"/>
    <w:rsid w:val="001E68A5"/>
    <w:rsid w:val="001E72E8"/>
    <w:rsid w:val="001E7760"/>
    <w:rsid w:val="001F0963"/>
    <w:rsid w:val="002006E3"/>
    <w:rsid w:val="00203469"/>
    <w:rsid w:val="002038C8"/>
    <w:rsid w:val="00203D37"/>
    <w:rsid w:val="00204B33"/>
    <w:rsid w:val="00211119"/>
    <w:rsid w:val="00211A95"/>
    <w:rsid w:val="00213A19"/>
    <w:rsid w:val="0021750C"/>
    <w:rsid w:val="002212B5"/>
    <w:rsid w:val="00221C30"/>
    <w:rsid w:val="002251A0"/>
    <w:rsid w:val="0022575F"/>
    <w:rsid w:val="00226A40"/>
    <w:rsid w:val="00227EC9"/>
    <w:rsid w:val="00230100"/>
    <w:rsid w:val="00232EE8"/>
    <w:rsid w:val="00232F3E"/>
    <w:rsid w:val="002341B1"/>
    <w:rsid w:val="0023573D"/>
    <w:rsid w:val="00236B22"/>
    <w:rsid w:val="0024123A"/>
    <w:rsid w:val="00242117"/>
    <w:rsid w:val="00242988"/>
    <w:rsid w:val="0024482C"/>
    <w:rsid w:val="0024555B"/>
    <w:rsid w:val="00245912"/>
    <w:rsid w:val="00247106"/>
    <w:rsid w:val="00250A08"/>
    <w:rsid w:val="00253785"/>
    <w:rsid w:val="00253DC9"/>
    <w:rsid w:val="00254E35"/>
    <w:rsid w:val="002553CA"/>
    <w:rsid w:val="00256E75"/>
    <w:rsid w:val="00262BF2"/>
    <w:rsid w:val="00264FE7"/>
    <w:rsid w:val="00270775"/>
    <w:rsid w:val="00276D4E"/>
    <w:rsid w:val="00277C38"/>
    <w:rsid w:val="00283BEF"/>
    <w:rsid w:val="00285B96"/>
    <w:rsid w:val="00292241"/>
    <w:rsid w:val="0029354D"/>
    <w:rsid w:val="0029472C"/>
    <w:rsid w:val="002A2893"/>
    <w:rsid w:val="002A2DEF"/>
    <w:rsid w:val="002A4001"/>
    <w:rsid w:val="002A47F3"/>
    <w:rsid w:val="002A4B67"/>
    <w:rsid w:val="002B1BFC"/>
    <w:rsid w:val="002B5A33"/>
    <w:rsid w:val="002C04BF"/>
    <w:rsid w:val="002C0A25"/>
    <w:rsid w:val="002C13AB"/>
    <w:rsid w:val="002C452B"/>
    <w:rsid w:val="002C5E08"/>
    <w:rsid w:val="002D18EF"/>
    <w:rsid w:val="002D6204"/>
    <w:rsid w:val="002D7F29"/>
    <w:rsid w:val="002E0F72"/>
    <w:rsid w:val="002E1689"/>
    <w:rsid w:val="002E1D49"/>
    <w:rsid w:val="002E4BDE"/>
    <w:rsid w:val="002E5D6A"/>
    <w:rsid w:val="002F1754"/>
    <w:rsid w:val="002F193B"/>
    <w:rsid w:val="002F2969"/>
    <w:rsid w:val="002F4255"/>
    <w:rsid w:val="00301E0E"/>
    <w:rsid w:val="00303E5B"/>
    <w:rsid w:val="0030776B"/>
    <w:rsid w:val="00312DA7"/>
    <w:rsid w:val="00313395"/>
    <w:rsid w:val="00313ED0"/>
    <w:rsid w:val="003146D9"/>
    <w:rsid w:val="0032138E"/>
    <w:rsid w:val="003232C0"/>
    <w:rsid w:val="0032631D"/>
    <w:rsid w:val="00333E56"/>
    <w:rsid w:val="00335AE2"/>
    <w:rsid w:val="00341E6F"/>
    <w:rsid w:val="0034377C"/>
    <w:rsid w:val="003529A2"/>
    <w:rsid w:val="00354355"/>
    <w:rsid w:val="003573F8"/>
    <w:rsid w:val="00364138"/>
    <w:rsid w:val="0036719E"/>
    <w:rsid w:val="00367927"/>
    <w:rsid w:val="0037105E"/>
    <w:rsid w:val="00372985"/>
    <w:rsid w:val="00375282"/>
    <w:rsid w:val="00375604"/>
    <w:rsid w:val="00380EA8"/>
    <w:rsid w:val="003810EF"/>
    <w:rsid w:val="00384F68"/>
    <w:rsid w:val="00385A4C"/>
    <w:rsid w:val="0039144D"/>
    <w:rsid w:val="00394AB8"/>
    <w:rsid w:val="003A29EC"/>
    <w:rsid w:val="003A427E"/>
    <w:rsid w:val="003A4EBB"/>
    <w:rsid w:val="003B33E1"/>
    <w:rsid w:val="003B6F5E"/>
    <w:rsid w:val="003B78AA"/>
    <w:rsid w:val="003C6A8A"/>
    <w:rsid w:val="003D1522"/>
    <w:rsid w:val="003D3A72"/>
    <w:rsid w:val="003E136A"/>
    <w:rsid w:val="003E353C"/>
    <w:rsid w:val="003E37E9"/>
    <w:rsid w:val="003E3C26"/>
    <w:rsid w:val="003E530C"/>
    <w:rsid w:val="003E5D3E"/>
    <w:rsid w:val="003E6A6D"/>
    <w:rsid w:val="003E7016"/>
    <w:rsid w:val="003F13B1"/>
    <w:rsid w:val="003F2A88"/>
    <w:rsid w:val="003F346E"/>
    <w:rsid w:val="003F660D"/>
    <w:rsid w:val="003F69D6"/>
    <w:rsid w:val="0040131E"/>
    <w:rsid w:val="00401CD5"/>
    <w:rsid w:val="0040561F"/>
    <w:rsid w:val="004071F6"/>
    <w:rsid w:val="00407869"/>
    <w:rsid w:val="00410EB6"/>
    <w:rsid w:val="00411990"/>
    <w:rsid w:val="00413A2D"/>
    <w:rsid w:val="00414CD2"/>
    <w:rsid w:val="00414EA6"/>
    <w:rsid w:val="004157DA"/>
    <w:rsid w:val="0042137C"/>
    <w:rsid w:val="00421689"/>
    <w:rsid w:val="00422B43"/>
    <w:rsid w:val="00425083"/>
    <w:rsid w:val="00425124"/>
    <w:rsid w:val="00426C72"/>
    <w:rsid w:val="0042710C"/>
    <w:rsid w:val="00430BF2"/>
    <w:rsid w:val="004354DC"/>
    <w:rsid w:val="00435CB6"/>
    <w:rsid w:val="004361B4"/>
    <w:rsid w:val="004400F7"/>
    <w:rsid w:val="00441BAF"/>
    <w:rsid w:val="004435BE"/>
    <w:rsid w:val="00443662"/>
    <w:rsid w:val="00444BDB"/>
    <w:rsid w:val="0044587D"/>
    <w:rsid w:val="0044723C"/>
    <w:rsid w:val="00456B00"/>
    <w:rsid w:val="004574AF"/>
    <w:rsid w:val="00463638"/>
    <w:rsid w:val="00463B2C"/>
    <w:rsid w:val="00470489"/>
    <w:rsid w:val="00473433"/>
    <w:rsid w:val="00476F77"/>
    <w:rsid w:val="00480AA1"/>
    <w:rsid w:val="00482C53"/>
    <w:rsid w:val="00484FCB"/>
    <w:rsid w:val="004850BD"/>
    <w:rsid w:val="00485699"/>
    <w:rsid w:val="00486C8A"/>
    <w:rsid w:val="00487D82"/>
    <w:rsid w:val="00495779"/>
    <w:rsid w:val="0049610E"/>
    <w:rsid w:val="00497A72"/>
    <w:rsid w:val="00497AE8"/>
    <w:rsid w:val="004A2F42"/>
    <w:rsid w:val="004A5CD4"/>
    <w:rsid w:val="004B3C2D"/>
    <w:rsid w:val="004C0B0C"/>
    <w:rsid w:val="004C0D18"/>
    <w:rsid w:val="004C28C8"/>
    <w:rsid w:val="004C519B"/>
    <w:rsid w:val="004C5F6C"/>
    <w:rsid w:val="004C7ADE"/>
    <w:rsid w:val="004C7EF3"/>
    <w:rsid w:val="004D03F5"/>
    <w:rsid w:val="004D0B2C"/>
    <w:rsid w:val="004D2377"/>
    <w:rsid w:val="004D5BFD"/>
    <w:rsid w:val="004E1638"/>
    <w:rsid w:val="004E1704"/>
    <w:rsid w:val="004F044B"/>
    <w:rsid w:val="004F7151"/>
    <w:rsid w:val="00500CE9"/>
    <w:rsid w:val="00503D0D"/>
    <w:rsid w:val="00505B34"/>
    <w:rsid w:val="00505E99"/>
    <w:rsid w:val="00511167"/>
    <w:rsid w:val="0052177E"/>
    <w:rsid w:val="00521FCE"/>
    <w:rsid w:val="00522DD1"/>
    <w:rsid w:val="00524006"/>
    <w:rsid w:val="00526D0F"/>
    <w:rsid w:val="00531A7D"/>
    <w:rsid w:val="00531DD9"/>
    <w:rsid w:val="005360D8"/>
    <w:rsid w:val="00536133"/>
    <w:rsid w:val="0053769A"/>
    <w:rsid w:val="00540AA3"/>
    <w:rsid w:val="0054385A"/>
    <w:rsid w:val="00544794"/>
    <w:rsid w:val="00547C3A"/>
    <w:rsid w:val="00547F37"/>
    <w:rsid w:val="0055147A"/>
    <w:rsid w:val="005515EE"/>
    <w:rsid w:val="00551748"/>
    <w:rsid w:val="005527EF"/>
    <w:rsid w:val="005557F7"/>
    <w:rsid w:val="00557810"/>
    <w:rsid w:val="0056010B"/>
    <w:rsid w:val="00560DBC"/>
    <w:rsid w:val="005629DC"/>
    <w:rsid w:val="0056324D"/>
    <w:rsid w:val="005675C3"/>
    <w:rsid w:val="00570101"/>
    <w:rsid w:val="00573E66"/>
    <w:rsid w:val="005754C6"/>
    <w:rsid w:val="00576039"/>
    <w:rsid w:val="005764A9"/>
    <w:rsid w:val="005769E2"/>
    <w:rsid w:val="005772F6"/>
    <w:rsid w:val="00577DAD"/>
    <w:rsid w:val="00587917"/>
    <w:rsid w:val="00587F71"/>
    <w:rsid w:val="00591A18"/>
    <w:rsid w:val="00592993"/>
    <w:rsid w:val="00593A22"/>
    <w:rsid w:val="005953CC"/>
    <w:rsid w:val="00595B82"/>
    <w:rsid w:val="005A0548"/>
    <w:rsid w:val="005A2253"/>
    <w:rsid w:val="005A4D77"/>
    <w:rsid w:val="005B0093"/>
    <w:rsid w:val="005B27B9"/>
    <w:rsid w:val="005B31D9"/>
    <w:rsid w:val="005B399B"/>
    <w:rsid w:val="005B50FD"/>
    <w:rsid w:val="005B526A"/>
    <w:rsid w:val="005C18FB"/>
    <w:rsid w:val="005C53F0"/>
    <w:rsid w:val="005C5922"/>
    <w:rsid w:val="005C78B9"/>
    <w:rsid w:val="005D0725"/>
    <w:rsid w:val="005D0FC2"/>
    <w:rsid w:val="005D18A8"/>
    <w:rsid w:val="005D3D74"/>
    <w:rsid w:val="005D44AA"/>
    <w:rsid w:val="005D559D"/>
    <w:rsid w:val="005D6A14"/>
    <w:rsid w:val="005E0877"/>
    <w:rsid w:val="005E0AD7"/>
    <w:rsid w:val="005E42E1"/>
    <w:rsid w:val="005F3262"/>
    <w:rsid w:val="005F6533"/>
    <w:rsid w:val="00602419"/>
    <w:rsid w:val="0060368C"/>
    <w:rsid w:val="006037A8"/>
    <w:rsid w:val="006045C9"/>
    <w:rsid w:val="0060556B"/>
    <w:rsid w:val="0060574C"/>
    <w:rsid w:val="00605D77"/>
    <w:rsid w:val="00606449"/>
    <w:rsid w:val="0060646C"/>
    <w:rsid w:val="006067EB"/>
    <w:rsid w:val="00607B4A"/>
    <w:rsid w:val="0061106D"/>
    <w:rsid w:val="00612272"/>
    <w:rsid w:val="00614E2D"/>
    <w:rsid w:val="00615276"/>
    <w:rsid w:val="00615B8A"/>
    <w:rsid w:val="006173A3"/>
    <w:rsid w:val="00620D8B"/>
    <w:rsid w:val="00624183"/>
    <w:rsid w:val="00624971"/>
    <w:rsid w:val="00627C5F"/>
    <w:rsid w:val="0063592C"/>
    <w:rsid w:val="00635A76"/>
    <w:rsid w:val="00635F28"/>
    <w:rsid w:val="00637ABC"/>
    <w:rsid w:val="00637BE9"/>
    <w:rsid w:val="00637EFA"/>
    <w:rsid w:val="00641AF7"/>
    <w:rsid w:val="006451A5"/>
    <w:rsid w:val="00645FAA"/>
    <w:rsid w:val="00647E9D"/>
    <w:rsid w:val="00647EC5"/>
    <w:rsid w:val="00653FBC"/>
    <w:rsid w:val="006556EE"/>
    <w:rsid w:val="00657193"/>
    <w:rsid w:val="00666413"/>
    <w:rsid w:val="006707B7"/>
    <w:rsid w:val="00672E4F"/>
    <w:rsid w:val="00674465"/>
    <w:rsid w:val="00674D16"/>
    <w:rsid w:val="00676D27"/>
    <w:rsid w:val="0068196A"/>
    <w:rsid w:val="006939C5"/>
    <w:rsid w:val="00695DF3"/>
    <w:rsid w:val="006A064D"/>
    <w:rsid w:val="006A0AD9"/>
    <w:rsid w:val="006A48DB"/>
    <w:rsid w:val="006A698A"/>
    <w:rsid w:val="006A7FD5"/>
    <w:rsid w:val="006B0E72"/>
    <w:rsid w:val="006B127E"/>
    <w:rsid w:val="006B17B4"/>
    <w:rsid w:val="006B2462"/>
    <w:rsid w:val="006B4F26"/>
    <w:rsid w:val="006B5F11"/>
    <w:rsid w:val="006B6E87"/>
    <w:rsid w:val="006B76F9"/>
    <w:rsid w:val="006C032F"/>
    <w:rsid w:val="006C06A5"/>
    <w:rsid w:val="006C1C65"/>
    <w:rsid w:val="006C3538"/>
    <w:rsid w:val="006C409B"/>
    <w:rsid w:val="006C52F8"/>
    <w:rsid w:val="006C5CAF"/>
    <w:rsid w:val="006C695F"/>
    <w:rsid w:val="006C702B"/>
    <w:rsid w:val="006D0FD0"/>
    <w:rsid w:val="006D17FD"/>
    <w:rsid w:val="006D48E0"/>
    <w:rsid w:val="006D4BB3"/>
    <w:rsid w:val="006D4D6F"/>
    <w:rsid w:val="006D576D"/>
    <w:rsid w:val="006D77E0"/>
    <w:rsid w:val="006E242D"/>
    <w:rsid w:val="006E31DD"/>
    <w:rsid w:val="006E5C4F"/>
    <w:rsid w:val="006F15A6"/>
    <w:rsid w:val="006F23D5"/>
    <w:rsid w:val="006F378B"/>
    <w:rsid w:val="006F47E0"/>
    <w:rsid w:val="006F5733"/>
    <w:rsid w:val="006F5909"/>
    <w:rsid w:val="006F71CC"/>
    <w:rsid w:val="006F7EB3"/>
    <w:rsid w:val="00700986"/>
    <w:rsid w:val="007020F1"/>
    <w:rsid w:val="0070307B"/>
    <w:rsid w:val="0070459C"/>
    <w:rsid w:val="007046D8"/>
    <w:rsid w:val="00706032"/>
    <w:rsid w:val="0070670C"/>
    <w:rsid w:val="00707A3C"/>
    <w:rsid w:val="00711636"/>
    <w:rsid w:val="007128C1"/>
    <w:rsid w:val="0071477C"/>
    <w:rsid w:val="00717FF6"/>
    <w:rsid w:val="00720609"/>
    <w:rsid w:val="0072115D"/>
    <w:rsid w:val="0072326D"/>
    <w:rsid w:val="0072617C"/>
    <w:rsid w:val="00732DA7"/>
    <w:rsid w:val="00735CF8"/>
    <w:rsid w:val="00736323"/>
    <w:rsid w:val="00741305"/>
    <w:rsid w:val="0074272D"/>
    <w:rsid w:val="00742CEA"/>
    <w:rsid w:val="00743DC5"/>
    <w:rsid w:val="0074454C"/>
    <w:rsid w:val="007451CD"/>
    <w:rsid w:val="00745FDF"/>
    <w:rsid w:val="007478BF"/>
    <w:rsid w:val="007507FF"/>
    <w:rsid w:val="00753FB9"/>
    <w:rsid w:val="00754B28"/>
    <w:rsid w:val="00756D4E"/>
    <w:rsid w:val="0076001D"/>
    <w:rsid w:val="007609A2"/>
    <w:rsid w:val="0076145B"/>
    <w:rsid w:val="0076196D"/>
    <w:rsid w:val="00762387"/>
    <w:rsid w:val="00764EB8"/>
    <w:rsid w:val="00772929"/>
    <w:rsid w:val="007811D2"/>
    <w:rsid w:val="007865FD"/>
    <w:rsid w:val="00790CD7"/>
    <w:rsid w:val="00792BDD"/>
    <w:rsid w:val="007A0367"/>
    <w:rsid w:val="007A096A"/>
    <w:rsid w:val="007B0A66"/>
    <w:rsid w:val="007B367D"/>
    <w:rsid w:val="007B6B75"/>
    <w:rsid w:val="007B6C50"/>
    <w:rsid w:val="007B7C97"/>
    <w:rsid w:val="007B7F88"/>
    <w:rsid w:val="007C1EFE"/>
    <w:rsid w:val="007C239B"/>
    <w:rsid w:val="007C4AAD"/>
    <w:rsid w:val="007C62CE"/>
    <w:rsid w:val="007C6CC7"/>
    <w:rsid w:val="007D09C4"/>
    <w:rsid w:val="007D395B"/>
    <w:rsid w:val="007D40BF"/>
    <w:rsid w:val="007D6280"/>
    <w:rsid w:val="007D677F"/>
    <w:rsid w:val="007E0451"/>
    <w:rsid w:val="007E73C1"/>
    <w:rsid w:val="007F7ADA"/>
    <w:rsid w:val="00802A8A"/>
    <w:rsid w:val="0080333F"/>
    <w:rsid w:val="00810F35"/>
    <w:rsid w:val="00812B42"/>
    <w:rsid w:val="00812C1E"/>
    <w:rsid w:val="008137C9"/>
    <w:rsid w:val="00816C4D"/>
    <w:rsid w:val="00817907"/>
    <w:rsid w:val="008206BB"/>
    <w:rsid w:val="008234D1"/>
    <w:rsid w:val="008240CA"/>
    <w:rsid w:val="0082582D"/>
    <w:rsid w:val="00826B85"/>
    <w:rsid w:val="00826E77"/>
    <w:rsid w:val="00827CB7"/>
    <w:rsid w:val="00831342"/>
    <w:rsid w:val="00832413"/>
    <w:rsid w:val="00833599"/>
    <w:rsid w:val="00834707"/>
    <w:rsid w:val="00837EB2"/>
    <w:rsid w:val="00840FE6"/>
    <w:rsid w:val="00842085"/>
    <w:rsid w:val="008427F4"/>
    <w:rsid w:val="00842D57"/>
    <w:rsid w:val="00843412"/>
    <w:rsid w:val="0084443B"/>
    <w:rsid w:val="00850D78"/>
    <w:rsid w:val="00852647"/>
    <w:rsid w:val="008547E8"/>
    <w:rsid w:val="00860FB8"/>
    <w:rsid w:val="008617E7"/>
    <w:rsid w:val="00861AF2"/>
    <w:rsid w:val="00863A1F"/>
    <w:rsid w:val="00874E3D"/>
    <w:rsid w:val="00876DD3"/>
    <w:rsid w:val="00881768"/>
    <w:rsid w:val="008818BE"/>
    <w:rsid w:val="008819ED"/>
    <w:rsid w:val="00882029"/>
    <w:rsid w:val="00886B98"/>
    <w:rsid w:val="00891878"/>
    <w:rsid w:val="008918AD"/>
    <w:rsid w:val="00892316"/>
    <w:rsid w:val="0089406C"/>
    <w:rsid w:val="008969F9"/>
    <w:rsid w:val="008A3EDA"/>
    <w:rsid w:val="008A4157"/>
    <w:rsid w:val="008A54F5"/>
    <w:rsid w:val="008A7467"/>
    <w:rsid w:val="008B2E2E"/>
    <w:rsid w:val="008B3466"/>
    <w:rsid w:val="008B48F7"/>
    <w:rsid w:val="008B5EAD"/>
    <w:rsid w:val="008B6757"/>
    <w:rsid w:val="008C03E2"/>
    <w:rsid w:val="008C0634"/>
    <w:rsid w:val="008C2419"/>
    <w:rsid w:val="008C2C90"/>
    <w:rsid w:val="008C5F66"/>
    <w:rsid w:val="008C63FB"/>
    <w:rsid w:val="008C783E"/>
    <w:rsid w:val="008D0518"/>
    <w:rsid w:val="008D0ED3"/>
    <w:rsid w:val="008E3917"/>
    <w:rsid w:val="008E4DE9"/>
    <w:rsid w:val="008E4EFF"/>
    <w:rsid w:val="008E57FA"/>
    <w:rsid w:val="008E5EED"/>
    <w:rsid w:val="008E744F"/>
    <w:rsid w:val="008F0471"/>
    <w:rsid w:val="008F0C46"/>
    <w:rsid w:val="008F11F6"/>
    <w:rsid w:val="008F1CB8"/>
    <w:rsid w:val="008F38D0"/>
    <w:rsid w:val="008F5AED"/>
    <w:rsid w:val="009158E5"/>
    <w:rsid w:val="00916A86"/>
    <w:rsid w:val="00921F68"/>
    <w:rsid w:val="00924CF8"/>
    <w:rsid w:val="009253A7"/>
    <w:rsid w:val="00925FCF"/>
    <w:rsid w:val="0092669C"/>
    <w:rsid w:val="00927EA9"/>
    <w:rsid w:val="009302C7"/>
    <w:rsid w:val="00931E79"/>
    <w:rsid w:val="00932392"/>
    <w:rsid w:val="0093462E"/>
    <w:rsid w:val="00935A65"/>
    <w:rsid w:val="0093696A"/>
    <w:rsid w:val="00936DA5"/>
    <w:rsid w:val="00936F52"/>
    <w:rsid w:val="00940C96"/>
    <w:rsid w:val="00943164"/>
    <w:rsid w:val="00944E41"/>
    <w:rsid w:val="009500D4"/>
    <w:rsid w:val="00950FE8"/>
    <w:rsid w:val="009562E1"/>
    <w:rsid w:val="009602A6"/>
    <w:rsid w:val="009606B3"/>
    <w:rsid w:val="00962601"/>
    <w:rsid w:val="00962DB2"/>
    <w:rsid w:val="00973058"/>
    <w:rsid w:val="0097420A"/>
    <w:rsid w:val="00981FB6"/>
    <w:rsid w:val="0098484F"/>
    <w:rsid w:val="0098508A"/>
    <w:rsid w:val="00986C4F"/>
    <w:rsid w:val="00990EBF"/>
    <w:rsid w:val="009960C7"/>
    <w:rsid w:val="0099692A"/>
    <w:rsid w:val="00997B07"/>
    <w:rsid w:val="009A091D"/>
    <w:rsid w:val="009A0FB3"/>
    <w:rsid w:val="009A2069"/>
    <w:rsid w:val="009A654A"/>
    <w:rsid w:val="009A6AF7"/>
    <w:rsid w:val="009A7523"/>
    <w:rsid w:val="009A75F0"/>
    <w:rsid w:val="009B4A59"/>
    <w:rsid w:val="009B7753"/>
    <w:rsid w:val="009C0E44"/>
    <w:rsid w:val="009C43F0"/>
    <w:rsid w:val="009C6F1B"/>
    <w:rsid w:val="009C7F79"/>
    <w:rsid w:val="009D298A"/>
    <w:rsid w:val="009D619B"/>
    <w:rsid w:val="009D7558"/>
    <w:rsid w:val="009E6D2A"/>
    <w:rsid w:val="009F0AB0"/>
    <w:rsid w:val="009F287F"/>
    <w:rsid w:val="009F3355"/>
    <w:rsid w:val="009F3616"/>
    <w:rsid w:val="009F6D31"/>
    <w:rsid w:val="00A01862"/>
    <w:rsid w:val="00A04E65"/>
    <w:rsid w:val="00A11F40"/>
    <w:rsid w:val="00A126CC"/>
    <w:rsid w:val="00A12895"/>
    <w:rsid w:val="00A13D62"/>
    <w:rsid w:val="00A164AE"/>
    <w:rsid w:val="00A16C06"/>
    <w:rsid w:val="00A176E9"/>
    <w:rsid w:val="00A17FC4"/>
    <w:rsid w:val="00A27EFB"/>
    <w:rsid w:val="00A305C1"/>
    <w:rsid w:val="00A31AD1"/>
    <w:rsid w:val="00A32F68"/>
    <w:rsid w:val="00A409D3"/>
    <w:rsid w:val="00A41617"/>
    <w:rsid w:val="00A430DA"/>
    <w:rsid w:val="00A44C67"/>
    <w:rsid w:val="00A45135"/>
    <w:rsid w:val="00A45D0B"/>
    <w:rsid w:val="00A46C3C"/>
    <w:rsid w:val="00A52228"/>
    <w:rsid w:val="00A525A2"/>
    <w:rsid w:val="00A531B8"/>
    <w:rsid w:val="00A53B47"/>
    <w:rsid w:val="00A55243"/>
    <w:rsid w:val="00A554CF"/>
    <w:rsid w:val="00A5613D"/>
    <w:rsid w:val="00A565CE"/>
    <w:rsid w:val="00A60231"/>
    <w:rsid w:val="00A74AED"/>
    <w:rsid w:val="00A77BA1"/>
    <w:rsid w:val="00A80A49"/>
    <w:rsid w:val="00A80CA5"/>
    <w:rsid w:val="00A818D8"/>
    <w:rsid w:val="00A81AAD"/>
    <w:rsid w:val="00A81BA9"/>
    <w:rsid w:val="00A86582"/>
    <w:rsid w:val="00A868CF"/>
    <w:rsid w:val="00A91DA2"/>
    <w:rsid w:val="00A92D6B"/>
    <w:rsid w:val="00A94B14"/>
    <w:rsid w:val="00A97259"/>
    <w:rsid w:val="00A97687"/>
    <w:rsid w:val="00AA1041"/>
    <w:rsid w:val="00AA31F2"/>
    <w:rsid w:val="00AA65C9"/>
    <w:rsid w:val="00AA7604"/>
    <w:rsid w:val="00AB027E"/>
    <w:rsid w:val="00AB1825"/>
    <w:rsid w:val="00AB3CD6"/>
    <w:rsid w:val="00AB5318"/>
    <w:rsid w:val="00AC066C"/>
    <w:rsid w:val="00AC27AF"/>
    <w:rsid w:val="00AC4A79"/>
    <w:rsid w:val="00AD0054"/>
    <w:rsid w:val="00AD0097"/>
    <w:rsid w:val="00AD0F5B"/>
    <w:rsid w:val="00AD31EE"/>
    <w:rsid w:val="00AD327A"/>
    <w:rsid w:val="00AD3D8A"/>
    <w:rsid w:val="00AD69D6"/>
    <w:rsid w:val="00AE001C"/>
    <w:rsid w:val="00AE4111"/>
    <w:rsid w:val="00AE49C8"/>
    <w:rsid w:val="00AE5FFA"/>
    <w:rsid w:val="00AF0CEC"/>
    <w:rsid w:val="00AF252D"/>
    <w:rsid w:val="00AF3557"/>
    <w:rsid w:val="00AF78F9"/>
    <w:rsid w:val="00B0284B"/>
    <w:rsid w:val="00B02EAD"/>
    <w:rsid w:val="00B0472C"/>
    <w:rsid w:val="00B07D8C"/>
    <w:rsid w:val="00B108A0"/>
    <w:rsid w:val="00B1113B"/>
    <w:rsid w:val="00B11A8A"/>
    <w:rsid w:val="00B158CD"/>
    <w:rsid w:val="00B16DAC"/>
    <w:rsid w:val="00B20F9A"/>
    <w:rsid w:val="00B21B7B"/>
    <w:rsid w:val="00B22802"/>
    <w:rsid w:val="00B23116"/>
    <w:rsid w:val="00B2557A"/>
    <w:rsid w:val="00B30DE5"/>
    <w:rsid w:val="00B314A9"/>
    <w:rsid w:val="00B3387D"/>
    <w:rsid w:val="00B35AC2"/>
    <w:rsid w:val="00B367C2"/>
    <w:rsid w:val="00B37FE0"/>
    <w:rsid w:val="00B40FB0"/>
    <w:rsid w:val="00B415F5"/>
    <w:rsid w:val="00B43A5F"/>
    <w:rsid w:val="00B46B4C"/>
    <w:rsid w:val="00B4786E"/>
    <w:rsid w:val="00B50313"/>
    <w:rsid w:val="00B51FD1"/>
    <w:rsid w:val="00B56339"/>
    <w:rsid w:val="00B57149"/>
    <w:rsid w:val="00B6205A"/>
    <w:rsid w:val="00B6250A"/>
    <w:rsid w:val="00B631C8"/>
    <w:rsid w:val="00B63FCB"/>
    <w:rsid w:val="00B65304"/>
    <w:rsid w:val="00B6545C"/>
    <w:rsid w:val="00B675C6"/>
    <w:rsid w:val="00B6798C"/>
    <w:rsid w:val="00B67EB9"/>
    <w:rsid w:val="00B70BAB"/>
    <w:rsid w:val="00B71E97"/>
    <w:rsid w:val="00B76067"/>
    <w:rsid w:val="00B77B76"/>
    <w:rsid w:val="00B8349E"/>
    <w:rsid w:val="00B83CA4"/>
    <w:rsid w:val="00B843D5"/>
    <w:rsid w:val="00B849AD"/>
    <w:rsid w:val="00B84A01"/>
    <w:rsid w:val="00B84FD7"/>
    <w:rsid w:val="00B85003"/>
    <w:rsid w:val="00B853B7"/>
    <w:rsid w:val="00B85EC9"/>
    <w:rsid w:val="00B900C4"/>
    <w:rsid w:val="00B943BB"/>
    <w:rsid w:val="00B95A2A"/>
    <w:rsid w:val="00BA288E"/>
    <w:rsid w:val="00BA2AD9"/>
    <w:rsid w:val="00BB368A"/>
    <w:rsid w:val="00BB4B68"/>
    <w:rsid w:val="00BB4BF2"/>
    <w:rsid w:val="00BB7C5F"/>
    <w:rsid w:val="00BC1A07"/>
    <w:rsid w:val="00BC25B3"/>
    <w:rsid w:val="00BD1A53"/>
    <w:rsid w:val="00BD26C2"/>
    <w:rsid w:val="00BD2EF3"/>
    <w:rsid w:val="00BD5265"/>
    <w:rsid w:val="00BE1BBE"/>
    <w:rsid w:val="00BE3717"/>
    <w:rsid w:val="00BE5585"/>
    <w:rsid w:val="00BF0E0B"/>
    <w:rsid w:val="00BF20C2"/>
    <w:rsid w:val="00BF2CE1"/>
    <w:rsid w:val="00BF36D2"/>
    <w:rsid w:val="00BF4FD1"/>
    <w:rsid w:val="00C007D1"/>
    <w:rsid w:val="00C00BBE"/>
    <w:rsid w:val="00C0103A"/>
    <w:rsid w:val="00C031B9"/>
    <w:rsid w:val="00C07D46"/>
    <w:rsid w:val="00C07F3C"/>
    <w:rsid w:val="00C10445"/>
    <w:rsid w:val="00C11DBE"/>
    <w:rsid w:val="00C13834"/>
    <w:rsid w:val="00C13C70"/>
    <w:rsid w:val="00C209D7"/>
    <w:rsid w:val="00C22013"/>
    <w:rsid w:val="00C225A6"/>
    <w:rsid w:val="00C25D59"/>
    <w:rsid w:val="00C25E4A"/>
    <w:rsid w:val="00C26726"/>
    <w:rsid w:val="00C3009A"/>
    <w:rsid w:val="00C3019E"/>
    <w:rsid w:val="00C31499"/>
    <w:rsid w:val="00C34580"/>
    <w:rsid w:val="00C42230"/>
    <w:rsid w:val="00C42AB9"/>
    <w:rsid w:val="00C4706A"/>
    <w:rsid w:val="00C508A3"/>
    <w:rsid w:val="00C50A49"/>
    <w:rsid w:val="00C51EEA"/>
    <w:rsid w:val="00C524EF"/>
    <w:rsid w:val="00C5482F"/>
    <w:rsid w:val="00C5644F"/>
    <w:rsid w:val="00C605FF"/>
    <w:rsid w:val="00C62508"/>
    <w:rsid w:val="00C66FA7"/>
    <w:rsid w:val="00C67EA1"/>
    <w:rsid w:val="00C70832"/>
    <w:rsid w:val="00C70B6F"/>
    <w:rsid w:val="00C7435E"/>
    <w:rsid w:val="00C80CEE"/>
    <w:rsid w:val="00C811E9"/>
    <w:rsid w:val="00C81EC5"/>
    <w:rsid w:val="00C82C83"/>
    <w:rsid w:val="00C82D67"/>
    <w:rsid w:val="00C82F78"/>
    <w:rsid w:val="00C83988"/>
    <w:rsid w:val="00C84566"/>
    <w:rsid w:val="00C85E2F"/>
    <w:rsid w:val="00C90F74"/>
    <w:rsid w:val="00C919E6"/>
    <w:rsid w:val="00C9280D"/>
    <w:rsid w:val="00C9511A"/>
    <w:rsid w:val="00C967B3"/>
    <w:rsid w:val="00CA0939"/>
    <w:rsid w:val="00CA36D5"/>
    <w:rsid w:val="00CA3A9B"/>
    <w:rsid w:val="00CA52AF"/>
    <w:rsid w:val="00CA548D"/>
    <w:rsid w:val="00CA5A09"/>
    <w:rsid w:val="00CB1DED"/>
    <w:rsid w:val="00CB25B7"/>
    <w:rsid w:val="00CB3C3C"/>
    <w:rsid w:val="00CB42A0"/>
    <w:rsid w:val="00CB610A"/>
    <w:rsid w:val="00CB7F61"/>
    <w:rsid w:val="00CC496F"/>
    <w:rsid w:val="00CC4F1F"/>
    <w:rsid w:val="00CC634D"/>
    <w:rsid w:val="00CC7332"/>
    <w:rsid w:val="00CD4BE5"/>
    <w:rsid w:val="00CD63BF"/>
    <w:rsid w:val="00CE5110"/>
    <w:rsid w:val="00CE572C"/>
    <w:rsid w:val="00CF0DAF"/>
    <w:rsid w:val="00CF23FB"/>
    <w:rsid w:val="00CF6186"/>
    <w:rsid w:val="00CF755A"/>
    <w:rsid w:val="00CF7B56"/>
    <w:rsid w:val="00D00316"/>
    <w:rsid w:val="00D0255D"/>
    <w:rsid w:val="00D0454E"/>
    <w:rsid w:val="00D0782F"/>
    <w:rsid w:val="00D07C04"/>
    <w:rsid w:val="00D111E7"/>
    <w:rsid w:val="00D11CB3"/>
    <w:rsid w:val="00D1670F"/>
    <w:rsid w:val="00D17945"/>
    <w:rsid w:val="00D20D5A"/>
    <w:rsid w:val="00D20FAA"/>
    <w:rsid w:val="00D2296F"/>
    <w:rsid w:val="00D248C1"/>
    <w:rsid w:val="00D25C45"/>
    <w:rsid w:val="00D26B76"/>
    <w:rsid w:val="00D30FF5"/>
    <w:rsid w:val="00D319E7"/>
    <w:rsid w:val="00D336E2"/>
    <w:rsid w:val="00D33CBA"/>
    <w:rsid w:val="00D346DE"/>
    <w:rsid w:val="00D40E77"/>
    <w:rsid w:val="00D45036"/>
    <w:rsid w:val="00D4756B"/>
    <w:rsid w:val="00D52719"/>
    <w:rsid w:val="00D53F97"/>
    <w:rsid w:val="00D54F07"/>
    <w:rsid w:val="00D550F0"/>
    <w:rsid w:val="00D646A4"/>
    <w:rsid w:val="00D7048C"/>
    <w:rsid w:val="00D718FC"/>
    <w:rsid w:val="00D72DCB"/>
    <w:rsid w:val="00D72EED"/>
    <w:rsid w:val="00D7362F"/>
    <w:rsid w:val="00D7765A"/>
    <w:rsid w:val="00D77E0B"/>
    <w:rsid w:val="00D80512"/>
    <w:rsid w:val="00D87EF3"/>
    <w:rsid w:val="00D90400"/>
    <w:rsid w:val="00D91493"/>
    <w:rsid w:val="00D92505"/>
    <w:rsid w:val="00D94282"/>
    <w:rsid w:val="00D94B9B"/>
    <w:rsid w:val="00D95FBC"/>
    <w:rsid w:val="00D971F0"/>
    <w:rsid w:val="00D97307"/>
    <w:rsid w:val="00DA4E2F"/>
    <w:rsid w:val="00DB6450"/>
    <w:rsid w:val="00DB71BA"/>
    <w:rsid w:val="00DC4BEF"/>
    <w:rsid w:val="00DC5679"/>
    <w:rsid w:val="00DC5E83"/>
    <w:rsid w:val="00DD1A71"/>
    <w:rsid w:val="00DD353B"/>
    <w:rsid w:val="00DD56E7"/>
    <w:rsid w:val="00DE0184"/>
    <w:rsid w:val="00DE1480"/>
    <w:rsid w:val="00DE40AA"/>
    <w:rsid w:val="00DE5646"/>
    <w:rsid w:val="00DE79D1"/>
    <w:rsid w:val="00DF0C54"/>
    <w:rsid w:val="00DF1D99"/>
    <w:rsid w:val="00DF5995"/>
    <w:rsid w:val="00E01098"/>
    <w:rsid w:val="00E02665"/>
    <w:rsid w:val="00E03782"/>
    <w:rsid w:val="00E05AF0"/>
    <w:rsid w:val="00E06156"/>
    <w:rsid w:val="00E10F6D"/>
    <w:rsid w:val="00E1137A"/>
    <w:rsid w:val="00E12209"/>
    <w:rsid w:val="00E211B9"/>
    <w:rsid w:val="00E244B2"/>
    <w:rsid w:val="00E24F8B"/>
    <w:rsid w:val="00E267D5"/>
    <w:rsid w:val="00E322F7"/>
    <w:rsid w:val="00E32856"/>
    <w:rsid w:val="00E32DE2"/>
    <w:rsid w:val="00E37F02"/>
    <w:rsid w:val="00E4050A"/>
    <w:rsid w:val="00E42B90"/>
    <w:rsid w:val="00E42D09"/>
    <w:rsid w:val="00E47802"/>
    <w:rsid w:val="00E52C27"/>
    <w:rsid w:val="00E550EB"/>
    <w:rsid w:val="00E62AD2"/>
    <w:rsid w:val="00E655B1"/>
    <w:rsid w:val="00E66F51"/>
    <w:rsid w:val="00E7134A"/>
    <w:rsid w:val="00E7281B"/>
    <w:rsid w:val="00E73CDB"/>
    <w:rsid w:val="00E75C00"/>
    <w:rsid w:val="00E75E78"/>
    <w:rsid w:val="00E76340"/>
    <w:rsid w:val="00E7784D"/>
    <w:rsid w:val="00E81963"/>
    <w:rsid w:val="00E827C3"/>
    <w:rsid w:val="00E836D8"/>
    <w:rsid w:val="00E836EE"/>
    <w:rsid w:val="00E84428"/>
    <w:rsid w:val="00E84AA2"/>
    <w:rsid w:val="00E857F3"/>
    <w:rsid w:val="00E916F4"/>
    <w:rsid w:val="00E92142"/>
    <w:rsid w:val="00E92C82"/>
    <w:rsid w:val="00E9414C"/>
    <w:rsid w:val="00E94767"/>
    <w:rsid w:val="00E948AB"/>
    <w:rsid w:val="00E96103"/>
    <w:rsid w:val="00E972A6"/>
    <w:rsid w:val="00E97D28"/>
    <w:rsid w:val="00EA42FA"/>
    <w:rsid w:val="00EA4A0A"/>
    <w:rsid w:val="00EA4EFE"/>
    <w:rsid w:val="00EA7C1E"/>
    <w:rsid w:val="00EB2270"/>
    <w:rsid w:val="00EB4784"/>
    <w:rsid w:val="00EB5195"/>
    <w:rsid w:val="00EC1C76"/>
    <w:rsid w:val="00EC30AE"/>
    <w:rsid w:val="00EC3C70"/>
    <w:rsid w:val="00EC5F26"/>
    <w:rsid w:val="00EC7BEF"/>
    <w:rsid w:val="00ED0323"/>
    <w:rsid w:val="00ED0474"/>
    <w:rsid w:val="00ED084C"/>
    <w:rsid w:val="00ED37CF"/>
    <w:rsid w:val="00ED4EC9"/>
    <w:rsid w:val="00ED5B65"/>
    <w:rsid w:val="00ED61E9"/>
    <w:rsid w:val="00ED6461"/>
    <w:rsid w:val="00ED70EF"/>
    <w:rsid w:val="00ED7619"/>
    <w:rsid w:val="00EE247C"/>
    <w:rsid w:val="00EE4567"/>
    <w:rsid w:val="00EE4752"/>
    <w:rsid w:val="00EE5228"/>
    <w:rsid w:val="00EF259C"/>
    <w:rsid w:val="00EF385F"/>
    <w:rsid w:val="00EF4257"/>
    <w:rsid w:val="00EF5BC8"/>
    <w:rsid w:val="00F105F4"/>
    <w:rsid w:val="00F10F5B"/>
    <w:rsid w:val="00F111BB"/>
    <w:rsid w:val="00F118A9"/>
    <w:rsid w:val="00F125D8"/>
    <w:rsid w:val="00F1729A"/>
    <w:rsid w:val="00F21597"/>
    <w:rsid w:val="00F21933"/>
    <w:rsid w:val="00F23CEA"/>
    <w:rsid w:val="00F241E3"/>
    <w:rsid w:val="00F2736A"/>
    <w:rsid w:val="00F2781D"/>
    <w:rsid w:val="00F30B98"/>
    <w:rsid w:val="00F31C2B"/>
    <w:rsid w:val="00F3446B"/>
    <w:rsid w:val="00F34764"/>
    <w:rsid w:val="00F353A3"/>
    <w:rsid w:val="00F36BD1"/>
    <w:rsid w:val="00F370C8"/>
    <w:rsid w:val="00F37470"/>
    <w:rsid w:val="00F41745"/>
    <w:rsid w:val="00F45B88"/>
    <w:rsid w:val="00F47596"/>
    <w:rsid w:val="00F4777C"/>
    <w:rsid w:val="00F47924"/>
    <w:rsid w:val="00F47979"/>
    <w:rsid w:val="00F51F9B"/>
    <w:rsid w:val="00F52B2A"/>
    <w:rsid w:val="00F52E4D"/>
    <w:rsid w:val="00F5389E"/>
    <w:rsid w:val="00F54EC0"/>
    <w:rsid w:val="00F636CE"/>
    <w:rsid w:val="00F638F1"/>
    <w:rsid w:val="00F67286"/>
    <w:rsid w:val="00F71838"/>
    <w:rsid w:val="00F71DA7"/>
    <w:rsid w:val="00F73E97"/>
    <w:rsid w:val="00F82EC5"/>
    <w:rsid w:val="00F83682"/>
    <w:rsid w:val="00F83DFE"/>
    <w:rsid w:val="00F846C4"/>
    <w:rsid w:val="00F86E1A"/>
    <w:rsid w:val="00F900F6"/>
    <w:rsid w:val="00F91B14"/>
    <w:rsid w:val="00F9336A"/>
    <w:rsid w:val="00F9517B"/>
    <w:rsid w:val="00F95C12"/>
    <w:rsid w:val="00F96160"/>
    <w:rsid w:val="00F97D1D"/>
    <w:rsid w:val="00FA4ADB"/>
    <w:rsid w:val="00FA58C0"/>
    <w:rsid w:val="00FA78A9"/>
    <w:rsid w:val="00FB1D1E"/>
    <w:rsid w:val="00FB2766"/>
    <w:rsid w:val="00FB3869"/>
    <w:rsid w:val="00FB3CFA"/>
    <w:rsid w:val="00FB762C"/>
    <w:rsid w:val="00FC00FF"/>
    <w:rsid w:val="00FC0301"/>
    <w:rsid w:val="00FC3714"/>
    <w:rsid w:val="00FC6EB7"/>
    <w:rsid w:val="00FD202B"/>
    <w:rsid w:val="00FD2157"/>
    <w:rsid w:val="00FE05E4"/>
    <w:rsid w:val="00FE1EC1"/>
    <w:rsid w:val="00FE41C7"/>
    <w:rsid w:val="00FE472C"/>
    <w:rsid w:val="00FE5578"/>
    <w:rsid w:val="00FE595B"/>
    <w:rsid w:val="00FE6ADF"/>
    <w:rsid w:val="00FE6D99"/>
    <w:rsid w:val="00FE7D4E"/>
    <w:rsid w:val="00FF0831"/>
    <w:rsid w:val="00FF317F"/>
    <w:rsid w:val="00FF43A5"/>
    <w:rsid w:val="00FF67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0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508"/>
    <w:rPr>
      <w:sz w:val="24"/>
      <w:szCs w:val="24"/>
    </w:rPr>
  </w:style>
  <w:style w:type="paragraph" w:styleId="Heading1">
    <w:name w:val="heading 1"/>
    <w:basedOn w:val="Normal"/>
    <w:next w:val="Normal"/>
    <w:qFormat/>
    <w:rsid w:val="00C62508"/>
    <w:pPr>
      <w:keepNext/>
      <w:spacing w:line="480" w:lineRule="auto"/>
      <w:ind w:left="720" w:hanging="720"/>
      <w:outlineLvl w:val="0"/>
    </w:pPr>
    <w:rPr>
      <w:b/>
      <w:bCs/>
    </w:rPr>
  </w:style>
  <w:style w:type="paragraph" w:styleId="Heading2">
    <w:name w:val="heading 2"/>
    <w:basedOn w:val="Normal"/>
    <w:next w:val="Normal"/>
    <w:qFormat/>
    <w:rsid w:val="00C62508"/>
    <w:pPr>
      <w:keepNext/>
      <w:spacing w:line="480" w:lineRule="auto"/>
      <w:outlineLvl w:val="1"/>
    </w:pPr>
    <w:rPr>
      <w:b/>
      <w:bCs/>
    </w:rPr>
  </w:style>
  <w:style w:type="paragraph" w:styleId="Heading3">
    <w:name w:val="heading 3"/>
    <w:basedOn w:val="Normal"/>
    <w:next w:val="Normal"/>
    <w:qFormat/>
    <w:rsid w:val="00C62508"/>
    <w:pPr>
      <w:keepNext/>
      <w:spacing w:line="480" w:lineRule="auto"/>
      <w:ind w:left="720" w:hanging="720"/>
      <w:jc w:val="center"/>
      <w:outlineLvl w:val="2"/>
    </w:pPr>
    <w:rPr>
      <w:b/>
      <w:bCs/>
    </w:rPr>
  </w:style>
  <w:style w:type="paragraph" w:styleId="Heading4">
    <w:name w:val="heading 4"/>
    <w:basedOn w:val="Normal"/>
    <w:next w:val="Normal"/>
    <w:qFormat/>
    <w:rsid w:val="00C62508"/>
    <w:pPr>
      <w:keepNext/>
      <w:spacing w:line="480" w:lineRule="auto"/>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62508"/>
    <w:pPr>
      <w:spacing w:line="480" w:lineRule="auto"/>
      <w:ind w:left="720" w:hanging="720"/>
    </w:pPr>
  </w:style>
  <w:style w:type="character" w:styleId="LineNumber">
    <w:name w:val="line number"/>
    <w:basedOn w:val="DefaultParagraphFont"/>
    <w:rsid w:val="00C62508"/>
  </w:style>
  <w:style w:type="paragraph" w:styleId="Header">
    <w:name w:val="header"/>
    <w:basedOn w:val="Normal"/>
    <w:rsid w:val="00C62508"/>
    <w:pPr>
      <w:tabs>
        <w:tab w:val="center" w:pos="4320"/>
        <w:tab w:val="right" w:pos="8640"/>
      </w:tabs>
    </w:pPr>
  </w:style>
  <w:style w:type="paragraph" w:styleId="Footer">
    <w:name w:val="footer"/>
    <w:basedOn w:val="Normal"/>
    <w:link w:val="FooterChar"/>
    <w:uiPriority w:val="99"/>
    <w:rsid w:val="00C62508"/>
    <w:pPr>
      <w:tabs>
        <w:tab w:val="center" w:pos="4320"/>
        <w:tab w:val="right" w:pos="8640"/>
      </w:tabs>
    </w:pPr>
  </w:style>
  <w:style w:type="character" w:styleId="PageNumber">
    <w:name w:val="page number"/>
    <w:basedOn w:val="DefaultParagraphFont"/>
    <w:rsid w:val="00C62508"/>
  </w:style>
  <w:style w:type="paragraph" w:styleId="BodyTextIndent2">
    <w:name w:val="Body Text Indent 2"/>
    <w:basedOn w:val="Normal"/>
    <w:rsid w:val="00C62508"/>
    <w:pPr>
      <w:spacing w:line="480" w:lineRule="auto"/>
      <w:ind w:left="720" w:hanging="720"/>
    </w:pPr>
    <w:rPr>
      <w:b/>
      <w:bCs/>
    </w:rPr>
  </w:style>
  <w:style w:type="paragraph" w:customStyle="1" w:styleId="Level1">
    <w:name w:val="Level 1"/>
    <w:basedOn w:val="Normal"/>
    <w:rsid w:val="00C62508"/>
    <w:pPr>
      <w:widowControl w:val="0"/>
      <w:numPr>
        <w:numId w:val="1"/>
      </w:numPr>
      <w:autoSpaceDE w:val="0"/>
      <w:autoSpaceDN w:val="0"/>
      <w:adjustRightInd w:val="0"/>
      <w:ind w:left="720" w:hanging="720"/>
      <w:outlineLvl w:val="0"/>
    </w:pPr>
    <w:rPr>
      <w:rFonts w:ascii="Courier" w:hAnsi="Courier"/>
      <w:sz w:val="20"/>
    </w:rPr>
  </w:style>
  <w:style w:type="paragraph" w:styleId="BodyText">
    <w:name w:val="Body Text"/>
    <w:basedOn w:val="Normal"/>
    <w:rsid w:val="00C62508"/>
    <w:pPr>
      <w:autoSpaceDE w:val="0"/>
      <w:autoSpaceDN w:val="0"/>
      <w:adjustRightInd w:val="0"/>
      <w:spacing w:line="240" w:lineRule="atLeast"/>
    </w:pPr>
    <w:rPr>
      <w:rFonts w:ascii="Helv" w:hAnsi="Helv"/>
      <w:b/>
      <w:bCs/>
      <w:color w:val="000000"/>
      <w:sz w:val="22"/>
      <w:szCs w:val="22"/>
    </w:rPr>
  </w:style>
  <w:style w:type="paragraph" w:styleId="BodyText2">
    <w:name w:val="Body Text 2"/>
    <w:basedOn w:val="Normal"/>
    <w:rsid w:val="00C62508"/>
    <w:rPr>
      <w:i/>
      <w:iCs/>
    </w:rPr>
  </w:style>
  <w:style w:type="paragraph" w:customStyle="1" w:styleId="single">
    <w:name w:val="single"/>
    <w:basedOn w:val="Normal"/>
    <w:rsid w:val="00DA4E2F"/>
    <w:pPr>
      <w:spacing w:before="240" w:line="240" w:lineRule="atLeast"/>
      <w:ind w:firstLine="720"/>
    </w:pPr>
    <w:rPr>
      <w:szCs w:val="20"/>
      <w:lang w:eastAsia="zh-CN"/>
    </w:rPr>
  </w:style>
  <w:style w:type="paragraph" w:styleId="TOC3">
    <w:name w:val="toc 3"/>
    <w:basedOn w:val="TOC2"/>
    <w:semiHidden/>
    <w:rsid w:val="00DA4E2F"/>
    <w:pPr>
      <w:ind w:left="2160"/>
    </w:pPr>
  </w:style>
  <w:style w:type="paragraph" w:styleId="TOC2">
    <w:name w:val="toc 2"/>
    <w:basedOn w:val="TOC1"/>
    <w:semiHidden/>
    <w:rsid w:val="00DA4E2F"/>
    <w:pPr>
      <w:keepLines/>
      <w:tabs>
        <w:tab w:val="left" w:leader="dot" w:pos="8640"/>
        <w:tab w:val="right" w:pos="9000"/>
      </w:tabs>
      <w:spacing w:before="240" w:line="240" w:lineRule="atLeast"/>
      <w:ind w:left="1440" w:right="720" w:hanging="720"/>
    </w:pPr>
    <w:rPr>
      <w:szCs w:val="20"/>
      <w:lang w:eastAsia="zh-CN"/>
    </w:rPr>
  </w:style>
  <w:style w:type="paragraph" w:customStyle="1" w:styleId="Int3ATMText">
    <w:name w:val="Int3/ATM Text"/>
    <w:basedOn w:val="Normal"/>
    <w:rsid w:val="00DA4E2F"/>
    <w:pPr>
      <w:numPr>
        <w:numId w:val="2"/>
      </w:numPr>
      <w:tabs>
        <w:tab w:val="clear" w:pos="360"/>
      </w:tabs>
      <w:spacing w:after="260"/>
      <w:ind w:left="0" w:firstLine="0"/>
    </w:pPr>
    <w:rPr>
      <w:rFonts w:ascii="Times" w:hAnsi="Times"/>
      <w:sz w:val="30"/>
      <w:szCs w:val="20"/>
      <w:lang w:eastAsia="zh-CN"/>
    </w:rPr>
  </w:style>
  <w:style w:type="paragraph" w:styleId="TOC1">
    <w:name w:val="toc 1"/>
    <w:basedOn w:val="Normal"/>
    <w:next w:val="Normal"/>
    <w:autoRedefine/>
    <w:semiHidden/>
    <w:rsid w:val="00DA4E2F"/>
  </w:style>
  <w:style w:type="paragraph" w:styleId="FootnoteText">
    <w:name w:val="footnote text"/>
    <w:aliases w:val="Footnote Text Char,Footnote Text Char1 Char,Footnote Text Char Char Char,Footnote Text Char1 Char Char Char,Footnote Text Char Char Char Char Char,Footnote Text Char Char1 Char,Footnote Text Char1 Char1 Char"/>
    <w:basedOn w:val="Normal"/>
    <w:uiPriority w:val="99"/>
    <w:semiHidden/>
    <w:rsid w:val="0072617C"/>
    <w:rPr>
      <w:sz w:val="20"/>
      <w:szCs w:val="20"/>
    </w:rPr>
  </w:style>
  <w:style w:type="character" w:styleId="FootnoteReference">
    <w:name w:val="footnote reference"/>
    <w:basedOn w:val="DefaultParagraphFont"/>
    <w:uiPriority w:val="99"/>
    <w:semiHidden/>
    <w:rsid w:val="0072617C"/>
    <w:rPr>
      <w:vertAlign w:val="superscript"/>
    </w:rPr>
  </w:style>
  <w:style w:type="paragraph" w:styleId="BalloonText">
    <w:name w:val="Balloon Text"/>
    <w:basedOn w:val="Normal"/>
    <w:semiHidden/>
    <w:rsid w:val="00130D26"/>
    <w:rPr>
      <w:rFonts w:ascii="Tahoma" w:hAnsi="Tahoma" w:cs="Tahoma"/>
      <w:sz w:val="16"/>
      <w:szCs w:val="16"/>
    </w:rPr>
  </w:style>
  <w:style w:type="paragraph" w:styleId="ListParagraph">
    <w:name w:val="List Paragraph"/>
    <w:basedOn w:val="Normal"/>
    <w:uiPriority w:val="34"/>
    <w:qFormat/>
    <w:rsid w:val="006C06A5"/>
    <w:pPr>
      <w:ind w:left="720"/>
    </w:pPr>
  </w:style>
  <w:style w:type="character" w:styleId="CommentReference">
    <w:name w:val="annotation reference"/>
    <w:basedOn w:val="DefaultParagraphFont"/>
    <w:rsid w:val="00F47596"/>
    <w:rPr>
      <w:sz w:val="16"/>
      <w:szCs w:val="16"/>
    </w:rPr>
  </w:style>
  <w:style w:type="paragraph" w:styleId="CommentText">
    <w:name w:val="annotation text"/>
    <w:basedOn w:val="Normal"/>
    <w:link w:val="CommentTextChar"/>
    <w:rsid w:val="00F47596"/>
    <w:rPr>
      <w:sz w:val="20"/>
      <w:szCs w:val="20"/>
    </w:rPr>
  </w:style>
  <w:style w:type="character" w:customStyle="1" w:styleId="CommentTextChar">
    <w:name w:val="Comment Text Char"/>
    <w:basedOn w:val="DefaultParagraphFont"/>
    <w:link w:val="CommentText"/>
    <w:rsid w:val="00F47596"/>
  </w:style>
  <w:style w:type="paragraph" w:styleId="CommentSubject">
    <w:name w:val="annotation subject"/>
    <w:basedOn w:val="CommentText"/>
    <w:next w:val="CommentText"/>
    <w:link w:val="CommentSubjectChar"/>
    <w:rsid w:val="00F47596"/>
    <w:rPr>
      <w:b/>
      <w:bCs/>
    </w:rPr>
  </w:style>
  <w:style w:type="character" w:customStyle="1" w:styleId="CommentSubjectChar">
    <w:name w:val="Comment Subject Char"/>
    <w:basedOn w:val="CommentTextChar"/>
    <w:link w:val="CommentSubject"/>
    <w:rsid w:val="00F47596"/>
    <w:rPr>
      <w:b/>
      <w:bCs/>
    </w:rPr>
  </w:style>
  <w:style w:type="character" w:customStyle="1" w:styleId="FooterChar">
    <w:name w:val="Footer Char"/>
    <w:basedOn w:val="DefaultParagraphFont"/>
    <w:link w:val="Footer"/>
    <w:uiPriority w:val="99"/>
    <w:rsid w:val="00540AA3"/>
    <w:rPr>
      <w:sz w:val="24"/>
      <w:szCs w:val="24"/>
    </w:rPr>
  </w:style>
  <w:style w:type="character" w:customStyle="1" w:styleId="BodyTextIndentChar">
    <w:name w:val="Body Text Indent Char"/>
    <w:basedOn w:val="DefaultParagraphFont"/>
    <w:link w:val="BodyTextIndent"/>
    <w:rsid w:val="0082582D"/>
    <w:rPr>
      <w:sz w:val="24"/>
      <w:szCs w:val="24"/>
    </w:rPr>
  </w:style>
  <w:style w:type="paragraph" w:styleId="Revision">
    <w:name w:val="Revision"/>
    <w:hidden/>
    <w:uiPriority w:val="99"/>
    <w:semiHidden/>
    <w:rsid w:val="00615B8A"/>
    <w:rPr>
      <w:sz w:val="24"/>
      <w:szCs w:val="24"/>
    </w:rPr>
  </w:style>
  <w:style w:type="character" w:customStyle="1" w:styleId="NoSpacingChar">
    <w:name w:val="No Spacing Char"/>
    <w:basedOn w:val="DefaultParagraphFont"/>
    <w:link w:val="NoSpacing"/>
    <w:uiPriority w:val="1"/>
    <w:locked/>
    <w:rsid w:val="005629DC"/>
  </w:style>
  <w:style w:type="paragraph" w:styleId="NoSpacing">
    <w:name w:val="No Spacing"/>
    <w:basedOn w:val="Normal"/>
    <w:link w:val="NoSpacingChar"/>
    <w:uiPriority w:val="1"/>
    <w:qFormat/>
    <w:rsid w:val="005629DC"/>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0ABD1E3ED7E51D4EBDFD238B4D34CC2D" ma:contentTypeVersion="131" ma:contentTypeDescription="" ma:contentTypeScope="" ma:versionID="0d6050fba20118cd134162a7318cf1c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015f1b76-b32e-440f-80a7-f0ca4d8a872c" ContentTypeId="0x0101006E56B4D1795A2E4DB2F0B01679ED314A"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efix xmlns="dc463f71-b30c-4ab2-9473-d307f9d35888">UT</Prefix>
    <DocumentSetType xmlns="dc463f71-b30c-4ab2-9473-d307f9d35888">Testimony</DocumentSetType>
    <IsConfidential xmlns="dc463f71-b30c-4ab2-9473-d307f9d35888">false</IsConfidential>
    <AgendaOrder xmlns="dc463f71-b30c-4ab2-9473-d307f9d35888">false</AgendaOrder>
    <CaseType xmlns="dc463f71-b30c-4ab2-9473-d307f9d35888">Transfer of Property</CaseType>
    <IndustryCode xmlns="dc463f71-b30c-4ab2-9473-d307f9d35888">170</IndustryCode>
    <CaseStatus xmlns="dc463f71-b30c-4ab2-9473-d307f9d35888">Closed</CaseStatus>
    <OpenedDate xmlns="dc463f71-b30c-4ab2-9473-d307f9d35888">2009-05-29T07:00:00+00:00</OpenedDate>
    <Date1 xmlns="dc463f71-b30c-4ab2-9473-d307f9d35888">2009-11-03T08:00:00+00:00</Date1>
    <IsDocumentOrder xmlns="dc463f71-b30c-4ab2-9473-d307f9d35888" xsi:nil="true"/>
    <IsHighlyConfidential xmlns="dc463f71-b30c-4ab2-9473-d307f9d35888">false</IsHighlyConfidential>
    <CaseCompanyNames xmlns="dc463f71-b30c-4ab2-9473-d307f9d35888">Verizon Northwest Inc.</CaseCompanyNames>
    <DocketNumber xmlns="dc463f71-b30c-4ab2-9473-d307f9d35888">090842</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Props1.xml><?xml version="1.0" encoding="utf-8"?>
<ds:datastoreItem xmlns:ds="http://schemas.openxmlformats.org/officeDocument/2006/customXml" ds:itemID="{42031296-23D4-4B07-98DD-875C4FC42906}"/>
</file>

<file path=customXml/itemProps2.xml><?xml version="1.0" encoding="utf-8"?>
<ds:datastoreItem xmlns:ds="http://schemas.openxmlformats.org/officeDocument/2006/customXml" ds:itemID="{91EB2CAA-44BF-4B1E-BE03-895B401415EF}"/>
</file>

<file path=customXml/itemProps3.xml><?xml version="1.0" encoding="utf-8"?>
<ds:datastoreItem xmlns:ds="http://schemas.openxmlformats.org/officeDocument/2006/customXml" ds:itemID="{4F01CD4F-A46E-4821-A8CF-D737211042B7}"/>
</file>

<file path=customXml/itemProps4.xml><?xml version="1.0" encoding="utf-8"?>
<ds:datastoreItem xmlns:ds="http://schemas.openxmlformats.org/officeDocument/2006/customXml" ds:itemID="{9A671432-0308-426D-8D06-509E798AF955}"/>
</file>

<file path=customXml/itemProps5.xml><?xml version="1.0" encoding="utf-8"?>
<ds:datastoreItem xmlns:ds="http://schemas.openxmlformats.org/officeDocument/2006/customXml" ds:itemID="{184A1DD8-888A-4B0C-B704-C83FBC277917}"/>
</file>

<file path=docProps/app.xml><?xml version="1.0" encoding="utf-8"?>
<Properties xmlns="http://schemas.openxmlformats.org/officeDocument/2006/extended-properties" xmlns:vt="http://schemas.openxmlformats.org/officeDocument/2006/docPropsVTypes">
  <Template>Normal.dotm</Template>
  <TotalTime>67</TotalTime>
  <Pages>32</Pages>
  <Words>7724</Words>
  <Characters>42389</Characters>
  <Application>Microsoft Office Word</Application>
  <DocSecurity>0</DocSecurity>
  <Lines>353</Lines>
  <Paragraphs>100</Paragraphs>
  <ScaleCrop>false</ScaleCrop>
  <HeadingPairs>
    <vt:vector size="2" baseType="variant">
      <vt:variant>
        <vt:lpstr>Title</vt:lpstr>
      </vt:variant>
      <vt:variant>
        <vt:i4>1</vt:i4>
      </vt:variant>
    </vt:vector>
  </HeadingPairs>
  <TitlesOfParts>
    <vt:vector size="1" baseType="lpstr">
      <vt:lpstr>Q</vt:lpstr>
    </vt:vector>
  </TitlesOfParts>
  <Company/>
  <LinksUpToDate>false</LinksUpToDate>
  <CharactersWithSpaces>50013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c:title>
  <dc:subject/>
  <dc:creator>Valued Gateway Client</dc:creator>
  <cp:keywords/>
  <dc:description/>
  <cp:lastModifiedBy>BDeMarco</cp:lastModifiedBy>
  <cp:revision>9</cp:revision>
  <cp:lastPrinted>2009-11-03T23:01:00Z</cp:lastPrinted>
  <dcterms:created xsi:type="dcterms:W3CDTF">2009-11-03T21:57:00Z</dcterms:created>
  <dcterms:modified xsi:type="dcterms:W3CDTF">2009-11-03T23:07:00Z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0x0101006E56B4D1795A2E4DB2F0B01679ED314A000ABD1E3ED7E51D4EBDFD238B4D34CC2D</vt:lpwstr>
  </property>
  <property fmtid="{D5CDD505-2E9C-101B-9397-08002B2CF9AE}" pid="3" name="_docset_NoMedatataSyncRequired">
    <vt:lpwstr>False</vt:lpwstr>
  </property>
</Properties>
</file>