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9D7C8" w14:textId="77777777" w:rsidR="00AC629F" w:rsidRPr="00AC629F" w:rsidRDefault="00AC629F" w:rsidP="00AC629F">
      <w:pPr>
        <w:tabs>
          <w:tab w:val="center" w:pos="4680"/>
        </w:tabs>
        <w:spacing w:before="0" w:after="0"/>
        <w:ind w:right="-108" w:hanging="180"/>
        <w:jc w:val="center"/>
        <w:rPr>
          <w:b/>
        </w:rPr>
      </w:pPr>
      <w:bookmarkStart w:id="0" w:name="_GoBack"/>
      <w:bookmarkEnd w:id="0"/>
      <w:r w:rsidRPr="00AC629F">
        <w:rPr>
          <w:b/>
        </w:rPr>
        <w:t>BEFORE THE WASHINGTON UTILITIES AND TRANSPORTATION COMMISSION</w:t>
      </w:r>
    </w:p>
    <w:p w14:paraId="7897FF66" w14:textId="77777777" w:rsidR="00AC629F" w:rsidRPr="00AC629F" w:rsidRDefault="00AC629F" w:rsidP="00AC629F">
      <w:pPr>
        <w:spacing w:before="0" w:after="0"/>
        <w:jc w:val="both"/>
        <w:rPr>
          <w:b/>
        </w:rPr>
      </w:pPr>
    </w:p>
    <w:p w14:paraId="7A2DF3E5" w14:textId="77777777" w:rsidR="00AC629F" w:rsidRPr="00AC629F" w:rsidRDefault="00AC629F" w:rsidP="00AC629F">
      <w:pPr>
        <w:spacing w:before="0" w:after="0"/>
        <w:jc w:val="both"/>
        <w:rPr>
          <w:b/>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AC629F" w:rsidRPr="00AC629F" w14:paraId="1AF3B583" w14:textId="77777777" w:rsidTr="009112E8">
        <w:tc>
          <w:tcPr>
            <w:tcW w:w="4590" w:type="dxa"/>
            <w:tcBorders>
              <w:top w:val="single" w:sz="6" w:space="0" w:color="FFFFFF"/>
              <w:left w:val="single" w:sz="6" w:space="0" w:color="FFFFFF"/>
              <w:bottom w:val="single" w:sz="6" w:space="0" w:color="FFFFFF"/>
              <w:right w:val="single" w:sz="6" w:space="0" w:color="FFFFFF"/>
            </w:tcBorders>
          </w:tcPr>
          <w:p w14:paraId="4FF2A488" w14:textId="62A2E85D" w:rsidR="00AC629F" w:rsidRPr="00AC629F" w:rsidRDefault="00261A88" w:rsidP="00AC629F">
            <w:pPr>
              <w:spacing w:before="0" w:after="0"/>
              <w:rPr>
                <w:b/>
              </w:rPr>
            </w:pPr>
            <w:r w:rsidRPr="00AC629F">
              <w:rPr>
                <w:b/>
              </w:rPr>
              <w:t>In the Matter of Puget Sound Energy 201</w:t>
            </w:r>
            <w:r>
              <w:rPr>
                <w:b/>
              </w:rPr>
              <w:t>6</w:t>
            </w:r>
            <w:r w:rsidRPr="00AC629F">
              <w:rPr>
                <w:b/>
              </w:rPr>
              <w:t xml:space="preserve"> Renewable </w:t>
            </w:r>
            <w:r>
              <w:rPr>
                <w:b/>
              </w:rPr>
              <w:t>Portfolio Standard</w:t>
            </w:r>
            <w:r w:rsidRPr="00AC629F">
              <w:rPr>
                <w:b/>
              </w:rPr>
              <w:t xml:space="preserve"> Report </w:t>
            </w:r>
          </w:p>
          <w:p w14:paraId="44381730" w14:textId="77777777" w:rsidR="00AC629F" w:rsidRPr="00AC629F" w:rsidRDefault="00AC629F" w:rsidP="00AC629F">
            <w:pPr>
              <w:spacing w:before="0" w:after="0"/>
              <w:rPr>
                <w:b/>
              </w:rPr>
            </w:pPr>
          </w:p>
          <w:p w14:paraId="36DE69A6" w14:textId="5D5BCC1C" w:rsidR="00AC629F" w:rsidRPr="00AC629F" w:rsidRDefault="00AC629F" w:rsidP="00AC629F">
            <w:pPr>
              <w:spacing w:before="0" w:after="0"/>
              <w:rPr>
                <w:b/>
              </w:rPr>
            </w:pPr>
            <w:r w:rsidRPr="00AC629F">
              <w:rPr>
                <w:b/>
              </w:rPr>
              <w:t>____________________________________</w:t>
            </w:r>
          </w:p>
          <w:p w14:paraId="25B23B45" w14:textId="77777777" w:rsidR="00AC629F" w:rsidRPr="00AC629F" w:rsidRDefault="00AC629F" w:rsidP="00AC629F">
            <w:pPr>
              <w:spacing w:before="0" w:after="0"/>
              <w:rPr>
                <w:b/>
              </w:rPr>
            </w:pPr>
          </w:p>
          <w:p w14:paraId="41988B86" w14:textId="74012E3D" w:rsidR="00AC629F" w:rsidRPr="00AC629F" w:rsidRDefault="00AC629F" w:rsidP="00AC629F">
            <w:pPr>
              <w:spacing w:before="0" w:after="0"/>
              <w:rPr>
                <w:b/>
              </w:rPr>
            </w:pPr>
            <w:r w:rsidRPr="00AC629F">
              <w:rPr>
                <w:b/>
              </w:rPr>
              <w:t>In the Matter of Pacific Power and Light Company 201</w:t>
            </w:r>
            <w:r w:rsidR="00196AB5">
              <w:rPr>
                <w:b/>
              </w:rPr>
              <w:t>6</w:t>
            </w:r>
            <w:r w:rsidRPr="00AC629F">
              <w:rPr>
                <w:b/>
              </w:rPr>
              <w:t xml:space="preserve"> Renewable </w:t>
            </w:r>
            <w:r w:rsidR="009112E8">
              <w:rPr>
                <w:b/>
              </w:rPr>
              <w:t>Portfolio Standard</w:t>
            </w:r>
            <w:r w:rsidR="009112E8" w:rsidRPr="00AC629F">
              <w:rPr>
                <w:b/>
              </w:rPr>
              <w:t xml:space="preserve"> </w:t>
            </w:r>
            <w:r w:rsidRPr="00AC629F">
              <w:rPr>
                <w:b/>
              </w:rPr>
              <w:t xml:space="preserve">Report </w:t>
            </w:r>
          </w:p>
          <w:p w14:paraId="3C605EBD" w14:textId="77777777" w:rsidR="00AC629F" w:rsidRPr="00AC629F" w:rsidRDefault="00AC629F" w:rsidP="00AC629F">
            <w:pPr>
              <w:spacing w:before="0" w:after="0"/>
              <w:rPr>
                <w:b/>
              </w:rPr>
            </w:pPr>
          </w:p>
          <w:p w14:paraId="4322FBE4" w14:textId="77777777" w:rsidR="00AC629F" w:rsidRPr="00AC629F" w:rsidRDefault="00AC629F" w:rsidP="00AC629F">
            <w:pPr>
              <w:spacing w:before="0" w:after="0"/>
              <w:rPr>
                <w:b/>
              </w:rPr>
            </w:pPr>
            <w:r w:rsidRPr="00AC629F">
              <w:rPr>
                <w:b/>
              </w:rPr>
              <w:t>____________________________________</w:t>
            </w:r>
          </w:p>
          <w:p w14:paraId="3026285B" w14:textId="77777777" w:rsidR="00AC629F" w:rsidRPr="00AC629F" w:rsidRDefault="00AC629F" w:rsidP="00AC629F">
            <w:pPr>
              <w:spacing w:before="0" w:after="0"/>
              <w:rPr>
                <w:b/>
              </w:rPr>
            </w:pPr>
          </w:p>
          <w:p w14:paraId="406E5602" w14:textId="1EB92B67" w:rsidR="00AC629F" w:rsidRPr="00AC629F" w:rsidRDefault="00261A88" w:rsidP="00196AB5">
            <w:pPr>
              <w:spacing w:before="0" w:after="0"/>
              <w:rPr>
                <w:b/>
              </w:rPr>
            </w:pPr>
            <w:r w:rsidRPr="00AC629F">
              <w:rPr>
                <w:b/>
              </w:rPr>
              <w:t>In the Matter of Avista 201</w:t>
            </w:r>
            <w:r>
              <w:rPr>
                <w:b/>
              </w:rPr>
              <w:t>6</w:t>
            </w:r>
            <w:r w:rsidRPr="00AC629F">
              <w:rPr>
                <w:b/>
              </w:rPr>
              <w:t xml:space="preserve"> Renewable </w:t>
            </w:r>
            <w:r>
              <w:rPr>
                <w:b/>
              </w:rPr>
              <w:t>Portfolio Standard</w:t>
            </w:r>
            <w:r w:rsidRPr="00AC629F">
              <w:rPr>
                <w:b/>
              </w:rPr>
              <w:t xml:space="preserve"> Report</w:t>
            </w:r>
          </w:p>
        </w:tc>
        <w:tc>
          <w:tcPr>
            <w:tcW w:w="4590" w:type="dxa"/>
            <w:tcBorders>
              <w:top w:val="single" w:sz="6" w:space="0" w:color="FFFFFF"/>
              <w:left w:val="single" w:sz="7" w:space="0" w:color="000000"/>
              <w:bottom w:val="single" w:sz="6" w:space="0" w:color="FFFFFF"/>
              <w:right w:val="single" w:sz="6" w:space="0" w:color="FFFFFF"/>
            </w:tcBorders>
          </w:tcPr>
          <w:p w14:paraId="63E65102" w14:textId="36E5C6F8" w:rsidR="00AC629F" w:rsidRPr="00AC629F" w:rsidRDefault="00AC629F" w:rsidP="00AC629F">
            <w:pPr>
              <w:spacing w:before="0" w:after="0"/>
              <w:ind w:firstLine="720"/>
              <w:rPr>
                <w:b/>
              </w:rPr>
            </w:pPr>
            <w:r w:rsidRPr="00AC629F">
              <w:rPr>
                <w:b/>
              </w:rPr>
              <w:t>DOCKET UE-</w:t>
            </w:r>
            <w:r w:rsidR="00261A88">
              <w:rPr>
                <w:b/>
              </w:rPr>
              <w:t>160757</w:t>
            </w:r>
            <w:r w:rsidR="00261A88" w:rsidRPr="00AC629F">
              <w:rPr>
                <w:b/>
              </w:rPr>
              <w:t xml:space="preserve"> </w:t>
            </w:r>
          </w:p>
          <w:p w14:paraId="15BEA21B" w14:textId="77777777" w:rsidR="00AC629F" w:rsidRPr="00AC629F" w:rsidRDefault="00AC629F" w:rsidP="009112E8">
            <w:pPr>
              <w:spacing w:before="0" w:after="0"/>
              <w:ind w:left="734"/>
              <w:rPr>
                <w:b/>
              </w:rPr>
            </w:pPr>
          </w:p>
          <w:p w14:paraId="384F4196" w14:textId="77777777" w:rsidR="00AC629F" w:rsidRPr="00AC629F" w:rsidRDefault="00AC629F" w:rsidP="00AC629F">
            <w:pPr>
              <w:spacing w:before="0" w:after="0"/>
              <w:ind w:left="720"/>
              <w:rPr>
                <w:b/>
              </w:rPr>
            </w:pPr>
          </w:p>
          <w:p w14:paraId="5393E771" w14:textId="77777777" w:rsidR="00AC629F" w:rsidRPr="00AC629F" w:rsidRDefault="00AC629F" w:rsidP="00AC629F">
            <w:pPr>
              <w:spacing w:before="0" w:after="0"/>
              <w:ind w:left="720"/>
              <w:rPr>
                <w:b/>
              </w:rPr>
            </w:pPr>
          </w:p>
          <w:p w14:paraId="6C22AC9F" w14:textId="77777777" w:rsidR="00AC629F" w:rsidRPr="00AC629F" w:rsidRDefault="00AC629F" w:rsidP="00AC629F">
            <w:pPr>
              <w:spacing w:before="0" w:after="0"/>
              <w:ind w:left="720"/>
              <w:rPr>
                <w:b/>
              </w:rPr>
            </w:pPr>
          </w:p>
          <w:p w14:paraId="0945300C" w14:textId="1065A602" w:rsidR="00AC629F" w:rsidRPr="00AC629F" w:rsidRDefault="00AC629F" w:rsidP="00AC629F">
            <w:pPr>
              <w:spacing w:before="0" w:after="0"/>
              <w:ind w:left="720"/>
              <w:rPr>
                <w:b/>
              </w:rPr>
            </w:pPr>
            <w:r w:rsidRPr="00AC629F">
              <w:rPr>
                <w:b/>
              </w:rPr>
              <w:t>DOCKET UE-</w:t>
            </w:r>
            <w:r w:rsidR="003E47A2">
              <w:rPr>
                <w:b/>
              </w:rPr>
              <w:t>160777</w:t>
            </w:r>
          </w:p>
          <w:p w14:paraId="44695B41" w14:textId="77777777" w:rsidR="00AC629F" w:rsidRPr="00AC629F" w:rsidRDefault="00AC629F" w:rsidP="00AC629F">
            <w:pPr>
              <w:spacing w:before="0" w:after="0"/>
              <w:ind w:left="720"/>
              <w:rPr>
                <w:b/>
              </w:rPr>
            </w:pPr>
          </w:p>
          <w:p w14:paraId="18DEB6F0" w14:textId="77777777" w:rsidR="00AC629F" w:rsidRPr="00AC629F" w:rsidRDefault="00AC629F" w:rsidP="00AC629F">
            <w:pPr>
              <w:spacing w:before="0" w:after="0"/>
              <w:ind w:left="720"/>
              <w:rPr>
                <w:b/>
              </w:rPr>
            </w:pPr>
          </w:p>
          <w:p w14:paraId="331CE55D" w14:textId="77777777" w:rsidR="00AC629F" w:rsidRPr="00AC629F" w:rsidRDefault="00AC629F" w:rsidP="00AC629F">
            <w:pPr>
              <w:spacing w:before="0" w:after="0"/>
              <w:ind w:left="720"/>
              <w:rPr>
                <w:b/>
              </w:rPr>
            </w:pPr>
          </w:p>
          <w:p w14:paraId="7697E1E5" w14:textId="77777777" w:rsidR="00AC629F" w:rsidRPr="00AC629F" w:rsidRDefault="00AC629F" w:rsidP="00AC629F">
            <w:pPr>
              <w:spacing w:before="0" w:after="0"/>
              <w:ind w:left="720"/>
              <w:rPr>
                <w:b/>
              </w:rPr>
            </w:pPr>
          </w:p>
          <w:p w14:paraId="3BC2087A" w14:textId="77777777" w:rsidR="00AC629F" w:rsidRPr="00AC629F" w:rsidRDefault="00AC629F" w:rsidP="00AC629F">
            <w:pPr>
              <w:spacing w:before="0" w:after="0"/>
              <w:ind w:left="720"/>
              <w:rPr>
                <w:b/>
              </w:rPr>
            </w:pPr>
          </w:p>
          <w:p w14:paraId="4D5D9A42" w14:textId="60CE8AB6" w:rsidR="00AC629F" w:rsidRPr="00AC629F" w:rsidRDefault="003E47A2" w:rsidP="00261A88">
            <w:pPr>
              <w:spacing w:before="0" w:after="0"/>
              <w:ind w:left="720"/>
              <w:rPr>
                <w:b/>
              </w:rPr>
            </w:pPr>
            <w:r>
              <w:rPr>
                <w:b/>
              </w:rPr>
              <w:t>DOCKET UE-</w:t>
            </w:r>
            <w:r w:rsidR="00261A88">
              <w:rPr>
                <w:b/>
              </w:rPr>
              <w:t>160779</w:t>
            </w:r>
          </w:p>
        </w:tc>
      </w:tr>
      <w:tr w:rsidR="009112E8" w:rsidRPr="00AC629F" w14:paraId="22D71F1F" w14:textId="77777777" w:rsidTr="007D63B4">
        <w:tc>
          <w:tcPr>
            <w:tcW w:w="4590" w:type="dxa"/>
            <w:tcBorders>
              <w:top w:val="single" w:sz="6" w:space="0" w:color="FFFFFF"/>
              <w:left w:val="single" w:sz="6" w:space="0" w:color="FFFFFF"/>
              <w:bottom w:val="single" w:sz="7" w:space="0" w:color="000000"/>
              <w:right w:val="single" w:sz="6" w:space="0" w:color="FFFFFF"/>
            </w:tcBorders>
          </w:tcPr>
          <w:p w14:paraId="7AFD09D1" w14:textId="77777777" w:rsidR="009112E8" w:rsidRPr="00AC629F" w:rsidRDefault="009112E8" w:rsidP="00AC629F">
            <w:pPr>
              <w:spacing w:before="0" w:after="0"/>
              <w:rPr>
                <w:b/>
              </w:rPr>
            </w:pPr>
          </w:p>
        </w:tc>
        <w:tc>
          <w:tcPr>
            <w:tcW w:w="4590" w:type="dxa"/>
            <w:tcBorders>
              <w:top w:val="single" w:sz="6" w:space="0" w:color="FFFFFF"/>
              <w:left w:val="single" w:sz="7" w:space="0" w:color="000000"/>
              <w:bottom w:val="single" w:sz="6" w:space="0" w:color="FFFFFF"/>
              <w:right w:val="single" w:sz="6" w:space="0" w:color="FFFFFF"/>
            </w:tcBorders>
          </w:tcPr>
          <w:p w14:paraId="586E8452" w14:textId="77777777" w:rsidR="009112E8" w:rsidRPr="00AC629F" w:rsidRDefault="009112E8" w:rsidP="00AC629F">
            <w:pPr>
              <w:spacing w:before="0" w:after="0"/>
              <w:ind w:firstLine="720"/>
              <w:rPr>
                <w:b/>
              </w:rPr>
            </w:pPr>
          </w:p>
        </w:tc>
      </w:tr>
    </w:tbl>
    <w:p w14:paraId="12872CC6" w14:textId="3E50FF92" w:rsidR="00AC629F" w:rsidRPr="00AC629F" w:rsidRDefault="00AC629F" w:rsidP="00AC629F">
      <w:pPr>
        <w:jc w:val="both"/>
        <w:rPr>
          <w:b/>
        </w:rPr>
      </w:pPr>
    </w:p>
    <w:p w14:paraId="3874004E" w14:textId="77777777" w:rsidR="00EF7490" w:rsidRDefault="00EF7490" w:rsidP="00EF7490">
      <w:pPr>
        <w:tabs>
          <w:tab w:val="left" w:pos="-1440"/>
        </w:tabs>
        <w:spacing w:before="0" w:after="0"/>
        <w:ind w:left="4320" w:hanging="4320"/>
        <w:rPr>
          <w:b/>
          <w:bCs/>
        </w:rPr>
      </w:pPr>
    </w:p>
    <w:p w14:paraId="10343F03" w14:textId="77777777" w:rsidR="00EF7490" w:rsidRDefault="00EF7490" w:rsidP="00EF7490">
      <w:pPr>
        <w:tabs>
          <w:tab w:val="center" w:pos="4680"/>
        </w:tabs>
        <w:spacing w:before="0" w:after="0"/>
        <w:jc w:val="center"/>
        <w:rPr>
          <w:b/>
          <w:bCs/>
        </w:rPr>
      </w:pPr>
      <w:r>
        <w:rPr>
          <w:b/>
          <w:bCs/>
        </w:rPr>
        <w:t>COMMISSION STAFF COMMENTS REGARDING</w:t>
      </w:r>
    </w:p>
    <w:p w14:paraId="3F621122" w14:textId="7721BECF" w:rsidR="00EF7490" w:rsidRDefault="00EF7490" w:rsidP="00EF7490">
      <w:pPr>
        <w:tabs>
          <w:tab w:val="left" w:pos="-1440"/>
        </w:tabs>
        <w:spacing w:before="0" w:after="0"/>
        <w:jc w:val="center"/>
        <w:rPr>
          <w:b/>
        </w:rPr>
      </w:pPr>
      <w:r>
        <w:rPr>
          <w:b/>
        </w:rPr>
        <w:t xml:space="preserve">ELECTRIC UTILITY RENEWABLE PORTFOLIO STANDARD REPORTS UNDER </w:t>
      </w:r>
      <w:r w:rsidR="007D0319">
        <w:rPr>
          <w:b/>
        </w:rPr>
        <w:t>THE ENERGY INDEPENDENCE ACT</w:t>
      </w:r>
      <w:r>
        <w:rPr>
          <w:b/>
        </w:rPr>
        <w:t>,</w:t>
      </w:r>
    </w:p>
    <w:p w14:paraId="30382449" w14:textId="753A7D9E" w:rsidR="00EF7490" w:rsidRDefault="007D0319" w:rsidP="00EF7490">
      <w:pPr>
        <w:tabs>
          <w:tab w:val="center" w:pos="4680"/>
        </w:tabs>
        <w:spacing w:before="0" w:after="0"/>
        <w:jc w:val="center"/>
        <w:rPr>
          <w:b/>
        </w:rPr>
      </w:pPr>
      <w:r>
        <w:rPr>
          <w:b/>
        </w:rPr>
        <w:t xml:space="preserve">RCW 19.285 and </w:t>
      </w:r>
      <w:r w:rsidR="00EF7490">
        <w:rPr>
          <w:b/>
        </w:rPr>
        <w:t>WAC 480-109</w:t>
      </w:r>
    </w:p>
    <w:p w14:paraId="74D4E3AD" w14:textId="6473EE09" w:rsidR="00EF7490" w:rsidRDefault="00EF7490" w:rsidP="00EF7490">
      <w:pPr>
        <w:tabs>
          <w:tab w:val="center" w:pos="4680"/>
        </w:tabs>
        <w:spacing w:before="0" w:after="0"/>
        <w:jc w:val="center"/>
        <w:rPr>
          <w:b/>
          <w:bCs/>
        </w:rPr>
      </w:pPr>
      <w:r>
        <w:rPr>
          <w:b/>
        </w:rPr>
        <w:t>(</w:t>
      </w:r>
      <w:r>
        <w:rPr>
          <w:b/>
          <w:bCs/>
        </w:rPr>
        <w:t>201</w:t>
      </w:r>
      <w:r w:rsidR="007D0319">
        <w:rPr>
          <w:b/>
          <w:bCs/>
        </w:rPr>
        <w:t>6</w:t>
      </w:r>
      <w:r>
        <w:rPr>
          <w:b/>
          <w:bCs/>
        </w:rPr>
        <w:t xml:space="preserve"> RENEWABLE </w:t>
      </w:r>
      <w:r w:rsidR="003A1C36">
        <w:rPr>
          <w:b/>
          <w:bCs/>
        </w:rPr>
        <w:t>PORTFOLIO STANDARD</w:t>
      </w:r>
      <w:r>
        <w:rPr>
          <w:b/>
          <w:bCs/>
        </w:rPr>
        <w:t xml:space="preserve"> REPORTS)</w:t>
      </w:r>
    </w:p>
    <w:p w14:paraId="262F57EA" w14:textId="77777777" w:rsidR="00EF7490" w:rsidRDefault="00EF7490" w:rsidP="00EF7490">
      <w:pPr>
        <w:tabs>
          <w:tab w:val="center" w:pos="4680"/>
        </w:tabs>
        <w:spacing w:before="0" w:after="0"/>
        <w:jc w:val="center"/>
        <w:rPr>
          <w:b/>
          <w:bCs/>
        </w:rPr>
      </w:pPr>
    </w:p>
    <w:p w14:paraId="014C6D6D" w14:textId="21390DC6" w:rsidR="00EF7490" w:rsidRDefault="003607E1" w:rsidP="00EF7490">
      <w:pPr>
        <w:tabs>
          <w:tab w:val="center" w:pos="4680"/>
        </w:tabs>
        <w:spacing w:before="0" w:after="0"/>
        <w:jc w:val="center"/>
        <w:rPr>
          <w:b/>
          <w:bCs/>
        </w:rPr>
      </w:pPr>
      <w:r>
        <w:rPr>
          <w:b/>
          <w:bCs/>
        </w:rPr>
        <w:t>JULY 14</w:t>
      </w:r>
      <w:r w:rsidR="00C06AF3">
        <w:rPr>
          <w:b/>
          <w:bCs/>
        </w:rPr>
        <w:t>, 2016</w:t>
      </w:r>
    </w:p>
    <w:p w14:paraId="6C0E91A9" w14:textId="77777777" w:rsidR="00EF7490" w:rsidRDefault="00EF7490" w:rsidP="00EF7490">
      <w:pPr>
        <w:tabs>
          <w:tab w:val="center" w:pos="4680"/>
        </w:tabs>
        <w:spacing w:before="0" w:after="0"/>
        <w:jc w:val="center"/>
        <w:rPr>
          <w:b/>
          <w:bCs/>
        </w:rPr>
      </w:pPr>
    </w:p>
    <w:p w14:paraId="68662473" w14:textId="77777777" w:rsidR="00EF7490" w:rsidRDefault="00EF7490" w:rsidP="009112E8">
      <w:pPr>
        <w:tabs>
          <w:tab w:val="center" w:pos="4680"/>
        </w:tabs>
        <w:rPr>
          <w:b/>
          <w:bCs/>
        </w:rPr>
      </w:pPr>
    </w:p>
    <w:p w14:paraId="7963A86C" w14:textId="77777777" w:rsidR="00AC629F" w:rsidRDefault="00AC629F" w:rsidP="00EF7490">
      <w:pPr>
        <w:spacing w:before="0" w:after="0"/>
        <w:rPr>
          <w:b/>
        </w:rPr>
        <w:sectPr w:rsidR="00AC629F" w:rsidSect="00A81BDF">
          <w:headerReference w:type="default" r:id="rId11"/>
          <w:headerReference w:type="first" r:id="rId12"/>
          <w:pgSz w:w="12240" w:h="15840"/>
          <w:pgMar w:top="1440" w:right="1440" w:bottom="1440" w:left="1440" w:header="720" w:footer="720" w:gutter="0"/>
          <w:pgNumType w:start="1"/>
          <w:cols w:space="720"/>
          <w:titlePg/>
          <w:docGrid w:linePitch="326"/>
        </w:sectPr>
      </w:pPr>
    </w:p>
    <w:sdt>
      <w:sdtPr>
        <w:rPr>
          <w:rFonts w:ascii="Times New Roman" w:eastAsia="Times New Roman" w:hAnsi="Times New Roman" w:cs="Times New Roman"/>
          <w:color w:val="auto"/>
          <w:sz w:val="24"/>
          <w:szCs w:val="24"/>
        </w:rPr>
        <w:id w:val="-1622760112"/>
        <w:docPartObj>
          <w:docPartGallery w:val="Table of Contents"/>
          <w:docPartUnique/>
        </w:docPartObj>
      </w:sdtPr>
      <w:sdtEndPr>
        <w:rPr>
          <w:b/>
          <w:bCs/>
          <w:noProof/>
        </w:rPr>
      </w:sdtEndPr>
      <w:sdtContent>
        <w:p w14:paraId="0FB17C98" w14:textId="77777777" w:rsidR="001608A6" w:rsidRDefault="001608A6">
          <w:pPr>
            <w:pStyle w:val="TOCHeading"/>
          </w:pPr>
          <w:r>
            <w:t>Contents</w:t>
          </w:r>
        </w:p>
        <w:p w14:paraId="4B08677F" w14:textId="77777777" w:rsidR="00FD4DE2" w:rsidRDefault="00843B51">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56249962" w:history="1">
            <w:r w:rsidR="00FD4DE2" w:rsidRPr="009234A2">
              <w:rPr>
                <w:rStyle w:val="Hyperlink"/>
                <w:noProof/>
              </w:rPr>
              <w:t>Executive Summary</w:t>
            </w:r>
            <w:r w:rsidR="00FD4DE2">
              <w:rPr>
                <w:noProof/>
                <w:webHidden/>
              </w:rPr>
              <w:tab/>
            </w:r>
            <w:r w:rsidR="00FD4DE2">
              <w:rPr>
                <w:noProof/>
                <w:webHidden/>
              </w:rPr>
              <w:fldChar w:fldCharType="begin"/>
            </w:r>
            <w:r w:rsidR="00FD4DE2">
              <w:rPr>
                <w:noProof/>
                <w:webHidden/>
              </w:rPr>
              <w:instrText xml:space="preserve"> PAGEREF _Toc456249962 \h </w:instrText>
            </w:r>
            <w:r w:rsidR="00FD4DE2">
              <w:rPr>
                <w:noProof/>
                <w:webHidden/>
              </w:rPr>
            </w:r>
            <w:r w:rsidR="00FD4DE2">
              <w:rPr>
                <w:noProof/>
                <w:webHidden/>
              </w:rPr>
              <w:fldChar w:fldCharType="separate"/>
            </w:r>
            <w:r w:rsidR="00FD4DE2">
              <w:rPr>
                <w:noProof/>
                <w:webHidden/>
              </w:rPr>
              <w:t>1</w:t>
            </w:r>
            <w:r w:rsidR="00FD4DE2">
              <w:rPr>
                <w:noProof/>
                <w:webHidden/>
              </w:rPr>
              <w:fldChar w:fldCharType="end"/>
            </w:r>
          </w:hyperlink>
        </w:p>
        <w:p w14:paraId="1C774423" w14:textId="77777777" w:rsidR="00FD4DE2" w:rsidRDefault="000B4593">
          <w:pPr>
            <w:pStyle w:val="TOC2"/>
            <w:tabs>
              <w:tab w:val="right" w:leader="dot" w:pos="9350"/>
            </w:tabs>
            <w:rPr>
              <w:rFonts w:asciiTheme="minorHAnsi" w:eastAsiaTheme="minorEastAsia" w:hAnsiTheme="minorHAnsi" w:cstheme="minorBidi"/>
              <w:noProof/>
              <w:sz w:val="22"/>
              <w:szCs w:val="22"/>
            </w:rPr>
          </w:pPr>
          <w:hyperlink w:anchor="_Toc456249963" w:history="1">
            <w:r w:rsidR="00FD4DE2" w:rsidRPr="009234A2">
              <w:rPr>
                <w:rStyle w:val="Hyperlink"/>
                <w:i/>
                <w:noProof/>
              </w:rPr>
              <w:t>Background</w:t>
            </w:r>
            <w:r w:rsidR="00FD4DE2">
              <w:rPr>
                <w:noProof/>
                <w:webHidden/>
              </w:rPr>
              <w:tab/>
            </w:r>
            <w:r w:rsidR="00FD4DE2">
              <w:rPr>
                <w:noProof/>
                <w:webHidden/>
              </w:rPr>
              <w:fldChar w:fldCharType="begin"/>
            </w:r>
            <w:r w:rsidR="00FD4DE2">
              <w:rPr>
                <w:noProof/>
                <w:webHidden/>
              </w:rPr>
              <w:instrText xml:space="preserve"> PAGEREF _Toc456249963 \h </w:instrText>
            </w:r>
            <w:r w:rsidR="00FD4DE2">
              <w:rPr>
                <w:noProof/>
                <w:webHidden/>
              </w:rPr>
            </w:r>
            <w:r w:rsidR="00FD4DE2">
              <w:rPr>
                <w:noProof/>
                <w:webHidden/>
              </w:rPr>
              <w:fldChar w:fldCharType="separate"/>
            </w:r>
            <w:r w:rsidR="00FD4DE2">
              <w:rPr>
                <w:noProof/>
                <w:webHidden/>
              </w:rPr>
              <w:t>1</w:t>
            </w:r>
            <w:r w:rsidR="00FD4DE2">
              <w:rPr>
                <w:noProof/>
                <w:webHidden/>
              </w:rPr>
              <w:fldChar w:fldCharType="end"/>
            </w:r>
          </w:hyperlink>
        </w:p>
        <w:p w14:paraId="267DB3C1" w14:textId="77777777" w:rsidR="00FD4DE2" w:rsidRDefault="000B4593">
          <w:pPr>
            <w:pStyle w:val="TOC2"/>
            <w:tabs>
              <w:tab w:val="right" w:leader="dot" w:pos="9350"/>
            </w:tabs>
            <w:rPr>
              <w:rFonts w:asciiTheme="minorHAnsi" w:eastAsiaTheme="minorEastAsia" w:hAnsiTheme="minorHAnsi" w:cstheme="minorBidi"/>
              <w:noProof/>
              <w:sz w:val="22"/>
              <w:szCs w:val="22"/>
            </w:rPr>
          </w:pPr>
          <w:hyperlink w:anchor="_Toc456249964" w:history="1">
            <w:r w:rsidR="00FD4DE2" w:rsidRPr="009234A2">
              <w:rPr>
                <w:rStyle w:val="Hyperlink"/>
                <w:i/>
                <w:noProof/>
              </w:rPr>
              <w:t>Compliance with Rule</w:t>
            </w:r>
            <w:r w:rsidR="00FD4DE2">
              <w:rPr>
                <w:noProof/>
                <w:webHidden/>
              </w:rPr>
              <w:tab/>
            </w:r>
            <w:r w:rsidR="00FD4DE2">
              <w:rPr>
                <w:noProof/>
                <w:webHidden/>
              </w:rPr>
              <w:fldChar w:fldCharType="begin"/>
            </w:r>
            <w:r w:rsidR="00FD4DE2">
              <w:rPr>
                <w:noProof/>
                <w:webHidden/>
              </w:rPr>
              <w:instrText xml:space="preserve"> PAGEREF _Toc456249964 \h </w:instrText>
            </w:r>
            <w:r w:rsidR="00FD4DE2">
              <w:rPr>
                <w:noProof/>
                <w:webHidden/>
              </w:rPr>
            </w:r>
            <w:r w:rsidR="00FD4DE2">
              <w:rPr>
                <w:noProof/>
                <w:webHidden/>
              </w:rPr>
              <w:fldChar w:fldCharType="separate"/>
            </w:r>
            <w:r w:rsidR="00FD4DE2">
              <w:rPr>
                <w:noProof/>
                <w:webHidden/>
              </w:rPr>
              <w:t>1</w:t>
            </w:r>
            <w:r w:rsidR="00FD4DE2">
              <w:rPr>
                <w:noProof/>
                <w:webHidden/>
              </w:rPr>
              <w:fldChar w:fldCharType="end"/>
            </w:r>
          </w:hyperlink>
        </w:p>
        <w:p w14:paraId="3F65C011" w14:textId="77777777" w:rsidR="00FD4DE2" w:rsidRDefault="000B4593">
          <w:pPr>
            <w:pStyle w:val="TOC1"/>
            <w:tabs>
              <w:tab w:val="right" w:leader="dot" w:pos="9350"/>
            </w:tabs>
            <w:rPr>
              <w:rFonts w:asciiTheme="minorHAnsi" w:eastAsiaTheme="minorEastAsia" w:hAnsiTheme="minorHAnsi" w:cstheme="minorBidi"/>
              <w:noProof/>
              <w:sz w:val="22"/>
              <w:szCs w:val="22"/>
            </w:rPr>
          </w:pPr>
          <w:hyperlink w:anchor="_Toc456249965" w:history="1">
            <w:r w:rsidR="00FD4DE2" w:rsidRPr="009234A2">
              <w:rPr>
                <w:rStyle w:val="Hyperlink"/>
                <w:noProof/>
              </w:rPr>
              <w:t>Focus Issues</w:t>
            </w:r>
            <w:r w:rsidR="00FD4DE2">
              <w:rPr>
                <w:noProof/>
                <w:webHidden/>
              </w:rPr>
              <w:tab/>
            </w:r>
            <w:r w:rsidR="00FD4DE2">
              <w:rPr>
                <w:noProof/>
                <w:webHidden/>
              </w:rPr>
              <w:fldChar w:fldCharType="begin"/>
            </w:r>
            <w:r w:rsidR="00FD4DE2">
              <w:rPr>
                <w:noProof/>
                <w:webHidden/>
              </w:rPr>
              <w:instrText xml:space="preserve"> PAGEREF _Toc456249965 \h </w:instrText>
            </w:r>
            <w:r w:rsidR="00FD4DE2">
              <w:rPr>
                <w:noProof/>
                <w:webHidden/>
              </w:rPr>
            </w:r>
            <w:r w:rsidR="00FD4DE2">
              <w:rPr>
                <w:noProof/>
                <w:webHidden/>
              </w:rPr>
              <w:fldChar w:fldCharType="separate"/>
            </w:r>
            <w:r w:rsidR="00FD4DE2">
              <w:rPr>
                <w:noProof/>
                <w:webHidden/>
              </w:rPr>
              <w:t>2</w:t>
            </w:r>
            <w:r w:rsidR="00FD4DE2">
              <w:rPr>
                <w:noProof/>
                <w:webHidden/>
              </w:rPr>
              <w:fldChar w:fldCharType="end"/>
            </w:r>
          </w:hyperlink>
        </w:p>
        <w:p w14:paraId="3D86148F" w14:textId="77777777" w:rsidR="00FD4DE2" w:rsidRDefault="000B4593">
          <w:pPr>
            <w:pStyle w:val="TOC2"/>
            <w:tabs>
              <w:tab w:val="right" w:leader="dot" w:pos="9350"/>
            </w:tabs>
            <w:rPr>
              <w:rFonts w:asciiTheme="minorHAnsi" w:eastAsiaTheme="minorEastAsia" w:hAnsiTheme="minorHAnsi" w:cstheme="minorBidi"/>
              <w:noProof/>
              <w:sz w:val="22"/>
              <w:szCs w:val="22"/>
            </w:rPr>
          </w:pPr>
          <w:hyperlink w:anchor="_Toc456249966" w:history="1">
            <w:r w:rsidR="00FD4DE2" w:rsidRPr="009234A2">
              <w:rPr>
                <w:rStyle w:val="Hyperlink"/>
                <w:i/>
                <w:noProof/>
              </w:rPr>
              <w:t>Resource Eligibility</w:t>
            </w:r>
            <w:r w:rsidR="00FD4DE2">
              <w:rPr>
                <w:noProof/>
                <w:webHidden/>
              </w:rPr>
              <w:tab/>
            </w:r>
            <w:r w:rsidR="00FD4DE2">
              <w:rPr>
                <w:noProof/>
                <w:webHidden/>
              </w:rPr>
              <w:fldChar w:fldCharType="begin"/>
            </w:r>
            <w:r w:rsidR="00FD4DE2">
              <w:rPr>
                <w:noProof/>
                <w:webHidden/>
              </w:rPr>
              <w:instrText xml:space="preserve"> PAGEREF _Toc456249966 \h </w:instrText>
            </w:r>
            <w:r w:rsidR="00FD4DE2">
              <w:rPr>
                <w:noProof/>
                <w:webHidden/>
              </w:rPr>
            </w:r>
            <w:r w:rsidR="00FD4DE2">
              <w:rPr>
                <w:noProof/>
                <w:webHidden/>
              </w:rPr>
              <w:fldChar w:fldCharType="separate"/>
            </w:r>
            <w:r w:rsidR="00FD4DE2">
              <w:rPr>
                <w:noProof/>
                <w:webHidden/>
              </w:rPr>
              <w:t>2</w:t>
            </w:r>
            <w:r w:rsidR="00FD4DE2">
              <w:rPr>
                <w:noProof/>
                <w:webHidden/>
              </w:rPr>
              <w:fldChar w:fldCharType="end"/>
            </w:r>
          </w:hyperlink>
        </w:p>
        <w:p w14:paraId="5BCF7742" w14:textId="77777777" w:rsidR="00FD4DE2" w:rsidRDefault="000B4593">
          <w:pPr>
            <w:pStyle w:val="TOC2"/>
            <w:tabs>
              <w:tab w:val="right" w:leader="dot" w:pos="9350"/>
            </w:tabs>
            <w:rPr>
              <w:rFonts w:asciiTheme="minorHAnsi" w:eastAsiaTheme="minorEastAsia" w:hAnsiTheme="minorHAnsi" w:cstheme="minorBidi"/>
              <w:noProof/>
              <w:sz w:val="22"/>
              <w:szCs w:val="22"/>
            </w:rPr>
          </w:pPr>
          <w:hyperlink w:anchor="_Toc456249967" w:history="1">
            <w:r w:rsidR="00FD4DE2" w:rsidRPr="009234A2">
              <w:rPr>
                <w:rStyle w:val="Hyperlink"/>
                <w:i/>
                <w:noProof/>
              </w:rPr>
              <w:t>Incremental Cost Calculations</w:t>
            </w:r>
            <w:r w:rsidR="00FD4DE2">
              <w:rPr>
                <w:noProof/>
                <w:webHidden/>
              </w:rPr>
              <w:tab/>
            </w:r>
            <w:r w:rsidR="00FD4DE2">
              <w:rPr>
                <w:noProof/>
                <w:webHidden/>
              </w:rPr>
              <w:fldChar w:fldCharType="begin"/>
            </w:r>
            <w:r w:rsidR="00FD4DE2">
              <w:rPr>
                <w:noProof/>
                <w:webHidden/>
              </w:rPr>
              <w:instrText xml:space="preserve"> PAGEREF _Toc456249967 \h </w:instrText>
            </w:r>
            <w:r w:rsidR="00FD4DE2">
              <w:rPr>
                <w:noProof/>
                <w:webHidden/>
              </w:rPr>
            </w:r>
            <w:r w:rsidR="00FD4DE2">
              <w:rPr>
                <w:noProof/>
                <w:webHidden/>
              </w:rPr>
              <w:fldChar w:fldCharType="separate"/>
            </w:r>
            <w:r w:rsidR="00FD4DE2">
              <w:rPr>
                <w:noProof/>
                <w:webHidden/>
              </w:rPr>
              <w:t>4</w:t>
            </w:r>
            <w:r w:rsidR="00FD4DE2">
              <w:rPr>
                <w:noProof/>
                <w:webHidden/>
              </w:rPr>
              <w:fldChar w:fldCharType="end"/>
            </w:r>
          </w:hyperlink>
        </w:p>
        <w:p w14:paraId="411EF97D" w14:textId="77777777" w:rsidR="00FD4DE2" w:rsidRDefault="000B4593">
          <w:pPr>
            <w:pStyle w:val="TOC1"/>
            <w:tabs>
              <w:tab w:val="right" w:leader="dot" w:pos="9350"/>
            </w:tabs>
            <w:rPr>
              <w:rFonts w:asciiTheme="minorHAnsi" w:eastAsiaTheme="minorEastAsia" w:hAnsiTheme="minorHAnsi" w:cstheme="minorBidi"/>
              <w:noProof/>
              <w:sz w:val="22"/>
              <w:szCs w:val="22"/>
            </w:rPr>
          </w:pPr>
          <w:hyperlink w:anchor="_Toc456249968" w:history="1">
            <w:r w:rsidR="00FD4DE2" w:rsidRPr="009234A2">
              <w:rPr>
                <w:rStyle w:val="Hyperlink"/>
                <w:noProof/>
              </w:rPr>
              <w:t>Company Reports</w:t>
            </w:r>
            <w:r w:rsidR="00FD4DE2">
              <w:rPr>
                <w:noProof/>
                <w:webHidden/>
              </w:rPr>
              <w:tab/>
            </w:r>
            <w:r w:rsidR="00FD4DE2">
              <w:rPr>
                <w:noProof/>
                <w:webHidden/>
              </w:rPr>
              <w:fldChar w:fldCharType="begin"/>
            </w:r>
            <w:r w:rsidR="00FD4DE2">
              <w:rPr>
                <w:noProof/>
                <w:webHidden/>
              </w:rPr>
              <w:instrText xml:space="preserve"> PAGEREF _Toc456249968 \h </w:instrText>
            </w:r>
            <w:r w:rsidR="00FD4DE2">
              <w:rPr>
                <w:noProof/>
                <w:webHidden/>
              </w:rPr>
            </w:r>
            <w:r w:rsidR="00FD4DE2">
              <w:rPr>
                <w:noProof/>
                <w:webHidden/>
              </w:rPr>
              <w:fldChar w:fldCharType="separate"/>
            </w:r>
            <w:r w:rsidR="00FD4DE2">
              <w:rPr>
                <w:noProof/>
                <w:webHidden/>
              </w:rPr>
              <w:t>4</w:t>
            </w:r>
            <w:r w:rsidR="00FD4DE2">
              <w:rPr>
                <w:noProof/>
                <w:webHidden/>
              </w:rPr>
              <w:fldChar w:fldCharType="end"/>
            </w:r>
          </w:hyperlink>
        </w:p>
        <w:p w14:paraId="5C561A6F" w14:textId="77777777" w:rsidR="00FD4DE2" w:rsidRDefault="000B4593">
          <w:pPr>
            <w:pStyle w:val="TOC2"/>
            <w:tabs>
              <w:tab w:val="right" w:leader="dot" w:pos="9350"/>
            </w:tabs>
            <w:rPr>
              <w:rFonts w:asciiTheme="minorHAnsi" w:eastAsiaTheme="minorEastAsia" w:hAnsiTheme="minorHAnsi" w:cstheme="minorBidi"/>
              <w:noProof/>
              <w:sz w:val="22"/>
              <w:szCs w:val="22"/>
            </w:rPr>
          </w:pPr>
          <w:hyperlink w:anchor="_Toc456249969" w:history="1">
            <w:r w:rsidR="00FD4DE2" w:rsidRPr="009234A2">
              <w:rPr>
                <w:rStyle w:val="Hyperlink"/>
                <w:i/>
                <w:noProof/>
              </w:rPr>
              <w:t>Puget Sound Energy (Docket UE-160757)</w:t>
            </w:r>
            <w:r w:rsidR="00FD4DE2">
              <w:rPr>
                <w:noProof/>
                <w:webHidden/>
              </w:rPr>
              <w:tab/>
            </w:r>
            <w:r w:rsidR="00FD4DE2">
              <w:rPr>
                <w:noProof/>
                <w:webHidden/>
              </w:rPr>
              <w:fldChar w:fldCharType="begin"/>
            </w:r>
            <w:r w:rsidR="00FD4DE2">
              <w:rPr>
                <w:noProof/>
                <w:webHidden/>
              </w:rPr>
              <w:instrText xml:space="preserve"> PAGEREF _Toc456249969 \h </w:instrText>
            </w:r>
            <w:r w:rsidR="00FD4DE2">
              <w:rPr>
                <w:noProof/>
                <w:webHidden/>
              </w:rPr>
            </w:r>
            <w:r w:rsidR="00FD4DE2">
              <w:rPr>
                <w:noProof/>
                <w:webHidden/>
              </w:rPr>
              <w:fldChar w:fldCharType="separate"/>
            </w:r>
            <w:r w:rsidR="00FD4DE2">
              <w:rPr>
                <w:noProof/>
                <w:webHidden/>
              </w:rPr>
              <w:t>5</w:t>
            </w:r>
            <w:r w:rsidR="00FD4DE2">
              <w:rPr>
                <w:noProof/>
                <w:webHidden/>
              </w:rPr>
              <w:fldChar w:fldCharType="end"/>
            </w:r>
          </w:hyperlink>
        </w:p>
        <w:p w14:paraId="6E40EEFC" w14:textId="77777777" w:rsidR="00FD4DE2" w:rsidRDefault="000B4593">
          <w:pPr>
            <w:pStyle w:val="TOC2"/>
            <w:tabs>
              <w:tab w:val="right" w:leader="dot" w:pos="9350"/>
            </w:tabs>
            <w:rPr>
              <w:rFonts w:asciiTheme="minorHAnsi" w:eastAsiaTheme="minorEastAsia" w:hAnsiTheme="minorHAnsi" w:cstheme="minorBidi"/>
              <w:noProof/>
              <w:sz w:val="22"/>
              <w:szCs w:val="22"/>
            </w:rPr>
          </w:pPr>
          <w:hyperlink w:anchor="_Toc456249970" w:history="1">
            <w:r w:rsidR="00FD4DE2" w:rsidRPr="009234A2">
              <w:rPr>
                <w:rStyle w:val="Hyperlink"/>
                <w:i/>
                <w:noProof/>
              </w:rPr>
              <w:t>Pacific Power &amp; Light Company (Docket UE-160777)</w:t>
            </w:r>
            <w:r w:rsidR="00FD4DE2">
              <w:rPr>
                <w:noProof/>
                <w:webHidden/>
              </w:rPr>
              <w:tab/>
            </w:r>
            <w:r w:rsidR="00FD4DE2">
              <w:rPr>
                <w:noProof/>
                <w:webHidden/>
              </w:rPr>
              <w:fldChar w:fldCharType="begin"/>
            </w:r>
            <w:r w:rsidR="00FD4DE2">
              <w:rPr>
                <w:noProof/>
                <w:webHidden/>
              </w:rPr>
              <w:instrText xml:space="preserve"> PAGEREF _Toc456249970 \h </w:instrText>
            </w:r>
            <w:r w:rsidR="00FD4DE2">
              <w:rPr>
                <w:noProof/>
                <w:webHidden/>
              </w:rPr>
            </w:r>
            <w:r w:rsidR="00FD4DE2">
              <w:rPr>
                <w:noProof/>
                <w:webHidden/>
              </w:rPr>
              <w:fldChar w:fldCharType="separate"/>
            </w:r>
            <w:r w:rsidR="00FD4DE2">
              <w:rPr>
                <w:noProof/>
                <w:webHidden/>
              </w:rPr>
              <w:t>5</w:t>
            </w:r>
            <w:r w:rsidR="00FD4DE2">
              <w:rPr>
                <w:noProof/>
                <w:webHidden/>
              </w:rPr>
              <w:fldChar w:fldCharType="end"/>
            </w:r>
          </w:hyperlink>
        </w:p>
        <w:p w14:paraId="4C1D3182" w14:textId="77777777" w:rsidR="00FD4DE2" w:rsidRDefault="000B4593">
          <w:pPr>
            <w:pStyle w:val="TOC2"/>
            <w:tabs>
              <w:tab w:val="right" w:leader="dot" w:pos="9350"/>
            </w:tabs>
            <w:rPr>
              <w:rFonts w:asciiTheme="minorHAnsi" w:eastAsiaTheme="minorEastAsia" w:hAnsiTheme="minorHAnsi" w:cstheme="minorBidi"/>
              <w:noProof/>
              <w:sz w:val="22"/>
              <w:szCs w:val="22"/>
            </w:rPr>
          </w:pPr>
          <w:hyperlink w:anchor="_Toc456249971" w:history="1">
            <w:r w:rsidR="00FD4DE2" w:rsidRPr="009234A2">
              <w:rPr>
                <w:rStyle w:val="Hyperlink"/>
                <w:i/>
                <w:noProof/>
              </w:rPr>
              <w:t>Avista (Docket UE-160779)</w:t>
            </w:r>
            <w:r w:rsidR="00FD4DE2">
              <w:rPr>
                <w:noProof/>
                <w:webHidden/>
              </w:rPr>
              <w:tab/>
            </w:r>
            <w:r w:rsidR="00FD4DE2">
              <w:rPr>
                <w:noProof/>
                <w:webHidden/>
              </w:rPr>
              <w:fldChar w:fldCharType="begin"/>
            </w:r>
            <w:r w:rsidR="00FD4DE2">
              <w:rPr>
                <w:noProof/>
                <w:webHidden/>
              </w:rPr>
              <w:instrText xml:space="preserve"> PAGEREF _Toc456249971 \h </w:instrText>
            </w:r>
            <w:r w:rsidR="00FD4DE2">
              <w:rPr>
                <w:noProof/>
                <w:webHidden/>
              </w:rPr>
            </w:r>
            <w:r w:rsidR="00FD4DE2">
              <w:rPr>
                <w:noProof/>
                <w:webHidden/>
              </w:rPr>
              <w:fldChar w:fldCharType="separate"/>
            </w:r>
            <w:r w:rsidR="00FD4DE2">
              <w:rPr>
                <w:noProof/>
                <w:webHidden/>
              </w:rPr>
              <w:t>7</w:t>
            </w:r>
            <w:r w:rsidR="00FD4DE2">
              <w:rPr>
                <w:noProof/>
                <w:webHidden/>
              </w:rPr>
              <w:fldChar w:fldCharType="end"/>
            </w:r>
          </w:hyperlink>
        </w:p>
        <w:p w14:paraId="17011ABA" w14:textId="77777777" w:rsidR="00FD4DE2" w:rsidRDefault="000B4593">
          <w:pPr>
            <w:pStyle w:val="TOC1"/>
            <w:tabs>
              <w:tab w:val="right" w:leader="dot" w:pos="9350"/>
            </w:tabs>
            <w:rPr>
              <w:rFonts w:asciiTheme="minorHAnsi" w:eastAsiaTheme="minorEastAsia" w:hAnsiTheme="minorHAnsi" w:cstheme="minorBidi"/>
              <w:noProof/>
              <w:sz w:val="22"/>
              <w:szCs w:val="22"/>
            </w:rPr>
          </w:pPr>
          <w:hyperlink w:anchor="_Toc456249972" w:history="1">
            <w:r w:rsidR="00FD4DE2" w:rsidRPr="009234A2">
              <w:rPr>
                <w:rStyle w:val="Hyperlink"/>
                <w:noProof/>
              </w:rPr>
              <w:t>Summary</w:t>
            </w:r>
            <w:r w:rsidR="00FD4DE2">
              <w:rPr>
                <w:noProof/>
                <w:webHidden/>
              </w:rPr>
              <w:tab/>
            </w:r>
            <w:r w:rsidR="00FD4DE2">
              <w:rPr>
                <w:noProof/>
                <w:webHidden/>
              </w:rPr>
              <w:fldChar w:fldCharType="begin"/>
            </w:r>
            <w:r w:rsidR="00FD4DE2">
              <w:rPr>
                <w:noProof/>
                <w:webHidden/>
              </w:rPr>
              <w:instrText xml:space="preserve"> PAGEREF _Toc456249972 \h </w:instrText>
            </w:r>
            <w:r w:rsidR="00FD4DE2">
              <w:rPr>
                <w:noProof/>
                <w:webHidden/>
              </w:rPr>
            </w:r>
            <w:r w:rsidR="00FD4DE2">
              <w:rPr>
                <w:noProof/>
                <w:webHidden/>
              </w:rPr>
              <w:fldChar w:fldCharType="separate"/>
            </w:r>
            <w:r w:rsidR="00FD4DE2">
              <w:rPr>
                <w:noProof/>
                <w:webHidden/>
              </w:rPr>
              <w:t>8</w:t>
            </w:r>
            <w:r w:rsidR="00FD4DE2">
              <w:rPr>
                <w:noProof/>
                <w:webHidden/>
              </w:rPr>
              <w:fldChar w:fldCharType="end"/>
            </w:r>
          </w:hyperlink>
        </w:p>
        <w:p w14:paraId="110773B6" w14:textId="77777777" w:rsidR="001608A6" w:rsidRDefault="00843B51">
          <w:r>
            <w:rPr>
              <w:b/>
              <w:bCs/>
              <w:noProof/>
            </w:rPr>
            <w:fldChar w:fldCharType="end"/>
          </w:r>
        </w:p>
      </w:sdtContent>
    </w:sdt>
    <w:p w14:paraId="65EEBA39" w14:textId="77777777" w:rsidR="001608A6" w:rsidRDefault="001608A6" w:rsidP="001608A6">
      <w:pPr>
        <w:spacing w:before="0" w:after="0"/>
        <w:jc w:val="center"/>
        <w:rPr>
          <w:b/>
        </w:rPr>
        <w:sectPr w:rsidR="001608A6" w:rsidSect="00A81BDF">
          <w:pgSz w:w="12240" w:h="15840"/>
          <w:pgMar w:top="1440" w:right="1440" w:bottom="1440" w:left="1440" w:header="720" w:footer="720" w:gutter="0"/>
          <w:pgNumType w:fmt="lowerRoman" w:start="1"/>
          <w:cols w:space="720"/>
          <w:docGrid w:linePitch="326"/>
        </w:sectPr>
      </w:pPr>
    </w:p>
    <w:p w14:paraId="50AAE701" w14:textId="6CB31BF1" w:rsidR="00A64E5C" w:rsidRDefault="00A64E5C" w:rsidP="00A64E5C">
      <w:pPr>
        <w:pStyle w:val="Heading1"/>
        <w:spacing w:before="0" w:after="200"/>
        <w:rPr>
          <w:b w:val="0"/>
        </w:rPr>
      </w:pPr>
      <w:bookmarkStart w:id="1" w:name="_Toc455489971"/>
      <w:bookmarkStart w:id="2" w:name="_Toc456249962"/>
      <w:r>
        <w:rPr>
          <w:b w:val="0"/>
        </w:rPr>
        <w:t>Executive Summary</w:t>
      </w:r>
      <w:bookmarkEnd w:id="1"/>
      <w:bookmarkEnd w:id="2"/>
    </w:p>
    <w:p w14:paraId="146413F8" w14:textId="78D4A078" w:rsidR="00A64E5C" w:rsidRPr="00ED3413" w:rsidRDefault="00A64E5C" w:rsidP="00A64E5C">
      <w:pPr>
        <w:pStyle w:val="Heading2"/>
        <w:rPr>
          <w:i/>
        </w:rPr>
      </w:pPr>
      <w:bookmarkStart w:id="3" w:name="_Toc455489972"/>
      <w:bookmarkStart w:id="4" w:name="_Toc456249963"/>
      <w:r>
        <w:rPr>
          <w:i/>
        </w:rPr>
        <w:t>Background</w:t>
      </w:r>
      <w:bookmarkEnd w:id="3"/>
      <w:bookmarkEnd w:id="4"/>
    </w:p>
    <w:p w14:paraId="371CEECF" w14:textId="5617B48C" w:rsidR="0081375C" w:rsidRDefault="00EF7490" w:rsidP="0081375C">
      <w:pPr>
        <w:spacing w:before="0" w:after="0"/>
      </w:pPr>
      <w:r>
        <w:t>In 2006, Washington voters approved Initiative 937, also known as the Energy Independence Act (EIA). Now codified in RCW 19.285</w:t>
      </w:r>
      <w:r w:rsidR="00006B15">
        <w:t xml:space="preserve"> and Chapter 480-109 WAC</w:t>
      </w:r>
      <w:r>
        <w:t xml:space="preserve">, the EIA created a renewable portfolio standard (RPS) that requires electric utilities with more than 25,000 customers to serve </w:t>
      </w:r>
      <w:r w:rsidR="007A31AC">
        <w:t xml:space="preserve">9 percent </w:t>
      </w:r>
      <w:r>
        <w:t>of their</w:t>
      </w:r>
      <w:r w:rsidR="007A31AC">
        <w:t xml:space="preserve"> 2016</w:t>
      </w:r>
      <w:r>
        <w:t xml:space="preserve"> retail load with eligible renewable resources and to file an</w:t>
      </w:r>
      <w:r w:rsidR="0033651C">
        <w:t xml:space="preserve"> annual compliance report (RPS R</w:t>
      </w:r>
      <w:r>
        <w:t>eport) by June 1 of each year.</w:t>
      </w:r>
      <w:r>
        <w:rPr>
          <w:rStyle w:val="FootnoteReference"/>
        </w:rPr>
        <w:footnoteReference w:id="2"/>
      </w:r>
      <w:r w:rsidR="00E01861">
        <w:t xml:space="preserve"> </w:t>
      </w:r>
      <w:r w:rsidR="0081375C">
        <w:t>Washington’s three investor-owned utilities (IOU’s) – Avista Corporation (AVA or Avista), Pacific Power &amp; Light Company (PAC or Pacific</w:t>
      </w:r>
      <w:r w:rsidR="004320AB">
        <w:t xml:space="preserve"> Power</w:t>
      </w:r>
      <w:r w:rsidR="0081375C">
        <w:t xml:space="preserve">), and Puget </w:t>
      </w:r>
      <w:r w:rsidR="0033651C">
        <w:t>Sound Energy (PSE) – filed RPS R</w:t>
      </w:r>
      <w:r w:rsidR="0081375C">
        <w:t xml:space="preserve">eports by June 1, 2016. </w:t>
      </w:r>
    </w:p>
    <w:p w14:paraId="3E5FA46F" w14:textId="77777777" w:rsidR="0081375C" w:rsidRDefault="0081375C" w:rsidP="001608A6">
      <w:pPr>
        <w:spacing w:before="0" w:after="0"/>
      </w:pPr>
    </w:p>
    <w:p w14:paraId="22E4F08A" w14:textId="19FC86FA" w:rsidR="00740E3A" w:rsidRDefault="005A03C2" w:rsidP="001608A6">
      <w:pPr>
        <w:spacing w:before="0" w:after="0"/>
      </w:pPr>
      <w:r>
        <w:t>In 2015, the</w:t>
      </w:r>
      <w:r w:rsidR="00740E3A">
        <w:t xml:space="preserve"> Washington Utilities and Transportation Commission (commission) adopted rules for EIA enforcement found in </w:t>
      </w:r>
      <w:r w:rsidR="00E01861">
        <w:t>Chapter 480-109 WAC</w:t>
      </w:r>
      <w:r w:rsidR="00006B15">
        <w:t>. WAC 4</w:t>
      </w:r>
      <w:r w:rsidR="00AE5DB4">
        <w:t xml:space="preserve">80-109-200 and WAC 480-109-210 </w:t>
      </w:r>
      <w:r w:rsidR="00006B15">
        <w:t>outline</w:t>
      </w:r>
      <w:r w:rsidR="00AD5CF0">
        <w:t xml:space="preserve"> a </w:t>
      </w:r>
      <w:r w:rsidR="00D06F10">
        <w:t>two-step reporting process, which the commission has used for reporting since the RPS went into effect in 2012.</w:t>
      </w:r>
      <w:r w:rsidR="00D06F10">
        <w:rPr>
          <w:rStyle w:val="FootnoteReference"/>
        </w:rPr>
        <w:footnoteReference w:id="3"/>
      </w:r>
      <w:r w:rsidR="00D06F10">
        <w:t xml:space="preserve"> </w:t>
      </w:r>
      <w:r w:rsidR="00740E3A">
        <w:t>This process prescribes that:</w:t>
      </w:r>
    </w:p>
    <w:p w14:paraId="777AD08F" w14:textId="77777777" w:rsidR="00740E3A" w:rsidRDefault="00740E3A" w:rsidP="00740E3A">
      <w:pPr>
        <w:pStyle w:val="ListParagraph"/>
        <w:numPr>
          <w:ilvl w:val="0"/>
          <w:numId w:val="5"/>
        </w:numPr>
        <w:spacing w:before="0" w:after="0"/>
      </w:pPr>
      <w:r>
        <w:t>E</w:t>
      </w:r>
      <w:r w:rsidR="00EF7490">
        <w:t>ach year, a utility will file a report to calculate its target for that year and demonstrate that it has acquired or contracted to acquire sufficient resources to meet the tar</w:t>
      </w:r>
      <w:r w:rsidR="00D06F10">
        <w:t xml:space="preserve">get. </w:t>
      </w:r>
    </w:p>
    <w:p w14:paraId="5E9C9A5B" w14:textId="22375AEB" w:rsidR="00EF7490" w:rsidRDefault="00740E3A" w:rsidP="00740E3A">
      <w:pPr>
        <w:pStyle w:val="ListParagraph"/>
        <w:numPr>
          <w:ilvl w:val="0"/>
          <w:numId w:val="5"/>
        </w:numPr>
        <w:spacing w:before="0" w:after="0"/>
      </w:pPr>
      <w:r>
        <w:t>N</w:t>
      </w:r>
      <w:r w:rsidR="00D06F10">
        <w:t xml:space="preserve">o later than </w:t>
      </w:r>
      <w:r w:rsidR="00EF7490">
        <w:t>two years after the initial report, the utility will file a second report that lists the specific generation and renewable energy credits (RECs) that the utility used to meet its target, and requests a determination from the commission that the utility complied with its target.</w:t>
      </w:r>
    </w:p>
    <w:p w14:paraId="191CE685" w14:textId="77777777" w:rsidR="008C0365" w:rsidRDefault="008C0365" w:rsidP="008C0365">
      <w:pPr>
        <w:spacing w:before="0" w:after="0"/>
      </w:pPr>
    </w:p>
    <w:p w14:paraId="49B007B3" w14:textId="3F858F21" w:rsidR="008C0365" w:rsidRDefault="008C0365" w:rsidP="008C0365">
      <w:pPr>
        <w:spacing w:before="0" w:after="0"/>
      </w:pPr>
      <w:r>
        <w:t xml:space="preserve">After reviewing the comments of other parties, commission staff will present a recommendation at </w:t>
      </w:r>
      <w:r w:rsidR="00E5431C">
        <w:t xml:space="preserve">either </w:t>
      </w:r>
      <w:r>
        <w:t>the August 4</w:t>
      </w:r>
      <w:r w:rsidR="00E5431C">
        <w:t xml:space="preserve"> or August 12</w:t>
      </w:r>
      <w:r>
        <w:t xml:space="preserve"> open meeting as to whether the commission should issue an order in </w:t>
      </w:r>
      <w:r w:rsidR="00E5431C">
        <w:t>each</w:t>
      </w:r>
      <w:r>
        <w:t xml:space="preserve"> company’s docket finding that the utility met its reporting requirements and accepting the utility’s calculation of its 2016 RPS target.</w:t>
      </w:r>
      <w:r w:rsidR="006C310F">
        <w:t xml:space="preserve"> </w:t>
      </w:r>
    </w:p>
    <w:p w14:paraId="18802349" w14:textId="77777777" w:rsidR="008F0214" w:rsidRDefault="008F0214" w:rsidP="009015DA">
      <w:pPr>
        <w:pStyle w:val="Heading2"/>
        <w:rPr>
          <w:rFonts w:ascii="Times New Roman" w:eastAsia="Times New Roman" w:hAnsi="Times New Roman" w:cs="Times New Roman"/>
          <w:color w:val="auto"/>
          <w:sz w:val="24"/>
          <w:szCs w:val="24"/>
        </w:rPr>
      </w:pPr>
      <w:bookmarkStart w:id="5" w:name="_Toc455489974"/>
    </w:p>
    <w:p w14:paraId="78F57D36" w14:textId="4F10A30E" w:rsidR="009015DA" w:rsidRPr="005079A6" w:rsidRDefault="0029101C" w:rsidP="009015DA">
      <w:pPr>
        <w:pStyle w:val="Heading2"/>
        <w:rPr>
          <w:i/>
        </w:rPr>
      </w:pPr>
      <w:bookmarkStart w:id="6" w:name="_Toc456249964"/>
      <w:r>
        <w:rPr>
          <w:i/>
        </w:rPr>
        <w:t>Compliance</w:t>
      </w:r>
      <w:r w:rsidR="00206A7A">
        <w:rPr>
          <w:i/>
        </w:rPr>
        <w:t xml:space="preserve"> with</w:t>
      </w:r>
      <w:r w:rsidR="00E56571">
        <w:rPr>
          <w:i/>
        </w:rPr>
        <w:t xml:space="preserve"> </w:t>
      </w:r>
      <w:r w:rsidR="00206A7A">
        <w:rPr>
          <w:i/>
        </w:rPr>
        <w:t>Rule</w:t>
      </w:r>
      <w:bookmarkEnd w:id="5"/>
      <w:bookmarkEnd w:id="6"/>
    </w:p>
    <w:p w14:paraId="363C5A05" w14:textId="77777777" w:rsidR="005368D0" w:rsidRDefault="0004537D" w:rsidP="001608A6">
      <w:pPr>
        <w:spacing w:before="0" w:after="0"/>
      </w:pPr>
      <w:r>
        <w:t xml:space="preserve">All three utilities have demonstrated </w:t>
      </w:r>
      <w:r w:rsidR="003B0132">
        <w:t xml:space="preserve">to staff </w:t>
      </w:r>
      <w:r>
        <w:t xml:space="preserve">that they have sufficient resources to meet </w:t>
      </w:r>
      <w:r w:rsidR="00CB4193">
        <w:t>their 9 percent target outlined in WAC 480-109-2</w:t>
      </w:r>
      <w:r w:rsidR="007D2EB5">
        <w:t>00.</w:t>
      </w:r>
      <w:r w:rsidR="00C343DB">
        <w:t xml:space="preserve"> </w:t>
      </w:r>
      <w:r w:rsidR="0029101C">
        <w:t>Table 1 summarizes the 2016 target</w:t>
      </w:r>
      <w:r w:rsidR="00B7628A">
        <w:t>s</w:t>
      </w:r>
      <w:r w:rsidR="0029101C">
        <w:t xml:space="preserve"> </w:t>
      </w:r>
      <w:r w:rsidR="00CB4193">
        <w:t xml:space="preserve">and how each company has complied </w:t>
      </w:r>
      <w:r w:rsidR="007D2EB5">
        <w:t>with the 9 percent target</w:t>
      </w:r>
      <w:r w:rsidR="002C0F9F">
        <w:t>.</w:t>
      </w:r>
      <w:r w:rsidR="007D2EB5">
        <w:t xml:space="preserve"> </w:t>
      </w:r>
    </w:p>
    <w:p w14:paraId="3B53F837" w14:textId="77777777" w:rsidR="005368D0" w:rsidRDefault="005368D0" w:rsidP="001608A6">
      <w:pPr>
        <w:spacing w:before="0" w:after="0"/>
      </w:pPr>
    </w:p>
    <w:p w14:paraId="5B4827F9" w14:textId="341324D9" w:rsidR="005F3EE3" w:rsidRDefault="005368D0" w:rsidP="001608A6">
      <w:pPr>
        <w:spacing w:before="0" w:after="0"/>
      </w:pPr>
      <w:r>
        <w:t xml:space="preserve">Staff continues to review whether </w:t>
      </w:r>
      <w:r w:rsidR="004078C7">
        <w:t xml:space="preserve">the companies </w:t>
      </w:r>
      <w:r w:rsidR="006E0856" w:rsidRPr="007D2EB5">
        <w:t xml:space="preserve">have </w:t>
      </w:r>
      <w:r w:rsidR="008F0214" w:rsidRPr="007D2EB5">
        <w:t xml:space="preserve">met the reporting requirements set forth in WAC 480-109-210. </w:t>
      </w:r>
      <w:r w:rsidR="00B11E9D" w:rsidRPr="007D2EB5">
        <w:t xml:space="preserve">Due to </w:t>
      </w:r>
      <w:r w:rsidR="00D25E5A" w:rsidRPr="007D2EB5">
        <w:t xml:space="preserve">unresolved concerns of </w:t>
      </w:r>
      <w:r w:rsidR="00B11E9D" w:rsidRPr="007D2EB5">
        <w:t>confident</w:t>
      </w:r>
      <w:r w:rsidR="00D25E5A" w:rsidRPr="007D2EB5">
        <w:t>iality</w:t>
      </w:r>
      <w:r w:rsidR="00B11E9D" w:rsidRPr="007D2EB5">
        <w:t>,</w:t>
      </w:r>
      <w:r w:rsidR="00D25E5A" w:rsidRPr="007D2EB5">
        <w:t xml:space="preserve"> </w:t>
      </w:r>
      <w:r w:rsidR="00B11E9D" w:rsidRPr="007D2EB5">
        <w:t xml:space="preserve">much of the </w:t>
      </w:r>
      <w:r w:rsidR="008F0214" w:rsidRPr="007D2EB5">
        <w:t>reporting data</w:t>
      </w:r>
      <w:r w:rsidR="00B11E9D" w:rsidRPr="007D2EB5">
        <w:t xml:space="preserve"> </w:t>
      </w:r>
      <w:r w:rsidR="00633F0F" w:rsidRPr="007D2EB5">
        <w:t xml:space="preserve">available to the public </w:t>
      </w:r>
      <w:r w:rsidR="00053D7D" w:rsidRPr="007D2EB5">
        <w:t xml:space="preserve">in Table 1 </w:t>
      </w:r>
      <w:r w:rsidR="00B11E9D" w:rsidRPr="007D2EB5">
        <w:t>has been redacted</w:t>
      </w:r>
      <w:r w:rsidR="00D25E5A" w:rsidRPr="007D2EB5">
        <w:t xml:space="preserve"> by Pacific Power. A </w:t>
      </w:r>
      <w:r w:rsidR="00B11E9D" w:rsidRPr="007D2EB5">
        <w:t xml:space="preserve">discussion </w:t>
      </w:r>
      <w:r w:rsidR="00053D7D" w:rsidRPr="007D2EB5">
        <w:t>about</w:t>
      </w:r>
      <w:r w:rsidR="00D25E5A" w:rsidRPr="007D2EB5">
        <w:t xml:space="preserve"> these</w:t>
      </w:r>
      <w:r w:rsidR="00053D7D" w:rsidRPr="007D2EB5">
        <w:t xml:space="preserve"> ongoing </w:t>
      </w:r>
      <w:r w:rsidR="00D25E5A" w:rsidRPr="007D2EB5">
        <w:t>concerns</w:t>
      </w:r>
      <w:r w:rsidR="00D25E5A">
        <w:t xml:space="preserve"> of confidentiality </w:t>
      </w:r>
      <w:r w:rsidR="00B11E9D">
        <w:t xml:space="preserve">can be found in </w:t>
      </w:r>
      <w:r w:rsidR="007A31AC">
        <w:t>that</w:t>
      </w:r>
      <w:r w:rsidR="00B11E9D">
        <w:t xml:space="preserve"> section of this </w:t>
      </w:r>
      <w:r w:rsidR="00BF6BAC">
        <w:t>document.</w:t>
      </w:r>
    </w:p>
    <w:p w14:paraId="3F37BDCA" w14:textId="77777777" w:rsidR="00CB5226" w:rsidRDefault="00CB5226" w:rsidP="001608A6">
      <w:pPr>
        <w:spacing w:before="0" w:after="0"/>
      </w:pPr>
    </w:p>
    <w:p w14:paraId="0DC86342" w14:textId="5EE601E0" w:rsidR="008F0214" w:rsidRDefault="008F0214" w:rsidP="001608A6">
      <w:pPr>
        <w:spacing w:before="0" w:after="0"/>
      </w:pPr>
    </w:p>
    <w:p w14:paraId="63F6BBB1" w14:textId="77777777" w:rsidR="004426C8" w:rsidRDefault="004426C8" w:rsidP="001608A6">
      <w:pPr>
        <w:spacing w:before="0" w:after="0"/>
      </w:pPr>
    </w:p>
    <w:p w14:paraId="18FA8C53" w14:textId="77777777" w:rsidR="008F0214" w:rsidRDefault="008F0214" w:rsidP="001608A6">
      <w:pPr>
        <w:spacing w:before="0" w:after="0"/>
      </w:pPr>
    </w:p>
    <w:p w14:paraId="476D055C" w14:textId="77777777" w:rsidR="008F0214" w:rsidRDefault="008F0214" w:rsidP="001608A6">
      <w:pPr>
        <w:spacing w:before="0" w:after="0"/>
      </w:pPr>
    </w:p>
    <w:p w14:paraId="5F092963" w14:textId="77777777" w:rsidR="008F0214" w:rsidRDefault="008F0214" w:rsidP="001608A6">
      <w:pPr>
        <w:spacing w:before="0" w:after="0"/>
      </w:pPr>
    </w:p>
    <w:p w14:paraId="648BFF7E" w14:textId="77777777" w:rsidR="00A71AD7" w:rsidRDefault="00A71AD7" w:rsidP="008E7914">
      <w:pPr>
        <w:spacing w:before="0" w:after="0"/>
        <w:jc w:val="center"/>
        <w:rPr>
          <w:b/>
        </w:rPr>
      </w:pPr>
      <w:r w:rsidRPr="0029101C">
        <w:rPr>
          <w:b/>
        </w:rPr>
        <w:t>Table 1: Summary of 2016 Renewable Resource Target and Compliance Plan</w:t>
      </w:r>
    </w:p>
    <w:p w14:paraId="6BEEE9A3" w14:textId="77777777" w:rsidR="00C86AC8" w:rsidRPr="0029101C" w:rsidRDefault="00C86AC8" w:rsidP="00A71AD7">
      <w:pPr>
        <w:spacing w:before="0" w:after="0"/>
        <w:rPr>
          <w:b/>
        </w:rPr>
      </w:pPr>
    </w:p>
    <w:tbl>
      <w:tblPr>
        <w:tblStyle w:val="TableGrid"/>
        <w:tblW w:w="9000" w:type="dxa"/>
        <w:tblLayout w:type="fixed"/>
        <w:tblLook w:val="04A0" w:firstRow="1" w:lastRow="0" w:firstColumn="1" w:lastColumn="0" w:noHBand="0" w:noVBand="1"/>
      </w:tblPr>
      <w:tblGrid>
        <w:gridCol w:w="810"/>
        <w:gridCol w:w="1440"/>
        <w:gridCol w:w="1440"/>
        <w:gridCol w:w="1170"/>
        <w:gridCol w:w="1170"/>
        <w:gridCol w:w="1260"/>
        <w:gridCol w:w="1710"/>
      </w:tblGrid>
      <w:tr w:rsidR="00FF1596" w:rsidRPr="00FF1596" w14:paraId="3A534560" w14:textId="77777777" w:rsidTr="00FF1596">
        <w:trPr>
          <w:trHeight w:val="728"/>
        </w:trPr>
        <w:tc>
          <w:tcPr>
            <w:tcW w:w="810" w:type="dxa"/>
            <w:tcBorders>
              <w:top w:val="nil"/>
              <w:left w:val="nil"/>
              <w:bottom w:val="single" w:sz="4" w:space="0" w:color="auto"/>
              <w:right w:val="single" w:sz="4" w:space="0" w:color="auto"/>
            </w:tcBorders>
          </w:tcPr>
          <w:p w14:paraId="4D8C2E3A" w14:textId="241BDD54" w:rsidR="00FF1596" w:rsidRPr="00FF1596" w:rsidRDefault="00FF1596" w:rsidP="00A90B1E">
            <w:pPr>
              <w:spacing w:before="0" w:after="0"/>
              <w:jc w:val="center"/>
              <w:rPr>
                <w:b/>
                <w:sz w:val="22"/>
                <w:szCs w:val="22"/>
              </w:rPr>
            </w:pPr>
          </w:p>
        </w:tc>
        <w:tc>
          <w:tcPr>
            <w:tcW w:w="1440" w:type="dxa"/>
            <w:tcBorders>
              <w:top w:val="single" w:sz="4" w:space="0" w:color="auto"/>
              <w:left w:val="single" w:sz="4" w:space="0" w:color="auto"/>
              <w:bottom w:val="single" w:sz="4" w:space="0" w:color="auto"/>
              <w:right w:val="single" w:sz="4" w:space="0" w:color="auto"/>
            </w:tcBorders>
            <w:hideMark/>
          </w:tcPr>
          <w:p w14:paraId="428D0DA4" w14:textId="10774137" w:rsidR="00FF1596" w:rsidRPr="00FF1596" w:rsidRDefault="00FF1596" w:rsidP="00A90B1E">
            <w:pPr>
              <w:spacing w:before="0" w:after="0"/>
              <w:jc w:val="center"/>
              <w:rPr>
                <w:b/>
                <w:sz w:val="22"/>
                <w:szCs w:val="22"/>
              </w:rPr>
            </w:pPr>
            <w:r w:rsidRPr="00FF1596">
              <w:rPr>
                <w:b/>
                <w:sz w:val="22"/>
                <w:szCs w:val="22"/>
              </w:rPr>
              <w:t>2016 Target (MWh)</w:t>
            </w:r>
          </w:p>
        </w:tc>
        <w:tc>
          <w:tcPr>
            <w:tcW w:w="1440" w:type="dxa"/>
            <w:tcBorders>
              <w:top w:val="single" w:sz="4" w:space="0" w:color="auto"/>
              <w:left w:val="single" w:sz="4" w:space="0" w:color="auto"/>
              <w:bottom w:val="single" w:sz="4" w:space="0" w:color="auto"/>
              <w:right w:val="single" w:sz="4" w:space="0" w:color="auto"/>
            </w:tcBorders>
            <w:hideMark/>
          </w:tcPr>
          <w:p w14:paraId="385122F9" w14:textId="77777777" w:rsidR="00FF1596" w:rsidRPr="00FF1596" w:rsidRDefault="00FF1596" w:rsidP="00A90B1E">
            <w:pPr>
              <w:spacing w:before="0" w:after="0"/>
              <w:jc w:val="center"/>
              <w:rPr>
                <w:b/>
                <w:sz w:val="22"/>
                <w:szCs w:val="22"/>
              </w:rPr>
            </w:pPr>
            <w:r w:rsidRPr="00FF1596">
              <w:rPr>
                <w:b/>
                <w:sz w:val="22"/>
                <w:szCs w:val="22"/>
              </w:rPr>
              <w:t>Incremental Hydro (MWh)</w:t>
            </w:r>
          </w:p>
        </w:tc>
        <w:tc>
          <w:tcPr>
            <w:tcW w:w="1170" w:type="dxa"/>
            <w:tcBorders>
              <w:top w:val="single" w:sz="4" w:space="0" w:color="auto"/>
              <w:left w:val="single" w:sz="4" w:space="0" w:color="auto"/>
              <w:bottom w:val="single" w:sz="4" w:space="0" w:color="auto"/>
              <w:right w:val="single" w:sz="4" w:space="0" w:color="auto"/>
            </w:tcBorders>
            <w:hideMark/>
          </w:tcPr>
          <w:p w14:paraId="2F87B60F" w14:textId="77777777" w:rsidR="00FF1596" w:rsidRPr="00FF1596" w:rsidRDefault="00FF1596" w:rsidP="00A90B1E">
            <w:pPr>
              <w:spacing w:before="0" w:after="0"/>
              <w:jc w:val="center"/>
              <w:rPr>
                <w:b/>
                <w:sz w:val="22"/>
                <w:szCs w:val="22"/>
              </w:rPr>
            </w:pPr>
            <w:r w:rsidRPr="00FF1596">
              <w:rPr>
                <w:b/>
                <w:sz w:val="22"/>
                <w:szCs w:val="22"/>
              </w:rPr>
              <w:t xml:space="preserve">2015 </w:t>
            </w:r>
          </w:p>
          <w:p w14:paraId="1BB76E7F" w14:textId="04603352" w:rsidR="00FF1596" w:rsidRPr="00FF1596" w:rsidRDefault="00FF1596" w:rsidP="00A90B1E">
            <w:pPr>
              <w:spacing w:before="0" w:after="0"/>
              <w:jc w:val="center"/>
              <w:rPr>
                <w:b/>
                <w:sz w:val="22"/>
                <w:szCs w:val="22"/>
              </w:rPr>
            </w:pPr>
            <w:r w:rsidRPr="00FF1596">
              <w:rPr>
                <w:b/>
                <w:sz w:val="22"/>
                <w:szCs w:val="22"/>
              </w:rPr>
              <w:t>RECs</w:t>
            </w:r>
          </w:p>
        </w:tc>
        <w:tc>
          <w:tcPr>
            <w:tcW w:w="1170" w:type="dxa"/>
            <w:tcBorders>
              <w:top w:val="single" w:sz="4" w:space="0" w:color="auto"/>
              <w:left w:val="single" w:sz="4" w:space="0" w:color="auto"/>
              <w:bottom w:val="single" w:sz="4" w:space="0" w:color="auto"/>
              <w:right w:val="single" w:sz="4" w:space="0" w:color="auto"/>
            </w:tcBorders>
            <w:hideMark/>
          </w:tcPr>
          <w:p w14:paraId="6716AEEA" w14:textId="66112D47" w:rsidR="00FF1596" w:rsidRPr="00FF1596" w:rsidRDefault="00FF1596" w:rsidP="00210C30">
            <w:pPr>
              <w:spacing w:before="0" w:after="0"/>
              <w:jc w:val="center"/>
              <w:rPr>
                <w:b/>
                <w:sz w:val="22"/>
                <w:szCs w:val="22"/>
              </w:rPr>
            </w:pPr>
            <w:r w:rsidRPr="00FF1596">
              <w:rPr>
                <w:b/>
                <w:sz w:val="22"/>
                <w:szCs w:val="22"/>
              </w:rPr>
              <w:t>2016</w:t>
            </w:r>
            <w:r w:rsidR="00210C30">
              <w:rPr>
                <w:b/>
                <w:sz w:val="22"/>
                <w:szCs w:val="22"/>
              </w:rPr>
              <w:t xml:space="preserve"> </w:t>
            </w:r>
            <w:r w:rsidRPr="00FF1596">
              <w:rPr>
                <w:b/>
                <w:sz w:val="22"/>
                <w:szCs w:val="22"/>
              </w:rPr>
              <w:t>RECs</w:t>
            </w:r>
          </w:p>
        </w:tc>
        <w:tc>
          <w:tcPr>
            <w:tcW w:w="1260" w:type="dxa"/>
            <w:tcBorders>
              <w:top w:val="single" w:sz="4" w:space="0" w:color="auto"/>
              <w:left w:val="single" w:sz="4" w:space="0" w:color="auto"/>
              <w:bottom w:val="single" w:sz="4" w:space="0" w:color="auto"/>
              <w:right w:val="single" w:sz="4" w:space="0" w:color="auto"/>
            </w:tcBorders>
            <w:hideMark/>
          </w:tcPr>
          <w:p w14:paraId="421BE327" w14:textId="77777777" w:rsidR="00FF1596" w:rsidRPr="00FF1596" w:rsidRDefault="00FF1596" w:rsidP="00A90B1E">
            <w:pPr>
              <w:spacing w:before="0" w:after="0"/>
              <w:jc w:val="center"/>
              <w:rPr>
                <w:b/>
                <w:sz w:val="22"/>
                <w:szCs w:val="22"/>
              </w:rPr>
            </w:pPr>
            <w:r w:rsidRPr="00FF1596">
              <w:rPr>
                <w:b/>
                <w:sz w:val="22"/>
                <w:szCs w:val="22"/>
              </w:rPr>
              <w:t>Purchased RECs</w:t>
            </w:r>
          </w:p>
          <w:p w14:paraId="6C412A5C" w14:textId="51835679" w:rsidR="00FF1596" w:rsidRPr="00FF1596" w:rsidRDefault="00FF1596" w:rsidP="00A90B1E">
            <w:pPr>
              <w:spacing w:before="0" w:after="0"/>
              <w:jc w:val="center"/>
              <w:rPr>
                <w:b/>
                <w:sz w:val="22"/>
                <w:szCs w:val="22"/>
              </w:rPr>
            </w:pPr>
            <w:r w:rsidRPr="00FF1596">
              <w:rPr>
                <w:b/>
                <w:sz w:val="22"/>
                <w:szCs w:val="22"/>
              </w:rPr>
              <w:t>in 2016</w:t>
            </w:r>
          </w:p>
        </w:tc>
        <w:tc>
          <w:tcPr>
            <w:tcW w:w="1710" w:type="dxa"/>
            <w:tcBorders>
              <w:top w:val="single" w:sz="4" w:space="0" w:color="auto"/>
              <w:left w:val="single" w:sz="4" w:space="0" w:color="auto"/>
              <w:bottom w:val="single" w:sz="4" w:space="0" w:color="auto"/>
              <w:right w:val="single" w:sz="4" w:space="0" w:color="auto"/>
            </w:tcBorders>
            <w:hideMark/>
          </w:tcPr>
          <w:p w14:paraId="1B030615" w14:textId="277FD727" w:rsidR="00FF1596" w:rsidRPr="00FF1596" w:rsidRDefault="00FF1596" w:rsidP="00FF1596">
            <w:pPr>
              <w:spacing w:before="0" w:after="0"/>
              <w:jc w:val="center"/>
              <w:rPr>
                <w:b/>
                <w:sz w:val="22"/>
                <w:szCs w:val="22"/>
              </w:rPr>
            </w:pPr>
            <w:r w:rsidRPr="00FF1596">
              <w:rPr>
                <w:b/>
                <w:sz w:val="22"/>
                <w:szCs w:val="22"/>
              </w:rPr>
              <w:t>Total Resources (MWh)</w:t>
            </w:r>
          </w:p>
        </w:tc>
      </w:tr>
      <w:tr w:rsidR="00FF1596" w:rsidRPr="00FF1596" w14:paraId="105579FC" w14:textId="77777777" w:rsidTr="00FF1596">
        <w:trPr>
          <w:trHeight w:val="145"/>
        </w:trPr>
        <w:tc>
          <w:tcPr>
            <w:tcW w:w="810" w:type="dxa"/>
            <w:tcBorders>
              <w:top w:val="single" w:sz="4" w:space="0" w:color="auto"/>
              <w:left w:val="single" w:sz="4" w:space="0" w:color="auto"/>
              <w:bottom w:val="single" w:sz="4" w:space="0" w:color="auto"/>
              <w:right w:val="single" w:sz="4" w:space="0" w:color="auto"/>
            </w:tcBorders>
          </w:tcPr>
          <w:p w14:paraId="3BBD2AF9" w14:textId="49145004" w:rsidR="00FF1596" w:rsidRPr="00FF1596" w:rsidRDefault="00FF1596" w:rsidP="00A90B1E">
            <w:pPr>
              <w:spacing w:before="0" w:after="0"/>
              <w:jc w:val="center"/>
              <w:rPr>
                <w:sz w:val="22"/>
                <w:szCs w:val="22"/>
              </w:rPr>
            </w:pPr>
            <w:r w:rsidRPr="00FF1596">
              <w:rPr>
                <w:sz w:val="22"/>
                <w:szCs w:val="22"/>
              </w:rPr>
              <w:t>PSE</w:t>
            </w:r>
          </w:p>
        </w:tc>
        <w:tc>
          <w:tcPr>
            <w:tcW w:w="1440" w:type="dxa"/>
            <w:tcBorders>
              <w:top w:val="single" w:sz="4" w:space="0" w:color="auto"/>
              <w:left w:val="single" w:sz="4" w:space="0" w:color="auto"/>
              <w:bottom w:val="single" w:sz="4" w:space="0" w:color="auto"/>
              <w:right w:val="single" w:sz="4" w:space="0" w:color="auto"/>
            </w:tcBorders>
          </w:tcPr>
          <w:p w14:paraId="279953EF" w14:textId="75D1A1E8" w:rsidR="00FF1596" w:rsidRPr="00FF1596" w:rsidRDefault="00FF1596" w:rsidP="00A90B1E">
            <w:pPr>
              <w:spacing w:before="0" w:after="0"/>
              <w:jc w:val="center"/>
              <w:rPr>
                <w:sz w:val="22"/>
                <w:szCs w:val="22"/>
              </w:rPr>
            </w:pPr>
            <w:r w:rsidRPr="00FF1596">
              <w:rPr>
                <w:sz w:val="22"/>
                <w:szCs w:val="22"/>
              </w:rPr>
              <w:t>1,848,542</w:t>
            </w:r>
          </w:p>
        </w:tc>
        <w:tc>
          <w:tcPr>
            <w:tcW w:w="1440" w:type="dxa"/>
            <w:tcBorders>
              <w:top w:val="single" w:sz="4" w:space="0" w:color="auto"/>
              <w:left w:val="single" w:sz="4" w:space="0" w:color="auto"/>
              <w:bottom w:val="single" w:sz="4" w:space="0" w:color="auto"/>
              <w:right w:val="single" w:sz="4" w:space="0" w:color="auto"/>
            </w:tcBorders>
          </w:tcPr>
          <w:p w14:paraId="4035CC6B" w14:textId="1CB90FEC" w:rsidR="00FF1596" w:rsidRPr="00FF1596" w:rsidRDefault="00FF1596" w:rsidP="00A90B1E">
            <w:pPr>
              <w:spacing w:before="0" w:after="0"/>
              <w:jc w:val="center"/>
              <w:rPr>
                <w:sz w:val="22"/>
                <w:szCs w:val="22"/>
              </w:rPr>
            </w:pPr>
            <w:r w:rsidRPr="00FF1596">
              <w:rPr>
                <w:sz w:val="22"/>
                <w:szCs w:val="22"/>
              </w:rPr>
              <w:t>121,712</w:t>
            </w:r>
          </w:p>
        </w:tc>
        <w:tc>
          <w:tcPr>
            <w:tcW w:w="1170" w:type="dxa"/>
            <w:tcBorders>
              <w:top w:val="single" w:sz="4" w:space="0" w:color="auto"/>
              <w:left w:val="single" w:sz="4" w:space="0" w:color="auto"/>
              <w:bottom w:val="single" w:sz="4" w:space="0" w:color="auto"/>
              <w:right w:val="single" w:sz="4" w:space="0" w:color="auto"/>
            </w:tcBorders>
          </w:tcPr>
          <w:p w14:paraId="6AF0017B" w14:textId="2C22D665" w:rsidR="00FF1596" w:rsidRPr="00FF1596" w:rsidRDefault="00FF1596" w:rsidP="00A90B1E">
            <w:pPr>
              <w:spacing w:before="0" w:after="0"/>
              <w:jc w:val="center"/>
              <w:rPr>
                <w:sz w:val="22"/>
                <w:szCs w:val="22"/>
              </w:rPr>
            </w:pPr>
            <w:r w:rsidRPr="00FF1596">
              <w:rPr>
                <w:sz w:val="22"/>
                <w:szCs w:val="22"/>
              </w:rPr>
              <w:t>1,814,305</w:t>
            </w:r>
          </w:p>
        </w:tc>
        <w:tc>
          <w:tcPr>
            <w:tcW w:w="1170" w:type="dxa"/>
            <w:tcBorders>
              <w:top w:val="single" w:sz="4" w:space="0" w:color="auto"/>
              <w:left w:val="single" w:sz="4" w:space="0" w:color="auto"/>
              <w:bottom w:val="single" w:sz="4" w:space="0" w:color="auto"/>
              <w:right w:val="single" w:sz="4" w:space="0" w:color="auto"/>
            </w:tcBorders>
          </w:tcPr>
          <w:p w14:paraId="1475B902" w14:textId="587202BB" w:rsidR="00FF1596" w:rsidRPr="00FF1596" w:rsidRDefault="006F61EC" w:rsidP="006F61EC">
            <w:pPr>
              <w:spacing w:before="0" w:after="0"/>
              <w:jc w:val="center"/>
              <w:rPr>
                <w:sz w:val="22"/>
                <w:szCs w:val="22"/>
              </w:rPr>
            </w:pPr>
            <w:r>
              <w:rPr>
                <w:sz w:val="22"/>
                <w:szCs w:val="22"/>
              </w:rPr>
              <w:t>0</w:t>
            </w:r>
            <w:r w:rsidR="00210C30">
              <w:rPr>
                <w:rStyle w:val="FootnoteReference"/>
                <w:b/>
                <w:sz w:val="22"/>
                <w:szCs w:val="22"/>
              </w:rPr>
              <w:footnoteReference w:id="4"/>
            </w:r>
          </w:p>
        </w:tc>
        <w:tc>
          <w:tcPr>
            <w:tcW w:w="1260" w:type="dxa"/>
            <w:tcBorders>
              <w:top w:val="single" w:sz="4" w:space="0" w:color="auto"/>
              <w:left w:val="single" w:sz="4" w:space="0" w:color="auto"/>
              <w:bottom w:val="single" w:sz="4" w:space="0" w:color="auto"/>
              <w:right w:val="single" w:sz="4" w:space="0" w:color="auto"/>
            </w:tcBorders>
          </w:tcPr>
          <w:p w14:paraId="034735CE" w14:textId="5B6F4423" w:rsidR="00FF1596" w:rsidRPr="00FF1596" w:rsidRDefault="00FF1596" w:rsidP="00A90B1E">
            <w:pPr>
              <w:spacing w:before="0" w:after="0"/>
              <w:jc w:val="center"/>
              <w:rPr>
                <w:sz w:val="22"/>
                <w:szCs w:val="22"/>
              </w:rPr>
            </w:pPr>
            <w:r w:rsidRPr="00FF1596">
              <w:rPr>
                <w:sz w:val="22"/>
                <w:szCs w:val="22"/>
              </w:rPr>
              <w:t>N/A</w:t>
            </w:r>
          </w:p>
        </w:tc>
        <w:tc>
          <w:tcPr>
            <w:tcW w:w="1710" w:type="dxa"/>
            <w:tcBorders>
              <w:top w:val="single" w:sz="4" w:space="0" w:color="auto"/>
              <w:left w:val="single" w:sz="4" w:space="0" w:color="auto"/>
              <w:bottom w:val="single" w:sz="4" w:space="0" w:color="auto"/>
              <w:right w:val="single" w:sz="4" w:space="0" w:color="auto"/>
            </w:tcBorders>
          </w:tcPr>
          <w:p w14:paraId="5DE7DC87" w14:textId="06B1417A" w:rsidR="00FF1596" w:rsidRPr="00FF1596" w:rsidRDefault="00FF1596" w:rsidP="00A90B1E">
            <w:pPr>
              <w:spacing w:before="0" w:after="0"/>
              <w:jc w:val="center"/>
              <w:rPr>
                <w:sz w:val="22"/>
                <w:szCs w:val="22"/>
              </w:rPr>
            </w:pPr>
            <w:r w:rsidRPr="006F61EC">
              <w:rPr>
                <w:sz w:val="22"/>
                <w:szCs w:val="22"/>
              </w:rPr>
              <w:t>1,936,017</w:t>
            </w:r>
          </w:p>
        </w:tc>
      </w:tr>
      <w:tr w:rsidR="00FF1596" w:rsidRPr="00FF1596" w14:paraId="004FB239" w14:textId="77777777" w:rsidTr="00FF1596">
        <w:trPr>
          <w:trHeight w:val="145"/>
        </w:trPr>
        <w:tc>
          <w:tcPr>
            <w:tcW w:w="810" w:type="dxa"/>
            <w:tcBorders>
              <w:top w:val="single" w:sz="4" w:space="0" w:color="auto"/>
              <w:left w:val="single" w:sz="4" w:space="0" w:color="auto"/>
              <w:bottom w:val="single" w:sz="4" w:space="0" w:color="auto"/>
              <w:right w:val="single" w:sz="4" w:space="0" w:color="auto"/>
            </w:tcBorders>
          </w:tcPr>
          <w:p w14:paraId="79107F84" w14:textId="2FA51F23" w:rsidR="00FF1596" w:rsidRPr="00FF1596" w:rsidRDefault="00FF1596" w:rsidP="00A90B1E">
            <w:pPr>
              <w:spacing w:before="0" w:after="0"/>
              <w:jc w:val="center"/>
              <w:rPr>
                <w:sz w:val="22"/>
                <w:szCs w:val="22"/>
              </w:rPr>
            </w:pPr>
            <w:r w:rsidRPr="00FF1596">
              <w:rPr>
                <w:sz w:val="22"/>
                <w:szCs w:val="22"/>
              </w:rPr>
              <w:t>PAC</w:t>
            </w:r>
            <w:r w:rsidR="00C15129">
              <w:rPr>
                <w:rStyle w:val="FootnoteReference"/>
                <w:sz w:val="22"/>
                <w:szCs w:val="22"/>
              </w:rPr>
              <w:footnoteReference w:id="5"/>
            </w:r>
          </w:p>
        </w:tc>
        <w:tc>
          <w:tcPr>
            <w:tcW w:w="1440" w:type="dxa"/>
            <w:tcBorders>
              <w:top w:val="single" w:sz="4" w:space="0" w:color="auto"/>
              <w:left w:val="single" w:sz="4" w:space="0" w:color="auto"/>
              <w:bottom w:val="single" w:sz="4" w:space="0" w:color="auto"/>
              <w:right w:val="single" w:sz="4" w:space="0" w:color="auto"/>
            </w:tcBorders>
          </w:tcPr>
          <w:p w14:paraId="69B0FE79" w14:textId="68F4BDB6" w:rsidR="00FF1596" w:rsidRPr="00FF1596" w:rsidRDefault="00FF1596" w:rsidP="00A90B1E">
            <w:pPr>
              <w:spacing w:before="0" w:after="0"/>
              <w:jc w:val="center"/>
              <w:rPr>
                <w:sz w:val="22"/>
                <w:szCs w:val="22"/>
                <w:highlight w:val="yellow"/>
              </w:rPr>
            </w:pPr>
            <w:r w:rsidRPr="00FF1596">
              <w:rPr>
                <w:sz w:val="22"/>
                <w:szCs w:val="22"/>
              </w:rPr>
              <w:t>370,166</w:t>
            </w:r>
          </w:p>
        </w:tc>
        <w:tc>
          <w:tcPr>
            <w:tcW w:w="1440" w:type="dxa"/>
            <w:tcBorders>
              <w:top w:val="single" w:sz="4" w:space="0" w:color="auto"/>
              <w:left w:val="single" w:sz="4" w:space="0" w:color="auto"/>
              <w:bottom w:val="single" w:sz="4" w:space="0" w:color="auto"/>
              <w:right w:val="single" w:sz="4" w:space="0" w:color="auto"/>
            </w:tcBorders>
          </w:tcPr>
          <w:p w14:paraId="461F4A0A" w14:textId="47FA53D8" w:rsidR="00FF1596" w:rsidRPr="00FF1596" w:rsidRDefault="00A228D1" w:rsidP="00A90B1E">
            <w:pPr>
              <w:spacing w:before="0" w:after="0"/>
              <w:jc w:val="center"/>
              <w:rPr>
                <w:sz w:val="22"/>
                <w:szCs w:val="22"/>
                <w:highlight w:val="yellow"/>
              </w:rPr>
            </w:pPr>
            <w:r>
              <w:rPr>
                <w:sz w:val="22"/>
                <w:szCs w:val="22"/>
              </w:rPr>
              <w:t>1,903</w:t>
            </w:r>
          </w:p>
        </w:tc>
        <w:tc>
          <w:tcPr>
            <w:tcW w:w="1170" w:type="dxa"/>
            <w:tcBorders>
              <w:top w:val="single" w:sz="4" w:space="0" w:color="auto"/>
              <w:left w:val="single" w:sz="4" w:space="0" w:color="auto"/>
              <w:bottom w:val="single" w:sz="4" w:space="0" w:color="auto"/>
              <w:right w:val="single" w:sz="4" w:space="0" w:color="auto"/>
            </w:tcBorders>
          </w:tcPr>
          <w:p w14:paraId="3968328E" w14:textId="426A0CAC" w:rsidR="00FF1596" w:rsidRPr="00FF1596" w:rsidRDefault="00FF1596" w:rsidP="00A90B1E">
            <w:pPr>
              <w:spacing w:before="0" w:after="0"/>
              <w:jc w:val="center"/>
              <w:rPr>
                <w:sz w:val="22"/>
                <w:szCs w:val="22"/>
                <w:highlight w:val="yellow"/>
              </w:rPr>
            </w:pPr>
            <w:r w:rsidRPr="00FF1596">
              <w:rPr>
                <w:sz w:val="22"/>
                <w:szCs w:val="22"/>
              </w:rPr>
              <w:t>215,961</w:t>
            </w:r>
          </w:p>
        </w:tc>
        <w:tc>
          <w:tcPr>
            <w:tcW w:w="1170" w:type="dxa"/>
            <w:tcBorders>
              <w:top w:val="single" w:sz="4" w:space="0" w:color="auto"/>
              <w:left w:val="single" w:sz="4" w:space="0" w:color="auto"/>
              <w:bottom w:val="single" w:sz="4" w:space="0" w:color="auto"/>
              <w:right w:val="single" w:sz="4" w:space="0" w:color="auto"/>
            </w:tcBorders>
          </w:tcPr>
          <w:p w14:paraId="6D685204" w14:textId="4EA33FA4" w:rsidR="00FF1596" w:rsidRPr="00FF1596" w:rsidRDefault="00C15129" w:rsidP="00A90B1E">
            <w:pPr>
              <w:spacing w:before="0" w:after="0"/>
              <w:jc w:val="center"/>
              <w:rPr>
                <w:sz w:val="22"/>
                <w:szCs w:val="22"/>
                <w:highlight w:val="yellow"/>
              </w:rPr>
            </w:pPr>
            <w:r>
              <w:rPr>
                <w:sz w:val="22"/>
                <w:szCs w:val="22"/>
              </w:rPr>
              <w:t>*</w:t>
            </w:r>
          </w:p>
        </w:tc>
        <w:tc>
          <w:tcPr>
            <w:tcW w:w="1260" w:type="dxa"/>
            <w:tcBorders>
              <w:top w:val="single" w:sz="4" w:space="0" w:color="auto"/>
              <w:left w:val="single" w:sz="4" w:space="0" w:color="auto"/>
              <w:bottom w:val="single" w:sz="4" w:space="0" w:color="auto"/>
              <w:right w:val="single" w:sz="4" w:space="0" w:color="auto"/>
            </w:tcBorders>
          </w:tcPr>
          <w:p w14:paraId="561F5AE3" w14:textId="046ECD5D" w:rsidR="00FF1596" w:rsidRPr="00FF1596" w:rsidRDefault="00C15129" w:rsidP="00A90B1E">
            <w:pPr>
              <w:spacing w:before="0" w:after="0"/>
              <w:jc w:val="center"/>
              <w:rPr>
                <w:sz w:val="22"/>
                <w:szCs w:val="22"/>
                <w:highlight w:val="yellow"/>
              </w:rPr>
            </w:pPr>
            <w:r>
              <w:rPr>
                <w:sz w:val="22"/>
                <w:szCs w:val="22"/>
              </w:rPr>
              <w:t>*</w:t>
            </w:r>
          </w:p>
        </w:tc>
        <w:tc>
          <w:tcPr>
            <w:tcW w:w="1710" w:type="dxa"/>
            <w:tcBorders>
              <w:top w:val="single" w:sz="4" w:space="0" w:color="auto"/>
              <w:left w:val="single" w:sz="4" w:space="0" w:color="auto"/>
              <w:bottom w:val="single" w:sz="4" w:space="0" w:color="auto"/>
              <w:right w:val="single" w:sz="4" w:space="0" w:color="auto"/>
            </w:tcBorders>
          </w:tcPr>
          <w:p w14:paraId="0BEEA4FD" w14:textId="62BFBC69" w:rsidR="00FF1596" w:rsidRPr="00FF1596" w:rsidRDefault="00C15129" w:rsidP="00A90B1E">
            <w:pPr>
              <w:spacing w:before="0" w:after="0"/>
              <w:jc w:val="center"/>
              <w:rPr>
                <w:sz w:val="22"/>
                <w:szCs w:val="22"/>
                <w:highlight w:val="yellow"/>
              </w:rPr>
            </w:pPr>
            <w:r>
              <w:rPr>
                <w:sz w:val="22"/>
                <w:szCs w:val="22"/>
              </w:rPr>
              <w:t>*</w:t>
            </w:r>
          </w:p>
        </w:tc>
      </w:tr>
      <w:tr w:rsidR="00FF1596" w:rsidRPr="00FF1596" w14:paraId="2AD47C67" w14:textId="77777777" w:rsidTr="00FF1596">
        <w:trPr>
          <w:trHeight w:val="145"/>
        </w:trPr>
        <w:tc>
          <w:tcPr>
            <w:tcW w:w="810" w:type="dxa"/>
            <w:tcBorders>
              <w:top w:val="single" w:sz="4" w:space="0" w:color="auto"/>
              <w:left w:val="single" w:sz="4" w:space="0" w:color="auto"/>
              <w:bottom w:val="single" w:sz="4" w:space="0" w:color="auto"/>
              <w:right w:val="single" w:sz="4" w:space="0" w:color="auto"/>
            </w:tcBorders>
          </w:tcPr>
          <w:p w14:paraId="6A81DE2F" w14:textId="59FD52A8" w:rsidR="00FF1596" w:rsidRPr="00FF1596" w:rsidRDefault="00FF1596" w:rsidP="00C86AC8">
            <w:pPr>
              <w:spacing w:before="0" w:after="0"/>
              <w:jc w:val="center"/>
              <w:rPr>
                <w:sz w:val="22"/>
                <w:szCs w:val="22"/>
              </w:rPr>
            </w:pPr>
            <w:r w:rsidRPr="00FF1596">
              <w:rPr>
                <w:sz w:val="22"/>
                <w:szCs w:val="22"/>
              </w:rPr>
              <w:t>AVA</w:t>
            </w:r>
          </w:p>
        </w:tc>
        <w:tc>
          <w:tcPr>
            <w:tcW w:w="1440" w:type="dxa"/>
            <w:tcBorders>
              <w:top w:val="single" w:sz="4" w:space="0" w:color="auto"/>
              <w:left w:val="single" w:sz="4" w:space="0" w:color="auto"/>
              <w:bottom w:val="single" w:sz="4" w:space="0" w:color="auto"/>
              <w:right w:val="single" w:sz="4" w:space="0" w:color="auto"/>
            </w:tcBorders>
          </w:tcPr>
          <w:p w14:paraId="3EBD9FD4" w14:textId="4E001990" w:rsidR="00FF1596" w:rsidRPr="00FF1596" w:rsidRDefault="00FF1596" w:rsidP="00C86AC8">
            <w:pPr>
              <w:spacing w:before="0" w:after="0"/>
              <w:jc w:val="center"/>
              <w:rPr>
                <w:sz w:val="22"/>
                <w:szCs w:val="22"/>
              </w:rPr>
            </w:pPr>
            <w:r w:rsidRPr="00FF1596">
              <w:rPr>
                <w:sz w:val="22"/>
                <w:szCs w:val="22"/>
              </w:rPr>
              <w:t>513,809</w:t>
            </w:r>
          </w:p>
        </w:tc>
        <w:tc>
          <w:tcPr>
            <w:tcW w:w="1440" w:type="dxa"/>
            <w:tcBorders>
              <w:top w:val="single" w:sz="4" w:space="0" w:color="auto"/>
              <w:left w:val="single" w:sz="4" w:space="0" w:color="auto"/>
              <w:bottom w:val="single" w:sz="4" w:space="0" w:color="auto"/>
              <w:right w:val="single" w:sz="4" w:space="0" w:color="auto"/>
            </w:tcBorders>
          </w:tcPr>
          <w:p w14:paraId="0BA963F5" w14:textId="45D969E6" w:rsidR="00FF1596" w:rsidRPr="00FF1596" w:rsidRDefault="00FF1596" w:rsidP="00C86AC8">
            <w:pPr>
              <w:spacing w:before="0" w:after="0"/>
              <w:jc w:val="center"/>
              <w:rPr>
                <w:sz w:val="22"/>
                <w:szCs w:val="22"/>
              </w:rPr>
            </w:pPr>
            <w:r w:rsidRPr="00FF1596">
              <w:rPr>
                <w:sz w:val="22"/>
                <w:szCs w:val="22"/>
              </w:rPr>
              <w:t>171,482</w:t>
            </w:r>
          </w:p>
        </w:tc>
        <w:tc>
          <w:tcPr>
            <w:tcW w:w="1170" w:type="dxa"/>
            <w:tcBorders>
              <w:top w:val="single" w:sz="4" w:space="0" w:color="auto"/>
              <w:left w:val="single" w:sz="4" w:space="0" w:color="auto"/>
              <w:bottom w:val="single" w:sz="4" w:space="0" w:color="auto"/>
              <w:right w:val="single" w:sz="4" w:space="0" w:color="auto"/>
            </w:tcBorders>
          </w:tcPr>
          <w:p w14:paraId="7C6C5C9B" w14:textId="40C07BA4" w:rsidR="00FF1596" w:rsidRPr="00FF1596" w:rsidRDefault="00FF1596" w:rsidP="00C86AC8">
            <w:pPr>
              <w:spacing w:before="0" w:after="0"/>
              <w:jc w:val="center"/>
              <w:rPr>
                <w:sz w:val="22"/>
                <w:szCs w:val="22"/>
              </w:rPr>
            </w:pPr>
            <w:r w:rsidRPr="00FF1596">
              <w:rPr>
                <w:sz w:val="22"/>
                <w:szCs w:val="22"/>
              </w:rPr>
              <w:t>49,617</w:t>
            </w:r>
          </w:p>
        </w:tc>
        <w:tc>
          <w:tcPr>
            <w:tcW w:w="1170" w:type="dxa"/>
            <w:tcBorders>
              <w:top w:val="single" w:sz="4" w:space="0" w:color="auto"/>
              <w:left w:val="single" w:sz="4" w:space="0" w:color="auto"/>
              <w:bottom w:val="single" w:sz="4" w:space="0" w:color="auto"/>
              <w:right w:val="single" w:sz="4" w:space="0" w:color="auto"/>
            </w:tcBorders>
          </w:tcPr>
          <w:p w14:paraId="6429A5C2" w14:textId="70EBAC09" w:rsidR="00FF1596" w:rsidRPr="00FF1596" w:rsidRDefault="00FF1596" w:rsidP="00C86AC8">
            <w:pPr>
              <w:spacing w:before="0" w:after="0"/>
              <w:jc w:val="center"/>
              <w:rPr>
                <w:sz w:val="22"/>
                <w:szCs w:val="22"/>
              </w:rPr>
            </w:pPr>
            <w:r w:rsidRPr="00FF1596">
              <w:rPr>
                <w:sz w:val="22"/>
                <w:szCs w:val="22"/>
              </w:rPr>
              <w:t>320,023</w:t>
            </w:r>
          </w:p>
        </w:tc>
        <w:tc>
          <w:tcPr>
            <w:tcW w:w="1260" w:type="dxa"/>
            <w:tcBorders>
              <w:top w:val="single" w:sz="4" w:space="0" w:color="auto"/>
              <w:left w:val="single" w:sz="4" w:space="0" w:color="auto"/>
              <w:bottom w:val="single" w:sz="4" w:space="0" w:color="auto"/>
              <w:right w:val="single" w:sz="4" w:space="0" w:color="auto"/>
            </w:tcBorders>
          </w:tcPr>
          <w:p w14:paraId="2CC902A2" w14:textId="39F60786" w:rsidR="00FF1596" w:rsidRPr="00FF1596" w:rsidRDefault="00FF1596" w:rsidP="00C86AC8">
            <w:pPr>
              <w:spacing w:before="0" w:after="0"/>
              <w:jc w:val="center"/>
              <w:rPr>
                <w:sz w:val="22"/>
                <w:szCs w:val="22"/>
              </w:rPr>
            </w:pPr>
            <w:r w:rsidRPr="00FF1596">
              <w:rPr>
                <w:sz w:val="22"/>
                <w:szCs w:val="22"/>
              </w:rPr>
              <w:t>N/A</w:t>
            </w:r>
          </w:p>
        </w:tc>
        <w:tc>
          <w:tcPr>
            <w:tcW w:w="1710" w:type="dxa"/>
            <w:tcBorders>
              <w:top w:val="single" w:sz="4" w:space="0" w:color="auto"/>
              <w:left w:val="single" w:sz="4" w:space="0" w:color="auto"/>
              <w:bottom w:val="single" w:sz="4" w:space="0" w:color="auto"/>
              <w:right w:val="single" w:sz="4" w:space="0" w:color="auto"/>
            </w:tcBorders>
          </w:tcPr>
          <w:p w14:paraId="3676BDB2" w14:textId="3716E3A8" w:rsidR="00FF1596" w:rsidRPr="00FF1596" w:rsidRDefault="00FF1596" w:rsidP="00C86AC8">
            <w:pPr>
              <w:spacing w:before="0" w:after="0"/>
              <w:jc w:val="center"/>
              <w:rPr>
                <w:sz w:val="22"/>
                <w:szCs w:val="22"/>
              </w:rPr>
            </w:pPr>
            <w:r w:rsidRPr="00FF1596">
              <w:rPr>
                <w:sz w:val="22"/>
                <w:szCs w:val="22"/>
              </w:rPr>
              <w:t>541,122</w:t>
            </w:r>
          </w:p>
        </w:tc>
      </w:tr>
    </w:tbl>
    <w:p w14:paraId="55B83DD4" w14:textId="4F0292A3" w:rsidR="003B03B9" w:rsidRPr="003B03B9" w:rsidRDefault="002C0F9F" w:rsidP="00297FA2">
      <w:pPr>
        <w:pStyle w:val="Heading1"/>
        <w:spacing w:after="0"/>
        <w:rPr>
          <w:b w:val="0"/>
        </w:rPr>
      </w:pPr>
      <w:bookmarkStart w:id="7" w:name="_Toc455489975"/>
      <w:bookmarkStart w:id="8" w:name="_Toc456249965"/>
      <w:r>
        <w:rPr>
          <w:b w:val="0"/>
        </w:rPr>
        <w:t>Focus Issues</w:t>
      </w:r>
      <w:bookmarkEnd w:id="7"/>
      <w:bookmarkEnd w:id="8"/>
    </w:p>
    <w:p w14:paraId="777E06A4" w14:textId="1F9C5575" w:rsidR="00BC0FE4" w:rsidRDefault="00902FA1" w:rsidP="00FD5931">
      <w:pPr>
        <w:spacing w:before="0" w:after="0"/>
      </w:pPr>
      <w:r>
        <w:t xml:space="preserve">This section </w:t>
      </w:r>
      <w:r w:rsidR="00A85AAB">
        <w:t>provides a brief overview of</w:t>
      </w:r>
      <w:r w:rsidR="00437D49">
        <w:t xml:space="preserve"> </w:t>
      </w:r>
      <w:r w:rsidR="000670C5">
        <w:t xml:space="preserve">areas of </w:t>
      </w:r>
      <w:r w:rsidR="002C0F9F">
        <w:t>focus</w:t>
      </w:r>
      <w:r w:rsidR="000670C5">
        <w:t xml:space="preserve"> </w:t>
      </w:r>
      <w:r w:rsidR="007D3921">
        <w:t>and</w:t>
      </w:r>
      <w:r w:rsidR="000670C5">
        <w:t xml:space="preserve"> general </w:t>
      </w:r>
      <w:r w:rsidR="00437D49">
        <w:t xml:space="preserve">issues identified </w:t>
      </w:r>
      <w:r w:rsidR="00D525DF">
        <w:t xml:space="preserve">during </w:t>
      </w:r>
      <w:r w:rsidR="000670C5">
        <w:t xml:space="preserve">staff’s review of </w:t>
      </w:r>
      <w:r w:rsidR="007D3921">
        <w:t xml:space="preserve">compliance with </w:t>
      </w:r>
      <w:r w:rsidR="000670C5">
        <w:t>RPS</w:t>
      </w:r>
      <w:r w:rsidR="007D3921">
        <w:t xml:space="preserve"> reporting rule</w:t>
      </w:r>
      <w:r w:rsidR="00FD5931">
        <w:t>, including but not limited to:  r</w:t>
      </w:r>
      <w:r w:rsidR="00420D81">
        <w:t>esource</w:t>
      </w:r>
      <w:r w:rsidR="00FD5931">
        <w:t xml:space="preserve"> eligibility and i</w:t>
      </w:r>
      <w:r w:rsidR="00BC0FE4">
        <w:t>ncremental cost calculation</w:t>
      </w:r>
      <w:r w:rsidR="00C31159">
        <w:t>s</w:t>
      </w:r>
      <w:r w:rsidR="00C61D54">
        <w:t>.</w:t>
      </w:r>
    </w:p>
    <w:p w14:paraId="71D2B6EC" w14:textId="3BC328EE" w:rsidR="00A85AAB" w:rsidRDefault="00A85AAB" w:rsidP="00A85AAB">
      <w:pPr>
        <w:spacing w:before="0" w:after="0"/>
      </w:pPr>
    </w:p>
    <w:p w14:paraId="0C9DE739" w14:textId="5DF5F0BC" w:rsidR="00994016" w:rsidRPr="00ED3413" w:rsidRDefault="005808DD" w:rsidP="00B234F4">
      <w:pPr>
        <w:pStyle w:val="Heading2"/>
        <w:spacing w:before="0"/>
        <w:rPr>
          <w:i/>
        </w:rPr>
      </w:pPr>
      <w:bookmarkStart w:id="9" w:name="_Toc455489977"/>
      <w:bookmarkStart w:id="10" w:name="_Toc456249966"/>
      <w:r>
        <w:rPr>
          <w:i/>
        </w:rPr>
        <w:t>Resource</w:t>
      </w:r>
      <w:r w:rsidR="00994016">
        <w:rPr>
          <w:i/>
        </w:rPr>
        <w:t xml:space="preserve"> Eligibility</w:t>
      </w:r>
      <w:bookmarkEnd w:id="9"/>
      <w:bookmarkEnd w:id="10"/>
    </w:p>
    <w:p w14:paraId="6BCFC7BE" w14:textId="21CCB032" w:rsidR="00D54A39" w:rsidRDefault="005808DD" w:rsidP="00B234F4">
      <w:pPr>
        <w:spacing w:before="0"/>
      </w:pPr>
      <w:r>
        <w:t xml:space="preserve">Each report must document the companies’ renewable resources, which allows staff to review the eligibility of the resources for meeting the EIA requirement. Because the statute explicitly disallows any resources used for Green Power programs in RCW 19.29A.090, the commission requires the companies to include some information about the usage of the certificates. The commission also eliminated </w:t>
      </w:r>
      <w:r w:rsidR="004078C7">
        <w:t xml:space="preserve">the use of </w:t>
      </w:r>
      <w:r>
        <w:t xml:space="preserve">resources that are not registered in the </w:t>
      </w:r>
      <w:r w:rsidRPr="00FC11B7">
        <w:t>Western Renewable Energy Generation Information System (WREGIS)</w:t>
      </w:r>
      <w:r>
        <w:t>.</w:t>
      </w:r>
      <w:r w:rsidR="00734242">
        <w:rPr>
          <w:rStyle w:val="FootnoteReference"/>
        </w:rPr>
        <w:footnoteReference w:id="6"/>
      </w:r>
    </w:p>
    <w:p w14:paraId="70C6B6C7" w14:textId="1D2EBDB6" w:rsidR="007564A1" w:rsidRDefault="007564A1" w:rsidP="00D54A39">
      <w:r>
        <w:t>In order for the comm</w:t>
      </w:r>
      <w:r w:rsidR="00D450D7">
        <w:t>issio</w:t>
      </w:r>
      <w:r w:rsidR="008D4C6D">
        <w:t xml:space="preserve">n to determine whether or not a </w:t>
      </w:r>
      <w:r>
        <w:t>renewable resourc</w:t>
      </w:r>
      <w:r w:rsidR="008D4C6D">
        <w:t>e</w:t>
      </w:r>
      <w:r w:rsidR="00D450D7">
        <w:t xml:space="preserve"> is an eligible resource that can be</w:t>
      </w:r>
      <w:r>
        <w:t xml:space="preserve"> included in the annual renewable portfolio standard report for the first time, the following two steps</w:t>
      </w:r>
      <w:r w:rsidR="006F399A">
        <w:t xml:space="preserve"> should occur</w:t>
      </w:r>
      <w:r>
        <w:t>:</w:t>
      </w:r>
    </w:p>
    <w:p w14:paraId="125EF37F" w14:textId="77777777" w:rsidR="007564A1" w:rsidRDefault="007564A1" w:rsidP="007564A1">
      <w:pPr>
        <w:spacing w:before="0" w:after="0"/>
      </w:pPr>
    </w:p>
    <w:p w14:paraId="61E183CC" w14:textId="6A7041B8" w:rsidR="00474885" w:rsidRPr="00F40961" w:rsidRDefault="007564A1" w:rsidP="00474885">
      <w:pPr>
        <w:pStyle w:val="ListParagraph"/>
        <w:numPr>
          <w:ilvl w:val="0"/>
          <w:numId w:val="19"/>
        </w:numPr>
        <w:spacing w:before="0" w:after="0"/>
      </w:pPr>
      <w:r w:rsidRPr="008761A6">
        <w:rPr>
          <w:b/>
        </w:rPr>
        <w:t>Utility</w:t>
      </w:r>
      <w:r w:rsidR="006F0680">
        <w:rPr>
          <w:b/>
        </w:rPr>
        <w:t xml:space="preserve"> </w:t>
      </w:r>
      <w:r w:rsidR="006F399A">
        <w:rPr>
          <w:b/>
        </w:rPr>
        <w:t>Must Provide</w:t>
      </w:r>
      <w:r>
        <w:rPr>
          <w:b/>
        </w:rPr>
        <w:t xml:space="preserve"> </w:t>
      </w:r>
      <w:r w:rsidRPr="008761A6">
        <w:rPr>
          <w:b/>
        </w:rPr>
        <w:t>Information on New Resources.</w:t>
      </w:r>
      <w:r>
        <w:t xml:space="preserve"> WAC 480-109-210(2)(d) states</w:t>
      </w:r>
      <w:r w:rsidR="006C69EE">
        <w:t xml:space="preserve"> that the utility must provide </w:t>
      </w:r>
      <w:r>
        <w:t>“</w:t>
      </w:r>
      <w:r w:rsidRPr="008761A6">
        <w:t xml:space="preserve">A list of each eligible renewable resource that serves Washington customers, for which a utility owns the certificates, with an installed </w:t>
      </w:r>
      <w:r w:rsidRPr="001E2328">
        <w:t xml:space="preserve">capacity greater than twenty-five kilowatts. Resources with an installed capacity of less than twenty-five kilowatts may be reported in terms </w:t>
      </w:r>
      <w:r w:rsidRPr="00F40961">
        <w:t xml:space="preserve">of aggregate capacity. The list must include: </w:t>
      </w:r>
      <w:r w:rsidRPr="00423ABB">
        <w:t>(i) Each resource's WREGIS registration status</w:t>
      </w:r>
      <w:r w:rsidR="00ED70CD" w:rsidRPr="00423ABB">
        <w:t xml:space="preserve"> and use</w:t>
      </w:r>
      <w:r w:rsidR="006D0FCE" w:rsidRPr="001E2328">
        <w:t>;</w:t>
      </w:r>
      <w:r w:rsidR="00ED70CD" w:rsidRPr="00F40961">
        <w:rPr>
          <w:rStyle w:val="FootnoteReference"/>
        </w:rPr>
        <w:footnoteReference w:id="7"/>
      </w:r>
      <w:r w:rsidRPr="00F40961">
        <w:t xml:space="preserve"> and</w:t>
      </w:r>
      <w:r w:rsidR="00EF4815" w:rsidRPr="00F40961">
        <w:t>,</w:t>
      </w:r>
      <w:r w:rsidRPr="00F40961">
        <w:t xml:space="preserve"> (ii) Eligible resources being included in the report for the first time and documentation of their eligibility.</w:t>
      </w:r>
    </w:p>
    <w:p w14:paraId="7EB18F15" w14:textId="37A38F21" w:rsidR="007564A1" w:rsidRDefault="007564A1" w:rsidP="007564A1">
      <w:pPr>
        <w:pStyle w:val="ListParagraph"/>
        <w:numPr>
          <w:ilvl w:val="0"/>
          <w:numId w:val="19"/>
        </w:numPr>
        <w:spacing w:before="0" w:after="0"/>
      </w:pPr>
      <w:r w:rsidRPr="008761A6">
        <w:rPr>
          <w:b/>
        </w:rPr>
        <w:t>Commission Determination.</w:t>
      </w:r>
      <w:r>
        <w:t xml:space="preserve"> WAC 480-109-210(3)(b) states that “upon conclusion of the commission review of the utility's annual renewable portfolio standard report, the commission will determine the eligibility of new renewable resources pursuant to subsection (2)(d) of this section.”</w:t>
      </w:r>
    </w:p>
    <w:p w14:paraId="6681B5D4" w14:textId="77777777" w:rsidR="00B0407E" w:rsidRDefault="00B0407E" w:rsidP="00B0407E">
      <w:pPr>
        <w:spacing w:before="0" w:after="0"/>
      </w:pPr>
    </w:p>
    <w:p w14:paraId="4BBEF1E0" w14:textId="31AC2195" w:rsidR="00B0407E" w:rsidRDefault="00E54E6A" w:rsidP="00B0407E">
      <w:pPr>
        <w:spacing w:before="0" w:after="0"/>
      </w:pPr>
      <w:r>
        <w:t xml:space="preserve">Table 2 summarizes </w:t>
      </w:r>
      <w:r w:rsidR="003D6F5B">
        <w:t>the</w:t>
      </w:r>
      <w:r w:rsidR="00B0407E">
        <w:t xml:space="preserve"> renewable resources that </w:t>
      </w:r>
      <w:r w:rsidR="003D6F5B">
        <w:t>companies plan to use for</w:t>
      </w:r>
      <w:r w:rsidR="00B0407E">
        <w:t xml:space="preserve"> the first time</w:t>
      </w:r>
      <w:r w:rsidR="003D6F5B">
        <w:t xml:space="preserve"> in 2016</w:t>
      </w:r>
      <w:r w:rsidR="00B0407E">
        <w:t xml:space="preserve">. </w:t>
      </w:r>
    </w:p>
    <w:p w14:paraId="2DBA26F7" w14:textId="77777777" w:rsidR="00FE00B1" w:rsidRDefault="00FE00B1" w:rsidP="00B0407E">
      <w:pPr>
        <w:spacing w:before="0" w:after="0"/>
      </w:pPr>
    </w:p>
    <w:p w14:paraId="2E724883" w14:textId="0D12FA4C" w:rsidR="00420D81" w:rsidRDefault="00ED7D78" w:rsidP="00F40961">
      <w:pPr>
        <w:spacing w:before="0" w:after="0"/>
        <w:jc w:val="center"/>
      </w:pPr>
      <w:r>
        <w:rPr>
          <w:b/>
        </w:rPr>
        <w:t>Table 2</w:t>
      </w:r>
      <w:r w:rsidR="00420D81">
        <w:rPr>
          <w:b/>
        </w:rPr>
        <w:t>: New Renewable Resources in 2016 RPS Reports</w:t>
      </w:r>
    </w:p>
    <w:p w14:paraId="715485FB" w14:textId="77777777" w:rsidR="00420D81" w:rsidRPr="00DD219F" w:rsidRDefault="00420D81" w:rsidP="00420D81">
      <w:pPr>
        <w:spacing w:before="0" w:after="0"/>
        <w:rPr>
          <w:sz w:val="22"/>
          <w:szCs w:val="22"/>
        </w:rPr>
      </w:pPr>
    </w:p>
    <w:tbl>
      <w:tblPr>
        <w:tblStyle w:val="TableGrid"/>
        <w:tblW w:w="9990" w:type="dxa"/>
        <w:tblLook w:val="04A0" w:firstRow="1" w:lastRow="0" w:firstColumn="1" w:lastColumn="0" w:noHBand="0" w:noVBand="1"/>
      </w:tblPr>
      <w:tblGrid>
        <w:gridCol w:w="2340"/>
        <w:gridCol w:w="3060"/>
        <w:gridCol w:w="1890"/>
        <w:gridCol w:w="2700"/>
      </w:tblGrid>
      <w:tr w:rsidR="00420D81" w:rsidRPr="00DD219F" w14:paraId="51CFA3E3" w14:textId="77777777" w:rsidTr="00864567">
        <w:tc>
          <w:tcPr>
            <w:tcW w:w="2340" w:type="dxa"/>
            <w:tcBorders>
              <w:top w:val="nil"/>
              <w:left w:val="nil"/>
            </w:tcBorders>
          </w:tcPr>
          <w:p w14:paraId="52A4D775" w14:textId="77777777" w:rsidR="00420D81" w:rsidRPr="00DD219F" w:rsidRDefault="00420D81" w:rsidP="00CA5251">
            <w:pPr>
              <w:spacing w:before="0" w:after="0"/>
              <w:jc w:val="center"/>
              <w:rPr>
                <w:sz w:val="22"/>
                <w:szCs w:val="22"/>
              </w:rPr>
            </w:pPr>
          </w:p>
        </w:tc>
        <w:tc>
          <w:tcPr>
            <w:tcW w:w="3060" w:type="dxa"/>
          </w:tcPr>
          <w:p w14:paraId="18EA854A" w14:textId="77777777" w:rsidR="00420D81" w:rsidRPr="008E009E" w:rsidRDefault="00420D81" w:rsidP="00CA5251">
            <w:pPr>
              <w:spacing w:before="0" w:after="0"/>
              <w:jc w:val="center"/>
              <w:rPr>
                <w:b/>
                <w:sz w:val="22"/>
                <w:szCs w:val="22"/>
              </w:rPr>
            </w:pPr>
            <w:r w:rsidRPr="008E009E">
              <w:rPr>
                <w:b/>
                <w:sz w:val="22"/>
                <w:szCs w:val="22"/>
              </w:rPr>
              <w:t>Facility Name</w:t>
            </w:r>
          </w:p>
        </w:tc>
        <w:tc>
          <w:tcPr>
            <w:tcW w:w="1890" w:type="dxa"/>
          </w:tcPr>
          <w:p w14:paraId="78081CEE" w14:textId="77777777" w:rsidR="00420D81" w:rsidRPr="008E009E" w:rsidRDefault="00420D81" w:rsidP="00CA5251">
            <w:pPr>
              <w:spacing w:before="0" w:after="0"/>
              <w:jc w:val="center"/>
              <w:rPr>
                <w:b/>
                <w:sz w:val="22"/>
                <w:szCs w:val="22"/>
              </w:rPr>
            </w:pPr>
            <w:r w:rsidRPr="008E009E">
              <w:rPr>
                <w:b/>
                <w:sz w:val="22"/>
                <w:szCs w:val="22"/>
              </w:rPr>
              <w:t>WREGIS Registration Number</w:t>
            </w:r>
          </w:p>
        </w:tc>
        <w:tc>
          <w:tcPr>
            <w:tcW w:w="2700" w:type="dxa"/>
          </w:tcPr>
          <w:p w14:paraId="6A4AC760" w14:textId="09F4B2D8" w:rsidR="00420D81" w:rsidRPr="008E009E" w:rsidRDefault="00A638AD" w:rsidP="00CA5251">
            <w:pPr>
              <w:spacing w:before="0" w:after="0"/>
              <w:jc w:val="center"/>
              <w:rPr>
                <w:b/>
                <w:sz w:val="22"/>
                <w:szCs w:val="22"/>
              </w:rPr>
            </w:pPr>
            <w:r w:rsidRPr="008E009E">
              <w:rPr>
                <w:b/>
                <w:sz w:val="22"/>
                <w:szCs w:val="22"/>
              </w:rPr>
              <w:t xml:space="preserve">Renewable Resource </w:t>
            </w:r>
            <w:r w:rsidR="00420D81" w:rsidRPr="008E009E">
              <w:rPr>
                <w:b/>
                <w:sz w:val="22"/>
                <w:szCs w:val="22"/>
              </w:rPr>
              <w:t>Type</w:t>
            </w:r>
          </w:p>
        </w:tc>
      </w:tr>
      <w:tr w:rsidR="00420D81" w:rsidRPr="00DD219F" w14:paraId="60F993C9" w14:textId="77777777" w:rsidTr="00864567">
        <w:tc>
          <w:tcPr>
            <w:tcW w:w="2340" w:type="dxa"/>
            <w:vMerge w:val="restart"/>
          </w:tcPr>
          <w:p w14:paraId="25CF1887" w14:textId="77777777" w:rsidR="00420D81" w:rsidRPr="00DD219F" w:rsidRDefault="00420D81" w:rsidP="00CA5251">
            <w:pPr>
              <w:spacing w:before="0" w:after="0"/>
              <w:rPr>
                <w:sz w:val="22"/>
                <w:szCs w:val="22"/>
              </w:rPr>
            </w:pPr>
          </w:p>
          <w:p w14:paraId="14ECBD73" w14:textId="77777777" w:rsidR="00420D81" w:rsidRPr="00DD219F" w:rsidRDefault="00420D81" w:rsidP="00CA5251">
            <w:pPr>
              <w:spacing w:before="0" w:after="0"/>
              <w:rPr>
                <w:sz w:val="22"/>
                <w:szCs w:val="22"/>
              </w:rPr>
            </w:pPr>
          </w:p>
          <w:p w14:paraId="592CA66A" w14:textId="6BB81E72" w:rsidR="00420D81" w:rsidRPr="008E009E" w:rsidRDefault="00420D81" w:rsidP="006400DC">
            <w:pPr>
              <w:spacing w:before="0" w:after="0"/>
              <w:rPr>
                <w:b/>
                <w:sz w:val="22"/>
                <w:szCs w:val="22"/>
              </w:rPr>
            </w:pPr>
            <w:r w:rsidRPr="008E009E">
              <w:rPr>
                <w:b/>
                <w:sz w:val="22"/>
                <w:szCs w:val="22"/>
              </w:rPr>
              <w:t>Avista</w:t>
            </w:r>
          </w:p>
        </w:tc>
        <w:tc>
          <w:tcPr>
            <w:tcW w:w="3060" w:type="dxa"/>
          </w:tcPr>
          <w:p w14:paraId="20F90ED8" w14:textId="519FDBD1" w:rsidR="00420D81" w:rsidRPr="007564A1" w:rsidRDefault="00420D81" w:rsidP="007564A1">
            <w:pPr>
              <w:pStyle w:val="ListParagraph"/>
              <w:numPr>
                <w:ilvl w:val="0"/>
                <w:numId w:val="21"/>
              </w:numPr>
              <w:spacing w:before="0" w:after="0"/>
              <w:rPr>
                <w:sz w:val="22"/>
                <w:szCs w:val="22"/>
              </w:rPr>
            </w:pPr>
            <w:r w:rsidRPr="007564A1">
              <w:rPr>
                <w:sz w:val="22"/>
                <w:szCs w:val="22"/>
              </w:rPr>
              <w:t>Nine Mile # 1 (Spokane River)</w:t>
            </w:r>
          </w:p>
        </w:tc>
        <w:tc>
          <w:tcPr>
            <w:tcW w:w="1890" w:type="dxa"/>
          </w:tcPr>
          <w:p w14:paraId="0DBB423F" w14:textId="77777777" w:rsidR="00420D81" w:rsidRPr="00DD219F" w:rsidRDefault="00420D81" w:rsidP="00CA5251">
            <w:pPr>
              <w:spacing w:before="0" w:after="0"/>
              <w:rPr>
                <w:sz w:val="22"/>
                <w:szCs w:val="22"/>
              </w:rPr>
            </w:pPr>
            <w:r w:rsidRPr="00DD219F">
              <w:rPr>
                <w:sz w:val="22"/>
                <w:szCs w:val="22"/>
              </w:rPr>
              <w:t>W216</w:t>
            </w:r>
          </w:p>
          <w:p w14:paraId="63E93331" w14:textId="77777777" w:rsidR="00420D81" w:rsidRPr="00DD219F" w:rsidRDefault="00420D81" w:rsidP="00CA5251">
            <w:pPr>
              <w:spacing w:before="0" w:after="0"/>
              <w:rPr>
                <w:sz w:val="22"/>
                <w:szCs w:val="22"/>
              </w:rPr>
            </w:pPr>
          </w:p>
        </w:tc>
        <w:tc>
          <w:tcPr>
            <w:tcW w:w="2700" w:type="dxa"/>
          </w:tcPr>
          <w:p w14:paraId="1C220A80" w14:textId="004942A9" w:rsidR="00420D81" w:rsidRPr="00DD219F" w:rsidRDefault="00420D81" w:rsidP="00864567">
            <w:pPr>
              <w:spacing w:before="0" w:after="0"/>
              <w:rPr>
                <w:sz w:val="22"/>
                <w:szCs w:val="22"/>
              </w:rPr>
            </w:pPr>
            <w:r w:rsidRPr="00DD219F">
              <w:rPr>
                <w:sz w:val="22"/>
                <w:szCs w:val="22"/>
              </w:rPr>
              <w:t>Incremental Hydro-Water</w:t>
            </w:r>
          </w:p>
        </w:tc>
      </w:tr>
      <w:tr w:rsidR="00420D81" w:rsidRPr="00DD219F" w14:paraId="356DF35D" w14:textId="77777777" w:rsidTr="00864567">
        <w:tc>
          <w:tcPr>
            <w:tcW w:w="2340" w:type="dxa"/>
            <w:vMerge/>
          </w:tcPr>
          <w:p w14:paraId="61A76434" w14:textId="77777777" w:rsidR="00420D81" w:rsidRPr="00DD219F" w:rsidRDefault="00420D81" w:rsidP="00CA5251">
            <w:pPr>
              <w:spacing w:before="0" w:after="0"/>
              <w:rPr>
                <w:sz w:val="22"/>
                <w:szCs w:val="22"/>
              </w:rPr>
            </w:pPr>
          </w:p>
        </w:tc>
        <w:tc>
          <w:tcPr>
            <w:tcW w:w="3060" w:type="dxa"/>
          </w:tcPr>
          <w:p w14:paraId="611C3A44" w14:textId="0058E332" w:rsidR="00420D81" w:rsidRPr="007564A1" w:rsidRDefault="00420D81" w:rsidP="007564A1">
            <w:pPr>
              <w:pStyle w:val="ListParagraph"/>
              <w:numPr>
                <w:ilvl w:val="0"/>
                <w:numId w:val="21"/>
              </w:numPr>
              <w:spacing w:before="0" w:after="0"/>
              <w:rPr>
                <w:sz w:val="22"/>
                <w:szCs w:val="22"/>
              </w:rPr>
            </w:pPr>
            <w:r w:rsidRPr="007564A1">
              <w:rPr>
                <w:sz w:val="22"/>
                <w:szCs w:val="22"/>
              </w:rPr>
              <w:t>Nine Mile #2</w:t>
            </w:r>
            <w:r w:rsidR="00864567" w:rsidRPr="007564A1">
              <w:rPr>
                <w:sz w:val="22"/>
                <w:szCs w:val="22"/>
              </w:rPr>
              <w:t xml:space="preserve"> </w:t>
            </w:r>
            <w:r w:rsidRPr="007564A1">
              <w:rPr>
                <w:sz w:val="22"/>
                <w:szCs w:val="22"/>
              </w:rPr>
              <w:t>(Spokane River)</w:t>
            </w:r>
          </w:p>
        </w:tc>
        <w:tc>
          <w:tcPr>
            <w:tcW w:w="1890" w:type="dxa"/>
          </w:tcPr>
          <w:p w14:paraId="12F426BC" w14:textId="77777777" w:rsidR="00420D81" w:rsidRPr="00DD219F" w:rsidRDefault="00420D81" w:rsidP="00CA5251">
            <w:pPr>
              <w:spacing w:before="0" w:after="0"/>
              <w:rPr>
                <w:sz w:val="22"/>
                <w:szCs w:val="22"/>
              </w:rPr>
            </w:pPr>
            <w:r w:rsidRPr="00DD219F">
              <w:rPr>
                <w:sz w:val="22"/>
                <w:szCs w:val="22"/>
              </w:rPr>
              <w:t>W283</w:t>
            </w:r>
          </w:p>
          <w:p w14:paraId="3B7EC095" w14:textId="77777777" w:rsidR="00420D81" w:rsidRPr="00DD219F" w:rsidRDefault="00420D81" w:rsidP="00CA5251">
            <w:pPr>
              <w:spacing w:before="0" w:after="0"/>
              <w:rPr>
                <w:sz w:val="22"/>
                <w:szCs w:val="22"/>
              </w:rPr>
            </w:pPr>
          </w:p>
        </w:tc>
        <w:tc>
          <w:tcPr>
            <w:tcW w:w="2700" w:type="dxa"/>
          </w:tcPr>
          <w:p w14:paraId="3659FDE4" w14:textId="5EA05733" w:rsidR="00420D81" w:rsidRPr="00DD219F" w:rsidRDefault="00420D81" w:rsidP="00864567">
            <w:pPr>
              <w:spacing w:before="0" w:after="0"/>
              <w:rPr>
                <w:sz w:val="22"/>
                <w:szCs w:val="22"/>
              </w:rPr>
            </w:pPr>
            <w:r w:rsidRPr="00DD219F">
              <w:rPr>
                <w:sz w:val="22"/>
                <w:szCs w:val="22"/>
              </w:rPr>
              <w:t>Incremental Hydro-Water</w:t>
            </w:r>
          </w:p>
        </w:tc>
      </w:tr>
      <w:tr w:rsidR="00420D81" w:rsidRPr="00DD219F" w14:paraId="02406D35" w14:textId="77777777" w:rsidTr="00864567">
        <w:tc>
          <w:tcPr>
            <w:tcW w:w="2340" w:type="dxa"/>
            <w:vMerge/>
          </w:tcPr>
          <w:p w14:paraId="561E00F7" w14:textId="77777777" w:rsidR="00420D81" w:rsidRPr="00DD219F" w:rsidRDefault="00420D81" w:rsidP="00CA5251">
            <w:pPr>
              <w:spacing w:before="0" w:after="0"/>
              <w:rPr>
                <w:sz w:val="22"/>
                <w:szCs w:val="22"/>
              </w:rPr>
            </w:pPr>
          </w:p>
        </w:tc>
        <w:tc>
          <w:tcPr>
            <w:tcW w:w="3060" w:type="dxa"/>
          </w:tcPr>
          <w:p w14:paraId="5817D6D3" w14:textId="2E5F5BD8" w:rsidR="00420D81" w:rsidRPr="007564A1" w:rsidRDefault="00420D81" w:rsidP="007564A1">
            <w:pPr>
              <w:pStyle w:val="ListParagraph"/>
              <w:numPr>
                <w:ilvl w:val="0"/>
                <w:numId w:val="21"/>
              </w:numPr>
              <w:spacing w:before="0" w:after="0"/>
              <w:rPr>
                <w:sz w:val="22"/>
                <w:szCs w:val="22"/>
              </w:rPr>
            </w:pPr>
            <w:r w:rsidRPr="007564A1">
              <w:rPr>
                <w:sz w:val="22"/>
                <w:szCs w:val="22"/>
              </w:rPr>
              <w:t>Kettle Falls</w:t>
            </w:r>
          </w:p>
        </w:tc>
        <w:tc>
          <w:tcPr>
            <w:tcW w:w="1890" w:type="dxa"/>
          </w:tcPr>
          <w:p w14:paraId="2599475A" w14:textId="77777777" w:rsidR="00420D81" w:rsidRPr="00DD219F" w:rsidRDefault="00420D81" w:rsidP="00CA5251">
            <w:pPr>
              <w:spacing w:before="0" w:after="0"/>
              <w:rPr>
                <w:sz w:val="22"/>
                <w:szCs w:val="22"/>
              </w:rPr>
            </w:pPr>
            <w:r w:rsidRPr="00DD219F">
              <w:rPr>
                <w:sz w:val="22"/>
                <w:szCs w:val="22"/>
              </w:rPr>
              <w:t>W130</w:t>
            </w:r>
          </w:p>
        </w:tc>
        <w:tc>
          <w:tcPr>
            <w:tcW w:w="2700" w:type="dxa"/>
          </w:tcPr>
          <w:p w14:paraId="0453145A" w14:textId="77777777" w:rsidR="00420D81" w:rsidRPr="00DD219F" w:rsidRDefault="00420D81" w:rsidP="00CA5251">
            <w:pPr>
              <w:spacing w:before="0" w:after="0"/>
              <w:rPr>
                <w:sz w:val="22"/>
                <w:szCs w:val="22"/>
              </w:rPr>
            </w:pPr>
            <w:r w:rsidRPr="00DD219F">
              <w:rPr>
                <w:sz w:val="22"/>
                <w:szCs w:val="22"/>
              </w:rPr>
              <w:t>Biomass</w:t>
            </w:r>
          </w:p>
        </w:tc>
      </w:tr>
      <w:tr w:rsidR="00175482" w:rsidRPr="00DD219F" w14:paraId="49D0E9C4" w14:textId="77777777" w:rsidTr="00DE6005">
        <w:tc>
          <w:tcPr>
            <w:tcW w:w="2340" w:type="dxa"/>
            <w:vMerge w:val="restart"/>
            <w:vAlign w:val="center"/>
          </w:tcPr>
          <w:p w14:paraId="7DE098D9" w14:textId="77777777" w:rsidR="00175482" w:rsidRPr="008E009E" w:rsidRDefault="00175482" w:rsidP="00DE6005">
            <w:pPr>
              <w:spacing w:before="0" w:after="0"/>
              <w:rPr>
                <w:b/>
                <w:sz w:val="22"/>
                <w:szCs w:val="22"/>
              </w:rPr>
            </w:pPr>
            <w:r w:rsidRPr="008E009E">
              <w:rPr>
                <w:b/>
                <w:sz w:val="22"/>
                <w:szCs w:val="22"/>
              </w:rPr>
              <w:t>Pacific Power</w:t>
            </w:r>
          </w:p>
          <w:p w14:paraId="7CAA39AE" w14:textId="17443D3F" w:rsidR="00175482" w:rsidRPr="00DD219F" w:rsidRDefault="00175482" w:rsidP="006400DC">
            <w:pPr>
              <w:spacing w:before="0" w:after="0"/>
              <w:rPr>
                <w:sz w:val="22"/>
                <w:szCs w:val="22"/>
              </w:rPr>
            </w:pPr>
          </w:p>
        </w:tc>
        <w:tc>
          <w:tcPr>
            <w:tcW w:w="3060" w:type="dxa"/>
          </w:tcPr>
          <w:p w14:paraId="2973C798" w14:textId="78D151A4" w:rsidR="00175482" w:rsidRPr="000B426A" w:rsidRDefault="00175482" w:rsidP="000B426A">
            <w:pPr>
              <w:pStyle w:val="ListParagraph"/>
              <w:numPr>
                <w:ilvl w:val="0"/>
                <w:numId w:val="25"/>
              </w:numPr>
              <w:spacing w:before="0" w:after="0"/>
              <w:rPr>
                <w:sz w:val="22"/>
                <w:szCs w:val="22"/>
              </w:rPr>
            </w:pPr>
            <w:r w:rsidRPr="000B426A">
              <w:rPr>
                <w:sz w:val="22"/>
                <w:szCs w:val="22"/>
              </w:rPr>
              <w:t>Campbell Hill-Three Buttes</w:t>
            </w:r>
          </w:p>
        </w:tc>
        <w:tc>
          <w:tcPr>
            <w:tcW w:w="1890" w:type="dxa"/>
          </w:tcPr>
          <w:p w14:paraId="59BCD4AE" w14:textId="55CF70E9" w:rsidR="00175482" w:rsidRPr="00DD219F" w:rsidRDefault="00175482" w:rsidP="00CA5251">
            <w:pPr>
              <w:spacing w:before="0" w:after="0"/>
              <w:rPr>
                <w:sz w:val="22"/>
                <w:szCs w:val="22"/>
              </w:rPr>
            </w:pPr>
            <w:r>
              <w:rPr>
                <w:sz w:val="22"/>
                <w:szCs w:val="22"/>
              </w:rPr>
              <w:t>W1383</w:t>
            </w:r>
          </w:p>
        </w:tc>
        <w:tc>
          <w:tcPr>
            <w:tcW w:w="2700" w:type="dxa"/>
          </w:tcPr>
          <w:p w14:paraId="3C37F579" w14:textId="2C5FE6A5" w:rsidR="00175482" w:rsidRPr="00DD219F" w:rsidRDefault="00175482" w:rsidP="00CA5251">
            <w:pPr>
              <w:spacing w:before="0" w:after="0"/>
              <w:rPr>
                <w:sz w:val="22"/>
                <w:szCs w:val="22"/>
              </w:rPr>
            </w:pPr>
            <w:r>
              <w:rPr>
                <w:sz w:val="22"/>
                <w:szCs w:val="22"/>
              </w:rPr>
              <w:t>Wind</w:t>
            </w:r>
          </w:p>
        </w:tc>
      </w:tr>
      <w:tr w:rsidR="00175482" w:rsidRPr="00DD219F" w14:paraId="2E7F8517" w14:textId="77777777" w:rsidTr="00864567">
        <w:tc>
          <w:tcPr>
            <w:tcW w:w="2340" w:type="dxa"/>
            <w:vMerge/>
          </w:tcPr>
          <w:p w14:paraId="27C856FD" w14:textId="79436A18" w:rsidR="00175482" w:rsidRPr="00DD219F" w:rsidRDefault="00175482" w:rsidP="006400DC">
            <w:pPr>
              <w:spacing w:before="0" w:after="0"/>
              <w:rPr>
                <w:sz w:val="22"/>
                <w:szCs w:val="22"/>
              </w:rPr>
            </w:pPr>
          </w:p>
        </w:tc>
        <w:tc>
          <w:tcPr>
            <w:tcW w:w="3060" w:type="dxa"/>
          </w:tcPr>
          <w:p w14:paraId="4BBDEA5F" w14:textId="77EC4C65" w:rsidR="00175482" w:rsidRPr="000B426A" w:rsidRDefault="00175482" w:rsidP="000B426A">
            <w:pPr>
              <w:pStyle w:val="ListParagraph"/>
              <w:numPr>
                <w:ilvl w:val="0"/>
                <w:numId w:val="25"/>
              </w:numPr>
              <w:spacing w:before="0" w:after="0"/>
              <w:rPr>
                <w:sz w:val="22"/>
                <w:szCs w:val="22"/>
              </w:rPr>
            </w:pPr>
            <w:r w:rsidRPr="000B426A">
              <w:rPr>
                <w:sz w:val="22"/>
                <w:szCs w:val="22"/>
              </w:rPr>
              <w:t>Dunlap I</w:t>
            </w:r>
          </w:p>
        </w:tc>
        <w:tc>
          <w:tcPr>
            <w:tcW w:w="1890" w:type="dxa"/>
          </w:tcPr>
          <w:p w14:paraId="4FD51CC5" w14:textId="2D8144E6" w:rsidR="00175482" w:rsidRPr="00DD219F" w:rsidRDefault="00175482" w:rsidP="00CA5251">
            <w:pPr>
              <w:spacing w:before="0" w:after="0"/>
              <w:rPr>
                <w:sz w:val="22"/>
                <w:szCs w:val="22"/>
              </w:rPr>
            </w:pPr>
            <w:r>
              <w:rPr>
                <w:sz w:val="22"/>
                <w:szCs w:val="22"/>
              </w:rPr>
              <w:t>W1687</w:t>
            </w:r>
          </w:p>
        </w:tc>
        <w:tc>
          <w:tcPr>
            <w:tcW w:w="2700" w:type="dxa"/>
          </w:tcPr>
          <w:p w14:paraId="3DBD9EBD" w14:textId="70A715BC" w:rsidR="00175482" w:rsidRPr="00DD219F" w:rsidRDefault="00175482" w:rsidP="00CA5251">
            <w:pPr>
              <w:spacing w:before="0" w:after="0"/>
              <w:rPr>
                <w:sz w:val="22"/>
                <w:szCs w:val="22"/>
              </w:rPr>
            </w:pPr>
            <w:r>
              <w:rPr>
                <w:sz w:val="22"/>
                <w:szCs w:val="22"/>
              </w:rPr>
              <w:t>Wind</w:t>
            </w:r>
          </w:p>
        </w:tc>
      </w:tr>
      <w:tr w:rsidR="00175482" w:rsidRPr="00DD219F" w14:paraId="58BBFFDB" w14:textId="77777777" w:rsidTr="00864567">
        <w:tc>
          <w:tcPr>
            <w:tcW w:w="2340" w:type="dxa"/>
            <w:vMerge/>
          </w:tcPr>
          <w:p w14:paraId="59E87768" w14:textId="5FF2B14E" w:rsidR="00175482" w:rsidRDefault="00175482" w:rsidP="006400DC">
            <w:pPr>
              <w:spacing w:before="0" w:after="0"/>
              <w:rPr>
                <w:sz w:val="22"/>
                <w:szCs w:val="22"/>
              </w:rPr>
            </w:pPr>
          </w:p>
        </w:tc>
        <w:tc>
          <w:tcPr>
            <w:tcW w:w="3060" w:type="dxa"/>
          </w:tcPr>
          <w:p w14:paraId="4639BF00" w14:textId="1DEDFA3D" w:rsidR="00175482" w:rsidRPr="000B426A" w:rsidRDefault="00175482" w:rsidP="000B426A">
            <w:pPr>
              <w:pStyle w:val="ListParagraph"/>
              <w:numPr>
                <w:ilvl w:val="0"/>
                <w:numId w:val="25"/>
              </w:numPr>
              <w:spacing w:before="0" w:after="0"/>
              <w:rPr>
                <w:sz w:val="22"/>
                <w:szCs w:val="22"/>
              </w:rPr>
            </w:pPr>
            <w:r>
              <w:rPr>
                <w:sz w:val="22"/>
                <w:szCs w:val="22"/>
              </w:rPr>
              <w:t>Glenrock  I</w:t>
            </w:r>
          </w:p>
        </w:tc>
        <w:tc>
          <w:tcPr>
            <w:tcW w:w="1890" w:type="dxa"/>
          </w:tcPr>
          <w:p w14:paraId="30614442" w14:textId="48FB2E5A" w:rsidR="00175482" w:rsidRPr="00DD219F" w:rsidRDefault="00175482" w:rsidP="00CA5251">
            <w:pPr>
              <w:spacing w:before="0" w:after="0"/>
              <w:rPr>
                <w:sz w:val="22"/>
                <w:szCs w:val="22"/>
              </w:rPr>
            </w:pPr>
            <w:r>
              <w:rPr>
                <w:sz w:val="22"/>
                <w:szCs w:val="22"/>
              </w:rPr>
              <w:t>W964</w:t>
            </w:r>
          </w:p>
        </w:tc>
        <w:tc>
          <w:tcPr>
            <w:tcW w:w="2700" w:type="dxa"/>
          </w:tcPr>
          <w:p w14:paraId="1E8468FA" w14:textId="4F3A2749" w:rsidR="00175482" w:rsidRDefault="00175482" w:rsidP="00CA5251">
            <w:pPr>
              <w:spacing w:before="0" w:after="0"/>
              <w:rPr>
                <w:sz w:val="22"/>
                <w:szCs w:val="22"/>
              </w:rPr>
            </w:pPr>
            <w:r>
              <w:rPr>
                <w:sz w:val="22"/>
                <w:szCs w:val="22"/>
              </w:rPr>
              <w:t>Wind</w:t>
            </w:r>
          </w:p>
        </w:tc>
      </w:tr>
      <w:tr w:rsidR="00175482" w:rsidRPr="00DD219F" w14:paraId="7D37DB72" w14:textId="77777777" w:rsidTr="00864567">
        <w:tc>
          <w:tcPr>
            <w:tcW w:w="2340" w:type="dxa"/>
            <w:vMerge/>
          </w:tcPr>
          <w:p w14:paraId="0D8469A5" w14:textId="12839A68" w:rsidR="00175482" w:rsidRPr="00DD219F" w:rsidRDefault="00175482" w:rsidP="006400DC">
            <w:pPr>
              <w:spacing w:before="0" w:after="0"/>
              <w:rPr>
                <w:sz w:val="22"/>
                <w:szCs w:val="22"/>
              </w:rPr>
            </w:pPr>
          </w:p>
        </w:tc>
        <w:tc>
          <w:tcPr>
            <w:tcW w:w="3060" w:type="dxa"/>
          </w:tcPr>
          <w:p w14:paraId="2BD596C4" w14:textId="24825B2A" w:rsidR="00175482" w:rsidRPr="000B426A" w:rsidRDefault="00175482" w:rsidP="000B426A">
            <w:pPr>
              <w:pStyle w:val="ListParagraph"/>
              <w:numPr>
                <w:ilvl w:val="0"/>
                <w:numId w:val="25"/>
              </w:numPr>
              <w:spacing w:before="0" w:after="0"/>
              <w:rPr>
                <w:sz w:val="22"/>
                <w:szCs w:val="22"/>
              </w:rPr>
            </w:pPr>
            <w:r w:rsidRPr="000B426A">
              <w:rPr>
                <w:sz w:val="22"/>
                <w:szCs w:val="22"/>
              </w:rPr>
              <w:t>Rolling Hills</w:t>
            </w:r>
          </w:p>
        </w:tc>
        <w:tc>
          <w:tcPr>
            <w:tcW w:w="1890" w:type="dxa"/>
          </w:tcPr>
          <w:p w14:paraId="3C059D0B" w14:textId="6D35BFEA" w:rsidR="00175482" w:rsidRPr="00DD219F" w:rsidRDefault="00175482" w:rsidP="00CA5251">
            <w:pPr>
              <w:spacing w:before="0" w:after="0"/>
              <w:rPr>
                <w:sz w:val="22"/>
                <w:szCs w:val="22"/>
              </w:rPr>
            </w:pPr>
            <w:r>
              <w:rPr>
                <w:sz w:val="22"/>
                <w:szCs w:val="22"/>
              </w:rPr>
              <w:t>W928</w:t>
            </w:r>
          </w:p>
        </w:tc>
        <w:tc>
          <w:tcPr>
            <w:tcW w:w="2700" w:type="dxa"/>
          </w:tcPr>
          <w:p w14:paraId="3E667F8B" w14:textId="02354EF6" w:rsidR="00175482" w:rsidRPr="00DD219F" w:rsidRDefault="00175482" w:rsidP="00CA5251">
            <w:pPr>
              <w:spacing w:before="0" w:after="0"/>
              <w:rPr>
                <w:sz w:val="22"/>
                <w:szCs w:val="22"/>
              </w:rPr>
            </w:pPr>
            <w:r>
              <w:rPr>
                <w:sz w:val="22"/>
                <w:szCs w:val="22"/>
              </w:rPr>
              <w:t>Wind</w:t>
            </w:r>
          </w:p>
        </w:tc>
      </w:tr>
    </w:tbl>
    <w:p w14:paraId="79532123" w14:textId="5E70B912" w:rsidR="00420D81" w:rsidRPr="00DD219F" w:rsidRDefault="00420D81" w:rsidP="00420D81">
      <w:pPr>
        <w:spacing w:before="0" w:after="0"/>
        <w:rPr>
          <w:sz w:val="22"/>
          <w:szCs w:val="22"/>
        </w:rPr>
      </w:pPr>
    </w:p>
    <w:p w14:paraId="1A1727BF" w14:textId="351974B8" w:rsidR="006B7E83" w:rsidRDefault="003D6F5B" w:rsidP="00661791">
      <w:pPr>
        <w:contextualSpacing/>
      </w:pPr>
      <w:r>
        <w:t>The additional renewable resources for Avista are either existing or upgrades to existing facilities. Avista is requesting a finding of eligibility, discussed later. Pacific’s</w:t>
      </w:r>
      <w:r w:rsidR="006B7E83" w:rsidRPr="00C1036C">
        <w:t xml:space="preserve"> </w:t>
      </w:r>
      <w:r w:rsidR="00175482" w:rsidRPr="00C1036C">
        <w:t>four</w:t>
      </w:r>
      <w:r w:rsidR="006B7E83" w:rsidRPr="00C1036C">
        <w:t xml:space="preserve"> </w:t>
      </w:r>
      <w:r>
        <w:t xml:space="preserve">wind </w:t>
      </w:r>
      <w:r w:rsidR="006B7E83" w:rsidRPr="00C1036C">
        <w:t xml:space="preserve">facilities are </w:t>
      </w:r>
      <w:r w:rsidR="00F40184">
        <w:t xml:space="preserve">in </w:t>
      </w:r>
      <w:r>
        <w:t>Wyoming</w:t>
      </w:r>
      <w:r w:rsidR="00F40184">
        <w:t>. These</w:t>
      </w:r>
      <w:r w:rsidR="00536FB0">
        <w:t xml:space="preserve"> facilities </w:t>
      </w:r>
      <w:r w:rsidR="00883FC1" w:rsidRPr="00C1036C">
        <w:t xml:space="preserve">were previously found </w:t>
      </w:r>
      <w:r w:rsidR="00C1036C" w:rsidRPr="00C1036C">
        <w:t xml:space="preserve">by the commission </w:t>
      </w:r>
      <w:r w:rsidR="00883FC1" w:rsidRPr="00C1036C">
        <w:t xml:space="preserve">to be eligible </w:t>
      </w:r>
      <w:r w:rsidR="0040328A">
        <w:t>renewable resources;</w:t>
      </w:r>
      <w:r w:rsidR="00A7099C">
        <w:rPr>
          <w:rStyle w:val="FootnoteReference"/>
        </w:rPr>
        <w:footnoteReference w:id="8"/>
      </w:r>
      <w:r w:rsidR="0040328A">
        <w:t xml:space="preserve"> </w:t>
      </w:r>
      <w:r w:rsidR="00536FB0">
        <w:t>h</w:t>
      </w:r>
      <w:r w:rsidR="00A73A91">
        <w:t>owever, they were not used for compliance in RPS</w:t>
      </w:r>
      <w:r w:rsidR="00EF2DF8">
        <w:t xml:space="preserve"> reporting</w:t>
      </w:r>
      <w:r w:rsidR="00A73A91">
        <w:t xml:space="preserve"> </w:t>
      </w:r>
      <w:r w:rsidR="002416AB">
        <w:t>until now</w:t>
      </w:r>
      <w:r w:rsidR="00A73A91">
        <w:t>.</w:t>
      </w:r>
      <w:r w:rsidR="00883FC1" w:rsidRPr="00C1036C">
        <w:t xml:space="preserve"> </w:t>
      </w:r>
    </w:p>
    <w:p w14:paraId="2ECED02C" w14:textId="5CA5BB26" w:rsidR="00175406" w:rsidRDefault="00175406" w:rsidP="0012574C">
      <w:pPr>
        <w:pStyle w:val="Heading2"/>
        <w:spacing w:before="0"/>
        <w:rPr>
          <w:i/>
        </w:rPr>
      </w:pPr>
      <w:bookmarkStart w:id="11" w:name="_Toc455489979"/>
      <w:bookmarkStart w:id="12" w:name="_Toc456249967"/>
      <w:r w:rsidRPr="0012574C">
        <w:rPr>
          <w:i/>
        </w:rPr>
        <w:t>Incremental Cost Calculatio</w:t>
      </w:r>
      <w:r w:rsidR="00286AC9">
        <w:rPr>
          <w:i/>
        </w:rPr>
        <w:t>ns</w:t>
      </w:r>
      <w:bookmarkEnd w:id="11"/>
      <w:bookmarkEnd w:id="12"/>
    </w:p>
    <w:p w14:paraId="3F00C716" w14:textId="6E7E4B36" w:rsidR="009930E0" w:rsidRPr="00F4558B" w:rsidRDefault="00F4558B" w:rsidP="00F4558B">
      <w:pPr>
        <w:spacing w:before="0" w:after="0"/>
        <w:rPr>
          <w:highlight w:val="yellow"/>
        </w:rPr>
      </w:pPr>
      <w:r>
        <w:t xml:space="preserve">Incremental cost is the additional cost to ratepayers for the companies to meet the requirements of the Renewable Portfolio Standard. </w:t>
      </w:r>
      <w:r w:rsidR="008445A4">
        <w:t xml:space="preserve">WAC 480-109-210(2)(a) </w:t>
      </w:r>
      <w:r w:rsidR="00F46433">
        <w:t xml:space="preserve">divides the calculation into capacity and energy components and directs utilities to report the incremental cost in two terms: </w:t>
      </w:r>
    </w:p>
    <w:p w14:paraId="15C49CF7" w14:textId="03571ADE" w:rsidR="009930E0" w:rsidRDefault="008120AE" w:rsidP="009930E0">
      <w:pPr>
        <w:pStyle w:val="ListParagraph"/>
        <w:numPr>
          <w:ilvl w:val="0"/>
          <w:numId w:val="6"/>
        </w:numPr>
        <w:spacing w:before="0" w:after="0"/>
      </w:pPr>
      <w:r>
        <w:t>C</w:t>
      </w:r>
      <w:r w:rsidR="00F46433">
        <w:t xml:space="preserve">ost of all eligible resources </w:t>
      </w:r>
      <w:r w:rsidR="009930E0">
        <w:t>acquired</w:t>
      </w:r>
      <w:r w:rsidR="00835588">
        <w:t>.</w:t>
      </w:r>
    </w:p>
    <w:p w14:paraId="00431525" w14:textId="2D5E9465" w:rsidR="009930E0" w:rsidRDefault="008120AE" w:rsidP="009930E0">
      <w:pPr>
        <w:pStyle w:val="ListParagraph"/>
        <w:numPr>
          <w:ilvl w:val="0"/>
          <w:numId w:val="6"/>
        </w:numPr>
        <w:spacing w:before="0" w:after="0"/>
      </w:pPr>
      <w:r>
        <w:t>Prorated</w:t>
      </w:r>
      <w:r w:rsidR="0063315F">
        <w:t xml:space="preserve"> </w:t>
      </w:r>
      <w:r w:rsidR="00342664">
        <w:t xml:space="preserve">cost of only the resources needed to </w:t>
      </w:r>
      <w:r w:rsidR="0063315F">
        <w:t>meet that year’s target</w:t>
      </w:r>
      <w:r w:rsidR="00342664">
        <w:t xml:space="preserve">. </w:t>
      </w:r>
    </w:p>
    <w:p w14:paraId="16B4D2B3" w14:textId="77777777" w:rsidR="000257DA" w:rsidRDefault="000257DA" w:rsidP="005A3EB9">
      <w:pPr>
        <w:spacing w:before="0" w:after="0"/>
      </w:pPr>
    </w:p>
    <w:p w14:paraId="34BD606F" w14:textId="137575F7" w:rsidR="008445A4" w:rsidRDefault="00A83565" w:rsidP="005A3EB9">
      <w:pPr>
        <w:spacing w:before="0" w:after="0"/>
      </w:pPr>
      <w:r>
        <w:t>The rule also explicitly states that in</w:t>
      </w:r>
      <w:r w:rsidR="009930E0">
        <w:t xml:space="preserve">cremental costs may be negative. </w:t>
      </w:r>
      <w:r w:rsidR="00136742">
        <w:t>The rule</w:t>
      </w:r>
      <w:r w:rsidR="009930E0">
        <w:t xml:space="preserve"> </w:t>
      </w:r>
      <w:r w:rsidR="007E018F">
        <w:t xml:space="preserve">ensures </w:t>
      </w:r>
      <w:r w:rsidR="00342664">
        <w:t>that the utilities are making their comparisons in similar terms and allows for acc</w:t>
      </w:r>
      <w:r w:rsidR="0012574C">
        <w:t xml:space="preserve">urate comparison of incremental costs across </w:t>
      </w:r>
      <w:r w:rsidR="00342664">
        <w:t>utilities with different renewable penetration rates.</w:t>
      </w:r>
      <w:r w:rsidR="008445A4">
        <w:t xml:space="preserve"> </w:t>
      </w:r>
      <w:r w:rsidR="006270E0">
        <w:t xml:space="preserve">The </w:t>
      </w:r>
      <w:r w:rsidR="00136742">
        <w:t xml:space="preserve">rule also </w:t>
      </w:r>
      <w:r w:rsidR="007E018F">
        <w:t xml:space="preserve">ensures </w:t>
      </w:r>
      <w:r w:rsidR="00136742">
        <w:t xml:space="preserve">that the three companies </w:t>
      </w:r>
      <w:r w:rsidR="006270E0">
        <w:t>provide the incremental cost of all of their renewable resources,</w:t>
      </w:r>
      <w:r w:rsidR="00A370A2">
        <w:t xml:space="preserve"> </w:t>
      </w:r>
      <w:r w:rsidR="006270E0">
        <w:t>regardless if a specific unit was used for compliance.</w:t>
      </w:r>
    </w:p>
    <w:p w14:paraId="2D994ABE" w14:textId="77777777" w:rsidR="008445A4" w:rsidRDefault="008445A4" w:rsidP="005A3EB9">
      <w:pPr>
        <w:spacing w:before="0" w:after="0"/>
      </w:pPr>
    </w:p>
    <w:p w14:paraId="439AA748" w14:textId="134FD589" w:rsidR="006270E0" w:rsidRDefault="006270E0" w:rsidP="006270E0">
      <w:pPr>
        <w:spacing w:before="0" w:after="0"/>
      </w:pPr>
      <w:r>
        <w:t>Table 3 shows a side-by-side comparison of the utilities’ reported incremental cost percentages in 2015 and 2016, expressed in t</w:t>
      </w:r>
      <w:r w:rsidR="003C78C5">
        <w:t>wo terms:</w:t>
      </w:r>
      <w:r w:rsidR="007A574B">
        <w:t xml:space="preserve"> </w:t>
      </w:r>
      <w:r>
        <w:t>the cost of only the resources required for compliance and the cost of all resources acquired.</w:t>
      </w:r>
      <w:r w:rsidR="0017680F" w:rsidRPr="0017680F">
        <w:t xml:space="preserve"> </w:t>
      </w:r>
      <w:r w:rsidR="00DA3D38">
        <w:t xml:space="preserve">Incremental costs are higher at the 9 percent requirement in 2016 for Pacific Power and PSE. </w:t>
      </w:r>
      <w:r w:rsidR="004E213D" w:rsidRPr="0031690E">
        <w:t xml:space="preserve">Staff is continuing to review Avista’s incremental cost reporting data </w:t>
      </w:r>
      <w:r w:rsidR="002C2CEE">
        <w:t>and multistate Production and Transportation Ratio</w:t>
      </w:r>
      <w:r w:rsidR="004E213D" w:rsidRPr="0031690E">
        <w:t>; therefore, it is not included in Table 3</w:t>
      </w:r>
      <w:r w:rsidR="004E213D">
        <w:t xml:space="preserve"> at this time. </w:t>
      </w:r>
      <w:r w:rsidR="006B2B2B">
        <w:t>Pacific Power only reported one incremental cost</w:t>
      </w:r>
      <w:r w:rsidR="00026E34">
        <w:t>.</w:t>
      </w:r>
    </w:p>
    <w:p w14:paraId="2629F183" w14:textId="17B9A439" w:rsidR="008C7489" w:rsidRDefault="008C7489" w:rsidP="006270E0">
      <w:pPr>
        <w:spacing w:before="0" w:after="0"/>
      </w:pPr>
    </w:p>
    <w:p w14:paraId="63C6E773" w14:textId="5D8CFF25" w:rsidR="00D012E3" w:rsidRDefault="00ED7D78" w:rsidP="005A3EB9">
      <w:pPr>
        <w:spacing w:before="0" w:after="0"/>
      </w:pPr>
      <w:r>
        <w:rPr>
          <w:b/>
        </w:rPr>
        <w:t>Table 3</w:t>
      </w:r>
      <w:r w:rsidR="00D012E3">
        <w:rPr>
          <w:b/>
        </w:rPr>
        <w:t xml:space="preserve">: </w:t>
      </w:r>
      <w:r w:rsidR="009B697C">
        <w:rPr>
          <w:b/>
        </w:rPr>
        <w:t>Investor-Owned Utili</w:t>
      </w:r>
      <w:r w:rsidR="00A83565">
        <w:rPr>
          <w:b/>
        </w:rPr>
        <w:t>ties’ Reported Incremental Cost Percentages</w:t>
      </w:r>
      <w:r w:rsidR="009B697C">
        <w:rPr>
          <w:b/>
        </w:rPr>
        <w:t>, 201</w:t>
      </w:r>
      <w:r w:rsidR="0032759E">
        <w:rPr>
          <w:b/>
        </w:rPr>
        <w:t>5 and 2016</w:t>
      </w:r>
    </w:p>
    <w:p w14:paraId="60AA234E" w14:textId="77777777" w:rsidR="00CB7F10" w:rsidRDefault="00CB7F10" w:rsidP="005A3EB9">
      <w:pPr>
        <w:spacing w:before="0" w:after="0"/>
      </w:pPr>
    </w:p>
    <w:tbl>
      <w:tblPr>
        <w:tblStyle w:val="TableGrid"/>
        <w:tblW w:w="0" w:type="auto"/>
        <w:tblLook w:val="04A0" w:firstRow="1" w:lastRow="0" w:firstColumn="1" w:lastColumn="0" w:noHBand="0" w:noVBand="1"/>
      </w:tblPr>
      <w:tblGrid>
        <w:gridCol w:w="1710"/>
        <w:gridCol w:w="2160"/>
        <w:gridCol w:w="1620"/>
        <w:gridCol w:w="2250"/>
        <w:gridCol w:w="1610"/>
      </w:tblGrid>
      <w:tr w:rsidR="00CB7F10" w14:paraId="2103E58A" w14:textId="77777777" w:rsidTr="00287C4F">
        <w:tc>
          <w:tcPr>
            <w:tcW w:w="1710" w:type="dxa"/>
            <w:tcBorders>
              <w:top w:val="nil"/>
              <w:left w:val="nil"/>
              <w:bottom w:val="nil"/>
            </w:tcBorders>
          </w:tcPr>
          <w:p w14:paraId="7A196330" w14:textId="77777777" w:rsidR="00CB7F10" w:rsidRDefault="00CB7F10" w:rsidP="005A3EB9">
            <w:pPr>
              <w:spacing w:before="0" w:after="0"/>
            </w:pPr>
          </w:p>
        </w:tc>
        <w:tc>
          <w:tcPr>
            <w:tcW w:w="3780" w:type="dxa"/>
            <w:gridSpan w:val="2"/>
          </w:tcPr>
          <w:p w14:paraId="3AFF324E" w14:textId="74B85DCB" w:rsidR="00CB7F10" w:rsidRPr="00CB7F10" w:rsidRDefault="000D1B66" w:rsidP="00CB7F10">
            <w:pPr>
              <w:spacing w:before="0" w:after="0"/>
              <w:jc w:val="center"/>
              <w:rPr>
                <w:b/>
              </w:rPr>
            </w:pPr>
            <w:r>
              <w:rPr>
                <w:b/>
              </w:rPr>
              <w:t>2015</w:t>
            </w:r>
          </w:p>
        </w:tc>
        <w:tc>
          <w:tcPr>
            <w:tcW w:w="3860" w:type="dxa"/>
            <w:gridSpan w:val="2"/>
          </w:tcPr>
          <w:p w14:paraId="6B39BC91" w14:textId="11DA032F" w:rsidR="00CB7F10" w:rsidRPr="00CB7F10" w:rsidRDefault="000D1B66" w:rsidP="00CB7F10">
            <w:pPr>
              <w:spacing w:before="0" w:after="0"/>
              <w:jc w:val="center"/>
              <w:rPr>
                <w:b/>
              </w:rPr>
            </w:pPr>
            <w:r>
              <w:rPr>
                <w:b/>
              </w:rPr>
              <w:t>2016</w:t>
            </w:r>
          </w:p>
        </w:tc>
      </w:tr>
      <w:tr w:rsidR="00CB7F10" w14:paraId="276E054D" w14:textId="77777777" w:rsidTr="00287C4F">
        <w:tc>
          <w:tcPr>
            <w:tcW w:w="1710" w:type="dxa"/>
            <w:tcBorders>
              <w:top w:val="nil"/>
              <w:left w:val="nil"/>
            </w:tcBorders>
          </w:tcPr>
          <w:p w14:paraId="2D89911D" w14:textId="77777777" w:rsidR="00CB7F10" w:rsidRDefault="00CB7F10" w:rsidP="00F0483A">
            <w:pPr>
              <w:spacing w:before="0" w:after="0"/>
              <w:jc w:val="center"/>
            </w:pPr>
          </w:p>
        </w:tc>
        <w:tc>
          <w:tcPr>
            <w:tcW w:w="2160" w:type="dxa"/>
          </w:tcPr>
          <w:p w14:paraId="1190BEEF" w14:textId="77777777" w:rsidR="00CB7F10" w:rsidRPr="00B332F0" w:rsidRDefault="00CB7F10" w:rsidP="00F0483A">
            <w:pPr>
              <w:spacing w:before="0" w:after="0"/>
              <w:jc w:val="center"/>
              <w:rPr>
                <w:i/>
              </w:rPr>
            </w:pPr>
            <w:r w:rsidRPr="00B332F0">
              <w:rPr>
                <w:i/>
              </w:rPr>
              <w:t>Required Resources</w:t>
            </w:r>
          </w:p>
        </w:tc>
        <w:tc>
          <w:tcPr>
            <w:tcW w:w="1620" w:type="dxa"/>
          </w:tcPr>
          <w:p w14:paraId="78F98F8B" w14:textId="77777777" w:rsidR="00CB7F10" w:rsidRPr="00B332F0" w:rsidRDefault="00CB7F10" w:rsidP="00F0483A">
            <w:pPr>
              <w:spacing w:before="0" w:after="0"/>
              <w:jc w:val="center"/>
              <w:rPr>
                <w:i/>
              </w:rPr>
            </w:pPr>
            <w:r w:rsidRPr="00B332F0">
              <w:rPr>
                <w:i/>
              </w:rPr>
              <w:t>All Resources</w:t>
            </w:r>
          </w:p>
        </w:tc>
        <w:tc>
          <w:tcPr>
            <w:tcW w:w="2250" w:type="dxa"/>
          </w:tcPr>
          <w:p w14:paraId="1904B498" w14:textId="77777777" w:rsidR="00CB7F10" w:rsidRPr="00B332F0" w:rsidRDefault="00CB7F10" w:rsidP="00F0483A">
            <w:pPr>
              <w:spacing w:before="0" w:after="0"/>
              <w:jc w:val="center"/>
              <w:rPr>
                <w:i/>
              </w:rPr>
            </w:pPr>
            <w:r w:rsidRPr="00B332F0">
              <w:rPr>
                <w:i/>
              </w:rPr>
              <w:t>Required Resources</w:t>
            </w:r>
          </w:p>
        </w:tc>
        <w:tc>
          <w:tcPr>
            <w:tcW w:w="1610" w:type="dxa"/>
          </w:tcPr>
          <w:p w14:paraId="6490F0AD" w14:textId="77777777" w:rsidR="00CB7F10" w:rsidRPr="00B332F0" w:rsidRDefault="00CB7F10" w:rsidP="00F0483A">
            <w:pPr>
              <w:spacing w:before="0" w:after="0"/>
              <w:jc w:val="center"/>
              <w:rPr>
                <w:i/>
              </w:rPr>
            </w:pPr>
            <w:r w:rsidRPr="00B332F0">
              <w:rPr>
                <w:i/>
              </w:rPr>
              <w:t>All Resources</w:t>
            </w:r>
          </w:p>
        </w:tc>
      </w:tr>
      <w:tr w:rsidR="000D1B66" w14:paraId="7683E771" w14:textId="77777777" w:rsidTr="00CB7F10">
        <w:tc>
          <w:tcPr>
            <w:tcW w:w="1710" w:type="dxa"/>
          </w:tcPr>
          <w:p w14:paraId="42CE1664" w14:textId="57127B87" w:rsidR="000D1B66" w:rsidRPr="001F7DB9" w:rsidRDefault="000D1B66" w:rsidP="000D1B66">
            <w:pPr>
              <w:spacing w:before="0" w:after="0"/>
              <w:rPr>
                <w:b/>
              </w:rPr>
            </w:pPr>
            <w:r w:rsidRPr="001F7DB9">
              <w:rPr>
                <w:b/>
              </w:rPr>
              <w:t>Avista</w:t>
            </w:r>
            <w:r w:rsidR="006270E0" w:rsidRPr="001F7DB9">
              <w:rPr>
                <w:rStyle w:val="FootnoteReference"/>
              </w:rPr>
              <w:footnoteReference w:id="9"/>
            </w:r>
          </w:p>
        </w:tc>
        <w:tc>
          <w:tcPr>
            <w:tcW w:w="2160" w:type="dxa"/>
          </w:tcPr>
          <w:p w14:paraId="773DD5BD" w14:textId="6C8D555C" w:rsidR="000D1B66" w:rsidRPr="002C3916" w:rsidRDefault="000D1B66" w:rsidP="000D1B66">
            <w:pPr>
              <w:spacing w:before="0" w:after="0"/>
              <w:jc w:val="center"/>
            </w:pPr>
            <w:r w:rsidRPr="002C3916">
              <w:t>(1.0 %)</w:t>
            </w:r>
          </w:p>
        </w:tc>
        <w:tc>
          <w:tcPr>
            <w:tcW w:w="1620" w:type="dxa"/>
          </w:tcPr>
          <w:p w14:paraId="1A3DA494" w14:textId="66558895" w:rsidR="000D1B66" w:rsidRPr="002C3916" w:rsidRDefault="000D1B66" w:rsidP="000D1B66">
            <w:pPr>
              <w:spacing w:before="0" w:after="0"/>
              <w:jc w:val="center"/>
            </w:pPr>
            <w:r w:rsidRPr="002C3916">
              <w:t>(0.7 %)</w:t>
            </w:r>
          </w:p>
        </w:tc>
        <w:tc>
          <w:tcPr>
            <w:tcW w:w="2250" w:type="dxa"/>
          </w:tcPr>
          <w:p w14:paraId="49DF916A" w14:textId="0DE9FCB9" w:rsidR="000D1B66" w:rsidRPr="002C3916" w:rsidRDefault="006270E0" w:rsidP="000D1B66">
            <w:pPr>
              <w:spacing w:before="0" w:after="0"/>
              <w:jc w:val="center"/>
            </w:pPr>
            <w:r w:rsidRPr="002C3916">
              <w:t>*</w:t>
            </w:r>
          </w:p>
        </w:tc>
        <w:tc>
          <w:tcPr>
            <w:tcW w:w="1610" w:type="dxa"/>
          </w:tcPr>
          <w:p w14:paraId="20DA6C92" w14:textId="6490F502" w:rsidR="000D1B66" w:rsidRPr="0031690E" w:rsidRDefault="006270E0" w:rsidP="000D1B66">
            <w:pPr>
              <w:spacing w:before="0" w:after="0"/>
              <w:jc w:val="center"/>
            </w:pPr>
            <w:r w:rsidRPr="0031690E">
              <w:t>*</w:t>
            </w:r>
          </w:p>
        </w:tc>
      </w:tr>
      <w:tr w:rsidR="000D1B66" w:rsidRPr="002C3916" w14:paraId="7B7F5466" w14:textId="77777777" w:rsidTr="00CB7F10">
        <w:tc>
          <w:tcPr>
            <w:tcW w:w="1710" w:type="dxa"/>
          </w:tcPr>
          <w:p w14:paraId="3D52C20D" w14:textId="77777777" w:rsidR="000D1B66" w:rsidRPr="002C3916" w:rsidRDefault="000D1B66" w:rsidP="000D1B66">
            <w:pPr>
              <w:spacing w:before="0" w:after="0"/>
              <w:rPr>
                <w:b/>
              </w:rPr>
            </w:pPr>
            <w:r w:rsidRPr="002C3916">
              <w:rPr>
                <w:b/>
              </w:rPr>
              <w:t>Pacific Power</w:t>
            </w:r>
          </w:p>
        </w:tc>
        <w:tc>
          <w:tcPr>
            <w:tcW w:w="2160" w:type="dxa"/>
          </w:tcPr>
          <w:p w14:paraId="2AEB4B0F" w14:textId="2B9DBE90" w:rsidR="000D1B66" w:rsidRPr="002C3916" w:rsidRDefault="000D1B66" w:rsidP="000D1B66">
            <w:pPr>
              <w:spacing w:before="0" w:after="0"/>
              <w:jc w:val="center"/>
            </w:pPr>
            <w:r w:rsidRPr="002C3916">
              <w:t>0.3 %</w:t>
            </w:r>
          </w:p>
        </w:tc>
        <w:tc>
          <w:tcPr>
            <w:tcW w:w="1620" w:type="dxa"/>
          </w:tcPr>
          <w:p w14:paraId="1FAB4C3A" w14:textId="596F77AF" w:rsidR="000D1B66" w:rsidRPr="002C3916" w:rsidRDefault="00A70CFB" w:rsidP="000D1B66">
            <w:pPr>
              <w:spacing w:before="0" w:after="0"/>
              <w:jc w:val="center"/>
            </w:pPr>
            <w:r w:rsidRPr="002C3916">
              <w:t>*</w:t>
            </w:r>
          </w:p>
        </w:tc>
        <w:tc>
          <w:tcPr>
            <w:tcW w:w="2250" w:type="dxa"/>
          </w:tcPr>
          <w:p w14:paraId="09981561" w14:textId="0E9C3C36" w:rsidR="000D1B66" w:rsidRPr="002C3916" w:rsidRDefault="007132C5" w:rsidP="007132C5">
            <w:pPr>
              <w:spacing w:before="0" w:after="0"/>
              <w:jc w:val="center"/>
            </w:pPr>
            <w:r w:rsidRPr="002C3916">
              <w:t>0</w:t>
            </w:r>
            <w:r w:rsidR="00127A8C" w:rsidRPr="002C3916">
              <w:t>.8</w:t>
            </w:r>
            <w:r w:rsidRPr="002C3916">
              <w:t xml:space="preserve"> </w:t>
            </w:r>
            <w:r w:rsidR="00127A8C" w:rsidRPr="002C3916">
              <w:t>%</w:t>
            </w:r>
          </w:p>
        </w:tc>
        <w:tc>
          <w:tcPr>
            <w:tcW w:w="1610" w:type="dxa"/>
          </w:tcPr>
          <w:p w14:paraId="2A78E895" w14:textId="4BE0909F" w:rsidR="000D1B66" w:rsidRPr="002C3916" w:rsidRDefault="00F811ED" w:rsidP="000D1B66">
            <w:pPr>
              <w:spacing w:before="0" w:after="0"/>
              <w:jc w:val="center"/>
            </w:pPr>
            <w:r w:rsidRPr="002C3916">
              <w:t>*</w:t>
            </w:r>
          </w:p>
        </w:tc>
      </w:tr>
      <w:tr w:rsidR="000D1B66" w14:paraId="5DE87701" w14:textId="77777777" w:rsidTr="00A83565">
        <w:trPr>
          <w:trHeight w:val="70"/>
        </w:trPr>
        <w:tc>
          <w:tcPr>
            <w:tcW w:w="1710" w:type="dxa"/>
          </w:tcPr>
          <w:p w14:paraId="5ED5B6B4" w14:textId="1A86F816" w:rsidR="000D1B66" w:rsidRPr="002C3916" w:rsidRDefault="00DA3D38" w:rsidP="000D1B66">
            <w:pPr>
              <w:spacing w:before="0" w:after="0"/>
              <w:rPr>
                <w:b/>
              </w:rPr>
            </w:pPr>
            <w:r w:rsidRPr="002C3916">
              <w:rPr>
                <w:b/>
              </w:rPr>
              <w:t>PSE</w:t>
            </w:r>
          </w:p>
        </w:tc>
        <w:tc>
          <w:tcPr>
            <w:tcW w:w="2160" w:type="dxa"/>
          </w:tcPr>
          <w:p w14:paraId="47CEF5BA" w14:textId="3989F1CD" w:rsidR="000D1B66" w:rsidRPr="002C3916" w:rsidRDefault="000D1B66" w:rsidP="000D1B66">
            <w:pPr>
              <w:spacing w:before="0" w:after="0"/>
              <w:jc w:val="center"/>
            </w:pPr>
            <w:r w:rsidRPr="002C3916">
              <w:t>0.4 %</w:t>
            </w:r>
          </w:p>
        </w:tc>
        <w:tc>
          <w:tcPr>
            <w:tcW w:w="1620" w:type="dxa"/>
          </w:tcPr>
          <w:p w14:paraId="69B5AE58" w14:textId="42672DAB" w:rsidR="000D1B66" w:rsidRPr="002C3916" w:rsidRDefault="000D1B66" w:rsidP="000D1B66">
            <w:pPr>
              <w:spacing w:before="0" w:after="0"/>
              <w:jc w:val="center"/>
            </w:pPr>
            <w:r w:rsidRPr="002C3916">
              <w:t>1.4 %</w:t>
            </w:r>
          </w:p>
        </w:tc>
        <w:tc>
          <w:tcPr>
            <w:tcW w:w="2250" w:type="dxa"/>
          </w:tcPr>
          <w:p w14:paraId="79EE54A2" w14:textId="2901AA49" w:rsidR="000D1B66" w:rsidRPr="002C3916" w:rsidRDefault="002271B8" w:rsidP="000D1B66">
            <w:pPr>
              <w:spacing w:before="0" w:after="0"/>
              <w:jc w:val="center"/>
            </w:pPr>
            <w:r w:rsidRPr="002C3916">
              <w:t>1</w:t>
            </w:r>
            <w:r w:rsidR="007132C5" w:rsidRPr="002C3916">
              <w:t xml:space="preserve">.0 </w:t>
            </w:r>
            <w:r w:rsidR="00016031" w:rsidRPr="002C3916">
              <w:t>%</w:t>
            </w:r>
          </w:p>
        </w:tc>
        <w:tc>
          <w:tcPr>
            <w:tcW w:w="1610" w:type="dxa"/>
          </w:tcPr>
          <w:p w14:paraId="4731D5EB" w14:textId="3FEE8ADC" w:rsidR="000D1B66" w:rsidRPr="002C3916" w:rsidRDefault="008F64DB" w:rsidP="000D1B66">
            <w:pPr>
              <w:spacing w:before="0" w:after="0"/>
              <w:jc w:val="center"/>
            </w:pPr>
            <w:r w:rsidRPr="002C3916">
              <w:t>1</w:t>
            </w:r>
            <w:r w:rsidR="00016031" w:rsidRPr="002C3916">
              <w:t>.4</w:t>
            </w:r>
            <w:r w:rsidR="007132C5" w:rsidRPr="002C3916">
              <w:t xml:space="preserve"> </w:t>
            </w:r>
            <w:r w:rsidRPr="002C3916">
              <w:t>%</w:t>
            </w:r>
          </w:p>
        </w:tc>
      </w:tr>
    </w:tbl>
    <w:p w14:paraId="3A2A4B03" w14:textId="77777777" w:rsidR="00CB7F10" w:rsidRDefault="00CB7F10" w:rsidP="00F0483A">
      <w:pPr>
        <w:spacing w:before="0" w:after="0"/>
        <w:jc w:val="center"/>
      </w:pPr>
    </w:p>
    <w:p w14:paraId="7C40F1A8" w14:textId="77777777" w:rsidR="00EF7490" w:rsidRDefault="001B05EF" w:rsidP="001B05EF">
      <w:pPr>
        <w:pStyle w:val="Heading1"/>
        <w:spacing w:before="0" w:after="0"/>
        <w:rPr>
          <w:b w:val="0"/>
        </w:rPr>
      </w:pPr>
      <w:bookmarkStart w:id="13" w:name="_Toc455489980"/>
      <w:bookmarkStart w:id="14" w:name="_Toc456249968"/>
      <w:r w:rsidRPr="001B05EF">
        <w:rPr>
          <w:b w:val="0"/>
        </w:rPr>
        <w:t>Company R</w:t>
      </w:r>
      <w:r w:rsidR="00EF7490" w:rsidRPr="001B05EF">
        <w:rPr>
          <w:b w:val="0"/>
        </w:rPr>
        <w:t>eports</w:t>
      </w:r>
      <w:bookmarkEnd w:id="13"/>
      <w:bookmarkEnd w:id="14"/>
    </w:p>
    <w:p w14:paraId="70FFB363" w14:textId="5CDC5C40" w:rsidR="00265929" w:rsidRDefault="00EF7490" w:rsidP="001B05EF">
      <w:pPr>
        <w:spacing w:before="0" w:after="0"/>
      </w:pPr>
      <w:r>
        <w:t>In this section, staff</w:t>
      </w:r>
      <w:r w:rsidR="0033651C">
        <w:t xml:space="preserve"> summarizes each company’s RPS R</w:t>
      </w:r>
      <w:r>
        <w:t xml:space="preserve">eport, including its target and the resources that it plans to use in meeting its target. </w:t>
      </w:r>
      <w:r w:rsidR="00BF3D98">
        <w:t xml:space="preserve">Companies may use eligible resources from the previous year, the current year or the future </w:t>
      </w:r>
      <w:r>
        <w:t>year</w:t>
      </w:r>
      <w:r w:rsidR="00D0023C">
        <w:t>, except for incremental hydropower, which can only be used in the year it is generated</w:t>
      </w:r>
      <w:r>
        <w:t>.</w:t>
      </w:r>
      <w:r w:rsidR="007A6A2F">
        <w:rPr>
          <w:rStyle w:val="FootnoteReference"/>
        </w:rPr>
        <w:footnoteReference w:id="10"/>
      </w:r>
      <w:r w:rsidR="001B05EF">
        <w:t xml:space="preserve"> </w:t>
      </w:r>
    </w:p>
    <w:p w14:paraId="1C91DCF2" w14:textId="77777777" w:rsidR="00265929" w:rsidRDefault="00265929" w:rsidP="001B05EF">
      <w:pPr>
        <w:spacing w:before="0" w:after="0"/>
      </w:pPr>
    </w:p>
    <w:p w14:paraId="22D5ECAF" w14:textId="2CA5A320" w:rsidR="00EF7490" w:rsidRDefault="00265929" w:rsidP="00F536C9">
      <w:pPr>
        <w:spacing w:before="0" w:after="0"/>
      </w:pPr>
      <w:r>
        <w:t>All three utilities have demonstrated that they have s</w:t>
      </w:r>
      <w:r w:rsidR="008457F4">
        <w:t xml:space="preserve">ufficient resources to meet the 9 percent </w:t>
      </w:r>
      <w:r w:rsidR="00890D45">
        <w:t>target. S</w:t>
      </w:r>
      <w:r>
        <w:t xml:space="preserve">taff’s comments will summarize the total </w:t>
      </w:r>
      <w:r w:rsidR="00AD268F">
        <w:t>number of</w:t>
      </w:r>
      <w:r>
        <w:t xml:space="preserve"> resources that each utility has acquired. </w:t>
      </w:r>
      <w:r w:rsidR="003D1C3D">
        <w:t xml:space="preserve">This analysis is meant to give a complete picture of each utility’s RPS compliance position by identifying all resources available to </w:t>
      </w:r>
      <w:r w:rsidR="00DD197D">
        <w:t xml:space="preserve">the </w:t>
      </w:r>
      <w:r w:rsidR="003D1C3D">
        <w:t>utility for 201</w:t>
      </w:r>
      <w:r w:rsidR="00291648">
        <w:t>6</w:t>
      </w:r>
      <w:r w:rsidR="003D1C3D">
        <w:t xml:space="preserve"> RPS compliance. </w:t>
      </w:r>
      <w:r w:rsidR="003D1C3D" w:rsidRPr="000938FC">
        <w:t>After using incremental hydropower</w:t>
      </w:r>
      <w:r w:rsidR="000938FC" w:rsidRPr="000938FC">
        <w:t xml:space="preserve"> </w:t>
      </w:r>
      <w:r w:rsidR="003D1C3D" w:rsidRPr="000938FC">
        <w:t>and 201</w:t>
      </w:r>
      <w:r w:rsidR="00291648" w:rsidRPr="000938FC">
        <w:t>5</w:t>
      </w:r>
      <w:r w:rsidR="003D1C3D" w:rsidRPr="000938FC">
        <w:t xml:space="preserve"> RECs (both of which would be ineligible in future years), any 201</w:t>
      </w:r>
      <w:r w:rsidR="00291648" w:rsidRPr="000938FC">
        <w:t>6</w:t>
      </w:r>
      <w:r w:rsidR="003D1C3D" w:rsidRPr="000938FC">
        <w:t xml:space="preserve"> RECs that are not needed to meet the utility’s target may be held for 201</w:t>
      </w:r>
      <w:r w:rsidR="006F2B01">
        <w:t>7</w:t>
      </w:r>
      <w:r w:rsidR="003D1C3D" w:rsidRPr="000938FC">
        <w:t xml:space="preserve"> compliance or sold.</w:t>
      </w:r>
      <w:r w:rsidR="00EF6903" w:rsidRPr="000938FC">
        <w:t xml:space="preserve"> </w:t>
      </w:r>
    </w:p>
    <w:p w14:paraId="4FA03D82" w14:textId="77777777" w:rsidR="000801E1" w:rsidRDefault="000801E1" w:rsidP="00F536C9">
      <w:pPr>
        <w:spacing w:before="0" w:after="0"/>
      </w:pPr>
    </w:p>
    <w:p w14:paraId="1E5C34D6" w14:textId="3D9BE7E6" w:rsidR="00F536C9" w:rsidRDefault="001C39B6" w:rsidP="009921A0">
      <w:pPr>
        <w:pStyle w:val="Heading2"/>
        <w:rPr>
          <w:i/>
        </w:rPr>
      </w:pPr>
      <w:bookmarkStart w:id="15" w:name="_Toc455489981"/>
      <w:bookmarkStart w:id="16" w:name="_Toc456249969"/>
      <w:r>
        <w:rPr>
          <w:i/>
        </w:rPr>
        <w:t>Puget Sound Energy (Docket UE-160757)</w:t>
      </w:r>
      <w:bookmarkEnd w:id="15"/>
      <w:bookmarkEnd w:id="16"/>
    </w:p>
    <w:p w14:paraId="04109C26" w14:textId="621C4C16" w:rsidR="0072555A" w:rsidRPr="00354ECC" w:rsidRDefault="0072555A" w:rsidP="0072555A">
      <w:pPr>
        <w:spacing w:before="0" w:after="0"/>
      </w:pPr>
      <w:r w:rsidRPr="00380866">
        <w:t xml:space="preserve">PSE reported an average load in 2014 and 2015 of </w:t>
      </w:r>
      <w:r w:rsidR="00354ECC" w:rsidRPr="00380866">
        <w:t>20,539,357</w:t>
      </w:r>
      <w:r w:rsidRPr="00380866">
        <w:t xml:space="preserve"> MWh, yielding a 2016 target of </w:t>
      </w:r>
      <w:r w:rsidR="00354ECC" w:rsidRPr="00380866">
        <w:t>1,848,542</w:t>
      </w:r>
      <w:r w:rsidRPr="00380866">
        <w:t xml:space="preserve"> MWh. Table </w:t>
      </w:r>
      <w:r w:rsidR="00ED7D78" w:rsidRPr="00380866">
        <w:t>4</w:t>
      </w:r>
      <w:r w:rsidRPr="00380866">
        <w:t xml:space="preserve"> summarizes PSE’s </w:t>
      </w:r>
      <w:r w:rsidR="00354ECC" w:rsidRPr="00380866">
        <w:t>2016 compliance</w:t>
      </w:r>
      <w:r w:rsidRPr="00380866">
        <w:t xml:space="preserve"> report</w:t>
      </w:r>
      <w:r w:rsidR="00D0023C" w:rsidRPr="00380866">
        <w:t>, which appears to meet the requirements of the reporting rule WAC 480-109-210</w:t>
      </w:r>
      <w:r w:rsidRPr="00380866">
        <w:t>:</w:t>
      </w:r>
      <w:r w:rsidRPr="00354ECC">
        <w:t xml:space="preserve"> </w:t>
      </w:r>
    </w:p>
    <w:p w14:paraId="0C431076" w14:textId="77777777" w:rsidR="0072555A" w:rsidRPr="0072555A" w:rsidRDefault="0072555A" w:rsidP="0072555A">
      <w:pPr>
        <w:spacing w:before="0" w:after="0"/>
        <w:rPr>
          <w:highlight w:val="yellow"/>
        </w:rPr>
      </w:pPr>
    </w:p>
    <w:p w14:paraId="03DB2A41" w14:textId="674B91B0" w:rsidR="0072555A" w:rsidRPr="00354ECC" w:rsidRDefault="0072555A" w:rsidP="0072555A">
      <w:pPr>
        <w:spacing w:before="0" w:after="0"/>
        <w:rPr>
          <w:b/>
        </w:rPr>
      </w:pPr>
      <w:r w:rsidRPr="00354ECC">
        <w:rPr>
          <w:b/>
        </w:rPr>
        <w:t xml:space="preserve">Table </w:t>
      </w:r>
      <w:r w:rsidR="00ED7D78" w:rsidRPr="00354ECC">
        <w:rPr>
          <w:b/>
        </w:rPr>
        <w:t>4</w:t>
      </w:r>
      <w:r w:rsidRPr="00354ECC">
        <w:rPr>
          <w:b/>
        </w:rPr>
        <w:t>: PSE’s 2016 Renewable Resource Target and Compliance Plan</w:t>
      </w:r>
    </w:p>
    <w:p w14:paraId="09F0B99D" w14:textId="77777777" w:rsidR="0072555A" w:rsidRPr="0072555A" w:rsidRDefault="0072555A" w:rsidP="0072555A">
      <w:pPr>
        <w:spacing w:before="0" w:after="0"/>
        <w:rPr>
          <w:b/>
          <w:highlight w:val="yellow"/>
        </w:rPr>
      </w:pPr>
    </w:p>
    <w:tbl>
      <w:tblPr>
        <w:tblStyle w:val="TableGrid"/>
        <w:tblW w:w="8550" w:type="dxa"/>
        <w:tblInd w:w="-5" w:type="dxa"/>
        <w:tblLayout w:type="fixed"/>
        <w:tblLook w:val="04A0" w:firstRow="1" w:lastRow="0" w:firstColumn="1" w:lastColumn="0" w:noHBand="0" w:noVBand="1"/>
      </w:tblPr>
      <w:tblGrid>
        <w:gridCol w:w="1080"/>
        <w:gridCol w:w="1800"/>
        <w:gridCol w:w="1260"/>
        <w:gridCol w:w="1170"/>
        <w:gridCol w:w="1260"/>
        <w:gridCol w:w="1980"/>
      </w:tblGrid>
      <w:tr w:rsidR="00624539" w:rsidRPr="00577062" w14:paraId="7DC1D836" w14:textId="77777777" w:rsidTr="00624539">
        <w:trPr>
          <w:trHeight w:val="728"/>
        </w:trPr>
        <w:tc>
          <w:tcPr>
            <w:tcW w:w="1080" w:type="dxa"/>
            <w:tcBorders>
              <w:top w:val="single" w:sz="4" w:space="0" w:color="auto"/>
              <w:left w:val="single" w:sz="4" w:space="0" w:color="auto"/>
              <w:bottom w:val="single" w:sz="4" w:space="0" w:color="auto"/>
              <w:right w:val="single" w:sz="4" w:space="0" w:color="auto"/>
            </w:tcBorders>
            <w:hideMark/>
          </w:tcPr>
          <w:p w14:paraId="10585AC4" w14:textId="77777777" w:rsidR="00624539" w:rsidRPr="00577062" w:rsidRDefault="00624539" w:rsidP="00354ECC">
            <w:pPr>
              <w:spacing w:before="0" w:after="0"/>
              <w:jc w:val="center"/>
              <w:rPr>
                <w:rFonts w:ascii="Arial Narrow" w:hAnsi="Arial Narrow"/>
                <w:b/>
                <w:sz w:val="20"/>
                <w:szCs w:val="20"/>
              </w:rPr>
            </w:pPr>
            <w:r w:rsidRPr="00577062">
              <w:rPr>
                <w:rFonts w:ascii="Arial Narrow" w:hAnsi="Arial Narrow"/>
                <w:b/>
                <w:sz w:val="20"/>
                <w:szCs w:val="20"/>
              </w:rPr>
              <w:t>2016 Target (MWh)</w:t>
            </w:r>
          </w:p>
        </w:tc>
        <w:tc>
          <w:tcPr>
            <w:tcW w:w="1800" w:type="dxa"/>
            <w:tcBorders>
              <w:top w:val="single" w:sz="4" w:space="0" w:color="auto"/>
              <w:left w:val="single" w:sz="4" w:space="0" w:color="auto"/>
              <w:bottom w:val="single" w:sz="4" w:space="0" w:color="auto"/>
              <w:right w:val="single" w:sz="4" w:space="0" w:color="auto"/>
            </w:tcBorders>
            <w:hideMark/>
          </w:tcPr>
          <w:p w14:paraId="2D5188A3" w14:textId="77777777" w:rsidR="00624539" w:rsidRDefault="00624539" w:rsidP="00354ECC">
            <w:pPr>
              <w:spacing w:before="0" w:after="0"/>
              <w:jc w:val="center"/>
              <w:rPr>
                <w:rFonts w:ascii="Arial Narrow" w:hAnsi="Arial Narrow"/>
                <w:b/>
                <w:sz w:val="20"/>
                <w:szCs w:val="20"/>
              </w:rPr>
            </w:pPr>
            <w:r w:rsidRPr="00577062">
              <w:rPr>
                <w:rFonts w:ascii="Arial Narrow" w:hAnsi="Arial Narrow"/>
                <w:b/>
                <w:sz w:val="20"/>
                <w:szCs w:val="20"/>
              </w:rPr>
              <w:t xml:space="preserve">Incremental Hydro </w:t>
            </w:r>
          </w:p>
          <w:p w14:paraId="289EDCF5" w14:textId="2BF3955B" w:rsidR="00624539" w:rsidRPr="00577062" w:rsidRDefault="00624539" w:rsidP="00354ECC">
            <w:pPr>
              <w:spacing w:before="0" w:after="0"/>
              <w:jc w:val="center"/>
              <w:rPr>
                <w:rFonts w:ascii="Arial Narrow" w:hAnsi="Arial Narrow"/>
                <w:b/>
                <w:sz w:val="20"/>
                <w:szCs w:val="20"/>
              </w:rPr>
            </w:pPr>
            <w:r w:rsidRPr="00577062">
              <w:rPr>
                <w:rFonts w:ascii="Arial Narrow" w:hAnsi="Arial Narrow"/>
                <w:b/>
                <w:sz w:val="20"/>
                <w:szCs w:val="20"/>
              </w:rPr>
              <w:t>(MWh)</w:t>
            </w:r>
          </w:p>
        </w:tc>
        <w:tc>
          <w:tcPr>
            <w:tcW w:w="1260" w:type="dxa"/>
            <w:tcBorders>
              <w:top w:val="single" w:sz="4" w:space="0" w:color="auto"/>
              <w:left w:val="single" w:sz="4" w:space="0" w:color="auto"/>
              <w:bottom w:val="single" w:sz="4" w:space="0" w:color="auto"/>
              <w:right w:val="single" w:sz="4" w:space="0" w:color="auto"/>
            </w:tcBorders>
            <w:hideMark/>
          </w:tcPr>
          <w:p w14:paraId="718F6EFA" w14:textId="77777777" w:rsidR="00624539" w:rsidRPr="00577062" w:rsidRDefault="00624539" w:rsidP="00354ECC">
            <w:pPr>
              <w:spacing w:before="0" w:after="0"/>
              <w:jc w:val="center"/>
              <w:rPr>
                <w:rFonts w:ascii="Arial Narrow" w:hAnsi="Arial Narrow"/>
                <w:b/>
                <w:sz w:val="20"/>
                <w:szCs w:val="20"/>
              </w:rPr>
            </w:pPr>
            <w:r w:rsidRPr="00577062">
              <w:rPr>
                <w:rFonts w:ascii="Arial Narrow" w:hAnsi="Arial Narrow"/>
                <w:b/>
                <w:sz w:val="20"/>
                <w:szCs w:val="20"/>
              </w:rPr>
              <w:t>2015 RECs</w:t>
            </w:r>
          </w:p>
        </w:tc>
        <w:tc>
          <w:tcPr>
            <w:tcW w:w="1170" w:type="dxa"/>
            <w:tcBorders>
              <w:top w:val="single" w:sz="4" w:space="0" w:color="auto"/>
              <w:left w:val="single" w:sz="4" w:space="0" w:color="auto"/>
              <w:bottom w:val="single" w:sz="4" w:space="0" w:color="auto"/>
              <w:right w:val="single" w:sz="4" w:space="0" w:color="auto"/>
            </w:tcBorders>
            <w:hideMark/>
          </w:tcPr>
          <w:p w14:paraId="26A17411" w14:textId="77777777" w:rsidR="00624539" w:rsidRPr="00577062" w:rsidRDefault="00624539" w:rsidP="00354ECC">
            <w:pPr>
              <w:spacing w:before="0" w:after="0"/>
              <w:jc w:val="center"/>
              <w:rPr>
                <w:rFonts w:ascii="Arial Narrow" w:hAnsi="Arial Narrow"/>
                <w:b/>
                <w:sz w:val="20"/>
                <w:szCs w:val="20"/>
              </w:rPr>
            </w:pPr>
            <w:r w:rsidRPr="00577062">
              <w:rPr>
                <w:rFonts w:ascii="Arial Narrow" w:hAnsi="Arial Narrow"/>
                <w:b/>
                <w:sz w:val="20"/>
                <w:szCs w:val="20"/>
              </w:rPr>
              <w:t>2016 RECs</w:t>
            </w:r>
          </w:p>
        </w:tc>
        <w:tc>
          <w:tcPr>
            <w:tcW w:w="1260" w:type="dxa"/>
            <w:tcBorders>
              <w:top w:val="single" w:sz="4" w:space="0" w:color="auto"/>
              <w:left w:val="single" w:sz="4" w:space="0" w:color="auto"/>
              <w:bottom w:val="single" w:sz="4" w:space="0" w:color="auto"/>
              <w:right w:val="single" w:sz="4" w:space="0" w:color="auto"/>
            </w:tcBorders>
            <w:hideMark/>
          </w:tcPr>
          <w:p w14:paraId="1AEE84C6" w14:textId="77777777" w:rsidR="00624539" w:rsidRPr="00577062" w:rsidRDefault="00624539" w:rsidP="00354ECC">
            <w:pPr>
              <w:spacing w:before="0" w:after="0"/>
              <w:jc w:val="center"/>
              <w:rPr>
                <w:rFonts w:ascii="Arial Narrow" w:hAnsi="Arial Narrow"/>
                <w:b/>
                <w:sz w:val="20"/>
                <w:szCs w:val="20"/>
              </w:rPr>
            </w:pPr>
            <w:r w:rsidRPr="00577062">
              <w:rPr>
                <w:rFonts w:ascii="Arial Narrow" w:hAnsi="Arial Narrow"/>
                <w:b/>
                <w:sz w:val="20"/>
                <w:szCs w:val="20"/>
              </w:rPr>
              <w:t>Purchased RECs</w:t>
            </w:r>
          </w:p>
        </w:tc>
        <w:tc>
          <w:tcPr>
            <w:tcW w:w="1980" w:type="dxa"/>
            <w:tcBorders>
              <w:top w:val="single" w:sz="4" w:space="0" w:color="auto"/>
              <w:left w:val="single" w:sz="4" w:space="0" w:color="auto"/>
              <w:bottom w:val="single" w:sz="4" w:space="0" w:color="auto"/>
              <w:right w:val="single" w:sz="4" w:space="0" w:color="auto"/>
            </w:tcBorders>
            <w:hideMark/>
          </w:tcPr>
          <w:p w14:paraId="424D00E2" w14:textId="77777777" w:rsidR="00624539" w:rsidRDefault="00624539" w:rsidP="00354ECC">
            <w:pPr>
              <w:spacing w:before="0" w:after="0"/>
              <w:jc w:val="center"/>
              <w:rPr>
                <w:rFonts w:ascii="Arial Narrow" w:hAnsi="Arial Narrow"/>
                <w:b/>
                <w:sz w:val="20"/>
                <w:szCs w:val="20"/>
              </w:rPr>
            </w:pPr>
            <w:r w:rsidRPr="00577062">
              <w:rPr>
                <w:rFonts w:ascii="Arial Narrow" w:hAnsi="Arial Narrow"/>
                <w:b/>
                <w:sz w:val="20"/>
                <w:szCs w:val="20"/>
              </w:rPr>
              <w:t xml:space="preserve">Total Compliance Resources </w:t>
            </w:r>
          </w:p>
          <w:p w14:paraId="4B68562D" w14:textId="1F27AB21" w:rsidR="00624539" w:rsidRPr="00577062" w:rsidRDefault="00624539" w:rsidP="00354ECC">
            <w:pPr>
              <w:spacing w:before="0" w:after="0"/>
              <w:jc w:val="center"/>
              <w:rPr>
                <w:rFonts w:ascii="Arial Narrow" w:hAnsi="Arial Narrow"/>
                <w:b/>
                <w:sz w:val="20"/>
                <w:szCs w:val="20"/>
              </w:rPr>
            </w:pPr>
            <w:r w:rsidRPr="00577062">
              <w:rPr>
                <w:rFonts w:ascii="Arial Narrow" w:hAnsi="Arial Narrow"/>
                <w:b/>
                <w:sz w:val="20"/>
                <w:szCs w:val="20"/>
              </w:rPr>
              <w:t>(MWh)</w:t>
            </w:r>
          </w:p>
        </w:tc>
      </w:tr>
      <w:tr w:rsidR="00624539" w:rsidRPr="00577062" w14:paraId="3D5946F2" w14:textId="77777777" w:rsidTr="00624539">
        <w:trPr>
          <w:trHeight w:val="145"/>
        </w:trPr>
        <w:tc>
          <w:tcPr>
            <w:tcW w:w="1080" w:type="dxa"/>
            <w:tcBorders>
              <w:top w:val="single" w:sz="4" w:space="0" w:color="auto"/>
              <w:left w:val="single" w:sz="4" w:space="0" w:color="auto"/>
              <w:bottom w:val="single" w:sz="4" w:space="0" w:color="auto"/>
              <w:right w:val="single" w:sz="4" w:space="0" w:color="auto"/>
            </w:tcBorders>
          </w:tcPr>
          <w:p w14:paraId="16CA4784" w14:textId="77777777" w:rsidR="00624539" w:rsidRPr="00577062" w:rsidRDefault="00624539" w:rsidP="00354ECC">
            <w:pPr>
              <w:spacing w:before="0" w:after="0"/>
              <w:jc w:val="center"/>
              <w:rPr>
                <w:sz w:val="20"/>
                <w:szCs w:val="20"/>
              </w:rPr>
            </w:pPr>
            <w:r w:rsidRPr="00577062">
              <w:rPr>
                <w:sz w:val="20"/>
                <w:szCs w:val="20"/>
              </w:rPr>
              <w:t>1,848,542</w:t>
            </w:r>
          </w:p>
        </w:tc>
        <w:tc>
          <w:tcPr>
            <w:tcW w:w="1800" w:type="dxa"/>
            <w:tcBorders>
              <w:top w:val="single" w:sz="4" w:space="0" w:color="auto"/>
              <w:left w:val="single" w:sz="4" w:space="0" w:color="auto"/>
              <w:bottom w:val="single" w:sz="4" w:space="0" w:color="auto"/>
              <w:right w:val="single" w:sz="4" w:space="0" w:color="auto"/>
            </w:tcBorders>
          </w:tcPr>
          <w:p w14:paraId="6926563D" w14:textId="77777777" w:rsidR="00624539" w:rsidRPr="00577062" w:rsidRDefault="00624539" w:rsidP="00354ECC">
            <w:pPr>
              <w:spacing w:before="0" w:after="0"/>
              <w:jc w:val="center"/>
              <w:rPr>
                <w:sz w:val="20"/>
                <w:szCs w:val="20"/>
              </w:rPr>
            </w:pPr>
            <w:r w:rsidRPr="00577062">
              <w:rPr>
                <w:sz w:val="20"/>
                <w:szCs w:val="20"/>
              </w:rPr>
              <w:t>121,712</w:t>
            </w:r>
          </w:p>
        </w:tc>
        <w:tc>
          <w:tcPr>
            <w:tcW w:w="1260" w:type="dxa"/>
            <w:tcBorders>
              <w:top w:val="single" w:sz="4" w:space="0" w:color="auto"/>
              <w:left w:val="single" w:sz="4" w:space="0" w:color="auto"/>
              <w:bottom w:val="single" w:sz="4" w:space="0" w:color="auto"/>
              <w:right w:val="single" w:sz="4" w:space="0" w:color="auto"/>
            </w:tcBorders>
          </w:tcPr>
          <w:p w14:paraId="7EC74057" w14:textId="77777777" w:rsidR="00624539" w:rsidRPr="00577062" w:rsidRDefault="00624539" w:rsidP="00354ECC">
            <w:pPr>
              <w:spacing w:before="0" w:after="0"/>
              <w:jc w:val="center"/>
              <w:rPr>
                <w:sz w:val="20"/>
                <w:szCs w:val="20"/>
              </w:rPr>
            </w:pPr>
            <w:r w:rsidRPr="00577062">
              <w:rPr>
                <w:sz w:val="20"/>
                <w:szCs w:val="20"/>
              </w:rPr>
              <w:t>1,814,305</w:t>
            </w:r>
          </w:p>
        </w:tc>
        <w:tc>
          <w:tcPr>
            <w:tcW w:w="1170" w:type="dxa"/>
            <w:tcBorders>
              <w:top w:val="single" w:sz="4" w:space="0" w:color="auto"/>
              <w:left w:val="single" w:sz="4" w:space="0" w:color="auto"/>
              <w:bottom w:val="single" w:sz="4" w:space="0" w:color="auto"/>
              <w:right w:val="single" w:sz="4" w:space="0" w:color="auto"/>
            </w:tcBorders>
          </w:tcPr>
          <w:p w14:paraId="3CFC562C" w14:textId="03B3ED99" w:rsidR="00624539" w:rsidRPr="00577062" w:rsidRDefault="00007EDF" w:rsidP="00354ECC">
            <w:pPr>
              <w:spacing w:before="0" w:after="0"/>
              <w:jc w:val="center"/>
              <w:rPr>
                <w:sz w:val="20"/>
                <w:szCs w:val="20"/>
              </w:rPr>
            </w:pPr>
            <w:r>
              <w:rPr>
                <w:sz w:val="20"/>
                <w:szCs w:val="20"/>
              </w:rPr>
              <w:t>0</w:t>
            </w:r>
            <w:r w:rsidR="00883399">
              <w:rPr>
                <w:rStyle w:val="FootnoteReference"/>
                <w:sz w:val="20"/>
                <w:szCs w:val="20"/>
              </w:rPr>
              <w:footnoteReference w:id="11"/>
            </w:r>
          </w:p>
        </w:tc>
        <w:tc>
          <w:tcPr>
            <w:tcW w:w="1260" w:type="dxa"/>
            <w:tcBorders>
              <w:top w:val="single" w:sz="4" w:space="0" w:color="auto"/>
              <w:left w:val="single" w:sz="4" w:space="0" w:color="auto"/>
              <w:bottom w:val="single" w:sz="4" w:space="0" w:color="auto"/>
              <w:right w:val="single" w:sz="4" w:space="0" w:color="auto"/>
            </w:tcBorders>
          </w:tcPr>
          <w:p w14:paraId="3782A688" w14:textId="77777777" w:rsidR="00624539" w:rsidRPr="00577062" w:rsidRDefault="00624539" w:rsidP="00354ECC">
            <w:pPr>
              <w:spacing w:before="0" w:after="0"/>
              <w:jc w:val="center"/>
              <w:rPr>
                <w:sz w:val="20"/>
                <w:szCs w:val="20"/>
              </w:rPr>
            </w:pPr>
            <w:r w:rsidRPr="00577062">
              <w:rPr>
                <w:sz w:val="20"/>
                <w:szCs w:val="20"/>
              </w:rPr>
              <w:t>N/A</w:t>
            </w:r>
          </w:p>
        </w:tc>
        <w:tc>
          <w:tcPr>
            <w:tcW w:w="1980" w:type="dxa"/>
            <w:tcBorders>
              <w:top w:val="single" w:sz="4" w:space="0" w:color="auto"/>
              <w:left w:val="single" w:sz="4" w:space="0" w:color="auto"/>
              <w:bottom w:val="single" w:sz="4" w:space="0" w:color="auto"/>
              <w:right w:val="single" w:sz="4" w:space="0" w:color="auto"/>
            </w:tcBorders>
          </w:tcPr>
          <w:p w14:paraId="2A3B935D" w14:textId="1D708442" w:rsidR="00624539" w:rsidRPr="00577062" w:rsidRDefault="00624539" w:rsidP="00354ECC">
            <w:pPr>
              <w:spacing w:before="0" w:after="0"/>
              <w:jc w:val="center"/>
              <w:rPr>
                <w:sz w:val="20"/>
                <w:szCs w:val="20"/>
              </w:rPr>
            </w:pPr>
            <w:r w:rsidRPr="00577062">
              <w:rPr>
                <w:sz w:val="20"/>
                <w:szCs w:val="20"/>
              </w:rPr>
              <w:t>1,936,017</w:t>
            </w:r>
          </w:p>
        </w:tc>
      </w:tr>
    </w:tbl>
    <w:p w14:paraId="27BE66EA" w14:textId="78CD435A" w:rsidR="0032233C" w:rsidRDefault="0032233C" w:rsidP="0072555A">
      <w:pPr>
        <w:spacing w:before="0" w:after="0"/>
        <w:rPr>
          <w:highlight w:val="yellow"/>
        </w:rPr>
      </w:pPr>
    </w:p>
    <w:p w14:paraId="7B8B6C60" w14:textId="328EC967" w:rsidR="0072555A" w:rsidRPr="00354ECC" w:rsidRDefault="0072555A" w:rsidP="0072555A">
      <w:pPr>
        <w:spacing w:before="0" w:after="0"/>
      </w:pPr>
      <w:r w:rsidRPr="00354ECC">
        <w:t>As Table 4 ind</w:t>
      </w:r>
      <w:r w:rsidR="00633140" w:rsidRPr="00354ECC">
        <w:t xml:space="preserve">icates, PSE </w:t>
      </w:r>
      <w:r w:rsidR="00354ECC" w:rsidRPr="00354ECC">
        <w:t>will exceed</w:t>
      </w:r>
      <w:r w:rsidR="00633140" w:rsidRPr="00354ECC">
        <w:t xml:space="preserve"> the rule</w:t>
      </w:r>
      <w:r w:rsidRPr="00354ECC">
        <w:t xml:space="preserve">’s </w:t>
      </w:r>
      <w:r w:rsidR="00633140" w:rsidRPr="00354ECC">
        <w:t>9</w:t>
      </w:r>
      <w:r w:rsidRPr="00354ECC">
        <w:t xml:space="preserve"> percent requirement </w:t>
      </w:r>
      <w:r w:rsidR="00354ECC" w:rsidRPr="00354ECC">
        <w:t xml:space="preserve">and expects </w:t>
      </w:r>
      <w:r w:rsidR="00D0023C">
        <w:t>to generate</w:t>
      </w:r>
      <w:r w:rsidR="00D0023C" w:rsidRPr="00354ECC">
        <w:t xml:space="preserve"> </w:t>
      </w:r>
      <w:r w:rsidR="00354ECC" w:rsidRPr="00354ECC">
        <w:t>over 9</w:t>
      </w:r>
      <w:r w:rsidR="007F7967">
        <w:t>.4</w:t>
      </w:r>
      <w:r w:rsidRPr="00354ECC">
        <w:t xml:space="preserve"> percent of its load from renewable resources. </w:t>
      </w:r>
      <w:r w:rsidR="00354ECC">
        <w:t>Consistent with last year’s</w:t>
      </w:r>
      <w:r w:rsidR="00FC382B">
        <w:t xml:space="preserve"> analysis, </w:t>
      </w:r>
      <w:r w:rsidR="00DD197D">
        <w:t xml:space="preserve">it appears that </w:t>
      </w:r>
      <w:r w:rsidR="00FC382B">
        <w:t>PSE w</w:t>
      </w:r>
      <w:r w:rsidRPr="00354ECC">
        <w:t xml:space="preserve">ill not need to acquire additional resources for RPS compliance until 2023 or 2024. </w:t>
      </w:r>
    </w:p>
    <w:p w14:paraId="2EC98F45" w14:textId="77777777" w:rsidR="0072555A" w:rsidRPr="0072555A" w:rsidRDefault="0072555A" w:rsidP="0072555A">
      <w:pPr>
        <w:spacing w:before="0" w:after="0"/>
        <w:rPr>
          <w:highlight w:val="yellow"/>
        </w:rPr>
      </w:pPr>
    </w:p>
    <w:p w14:paraId="058A0F3B" w14:textId="6E7B6DB1" w:rsidR="0072555A" w:rsidRDefault="00E14930" w:rsidP="0072555A">
      <w:pPr>
        <w:spacing w:before="0" w:after="0"/>
      </w:pPr>
      <w:r>
        <w:t xml:space="preserve">The </w:t>
      </w:r>
      <w:r w:rsidR="0072555A" w:rsidRPr="005B2DB9">
        <w:t>majority of PSE’s renewable generation comes from the company’s wind resources. PSE owns six wind facilities and contracts for a portion of the output at a seventh facility. The company’s incremental hydro generation comes from its facilities at Lower Baker and Snoqualmie Falls, which were upgraded in 2013. PSE is not claiming any new resources in its report.</w:t>
      </w:r>
    </w:p>
    <w:p w14:paraId="5949EC0A" w14:textId="77777777" w:rsidR="005B2DB9" w:rsidRDefault="005B2DB9" w:rsidP="0072555A">
      <w:pPr>
        <w:spacing w:before="0" w:after="0"/>
      </w:pPr>
    </w:p>
    <w:p w14:paraId="40D12108" w14:textId="71F3CFC9" w:rsidR="00E03A80" w:rsidRDefault="00E03A80" w:rsidP="00E03A80">
      <w:pPr>
        <w:spacing w:before="40"/>
        <w:contextualSpacing/>
      </w:pPr>
      <w:r>
        <w:t xml:space="preserve">For final compliance of </w:t>
      </w:r>
      <w:r w:rsidR="00D0023C">
        <w:t xml:space="preserve">both </w:t>
      </w:r>
      <w:r>
        <w:t>the</w:t>
      </w:r>
      <w:r w:rsidR="00D0023C">
        <w:t xml:space="preserve"> 2015 and</w:t>
      </w:r>
      <w:r>
        <w:t xml:space="preserve"> 2016 report</w:t>
      </w:r>
      <w:r w:rsidR="00D0023C">
        <w:t>s</w:t>
      </w:r>
      <w:r>
        <w:t>, PSE will need to request a waiver of</w:t>
      </w:r>
      <w:r w:rsidR="00D0023C">
        <w:t xml:space="preserve"> the WREGIS registration requirement in</w:t>
      </w:r>
      <w:r>
        <w:t xml:space="preserve"> WAC 480-109-200(3) for</w:t>
      </w:r>
      <w:r w:rsidR="00D0023C">
        <w:t xml:space="preserve"> its</w:t>
      </w:r>
      <w:r>
        <w:t xml:space="preserve"> incremental hydro production from Lower Baker and Snoqualmie Falls facilities. Although these two facilities are not new in 2016, PSE obtained official registration for those faciliti</w:t>
      </w:r>
      <w:r w:rsidR="0025413E">
        <w:t>es with WREGIS on June 6, 2016, so any generation from these facilities prior to the second quarter of 2016 was not registered in WREGIS and will require a waiver to be used for RPS compliance.</w:t>
      </w:r>
    </w:p>
    <w:p w14:paraId="31ED11C4" w14:textId="77777777" w:rsidR="00E03A80" w:rsidRDefault="00E03A80" w:rsidP="00E03A80">
      <w:pPr>
        <w:contextualSpacing/>
      </w:pPr>
    </w:p>
    <w:p w14:paraId="6ECF4838" w14:textId="05CC1FB3" w:rsidR="00E03A80" w:rsidRDefault="00E03A80" w:rsidP="00E03A80">
      <w:pPr>
        <w:contextualSpacing/>
      </w:pPr>
      <w:r>
        <w:t xml:space="preserve">The commission previously granted a waiver for these two facilities </w:t>
      </w:r>
      <w:r w:rsidR="0025413E">
        <w:t xml:space="preserve">to be used in meeting PSE’s 2014 RPS target </w:t>
      </w:r>
      <w:r>
        <w:t xml:space="preserve">in docket UE-140800. Absent the waiver, PSE would have </w:t>
      </w:r>
      <w:r w:rsidR="0025413E">
        <w:t xml:space="preserve">had </w:t>
      </w:r>
      <w:r>
        <w:t xml:space="preserve">to replace over 120,000 MWh of eligible </w:t>
      </w:r>
      <w:r w:rsidR="00D0023C">
        <w:t xml:space="preserve">2016 </w:t>
      </w:r>
      <w:r>
        <w:t xml:space="preserve">generation with certificates from its wind resources, which would otherwise be saved for future-year compliance or sold to other parties </w:t>
      </w:r>
      <w:r w:rsidR="0025413E">
        <w:t>to generate offsetting revenue. Staff anticipates additional waiver requests from PSE so that the facilities can be used toward the company’s 2015 and 2016 targets.</w:t>
      </w:r>
    </w:p>
    <w:p w14:paraId="0190274B" w14:textId="4DF39DA0" w:rsidR="0072555A" w:rsidRDefault="0072555A" w:rsidP="00F536C9">
      <w:pPr>
        <w:spacing w:before="0" w:after="0"/>
      </w:pPr>
    </w:p>
    <w:p w14:paraId="66C17851" w14:textId="45F0C9A8" w:rsidR="00DA0BDE" w:rsidRPr="001C748A" w:rsidRDefault="00D012E3" w:rsidP="001C748A">
      <w:pPr>
        <w:pStyle w:val="Heading2"/>
        <w:rPr>
          <w:i/>
        </w:rPr>
      </w:pPr>
      <w:bookmarkStart w:id="17" w:name="_Toc455489982"/>
      <w:bookmarkStart w:id="18" w:name="_Toc456249970"/>
      <w:r>
        <w:rPr>
          <w:i/>
        </w:rPr>
        <w:t>Pacific Power &amp; Light Company (Docket UE-</w:t>
      </w:r>
      <w:r w:rsidR="0072555A">
        <w:rPr>
          <w:i/>
        </w:rPr>
        <w:t>160777</w:t>
      </w:r>
      <w:r>
        <w:rPr>
          <w:i/>
        </w:rPr>
        <w:t>)</w:t>
      </w:r>
      <w:bookmarkEnd w:id="17"/>
      <w:bookmarkEnd w:id="18"/>
    </w:p>
    <w:p w14:paraId="0AB5CBE8" w14:textId="77777777" w:rsidR="003D6F5B" w:rsidRDefault="003D6F5B" w:rsidP="003D6F5B">
      <w:r w:rsidRPr="00CB737C">
        <w:t xml:space="preserve">Pacific Power </w:t>
      </w:r>
      <w:r>
        <w:t>will</w:t>
      </w:r>
      <w:r w:rsidRPr="00CB737C">
        <w:t xml:space="preserve"> meet its Washington 2016 renewable compliance target with a combination of eligible renewable resources, </w:t>
      </w:r>
      <w:r>
        <w:t>incremental hydro and</w:t>
      </w:r>
      <w:r w:rsidRPr="00C1036C">
        <w:t xml:space="preserve"> </w:t>
      </w:r>
      <w:r>
        <w:t xml:space="preserve">unbundled REC purchases. Pacific Power </w:t>
      </w:r>
      <w:r w:rsidRPr="0017680F">
        <w:t xml:space="preserve">reported an average load in 2014 and 2015 of 4,112,958 MWh, yielding a 2016 RPS target of 370,166 MWh. </w:t>
      </w:r>
    </w:p>
    <w:p w14:paraId="7B5C4211" w14:textId="77777777" w:rsidR="003D6F5B" w:rsidRDefault="003D6F5B" w:rsidP="003D6F5B">
      <w:pPr>
        <w:spacing w:before="0" w:after="0"/>
      </w:pPr>
      <w:r w:rsidRPr="0017680F">
        <w:t xml:space="preserve">Table 5 summarizes Pacific Power’s </w:t>
      </w:r>
      <w:r>
        <w:t xml:space="preserve">redacted </w:t>
      </w:r>
      <w:r w:rsidRPr="0017680F">
        <w:t>2016</w:t>
      </w:r>
      <w:r>
        <w:t xml:space="preserve"> compliance report. Due to unresolved confidentiality issues, much of the compliance data in Table 5 has been redacted and marked as confidential by Pacific Power. </w:t>
      </w:r>
    </w:p>
    <w:p w14:paraId="1D5F8E9F" w14:textId="77777777" w:rsidR="003D6F5B" w:rsidRDefault="003D6F5B" w:rsidP="003D6F5B">
      <w:pPr>
        <w:spacing w:before="0" w:after="0"/>
      </w:pPr>
    </w:p>
    <w:p w14:paraId="75EF3AC2" w14:textId="77777777" w:rsidR="003D6F5B" w:rsidRPr="0017680F" w:rsidRDefault="003D6F5B" w:rsidP="003D6F5B">
      <w:pPr>
        <w:spacing w:before="0" w:after="0"/>
        <w:rPr>
          <w:b/>
        </w:rPr>
      </w:pPr>
      <w:r w:rsidRPr="0017680F">
        <w:rPr>
          <w:b/>
        </w:rPr>
        <w:t>Table 5: Pacific Power’s 2016 Renewable Resource Target and Compliance Plan</w:t>
      </w:r>
    </w:p>
    <w:p w14:paraId="75AE0BE0" w14:textId="77777777" w:rsidR="003D6F5B" w:rsidRDefault="003D6F5B" w:rsidP="003D6F5B">
      <w:pPr>
        <w:spacing w:before="0" w:after="0"/>
        <w:rPr>
          <w:highlight w:val="yellow"/>
        </w:rPr>
      </w:pPr>
    </w:p>
    <w:tbl>
      <w:tblPr>
        <w:tblStyle w:val="TableGrid"/>
        <w:tblW w:w="8460" w:type="dxa"/>
        <w:tblInd w:w="-5" w:type="dxa"/>
        <w:tblLayout w:type="fixed"/>
        <w:tblLook w:val="04A0" w:firstRow="1" w:lastRow="0" w:firstColumn="1" w:lastColumn="0" w:noHBand="0" w:noVBand="1"/>
      </w:tblPr>
      <w:tblGrid>
        <w:gridCol w:w="1170"/>
        <w:gridCol w:w="1530"/>
        <w:gridCol w:w="1350"/>
        <w:gridCol w:w="1350"/>
        <w:gridCol w:w="1530"/>
        <w:gridCol w:w="1530"/>
      </w:tblGrid>
      <w:tr w:rsidR="003D6F5B" w:rsidRPr="0008288F" w14:paraId="35452F72" w14:textId="77777777" w:rsidTr="002904A7">
        <w:trPr>
          <w:trHeight w:val="638"/>
        </w:trPr>
        <w:tc>
          <w:tcPr>
            <w:tcW w:w="1170" w:type="dxa"/>
            <w:tcBorders>
              <w:top w:val="single" w:sz="4" w:space="0" w:color="auto"/>
              <w:left w:val="single" w:sz="4" w:space="0" w:color="auto"/>
              <w:bottom w:val="single" w:sz="4" w:space="0" w:color="auto"/>
              <w:right w:val="single" w:sz="4" w:space="0" w:color="auto"/>
            </w:tcBorders>
            <w:hideMark/>
          </w:tcPr>
          <w:p w14:paraId="310A83B1" w14:textId="77777777" w:rsidR="003D6F5B" w:rsidRPr="007A6C97" w:rsidRDefault="003D6F5B" w:rsidP="002904A7">
            <w:pPr>
              <w:spacing w:before="0" w:after="0"/>
              <w:jc w:val="center"/>
              <w:rPr>
                <w:rFonts w:ascii="Arial Narrow" w:hAnsi="Arial Narrow"/>
                <w:b/>
                <w:sz w:val="20"/>
                <w:szCs w:val="20"/>
              </w:rPr>
            </w:pPr>
            <w:r w:rsidRPr="007A6C97">
              <w:rPr>
                <w:rFonts w:ascii="Arial Narrow" w:hAnsi="Arial Narrow"/>
                <w:b/>
                <w:sz w:val="20"/>
                <w:szCs w:val="20"/>
              </w:rPr>
              <w:t>2016 Target (MWh)</w:t>
            </w:r>
          </w:p>
        </w:tc>
        <w:tc>
          <w:tcPr>
            <w:tcW w:w="1530" w:type="dxa"/>
            <w:tcBorders>
              <w:top w:val="single" w:sz="4" w:space="0" w:color="auto"/>
              <w:left w:val="single" w:sz="4" w:space="0" w:color="auto"/>
              <w:bottom w:val="single" w:sz="4" w:space="0" w:color="auto"/>
              <w:right w:val="single" w:sz="4" w:space="0" w:color="auto"/>
            </w:tcBorders>
            <w:hideMark/>
          </w:tcPr>
          <w:p w14:paraId="7B6AE5C1" w14:textId="77777777" w:rsidR="003D6F5B" w:rsidRPr="007A6C97" w:rsidRDefault="003D6F5B" w:rsidP="002904A7">
            <w:pPr>
              <w:spacing w:before="0" w:after="0"/>
              <w:jc w:val="center"/>
              <w:rPr>
                <w:rFonts w:ascii="Arial Narrow" w:hAnsi="Arial Narrow"/>
                <w:b/>
                <w:sz w:val="20"/>
                <w:szCs w:val="20"/>
              </w:rPr>
            </w:pPr>
            <w:r w:rsidRPr="007A6C97">
              <w:rPr>
                <w:rFonts w:ascii="Arial Narrow" w:hAnsi="Arial Narrow"/>
                <w:b/>
                <w:sz w:val="20"/>
                <w:szCs w:val="20"/>
              </w:rPr>
              <w:t>Incremental Hydro (MWh)</w:t>
            </w:r>
          </w:p>
        </w:tc>
        <w:tc>
          <w:tcPr>
            <w:tcW w:w="1350" w:type="dxa"/>
            <w:tcBorders>
              <w:top w:val="single" w:sz="4" w:space="0" w:color="auto"/>
              <w:left w:val="single" w:sz="4" w:space="0" w:color="auto"/>
              <w:bottom w:val="single" w:sz="4" w:space="0" w:color="auto"/>
              <w:right w:val="single" w:sz="4" w:space="0" w:color="auto"/>
            </w:tcBorders>
            <w:hideMark/>
          </w:tcPr>
          <w:p w14:paraId="4EFD0FC1" w14:textId="77777777" w:rsidR="003D6F5B" w:rsidRPr="007A6C97" w:rsidRDefault="003D6F5B" w:rsidP="002904A7">
            <w:pPr>
              <w:spacing w:before="0" w:after="0"/>
              <w:jc w:val="center"/>
              <w:rPr>
                <w:rFonts w:ascii="Arial Narrow" w:hAnsi="Arial Narrow"/>
                <w:b/>
                <w:sz w:val="20"/>
                <w:szCs w:val="20"/>
              </w:rPr>
            </w:pPr>
            <w:r w:rsidRPr="007A6C97">
              <w:rPr>
                <w:rFonts w:ascii="Arial Narrow" w:hAnsi="Arial Narrow"/>
                <w:b/>
                <w:sz w:val="20"/>
                <w:szCs w:val="20"/>
              </w:rPr>
              <w:t>2015 RECs</w:t>
            </w:r>
          </w:p>
        </w:tc>
        <w:tc>
          <w:tcPr>
            <w:tcW w:w="1350" w:type="dxa"/>
            <w:tcBorders>
              <w:top w:val="single" w:sz="4" w:space="0" w:color="auto"/>
              <w:left w:val="single" w:sz="4" w:space="0" w:color="auto"/>
              <w:bottom w:val="single" w:sz="4" w:space="0" w:color="auto"/>
              <w:right w:val="single" w:sz="4" w:space="0" w:color="auto"/>
            </w:tcBorders>
            <w:hideMark/>
          </w:tcPr>
          <w:p w14:paraId="5D5235A7" w14:textId="77777777" w:rsidR="003D6F5B" w:rsidRPr="007A6C97" w:rsidRDefault="003D6F5B" w:rsidP="002904A7">
            <w:pPr>
              <w:spacing w:before="0" w:after="0"/>
              <w:jc w:val="center"/>
              <w:rPr>
                <w:rFonts w:ascii="Arial Narrow" w:hAnsi="Arial Narrow"/>
                <w:b/>
                <w:sz w:val="20"/>
                <w:szCs w:val="20"/>
              </w:rPr>
            </w:pPr>
            <w:r w:rsidRPr="007A6C97">
              <w:rPr>
                <w:rFonts w:ascii="Arial Narrow" w:hAnsi="Arial Narrow"/>
                <w:b/>
                <w:sz w:val="20"/>
                <w:szCs w:val="20"/>
              </w:rPr>
              <w:t>2016 RECs</w:t>
            </w:r>
          </w:p>
        </w:tc>
        <w:tc>
          <w:tcPr>
            <w:tcW w:w="1530" w:type="dxa"/>
            <w:tcBorders>
              <w:top w:val="single" w:sz="4" w:space="0" w:color="auto"/>
              <w:left w:val="single" w:sz="4" w:space="0" w:color="auto"/>
              <w:bottom w:val="single" w:sz="4" w:space="0" w:color="auto"/>
              <w:right w:val="single" w:sz="4" w:space="0" w:color="auto"/>
            </w:tcBorders>
            <w:hideMark/>
          </w:tcPr>
          <w:p w14:paraId="35E14001" w14:textId="77777777" w:rsidR="003D6F5B" w:rsidRPr="007A6C97" w:rsidRDefault="003D6F5B" w:rsidP="002904A7">
            <w:pPr>
              <w:spacing w:before="0" w:after="0"/>
              <w:jc w:val="center"/>
              <w:rPr>
                <w:rFonts w:ascii="Arial Narrow" w:hAnsi="Arial Narrow"/>
                <w:b/>
                <w:sz w:val="20"/>
                <w:szCs w:val="20"/>
              </w:rPr>
            </w:pPr>
            <w:r w:rsidRPr="007A6C97">
              <w:rPr>
                <w:rFonts w:ascii="Arial Narrow" w:hAnsi="Arial Narrow"/>
                <w:b/>
                <w:sz w:val="20"/>
                <w:szCs w:val="20"/>
              </w:rPr>
              <w:t>Purchased RECs</w:t>
            </w:r>
          </w:p>
        </w:tc>
        <w:tc>
          <w:tcPr>
            <w:tcW w:w="1530" w:type="dxa"/>
            <w:tcBorders>
              <w:top w:val="single" w:sz="4" w:space="0" w:color="auto"/>
              <w:left w:val="single" w:sz="4" w:space="0" w:color="auto"/>
              <w:bottom w:val="single" w:sz="4" w:space="0" w:color="auto"/>
              <w:right w:val="single" w:sz="4" w:space="0" w:color="auto"/>
            </w:tcBorders>
            <w:hideMark/>
          </w:tcPr>
          <w:p w14:paraId="1D613544" w14:textId="77777777" w:rsidR="003D6F5B" w:rsidRPr="007A6C97" w:rsidRDefault="003D6F5B" w:rsidP="002904A7">
            <w:pPr>
              <w:spacing w:before="0" w:after="0"/>
              <w:jc w:val="center"/>
              <w:rPr>
                <w:rFonts w:ascii="Arial Narrow" w:hAnsi="Arial Narrow"/>
                <w:b/>
                <w:sz w:val="20"/>
                <w:szCs w:val="20"/>
              </w:rPr>
            </w:pPr>
            <w:r w:rsidRPr="007A6C97">
              <w:rPr>
                <w:rFonts w:ascii="Arial Narrow" w:hAnsi="Arial Narrow"/>
                <w:b/>
                <w:sz w:val="20"/>
                <w:szCs w:val="20"/>
              </w:rPr>
              <w:t>Total Compliance Resources (MWh)</w:t>
            </w:r>
          </w:p>
        </w:tc>
      </w:tr>
      <w:tr w:rsidR="003D6F5B" w:rsidRPr="009142C9" w14:paraId="2F78F6A5" w14:textId="77777777" w:rsidTr="002904A7">
        <w:trPr>
          <w:trHeight w:val="145"/>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3A39F5AA" w14:textId="77777777" w:rsidR="003D6F5B" w:rsidRPr="007A6C97" w:rsidRDefault="003D6F5B" w:rsidP="002904A7">
            <w:pPr>
              <w:tabs>
                <w:tab w:val="center" w:pos="387"/>
              </w:tabs>
              <w:spacing w:before="0" w:after="0"/>
              <w:rPr>
                <w:sz w:val="20"/>
                <w:szCs w:val="20"/>
              </w:rPr>
            </w:pPr>
            <w:r w:rsidRPr="007A6C97">
              <w:rPr>
                <w:sz w:val="20"/>
                <w:szCs w:val="20"/>
              </w:rPr>
              <w:tab/>
              <w:t>370,166</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C925F03" w14:textId="77777777" w:rsidR="003D6F5B" w:rsidRPr="007A6C97" w:rsidRDefault="003D6F5B" w:rsidP="002904A7">
            <w:pPr>
              <w:spacing w:before="0" w:after="0"/>
              <w:jc w:val="center"/>
              <w:rPr>
                <w:sz w:val="20"/>
                <w:szCs w:val="20"/>
                <w:highlight w:val="yellow"/>
              </w:rPr>
            </w:pPr>
            <w:r>
              <w:rPr>
                <w:sz w:val="20"/>
                <w:szCs w:val="20"/>
              </w:rPr>
              <w:t>1,903</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653D146" w14:textId="77777777" w:rsidR="003D6F5B" w:rsidRPr="007A6C97" w:rsidRDefault="003D6F5B" w:rsidP="002904A7">
            <w:pPr>
              <w:spacing w:before="0" w:after="0"/>
              <w:jc w:val="center"/>
              <w:rPr>
                <w:sz w:val="20"/>
                <w:szCs w:val="20"/>
                <w:highlight w:val="yellow"/>
              </w:rPr>
            </w:pPr>
            <w:r w:rsidRPr="007A6C97">
              <w:rPr>
                <w:sz w:val="20"/>
                <w:szCs w:val="20"/>
              </w:rPr>
              <w:t>215,961</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8906CCF" w14:textId="77777777" w:rsidR="003D6F5B" w:rsidRPr="007A6C97" w:rsidRDefault="003D6F5B" w:rsidP="002904A7">
            <w:pPr>
              <w:spacing w:before="0" w:after="0"/>
              <w:jc w:val="center"/>
              <w:rPr>
                <w:sz w:val="20"/>
                <w:szCs w:val="20"/>
                <w:highlight w:val="yellow"/>
              </w:rPr>
            </w:pPr>
            <w:r>
              <w:rPr>
                <w:sz w:val="20"/>
                <w:szCs w:val="20"/>
              </w:rPr>
              <w:t>*</w:t>
            </w:r>
            <w:r>
              <w:rPr>
                <w:rStyle w:val="FootnoteReference"/>
                <w:sz w:val="20"/>
                <w:szCs w:val="20"/>
              </w:rPr>
              <w:footnoteReference w:id="12"/>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7AAF6C6" w14:textId="77777777" w:rsidR="003D6F5B" w:rsidRPr="007A6C97" w:rsidRDefault="003D6F5B" w:rsidP="002904A7">
            <w:pPr>
              <w:spacing w:before="0" w:after="0"/>
              <w:jc w:val="center"/>
              <w:rPr>
                <w:sz w:val="20"/>
                <w:szCs w:val="20"/>
                <w:highlight w:val="yellow"/>
              </w:rPr>
            </w:pPr>
            <w:r>
              <w:rPr>
                <w:sz w:val="20"/>
                <w:szCs w:val="20"/>
              </w:rPr>
              <w:t>*</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4C9DEE5" w14:textId="77777777" w:rsidR="003D6F5B" w:rsidRPr="007A6C97" w:rsidRDefault="003D6F5B" w:rsidP="002904A7">
            <w:pPr>
              <w:spacing w:before="0" w:after="0"/>
              <w:jc w:val="center"/>
              <w:rPr>
                <w:sz w:val="20"/>
                <w:szCs w:val="20"/>
                <w:highlight w:val="yellow"/>
              </w:rPr>
            </w:pPr>
            <w:r>
              <w:rPr>
                <w:sz w:val="20"/>
                <w:szCs w:val="20"/>
              </w:rPr>
              <w:t>*</w:t>
            </w:r>
          </w:p>
        </w:tc>
      </w:tr>
    </w:tbl>
    <w:p w14:paraId="4E9AF0A8" w14:textId="77777777" w:rsidR="003D6F5B" w:rsidRDefault="003D6F5B" w:rsidP="003D6F5B">
      <w:pPr>
        <w:spacing w:before="0" w:after="0"/>
        <w:rPr>
          <w:highlight w:val="yellow"/>
        </w:rPr>
      </w:pPr>
    </w:p>
    <w:p w14:paraId="290F3945" w14:textId="77777777" w:rsidR="003D6F5B" w:rsidRPr="00CB737C" w:rsidRDefault="003D6F5B" w:rsidP="007A6437">
      <w:pPr>
        <w:spacing w:before="0"/>
      </w:pPr>
      <w:r w:rsidRPr="00AB4D4F">
        <w:t>Pacific Power’s use of Method Two for calculating its incremental hydro means that the final reported total will be based on actual generation</w:t>
      </w:r>
      <w:r>
        <w:t xml:space="preserve">; therefore, </w:t>
      </w:r>
      <w:r w:rsidRPr="00AB4D4F">
        <w:t xml:space="preserve">the </w:t>
      </w:r>
      <w:r>
        <w:t>1,903</w:t>
      </w:r>
      <w:r w:rsidRPr="00216FE1">
        <w:t xml:space="preserve"> MWh</w:t>
      </w:r>
      <w:r w:rsidRPr="00AB4D4F">
        <w:t xml:space="preserve"> in the table is a projection. Pacific Power’s portfolio for rule compliance includes four company-owned incremental hydro facilities, four company-owned wind facilities in the company’s west balancing area, and </w:t>
      </w:r>
      <w:r>
        <w:t>five</w:t>
      </w:r>
      <w:r w:rsidRPr="00AB4D4F">
        <w:t xml:space="preserve"> </w:t>
      </w:r>
      <w:r>
        <w:t>wind facilities</w:t>
      </w:r>
      <w:r w:rsidRPr="00AB4D4F">
        <w:t xml:space="preserve"> in the company’s east balancing area. </w:t>
      </w:r>
      <w:r>
        <w:t xml:space="preserve">All five east-side facilities </w:t>
      </w:r>
      <w:r w:rsidRPr="000067CC">
        <w:t xml:space="preserve">are </w:t>
      </w:r>
      <w:r>
        <w:t xml:space="preserve">in Wyoming </w:t>
      </w:r>
      <w:r w:rsidRPr="004F2125">
        <w:t>and were approved in 2015 as eligible resource</w:t>
      </w:r>
      <w:r>
        <w:t>s</w:t>
      </w:r>
      <w:r w:rsidRPr="004F2125">
        <w:t xml:space="preserve"> for Pacific Power’s Washington compliance needs under RCW 19.285.030(12)(e).</w:t>
      </w:r>
      <w:r w:rsidRPr="00A74177">
        <w:rPr>
          <w:rStyle w:val="FootnoteReference"/>
        </w:rPr>
        <w:footnoteReference w:id="13"/>
      </w:r>
    </w:p>
    <w:p w14:paraId="6C6E0310" w14:textId="6EC1D2D4" w:rsidR="004529CB" w:rsidRPr="00417A4E" w:rsidRDefault="00215484" w:rsidP="00DA0BDE">
      <w:pPr>
        <w:spacing w:before="0"/>
      </w:pPr>
      <w:r w:rsidRPr="00417A4E">
        <w:t xml:space="preserve">Pacific Power </w:t>
      </w:r>
      <w:r w:rsidR="003D6F5B">
        <w:t>may not have</w:t>
      </w:r>
      <w:r w:rsidRPr="00417A4E">
        <w:t xml:space="preserve"> met the</w:t>
      </w:r>
      <w:r w:rsidR="003D6F5B">
        <w:t xml:space="preserve"> </w:t>
      </w:r>
      <w:r w:rsidRPr="00417A4E">
        <w:t xml:space="preserve">reporting requirements set forth in </w:t>
      </w:r>
      <w:r w:rsidR="004743C4" w:rsidRPr="00417A4E">
        <w:t>RCW</w:t>
      </w:r>
      <w:r w:rsidR="007A6437">
        <w:t> </w:t>
      </w:r>
      <w:r w:rsidR="004743C4" w:rsidRPr="00417A4E">
        <w:t>19.285.070, which requires that the company provide specific information to its customers for review.</w:t>
      </w:r>
      <w:r w:rsidR="004743C4" w:rsidRPr="00417A4E">
        <w:rPr>
          <w:rStyle w:val="FootnoteReference"/>
        </w:rPr>
        <w:footnoteReference w:id="14"/>
      </w:r>
      <w:r w:rsidR="004743C4" w:rsidRPr="00417A4E">
        <w:t xml:space="preserve"> </w:t>
      </w:r>
      <w:r w:rsidRPr="00417A4E">
        <w:t>N</w:t>
      </w:r>
      <w:r w:rsidR="00DA0BDE" w:rsidRPr="00417A4E">
        <w:t>o other utility has made claims of confidentiality for the data found in</w:t>
      </w:r>
      <w:r w:rsidR="004743C4" w:rsidRPr="00417A4E">
        <w:t xml:space="preserve"> </w:t>
      </w:r>
      <w:r w:rsidR="00DA0BDE" w:rsidRPr="00417A4E">
        <w:t>Table 1 in the 2016 RPS Report</w:t>
      </w:r>
      <w:r w:rsidR="004743C4" w:rsidRPr="00417A4E">
        <w:t xml:space="preserve">. </w:t>
      </w:r>
    </w:p>
    <w:p w14:paraId="72741A2E" w14:textId="31EE7D23" w:rsidR="00DA0BDE" w:rsidRPr="00417A4E" w:rsidRDefault="00DA0BDE" w:rsidP="00DA0BDE">
      <w:pPr>
        <w:spacing w:before="0"/>
      </w:pPr>
      <w:r w:rsidRPr="00417A4E">
        <w:t xml:space="preserve">After filing its initial </w:t>
      </w:r>
      <w:r w:rsidR="00215484" w:rsidRPr="00417A4E">
        <w:t xml:space="preserve">report on </w:t>
      </w:r>
      <w:r w:rsidRPr="00417A4E">
        <w:t>June 1, 2016, Pacific Power notified commission staff that they had included confidential pages of the Energy Independence Act (I-937) Commerce Renewable Report in the redacted portion of the RPS Report filed with the commission. The company submitted revised confidential and redacted versions of the report on June 16, 2016. After the revised filings were received, staff and stakeholders raised concerns about the quantity of information redacted, as com</w:t>
      </w:r>
      <w:r w:rsidR="00D347A5" w:rsidRPr="00417A4E">
        <w:t xml:space="preserve">pared with the other companies, and have </w:t>
      </w:r>
      <w:r w:rsidR="006D0FCE" w:rsidRPr="00417A4E">
        <w:t xml:space="preserve">been working </w:t>
      </w:r>
      <w:r w:rsidR="00D347A5" w:rsidRPr="00417A4E">
        <w:t>with the company to resolve these concerns.</w:t>
      </w:r>
    </w:p>
    <w:p w14:paraId="51D262DE" w14:textId="48F19E44" w:rsidR="00BC2D0F" w:rsidRDefault="00DA0BDE" w:rsidP="00BC2D0F">
      <w:r w:rsidRPr="00417A4E">
        <w:t xml:space="preserve">Staff and the company agreed that a portion of the report was redacted in error. </w:t>
      </w:r>
      <w:r w:rsidR="00E34F86" w:rsidRPr="00417A4E">
        <w:t>T</w:t>
      </w:r>
      <w:r w:rsidRPr="00417A4E">
        <w:t>he company agr</w:t>
      </w:r>
      <w:r w:rsidR="00367328" w:rsidRPr="00417A4E">
        <w:t>eed to file an updated version.</w:t>
      </w:r>
      <w:r w:rsidR="00BC2D0F" w:rsidRPr="00417A4E">
        <w:t xml:space="preserve"> </w:t>
      </w:r>
      <w:r w:rsidRPr="00417A4E">
        <w:t xml:space="preserve">Staff believes that the data currently redacted </w:t>
      </w:r>
      <w:r w:rsidR="004529CB" w:rsidRPr="00417A4E">
        <w:t xml:space="preserve">may </w:t>
      </w:r>
      <w:r w:rsidRPr="00417A4E">
        <w:t>limit the general public’s ability to adequately review the report</w:t>
      </w:r>
      <w:r w:rsidR="004529CB" w:rsidRPr="00417A4E">
        <w:t xml:space="preserve"> and less redaction may be warranted. Staff continues to work with the company</w:t>
      </w:r>
      <w:r w:rsidR="00D0023C" w:rsidRPr="00417A4E">
        <w:t>, and</w:t>
      </w:r>
      <w:r w:rsidRPr="00417A4E">
        <w:t xml:space="preserve"> recommends extending the comment period for at least 14 days for docket UE-160777, once the corrected filing is received.</w:t>
      </w:r>
      <w:r w:rsidR="006B2B2B">
        <w:t xml:space="preserve"> </w:t>
      </w:r>
    </w:p>
    <w:p w14:paraId="17EF4EB7" w14:textId="34605BAD" w:rsidR="00693DF2" w:rsidRDefault="000C70DD" w:rsidP="00693DF2">
      <w:pPr>
        <w:spacing w:before="0" w:after="0"/>
      </w:pPr>
      <w:r>
        <w:t>During its r</w:t>
      </w:r>
      <w:r w:rsidR="00AD200C">
        <w:t>eview of the company’s report, s</w:t>
      </w:r>
      <w:r>
        <w:t xml:space="preserve">taff identified a change from last year in the multi-state allocation calculation. The total West Control Area (WCA) Projected Eligible Generation </w:t>
      </w:r>
      <w:r w:rsidR="00034A17">
        <w:t xml:space="preserve">number </w:t>
      </w:r>
      <w:r>
        <w:t xml:space="preserve">included only WCA wind resources, whereas in 2015 both wind and incremental hydro generation were used. </w:t>
      </w:r>
      <w:r w:rsidR="00C30799">
        <w:t>Discussions with the company about this concern have assured staff that incremental hydro generation has been appropriately allocated</w:t>
      </w:r>
      <w:r w:rsidR="00714FA0">
        <w:t>. T</w:t>
      </w:r>
      <w:r w:rsidR="00034A17">
        <w:t>he</w:t>
      </w:r>
      <w:r w:rsidR="00714FA0">
        <w:t xml:space="preserve"> </w:t>
      </w:r>
      <w:r w:rsidR="00034A17">
        <w:t xml:space="preserve">company </w:t>
      </w:r>
      <w:r w:rsidR="00D0023C">
        <w:t>must</w:t>
      </w:r>
      <w:r w:rsidR="009F3CB9">
        <w:t xml:space="preserve"> </w:t>
      </w:r>
      <w:r w:rsidR="00225C03">
        <w:t xml:space="preserve">update the report </w:t>
      </w:r>
      <w:r w:rsidR="00034A17">
        <w:t xml:space="preserve">to explain how this allocation </w:t>
      </w:r>
      <w:r w:rsidR="009F565F">
        <w:t>occurred</w:t>
      </w:r>
      <w:r>
        <w:t>.</w:t>
      </w:r>
      <w:bookmarkStart w:id="19" w:name="_Toc455489983"/>
    </w:p>
    <w:p w14:paraId="7D04E916" w14:textId="77777777" w:rsidR="003D6F5B" w:rsidRDefault="003D6F5B" w:rsidP="00693DF2">
      <w:pPr>
        <w:pStyle w:val="Heading2"/>
        <w:spacing w:before="0"/>
        <w:rPr>
          <w:i/>
        </w:rPr>
      </w:pPr>
      <w:bookmarkStart w:id="20" w:name="_Toc456249971"/>
    </w:p>
    <w:p w14:paraId="09883FCB" w14:textId="3B24C8BA" w:rsidR="00EF7490" w:rsidRDefault="005E24D4" w:rsidP="00693DF2">
      <w:pPr>
        <w:pStyle w:val="Heading2"/>
        <w:spacing w:before="0"/>
      </w:pPr>
      <w:r>
        <w:rPr>
          <w:i/>
        </w:rPr>
        <w:t xml:space="preserve">Avista </w:t>
      </w:r>
      <w:r w:rsidR="007C079E">
        <w:rPr>
          <w:i/>
        </w:rPr>
        <w:t>(Docket UE-</w:t>
      </w:r>
      <w:r>
        <w:rPr>
          <w:i/>
        </w:rPr>
        <w:t>160779</w:t>
      </w:r>
      <w:r w:rsidR="00EF7490">
        <w:rPr>
          <w:i/>
        </w:rPr>
        <w:t>)</w:t>
      </w:r>
      <w:bookmarkEnd w:id="19"/>
      <w:bookmarkEnd w:id="20"/>
    </w:p>
    <w:p w14:paraId="00D05352" w14:textId="77777777" w:rsidR="003D6F5B" w:rsidRDefault="003D6F5B" w:rsidP="003D6F5B">
      <w:pPr>
        <w:spacing w:before="0" w:after="0"/>
      </w:pPr>
      <w:r>
        <w:t xml:space="preserve">Avista </w:t>
      </w:r>
      <w:r w:rsidRPr="00DA4C55">
        <w:t>owns eleven</w:t>
      </w:r>
      <w:r>
        <w:t xml:space="preserve"> eligible hydropower facilities, a biomass facility, and has a long-term power purchase agreement for all of the output of the Palouse Wind Farm in Whitman County. Avista reported an average load in 2014 and 2015 of 5,708,992 MWh, yielding a 2016 RPS target of 513,809 MWh. Table 6 summarizes Avista’s 2016 compliance report:</w:t>
      </w:r>
    </w:p>
    <w:p w14:paraId="53191A60" w14:textId="77777777" w:rsidR="003D6F5B" w:rsidRPr="003409F8" w:rsidRDefault="003D6F5B" w:rsidP="003D6F5B">
      <w:pPr>
        <w:spacing w:before="0" w:after="0"/>
        <w:rPr>
          <w:b/>
        </w:rPr>
      </w:pPr>
    </w:p>
    <w:p w14:paraId="0515A773" w14:textId="77777777" w:rsidR="003D6F5B" w:rsidRDefault="003D6F5B" w:rsidP="003D6F5B">
      <w:pPr>
        <w:spacing w:before="0" w:after="0"/>
        <w:rPr>
          <w:b/>
        </w:rPr>
      </w:pPr>
      <w:r>
        <w:rPr>
          <w:b/>
        </w:rPr>
        <w:t>Table 6: Avista’s 2016 Renewable Resource Target and Compliance Plan</w:t>
      </w:r>
    </w:p>
    <w:p w14:paraId="2AC5AC2A" w14:textId="77777777" w:rsidR="003D6F5B" w:rsidRPr="00D172F8" w:rsidRDefault="003D6F5B" w:rsidP="003D6F5B">
      <w:pPr>
        <w:spacing w:before="0" w:after="0"/>
        <w:rPr>
          <w:sz w:val="18"/>
          <w:szCs w:val="18"/>
        </w:rPr>
      </w:pPr>
    </w:p>
    <w:tbl>
      <w:tblPr>
        <w:tblStyle w:val="TableGrid"/>
        <w:tblW w:w="9270" w:type="dxa"/>
        <w:tblInd w:w="-5" w:type="dxa"/>
        <w:tblLayout w:type="fixed"/>
        <w:tblLook w:val="04A0" w:firstRow="1" w:lastRow="0" w:firstColumn="1" w:lastColumn="0" w:noHBand="0" w:noVBand="1"/>
      </w:tblPr>
      <w:tblGrid>
        <w:gridCol w:w="1170"/>
        <w:gridCol w:w="1710"/>
        <w:gridCol w:w="1620"/>
        <w:gridCol w:w="1440"/>
        <w:gridCol w:w="1530"/>
        <w:gridCol w:w="1800"/>
      </w:tblGrid>
      <w:tr w:rsidR="003D6F5B" w:rsidRPr="0008288F" w14:paraId="73E2545B" w14:textId="77777777" w:rsidTr="002904A7">
        <w:trPr>
          <w:trHeight w:val="530"/>
        </w:trPr>
        <w:tc>
          <w:tcPr>
            <w:tcW w:w="1170" w:type="dxa"/>
            <w:tcBorders>
              <w:top w:val="single" w:sz="4" w:space="0" w:color="auto"/>
              <w:left w:val="single" w:sz="4" w:space="0" w:color="auto"/>
              <w:bottom w:val="single" w:sz="4" w:space="0" w:color="auto"/>
              <w:right w:val="single" w:sz="4" w:space="0" w:color="auto"/>
            </w:tcBorders>
            <w:hideMark/>
          </w:tcPr>
          <w:p w14:paraId="7C6A825F" w14:textId="77777777" w:rsidR="003D6F5B" w:rsidRPr="00514132" w:rsidRDefault="003D6F5B" w:rsidP="002904A7">
            <w:pPr>
              <w:spacing w:before="0" w:after="0"/>
              <w:jc w:val="center"/>
              <w:rPr>
                <w:rFonts w:ascii="Arial Narrow" w:hAnsi="Arial Narrow"/>
                <w:b/>
                <w:sz w:val="20"/>
                <w:szCs w:val="20"/>
              </w:rPr>
            </w:pPr>
            <w:r w:rsidRPr="00514132">
              <w:rPr>
                <w:rFonts w:ascii="Arial Narrow" w:hAnsi="Arial Narrow"/>
                <w:b/>
                <w:sz w:val="20"/>
                <w:szCs w:val="20"/>
              </w:rPr>
              <w:t>2016 Target (MWh)</w:t>
            </w:r>
          </w:p>
        </w:tc>
        <w:tc>
          <w:tcPr>
            <w:tcW w:w="1710" w:type="dxa"/>
            <w:tcBorders>
              <w:top w:val="single" w:sz="4" w:space="0" w:color="auto"/>
              <w:left w:val="single" w:sz="4" w:space="0" w:color="auto"/>
              <w:bottom w:val="single" w:sz="4" w:space="0" w:color="auto"/>
              <w:right w:val="single" w:sz="4" w:space="0" w:color="auto"/>
            </w:tcBorders>
            <w:hideMark/>
          </w:tcPr>
          <w:p w14:paraId="1D1882C8" w14:textId="77777777" w:rsidR="003D6F5B" w:rsidRPr="00514132" w:rsidRDefault="003D6F5B" w:rsidP="002904A7">
            <w:pPr>
              <w:spacing w:before="0" w:after="0"/>
              <w:jc w:val="center"/>
              <w:rPr>
                <w:rFonts w:ascii="Arial Narrow" w:hAnsi="Arial Narrow"/>
                <w:b/>
                <w:sz w:val="20"/>
                <w:szCs w:val="20"/>
              </w:rPr>
            </w:pPr>
            <w:r w:rsidRPr="00514132">
              <w:rPr>
                <w:rFonts w:ascii="Arial Narrow" w:hAnsi="Arial Narrow"/>
                <w:b/>
                <w:sz w:val="20"/>
                <w:szCs w:val="20"/>
              </w:rPr>
              <w:t>Incremental Hydro (MWh)</w:t>
            </w:r>
          </w:p>
        </w:tc>
        <w:tc>
          <w:tcPr>
            <w:tcW w:w="1620" w:type="dxa"/>
            <w:tcBorders>
              <w:top w:val="single" w:sz="4" w:space="0" w:color="auto"/>
              <w:left w:val="single" w:sz="4" w:space="0" w:color="auto"/>
              <w:bottom w:val="single" w:sz="4" w:space="0" w:color="auto"/>
              <w:right w:val="single" w:sz="4" w:space="0" w:color="auto"/>
            </w:tcBorders>
            <w:hideMark/>
          </w:tcPr>
          <w:p w14:paraId="505DE755" w14:textId="77777777" w:rsidR="003D6F5B" w:rsidRPr="00514132" w:rsidRDefault="003D6F5B" w:rsidP="002904A7">
            <w:pPr>
              <w:spacing w:before="0" w:after="0"/>
              <w:jc w:val="center"/>
              <w:rPr>
                <w:rFonts w:ascii="Arial Narrow" w:hAnsi="Arial Narrow"/>
                <w:b/>
                <w:sz w:val="20"/>
                <w:szCs w:val="20"/>
              </w:rPr>
            </w:pPr>
            <w:r w:rsidRPr="00514132">
              <w:rPr>
                <w:rFonts w:ascii="Arial Narrow" w:hAnsi="Arial Narrow"/>
                <w:b/>
                <w:sz w:val="20"/>
                <w:szCs w:val="20"/>
              </w:rPr>
              <w:t>2015 RECs</w:t>
            </w:r>
          </w:p>
        </w:tc>
        <w:tc>
          <w:tcPr>
            <w:tcW w:w="1440" w:type="dxa"/>
            <w:tcBorders>
              <w:top w:val="single" w:sz="4" w:space="0" w:color="auto"/>
              <w:left w:val="single" w:sz="4" w:space="0" w:color="auto"/>
              <w:bottom w:val="single" w:sz="4" w:space="0" w:color="auto"/>
              <w:right w:val="single" w:sz="4" w:space="0" w:color="auto"/>
            </w:tcBorders>
            <w:hideMark/>
          </w:tcPr>
          <w:p w14:paraId="3D8075F4" w14:textId="77777777" w:rsidR="003D6F5B" w:rsidRPr="00514132" w:rsidRDefault="003D6F5B" w:rsidP="002904A7">
            <w:pPr>
              <w:spacing w:before="0" w:after="0"/>
              <w:jc w:val="center"/>
              <w:rPr>
                <w:rFonts w:ascii="Arial Narrow" w:hAnsi="Arial Narrow"/>
                <w:b/>
                <w:sz w:val="20"/>
                <w:szCs w:val="20"/>
              </w:rPr>
            </w:pPr>
            <w:r w:rsidRPr="00514132">
              <w:rPr>
                <w:rFonts w:ascii="Arial Narrow" w:hAnsi="Arial Narrow"/>
                <w:b/>
                <w:sz w:val="20"/>
                <w:szCs w:val="20"/>
              </w:rPr>
              <w:t>2016 RECs</w:t>
            </w:r>
          </w:p>
        </w:tc>
        <w:tc>
          <w:tcPr>
            <w:tcW w:w="1530" w:type="dxa"/>
            <w:tcBorders>
              <w:top w:val="single" w:sz="4" w:space="0" w:color="auto"/>
              <w:left w:val="single" w:sz="4" w:space="0" w:color="auto"/>
              <w:bottom w:val="single" w:sz="4" w:space="0" w:color="auto"/>
              <w:right w:val="single" w:sz="4" w:space="0" w:color="auto"/>
            </w:tcBorders>
            <w:hideMark/>
          </w:tcPr>
          <w:p w14:paraId="0439F5D3" w14:textId="77777777" w:rsidR="003D6F5B" w:rsidRPr="00514132" w:rsidRDefault="003D6F5B" w:rsidP="002904A7">
            <w:pPr>
              <w:spacing w:before="0" w:after="0"/>
              <w:jc w:val="center"/>
              <w:rPr>
                <w:rFonts w:ascii="Arial Narrow" w:hAnsi="Arial Narrow"/>
                <w:b/>
                <w:sz w:val="20"/>
                <w:szCs w:val="20"/>
              </w:rPr>
            </w:pPr>
            <w:r w:rsidRPr="00514132">
              <w:rPr>
                <w:rFonts w:ascii="Arial Narrow" w:hAnsi="Arial Narrow"/>
                <w:b/>
                <w:sz w:val="20"/>
                <w:szCs w:val="20"/>
              </w:rPr>
              <w:t>Purchased RECs</w:t>
            </w:r>
          </w:p>
        </w:tc>
        <w:tc>
          <w:tcPr>
            <w:tcW w:w="1800" w:type="dxa"/>
            <w:tcBorders>
              <w:top w:val="single" w:sz="4" w:space="0" w:color="auto"/>
              <w:left w:val="single" w:sz="4" w:space="0" w:color="auto"/>
              <w:bottom w:val="single" w:sz="4" w:space="0" w:color="auto"/>
              <w:right w:val="single" w:sz="4" w:space="0" w:color="auto"/>
            </w:tcBorders>
            <w:hideMark/>
          </w:tcPr>
          <w:p w14:paraId="3E984D82" w14:textId="77777777" w:rsidR="003D6F5B" w:rsidRPr="00514132" w:rsidRDefault="003D6F5B" w:rsidP="002904A7">
            <w:pPr>
              <w:spacing w:before="0" w:after="0"/>
              <w:jc w:val="center"/>
              <w:rPr>
                <w:rFonts w:ascii="Arial Narrow" w:hAnsi="Arial Narrow"/>
                <w:b/>
                <w:sz w:val="20"/>
                <w:szCs w:val="20"/>
              </w:rPr>
            </w:pPr>
            <w:r w:rsidRPr="00514132">
              <w:rPr>
                <w:rFonts w:ascii="Arial Narrow" w:hAnsi="Arial Narrow"/>
                <w:b/>
                <w:sz w:val="20"/>
                <w:szCs w:val="20"/>
              </w:rPr>
              <w:t>Total Compliance Resources (MWh)</w:t>
            </w:r>
          </w:p>
        </w:tc>
      </w:tr>
      <w:tr w:rsidR="003D6F5B" w:rsidRPr="009142C9" w14:paraId="2509173B" w14:textId="77777777" w:rsidTr="002904A7">
        <w:trPr>
          <w:trHeight w:val="145"/>
        </w:trPr>
        <w:tc>
          <w:tcPr>
            <w:tcW w:w="1170" w:type="dxa"/>
            <w:tcBorders>
              <w:top w:val="single" w:sz="4" w:space="0" w:color="auto"/>
              <w:left w:val="single" w:sz="4" w:space="0" w:color="auto"/>
              <w:bottom w:val="single" w:sz="4" w:space="0" w:color="auto"/>
              <w:right w:val="single" w:sz="4" w:space="0" w:color="auto"/>
            </w:tcBorders>
          </w:tcPr>
          <w:p w14:paraId="4CCB28FC" w14:textId="77777777" w:rsidR="003D6F5B" w:rsidRPr="00514132" w:rsidRDefault="003D6F5B" w:rsidP="002904A7">
            <w:pPr>
              <w:spacing w:before="0" w:after="0"/>
              <w:jc w:val="center"/>
              <w:rPr>
                <w:sz w:val="20"/>
                <w:szCs w:val="20"/>
              </w:rPr>
            </w:pPr>
            <w:r w:rsidRPr="00514132">
              <w:rPr>
                <w:sz w:val="20"/>
                <w:szCs w:val="20"/>
              </w:rPr>
              <w:t>513,809</w:t>
            </w:r>
          </w:p>
        </w:tc>
        <w:tc>
          <w:tcPr>
            <w:tcW w:w="1710" w:type="dxa"/>
            <w:tcBorders>
              <w:top w:val="single" w:sz="4" w:space="0" w:color="auto"/>
              <w:left w:val="single" w:sz="4" w:space="0" w:color="auto"/>
              <w:bottom w:val="single" w:sz="4" w:space="0" w:color="auto"/>
              <w:right w:val="single" w:sz="4" w:space="0" w:color="auto"/>
            </w:tcBorders>
          </w:tcPr>
          <w:p w14:paraId="28F02430" w14:textId="77777777" w:rsidR="003D6F5B" w:rsidRPr="00514132" w:rsidRDefault="003D6F5B" w:rsidP="002904A7">
            <w:pPr>
              <w:spacing w:before="0" w:after="0"/>
              <w:jc w:val="center"/>
              <w:rPr>
                <w:sz w:val="20"/>
                <w:szCs w:val="20"/>
              </w:rPr>
            </w:pPr>
            <w:r w:rsidRPr="00514132">
              <w:rPr>
                <w:sz w:val="20"/>
                <w:szCs w:val="20"/>
              </w:rPr>
              <w:t>171,482</w:t>
            </w:r>
          </w:p>
        </w:tc>
        <w:tc>
          <w:tcPr>
            <w:tcW w:w="1620" w:type="dxa"/>
            <w:tcBorders>
              <w:top w:val="single" w:sz="4" w:space="0" w:color="auto"/>
              <w:left w:val="single" w:sz="4" w:space="0" w:color="auto"/>
              <w:bottom w:val="single" w:sz="4" w:space="0" w:color="auto"/>
              <w:right w:val="single" w:sz="4" w:space="0" w:color="auto"/>
            </w:tcBorders>
          </w:tcPr>
          <w:p w14:paraId="1FA91AB5" w14:textId="77777777" w:rsidR="003D6F5B" w:rsidRPr="00514132" w:rsidRDefault="003D6F5B" w:rsidP="002904A7">
            <w:pPr>
              <w:spacing w:before="0" w:after="0"/>
              <w:jc w:val="center"/>
              <w:rPr>
                <w:sz w:val="20"/>
                <w:szCs w:val="20"/>
              </w:rPr>
            </w:pPr>
            <w:r w:rsidRPr="00514132">
              <w:rPr>
                <w:sz w:val="20"/>
                <w:szCs w:val="20"/>
              </w:rPr>
              <w:t>49,617</w:t>
            </w:r>
          </w:p>
        </w:tc>
        <w:tc>
          <w:tcPr>
            <w:tcW w:w="1440" w:type="dxa"/>
            <w:tcBorders>
              <w:top w:val="single" w:sz="4" w:space="0" w:color="auto"/>
              <w:left w:val="single" w:sz="4" w:space="0" w:color="auto"/>
              <w:bottom w:val="single" w:sz="4" w:space="0" w:color="auto"/>
              <w:right w:val="single" w:sz="4" w:space="0" w:color="auto"/>
            </w:tcBorders>
          </w:tcPr>
          <w:p w14:paraId="3572605B" w14:textId="77777777" w:rsidR="003D6F5B" w:rsidRPr="00514132" w:rsidRDefault="003D6F5B" w:rsidP="002904A7">
            <w:pPr>
              <w:spacing w:before="0" w:after="0"/>
              <w:jc w:val="center"/>
              <w:rPr>
                <w:sz w:val="20"/>
                <w:szCs w:val="20"/>
              </w:rPr>
            </w:pPr>
            <w:r w:rsidRPr="00514132">
              <w:rPr>
                <w:sz w:val="20"/>
                <w:szCs w:val="20"/>
              </w:rPr>
              <w:t>320,023</w:t>
            </w:r>
          </w:p>
        </w:tc>
        <w:tc>
          <w:tcPr>
            <w:tcW w:w="1530" w:type="dxa"/>
            <w:tcBorders>
              <w:top w:val="single" w:sz="4" w:space="0" w:color="auto"/>
              <w:left w:val="single" w:sz="4" w:space="0" w:color="auto"/>
              <w:bottom w:val="single" w:sz="4" w:space="0" w:color="auto"/>
              <w:right w:val="single" w:sz="4" w:space="0" w:color="auto"/>
            </w:tcBorders>
          </w:tcPr>
          <w:p w14:paraId="7FE74B49" w14:textId="77777777" w:rsidR="003D6F5B" w:rsidRPr="00514132" w:rsidRDefault="003D6F5B" w:rsidP="002904A7">
            <w:pPr>
              <w:spacing w:before="0" w:after="0"/>
              <w:jc w:val="center"/>
              <w:rPr>
                <w:sz w:val="20"/>
                <w:szCs w:val="20"/>
              </w:rPr>
            </w:pPr>
            <w:r w:rsidRPr="00514132">
              <w:rPr>
                <w:sz w:val="20"/>
                <w:szCs w:val="20"/>
              </w:rPr>
              <w:t>N/A</w:t>
            </w:r>
          </w:p>
        </w:tc>
        <w:tc>
          <w:tcPr>
            <w:tcW w:w="1800" w:type="dxa"/>
            <w:tcBorders>
              <w:top w:val="single" w:sz="4" w:space="0" w:color="auto"/>
              <w:left w:val="single" w:sz="4" w:space="0" w:color="auto"/>
              <w:bottom w:val="single" w:sz="4" w:space="0" w:color="auto"/>
              <w:right w:val="single" w:sz="4" w:space="0" w:color="auto"/>
            </w:tcBorders>
          </w:tcPr>
          <w:p w14:paraId="6740339E" w14:textId="77777777" w:rsidR="003D6F5B" w:rsidRPr="00514132" w:rsidRDefault="003D6F5B" w:rsidP="002904A7">
            <w:pPr>
              <w:spacing w:before="0" w:after="0"/>
              <w:jc w:val="center"/>
              <w:rPr>
                <w:sz w:val="20"/>
                <w:szCs w:val="20"/>
              </w:rPr>
            </w:pPr>
            <w:r w:rsidRPr="00514132">
              <w:rPr>
                <w:sz w:val="20"/>
                <w:szCs w:val="20"/>
              </w:rPr>
              <w:t>541,122</w:t>
            </w:r>
          </w:p>
        </w:tc>
      </w:tr>
    </w:tbl>
    <w:p w14:paraId="68CCFC50" w14:textId="77777777" w:rsidR="003D6F5B" w:rsidRPr="00D172F8" w:rsidRDefault="003D6F5B" w:rsidP="003D6F5B">
      <w:pPr>
        <w:spacing w:before="0" w:after="0"/>
        <w:rPr>
          <w:sz w:val="10"/>
          <w:szCs w:val="10"/>
        </w:rPr>
      </w:pPr>
    </w:p>
    <w:p w14:paraId="1AF866A7" w14:textId="77777777" w:rsidR="003D6F5B" w:rsidRPr="0026566A" w:rsidRDefault="003D6F5B" w:rsidP="003D6F5B">
      <w:pPr>
        <w:spacing w:before="0" w:after="0"/>
      </w:pPr>
    </w:p>
    <w:p w14:paraId="4686C320" w14:textId="77777777" w:rsidR="003D6F5B" w:rsidRDefault="003D6F5B" w:rsidP="003D6F5B">
      <w:pPr>
        <w:spacing w:before="0" w:after="0"/>
      </w:pPr>
      <w:r w:rsidRPr="00BF32A8">
        <w:t>As Table 6 shows</w:t>
      </w:r>
      <w:r>
        <w:t>,</w:t>
      </w:r>
      <w:r w:rsidRPr="00BF32A8">
        <w:t xml:space="preserve"> </w:t>
      </w:r>
      <w:r>
        <w:t>Avista</w:t>
      </w:r>
      <w:r w:rsidRPr="00354ECC">
        <w:t xml:space="preserve"> will exceed the rule’s 9 percent requirement and expects </w:t>
      </w:r>
      <w:r>
        <w:t xml:space="preserve">to generate </w:t>
      </w:r>
      <w:r w:rsidRPr="00354ECC">
        <w:t>over 9</w:t>
      </w:r>
      <w:r>
        <w:t>.5</w:t>
      </w:r>
      <w:r w:rsidRPr="00354ECC">
        <w:t xml:space="preserve"> percent of its load from renewable resources</w:t>
      </w:r>
      <w:r w:rsidRPr="00BF32A8">
        <w:t>.</w:t>
      </w:r>
      <w:r>
        <w:t xml:space="preserve"> This reflects Avista’s 2016 addition of the output of its Kettle Falls biomass facility toward its target. </w:t>
      </w:r>
      <w:r w:rsidRPr="003775F7">
        <w:t>Avista is not expected to need any additional resources for RPS compliance until after 2030</w:t>
      </w:r>
      <w:r>
        <w:t>.</w:t>
      </w:r>
    </w:p>
    <w:p w14:paraId="3AF86DC7" w14:textId="77777777" w:rsidR="003D6F5B" w:rsidRDefault="003D6F5B" w:rsidP="003D6F5B">
      <w:pPr>
        <w:spacing w:before="0" w:after="0"/>
      </w:pPr>
    </w:p>
    <w:p w14:paraId="6AC2B339" w14:textId="1BD00DCF" w:rsidR="002D3A6B" w:rsidRDefault="008912A8" w:rsidP="00F04B4B">
      <w:pPr>
        <w:spacing w:before="0" w:after="0"/>
      </w:pPr>
      <w:r w:rsidRPr="00D60CC4">
        <w:t xml:space="preserve">Staff </w:t>
      </w:r>
      <w:r w:rsidR="00F81638" w:rsidRPr="00D60CC4">
        <w:t>examined Avista’s</w:t>
      </w:r>
      <w:r w:rsidR="008761A6" w:rsidRPr="00D60CC4">
        <w:t xml:space="preserve"> methodology </w:t>
      </w:r>
      <w:r w:rsidR="00F81638" w:rsidRPr="00D60CC4">
        <w:t xml:space="preserve">and </w:t>
      </w:r>
      <w:r w:rsidR="000702A4" w:rsidRPr="00D60CC4">
        <w:t xml:space="preserve">calculations related to </w:t>
      </w:r>
      <w:r w:rsidR="000F159B">
        <w:t xml:space="preserve">expected </w:t>
      </w:r>
      <w:r w:rsidR="000F57D9" w:rsidRPr="00D60CC4">
        <w:t xml:space="preserve">qualifying generation. Avista </w:t>
      </w:r>
      <w:r w:rsidR="00F04B4B" w:rsidRPr="00D60CC4">
        <w:t xml:space="preserve">registered </w:t>
      </w:r>
      <w:r w:rsidR="000F57D9" w:rsidRPr="00D60CC4">
        <w:t xml:space="preserve">the new resources </w:t>
      </w:r>
      <w:r w:rsidR="00F04B4B" w:rsidRPr="00D60CC4">
        <w:t>in WREGIS</w:t>
      </w:r>
      <w:r w:rsidR="00F81638" w:rsidRPr="00D60CC4">
        <w:t xml:space="preserve"> and b</w:t>
      </w:r>
      <w:r w:rsidR="00F04B4B" w:rsidRPr="00D60CC4">
        <w:t>ased on the in</w:t>
      </w:r>
      <w:r w:rsidR="0033651C">
        <w:t>formation presented in the RPS R</w:t>
      </w:r>
      <w:r w:rsidR="00F04B4B" w:rsidRPr="00D60CC4">
        <w:t xml:space="preserve">eport, staff </w:t>
      </w:r>
      <w:r w:rsidR="00B71035" w:rsidRPr="00D60CC4">
        <w:t xml:space="preserve">is reasonably satisfied </w:t>
      </w:r>
      <w:r w:rsidR="00F04B4B" w:rsidRPr="00D60CC4">
        <w:t xml:space="preserve">with the assessment that the </w:t>
      </w:r>
      <w:r w:rsidRPr="00D60CC4">
        <w:t xml:space="preserve">(1) biomass and (2) </w:t>
      </w:r>
      <w:r w:rsidR="00F81638" w:rsidRPr="00D60CC4">
        <w:t xml:space="preserve">two </w:t>
      </w:r>
      <w:r w:rsidRPr="00D60CC4">
        <w:t xml:space="preserve">new incremental hydropower </w:t>
      </w:r>
      <w:r w:rsidR="00F04B4B" w:rsidRPr="00D60CC4">
        <w:t>renewable resources are eligible</w:t>
      </w:r>
      <w:r w:rsidR="00D8224D" w:rsidRPr="00D60CC4">
        <w:t xml:space="preserve"> renewable resources</w:t>
      </w:r>
      <w:r w:rsidR="0040598F" w:rsidRPr="00D60CC4">
        <w:t>.</w:t>
      </w:r>
      <w:r w:rsidR="003D6F5B">
        <w:t xml:space="preserve"> This determination will include the approval of the calculation for each incremental hydropower resource.</w:t>
      </w:r>
      <w:r w:rsidR="002B4E75" w:rsidRPr="00D60CC4">
        <w:rPr>
          <w:rStyle w:val="FootnoteReference"/>
        </w:rPr>
        <w:footnoteReference w:id="15"/>
      </w:r>
      <w:r w:rsidR="002D3A6B" w:rsidRPr="00D60CC4">
        <w:t xml:space="preserve"> </w:t>
      </w:r>
    </w:p>
    <w:p w14:paraId="422B4D53" w14:textId="77777777" w:rsidR="002D3A6B" w:rsidRDefault="002D3A6B" w:rsidP="00F04B4B">
      <w:pPr>
        <w:spacing w:before="0" w:after="0"/>
      </w:pPr>
    </w:p>
    <w:p w14:paraId="54025FA6" w14:textId="37BCD053" w:rsidR="0040598F" w:rsidRPr="00D60CC4" w:rsidRDefault="0040598F" w:rsidP="008912A8">
      <w:pPr>
        <w:pStyle w:val="ListParagraph"/>
        <w:numPr>
          <w:ilvl w:val="0"/>
          <w:numId w:val="20"/>
        </w:numPr>
        <w:spacing w:before="0" w:after="0"/>
        <w:rPr>
          <w:u w:val="single"/>
        </w:rPr>
      </w:pPr>
      <w:r w:rsidRPr="00D60CC4">
        <w:rPr>
          <w:u w:val="single"/>
        </w:rPr>
        <w:t>Biomass</w:t>
      </w:r>
    </w:p>
    <w:p w14:paraId="35FCB0EB" w14:textId="77777777" w:rsidR="00102A51" w:rsidRPr="00D60CC4" w:rsidRDefault="00102A51" w:rsidP="00102A51">
      <w:pPr>
        <w:spacing w:before="0" w:after="0"/>
        <w:ind w:left="720"/>
      </w:pPr>
    </w:p>
    <w:p w14:paraId="244841B7" w14:textId="2A313AF0" w:rsidR="005A7355" w:rsidRPr="00D60CC4" w:rsidRDefault="00F80E9D" w:rsidP="0040598F">
      <w:pPr>
        <w:spacing w:before="0" w:after="0"/>
      </w:pPr>
      <w:r>
        <w:rPr>
          <w:b/>
        </w:rPr>
        <w:t>Kettle Falls</w:t>
      </w:r>
      <w:r w:rsidR="00F04B4B" w:rsidRPr="00D60CC4">
        <w:rPr>
          <w:b/>
        </w:rPr>
        <w:t>.</w:t>
      </w:r>
      <w:r w:rsidR="00F81638" w:rsidRPr="00D60CC4">
        <w:t xml:space="preserve"> Staff </w:t>
      </w:r>
      <w:r w:rsidR="008912A8" w:rsidRPr="00D60CC4">
        <w:t>agreed with Avista’s determination that the</w:t>
      </w:r>
      <w:r w:rsidR="00233C81" w:rsidRPr="00D60CC4">
        <w:t xml:space="preserve"> </w:t>
      </w:r>
      <w:r w:rsidR="005A7355" w:rsidRPr="00D60CC4">
        <w:t>wood waste fuel</w:t>
      </w:r>
      <w:r w:rsidR="00E13A69" w:rsidRPr="00D60CC4">
        <w:t xml:space="preserve"> qualifies as “b</w:t>
      </w:r>
      <w:r w:rsidR="00233C81" w:rsidRPr="00D60CC4">
        <w:t>iomass energy” because</w:t>
      </w:r>
      <w:r w:rsidR="008912A8" w:rsidRPr="00D60CC4">
        <w:t>:</w:t>
      </w:r>
    </w:p>
    <w:p w14:paraId="3FAB05FC" w14:textId="77777777" w:rsidR="008912A8" w:rsidRPr="00D60CC4" w:rsidRDefault="008912A8" w:rsidP="0040598F">
      <w:pPr>
        <w:spacing w:before="0" w:after="0"/>
      </w:pPr>
    </w:p>
    <w:p w14:paraId="6A53E9A0" w14:textId="286DAEC8" w:rsidR="005F19CB" w:rsidRPr="00D60CC4" w:rsidRDefault="00233C81" w:rsidP="005F19CB">
      <w:pPr>
        <w:pStyle w:val="ListParagraph"/>
        <w:numPr>
          <w:ilvl w:val="0"/>
          <w:numId w:val="22"/>
        </w:numPr>
        <w:spacing w:before="0" w:after="0"/>
      </w:pPr>
      <w:r w:rsidRPr="00D60CC4">
        <w:t>WAC 480-109(2)(iv) allows qualifying forest or field residues</w:t>
      </w:r>
      <w:r w:rsidR="00B270F1">
        <w:t>.</w:t>
      </w:r>
    </w:p>
    <w:p w14:paraId="17F32B2A" w14:textId="58A4C402" w:rsidR="005A7355" w:rsidRPr="00D60CC4" w:rsidRDefault="00233C81" w:rsidP="005F19CB">
      <w:pPr>
        <w:pStyle w:val="ListParagraph"/>
        <w:numPr>
          <w:ilvl w:val="0"/>
          <w:numId w:val="22"/>
        </w:numPr>
        <w:spacing w:before="0" w:after="0"/>
      </w:pPr>
      <w:r w:rsidRPr="00D60CC4">
        <w:t xml:space="preserve">WAC 480-109-060(25)(j) defines </w:t>
      </w:r>
      <w:r w:rsidR="005A7355" w:rsidRPr="00D60CC4">
        <w:t>biomass as a “</w:t>
      </w:r>
      <w:r w:rsidR="00C061CB" w:rsidRPr="00D60CC4">
        <w:t>r</w:t>
      </w:r>
      <w:r w:rsidR="005A7355" w:rsidRPr="00D60CC4">
        <w:t>enewable resource” if the f</w:t>
      </w:r>
      <w:r w:rsidR="005C5B78" w:rsidRPr="00D60CC4">
        <w:t xml:space="preserve">ollowing condition is satisfied, </w:t>
      </w:r>
      <w:r w:rsidR="005A7355" w:rsidRPr="00D60CC4">
        <w:t>“the eligible renewable energy produced by biomass facilities is based on the portion of the fuel supply that is made up of eligible biomass fuels.”</w:t>
      </w:r>
    </w:p>
    <w:p w14:paraId="28107EFA" w14:textId="77777777" w:rsidR="005A7355" w:rsidRPr="00D60CC4" w:rsidRDefault="005A7355" w:rsidP="0040598F">
      <w:pPr>
        <w:spacing w:before="0" w:after="0"/>
      </w:pPr>
    </w:p>
    <w:p w14:paraId="5F0BB62B" w14:textId="12C0B85D" w:rsidR="008912A8" w:rsidRPr="00E84B61" w:rsidRDefault="00815B54" w:rsidP="0040598F">
      <w:pPr>
        <w:spacing w:before="0" w:after="0"/>
      </w:pPr>
      <w:r w:rsidRPr="00C653FA">
        <w:t xml:space="preserve">Avista contracted with a </w:t>
      </w:r>
      <w:r w:rsidR="001B43ED" w:rsidRPr="00C653FA">
        <w:t xml:space="preserve">consultant, KPMG, to calculate the amount of qualifying biomass energy generated and the portion of wood waste fuel harvested in Canada. The data provided by Avista demonstrated that Kettle Falls is an eligible renewable </w:t>
      </w:r>
      <w:r w:rsidR="00D0023C" w:rsidRPr="00C653FA">
        <w:t xml:space="preserve">resource </w:t>
      </w:r>
      <w:r w:rsidR="00E15EE1" w:rsidRPr="00C653FA">
        <w:t xml:space="preserve">for </w:t>
      </w:r>
      <w:r w:rsidR="001B43ED" w:rsidRPr="00C653FA">
        <w:t xml:space="preserve">the portion of the fuel </w:t>
      </w:r>
      <w:r w:rsidR="001B43ED" w:rsidRPr="00E84B61">
        <w:t>supply that is made up of eligible biomass fuels. All US-sourced wood waste fuel satisfies the requirements to be “biomass energy”</w:t>
      </w:r>
      <w:r w:rsidR="003213F2" w:rsidRPr="00E84B61">
        <w:rPr>
          <w:rStyle w:val="FootnoteReference"/>
        </w:rPr>
        <w:t xml:space="preserve"> </w:t>
      </w:r>
      <w:r w:rsidR="003213F2" w:rsidRPr="00E84B61">
        <w:rPr>
          <w:rStyle w:val="FootnoteReference"/>
        </w:rPr>
        <w:footnoteReference w:id="16"/>
      </w:r>
      <w:r w:rsidR="001B43ED" w:rsidRPr="00E84B61">
        <w:t xml:space="preserve"> because wood from old growth timber is not harvested in any applicable areas in the U</w:t>
      </w:r>
      <w:r w:rsidR="003213F2" w:rsidRPr="00E84B61">
        <w:t>.</w:t>
      </w:r>
      <w:r w:rsidR="001B43ED" w:rsidRPr="00E84B61">
        <w:t xml:space="preserve">S. </w:t>
      </w:r>
    </w:p>
    <w:p w14:paraId="5DB5E6D5" w14:textId="77777777" w:rsidR="008912A8" w:rsidRPr="00E84B61" w:rsidRDefault="008912A8" w:rsidP="0040598F">
      <w:pPr>
        <w:spacing w:before="0" w:after="0"/>
      </w:pPr>
    </w:p>
    <w:p w14:paraId="33C8548F" w14:textId="4FC75D06" w:rsidR="00F04B4B" w:rsidRPr="005A7355" w:rsidRDefault="00CA6D6C" w:rsidP="0040598F">
      <w:pPr>
        <w:spacing w:before="0" w:after="0"/>
      </w:pPr>
      <w:r w:rsidRPr="00E84B61">
        <w:t>S</w:t>
      </w:r>
      <w:r w:rsidR="008912A8" w:rsidRPr="00E84B61">
        <w:t>taff</w:t>
      </w:r>
      <w:r w:rsidR="008912A8" w:rsidRPr="00C653FA">
        <w:t xml:space="preserve"> and Avista are aware of the condition set forth in WAC 480-109-060(2)(b), where the rule explicitly states that biomass energy </w:t>
      </w:r>
      <w:r w:rsidR="005A7355" w:rsidRPr="00C653FA">
        <w:t>does not include: (i)</w:t>
      </w:r>
      <w:r w:rsidR="008912A8" w:rsidRPr="00C653FA">
        <w:t xml:space="preserve"> </w:t>
      </w:r>
      <w:r w:rsidR="005A7355" w:rsidRPr="00C653FA">
        <w:t>Wood pieces that have been treated with chemical preservatives such as creosote, pentachlorophenol, or copper-chrome arsenic; (ii)</w:t>
      </w:r>
      <w:r w:rsidR="007A6437">
        <w:t> </w:t>
      </w:r>
      <w:r w:rsidR="005A7355" w:rsidRPr="00C653FA">
        <w:t xml:space="preserve">Wood from old growth forests; or (iii) Municipal solid waste. </w:t>
      </w:r>
      <w:r w:rsidR="008912A8" w:rsidRPr="00C653FA">
        <w:t xml:space="preserve">After </w:t>
      </w:r>
      <w:r w:rsidRPr="00C653FA">
        <w:t xml:space="preserve">discussion </w:t>
      </w:r>
      <w:r w:rsidR="008912A8" w:rsidRPr="00C653FA">
        <w:t>with Avista and reviewing the report authored</w:t>
      </w:r>
      <w:r w:rsidR="008912A8" w:rsidRPr="00D60CC4">
        <w:t xml:space="preserve"> </w:t>
      </w:r>
      <w:r w:rsidR="00BD7A64" w:rsidRPr="00D60CC4">
        <w:t xml:space="preserve">by </w:t>
      </w:r>
      <w:r w:rsidR="0033651C">
        <w:t>KPMG (Appendix F in the RPS R</w:t>
      </w:r>
      <w:r w:rsidR="008912A8" w:rsidRPr="00D60CC4">
        <w:t>eport), s</w:t>
      </w:r>
      <w:r w:rsidR="00F04B4B" w:rsidRPr="00D60CC4">
        <w:t xml:space="preserve">taff is satisfied that old growth timber is not a statistically significant portion of </w:t>
      </w:r>
      <w:r w:rsidR="005A7355" w:rsidRPr="00D60CC4">
        <w:t xml:space="preserve">the </w:t>
      </w:r>
      <w:r w:rsidR="00F04B4B" w:rsidRPr="00D60CC4">
        <w:t>biomass energy generated.</w:t>
      </w:r>
      <w:r w:rsidR="00E15EE1">
        <w:t xml:space="preserve"> In addition, Avista properly adjusted the eligible portion of the biomass energy to exclude any old growth timber.</w:t>
      </w:r>
    </w:p>
    <w:p w14:paraId="701BCF56" w14:textId="77777777" w:rsidR="00BD7A64" w:rsidRDefault="00BD7A64" w:rsidP="0040598F">
      <w:pPr>
        <w:spacing w:before="0" w:after="0"/>
      </w:pPr>
    </w:p>
    <w:p w14:paraId="44090F3E" w14:textId="3A654CBF" w:rsidR="0040598F" w:rsidRPr="008912A8" w:rsidRDefault="0040598F" w:rsidP="008912A8">
      <w:pPr>
        <w:pStyle w:val="ListParagraph"/>
        <w:numPr>
          <w:ilvl w:val="0"/>
          <w:numId w:val="20"/>
        </w:numPr>
        <w:spacing w:before="0" w:after="0"/>
        <w:rPr>
          <w:u w:val="single"/>
        </w:rPr>
      </w:pPr>
      <w:r w:rsidRPr="008912A8">
        <w:rPr>
          <w:u w:val="single"/>
        </w:rPr>
        <w:t>Incremental Hydropower</w:t>
      </w:r>
    </w:p>
    <w:p w14:paraId="15765788" w14:textId="77777777" w:rsidR="008912A8" w:rsidRDefault="008912A8" w:rsidP="00251E62">
      <w:pPr>
        <w:spacing w:before="0" w:after="0"/>
      </w:pPr>
    </w:p>
    <w:p w14:paraId="01D57716" w14:textId="4BF22B9C" w:rsidR="00295D82" w:rsidRDefault="00A5345D" w:rsidP="00F04B4B">
      <w:pPr>
        <w:spacing w:before="0" w:after="0"/>
        <w:rPr>
          <w:b/>
          <w:bCs/>
        </w:rPr>
      </w:pPr>
      <w:r>
        <w:rPr>
          <w:b/>
        </w:rPr>
        <w:t xml:space="preserve">Nine Mile #1 </w:t>
      </w:r>
      <w:r w:rsidR="00F04B4B" w:rsidRPr="0040598F">
        <w:rPr>
          <w:b/>
        </w:rPr>
        <w:t xml:space="preserve">and Nine </w:t>
      </w:r>
      <w:r>
        <w:rPr>
          <w:b/>
        </w:rPr>
        <w:t>Mile #2</w:t>
      </w:r>
      <w:r w:rsidR="00F04B4B" w:rsidRPr="0040598F">
        <w:rPr>
          <w:b/>
        </w:rPr>
        <w:t>.</w:t>
      </w:r>
      <w:r w:rsidR="00F04B4B">
        <w:t xml:space="preserve"> </w:t>
      </w:r>
      <w:r w:rsidR="00884436">
        <w:t>Avis</w:t>
      </w:r>
      <w:r w:rsidR="005E04FD">
        <w:t xml:space="preserve">ta Corporation’s </w:t>
      </w:r>
      <w:r w:rsidR="00F04B4B">
        <w:t>incremental hydroelectric upgrades for Nine Mile #1 and Nine Mile #2 qualify as renewable energy output</w:t>
      </w:r>
      <w:r w:rsidR="0033651C">
        <w:t xml:space="preserve"> in their 2016 annual RPS R</w:t>
      </w:r>
      <w:r w:rsidR="00884436">
        <w:t>eport</w:t>
      </w:r>
      <w:r w:rsidR="00F04B4B">
        <w:t xml:space="preserve">. </w:t>
      </w:r>
      <w:r w:rsidR="00295D82" w:rsidRPr="006400DC">
        <w:t>For incremental hydropower calculations, Avista</w:t>
      </w:r>
      <w:r w:rsidR="00C054F8">
        <w:t xml:space="preserve"> </w:t>
      </w:r>
      <w:r w:rsidR="00295D82" w:rsidRPr="006400DC">
        <w:t>uses Method Thr</w:t>
      </w:r>
      <w:r w:rsidR="00C054F8">
        <w:t>e</w:t>
      </w:r>
      <w:r w:rsidR="00295D82" w:rsidRPr="006400DC">
        <w:t>e,</w:t>
      </w:r>
      <w:r w:rsidR="0058022B" w:rsidRPr="006400DC">
        <w:rPr>
          <w:rStyle w:val="FootnoteReference"/>
        </w:rPr>
        <w:footnoteReference w:id="17"/>
      </w:r>
      <w:r w:rsidR="00295D82" w:rsidRPr="006400DC">
        <w:t xml:space="preserve"> which is a one-time calculation of incremental hydropower based on a historic period and reported as a static value in all </w:t>
      </w:r>
      <w:r w:rsidR="00295D82" w:rsidRPr="004B37AD">
        <w:t xml:space="preserve">future years, regardless of actual generation. </w:t>
      </w:r>
      <w:r w:rsidR="003D6F5B" w:rsidRPr="004B37AD">
        <w:t xml:space="preserve">The calculation of incremental hydropower is </w:t>
      </w:r>
      <w:r w:rsidR="00540414" w:rsidRPr="004B37AD">
        <w:t>for Nine Mile #1 and 8,804 MWh for Nine Mile 13,146 MWh</w:t>
      </w:r>
      <w:r w:rsidR="003D6F5B" w:rsidRPr="004B37AD">
        <w:t>. In its Final 2016 Compliance Report, Avista must provide the actual in-service date for these resources, and adjust the hydropower claimed from those resources for 2016 accordingly. These resources, beginning in 2019 and every</w:t>
      </w:r>
      <w:r w:rsidR="003D6F5B">
        <w:t xml:space="preserve"> five years thereafter, will also be part of</w:t>
      </w:r>
      <w:r w:rsidR="00295D82">
        <w:t xml:space="preserve"> </w:t>
      </w:r>
      <w:r w:rsidR="003D6F5B">
        <w:t>the required</w:t>
      </w:r>
      <w:r w:rsidR="00295D82">
        <w:t xml:space="preserve"> analysis that compares the quantity of incremental hydropower that the utility claimed using Method Three over the previous five years to what it would have claimed using one of the other two methods.</w:t>
      </w:r>
      <w:r w:rsidR="00687B20">
        <w:t xml:space="preserve"> </w:t>
      </w:r>
    </w:p>
    <w:p w14:paraId="4BC839B3" w14:textId="77777777" w:rsidR="00295D82" w:rsidRPr="00295D82" w:rsidRDefault="00295D82" w:rsidP="00F04B4B">
      <w:pPr>
        <w:spacing w:before="0" w:after="0"/>
      </w:pPr>
    </w:p>
    <w:p w14:paraId="23E2A7F3" w14:textId="1C012119" w:rsidR="00183632" w:rsidRPr="00431BCB" w:rsidRDefault="00183632" w:rsidP="00183632">
      <w:pPr>
        <w:spacing w:before="0" w:after="0"/>
      </w:pPr>
      <w:r w:rsidRPr="00431BCB">
        <w:t xml:space="preserve">Avista </w:t>
      </w:r>
      <w:r w:rsidR="001F0BE0">
        <w:t>must</w:t>
      </w:r>
      <w:r w:rsidR="001F0BE0" w:rsidRPr="00431BCB">
        <w:t xml:space="preserve"> </w:t>
      </w:r>
      <w:r w:rsidRPr="00431BCB">
        <w:t xml:space="preserve">calculate </w:t>
      </w:r>
      <w:r w:rsidR="003D6F5B">
        <w:t xml:space="preserve">the </w:t>
      </w:r>
      <w:r w:rsidRPr="00431BCB">
        <w:t>incremental cost for each eligible resource and calculate its revenue requirement annually.</w:t>
      </w:r>
      <w:r w:rsidR="001F0BE0">
        <w:rPr>
          <w:rStyle w:val="FootnoteReference"/>
        </w:rPr>
        <w:footnoteReference w:id="18"/>
      </w:r>
      <w:r w:rsidRPr="00431BCB">
        <w:t xml:space="preserve"> Staff is continuing to review Avista’s</w:t>
      </w:r>
      <w:r w:rsidR="00E16070">
        <w:t xml:space="preserve"> incremental cost</w:t>
      </w:r>
      <w:r w:rsidRPr="00431BCB">
        <w:t xml:space="preserve"> data. In 2015, Avista reported a negative incremental cost because of the inclusion of a capacity component. In 2016, Avista noted that final costs for the upgrades to Nine Mile Units #1 and </w:t>
      </w:r>
      <w:r w:rsidR="0019625E">
        <w:t>#2 would</w:t>
      </w:r>
      <w:r w:rsidRPr="00431BCB">
        <w:t xml:space="preserve"> not be available until the project is completed in July 2016 and </w:t>
      </w:r>
      <w:r w:rsidR="003D6F5B">
        <w:t xml:space="preserve">that </w:t>
      </w:r>
      <w:r w:rsidRPr="00431BCB">
        <w:t xml:space="preserve">the legacy biomass projects are considered to </w:t>
      </w:r>
      <w:r w:rsidR="0019625E">
        <w:t xml:space="preserve">have zero </w:t>
      </w:r>
      <w:r w:rsidR="00777E94">
        <w:t xml:space="preserve">incremental cost. </w:t>
      </w:r>
    </w:p>
    <w:p w14:paraId="511589F6" w14:textId="77777777" w:rsidR="00183632" w:rsidRPr="00431BCB" w:rsidRDefault="00183632" w:rsidP="003A13EA">
      <w:pPr>
        <w:spacing w:before="0" w:after="0"/>
      </w:pPr>
    </w:p>
    <w:p w14:paraId="58F45DC8" w14:textId="7992A975" w:rsidR="0072555A" w:rsidRPr="00431BCB" w:rsidRDefault="0072555A" w:rsidP="004D71AF">
      <w:pPr>
        <w:spacing w:before="0" w:after="0"/>
      </w:pPr>
      <w:r w:rsidRPr="00431BCB">
        <w:t>A</w:t>
      </w:r>
      <w:r w:rsidR="00E92735" w:rsidRPr="00431BCB">
        <w:t>vista’s</w:t>
      </w:r>
      <w:r w:rsidR="00FE7EC9" w:rsidRPr="00431BCB">
        <w:t xml:space="preserve"> 2016 RPS </w:t>
      </w:r>
      <w:r w:rsidR="0033651C">
        <w:t>R</w:t>
      </w:r>
      <w:r w:rsidR="00E92735" w:rsidRPr="00431BCB">
        <w:t xml:space="preserve">eport raised questions about formatting and </w:t>
      </w:r>
      <w:r w:rsidR="005C6710" w:rsidRPr="00431BCB">
        <w:t xml:space="preserve">location of </w:t>
      </w:r>
      <w:r w:rsidR="00E92735" w:rsidRPr="00431BCB">
        <w:t>required elements</w:t>
      </w:r>
      <w:r w:rsidR="00183632" w:rsidRPr="00431BCB">
        <w:t xml:space="preserve"> in the report</w:t>
      </w:r>
      <w:r w:rsidR="0022523E">
        <w:t xml:space="preserve"> and appendices</w:t>
      </w:r>
      <w:r w:rsidR="00001B9B" w:rsidRPr="00431BCB">
        <w:t xml:space="preserve">, as per </w:t>
      </w:r>
      <w:r w:rsidR="00E92735" w:rsidRPr="00431BCB">
        <w:t>WAC 480-109-210</w:t>
      </w:r>
      <w:r w:rsidRPr="00431BCB">
        <w:t xml:space="preserve">. </w:t>
      </w:r>
      <w:r w:rsidR="0019625E">
        <w:t xml:space="preserve">Staff believes these </w:t>
      </w:r>
      <w:r w:rsidR="001F0BE0">
        <w:t xml:space="preserve">issues </w:t>
      </w:r>
      <w:r w:rsidR="0019625E">
        <w:t xml:space="preserve">arise from </w:t>
      </w:r>
      <w:r w:rsidR="005C0C45">
        <w:t xml:space="preserve">the company’s </w:t>
      </w:r>
      <w:r w:rsidR="0019625E">
        <w:t>continued</w:t>
      </w:r>
      <w:r w:rsidR="00054032">
        <w:t xml:space="preserve"> </w:t>
      </w:r>
      <w:r w:rsidR="00E92735" w:rsidRPr="00431BCB">
        <w:t xml:space="preserve">reference </w:t>
      </w:r>
      <w:r w:rsidR="0019625E">
        <w:t xml:space="preserve">to </w:t>
      </w:r>
      <w:r w:rsidRPr="00431BCB">
        <w:t>RCW 19.285</w:t>
      </w:r>
      <w:r w:rsidR="00A84748" w:rsidRPr="00431BCB">
        <w:t xml:space="preserve"> throughout </w:t>
      </w:r>
      <w:r w:rsidR="0019625E">
        <w:t xml:space="preserve">its </w:t>
      </w:r>
      <w:r w:rsidR="007905A7">
        <w:t xml:space="preserve">2016 </w:t>
      </w:r>
      <w:r w:rsidR="00A84748" w:rsidRPr="00431BCB">
        <w:t>report</w:t>
      </w:r>
      <w:r w:rsidR="0019625E">
        <w:t>.</w:t>
      </w:r>
      <w:r w:rsidR="001F0BE0" w:rsidRPr="001F0BE0">
        <w:t xml:space="preserve"> </w:t>
      </w:r>
      <w:r w:rsidR="001F0BE0">
        <w:t>Staff also found inconsistent labelling of WREGIS ID numbers in Appendix A, B and E for Nine Mile #1 and #2.</w:t>
      </w:r>
      <w:r w:rsidR="0019625E">
        <w:t xml:space="preserve"> For its </w:t>
      </w:r>
      <w:r w:rsidR="00960C27" w:rsidRPr="00431BCB">
        <w:t>2017</w:t>
      </w:r>
      <w:r w:rsidR="0033651C">
        <w:t xml:space="preserve"> RPS R</w:t>
      </w:r>
      <w:r w:rsidR="00E92735" w:rsidRPr="00431BCB">
        <w:t>eport</w:t>
      </w:r>
      <w:r w:rsidR="0019625E">
        <w:t xml:space="preserve">, staff recommends that Avista only </w:t>
      </w:r>
      <w:r w:rsidR="00E92735" w:rsidRPr="00431BCB">
        <w:t xml:space="preserve">reference </w:t>
      </w:r>
      <w:r w:rsidR="005141AC">
        <w:t>or cite a</w:t>
      </w:r>
      <w:r w:rsidR="00E92735" w:rsidRPr="00431BCB">
        <w:t>pplicable sections</w:t>
      </w:r>
      <w:r w:rsidR="00D80F6A" w:rsidRPr="00431BCB">
        <w:t xml:space="preserve"> and subsections of WAC 480-109</w:t>
      </w:r>
      <w:r w:rsidR="0019625E">
        <w:t xml:space="preserve"> (passed in 2015, as the comprehensive rules for EIA enforcement)</w:t>
      </w:r>
      <w:r w:rsidR="0084358B" w:rsidRPr="00431BCB">
        <w:t xml:space="preserve">. Staff also suggests that Avista </w:t>
      </w:r>
      <w:r w:rsidR="00E92735" w:rsidRPr="00431BCB">
        <w:t>submit a regulatory cross</w:t>
      </w:r>
      <w:r w:rsidR="005C6710" w:rsidRPr="00431BCB">
        <w:t>-</w:t>
      </w:r>
      <w:r w:rsidR="0084358B" w:rsidRPr="00431BCB">
        <w:t>walk</w:t>
      </w:r>
      <w:r w:rsidR="00A84748" w:rsidRPr="00431BCB">
        <w:t xml:space="preserve"> using WAC </w:t>
      </w:r>
      <w:r w:rsidR="00D80F6A" w:rsidRPr="00431BCB">
        <w:t>citations</w:t>
      </w:r>
      <w:r w:rsidR="0084358B" w:rsidRPr="00431BCB">
        <w:t xml:space="preserve">, </w:t>
      </w:r>
      <w:r w:rsidR="00D80F6A" w:rsidRPr="00431BCB">
        <w:t xml:space="preserve">instead of statutory citations, </w:t>
      </w:r>
      <w:r w:rsidR="00DC51EF" w:rsidRPr="00431BCB">
        <w:t xml:space="preserve">and </w:t>
      </w:r>
      <w:r w:rsidR="00CA1601" w:rsidRPr="00431BCB">
        <w:t xml:space="preserve">clearly </w:t>
      </w:r>
      <w:r w:rsidR="0084358B" w:rsidRPr="00431BCB">
        <w:t>identify</w:t>
      </w:r>
      <w:r w:rsidR="00DC51EF" w:rsidRPr="00431BCB">
        <w:t xml:space="preserve"> </w:t>
      </w:r>
      <w:r w:rsidR="00604571" w:rsidRPr="00431BCB">
        <w:t xml:space="preserve">the </w:t>
      </w:r>
      <w:r w:rsidR="005C6710" w:rsidRPr="00431BCB">
        <w:t>page(s)</w:t>
      </w:r>
      <w:r w:rsidR="00E92735" w:rsidRPr="00431BCB">
        <w:t xml:space="preserve"> </w:t>
      </w:r>
      <w:r w:rsidR="00DC51EF" w:rsidRPr="00431BCB">
        <w:t xml:space="preserve">of the report </w:t>
      </w:r>
      <w:r w:rsidR="0022523E">
        <w:t>and</w:t>
      </w:r>
      <w:r w:rsidR="007C6216">
        <w:t>/or</w:t>
      </w:r>
      <w:r w:rsidR="0022523E">
        <w:t xml:space="preserve"> appendices</w:t>
      </w:r>
      <w:r w:rsidR="007C6216">
        <w:t xml:space="preserve"> </w:t>
      </w:r>
      <w:r w:rsidR="0084358B" w:rsidRPr="00431BCB">
        <w:t xml:space="preserve">where </w:t>
      </w:r>
      <w:r w:rsidR="005C6710" w:rsidRPr="00431BCB">
        <w:t>the required elements</w:t>
      </w:r>
      <w:r w:rsidR="00DA2149">
        <w:t xml:space="preserve"> </w:t>
      </w:r>
      <w:r w:rsidR="0022523E">
        <w:t>and calculations</w:t>
      </w:r>
      <w:r w:rsidR="00DA2149">
        <w:t xml:space="preserve"> </w:t>
      </w:r>
      <w:r w:rsidR="005C6710" w:rsidRPr="00431BCB">
        <w:t xml:space="preserve">of the </w:t>
      </w:r>
      <w:r w:rsidR="00CA1601" w:rsidRPr="00431BCB">
        <w:t xml:space="preserve">renewable portfolio standard reporting section </w:t>
      </w:r>
      <w:r w:rsidR="005C6710" w:rsidRPr="00431BCB">
        <w:t>are</w:t>
      </w:r>
      <w:r w:rsidR="00E92735" w:rsidRPr="00431BCB">
        <w:t xml:space="preserve"> located.</w:t>
      </w:r>
    </w:p>
    <w:p w14:paraId="31BEA251" w14:textId="77777777" w:rsidR="0072555A" w:rsidRPr="00431BCB" w:rsidRDefault="0072555A" w:rsidP="0072555A">
      <w:pPr>
        <w:spacing w:before="0" w:after="0"/>
      </w:pPr>
    </w:p>
    <w:p w14:paraId="4F8FC3BD" w14:textId="5F71C1FA" w:rsidR="00EF7490" w:rsidRDefault="0040598F" w:rsidP="00AD268F">
      <w:pPr>
        <w:pStyle w:val="Heading1"/>
        <w:spacing w:before="0" w:after="0"/>
        <w:rPr>
          <w:b w:val="0"/>
        </w:rPr>
      </w:pPr>
      <w:bookmarkStart w:id="21" w:name="_Toc455489984"/>
      <w:bookmarkStart w:id="22" w:name="_Toc456249972"/>
      <w:r>
        <w:t>Summary</w:t>
      </w:r>
      <w:bookmarkEnd w:id="21"/>
      <w:bookmarkEnd w:id="22"/>
    </w:p>
    <w:p w14:paraId="6B84278F" w14:textId="77777777" w:rsidR="003F0072" w:rsidRDefault="003F0072" w:rsidP="003F0072">
      <w:pPr>
        <w:spacing w:before="0" w:after="0"/>
      </w:pPr>
      <w:r>
        <w:t xml:space="preserve">After reviewing the comments of other parties, commission staff will present a recommendation at either the August 4 or August 12 open meeting as to whether the commission should issue an order in each company’s docket finding that the utility met its reporting requirements and accepting the utility’s calculation of its 2016 RPS target. </w:t>
      </w:r>
    </w:p>
    <w:sectPr w:rsidR="003F0072" w:rsidSect="00A81BDF">
      <w:head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20F4D" w14:textId="77777777" w:rsidR="003C78C5" w:rsidRDefault="003C78C5" w:rsidP="00EF7490">
      <w:pPr>
        <w:spacing w:before="0" w:after="0"/>
      </w:pPr>
      <w:r>
        <w:separator/>
      </w:r>
    </w:p>
  </w:endnote>
  <w:endnote w:type="continuationSeparator" w:id="0">
    <w:p w14:paraId="06A96B76" w14:textId="77777777" w:rsidR="003C78C5" w:rsidRDefault="003C78C5" w:rsidP="00EF7490">
      <w:pPr>
        <w:spacing w:before="0" w:after="0"/>
      </w:pPr>
      <w:r>
        <w:continuationSeparator/>
      </w:r>
    </w:p>
  </w:endnote>
  <w:endnote w:type="continuationNotice" w:id="1">
    <w:p w14:paraId="1B072667" w14:textId="77777777" w:rsidR="003C78C5" w:rsidRDefault="003C78C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DA29D" w14:textId="77777777" w:rsidR="003C78C5" w:rsidRDefault="003C78C5" w:rsidP="00EF7490">
      <w:pPr>
        <w:spacing w:before="0" w:after="0"/>
      </w:pPr>
      <w:r>
        <w:separator/>
      </w:r>
    </w:p>
  </w:footnote>
  <w:footnote w:type="continuationSeparator" w:id="0">
    <w:p w14:paraId="5AFC14A8" w14:textId="77777777" w:rsidR="003C78C5" w:rsidRDefault="003C78C5" w:rsidP="00EF7490">
      <w:pPr>
        <w:spacing w:before="0" w:after="0"/>
      </w:pPr>
      <w:r>
        <w:continuationSeparator/>
      </w:r>
    </w:p>
  </w:footnote>
  <w:footnote w:type="continuationNotice" w:id="1">
    <w:p w14:paraId="17693275" w14:textId="77777777" w:rsidR="003C78C5" w:rsidRDefault="003C78C5">
      <w:pPr>
        <w:spacing w:before="0" w:after="0"/>
      </w:pPr>
    </w:p>
  </w:footnote>
  <w:footnote w:id="2">
    <w:p w14:paraId="3E040A2B" w14:textId="43E17AF3" w:rsidR="003C78C5" w:rsidRDefault="003C78C5" w:rsidP="00EF7490">
      <w:pPr>
        <w:pStyle w:val="FootnoteText"/>
      </w:pPr>
      <w:r>
        <w:rPr>
          <w:rStyle w:val="FootnoteReference"/>
        </w:rPr>
        <w:footnoteRef/>
      </w:r>
      <w:r>
        <w:t xml:space="preserve"> RCW 19.285.040; RCW 19.285.070.</w:t>
      </w:r>
      <w:r w:rsidRPr="007A31AC">
        <w:t xml:space="preserve"> </w:t>
      </w:r>
      <w:r>
        <w:t>In calculating the target, a utility must use its average retail load for the two years prior to the target year (e.g., the 2016 target is 9 percent of the utility’s average load in 2014 and 2015).</w:t>
      </w:r>
    </w:p>
  </w:footnote>
  <w:footnote w:id="3">
    <w:p w14:paraId="205076A6" w14:textId="77777777" w:rsidR="003C78C5" w:rsidRDefault="003C78C5" w:rsidP="00D06F10">
      <w:pPr>
        <w:pStyle w:val="FootnoteText"/>
      </w:pPr>
      <w:r>
        <w:rPr>
          <w:rStyle w:val="FootnoteReference"/>
        </w:rPr>
        <w:footnoteRef/>
      </w:r>
      <w:r>
        <w:t xml:space="preserve"> See Docket UE-120802, Order 01 ¶ 24; Docket UE-120813, Order 01 ¶ 38.</w:t>
      </w:r>
    </w:p>
  </w:footnote>
  <w:footnote w:id="4">
    <w:p w14:paraId="28DF9A13" w14:textId="5577C4EF" w:rsidR="003C78C5" w:rsidRPr="001E2328" w:rsidRDefault="003C78C5" w:rsidP="00210C30">
      <w:pPr>
        <w:pStyle w:val="FootnoteText"/>
      </w:pPr>
      <w:r>
        <w:rPr>
          <w:rStyle w:val="FootnoteReference"/>
        </w:rPr>
        <w:footnoteRef/>
      </w:r>
      <w:r>
        <w:t xml:space="preserve"> PSE has sufficient 2015 RECs banked to meet </w:t>
      </w:r>
      <w:r w:rsidRPr="001E2328">
        <w:t>its 2016 Compliance Plan.</w:t>
      </w:r>
    </w:p>
  </w:footnote>
  <w:footnote w:id="5">
    <w:p w14:paraId="6CA8557B" w14:textId="49A11085" w:rsidR="003C78C5" w:rsidRPr="001E2328" w:rsidRDefault="003C78C5">
      <w:pPr>
        <w:pStyle w:val="FootnoteText"/>
      </w:pPr>
      <w:r w:rsidRPr="001E2328">
        <w:rPr>
          <w:rStyle w:val="FootnoteReference"/>
        </w:rPr>
        <w:footnoteRef/>
      </w:r>
      <w:r w:rsidRPr="001E2328">
        <w:t xml:space="preserve"> Staff is continuing to work with Pacific to release these numbers.</w:t>
      </w:r>
    </w:p>
  </w:footnote>
  <w:footnote w:id="6">
    <w:p w14:paraId="46D9BA65" w14:textId="2F5590EA" w:rsidR="003C78C5" w:rsidRPr="001E2328" w:rsidRDefault="003C78C5" w:rsidP="00734242">
      <w:pPr>
        <w:pStyle w:val="FootnoteText"/>
      </w:pPr>
      <w:r w:rsidRPr="001E2328">
        <w:rPr>
          <w:rStyle w:val="FootnoteReference"/>
        </w:rPr>
        <w:footnoteRef/>
      </w:r>
      <w:r w:rsidRPr="001E2328">
        <w:t xml:space="preserve"> WAC 480-109-200(3) For the commission’s discussion on the matter of WREGIS registration and addition of the “regardless of ownership” language, see Docket UE-131723, General Order R-578 (March 13, 2015) ¶ 84 – 94. This eliminated Wanapum Dam as a resource that may be used for EIA compliance.</w:t>
      </w:r>
    </w:p>
  </w:footnote>
  <w:footnote w:id="7">
    <w:p w14:paraId="587746B2" w14:textId="4325C619" w:rsidR="003C78C5" w:rsidRDefault="003C78C5">
      <w:pPr>
        <w:pStyle w:val="FootnoteText"/>
      </w:pPr>
      <w:r w:rsidRPr="001E2328">
        <w:rPr>
          <w:rStyle w:val="FootnoteReference"/>
        </w:rPr>
        <w:footnoteRef/>
      </w:r>
      <w:r w:rsidRPr="001E2328">
        <w:t xml:space="preserve"> </w:t>
      </w:r>
      <w:r w:rsidRPr="00F40961">
        <w:t>The companies will comply with the requirement to report on the “use of certificates, whether it be for annual target compliance, a voluntary renewable energy program as provided for in RCW 19.29A.090, or owned by the customer” when they file the final compliance report in 2018, as per WAC 480-109-210(2)(d)(i). This is because they don’t yet know if resources will be used for the EIA or RCW 19.29A.090 (Green Power).</w:t>
      </w:r>
    </w:p>
  </w:footnote>
  <w:footnote w:id="8">
    <w:p w14:paraId="02CC48BC" w14:textId="77777777" w:rsidR="003C78C5" w:rsidRDefault="003C78C5" w:rsidP="00A7099C">
      <w:pPr>
        <w:pStyle w:val="FootnoteText"/>
      </w:pPr>
      <w:r>
        <w:rPr>
          <w:rStyle w:val="FootnoteReference"/>
        </w:rPr>
        <w:footnoteRef/>
      </w:r>
      <w:r>
        <w:t xml:space="preserve"> </w:t>
      </w:r>
      <w:r w:rsidRPr="00C1036C">
        <w:t>RCW 19.285.030(12)(e)</w:t>
      </w:r>
      <w:r>
        <w:t xml:space="preserve"> and UE-151162, Order 01 ¶ 17.</w:t>
      </w:r>
    </w:p>
  </w:footnote>
  <w:footnote w:id="9">
    <w:p w14:paraId="7B19D663" w14:textId="63AE09B3" w:rsidR="003C78C5" w:rsidRDefault="003C78C5">
      <w:pPr>
        <w:pStyle w:val="FootnoteText"/>
      </w:pPr>
      <w:r w:rsidRPr="0031690E">
        <w:rPr>
          <w:rStyle w:val="FootnoteReference"/>
        </w:rPr>
        <w:footnoteRef/>
      </w:r>
      <w:r w:rsidRPr="0031690E">
        <w:t xml:space="preserve"> Staff is continuing to review Avista’s incremental cost reporting data for </w:t>
      </w:r>
      <w:r>
        <w:t xml:space="preserve">2016 </w:t>
      </w:r>
      <w:r w:rsidRPr="0031690E">
        <w:t>compliance.</w:t>
      </w:r>
    </w:p>
  </w:footnote>
  <w:footnote w:id="10">
    <w:p w14:paraId="7A23C42D" w14:textId="77777777" w:rsidR="003C78C5" w:rsidRDefault="003C78C5" w:rsidP="007A6A2F">
      <w:pPr>
        <w:pStyle w:val="FootnoteText"/>
      </w:pPr>
      <w:r>
        <w:rPr>
          <w:rStyle w:val="FootnoteReference"/>
        </w:rPr>
        <w:footnoteRef/>
      </w:r>
      <w:r>
        <w:t xml:space="preserve"> WAC 480-109-200(2).</w:t>
      </w:r>
    </w:p>
  </w:footnote>
  <w:footnote w:id="11">
    <w:p w14:paraId="28AEA621" w14:textId="3FDA1CEA" w:rsidR="003C78C5" w:rsidRDefault="003C78C5">
      <w:pPr>
        <w:pStyle w:val="FootnoteText"/>
      </w:pPr>
      <w:r>
        <w:rPr>
          <w:rStyle w:val="FootnoteReference"/>
        </w:rPr>
        <w:footnoteRef/>
      </w:r>
      <w:r>
        <w:t xml:space="preserve"> PSE has sufficient 2015 RECs banked to meet its 2016 target.</w:t>
      </w:r>
    </w:p>
  </w:footnote>
  <w:footnote w:id="12">
    <w:p w14:paraId="4814D68C" w14:textId="77777777" w:rsidR="003C78C5" w:rsidRDefault="003C78C5" w:rsidP="003D6F5B">
      <w:pPr>
        <w:pStyle w:val="FootnoteText"/>
      </w:pPr>
      <w:r>
        <w:rPr>
          <w:rStyle w:val="FootnoteReference"/>
        </w:rPr>
        <w:footnoteRef/>
      </w:r>
      <w:r>
        <w:t xml:space="preserve"> Staff is continuing to work with Pacific Power to finalize these numbers.</w:t>
      </w:r>
    </w:p>
  </w:footnote>
  <w:footnote w:id="13">
    <w:p w14:paraId="62778177" w14:textId="77777777" w:rsidR="003C78C5" w:rsidRDefault="003C78C5" w:rsidP="003D6F5B">
      <w:pPr>
        <w:pStyle w:val="FootnoteText"/>
      </w:pPr>
      <w:r>
        <w:rPr>
          <w:rStyle w:val="FootnoteReference"/>
        </w:rPr>
        <w:footnoteRef/>
      </w:r>
      <w:r>
        <w:t xml:space="preserve"> See Docket UE-151162, Order 01, </w:t>
      </w:r>
      <w:r w:rsidRPr="00EC5D23">
        <w:t>¶</w:t>
      </w:r>
      <w:r>
        <w:t>17.</w:t>
      </w:r>
    </w:p>
  </w:footnote>
  <w:footnote w:id="14">
    <w:p w14:paraId="67525716" w14:textId="77777777" w:rsidR="003C78C5" w:rsidRDefault="003C78C5" w:rsidP="004743C4">
      <w:pPr>
        <w:pStyle w:val="FootnoteText"/>
      </w:pPr>
      <w:r>
        <w:rPr>
          <w:rStyle w:val="FootnoteReference"/>
        </w:rPr>
        <w:footnoteRef/>
      </w:r>
      <w:r>
        <w:t xml:space="preserve"> RCW 19.285.070</w:t>
      </w:r>
      <w:r w:rsidRPr="00247BAC">
        <w:t xml:space="preserve">(3) </w:t>
      </w:r>
      <w:r>
        <w:t>states that a</w:t>
      </w:r>
      <w:r w:rsidRPr="00247BAC">
        <w:t xml:space="preserve"> qualifying utility </w:t>
      </w:r>
      <w:r>
        <w:t>has reporting and public disclosure obligations to its customers.</w:t>
      </w:r>
    </w:p>
  </w:footnote>
  <w:footnote w:id="15">
    <w:p w14:paraId="24C695D6" w14:textId="77777777" w:rsidR="003C78C5" w:rsidRDefault="003C78C5" w:rsidP="002B4E75">
      <w:pPr>
        <w:pStyle w:val="FootnoteText"/>
      </w:pPr>
      <w:r>
        <w:rPr>
          <w:rStyle w:val="FootnoteReference"/>
        </w:rPr>
        <w:footnoteRef/>
      </w:r>
      <w:r>
        <w:t xml:space="preserve"> WAC 480-109-210(2)(d).</w:t>
      </w:r>
    </w:p>
  </w:footnote>
  <w:footnote w:id="16">
    <w:p w14:paraId="13FE842F" w14:textId="77777777" w:rsidR="003C78C5" w:rsidRPr="002B6610" w:rsidRDefault="003C78C5" w:rsidP="003213F2">
      <w:pPr>
        <w:spacing w:before="0" w:after="0"/>
        <w:rPr>
          <w:sz w:val="20"/>
          <w:szCs w:val="20"/>
        </w:rPr>
      </w:pPr>
      <w:r w:rsidRPr="002B6610">
        <w:rPr>
          <w:rStyle w:val="FootnoteReference"/>
          <w:sz w:val="20"/>
          <w:szCs w:val="20"/>
        </w:rPr>
        <w:footnoteRef/>
      </w:r>
      <w:r w:rsidRPr="002B6610">
        <w:rPr>
          <w:sz w:val="20"/>
          <w:szCs w:val="20"/>
        </w:rPr>
        <w:t xml:space="preserve"> WAC 480-109-060(2). </w:t>
      </w:r>
    </w:p>
  </w:footnote>
  <w:footnote w:id="17">
    <w:p w14:paraId="6FD87FEA" w14:textId="77777777" w:rsidR="003C78C5" w:rsidRDefault="003C78C5" w:rsidP="0058022B">
      <w:pPr>
        <w:pStyle w:val="FootnoteText"/>
      </w:pPr>
      <w:r w:rsidRPr="002B6610">
        <w:rPr>
          <w:rStyle w:val="FootnoteReference"/>
        </w:rPr>
        <w:footnoteRef/>
      </w:r>
      <w:r w:rsidRPr="002B6610">
        <w:t xml:space="preserve"> WAC 480-109-200(7)(d).</w:t>
      </w:r>
    </w:p>
  </w:footnote>
  <w:footnote w:id="18">
    <w:p w14:paraId="330B3ECF" w14:textId="6012AFF9" w:rsidR="003C78C5" w:rsidRDefault="003C78C5">
      <w:pPr>
        <w:pStyle w:val="FootnoteText"/>
      </w:pPr>
      <w:r>
        <w:rPr>
          <w:rStyle w:val="FootnoteReference"/>
        </w:rPr>
        <w:footnoteRef/>
      </w:r>
      <w:r>
        <w:t xml:space="preserve"> WAC-480-109-210(2)(a)(i)-(iii).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96523288"/>
      <w:docPartObj>
        <w:docPartGallery w:val="Page Numbers (Top of Page)"/>
        <w:docPartUnique/>
      </w:docPartObj>
    </w:sdtPr>
    <w:sdtEndPr>
      <w:rPr>
        <w:noProof/>
      </w:rPr>
    </w:sdtEndPr>
    <w:sdtContent>
      <w:p w14:paraId="29BC3339" w14:textId="7EB19301" w:rsidR="003C78C5" w:rsidRPr="00AC629F" w:rsidRDefault="003C78C5" w:rsidP="001608A6">
        <w:pPr>
          <w:pStyle w:val="Header"/>
          <w:rPr>
            <w:sz w:val="20"/>
            <w:szCs w:val="20"/>
          </w:rPr>
        </w:pPr>
        <w:r w:rsidRPr="00AC629F">
          <w:rPr>
            <w:sz w:val="20"/>
            <w:szCs w:val="20"/>
          </w:rPr>
          <w:t>Dockets UE-</w:t>
        </w:r>
        <w:r>
          <w:rPr>
            <w:sz w:val="20"/>
            <w:szCs w:val="20"/>
          </w:rPr>
          <w:t>160757</w:t>
        </w:r>
        <w:r w:rsidRPr="00AC629F">
          <w:rPr>
            <w:sz w:val="20"/>
            <w:szCs w:val="20"/>
          </w:rPr>
          <w:t>, UE-</w:t>
        </w:r>
        <w:r>
          <w:rPr>
            <w:sz w:val="20"/>
            <w:szCs w:val="20"/>
          </w:rPr>
          <w:t>160777</w:t>
        </w:r>
        <w:r w:rsidRPr="00AC629F">
          <w:rPr>
            <w:sz w:val="20"/>
            <w:szCs w:val="20"/>
          </w:rPr>
          <w:t>, UE-</w:t>
        </w:r>
        <w:r>
          <w:rPr>
            <w:sz w:val="20"/>
            <w:szCs w:val="20"/>
          </w:rPr>
          <w:t>160779</w:t>
        </w:r>
      </w:p>
      <w:p w14:paraId="3405C842" w14:textId="0E92C7D9" w:rsidR="003C78C5" w:rsidRPr="00AC629F" w:rsidRDefault="003C78C5" w:rsidP="001608A6">
        <w:pPr>
          <w:pStyle w:val="Header"/>
          <w:rPr>
            <w:sz w:val="20"/>
            <w:szCs w:val="20"/>
          </w:rPr>
        </w:pPr>
        <w:r w:rsidRPr="00AC629F">
          <w:rPr>
            <w:sz w:val="20"/>
            <w:szCs w:val="20"/>
          </w:rPr>
          <w:t>Staff Comments on 201</w:t>
        </w:r>
        <w:r>
          <w:rPr>
            <w:sz w:val="20"/>
            <w:szCs w:val="20"/>
          </w:rPr>
          <w:t>6</w:t>
        </w:r>
        <w:r w:rsidRPr="00AC629F">
          <w:rPr>
            <w:sz w:val="20"/>
            <w:szCs w:val="20"/>
          </w:rPr>
          <w:t xml:space="preserve"> Renewable Resource Reports</w:t>
        </w:r>
      </w:p>
      <w:p w14:paraId="5CE04871" w14:textId="77777777" w:rsidR="003C78C5" w:rsidRPr="00AC629F" w:rsidRDefault="003C78C5" w:rsidP="001608A6">
        <w:pPr>
          <w:pStyle w:val="Header"/>
          <w:rPr>
            <w:sz w:val="20"/>
            <w:szCs w:val="20"/>
          </w:rPr>
        </w:pPr>
        <w:r w:rsidRPr="00AC629F">
          <w:rPr>
            <w:sz w:val="20"/>
            <w:szCs w:val="20"/>
          </w:rPr>
          <w:t xml:space="preserve">Page </w:t>
        </w:r>
        <w:r w:rsidRPr="00AC629F">
          <w:rPr>
            <w:sz w:val="20"/>
            <w:szCs w:val="20"/>
          </w:rPr>
          <w:fldChar w:fldCharType="begin"/>
        </w:r>
        <w:r w:rsidRPr="00AC629F">
          <w:rPr>
            <w:sz w:val="20"/>
            <w:szCs w:val="20"/>
          </w:rPr>
          <w:instrText xml:space="preserve"> PAGE   \* MERGEFORMAT </w:instrText>
        </w:r>
        <w:r w:rsidRPr="00AC629F">
          <w:rPr>
            <w:sz w:val="20"/>
            <w:szCs w:val="20"/>
          </w:rPr>
          <w:fldChar w:fldCharType="separate"/>
        </w:r>
        <w:r w:rsidR="000B4593">
          <w:rPr>
            <w:noProof/>
            <w:sz w:val="20"/>
            <w:szCs w:val="20"/>
          </w:rPr>
          <w:t>i</w:t>
        </w:r>
        <w:r w:rsidRPr="00AC629F">
          <w:rPr>
            <w:noProof/>
            <w:sz w:val="20"/>
            <w:szCs w:val="20"/>
          </w:rPr>
          <w:fldChar w:fldCharType="end"/>
        </w:r>
      </w:p>
    </w:sdtContent>
  </w:sdt>
  <w:p w14:paraId="2348074C" w14:textId="77777777" w:rsidR="003C78C5" w:rsidRDefault="003C78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2B133" w14:textId="77777777" w:rsidR="003C78C5" w:rsidRDefault="003C78C5">
    <w:pPr>
      <w:pStyle w:val="Header"/>
    </w:pPr>
  </w:p>
  <w:p w14:paraId="50D4BCAE" w14:textId="77777777" w:rsidR="003C78C5" w:rsidRDefault="003C78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791642213"/>
      <w:docPartObj>
        <w:docPartGallery w:val="Page Numbers (Top of Page)"/>
        <w:docPartUnique/>
      </w:docPartObj>
    </w:sdtPr>
    <w:sdtEndPr>
      <w:rPr>
        <w:noProof/>
      </w:rPr>
    </w:sdtEndPr>
    <w:sdtContent>
      <w:p w14:paraId="0A458D1D" w14:textId="48426A88" w:rsidR="003C78C5" w:rsidRPr="00AC629F" w:rsidRDefault="003C78C5">
        <w:pPr>
          <w:pStyle w:val="Header"/>
          <w:rPr>
            <w:sz w:val="20"/>
            <w:szCs w:val="20"/>
          </w:rPr>
        </w:pPr>
        <w:r w:rsidRPr="00AC629F">
          <w:rPr>
            <w:sz w:val="20"/>
            <w:szCs w:val="20"/>
          </w:rPr>
          <w:t>Dockets UE-</w:t>
        </w:r>
        <w:r>
          <w:rPr>
            <w:sz w:val="20"/>
            <w:szCs w:val="20"/>
          </w:rPr>
          <w:t>160757</w:t>
        </w:r>
        <w:r w:rsidRPr="00AC629F">
          <w:rPr>
            <w:sz w:val="20"/>
            <w:szCs w:val="20"/>
          </w:rPr>
          <w:t>, UE-</w:t>
        </w:r>
        <w:r>
          <w:rPr>
            <w:sz w:val="20"/>
            <w:szCs w:val="20"/>
          </w:rPr>
          <w:t>160777</w:t>
        </w:r>
        <w:r w:rsidRPr="00AC629F">
          <w:rPr>
            <w:sz w:val="20"/>
            <w:szCs w:val="20"/>
          </w:rPr>
          <w:t>, UE-</w:t>
        </w:r>
        <w:r>
          <w:rPr>
            <w:sz w:val="20"/>
            <w:szCs w:val="20"/>
          </w:rPr>
          <w:t>160779</w:t>
        </w:r>
      </w:p>
      <w:p w14:paraId="29433CB2" w14:textId="0AED0A7C" w:rsidR="003C78C5" w:rsidRPr="00AC629F" w:rsidRDefault="003C78C5">
        <w:pPr>
          <w:pStyle w:val="Header"/>
          <w:rPr>
            <w:sz w:val="20"/>
            <w:szCs w:val="20"/>
          </w:rPr>
        </w:pPr>
        <w:r>
          <w:rPr>
            <w:sz w:val="20"/>
            <w:szCs w:val="20"/>
          </w:rPr>
          <w:t>Staff Comments on 2016</w:t>
        </w:r>
        <w:r w:rsidRPr="00AC629F">
          <w:rPr>
            <w:sz w:val="20"/>
            <w:szCs w:val="20"/>
          </w:rPr>
          <w:t xml:space="preserve"> Renewable Resource Reports</w:t>
        </w:r>
      </w:p>
      <w:p w14:paraId="137C441F" w14:textId="77777777" w:rsidR="003C78C5" w:rsidRPr="00AC629F" w:rsidRDefault="003C78C5">
        <w:pPr>
          <w:pStyle w:val="Header"/>
          <w:rPr>
            <w:sz w:val="20"/>
            <w:szCs w:val="20"/>
          </w:rPr>
        </w:pPr>
        <w:r w:rsidRPr="00AC629F">
          <w:rPr>
            <w:sz w:val="20"/>
            <w:szCs w:val="20"/>
          </w:rPr>
          <w:t xml:space="preserve">Page </w:t>
        </w:r>
        <w:r w:rsidRPr="00AC629F">
          <w:rPr>
            <w:sz w:val="20"/>
            <w:szCs w:val="20"/>
          </w:rPr>
          <w:fldChar w:fldCharType="begin"/>
        </w:r>
        <w:r w:rsidRPr="00AC629F">
          <w:rPr>
            <w:sz w:val="20"/>
            <w:szCs w:val="20"/>
          </w:rPr>
          <w:instrText xml:space="preserve"> PAGE   \* MERGEFORMAT </w:instrText>
        </w:r>
        <w:r w:rsidRPr="00AC629F">
          <w:rPr>
            <w:sz w:val="20"/>
            <w:szCs w:val="20"/>
          </w:rPr>
          <w:fldChar w:fldCharType="separate"/>
        </w:r>
        <w:r w:rsidR="000B4593">
          <w:rPr>
            <w:noProof/>
            <w:sz w:val="20"/>
            <w:szCs w:val="20"/>
          </w:rPr>
          <w:t>1</w:t>
        </w:r>
        <w:r w:rsidRPr="00AC629F">
          <w:rPr>
            <w:noProof/>
            <w:sz w:val="20"/>
            <w:szCs w:val="20"/>
          </w:rPr>
          <w:fldChar w:fldCharType="end"/>
        </w:r>
      </w:p>
    </w:sdtContent>
  </w:sdt>
  <w:p w14:paraId="214E095E" w14:textId="77777777" w:rsidR="003C78C5" w:rsidRDefault="003C78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B3032"/>
    <w:multiLevelType w:val="hybridMultilevel"/>
    <w:tmpl w:val="3C40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617C1"/>
    <w:multiLevelType w:val="hybridMultilevel"/>
    <w:tmpl w:val="FE8834FE"/>
    <w:lvl w:ilvl="0" w:tplc="40DE04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55F10"/>
    <w:multiLevelType w:val="hybridMultilevel"/>
    <w:tmpl w:val="0BB22190"/>
    <w:lvl w:ilvl="0" w:tplc="FFA063D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F695A"/>
    <w:multiLevelType w:val="hybridMultilevel"/>
    <w:tmpl w:val="BABA1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277B2"/>
    <w:multiLevelType w:val="hybridMultilevel"/>
    <w:tmpl w:val="8058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C10DE0"/>
    <w:multiLevelType w:val="hybridMultilevel"/>
    <w:tmpl w:val="847E7ACE"/>
    <w:lvl w:ilvl="0" w:tplc="E3283B18">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79728F"/>
    <w:multiLevelType w:val="hybridMultilevel"/>
    <w:tmpl w:val="48007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55338E"/>
    <w:multiLevelType w:val="hybridMultilevel"/>
    <w:tmpl w:val="0DCC95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2EF30A7"/>
    <w:multiLevelType w:val="hybridMultilevel"/>
    <w:tmpl w:val="0D0623E6"/>
    <w:lvl w:ilvl="0" w:tplc="4E6E47F6">
      <w:start w:val="201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946B04"/>
    <w:multiLevelType w:val="hybridMultilevel"/>
    <w:tmpl w:val="874C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025507"/>
    <w:multiLevelType w:val="hybridMultilevel"/>
    <w:tmpl w:val="7736E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6D0CDA"/>
    <w:multiLevelType w:val="hybridMultilevel"/>
    <w:tmpl w:val="7E784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327FE7"/>
    <w:multiLevelType w:val="hybridMultilevel"/>
    <w:tmpl w:val="BF18A390"/>
    <w:lvl w:ilvl="0" w:tplc="7FECE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3F5BFD"/>
    <w:multiLevelType w:val="hybridMultilevel"/>
    <w:tmpl w:val="6128A668"/>
    <w:lvl w:ilvl="0" w:tplc="0409000F">
      <w:start w:val="1"/>
      <w:numFmt w:val="decimal"/>
      <w:lvlText w:val="%1."/>
      <w:lvlJc w:val="left"/>
      <w:pPr>
        <w:ind w:left="1260" w:hanging="72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ACC0479"/>
    <w:multiLevelType w:val="hybridMultilevel"/>
    <w:tmpl w:val="89040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900D94"/>
    <w:multiLevelType w:val="hybridMultilevel"/>
    <w:tmpl w:val="380A322E"/>
    <w:lvl w:ilvl="0" w:tplc="C5A62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A95FBC"/>
    <w:multiLevelType w:val="hybridMultilevel"/>
    <w:tmpl w:val="D29C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273DDE"/>
    <w:multiLevelType w:val="hybridMultilevel"/>
    <w:tmpl w:val="20A0DE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E51C95"/>
    <w:multiLevelType w:val="hybridMultilevel"/>
    <w:tmpl w:val="513CC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CD1C55"/>
    <w:multiLevelType w:val="hybridMultilevel"/>
    <w:tmpl w:val="413C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951FE7"/>
    <w:multiLevelType w:val="hybridMultilevel"/>
    <w:tmpl w:val="49221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0D2CA1"/>
    <w:multiLevelType w:val="hybridMultilevel"/>
    <w:tmpl w:val="C666D86A"/>
    <w:lvl w:ilvl="0" w:tplc="6A221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1237B1"/>
    <w:multiLevelType w:val="hybridMultilevel"/>
    <w:tmpl w:val="8CECD2F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7CBF08D2"/>
    <w:multiLevelType w:val="hybridMultilevel"/>
    <w:tmpl w:val="442E0160"/>
    <w:lvl w:ilvl="0" w:tplc="42F4E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13"/>
  </w:num>
  <w:num w:numId="5">
    <w:abstractNumId w:val="19"/>
  </w:num>
  <w:num w:numId="6">
    <w:abstractNumId w:val="14"/>
  </w:num>
  <w:num w:numId="7">
    <w:abstractNumId w:val="18"/>
  </w:num>
  <w:num w:numId="8">
    <w:abstractNumId w:val="16"/>
  </w:num>
  <w:num w:numId="9">
    <w:abstractNumId w:val="3"/>
  </w:num>
  <w:num w:numId="10">
    <w:abstractNumId w:val="20"/>
  </w:num>
  <w:num w:numId="11">
    <w:abstractNumId w:val="10"/>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
  </w:num>
  <w:num w:numId="15">
    <w:abstractNumId w:val="11"/>
  </w:num>
  <w:num w:numId="16">
    <w:abstractNumId w:val="4"/>
  </w:num>
  <w:num w:numId="17">
    <w:abstractNumId w:val="6"/>
  </w:num>
  <w:num w:numId="18">
    <w:abstractNumId w:val="17"/>
  </w:num>
  <w:num w:numId="19">
    <w:abstractNumId w:val="7"/>
  </w:num>
  <w:num w:numId="20">
    <w:abstractNumId w:val="15"/>
  </w:num>
  <w:num w:numId="21">
    <w:abstractNumId w:val="23"/>
  </w:num>
  <w:num w:numId="22">
    <w:abstractNumId w:val="0"/>
  </w:num>
  <w:num w:numId="23">
    <w:abstractNumId w:val="12"/>
  </w:num>
  <w:num w:numId="24">
    <w:abstractNumId w:val="2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1576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490"/>
    <w:rsid w:val="00001B9B"/>
    <w:rsid w:val="00005520"/>
    <w:rsid w:val="000067CC"/>
    <w:rsid w:val="00006B15"/>
    <w:rsid w:val="00007EDF"/>
    <w:rsid w:val="0001189F"/>
    <w:rsid w:val="00011DF9"/>
    <w:rsid w:val="00016031"/>
    <w:rsid w:val="00021519"/>
    <w:rsid w:val="00022202"/>
    <w:rsid w:val="000257DA"/>
    <w:rsid w:val="00025F58"/>
    <w:rsid w:val="000264BB"/>
    <w:rsid w:val="00026E34"/>
    <w:rsid w:val="000304C0"/>
    <w:rsid w:val="00030FBE"/>
    <w:rsid w:val="00031329"/>
    <w:rsid w:val="00031621"/>
    <w:rsid w:val="00032652"/>
    <w:rsid w:val="00034A17"/>
    <w:rsid w:val="00037136"/>
    <w:rsid w:val="000377FB"/>
    <w:rsid w:val="00037F5B"/>
    <w:rsid w:val="000404A3"/>
    <w:rsid w:val="00042165"/>
    <w:rsid w:val="000451EB"/>
    <w:rsid w:val="0004537D"/>
    <w:rsid w:val="00051057"/>
    <w:rsid w:val="00053D7D"/>
    <w:rsid w:val="00054032"/>
    <w:rsid w:val="00055428"/>
    <w:rsid w:val="0005799B"/>
    <w:rsid w:val="00062721"/>
    <w:rsid w:val="000670C5"/>
    <w:rsid w:val="000702A4"/>
    <w:rsid w:val="00074F4F"/>
    <w:rsid w:val="0007673B"/>
    <w:rsid w:val="00076A90"/>
    <w:rsid w:val="000772C0"/>
    <w:rsid w:val="000776FC"/>
    <w:rsid w:val="000801E1"/>
    <w:rsid w:val="0008288F"/>
    <w:rsid w:val="000858D3"/>
    <w:rsid w:val="000861BC"/>
    <w:rsid w:val="00086CED"/>
    <w:rsid w:val="000877C3"/>
    <w:rsid w:val="00087E8C"/>
    <w:rsid w:val="00092984"/>
    <w:rsid w:val="00093385"/>
    <w:rsid w:val="000938FC"/>
    <w:rsid w:val="00093A46"/>
    <w:rsid w:val="00095205"/>
    <w:rsid w:val="00095C17"/>
    <w:rsid w:val="00095C2B"/>
    <w:rsid w:val="00096D4B"/>
    <w:rsid w:val="000A2ACC"/>
    <w:rsid w:val="000A3519"/>
    <w:rsid w:val="000A4614"/>
    <w:rsid w:val="000B379D"/>
    <w:rsid w:val="000B3CDA"/>
    <w:rsid w:val="000B3DAB"/>
    <w:rsid w:val="000B426A"/>
    <w:rsid w:val="000B4593"/>
    <w:rsid w:val="000B46B3"/>
    <w:rsid w:val="000B551B"/>
    <w:rsid w:val="000C1670"/>
    <w:rsid w:val="000C276F"/>
    <w:rsid w:val="000C571B"/>
    <w:rsid w:val="000C70BE"/>
    <w:rsid w:val="000C70DD"/>
    <w:rsid w:val="000C72BC"/>
    <w:rsid w:val="000C7FE7"/>
    <w:rsid w:val="000D1B66"/>
    <w:rsid w:val="000D24A7"/>
    <w:rsid w:val="000D2949"/>
    <w:rsid w:val="000E0F9C"/>
    <w:rsid w:val="000E1983"/>
    <w:rsid w:val="000E3C1A"/>
    <w:rsid w:val="000E5F1F"/>
    <w:rsid w:val="000E640C"/>
    <w:rsid w:val="000E6E0C"/>
    <w:rsid w:val="000F083E"/>
    <w:rsid w:val="000F159B"/>
    <w:rsid w:val="000F3AAE"/>
    <w:rsid w:val="000F4C9B"/>
    <w:rsid w:val="000F4E0C"/>
    <w:rsid w:val="000F5150"/>
    <w:rsid w:val="000F57D9"/>
    <w:rsid w:val="000F7D55"/>
    <w:rsid w:val="00102A51"/>
    <w:rsid w:val="00104090"/>
    <w:rsid w:val="0010477B"/>
    <w:rsid w:val="001114F7"/>
    <w:rsid w:val="00117D8D"/>
    <w:rsid w:val="001207EF"/>
    <w:rsid w:val="00120E89"/>
    <w:rsid w:val="00123FD7"/>
    <w:rsid w:val="0012574C"/>
    <w:rsid w:val="00127A8C"/>
    <w:rsid w:val="00127CDA"/>
    <w:rsid w:val="00131870"/>
    <w:rsid w:val="00131A9B"/>
    <w:rsid w:val="00136742"/>
    <w:rsid w:val="00137F6B"/>
    <w:rsid w:val="00140303"/>
    <w:rsid w:val="00142CDC"/>
    <w:rsid w:val="00151015"/>
    <w:rsid w:val="0015264C"/>
    <w:rsid w:val="00153BD0"/>
    <w:rsid w:val="00157BD1"/>
    <w:rsid w:val="00157EEF"/>
    <w:rsid w:val="001608A6"/>
    <w:rsid w:val="00160DD5"/>
    <w:rsid w:val="0016297F"/>
    <w:rsid w:val="00165C1A"/>
    <w:rsid w:val="001730B9"/>
    <w:rsid w:val="0017385A"/>
    <w:rsid w:val="00175406"/>
    <w:rsid w:val="00175482"/>
    <w:rsid w:val="00176518"/>
    <w:rsid w:val="0017680F"/>
    <w:rsid w:val="00183632"/>
    <w:rsid w:val="00183745"/>
    <w:rsid w:val="00184901"/>
    <w:rsid w:val="0019073E"/>
    <w:rsid w:val="00191170"/>
    <w:rsid w:val="001954D1"/>
    <w:rsid w:val="00195A56"/>
    <w:rsid w:val="001961DA"/>
    <w:rsid w:val="0019625E"/>
    <w:rsid w:val="00196AB5"/>
    <w:rsid w:val="00197137"/>
    <w:rsid w:val="001A006F"/>
    <w:rsid w:val="001A1046"/>
    <w:rsid w:val="001A104D"/>
    <w:rsid w:val="001A1D88"/>
    <w:rsid w:val="001A2669"/>
    <w:rsid w:val="001B05EF"/>
    <w:rsid w:val="001B43ED"/>
    <w:rsid w:val="001B6101"/>
    <w:rsid w:val="001B7889"/>
    <w:rsid w:val="001C1284"/>
    <w:rsid w:val="001C39B6"/>
    <w:rsid w:val="001C41FB"/>
    <w:rsid w:val="001C4710"/>
    <w:rsid w:val="001C5AB1"/>
    <w:rsid w:val="001C748A"/>
    <w:rsid w:val="001C79AD"/>
    <w:rsid w:val="001D16DE"/>
    <w:rsid w:val="001D2130"/>
    <w:rsid w:val="001D2A38"/>
    <w:rsid w:val="001D2D77"/>
    <w:rsid w:val="001D37AA"/>
    <w:rsid w:val="001D5887"/>
    <w:rsid w:val="001E1CB0"/>
    <w:rsid w:val="001E1D5F"/>
    <w:rsid w:val="001E1D7A"/>
    <w:rsid w:val="001E2328"/>
    <w:rsid w:val="001F0BE0"/>
    <w:rsid w:val="001F1602"/>
    <w:rsid w:val="001F4C50"/>
    <w:rsid w:val="001F6088"/>
    <w:rsid w:val="001F7DB9"/>
    <w:rsid w:val="00201289"/>
    <w:rsid w:val="0020390D"/>
    <w:rsid w:val="00204D04"/>
    <w:rsid w:val="00205F52"/>
    <w:rsid w:val="00206A7A"/>
    <w:rsid w:val="00210C30"/>
    <w:rsid w:val="00211C56"/>
    <w:rsid w:val="00215484"/>
    <w:rsid w:val="00215827"/>
    <w:rsid w:val="00216F08"/>
    <w:rsid w:val="00216FE1"/>
    <w:rsid w:val="00220D41"/>
    <w:rsid w:val="00221E16"/>
    <w:rsid w:val="00222ADC"/>
    <w:rsid w:val="002246EC"/>
    <w:rsid w:val="0022523E"/>
    <w:rsid w:val="002255C5"/>
    <w:rsid w:val="00225C03"/>
    <w:rsid w:val="0022643B"/>
    <w:rsid w:val="002271B8"/>
    <w:rsid w:val="00227C44"/>
    <w:rsid w:val="00231A79"/>
    <w:rsid w:val="00233C81"/>
    <w:rsid w:val="002354AA"/>
    <w:rsid w:val="00237FF7"/>
    <w:rsid w:val="00240477"/>
    <w:rsid w:val="002416AB"/>
    <w:rsid w:val="00242650"/>
    <w:rsid w:val="00242E03"/>
    <w:rsid w:val="00244812"/>
    <w:rsid w:val="00246625"/>
    <w:rsid w:val="00247BAC"/>
    <w:rsid w:val="002513FF"/>
    <w:rsid w:val="00251E62"/>
    <w:rsid w:val="002525E1"/>
    <w:rsid w:val="00253351"/>
    <w:rsid w:val="0025413E"/>
    <w:rsid w:val="002606B1"/>
    <w:rsid w:val="00261A88"/>
    <w:rsid w:val="002621D2"/>
    <w:rsid w:val="002623A5"/>
    <w:rsid w:val="002636C7"/>
    <w:rsid w:val="00265121"/>
    <w:rsid w:val="0026566A"/>
    <w:rsid w:val="00265929"/>
    <w:rsid w:val="00266426"/>
    <w:rsid w:val="00274878"/>
    <w:rsid w:val="00276789"/>
    <w:rsid w:val="0028007F"/>
    <w:rsid w:val="00283576"/>
    <w:rsid w:val="0028555B"/>
    <w:rsid w:val="00286AC9"/>
    <w:rsid w:val="00287C4F"/>
    <w:rsid w:val="002904A7"/>
    <w:rsid w:val="00290F36"/>
    <w:rsid w:val="0029101C"/>
    <w:rsid w:val="00291648"/>
    <w:rsid w:val="002945F7"/>
    <w:rsid w:val="00294C5C"/>
    <w:rsid w:val="00295D82"/>
    <w:rsid w:val="00297FA2"/>
    <w:rsid w:val="002A0ABA"/>
    <w:rsid w:val="002A57A1"/>
    <w:rsid w:val="002A60FF"/>
    <w:rsid w:val="002A7728"/>
    <w:rsid w:val="002B0259"/>
    <w:rsid w:val="002B1024"/>
    <w:rsid w:val="002B2A99"/>
    <w:rsid w:val="002B4E75"/>
    <w:rsid w:val="002B6610"/>
    <w:rsid w:val="002C039A"/>
    <w:rsid w:val="002C0F9F"/>
    <w:rsid w:val="002C22E7"/>
    <w:rsid w:val="002C2CEE"/>
    <w:rsid w:val="002C3916"/>
    <w:rsid w:val="002C4DA8"/>
    <w:rsid w:val="002C6E4D"/>
    <w:rsid w:val="002C7CC9"/>
    <w:rsid w:val="002D3751"/>
    <w:rsid w:val="002D3A6B"/>
    <w:rsid w:val="002D3D5C"/>
    <w:rsid w:val="002D40BC"/>
    <w:rsid w:val="002D4406"/>
    <w:rsid w:val="002D68F5"/>
    <w:rsid w:val="002E057E"/>
    <w:rsid w:val="002E3BB4"/>
    <w:rsid w:val="002E5DCE"/>
    <w:rsid w:val="002F05C6"/>
    <w:rsid w:val="002F149E"/>
    <w:rsid w:val="002F5F14"/>
    <w:rsid w:val="003030B6"/>
    <w:rsid w:val="00303DE3"/>
    <w:rsid w:val="0030402D"/>
    <w:rsid w:val="003043CE"/>
    <w:rsid w:val="003053A1"/>
    <w:rsid w:val="00305409"/>
    <w:rsid w:val="0030592B"/>
    <w:rsid w:val="00310A1E"/>
    <w:rsid w:val="003150B9"/>
    <w:rsid w:val="003167C5"/>
    <w:rsid w:val="0031690E"/>
    <w:rsid w:val="00317BA1"/>
    <w:rsid w:val="003213F2"/>
    <w:rsid w:val="0032233C"/>
    <w:rsid w:val="00324E66"/>
    <w:rsid w:val="00325F7B"/>
    <w:rsid w:val="0032759E"/>
    <w:rsid w:val="00327811"/>
    <w:rsid w:val="003308B2"/>
    <w:rsid w:val="00331E33"/>
    <w:rsid w:val="00333312"/>
    <w:rsid w:val="00333B32"/>
    <w:rsid w:val="0033615E"/>
    <w:rsid w:val="0033651C"/>
    <w:rsid w:val="003409F8"/>
    <w:rsid w:val="003420FE"/>
    <w:rsid w:val="00342664"/>
    <w:rsid w:val="00345F94"/>
    <w:rsid w:val="00350C66"/>
    <w:rsid w:val="00350E8C"/>
    <w:rsid w:val="00351B24"/>
    <w:rsid w:val="00354ECC"/>
    <w:rsid w:val="003607E1"/>
    <w:rsid w:val="003620CB"/>
    <w:rsid w:val="00363C56"/>
    <w:rsid w:val="00363C6D"/>
    <w:rsid w:val="00367328"/>
    <w:rsid w:val="003759BA"/>
    <w:rsid w:val="003775F7"/>
    <w:rsid w:val="00380866"/>
    <w:rsid w:val="00381C60"/>
    <w:rsid w:val="00381EF7"/>
    <w:rsid w:val="0039122A"/>
    <w:rsid w:val="00391777"/>
    <w:rsid w:val="00391CA4"/>
    <w:rsid w:val="00395CAD"/>
    <w:rsid w:val="003A13EA"/>
    <w:rsid w:val="003A1C36"/>
    <w:rsid w:val="003A53F2"/>
    <w:rsid w:val="003B0132"/>
    <w:rsid w:val="003B03B9"/>
    <w:rsid w:val="003B3B4B"/>
    <w:rsid w:val="003B441D"/>
    <w:rsid w:val="003C4855"/>
    <w:rsid w:val="003C62D4"/>
    <w:rsid w:val="003C78C5"/>
    <w:rsid w:val="003D089A"/>
    <w:rsid w:val="003D1349"/>
    <w:rsid w:val="003D1C3D"/>
    <w:rsid w:val="003D2CE1"/>
    <w:rsid w:val="003D6AD4"/>
    <w:rsid w:val="003D6F5B"/>
    <w:rsid w:val="003D6F68"/>
    <w:rsid w:val="003D727B"/>
    <w:rsid w:val="003E0D5D"/>
    <w:rsid w:val="003E3BB4"/>
    <w:rsid w:val="003E47A2"/>
    <w:rsid w:val="003E56F5"/>
    <w:rsid w:val="003E5A58"/>
    <w:rsid w:val="003E6C9E"/>
    <w:rsid w:val="003F0072"/>
    <w:rsid w:val="003F4E4C"/>
    <w:rsid w:val="003F54E7"/>
    <w:rsid w:val="0040328A"/>
    <w:rsid w:val="004048EC"/>
    <w:rsid w:val="0040598F"/>
    <w:rsid w:val="004078C7"/>
    <w:rsid w:val="004147D0"/>
    <w:rsid w:val="00417A4E"/>
    <w:rsid w:val="00420D81"/>
    <w:rsid w:val="0042180C"/>
    <w:rsid w:val="00423ABB"/>
    <w:rsid w:val="00424AE3"/>
    <w:rsid w:val="00431BCB"/>
    <w:rsid w:val="004320AB"/>
    <w:rsid w:val="004328BB"/>
    <w:rsid w:val="00435779"/>
    <w:rsid w:val="004366C7"/>
    <w:rsid w:val="0043779C"/>
    <w:rsid w:val="00437D49"/>
    <w:rsid w:val="004426C8"/>
    <w:rsid w:val="00445201"/>
    <w:rsid w:val="00445669"/>
    <w:rsid w:val="004529CB"/>
    <w:rsid w:val="004535F0"/>
    <w:rsid w:val="004539F7"/>
    <w:rsid w:val="00455396"/>
    <w:rsid w:val="0045795E"/>
    <w:rsid w:val="004616C3"/>
    <w:rsid w:val="00461773"/>
    <w:rsid w:val="004618F2"/>
    <w:rsid w:val="004651E6"/>
    <w:rsid w:val="00467DDD"/>
    <w:rsid w:val="00471724"/>
    <w:rsid w:val="00472C62"/>
    <w:rsid w:val="00472D14"/>
    <w:rsid w:val="004743C4"/>
    <w:rsid w:val="00474885"/>
    <w:rsid w:val="00474C04"/>
    <w:rsid w:val="0047678A"/>
    <w:rsid w:val="00481193"/>
    <w:rsid w:val="00481C8F"/>
    <w:rsid w:val="00481ED8"/>
    <w:rsid w:val="00484D97"/>
    <w:rsid w:val="0049046C"/>
    <w:rsid w:val="00492D64"/>
    <w:rsid w:val="004A05AB"/>
    <w:rsid w:val="004B0026"/>
    <w:rsid w:val="004B37AD"/>
    <w:rsid w:val="004C0BB1"/>
    <w:rsid w:val="004C0DB6"/>
    <w:rsid w:val="004C5A26"/>
    <w:rsid w:val="004D05A7"/>
    <w:rsid w:val="004D0720"/>
    <w:rsid w:val="004D60EF"/>
    <w:rsid w:val="004D71AF"/>
    <w:rsid w:val="004E213D"/>
    <w:rsid w:val="004E2C54"/>
    <w:rsid w:val="004E2F86"/>
    <w:rsid w:val="004E36F7"/>
    <w:rsid w:val="004E5A2D"/>
    <w:rsid w:val="004E7E43"/>
    <w:rsid w:val="004F2125"/>
    <w:rsid w:val="004F2779"/>
    <w:rsid w:val="004F3A0B"/>
    <w:rsid w:val="004F4E6F"/>
    <w:rsid w:val="004F5C22"/>
    <w:rsid w:val="004F6D07"/>
    <w:rsid w:val="004F7D98"/>
    <w:rsid w:val="0050033E"/>
    <w:rsid w:val="00502F25"/>
    <w:rsid w:val="0050463C"/>
    <w:rsid w:val="00505C63"/>
    <w:rsid w:val="005114CD"/>
    <w:rsid w:val="00511687"/>
    <w:rsid w:val="00511FEA"/>
    <w:rsid w:val="00514132"/>
    <w:rsid w:val="005141AC"/>
    <w:rsid w:val="005151DA"/>
    <w:rsid w:val="0051782F"/>
    <w:rsid w:val="00517C16"/>
    <w:rsid w:val="00522A4C"/>
    <w:rsid w:val="00523188"/>
    <w:rsid w:val="00523CEE"/>
    <w:rsid w:val="00523FA1"/>
    <w:rsid w:val="00524D7E"/>
    <w:rsid w:val="00525A3D"/>
    <w:rsid w:val="005316E6"/>
    <w:rsid w:val="00534189"/>
    <w:rsid w:val="00535F33"/>
    <w:rsid w:val="005368D0"/>
    <w:rsid w:val="00536F7F"/>
    <w:rsid w:val="00536FB0"/>
    <w:rsid w:val="00537608"/>
    <w:rsid w:val="00540414"/>
    <w:rsid w:val="00542259"/>
    <w:rsid w:val="00542748"/>
    <w:rsid w:val="005430A5"/>
    <w:rsid w:val="005438A7"/>
    <w:rsid w:val="00544A67"/>
    <w:rsid w:val="005461A8"/>
    <w:rsid w:val="00547C32"/>
    <w:rsid w:val="005513E7"/>
    <w:rsid w:val="00551599"/>
    <w:rsid w:val="00552600"/>
    <w:rsid w:val="00553C60"/>
    <w:rsid w:val="005564B6"/>
    <w:rsid w:val="00557D21"/>
    <w:rsid w:val="00557EDB"/>
    <w:rsid w:val="00560A83"/>
    <w:rsid w:val="0056134A"/>
    <w:rsid w:val="00562CB7"/>
    <w:rsid w:val="005670C5"/>
    <w:rsid w:val="00577062"/>
    <w:rsid w:val="005774E6"/>
    <w:rsid w:val="0058022B"/>
    <w:rsid w:val="005808DD"/>
    <w:rsid w:val="005828AC"/>
    <w:rsid w:val="00585C7C"/>
    <w:rsid w:val="0059176B"/>
    <w:rsid w:val="00594CE7"/>
    <w:rsid w:val="0059566B"/>
    <w:rsid w:val="005A023E"/>
    <w:rsid w:val="005A03C2"/>
    <w:rsid w:val="005A1B33"/>
    <w:rsid w:val="005A30DB"/>
    <w:rsid w:val="005A3EB9"/>
    <w:rsid w:val="005A5639"/>
    <w:rsid w:val="005A5C7A"/>
    <w:rsid w:val="005A6C74"/>
    <w:rsid w:val="005A6E38"/>
    <w:rsid w:val="005A7355"/>
    <w:rsid w:val="005A7B7E"/>
    <w:rsid w:val="005B1748"/>
    <w:rsid w:val="005B2DB9"/>
    <w:rsid w:val="005B5FC8"/>
    <w:rsid w:val="005C0402"/>
    <w:rsid w:val="005C0C45"/>
    <w:rsid w:val="005C20E0"/>
    <w:rsid w:val="005C5B78"/>
    <w:rsid w:val="005C6710"/>
    <w:rsid w:val="005C6BBD"/>
    <w:rsid w:val="005D2E65"/>
    <w:rsid w:val="005D36F2"/>
    <w:rsid w:val="005E04FD"/>
    <w:rsid w:val="005E0D54"/>
    <w:rsid w:val="005E182D"/>
    <w:rsid w:val="005E24D4"/>
    <w:rsid w:val="005E416F"/>
    <w:rsid w:val="005E6295"/>
    <w:rsid w:val="005E718B"/>
    <w:rsid w:val="005F0A3A"/>
    <w:rsid w:val="005F19CB"/>
    <w:rsid w:val="005F3EE3"/>
    <w:rsid w:val="005F5336"/>
    <w:rsid w:val="005F7E7E"/>
    <w:rsid w:val="006033F0"/>
    <w:rsid w:val="00604571"/>
    <w:rsid w:val="006050CD"/>
    <w:rsid w:val="00605155"/>
    <w:rsid w:val="00606275"/>
    <w:rsid w:val="0060640E"/>
    <w:rsid w:val="006069AC"/>
    <w:rsid w:val="0060749F"/>
    <w:rsid w:val="00616C34"/>
    <w:rsid w:val="00624539"/>
    <w:rsid w:val="00626188"/>
    <w:rsid w:val="00626F04"/>
    <w:rsid w:val="006270E0"/>
    <w:rsid w:val="00627ABE"/>
    <w:rsid w:val="00631C2B"/>
    <w:rsid w:val="00631CF5"/>
    <w:rsid w:val="00632015"/>
    <w:rsid w:val="00633140"/>
    <w:rsid w:val="0063315F"/>
    <w:rsid w:val="00633F0F"/>
    <w:rsid w:val="006400DC"/>
    <w:rsid w:val="006447BF"/>
    <w:rsid w:val="00644D05"/>
    <w:rsid w:val="0064673F"/>
    <w:rsid w:val="00647562"/>
    <w:rsid w:val="00653A03"/>
    <w:rsid w:val="006570A0"/>
    <w:rsid w:val="006573A6"/>
    <w:rsid w:val="00660D29"/>
    <w:rsid w:val="00661791"/>
    <w:rsid w:val="00661C0F"/>
    <w:rsid w:val="006623AA"/>
    <w:rsid w:val="006628B0"/>
    <w:rsid w:val="00662F33"/>
    <w:rsid w:val="00663B4B"/>
    <w:rsid w:val="00667EAB"/>
    <w:rsid w:val="006710AC"/>
    <w:rsid w:val="00672F7B"/>
    <w:rsid w:val="006738DB"/>
    <w:rsid w:val="006744DC"/>
    <w:rsid w:val="006759BF"/>
    <w:rsid w:val="006777AD"/>
    <w:rsid w:val="006870C8"/>
    <w:rsid w:val="00687264"/>
    <w:rsid w:val="00687B20"/>
    <w:rsid w:val="00690254"/>
    <w:rsid w:val="00692F01"/>
    <w:rsid w:val="00693DF2"/>
    <w:rsid w:val="00694942"/>
    <w:rsid w:val="006A168A"/>
    <w:rsid w:val="006A296B"/>
    <w:rsid w:val="006A2C4E"/>
    <w:rsid w:val="006A41EE"/>
    <w:rsid w:val="006A4349"/>
    <w:rsid w:val="006B1481"/>
    <w:rsid w:val="006B2624"/>
    <w:rsid w:val="006B2B2B"/>
    <w:rsid w:val="006B5474"/>
    <w:rsid w:val="006B5893"/>
    <w:rsid w:val="006B6D4A"/>
    <w:rsid w:val="006B791E"/>
    <w:rsid w:val="006B7E83"/>
    <w:rsid w:val="006C1297"/>
    <w:rsid w:val="006C191B"/>
    <w:rsid w:val="006C22F4"/>
    <w:rsid w:val="006C310F"/>
    <w:rsid w:val="006C531D"/>
    <w:rsid w:val="006C69EE"/>
    <w:rsid w:val="006C6EA9"/>
    <w:rsid w:val="006C71AD"/>
    <w:rsid w:val="006D0FCE"/>
    <w:rsid w:val="006D11F7"/>
    <w:rsid w:val="006D654A"/>
    <w:rsid w:val="006E06C2"/>
    <w:rsid w:val="006E0856"/>
    <w:rsid w:val="006E2A03"/>
    <w:rsid w:val="006E2BDC"/>
    <w:rsid w:val="006E6EEE"/>
    <w:rsid w:val="006F0680"/>
    <w:rsid w:val="006F2B01"/>
    <w:rsid w:val="006F399A"/>
    <w:rsid w:val="006F433B"/>
    <w:rsid w:val="006F61EC"/>
    <w:rsid w:val="00703AC0"/>
    <w:rsid w:val="007063AC"/>
    <w:rsid w:val="00707156"/>
    <w:rsid w:val="007132C5"/>
    <w:rsid w:val="00713E84"/>
    <w:rsid w:val="0071497C"/>
    <w:rsid w:val="00714FA0"/>
    <w:rsid w:val="007177DE"/>
    <w:rsid w:val="0072555A"/>
    <w:rsid w:val="00725DE4"/>
    <w:rsid w:val="00734242"/>
    <w:rsid w:val="00734F6D"/>
    <w:rsid w:val="00736CA1"/>
    <w:rsid w:val="00740E3A"/>
    <w:rsid w:val="007438FA"/>
    <w:rsid w:val="00744203"/>
    <w:rsid w:val="00746B6B"/>
    <w:rsid w:val="007472FE"/>
    <w:rsid w:val="00753A08"/>
    <w:rsid w:val="0075417B"/>
    <w:rsid w:val="007564A1"/>
    <w:rsid w:val="007566AC"/>
    <w:rsid w:val="00757B25"/>
    <w:rsid w:val="00762063"/>
    <w:rsid w:val="007639D5"/>
    <w:rsid w:val="00765125"/>
    <w:rsid w:val="00767898"/>
    <w:rsid w:val="00773215"/>
    <w:rsid w:val="00775B5B"/>
    <w:rsid w:val="00775C60"/>
    <w:rsid w:val="00776BBC"/>
    <w:rsid w:val="00776EC3"/>
    <w:rsid w:val="00777E94"/>
    <w:rsid w:val="00782582"/>
    <w:rsid w:val="007842B5"/>
    <w:rsid w:val="007905A7"/>
    <w:rsid w:val="00791E6E"/>
    <w:rsid w:val="0079213D"/>
    <w:rsid w:val="00793D7F"/>
    <w:rsid w:val="00794687"/>
    <w:rsid w:val="007A11B8"/>
    <w:rsid w:val="007A1A3B"/>
    <w:rsid w:val="007A31AC"/>
    <w:rsid w:val="007A4308"/>
    <w:rsid w:val="007A574B"/>
    <w:rsid w:val="007A6437"/>
    <w:rsid w:val="007A6A2F"/>
    <w:rsid w:val="007A6C97"/>
    <w:rsid w:val="007B0988"/>
    <w:rsid w:val="007B1E05"/>
    <w:rsid w:val="007B486F"/>
    <w:rsid w:val="007B67E5"/>
    <w:rsid w:val="007C079E"/>
    <w:rsid w:val="007C089D"/>
    <w:rsid w:val="007C1A39"/>
    <w:rsid w:val="007C23E3"/>
    <w:rsid w:val="007C4533"/>
    <w:rsid w:val="007C4BFF"/>
    <w:rsid w:val="007C4FDD"/>
    <w:rsid w:val="007C510E"/>
    <w:rsid w:val="007C6216"/>
    <w:rsid w:val="007C67CA"/>
    <w:rsid w:val="007C6E9D"/>
    <w:rsid w:val="007D0319"/>
    <w:rsid w:val="007D132C"/>
    <w:rsid w:val="007D2EB5"/>
    <w:rsid w:val="007D3921"/>
    <w:rsid w:val="007D63B4"/>
    <w:rsid w:val="007D7168"/>
    <w:rsid w:val="007E018F"/>
    <w:rsid w:val="007E0ACD"/>
    <w:rsid w:val="007E5B7F"/>
    <w:rsid w:val="007E6322"/>
    <w:rsid w:val="007E75A1"/>
    <w:rsid w:val="007F333C"/>
    <w:rsid w:val="007F3BB7"/>
    <w:rsid w:val="007F700F"/>
    <w:rsid w:val="007F7967"/>
    <w:rsid w:val="008013B5"/>
    <w:rsid w:val="0080343E"/>
    <w:rsid w:val="008107E3"/>
    <w:rsid w:val="008120AE"/>
    <w:rsid w:val="00812D90"/>
    <w:rsid w:val="0081375C"/>
    <w:rsid w:val="008145C1"/>
    <w:rsid w:val="00815400"/>
    <w:rsid w:val="008157EC"/>
    <w:rsid w:val="00815B54"/>
    <w:rsid w:val="00821117"/>
    <w:rsid w:val="00822C55"/>
    <w:rsid w:val="00824C6E"/>
    <w:rsid w:val="008263C2"/>
    <w:rsid w:val="0083396B"/>
    <w:rsid w:val="00834648"/>
    <w:rsid w:val="008353FA"/>
    <w:rsid w:val="00835588"/>
    <w:rsid w:val="00840754"/>
    <w:rsid w:val="008422B4"/>
    <w:rsid w:val="00842B83"/>
    <w:rsid w:val="0084358B"/>
    <w:rsid w:val="0084385D"/>
    <w:rsid w:val="00843B51"/>
    <w:rsid w:val="008440C3"/>
    <w:rsid w:val="008445A4"/>
    <w:rsid w:val="00844E07"/>
    <w:rsid w:val="00845077"/>
    <w:rsid w:val="008457F4"/>
    <w:rsid w:val="00846955"/>
    <w:rsid w:val="00850BB9"/>
    <w:rsid w:val="00851F09"/>
    <w:rsid w:val="008531D5"/>
    <w:rsid w:val="008538CC"/>
    <w:rsid w:val="00853D6F"/>
    <w:rsid w:val="00856696"/>
    <w:rsid w:val="008566C1"/>
    <w:rsid w:val="00857E61"/>
    <w:rsid w:val="00860658"/>
    <w:rsid w:val="00860892"/>
    <w:rsid w:val="00862D49"/>
    <w:rsid w:val="00864110"/>
    <w:rsid w:val="00864567"/>
    <w:rsid w:val="00864FF1"/>
    <w:rsid w:val="00865720"/>
    <w:rsid w:val="008726A9"/>
    <w:rsid w:val="008749F7"/>
    <w:rsid w:val="008761A6"/>
    <w:rsid w:val="00876600"/>
    <w:rsid w:val="00883399"/>
    <w:rsid w:val="00883FC1"/>
    <w:rsid w:val="00884436"/>
    <w:rsid w:val="008844D2"/>
    <w:rsid w:val="008873BF"/>
    <w:rsid w:val="00890D45"/>
    <w:rsid w:val="008912A8"/>
    <w:rsid w:val="00896C4F"/>
    <w:rsid w:val="008A33F7"/>
    <w:rsid w:val="008A7D05"/>
    <w:rsid w:val="008B1C03"/>
    <w:rsid w:val="008B5646"/>
    <w:rsid w:val="008B73EC"/>
    <w:rsid w:val="008C0365"/>
    <w:rsid w:val="008C1317"/>
    <w:rsid w:val="008C653A"/>
    <w:rsid w:val="008C6AB9"/>
    <w:rsid w:val="008C7489"/>
    <w:rsid w:val="008D10C5"/>
    <w:rsid w:val="008D4C6D"/>
    <w:rsid w:val="008D55B9"/>
    <w:rsid w:val="008D654E"/>
    <w:rsid w:val="008D70AF"/>
    <w:rsid w:val="008D7FD1"/>
    <w:rsid w:val="008E0043"/>
    <w:rsid w:val="008E009E"/>
    <w:rsid w:val="008E1254"/>
    <w:rsid w:val="008E7914"/>
    <w:rsid w:val="008F0214"/>
    <w:rsid w:val="008F2E1C"/>
    <w:rsid w:val="008F4933"/>
    <w:rsid w:val="008F4FD4"/>
    <w:rsid w:val="008F54A8"/>
    <w:rsid w:val="008F62E4"/>
    <w:rsid w:val="008F64DB"/>
    <w:rsid w:val="009015DA"/>
    <w:rsid w:val="00902FA1"/>
    <w:rsid w:val="00907254"/>
    <w:rsid w:val="009112E8"/>
    <w:rsid w:val="009142C9"/>
    <w:rsid w:val="00916ECF"/>
    <w:rsid w:val="00923BF8"/>
    <w:rsid w:val="00923D4C"/>
    <w:rsid w:val="009244B6"/>
    <w:rsid w:val="0092495E"/>
    <w:rsid w:val="0093740C"/>
    <w:rsid w:val="009415B8"/>
    <w:rsid w:val="00947276"/>
    <w:rsid w:val="0095448F"/>
    <w:rsid w:val="00956959"/>
    <w:rsid w:val="00956DB3"/>
    <w:rsid w:val="009571E6"/>
    <w:rsid w:val="009605DC"/>
    <w:rsid w:val="00960C27"/>
    <w:rsid w:val="00970191"/>
    <w:rsid w:val="0097185A"/>
    <w:rsid w:val="00971C4F"/>
    <w:rsid w:val="009731AC"/>
    <w:rsid w:val="00973B4E"/>
    <w:rsid w:val="009810CE"/>
    <w:rsid w:val="009842FA"/>
    <w:rsid w:val="009921A0"/>
    <w:rsid w:val="009930E0"/>
    <w:rsid w:val="009936E2"/>
    <w:rsid w:val="00994016"/>
    <w:rsid w:val="009A6869"/>
    <w:rsid w:val="009A797D"/>
    <w:rsid w:val="009B4CA2"/>
    <w:rsid w:val="009B57BE"/>
    <w:rsid w:val="009B63E5"/>
    <w:rsid w:val="009B697C"/>
    <w:rsid w:val="009C0A39"/>
    <w:rsid w:val="009C278D"/>
    <w:rsid w:val="009C2B4D"/>
    <w:rsid w:val="009C3310"/>
    <w:rsid w:val="009C33F2"/>
    <w:rsid w:val="009C4744"/>
    <w:rsid w:val="009C5F03"/>
    <w:rsid w:val="009D5691"/>
    <w:rsid w:val="009E09DE"/>
    <w:rsid w:val="009E448D"/>
    <w:rsid w:val="009E7E7A"/>
    <w:rsid w:val="009F0E48"/>
    <w:rsid w:val="009F1ADC"/>
    <w:rsid w:val="009F3CB9"/>
    <w:rsid w:val="009F5045"/>
    <w:rsid w:val="009F565F"/>
    <w:rsid w:val="009F6C80"/>
    <w:rsid w:val="009F6EC3"/>
    <w:rsid w:val="009F7094"/>
    <w:rsid w:val="00A00D60"/>
    <w:rsid w:val="00A02074"/>
    <w:rsid w:val="00A022D2"/>
    <w:rsid w:val="00A13C18"/>
    <w:rsid w:val="00A143D2"/>
    <w:rsid w:val="00A228D1"/>
    <w:rsid w:val="00A22E3C"/>
    <w:rsid w:val="00A232F4"/>
    <w:rsid w:val="00A24E68"/>
    <w:rsid w:val="00A26B92"/>
    <w:rsid w:val="00A317DD"/>
    <w:rsid w:val="00A324E3"/>
    <w:rsid w:val="00A35D66"/>
    <w:rsid w:val="00A36389"/>
    <w:rsid w:val="00A370A2"/>
    <w:rsid w:val="00A41E2D"/>
    <w:rsid w:val="00A46879"/>
    <w:rsid w:val="00A4714D"/>
    <w:rsid w:val="00A5345D"/>
    <w:rsid w:val="00A55603"/>
    <w:rsid w:val="00A638AD"/>
    <w:rsid w:val="00A63C82"/>
    <w:rsid w:val="00A64E5C"/>
    <w:rsid w:val="00A659F4"/>
    <w:rsid w:val="00A66786"/>
    <w:rsid w:val="00A7099C"/>
    <w:rsid w:val="00A70CFB"/>
    <w:rsid w:val="00A71AD7"/>
    <w:rsid w:val="00A73A91"/>
    <w:rsid w:val="00A74177"/>
    <w:rsid w:val="00A74472"/>
    <w:rsid w:val="00A76D20"/>
    <w:rsid w:val="00A81572"/>
    <w:rsid w:val="00A81BDF"/>
    <w:rsid w:val="00A83565"/>
    <w:rsid w:val="00A84748"/>
    <w:rsid w:val="00A84C2A"/>
    <w:rsid w:val="00A85AAB"/>
    <w:rsid w:val="00A90146"/>
    <w:rsid w:val="00A90B1E"/>
    <w:rsid w:val="00A90DDD"/>
    <w:rsid w:val="00A95AA1"/>
    <w:rsid w:val="00A97992"/>
    <w:rsid w:val="00AA151E"/>
    <w:rsid w:val="00AA2E8D"/>
    <w:rsid w:val="00AA5221"/>
    <w:rsid w:val="00AB4B3B"/>
    <w:rsid w:val="00AB4D4F"/>
    <w:rsid w:val="00AC1907"/>
    <w:rsid w:val="00AC48EC"/>
    <w:rsid w:val="00AC629F"/>
    <w:rsid w:val="00AD200C"/>
    <w:rsid w:val="00AD268F"/>
    <w:rsid w:val="00AD3312"/>
    <w:rsid w:val="00AD5401"/>
    <w:rsid w:val="00AD5CF0"/>
    <w:rsid w:val="00AD5E64"/>
    <w:rsid w:val="00AD7A96"/>
    <w:rsid w:val="00AE05D0"/>
    <w:rsid w:val="00AE10CF"/>
    <w:rsid w:val="00AE1D1C"/>
    <w:rsid w:val="00AE273E"/>
    <w:rsid w:val="00AE2AEC"/>
    <w:rsid w:val="00AE36A3"/>
    <w:rsid w:val="00AE4342"/>
    <w:rsid w:val="00AE47B3"/>
    <w:rsid w:val="00AE5DB4"/>
    <w:rsid w:val="00AE73B8"/>
    <w:rsid w:val="00AF0A52"/>
    <w:rsid w:val="00AF2D48"/>
    <w:rsid w:val="00AF367F"/>
    <w:rsid w:val="00AF4F02"/>
    <w:rsid w:val="00AF6E25"/>
    <w:rsid w:val="00B012EF"/>
    <w:rsid w:val="00B01942"/>
    <w:rsid w:val="00B03740"/>
    <w:rsid w:val="00B0407E"/>
    <w:rsid w:val="00B04089"/>
    <w:rsid w:val="00B05099"/>
    <w:rsid w:val="00B06632"/>
    <w:rsid w:val="00B06C0F"/>
    <w:rsid w:val="00B06F03"/>
    <w:rsid w:val="00B11E9D"/>
    <w:rsid w:val="00B13041"/>
    <w:rsid w:val="00B1537A"/>
    <w:rsid w:val="00B20490"/>
    <w:rsid w:val="00B20AA3"/>
    <w:rsid w:val="00B22D88"/>
    <w:rsid w:val="00B234F4"/>
    <w:rsid w:val="00B24E50"/>
    <w:rsid w:val="00B2574D"/>
    <w:rsid w:val="00B27053"/>
    <w:rsid w:val="00B270F1"/>
    <w:rsid w:val="00B332F0"/>
    <w:rsid w:val="00B37EE5"/>
    <w:rsid w:val="00B402DE"/>
    <w:rsid w:val="00B406A4"/>
    <w:rsid w:val="00B43FB0"/>
    <w:rsid w:val="00B4447F"/>
    <w:rsid w:val="00B56272"/>
    <w:rsid w:val="00B63E09"/>
    <w:rsid w:val="00B65254"/>
    <w:rsid w:val="00B71035"/>
    <w:rsid w:val="00B7564D"/>
    <w:rsid w:val="00B7628A"/>
    <w:rsid w:val="00B8333C"/>
    <w:rsid w:val="00B857C7"/>
    <w:rsid w:val="00B90B1D"/>
    <w:rsid w:val="00B91C90"/>
    <w:rsid w:val="00B91DC0"/>
    <w:rsid w:val="00B948E2"/>
    <w:rsid w:val="00B9780F"/>
    <w:rsid w:val="00BA524F"/>
    <w:rsid w:val="00BB06B7"/>
    <w:rsid w:val="00BB15CB"/>
    <w:rsid w:val="00BB43DE"/>
    <w:rsid w:val="00BB5A35"/>
    <w:rsid w:val="00BB769B"/>
    <w:rsid w:val="00BC0FE4"/>
    <w:rsid w:val="00BC145C"/>
    <w:rsid w:val="00BC290F"/>
    <w:rsid w:val="00BC2D0F"/>
    <w:rsid w:val="00BC64D4"/>
    <w:rsid w:val="00BC6B87"/>
    <w:rsid w:val="00BD0F4D"/>
    <w:rsid w:val="00BD6331"/>
    <w:rsid w:val="00BD7A64"/>
    <w:rsid w:val="00BE19C1"/>
    <w:rsid w:val="00BE1F7A"/>
    <w:rsid w:val="00BE4368"/>
    <w:rsid w:val="00BE4F59"/>
    <w:rsid w:val="00BE6027"/>
    <w:rsid w:val="00BE60D1"/>
    <w:rsid w:val="00BE7EDC"/>
    <w:rsid w:val="00BF1C9C"/>
    <w:rsid w:val="00BF32A8"/>
    <w:rsid w:val="00BF3D98"/>
    <w:rsid w:val="00BF5389"/>
    <w:rsid w:val="00BF6BAC"/>
    <w:rsid w:val="00C03B78"/>
    <w:rsid w:val="00C054AB"/>
    <w:rsid w:val="00C054F8"/>
    <w:rsid w:val="00C0569A"/>
    <w:rsid w:val="00C056C5"/>
    <w:rsid w:val="00C061CB"/>
    <w:rsid w:val="00C06377"/>
    <w:rsid w:val="00C06AF3"/>
    <w:rsid w:val="00C1036C"/>
    <w:rsid w:val="00C10862"/>
    <w:rsid w:val="00C12144"/>
    <w:rsid w:val="00C15129"/>
    <w:rsid w:val="00C2568D"/>
    <w:rsid w:val="00C302A3"/>
    <w:rsid w:val="00C30799"/>
    <w:rsid w:val="00C31159"/>
    <w:rsid w:val="00C320F5"/>
    <w:rsid w:val="00C3430B"/>
    <w:rsid w:val="00C343DB"/>
    <w:rsid w:val="00C37DD3"/>
    <w:rsid w:val="00C409C2"/>
    <w:rsid w:val="00C43044"/>
    <w:rsid w:val="00C45D85"/>
    <w:rsid w:val="00C4720C"/>
    <w:rsid w:val="00C51323"/>
    <w:rsid w:val="00C56DC5"/>
    <w:rsid w:val="00C57C21"/>
    <w:rsid w:val="00C61D54"/>
    <w:rsid w:val="00C63F18"/>
    <w:rsid w:val="00C653FA"/>
    <w:rsid w:val="00C66479"/>
    <w:rsid w:val="00C674FE"/>
    <w:rsid w:val="00C67DE8"/>
    <w:rsid w:val="00C70775"/>
    <w:rsid w:val="00C72AE8"/>
    <w:rsid w:val="00C730A3"/>
    <w:rsid w:val="00C73B63"/>
    <w:rsid w:val="00C81856"/>
    <w:rsid w:val="00C86AC8"/>
    <w:rsid w:val="00C93B80"/>
    <w:rsid w:val="00C954D5"/>
    <w:rsid w:val="00C97753"/>
    <w:rsid w:val="00CA1601"/>
    <w:rsid w:val="00CA32F5"/>
    <w:rsid w:val="00CA5251"/>
    <w:rsid w:val="00CA6D6C"/>
    <w:rsid w:val="00CB1617"/>
    <w:rsid w:val="00CB30B2"/>
    <w:rsid w:val="00CB4193"/>
    <w:rsid w:val="00CB4FDF"/>
    <w:rsid w:val="00CB5226"/>
    <w:rsid w:val="00CB737C"/>
    <w:rsid w:val="00CB7F10"/>
    <w:rsid w:val="00CC1518"/>
    <w:rsid w:val="00CC211B"/>
    <w:rsid w:val="00CC2141"/>
    <w:rsid w:val="00CC39FC"/>
    <w:rsid w:val="00CC4DDF"/>
    <w:rsid w:val="00CC748E"/>
    <w:rsid w:val="00CD13A8"/>
    <w:rsid w:val="00CD2A1B"/>
    <w:rsid w:val="00CD6013"/>
    <w:rsid w:val="00CD7432"/>
    <w:rsid w:val="00CE0E8C"/>
    <w:rsid w:val="00CE7CB7"/>
    <w:rsid w:val="00CF3154"/>
    <w:rsid w:val="00CF49B0"/>
    <w:rsid w:val="00D0023C"/>
    <w:rsid w:val="00D012E3"/>
    <w:rsid w:val="00D02354"/>
    <w:rsid w:val="00D06F10"/>
    <w:rsid w:val="00D11E09"/>
    <w:rsid w:val="00D12611"/>
    <w:rsid w:val="00D15A55"/>
    <w:rsid w:val="00D163CB"/>
    <w:rsid w:val="00D172F8"/>
    <w:rsid w:val="00D2327C"/>
    <w:rsid w:val="00D238B0"/>
    <w:rsid w:val="00D246B3"/>
    <w:rsid w:val="00D259F6"/>
    <w:rsid w:val="00D25E5A"/>
    <w:rsid w:val="00D3300D"/>
    <w:rsid w:val="00D33EE1"/>
    <w:rsid w:val="00D347A5"/>
    <w:rsid w:val="00D34D41"/>
    <w:rsid w:val="00D37B70"/>
    <w:rsid w:val="00D409D3"/>
    <w:rsid w:val="00D41701"/>
    <w:rsid w:val="00D44628"/>
    <w:rsid w:val="00D450D7"/>
    <w:rsid w:val="00D46093"/>
    <w:rsid w:val="00D4764D"/>
    <w:rsid w:val="00D525DF"/>
    <w:rsid w:val="00D52C43"/>
    <w:rsid w:val="00D53D70"/>
    <w:rsid w:val="00D54A39"/>
    <w:rsid w:val="00D54E2F"/>
    <w:rsid w:val="00D55141"/>
    <w:rsid w:val="00D55967"/>
    <w:rsid w:val="00D60CC4"/>
    <w:rsid w:val="00D64582"/>
    <w:rsid w:val="00D64A0D"/>
    <w:rsid w:val="00D659F7"/>
    <w:rsid w:val="00D700E7"/>
    <w:rsid w:val="00D72939"/>
    <w:rsid w:val="00D75BA5"/>
    <w:rsid w:val="00D80F6A"/>
    <w:rsid w:val="00D8224D"/>
    <w:rsid w:val="00D83E64"/>
    <w:rsid w:val="00D877F7"/>
    <w:rsid w:val="00D901C4"/>
    <w:rsid w:val="00D92A03"/>
    <w:rsid w:val="00D96224"/>
    <w:rsid w:val="00DA0BDE"/>
    <w:rsid w:val="00DA1B86"/>
    <w:rsid w:val="00DA2149"/>
    <w:rsid w:val="00DA2636"/>
    <w:rsid w:val="00DA26C6"/>
    <w:rsid w:val="00DA3383"/>
    <w:rsid w:val="00DA3D38"/>
    <w:rsid w:val="00DA4A3E"/>
    <w:rsid w:val="00DA4C55"/>
    <w:rsid w:val="00DA53DB"/>
    <w:rsid w:val="00DA5A9C"/>
    <w:rsid w:val="00DA6060"/>
    <w:rsid w:val="00DA744E"/>
    <w:rsid w:val="00DB3E1D"/>
    <w:rsid w:val="00DB4F9B"/>
    <w:rsid w:val="00DC1872"/>
    <w:rsid w:val="00DC2B3E"/>
    <w:rsid w:val="00DC334D"/>
    <w:rsid w:val="00DC447A"/>
    <w:rsid w:val="00DC51EF"/>
    <w:rsid w:val="00DC5552"/>
    <w:rsid w:val="00DC6D16"/>
    <w:rsid w:val="00DC78F9"/>
    <w:rsid w:val="00DD197D"/>
    <w:rsid w:val="00DD219F"/>
    <w:rsid w:val="00DD2A47"/>
    <w:rsid w:val="00DD52F3"/>
    <w:rsid w:val="00DE0E41"/>
    <w:rsid w:val="00DE25F8"/>
    <w:rsid w:val="00DE3BD2"/>
    <w:rsid w:val="00DE6005"/>
    <w:rsid w:val="00DF38A9"/>
    <w:rsid w:val="00DF38BA"/>
    <w:rsid w:val="00DF414E"/>
    <w:rsid w:val="00DF4CC2"/>
    <w:rsid w:val="00DF5C46"/>
    <w:rsid w:val="00E01861"/>
    <w:rsid w:val="00E01E55"/>
    <w:rsid w:val="00E020D7"/>
    <w:rsid w:val="00E03A80"/>
    <w:rsid w:val="00E07392"/>
    <w:rsid w:val="00E10184"/>
    <w:rsid w:val="00E10C27"/>
    <w:rsid w:val="00E13A69"/>
    <w:rsid w:val="00E147E2"/>
    <w:rsid w:val="00E14930"/>
    <w:rsid w:val="00E15EE1"/>
    <w:rsid w:val="00E16070"/>
    <w:rsid w:val="00E23063"/>
    <w:rsid w:val="00E23073"/>
    <w:rsid w:val="00E23D86"/>
    <w:rsid w:val="00E2446E"/>
    <w:rsid w:val="00E3112F"/>
    <w:rsid w:val="00E3241C"/>
    <w:rsid w:val="00E34F86"/>
    <w:rsid w:val="00E350A5"/>
    <w:rsid w:val="00E3685F"/>
    <w:rsid w:val="00E460B1"/>
    <w:rsid w:val="00E50986"/>
    <w:rsid w:val="00E530F6"/>
    <w:rsid w:val="00E5431C"/>
    <w:rsid w:val="00E54E6A"/>
    <w:rsid w:val="00E56571"/>
    <w:rsid w:val="00E63535"/>
    <w:rsid w:val="00E63DAA"/>
    <w:rsid w:val="00E649D5"/>
    <w:rsid w:val="00E74CA1"/>
    <w:rsid w:val="00E812E9"/>
    <w:rsid w:val="00E82004"/>
    <w:rsid w:val="00E83EF2"/>
    <w:rsid w:val="00E84B61"/>
    <w:rsid w:val="00E9017A"/>
    <w:rsid w:val="00E92735"/>
    <w:rsid w:val="00E95E79"/>
    <w:rsid w:val="00E97723"/>
    <w:rsid w:val="00EA4096"/>
    <w:rsid w:val="00EB55B9"/>
    <w:rsid w:val="00EB57E7"/>
    <w:rsid w:val="00EC2A80"/>
    <w:rsid w:val="00EC4607"/>
    <w:rsid w:val="00EC562A"/>
    <w:rsid w:val="00EC5D23"/>
    <w:rsid w:val="00ED1B84"/>
    <w:rsid w:val="00ED2765"/>
    <w:rsid w:val="00ED33A3"/>
    <w:rsid w:val="00ED3413"/>
    <w:rsid w:val="00ED500E"/>
    <w:rsid w:val="00ED62EF"/>
    <w:rsid w:val="00ED70CD"/>
    <w:rsid w:val="00ED743F"/>
    <w:rsid w:val="00ED76B6"/>
    <w:rsid w:val="00ED7D78"/>
    <w:rsid w:val="00EE0BC5"/>
    <w:rsid w:val="00EE0D8C"/>
    <w:rsid w:val="00EE3B4F"/>
    <w:rsid w:val="00EE3EA7"/>
    <w:rsid w:val="00EE4D9A"/>
    <w:rsid w:val="00EE66FA"/>
    <w:rsid w:val="00EF1F2E"/>
    <w:rsid w:val="00EF2DF8"/>
    <w:rsid w:val="00EF3EB2"/>
    <w:rsid w:val="00EF44E7"/>
    <w:rsid w:val="00EF4815"/>
    <w:rsid w:val="00EF6459"/>
    <w:rsid w:val="00EF6903"/>
    <w:rsid w:val="00EF7490"/>
    <w:rsid w:val="00F0483A"/>
    <w:rsid w:val="00F04B4B"/>
    <w:rsid w:val="00F050F9"/>
    <w:rsid w:val="00F06C39"/>
    <w:rsid w:val="00F12316"/>
    <w:rsid w:val="00F15E2E"/>
    <w:rsid w:val="00F1616D"/>
    <w:rsid w:val="00F1666A"/>
    <w:rsid w:val="00F17265"/>
    <w:rsid w:val="00F17DD6"/>
    <w:rsid w:val="00F21B68"/>
    <w:rsid w:val="00F22DBD"/>
    <w:rsid w:val="00F23DEA"/>
    <w:rsid w:val="00F260D0"/>
    <w:rsid w:val="00F26A6C"/>
    <w:rsid w:val="00F30114"/>
    <w:rsid w:val="00F33473"/>
    <w:rsid w:val="00F35D00"/>
    <w:rsid w:val="00F361A1"/>
    <w:rsid w:val="00F40184"/>
    <w:rsid w:val="00F40961"/>
    <w:rsid w:val="00F40DE5"/>
    <w:rsid w:val="00F4344E"/>
    <w:rsid w:val="00F442C7"/>
    <w:rsid w:val="00F448B2"/>
    <w:rsid w:val="00F4558B"/>
    <w:rsid w:val="00F46433"/>
    <w:rsid w:val="00F46AD8"/>
    <w:rsid w:val="00F50A93"/>
    <w:rsid w:val="00F51FD4"/>
    <w:rsid w:val="00F52CE4"/>
    <w:rsid w:val="00F536C9"/>
    <w:rsid w:val="00F546B2"/>
    <w:rsid w:val="00F56088"/>
    <w:rsid w:val="00F60458"/>
    <w:rsid w:val="00F677DF"/>
    <w:rsid w:val="00F72757"/>
    <w:rsid w:val="00F75C1E"/>
    <w:rsid w:val="00F80E9D"/>
    <w:rsid w:val="00F811ED"/>
    <w:rsid w:val="00F81638"/>
    <w:rsid w:val="00F87106"/>
    <w:rsid w:val="00F9069C"/>
    <w:rsid w:val="00F964A2"/>
    <w:rsid w:val="00FA01FB"/>
    <w:rsid w:val="00FA0CEB"/>
    <w:rsid w:val="00FA765E"/>
    <w:rsid w:val="00FB0A23"/>
    <w:rsid w:val="00FB2F7E"/>
    <w:rsid w:val="00FB5E8E"/>
    <w:rsid w:val="00FB7106"/>
    <w:rsid w:val="00FC0443"/>
    <w:rsid w:val="00FC11B7"/>
    <w:rsid w:val="00FC3806"/>
    <w:rsid w:val="00FC382B"/>
    <w:rsid w:val="00FC4A9D"/>
    <w:rsid w:val="00FD2E57"/>
    <w:rsid w:val="00FD4DE2"/>
    <w:rsid w:val="00FD4ECD"/>
    <w:rsid w:val="00FD5424"/>
    <w:rsid w:val="00FD5931"/>
    <w:rsid w:val="00FD62FC"/>
    <w:rsid w:val="00FD6CA5"/>
    <w:rsid w:val="00FE00B1"/>
    <w:rsid w:val="00FE525B"/>
    <w:rsid w:val="00FE79BF"/>
    <w:rsid w:val="00FE7EC9"/>
    <w:rsid w:val="00FF1596"/>
    <w:rsid w:val="00FF2A0F"/>
    <w:rsid w:val="00FF374D"/>
    <w:rsid w:val="00FF62EC"/>
    <w:rsid w:val="00FF7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42C0D183"/>
  <w15:chartTrackingRefBased/>
  <w15:docId w15:val="{028A8A61-748D-4DB3-8196-AC13892D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E03"/>
    <w:pPr>
      <w:spacing w:before="120" w:after="12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34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01861"/>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EF7490"/>
    <w:pPr>
      <w:spacing w:before="0" w:after="0"/>
    </w:pPr>
    <w:rPr>
      <w:sz w:val="20"/>
      <w:szCs w:val="20"/>
    </w:rPr>
  </w:style>
  <w:style w:type="character" w:customStyle="1" w:styleId="FootnoteTextChar">
    <w:name w:val="Footnote Text Char"/>
    <w:basedOn w:val="DefaultParagraphFont"/>
    <w:link w:val="FootnoteText"/>
    <w:uiPriority w:val="99"/>
    <w:semiHidden/>
    <w:rsid w:val="00EF7490"/>
    <w:rPr>
      <w:rFonts w:ascii="Times New Roman" w:eastAsia="Times New Roman" w:hAnsi="Times New Roman" w:cs="Times New Roman"/>
      <w:sz w:val="20"/>
      <w:szCs w:val="20"/>
    </w:rPr>
  </w:style>
  <w:style w:type="paragraph" w:styleId="ListParagraph">
    <w:name w:val="List Paragraph"/>
    <w:basedOn w:val="Normal"/>
    <w:uiPriority w:val="34"/>
    <w:qFormat/>
    <w:rsid w:val="00EF7490"/>
    <w:pPr>
      <w:ind w:left="720"/>
      <w:contextualSpacing/>
    </w:pPr>
  </w:style>
  <w:style w:type="character" w:styleId="FootnoteReference">
    <w:name w:val="footnote reference"/>
    <w:basedOn w:val="DefaultParagraphFont"/>
    <w:uiPriority w:val="99"/>
    <w:semiHidden/>
    <w:unhideWhenUsed/>
    <w:rsid w:val="00EF7490"/>
    <w:rPr>
      <w:vertAlign w:val="superscript"/>
    </w:rPr>
  </w:style>
  <w:style w:type="table" w:styleId="TableGrid">
    <w:name w:val="Table Grid"/>
    <w:basedOn w:val="TableNormal"/>
    <w:uiPriority w:val="59"/>
    <w:rsid w:val="00EF7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7490"/>
    <w:pPr>
      <w:tabs>
        <w:tab w:val="center" w:pos="4680"/>
        <w:tab w:val="right" w:pos="9360"/>
      </w:tabs>
      <w:spacing w:before="0" w:after="0"/>
    </w:pPr>
  </w:style>
  <w:style w:type="character" w:customStyle="1" w:styleId="HeaderChar">
    <w:name w:val="Header Char"/>
    <w:basedOn w:val="DefaultParagraphFont"/>
    <w:link w:val="Header"/>
    <w:uiPriority w:val="99"/>
    <w:rsid w:val="00EF74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F7490"/>
    <w:pPr>
      <w:tabs>
        <w:tab w:val="center" w:pos="4680"/>
        <w:tab w:val="right" w:pos="9360"/>
      </w:tabs>
      <w:spacing w:before="0" w:after="0"/>
    </w:pPr>
  </w:style>
  <w:style w:type="character" w:customStyle="1" w:styleId="FooterChar">
    <w:name w:val="Footer Char"/>
    <w:basedOn w:val="DefaultParagraphFont"/>
    <w:link w:val="Footer"/>
    <w:uiPriority w:val="99"/>
    <w:rsid w:val="00EF7490"/>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1608A6"/>
    <w:pPr>
      <w:spacing w:before="240" w:after="0" w:line="259" w:lineRule="auto"/>
      <w:outlineLvl w:val="9"/>
    </w:pPr>
    <w:rPr>
      <w:b w:val="0"/>
      <w:bCs w:val="0"/>
      <w:sz w:val="32"/>
      <w:szCs w:val="32"/>
    </w:rPr>
  </w:style>
  <w:style w:type="character" w:customStyle="1" w:styleId="Heading2Char">
    <w:name w:val="Heading 2 Char"/>
    <w:basedOn w:val="DefaultParagraphFont"/>
    <w:link w:val="Heading2"/>
    <w:uiPriority w:val="9"/>
    <w:rsid w:val="00ED3413"/>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unhideWhenUsed/>
    <w:rsid w:val="00D700E7"/>
    <w:pPr>
      <w:spacing w:after="100"/>
    </w:pPr>
  </w:style>
  <w:style w:type="paragraph" w:styleId="TOC2">
    <w:name w:val="toc 2"/>
    <w:basedOn w:val="Normal"/>
    <w:next w:val="Normal"/>
    <w:autoRedefine/>
    <w:uiPriority w:val="39"/>
    <w:unhideWhenUsed/>
    <w:rsid w:val="00D700E7"/>
    <w:pPr>
      <w:spacing w:after="100"/>
      <w:ind w:left="240"/>
    </w:pPr>
  </w:style>
  <w:style w:type="character" w:styleId="Hyperlink">
    <w:name w:val="Hyperlink"/>
    <w:basedOn w:val="DefaultParagraphFont"/>
    <w:uiPriority w:val="99"/>
    <w:unhideWhenUsed/>
    <w:rsid w:val="00D700E7"/>
    <w:rPr>
      <w:color w:val="0000FF" w:themeColor="hyperlink"/>
      <w:u w:val="single"/>
    </w:rPr>
  </w:style>
  <w:style w:type="character" w:styleId="CommentReference">
    <w:name w:val="annotation reference"/>
    <w:basedOn w:val="DefaultParagraphFont"/>
    <w:uiPriority w:val="99"/>
    <w:semiHidden/>
    <w:unhideWhenUsed/>
    <w:rsid w:val="00E97723"/>
    <w:rPr>
      <w:sz w:val="16"/>
      <w:szCs w:val="16"/>
    </w:rPr>
  </w:style>
  <w:style w:type="paragraph" w:styleId="CommentText">
    <w:name w:val="annotation text"/>
    <w:basedOn w:val="Normal"/>
    <w:link w:val="CommentTextChar"/>
    <w:uiPriority w:val="99"/>
    <w:semiHidden/>
    <w:unhideWhenUsed/>
    <w:rsid w:val="00E97723"/>
    <w:rPr>
      <w:sz w:val="20"/>
      <w:szCs w:val="20"/>
    </w:rPr>
  </w:style>
  <w:style w:type="character" w:customStyle="1" w:styleId="CommentTextChar">
    <w:name w:val="Comment Text Char"/>
    <w:basedOn w:val="DefaultParagraphFont"/>
    <w:link w:val="CommentText"/>
    <w:uiPriority w:val="99"/>
    <w:semiHidden/>
    <w:rsid w:val="00E977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97723"/>
    <w:rPr>
      <w:b/>
      <w:bCs/>
    </w:rPr>
  </w:style>
  <w:style w:type="character" w:customStyle="1" w:styleId="CommentSubjectChar">
    <w:name w:val="Comment Subject Char"/>
    <w:basedOn w:val="CommentTextChar"/>
    <w:link w:val="CommentSubject"/>
    <w:uiPriority w:val="99"/>
    <w:semiHidden/>
    <w:rsid w:val="00E9772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9772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723"/>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E0186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18903">
      <w:bodyDiv w:val="1"/>
      <w:marLeft w:val="0"/>
      <w:marRight w:val="0"/>
      <w:marTop w:val="0"/>
      <w:marBottom w:val="0"/>
      <w:divBdr>
        <w:top w:val="none" w:sz="0" w:space="0" w:color="auto"/>
        <w:left w:val="none" w:sz="0" w:space="0" w:color="auto"/>
        <w:bottom w:val="none" w:sz="0" w:space="0" w:color="auto"/>
        <w:right w:val="none" w:sz="0" w:space="0" w:color="auto"/>
      </w:divBdr>
      <w:divsChild>
        <w:div w:id="1552110645">
          <w:marLeft w:val="0"/>
          <w:marRight w:val="0"/>
          <w:marTop w:val="0"/>
          <w:marBottom w:val="0"/>
          <w:divBdr>
            <w:top w:val="none" w:sz="0" w:space="0" w:color="auto"/>
            <w:left w:val="none" w:sz="0" w:space="0" w:color="auto"/>
            <w:bottom w:val="none" w:sz="0" w:space="0" w:color="auto"/>
            <w:right w:val="none" w:sz="0" w:space="0" w:color="auto"/>
          </w:divBdr>
          <w:divsChild>
            <w:div w:id="1645085648">
              <w:marLeft w:val="0"/>
              <w:marRight w:val="0"/>
              <w:marTop w:val="0"/>
              <w:marBottom w:val="0"/>
              <w:divBdr>
                <w:top w:val="none" w:sz="0" w:space="0" w:color="auto"/>
                <w:left w:val="none" w:sz="0" w:space="0" w:color="auto"/>
                <w:bottom w:val="none" w:sz="0" w:space="0" w:color="auto"/>
                <w:right w:val="none" w:sz="0" w:space="0" w:color="auto"/>
              </w:divBdr>
              <w:divsChild>
                <w:div w:id="493033066">
                  <w:marLeft w:val="0"/>
                  <w:marRight w:val="0"/>
                  <w:marTop w:val="0"/>
                  <w:marBottom w:val="0"/>
                  <w:divBdr>
                    <w:top w:val="none" w:sz="0" w:space="12" w:color="auto"/>
                    <w:left w:val="none" w:sz="0" w:space="12" w:color="auto"/>
                    <w:bottom w:val="none" w:sz="0" w:space="12" w:color="auto"/>
                    <w:right w:val="none" w:sz="0" w:space="12" w:color="auto"/>
                  </w:divBdr>
                  <w:divsChild>
                    <w:div w:id="1913349131">
                      <w:marLeft w:val="0"/>
                      <w:marRight w:val="0"/>
                      <w:marTop w:val="0"/>
                      <w:marBottom w:val="0"/>
                      <w:divBdr>
                        <w:top w:val="none" w:sz="0" w:space="12" w:color="auto"/>
                        <w:left w:val="none" w:sz="0" w:space="12" w:color="auto"/>
                        <w:bottom w:val="none" w:sz="0" w:space="12" w:color="auto"/>
                        <w:right w:val="none" w:sz="0" w:space="12" w:color="auto"/>
                      </w:divBdr>
                      <w:divsChild>
                        <w:div w:id="1433282362">
                          <w:marLeft w:val="0"/>
                          <w:marRight w:val="0"/>
                          <w:marTop w:val="0"/>
                          <w:marBottom w:val="0"/>
                          <w:divBdr>
                            <w:top w:val="none" w:sz="0" w:space="0" w:color="auto"/>
                            <w:left w:val="none" w:sz="0" w:space="0" w:color="auto"/>
                            <w:bottom w:val="none" w:sz="0" w:space="0" w:color="auto"/>
                            <w:right w:val="none" w:sz="0" w:space="0" w:color="auto"/>
                          </w:divBdr>
                          <w:divsChild>
                            <w:div w:id="14960343">
                              <w:marLeft w:val="-225"/>
                              <w:marRight w:val="-225"/>
                              <w:marTop w:val="0"/>
                              <w:marBottom w:val="0"/>
                              <w:divBdr>
                                <w:top w:val="none" w:sz="0" w:space="0" w:color="auto"/>
                                <w:left w:val="none" w:sz="0" w:space="0" w:color="auto"/>
                                <w:bottom w:val="none" w:sz="0" w:space="0" w:color="auto"/>
                                <w:right w:val="none" w:sz="0" w:space="0" w:color="auto"/>
                              </w:divBdr>
                              <w:divsChild>
                                <w:div w:id="1949191090">
                                  <w:marLeft w:val="0"/>
                                  <w:marRight w:val="0"/>
                                  <w:marTop w:val="0"/>
                                  <w:marBottom w:val="0"/>
                                  <w:divBdr>
                                    <w:top w:val="none" w:sz="0" w:space="0" w:color="auto"/>
                                    <w:left w:val="none" w:sz="0" w:space="0" w:color="auto"/>
                                    <w:bottom w:val="none" w:sz="0" w:space="0" w:color="auto"/>
                                    <w:right w:val="none" w:sz="0" w:space="0" w:color="auto"/>
                                  </w:divBdr>
                                  <w:divsChild>
                                    <w:div w:id="761026739">
                                      <w:marLeft w:val="0"/>
                                      <w:marRight w:val="0"/>
                                      <w:marTop w:val="0"/>
                                      <w:marBottom w:val="0"/>
                                      <w:divBdr>
                                        <w:top w:val="none" w:sz="0" w:space="0" w:color="auto"/>
                                        <w:left w:val="none" w:sz="0" w:space="0" w:color="auto"/>
                                        <w:bottom w:val="none" w:sz="0" w:space="0" w:color="auto"/>
                                        <w:right w:val="none" w:sz="0" w:space="0" w:color="auto"/>
                                      </w:divBdr>
                                      <w:divsChild>
                                        <w:div w:id="520434497">
                                          <w:marLeft w:val="0"/>
                                          <w:marRight w:val="0"/>
                                          <w:marTop w:val="0"/>
                                          <w:marBottom w:val="0"/>
                                          <w:divBdr>
                                            <w:top w:val="none" w:sz="0" w:space="0" w:color="auto"/>
                                            <w:left w:val="none" w:sz="0" w:space="0" w:color="auto"/>
                                            <w:bottom w:val="none" w:sz="0" w:space="0" w:color="auto"/>
                                            <w:right w:val="none" w:sz="0" w:space="0" w:color="auto"/>
                                          </w:divBdr>
                                        </w:div>
                                        <w:div w:id="1823353749">
                                          <w:marLeft w:val="0"/>
                                          <w:marRight w:val="0"/>
                                          <w:marTop w:val="0"/>
                                          <w:marBottom w:val="0"/>
                                          <w:divBdr>
                                            <w:top w:val="none" w:sz="0" w:space="0" w:color="auto"/>
                                            <w:left w:val="none" w:sz="0" w:space="0" w:color="auto"/>
                                            <w:bottom w:val="none" w:sz="0" w:space="0" w:color="auto"/>
                                            <w:right w:val="none" w:sz="0" w:space="0" w:color="auto"/>
                                          </w:divBdr>
                                        </w:div>
                                        <w:div w:id="98062352">
                                          <w:marLeft w:val="0"/>
                                          <w:marRight w:val="0"/>
                                          <w:marTop w:val="0"/>
                                          <w:marBottom w:val="0"/>
                                          <w:divBdr>
                                            <w:top w:val="none" w:sz="0" w:space="0" w:color="auto"/>
                                            <w:left w:val="none" w:sz="0" w:space="0" w:color="auto"/>
                                            <w:bottom w:val="none" w:sz="0" w:space="0" w:color="auto"/>
                                            <w:right w:val="none" w:sz="0" w:space="0" w:color="auto"/>
                                          </w:divBdr>
                                        </w:div>
                                        <w:div w:id="532234925">
                                          <w:marLeft w:val="0"/>
                                          <w:marRight w:val="0"/>
                                          <w:marTop w:val="0"/>
                                          <w:marBottom w:val="0"/>
                                          <w:divBdr>
                                            <w:top w:val="none" w:sz="0" w:space="0" w:color="auto"/>
                                            <w:left w:val="none" w:sz="0" w:space="0" w:color="auto"/>
                                            <w:bottom w:val="none" w:sz="0" w:space="0" w:color="auto"/>
                                            <w:right w:val="none" w:sz="0" w:space="0" w:color="auto"/>
                                          </w:divBdr>
                                        </w:div>
                                        <w:div w:id="336421967">
                                          <w:marLeft w:val="0"/>
                                          <w:marRight w:val="0"/>
                                          <w:marTop w:val="0"/>
                                          <w:marBottom w:val="0"/>
                                          <w:divBdr>
                                            <w:top w:val="none" w:sz="0" w:space="0" w:color="auto"/>
                                            <w:left w:val="none" w:sz="0" w:space="0" w:color="auto"/>
                                            <w:bottom w:val="none" w:sz="0" w:space="0" w:color="auto"/>
                                            <w:right w:val="none" w:sz="0" w:space="0" w:color="auto"/>
                                          </w:divBdr>
                                        </w:div>
                                        <w:div w:id="1381708100">
                                          <w:marLeft w:val="0"/>
                                          <w:marRight w:val="0"/>
                                          <w:marTop w:val="0"/>
                                          <w:marBottom w:val="0"/>
                                          <w:divBdr>
                                            <w:top w:val="none" w:sz="0" w:space="0" w:color="auto"/>
                                            <w:left w:val="none" w:sz="0" w:space="0" w:color="auto"/>
                                            <w:bottom w:val="none" w:sz="0" w:space="0" w:color="auto"/>
                                            <w:right w:val="none" w:sz="0" w:space="0" w:color="auto"/>
                                          </w:divBdr>
                                        </w:div>
                                        <w:div w:id="398787358">
                                          <w:marLeft w:val="0"/>
                                          <w:marRight w:val="0"/>
                                          <w:marTop w:val="0"/>
                                          <w:marBottom w:val="0"/>
                                          <w:divBdr>
                                            <w:top w:val="none" w:sz="0" w:space="0" w:color="auto"/>
                                            <w:left w:val="none" w:sz="0" w:space="0" w:color="auto"/>
                                            <w:bottom w:val="none" w:sz="0" w:space="0" w:color="auto"/>
                                            <w:right w:val="none" w:sz="0" w:space="0" w:color="auto"/>
                                          </w:divBdr>
                                        </w:div>
                                        <w:div w:id="805900084">
                                          <w:marLeft w:val="0"/>
                                          <w:marRight w:val="0"/>
                                          <w:marTop w:val="0"/>
                                          <w:marBottom w:val="0"/>
                                          <w:divBdr>
                                            <w:top w:val="none" w:sz="0" w:space="0" w:color="auto"/>
                                            <w:left w:val="none" w:sz="0" w:space="0" w:color="auto"/>
                                            <w:bottom w:val="none" w:sz="0" w:space="0" w:color="auto"/>
                                            <w:right w:val="none" w:sz="0" w:space="0" w:color="auto"/>
                                          </w:divBdr>
                                        </w:div>
                                        <w:div w:id="1534919095">
                                          <w:marLeft w:val="0"/>
                                          <w:marRight w:val="0"/>
                                          <w:marTop w:val="0"/>
                                          <w:marBottom w:val="0"/>
                                          <w:divBdr>
                                            <w:top w:val="none" w:sz="0" w:space="0" w:color="auto"/>
                                            <w:left w:val="none" w:sz="0" w:space="0" w:color="auto"/>
                                            <w:bottom w:val="none" w:sz="0" w:space="0" w:color="auto"/>
                                            <w:right w:val="none" w:sz="0" w:space="0" w:color="auto"/>
                                          </w:divBdr>
                                        </w:div>
                                        <w:div w:id="1601454607">
                                          <w:marLeft w:val="0"/>
                                          <w:marRight w:val="0"/>
                                          <w:marTop w:val="0"/>
                                          <w:marBottom w:val="0"/>
                                          <w:divBdr>
                                            <w:top w:val="none" w:sz="0" w:space="0" w:color="auto"/>
                                            <w:left w:val="none" w:sz="0" w:space="0" w:color="auto"/>
                                            <w:bottom w:val="none" w:sz="0" w:space="0" w:color="auto"/>
                                            <w:right w:val="none" w:sz="0" w:space="0" w:color="auto"/>
                                          </w:divBdr>
                                        </w:div>
                                        <w:div w:id="1461613157">
                                          <w:marLeft w:val="0"/>
                                          <w:marRight w:val="0"/>
                                          <w:marTop w:val="0"/>
                                          <w:marBottom w:val="0"/>
                                          <w:divBdr>
                                            <w:top w:val="none" w:sz="0" w:space="0" w:color="auto"/>
                                            <w:left w:val="none" w:sz="0" w:space="0" w:color="auto"/>
                                            <w:bottom w:val="none" w:sz="0" w:space="0" w:color="auto"/>
                                            <w:right w:val="none" w:sz="0" w:space="0" w:color="auto"/>
                                          </w:divBdr>
                                        </w:div>
                                        <w:div w:id="944457423">
                                          <w:marLeft w:val="0"/>
                                          <w:marRight w:val="0"/>
                                          <w:marTop w:val="0"/>
                                          <w:marBottom w:val="0"/>
                                          <w:divBdr>
                                            <w:top w:val="none" w:sz="0" w:space="0" w:color="auto"/>
                                            <w:left w:val="none" w:sz="0" w:space="0" w:color="auto"/>
                                            <w:bottom w:val="none" w:sz="0" w:space="0" w:color="auto"/>
                                            <w:right w:val="none" w:sz="0" w:space="0" w:color="auto"/>
                                          </w:divBdr>
                                        </w:div>
                                        <w:div w:id="437407668">
                                          <w:marLeft w:val="0"/>
                                          <w:marRight w:val="0"/>
                                          <w:marTop w:val="0"/>
                                          <w:marBottom w:val="0"/>
                                          <w:divBdr>
                                            <w:top w:val="none" w:sz="0" w:space="0" w:color="auto"/>
                                            <w:left w:val="none" w:sz="0" w:space="0" w:color="auto"/>
                                            <w:bottom w:val="none" w:sz="0" w:space="0" w:color="auto"/>
                                            <w:right w:val="none" w:sz="0" w:space="0" w:color="auto"/>
                                          </w:divBdr>
                                        </w:div>
                                        <w:div w:id="1134908514">
                                          <w:marLeft w:val="0"/>
                                          <w:marRight w:val="0"/>
                                          <w:marTop w:val="0"/>
                                          <w:marBottom w:val="0"/>
                                          <w:divBdr>
                                            <w:top w:val="none" w:sz="0" w:space="0" w:color="auto"/>
                                            <w:left w:val="none" w:sz="0" w:space="0" w:color="auto"/>
                                            <w:bottom w:val="none" w:sz="0" w:space="0" w:color="auto"/>
                                            <w:right w:val="none" w:sz="0" w:space="0" w:color="auto"/>
                                          </w:divBdr>
                                        </w:div>
                                        <w:div w:id="137620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48837">
      <w:bodyDiv w:val="1"/>
      <w:marLeft w:val="0"/>
      <w:marRight w:val="0"/>
      <w:marTop w:val="0"/>
      <w:marBottom w:val="0"/>
      <w:divBdr>
        <w:top w:val="none" w:sz="0" w:space="0" w:color="auto"/>
        <w:left w:val="none" w:sz="0" w:space="0" w:color="auto"/>
        <w:bottom w:val="none" w:sz="0" w:space="0" w:color="auto"/>
        <w:right w:val="none" w:sz="0" w:space="0" w:color="auto"/>
      </w:divBdr>
      <w:divsChild>
        <w:div w:id="1616713440">
          <w:marLeft w:val="0"/>
          <w:marRight w:val="0"/>
          <w:marTop w:val="0"/>
          <w:marBottom w:val="0"/>
          <w:divBdr>
            <w:top w:val="none" w:sz="0" w:space="0" w:color="auto"/>
            <w:left w:val="none" w:sz="0" w:space="0" w:color="auto"/>
            <w:bottom w:val="none" w:sz="0" w:space="0" w:color="auto"/>
            <w:right w:val="none" w:sz="0" w:space="0" w:color="auto"/>
          </w:divBdr>
          <w:divsChild>
            <w:div w:id="997224618">
              <w:marLeft w:val="0"/>
              <w:marRight w:val="0"/>
              <w:marTop w:val="0"/>
              <w:marBottom w:val="0"/>
              <w:divBdr>
                <w:top w:val="none" w:sz="0" w:space="0" w:color="auto"/>
                <w:left w:val="none" w:sz="0" w:space="0" w:color="auto"/>
                <w:bottom w:val="none" w:sz="0" w:space="0" w:color="auto"/>
                <w:right w:val="none" w:sz="0" w:space="0" w:color="auto"/>
              </w:divBdr>
              <w:divsChild>
                <w:div w:id="2088184856">
                  <w:marLeft w:val="0"/>
                  <w:marRight w:val="0"/>
                  <w:marTop w:val="0"/>
                  <w:marBottom w:val="0"/>
                  <w:divBdr>
                    <w:top w:val="none" w:sz="0" w:space="12" w:color="auto"/>
                    <w:left w:val="none" w:sz="0" w:space="12" w:color="auto"/>
                    <w:bottom w:val="none" w:sz="0" w:space="12" w:color="auto"/>
                    <w:right w:val="none" w:sz="0" w:space="12" w:color="auto"/>
                  </w:divBdr>
                  <w:divsChild>
                    <w:div w:id="1361780391">
                      <w:marLeft w:val="0"/>
                      <w:marRight w:val="0"/>
                      <w:marTop w:val="0"/>
                      <w:marBottom w:val="0"/>
                      <w:divBdr>
                        <w:top w:val="none" w:sz="0" w:space="12" w:color="auto"/>
                        <w:left w:val="none" w:sz="0" w:space="12" w:color="auto"/>
                        <w:bottom w:val="none" w:sz="0" w:space="12" w:color="auto"/>
                        <w:right w:val="none" w:sz="0" w:space="12" w:color="auto"/>
                      </w:divBdr>
                      <w:divsChild>
                        <w:div w:id="646394438">
                          <w:marLeft w:val="0"/>
                          <w:marRight w:val="0"/>
                          <w:marTop w:val="0"/>
                          <w:marBottom w:val="0"/>
                          <w:divBdr>
                            <w:top w:val="none" w:sz="0" w:space="0" w:color="auto"/>
                            <w:left w:val="none" w:sz="0" w:space="0" w:color="auto"/>
                            <w:bottom w:val="none" w:sz="0" w:space="0" w:color="auto"/>
                            <w:right w:val="none" w:sz="0" w:space="0" w:color="auto"/>
                          </w:divBdr>
                          <w:divsChild>
                            <w:div w:id="600794103">
                              <w:marLeft w:val="-225"/>
                              <w:marRight w:val="-225"/>
                              <w:marTop w:val="0"/>
                              <w:marBottom w:val="0"/>
                              <w:divBdr>
                                <w:top w:val="none" w:sz="0" w:space="0" w:color="auto"/>
                                <w:left w:val="none" w:sz="0" w:space="0" w:color="auto"/>
                                <w:bottom w:val="none" w:sz="0" w:space="0" w:color="auto"/>
                                <w:right w:val="none" w:sz="0" w:space="0" w:color="auto"/>
                              </w:divBdr>
                              <w:divsChild>
                                <w:div w:id="1871259501">
                                  <w:marLeft w:val="0"/>
                                  <w:marRight w:val="0"/>
                                  <w:marTop w:val="0"/>
                                  <w:marBottom w:val="0"/>
                                  <w:divBdr>
                                    <w:top w:val="none" w:sz="0" w:space="0" w:color="auto"/>
                                    <w:left w:val="none" w:sz="0" w:space="0" w:color="auto"/>
                                    <w:bottom w:val="none" w:sz="0" w:space="0" w:color="auto"/>
                                    <w:right w:val="none" w:sz="0" w:space="0" w:color="auto"/>
                                  </w:divBdr>
                                  <w:divsChild>
                                    <w:div w:id="1343781929">
                                      <w:marLeft w:val="0"/>
                                      <w:marRight w:val="0"/>
                                      <w:marTop w:val="0"/>
                                      <w:marBottom w:val="0"/>
                                      <w:divBdr>
                                        <w:top w:val="none" w:sz="0" w:space="0" w:color="auto"/>
                                        <w:left w:val="none" w:sz="0" w:space="0" w:color="auto"/>
                                        <w:bottom w:val="none" w:sz="0" w:space="0" w:color="auto"/>
                                        <w:right w:val="none" w:sz="0" w:space="0" w:color="auto"/>
                                      </w:divBdr>
                                      <w:divsChild>
                                        <w:div w:id="1374888899">
                                          <w:marLeft w:val="0"/>
                                          <w:marRight w:val="0"/>
                                          <w:marTop w:val="0"/>
                                          <w:marBottom w:val="0"/>
                                          <w:divBdr>
                                            <w:top w:val="none" w:sz="0" w:space="0" w:color="auto"/>
                                            <w:left w:val="none" w:sz="0" w:space="0" w:color="auto"/>
                                            <w:bottom w:val="none" w:sz="0" w:space="0" w:color="auto"/>
                                            <w:right w:val="none" w:sz="0" w:space="0" w:color="auto"/>
                                          </w:divBdr>
                                        </w:div>
                                        <w:div w:id="3098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642762">
      <w:bodyDiv w:val="1"/>
      <w:marLeft w:val="0"/>
      <w:marRight w:val="0"/>
      <w:marTop w:val="0"/>
      <w:marBottom w:val="0"/>
      <w:divBdr>
        <w:top w:val="none" w:sz="0" w:space="0" w:color="auto"/>
        <w:left w:val="none" w:sz="0" w:space="0" w:color="auto"/>
        <w:bottom w:val="none" w:sz="0" w:space="0" w:color="auto"/>
        <w:right w:val="none" w:sz="0" w:space="0" w:color="auto"/>
      </w:divBdr>
    </w:div>
    <w:div w:id="1230847743">
      <w:bodyDiv w:val="1"/>
      <w:marLeft w:val="0"/>
      <w:marRight w:val="0"/>
      <w:marTop w:val="0"/>
      <w:marBottom w:val="0"/>
      <w:divBdr>
        <w:top w:val="none" w:sz="0" w:space="0" w:color="auto"/>
        <w:left w:val="none" w:sz="0" w:space="0" w:color="auto"/>
        <w:bottom w:val="none" w:sz="0" w:space="0" w:color="auto"/>
        <w:right w:val="none" w:sz="0" w:space="0" w:color="auto"/>
      </w:divBdr>
      <w:divsChild>
        <w:div w:id="1521969992">
          <w:marLeft w:val="0"/>
          <w:marRight w:val="0"/>
          <w:marTop w:val="0"/>
          <w:marBottom w:val="0"/>
          <w:divBdr>
            <w:top w:val="none" w:sz="0" w:space="0" w:color="auto"/>
            <w:left w:val="none" w:sz="0" w:space="0" w:color="auto"/>
            <w:bottom w:val="none" w:sz="0" w:space="0" w:color="auto"/>
            <w:right w:val="none" w:sz="0" w:space="0" w:color="auto"/>
          </w:divBdr>
          <w:divsChild>
            <w:div w:id="1217014062">
              <w:marLeft w:val="0"/>
              <w:marRight w:val="0"/>
              <w:marTop w:val="0"/>
              <w:marBottom w:val="0"/>
              <w:divBdr>
                <w:top w:val="none" w:sz="0" w:space="0" w:color="auto"/>
                <w:left w:val="none" w:sz="0" w:space="0" w:color="auto"/>
                <w:bottom w:val="none" w:sz="0" w:space="0" w:color="auto"/>
                <w:right w:val="none" w:sz="0" w:space="0" w:color="auto"/>
              </w:divBdr>
              <w:divsChild>
                <w:div w:id="1129932899">
                  <w:marLeft w:val="0"/>
                  <w:marRight w:val="0"/>
                  <w:marTop w:val="0"/>
                  <w:marBottom w:val="0"/>
                  <w:divBdr>
                    <w:top w:val="none" w:sz="0" w:space="12" w:color="auto"/>
                    <w:left w:val="none" w:sz="0" w:space="12" w:color="auto"/>
                    <w:bottom w:val="none" w:sz="0" w:space="12" w:color="auto"/>
                    <w:right w:val="none" w:sz="0" w:space="12" w:color="auto"/>
                  </w:divBdr>
                  <w:divsChild>
                    <w:div w:id="2021932758">
                      <w:marLeft w:val="0"/>
                      <w:marRight w:val="0"/>
                      <w:marTop w:val="0"/>
                      <w:marBottom w:val="0"/>
                      <w:divBdr>
                        <w:top w:val="none" w:sz="0" w:space="12" w:color="auto"/>
                        <w:left w:val="none" w:sz="0" w:space="12" w:color="auto"/>
                        <w:bottom w:val="none" w:sz="0" w:space="12" w:color="auto"/>
                        <w:right w:val="none" w:sz="0" w:space="12" w:color="auto"/>
                      </w:divBdr>
                      <w:divsChild>
                        <w:div w:id="1337268445">
                          <w:marLeft w:val="0"/>
                          <w:marRight w:val="0"/>
                          <w:marTop w:val="0"/>
                          <w:marBottom w:val="0"/>
                          <w:divBdr>
                            <w:top w:val="none" w:sz="0" w:space="0" w:color="auto"/>
                            <w:left w:val="none" w:sz="0" w:space="0" w:color="auto"/>
                            <w:bottom w:val="none" w:sz="0" w:space="0" w:color="auto"/>
                            <w:right w:val="none" w:sz="0" w:space="0" w:color="auto"/>
                          </w:divBdr>
                          <w:divsChild>
                            <w:div w:id="1298335530">
                              <w:marLeft w:val="-225"/>
                              <w:marRight w:val="-225"/>
                              <w:marTop w:val="0"/>
                              <w:marBottom w:val="0"/>
                              <w:divBdr>
                                <w:top w:val="none" w:sz="0" w:space="0" w:color="auto"/>
                                <w:left w:val="none" w:sz="0" w:space="0" w:color="auto"/>
                                <w:bottom w:val="none" w:sz="0" w:space="0" w:color="auto"/>
                                <w:right w:val="none" w:sz="0" w:space="0" w:color="auto"/>
                              </w:divBdr>
                              <w:divsChild>
                                <w:div w:id="1464226810">
                                  <w:marLeft w:val="0"/>
                                  <w:marRight w:val="0"/>
                                  <w:marTop w:val="0"/>
                                  <w:marBottom w:val="0"/>
                                  <w:divBdr>
                                    <w:top w:val="none" w:sz="0" w:space="0" w:color="auto"/>
                                    <w:left w:val="none" w:sz="0" w:space="0" w:color="auto"/>
                                    <w:bottom w:val="none" w:sz="0" w:space="0" w:color="auto"/>
                                    <w:right w:val="none" w:sz="0" w:space="0" w:color="auto"/>
                                  </w:divBdr>
                                  <w:divsChild>
                                    <w:div w:id="1019427589">
                                      <w:marLeft w:val="0"/>
                                      <w:marRight w:val="0"/>
                                      <w:marTop w:val="0"/>
                                      <w:marBottom w:val="0"/>
                                      <w:divBdr>
                                        <w:top w:val="none" w:sz="0" w:space="0" w:color="auto"/>
                                        <w:left w:val="none" w:sz="0" w:space="0" w:color="auto"/>
                                        <w:bottom w:val="none" w:sz="0" w:space="0" w:color="auto"/>
                                        <w:right w:val="none" w:sz="0" w:space="0" w:color="auto"/>
                                      </w:divBdr>
                                      <w:divsChild>
                                        <w:div w:id="220793289">
                                          <w:marLeft w:val="0"/>
                                          <w:marRight w:val="0"/>
                                          <w:marTop w:val="0"/>
                                          <w:marBottom w:val="0"/>
                                          <w:divBdr>
                                            <w:top w:val="none" w:sz="0" w:space="0" w:color="auto"/>
                                            <w:left w:val="none" w:sz="0" w:space="0" w:color="auto"/>
                                            <w:bottom w:val="none" w:sz="0" w:space="0" w:color="auto"/>
                                            <w:right w:val="none" w:sz="0" w:space="0" w:color="auto"/>
                                          </w:divBdr>
                                        </w:div>
                                        <w:div w:id="1905293557">
                                          <w:marLeft w:val="0"/>
                                          <w:marRight w:val="0"/>
                                          <w:marTop w:val="0"/>
                                          <w:marBottom w:val="0"/>
                                          <w:divBdr>
                                            <w:top w:val="none" w:sz="0" w:space="0" w:color="auto"/>
                                            <w:left w:val="none" w:sz="0" w:space="0" w:color="auto"/>
                                            <w:bottom w:val="none" w:sz="0" w:space="0" w:color="auto"/>
                                            <w:right w:val="none" w:sz="0" w:space="0" w:color="auto"/>
                                          </w:divBdr>
                                        </w:div>
                                        <w:div w:id="36247360">
                                          <w:marLeft w:val="0"/>
                                          <w:marRight w:val="0"/>
                                          <w:marTop w:val="0"/>
                                          <w:marBottom w:val="0"/>
                                          <w:divBdr>
                                            <w:top w:val="none" w:sz="0" w:space="0" w:color="auto"/>
                                            <w:left w:val="none" w:sz="0" w:space="0" w:color="auto"/>
                                            <w:bottom w:val="none" w:sz="0" w:space="0" w:color="auto"/>
                                            <w:right w:val="none" w:sz="0" w:space="0" w:color="auto"/>
                                          </w:divBdr>
                                        </w:div>
                                        <w:div w:id="337462919">
                                          <w:marLeft w:val="0"/>
                                          <w:marRight w:val="0"/>
                                          <w:marTop w:val="0"/>
                                          <w:marBottom w:val="0"/>
                                          <w:divBdr>
                                            <w:top w:val="none" w:sz="0" w:space="0" w:color="auto"/>
                                            <w:left w:val="none" w:sz="0" w:space="0" w:color="auto"/>
                                            <w:bottom w:val="none" w:sz="0" w:space="0" w:color="auto"/>
                                            <w:right w:val="none" w:sz="0" w:space="0" w:color="auto"/>
                                          </w:divBdr>
                                        </w:div>
                                        <w:div w:id="1155033062">
                                          <w:marLeft w:val="0"/>
                                          <w:marRight w:val="0"/>
                                          <w:marTop w:val="0"/>
                                          <w:marBottom w:val="0"/>
                                          <w:divBdr>
                                            <w:top w:val="none" w:sz="0" w:space="0" w:color="auto"/>
                                            <w:left w:val="none" w:sz="0" w:space="0" w:color="auto"/>
                                            <w:bottom w:val="none" w:sz="0" w:space="0" w:color="auto"/>
                                            <w:right w:val="none" w:sz="0" w:space="0" w:color="auto"/>
                                          </w:divBdr>
                                        </w:div>
                                        <w:div w:id="342896594">
                                          <w:marLeft w:val="0"/>
                                          <w:marRight w:val="0"/>
                                          <w:marTop w:val="0"/>
                                          <w:marBottom w:val="0"/>
                                          <w:divBdr>
                                            <w:top w:val="none" w:sz="0" w:space="0" w:color="auto"/>
                                            <w:left w:val="none" w:sz="0" w:space="0" w:color="auto"/>
                                            <w:bottom w:val="none" w:sz="0" w:space="0" w:color="auto"/>
                                            <w:right w:val="none" w:sz="0" w:space="0" w:color="auto"/>
                                          </w:divBdr>
                                        </w:div>
                                        <w:div w:id="357896853">
                                          <w:marLeft w:val="0"/>
                                          <w:marRight w:val="0"/>
                                          <w:marTop w:val="0"/>
                                          <w:marBottom w:val="0"/>
                                          <w:divBdr>
                                            <w:top w:val="none" w:sz="0" w:space="0" w:color="auto"/>
                                            <w:left w:val="none" w:sz="0" w:space="0" w:color="auto"/>
                                            <w:bottom w:val="none" w:sz="0" w:space="0" w:color="auto"/>
                                            <w:right w:val="none" w:sz="0" w:space="0" w:color="auto"/>
                                          </w:divBdr>
                                        </w:div>
                                        <w:div w:id="1995910098">
                                          <w:marLeft w:val="0"/>
                                          <w:marRight w:val="0"/>
                                          <w:marTop w:val="0"/>
                                          <w:marBottom w:val="0"/>
                                          <w:divBdr>
                                            <w:top w:val="none" w:sz="0" w:space="0" w:color="auto"/>
                                            <w:left w:val="none" w:sz="0" w:space="0" w:color="auto"/>
                                            <w:bottom w:val="none" w:sz="0" w:space="0" w:color="auto"/>
                                            <w:right w:val="none" w:sz="0" w:space="0" w:color="auto"/>
                                          </w:divBdr>
                                        </w:div>
                                        <w:div w:id="449327198">
                                          <w:marLeft w:val="0"/>
                                          <w:marRight w:val="0"/>
                                          <w:marTop w:val="0"/>
                                          <w:marBottom w:val="0"/>
                                          <w:divBdr>
                                            <w:top w:val="none" w:sz="0" w:space="0" w:color="auto"/>
                                            <w:left w:val="none" w:sz="0" w:space="0" w:color="auto"/>
                                            <w:bottom w:val="none" w:sz="0" w:space="0" w:color="auto"/>
                                            <w:right w:val="none" w:sz="0" w:space="0" w:color="auto"/>
                                          </w:divBdr>
                                        </w:div>
                                        <w:div w:id="667244785">
                                          <w:marLeft w:val="0"/>
                                          <w:marRight w:val="0"/>
                                          <w:marTop w:val="0"/>
                                          <w:marBottom w:val="0"/>
                                          <w:divBdr>
                                            <w:top w:val="none" w:sz="0" w:space="0" w:color="auto"/>
                                            <w:left w:val="none" w:sz="0" w:space="0" w:color="auto"/>
                                            <w:bottom w:val="none" w:sz="0" w:space="0" w:color="auto"/>
                                            <w:right w:val="none" w:sz="0" w:space="0" w:color="auto"/>
                                          </w:divBdr>
                                        </w:div>
                                        <w:div w:id="1226725646">
                                          <w:marLeft w:val="0"/>
                                          <w:marRight w:val="0"/>
                                          <w:marTop w:val="0"/>
                                          <w:marBottom w:val="0"/>
                                          <w:divBdr>
                                            <w:top w:val="none" w:sz="0" w:space="0" w:color="auto"/>
                                            <w:left w:val="none" w:sz="0" w:space="0" w:color="auto"/>
                                            <w:bottom w:val="none" w:sz="0" w:space="0" w:color="auto"/>
                                            <w:right w:val="none" w:sz="0" w:space="0" w:color="auto"/>
                                          </w:divBdr>
                                        </w:div>
                                        <w:div w:id="251160183">
                                          <w:marLeft w:val="0"/>
                                          <w:marRight w:val="0"/>
                                          <w:marTop w:val="0"/>
                                          <w:marBottom w:val="0"/>
                                          <w:divBdr>
                                            <w:top w:val="none" w:sz="0" w:space="0" w:color="auto"/>
                                            <w:left w:val="none" w:sz="0" w:space="0" w:color="auto"/>
                                            <w:bottom w:val="none" w:sz="0" w:space="0" w:color="auto"/>
                                            <w:right w:val="none" w:sz="0" w:space="0" w:color="auto"/>
                                          </w:divBdr>
                                        </w:div>
                                        <w:div w:id="255945205">
                                          <w:marLeft w:val="0"/>
                                          <w:marRight w:val="0"/>
                                          <w:marTop w:val="0"/>
                                          <w:marBottom w:val="0"/>
                                          <w:divBdr>
                                            <w:top w:val="none" w:sz="0" w:space="0" w:color="auto"/>
                                            <w:left w:val="none" w:sz="0" w:space="0" w:color="auto"/>
                                            <w:bottom w:val="none" w:sz="0" w:space="0" w:color="auto"/>
                                            <w:right w:val="none" w:sz="0" w:space="0" w:color="auto"/>
                                          </w:divBdr>
                                        </w:div>
                                        <w:div w:id="364912403">
                                          <w:marLeft w:val="0"/>
                                          <w:marRight w:val="0"/>
                                          <w:marTop w:val="0"/>
                                          <w:marBottom w:val="0"/>
                                          <w:divBdr>
                                            <w:top w:val="none" w:sz="0" w:space="0" w:color="auto"/>
                                            <w:left w:val="none" w:sz="0" w:space="0" w:color="auto"/>
                                            <w:bottom w:val="none" w:sz="0" w:space="0" w:color="auto"/>
                                            <w:right w:val="none" w:sz="0" w:space="0" w:color="auto"/>
                                          </w:divBdr>
                                        </w:div>
                                        <w:div w:id="103430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0242607">
      <w:bodyDiv w:val="1"/>
      <w:marLeft w:val="0"/>
      <w:marRight w:val="0"/>
      <w:marTop w:val="0"/>
      <w:marBottom w:val="0"/>
      <w:divBdr>
        <w:top w:val="none" w:sz="0" w:space="0" w:color="auto"/>
        <w:left w:val="none" w:sz="0" w:space="0" w:color="auto"/>
        <w:bottom w:val="none" w:sz="0" w:space="0" w:color="auto"/>
        <w:right w:val="none" w:sz="0" w:space="0" w:color="auto"/>
      </w:divBdr>
    </w:div>
    <w:div w:id="1764717402">
      <w:bodyDiv w:val="1"/>
      <w:marLeft w:val="0"/>
      <w:marRight w:val="0"/>
      <w:marTop w:val="0"/>
      <w:marBottom w:val="0"/>
      <w:divBdr>
        <w:top w:val="none" w:sz="0" w:space="0" w:color="auto"/>
        <w:left w:val="none" w:sz="0" w:space="0" w:color="auto"/>
        <w:bottom w:val="none" w:sz="0" w:space="0" w:color="auto"/>
        <w:right w:val="none" w:sz="0" w:space="0" w:color="auto"/>
      </w:divBdr>
      <w:divsChild>
        <w:div w:id="1455056212">
          <w:marLeft w:val="0"/>
          <w:marRight w:val="0"/>
          <w:marTop w:val="0"/>
          <w:marBottom w:val="0"/>
          <w:divBdr>
            <w:top w:val="none" w:sz="0" w:space="0" w:color="auto"/>
            <w:left w:val="none" w:sz="0" w:space="0" w:color="auto"/>
            <w:bottom w:val="none" w:sz="0" w:space="0" w:color="auto"/>
            <w:right w:val="none" w:sz="0" w:space="0" w:color="auto"/>
          </w:divBdr>
          <w:divsChild>
            <w:div w:id="1552232300">
              <w:marLeft w:val="0"/>
              <w:marRight w:val="0"/>
              <w:marTop w:val="0"/>
              <w:marBottom w:val="0"/>
              <w:divBdr>
                <w:top w:val="none" w:sz="0" w:space="0" w:color="auto"/>
                <w:left w:val="none" w:sz="0" w:space="0" w:color="auto"/>
                <w:bottom w:val="none" w:sz="0" w:space="0" w:color="auto"/>
                <w:right w:val="none" w:sz="0" w:space="0" w:color="auto"/>
              </w:divBdr>
              <w:divsChild>
                <w:div w:id="975529733">
                  <w:marLeft w:val="0"/>
                  <w:marRight w:val="0"/>
                  <w:marTop w:val="0"/>
                  <w:marBottom w:val="0"/>
                  <w:divBdr>
                    <w:top w:val="none" w:sz="0" w:space="12" w:color="auto"/>
                    <w:left w:val="none" w:sz="0" w:space="12" w:color="auto"/>
                    <w:bottom w:val="none" w:sz="0" w:space="12" w:color="auto"/>
                    <w:right w:val="none" w:sz="0" w:space="12" w:color="auto"/>
                  </w:divBdr>
                  <w:divsChild>
                    <w:div w:id="982350438">
                      <w:marLeft w:val="0"/>
                      <w:marRight w:val="0"/>
                      <w:marTop w:val="0"/>
                      <w:marBottom w:val="0"/>
                      <w:divBdr>
                        <w:top w:val="none" w:sz="0" w:space="12" w:color="auto"/>
                        <w:left w:val="none" w:sz="0" w:space="12" w:color="auto"/>
                        <w:bottom w:val="none" w:sz="0" w:space="12" w:color="auto"/>
                        <w:right w:val="none" w:sz="0" w:space="12" w:color="auto"/>
                      </w:divBdr>
                      <w:divsChild>
                        <w:div w:id="1055009259">
                          <w:marLeft w:val="0"/>
                          <w:marRight w:val="0"/>
                          <w:marTop w:val="0"/>
                          <w:marBottom w:val="0"/>
                          <w:divBdr>
                            <w:top w:val="none" w:sz="0" w:space="0" w:color="auto"/>
                            <w:left w:val="none" w:sz="0" w:space="0" w:color="auto"/>
                            <w:bottom w:val="none" w:sz="0" w:space="0" w:color="auto"/>
                            <w:right w:val="none" w:sz="0" w:space="0" w:color="auto"/>
                          </w:divBdr>
                          <w:divsChild>
                            <w:div w:id="963195852">
                              <w:marLeft w:val="-225"/>
                              <w:marRight w:val="-225"/>
                              <w:marTop w:val="0"/>
                              <w:marBottom w:val="0"/>
                              <w:divBdr>
                                <w:top w:val="none" w:sz="0" w:space="0" w:color="auto"/>
                                <w:left w:val="none" w:sz="0" w:space="0" w:color="auto"/>
                                <w:bottom w:val="none" w:sz="0" w:space="0" w:color="auto"/>
                                <w:right w:val="none" w:sz="0" w:space="0" w:color="auto"/>
                              </w:divBdr>
                              <w:divsChild>
                                <w:div w:id="154535134">
                                  <w:marLeft w:val="0"/>
                                  <w:marRight w:val="0"/>
                                  <w:marTop w:val="0"/>
                                  <w:marBottom w:val="0"/>
                                  <w:divBdr>
                                    <w:top w:val="none" w:sz="0" w:space="0" w:color="auto"/>
                                    <w:left w:val="none" w:sz="0" w:space="0" w:color="auto"/>
                                    <w:bottom w:val="none" w:sz="0" w:space="0" w:color="auto"/>
                                    <w:right w:val="none" w:sz="0" w:space="0" w:color="auto"/>
                                  </w:divBdr>
                                  <w:divsChild>
                                    <w:div w:id="1630429488">
                                      <w:marLeft w:val="0"/>
                                      <w:marRight w:val="0"/>
                                      <w:marTop w:val="0"/>
                                      <w:marBottom w:val="0"/>
                                      <w:divBdr>
                                        <w:top w:val="none" w:sz="0" w:space="0" w:color="auto"/>
                                        <w:left w:val="none" w:sz="0" w:space="0" w:color="auto"/>
                                        <w:bottom w:val="none" w:sz="0" w:space="0" w:color="auto"/>
                                        <w:right w:val="none" w:sz="0" w:space="0" w:color="auto"/>
                                      </w:divBdr>
                                      <w:divsChild>
                                        <w:div w:id="492258221">
                                          <w:marLeft w:val="0"/>
                                          <w:marRight w:val="0"/>
                                          <w:marTop w:val="0"/>
                                          <w:marBottom w:val="0"/>
                                          <w:divBdr>
                                            <w:top w:val="none" w:sz="0" w:space="0" w:color="auto"/>
                                            <w:left w:val="none" w:sz="0" w:space="0" w:color="auto"/>
                                            <w:bottom w:val="none" w:sz="0" w:space="0" w:color="auto"/>
                                            <w:right w:val="none" w:sz="0" w:space="0" w:color="auto"/>
                                          </w:divBdr>
                                          <w:divsChild>
                                            <w:div w:id="1431119330">
                                              <w:marLeft w:val="0"/>
                                              <w:marRight w:val="0"/>
                                              <w:marTop w:val="0"/>
                                              <w:marBottom w:val="0"/>
                                              <w:divBdr>
                                                <w:top w:val="none" w:sz="0" w:space="0" w:color="auto"/>
                                                <w:left w:val="none" w:sz="0" w:space="0" w:color="auto"/>
                                                <w:bottom w:val="none" w:sz="0" w:space="0" w:color="auto"/>
                                                <w:right w:val="none" w:sz="0" w:space="0" w:color="auto"/>
                                              </w:divBdr>
                                            </w:div>
                                            <w:div w:id="1387025619">
                                              <w:marLeft w:val="0"/>
                                              <w:marRight w:val="0"/>
                                              <w:marTop w:val="0"/>
                                              <w:marBottom w:val="0"/>
                                              <w:divBdr>
                                                <w:top w:val="none" w:sz="0" w:space="0" w:color="auto"/>
                                                <w:left w:val="none" w:sz="0" w:space="0" w:color="auto"/>
                                                <w:bottom w:val="none" w:sz="0" w:space="0" w:color="auto"/>
                                                <w:right w:val="none" w:sz="0" w:space="0" w:color="auto"/>
                                              </w:divBdr>
                                            </w:div>
                                            <w:div w:id="133314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4302004">
      <w:bodyDiv w:val="1"/>
      <w:marLeft w:val="0"/>
      <w:marRight w:val="0"/>
      <w:marTop w:val="0"/>
      <w:marBottom w:val="0"/>
      <w:divBdr>
        <w:top w:val="none" w:sz="0" w:space="0" w:color="auto"/>
        <w:left w:val="none" w:sz="0" w:space="0" w:color="auto"/>
        <w:bottom w:val="none" w:sz="0" w:space="0" w:color="auto"/>
        <w:right w:val="none" w:sz="0" w:space="0" w:color="auto"/>
      </w:divBdr>
    </w:div>
    <w:div w:id="1806925272">
      <w:bodyDiv w:val="1"/>
      <w:marLeft w:val="0"/>
      <w:marRight w:val="0"/>
      <w:marTop w:val="0"/>
      <w:marBottom w:val="0"/>
      <w:divBdr>
        <w:top w:val="none" w:sz="0" w:space="0" w:color="auto"/>
        <w:left w:val="none" w:sz="0" w:space="0" w:color="auto"/>
        <w:bottom w:val="none" w:sz="0" w:space="0" w:color="auto"/>
        <w:right w:val="none" w:sz="0" w:space="0" w:color="auto"/>
      </w:divBdr>
    </w:div>
    <w:div w:id="1812164009">
      <w:bodyDiv w:val="1"/>
      <w:marLeft w:val="0"/>
      <w:marRight w:val="0"/>
      <w:marTop w:val="0"/>
      <w:marBottom w:val="0"/>
      <w:divBdr>
        <w:top w:val="none" w:sz="0" w:space="0" w:color="auto"/>
        <w:left w:val="none" w:sz="0" w:space="0" w:color="auto"/>
        <w:bottom w:val="none" w:sz="0" w:space="0" w:color="auto"/>
        <w:right w:val="none" w:sz="0" w:space="0" w:color="auto"/>
      </w:divBdr>
    </w:div>
    <w:div w:id="1851598776">
      <w:bodyDiv w:val="1"/>
      <w:marLeft w:val="0"/>
      <w:marRight w:val="0"/>
      <w:marTop w:val="0"/>
      <w:marBottom w:val="0"/>
      <w:divBdr>
        <w:top w:val="none" w:sz="0" w:space="0" w:color="auto"/>
        <w:left w:val="none" w:sz="0" w:space="0" w:color="auto"/>
        <w:bottom w:val="none" w:sz="0" w:space="0" w:color="auto"/>
        <w:right w:val="none" w:sz="0" w:space="0" w:color="auto"/>
      </w:divBdr>
    </w:div>
    <w:div w:id="1990818274">
      <w:bodyDiv w:val="1"/>
      <w:marLeft w:val="0"/>
      <w:marRight w:val="0"/>
      <w:marTop w:val="0"/>
      <w:marBottom w:val="0"/>
      <w:divBdr>
        <w:top w:val="none" w:sz="0" w:space="0" w:color="auto"/>
        <w:left w:val="none" w:sz="0" w:space="0" w:color="auto"/>
        <w:bottom w:val="none" w:sz="0" w:space="0" w:color="auto"/>
        <w:right w:val="none" w:sz="0" w:space="0" w:color="auto"/>
      </w:divBdr>
    </w:div>
    <w:div w:id="2032679076">
      <w:bodyDiv w:val="1"/>
      <w:marLeft w:val="0"/>
      <w:marRight w:val="0"/>
      <w:marTop w:val="0"/>
      <w:marBottom w:val="0"/>
      <w:divBdr>
        <w:top w:val="none" w:sz="0" w:space="0" w:color="auto"/>
        <w:left w:val="none" w:sz="0" w:space="0" w:color="auto"/>
        <w:bottom w:val="none" w:sz="0" w:space="0" w:color="auto"/>
        <w:right w:val="none" w:sz="0" w:space="0" w:color="auto"/>
      </w:divBdr>
      <w:divsChild>
        <w:div w:id="1467163413">
          <w:marLeft w:val="0"/>
          <w:marRight w:val="0"/>
          <w:marTop w:val="0"/>
          <w:marBottom w:val="0"/>
          <w:divBdr>
            <w:top w:val="none" w:sz="0" w:space="0" w:color="auto"/>
            <w:left w:val="none" w:sz="0" w:space="0" w:color="auto"/>
            <w:bottom w:val="none" w:sz="0" w:space="0" w:color="auto"/>
            <w:right w:val="none" w:sz="0" w:space="0" w:color="auto"/>
          </w:divBdr>
          <w:divsChild>
            <w:div w:id="1289894678">
              <w:marLeft w:val="0"/>
              <w:marRight w:val="0"/>
              <w:marTop w:val="0"/>
              <w:marBottom w:val="0"/>
              <w:divBdr>
                <w:top w:val="none" w:sz="0" w:space="0" w:color="auto"/>
                <w:left w:val="none" w:sz="0" w:space="0" w:color="auto"/>
                <w:bottom w:val="none" w:sz="0" w:space="0" w:color="auto"/>
                <w:right w:val="none" w:sz="0" w:space="0" w:color="auto"/>
              </w:divBdr>
              <w:divsChild>
                <w:div w:id="1446583620">
                  <w:marLeft w:val="0"/>
                  <w:marRight w:val="0"/>
                  <w:marTop w:val="0"/>
                  <w:marBottom w:val="0"/>
                  <w:divBdr>
                    <w:top w:val="none" w:sz="0" w:space="12" w:color="auto"/>
                    <w:left w:val="none" w:sz="0" w:space="12" w:color="auto"/>
                    <w:bottom w:val="none" w:sz="0" w:space="12" w:color="auto"/>
                    <w:right w:val="none" w:sz="0" w:space="12" w:color="auto"/>
                  </w:divBdr>
                  <w:divsChild>
                    <w:div w:id="1849178382">
                      <w:marLeft w:val="0"/>
                      <w:marRight w:val="0"/>
                      <w:marTop w:val="0"/>
                      <w:marBottom w:val="0"/>
                      <w:divBdr>
                        <w:top w:val="none" w:sz="0" w:space="12" w:color="auto"/>
                        <w:left w:val="none" w:sz="0" w:space="12" w:color="auto"/>
                        <w:bottom w:val="none" w:sz="0" w:space="12" w:color="auto"/>
                        <w:right w:val="none" w:sz="0" w:space="12" w:color="auto"/>
                      </w:divBdr>
                      <w:divsChild>
                        <w:div w:id="560403617">
                          <w:marLeft w:val="0"/>
                          <w:marRight w:val="0"/>
                          <w:marTop w:val="0"/>
                          <w:marBottom w:val="0"/>
                          <w:divBdr>
                            <w:top w:val="none" w:sz="0" w:space="0" w:color="auto"/>
                            <w:left w:val="none" w:sz="0" w:space="0" w:color="auto"/>
                            <w:bottom w:val="none" w:sz="0" w:space="0" w:color="auto"/>
                            <w:right w:val="none" w:sz="0" w:space="0" w:color="auto"/>
                          </w:divBdr>
                          <w:divsChild>
                            <w:div w:id="615257467">
                              <w:marLeft w:val="-225"/>
                              <w:marRight w:val="-225"/>
                              <w:marTop w:val="0"/>
                              <w:marBottom w:val="0"/>
                              <w:divBdr>
                                <w:top w:val="none" w:sz="0" w:space="0" w:color="auto"/>
                                <w:left w:val="none" w:sz="0" w:space="0" w:color="auto"/>
                                <w:bottom w:val="none" w:sz="0" w:space="0" w:color="auto"/>
                                <w:right w:val="none" w:sz="0" w:space="0" w:color="auto"/>
                              </w:divBdr>
                              <w:divsChild>
                                <w:div w:id="506752586">
                                  <w:marLeft w:val="0"/>
                                  <w:marRight w:val="0"/>
                                  <w:marTop w:val="0"/>
                                  <w:marBottom w:val="0"/>
                                  <w:divBdr>
                                    <w:top w:val="none" w:sz="0" w:space="0" w:color="auto"/>
                                    <w:left w:val="none" w:sz="0" w:space="0" w:color="auto"/>
                                    <w:bottom w:val="none" w:sz="0" w:space="0" w:color="auto"/>
                                    <w:right w:val="none" w:sz="0" w:space="0" w:color="auto"/>
                                  </w:divBdr>
                                  <w:divsChild>
                                    <w:div w:id="710039198">
                                      <w:marLeft w:val="0"/>
                                      <w:marRight w:val="0"/>
                                      <w:marTop w:val="0"/>
                                      <w:marBottom w:val="0"/>
                                      <w:divBdr>
                                        <w:top w:val="none" w:sz="0" w:space="0" w:color="auto"/>
                                        <w:left w:val="none" w:sz="0" w:space="0" w:color="auto"/>
                                        <w:bottom w:val="none" w:sz="0" w:space="0" w:color="auto"/>
                                        <w:right w:val="none" w:sz="0" w:space="0" w:color="auto"/>
                                      </w:divBdr>
                                      <w:divsChild>
                                        <w:div w:id="1293827284">
                                          <w:marLeft w:val="-225"/>
                                          <w:marRight w:val="-225"/>
                                          <w:marTop w:val="0"/>
                                          <w:marBottom w:val="0"/>
                                          <w:divBdr>
                                            <w:top w:val="none" w:sz="0" w:space="0" w:color="auto"/>
                                            <w:left w:val="none" w:sz="0" w:space="0" w:color="auto"/>
                                            <w:bottom w:val="none" w:sz="0" w:space="0" w:color="auto"/>
                                            <w:right w:val="none" w:sz="0" w:space="0" w:color="auto"/>
                                          </w:divBdr>
                                          <w:divsChild>
                                            <w:div w:id="970478413">
                                              <w:marLeft w:val="0"/>
                                              <w:marRight w:val="0"/>
                                              <w:marTop w:val="0"/>
                                              <w:marBottom w:val="0"/>
                                              <w:divBdr>
                                                <w:top w:val="none" w:sz="0" w:space="0" w:color="auto"/>
                                                <w:left w:val="none" w:sz="0" w:space="0" w:color="auto"/>
                                                <w:bottom w:val="none" w:sz="0" w:space="0" w:color="auto"/>
                                                <w:right w:val="none" w:sz="0" w:space="0" w:color="auto"/>
                                              </w:divBdr>
                                            </w:div>
                                          </w:divsChild>
                                        </w:div>
                                        <w:div w:id="1170174338">
                                          <w:marLeft w:val="-225"/>
                                          <w:marRight w:val="-225"/>
                                          <w:marTop w:val="0"/>
                                          <w:marBottom w:val="0"/>
                                          <w:divBdr>
                                            <w:top w:val="none" w:sz="0" w:space="0" w:color="auto"/>
                                            <w:left w:val="none" w:sz="0" w:space="0" w:color="auto"/>
                                            <w:bottom w:val="none" w:sz="0" w:space="0" w:color="auto"/>
                                            <w:right w:val="none" w:sz="0" w:space="0" w:color="auto"/>
                                          </w:divBdr>
                                          <w:divsChild>
                                            <w:div w:id="1681589320">
                                              <w:marLeft w:val="0"/>
                                              <w:marRight w:val="0"/>
                                              <w:marTop w:val="0"/>
                                              <w:marBottom w:val="0"/>
                                              <w:divBdr>
                                                <w:top w:val="none" w:sz="0" w:space="0" w:color="auto"/>
                                                <w:left w:val="none" w:sz="0" w:space="0" w:color="auto"/>
                                                <w:bottom w:val="none" w:sz="0" w:space="0" w:color="auto"/>
                                                <w:right w:val="none" w:sz="0" w:space="0" w:color="auto"/>
                                              </w:divBdr>
                                              <w:divsChild>
                                                <w:div w:id="46578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8F405F23B3CC4ABD399289A3DA5467" ma:contentTypeVersion="104" ma:contentTypeDescription="" ma:contentTypeScope="" ma:versionID="3b7455b6949332f3e7fa10e53f8124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2016-05-31T07:00:00+00:00</OpenedDate>
    <Date1 xmlns="dc463f71-b30c-4ab2-9473-d307f9d35888">2016-08-04T07:00:00+00:00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160757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37BCE-C86B-4002-AB1E-BE4F8E21F5D4}"/>
</file>

<file path=customXml/itemProps2.xml><?xml version="1.0" encoding="utf-8"?>
<ds:datastoreItem xmlns:ds="http://schemas.openxmlformats.org/officeDocument/2006/customXml" ds:itemID="{BB67EA1F-DCD2-4C2E-98D0-E31119CEDE54}"/>
</file>

<file path=customXml/itemProps3.xml><?xml version="1.0" encoding="utf-8"?>
<ds:datastoreItem xmlns:ds="http://schemas.openxmlformats.org/officeDocument/2006/customXml" ds:itemID="{3BFED4A1-50E3-485F-8E9F-A2F0571EEE48}"/>
</file>

<file path=customXml/itemProps4.xml><?xml version="1.0" encoding="utf-8"?>
<ds:datastoreItem xmlns:ds="http://schemas.openxmlformats.org/officeDocument/2006/customXml" ds:itemID="{65B395AB-1624-4E27-9B7C-060897804C0E}"/>
</file>

<file path=customXml/itemProps5.xml><?xml version="1.0" encoding="utf-8"?>
<ds:datastoreItem xmlns:ds="http://schemas.openxmlformats.org/officeDocument/2006/customXml" ds:itemID="{39524AB0-65D9-41C7-AD3C-E1ADA5698C31}"/>
</file>

<file path=docProps/app.xml><?xml version="1.0" encoding="utf-8"?>
<Properties xmlns="http://schemas.openxmlformats.org/officeDocument/2006/extended-properties" xmlns:vt="http://schemas.openxmlformats.org/officeDocument/2006/docPropsVTypes">
  <Template>Normal.dotm</Template>
  <TotalTime>0</TotalTime>
  <Pages>10</Pages>
  <Words>3149</Words>
  <Characters>17953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Staff Comments 7-14-16</vt:lpstr>
    </vt:vector>
  </TitlesOfParts>
  <Company>Washington Utilities and Transportation Commission</Company>
  <LinksUpToDate>false</LinksUpToDate>
  <CharactersWithSpaces>21060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Comments 7-14-16</dc:title>
  <dc:subject/>
  <dc:creator>Twitchell, Jeremy (UTC)</dc:creator>
  <cp:keywords/>
  <dc:description/>
  <cp:lastModifiedBy>Wyse, Lisa (UTC)</cp:lastModifiedBy>
  <cp:revision>2</cp:revision>
  <cp:lastPrinted>2016-07-12T20:29:00Z</cp:lastPrinted>
  <dcterms:created xsi:type="dcterms:W3CDTF">2016-08-02T17:26:00Z</dcterms:created>
  <dcterms:modified xsi:type="dcterms:W3CDTF">2016-08-02T17:26:00Z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0x0101006E56B4D1795A2E4DB2F0B01679ED314A003D8F405F23B3CC4ABD399289A3DA5467</vt:lpwstr>
  </property>
  <property fmtid="{D5CDD505-2E9C-101B-9397-08002B2CF9AE}" pid="3" name="_docset_NoMedatataSyncRequired">
    <vt:lpwstr>False</vt:lpwstr>
  </property>
</Properties>
</file>