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7222" w14:textId="73915A6E" w:rsidR="00522323" w:rsidRPr="000F5FEE" w:rsidRDefault="008A5EF8" w:rsidP="00543E19">
      <w:pPr>
        <w:pStyle w:val="PlainText"/>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April</w:t>
      </w:r>
      <w:r w:rsidR="00691E3A" w:rsidRPr="000F5FEE">
        <w:rPr>
          <w:rFonts w:ascii="Times New Roman" w:hAnsi="Times New Roman" w:cs="Times New Roman"/>
          <w:b/>
          <w:sz w:val="32"/>
          <w:szCs w:val="32"/>
        </w:rPr>
        <w:t xml:space="preserve"> 2014</w:t>
      </w:r>
      <w:r w:rsidR="00522323" w:rsidRPr="000F5FEE">
        <w:rPr>
          <w:rFonts w:ascii="Times New Roman" w:hAnsi="Times New Roman" w:cs="Times New Roman"/>
          <w:b/>
          <w:sz w:val="32"/>
          <w:szCs w:val="32"/>
        </w:rPr>
        <w:t xml:space="preserve"> </w:t>
      </w:r>
      <w:r w:rsidR="00330460">
        <w:rPr>
          <w:rFonts w:ascii="Times New Roman" w:hAnsi="Times New Roman" w:cs="Times New Roman"/>
          <w:b/>
          <w:sz w:val="32"/>
          <w:szCs w:val="32"/>
        </w:rPr>
        <w:t xml:space="preserve">Informal </w:t>
      </w:r>
      <w:r w:rsidR="00AC50C4" w:rsidRPr="000F5FEE">
        <w:rPr>
          <w:rFonts w:ascii="Times New Roman" w:hAnsi="Times New Roman" w:cs="Times New Roman"/>
          <w:b/>
          <w:sz w:val="32"/>
          <w:szCs w:val="32"/>
        </w:rPr>
        <w:t>D</w:t>
      </w:r>
      <w:r w:rsidR="00543E19">
        <w:rPr>
          <w:rFonts w:ascii="Times New Roman" w:hAnsi="Times New Roman" w:cs="Times New Roman"/>
          <w:b/>
          <w:sz w:val="32"/>
          <w:szCs w:val="32"/>
        </w:rPr>
        <w:t>raft</w:t>
      </w:r>
      <w:r w:rsidR="00AC50C4" w:rsidRPr="000F5FEE">
        <w:rPr>
          <w:rFonts w:ascii="Times New Roman" w:hAnsi="Times New Roman" w:cs="Times New Roman"/>
          <w:b/>
          <w:sz w:val="32"/>
          <w:szCs w:val="32"/>
        </w:rPr>
        <w:t xml:space="preserve"> R</w:t>
      </w:r>
      <w:r w:rsidR="00543E19">
        <w:rPr>
          <w:rFonts w:ascii="Times New Roman" w:hAnsi="Times New Roman" w:cs="Times New Roman"/>
          <w:b/>
          <w:sz w:val="32"/>
          <w:szCs w:val="32"/>
        </w:rPr>
        <w:t>ule</w:t>
      </w:r>
      <w:r w:rsidR="00AC50C4" w:rsidRPr="000F5FEE">
        <w:rPr>
          <w:rFonts w:ascii="Times New Roman" w:hAnsi="Times New Roman" w:cs="Times New Roman"/>
          <w:b/>
          <w:sz w:val="32"/>
          <w:szCs w:val="32"/>
        </w:rPr>
        <w:t xml:space="preserve"> </w:t>
      </w:r>
      <w:r w:rsidR="00691E3A" w:rsidRPr="000F5FEE">
        <w:rPr>
          <w:rFonts w:ascii="Times New Roman" w:hAnsi="Times New Roman" w:cs="Times New Roman"/>
          <w:b/>
          <w:sz w:val="32"/>
          <w:szCs w:val="32"/>
        </w:rPr>
        <w:t>L</w:t>
      </w:r>
      <w:r w:rsidR="00543E19">
        <w:rPr>
          <w:rFonts w:ascii="Times New Roman" w:hAnsi="Times New Roman" w:cs="Times New Roman"/>
          <w:b/>
          <w:sz w:val="32"/>
          <w:szCs w:val="32"/>
        </w:rPr>
        <w:t>anguage</w:t>
      </w:r>
    </w:p>
    <w:p w14:paraId="11C0F1BA" w14:textId="77777777" w:rsidR="00522323" w:rsidRPr="000F5FEE" w:rsidRDefault="00522323" w:rsidP="00522323">
      <w:pPr>
        <w:pStyle w:val="PlainText"/>
        <w:jc w:val="center"/>
        <w:rPr>
          <w:rFonts w:ascii="Times New Roman" w:hAnsi="Times New Roman" w:cs="Times New Roman"/>
          <w:b/>
          <w:sz w:val="32"/>
          <w:szCs w:val="32"/>
        </w:rPr>
      </w:pPr>
    </w:p>
    <w:p w14:paraId="5CC2BDE2" w14:textId="452BF7C7" w:rsidR="00AC50C4" w:rsidRPr="000F5FEE" w:rsidRDefault="007425AA" w:rsidP="00522323">
      <w:pPr>
        <w:pStyle w:val="PlainText"/>
        <w:jc w:val="center"/>
        <w:rPr>
          <w:rFonts w:ascii="Times New Roman" w:hAnsi="Times New Roman" w:cs="Times New Roman"/>
          <w:b/>
          <w:sz w:val="32"/>
          <w:szCs w:val="32"/>
        </w:rPr>
      </w:pPr>
      <w:r w:rsidRPr="000F5FEE">
        <w:rPr>
          <w:rFonts w:ascii="Times New Roman" w:hAnsi="Times New Roman" w:cs="Times New Roman"/>
          <w:b/>
          <w:sz w:val="32"/>
          <w:szCs w:val="32"/>
        </w:rPr>
        <w:t>CLEAN</w:t>
      </w:r>
      <w:r w:rsidR="00691E3A" w:rsidRPr="000F5FEE">
        <w:rPr>
          <w:rFonts w:ascii="Times New Roman" w:hAnsi="Times New Roman" w:cs="Times New Roman"/>
          <w:b/>
          <w:sz w:val="32"/>
          <w:szCs w:val="32"/>
        </w:rPr>
        <w:t xml:space="preserve"> VERSION</w:t>
      </w:r>
    </w:p>
    <w:p w14:paraId="35FB6B82" w14:textId="77777777" w:rsidR="00AC50C4" w:rsidRPr="000F5FEE" w:rsidRDefault="00AC50C4" w:rsidP="00DF5B8F">
      <w:pPr>
        <w:pStyle w:val="PlainText"/>
        <w:rPr>
          <w:rFonts w:ascii="Times New Roman" w:hAnsi="Times New Roman" w:cs="Times New Roman"/>
          <w:b/>
          <w:sz w:val="32"/>
          <w:szCs w:val="32"/>
        </w:rPr>
      </w:pPr>
    </w:p>
    <w:p w14:paraId="668C8451" w14:textId="77777777" w:rsidR="00A03A7E" w:rsidRPr="000F5FEE" w:rsidRDefault="00A03A7E" w:rsidP="00DF5B8F">
      <w:pPr>
        <w:pStyle w:val="PlainText"/>
        <w:rPr>
          <w:rFonts w:ascii="Times New Roman" w:hAnsi="Times New Roman" w:cs="Times New Roman"/>
          <w:b/>
          <w:sz w:val="32"/>
          <w:szCs w:val="32"/>
        </w:rPr>
      </w:pPr>
      <w:r w:rsidRPr="000F5FEE">
        <w:rPr>
          <w:rFonts w:ascii="Times New Roman" w:hAnsi="Times New Roman" w:cs="Times New Roman"/>
          <w:b/>
          <w:sz w:val="32"/>
          <w:szCs w:val="32"/>
        </w:rPr>
        <w:t xml:space="preserve">Chapter 480-109 WAC: </w:t>
      </w:r>
      <w:r w:rsidR="00D70046" w:rsidRPr="000F5FEE">
        <w:rPr>
          <w:rFonts w:ascii="Times New Roman" w:hAnsi="Times New Roman" w:cs="Times New Roman"/>
          <w:b/>
          <w:sz w:val="32"/>
          <w:szCs w:val="32"/>
        </w:rPr>
        <w:t xml:space="preserve"> </w:t>
      </w:r>
      <w:r w:rsidRPr="000F5FEE">
        <w:rPr>
          <w:rFonts w:ascii="Times New Roman" w:hAnsi="Times New Roman" w:cs="Times New Roman"/>
          <w:b/>
          <w:sz w:val="32"/>
          <w:szCs w:val="32"/>
        </w:rPr>
        <w:t>Electric companies — acquisition of minimum quantities of conservation and renewable energy as required b</w:t>
      </w:r>
      <w:r w:rsidR="006D50E3" w:rsidRPr="000F5FEE">
        <w:rPr>
          <w:rFonts w:ascii="Times New Roman" w:hAnsi="Times New Roman" w:cs="Times New Roman"/>
          <w:b/>
          <w:sz w:val="32"/>
          <w:szCs w:val="32"/>
        </w:rPr>
        <w:t>y the Energy Independence Act (C</w:t>
      </w:r>
      <w:r w:rsidRPr="000F5FEE">
        <w:rPr>
          <w:rFonts w:ascii="Times New Roman" w:hAnsi="Times New Roman" w:cs="Times New Roman"/>
          <w:b/>
          <w:sz w:val="32"/>
          <w:szCs w:val="32"/>
        </w:rPr>
        <w:t xml:space="preserve">hapter 19.285 </w:t>
      </w:r>
      <w:r w:rsidR="006D50E3" w:rsidRPr="000F5FEE">
        <w:rPr>
          <w:rFonts w:ascii="Times New Roman" w:hAnsi="Times New Roman" w:cs="Times New Roman"/>
          <w:b/>
          <w:sz w:val="32"/>
          <w:szCs w:val="32"/>
        </w:rPr>
        <w:t>RCW)</w:t>
      </w:r>
      <w:r w:rsidRPr="000F5FEE">
        <w:rPr>
          <w:rFonts w:ascii="Times New Roman" w:hAnsi="Times New Roman" w:cs="Times New Roman"/>
          <w:b/>
          <w:sz w:val="32"/>
          <w:szCs w:val="32"/>
        </w:rPr>
        <w:t xml:space="preserve"> </w:t>
      </w:r>
    </w:p>
    <w:p w14:paraId="668C8452" w14:textId="77777777" w:rsidR="00A03A7E" w:rsidRPr="000F5FEE" w:rsidRDefault="00A03A7E" w:rsidP="00DF5B8F">
      <w:pPr>
        <w:pStyle w:val="PlainText"/>
        <w:rPr>
          <w:rFonts w:ascii="Times New Roman" w:hAnsi="Times New Roman" w:cs="Times New Roman"/>
        </w:rPr>
      </w:pPr>
      <w:r w:rsidRPr="000F5FEE">
        <w:rPr>
          <w:rFonts w:ascii="Times New Roman" w:hAnsi="Times New Roman" w:cs="Times New Roman"/>
        </w:rPr>
        <w:t xml:space="preserve">   </w:t>
      </w:r>
    </w:p>
    <w:p w14:paraId="668C8462" w14:textId="3E9106E8" w:rsidR="00A03A7E" w:rsidRPr="000F5FEE" w:rsidRDefault="00A03A7E" w:rsidP="00DF5B8F">
      <w:pPr>
        <w:pStyle w:val="PlainText"/>
        <w:rPr>
          <w:rFonts w:ascii="Times New Roman" w:hAnsi="Times New Roman" w:cs="Times New Roman"/>
        </w:rPr>
      </w:pPr>
      <w:r w:rsidRPr="000F5FEE">
        <w:rPr>
          <w:rFonts w:ascii="Times New Roman" w:hAnsi="Times New Roman" w:cs="Times New Roman"/>
        </w:rPr>
        <w:t xml:space="preserve"> </w:t>
      </w:r>
    </w:p>
    <w:p w14:paraId="668C8463" w14:textId="77777777"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480-109-001</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Purpose and scope.</w:t>
      </w:r>
    </w:p>
    <w:p w14:paraId="668C8466" w14:textId="3CD17C94" w:rsidR="00A03A7E" w:rsidRPr="000F5FEE" w:rsidRDefault="00AC50C4"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No changes.</w:t>
      </w:r>
    </w:p>
    <w:p w14:paraId="668C8467" w14:textId="77777777" w:rsidR="00A03A7E" w:rsidRPr="000F5FEE" w:rsidRDefault="00A03A7E" w:rsidP="00DF5B8F">
      <w:pPr>
        <w:pStyle w:val="PlainText"/>
        <w:rPr>
          <w:rFonts w:ascii="Times New Roman" w:hAnsi="Times New Roman" w:cs="Times New Roman"/>
          <w:sz w:val="24"/>
          <w:szCs w:val="24"/>
        </w:rPr>
      </w:pPr>
    </w:p>
    <w:p w14:paraId="668C8468" w14:textId="77777777"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480-109-002</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Application of rules.</w:t>
      </w:r>
    </w:p>
    <w:p w14:paraId="668C846D" w14:textId="4BA50AEA" w:rsidR="00A03A7E" w:rsidRPr="000F5FEE" w:rsidRDefault="00AC50C4"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No changes.</w:t>
      </w:r>
    </w:p>
    <w:p w14:paraId="668C846E" w14:textId="77777777" w:rsidR="00A03A7E" w:rsidRPr="000F5FEE" w:rsidRDefault="00A03A7E" w:rsidP="00DF5B8F">
      <w:pPr>
        <w:pStyle w:val="PlainText"/>
        <w:rPr>
          <w:rFonts w:ascii="Times New Roman" w:hAnsi="Times New Roman" w:cs="Times New Roman"/>
          <w:sz w:val="24"/>
          <w:szCs w:val="24"/>
        </w:rPr>
      </w:pPr>
    </w:p>
    <w:p w14:paraId="668C846F" w14:textId="77777777"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480-109-003</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Exemptions from rules in chapter 480-109 WAC.</w:t>
      </w:r>
    </w:p>
    <w:p w14:paraId="668C8472" w14:textId="15A081FC" w:rsidR="00A03A7E" w:rsidRPr="000F5FEE" w:rsidRDefault="00AC50C4"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No changes.</w:t>
      </w:r>
    </w:p>
    <w:p w14:paraId="668C8473" w14:textId="77777777" w:rsidR="00A03A7E" w:rsidRPr="000F5FEE" w:rsidRDefault="00A03A7E" w:rsidP="00DF5B8F">
      <w:pPr>
        <w:pStyle w:val="PlainText"/>
        <w:rPr>
          <w:rFonts w:ascii="Times New Roman" w:hAnsi="Times New Roman" w:cs="Times New Roman"/>
          <w:sz w:val="24"/>
          <w:szCs w:val="24"/>
        </w:rPr>
      </w:pPr>
    </w:p>
    <w:p w14:paraId="668C8474" w14:textId="77777777"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480-109-004</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Additional requirements.</w:t>
      </w:r>
    </w:p>
    <w:p w14:paraId="7A688DA9" w14:textId="49A76541" w:rsidR="00AC50C4" w:rsidRPr="000F5FEE" w:rsidRDefault="00AC50C4" w:rsidP="00AC50C4">
      <w:pPr>
        <w:pStyle w:val="PlainText"/>
        <w:rPr>
          <w:rFonts w:ascii="Times New Roman" w:hAnsi="Times New Roman" w:cs="Times New Roman"/>
          <w:sz w:val="24"/>
          <w:szCs w:val="24"/>
        </w:rPr>
      </w:pPr>
      <w:r w:rsidRPr="000F5FEE">
        <w:rPr>
          <w:rFonts w:ascii="Times New Roman" w:hAnsi="Times New Roman" w:cs="Times New Roman"/>
          <w:sz w:val="24"/>
          <w:szCs w:val="24"/>
        </w:rPr>
        <w:t>No changes.</w:t>
      </w:r>
    </w:p>
    <w:p w14:paraId="668C8479" w14:textId="77777777" w:rsidR="00A03A7E" w:rsidRPr="000F5FEE" w:rsidRDefault="00A03A7E" w:rsidP="00DF5B8F">
      <w:pPr>
        <w:pStyle w:val="PlainText"/>
        <w:rPr>
          <w:rFonts w:ascii="Times New Roman" w:hAnsi="Times New Roman" w:cs="Times New Roman"/>
          <w:sz w:val="24"/>
          <w:szCs w:val="24"/>
        </w:rPr>
      </w:pPr>
    </w:p>
    <w:p w14:paraId="668C847A" w14:textId="77777777"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480-109-006</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Severability.</w:t>
      </w:r>
    </w:p>
    <w:p w14:paraId="668C847D" w14:textId="35E45E1C" w:rsidR="00A03A7E" w:rsidRPr="000F5FEE" w:rsidRDefault="00AC50C4"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No changes.</w:t>
      </w:r>
    </w:p>
    <w:p w14:paraId="668C847E" w14:textId="77777777" w:rsidR="00A03A7E" w:rsidRPr="000F5FEE" w:rsidRDefault="00A03A7E" w:rsidP="00DF5B8F">
      <w:pPr>
        <w:pStyle w:val="PlainText"/>
        <w:rPr>
          <w:rFonts w:ascii="Times New Roman" w:hAnsi="Times New Roman" w:cs="Times New Roman"/>
          <w:sz w:val="24"/>
          <w:szCs w:val="24"/>
        </w:rPr>
      </w:pPr>
    </w:p>
    <w:p w14:paraId="668C847F" w14:textId="2B339FBD" w:rsidR="00A03A7E" w:rsidRPr="000F5FEE" w:rsidRDefault="00A03A7E" w:rsidP="00DF5B8F">
      <w:pPr>
        <w:pStyle w:val="PlainText"/>
        <w:rPr>
          <w:rFonts w:ascii="Times New Roman" w:hAnsi="Times New Roman" w:cs="Times New Roman"/>
          <w:sz w:val="24"/>
          <w:szCs w:val="24"/>
        </w:rPr>
      </w:pPr>
      <w:r w:rsidRPr="000F5FEE">
        <w:rPr>
          <w:rFonts w:ascii="Times New Roman" w:hAnsi="Times New Roman" w:cs="Times New Roman"/>
          <w:b/>
          <w:sz w:val="24"/>
          <w:szCs w:val="24"/>
        </w:rPr>
        <w:t>480-109-007</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Definitions.</w:t>
      </w:r>
      <w:r w:rsidR="00380E5B" w:rsidRPr="000F5FEE">
        <w:rPr>
          <w:rFonts w:ascii="Times New Roman" w:hAnsi="Times New Roman" w:cs="Times New Roman"/>
          <w:sz w:val="24"/>
          <w:szCs w:val="24"/>
        </w:rPr>
        <w:t xml:space="preserve">  The definitions in this section apply throughout this chapter unless the context clearly requires otherwise.</w:t>
      </w:r>
    </w:p>
    <w:p w14:paraId="668C8480" w14:textId="4A7EFE10" w:rsidR="00A03A7E" w:rsidRPr="000F5FEE" w:rsidRDefault="00A03A7E"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 (1) "</w:t>
      </w:r>
      <w:r w:rsidR="00103049" w:rsidRPr="000F5FEE">
        <w:rPr>
          <w:rFonts w:ascii="Times New Roman" w:hAnsi="Times New Roman" w:cs="Times New Roman"/>
          <w:sz w:val="24"/>
          <w:szCs w:val="24"/>
        </w:rPr>
        <w:t xml:space="preserve"> Annual retail revenue requirement" means the total revenue the commission authorizes a utility an opportunity to recover in Washington rates pursuant to a general rate proceeding or other general rate revision.</w:t>
      </w:r>
    </w:p>
    <w:p w14:paraId="4CFF6992" w14:textId="77777777" w:rsidR="000B44CD" w:rsidRPr="000F5FEE" w:rsidRDefault="000B44CD"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“Biomass energy” means:</w:t>
      </w:r>
    </w:p>
    <w:p w14:paraId="7D81F395" w14:textId="77777777" w:rsidR="000B44CD" w:rsidRPr="000F5FEE" w:rsidRDefault="000B44CD" w:rsidP="000B44CD">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The electrical energy produced by a generation facility powered by:</w:t>
      </w:r>
    </w:p>
    <w:p w14:paraId="7D6A8A65"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Organic by-products of pulping and the wood manufacturing process;</w:t>
      </w:r>
    </w:p>
    <w:p w14:paraId="7B4C3ADA"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Animal manure;</w:t>
      </w:r>
    </w:p>
    <w:p w14:paraId="367AA845"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Solid organic fuels from wood;</w:t>
      </w:r>
    </w:p>
    <w:p w14:paraId="1A962846"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Forest or field residues;</w:t>
      </w:r>
    </w:p>
    <w:p w14:paraId="0D93CAAB"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Untreated wooden demolition or construction debris;</w:t>
      </w:r>
    </w:p>
    <w:p w14:paraId="79D2AF4D"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Food waste and food processing residuals;</w:t>
      </w:r>
    </w:p>
    <w:p w14:paraId="229C0B1F"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Liquors derived from algae;</w:t>
      </w:r>
    </w:p>
    <w:p w14:paraId="57635830"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Dedicated energy crops; and</w:t>
      </w:r>
    </w:p>
    <w:p w14:paraId="193AFE8F"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Yard waste.</w:t>
      </w:r>
    </w:p>
    <w:p w14:paraId="0744749E" w14:textId="77777777" w:rsidR="000B44CD" w:rsidRPr="000F5FEE" w:rsidRDefault="000B44CD" w:rsidP="000B44CD">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Biomass energy does not include:</w:t>
      </w:r>
    </w:p>
    <w:p w14:paraId="683A7B82"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Wood pieces that have been treated with chemical preservatives such as creosote, pentachlorophenol, or copper-chrome arsenic;</w:t>
      </w:r>
    </w:p>
    <w:p w14:paraId="26A10737"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Wood from old growth forests; or</w:t>
      </w:r>
    </w:p>
    <w:p w14:paraId="0A9E8C6B" w14:textId="77777777" w:rsidR="000B44CD" w:rsidRPr="000F5FEE" w:rsidRDefault="000B44CD" w:rsidP="000B44CD">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lastRenderedPageBreak/>
        <w:t>Municipal solid waste.</w:t>
      </w:r>
    </w:p>
    <w:p w14:paraId="17A650A6" w14:textId="77777777" w:rsidR="000B44CD" w:rsidRPr="000F5FEE" w:rsidRDefault="000B44CD" w:rsidP="00DF5B8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“Coal transition power” means the output of a coal-fired electric generation facility that is subject to an obligation to meet the standards contained in RCW 80.80.040(3)(c).</w:t>
      </w:r>
    </w:p>
    <w:p w14:paraId="668C8481" w14:textId="62709D7C" w:rsidR="00A03A7E" w:rsidRPr="000F5FEE" w:rsidRDefault="00A03A7E" w:rsidP="00DF5B8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"Commission" means the Washington utilities and transportation commission.</w:t>
      </w:r>
    </w:p>
    <w:p w14:paraId="668C8482" w14:textId="0236FB3A" w:rsidR="00A03A7E" w:rsidRPr="000F5FEE" w:rsidRDefault="00A03A7E"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"Conservation" means any reduction in electric power consumption resulting from increases in the efficiency of energy use, production, or distribution.</w:t>
      </w:r>
    </w:p>
    <w:p w14:paraId="5E420647" w14:textId="77777777" w:rsidR="007425AA" w:rsidRPr="000F5FEE" w:rsidRDefault="00A03A7E" w:rsidP="009D06A2">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"Cost-effective" </w:t>
      </w:r>
      <w:r w:rsidR="004E2103" w:rsidRPr="000F5FEE">
        <w:rPr>
          <w:rFonts w:ascii="Times New Roman" w:hAnsi="Times New Roman" w:cs="Times New Roman"/>
          <w:sz w:val="24"/>
          <w:szCs w:val="24"/>
        </w:rPr>
        <w:t>means</w:t>
      </w:r>
      <w:r w:rsidR="00F804A9" w:rsidRPr="000F5FEE">
        <w:rPr>
          <w:rFonts w:ascii="Times New Roman" w:hAnsi="Times New Roman" w:cs="Times New Roman"/>
          <w:sz w:val="24"/>
          <w:szCs w:val="24"/>
        </w:rPr>
        <w:t>, consistent with RCW 80.52.030,</w:t>
      </w:r>
      <w:r w:rsidR="004E2103" w:rsidRPr="000F5FEE">
        <w:rPr>
          <w:rFonts w:ascii="Times New Roman" w:hAnsi="Times New Roman" w:cs="Times New Roman"/>
          <w:sz w:val="24"/>
          <w:szCs w:val="24"/>
        </w:rPr>
        <w:t xml:space="preserve"> that a project or resource is forecast:</w:t>
      </w:r>
      <w:r w:rsidR="004E2103" w:rsidRPr="000F5FEE">
        <w:rPr>
          <w:rFonts w:ascii="Times New Roman" w:hAnsi="Times New Roman" w:cs="Times New Roman"/>
          <w:sz w:val="24"/>
          <w:szCs w:val="24"/>
        </w:rPr>
        <w:br/>
      </w:r>
      <w:r w:rsidR="00510275" w:rsidRPr="000F5FEE">
        <w:rPr>
          <w:rFonts w:ascii="Times New Roman" w:hAnsi="Times New Roman" w:cs="Times New Roman"/>
          <w:sz w:val="24"/>
          <w:szCs w:val="24"/>
        </w:rPr>
        <w:t xml:space="preserve">         </w:t>
      </w:r>
      <w:r w:rsidR="004E2103" w:rsidRPr="000F5FEE">
        <w:rPr>
          <w:rFonts w:ascii="Times New Roman" w:hAnsi="Times New Roman" w:cs="Times New Roman"/>
          <w:sz w:val="24"/>
          <w:szCs w:val="24"/>
        </w:rPr>
        <w:t>(a) To be reliable and available within the time it is needed; and</w:t>
      </w:r>
      <w:r w:rsidR="004E2103" w:rsidRPr="000F5FEE">
        <w:rPr>
          <w:rFonts w:ascii="Times New Roman" w:hAnsi="Times New Roman" w:cs="Times New Roman"/>
          <w:sz w:val="24"/>
          <w:szCs w:val="24"/>
        </w:rPr>
        <w:br/>
      </w:r>
      <w:r w:rsidR="00510275" w:rsidRPr="000F5FEE">
        <w:rPr>
          <w:rFonts w:ascii="Times New Roman" w:hAnsi="Times New Roman" w:cs="Times New Roman"/>
          <w:sz w:val="24"/>
          <w:szCs w:val="24"/>
        </w:rPr>
        <w:t xml:space="preserve">         </w:t>
      </w:r>
      <w:r w:rsidR="004E2103" w:rsidRPr="000F5FEE">
        <w:rPr>
          <w:rFonts w:ascii="Times New Roman" w:hAnsi="Times New Roman" w:cs="Times New Roman"/>
          <w:sz w:val="24"/>
          <w:szCs w:val="24"/>
        </w:rPr>
        <w:t xml:space="preserve">(b) To meet or reduce the electric power demand of the intended consumers at an estimated incremental system cost no greater than that of the least-cost similarly reliable and available alternative project or resource, or any combination thereof.  </w:t>
      </w:r>
    </w:p>
    <w:p w14:paraId="5F9F400F" w14:textId="2DC48662" w:rsidR="009D06A2" w:rsidRPr="000F5FEE" w:rsidRDefault="009D06A2" w:rsidP="009D06A2">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"Council" means the Northwest Power and Conservation Council.</w:t>
      </w:r>
    </w:p>
    <w:p w14:paraId="668C8485" w14:textId="2076D33D" w:rsidR="00A03A7E" w:rsidRPr="000F5FEE" w:rsidRDefault="00A03A7E"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"Customer" means a person or entity that purchases electricity for ultimate consumption and not for resale.</w:t>
      </w:r>
    </w:p>
    <w:p w14:paraId="668C8486" w14:textId="67641785" w:rsidR="00A03A7E" w:rsidRPr="000F5FEE" w:rsidRDefault="00A03A7E"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"Department" means the department of </w:t>
      </w:r>
      <w:r w:rsidR="003B177D" w:rsidRPr="000F5FEE">
        <w:rPr>
          <w:rFonts w:ascii="Times New Roman" w:hAnsi="Times New Roman" w:cs="Times New Roman"/>
          <w:sz w:val="24"/>
          <w:szCs w:val="24"/>
        </w:rPr>
        <w:t>c</w:t>
      </w:r>
      <w:r w:rsidR="00F3481F" w:rsidRPr="000F5FEE">
        <w:rPr>
          <w:rFonts w:ascii="Times New Roman" w:hAnsi="Times New Roman" w:cs="Times New Roman"/>
          <w:sz w:val="24"/>
          <w:szCs w:val="24"/>
        </w:rPr>
        <w:t>ommerce</w:t>
      </w:r>
      <w:r w:rsidRPr="000F5FEE">
        <w:rPr>
          <w:rFonts w:ascii="Times New Roman" w:hAnsi="Times New Roman" w:cs="Times New Roman"/>
          <w:sz w:val="24"/>
          <w:szCs w:val="24"/>
        </w:rPr>
        <w:t xml:space="preserve"> or its successor.</w:t>
      </w:r>
    </w:p>
    <w:p w14:paraId="668C8487" w14:textId="1BEC99FF" w:rsidR="00A03A7E" w:rsidRPr="000F5FEE" w:rsidRDefault="00A03A7E"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"Distributed generation" means an eligible renewable resource where the</w:t>
      </w:r>
      <w:r w:rsidR="00D70046" w:rsidRPr="000F5FEE">
        <w:rPr>
          <w:rFonts w:ascii="Times New Roman" w:hAnsi="Times New Roman" w:cs="Times New Roman"/>
          <w:sz w:val="24"/>
          <w:szCs w:val="24"/>
        </w:rPr>
        <w:t xml:space="preserve"> g</w:t>
      </w:r>
      <w:r w:rsidRPr="000F5FEE">
        <w:rPr>
          <w:rFonts w:ascii="Times New Roman" w:hAnsi="Times New Roman" w:cs="Times New Roman"/>
          <w:sz w:val="24"/>
          <w:szCs w:val="24"/>
        </w:rPr>
        <w:t>eneration facility or any integrated cluster of such facilities has a generating capacity of not more than five megawatts.</w:t>
      </w:r>
    </w:p>
    <w:p w14:paraId="668C8488" w14:textId="2AA0E550" w:rsidR="00A03A7E" w:rsidRPr="000F5FEE" w:rsidRDefault="00A03A7E" w:rsidP="000B44CD">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"Eligible renewable resource" means:</w:t>
      </w:r>
    </w:p>
    <w:p w14:paraId="25A66436" w14:textId="77777777" w:rsidR="00103049" w:rsidRPr="000F5FEE" w:rsidRDefault="00103049" w:rsidP="00103049">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Electricity from a generation facility powered by a renewable resource other than fresh water that commences operation after March 31, 1999, where:</w:t>
      </w:r>
    </w:p>
    <w:p w14:paraId="7B5F2DED" w14:textId="77777777" w:rsidR="00103049" w:rsidRPr="000F5FEE" w:rsidRDefault="00103049" w:rsidP="00103049">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The facility is located in the Pacific Northwest; or</w:t>
      </w:r>
    </w:p>
    <w:p w14:paraId="0D71D3CA" w14:textId="05E732D2" w:rsidR="00103049" w:rsidRPr="000F5FEE" w:rsidRDefault="00103049" w:rsidP="00103049">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The electricity from the facility is delivered into Washington state on a real-time basis without shaping, storage, or integration services.</w:t>
      </w:r>
    </w:p>
    <w:p w14:paraId="62D69511" w14:textId="137CEE7A" w:rsidR="00103049" w:rsidRPr="000F5FEE" w:rsidRDefault="00103049" w:rsidP="00103049">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Incremental electricity produced as a result of efficiency improvements completed after March 31, 1999, to hydroelectric generation projects owned by a qualifying utility and l</w:t>
      </w:r>
      <w:r w:rsidR="007425AA" w:rsidRPr="000F5FEE">
        <w:rPr>
          <w:rFonts w:ascii="Times New Roman" w:hAnsi="Times New Roman" w:cs="Times New Roman"/>
          <w:sz w:val="24"/>
          <w:szCs w:val="24"/>
        </w:rPr>
        <w:t>ocated in the Pacific Northwest</w:t>
      </w:r>
      <w:r w:rsidRPr="000F5FEE">
        <w:rPr>
          <w:rFonts w:ascii="Times New Roman" w:hAnsi="Times New Roman" w:cs="Times New Roman"/>
          <w:sz w:val="24"/>
          <w:szCs w:val="24"/>
        </w:rPr>
        <w:t>, where the additional generation  does not result in new w</w:t>
      </w:r>
      <w:r w:rsidR="00517A7E" w:rsidRPr="000F5FEE">
        <w:rPr>
          <w:rFonts w:ascii="Times New Roman" w:hAnsi="Times New Roman" w:cs="Times New Roman"/>
          <w:sz w:val="24"/>
          <w:szCs w:val="24"/>
        </w:rPr>
        <w:t>ater diversions or impoundments;</w:t>
      </w:r>
    </w:p>
    <w:p w14:paraId="42B1AEC8" w14:textId="4C8B8655" w:rsidR="00517A7E" w:rsidRPr="000F5FEE" w:rsidRDefault="00517A7E" w:rsidP="00103049">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 or impoundments;</w:t>
      </w:r>
    </w:p>
    <w:p w14:paraId="5D219F37" w14:textId="77777777" w:rsidR="00103049" w:rsidRPr="000F5FEE" w:rsidRDefault="00103049" w:rsidP="00103049">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Qualified biomass energy; or</w:t>
      </w:r>
    </w:p>
    <w:p w14:paraId="6DE5EC5A" w14:textId="77777777" w:rsidR="00103049" w:rsidRPr="000F5FEE" w:rsidRDefault="00103049" w:rsidP="00103049">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 xml:space="preserve">For a qualifying utility that serves customers in other states, electricity from a generation facility powered by a renewable resource other than freshwater that commenced operation after March 31, 1999, where: </w:t>
      </w:r>
    </w:p>
    <w:p w14:paraId="28A91DB3" w14:textId="77777777" w:rsidR="00103049" w:rsidRPr="000F5FEE" w:rsidRDefault="00103049" w:rsidP="00103049">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The facility is located within a state in which the qualifying utility serves retail electrical customers; and</w:t>
      </w:r>
    </w:p>
    <w:p w14:paraId="08D21DAD" w14:textId="77777777" w:rsidR="00103049" w:rsidRPr="000F5FEE" w:rsidRDefault="00103049" w:rsidP="00103049">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The qualifying utility owns the facility in whole or in part or has a long-term contract with the facility of at least twelve months.</w:t>
      </w:r>
    </w:p>
    <w:p w14:paraId="6E9B644A" w14:textId="7FC91C0F" w:rsidR="0077294C" w:rsidRPr="000F5FEE" w:rsidRDefault="00A03A7E" w:rsidP="00103049">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"High-efficiency cogeneration</w:t>
      </w:r>
      <w:r w:rsidR="00CB41C5" w:rsidRPr="000F5FEE">
        <w:rPr>
          <w:rFonts w:ascii="Times New Roman" w:hAnsi="Times New Roman" w:cs="Times New Roman"/>
          <w:sz w:val="24"/>
          <w:szCs w:val="24"/>
        </w:rPr>
        <w:t xml:space="preserve">” means </w:t>
      </w:r>
      <w:r w:rsidR="00D94818" w:rsidRPr="000F5FEE">
        <w:rPr>
          <w:rFonts w:ascii="Times New Roman" w:hAnsi="Times New Roman" w:cs="Times New Roman"/>
          <w:sz w:val="24"/>
          <w:szCs w:val="24"/>
        </w:rPr>
        <w:t>the sequential production of electricity and useful thermal energy from a common fuel source resulting in a</w:t>
      </w:r>
      <w:r w:rsidR="0077294C" w:rsidRPr="000F5FEE">
        <w:rPr>
          <w:rFonts w:ascii="Times New Roman" w:hAnsi="Times New Roman" w:cs="Times New Roman"/>
          <w:sz w:val="24"/>
          <w:szCs w:val="24"/>
        </w:rPr>
        <w:t xml:space="preserve"> reduction in customer load </w:t>
      </w:r>
      <w:r w:rsidR="00D94818" w:rsidRPr="000F5FEE">
        <w:rPr>
          <w:rFonts w:ascii="Times New Roman" w:hAnsi="Times New Roman" w:cs="Times New Roman"/>
          <w:sz w:val="24"/>
          <w:szCs w:val="24"/>
        </w:rPr>
        <w:t>where under normal operating conditions the useful thermal energy output is no less than thirty-three percent of the total energy output. The reduction in customer load is</w:t>
      </w:r>
      <w:r w:rsidR="0077294C" w:rsidRPr="000F5FEE">
        <w:rPr>
          <w:rFonts w:ascii="Times New Roman" w:hAnsi="Times New Roman" w:cs="Times New Roman"/>
          <w:sz w:val="24"/>
          <w:szCs w:val="24"/>
        </w:rPr>
        <w:t xml:space="preserve"> determined by </w:t>
      </w:r>
      <w:r w:rsidR="0077294C" w:rsidRPr="000F5FEE">
        <w:rPr>
          <w:rFonts w:ascii="Times New Roman" w:hAnsi="Times New Roman" w:cs="Times New Roman"/>
          <w:sz w:val="24"/>
          <w:szCs w:val="24"/>
        </w:rPr>
        <w:lastRenderedPageBreak/>
        <w:t>multiplying the annual electricity output of the cogeneration facility by a fraction equal to one minus the ratio of:</w:t>
      </w:r>
    </w:p>
    <w:p w14:paraId="5A6358E0" w14:textId="6C20311F" w:rsidR="0077294C" w:rsidRPr="000F5FEE" w:rsidRDefault="0077294C" w:rsidP="00D94818">
      <w:pPr>
        <w:pStyle w:val="ListParagraph"/>
        <w:numPr>
          <w:ilvl w:val="0"/>
          <w:numId w:val="11"/>
        </w:numPr>
        <w:rPr>
          <w:rFonts w:ascii="Times New Roman" w:hAnsi="Times New Roman" w:cs="Times New Roman"/>
          <w:sz w:val="24"/>
          <w:szCs w:val="24"/>
        </w:rPr>
      </w:pPr>
      <w:r w:rsidRPr="000F5FEE">
        <w:rPr>
          <w:rFonts w:ascii="Times New Roman" w:hAnsi="Times New Roman" w:cs="Times New Roman"/>
          <w:sz w:val="24"/>
          <w:szCs w:val="24"/>
        </w:rPr>
        <w:t xml:space="preserve">The heat rate (in British thermal units per megawatt hour) of the cogeneration facility. The heat rate of the cogeneration facility must be based on the additional fuel requirements attributable to electricity production and excluding the fuel that would be required to produce all other useful energy outputs of the project without cogeneration, </w:t>
      </w:r>
      <w:r w:rsidR="00CB41C5" w:rsidRPr="000F5FEE">
        <w:rPr>
          <w:rFonts w:ascii="Times New Roman" w:hAnsi="Times New Roman" w:cs="Times New Roman"/>
          <w:sz w:val="24"/>
          <w:szCs w:val="24"/>
        </w:rPr>
        <w:t xml:space="preserve">divided by </w:t>
      </w:r>
    </w:p>
    <w:p w14:paraId="30557C17" w14:textId="6AD5EB65" w:rsidR="0077294C" w:rsidRPr="000F5FEE" w:rsidRDefault="00CB41C5" w:rsidP="00D94818">
      <w:pPr>
        <w:pStyle w:val="ListParagraph"/>
        <w:numPr>
          <w:ilvl w:val="0"/>
          <w:numId w:val="11"/>
        </w:numPr>
        <w:rPr>
          <w:rFonts w:ascii="Times New Roman" w:hAnsi="Times New Roman" w:cs="Times New Roman"/>
          <w:sz w:val="24"/>
          <w:szCs w:val="24"/>
        </w:rPr>
      </w:pPr>
      <w:r w:rsidRPr="000F5FEE">
        <w:rPr>
          <w:rFonts w:ascii="Times New Roman" w:hAnsi="Times New Roman" w:cs="Times New Roman"/>
          <w:sz w:val="24"/>
          <w:szCs w:val="24"/>
        </w:rPr>
        <w:t>t</w:t>
      </w:r>
      <w:r w:rsidR="0077294C" w:rsidRPr="000F5FEE">
        <w:rPr>
          <w:rFonts w:ascii="Times New Roman" w:hAnsi="Times New Roman" w:cs="Times New Roman"/>
          <w:sz w:val="24"/>
          <w:szCs w:val="24"/>
        </w:rPr>
        <w:t>he heat rate (in British thermal units per megawatt hour) of a combined cycle natural gas-fired combustion turbine. The heat rate of the combustion turbine must be based on a facility using best commercial</w:t>
      </w:r>
      <w:r w:rsidR="00B23A44" w:rsidRPr="000F5FEE">
        <w:rPr>
          <w:rFonts w:ascii="Times New Roman" w:hAnsi="Times New Roman" w:cs="Times New Roman"/>
          <w:sz w:val="24"/>
          <w:szCs w:val="24"/>
        </w:rPr>
        <w:t>ly</w:t>
      </w:r>
      <w:r w:rsidR="0077294C" w:rsidRPr="000F5FEE">
        <w:rPr>
          <w:rFonts w:ascii="Times New Roman" w:hAnsi="Times New Roman" w:cs="Times New Roman"/>
          <w:sz w:val="24"/>
          <w:szCs w:val="24"/>
        </w:rPr>
        <w:t xml:space="preserve"> available technology on a new and clean basis</w:t>
      </w:r>
      <w:r w:rsidRPr="000F5FEE">
        <w:rPr>
          <w:rFonts w:ascii="Times New Roman" w:hAnsi="Times New Roman" w:cs="Times New Roman"/>
          <w:sz w:val="24"/>
          <w:szCs w:val="24"/>
        </w:rPr>
        <w:t>.</w:t>
      </w:r>
    </w:p>
    <w:p w14:paraId="098CB14F" w14:textId="46B1E77D" w:rsidR="00CB41C5" w:rsidRPr="000F5FEE" w:rsidRDefault="00CB41C5" w:rsidP="00D94818">
      <w:pPr>
        <w:pStyle w:val="ListParagraph"/>
        <w:numPr>
          <w:ilvl w:val="0"/>
          <w:numId w:val="11"/>
        </w:numPr>
        <w:rPr>
          <w:rFonts w:ascii="Times New Roman" w:hAnsi="Times New Roman" w:cs="Times New Roman"/>
          <w:sz w:val="24"/>
          <w:szCs w:val="24"/>
        </w:rPr>
      </w:pPr>
      <w:r w:rsidRPr="000F5FEE">
        <w:rPr>
          <w:rFonts w:ascii="Times New Roman" w:hAnsi="Times New Roman" w:cs="Times New Roman"/>
          <w:sz w:val="24"/>
          <w:szCs w:val="24"/>
        </w:rPr>
        <w:t>Calculation of the reduction in customer load is made with the following formula:</w:t>
      </w:r>
    </w:p>
    <w:p w14:paraId="377722B1" w14:textId="79E2158D" w:rsidR="00CB41C5" w:rsidRPr="000F5FEE" w:rsidRDefault="00C604BB" w:rsidP="00D94818">
      <w:pPr>
        <w:pStyle w:val="ListParagraph"/>
        <w:ind w:left="1152"/>
        <w:rPr>
          <w:rFonts w:ascii="Times New Roman" w:eastAsiaTheme="minorEastAsia" w:hAnsi="Times New Roman" w:cs="Times New Roman"/>
          <w:sz w:val="24"/>
          <w:szCs w:val="24"/>
        </w:rPr>
      </w:pPr>
      <m:oMathPara>
        <m:oMathParaPr>
          <m:jc m:val="left"/>
        </m:oMathParaPr>
        <m:oMath>
          <m:r>
            <m:rPr>
              <m:nor/>
            </m:rPr>
            <w:rPr>
              <w:rFonts w:ascii="Cambria Math" w:hAnsi="Cambria Math" w:cs="Times New Roman"/>
              <w:sz w:val="24"/>
              <w:szCs w:val="24"/>
            </w:rPr>
            <m:t xml:space="preserve">Megawatt-hours reductions in customer load = </m:t>
          </m:r>
        </m:oMath>
      </m:oMathPara>
    </w:p>
    <w:p w14:paraId="2DFC177F" w14:textId="53570281" w:rsidR="00CB41C5" w:rsidRPr="000F5FEE" w:rsidRDefault="00D249A2" w:rsidP="00D94818">
      <w:pPr>
        <w:pStyle w:val="ListParagraph"/>
        <w:ind w:left="1152"/>
        <w:rPr>
          <w:rFonts w:ascii="Times New Roman" w:eastAsiaTheme="minorEastAsia" w:hAnsi="Times New Roman" w:cs="Times New Roman"/>
          <w:sz w:val="18"/>
          <w:szCs w:val="18"/>
        </w:rPr>
      </w:pPr>
      <m:oMathPara>
        <m:oMathParaPr>
          <m:jc m:val="left"/>
        </m:oMathParaPr>
        <m:oMath>
          <m:d>
            <m:dPr>
              <m:ctrlPr>
                <w:rPr>
                  <w:rFonts w:ascii="Cambria Math" w:hAnsi="Cambria Math" w:cs="Times New Roman"/>
                  <w:i/>
                  <w:sz w:val="18"/>
                  <w:szCs w:val="18"/>
                </w:rPr>
              </m:ctrlPr>
            </m:dPr>
            <m:e>
              <m:f>
                <m:fPr>
                  <m:type m:val="noBar"/>
                  <m:ctrlPr>
                    <w:rPr>
                      <w:rFonts w:ascii="Cambria Math" w:hAnsi="Cambria Math" w:cs="Times New Roman"/>
                      <w:sz w:val="18"/>
                      <w:szCs w:val="18"/>
                    </w:rPr>
                  </m:ctrlPr>
                </m:fPr>
                <m:num>
                  <m:eqArr>
                    <m:eqArrPr>
                      <m:ctrlPr>
                        <w:rPr>
                          <w:rFonts w:ascii="Cambria Math" w:hAnsi="Cambria Math" w:cs="Times New Roman"/>
                          <w:sz w:val="18"/>
                          <w:szCs w:val="18"/>
                        </w:rPr>
                      </m:ctrlPr>
                    </m:eqArrPr>
                    <m:e>
                      <m:r>
                        <m:rPr>
                          <m:sty m:val="p"/>
                        </m:rPr>
                        <w:rPr>
                          <w:rFonts w:ascii="Cambria Math" w:hAnsi="Cambria Math" w:cs="Times New Roman"/>
                          <w:sz w:val="18"/>
                          <w:szCs w:val="18"/>
                        </w:rPr>
                        <m:t xml:space="preserve">Annual </m:t>
                      </m:r>
                    </m:e>
                    <m:e>
                      <m:r>
                        <m:rPr>
                          <m:sty m:val="p"/>
                        </m:rPr>
                        <w:rPr>
                          <w:rFonts w:ascii="Cambria Math" w:hAnsi="Cambria Math" w:cs="Times New Roman"/>
                          <w:sz w:val="18"/>
                          <w:szCs w:val="18"/>
                        </w:rPr>
                        <m:t>megawatt–hours</m:t>
                      </m:r>
                    </m:e>
                  </m:eqArr>
                </m:num>
                <m:den>
                  <m:r>
                    <m:rPr>
                      <m:sty m:val="p"/>
                    </m:rPr>
                    <w:rPr>
                      <w:rFonts w:ascii="Cambria Math" w:hAnsi="Cambria Math" w:cs="Times New Roman"/>
                      <w:sz w:val="18"/>
                      <w:szCs w:val="18"/>
                    </w:rPr>
                    <m:t>of cogen. elect.</m:t>
                  </m:r>
                </m:den>
              </m:f>
            </m:e>
          </m:d>
          <m:r>
            <w:rPr>
              <w:rFonts w:ascii="Cambria Math" w:hAnsi="Cambria Math" w:cs="Times New Roman"/>
              <w:sz w:val="18"/>
              <w:szCs w:val="18"/>
            </w:rPr>
            <m:t xml:space="preserve">× </m:t>
          </m:r>
          <m:d>
            <m:dPr>
              <m:begChr m:val="["/>
              <m:endChr m:val="]"/>
              <m:ctrlPr>
                <w:rPr>
                  <w:rFonts w:ascii="Cambria Math" w:hAnsi="Cambria Math" w:cs="Times New Roman"/>
                  <w:i/>
                  <w:sz w:val="18"/>
                  <w:szCs w:val="18"/>
                </w:rPr>
              </m:ctrlPr>
            </m:dPr>
            <m:e>
              <m:r>
                <w:rPr>
                  <w:rFonts w:ascii="Cambria Math" w:hAnsi="Cambria Math" w:cs="Times New Roman"/>
                  <w:sz w:val="18"/>
                  <w:szCs w:val="18"/>
                </w:rPr>
                <m:t xml:space="preserve">1- </m:t>
              </m:r>
              <m:d>
                <m:dPr>
                  <m:ctrlPr>
                    <w:rPr>
                      <w:rFonts w:ascii="Cambria Math" w:hAnsi="Cambria Math" w:cs="Times New Roman"/>
                      <w:i/>
                      <w:sz w:val="18"/>
                      <w:szCs w:val="18"/>
                    </w:rPr>
                  </m:ctrlPr>
                </m:dPr>
                <m:e>
                  <m:f>
                    <m:fPr>
                      <m:ctrlPr>
                        <w:rPr>
                          <w:rFonts w:ascii="Cambria Math" w:hAnsi="Cambria Math" w:cs="Times New Roman"/>
                          <w:sz w:val="18"/>
                          <w:szCs w:val="18"/>
                        </w:rPr>
                      </m:ctrlPr>
                    </m:fPr>
                    <m:num>
                      <m:r>
                        <m:rPr>
                          <m:sty m:val="p"/>
                        </m:rPr>
                        <w:rPr>
                          <w:rFonts w:ascii="Cambria Math" w:hAnsi="Cambria Math" w:cs="Times New Roman"/>
                          <w:sz w:val="18"/>
                          <w:szCs w:val="18"/>
                        </w:rPr>
                        <m:t>heat rate based on fuel used for electric portion of cogen.</m:t>
                      </m:r>
                    </m:num>
                    <m:den>
                      <m:eqArr>
                        <m:eqArrPr>
                          <m:ctrlPr>
                            <w:rPr>
                              <w:rFonts w:ascii="Cambria Math" w:hAnsi="Cambria Math" w:cs="Times New Roman"/>
                              <w:sz w:val="18"/>
                              <w:szCs w:val="18"/>
                            </w:rPr>
                          </m:ctrlPr>
                        </m:eqArrPr>
                        <m:e>
                          <m:r>
                            <m:rPr>
                              <m:sty m:val="p"/>
                            </m:rPr>
                            <w:rPr>
                              <w:rFonts w:ascii="Cambria Math" w:hAnsi="Cambria Math" w:cs="Times New Roman"/>
                              <w:sz w:val="18"/>
                              <w:szCs w:val="18"/>
                            </w:rPr>
                            <m:t xml:space="preserve">heat rate for a new clean natural gas fired combined cycle </m:t>
                          </m:r>
                        </m:e>
                        <m:e>
                          <m:r>
                            <m:rPr>
                              <m:sty m:val="p"/>
                            </m:rPr>
                            <w:rPr>
                              <w:rFonts w:ascii="Cambria Math" w:hAnsi="Cambria Math" w:cs="Times New Roman"/>
                              <w:sz w:val="18"/>
                              <w:szCs w:val="18"/>
                            </w:rPr>
                            <m:t>combustion turbine using best avilable commercial technology</m:t>
                          </m:r>
                        </m:e>
                      </m:eqArr>
                    </m:den>
                  </m:f>
                </m:e>
              </m:d>
            </m:e>
          </m:d>
        </m:oMath>
      </m:oMathPara>
    </w:p>
    <w:p w14:paraId="27766672" w14:textId="77777777" w:rsidR="00F723C9" w:rsidRPr="000F5FEE" w:rsidRDefault="00F723C9"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“Incremental cost” means the difference between the </w:t>
      </w:r>
      <w:proofErr w:type="spellStart"/>
      <w:r w:rsidRPr="000F5FEE">
        <w:rPr>
          <w:rFonts w:ascii="Times New Roman" w:hAnsi="Times New Roman" w:cs="Times New Roman"/>
          <w:sz w:val="24"/>
          <w:szCs w:val="24"/>
        </w:rPr>
        <w:t>levelized</w:t>
      </w:r>
      <w:proofErr w:type="spellEnd"/>
      <w:r w:rsidRPr="000F5FEE">
        <w:rPr>
          <w:rFonts w:ascii="Times New Roman" w:hAnsi="Times New Roman" w:cs="Times New Roman"/>
          <w:sz w:val="24"/>
          <w:szCs w:val="24"/>
        </w:rPr>
        <w:t xml:space="preserve"> delivered cost of an eligible renewable resource, regardless of ownership, compared to the </w:t>
      </w:r>
      <w:proofErr w:type="spellStart"/>
      <w:r w:rsidRPr="000F5FEE">
        <w:rPr>
          <w:rFonts w:ascii="Times New Roman" w:hAnsi="Times New Roman" w:cs="Times New Roman"/>
          <w:sz w:val="24"/>
          <w:szCs w:val="24"/>
        </w:rPr>
        <w:t>levelized</w:t>
      </w:r>
      <w:proofErr w:type="spellEnd"/>
      <w:r w:rsidRPr="000F5FEE">
        <w:rPr>
          <w:rFonts w:ascii="Times New Roman" w:hAnsi="Times New Roman" w:cs="Times New Roman"/>
          <w:sz w:val="24"/>
          <w:szCs w:val="24"/>
        </w:rPr>
        <w:t xml:space="preserve"> delivered cost of an equivalent amount of reasonably available substitute resources that do not qualify as eligible renewable resources, where the resources being compared have the same contract length or facility life. </w:t>
      </w:r>
    </w:p>
    <w:p w14:paraId="668C848E" w14:textId="44D41D67" w:rsidR="00A03A7E" w:rsidRPr="000F5FEE" w:rsidRDefault="00A03A7E"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"Integrated resource plan" or "IRP" means the filing made every two years by an electric utility in ac</w:t>
      </w:r>
      <w:r w:rsidR="00F804A9" w:rsidRPr="000F5FEE">
        <w:rPr>
          <w:rFonts w:ascii="Times New Roman" w:hAnsi="Times New Roman" w:cs="Times New Roman"/>
          <w:sz w:val="24"/>
          <w:szCs w:val="24"/>
        </w:rPr>
        <w:t>cordance with WAC 480-100-238, i</w:t>
      </w:r>
      <w:r w:rsidRPr="000F5FEE">
        <w:rPr>
          <w:rFonts w:ascii="Times New Roman" w:hAnsi="Times New Roman" w:cs="Times New Roman"/>
          <w:sz w:val="24"/>
          <w:szCs w:val="24"/>
        </w:rPr>
        <w:t>ntegrated resource planning.</w:t>
      </w:r>
    </w:p>
    <w:p w14:paraId="668C848F" w14:textId="3D87DD31" w:rsidR="00A03A7E" w:rsidRPr="000F5FEE" w:rsidRDefault="00A03A7E"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"Load" means the amount of kilowatt-hours of electricity delivered in the most recently completed year by a qualifying utility to its Washington retail customers. Load does not include off-system sales or electricity delivered to transmission-only customers.</w:t>
      </w:r>
    </w:p>
    <w:p w14:paraId="5A65EA79" w14:textId="77777777" w:rsidR="009D1731" w:rsidRPr="000F5FEE" w:rsidRDefault="009D1731" w:rsidP="002D44FF">
      <w:pPr>
        <w:pStyle w:val="PlainText"/>
        <w:numPr>
          <w:ilvl w:val="0"/>
          <w:numId w:val="12"/>
        </w:numPr>
        <w:ind w:left="360" w:firstLine="0"/>
        <w:rPr>
          <w:rFonts w:ascii="Times New Roman" w:hAnsi="Times New Roman" w:cs="Times New Roman"/>
          <w:sz w:val="24"/>
          <w:szCs w:val="24"/>
        </w:rPr>
      </w:pPr>
      <w:r w:rsidRPr="000F5FEE">
        <w:rPr>
          <w:rFonts w:ascii="Times New Roman" w:hAnsi="Times New Roman" w:cs="Times New Roman"/>
          <w:sz w:val="24"/>
          <w:szCs w:val="24"/>
        </w:rPr>
        <w:t xml:space="preserve"> </w:t>
      </w:r>
      <w:r w:rsidR="00103049" w:rsidRPr="000F5FEE">
        <w:rPr>
          <w:rFonts w:ascii="Times New Roman" w:hAnsi="Times New Roman" w:cs="Times New Roman"/>
          <w:sz w:val="24"/>
          <w:szCs w:val="24"/>
        </w:rPr>
        <w:t>(a</w:t>
      </w:r>
      <w:r w:rsidR="00A03A7E" w:rsidRPr="000F5FEE">
        <w:rPr>
          <w:rFonts w:ascii="Times New Roman" w:hAnsi="Times New Roman" w:cs="Times New Roman"/>
          <w:sz w:val="24"/>
          <w:szCs w:val="24"/>
        </w:rPr>
        <w:t>) "</w:t>
      </w:r>
      <w:proofErr w:type="spellStart"/>
      <w:r w:rsidR="00A03A7E" w:rsidRPr="000F5FEE">
        <w:rPr>
          <w:rFonts w:ascii="Times New Roman" w:hAnsi="Times New Roman" w:cs="Times New Roman"/>
          <w:sz w:val="24"/>
          <w:szCs w:val="24"/>
        </w:rPr>
        <w:t>Nonpower</w:t>
      </w:r>
      <w:proofErr w:type="spellEnd"/>
      <w:r w:rsidR="00A03A7E" w:rsidRPr="000F5FEE">
        <w:rPr>
          <w:rFonts w:ascii="Times New Roman" w:hAnsi="Times New Roman" w:cs="Times New Roman"/>
          <w:sz w:val="24"/>
          <w:szCs w:val="24"/>
        </w:rPr>
        <w:t xml:space="preserve">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14:paraId="45724F01" w14:textId="562A4136" w:rsidR="009D1731" w:rsidRPr="000F5FEE" w:rsidRDefault="009D1731" w:rsidP="00F723C9">
      <w:pPr>
        <w:pStyle w:val="PlainText"/>
        <w:ind w:left="360"/>
        <w:rPr>
          <w:rFonts w:ascii="Times New Roman" w:hAnsi="Times New Roman" w:cs="Times New Roman"/>
          <w:sz w:val="24"/>
          <w:szCs w:val="24"/>
        </w:rPr>
      </w:pPr>
      <w:r w:rsidRPr="000F5FEE">
        <w:rPr>
          <w:rFonts w:ascii="Times New Roman" w:hAnsi="Times New Roman" w:cs="Times New Roman"/>
          <w:sz w:val="24"/>
          <w:szCs w:val="24"/>
        </w:rPr>
        <w:t>(b) “</w:t>
      </w:r>
      <w:proofErr w:type="spellStart"/>
      <w:r w:rsidR="00F723C9" w:rsidRPr="000F5FEE">
        <w:rPr>
          <w:rFonts w:ascii="Times New Roman" w:hAnsi="Times New Roman" w:cs="Times New Roman"/>
          <w:sz w:val="24"/>
          <w:szCs w:val="24"/>
        </w:rPr>
        <w:t>Nonpower</w:t>
      </w:r>
      <w:proofErr w:type="spellEnd"/>
      <w:r w:rsidR="00F723C9" w:rsidRPr="000F5FEE">
        <w:rPr>
          <w:rFonts w:ascii="Times New Roman" w:hAnsi="Times New Roman" w:cs="Times New Roman"/>
          <w:sz w:val="24"/>
          <w:szCs w:val="24"/>
        </w:rPr>
        <w:t xml:space="preserve">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06BA5C95" w14:textId="24AF9470" w:rsidR="00DF5B8F" w:rsidRPr="000F5FEE" w:rsidRDefault="00DF5B8F"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"Pacific Northwest" has the same meaning as defined for the Bonneville power administration in section 3 of the Pacific Northwest Electric Power Planning and Conservation Act (94 Stat. 2698; 16 U.S.C. Sec. 839a).</w:t>
      </w:r>
    </w:p>
    <w:p w14:paraId="668C8491" w14:textId="0396BD5B" w:rsidR="00A03A7E" w:rsidRPr="000F5FEE" w:rsidRDefault="00A03A7E"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"Pro rata" means</w:t>
      </w:r>
      <w:r w:rsidR="00E46A62" w:rsidRPr="000F5FEE">
        <w:rPr>
          <w:rFonts w:ascii="Times New Roman" w:hAnsi="Times New Roman" w:cs="Times New Roman"/>
          <w:sz w:val="24"/>
          <w:szCs w:val="24"/>
        </w:rPr>
        <w:t xml:space="preserve"> </w:t>
      </w:r>
      <w:r w:rsidR="00E04D47" w:rsidRPr="000F5FEE">
        <w:rPr>
          <w:rFonts w:ascii="Times New Roman" w:hAnsi="Times New Roman" w:cs="Times New Roman"/>
          <w:sz w:val="24"/>
          <w:szCs w:val="24"/>
        </w:rPr>
        <w:t xml:space="preserve">the calculation </w:t>
      </w:r>
      <w:r w:rsidR="00E46A62" w:rsidRPr="000F5FEE">
        <w:rPr>
          <w:rFonts w:ascii="Times New Roman" w:hAnsi="Times New Roman" w:cs="Times New Roman"/>
          <w:sz w:val="24"/>
          <w:szCs w:val="24"/>
        </w:rPr>
        <w:t xml:space="preserve">dividing </w:t>
      </w:r>
      <w:r w:rsidR="005A6C49" w:rsidRPr="000F5FEE">
        <w:rPr>
          <w:rFonts w:ascii="Times New Roman" w:hAnsi="Times New Roman" w:cs="Times New Roman"/>
          <w:sz w:val="24"/>
          <w:szCs w:val="24"/>
        </w:rPr>
        <w:t>the utility’s projected ten</w:t>
      </w:r>
      <w:r w:rsidR="00E04D47" w:rsidRPr="000F5FEE">
        <w:rPr>
          <w:rFonts w:ascii="Times New Roman" w:hAnsi="Times New Roman" w:cs="Times New Roman"/>
          <w:sz w:val="24"/>
          <w:szCs w:val="24"/>
        </w:rPr>
        <w:t>-</w:t>
      </w:r>
      <w:r w:rsidR="005A6C49" w:rsidRPr="000F5FEE">
        <w:rPr>
          <w:rFonts w:ascii="Times New Roman" w:hAnsi="Times New Roman" w:cs="Times New Roman"/>
          <w:sz w:val="24"/>
          <w:szCs w:val="24"/>
        </w:rPr>
        <w:t>year conservation potential</w:t>
      </w:r>
      <w:r w:rsidRPr="000F5FEE">
        <w:rPr>
          <w:rFonts w:ascii="Times New Roman" w:hAnsi="Times New Roman" w:cs="Times New Roman"/>
          <w:sz w:val="24"/>
          <w:szCs w:val="24"/>
        </w:rPr>
        <w:t xml:space="preserve"> </w:t>
      </w:r>
      <w:r w:rsidR="00E46A62" w:rsidRPr="000F5FEE">
        <w:rPr>
          <w:rFonts w:ascii="Times New Roman" w:hAnsi="Times New Roman" w:cs="Times New Roman"/>
          <w:sz w:val="24"/>
          <w:szCs w:val="24"/>
        </w:rPr>
        <w:t xml:space="preserve">into five equal proportions </w:t>
      </w:r>
      <w:r w:rsidRPr="000F5FEE">
        <w:rPr>
          <w:rFonts w:ascii="Times New Roman" w:hAnsi="Times New Roman" w:cs="Times New Roman"/>
          <w:sz w:val="24"/>
          <w:szCs w:val="24"/>
        </w:rPr>
        <w:t xml:space="preserve"> to establish </w:t>
      </w:r>
      <w:r w:rsidR="000A798A" w:rsidRPr="000F5FEE">
        <w:rPr>
          <w:rFonts w:ascii="Times New Roman" w:hAnsi="Times New Roman" w:cs="Times New Roman"/>
          <w:sz w:val="24"/>
          <w:szCs w:val="24"/>
        </w:rPr>
        <w:t>the</w:t>
      </w:r>
      <w:r w:rsidR="00721C0A" w:rsidRPr="000F5FEE">
        <w:rPr>
          <w:rFonts w:ascii="Times New Roman" w:hAnsi="Times New Roman" w:cs="Times New Roman"/>
          <w:sz w:val="24"/>
          <w:szCs w:val="24"/>
        </w:rPr>
        <w:t xml:space="preserve"> minimum</w:t>
      </w:r>
      <w:r w:rsidR="00F804A9" w:rsidRPr="000F5FEE">
        <w:rPr>
          <w:rFonts w:ascii="Times New Roman" w:hAnsi="Times New Roman" w:cs="Times New Roman"/>
          <w:sz w:val="24"/>
          <w:szCs w:val="24"/>
        </w:rPr>
        <w:t xml:space="preserve"> </w:t>
      </w:r>
      <w:r w:rsidR="005A6C49" w:rsidRPr="000F5FEE">
        <w:rPr>
          <w:rFonts w:ascii="Times New Roman" w:hAnsi="Times New Roman" w:cs="Times New Roman"/>
          <w:sz w:val="24"/>
          <w:szCs w:val="24"/>
        </w:rPr>
        <w:t xml:space="preserve">biennial </w:t>
      </w:r>
      <w:r w:rsidRPr="000F5FEE">
        <w:rPr>
          <w:rFonts w:ascii="Times New Roman" w:hAnsi="Times New Roman" w:cs="Times New Roman"/>
          <w:sz w:val="24"/>
          <w:szCs w:val="24"/>
        </w:rPr>
        <w:t>conservation target .</w:t>
      </w:r>
    </w:p>
    <w:p w14:paraId="6D47E231" w14:textId="6E005E3C" w:rsidR="00F77D11" w:rsidRPr="000F5FEE" w:rsidRDefault="001736F3" w:rsidP="002D44FF">
      <w:pPr>
        <w:pStyle w:val="ListParagraph"/>
        <w:numPr>
          <w:ilvl w:val="0"/>
          <w:numId w:val="12"/>
        </w:numPr>
        <w:rPr>
          <w:rFonts w:ascii="Times New Roman" w:hAnsi="Times New Roman" w:cs="Times New Roman"/>
          <w:sz w:val="24"/>
          <w:szCs w:val="24"/>
        </w:rPr>
      </w:pPr>
      <w:r w:rsidRPr="000F5FEE">
        <w:rPr>
          <w:rFonts w:ascii="Times New Roman" w:hAnsi="Times New Roman" w:cs="Times New Roman"/>
          <w:sz w:val="24"/>
          <w:szCs w:val="24"/>
        </w:rPr>
        <w:t>“Production efficiency” means i</w:t>
      </w:r>
      <w:r w:rsidR="00F77D11" w:rsidRPr="000F5FEE">
        <w:rPr>
          <w:rFonts w:ascii="Times New Roman" w:hAnsi="Times New Roman" w:cs="Times New Roman"/>
          <w:sz w:val="24"/>
          <w:szCs w:val="24"/>
        </w:rPr>
        <w:t xml:space="preserve">nvestments </w:t>
      </w:r>
      <w:r w:rsidR="00AB45B6" w:rsidRPr="000F5FEE">
        <w:rPr>
          <w:rFonts w:ascii="Times New Roman" w:hAnsi="Times New Roman" w:cs="Times New Roman"/>
          <w:sz w:val="24"/>
          <w:szCs w:val="24"/>
        </w:rPr>
        <w:t xml:space="preserve">and </w:t>
      </w:r>
      <w:r w:rsidR="0060164E" w:rsidRPr="000F5FEE">
        <w:rPr>
          <w:rFonts w:ascii="Times New Roman" w:hAnsi="Times New Roman" w:cs="Times New Roman"/>
          <w:sz w:val="24"/>
          <w:szCs w:val="24"/>
        </w:rPr>
        <w:t xml:space="preserve">actions </w:t>
      </w:r>
      <w:r w:rsidR="00F77D11" w:rsidRPr="000F5FEE">
        <w:rPr>
          <w:rFonts w:ascii="Times New Roman" w:hAnsi="Times New Roman" w:cs="Times New Roman"/>
          <w:sz w:val="24"/>
          <w:szCs w:val="24"/>
        </w:rPr>
        <w:t>that save electric energy from power consuming equipment and fixtures at an electric generating facility.</w:t>
      </w:r>
      <w:r w:rsidRPr="000F5FEE">
        <w:rPr>
          <w:rFonts w:ascii="Times New Roman" w:hAnsi="Times New Roman" w:cs="Times New Roman"/>
          <w:sz w:val="24"/>
          <w:szCs w:val="24"/>
        </w:rPr>
        <w:t xml:space="preserve">  </w:t>
      </w:r>
      <w:r w:rsidR="0060164E" w:rsidRPr="000F5FEE">
        <w:rPr>
          <w:rFonts w:ascii="Times New Roman" w:hAnsi="Times New Roman" w:cs="Times New Roman"/>
          <w:sz w:val="24"/>
          <w:szCs w:val="24"/>
        </w:rPr>
        <w:t xml:space="preserve">The installation of </w:t>
      </w:r>
      <w:r w:rsidR="00F77D11" w:rsidRPr="000F5FEE">
        <w:rPr>
          <w:rFonts w:ascii="Times New Roman" w:hAnsi="Times New Roman" w:cs="Times New Roman"/>
          <w:sz w:val="24"/>
          <w:szCs w:val="24"/>
        </w:rPr>
        <w:t>electric power production equipment that increase</w:t>
      </w:r>
      <w:r w:rsidR="0060164E" w:rsidRPr="000F5FEE">
        <w:rPr>
          <w:rFonts w:ascii="Times New Roman" w:hAnsi="Times New Roman" w:cs="Times New Roman"/>
          <w:sz w:val="24"/>
          <w:szCs w:val="24"/>
        </w:rPr>
        <w:t>s</w:t>
      </w:r>
      <w:r w:rsidR="00F77D11" w:rsidRPr="000F5FEE">
        <w:rPr>
          <w:rFonts w:ascii="Times New Roman" w:hAnsi="Times New Roman" w:cs="Times New Roman"/>
          <w:sz w:val="24"/>
          <w:szCs w:val="24"/>
        </w:rPr>
        <w:t xml:space="preserve"> the amount of power generated for the </w:t>
      </w:r>
      <w:r w:rsidRPr="000F5FEE">
        <w:rPr>
          <w:rFonts w:ascii="Times New Roman" w:hAnsi="Times New Roman" w:cs="Times New Roman"/>
          <w:sz w:val="24"/>
          <w:szCs w:val="24"/>
        </w:rPr>
        <w:t xml:space="preserve">same </w:t>
      </w:r>
      <w:r w:rsidR="00F77D11" w:rsidRPr="000F5FEE">
        <w:rPr>
          <w:rFonts w:ascii="Times New Roman" w:hAnsi="Times New Roman" w:cs="Times New Roman"/>
          <w:sz w:val="24"/>
          <w:szCs w:val="24"/>
        </w:rPr>
        <w:t xml:space="preserve">energy input </w:t>
      </w:r>
      <w:r w:rsidRPr="000F5FEE">
        <w:rPr>
          <w:rFonts w:ascii="Times New Roman" w:hAnsi="Times New Roman" w:cs="Times New Roman"/>
          <w:sz w:val="24"/>
          <w:szCs w:val="24"/>
        </w:rPr>
        <w:t xml:space="preserve"> </w:t>
      </w:r>
      <w:r w:rsidR="0060164E" w:rsidRPr="000F5FEE">
        <w:rPr>
          <w:rFonts w:ascii="Times New Roman" w:hAnsi="Times New Roman" w:cs="Times New Roman"/>
          <w:sz w:val="24"/>
          <w:szCs w:val="24"/>
        </w:rPr>
        <w:t xml:space="preserve">is </w:t>
      </w:r>
      <w:r w:rsidRPr="000F5FEE">
        <w:rPr>
          <w:rFonts w:ascii="Times New Roman" w:hAnsi="Times New Roman" w:cs="Times New Roman"/>
          <w:sz w:val="24"/>
          <w:szCs w:val="24"/>
        </w:rPr>
        <w:t>not</w:t>
      </w:r>
      <w:r w:rsidR="00F77D11"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production efficiency </w:t>
      </w:r>
      <w:r w:rsidR="004F082C" w:rsidRPr="000F5FEE">
        <w:rPr>
          <w:rFonts w:ascii="Times New Roman" w:hAnsi="Times New Roman" w:cs="Times New Roman"/>
          <w:sz w:val="24"/>
          <w:szCs w:val="24"/>
        </w:rPr>
        <w:t>in</w:t>
      </w:r>
      <w:r w:rsidR="0060164E" w:rsidRPr="000F5FEE">
        <w:rPr>
          <w:rFonts w:ascii="Times New Roman" w:hAnsi="Times New Roman" w:cs="Times New Roman"/>
          <w:sz w:val="24"/>
          <w:szCs w:val="24"/>
        </w:rPr>
        <w:t xml:space="preserve"> this chapter </w:t>
      </w:r>
      <w:r w:rsidRPr="000F5FEE">
        <w:rPr>
          <w:rFonts w:ascii="Times New Roman" w:hAnsi="Times New Roman" w:cs="Times New Roman"/>
          <w:sz w:val="24"/>
          <w:szCs w:val="24"/>
        </w:rPr>
        <w:t xml:space="preserve">or </w:t>
      </w:r>
      <w:r w:rsidR="00F77D11" w:rsidRPr="000F5FEE">
        <w:rPr>
          <w:rFonts w:ascii="Times New Roman" w:hAnsi="Times New Roman" w:cs="Times New Roman"/>
          <w:sz w:val="24"/>
          <w:szCs w:val="24"/>
        </w:rPr>
        <w:t xml:space="preserve">conservation </w:t>
      </w:r>
      <w:r w:rsidRPr="000F5FEE">
        <w:rPr>
          <w:rFonts w:ascii="Times New Roman" w:hAnsi="Times New Roman" w:cs="Times New Roman"/>
          <w:sz w:val="24"/>
          <w:szCs w:val="24"/>
        </w:rPr>
        <w:t>under</w:t>
      </w:r>
      <w:r w:rsidR="00F77D11" w:rsidRPr="000F5FEE">
        <w:rPr>
          <w:rFonts w:ascii="Times New Roman" w:hAnsi="Times New Roman" w:cs="Times New Roman"/>
          <w:sz w:val="24"/>
          <w:szCs w:val="24"/>
        </w:rPr>
        <w:t xml:space="preserve"> RCW 19.285.030(4) because no reduction in electric power consumption</w:t>
      </w:r>
      <w:r w:rsidR="0060164E" w:rsidRPr="000F5FEE">
        <w:rPr>
          <w:rFonts w:ascii="Times New Roman" w:hAnsi="Times New Roman" w:cs="Times New Roman"/>
          <w:sz w:val="24"/>
          <w:szCs w:val="24"/>
        </w:rPr>
        <w:t xml:space="preserve"> occurs</w:t>
      </w:r>
      <w:r w:rsidR="00F77D11" w:rsidRPr="000F5FEE">
        <w:rPr>
          <w:rFonts w:ascii="Times New Roman" w:hAnsi="Times New Roman" w:cs="Times New Roman"/>
          <w:sz w:val="24"/>
          <w:szCs w:val="24"/>
        </w:rPr>
        <w:t>.</w:t>
      </w:r>
    </w:p>
    <w:p w14:paraId="328C08E6" w14:textId="41F61441" w:rsidR="00DF5B8F" w:rsidRPr="000F5FEE" w:rsidRDefault="00DF5B8F" w:rsidP="002D44FF">
      <w:pPr>
        <w:pStyle w:val="ListParagraph"/>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“Pursue all” means </w:t>
      </w:r>
      <w:r w:rsidR="00864773" w:rsidRPr="000F5FEE">
        <w:rPr>
          <w:rFonts w:ascii="Times New Roman" w:hAnsi="Times New Roman" w:cs="Times New Roman"/>
          <w:sz w:val="24"/>
          <w:szCs w:val="24"/>
        </w:rPr>
        <w:t>a</w:t>
      </w:r>
      <w:r w:rsidR="004E3E1D" w:rsidRPr="000F5FEE">
        <w:rPr>
          <w:rFonts w:ascii="Times New Roman" w:hAnsi="Times New Roman" w:cs="Times New Roman"/>
          <w:sz w:val="24"/>
          <w:szCs w:val="24"/>
        </w:rPr>
        <w:t>n</w:t>
      </w:r>
      <w:r w:rsidR="00864773" w:rsidRPr="000F5FEE">
        <w:rPr>
          <w:rFonts w:ascii="Times New Roman" w:hAnsi="Times New Roman" w:cs="Times New Roman"/>
          <w:sz w:val="24"/>
          <w:szCs w:val="24"/>
        </w:rPr>
        <w:t xml:space="preserve"> </w:t>
      </w:r>
      <w:r w:rsidR="004E3E1D" w:rsidRPr="000F5FEE">
        <w:rPr>
          <w:rFonts w:ascii="Times New Roman" w:hAnsi="Times New Roman" w:cs="Times New Roman"/>
          <w:sz w:val="24"/>
          <w:szCs w:val="24"/>
        </w:rPr>
        <w:t>ongoing</w:t>
      </w:r>
      <w:r w:rsidR="00864773" w:rsidRPr="000F5FEE">
        <w:rPr>
          <w:rFonts w:ascii="Times New Roman" w:hAnsi="Times New Roman" w:cs="Times New Roman"/>
          <w:sz w:val="24"/>
          <w:szCs w:val="24"/>
        </w:rPr>
        <w:t xml:space="preserve"> </w:t>
      </w:r>
      <w:r w:rsidR="004E3E1D" w:rsidRPr="000F5FEE">
        <w:rPr>
          <w:rFonts w:ascii="Times New Roman" w:hAnsi="Times New Roman" w:cs="Times New Roman"/>
          <w:sz w:val="24"/>
          <w:szCs w:val="24"/>
        </w:rPr>
        <w:t>process of researching</w:t>
      </w:r>
      <w:r w:rsidRPr="000F5FEE">
        <w:rPr>
          <w:rFonts w:ascii="Times New Roman" w:hAnsi="Times New Roman" w:cs="Times New Roman"/>
          <w:sz w:val="24"/>
          <w:szCs w:val="24"/>
        </w:rPr>
        <w:t xml:space="preserve"> </w:t>
      </w:r>
      <w:r w:rsidR="00604006" w:rsidRPr="000F5FEE">
        <w:rPr>
          <w:rFonts w:ascii="Times New Roman" w:hAnsi="Times New Roman" w:cs="Times New Roman"/>
          <w:sz w:val="24"/>
          <w:szCs w:val="24"/>
        </w:rPr>
        <w:t xml:space="preserve">and </w:t>
      </w:r>
      <w:r w:rsidRPr="000F5FEE">
        <w:rPr>
          <w:rFonts w:ascii="Times New Roman" w:hAnsi="Times New Roman" w:cs="Times New Roman"/>
          <w:sz w:val="24"/>
          <w:szCs w:val="24"/>
        </w:rPr>
        <w:t>evaluating the range of possible conservation technologies</w:t>
      </w:r>
      <w:r w:rsidR="00604006" w:rsidRPr="000F5FEE">
        <w:rPr>
          <w:rFonts w:ascii="Times New Roman" w:hAnsi="Times New Roman" w:cs="Times New Roman"/>
          <w:sz w:val="24"/>
          <w:szCs w:val="24"/>
        </w:rPr>
        <w:t xml:space="preserve"> and programs</w:t>
      </w:r>
      <w:r w:rsidR="004E3E1D" w:rsidRPr="000F5FEE">
        <w:rPr>
          <w:rFonts w:ascii="Times New Roman" w:hAnsi="Times New Roman" w:cs="Times New Roman"/>
          <w:sz w:val="24"/>
          <w:szCs w:val="24"/>
        </w:rPr>
        <w:t>,</w:t>
      </w:r>
      <w:r w:rsidRPr="000F5FEE">
        <w:rPr>
          <w:rFonts w:ascii="Times New Roman" w:hAnsi="Times New Roman" w:cs="Times New Roman"/>
          <w:sz w:val="24"/>
          <w:szCs w:val="24"/>
        </w:rPr>
        <w:t xml:space="preserve"> and </w:t>
      </w:r>
      <w:r w:rsidR="00604006" w:rsidRPr="000F5FEE">
        <w:rPr>
          <w:rFonts w:ascii="Times New Roman" w:hAnsi="Times New Roman" w:cs="Times New Roman"/>
          <w:sz w:val="24"/>
          <w:szCs w:val="24"/>
        </w:rPr>
        <w:t xml:space="preserve">implementing </w:t>
      </w:r>
      <w:r w:rsidR="004E3E1D" w:rsidRPr="000F5FEE">
        <w:rPr>
          <w:rFonts w:ascii="Times New Roman" w:hAnsi="Times New Roman" w:cs="Times New Roman"/>
          <w:sz w:val="24"/>
          <w:szCs w:val="24"/>
        </w:rPr>
        <w:t xml:space="preserve">all </w:t>
      </w:r>
      <w:r w:rsidRPr="000F5FEE">
        <w:rPr>
          <w:rFonts w:ascii="Times New Roman" w:hAnsi="Times New Roman" w:cs="Times New Roman"/>
          <w:sz w:val="24"/>
          <w:szCs w:val="24"/>
        </w:rPr>
        <w:t>programs</w:t>
      </w:r>
      <w:r w:rsidR="0068139A" w:rsidRPr="000F5FEE">
        <w:rPr>
          <w:rFonts w:ascii="Times New Roman" w:hAnsi="Times New Roman" w:cs="Times New Roman"/>
          <w:sz w:val="24"/>
          <w:szCs w:val="24"/>
        </w:rPr>
        <w:t xml:space="preserve"> which are cost-effective, reliable and feasible</w:t>
      </w:r>
      <w:r w:rsidRPr="000F5FEE">
        <w:rPr>
          <w:rFonts w:ascii="Times New Roman" w:hAnsi="Times New Roman" w:cs="Times New Roman"/>
          <w:sz w:val="24"/>
          <w:szCs w:val="24"/>
        </w:rPr>
        <w:t>.</w:t>
      </w:r>
      <w:r w:rsidR="00864773" w:rsidRPr="000F5FEE">
        <w:rPr>
          <w:rFonts w:ascii="Times New Roman" w:hAnsi="Times New Roman" w:cs="Times New Roman"/>
          <w:sz w:val="24"/>
          <w:szCs w:val="24"/>
        </w:rPr>
        <w:t xml:space="preserve">  </w:t>
      </w:r>
    </w:p>
    <w:p w14:paraId="4F631788" w14:textId="77777777" w:rsidR="009D1731" w:rsidRPr="000F5FEE" w:rsidRDefault="009D1731"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"Qualified biomass energy" means electricity produced from a biomass energy facility that:</w:t>
      </w:r>
    </w:p>
    <w:p w14:paraId="278A8BD5" w14:textId="77777777" w:rsidR="009D1731" w:rsidRPr="000F5FEE" w:rsidRDefault="009D1731"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Commenced operation before March 31, 1999;</w:t>
      </w:r>
    </w:p>
    <w:p w14:paraId="0923328A" w14:textId="77777777" w:rsidR="009D1731" w:rsidRPr="000F5FEE" w:rsidRDefault="009D1731"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Contributes to the qualifying utility's load; and</w:t>
      </w:r>
    </w:p>
    <w:p w14:paraId="2656888A" w14:textId="77777777" w:rsidR="009D1731" w:rsidRPr="000F5FEE" w:rsidRDefault="009D1731"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Is owned either by:</w:t>
      </w:r>
    </w:p>
    <w:p w14:paraId="60C0D6A5" w14:textId="77777777" w:rsidR="009D1731" w:rsidRPr="000F5FEE" w:rsidRDefault="009D1731" w:rsidP="002D44FF">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A qualifying utility; or</w:t>
      </w:r>
    </w:p>
    <w:p w14:paraId="1873CE45" w14:textId="169F63D3" w:rsidR="009D1731" w:rsidRPr="000F5FEE" w:rsidRDefault="009D1731" w:rsidP="002D44FF">
      <w:pPr>
        <w:pStyle w:val="PlainText"/>
        <w:numPr>
          <w:ilvl w:val="2"/>
          <w:numId w:val="12"/>
        </w:numPr>
        <w:rPr>
          <w:rFonts w:ascii="Times New Roman" w:hAnsi="Times New Roman" w:cs="Times New Roman"/>
          <w:sz w:val="24"/>
          <w:szCs w:val="24"/>
        </w:rPr>
      </w:pPr>
      <w:r w:rsidRPr="000F5FEE">
        <w:rPr>
          <w:rFonts w:ascii="Times New Roman" w:hAnsi="Times New Roman" w:cs="Times New Roman"/>
          <w:sz w:val="24"/>
          <w:szCs w:val="24"/>
        </w:rPr>
        <w:t xml:space="preserve">An industrial facility that is directly interconnected with electricity facilities </w:t>
      </w:r>
      <w:proofErr w:type="gramStart"/>
      <w:r w:rsidRPr="000F5FEE">
        <w:rPr>
          <w:rFonts w:ascii="Times New Roman" w:hAnsi="Times New Roman" w:cs="Times New Roman"/>
          <w:sz w:val="24"/>
          <w:szCs w:val="24"/>
        </w:rPr>
        <w:t>that are</w:t>
      </w:r>
      <w:proofErr w:type="gramEnd"/>
      <w:r w:rsidRPr="000F5FEE">
        <w:rPr>
          <w:rFonts w:ascii="Times New Roman" w:hAnsi="Times New Roman" w:cs="Times New Roman"/>
          <w:sz w:val="24"/>
          <w:szCs w:val="24"/>
        </w:rPr>
        <w:t xml:space="preserve"> owned by a qualifying utility and capable of carrying electricity at transmission voltage.</w:t>
      </w:r>
    </w:p>
    <w:p w14:paraId="571C2F8A" w14:textId="77777777" w:rsidR="009D1731" w:rsidRPr="000F5FEE" w:rsidRDefault="009D1731"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“Regional Technical Forum” means the advisory committee established by the council. </w:t>
      </w:r>
    </w:p>
    <w:p w14:paraId="668C8494" w14:textId="40327E68" w:rsidR="00A03A7E" w:rsidRPr="000F5FEE" w:rsidRDefault="00A03A7E"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 xml:space="preserve">"Renewable energy credit" means a tradable certificate of proof of at least one megawatt-hour of an eligible renewable resource where the generation facility is not powered by fresh water, the certificate includes all of the </w:t>
      </w:r>
      <w:proofErr w:type="spellStart"/>
      <w:r w:rsidRPr="000F5FEE">
        <w:rPr>
          <w:rFonts w:ascii="Times New Roman" w:hAnsi="Times New Roman" w:cs="Times New Roman"/>
          <w:sz w:val="24"/>
          <w:szCs w:val="24"/>
        </w:rPr>
        <w:t>nonpower</w:t>
      </w:r>
      <w:proofErr w:type="spellEnd"/>
      <w:r w:rsidRPr="000F5FEE">
        <w:rPr>
          <w:rFonts w:ascii="Times New Roman" w:hAnsi="Times New Roman" w:cs="Times New Roman"/>
          <w:sz w:val="24"/>
          <w:szCs w:val="24"/>
        </w:rPr>
        <w:t xml:space="preserve"> attributes associated with that one megawatt-hour of electricity, and the certificate is verified by a renewable energy credit tracking system selected by the </w:t>
      </w:r>
      <w:r w:rsidR="005A6C49" w:rsidRPr="000F5FEE">
        <w:rPr>
          <w:rFonts w:ascii="Times New Roman" w:hAnsi="Times New Roman" w:cs="Times New Roman"/>
          <w:sz w:val="24"/>
          <w:szCs w:val="24"/>
        </w:rPr>
        <w:t>d</w:t>
      </w:r>
      <w:r w:rsidRPr="000F5FEE">
        <w:rPr>
          <w:rFonts w:ascii="Times New Roman" w:hAnsi="Times New Roman" w:cs="Times New Roman"/>
          <w:sz w:val="24"/>
          <w:szCs w:val="24"/>
        </w:rPr>
        <w:t>epartment.</w:t>
      </w:r>
    </w:p>
    <w:p w14:paraId="668C8495" w14:textId="010E24D6" w:rsidR="00A03A7E" w:rsidRPr="000F5FEE" w:rsidRDefault="00A03A7E" w:rsidP="002D44FF">
      <w:pPr>
        <w:pStyle w:val="PlainText"/>
        <w:numPr>
          <w:ilvl w:val="0"/>
          <w:numId w:val="12"/>
        </w:numPr>
        <w:rPr>
          <w:rFonts w:ascii="Times New Roman" w:hAnsi="Times New Roman" w:cs="Times New Roman"/>
          <w:sz w:val="24"/>
          <w:szCs w:val="24"/>
        </w:rPr>
      </w:pPr>
      <w:r w:rsidRPr="000F5FEE">
        <w:rPr>
          <w:rFonts w:ascii="Times New Roman" w:hAnsi="Times New Roman" w:cs="Times New Roman"/>
          <w:sz w:val="24"/>
          <w:szCs w:val="24"/>
        </w:rPr>
        <w:t>"Renewable resource" means:</w:t>
      </w:r>
    </w:p>
    <w:p w14:paraId="668C8496" w14:textId="2D40399F"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Water;</w:t>
      </w:r>
    </w:p>
    <w:p w14:paraId="668C8497" w14:textId="61A95F7C"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Wind;</w:t>
      </w:r>
    </w:p>
    <w:p w14:paraId="668C8498" w14:textId="3F1CC8D0"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Solar energy;</w:t>
      </w:r>
    </w:p>
    <w:p w14:paraId="668C8499" w14:textId="0575987C"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Geothermal energy;</w:t>
      </w:r>
    </w:p>
    <w:p w14:paraId="668C849A" w14:textId="1E1076F7"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Landfill gas;</w:t>
      </w:r>
    </w:p>
    <w:p w14:paraId="668C849B" w14:textId="2A86B659"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Wave, ocean, or tidal power;</w:t>
      </w:r>
    </w:p>
    <w:p w14:paraId="668C849C" w14:textId="773052CB"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Gas from sewage treatment facilities;</w:t>
      </w:r>
    </w:p>
    <w:p w14:paraId="668C849D" w14:textId="48EB01A2" w:rsidR="00A03A7E" w:rsidRPr="000F5FEE" w:rsidRDefault="00A03A7E"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 xml:space="preserve">Biodiesel fuel as defined in RCW 82.29A.135 that is not derived from crops raised on land cleared from old growth or first-growth forests where the clearing occurred after December 7, 2006; </w:t>
      </w:r>
    </w:p>
    <w:p w14:paraId="71C661B1" w14:textId="3EB48743" w:rsidR="009D1731" w:rsidRPr="000F5FEE" w:rsidRDefault="009D1731"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 xml:space="preserve">Generation facilities in which fossil and combustible renewable resources are </w:t>
      </w:r>
      <w:proofErr w:type="spellStart"/>
      <w:r w:rsidRPr="000F5FEE">
        <w:rPr>
          <w:rFonts w:ascii="Times New Roman" w:hAnsi="Times New Roman" w:cs="Times New Roman"/>
          <w:sz w:val="24"/>
          <w:szCs w:val="24"/>
        </w:rPr>
        <w:t>cofired</w:t>
      </w:r>
      <w:proofErr w:type="spellEnd"/>
      <w:r w:rsidRPr="000F5FEE">
        <w:rPr>
          <w:rFonts w:ascii="Times New Roman" w:hAnsi="Times New Roman" w:cs="Times New Roman"/>
          <w:sz w:val="24"/>
          <w:szCs w:val="24"/>
        </w:rPr>
        <w:t xml:space="preserve"> in one generating unit that is located in the Pacific Northwest and in which the </w:t>
      </w:r>
      <w:proofErr w:type="spellStart"/>
      <w:r w:rsidRPr="000F5FEE">
        <w:rPr>
          <w:rFonts w:ascii="Times New Roman" w:hAnsi="Times New Roman" w:cs="Times New Roman"/>
          <w:sz w:val="24"/>
          <w:szCs w:val="24"/>
        </w:rPr>
        <w:t>cofiring</w:t>
      </w:r>
      <w:proofErr w:type="spellEnd"/>
      <w:r w:rsidRPr="000F5FEE">
        <w:rPr>
          <w:rFonts w:ascii="Times New Roman" w:hAnsi="Times New Roman" w:cs="Times New Roman"/>
          <w:sz w:val="24"/>
          <w:szCs w:val="24"/>
        </w:rPr>
        <w:t xml:space="preserve"> commenced after March 31, 1999. These facilities produce eligible renewable resources in direct proportion to the percentage of the total heat value represented by the heat value of the renewable resources; or</w:t>
      </w:r>
    </w:p>
    <w:p w14:paraId="090EEB67" w14:textId="2DB14F55" w:rsidR="009D06A2" w:rsidRPr="000F5FEE" w:rsidRDefault="009D06A2" w:rsidP="002D44FF">
      <w:pPr>
        <w:pStyle w:val="PlainText"/>
        <w:numPr>
          <w:ilvl w:val="1"/>
          <w:numId w:val="12"/>
        </w:numPr>
        <w:rPr>
          <w:rFonts w:ascii="Times New Roman" w:hAnsi="Times New Roman" w:cs="Times New Roman"/>
          <w:sz w:val="24"/>
          <w:szCs w:val="24"/>
        </w:rPr>
      </w:pPr>
      <w:r w:rsidRPr="000F5FEE">
        <w:rPr>
          <w:rFonts w:ascii="Times New Roman" w:hAnsi="Times New Roman" w:cs="Times New Roman"/>
          <w:sz w:val="24"/>
          <w:szCs w:val="24"/>
        </w:rPr>
        <w:t>Biomass energy, where the eligible renewable energy produced by biomass facilities is based on the portion of the fuel supply that is made up of eligible biomass fuels.</w:t>
      </w:r>
    </w:p>
    <w:p w14:paraId="4F6090FB" w14:textId="53B51A08" w:rsidR="00AE0DA6" w:rsidRPr="000F5FEE" w:rsidRDefault="00AE0DA6" w:rsidP="002D44FF">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"Request for proposal" or "RFP" means the documents describing an electric utility's solicitation of bids for delivering electric capacity, energy, capacity and energy, or conservation.</w:t>
      </w:r>
    </w:p>
    <w:p w14:paraId="41CFF603" w14:textId="790E8EF1" w:rsidR="003305DE" w:rsidRPr="000F5FEE" w:rsidRDefault="003305DE" w:rsidP="003305DE">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“River discharge” means</w:t>
      </w:r>
      <w:r w:rsidR="009578AF" w:rsidRPr="000F5FEE">
        <w:rPr>
          <w:rFonts w:ascii="Times New Roman" w:hAnsi="Times New Roman" w:cs="Times New Roman"/>
          <w:sz w:val="24"/>
          <w:szCs w:val="24"/>
        </w:rPr>
        <w:t xml:space="preserve"> the total volume of water passing through, over and around all structural components o</w:t>
      </w:r>
      <w:r w:rsidR="00216D63" w:rsidRPr="000F5FEE">
        <w:rPr>
          <w:rFonts w:ascii="Times New Roman" w:hAnsi="Times New Roman" w:cs="Times New Roman"/>
          <w:sz w:val="24"/>
          <w:szCs w:val="24"/>
        </w:rPr>
        <w:t>f</w:t>
      </w:r>
      <w:r w:rsidR="009578AF" w:rsidRPr="000F5FEE">
        <w:rPr>
          <w:rFonts w:ascii="Times New Roman" w:hAnsi="Times New Roman" w:cs="Times New Roman"/>
          <w:sz w:val="24"/>
          <w:szCs w:val="24"/>
        </w:rPr>
        <w:t xml:space="preserve"> </w:t>
      </w:r>
      <w:r w:rsidR="00FD16E8" w:rsidRPr="000F5FEE">
        <w:rPr>
          <w:rFonts w:ascii="Times New Roman" w:hAnsi="Times New Roman" w:cs="Times New Roman"/>
          <w:sz w:val="24"/>
          <w:szCs w:val="24"/>
        </w:rPr>
        <w:t xml:space="preserve">a hydroelectric </w:t>
      </w:r>
      <w:r w:rsidR="009578AF" w:rsidRPr="000F5FEE">
        <w:rPr>
          <w:rFonts w:ascii="Times New Roman" w:hAnsi="Times New Roman" w:cs="Times New Roman"/>
          <w:sz w:val="24"/>
          <w:szCs w:val="24"/>
        </w:rPr>
        <w:t>facility over a given time.</w:t>
      </w:r>
    </w:p>
    <w:p w14:paraId="09DA0CF7" w14:textId="7F268D01" w:rsidR="004C750F" w:rsidRPr="000F5FEE" w:rsidRDefault="004C750F" w:rsidP="003305DE">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 xml:space="preserve">“Single large facility conservation savings” means cost-effective conservation savings achieved in a single biennial period at the premises of a single customer of a utility whose </w:t>
      </w:r>
      <w:r w:rsidR="00F010AA" w:rsidRPr="000F5FEE">
        <w:rPr>
          <w:rFonts w:ascii="Times New Roman" w:hAnsi="Times New Roman" w:cs="Times New Roman"/>
          <w:sz w:val="24"/>
          <w:szCs w:val="24"/>
        </w:rPr>
        <w:t xml:space="preserve">recent </w:t>
      </w:r>
      <w:r w:rsidRPr="000F5FEE">
        <w:rPr>
          <w:rFonts w:ascii="Times New Roman" w:hAnsi="Times New Roman" w:cs="Times New Roman"/>
          <w:sz w:val="24"/>
          <w:szCs w:val="24"/>
        </w:rPr>
        <w:t xml:space="preserve">annual electricity consumption prior to the conservation savings exceeded five average megawatts.  </w:t>
      </w:r>
    </w:p>
    <w:p w14:paraId="3B4C15BD" w14:textId="77777777" w:rsidR="009D06A2" w:rsidRPr="000F5FEE" w:rsidRDefault="009D06A2"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“System cost” means, consistent with RCW 80.52.030,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14:paraId="7E1A6EBE" w14:textId="77777777" w:rsidR="009D06A2" w:rsidRPr="000F5FEE" w:rsidRDefault="009D06A2"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 xml:space="preserve"> “Target year" means the twelve-month period commencing January 1 and ending December 31 used for compliance with the renewable portfolio standard requirement in WAC 480-109-020(1).</w:t>
      </w:r>
    </w:p>
    <w:p w14:paraId="457CDE63" w14:textId="448AD007" w:rsidR="009D06A2" w:rsidRPr="000F5FEE" w:rsidRDefault="003E2CF0"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“Transmission voltage” means</w:t>
      </w:r>
      <w:r w:rsidR="009D06A2" w:rsidRPr="000F5FEE">
        <w:rPr>
          <w:rFonts w:ascii="Times New Roman" w:hAnsi="Times New Roman" w:cs="Times New Roman"/>
          <w:sz w:val="24"/>
          <w:szCs w:val="24"/>
        </w:rPr>
        <w:t xml:space="preserve"> an electric line normally operated at or above 100,000 volts.</w:t>
      </w:r>
    </w:p>
    <w:p w14:paraId="4041AA20" w14:textId="77777777" w:rsidR="009D06A2" w:rsidRPr="000F5FEE" w:rsidRDefault="009D06A2"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"Utility" means an electrical company that is subject to the commission's jurisdiction under RCW 80.04.010 and chapter 80.28 RCW.</w:t>
      </w:r>
    </w:p>
    <w:p w14:paraId="17C30EDC" w14:textId="4EB5E486" w:rsidR="009D06A2" w:rsidRPr="000F5FEE" w:rsidRDefault="009D06A2"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“WREGIS” means the Western renewable energy generation information system. WREGIS is the renewable energy credit tra</w:t>
      </w:r>
      <w:r w:rsidR="00F67B53" w:rsidRPr="000F5FEE">
        <w:rPr>
          <w:rFonts w:ascii="Times New Roman" w:hAnsi="Times New Roman" w:cs="Times New Roman"/>
          <w:sz w:val="24"/>
          <w:szCs w:val="24"/>
        </w:rPr>
        <w:t>cking system designated by the D</w:t>
      </w:r>
      <w:r w:rsidRPr="000F5FEE">
        <w:rPr>
          <w:rFonts w:ascii="Times New Roman" w:hAnsi="Times New Roman" w:cs="Times New Roman"/>
          <w:sz w:val="24"/>
          <w:szCs w:val="24"/>
        </w:rPr>
        <w:t>epartment according to RCW 19.285.030(20).</w:t>
      </w:r>
    </w:p>
    <w:p w14:paraId="668C84A5" w14:textId="311DCF1C" w:rsidR="00A03A7E" w:rsidRPr="000F5FEE" w:rsidRDefault="00A03A7E" w:rsidP="00AE0DA6">
      <w:pPr>
        <w:pStyle w:val="PlainText"/>
        <w:numPr>
          <w:ilvl w:val="0"/>
          <w:numId w:val="17"/>
        </w:numPr>
        <w:rPr>
          <w:rFonts w:ascii="Times New Roman" w:hAnsi="Times New Roman" w:cs="Times New Roman"/>
          <w:sz w:val="24"/>
          <w:szCs w:val="24"/>
        </w:rPr>
      </w:pPr>
      <w:r w:rsidRPr="000F5FEE">
        <w:rPr>
          <w:rFonts w:ascii="Times New Roman" w:hAnsi="Times New Roman" w:cs="Times New Roman"/>
          <w:sz w:val="24"/>
          <w:szCs w:val="24"/>
        </w:rPr>
        <w:t>"Year" means the twelve-month period commencing January 1st and ending December 31st.</w:t>
      </w:r>
    </w:p>
    <w:p w14:paraId="668C84A6" w14:textId="77777777" w:rsidR="00A03A7E" w:rsidRPr="000F5FEE" w:rsidRDefault="00A03A7E" w:rsidP="00DF5B8F">
      <w:pPr>
        <w:pStyle w:val="PlainText"/>
        <w:rPr>
          <w:rFonts w:ascii="Times New Roman" w:hAnsi="Times New Roman" w:cs="Times New Roman"/>
          <w:sz w:val="18"/>
          <w:szCs w:val="18"/>
        </w:rPr>
      </w:pPr>
      <w:r w:rsidRPr="000F5FEE">
        <w:rPr>
          <w:rFonts w:ascii="Times New Roman" w:hAnsi="Times New Roman" w:cs="Times New Roman"/>
          <w:sz w:val="18"/>
          <w:szCs w:val="18"/>
        </w:rPr>
        <w:t xml:space="preserve">[Statutory Authority: RCW 80.01.040, 80.04.160, and chapter 19.285 RCW. </w:t>
      </w:r>
      <w:r w:rsidR="00D70046" w:rsidRPr="000F5FEE">
        <w:rPr>
          <w:rFonts w:ascii="Times New Roman" w:hAnsi="Times New Roman" w:cs="Times New Roman"/>
          <w:sz w:val="18"/>
          <w:szCs w:val="18"/>
        </w:rPr>
        <w:t xml:space="preserve">  </w:t>
      </w:r>
      <w:r w:rsidRPr="000F5FEE">
        <w:rPr>
          <w:rFonts w:ascii="Times New Roman" w:hAnsi="Times New Roman" w:cs="Times New Roman"/>
          <w:sz w:val="18"/>
          <w:szCs w:val="18"/>
        </w:rPr>
        <w:t>07-24-012 and 08-01-037 (Docket UE-061895, General Order R-546), § 480-109-007, filed 11/27/07 and 12/10/07, effective 12/28/07 and 1/10/08.]</w:t>
      </w:r>
    </w:p>
    <w:p w14:paraId="668C84A7" w14:textId="77777777" w:rsidR="00A03A7E" w:rsidRPr="000F5FEE" w:rsidRDefault="00A03A7E" w:rsidP="00DF5B8F">
      <w:pPr>
        <w:pStyle w:val="PlainText"/>
        <w:rPr>
          <w:rFonts w:ascii="Times New Roman" w:hAnsi="Times New Roman" w:cs="Times New Roman"/>
          <w:sz w:val="24"/>
          <w:szCs w:val="24"/>
        </w:rPr>
      </w:pPr>
    </w:p>
    <w:p w14:paraId="668C84A8" w14:textId="77777777" w:rsidR="00A03A7E" w:rsidRPr="000F5FEE" w:rsidRDefault="00A03A7E" w:rsidP="00DF5B8F">
      <w:pPr>
        <w:pStyle w:val="PlainText"/>
        <w:rPr>
          <w:rFonts w:ascii="Times New Roman" w:hAnsi="Times New Roman" w:cs="Times New Roman"/>
          <w:sz w:val="24"/>
          <w:szCs w:val="24"/>
        </w:rPr>
      </w:pPr>
    </w:p>
    <w:p w14:paraId="11951A3B" w14:textId="77777777" w:rsidR="00522323" w:rsidRPr="000F5FEE" w:rsidRDefault="00522323">
      <w:pPr>
        <w:rPr>
          <w:rFonts w:ascii="Times New Roman" w:hAnsi="Times New Roman" w:cs="Times New Roman"/>
          <w:b/>
          <w:sz w:val="24"/>
          <w:szCs w:val="24"/>
        </w:rPr>
      </w:pPr>
      <w:r w:rsidRPr="000F5FEE">
        <w:rPr>
          <w:rFonts w:ascii="Times New Roman" w:hAnsi="Times New Roman" w:cs="Times New Roman"/>
          <w:b/>
          <w:sz w:val="24"/>
          <w:szCs w:val="24"/>
        </w:rPr>
        <w:br w:type="page"/>
      </w:r>
    </w:p>
    <w:p w14:paraId="668C84A9" w14:textId="4F30BA78"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480-109-010</w:t>
      </w:r>
      <w:r w:rsidR="00D70046" w:rsidRPr="000F5FEE">
        <w:rPr>
          <w:rFonts w:ascii="Times New Roman" w:hAnsi="Times New Roman" w:cs="Times New Roman"/>
          <w:b/>
          <w:sz w:val="24"/>
          <w:szCs w:val="24"/>
        </w:rPr>
        <w:tab/>
      </w:r>
      <w:r w:rsidRPr="000F5FEE">
        <w:rPr>
          <w:rFonts w:ascii="Times New Roman" w:hAnsi="Times New Roman" w:cs="Times New Roman"/>
          <w:b/>
          <w:sz w:val="24"/>
          <w:szCs w:val="24"/>
        </w:rPr>
        <w:t xml:space="preserve">Conservation </w:t>
      </w:r>
      <w:r w:rsidR="009A2E84" w:rsidRPr="000F5FEE">
        <w:rPr>
          <w:rFonts w:ascii="Times New Roman" w:hAnsi="Times New Roman" w:cs="Times New Roman"/>
          <w:b/>
          <w:sz w:val="24"/>
          <w:szCs w:val="24"/>
        </w:rPr>
        <w:t>and e</w:t>
      </w:r>
      <w:r w:rsidR="00F42CED" w:rsidRPr="000F5FEE">
        <w:rPr>
          <w:rFonts w:ascii="Times New Roman" w:hAnsi="Times New Roman" w:cs="Times New Roman"/>
          <w:b/>
          <w:sz w:val="24"/>
          <w:szCs w:val="24"/>
        </w:rPr>
        <w:t xml:space="preserve">nergy efficiency </w:t>
      </w:r>
      <w:r w:rsidRPr="000F5FEE">
        <w:rPr>
          <w:rFonts w:ascii="Times New Roman" w:hAnsi="Times New Roman" w:cs="Times New Roman"/>
          <w:b/>
          <w:sz w:val="24"/>
          <w:szCs w:val="24"/>
        </w:rPr>
        <w:t>resource</w:t>
      </w:r>
      <w:r w:rsidR="00F42CED" w:rsidRPr="000F5FEE">
        <w:rPr>
          <w:rFonts w:ascii="Times New Roman" w:hAnsi="Times New Roman" w:cs="Times New Roman"/>
          <w:b/>
          <w:sz w:val="24"/>
          <w:szCs w:val="24"/>
        </w:rPr>
        <w:t xml:space="preserve"> </w:t>
      </w:r>
      <w:r w:rsidRPr="000F5FEE">
        <w:rPr>
          <w:rFonts w:ascii="Times New Roman" w:hAnsi="Times New Roman" w:cs="Times New Roman"/>
          <w:b/>
          <w:sz w:val="24"/>
          <w:szCs w:val="24"/>
        </w:rPr>
        <w:t>s</w:t>
      </w:r>
      <w:r w:rsidR="00F42CED" w:rsidRPr="000F5FEE">
        <w:rPr>
          <w:rFonts w:ascii="Times New Roman" w:hAnsi="Times New Roman" w:cs="Times New Roman"/>
          <w:b/>
          <w:sz w:val="24"/>
          <w:szCs w:val="24"/>
        </w:rPr>
        <w:t>tandard</w:t>
      </w:r>
      <w:r w:rsidR="000A22F3" w:rsidRPr="000F5FEE">
        <w:rPr>
          <w:rFonts w:ascii="Times New Roman" w:hAnsi="Times New Roman" w:cs="Times New Roman"/>
          <w:b/>
          <w:sz w:val="24"/>
          <w:szCs w:val="24"/>
        </w:rPr>
        <w:t>.</w:t>
      </w:r>
    </w:p>
    <w:p w14:paraId="668C84AA" w14:textId="664E607C" w:rsidR="00A03A7E" w:rsidRPr="000F5FEE" w:rsidRDefault="00A03A7E"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 (1) </w:t>
      </w:r>
      <w:r w:rsidR="00B94939" w:rsidRPr="000F5FEE">
        <w:rPr>
          <w:rFonts w:ascii="Times New Roman" w:hAnsi="Times New Roman" w:cs="Times New Roman"/>
          <w:b/>
          <w:sz w:val="24"/>
          <w:szCs w:val="24"/>
        </w:rPr>
        <w:t xml:space="preserve">Conservation potential. </w:t>
      </w:r>
      <w:r w:rsidRPr="000F5FEE">
        <w:rPr>
          <w:rFonts w:ascii="Times New Roman" w:hAnsi="Times New Roman" w:cs="Times New Roman"/>
          <w:sz w:val="24"/>
          <w:szCs w:val="24"/>
        </w:rPr>
        <w:t xml:space="preserve">By January 1, 2010, and every two years thereafter,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project its cumulative ten-year conservation potential.</w:t>
      </w:r>
    </w:p>
    <w:p w14:paraId="668C84AB" w14:textId="3135CA62" w:rsidR="00A03A7E" w:rsidRPr="000F5FEE" w:rsidRDefault="00350E09"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A03A7E" w:rsidRPr="000F5FEE">
        <w:rPr>
          <w:rFonts w:ascii="Times New Roman" w:hAnsi="Times New Roman" w:cs="Times New Roman"/>
          <w:sz w:val="24"/>
          <w:szCs w:val="24"/>
        </w:rPr>
        <w:t xml:space="preserve">     (a) This projection </w:t>
      </w:r>
      <w:r w:rsidR="001A5A8F" w:rsidRPr="000F5FEE">
        <w:rPr>
          <w:rFonts w:ascii="Times New Roman" w:hAnsi="Times New Roman" w:cs="Times New Roman"/>
          <w:sz w:val="24"/>
          <w:szCs w:val="24"/>
        </w:rPr>
        <w:t xml:space="preserve">must </w:t>
      </w:r>
      <w:r w:rsidR="00A03A7E" w:rsidRPr="000F5FEE">
        <w:rPr>
          <w:rFonts w:ascii="Times New Roman" w:hAnsi="Times New Roman" w:cs="Times New Roman"/>
          <w:sz w:val="24"/>
          <w:szCs w:val="24"/>
        </w:rPr>
        <w:t xml:space="preserve">consider </w:t>
      </w:r>
      <w:r w:rsidR="001A5A8F" w:rsidRPr="000F5FEE">
        <w:rPr>
          <w:rFonts w:ascii="Times New Roman" w:hAnsi="Times New Roman" w:cs="Times New Roman"/>
          <w:sz w:val="24"/>
          <w:szCs w:val="24"/>
        </w:rPr>
        <w:t xml:space="preserve">all </w:t>
      </w:r>
      <w:r w:rsidR="00A03A7E" w:rsidRPr="000F5FEE">
        <w:rPr>
          <w:rFonts w:ascii="Times New Roman" w:hAnsi="Times New Roman" w:cs="Times New Roman"/>
          <w:sz w:val="24"/>
          <w:szCs w:val="24"/>
        </w:rPr>
        <w:t>conservation resources that are cost-effective, reliable</w:t>
      </w:r>
      <w:r w:rsidR="00E04D47" w:rsidRPr="000F5FEE">
        <w:rPr>
          <w:rFonts w:ascii="Times New Roman" w:hAnsi="Times New Roman" w:cs="Times New Roman"/>
          <w:sz w:val="24"/>
          <w:szCs w:val="24"/>
        </w:rPr>
        <w:t>,</w:t>
      </w:r>
      <w:r w:rsidR="00A03A7E" w:rsidRPr="000F5FEE">
        <w:rPr>
          <w:rFonts w:ascii="Times New Roman" w:hAnsi="Times New Roman" w:cs="Times New Roman"/>
          <w:sz w:val="24"/>
          <w:szCs w:val="24"/>
        </w:rPr>
        <w:t xml:space="preserve"> and feasible.</w:t>
      </w:r>
    </w:p>
    <w:p w14:paraId="668C84AE" w14:textId="1729F277" w:rsidR="00A03A7E" w:rsidRPr="000F5FEE" w:rsidRDefault="00A03A7E" w:rsidP="007425AA">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   (b) This projection must be derived from</w:t>
      </w:r>
      <w:r w:rsidR="007425AA" w:rsidRPr="000F5FEE">
        <w:rPr>
          <w:rFonts w:ascii="Times New Roman" w:hAnsi="Times New Roman" w:cs="Times New Roman"/>
          <w:sz w:val="24"/>
          <w:szCs w:val="24"/>
        </w:rPr>
        <w:t xml:space="preserve"> </w:t>
      </w:r>
      <w:r w:rsidR="00E46A62" w:rsidRPr="000F5FEE">
        <w:rPr>
          <w:rFonts w:ascii="Times New Roman" w:hAnsi="Times New Roman" w:cs="Times New Roman"/>
          <w:sz w:val="24"/>
          <w:szCs w:val="24"/>
        </w:rPr>
        <w:t>t</w:t>
      </w:r>
      <w:r w:rsidRPr="000F5FEE">
        <w:rPr>
          <w:rFonts w:ascii="Times New Roman" w:hAnsi="Times New Roman" w:cs="Times New Roman"/>
          <w:sz w:val="24"/>
          <w:szCs w:val="24"/>
        </w:rPr>
        <w: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w:t>
      </w:r>
      <w:r w:rsidR="00D43975" w:rsidRPr="000F5FEE">
        <w:rPr>
          <w:rFonts w:ascii="Times New Roman" w:hAnsi="Times New Roman" w:cs="Times New Roman"/>
          <w:sz w:val="24"/>
          <w:szCs w:val="24"/>
        </w:rPr>
        <w:t>’s Sixth Northwest Conservation and Electric Power Plan</w:t>
      </w:r>
      <w:r w:rsidR="007425AA" w:rsidRPr="000F5FEE">
        <w:rPr>
          <w:rFonts w:ascii="Times New Roman" w:hAnsi="Times New Roman" w:cs="Times New Roman"/>
          <w:sz w:val="24"/>
          <w:szCs w:val="24"/>
        </w:rPr>
        <w:t>.</w:t>
      </w:r>
    </w:p>
    <w:p w14:paraId="0031CA84" w14:textId="3F4781FE" w:rsidR="005D3091" w:rsidRPr="000F5FEE" w:rsidRDefault="00EE4AD1" w:rsidP="007425AA">
      <w:pPr>
        <w:pStyle w:val="PlainText"/>
        <w:ind w:left="720" w:hanging="270"/>
        <w:rPr>
          <w:rFonts w:ascii="Times New Roman" w:hAnsi="Times New Roman" w:cs="Times New Roman"/>
          <w:sz w:val="24"/>
          <w:szCs w:val="24"/>
        </w:rPr>
      </w:pPr>
      <w:r w:rsidRPr="000F5FEE">
        <w:rPr>
          <w:rFonts w:ascii="Times New Roman" w:hAnsi="Times New Roman" w:cs="Times New Roman"/>
          <w:sz w:val="24"/>
          <w:szCs w:val="24"/>
        </w:rPr>
        <w:t>(c) The projection must include a list of each measure used in the potential</w:t>
      </w:r>
      <w:r w:rsidR="004B63C7" w:rsidRPr="000F5FEE">
        <w:rPr>
          <w:rFonts w:ascii="Times New Roman" w:hAnsi="Times New Roman" w:cs="Times New Roman"/>
          <w:sz w:val="24"/>
          <w:szCs w:val="24"/>
        </w:rPr>
        <w:t xml:space="preserve">, </w:t>
      </w:r>
      <w:r w:rsidRPr="000F5FEE">
        <w:rPr>
          <w:rFonts w:ascii="Times New Roman" w:hAnsi="Times New Roman" w:cs="Times New Roman"/>
          <w:sz w:val="24"/>
          <w:szCs w:val="24"/>
        </w:rPr>
        <w:t>its unit energy savings value</w:t>
      </w:r>
      <w:r w:rsidR="004B63C7" w:rsidRPr="000F5FEE">
        <w:rPr>
          <w:rFonts w:ascii="Times New Roman" w:hAnsi="Times New Roman" w:cs="Times New Roman"/>
          <w:sz w:val="24"/>
          <w:szCs w:val="24"/>
        </w:rPr>
        <w:t>, and the source of that value</w:t>
      </w:r>
      <w:r w:rsidRPr="000F5FEE">
        <w:rPr>
          <w:rFonts w:ascii="Times New Roman" w:hAnsi="Times New Roman" w:cs="Times New Roman"/>
          <w:sz w:val="24"/>
          <w:szCs w:val="24"/>
        </w:rPr>
        <w:t>.</w:t>
      </w:r>
    </w:p>
    <w:p w14:paraId="668C84AF" w14:textId="3552C10B" w:rsidR="00A03A7E" w:rsidRPr="000F5FEE" w:rsidRDefault="00A03A7E" w:rsidP="00DF5B8F">
      <w:pPr>
        <w:pStyle w:val="PlainText"/>
        <w:rPr>
          <w:rFonts w:ascii="Times New Roman" w:hAnsi="Times New Roman" w:cs="Times New Roman"/>
          <w:b/>
          <w:sz w:val="24"/>
          <w:szCs w:val="24"/>
        </w:rPr>
      </w:pPr>
      <w:r w:rsidRPr="000F5FEE">
        <w:rPr>
          <w:rFonts w:ascii="Times New Roman" w:hAnsi="Times New Roman" w:cs="Times New Roman"/>
          <w:sz w:val="24"/>
          <w:szCs w:val="24"/>
        </w:rPr>
        <w:t xml:space="preserve">     (2) </w:t>
      </w:r>
      <w:r w:rsidR="00865016" w:rsidRPr="000F5FEE">
        <w:rPr>
          <w:rFonts w:ascii="Times New Roman" w:hAnsi="Times New Roman" w:cs="Times New Roman"/>
          <w:b/>
          <w:sz w:val="24"/>
          <w:szCs w:val="24"/>
        </w:rPr>
        <w:t xml:space="preserve">Biennial conservation target.  </w:t>
      </w:r>
      <w:r w:rsidRPr="000F5FEE">
        <w:rPr>
          <w:rFonts w:ascii="Times New Roman" w:hAnsi="Times New Roman" w:cs="Times New Roman"/>
          <w:sz w:val="24"/>
          <w:szCs w:val="24"/>
        </w:rPr>
        <w:t xml:space="preserve">Beginning January 2010, and every two years thereafter,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establish a biennial conservation target.</w:t>
      </w:r>
    </w:p>
    <w:p w14:paraId="668C84B0" w14:textId="7C35C042" w:rsidR="00A03A7E" w:rsidRPr="000F5FEE" w:rsidRDefault="00A03A7E"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Pr="000F5FEE">
        <w:rPr>
          <w:rFonts w:ascii="Times New Roman" w:hAnsi="Times New Roman" w:cs="Times New Roman"/>
          <w:sz w:val="24"/>
          <w:szCs w:val="24"/>
        </w:rPr>
        <w:t>(a) The biennial conservation target must identify</w:t>
      </w:r>
      <w:r w:rsidR="001A3AC9" w:rsidRPr="000F5FEE">
        <w:rPr>
          <w:rFonts w:ascii="Times New Roman" w:hAnsi="Times New Roman" w:cs="Times New Roman"/>
          <w:sz w:val="24"/>
          <w:szCs w:val="24"/>
        </w:rPr>
        <w:t>,</w:t>
      </w:r>
      <w:r w:rsidR="003D4B8C" w:rsidRPr="000F5FEE">
        <w:rPr>
          <w:rFonts w:ascii="Times New Roman" w:hAnsi="Times New Roman" w:cs="Times New Roman"/>
          <w:sz w:val="24"/>
          <w:szCs w:val="24"/>
        </w:rPr>
        <w:t xml:space="preserve"> and quantify in </w:t>
      </w:r>
      <w:r w:rsidR="00721C0A" w:rsidRPr="000F5FEE">
        <w:rPr>
          <w:rFonts w:ascii="Times New Roman" w:hAnsi="Times New Roman" w:cs="Times New Roman"/>
          <w:sz w:val="24"/>
          <w:szCs w:val="24"/>
        </w:rPr>
        <w:t>megawatt-hours</w:t>
      </w:r>
      <w:r w:rsidR="001A3AC9" w:rsidRPr="000F5FEE">
        <w:rPr>
          <w:rFonts w:ascii="Times New Roman" w:hAnsi="Times New Roman" w:cs="Times New Roman"/>
          <w:sz w:val="24"/>
          <w:szCs w:val="24"/>
        </w:rPr>
        <w:t>,</w:t>
      </w:r>
      <w:r w:rsidRPr="000F5FEE">
        <w:rPr>
          <w:rFonts w:ascii="Times New Roman" w:hAnsi="Times New Roman" w:cs="Times New Roman"/>
          <w:sz w:val="24"/>
          <w:szCs w:val="24"/>
        </w:rPr>
        <w:t xml:space="preserve"> all achievable conservation opportunities.</w:t>
      </w:r>
    </w:p>
    <w:p w14:paraId="668C84B1" w14:textId="7B45F7AB" w:rsidR="00A03A7E" w:rsidRPr="000F5FEE" w:rsidRDefault="00A03A7E"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(b) The biennial conservation target must be no lower than a pro rata share of the utility's ten-year cumulative achievable conservation potential. </w:t>
      </w:r>
    </w:p>
    <w:p w14:paraId="4C7DD8E8" w14:textId="0DB2486A" w:rsidR="00F63E97" w:rsidRPr="000F5FEE" w:rsidRDefault="00172C05" w:rsidP="007425AA">
      <w:pPr>
        <w:pStyle w:val="PlainText"/>
        <w:ind w:left="720" w:hanging="270"/>
        <w:rPr>
          <w:rFonts w:ascii="Times New Roman" w:hAnsi="Times New Roman" w:cs="Times New Roman"/>
          <w:sz w:val="24"/>
          <w:szCs w:val="24"/>
        </w:rPr>
      </w:pPr>
      <w:r w:rsidRPr="000F5FEE">
        <w:rPr>
          <w:rFonts w:ascii="Times New Roman" w:hAnsi="Times New Roman" w:cs="Times New Roman"/>
          <w:sz w:val="24"/>
          <w:szCs w:val="24"/>
        </w:rPr>
        <w:t>(</w:t>
      </w:r>
      <w:r w:rsidR="003A25FD" w:rsidRPr="000F5FEE">
        <w:rPr>
          <w:rFonts w:ascii="Times New Roman" w:hAnsi="Times New Roman" w:cs="Times New Roman"/>
          <w:sz w:val="24"/>
          <w:szCs w:val="24"/>
        </w:rPr>
        <w:t>c</w:t>
      </w:r>
      <w:r w:rsidRPr="000F5FEE">
        <w:rPr>
          <w:rFonts w:ascii="Times New Roman" w:hAnsi="Times New Roman" w:cs="Times New Roman"/>
          <w:sz w:val="24"/>
          <w:szCs w:val="24"/>
        </w:rPr>
        <w:t xml:space="preserve">) </w:t>
      </w:r>
      <w:r w:rsidR="001B0D46" w:rsidRPr="000F5FEE">
        <w:rPr>
          <w:rFonts w:ascii="Times New Roman" w:hAnsi="Times New Roman" w:cs="Times New Roman"/>
          <w:b/>
          <w:sz w:val="24"/>
          <w:szCs w:val="24"/>
        </w:rPr>
        <w:t>Excess conservation</w:t>
      </w:r>
      <w:r w:rsidR="001B0D46" w:rsidRPr="000F5FEE">
        <w:rPr>
          <w:rFonts w:ascii="Times New Roman" w:hAnsi="Times New Roman" w:cs="Times New Roman"/>
          <w:sz w:val="24"/>
          <w:szCs w:val="24"/>
        </w:rPr>
        <w:t xml:space="preserve">. </w:t>
      </w:r>
      <w:r w:rsidR="00F63E97" w:rsidRPr="000F5FEE">
        <w:rPr>
          <w:rFonts w:ascii="Times New Roman" w:hAnsi="Times New Roman" w:cs="Times New Roman"/>
          <w:sz w:val="24"/>
          <w:szCs w:val="24"/>
        </w:rPr>
        <w:t xml:space="preserve">No more than twenty-five percent of any biennial </w:t>
      </w:r>
      <w:proofErr w:type="gramStart"/>
      <w:r w:rsidR="00F63E97" w:rsidRPr="000F5FEE">
        <w:rPr>
          <w:rFonts w:ascii="Times New Roman" w:hAnsi="Times New Roman" w:cs="Times New Roman"/>
          <w:sz w:val="24"/>
          <w:szCs w:val="24"/>
        </w:rPr>
        <w:t>target</w:t>
      </w:r>
      <w:proofErr w:type="gramEnd"/>
      <w:r w:rsidR="00F63E97" w:rsidRPr="000F5FEE">
        <w:rPr>
          <w:rFonts w:ascii="Times New Roman" w:hAnsi="Times New Roman" w:cs="Times New Roman"/>
          <w:sz w:val="24"/>
          <w:szCs w:val="24"/>
        </w:rPr>
        <w:t xml:space="preserve"> may be met with excess conservation savings allowed by this subsection.</w:t>
      </w:r>
    </w:p>
    <w:p w14:paraId="7AD31966" w14:textId="77777777" w:rsidR="00F63E97" w:rsidRPr="000F5FEE" w:rsidRDefault="00F63E97" w:rsidP="00F63E97">
      <w:pPr>
        <w:pStyle w:val="PlainText"/>
        <w:numPr>
          <w:ilvl w:val="0"/>
          <w:numId w:val="27"/>
        </w:numPr>
        <w:ind w:left="1260" w:hanging="540"/>
        <w:rPr>
          <w:rFonts w:ascii="Times New Roman" w:hAnsi="Times New Roman" w:cs="Times New Roman"/>
          <w:sz w:val="24"/>
          <w:szCs w:val="24"/>
        </w:rPr>
      </w:pPr>
      <w:r w:rsidRPr="000F5FEE">
        <w:rPr>
          <w:rFonts w:ascii="Times New Roman" w:hAnsi="Times New Roman" w:cs="Times New Roman"/>
          <w:sz w:val="24"/>
          <w:szCs w:val="24"/>
        </w:rPr>
        <w:t>Beginning January 1, 2014, cost-effective conservation achieved in excess of the biennial conservation target may be used to meet up to twenty percent of each of the subsequent two biennial targets.</w:t>
      </w:r>
    </w:p>
    <w:p w14:paraId="0C20807A" w14:textId="74CCAE1C" w:rsidR="00F63E97" w:rsidRPr="000F5FEE" w:rsidRDefault="000D0854" w:rsidP="00F63E97">
      <w:pPr>
        <w:pStyle w:val="PlainText"/>
        <w:numPr>
          <w:ilvl w:val="0"/>
          <w:numId w:val="27"/>
        </w:numPr>
        <w:ind w:left="1260" w:hanging="540"/>
        <w:rPr>
          <w:rFonts w:ascii="Times New Roman" w:hAnsi="Times New Roman" w:cs="Times New Roman"/>
          <w:sz w:val="24"/>
          <w:szCs w:val="24"/>
        </w:rPr>
      </w:pPr>
      <w:r w:rsidRPr="000F5FEE">
        <w:rPr>
          <w:rFonts w:ascii="Times New Roman" w:hAnsi="Times New Roman" w:cs="Times New Roman"/>
          <w:sz w:val="24"/>
          <w:szCs w:val="24"/>
        </w:rPr>
        <w:t>Beginning January 1, 2014, a</w:t>
      </w:r>
      <w:r w:rsidR="00172C05" w:rsidRPr="000F5FEE">
        <w:rPr>
          <w:rFonts w:ascii="Times New Roman" w:hAnsi="Times New Roman" w:cs="Times New Roman"/>
          <w:sz w:val="24"/>
          <w:szCs w:val="24"/>
        </w:rPr>
        <w:t xml:space="preserve"> utility may use </w:t>
      </w:r>
      <w:r w:rsidR="004C750F" w:rsidRPr="000F5FEE">
        <w:rPr>
          <w:rFonts w:ascii="Times New Roman" w:hAnsi="Times New Roman" w:cs="Times New Roman"/>
          <w:sz w:val="24"/>
          <w:szCs w:val="24"/>
        </w:rPr>
        <w:t xml:space="preserve">single large facility </w:t>
      </w:r>
      <w:r w:rsidR="00172C05" w:rsidRPr="000F5FEE">
        <w:rPr>
          <w:rFonts w:ascii="Times New Roman" w:hAnsi="Times New Roman" w:cs="Times New Roman"/>
          <w:sz w:val="24"/>
          <w:szCs w:val="24"/>
        </w:rPr>
        <w:t>conservation savings</w:t>
      </w:r>
      <w:r w:rsidR="00A31E8B" w:rsidRPr="000F5FEE">
        <w:rPr>
          <w:rFonts w:ascii="Times New Roman" w:hAnsi="Times New Roman" w:cs="Times New Roman"/>
          <w:sz w:val="24"/>
          <w:szCs w:val="24"/>
        </w:rPr>
        <w:t xml:space="preserve"> in excess of its biennial target</w:t>
      </w:r>
      <w:r w:rsidR="00172C05" w:rsidRPr="000F5FEE">
        <w:rPr>
          <w:rFonts w:ascii="Times New Roman" w:hAnsi="Times New Roman" w:cs="Times New Roman"/>
          <w:sz w:val="24"/>
          <w:szCs w:val="24"/>
        </w:rPr>
        <w:t xml:space="preserve"> to meet up to five percent</w:t>
      </w:r>
      <w:r w:rsidR="00A31E8B" w:rsidRPr="000F5FEE">
        <w:rPr>
          <w:rFonts w:ascii="Times New Roman" w:hAnsi="Times New Roman" w:cs="Times New Roman"/>
          <w:sz w:val="24"/>
          <w:szCs w:val="24"/>
        </w:rPr>
        <w:t xml:space="preserve"> </w:t>
      </w:r>
      <w:r w:rsidR="00B44726" w:rsidRPr="000F5FEE">
        <w:rPr>
          <w:rFonts w:ascii="Times New Roman" w:hAnsi="Times New Roman" w:cs="Times New Roman"/>
          <w:sz w:val="24"/>
          <w:szCs w:val="24"/>
        </w:rPr>
        <w:t xml:space="preserve">of each </w:t>
      </w:r>
      <w:r w:rsidR="00172C05" w:rsidRPr="000F5FEE">
        <w:rPr>
          <w:rFonts w:ascii="Times New Roman" w:hAnsi="Times New Roman" w:cs="Times New Roman"/>
          <w:sz w:val="24"/>
          <w:szCs w:val="24"/>
        </w:rPr>
        <w:t>of the immediate t</w:t>
      </w:r>
      <w:r w:rsidR="00BC5CCC" w:rsidRPr="000F5FEE">
        <w:rPr>
          <w:rFonts w:ascii="Times New Roman" w:hAnsi="Times New Roman" w:cs="Times New Roman"/>
          <w:sz w:val="24"/>
          <w:szCs w:val="24"/>
        </w:rPr>
        <w:t xml:space="preserve">wo subsequent biennial </w:t>
      </w:r>
      <w:r w:rsidR="004848F7" w:rsidRPr="000F5FEE">
        <w:rPr>
          <w:rFonts w:ascii="Times New Roman" w:hAnsi="Times New Roman" w:cs="Times New Roman"/>
          <w:sz w:val="24"/>
          <w:szCs w:val="24"/>
        </w:rPr>
        <w:t xml:space="preserve">conservation </w:t>
      </w:r>
      <w:r w:rsidR="00BC5CCC" w:rsidRPr="000F5FEE">
        <w:rPr>
          <w:rFonts w:ascii="Times New Roman" w:hAnsi="Times New Roman" w:cs="Times New Roman"/>
          <w:sz w:val="24"/>
          <w:szCs w:val="24"/>
        </w:rPr>
        <w:t>targets</w:t>
      </w:r>
      <w:r w:rsidR="000A1471" w:rsidRPr="000F5FEE">
        <w:rPr>
          <w:rFonts w:ascii="Times New Roman" w:hAnsi="Times New Roman" w:cs="Times New Roman"/>
          <w:sz w:val="24"/>
          <w:szCs w:val="24"/>
        </w:rPr>
        <w:t>.</w:t>
      </w:r>
      <w:r w:rsidR="00A31E8B" w:rsidRPr="000F5FEE">
        <w:rPr>
          <w:rFonts w:ascii="Times New Roman" w:hAnsi="Times New Roman" w:cs="Times New Roman"/>
          <w:sz w:val="24"/>
          <w:szCs w:val="24"/>
        </w:rPr>
        <w:t xml:space="preserve"> </w:t>
      </w:r>
    </w:p>
    <w:p w14:paraId="27FFC9F7" w14:textId="037584D4" w:rsidR="00172C05" w:rsidRPr="000F5FEE" w:rsidRDefault="000D0854" w:rsidP="00F63E97">
      <w:pPr>
        <w:pStyle w:val="PlainText"/>
        <w:numPr>
          <w:ilvl w:val="0"/>
          <w:numId w:val="27"/>
        </w:numPr>
        <w:ind w:left="1260" w:hanging="540"/>
        <w:rPr>
          <w:rFonts w:ascii="Times New Roman" w:hAnsi="Times New Roman" w:cs="Times New Roman"/>
          <w:sz w:val="24"/>
          <w:szCs w:val="24"/>
        </w:rPr>
      </w:pPr>
      <w:r w:rsidRPr="000F5FEE">
        <w:rPr>
          <w:rFonts w:ascii="Times New Roman" w:hAnsi="Times New Roman" w:cs="Times New Roman"/>
          <w:sz w:val="24"/>
          <w:szCs w:val="24"/>
        </w:rPr>
        <w:t>Beginning January</w:t>
      </w:r>
      <w:r w:rsidR="00BC5CCC" w:rsidRPr="000F5FEE">
        <w:rPr>
          <w:rFonts w:ascii="Times New Roman" w:hAnsi="Times New Roman" w:cs="Times New Roman"/>
          <w:sz w:val="24"/>
          <w:szCs w:val="24"/>
        </w:rPr>
        <w:t xml:space="preserve"> 1, 2012, and until December 31, 2017, a utility with an industrial facility located in a county with a population between ninety-five thousand and one hundred fifteen</w:t>
      </w:r>
      <w:r w:rsidR="00C26DC3" w:rsidRPr="000F5FEE">
        <w:rPr>
          <w:rFonts w:ascii="Times New Roman" w:hAnsi="Times New Roman" w:cs="Times New Roman"/>
          <w:sz w:val="24"/>
          <w:szCs w:val="24"/>
        </w:rPr>
        <w:t xml:space="preserve"> thousand</w:t>
      </w:r>
      <w:r w:rsidR="00BC5CCC" w:rsidRPr="000F5FEE">
        <w:rPr>
          <w:rFonts w:ascii="Times New Roman" w:hAnsi="Times New Roman" w:cs="Times New Roman"/>
          <w:sz w:val="24"/>
          <w:szCs w:val="24"/>
        </w:rPr>
        <w:t xml:space="preserve"> </w:t>
      </w:r>
      <w:r w:rsidR="008074EB" w:rsidRPr="000F5FEE">
        <w:rPr>
          <w:rFonts w:ascii="Times New Roman" w:hAnsi="Times New Roman" w:cs="Times New Roman"/>
          <w:sz w:val="24"/>
          <w:szCs w:val="24"/>
        </w:rPr>
        <w:t xml:space="preserve">that is directly </w:t>
      </w:r>
      <w:r w:rsidR="00BC5CCC" w:rsidRPr="000F5FEE">
        <w:rPr>
          <w:rFonts w:ascii="Times New Roman" w:hAnsi="Times New Roman" w:cs="Times New Roman"/>
          <w:sz w:val="24"/>
          <w:szCs w:val="24"/>
        </w:rPr>
        <w:t xml:space="preserve">interconnected with electricity facilities that are capable of carrying electricity at transmission voltage, may use cost-effective </w:t>
      </w:r>
      <w:r w:rsidR="001B0D46" w:rsidRPr="000F5FEE">
        <w:rPr>
          <w:rFonts w:ascii="Times New Roman" w:hAnsi="Times New Roman" w:cs="Times New Roman"/>
          <w:sz w:val="24"/>
          <w:szCs w:val="24"/>
        </w:rPr>
        <w:t xml:space="preserve">excess </w:t>
      </w:r>
      <w:r w:rsidR="00BC5CCC" w:rsidRPr="000F5FEE">
        <w:rPr>
          <w:rFonts w:ascii="Times New Roman" w:hAnsi="Times New Roman" w:cs="Times New Roman"/>
          <w:sz w:val="24"/>
          <w:szCs w:val="24"/>
        </w:rPr>
        <w:t>conservation</w:t>
      </w:r>
      <w:r w:rsidR="00C26DC3" w:rsidRPr="000F5FEE">
        <w:rPr>
          <w:rFonts w:ascii="Times New Roman" w:hAnsi="Times New Roman" w:cs="Times New Roman"/>
          <w:sz w:val="24"/>
          <w:szCs w:val="24"/>
        </w:rPr>
        <w:t xml:space="preserve"> savings </w:t>
      </w:r>
      <w:r w:rsidR="00BC5CCC" w:rsidRPr="000F5FEE">
        <w:rPr>
          <w:rFonts w:ascii="Times New Roman" w:hAnsi="Times New Roman" w:cs="Times New Roman"/>
          <w:sz w:val="24"/>
          <w:szCs w:val="24"/>
        </w:rPr>
        <w:t>from that industrial facility</w:t>
      </w:r>
      <w:r w:rsidR="004848F7" w:rsidRPr="000F5FEE">
        <w:rPr>
          <w:rFonts w:ascii="Times New Roman" w:hAnsi="Times New Roman" w:cs="Times New Roman"/>
          <w:sz w:val="24"/>
          <w:szCs w:val="24"/>
        </w:rPr>
        <w:t xml:space="preserve"> to</w:t>
      </w:r>
      <w:r w:rsidR="00447176" w:rsidRPr="000F5FEE">
        <w:rPr>
          <w:rFonts w:ascii="Times New Roman" w:hAnsi="Times New Roman" w:cs="Times New Roman"/>
          <w:sz w:val="24"/>
          <w:szCs w:val="24"/>
        </w:rPr>
        <w:t xml:space="preserve"> meet</w:t>
      </w:r>
      <w:r w:rsidR="003A25FD" w:rsidRPr="000F5FEE">
        <w:rPr>
          <w:rFonts w:ascii="Times New Roman" w:hAnsi="Times New Roman" w:cs="Times New Roman"/>
          <w:sz w:val="24"/>
          <w:szCs w:val="24"/>
        </w:rPr>
        <w:t xml:space="preserve"> </w:t>
      </w:r>
      <w:r w:rsidR="00447176" w:rsidRPr="000F5FEE">
        <w:rPr>
          <w:rFonts w:ascii="Times New Roman" w:hAnsi="Times New Roman" w:cs="Times New Roman"/>
          <w:sz w:val="24"/>
          <w:szCs w:val="24"/>
        </w:rPr>
        <w:t>the</w:t>
      </w:r>
      <w:r w:rsidR="004848F7" w:rsidRPr="000F5FEE">
        <w:rPr>
          <w:rFonts w:ascii="Times New Roman" w:hAnsi="Times New Roman" w:cs="Times New Roman"/>
          <w:sz w:val="24"/>
          <w:szCs w:val="24"/>
        </w:rPr>
        <w:t xml:space="preserve"> subsequent two biennial conservation targets</w:t>
      </w:r>
      <w:r w:rsidR="00BC5CCC" w:rsidRPr="000F5FEE">
        <w:rPr>
          <w:rFonts w:ascii="Times New Roman" w:hAnsi="Times New Roman" w:cs="Times New Roman"/>
          <w:sz w:val="24"/>
          <w:szCs w:val="24"/>
        </w:rPr>
        <w:t>.</w:t>
      </w:r>
    </w:p>
    <w:p w14:paraId="668C84B3" w14:textId="6B6DDD9B" w:rsidR="00A03A7E" w:rsidRPr="000F5FEE" w:rsidRDefault="00A03A7E" w:rsidP="00DF5B8F">
      <w:pPr>
        <w:pStyle w:val="PlainText"/>
        <w:rPr>
          <w:rFonts w:ascii="Times New Roman" w:hAnsi="Times New Roman" w:cs="Times New Roman"/>
          <w:sz w:val="24"/>
          <w:szCs w:val="24"/>
        </w:rPr>
      </w:pPr>
      <w:r w:rsidRPr="000F5FEE">
        <w:rPr>
          <w:rFonts w:ascii="Times New Roman" w:hAnsi="Times New Roman" w:cs="Times New Roman"/>
          <w:sz w:val="24"/>
          <w:szCs w:val="24"/>
        </w:rPr>
        <w:t xml:space="preserve">     (3) </w:t>
      </w:r>
      <w:r w:rsidR="00865016" w:rsidRPr="000F5FEE">
        <w:rPr>
          <w:rFonts w:ascii="Times New Roman" w:hAnsi="Times New Roman" w:cs="Times New Roman"/>
          <w:b/>
          <w:sz w:val="24"/>
          <w:szCs w:val="24"/>
        </w:rPr>
        <w:t>Biennial conservation plan.</w:t>
      </w:r>
      <w:r w:rsidR="00865016"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On or before </w:t>
      </w:r>
      <w:r w:rsidR="00721C0A" w:rsidRPr="000F5FEE">
        <w:rPr>
          <w:rFonts w:ascii="Times New Roman" w:hAnsi="Times New Roman" w:cs="Times New Roman"/>
          <w:sz w:val="24"/>
          <w:szCs w:val="24"/>
        </w:rPr>
        <w:t>November 1</w:t>
      </w:r>
      <w:r w:rsidR="00DF5B8F" w:rsidRPr="000F5FEE">
        <w:rPr>
          <w:rFonts w:ascii="Times New Roman" w:hAnsi="Times New Roman" w:cs="Times New Roman"/>
          <w:sz w:val="24"/>
          <w:szCs w:val="24"/>
        </w:rPr>
        <w:t xml:space="preserve"> of every odd-numbered year</w:t>
      </w:r>
      <w:r w:rsidRPr="000F5FEE">
        <w:rPr>
          <w:rFonts w:ascii="Times New Roman" w:hAnsi="Times New Roman" w:cs="Times New Roman"/>
          <w:sz w:val="24"/>
          <w:szCs w:val="24"/>
        </w:rPr>
        <w:t xml:space="preserve">, </w:t>
      </w:r>
      <w:r w:rsidR="00A772E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file with the commission a </w:t>
      </w:r>
      <w:r w:rsidR="00B94939" w:rsidRPr="000F5FEE">
        <w:rPr>
          <w:rFonts w:ascii="Times New Roman" w:hAnsi="Times New Roman" w:cs="Times New Roman"/>
          <w:sz w:val="24"/>
          <w:szCs w:val="24"/>
        </w:rPr>
        <w:t>biennial conservation plan</w:t>
      </w:r>
      <w:r w:rsidR="00A772E1" w:rsidRPr="000F5FEE">
        <w:rPr>
          <w:rFonts w:ascii="Times New Roman" w:hAnsi="Times New Roman" w:cs="Times New Roman"/>
          <w:sz w:val="24"/>
          <w:szCs w:val="24"/>
        </w:rPr>
        <w:t>.</w:t>
      </w:r>
    </w:p>
    <w:p w14:paraId="3EB57F8D" w14:textId="1C8ECB7D" w:rsidR="00721C0A" w:rsidRPr="000F5FEE" w:rsidRDefault="00721C0A" w:rsidP="00721C0A">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(a) </w:t>
      </w:r>
      <w:r w:rsidR="00A772E1" w:rsidRPr="000F5FEE">
        <w:rPr>
          <w:rFonts w:ascii="Times New Roman" w:hAnsi="Times New Roman" w:cs="Times New Roman"/>
          <w:sz w:val="24"/>
          <w:szCs w:val="24"/>
        </w:rPr>
        <w:t>The plan must include a</w:t>
      </w:r>
      <w:r w:rsidRPr="000F5FEE">
        <w:rPr>
          <w:rFonts w:ascii="Times New Roman" w:hAnsi="Times New Roman" w:cs="Times New Roman"/>
          <w:sz w:val="24"/>
          <w:szCs w:val="24"/>
        </w:rPr>
        <w:t xml:space="preserve"> request that the commission approve its ten-year achievabl</w:t>
      </w:r>
      <w:r w:rsidR="00A772E1" w:rsidRPr="000F5FEE">
        <w:rPr>
          <w:rFonts w:ascii="Times New Roman" w:hAnsi="Times New Roman" w:cs="Times New Roman"/>
          <w:sz w:val="24"/>
          <w:szCs w:val="24"/>
        </w:rPr>
        <w:t>e conservation potential and</w:t>
      </w:r>
      <w:r w:rsidRPr="000F5FEE">
        <w:rPr>
          <w:rFonts w:ascii="Times New Roman" w:hAnsi="Times New Roman" w:cs="Times New Roman"/>
          <w:sz w:val="24"/>
          <w:szCs w:val="24"/>
        </w:rPr>
        <w:t xml:space="preserve"> biennial conservation target.</w:t>
      </w:r>
    </w:p>
    <w:p w14:paraId="668C84B4" w14:textId="025726E6" w:rsidR="00A03A7E" w:rsidRPr="000F5FEE" w:rsidRDefault="00A03A7E"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00721C0A" w:rsidRPr="000F5FEE">
        <w:rPr>
          <w:rFonts w:ascii="Times New Roman" w:hAnsi="Times New Roman" w:cs="Times New Roman"/>
          <w:sz w:val="24"/>
          <w:szCs w:val="24"/>
        </w:rPr>
        <w:t xml:space="preserve"> (b</w:t>
      </w:r>
      <w:r w:rsidRPr="000F5FEE">
        <w:rPr>
          <w:rFonts w:ascii="Times New Roman" w:hAnsi="Times New Roman" w:cs="Times New Roman"/>
          <w:sz w:val="24"/>
          <w:szCs w:val="24"/>
        </w:rPr>
        <w:t xml:space="preserve">) The </w:t>
      </w:r>
      <w:r w:rsidR="00B94939" w:rsidRPr="000F5FEE">
        <w:rPr>
          <w:rFonts w:ascii="Times New Roman" w:hAnsi="Times New Roman" w:cs="Times New Roman"/>
          <w:sz w:val="24"/>
          <w:szCs w:val="24"/>
        </w:rPr>
        <w:t xml:space="preserve">plan </w:t>
      </w:r>
      <w:r w:rsidRPr="000F5FEE">
        <w:rPr>
          <w:rFonts w:ascii="Times New Roman" w:hAnsi="Times New Roman" w:cs="Times New Roman"/>
          <w:sz w:val="24"/>
          <w:szCs w:val="24"/>
        </w:rPr>
        <w:t>must outline the extent of public participation in the development of</w:t>
      </w:r>
      <w:r w:rsidR="00A772E1" w:rsidRPr="000F5FEE">
        <w:rPr>
          <w:rFonts w:ascii="Times New Roman" w:hAnsi="Times New Roman" w:cs="Times New Roman"/>
          <w:sz w:val="24"/>
          <w:szCs w:val="24"/>
        </w:rPr>
        <w:t xml:space="preserve"> the ten-year conservation potential and the biennial conservation target</w:t>
      </w:r>
      <w:r w:rsidRPr="000F5FEE">
        <w:rPr>
          <w:rFonts w:ascii="Times New Roman" w:hAnsi="Times New Roman" w:cs="Times New Roman"/>
          <w:sz w:val="24"/>
          <w:szCs w:val="24"/>
        </w:rPr>
        <w:t>.</w:t>
      </w:r>
    </w:p>
    <w:p w14:paraId="668C84B5" w14:textId="0055D8E2" w:rsidR="00A03A7E" w:rsidRPr="000F5FEE" w:rsidRDefault="00A03A7E"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00721C0A" w:rsidRPr="000F5FEE">
        <w:rPr>
          <w:rFonts w:ascii="Times New Roman" w:hAnsi="Times New Roman" w:cs="Times New Roman"/>
          <w:sz w:val="24"/>
          <w:szCs w:val="24"/>
        </w:rPr>
        <w:t>(c</w:t>
      </w:r>
      <w:r w:rsidRPr="000F5FEE">
        <w:rPr>
          <w:rFonts w:ascii="Times New Roman" w:hAnsi="Times New Roman" w:cs="Times New Roman"/>
          <w:sz w:val="24"/>
          <w:szCs w:val="24"/>
        </w:rPr>
        <w:t xml:space="preserve">) </w:t>
      </w:r>
      <w:r w:rsidR="008A6D23" w:rsidRPr="000F5FEE">
        <w:rPr>
          <w:rFonts w:ascii="Times New Roman" w:hAnsi="Times New Roman" w:cs="Times New Roman"/>
          <w:sz w:val="24"/>
          <w:szCs w:val="24"/>
        </w:rPr>
        <w:t>Th</w:t>
      </w:r>
      <w:r w:rsidR="00B94939" w:rsidRPr="000F5FEE">
        <w:rPr>
          <w:rFonts w:ascii="Times New Roman" w:hAnsi="Times New Roman" w:cs="Times New Roman"/>
          <w:sz w:val="24"/>
          <w:szCs w:val="24"/>
        </w:rPr>
        <w:t>e</w:t>
      </w:r>
      <w:r w:rsidR="008A6D23" w:rsidRPr="000F5FEE">
        <w:rPr>
          <w:rFonts w:ascii="Times New Roman" w:hAnsi="Times New Roman" w:cs="Times New Roman"/>
          <w:sz w:val="24"/>
          <w:szCs w:val="24"/>
        </w:rPr>
        <w:t xml:space="preserve"> </w:t>
      </w:r>
      <w:r w:rsidR="00B94939" w:rsidRPr="000F5FEE">
        <w:rPr>
          <w:rFonts w:ascii="Times New Roman" w:hAnsi="Times New Roman" w:cs="Times New Roman"/>
          <w:sz w:val="24"/>
          <w:szCs w:val="24"/>
        </w:rPr>
        <w:t xml:space="preserve">plan </w:t>
      </w:r>
      <w:r w:rsidR="008A6D23" w:rsidRPr="000F5FEE">
        <w:rPr>
          <w:rFonts w:ascii="Times New Roman" w:hAnsi="Times New Roman" w:cs="Times New Roman"/>
          <w:sz w:val="24"/>
          <w:szCs w:val="24"/>
        </w:rPr>
        <w:t>must include</w:t>
      </w:r>
      <w:r w:rsidR="00A772E1" w:rsidRPr="000F5FEE">
        <w:rPr>
          <w:rFonts w:ascii="Times New Roman" w:hAnsi="Times New Roman" w:cs="Times New Roman"/>
          <w:sz w:val="24"/>
          <w:szCs w:val="24"/>
        </w:rPr>
        <w:t>, at a minimum, the ten-year conservation potential, the biennial conservation target,</w:t>
      </w:r>
      <w:r w:rsidR="008A6D23" w:rsidRPr="000F5FEE">
        <w:rPr>
          <w:rFonts w:ascii="Times New Roman" w:hAnsi="Times New Roman" w:cs="Times New Roman"/>
          <w:sz w:val="24"/>
          <w:szCs w:val="24"/>
        </w:rPr>
        <w:t xml:space="preserve"> program details, program budgets, and cost-effectiveness calculations. </w:t>
      </w:r>
    </w:p>
    <w:p w14:paraId="668C84B6" w14:textId="6A6C6E27" w:rsidR="00A03A7E" w:rsidRPr="000F5FEE" w:rsidRDefault="00A03A7E" w:rsidP="00350E09">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350E09" w:rsidRPr="000F5FEE">
        <w:rPr>
          <w:rFonts w:ascii="Times New Roman" w:hAnsi="Times New Roman" w:cs="Times New Roman"/>
          <w:sz w:val="24"/>
          <w:szCs w:val="24"/>
        </w:rPr>
        <w:t xml:space="preserve">  </w:t>
      </w:r>
      <w:r w:rsidR="00721C0A" w:rsidRPr="000F5FEE">
        <w:rPr>
          <w:rFonts w:ascii="Times New Roman" w:hAnsi="Times New Roman" w:cs="Times New Roman"/>
          <w:sz w:val="24"/>
          <w:szCs w:val="24"/>
        </w:rPr>
        <w:t xml:space="preserve">  (d</w:t>
      </w:r>
      <w:r w:rsidRPr="000F5FEE">
        <w:rPr>
          <w:rFonts w:ascii="Times New Roman" w:hAnsi="Times New Roman" w:cs="Times New Roman"/>
          <w:sz w:val="24"/>
          <w:szCs w:val="24"/>
        </w:rPr>
        <w:t xml:space="preserve">) </w:t>
      </w:r>
      <w:r w:rsidR="00A772E1" w:rsidRPr="000F5FEE">
        <w:rPr>
          <w:rFonts w:ascii="Times New Roman" w:hAnsi="Times New Roman" w:cs="Times New Roman"/>
          <w:sz w:val="24"/>
          <w:szCs w:val="24"/>
        </w:rPr>
        <w:t>T</w:t>
      </w:r>
      <w:r w:rsidRPr="000F5FEE">
        <w:rPr>
          <w:rFonts w:ascii="Times New Roman" w:hAnsi="Times New Roman" w:cs="Times New Roman"/>
          <w:sz w:val="24"/>
          <w:szCs w:val="24"/>
        </w:rPr>
        <w:t xml:space="preserve">he </w:t>
      </w:r>
      <w:r w:rsidR="00B94939" w:rsidRPr="000F5FEE">
        <w:rPr>
          <w:rFonts w:ascii="Times New Roman" w:hAnsi="Times New Roman" w:cs="Times New Roman"/>
          <w:sz w:val="24"/>
          <w:szCs w:val="24"/>
        </w:rPr>
        <w:t xml:space="preserve">plan </w:t>
      </w:r>
      <w:r w:rsidRPr="000F5FEE">
        <w:rPr>
          <w:rFonts w:ascii="Times New Roman" w:hAnsi="Times New Roman" w:cs="Times New Roman"/>
          <w:sz w:val="24"/>
          <w:szCs w:val="24"/>
        </w:rPr>
        <w:t xml:space="preserve">must describe the technologies, data collection, processes, procedures and assumptions the utility used to develop these figures. This </w:t>
      </w:r>
      <w:r w:rsidR="00B94939" w:rsidRPr="000F5FEE">
        <w:rPr>
          <w:rFonts w:ascii="Times New Roman" w:hAnsi="Times New Roman" w:cs="Times New Roman"/>
          <w:sz w:val="24"/>
          <w:szCs w:val="24"/>
        </w:rPr>
        <w:t xml:space="preserve">plan </w:t>
      </w:r>
      <w:r w:rsidRPr="000F5FEE">
        <w:rPr>
          <w:rFonts w:ascii="Times New Roman" w:hAnsi="Times New Roman" w:cs="Times New Roman"/>
          <w:sz w:val="24"/>
          <w:szCs w:val="24"/>
        </w:rPr>
        <w:t xml:space="preserve">must describe and support any changes </w:t>
      </w:r>
      <w:r w:rsidR="004B63C7" w:rsidRPr="000F5FEE">
        <w:rPr>
          <w:rFonts w:ascii="Times New Roman" w:hAnsi="Times New Roman" w:cs="Times New Roman"/>
          <w:sz w:val="24"/>
          <w:szCs w:val="24"/>
        </w:rPr>
        <w:t xml:space="preserve">from the </w:t>
      </w:r>
      <w:r w:rsidRPr="000F5FEE">
        <w:rPr>
          <w:rFonts w:ascii="Times New Roman" w:hAnsi="Times New Roman" w:cs="Times New Roman"/>
          <w:sz w:val="24"/>
          <w:szCs w:val="24"/>
        </w:rPr>
        <w:t xml:space="preserve">assumptions or methodologies used in the utility's most recent </w:t>
      </w:r>
      <w:r w:rsidR="004B63C7" w:rsidRPr="000F5FEE">
        <w:rPr>
          <w:rFonts w:ascii="Times New Roman" w:hAnsi="Times New Roman" w:cs="Times New Roman"/>
          <w:sz w:val="24"/>
          <w:szCs w:val="24"/>
        </w:rPr>
        <w:t>co</w:t>
      </w:r>
      <w:r w:rsidR="007425AA" w:rsidRPr="000F5FEE">
        <w:rPr>
          <w:rFonts w:ascii="Times New Roman" w:hAnsi="Times New Roman" w:cs="Times New Roman"/>
          <w:sz w:val="24"/>
          <w:szCs w:val="24"/>
        </w:rPr>
        <w:t>nservation potential assessment</w:t>
      </w:r>
      <w:r w:rsidRPr="000F5FEE">
        <w:rPr>
          <w:rFonts w:ascii="Times New Roman" w:hAnsi="Times New Roman" w:cs="Times New Roman"/>
          <w:sz w:val="24"/>
          <w:szCs w:val="24"/>
        </w:rPr>
        <w:t xml:space="preserve"> or </w:t>
      </w:r>
      <w:r w:rsidR="00DA2C40" w:rsidRPr="000F5FEE">
        <w:rPr>
          <w:rFonts w:ascii="Times New Roman" w:hAnsi="Times New Roman" w:cs="Times New Roman"/>
          <w:sz w:val="24"/>
          <w:szCs w:val="24"/>
        </w:rPr>
        <w:t xml:space="preserve">by </w:t>
      </w:r>
      <w:r w:rsidR="007425AA" w:rsidRPr="000F5FEE">
        <w:rPr>
          <w:rFonts w:ascii="Times New Roman" w:hAnsi="Times New Roman" w:cs="Times New Roman"/>
          <w:sz w:val="24"/>
          <w:szCs w:val="24"/>
        </w:rPr>
        <w:t>the</w:t>
      </w:r>
      <w:r w:rsidRPr="000F5FEE">
        <w:rPr>
          <w:rFonts w:ascii="Times New Roman" w:hAnsi="Times New Roman" w:cs="Times New Roman"/>
          <w:sz w:val="24"/>
          <w:szCs w:val="24"/>
        </w:rPr>
        <w:t xml:space="preserve"> council.</w:t>
      </w:r>
    </w:p>
    <w:p w14:paraId="080DEDA4" w14:textId="0EB2BD8D" w:rsidR="00ED0052" w:rsidRPr="000F5FEE" w:rsidRDefault="00ED0052" w:rsidP="00584B5B">
      <w:pPr>
        <w:pStyle w:val="PlainText"/>
        <w:ind w:left="720" w:hanging="360"/>
        <w:rPr>
          <w:rFonts w:ascii="Times New Roman" w:hAnsi="Times New Roman" w:cs="Times New Roman"/>
          <w:sz w:val="24"/>
          <w:szCs w:val="24"/>
        </w:rPr>
      </w:pPr>
      <w:r w:rsidRPr="000F5FEE">
        <w:rPr>
          <w:rFonts w:ascii="Times New Roman" w:hAnsi="Times New Roman" w:cs="Times New Roman"/>
          <w:sz w:val="24"/>
          <w:szCs w:val="24"/>
        </w:rPr>
        <w:t>(e) The commission and stakeholder review</w:t>
      </w:r>
      <w:r w:rsidR="004F082C" w:rsidRPr="000F5FEE">
        <w:rPr>
          <w:rFonts w:ascii="Times New Roman" w:hAnsi="Times New Roman" w:cs="Times New Roman"/>
          <w:sz w:val="24"/>
          <w:szCs w:val="24"/>
        </w:rPr>
        <w:t xml:space="preserve"> of</w:t>
      </w:r>
      <w:r w:rsidRPr="000F5FEE">
        <w:rPr>
          <w:rFonts w:ascii="Times New Roman" w:hAnsi="Times New Roman" w:cs="Times New Roman"/>
          <w:sz w:val="24"/>
          <w:szCs w:val="24"/>
        </w:rPr>
        <w:t xml:space="preserve"> the biennial conservation plan </w:t>
      </w:r>
      <w:r w:rsidR="004F082C" w:rsidRPr="000F5FEE">
        <w:rPr>
          <w:rFonts w:ascii="Times New Roman" w:hAnsi="Times New Roman" w:cs="Times New Roman"/>
          <w:sz w:val="24"/>
          <w:szCs w:val="24"/>
        </w:rPr>
        <w:t xml:space="preserve">is </w:t>
      </w:r>
      <w:r w:rsidRPr="000F5FEE">
        <w:rPr>
          <w:rFonts w:ascii="Times New Roman" w:hAnsi="Times New Roman" w:cs="Times New Roman"/>
          <w:sz w:val="24"/>
          <w:szCs w:val="24"/>
        </w:rPr>
        <w:t>described in WAC 480-109-BBB(4).</w:t>
      </w:r>
    </w:p>
    <w:p w14:paraId="413C4324" w14:textId="2A7DAA33" w:rsidR="00DF5B8F" w:rsidRPr="000F5FEE" w:rsidRDefault="00DF5B8F" w:rsidP="00862DEC">
      <w:pPr>
        <w:spacing w:after="0" w:line="240" w:lineRule="auto"/>
        <w:rPr>
          <w:rFonts w:ascii="Times New Roman" w:hAnsi="Times New Roman" w:cs="Times New Roman"/>
          <w:b/>
          <w:sz w:val="24"/>
          <w:szCs w:val="24"/>
        </w:rPr>
      </w:pPr>
      <w:r w:rsidRPr="000F5FEE">
        <w:rPr>
          <w:rFonts w:ascii="Times New Roman" w:hAnsi="Times New Roman" w:cs="Times New Roman"/>
          <w:sz w:val="24"/>
          <w:szCs w:val="24"/>
        </w:rPr>
        <w:t xml:space="preserve">     (</w:t>
      </w:r>
      <w:r w:rsidR="000A22F3" w:rsidRPr="000F5FEE">
        <w:rPr>
          <w:rFonts w:ascii="Times New Roman" w:hAnsi="Times New Roman" w:cs="Times New Roman"/>
          <w:sz w:val="24"/>
          <w:szCs w:val="24"/>
        </w:rPr>
        <w:t>4</w:t>
      </w:r>
      <w:r w:rsidRPr="000F5FEE">
        <w:rPr>
          <w:rFonts w:ascii="Times New Roman" w:hAnsi="Times New Roman" w:cs="Times New Roman"/>
          <w:sz w:val="24"/>
          <w:szCs w:val="24"/>
        </w:rPr>
        <w:t xml:space="preserve">) </w:t>
      </w:r>
      <w:r w:rsidR="00DC1C82" w:rsidRPr="000F5FEE">
        <w:rPr>
          <w:rFonts w:ascii="Times New Roman" w:hAnsi="Times New Roman" w:cs="Times New Roman"/>
          <w:b/>
          <w:sz w:val="24"/>
          <w:szCs w:val="24"/>
        </w:rPr>
        <w:t>Pursu</w:t>
      </w:r>
      <w:r w:rsidR="0061119B" w:rsidRPr="000F5FEE">
        <w:rPr>
          <w:rFonts w:ascii="Times New Roman" w:hAnsi="Times New Roman" w:cs="Times New Roman"/>
          <w:b/>
          <w:sz w:val="24"/>
          <w:szCs w:val="24"/>
        </w:rPr>
        <w:t>e</w:t>
      </w:r>
      <w:r w:rsidR="00DC1C82" w:rsidRPr="000F5FEE">
        <w:rPr>
          <w:rFonts w:ascii="Times New Roman" w:hAnsi="Times New Roman" w:cs="Times New Roman"/>
          <w:b/>
          <w:sz w:val="24"/>
          <w:szCs w:val="24"/>
        </w:rPr>
        <w:t xml:space="preserve"> all </w:t>
      </w:r>
      <w:r w:rsidR="003110FF" w:rsidRPr="000F5FEE">
        <w:rPr>
          <w:rFonts w:ascii="Times New Roman" w:hAnsi="Times New Roman" w:cs="Times New Roman"/>
          <w:b/>
          <w:sz w:val="24"/>
          <w:szCs w:val="24"/>
        </w:rPr>
        <w:t>conservation</w:t>
      </w:r>
      <w:r w:rsidR="00DC1C82" w:rsidRPr="000F5FEE">
        <w:rPr>
          <w:rFonts w:ascii="Times New Roman" w:hAnsi="Times New Roman" w:cs="Times New Roman"/>
          <w:b/>
          <w:sz w:val="24"/>
          <w:szCs w:val="24"/>
        </w:rPr>
        <w:t xml:space="preserve">.  </w:t>
      </w:r>
      <w:r w:rsidR="003110FF" w:rsidRPr="000F5FEE">
        <w:rPr>
          <w:rFonts w:ascii="Times New Roman" w:hAnsi="Times New Roman" w:cs="Times New Roman"/>
          <w:sz w:val="24"/>
          <w:szCs w:val="24"/>
        </w:rPr>
        <w:t>(a)</w:t>
      </w:r>
      <w:r w:rsidR="003110FF" w:rsidRPr="000F5FEE">
        <w:rPr>
          <w:rFonts w:ascii="Times New Roman" w:hAnsi="Times New Roman" w:cs="Times New Roman"/>
          <w:b/>
          <w:sz w:val="24"/>
          <w:szCs w:val="24"/>
        </w:rPr>
        <w:t xml:space="preserve"> </w:t>
      </w:r>
      <w:r w:rsidR="0061119B" w:rsidRPr="000F5FEE">
        <w:rPr>
          <w:rFonts w:ascii="Times New Roman" w:hAnsi="Times New Roman" w:cs="Times New Roman"/>
          <w:sz w:val="24"/>
          <w:szCs w:val="24"/>
        </w:rPr>
        <w:t xml:space="preserve">A utility’s obligation to </w:t>
      </w:r>
      <w:r w:rsidR="00DA2C40" w:rsidRPr="000F5FEE">
        <w:rPr>
          <w:rFonts w:ascii="Times New Roman" w:hAnsi="Times New Roman" w:cs="Times New Roman"/>
          <w:sz w:val="24"/>
          <w:szCs w:val="24"/>
        </w:rPr>
        <w:t>pursu</w:t>
      </w:r>
      <w:r w:rsidR="0061119B" w:rsidRPr="000F5FEE">
        <w:rPr>
          <w:rFonts w:ascii="Times New Roman" w:hAnsi="Times New Roman" w:cs="Times New Roman"/>
          <w:sz w:val="24"/>
          <w:szCs w:val="24"/>
        </w:rPr>
        <w:t>e</w:t>
      </w:r>
      <w:r w:rsidR="00DA2C40" w:rsidRPr="000F5FEE">
        <w:rPr>
          <w:rFonts w:ascii="Times New Roman" w:hAnsi="Times New Roman" w:cs="Times New Roman"/>
          <w:sz w:val="24"/>
          <w:szCs w:val="24"/>
        </w:rPr>
        <w:t xml:space="preserve"> all</w:t>
      </w:r>
      <w:r w:rsidRPr="000F5FEE">
        <w:rPr>
          <w:rFonts w:ascii="Times New Roman" w:hAnsi="Times New Roman" w:cs="Times New Roman"/>
          <w:sz w:val="24"/>
          <w:szCs w:val="24"/>
        </w:rPr>
        <w:t xml:space="preserve"> available conservation that is cost-effective, reliable</w:t>
      </w:r>
      <w:r w:rsidR="00DA2C40" w:rsidRPr="000F5FEE">
        <w:rPr>
          <w:rFonts w:ascii="Times New Roman" w:hAnsi="Times New Roman" w:cs="Times New Roman"/>
          <w:sz w:val="24"/>
          <w:szCs w:val="24"/>
        </w:rPr>
        <w:t>, and feasible includes, but is not limited to the following process</w:t>
      </w:r>
      <w:r w:rsidRPr="000F5FEE">
        <w:rPr>
          <w:rFonts w:ascii="Times New Roman" w:hAnsi="Times New Roman" w:cs="Times New Roman"/>
          <w:sz w:val="24"/>
          <w:szCs w:val="24"/>
        </w:rPr>
        <w:t>:</w:t>
      </w:r>
    </w:p>
    <w:p w14:paraId="3FE89F6F" w14:textId="6339F5CE" w:rsidR="00DF5B8F" w:rsidRPr="000F5FEE" w:rsidRDefault="00FD2CDD" w:rsidP="00862DEC">
      <w:pPr>
        <w:pStyle w:val="ListParagraph"/>
        <w:numPr>
          <w:ilvl w:val="0"/>
          <w:numId w:val="7"/>
        </w:numPr>
        <w:ind w:left="1080"/>
        <w:rPr>
          <w:rFonts w:ascii="Times New Roman" w:hAnsi="Times New Roman" w:cs="Times New Roman"/>
          <w:sz w:val="24"/>
          <w:szCs w:val="24"/>
        </w:rPr>
      </w:pPr>
      <w:r w:rsidRPr="000F5FEE">
        <w:rPr>
          <w:rFonts w:ascii="Times New Roman" w:hAnsi="Times New Roman" w:cs="Times New Roman"/>
          <w:b/>
          <w:sz w:val="24"/>
          <w:szCs w:val="24"/>
        </w:rPr>
        <w:t xml:space="preserve">Identify potential. </w:t>
      </w:r>
      <w:r w:rsidR="00DF5B8F" w:rsidRPr="000F5FEE">
        <w:rPr>
          <w:rFonts w:ascii="Times New Roman" w:hAnsi="Times New Roman" w:cs="Times New Roman"/>
          <w:sz w:val="24"/>
          <w:szCs w:val="24"/>
        </w:rPr>
        <w:t>Identify the cost-effective, reliable</w:t>
      </w:r>
      <w:r w:rsidR="00D444BE" w:rsidRPr="000F5FEE">
        <w:rPr>
          <w:rFonts w:ascii="Times New Roman" w:hAnsi="Times New Roman" w:cs="Times New Roman"/>
          <w:sz w:val="24"/>
          <w:szCs w:val="24"/>
        </w:rPr>
        <w:t>,</w:t>
      </w:r>
      <w:r w:rsidR="00DF5B8F" w:rsidRPr="000F5FEE">
        <w:rPr>
          <w:rFonts w:ascii="Times New Roman" w:hAnsi="Times New Roman" w:cs="Times New Roman"/>
          <w:sz w:val="24"/>
          <w:szCs w:val="24"/>
        </w:rPr>
        <w:t xml:space="preserve"> and feasible potential of possible technologies and conservation programs and measures in the utility’s service territory. </w:t>
      </w:r>
    </w:p>
    <w:p w14:paraId="5A39399E" w14:textId="4197CBE2" w:rsidR="00DF5B8F" w:rsidRPr="000F5FEE" w:rsidRDefault="00FD2CDD" w:rsidP="00862DEC">
      <w:pPr>
        <w:pStyle w:val="ListParagraph"/>
        <w:numPr>
          <w:ilvl w:val="0"/>
          <w:numId w:val="7"/>
        </w:numPr>
        <w:ind w:left="1080"/>
        <w:rPr>
          <w:rFonts w:ascii="Times New Roman" w:hAnsi="Times New Roman" w:cs="Times New Roman"/>
          <w:sz w:val="24"/>
          <w:szCs w:val="24"/>
        </w:rPr>
      </w:pPr>
      <w:r w:rsidRPr="000F5FEE">
        <w:rPr>
          <w:rFonts w:ascii="Times New Roman" w:hAnsi="Times New Roman" w:cs="Times New Roman"/>
          <w:b/>
          <w:sz w:val="24"/>
          <w:szCs w:val="24"/>
        </w:rPr>
        <w:t xml:space="preserve">Develop portfolio. </w:t>
      </w:r>
      <w:r w:rsidR="00DF5B8F" w:rsidRPr="000F5FEE">
        <w:rPr>
          <w:rFonts w:ascii="Times New Roman" w:hAnsi="Times New Roman" w:cs="Times New Roman"/>
          <w:sz w:val="24"/>
          <w:szCs w:val="24"/>
        </w:rPr>
        <w:t>Develop a conservation portfolio that includes all available, cost-effective, reliable, and feasible potential, as well as pilot programs that are not yet proven to be cost-effective.</w:t>
      </w:r>
    </w:p>
    <w:p w14:paraId="60644980" w14:textId="4B2F9B4F" w:rsidR="00DF5B8F"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 xml:space="preserve">A utility </w:t>
      </w:r>
      <w:r w:rsidR="00DF5B8F" w:rsidRPr="000F5FEE">
        <w:rPr>
          <w:rFonts w:ascii="Times New Roman" w:hAnsi="Times New Roman" w:cs="Times New Roman"/>
          <w:sz w:val="24"/>
          <w:szCs w:val="24"/>
        </w:rPr>
        <w:t xml:space="preserve">must develop and implement programs to acquire </w:t>
      </w:r>
      <w:r w:rsidR="001905A9" w:rsidRPr="000F5FEE">
        <w:rPr>
          <w:rFonts w:ascii="Times New Roman" w:hAnsi="Times New Roman" w:cs="Times New Roman"/>
          <w:sz w:val="24"/>
          <w:szCs w:val="24"/>
        </w:rPr>
        <w:t xml:space="preserve">available </w:t>
      </w:r>
      <w:r w:rsidR="00DF5B8F" w:rsidRPr="000F5FEE">
        <w:rPr>
          <w:rFonts w:ascii="Times New Roman" w:hAnsi="Times New Roman" w:cs="Times New Roman"/>
          <w:sz w:val="24"/>
          <w:szCs w:val="24"/>
        </w:rPr>
        <w:t xml:space="preserve">conservation from all </w:t>
      </w:r>
      <w:r w:rsidR="00E12DC4" w:rsidRPr="000F5FEE">
        <w:rPr>
          <w:rFonts w:ascii="Times New Roman" w:hAnsi="Times New Roman" w:cs="Times New Roman"/>
          <w:sz w:val="24"/>
          <w:szCs w:val="24"/>
        </w:rPr>
        <w:t xml:space="preserve">of the </w:t>
      </w:r>
      <w:r w:rsidR="004F082C" w:rsidRPr="000F5FEE">
        <w:rPr>
          <w:rFonts w:ascii="Times New Roman" w:hAnsi="Times New Roman" w:cs="Times New Roman"/>
          <w:sz w:val="24"/>
          <w:szCs w:val="24"/>
        </w:rPr>
        <w:t>types of</w:t>
      </w:r>
      <w:r w:rsidR="00DF5B8F" w:rsidRPr="000F5FEE">
        <w:rPr>
          <w:rFonts w:ascii="Times New Roman" w:hAnsi="Times New Roman" w:cs="Times New Roman"/>
          <w:sz w:val="24"/>
          <w:szCs w:val="24"/>
        </w:rPr>
        <w:t xml:space="preserve"> measures identified </w:t>
      </w:r>
      <w:r w:rsidR="001B3A1E" w:rsidRPr="000F5FEE">
        <w:rPr>
          <w:rFonts w:ascii="Times New Roman" w:hAnsi="Times New Roman" w:cs="Times New Roman"/>
          <w:sz w:val="24"/>
          <w:szCs w:val="24"/>
        </w:rPr>
        <w:t xml:space="preserve">in </w:t>
      </w:r>
      <w:r w:rsidR="00E12DC4" w:rsidRPr="000F5FEE">
        <w:rPr>
          <w:rFonts w:ascii="Times New Roman" w:hAnsi="Times New Roman" w:cs="Times New Roman"/>
          <w:sz w:val="24"/>
          <w:szCs w:val="24"/>
        </w:rPr>
        <w:t>subsection (b) of this section</w:t>
      </w:r>
      <w:r w:rsidR="00DF5B8F" w:rsidRPr="000F5FEE">
        <w:rPr>
          <w:rFonts w:ascii="Times New Roman" w:hAnsi="Times New Roman" w:cs="Times New Roman"/>
          <w:sz w:val="24"/>
          <w:szCs w:val="24"/>
        </w:rPr>
        <w:t>.</w:t>
      </w:r>
    </w:p>
    <w:p w14:paraId="02648AF2" w14:textId="2BCD130D" w:rsidR="00DF5B8F"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 xml:space="preserve">A utility’s conservation </w:t>
      </w:r>
      <w:r w:rsidR="00DF5B8F" w:rsidRPr="000F5FEE">
        <w:rPr>
          <w:rFonts w:ascii="Times New Roman" w:hAnsi="Times New Roman" w:cs="Times New Roman"/>
          <w:sz w:val="24"/>
          <w:szCs w:val="24"/>
        </w:rPr>
        <w:t xml:space="preserve">portfolio </w:t>
      </w:r>
      <w:r w:rsidR="00E0423C" w:rsidRPr="000F5FEE">
        <w:rPr>
          <w:rFonts w:ascii="Times New Roman" w:hAnsi="Times New Roman" w:cs="Times New Roman"/>
          <w:sz w:val="24"/>
          <w:szCs w:val="24"/>
        </w:rPr>
        <w:t>must</w:t>
      </w:r>
      <w:r w:rsidR="00DF5B8F" w:rsidRPr="000F5FEE">
        <w:rPr>
          <w:rFonts w:ascii="Times New Roman" w:hAnsi="Times New Roman" w:cs="Times New Roman"/>
          <w:sz w:val="24"/>
          <w:szCs w:val="24"/>
        </w:rPr>
        <w:t xml:space="preserve"> contain programs that </w:t>
      </w:r>
      <w:r w:rsidR="00E12DC4" w:rsidRPr="000F5FEE">
        <w:rPr>
          <w:rFonts w:ascii="Times New Roman" w:hAnsi="Times New Roman" w:cs="Times New Roman"/>
          <w:sz w:val="24"/>
          <w:szCs w:val="24"/>
        </w:rPr>
        <w:t xml:space="preserve">are </w:t>
      </w:r>
      <w:r w:rsidR="00DF5B8F" w:rsidRPr="000F5FEE">
        <w:rPr>
          <w:rFonts w:ascii="Times New Roman" w:hAnsi="Times New Roman" w:cs="Times New Roman"/>
          <w:sz w:val="24"/>
          <w:szCs w:val="24"/>
        </w:rPr>
        <w:t>not included in th</w:t>
      </w:r>
      <w:r w:rsidR="001B3A1E" w:rsidRPr="000F5FEE">
        <w:rPr>
          <w:rFonts w:ascii="Times New Roman" w:hAnsi="Times New Roman" w:cs="Times New Roman"/>
          <w:sz w:val="24"/>
          <w:szCs w:val="24"/>
        </w:rPr>
        <w:t>e biennial conservation target</w:t>
      </w:r>
      <w:r w:rsidR="00DF5B8F" w:rsidRPr="000F5FEE">
        <w:rPr>
          <w:rFonts w:ascii="Times New Roman" w:hAnsi="Times New Roman" w:cs="Times New Roman"/>
          <w:sz w:val="24"/>
          <w:szCs w:val="24"/>
        </w:rPr>
        <w:t xml:space="preserve"> </w:t>
      </w:r>
      <w:r w:rsidRPr="000F5FEE">
        <w:rPr>
          <w:rFonts w:ascii="Times New Roman" w:hAnsi="Times New Roman" w:cs="Times New Roman"/>
          <w:sz w:val="24"/>
          <w:szCs w:val="24"/>
        </w:rPr>
        <w:t xml:space="preserve">and are </w:t>
      </w:r>
      <w:r w:rsidR="00DF5B8F" w:rsidRPr="000F5FEE">
        <w:rPr>
          <w:rFonts w:ascii="Times New Roman" w:hAnsi="Times New Roman" w:cs="Times New Roman"/>
          <w:sz w:val="24"/>
          <w:szCs w:val="24"/>
        </w:rPr>
        <w:t>available, cost-effective, reliable, and feasible.</w:t>
      </w:r>
    </w:p>
    <w:p w14:paraId="6633186A" w14:textId="1A624ADE" w:rsidR="00DF5B8F" w:rsidRPr="000F5FEE" w:rsidRDefault="00DF5B8F"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 xml:space="preserve">A utility may spend up to 10 percent of its biennial </w:t>
      </w:r>
      <w:r w:rsidR="00CA13C7" w:rsidRPr="000F5FEE">
        <w:rPr>
          <w:rFonts w:ascii="Times New Roman" w:hAnsi="Times New Roman" w:cs="Times New Roman"/>
          <w:sz w:val="24"/>
          <w:szCs w:val="24"/>
        </w:rPr>
        <w:t xml:space="preserve">conservation </w:t>
      </w:r>
      <w:r w:rsidRPr="000F5FEE">
        <w:rPr>
          <w:rFonts w:ascii="Times New Roman" w:hAnsi="Times New Roman" w:cs="Times New Roman"/>
          <w:sz w:val="24"/>
          <w:szCs w:val="24"/>
        </w:rPr>
        <w:t>budget on pilot</w:t>
      </w:r>
      <w:r w:rsidR="006C2130" w:rsidRPr="000F5FEE">
        <w:rPr>
          <w:rFonts w:ascii="Times New Roman" w:hAnsi="Times New Roman" w:cs="Times New Roman"/>
          <w:sz w:val="24"/>
          <w:szCs w:val="24"/>
        </w:rPr>
        <w:t>s</w:t>
      </w:r>
      <w:r w:rsidRPr="000F5FEE">
        <w:rPr>
          <w:rFonts w:ascii="Times New Roman" w:hAnsi="Times New Roman" w:cs="Times New Roman"/>
          <w:sz w:val="24"/>
          <w:szCs w:val="24"/>
        </w:rPr>
        <w:t xml:space="preserve"> </w:t>
      </w:r>
      <w:r w:rsidR="00A861DA" w:rsidRPr="000F5FEE">
        <w:rPr>
          <w:rFonts w:ascii="Times New Roman" w:hAnsi="Times New Roman" w:cs="Times New Roman"/>
          <w:sz w:val="24"/>
          <w:szCs w:val="24"/>
        </w:rPr>
        <w:t xml:space="preserve">and information-only </w:t>
      </w:r>
      <w:r w:rsidR="00840982" w:rsidRPr="000F5FEE">
        <w:rPr>
          <w:rFonts w:ascii="Times New Roman" w:hAnsi="Times New Roman" w:cs="Times New Roman"/>
          <w:sz w:val="24"/>
          <w:szCs w:val="24"/>
        </w:rPr>
        <w:t>services</w:t>
      </w:r>
      <w:r w:rsidR="00A861DA" w:rsidRPr="000F5FEE">
        <w:rPr>
          <w:rFonts w:ascii="Times New Roman" w:hAnsi="Times New Roman" w:cs="Times New Roman"/>
          <w:sz w:val="24"/>
          <w:szCs w:val="24"/>
        </w:rPr>
        <w:t xml:space="preserve"> or programs</w:t>
      </w:r>
      <w:r w:rsidRPr="000F5FEE">
        <w:rPr>
          <w:rFonts w:ascii="Times New Roman" w:hAnsi="Times New Roman" w:cs="Times New Roman"/>
          <w:sz w:val="24"/>
          <w:szCs w:val="24"/>
        </w:rPr>
        <w:t xml:space="preserve">. </w:t>
      </w:r>
    </w:p>
    <w:p w14:paraId="16019F94" w14:textId="7951F72C" w:rsidR="00DA2C40" w:rsidRPr="000F5FEE" w:rsidRDefault="00FD2CDD" w:rsidP="00862DEC">
      <w:pPr>
        <w:pStyle w:val="ListParagraph"/>
        <w:numPr>
          <w:ilvl w:val="0"/>
          <w:numId w:val="7"/>
        </w:numPr>
        <w:ind w:left="1080"/>
        <w:rPr>
          <w:rFonts w:ascii="Times New Roman" w:hAnsi="Times New Roman" w:cs="Times New Roman"/>
          <w:sz w:val="24"/>
          <w:szCs w:val="24"/>
        </w:rPr>
      </w:pPr>
      <w:r w:rsidRPr="000F5FEE">
        <w:rPr>
          <w:rFonts w:ascii="Times New Roman" w:hAnsi="Times New Roman" w:cs="Times New Roman"/>
          <w:b/>
          <w:sz w:val="24"/>
          <w:szCs w:val="24"/>
        </w:rPr>
        <w:t xml:space="preserve">Implement </w:t>
      </w:r>
      <w:r w:rsidR="00400B2B" w:rsidRPr="000F5FEE">
        <w:rPr>
          <w:rFonts w:ascii="Times New Roman" w:hAnsi="Times New Roman" w:cs="Times New Roman"/>
          <w:b/>
          <w:sz w:val="24"/>
          <w:szCs w:val="24"/>
        </w:rPr>
        <w:t>p</w:t>
      </w:r>
      <w:r w:rsidRPr="000F5FEE">
        <w:rPr>
          <w:rFonts w:ascii="Times New Roman" w:hAnsi="Times New Roman" w:cs="Times New Roman"/>
          <w:b/>
          <w:sz w:val="24"/>
          <w:szCs w:val="24"/>
        </w:rPr>
        <w:t xml:space="preserve">rograms. </w:t>
      </w:r>
      <w:r w:rsidR="00E0423C" w:rsidRPr="000F5FEE">
        <w:rPr>
          <w:rFonts w:ascii="Times New Roman" w:hAnsi="Times New Roman" w:cs="Times New Roman"/>
          <w:sz w:val="24"/>
          <w:szCs w:val="24"/>
        </w:rPr>
        <w:t>Implement</w:t>
      </w:r>
      <w:r w:rsidR="00DF5B8F" w:rsidRPr="000F5FEE">
        <w:rPr>
          <w:rFonts w:ascii="Times New Roman" w:hAnsi="Times New Roman" w:cs="Times New Roman"/>
          <w:sz w:val="24"/>
          <w:szCs w:val="24"/>
        </w:rPr>
        <w:t xml:space="preserve"> conservation programs identified in the portfolio</w:t>
      </w:r>
      <w:r w:rsidR="00E82FEC" w:rsidRPr="000F5FEE">
        <w:rPr>
          <w:rFonts w:ascii="Times New Roman" w:hAnsi="Times New Roman" w:cs="Times New Roman"/>
          <w:sz w:val="24"/>
          <w:szCs w:val="24"/>
        </w:rPr>
        <w:t xml:space="preserve"> to the extent the</w:t>
      </w:r>
      <w:r w:rsidR="00CA13C7" w:rsidRPr="000F5FEE">
        <w:rPr>
          <w:rFonts w:ascii="Times New Roman" w:hAnsi="Times New Roman" w:cs="Times New Roman"/>
          <w:sz w:val="24"/>
          <w:szCs w:val="24"/>
        </w:rPr>
        <w:t xml:space="preserve"> programs</w:t>
      </w:r>
      <w:r w:rsidR="00E82FEC" w:rsidRPr="000F5FEE">
        <w:rPr>
          <w:rFonts w:ascii="Times New Roman" w:hAnsi="Times New Roman" w:cs="Times New Roman"/>
          <w:sz w:val="24"/>
          <w:szCs w:val="24"/>
        </w:rPr>
        <w:t xml:space="preserve"> remain cost-effective, reliable</w:t>
      </w:r>
      <w:r w:rsidR="00D444BE" w:rsidRPr="000F5FEE">
        <w:rPr>
          <w:rFonts w:ascii="Times New Roman" w:hAnsi="Times New Roman" w:cs="Times New Roman"/>
          <w:sz w:val="24"/>
          <w:szCs w:val="24"/>
        </w:rPr>
        <w:t>,</w:t>
      </w:r>
      <w:r w:rsidR="00E82FEC" w:rsidRPr="000F5FEE">
        <w:rPr>
          <w:rFonts w:ascii="Times New Roman" w:hAnsi="Times New Roman" w:cs="Times New Roman"/>
          <w:sz w:val="24"/>
          <w:szCs w:val="24"/>
        </w:rPr>
        <w:t xml:space="preserve"> and feasible</w:t>
      </w:r>
      <w:r w:rsidR="00DF5B8F" w:rsidRPr="000F5FEE">
        <w:rPr>
          <w:rFonts w:ascii="Times New Roman" w:hAnsi="Times New Roman" w:cs="Times New Roman"/>
          <w:sz w:val="24"/>
          <w:szCs w:val="24"/>
        </w:rPr>
        <w:t xml:space="preserve">. </w:t>
      </w:r>
      <w:r w:rsidR="00E0423C" w:rsidRPr="000F5FEE">
        <w:rPr>
          <w:rFonts w:ascii="Times New Roman" w:hAnsi="Times New Roman" w:cs="Times New Roman"/>
          <w:sz w:val="24"/>
          <w:szCs w:val="24"/>
        </w:rPr>
        <w:t>Implementation methods shall not unnecessarily restrict the uptake of conservation and shall be designed to maximize the practical uptake of conservation.  Program implementation</w:t>
      </w:r>
      <w:r w:rsidR="00BA6118" w:rsidRPr="000F5FEE">
        <w:rPr>
          <w:rFonts w:ascii="Times New Roman" w:hAnsi="Times New Roman" w:cs="Times New Roman"/>
          <w:sz w:val="24"/>
          <w:szCs w:val="24"/>
        </w:rPr>
        <w:t xml:space="preserve"> methods</w:t>
      </w:r>
      <w:r w:rsidR="00E0423C"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 xml:space="preserve">must </w:t>
      </w:r>
      <w:r w:rsidR="00E0423C" w:rsidRPr="000F5FEE">
        <w:rPr>
          <w:rFonts w:ascii="Times New Roman" w:hAnsi="Times New Roman" w:cs="Times New Roman"/>
          <w:sz w:val="24"/>
          <w:szCs w:val="24"/>
        </w:rPr>
        <w:t xml:space="preserve">include, but </w:t>
      </w:r>
      <w:r w:rsidR="00BA6118" w:rsidRPr="000F5FEE">
        <w:rPr>
          <w:rFonts w:ascii="Times New Roman" w:hAnsi="Times New Roman" w:cs="Times New Roman"/>
          <w:sz w:val="24"/>
          <w:szCs w:val="24"/>
        </w:rPr>
        <w:t>are</w:t>
      </w:r>
      <w:r w:rsidR="00E0423C" w:rsidRPr="000F5FEE">
        <w:rPr>
          <w:rFonts w:ascii="Times New Roman" w:hAnsi="Times New Roman" w:cs="Times New Roman"/>
          <w:sz w:val="24"/>
          <w:szCs w:val="24"/>
        </w:rPr>
        <w:t xml:space="preserve"> not limited to</w:t>
      </w:r>
      <w:r w:rsidR="00DA2C40" w:rsidRPr="000F5FEE">
        <w:rPr>
          <w:rFonts w:ascii="Times New Roman" w:hAnsi="Times New Roman" w:cs="Times New Roman"/>
          <w:sz w:val="24"/>
          <w:szCs w:val="24"/>
        </w:rPr>
        <w:t>:</w:t>
      </w:r>
    </w:p>
    <w:p w14:paraId="702EEA16" w14:textId="0421CF3D" w:rsidR="00DA2C40"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p</w:t>
      </w:r>
      <w:r w:rsidR="00E0423C" w:rsidRPr="000F5FEE">
        <w:rPr>
          <w:rFonts w:ascii="Times New Roman" w:hAnsi="Times New Roman" w:cs="Times New Roman"/>
          <w:sz w:val="24"/>
          <w:szCs w:val="24"/>
        </w:rPr>
        <w:t>roviding market</w:t>
      </w:r>
      <w:r w:rsidR="00DA2C40" w:rsidRPr="000F5FEE">
        <w:rPr>
          <w:rFonts w:ascii="Times New Roman" w:hAnsi="Times New Roman" w:cs="Times New Roman"/>
          <w:sz w:val="24"/>
          <w:szCs w:val="24"/>
        </w:rPr>
        <w:t>-moving incentives and rebates</w:t>
      </w:r>
      <w:r w:rsidRPr="000F5FEE">
        <w:rPr>
          <w:rFonts w:ascii="Times New Roman" w:hAnsi="Times New Roman" w:cs="Times New Roman"/>
          <w:sz w:val="24"/>
          <w:szCs w:val="24"/>
        </w:rPr>
        <w:t>,</w:t>
      </w:r>
    </w:p>
    <w:p w14:paraId="44BCE44A" w14:textId="74D6FD56" w:rsidR="00DA2C40"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e</w:t>
      </w:r>
      <w:r w:rsidR="00E0423C" w:rsidRPr="000F5FEE">
        <w:rPr>
          <w:rFonts w:ascii="Times New Roman" w:hAnsi="Times New Roman" w:cs="Times New Roman"/>
          <w:sz w:val="24"/>
          <w:szCs w:val="24"/>
        </w:rPr>
        <w:t xml:space="preserve">valuating </w:t>
      </w:r>
      <w:r w:rsidR="00E77F2F" w:rsidRPr="000F5FEE">
        <w:rPr>
          <w:rFonts w:ascii="Times New Roman" w:hAnsi="Times New Roman" w:cs="Times New Roman"/>
          <w:sz w:val="24"/>
          <w:szCs w:val="24"/>
        </w:rPr>
        <w:t xml:space="preserve">the </w:t>
      </w:r>
      <w:r w:rsidR="00E0423C" w:rsidRPr="000F5FEE">
        <w:rPr>
          <w:rFonts w:ascii="Times New Roman" w:hAnsi="Times New Roman" w:cs="Times New Roman"/>
          <w:sz w:val="24"/>
          <w:szCs w:val="24"/>
        </w:rPr>
        <w:t>effectiveness of conservation pro</w:t>
      </w:r>
      <w:r w:rsidR="00DA2C40" w:rsidRPr="000F5FEE">
        <w:rPr>
          <w:rFonts w:ascii="Times New Roman" w:hAnsi="Times New Roman" w:cs="Times New Roman"/>
          <w:sz w:val="24"/>
          <w:szCs w:val="24"/>
        </w:rPr>
        <w:t>gram advertising</w:t>
      </w:r>
      <w:r w:rsidRPr="000F5FEE">
        <w:rPr>
          <w:rFonts w:ascii="Times New Roman" w:hAnsi="Times New Roman" w:cs="Times New Roman"/>
          <w:sz w:val="24"/>
          <w:szCs w:val="24"/>
        </w:rPr>
        <w:t>,</w:t>
      </w:r>
    </w:p>
    <w:p w14:paraId="11F4AB5A" w14:textId="130458AB" w:rsidR="00DA2C40"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p</w:t>
      </w:r>
      <w:r w:rsidR="00F77D11" w:rsidRPr="000F5FEE">
        <w:rPr>
          <w:rFonts w:ascii="Times New Roman" w:hAnsi="Times New Roman" w:cs="Times New Roman"/>
          <w:sz w:val="24"/>
          <w:szCs w:val="24"/>
        </w:rPr>
        <w:t>ursuing m</w:t>
      </w:r>
      <w:r w:rsidR="00DA2C40" w:rsidRPr="000F5FEE">
        <w:rPr>
          <w:rFonts w:ascii="Times New Roman" w:hAnsi="Times New Roman" w:cs="Times New Roman"/>
          <w:sz w:val="24"/>
          <w:szCs w:val="24"/>
        </w:rPr>
        <w:t>ulti-channel implementation</w:t>
      </w:r>
      <w:r w:rsidRPr="000F5FEE">
        <w:rPr>
          <w:rFonts w:ascii="Times New Roman" w:hAnsi="Times New Roman" w:cs="Times New Roman"/>
          <w:sz w:val="24"/>
          <w:szCs w:val="24"/>
        </w:rPr>
        <w:t>,</w:t>
      </w:r>
      <w:r w:rsidR="00E0423C" w:rsidRPr="000F5FEE">
        <w:rPr>
          <w:rFonts w:ascii="Times New Roman" w:hAnsi="Times New Roman" w:cs="Times New Roman"/>
          <w:sz w:val="24"/>
          <w:szCs w:val="24"/>
        </w:rPr>
        <w:t xml:space="preserve"> </w:t>
      </w:r>
    </w:p>
    <w:p w14:paraId="490337FC" w14:textId="1D953D68" w:rsidR="00DA2C40"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i</w:t>
      </w:r>
      <w:r w:rsidR="00DA2C40" w:rsidRPr="000F5FEE">
        <w:rPr>
          <w:rFonts w:ascii="Times New Roman" w:hAnsi="Times New Roman" w:cs="Times New Roman"/>
          <w:sz w:val="24"/>
          <w:szCs w:val="24"/>
        </w:rPr>
        <w:t>mplementing</w:t>
      </w:r>
      <w:r w:rsidR="00E0423C" w:rsidRPr="000F5FEE">
        <w:rPr>
          <w:rFonts w:ascii="Times New Roman" w:hAnsi="Times New Roman" w:cs="Times New Roman"/>
          <w:sz w:val="24"/>
          <w:szCs w:val="24"/>
        </w:rPr>
        <w:t xml:space="preserve"> </w:t>
      </w:r>
      <w:r w:rsidR="00DA2C40" w:rsidRPr="000F5FEE">
        <w:rPr>
          <w:rFonts w:ascii="Times New Roman" w:hAnsi="Times New Roman" w:cs="Times New Roman"/>
          <w:sz w:val="24"/>
          <w:szCs w:val="24"/>
        </w:rPr>
        <w:t>pilot projects</w:t>
      </w:r>
      <w:r w:rsidRPr="000F5FEE">
        <w:rPr>
          <w:rFonts w:ascii="Times New Roman" w:hAnsi="Times New Roman" w:cs="Times New Roman"/>
          <w:sz w:val="24"/>
          <w:szCs w:val="24"/>
        </w:rPr>
        <w:t>,</w:t>
      </w:r>
      <w:r w:rsidR="00E0423C" w:rsidRPr="000F5FEE">
        <w:rPr>
          <w:rFonts w:ascii="Times New Roman" w:hAnsi="Times New Roman" w:cs="Times New Roman"/>
          <w:sz w:val="24"/>
          <w:szCs w:val="24"/>
        </w:rPr>
        <w:t xml:space="preserve"> </w:t>
      </w:r>
    </w:p>
    <w:p w14:paraId="38AB957D" w14:textId="33EC0996" w:rsidR="00DA2C40"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p</w:t>
      </w:r>
      <w:r w:rsidR="00E0423C" w:rsidRPr="000F5FEE">
        <w:rPr>
          <w:rFonts w:ascii="Times New Roman" w:hAnsi="Times New Roman" w:cs="Times New Roman"/>
          <w:sz w:val="24"/>
          <w:szCs w:val="24"/>
        </w:rPr>
        <w:t xml:space="preserve">erforming research </w:t>
      </w:r>
      <w:r w:rsidRPr="000F5FEE">
        <w:rPr>
          <w:rFonts w:ascii="Times New Roman" w:hAnsi="Times New Roman" w:cs="Times New Roman"/>
          <w:sz w:val="24"/>
          <w:szCs w:val="24"/>
        </w:rPr>
        <w:t xml:space="preserve">regarding </w:t>
      </w:r>
      <w:r w:rsidR="00E0423C" w:rsidRPr="000F5FEE">
        <w:rPr>
          <w:rFonts w:ascii="Times New Roman" w:hAnsi="Times New Roman" w:cs="Times New Roman"/>
          <w:sz w:val="24"/>
          <w:szCs w:val="24"/>
        </w:rPr>
        <w:t xml:space="preserve">emerging </w:t>
      </w:r>
      <w:r w:rsidRPr="000F5FEE">
        <w:rPr>
          <w:rFonts w:ascii="Times New Roman" w:hAnsi="Times New Roman" w:cs="Times New Roman"/>
          <w:sz w:val="24"/>
          <w:szCs w:val="24"/>
        </w:rPr>
        <w:t xml:space="preserve">conservation </w:t>
      </w:r>
      <w:r w:rsidR="00E0423C" w:rsidRPr="000F5FEE">
        <w:rPr>
          <w:rFonts w:ascii="Times New Roman" w:hAnsi="Times New Roman" w:cs="Times New Roman"/>
          <w:sz w:val="24"/>
          <w:szCs w:val="24"/>
        </w:rPr>
        <w:t>technologies</w:t>
      </w:r>
      <w:r w:rsidRPr="000F5FEE">
        <w:rPr>
          <w:rFonts w:ascii="Times New Roman" w:hAnsi="Times New Roman" w:cs="Times New Roman"/>
          <w:sz w:val="24"/>
          <w:szCs w:val="24"/>
        </w:rPr>
        <w:t>,</w:t>
      </w:r>
    </w:p>
    <w:p w14:paraId="14449E2A" w14:textId="497D28BA" w:rsidR="00F77D11"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f</w:t>
      </w:r>
      <w:r w:rsidR="00E0423C" w:rsidRPr="000F5FEE">
        <w:rPr>
          <w:rFonts w:ascii="Times New Roman" w:hAnsi="Times New Roman" w:cs="Times New Roman"/>
          <w:sz w:val="24"/>
          <w:szCs w:val="24"/>
        </w:rPr>
        <w:t>unding regional conser</w:t>
      </w:r>
      <w:r w:rsidR="004F082C" w:rsidRPr="000F5FEE">
        <w:rPr>
          <w:rFonts w:ascii="Times New Roman" w:hAnsi="Times New Roman" w:cs="Times New Roman"/>
          <w:sz w:val="24"/>
          <w:szCs w:val="24"/>
        </w:rPr>
        <w:t>vation programs,</w:t>
      </w:r>
    </w:p>
    <w:p w14:paraId="513C84AF" w14:textId="61903FFC" w:rsidR="00DF5B8F" w:rsidRPr="000F5FEE" w:rsidRDefault="00CA13C7"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c</w:t>
      </w:r>
      <w:r w:rsidR="00F77D11" w:rsidRPr="000F5FEE">
        <w:rPr>
          <w:rFonts w:ascii="Times New Roman" w:hAnsi="Times New Roman" w:cs="Times New Roman"/>
          <w:sz w:val="24"/>
          <w:szCs w:val="24"/>
        </w:rPr>
        <w:t>onducting collaborative</w:t>
      </w:r>
      <w:r w:rsidR="00E0423C" w:rsidRPr="000F5FEE">
        <w:rPr>
          <w:rFonts w:ascii="Times New Roman" w:hAnsi="Times New Roman" w:cs="Times New Roman"/>
          <w:sz w:val="24"/>
          <w:szCs w:val="24"/>
        </w:rPr>
        <w:t xml:space="preserve"> technical activities</w:t>
      </w:r>
      <w:r w:rsidR="004F082C" w:rsidRPr="000F5FEE">
        <w:rPr>
          <w:rFonts w:ascii="Times New Roman" w:hAnsi="Times New Roman" w:cs="Times New Roman"/>
          <w:sz w:val="24"/>
          <w:szCs w:val="24"/>
        </w:rPr>
        <w:t>, and</w:t>
      </w:r>
    </w:p>
    <w:p w14:paraId="75F38D45" w14:textId="588453C9" w:rsidR="004F082C" w:rsidRPr="000F5FEE" w:rsidRDefault="004F082C" w:rsidP="00862DEC">
      <w:pPr>
        <w:pStyle w:val="ListParagraph"/>
        <w:numPr>
          <w:ilvl w:val="1"/>
          <w:numId w:val="7"/>
        </w:numPr>
        <w:ind w:left="1800"/>
        <w:rPr>
          <w:rFonts w:ascii="Times New Roman" w:hAnsi="Times New Roman" w:cs="Times New Roman"/>
          <w:sz w:val="24"/>
          <w:szCs w:val="24"/>
        </w:rPr>
      </w:pPr>
      <w:r w:rsidRPr="000F5FEE">
        <w:rPr>
          <w:rFonts w:ascii="Times New Roman" w:hAnsi="Times New Roman" w:cs="Times New Roman"/>
          <w:sz w:val="24"/>
          <w:szCs w:val="24"/>
        </w:rPr>
        <w:t>conducting collaborative promotional activities</w:t>
      </w:r>
      <w:r w:rsidR="00400B2B" w:rsidRPr="000F5FEE">
        <w:rPr>
          <w:rFonts w:ascii="Times New Roman" w:hAnsi="Times New Roman" w:cs="Times New Roman"/>
          <w:sz w:val="24"/>
          <w:szCs w:val="24"/>
        </w:rPr>
        <w:t>.</w:t>
      </w:r>
    </w:p>
    <w:p w14:paraId="6819912B" w14:textId="1C90BF65" w:rsidR="00382F7C" w:rsidRPr="000F5FEE" w:rsidRDefault="00FD2CDD" w:rsidP="00862DEC">
      <w:pPr>
        <w:pStyle w:val="ListParagraph"/>
        <w:numPr>
          <w:ilvl w:val="0"/>
          <w:numId w:val="7"/>
        </w:numPr>
        <w:ind w:left="1080"/>
        <w:rPr>
          <w:rFonts w:ascii="Times New Roman" w:hAnsi="Times New Roman" w:cs="Times New Roman"/>
          <w:sz w:val="24"/>
          <w:szCs w:val="24"/>
        </w:rPr>
      </w:pPr>
      <w:r w:rsidRPr="000F5FEE">
        <w:rPr>
          <w:rFonts w:ascii="Times New Roman" w:hAnsi="Times New Roman" w:cs="Times New Roman"/>
          <w:b/>
          <w:sz w:val="24"/>
          <w:szCs w:val="24"/>
        </w:rPr>
        <w:t xml:space="preserve">Adaptive management. </w:t>
      </w:r>
      <w:r w:rsidR="00CA13C7" w:rsidRPr="000F5FEE">
        <w:rPr>
          <w:rFonts w:ascii="Times New Roman" w:hAnsi="Times New Roman" w:cs="Times New Roman"/>
          <w:sz w:val="24"/>
          <w:szCs w:val="24"/>
        </w:rPr>
        <w:t>Continuously m</w:t>
      </w:r>
      <w:r w:rsidR="00DF5B8F" w:rsidRPr="000F5FEE">
        <w:rPr>
          <w:rFonts w:ascii="Times New Roman" w:hAnsi="Times New Roman" w:cs="Times New Roman"/>
          <w:sz w:val="24"/>
          <w:szCs w:val="24"/>
        </w:rPr>
        <w:t>anage the conservation portfolio to adapt to changing market conditions and developing technologies</w:t>
      </w:r>
      <w:r w:rsidR="00490763" w:rsidRPr="000F5FEE">
        <w:rPr>
          <w:rFonts w:ascii="Times New Roman" w:hAnsi="Times New Roman" w:cs="Times New Roman"/>
          <w:sz w:val="24"/>
          <w:szCs w:val="24"/>
        </w:rPr>
        <w:t>, as well as, performing research regarding emerging conservation technologies</w:t>
      </w:r>
      <w:r w:rsidR="00DF5B8F" w:rsidRPr="000F5FEE">
        <w:rPr>
          <w:rFonts w:ascii="Times New Roman" w:hAnsi="Times New Roman" w:cs="Times New Roman"/>
          <w:sz w:val="24"/>
          <w:szCs w:val="24"/>
        </w:rPr>
        <w:t xml:space="preserve">.  </w:t>
      </w:r>
    </w:p>
    <w:p w14:paraId="37E31F6C" w14:textId="7F294398" w:rsidR="00382F7C" w:rsidRPr="000F5FEE" w:rsidRDefault="00382F7C"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3110FF" w:rsidRPr="000F5FEE">
        <w:rPr>
          <w:rFonts w:ascii="Times New Roman" w:hAnsi="Times New Roman" w:cs="Times New Roman"/>
          <w:sz w:val="24"/>
          <w:szCs w:val="24"/>
        </w:rPr>
        <w:t>b</w:t>
      </w:r>
      <w:r w:rsidRPr="000F5FEE">
        <w:rPr>
          <w:rFonts w:ascii="Times New Roman" w:hAnsi="Times New Roman" w:cs="Times New Roman"/>
          <w:sz w:val="24"/>
          <w:szCs w:val="24"/>
        </w:rPr>
        <w:t>) Types of conservation include, but are not limited to:</w:t>
      </w:r>
    </w:p>
    <w:p w14:paraId="244D4B63" w14:textId="53D032BC" w:rsidR="00382F7C" w:rsidRPr="000F5FEE" w:rsidRDefault="003110FF"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ab/>
        <w:t>(</w:t>
      </w:r>
      <w:proofErr w:type="spellStart"/>
      <w:r w:rsidRPr="000F5FEE">
        <w:rPr>
          <w:rFonts w:ascii="Times New Roman" w:hAnsi="Times New Roman" w:cs="Times New Roman"/>
          <w:sz w:val="24"/>
          <w:szCs w:val="24"/>
        </w:rPr>
        <w:t>i</w:t>
      </w:r>
      <w:proofErr w:type="spellEnd"/>
      <w:r w:rsidR="00CA13C7" w:rsidRPr="000F5FEE">
        <w:rPr>
          <w:rFonts w:ascii="Times New Roman" w:hAnsi="Times New Roman" w:cs="Times New Roman"/>
          <w:sz w:val="24"/>
          <w:szCs w:val="24"/>
        </w:rPr>
        <w:t>) end-use efficiency,</w:t>
      </w:r>
    </w:p>
    <w:p w14:paraId="003F846C" w14:textId="602A8CCD" w:rsidR="00382F7C" w:rsidRPr="000F5FEE" w:rsidRDefault="00382F7C"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ab/>
        <w:t>(</w:t>
      </w:r>
      <w:r w:rsidR="003110FF" w:rsidRPr="000F5FEE">
        <w:rPr>
          <w:rFonts w:ascii="Times New Roman" w:hAnsi="Times New Roman" w:cs="Times New Roman"/>
          <w:sz w:val="24"/>
          <w:szCs w:val="24"/>
        </w:rPr>
        <w:t>ii</w:t>
      </w:r>
      <w:r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b</w:t>
      </w:r>
      <w:r w:rsidRPr="000F5FEE">
        <w:rPr>
          <w:rFonts w:ascii="Times New Roman" w:hAnsi="Times New Roman" w:cs="Times New Roman"/>
          <w:sz w:val="24"/>
          <w:szCs w:val="24"/>
        </w:rPr>
        <w:t>ehavioral programs</w:t>
      </w:r>
      <w:r w:rsidR="00CA13C7" w:rsidRPr="000F5FEE">
        <w:rPr>
          <w:rFonts w:ascii="Times New Roman" w:hAnsi="Times New Roman" w:cs="Times New Roman"/>
          <w:sz w:val="24"/>
          <w:szCs w:val="24"/>
        </w:rPr>
        <w:t>,</w:t>
      </w:r>
      <w:r w:rsidR="008A6D23" w:rsidRPr="000F5FEE">
        <w:rPr>
          <w:rFonts w:ascii="Times New Roman" w:hAnsi="Times New Roman" w:cs="Times New Roman"/>
          <w:sz w:val="24"/>
          <w:szCs w:val="24"/>
        </w:rPr>
        <w:t xml:space="preserve"> </w:t>
      </w:r>
    </w:p>
    <w:p w14:paraId="1947F0A3" w14:textId="521770D1" w:rsidR="00382F7C" w:rsidRPr="000F5FEE" w:rsidRDefault="00382F7C"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ab/>
        <w:t>(</w:t>
      </w:r>
      <w:r w:rsidR="003110FF" w:rsidRPr="000F5FEE">
        <w:rPr>
          <w:rFonts w:ascii="Times New Roman" w:hAnsi="Times New Roman" w:cs="Times New Roman"/>
          <w:sz w:val="24"/>
          <w:szCs w:val="24"/>
        </w:rPr>
        <w:t>iii</w:t>
      </w:r>
      <w:r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c</w:t>
      </w:r>
      <w:r w:rsidRPr="000F5FEE">
        <w:rPr>
          <w:rFonts w:ascii="Times New Roman" w:hAnsi="Times New Roman" w:cs="Times New Roman"/>
          <w:sz w:val="24"/>
          <w:szCs w:val="24"/>
        </w:rPr>
        <w:t>ode enforcement</w:t>
      </w:r>
      <w:r w:rsidR="00CA13C7" w:rsidRPr="000F5FEE">
        <w:rPr>
          <w:rFonts w:ascii="Times New Roman" w:hAnsi="Times New Roman" w:cs="Times New Roman"/>
          <w:sz w:val="24"/>
          <w:szCs w:val="24"/>
        </w:rPr>
        <w:t>,</w:t>
      </w:r>
    </w:p>
    <w:p w14:paraId="646BF7C6" w14:textId="6779D7F3" w:rsidR="0077294C" w:rsidRPr="000F5FEE" w:rsidRDefault="0077294C" w:rsidP="00FD2CDD">
      <w:pPr>
        <w:spacing w:after="0"/>
        <w:rPr>
          <w:rFonts w:ascii="Times New Roman" w:hAnsi="Times New Roman" w:cs="Times New Roman"/>
          <w:sz w:val="24"/>
          <w:szCs w:val="24"/>
        </w:rPr>
      </w:pPr>
      <w:r w:rsidRPr="000F5FEE">
        <w:rPr>
          <w:rFonts w:ascii="Times New Roman" w:hAnsi="Times New Roman" w:cs="Times New Roman"/>
          <w:sz w:val="24"/>
          <w:szCs w:val="24"/>
        </w:rPr>
        <w:tab/>
        <w:t xml:space="preserve">(iv) </w:t>
      </w:r>
      <w:r w:rsidR="00CA13C7" w:rsidRPr="000F5FEE">
        <w:rPr>
          <w:rFonts w:ascii="Times New Roman" w:hAnsi="Times New Roman" w:cs="Times New Roman"/>
          <w:sz w:val="24"/>
          <w:szCs w:val="24"/>
        </w:rPr>
        <w:t>h</w:t>
      </w:r>
      <w:r w:rsidR="00150706" w:rsidRPr="000F5FEE">
        <w:rPr>
          <w:rFonts w:ascii="Times New Roman" w:hAnsi="Times New Roman" w:cs="Times New Roman"/>
          <w:sz w:val="24"/>
          <w:szCs w:val="24"/>
        </w:rPr>
        <w:t>igh-efficiency co</w:t>
      </w:r>
      <w:r w:rsidR="00382F7C" w:rsidRPr="000F5FEE">
        <w:rPr>
          <w:rFonts w:ascii="Times New Roman" w:hAnsi="Times New Roman" w:cs="Times New Roman"/>
          <w:sz w:val="24"/>
          <w:szCs w:val="24"/>
        </w:rPr>
        <w:t>generation</w:t>
      </w:r>
      <w:r w:rsidR="00CA13C7" w:rsidRPr="000F5FEE">
        <w:rPr>
          <w:rFonts w:ascii="Times New Roman" w:hAnsi="Times New Roman" w:cs="Times New Roman"/>
          <w:sz w:val="24"/>
          <w:szCs w:val="24"/>
        </w:rPr>
        <w:t>,</w:t>
      </w:r>
      <w:r w:rsidRPr="000F5FEE">
        <w:rPr>
          <w:rFonts w:ascii="Times New Roman" w:hAnsi="Times New Roman" w:cs="Times New Roman"/>
          <w:sz w:val="24"/>
          <w:szCs w:val="24"/>
        </w:rPr>
        <w:t xml:space="preserve"> </w:t>
      </w:r>
    </w:p>
    <w:p w14:paraId="14E69523" w14:textId="78F00550" w:rsidR="0077294C" w:rsidRPr="000F5FEE" w:rsidRDefault="0077294C" w:rsidP="00FD2CDD">
      <w:pPr>
        <w:pStyle w:val="ListParagraph"/>
        <w:numPr>
          <w:ilvl w:val="0"/>
          <w:numId w:val="10"/>
        </w:numPr>
        <w:rPr>
          <w:rFonts w:ascii="Times New Roman" w:hAnsi="Times New Roman" w:cs="Times New Roman"/>
          <w:sz w:val="24"/>
          <w:szCs w:val="24"/>
        </w:rPr>
      </w:pPr>
      <w:r w:rsidRPr="000F5FEE">
        <w:rPr>
          <w:rFonts w:ascii="Times New Roman" w:hAnsi="Times New Roman" w:cs="Times New Roman"/>
          <w:sz w:val="24"/>
          <w:szCs w:val="24"/>
        </w:rPr>
        <w:t>A utility may count as conservation savings a portion of the electricity</w:t>
      </w:r>
      <w:r w:rsidR="000A55CF" w:rsidRPr="000F5FEE">
        <w:rPr>
          <w:rFonts w:ascii="Times New Roman" w:hAnsi="Times New Roman" w:cs="Times New Roman"/>
          <w:sz w:val="24"/>
          <w:szCs w:val="24"/>
        </w:rPr>
        <w:t xml:space="preserve"> output of a high-efficiency co</w:t>
      </w:r>
      <w:r w:rsidRPr="000F5FEE">
        <w:rPr>
          <w:rFonts w:ascii="Times New Roman" w:hAnsi="Times New Roman" w:cs="Times New Roman"/>
          <w:sz w:val="24"/>
          <w:szCs w:val="24"/>
        </w:rPr>
        <w:t>generation facility that commences operation in its service territory.</w:t>
      </w:r>
    </w:p>
    <w:p w14:paraId="2B38CE49" w14:textId="77777777" w:rsidR="0077294C" w:rsidRPr="000F5FEE" w:rsidRDefault="0077294C" w:rsidP="00FD2CDD">
      <w:pPr>
        <w:pStyle w:val="ListParagraph"/>
        <w:numPr>
          <w:ilvl w:val="0"/>
          <w:numId w:val="10"/>
        </w:numPr>
        <w:rPr>
          <w:rFonts w:ascii="Times New Roman" w:hAnsi="Times New Roman" w:cs="Times New Roman"/>
          <w:sz w:val="24"/>
          <w:szCs w:val="24"/>
        </w:rPr>
      </w:pPr>
      <w:r w:rsidRPr="000F5FEE">
        <w:rPr>
          <w:rFonts w:ascii="Times New Roman" w:hAnsi="Times New Roman" w:cs="Times New Roman"/>
          <w:sz w:val="24"/>
          <w:szCs w:val="24"/>
        </w:rPr>
        <w:t xml:space="preserve">The high-efficiency cogeneration facility must be owned by a retail electric customer and used by that customer to meet its heat and electricity needs. Heat and electricity output provided to anyone other than the facility owner may not be considered in determining conservation savings. </w:t>
      </w:r>
    </w:p>
    <w:p w14:paraId="70286933" w14:textId="2B42AD13" w:rsidR="0077294C" w:rsidRPr="000F5FEE" w:rsidRDefault="0077294C" w:rsidP="00FD2CDD">
      <w:pPr>
        <w:pStyle w:val="ListParagraph"/>
        <w:numPr>
          <w:ilvl w:val="0"/>
          <w:numId w:val="10"/>
        </w:numPr>
        <w:rPr>
          <w:rFonts w:ascii="Times New Roman" w:hAnsi="Times New Roman" w:cs="Times New Roman"/>
          <w:sz w:val="24"/>
          <w:szCs w:val="24"/>
        </w:rPr>
      </w:pPr>
      <w:r w:rsidRPr="000F5FEE">
        <w:rPr>
          <w:rFonts w:ascii="Times New Roman" w:hAnsi="Times New Roman" w:cs="Times New Roman"/>
          <w:sz w:val="24"/>
          <w:szCs w:val="24"/>
        </w:rPr>
        <w:t xml:space="preserve">The utility's documentation of a cogeneration facility's compliance </w:t>
      </w:r>
      <w:r w:rsidR="000A55CF" w:rsidRPr="000F5FEE">
        <w:rPr>
          <w:rFonts w:ascii="Times New Roman" w:hAnsi="Times New Roman" w:cs="Times New Roman"/>
          <w:sz w:val="24"/>
          <w:szCs w:val="24"/>
        </w:rPr>
        <w:t xml:space="preserve">with the definition of </w:t>
      </w:r>
      <w:r w:rsidR="00876C84" w:rsidRPr="000F5FEE">
        <w:rPr>
          <w:rFonts w:ascii="Times New Roman" w:hAnsi="Times New Roman" w:cs="Times New Roman"/>
          <w:sz w:val="24"/>
          <w:szCs w:val="24"/>
        </w:rPr>
        <w:t>“</w:t>
      </w:r>
      <w:r w:rsidR="000A55CF" w:rsidRPr="000F5FEE">
        <w:rPr>
          <w:rFonts w:ascii="Times New Roman" w:hAnsi="Times New Roman" w:cs="Times New Roman"/>
          <w:sz w:val="24"/>
          <w:szCs w:val="24"/>
        </w:rPr>
        <w:t>high-efficiency cogeneration</w:t>
      </w:r>
      <w:r w:rsidR="00876C84" w:rsidRPr="000F5FEE">
        <w:rPr>
          <w:rFonts w:ascii="Times New Roman" w:hAnsi="Times New Roman" w:cs="Times New Roman"/>
          <w:sz w:val="24"/>
          <w:szCs w:val="24"/>
        </w:rPr>
        <w:t>”</w:t>
      </w:r>
      <w:r w:rsidR="000A55CF" w:rsidRPr="000F5FEE">
        <w:rPr>
          <w:rFonts w:ascii="Times New Roman" w:hAnsi="Times New Roman" w:cs="Times New Roman"/>
          <w:sz w:val="24"/>
          <w:szCs w:val="24"/>
        </w:rPr>
        <w:t xml:space="preserve"> and the conditions for </w:t>
      </w:r>
      <w:r w:rsidR="00876C84" w:rsidRPr="000F5FEE">
        <w:rPr>
          <w:rFonts w:ascii="Times New Roman" w:hAnsi="Times New Roman" w:cs="Times New Roman"/>
          <w:sz w:val="24"/>
          <w:szCs w:val="24"/>
        </w:rPr>
        <w:t xml:space="preserve">counting as conservation in this subsection </w:t>
      </w:r>
      <w:r w:rsidRPr="000F5FEE">
        <w:rPr>
          <w:rFonts w:ascii="Times New Roman" w:hAnsi="Times New Roman" w:cs="Times New Roman"/>
          <w:sz w:val="24"/>
          <w:szCs w:val="24"/>
        </w:rPr>
        <w:t xml:space="preserve">must be certified by a registered professional engineer licensed by the Washington department of licensing. </w:t>
      </w:r>
    </w:p>
    <w:p w14:paraId="2627D4E5" w14:textId="0D4EAF5D" w:rsidR="00382F7C" w:rsidRPr="000F5FEE" w:rsidRDefault="00382F7C"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ab/>
        <w:t>(</w:t>
      </w:r>
      <w:r w:rsidR="003110FF" w:rsidRPr="000F5FEE">
        <w:rPr>
          <w:rFonts w:ascii="Times New Roman" w:hAnsi="Times New Roman" w:cs="Times New Roman"/>
          <w:sz w:val="24"/>
          <w:szCs w:val="24"/>
        </w:rPr>
        <w:t>v</w:t>
      </w:r>
      <w:r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p</w:t>
      </w:r>
      <w:r w:rsidR="006C2130" w:rsidRPr="000F5FEE">
        <w:rPr>
          <w:rFonts w:ascii="Times New Roman" w:hAnsi="Times New Roman" w:cs="Times New Roman"/>
          <w:sz w:val="24"/>
          <w:szCs w:val="24"/>
        </w:rPr>
        <w:t>roduction</w:t>
      </w:r>
      <w:r w:rsidRPr="000F5FEE">
        <w:rPr>
          <w:rFonts w:ascii="Times New Roman" w:hAnsi="Times New Roman" w:cs="Times New Roman"/>
          <w:sz w:val="24"/>
          <w:szCs w:val="24"/>
        </w:rPr>
        <w:t xml:space="preserve"> efficiency</w:t>
      </w:r>
      <w:r w:rsidR="00CA13C7" w:rsidRPr="000F5FEE">
        <w:rPr>
          <w:rFonts w:ascii="Times New Roman" w:hAnsi="Times New Roman" w:cs="Times New Roman"/>
          <w:sz w:val="24"/>
          <w:szCs w:val="24"/>
        </w:rPr>
        <w:t>,</w:t>
      </w:r>
    </w:p>
    <w:p w14:paraId="499C6245" w14:textId="32F9F021" w:rsidR="00313F3A" w:rsidRPr="000F5FEE" w:rsidRDefault="00382F7C" w:rsidP="00862DEC">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ab/>
        <w:t>(</w:t>
      </w:r>
      <w:r w:rsidR="003110FF" w:rsidRPr="000F5FEE">
        <w:rPr>
          <w:rFonts w:ascii="Times New Roman" w:hAnsi="Times New Roman" w:cs="Times New Roman"/>
          <w:sz w:val="24"/>
          <w:szCs w:val="24"/>
        </w:rPr>
        <w:t>vi</w:t>
      </w:r>
      <w:r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d</w:t>
      </w:r>
      <w:r w:rsidRPr="000F5FEE">
        <w:rPr>
          <w:rFonts w:ascii="Times New Roman" w:hAnsi="Times New Roman" w:cs="Times New Roman"/>
          <w:sz w:val="24"/>
          <w:szCs w:val="24"/>
        </w:rPr>
        <w:t>istribution efficiency</w:t>
      </w:r>
      <w:r w:rsidR="00CA13C7" w:rsidRPr="000F5FEE">
        <w:rPr>
          <w:rFonts w:ascii="Times New Roman" w:hAnsi="Times New Roman" w:cs="Times New Roman"/>
          <w:sz w:val="24"/>
          <w:szCs w:val="24"/>
        </w:rPr>
        <w:t>, and</w:t>
      </w:r>
    </w:p>
    <w:p w14:paraId="2A517C17" w14:textId="2D44B2F4" w:rsidR="00382F7C" w:rsidRPr="000F5FEE" w:rsidRDefault="00382F7C" w:rsidP="00862DEC">
      <w:pPr>
        <w:spacing w:after="0" w:line="240" w:lineRule="auto"/>
        <w:ind w:firstLine="720"/>
        <w:rPr>
          <w:rFonts w:ascii="Times New Roman" w:hAnsi="Times New Roman" w:cs="Times New Roman"/>
          <w:sz w:val="24"/>
          <w:szCs w:val="24"/>
        </w:rPr>
      </w:pPr>
      <w:r w:rsidRPr="000F5FEE">
        <w:rPr>
          <w:rFonts w:ascii="Times New Roman" w:hAnsi="Times New Roman" w:cs="Times New Roman"/>
          <w:sz w:val="24"/>
          <w:szCs w:val="24"/>
        </w:rPr>
        <w:t>(</w:t>
      </w:r>
      <w:r w:rsidR="003110FF" w:rsidRPr="000F5FEE">
        <w:rPr>
          <w:rFonts w:ascii="Times New Roman" w:hAnsi="Times New Roman" w:cs="Times New Roman"/>
          <w:sz w:val="24"/>
          <w:szCs w:val="24"/>
        </w:rPr>
        <w:t>vii</w:t>
      </w:r>
      <w:r w:rsidRPr="000F5FEE">
        <w:rPr>
          <w:rFonts w:ascii="Times New Roman" w:hAnsi="Times New Roman" w:cs="Times New Roman"/>
          <w:sz w:val="24"/>
          <w:szCs w:val="24"/>
        </w:rPr>
        <w:t xml:space="preserve">) </w:t>
      </w:r>
      <w:r w:rsidR="00CA13C7" w:rsidRPr="000F5FEE">
        <w:rPr>
          <w:rFonts w:ascii="Times New Roman" w:hAnsi="Times New Roman" w:cs="Times New Roman"/>
          <w:sz w:val="24"/>
          <w:szCs w:val="24"/>
        </w:rPr>
        <w:t>m</w:t>
      </w:r>
      <w:r w:rsidRPr="000F5FEE">
        <w:rPr>
          <w:rFonts w:ascii="Times New Roman" w:hAnsi="Times New Roman" w:cs="Times New Roman"/>
          <w:sz w:val="24"/>
          <w:szCs w:val="24"/>
        </w:rPr>
        <w:t>arket transformation.</w:t>
      </w:r>
    </w:p>
    <w:p w14:paraId="6EFE1356" w14:textId="51EEA048" w:rsidR="007351D7" w:rsidRPr="000F5FEE" w:rsidRDefault="00E75808" w:rsidP="003A6B34">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w:t>
      </w:r>
      <w:r w:rsidR="000A22F3" w:rsidRPr="000F5FEE">
        <w:rPr>
          <w:rFonts w:ascii="Times New Roman" w:hAnsi="Times New Roman" w:cs="Times New Roman"/>
          <w:sz w:val="24"/>
          <w:szCs w:val="24"/>
        </w:rPr>
        <w:t>5</w:t>
      </w:r>
      <w:r w:rsidRPr="000F5FEE">
        <w:rPr>
          <w:rFonts w:ascii="Times New Roman" w:hAnsi="Times New Roman" w:cs="Times New Roman"/>
          <w:sz w:val="24"/>
          <w:szCs w:val="24"/>
        </w:rPr>
        <w:t>)</w:t>
      </w:r>
      <w:r w:rsidR="00313F3A" w:rsidRPr="000F5FEE">
        <w:rPr>
          <w:rFonts w:ascii="Times New Roman" w:hAnsi="Times New Roman" w:cs="Times New Roman"/>
          <w:sz w:val="24"/>
          <w:szCs w:val="24"/>
        </w:rPr>
        <w:t xml:space="preserve"> </w:t>
      </w:r>
      <w:r w:rsidR="002A0C05" w:rsidRPr="000F5FEE">
        <w:rPr>
          <w:rFonts w:ascii="Times New Roman" w:hAnsi="Times New Roman" w:cs="Times New Roman"/>
          <w:b/>
          <w:sz w:val="24"/>
          <w:szCs w:val="24"/>
        </w:rPr>
        <w:t xml:space="preserve">Prudence. </w:t>
      </w:r>
      <w:r w:rsidR="00030B31" w:rsidRPr="000F5FEE">
        <w:rPr>
          <w:rFonts w:ascii="Times New Roman" w:hAnsi="Times New Roman" w:cs="Times New Roman"/>
          <w:sz w:val="24"/>
          <w:szCs w:val="24"/>
        </w:rPr>
        <w:t>A</w:t>
      </w:r>
      <w:r w:rsidR="00313F3A" w:rsidRPr="000F5FEE">
        <w:rPr>
          <w:rFonts w:ascii="Times New Roman" w:hAnsi="Times New Roman" w:cs="Times New Roman"/>
          <w:sz w:val="24"/>
          <w:szCs w:val="24"/>
        </w:rPr>
        <w:t xml:space="preserve"> utility retains the responsibility to demonstrate the prudence of all conservation expenditures</w:t>
      </w:r>
      <w:r w:rsidR="003D30C2" w:rsidRPr="000F5FEE">
        <w:rPr>
          <w:rFonts w:ascii="Times New Roman" w:hAnsi="Times New Roman" w:cs="Times New Roman"/>
          <w:sz w:val="24"/>
          <w:szCs w:val="24"/>
        </w:rPr>
        <w:t>, as required by RCW 19.285.050(2)</w:t>
      </w:r>
      <w:r w:rsidR="00313F3A" w:rsidRPr="000F5FEE">
        <w:rPr>
          <w:rFonts w:ascii="Times New Roman" w:hAnsi="Times New Roman" w:cs="Times New Roman"/>
          <w:sz w:val="24"/>
          <w:szCs w:val="24"/>
        </w:rPr>
        <w:t>.</w:t>
      </w:r>
    </w:p>
    <w:p w14:paraId="12034FBA" w14:textId="60D34DFC" w:rsidR="00313F3A" w:rsidRPr="000F5FEE" w:rsidRDefault="00313F3A" w:rsidP="003A6B34">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0A22F3" w:rsidRPr="000F5FEE">
        <w:rPr>
          <w:rFonts w:ascii="Times New Roman" w:hAnsi="Times New Roman" w:cs="Times New Roman"/>
          <w:sz w:val="24"/>
          <w:szCs w:val="24"/>
        </w:rPr>
        <w:t>6</w:t>
      </w:r>
      <w:r w:rsidRPr="000F5FEE">
        <w:rPr>
          <w:rFonts w:ascii="Times New Roman" w:hAnsi="Times New Roman" w:cs="Times New Roman"/>
          <w:sz w:val="24"/>
          <w:szCs w:val="24"/>
        </w:rPr>
        <w:t xml:space="preserve">) </w:t>
      </w:r>
      <w:r w:rsidR="00F77D11" w:rsidRPr="000F5FEE">
        <w:rPr>
          <w:rFonts w:ascii="Times New Roman" w:hAnsi="Times New Roman" w:cs="Times New Roman"/>
          <w:b/>
          <w:sz w:val="24"/>
          <w:szCs w:val="24"/>
        </w:rPr>
        <w:t>E</w:t>
      </w:r>
      <w:r w:rsidR="002A0C05" w:rsidRPr="000F5FEE">
        <w:rPr>
          <w:rFonts w:ascii="Times New Roman" w:hAnsi="Times New Roman" w:cs="Times New Roman"/>
          <w:b/>
          <w:sz w:val="24"/>
          <w:szCs w:val="24"/>
        </w:rPr>
        <w:t xml:space="preserve">nergy savings.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use unit energy savings values and protocols approved by the Regional Technical Forum, unless the utility documents </w:t>
      </w:r>
      <w:r w:rsidR="00E77F2F" w:rsidRPr="000F5FEE">
        <w:rPr>
          <w:rFonts w:ascii="Times New Roman" w:hAnsi="Times New Roman" w:cs="Times New Roman"/>
          <w:sz w:val="24"/>
          <w:szCs w:val="24"/>
        </w:rPr>
        <w:t xml:space="preserve">that a </w:t>
      </w:r>
      <w:r w:rsidRPr="000F5FEE">
        <w:rPr>
          <w:rFonts w:ascii="Times New Roman" w:hAnsi="Times New Roman" w:cs="Times New Roman"/>
          <w:sz w:val="24"/>
          <w:szCs w:val="24"/>
        </w:rPr>
        <w:t>spe</w:t>
      </w:r>
      <w:r w:rsidR="006B320D" w:rsidRPr="000F5FEE">
        <w:rPr>
          <w:rFonts w:ascii="Times New Roman" w:hAnsi="Times New Roman" w:cs="Times New Roman"/>
          <w:sz w:val="24"/>
          <w:szCs w:val="24"/>
        </w:rPr>
        <w:t>cific unit energy savings value</w:t>
      </w:r>
      <w:r w:rsidRPr="000F5FEE">
        <w:rPr>
          <w:rFonts w:ascii="Times New Roman" w:hAnsi="Times New Roman" w:cs="Times New Roman"/>
          <w:sz w:val="24"/>
          <w:szCs w:val="24"/>
        </w:rPr>
        <w:t xml:space="preserve"> or protocol </w:t>
      </w:r>
      <w:r w:rsidR="00E77F2F" w:rsidRPr="000F5FEE">
        <w:rPr>
          <w:rFonts w:ascii="Times New Roman" w:hAnsi="Times New Roman" w:cs="Times New Roman"/>
          <w:sz w:val="24"/>
          <w:szCs w:val="24"/>
        </w:rPr>
        <w:t xml:space="preserve">is </w:t>
      </w:r>
      <w:r w:rsidRPr="000F5FEE">
        <w:rPr>
          <w:rFonts w:ascii="Times New Roman" w:hAnsi="Times New Roman" w:cs="Times New Roman"/>
          <w:sz w:val="24"/>
          <w:szCs w:val="24"/>
        </w:rPr>
        <w:t>more appropriate for its service territory.</w:t>
      </w:r>
    </w:p>
    <w:p w14:paraId="17FBE9B9" w14:textId="4369DE41" w:rsidR="00AF6A0F" w:rsidRPr="000F5FEE" w:rsidRDefault="00AF6A0F" w:rsidP="003A6B34">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0A22F3" w:rsidRPr="000F5FEE">
        <w:rPr>
          <w:rFonts w:ascii="Times New Roman" w:hAnsi="Times New Roman" w:cs="Times New Roman"/>
          <w:sz w:val="24"/>
          <w:szCs w:val="24"/>
        </w:rPr>
        <w:t>7</w:t>
      </w:r>
      <w:r w:rsidRPr="000F5FEE">
        <w:rPr>
          <w:rFonts w:ascii="Times New Roman" w:hAnsi="Times New Roman" w:cs="Times New Roman"/>
          <w:sz w:val="24"/>
          <w:szCs w:val="24"/>
        </w:rPr>
        <w:t xml:space="preserve">) </w:t>
      </w:r>
      <w:r w:rsidR="002A0C05" w:rsidRPr="000F5FEE">
        <w:rPr>
          <w:rFonts w:ascii="Times New Roman" w:hAnsi="Times New Roman" w:cs="Times New Roman"/>
          <w:b/>
          <w:sz w:val="24"/>
          <w:szCs w:val="24"/>
        </w:rPr>
        <w:t xml:space="preserve">Applicable sectors.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offer conservation programs that are available to all </w:t>
      </w:r>
      <w:r w:rsidR="00EC5657" w:rsidRPr="000F5FEE">
        <w:rPr>
          <w:rFonts w:ascii="Times New Roman" w:hAnsi="Times New Roman" w:cs="Times New Roman"/>
          <w:sz w:val="24"/>
          <w:szCs w:val="24"/>
        </w:rPr>
        <w:t xml:space="preserve">customer </w:t>
      </w:r>
      <w:r w:rsidRPr="000F5FEE">
        <w:rPr>
          <w:rFonts w:ascii="Times New Roman" w:hAnsi="Times New Roman" w:cs="Times New Roman"/>
          <w:sz w:val="24"/>
          <w:szCs w:val="24"/>
        </w:rPr>
        <w:t>sectors.</w:t>
      </w:r>
    </w:p>
    <w:p w14:paraId="1F319DCF" w14:textId="30A756F1" w:rsidR="00AF6A0F" w:rsidRPr="000F5FEE" w:rsidRDefault="00AF6A0F" w:rsidP="003A6B34">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0A22F3" w:rsidRPr="000F5FEE">
        <w:rPr>
          <w:rFonts w:ascii="Times New Roman" w:hAnsi="Times New Roman" w:cs="Times New Roman"/>
          <w:sz w:val="24"/>
          <w:szCs w:val="24"/>
        </w:rPr>
        <w:t>8</w:t>
      </w:r>
      <w:r w:rsidRPr="000F5FEE">
        <w:rPr>
          <w:rFonts w:ascii="Times New Roman" w:hAnsi="Times New Roman" w:cs="Times New Roman"/>
          <w:sz w:val="24"/>
          <w:szCs w:val="24"/>
        </w:rPr>
        <w:t xml:space="preserve">) </w:t>
      </w:r>
      <w:r w:rsidR="002A0C05" w:rsidRPr="000F5FEE">
        <w:rPr>
          <w:rFonts w:ascii="Times New Roman" w:hAnsi="Times New Roman" w:cs="Times New Roman"/>
          <w:b/>
          <w:sz w:val="24"/>
          <w:szCs w:val="24"/>
        </w:rPr>
        <w:t xml:space="preserve">Cost-effectiveness evaluation.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evaluate </w:t>
      </w:r>
      <w:r w:rsidR="00E85694" w:rsidRPr="000F5FEE">
        <w:rPr>
          <w:rFonts w:ascii="Times New Roman" w:hAnsi="Times New Roman" w:cs="Times New Roman"/>
          <w:sz w:val="24"/>
          <w:szCs w:val="24"/>
        </w:rPr>
        <w:t xml:space="preserve">all types of </w:t>
      </w:r>
      <w:r w:rsidRPr="000F5FEE">
        <w:rPr>
          <w:rFonts w:ascii="Times New Roman" w:hAnsi="Times New Roman" w:cs="Times New Roman"/>
          <w:sz w:val="24"/>
          <w:szCs w:val="24"/>
        </w:rPr>
        <w:t>conservation using cost-effectiveness tests consistent with those used by the council</w:t>
      </w:r>
      <w:r w:rsidR="00AB05D2" w:rsidRPr="000F5FEE">
        <w:rPr>
          <w:rFonts w:ascii="Times New Roman" w:hAnsi="Times New Roman" w:cs="Times New Roman"/>
          <w:sz w:val="24"/>
          <w:szCs w:val="24"/>
        </w:rPr>
        <w:t>, except low-income conservation</w:t>
      </w:r>
      <w:r w:rsidR="0040337F" w:rsidRPr="000F5FEE">
        <w:rPr>
          <w:rFonts w:ascii="Times New Roman" w:hAnsi="Times New Roman" w:cs="Times New Roman"/>
          <w:sz w:val="24"/>
          <w:szCs w:val="24"/>
        </w:rPr>
        <w:t xml:space="preserve"> programs</w:t>
      </w:r>
      <w:r w:rsidRPr="000F5FEE">
        <w:rPr>
          <w:rFonts w:ascii="Times New Roman" w:hAnsi="Times New Roman" w:cs="Times New Roman"/>
          <w:sz w:val="24"/>
          <w:szCs w:val="24"/>
        </w:rPr>
        <w:t>.</w:t>
      </w:r>
    </w:p>
    <w:p w14:paraId="1BAC6207" w14:textId="79423D7C" w:rsidR="00AF6A0F" w:rsidRPr="000F5FEE" w:rsidRDefault="00AF6A0F" w:rsidP="004F082C">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 xml:space="preserve">(a) Low-income conservation programs </w:t>
      </w:r>
      <w:r w:rsidR="00AB05D2" w:rsidRPr="000F5FEE">
        <w:rPr>
          <w:rFonts w:ascii="Times New Roman" w:hAnsi="Times New Roman" w:cs="Times New Roman"/>
          <w:sz w:val="24"/>
          <w:szCs w:val="24"/>
        </w:rPr>
        <w:t>should</w:t>
      </w:r>
      <w:r w:rsidRPr="000F5FEE">
        <w:rPr>
          <w:rFonts w:ascii="Times New Roman" w:hAnsi="Times New Roman" w:cs="Times New Roman"/>
          <w:sz w:val="24"/>
          <w:szCs w:val="24"/>
        </w:rPr>
        <w:t xml:space="preserve"> be evaluated</w:t>
      </w:r>
      <w:r w:rsidR="00AB05D2" w:rsidRPr="000F5FEE">
        <w:rPr>
          <w:rFonts w:ascii="Times New Roman" w:hAnsi="Times New Roman" w:cs="Times New Roman"/>
          <w:sz w:val="24"/>
          <w:szCs w:val="24"/>
        </w:rPr>
        <w:t xml:space="preserve"> for cost-effectiveness using the Savings-to-Investment Ratio, as described in the department’s </w:t>
      </w:r>
      <w:r w:rsidR="00E14C3F" w:rsidRPr="000F5FEE">
        <w:rPr>
          <w:rFonts w:ascii="Times New Roman" w:hAnsi="Times New Roman" w:cs="Times New Roman"/>
          <w:sz w:val="24"/>
          <w:szCs w:val="24"/>
        </w:rPr>
        <w:t>Weatherization Manual For Managing the Low-Income Weatherization Program</w:t>
      </w:r>
      <w:r w:rsidR="00AB05D2" w:rsidRPr="000F5FEE">
        <w:rPr>
          <w:rFonts w:ascii="Times New Roman" w:hAnsi="Times New Roman" w:cs="Times New Roman"/>
          <w:sz w:val="24"/>
          <w:szCs w:val="24"/>
        </w:rPr>
        <w:t>.</w:t>
      </w:r>
    </w:p>
    <w:p w14:paraId="06A5007C" w14:textId="0E5A4FC9" w:rsidR="00AF6A0F" w:rsidRPr="000F5FEE" w:rsidRDefault="00AB05D2" w:rsidP="004F082C">
      <w:pPr>
        <w:spacing w:after="0" w:line="240" w:lineRule="auto"/>
        <w:ind w:left="660"/>
        <w:rPr>
          <w:rFonts w:ascii="Times New Roman" w:hAnsi="Times New Roman" w:cs="Times New Roman"/>
          <w:sz w:val="24"/>
          <w:szCs w:val="24"/>
        </w:rPr>
      </w:pPr>
      <w:r w:rsidRPr="000F5FEE">
        <w:rPr>
          <w:rFonts w:ascii="Times New Roman" w:hAnsi="Times New Roman" w:cs="Times New Roman"/>
          <w:sz w:val="24"/>
          <w:szCs w:val="24"/>
        </w:rPr>
        <w:t>(</w:t>
      </w:r>
      <w:r w:rsidR="00E85694" w:rsidRPr="000F5FEE">
        <w:rPr>
          <w:rFonts w:ascii="Times New Roman" w:hAnsi="Times New Roman" w:cs="Times New Roman"/>
          <w:sz w:val="24"/>
          <w:szCs w:val="24"/>
        </w:rPr>
        <w:t>b</w:t>
      </w:r>
      <w:r w:rsidRPr="000F5FEE">
        <w:rPr>
          <w:rFonts w:ascii="Times New Roman" w:hAnsi="Times New Roman" w:cs="Times New Roman"/>
          <w:sz w:val="24"/>
          <w:szCs w:val="24"/>
        </w:rPr>
        <w:t xml:space="preserve">) </w:t>
      </w:r>
      <w:r w:rsidR="0040337F" w:rsidRPr="000F5FEE">
        <w:rPr>
          <w:rFonts w:ascii="Times New Roman" w:hAnsi="Times New Roman" w:cs="Times New Roman"/>
          <w:sz w:val="24"/>
          <w:szCs w:val="24"/>
        </w:rPr>
        <w:t xml:space="preserve">Low-income conservation programs </w:t>
      </w:r>
      <w:r w:rsidRPr="000F5FEE">
        <w:rPr>
          <w:rFonts w:ascii="Times New Roman" w:hAnsi="Times New Roman" w:cs="Times New Roman"/>
          <w:sz w:val="24"/>
          <w:szCs w:val="24"/>
        </w:rPr>
        <w:t>may be excluded from portfolio-level c</w:t>
      </w:r>
      <w:r w:rsidR="00EA37E7" w:rsidRPr="000F5FEE">
        <w:rPr>
          <w:rFonts w:ascii="Times New Roman" w:hAnsi="Times New Roman" w:cs="Times New Roman"/>
          <w:sz w:val="24"/>
          <w:szCs w:val="24"/>
        </w:rPr>
        <w:t>ost-effectiveness calculations.</w:t>
      </w:r>
    </w:p>
    <w:p w14:paraId="58460C1E" w14:textId="1B168580" w:rsidR="007E5911" w:rsidRPr="000F5FEE" w:rsidRDefault="007E5911" w:rsidP="003A6B34">
      <w:pPr>
        <w:spacing w:after="0" w:line="240" w:lineRule="auto"/>
        <w:rPr>
          <w:rFonts w:ascii="Times New Roman" w:hAnsi="Times New Roman" w:cs="Times New Roman"/>
          <w:sz w:val="24"/>
          <w:szCs w:val="24"/>
        </w:rPr>
      </w:pPr>
      <w:r w:rsidRPr="000F5FEE">
        <w:rPr>
          <w:rFonts w:ascii="Times New Roman" w:hAnsi="Times New Roman" w:cs="Times New Roman"/>
          <w:sz w:val="24"/>
          <w:szCs w:val="24"/>
        </w:rPr>
        <w:t xml:space="preserve">     (</w:t>
      </w:r>
      <w:r w:rsidR="000A22F3" w:rsidRPr="000F5FEE">
        <w:rPr>
          <w:rFonts w:ascii="Times New Roman" w:hAnsi="Times New Roman" w:cs="Times New Roman"/>
          <w:sz w:val="24"/>
          <w:szCs w:val="24"/>
        </w:rPr>
        <w:t>9</w:t>
      </w:r>
      <w:r w:rsidRPr="000F5FEE">
        <w:rPr>
          <w:rFonts w:ascii="Times New Roman" w:hAnsi="Times New Roman" w:cs="Times New Roman"/>
          <w:sz w:val="24"/>
          <w:szCs w:val="24"/>
        </w:rPr>
        <w:t xml:space="preserve">) </w:t>
      </w:r>
      <w:r w:rsidR="002A0C05" w:rsidRPr="000F5FEE">
        <w:rPr>
          <w:rFonts w:ascii="Times New Roman" w:hAnsi="Times New Roman" w:cs="Times New Roman"/>
          <w:b/>
          <w:sz w:val="24"/>
          <w:szCs w:val="24"/>
        </w:rPr>
        <w:t xml:space="preserve">Incentives. </w:t>
      </w:r>
      <w:r w:rsidR="00F41ED1">
        <w:rPr>
          <w:rFonts w:ascii="Times New Roman" w:hAnsi="Times New Roman" w:cs="Times New Roman"/>
          <w:sz w:val="24"/>
          <w:szCs w:val="24"/>
        </w:rPr>
        <w:t xml:space="preserve">A utility </w:t>
      </w:r>
      <w:r w:rsidRPr="000F5FEE">
        <w:rPr>
          <w:rFonts w:ascii="Times New Roman" w:hAnsi="Times New Roman" w:cs="Times New Roman"/>
          <w:sz w:val="24"/>
          <w:szCs w:val="24"/>
        </w:rPr>
        <w:t xml:space="preserve">may propose positive incentives to exceed </w:t>
      </w:r>
      <w:r w:rsidR="00F41ED1">
        <w:rPr>
          <w:rFonts w:ascii="Times New Roman" w:hAnsi="Times New Roman" w:cs="Times New Roman"/>
          <w:sz w:val="24"/>
          <w:szCs w:val="24"/>
        </w:rPr>
        <w:t xml:space="preserve">its </w:t>
      </w:r>
      <w:r w:rsidRPr="000F5FEE">
        <w:rPr>
          <w:rFonts w:ascii="Times New Roman" w:hAnsi="Times New Roman" w:cs="Times New Roman"/>
          <w:sz w:val="24"/>
          <w:szCs w:val="24"/>
        </w:rPr>
        <w:t>biennial conservation target</w:t>
      </w:r>
      <w:r w:rsidR="00F41ED1">
        <w:rPr>
          <w:rFonts w:ascii="Times New Roman" w:hAnsi="Times New Roman" w:cs="Times New Roman"/>
          <w:sz w:val="24"/>
          <w:szCs w:val="24"/>
        </w:rPr>
        <w:t xml:space="preserve"> as identified in RCW 19.285.060(4)</w:t>
      </w:r>
      <w:r w:rsidRPr="000F5FEE">
        <w:rPr>
          <w:rFonts w:ascii="Times New Roman" w:hAnsi="Times New Roman" w:cs="Times New Roman"/>
          <w:sz w:val="24"/>
          <w:szCs w:val="24"/>
        </w:rPr>
        <w:t>.</w:t>
      </w:r>
      <w:r w:rsidR="00F41ED1">
        <w:rPr>
          <w:rFonts w:ascii="Times New Roman" w:hAnsi="Times New Roman" w:cs="Times New Roman"/>
          <w:sz w:val="24"/>
          <w:szCs w:val="24"/>
        </w:rPr>
        <w:t xml:space="preserve"> Any proposed incentive must be included in the </w:t>
      </w:r>
      <w:r w:rsidR="00050F88">
        <w:rPr>
          <w:rFonts w:ascii="Times New Roman" w:hAnsi="Times New Roman" w:cs="Times New Roman"/>
          <w:sz w:val="24"/>
          <w:szCs w:val="24"/>
        </w:rPr>
        <w:t xml:space="preserve">utility’s </w:t>
      </w:r>
      <w:r w:rsidR="00F41ED1">
        <w:rPr>
          <w:rFonts w:ascii="Times New Roman" w:hAnsi="Times New Roman" w:cs="Times New Roman"/>
          <w:sz w:val="24"/>
          <w:szCs w:val="24"/>
        </w:rPr>
        <w:t>biennial conservation plan.</w:t>
      </w:r>
    </w:p>
    <w:p w14:paraId="201BFEA3" w14:textId="77777777" w:rsidR="00522323" w:rsidRPr="000F5FEE" w:rsidRDefault="00522323" w:rsidP="00AC50C4">
      <w:pPr>
        <w:pStyle w:val="PlainText"/>
        <w:rPr>
          <w:rFonts w:ascii="Times New Roman" w:hAnsi="Times New Roman" w:cs="Times New Roman"/>
          <w:sz w:val="18"/>
          <w:szCs w:val="18"/>
        </w:rPr>
      </w:pPr>
    </w:p>
    <w:p w14:paraId="171292A8" w14:textId="77777777" w:rsidR="00AC50C4" w:rsidRPr="000F5FEE" w:rsidRDefault="00AC50C4" w:rsidP="00AC50C4">
      <w:pPr>
        <w:pStyle w:val="PlainText"/>
        <w:rPr>
          <w:rFonts w:ascii="Times New Roman" w:hAnsi="Times New Roman" w:cs="Times New Roman"/>
          <w:sz w:val="18"/>
          <w:szCs w:val="18"/>
        </w:rPr>
      </w:pPr>
      <w:r w:rsidRPr="000F5FEE">
        <w:rPr>
          <w:rFonts w:ascii="Times New Roman" w:hAnsi="Times New Roman" w:cs="Times New Roman"/>
          <w:sz w:val="18"/>
          <w:szCs w:val="18"/>
        </w:rPr>
        <w:t>[Statutory Authority: RCW 80.01.040, 80.04.160, and chapter 19.285 RCW.   07-24-012 (Docket UE-061895, General Order R-546), § 480-109-010, filed 11/27/07, effective 12/28/07.]</w:t>
      </w:r>
    </w:p>
    <w:p w14:paraId="1E16E28E" w14:textId="77777777" w:rsidR="007351D7" w:rsidRPr="000F5FEE" w:rsidRDefault="007351D7" w:rsidP="003A6B34">
      <w:pPr>
        <w:spacing w:after="0" w:line="240" w:lineRule="auto"/>
        <w:rPr>
          <w:rFonts w:ascii="Times New Roman" w:hAnsi="Times New Roman" w:cs="Times New Roman"/>
          <w:b/>
          <w:sz w:val="24"/>
          <w:szCs w:val="24"/>
        </w:rPr>
      </w:pPr>
    </w:p>
    <w:p w14:paraId="5CB0A84D" w14:textId="77777777" w:rsidR="00522323" w:rsidRPr="000F5FEE" w:rsidRDefault="00522323">
      <w:pPr>
        <w:rPr>
          <w:rFonts w:ascii="Times New Roman" w:hAnsi="Times New Roman" w:cs="Times New Roman"/>
          <w:b/>
          <w:sz w:val="24"/>
          <w:szCs w:val="24"/>
        </w:rPr>
      </w:pPr>
      <w:r w:rsidRPr="000F5FEE">
        <w:rPr>
          <w:rFonts w:ascii="Times New Roman" w:hAnsi="Times New Roman" w:cs="Times New Roman"/>
          <w:b/>
          <w:sz w:val="24"/>
          <w:szCs w:val="24"/>
        </w:rPr>
        <w:br w:type="page"/>
      </w:r>
    </w:p>
    <w:p w14:paraId="4A97BE7E" w14:textId="77777777" w:rsidR="00874156" w:rsidRDefault="00874156" w:rsidP="00874156">
      <w:pPr>
        <w:jc w:val="center"/>
        <w:rPr>
          <w:rFonts w:ascii="Times New Roman" w:hAnsi="Times New Roman" w:cs="Times New Roman"/>
          <w:b/>
          <w:sz w:val="24"/>
          <w:szCs w:val="24"/>
        </w:rPr>
      </w:pPr>
    </w:p>
    <w:p w14:paraId="3A73D505" w14:textId="77777777" w:rsidR="00874156" w:rsidRDefault="00874156" w:rsidP="00874156">
      <w:pPr>
        <w:jc w:val="center"/>
        <w:rPr>
          <w:rFonts w:ascii="Times New Roman" w:hAnsi="Times New Roman" w:cs="Times New Roman"/>
          <w:b/>
          <w:sz w:val="24"/>
          <w:szCs w:val="24"/>
        </w:rPr>
      </w:pPr>
    </w:p>
    <w:p w14:paraId="08BFF437" w14:textId="77777777" w:rsidR="00874156" w:rsidRDefault="00874156" w:rsidP="00874156">
      <w:pPr>
        <w:jc w:val="center"/>
        <w:rPr>
          <w:rFonts w:ascii="Times New Roman" w:hAnsi="Times New Roman" w:cs="Times New Roman"/>
          <w:b/>
          <w:sz w:val="24"/>
          <w:szCs w:val="24"/>
        </w:rPr>
      </w:pPr>
    </w:p>
    <w:p w14:paraId="47089BD3" w14:textId="77777777" w:rsidR="00874156" w:rsidRDefault="00874156" w:rsidP="00874156">
      <w:pPr>
        <w:jc w:val="center"/>
        <w:rPr>
          <w:rFonts w:ascii="Times New Roman" w:hAnsi="Times New Roman" w:cs="Times New Roman"/>
          <w:b/>
          <w:sz w:val="24"/>
          <w:szCs w:val="24"/>
        </w:rPr>
      </w:pPr>
    </w:p>
    <w:p w14:paraId="304ED02F" w14:textId="77777777" w:rsidR="00874156" w:rsidRDefault="00874156" w:rsidP="00874156">
      <w:pPr>
        <w:jc w:val="center"/>
        <w:rPr>
          <w:rFonts w:ascii="Times New Roman" w:hAnsi="Times New Roman" w:cs="Times New Roman"/>
          <w:b/>
          <w:sz w:val="24"/>
          <w:szCs w:val="24"/>
        </w:rPr>
      </w:pPr>
    </w:p>
    <w:p w14:paraId="5A956F71" w14:textId="77777777" w:rsidR="00874156" w:rsidRDefault="00874156" w:rsidP="00874156">
      <w:pPr>
        <w:jc w:val="center"/>
        <w:rPr>
          <w:rFonts w:ascii="Times New Roman" w:hAnsi="Times New Roman" w:cs="Times New Roman"/>
          <w:b/>
          <w:sz w:val="24"/>
          <w:szCs w:val="24"/>
        </w:rPr>
      </w:pPr>
    </w:p>
    <w:p w14:paraId="31E1301F" w14:textId="77777777" w:rsidR="00874156" w:rsidRDefault="00874156" w:rsidP="00874156">
      <w:pPr>
        <w:jc w:val="center"/>
        <w:rPr>
          <w:rFonts w:ascii="Times New Roman" w:hAnsi="Times New Roman" w:cs="Times New Roman"/>
          <w:b/>
          <w:sz w:val="24"/>
          <w:szCs w:val="24"/>
        </w:rPr>
      </w:pPr>
    </w:p>
    <w:p w14:paraId="26FFE895" w14:textId="77777777" w:rsidR="00874156" w:rsidRDefault="00874156" w:rsidP="00874156">
      <w:pPr>
        <w:jc w:val="center"/>
        <w:rPr>
          <w:rFonts w:ascii="Times New Roman" w:hAnsi="Times New Roman" w:cs="Times New Roman"/>
          <w:b/>
          <w:sz w:val="24"/>
          <w:szCs w:val="24"/>
        </w:rPr>
      </w:pPr>
    </w:p>
    <w:p w14:paraId="36898144" w14:textId="068ECAF8" w:rsidR="00874156" w:rsidRPr="00874156" w:rsidRDefault="00874156" w:rsidP="00874156">
      <w:pPr>
        <w:jc w:val="center"/>
        <w:rPr>
          <w:rFonts w:ascii="Times New Roman" w:hAnsi="Times New Roman" w:cs="Times New Roman"/>
          <w:sz w:val="24"/>
          <w:szCs w:val="24"/>
        </w:rPr>
      </w:pPr>
      <w:r>
        <w:rPr>
          <w:rFonts w:ascii="Times New Roman" w:hAnsi="Times New Roman" w:cs="Times New Roman"/>
          <w:sz w:val="24"/>
          <w:szCs w:val="24"/>
        </w:rPr>
        <w:t>This page intentionally left blank.</w:t>
      </w:r>
      <w:r>
        <w:rPr>
          <w:rFonts w:ascii="Times New Roman" w:hAnsi="Times New Roman" w:cs="Times New Roman"/>
          <w:b/>
          <w:sz w:val="24"/>
          <w:szCs w:val="24"/>
        </w:rPr>
        <w:br w:type="page"/>
      </w:r>
    </w:p>
    <w:p w14:paraId="3A9D1028" w14:textId="77777777" w:rsidR="003A6B34" w:rsidRPr="000F5FEE" w:rsidRDefault="003A6B34" w:rsidP="003A6B34">
      <w:pPr>
        <w:spacing w:after="0" w:line="240" w:lineRule="auto"/>
        <w:rPr>
          <w:rFonts w:ascii="Times New Roman" w:hAnsi="Times New Roman" w:cs="Times New Roman"/>
          <w:b/>
          <w:sz w:val="24"/>
          <w:szCs w:val="24"/>
        </w:rPr>
      </w:pPr>
      <w:r w:rsidRPr="000F5FEE">
        <w:rPr>
          <w:rFonts w:ascii="Times New Roman" w:hAnsi="Times New Roman" w:cs="Times New Roman"/>
          <w:b/>
          <w:sz w:val="24"/>
          <w:szCs w:val="24"/>
        </w:rPr>
        <w:t>480-109-</w:t>
      </w:r>
      <w:r w:rsidR="003D30C2" w:rsidRPr="000F5FEE">
        <w:rPr>
          <w:rFonts w:ascii="Times New Roman" w:hAnsi="Times New Roman" w:cs="Times New Roman"/>
          <w:b/>
          <w:sz w:val="24"/>
          <w:szCs w:val="24"/>
        </w:rPr>
        <w:t>AAA</w:t>
      </w:r>
      <w:r w:rsidR="00E357EF">
        <w:rPr>
          <w:rFonts w:ascii="Times New Roman" w:hAnsi="Times New Roman" w:cs="Times New Roman"/>
          <w:b/>
          <w:sz w:val="24"/>
          <w:szCs w:val="24"/>
        </w:rPr>
        <w:tab/>
      </w:r>
      <w:r w:rsidR="00E357EF">
        <w:rPr>
          <w:rFonts w:ascii="Times New Roman" w:hAnsi="Times New Roman" w:cs="Times New Roman"/>
          <w:b/>
          <w:sz w:val="24"/>
          <w:szCs w:val="24"/>
        </w:rPr>
        <w:tab/>
      </w:r>
      <w:r w:rsidR="00BA6118" w:rsidRPr="000F5FEE">
        <w:rPr>
          <w:rFonts w:ascii="Times New Roman" w:hAnsi="Times New Roman" w:cs="Times New Roman"/>
          <w:b/>
          <w:sz w:val="24"/>
          <w:szCs w:val="24"/>
        </w:rPr>
        <w:t>Conservation advisory group.</w:t>
      </w:r>
    </w:p>
    <w:p w14:paraId="270E1738" w14:textId="40752C2C" w:rsidR="003A6B34" w:rsidRPr="000F5FEE" w:rsidRDefault="00E45EB2" w:rsidP="00E45EB2">
      <w:pPr>
        <w:spacing w:after="0" w:line="240" w:lineRule="auto"/>
        <w:rPr>
          <w:rFonts w:ascii="Times New Roman" w:hAnsi="Times New Roman" w:cs="Times New Roman"/>
          <w:b/>
          <w:sz w:val="24"/>
          <w:szCs w:val="24"/>
        </w:rPr>
      </w:pPr>
      <w:r w:rsidRPr="000F5FEE">
        <w:rPr>
          <w:rFonts w:ascii="Times New Roman" w:hAnsi="Times New Roman" w:cs="Times New Roman"/>
          <w:sz w:val="24"/>
          <w:szCs w:val="24"/>
        </w:rPr>
        <w:t xml:space="preserve"> </w:t>
      </w:r>
      <w:r w:rsidR="003A6B34" w:rsidRPr="000F5FEE">
        <w:rPr>
          <w:rFonts w:ascii="Times New Roman" w:hAnsi="Times New Roman" w:cs="Times New Roman"/>
          <w:sz w:val="24"/>
          <w:szCs w:val="24"/>
        </w:rPr>
        <w:t>(1)</w:t>
      </w:r>
      <w:r w:rsidRPr="000F5FEE">
        <w:rPr>
          <w:rFonts w:ascii="Times New Roman" w:hAnsi="Times New Roman" w:cs="Times New Roman"/>
          <w:b/>
          <w:sz w:val="24"/>
          <w:szCs w:val="24"/>
        </w:rPr>
        <w:t xml:space="preserve"> Scope of issues.  </w:t>
      </w:r>
      <w:r w:rsidR="00030B31" w:rsidRPr="000F5FEE">
        <w:rPr>
          <w:rFonts w:ascii="Times New Roman" w:hAnsi="Times New Roman" w:cs="Times New Roman"/>
          <w:sz w:val="24"/>
          <w:szCs w:val="24"/>
        </w:rPr>
        <w:t>A</w:t>
      </w:r>
      <w:r w:rsidR="003A6B34" w:rsidRPr="000F5FEE">
        <w:rPr>
          <w:rFonts w:ascii="Times New Roman" w:hAnsi="Times New Roman" w:cs="Times New Roman"/>
          <w:sz w:val="24"/>
          <w:szCs w:val="24"/>
        </w:rPr>
        <w:t xml:space="preserve"> utility must maintain and use an external conservation advisory group of stakeholders to advise the utility on conservation issues, including, but not limited to:</w:t>
      </w:r>
    </w:p>
    <w:p w14:paraId="629D9356" w14:textId="7EF742FC"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 xml:space="preserve">(a) Updates to the </w:t>
      </w:r>
      <w:r w:rsidR="001C321D" w:rsidRPr="000F5FEE">
        <w:rPr>
          <w:rFonts w:ascii="Times New Roman" w:hAnsi="Times New Roman" w:cs="Times New Roman"/>
          <w:sz w:val="24"/>
          <w:szCs w:val="24"/>
        </w:rPr>
        <w:t xml:space="preserve">utility’s </w:t>
      </w:r>
      <w:r w:rsidRPr="000F5FEE">
        <w:rPr>
          <w:rFonts w:ascii="Times New Roman" w:hAnsi="Times New Roman" w:cs="Times New Roman"/>
          <w:sz w:val="24"/>
          <w:szCs w:val="24"/>
        </w:rPr>
        <w:t>evaluation, measu</w:t>
      </w:r>
      <w:r w:rsidR="00F77D11" w:rsidRPr="000F5FEE">
        <w:rPr>
          <w:rFonts w:ascii="Times New Roman" w:hAnsi="Times New Roman" w:cs="Times New Roman"/>
          <w:sz w:val="24"/>
          <w:szCs w:val="24"/>
        </w:rPr>
        <w:t xml:space="preserve">rement, and verification </w:t>
      </w:r>
      <w:r w:rsidRPr="000F5FEE">
        <w:rPr>
          <w:rFonts w:ascii="Times New Roman" w:hAnsi="Times New Roman" w:cs="Times New Roman"/>
          <w:sz w:val="24"/>
          <w:szCs w:val="24"/>
        </w:rPr>
        <w:t>framework.</w:t>
      </w:r>
    </w:p>
    <w:p w14:paraId="522A3BD5" w14:textId="105287E7"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 xml:space="preserve">(b) Modification of existing, or development of new </w:t>
      </w:r>
      <w:r w:rsidR="00F77D11" w:rsidRPr="000F5FEE">
        <w:rPr>
          <w:rFonts w:ascii="Times New Roman" w:hAnsi="Times New Roman" w:cs="Times New Roman"/>
          <w:sz w:val="24"/>
          <w:szCs w:val="24"/>
        </w:rPr>
        <w:t>evaluation, measurement, and verification methods</w:t>
      </w:r>
      <w:r w:rsidR="001C321D" w:rsidRPr="000F5FEE">
        <w:rPr>
          <w:rFonts w:ascii="Times New Roman" w:hAnsi="Times New Roman" w:cs="Times New Roman"/>
          <w:sz w:val="24"/>
          <w:szCs w:val="24"/>
        </w:rPr>
        <w:t>.</w:t>
      </w:r>
    </w:p>
    <w:p w14:paraId="3D4E18F6" w14:textId="5DC5C0DB" w:rsidR="001D0298" w:rsidRPr="000F5FEE" w:rsidRDefault="001D0298"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 xml:space="preserve">(c) </w:t>
      </w:r>
      <w:r w:rsidR="003C1863" w:rsidRPr="000F5FEE">
        <w:rPr>
          <w:rFonts w:ascii="Times New Roman" w:hAnsi="Times New Roman" w:cs="Times New Roman"/>
          <w:sz w:val="24"/>
          <w:szCs w:val="24"/>
        </w:rPr>
        <w:t>I</w:t>
      </w:r>
      <w:r w:rsidRPr="000F5FEE">
        <w:rPr>
          <w:rFonts w:ascii="Times New Roman" w:hAnsi="Times New Roman" w:cs="Times New Roman"/>
          <w:sz w:val="24"/>
          <w:szCs w:val="24"/>
        </w:rPr>
        <w:t>ndependent third-party evaluation of portfolio</w:t>
      </w:r>
      <w:r w:rsidR="006F06FC" w:rsidRPr="000F5FEE">
        <w:rPr>
          <w:rFonts w:ascii="Times New Roman" w:hAnsi="Times New Roman" w:cs="Times New Roman"/>
          <w:sz w:val="24"/>
          <w:szCs w:val="24"/>
        </w:rPr>
        <w:t>-</w:t>
      </w:r>
      <w:r w:rsidRPr="000F5FEE">
        <w:rPr>
          <w:rFonts w:ascii="Times New Roman" w:hAnsi="Times New Roman" w:cs="Times New Roman"/>
          <w:sz w:val="24"/>
          <w:szCs w:val="24"/>
        </w:rPr>
        <w:t xml:space="preserve">level </w:t>
      </w:r>
      <w:r w:rsidR="00030B31" w:rsidRPr="000F5FEE">
        <w:rPr>
          <w:rFonts w:ascii="Times New Roman" w:hAnsi="Times New Roman" w:cs="Times New Roman"/>
          <w:sz w:val="24"/>
          <w:szCs w:val="24"/>
        </w:rPr>
        <w:t xml:space="preserve">biennial </w:t>
      </w:r>
      <w:r w:rsidRPr="000F5FEE">
        <w:rPr>
          <w:rFonts w:ascii="Times New Roman" w:hAnsi="Times New Roman" w:cs="Times New Roman"/>
          <w:sz w:val="24"/>
          <w:szCs w:val="24"/>
        </w:rPr>
        <w:t>conservation achievement.</w:t>
      </w:r>
    </w:p>
    <w:p w14:paraId="3946424E" w14:textId="4EC69ED4"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d</w:t>
      </w:r>
      <w:r w:rsidRPr="000F5FEE">
        <w:rPr>
          <w:rFonts w:ascii="Times New Roman" w:hAnsi="Times New Roman" w:cs="Times New Roman"/>
          <w:sz w:val="24"/>
          <w:szCs w:val="24"/>
        </w:rPr>
        <w:t>) Development of conservation potential assessments, as required by RCW 19.285.040(1)(a) and WAC 480-109-010(1).</w:t>
      </w:r>
    </w:p>
    <w:p w14:paraId="576A81B4" w14:textId="63C40DB9"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e</w:t>
      </w:r>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 xml:space="preserve">The </w:t>
      </w:r>
      <w:r w:rsidRPr="000F5FEE">
        <w:rPr>
          <w:rFonts w:ascii="Times New Roman" w:hAnsi="Times New Roman" w:cs="Times New Roman"/>
          <w:sz w:val="24"/>
          <w:szCs w:val="24"/>
        </w:rPr>
        <w:t>methodology, inputs and calculations for cost-effectiveness.</w:t>
      </w:r>
    </w:p>
    <w:p w14:paraId="2BFEA84A" w14:textId="734F68F7" w:rsidR="003A6B34" w:rsidRPr="000F5FEE" w:rsidRDefault="003A6B34" w:rsidP="003A6B34">
      <w:pPr>
        <w:spacing w:after="0" w:line="240" w:lineRule="auto"/>
        <w:ind w:firstLine="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f</w:t>
      </w:r>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 xml:space="preserve">The </w:t>
      </w:r>
      <w:r w:rsidRPr="000F5FEE">
        <w:rPr>
          <w:rFonts w:ascii="Times New Roman" w:hAnsi="Times New Roman" w:cs="Times New Roman"/>
          <w:sz w:val="24"/>
          <w:szCs w:val="24"/>
        </w:rPr>
        <w:t>data sources and values used to</w:t>
      </w:r>
      <w:r w:rsidR="003C1863" w:rsidRPr="000F5FEE">
        <w:rPr>
          <w:rFonts w:ascii="Times New Roman" w:hAnsi="Times New Roman" w:cs="Times New Roman"/>
          <w:sz w:val="24"/>
          <w:szCs w:val="24"/>
        </w:rPr>
        <w:t xml:space="preserve"> develop and</w:t>
      </w:r>
      <w:r w:rsidRPr="000F5FEE">
        <w:rPr>
          <w:rFonts w:ascii="Times New Roman" w:hAnsi="Times New Roman" w:cs="Times New Roman"/>
          <w:sz w:val="24"/>
          <w:szCs w:val="24"/>
        </w:rPr>
        <w:t xml:space="preserve"> update supply curves.</w:t>
      </w:r>
    </w:p>
    <w:p w14:paraId="638AE6D0" w14:textId="487AC81C" w:rsidR="003A6B34" w:rsidRPr="000F5FEE" w:rsidRDefault="003A6B34" w:rsidP="003A6B34">
      <w:pPr>
        <w:spacing w:after="0" w:line="240" w:lineRule="auto"/>
        <w:ind w:firstLine="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g</w:t>
      </w:r>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The n</w:t>
      </w:r>
      <w:r w:rsidRPr="000F5FEE">
        <w:rPr>
          <w:rFonts w:ascii="Times New Roman" w:hAnsi="Times New Roman" w:cs="Times New Roman"/>
          <w:sz w:val="24"/>
          <w:szCs w:val="24"/>
        </w:rPr>
        <w:t>eed for tariff modifications or mid-biennium program corrections.</w:t>
      </w:r>
    </w:p>
    <w:p w14:paraId="62C5A1C9" w14:textId="295BC818" w:rsidR="003A6B34" w:rsidRPr="000F5FEE" w:rsidRDefault="003A6B34" w:rsidP="003A6B34">
      <w:pPr>
        <w:spacing w:after="0" w:line="240" w:lineRule="auto"/>
        <w:ind w:firstLine="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h</w:t>
      </w:r>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The a</w:t>
      </w:r>
      <w:r w:rsidRPr="000F5FEE">
        <w:rPr>
          <w:rFonts w:ascii="Times New Roman" w:hAnsi="Times New Roman" w:cs="Times New Roman"/>
          <w:sz w:val="24"/>
          <w:szCs w:val="24"/>
        </w:rPr>
        <w:t>ppropriate level of and planning for:</w:t>
      </w:r>
    </w:p>
    <w:p w14:paraId="52DC8F42" w14:textId="6CFF15DF" w:rsidR="003A6B34" w:rsidRPr="000F5FEE" w:rsidRDefault="001D2A7F" w:rsidP="003A6B34">
      <w:pPr>
        <w:spacing w:after="0" w:line="240" w:lineRule="auto"/>
        <w:ind w:left="360" w:firstLine="720"/>
        <w:rPr>
          <w:rFonts w:ascii="Times New Roman" w:hAnsi="Times New Roman" w:cs="Times New Roman"/>
          <w:sz w:val="24"/>
          <w:szCs w:val="24"/>
        </w:rPr>
      </w:pPr>
      <w:r w:rsidRPr="000F5FEE">
        <w:rPr>
          <w:rFonts w:ascii="Times New Roman" w:hAnsi="Times New Roman" w:cs="Times New Roman"/>
          <w:sz w:val="24"/>
          <w:szCs w:val="24"/>
        </w:rPr>
        <w:t>(</w:t>
      </w:r>
      <w:proofErr w:type="spellStart"/>
      <w:r w:rsidRPr="000F5FEE">
        <w:rPr>
          <w:rFonts w:ascii="Times New Roman" w:hAnsi="Times New Roman" w:cs="Times New Roman"/>
          <w:sz w:val="24"/>
          <w:szCs w:val="24"/>
        </w:rPr>
        <w:t>i</w:t>
      </w:r>
      <w:proofErr w:type="spellEnd"/>
      <w:r w:rsidRPr="000F5FEE">
        <w:rPr>
          <w:rFonts w:ascii="Times New Roman" w:hAnsi="Times New Roman" w:cs="Times New Roman"/>
          <w:sz w:val="24"/>
          <w:szCs w:val="24"/>
        </w:rPr>
        <w:t>) m</w:t>
      </w:r>
      <w:r w:rsidR="003A6B34" w:rsidRPr="000F5FEE">
        <w:rPr>
          <w:rFonts w:ascii="Times New Roman" w:hAnsi="Times New Roman" w:cs="Times New Roman"/>
          <w:sz w:val="24"/>
          <w:szCs w:val="24"/>
        </w:rPr>
        <w:t>arketing conservation programs</w:t>
      </w:r>
      <w:r w:rsidRPr="000F5FEE">
        <w:rPr>
          <w:rFonts w:ascii="Times New Roman" w:hAnsi="Times New Roman" w:cs="Times New Roman"/>
          <w:sz w:val="24"/>
          <w:szCs w:val="24"/>
        </w:rPr>
        <w:t>;</w:t>
      </w:r>
    </w:p>
    <w:p w14:paraId="7270BEC0" w14:textId="6FB955DE" w:rsidR="003A6B34" w:rsidRPr="000F5FEE" w:rsidRDefault="003A6B34" w:rsidP="003A6B34">
      <w:pPr>
        <w:spacing w:after="0" w:line="240" w:lineRule="auto"/>
        <w:ind w:left="360" w:firstLine="720"/>
        <w:rPr>
          <w:rFonts w:ascii="Times New Roman" w:hAnsi="Times New Roman" w:cs="Times New Roman"/>
          <w:sz w:val="24"/>
          <w:szCs w:val="24"/>
        </w:rPr>
      </w:pPr>
      <w:r w:rsidRPr="000F5FEE">
        <w:rPr>
          <w:rFonts w:ascii="Times New Roman" w:hAnsi="Times New Roman" w:cs="Times New Roman"/>
          <w:sz w:val="24"/>
          <w:szCs w:val="24"/>
        </w:rPr>
        <w:t xml:space="preserve">(ii) </w:t>
      </w:r>
      <w:r w:rsidR="001D2A7F" w:rsidRPr="000F5FEE">
        <w:rPr>
          <w:rFonts w:ascii="Times New Roman" w:hAnsi="Times New Roman" w:cs="Times New Roman"/>
          <w:sz w:val="24"/>
          <w:szCs w:val="24"/>
        </w:rPr>
        <w:t>i</w:t>
      </w:r>
      <w:r w:rsidRPr="000F5FEE">
        <w:rPr>
          <w:rFonts w:ascii="Times New Roman" w:hAnsi="Times New Roman" w:cs="Times New Roman"/>
          <w:sz w:val="24"/>
          <w:szCs w:val="24"/>
        </w:rPr>
        <w:t>ncentives to customers for measures and services</w:t>
      </w:r>
      <w:r w:rsidR="001D2A7F" w:rsidRPr="000F5FEE">
        <w:rPr>
          <w:rFonts w:ascii="Times New Roman" w:hAnsi="Times New Roman" w:cs="Times New Roman"/>
          <w:sz w:val="24"/>
          <w:szCs w:val="24"/>
        </w:rPr>
        <w:t>; and</w:t>
      </w:r>
    </w:p>
    <w:p w14:paraId="5A52E5E9" w14:textId="6A9FA778" w:rsidR="00DF42AB" w:rsidRPr="000F5FEE" w:rsidRDefault="00DF42AB" w:rsidP="003A6B34">
      <w:pPr>
        <w:spacing w:after="0" w:line="240" w:lineRule="auto"/>
        <w:ind w:left="360" w:firstLine="720"/>
        <w:rPr>
          <w:rFonts w:ascii="Times New Roman" w:hAnsi="Times New Roman" w:cs="Times New Roman"/>
          <w:sz w:val="24"/>
          <w:szCs w:val="24"/>
        </w:rPr>
      </w:pPr>
      <w:r w:rsidRPr="000F5FEE">
        <w:rPr>
          <w:rFonts w:ascii="Times New Roman" w:hAnsi="Times New Roman" w:cs="Times New Roman"/>
          <w:sz w:val="24"/>
          <w:szCs w:val="24"/>
        </w:rPr>
        <w:t xml:space="preserve">(iii) </w:t>
      </w:r>
      <w:r w:rsidR="001D2A7F" w:rsidRPr="000F5FEE">
        <w:rPr>
          <w:rFonts w:ascii="Times New Roman" w:hAnsi="Times New Roman" w:cs="Times New Roman"/>
          <w:sz w:val="24"/>
          <w:szCs w:val="24"/>
        </w:rPr>
        <w:t>i</w:t>
      </w:r>
      <w:r w:rsidRPr="000F5FEE">
        <w:rPr>
          <w:rFonts w:ascii="Times New Roman" w:hAnsi="Times New Roman" w:cs="Times New Roman"/>
          <w:sz w:val="24"/>
          <w:szCs w:val="24"/>
        </w:rPr>
        <w:t xml:space="preserve">mpact, </w:t>
      </w:r>
      <w:r w:rsidR="001E10D4" w:rsidRPr="000F5FEE">
        <w:rPr>
          <w:rFonts w:ascii="Times New Roman" w:hAnsi="Times New Roman" w:cs="Times New Roman"/>
          <w:sz w:val="24"/>
          <w:szCs w:val="24"/>
        </w:rPr>
        <w:t>m</w:t>
      </w:r>
      <w:r w:rsidRPr="000F5FEE">
        <w:rPr>
          <w:rFonts w:ascii="Times New Roman" w:hAnsi="Times New Roman" w:cs="Times New Roman"/>
          <w:sz w:val="24"/>
          <w:szCs w:val="24"/>
        </w:rPr>
        <w:t xml:space="preserve">arket, and </w:t>
      </w:r>
      <w:r w:rsidR="001E10D4" w:rsidRPr="000F5FEE">
        <w:rPr>
          <w:rFonts w:ascii="Times New Roman" w:hAnsi="Times New Roman" w:cs="Times New Roman"/>
          <w:sz w:val="24"/>
          <w:szCs w:val="24"/>
        </w:rPr>
        <w:t>p</w:t>
      </w:r>
      <w:r w:rsidRPr="000F5FEE">
        <w:rPr>
          <w:rFonts w:ascii="Times New Roman" w:hAnsi="Times New Roman" w:cs="Times New Roman"/>
          <w:sz w:val="24"/>
          <w:szCs w:val="24"/>
        </w:rPr>
        <w:t>rocess evaluations.</w:t>
      </w:r>
    </w:p>
    <w:p w14:paraId="6A52BB8A" w14:textId="400EEFAA"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w:t>
      </w:r>
      <w:proofErr w:type="spellStart"/>
      <w:r w:rsidR="001D0298" w:rsidRPr="000F5FEE">
        <w:rPr>
          <w:rFonts w:ascii="Times New Roman" w:hAnsi="Times New Roman" w:cs="Times New Roman"/>
          <w:sz w:val="24"/>
          <w:szCs w:val="24"/>
        </w:rPr>
        <w:t>i</w:t>
      </w:r>
      <w:proofErr w:type="spellEnd"/>
      <w:r w:rsidRPr="000F5FEE">
        <w:rPr>
          <w:rFonts w:ascii="Times New Roman" w:hAnsi="Times New Roman" w:cs="Times New Roman"/>
          <w:sz w:val="24"/>
          <w:szCs w:val="24"/>
        </w:rPr>
        <w:t xml:space="preserve">) </w:t>
      </w:r>
      <w:r w:rsidR="00E45EB2" w:rsidRPr="000F5FEE">
        <w:rPr>
          <w:rFonts w:ascii="Times New Roman" w:hAnsi="Times New Roman" w:cs="Times New Roman"/>
          <w:sz w:val="24"/>
          <w:szCs w:val="24"/>
        </w:rPr>
        <w:t xml:space="preserve"> P</w:t>
      </w:r>
      <w:r w:rsidRPr="000F5FEE">
        <w:rPr>
          <w:rFonts w:ascii="Times New Roman" w:hAnsi="Times New Roman" w:cs="Times New Roman"/>
          <w:sz w:val="24"/>
          <w:szCs w:val="24"/>
        </w:rPr>
        <w:t xml:space="preserve">rograms for </w:t>
      </w:r>
      <w:r w:rsidR="00030B31" w:rsidRPr="000F5FEE">
        <w:rPr>
          <w:rFonts w:ascii="Times New Roman" w:hAnsi="Times New Roman" w:cs="Times New Roman"/>
          <w:sz w:val="24"/>
          <w:szCs w:val="24"/>
        </w:rPr>
        <w:t>low income customers</w:t>
      </w:r>
      <w:r w:rsidRPr="000F5FEE">
        <w:rPr>
          <w:rFonts w:ascii="Times New Roman" w:hAnsi="Times New Roman" w:cs="Times New Roman"/>
          <w:sz w:val="24"/>
          <w:szCs w:val="24"/>
        </w:rPr>
        <w:t>.</w:t>
      </w:r>
    </w:p>
    <w:p w14:paraId="02F19DA4" w14:textId="7EF5DE61" w:rsidR="003A6B34" w:rsidRPr="000F5FEE" w:rsidRDefault="001D0298"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(j</w:t>
      </w:r>
      <w:r w:rsidR="003A6B34" w:rsidRPr="000F5FEE">
        <w:rPr>
          <w:rFonts w:ascii="Times New Roman" w:hAnsi="Times New Roman" w:cs="Times New Roman"/>
          <w:sz w:val="24"/>
          <w:szCs w:val="24"/>
        </w:rPr>
        <w:t xml:space="preserve">) Establishment of the biennial conservation target and actual program achievement </w:t>
      </w:r>
      <w:r w:rsidR="003D30C2" w:rsidRPr="000F5FEE">
        <w:rPr>
          <w:rFonts w:ascii="Times New Roman" w:hAnsi="Times New Roman" w:cs="Times New Roman"/>
          <w:sz w:val="24"/>
          <w:szCs w:val="24"/>
        </w:rPr>
        <w:t>results compared to the target.</w:t>
      </w:r>
    </w:p>
    <w:p w14:paraId="0A393D66" w14:textId="1AB26652" w:rsidR="003A6B34" w:rsidRPr="000F5FEE" w:rsidRDefault="003A6B34" w:rsidP="003A6B34">
      <w:pPr>
        <w:spacing w:after="0" w:line="240" w:lineRule="auto"/>
        <w:ind w:left="720"/>
        <w:rPr>
          <w:rFonts w:ascii="Times New Roman" w:hAnsi="Times New Roman" w:cs="Times New Roman"/>
          <w:sz w:val="24"/>
          <w:szCs w:val="24"/>
        </w:rPr>
      </w:pPr>
      <w:r w:rsidRPr="000F5FEE">
        <w:rPr>
          <w:rFonts w:ascii="Times New Roman" w:hAnsi="Times New Roman" w:cs="Times New Roman"/>
          <w:sz w:val="24"/>
          <w:szCs w:val="24"/>
        </w:rPr>
        <w:t>(</w:t>
      </w:r>
      <w:r w:rsidR="001D0298" w:rsidRPr="000F5FEE">
        <w:rPr>
          <w:rFonts w:ascii="Times New Roman" w:hAnsi="Times New Roman" w:cs="Times New Roman"/>
          <w:sz w:val="24"/>
          <w:szCs w:val="24"/>
        </w:rPr>
        <w:t>k</w:t>
      </w:r>
      <w:r w:rsidRPr="000F5FEE">
        <w:rPr>
          <w:rFonts w:ascii="Times New Roman" w:hAnsi="Times New Roman" w:cs="Times New Roman"/>
          <w:sz w:val="24"/>
          <w:szCs w:val="24"/>
        </w:rPr>
        <w:t>) Conservation program budgets and actual expenditures compared to budgets.</w:t>
      </w:r>
    </w:p>
    <w:p w14:paraId="6AE3D615" w14:textId="34BE95CB" w:rsidR="003A6B34" w:rsidRPr="000F5FEE" w:rsidRDefault="00FD3890" w:rsidP="003A6B34">
      <w:pPr>
        <w:spacing w:after="0" w:line="240" w:lineRule="auto"/>
        <w:ind w:firstLine="360"/>
        <w:rPr>
          <w:rFonts w:ascii="Times New Roman" w:hAnsi="Times New Roman" w:cs="Times New Roman"/>
          <w:sz w:val="24"/>
          <w:szCs w:val="24"/>
        </w:rPr>
      </w:pPr>
      <w:r w:rsidRPr="000F5FEE" w:rsidDel="00FD3890">
        <w:rPr>
          <w:rFonts w:ascii="Times New Roman" w:hAnsi="Times New Roman" w:cs="Times New Roman"/>
          <w:b/>
          <w:sz w:val="24"/>
          <w:szCs w:val="24"/>
        </w:rPr>
        <w:t xml:space="preserve"> </w:t>
      </w:r>
      <w:r w:rsidR="003A6B34" w:rsidRPr="000F5FEE">
        <w:rPr>
          <w:rFonts w:ascii="Times New Roman" w:hAnsi="Times New Roman" w:cs="Times New Roman"/>
          <w:sz w:val="24"/>
          <w:szCs w:val="24"/>
        </w:rPr>
        <w:t xml:space="preserve">(2) </w:t>
      </w:r>
      <w:r w:rsidR="00030B31" w:rsidRPr="000F5FEE">
        <w:rPr>
          <w:rFonts w:ascii="Times New Roman" w:hAnsi="Times New Roman" w:cs="Times New Roman"/>
          <w:b/>
          <w:sz w:val="24"/>
          <w:szCs w:val="24"/>
        </w:rPr>
        <w:t>Advisory Group</w:t>
      </w:r>
      <w:r w:rsidR="00030B31" w:rsidRPr="000F5FEE">
        <w:rPr>
          <w:rFonts w:ascii="Times New Roman" w:hAnsi="Times New Roman" w:cs="Times New Roman"/>
          <w:sz w:val="24"/>
          <w:szCs w:val="24"/>
        </w:rPr>
        <w:t xml:space="preserve"> </w:t>
      </w:r>
      <w:r w:rsidR="00E45EB2" w:rsidRPr="000F5FEE">
        <w:rPr>
          <w:rFonts w:ascii="Times New Roman" w:hAnsi="Times New Roman" w:cs="Times New Roman"/>
          <w:b/>
          <w:sz w:val="24"/>
          <w:szCs w:val="24"/>
        </w:rPr>
        <w:t xml:space="preserve">Meetings. </w:t>
      </w:r>
      <w:r w:rsidR="00D541D8" w:rsidRPr="000F5FEE">
        <w:rPr>
          <w:rFonts w:ascii="Times New Roman" w:hAnsi="Times New Roman" w:cs="Times New Roman"/>
          <w:sz w:val="24"/>
          <w:szCs w:val="24"/>
        </w:rPr>
        <w:t>A</w:t>
      </w:r>
      <w:r w:rsidR="003A6B34" w:rsidRPr="000F5FEE">
        <w:rPr>
          <w:rFonts w:ascii="Times New Roman" w:hAnsi="Times New Roman" w:cs="Times New Roman"/>
          <w:sz w:val="24"/>
          <w:szCs w:val="24"/>
        </w:rPr>
        <w:t xml:space="preserve"> utility must meet with its conservation advisory group </w:t>
      </w:r>
      <w:r w:rsidR="00E45EB2" w:rsidRPr="000F5FEE">
        <w:rPr>
          <w:rFonts w:ascii="Times New Roman" w:hAnsi="Times New Roman" w:cs="Times New Roman"/>
          <w:sz w:val="24"/>
          <w:szCs w:val="24"/>
        </w:rPr>
        <w:t xml:space="preserve">at least </w:t>
      </w:r>
      <w:r w:rsidR="003A6B34" w:rsidRPr="000F5FEE">
        <w:rPr>
          <w:rFonts w:ascii="Times New Roman" w:hAnsi="Times New Roman" w:cs="Times New Roman"/>
          <w:sz w:val="24"/>
          <w:szCs w:val="24"/>
        </w:rPr>
        <w:t xml:space="preserve">four times per year. </w:t>
      </w:r>
      <w:r w:rsidRPr="000F5FEE">
        <w:rPr>
          <w:rFonts w:ascii="Times New Roman" w:hAnsi="Times New Roman" w:cs="Times New Roman"/>
          <w:sz w:val="24"/>
          <w:szCs w:val="24"/>
        </w:rPr>
        <w:t>Conservation a</w:t>
      </w:r>
      <w:r w:rsidR="003A6B34" w:rsidRPr="000F5FEE">
        <w:rPr>
          <w:rFonts w:ascii="Times New Roman" w:hAnsi="Times New Roman" w:cs="Times New Roman"/>
          <w:sz w:val="24"/>
          <w:szCs w:val="24"/>
        </w:rPr>
        <w:t xml:space="preserve">dvisory </w:t>
      </w:r>
      <w:r w:rsidR="00B25CC5" w:rsidRPr="000F5FEE">
        <w:rPr>
          <w:rFonts w:ascii="Times New Roman" w:hAnsi="Times New Roman" w:cs="Times New Roman"/>
          <w:sz w:val="24"/>
          <w:szCs w:val="24"/>
        </w:rPr>
        <w:t>g</w:t>
      </w:r>
      <w:r w:rsidR="003A6B34" w:rsidRPr="000F5FEE">
        <w:rPr>
          <w:rFonts w:ascii="Times New Roman" w:hAnsi="Times New Roman" w:cs="Times New Roman"/>
          <w:sz w:val="24"/>
          <w:szCs w:val="24"/>
        </w:rPr>
        <w:t>roup members may request additional meetings.</w:t>
      </w:r>
    </w:p>
    <w:p w14:paraId="4198D5AC" w14:textId="2630E36F" w:rsidR="003A6B34" w:rsidRPr="000F5FEE" w:rsidRDefault="003A6B34" w:rsidP="003A6B34">
      <w:pPr>
        <w:spacing w:after="0" w:line="240" w:lineRule="auto"/>
        <w:ind w:firstLine="360"/>
        <w:rPr>
          <w:rFonts w:ascii="Times New Roman" w:hAnsi="Times New Roman" w:cs="Times New Roman"/>
          <w:sz w:val="24"/>
          <w:szCs w:val="24"/>
        </w:rPr>
      </w:pPr>
      <w:r w:rsidRPr="000F5FEE">
        <w:rPr>
          <w:rFonts w:ascii="Times New Roman" w:hAnsi="Times New Roman" w:cs="Times New Roman"/>
          <w:sz w:val="24"/>
          <w:szCs w:val="24"/>
        </w:rPr>
        <w:t xml:space="preserve">(3) </w:t>
      </w:r>
      <w:r w:rsidR="00FD3890" w:rsidRPr="000F5FEE">
        <w:rPr>
          <w:rFonts w:ascii="Times New Roman" w:hAnsi="Times New Roman" w:cs="Times New Roman"/>
          <w:b/>
          <w:sz w:val="24"/>
          <w:szCs w:val="24"/>
        </w:rPr>
        <w:t xml:space="preserve">Advance notification of filings.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provide its conservation advisory group an electronic copy of all conservation filings</w:t>
      </w:r>
      <w:r w:rsidR="00474F95" w:rsidRPr="000F5FEE">
        <w:rPr>
          <w:rFonts w:ascii="Times New Roman" w:hAnsi="Times New Roman" w:cs="Times New Roman"/>
          <w:sz w:val="24"/>
          <w:szCs w:val="24"/>
        </w:rPr>
        <w:t xml:space="preserve"> that</w:t>
      </w:r>
      <w:r w:rsidRPr="000F5FEE">
        <w:rPr>
          <w:rFonts w:ascii="Times New Roman" w:hAnsi="Times New Roman" w:cs="Times New Roman"/>
          <w:sz w:val="24"/>
          <w:szCs w:val="24"/>
        </w:rPr>
        <w:t xml:space="preserve"> the </w:t>
      </w:r>
      <w:r w:rsidR="00B25CC5" w:rsidRPr="000F5FEE">
        <w:rPr>
          <w:rFonts w:ascii="Times New Roman" w:hAnsi="Times New Roman" w:cs="Times New Roman"/>
          <w:sz w:val="24"/>
          <w:szCs w:val="24"/>
        </w:rPr>
        <w:t>util</w:t>
      </w:r>
      <w:r w:rsidR="00E45EB2" w:rsidRPr="000F5FEE">
        <w:rPr>
          <w:rFonts w:ascii="Times New Roman" w:hAnsi="Times New Roman" w:cs="Times New Roman"/>
          <w:sz w:val="24"/>
          <w:szCs w:val="24"/>
        </w:rPr>
        <w:t>i</w:t>
      </w:r>
      <w:r w:rsidR="00B25CC5" w:rsidRPr="000F5FEE">
        <w:rPr>
          <w:rFonts w:ascii="Times New Roman" w:hAnsi="Times New Roman" w:cs="Times New Roman"/>
          <w:sz w:val="24"/>
          <w:szCs w:val="24"/>
        </w:rPr>
        <w:t xml:space="preserve">ty </w:t>
      </w:r>
      <w:r w:rsidR="00543E19">
        <w:rPr>
          <w:rFonts w:ascii="Times New Roman" w:hAnsi="Times New Roman" w:cs="Times New Roman"/>
          <w:sz w:val="24"/>
          <w:szCs w:val="24"/>
        </w:rPr>
        <w:t xml:space="preserve">intends to </w:t>
      </w:r>
      <w:r w:rsidRPr="000F5FEE">
        <w:rPr>
          <w:rFonts w:ascii="Times New Roman" w:hAnsi="Times New Roman" w:cs="Times New Roman"/>
          <w:sz w:val="24"/>
          <w:szCs w:val="24"/>
        </w:rPr>
        <w:t>submits to the commission</w:t>
      </w:r>
      <w:r w:rsidR="00E85694" w:rsidRPr="000F5FEE">
        <w:rPr>
          <w:rFonts w:ascii="Times New Roman" w:hAnsi="Times New Roman" w:cs="Times New Roman"/>
          <w:sz w:val="24"/>
          <w:szCs w:val="24"/>
        </w:rPr>
        <w:t xml:space="preserve"> at least </w:t>
      </w:r>
      <w:r w:rsidR="00F42CED" w:rsidRPr="000F5FEE">
        <w:rPr>
          <w:rFonts w:ascii="Times New Roman" w:hAnsi="Times New Roman" w:cs="Times New Roman"/>
          <w:sz w:val="24"/>
          <w:szCs w:val="24"/>
        </w:rPr>
        <w:t>30</w:t>
      </w:r>
      <w:r w:rsidR="00E85694" w:rsidRPr="000F5FEE">
        <w:rPr>
          <w:rFonts w:ascii="Times New Roman" w:hAnsi="Times New Roman" w:cs="Times New Roman"/>
          <w:sz w:val="24"/>
          <w:szCs w:val="24"/>
        </w:rPr>
        <w:t xml:space="preserve"> days</w:t>
      </w:r>
      <w:r w:rsidRPr="000F5FEE">
        <w:rPr>
          <w:rFonts w:ascii="Times New Roman" w:hAnsi="Times New Roman" w:cs="Times New Roman"/>
          <w:sz w:val="24"/>
          <w:szCs w:val="24"/>
        </w:rPr>
        <w:t xml:space="preserve"> in advance of the filing.  </w:t>
      </w:r>
      <w:r w:rsidR="00E85694" w:rsidRPr="000F5FEE">
        <w:rPr>
          <w:rFonts w:ascii="Times New Roman" w:hAnsi="Times New Roman" w:cs="Times New Roman"/>
          <w:sz w:val="24"/>
          <w:szCs w:val="24"/>
        </w:rPr>
        <w:t>The filing cover letter must document the amount of advance notice provided to the</w:t>
      </w:r>
      <w:r w:rsidR="00B25CC5" w:rsidRPr="000F5FEE">
        <w:rPr>
          <w:rFonts w:ascii="Times New Roman" w:hAnsi="Times New Roman" w:cs="Times New Roman"/>
          <w:sz w:val="24"/>
          <w:szCs w:val="24"/>
        </w:rPr>
        <w:t xml:space="preserve"> conservation</w:t>
      </w:r>
      <w:r w:rsidR="00E85694" w:rsidRPr="000F5FEE">
        <w:rPr>
          <w:rFonts w:ascii="Times New Roman" w:hAnsi="Times New Roman" w:cs="Times New Roman"/>
          <w:sz w:val="24"/>
          <w:szCs w:val="24"/>
        </w:rPr>
        <w:t xml:space="preserve"> </w:t>
      </w:r>
      <w:r w:rsidR="00B25CC5" w:rsidRPr="000F5FEE">
        <w:rPr>
          <w:rFonts w:ascii="Times New Roman" w:hAnsi="Times New Roman" w:cs="Times New Roman"/>
          <w:sz w:val="24"/>
          <w:szCs w:val="24"/>
        </w:rPr>
        <w:t>a</w:t>
      </w:r>
      <w:r w:rsidR="00E85694" w:rsidRPr="000F5FEE">
        <w:rPr>
          <w:rFonts w:ascii="Times New Roman" w:hAnsi="Times New Roman" w:cs="Times New Roman"/>
          <w:sz w:val="24"/>
          <w:szCs w:val="24"/>
        </w:rPr>
        <w:t xml:space="preserve">dvisory </w:t>
      </w:r>
      <w:r w:rsidR="00B25CC5" w:rsidRPr="000F5FEE">
        <w:rPr>
          <w:rFonts w:ascii="Times New Roman" w:hAnsi="Times New Roman" w:cs="Times New Roman"/>
          <w:sz w:val="24"/>
          <w:szCs w:val="24"/>
        </w:rPr>
        <w:t>g</w:t>
      </w:r>
      <w:r w:rsidR="00E85694" w:rsidRPr="000F5FEE">
        <w:rPr>
          <w:rFonts w:ascii="Times New Roman" w:hAnsi="Times New Roman" w:cs="Times New Roman"/>
          <w:sz w:val="24"/>
          <w:szCs w:val="24"/>
        </w:rPr>
        <w:t>roup</w:t>
      </w:r>
      <w:r w:rsidR="00C565AE" w:rsidRPr="000F5FEE">
        <w:rPr>
          <w:rFonts w:ascii="Times New Roman" w:hAnsi="Times New Roman" w:cs="Times New Roman"/>
          <w:sz w:val="24"/>
          <w:szCs w:val="24"/>
        </w:rPr>
        <w:t>.</w:t>
      </w:r>
    </w:p>
    <w:p w14:paraId="1F49ECA5" w14:textId="65F13EFD" w:rsidR="003A6B34" w:rsidRPr="000F5FEE" w:rsidRDefault="003A6B34" w:rsidP="003A6B34">
      <w:pPr>
        <w:spacing w:after="0" w:line="240" w:lineRule="auto"/>
        <w:ind w:firstLine="360"/>
        <w:rPr>
          <w:rFonts w:ascii="Times New Roman" w:hAnsi="Times New Roman" w:cs="Times New Roman"/>
          <w:sz w:val="24"/>
          <w:szCs w:val="24"/>
        </w:rPr>
      </w:pPr>
      <w:r w:rsidRPr="000F5FEE">
        <w:rPr>
          <w:rFonts w:ascii="Times New Roman" w:hAnsi="Times New Roman" w:cs="Times New Roman"/>
          <w:sz w:val="24"/>
          <w:szCs w:val="24"/>
        </w:rPr>
        <w:t xml:space="preserve">(4) </w:t>
      </w:r>
      <w:r w:rsidR="00FD3890" w:rsidRPr="000F5FEE">
        <w:rPr>
          <w:rFonts w:ascii="Times New Roman" w:hAnsi="Times New Roman" w:cs="Times New Roman"/>
          <w:b/>
          <w:sz w:val="24"/>
          <w:szCs w:val="24"/>
        </w:rPr>
        <w:t xml:space="preserve">Advance notification of meetings. </w:t>
      </w:r>
      <w:r w:rsidR="00030B31" w:rsidRPr="000F5FEE">
        <w:rPr>
          <w:rFonts w:ascii="Times New Roman" w:hAnsi="Times New Roman" w:cs="Times New Roman"/>
          <w:sz w:val="24"/>
          <w:szCs w:val="24"/>
        </w:rPr>
        <w:t>A</w:t>
      </w:r>
      <w:r w:rsidRPr="000F5FEE">
        <w:rPr>
          <w:rFonts w:ascii="Times New Roman" w:hAnsi="Times New Roman" w:cs="Times New Roman"/>
          <w:sz w:val="24"/>
          <w:szCs w:val="24"/>
        </w:rPr>
        <w:t xml:space="preserve"> utility must notify its conservation advisory group of</w:t>
      </w:r>
      <w:r w:rsidR="00BA6118" w:rsidRPr="000F5FEE">
        <w:rPr>
          <w:rFonts w:ascii="Times New Roman" w:hAnsi="Times New Roman" w:cs="Times New Roman"/>
          <w:sz w:val="24"/>
          <w:szCs w:val="24"/>
        </w:rPr>
        <w:t xml:space="preserve"> </w:t>
      </w:r>
      <w:r w:rsidRPr="000F5FEE">
        <w:rPr>
          <w:rFonts w:ascii="Times New Roman" w:hAnsi="Times New Roman" w:cs="Times New Roman"/>
          <w:sz w:val="24"/>
          <w:szCs w:val="24"/>
        </w:rPr>
        <w:t>public meeting</w:t>
      </w:r>
      <w:r w:rsidR="001E10D4" w:rsidRPr="000F5FEE">
        <w:rPr>
          <w:rFonts w:ascii="Times New Roman" w:hAnsi="Times New Roman" w:cs="Times New Roman"/>
          <w:sz w:val="24"/>
          <w:szCs w:val="24"/>
        </w:rPr>
        <w:t>s</w:t>
      </w:r>
      <w:r w:rsidRPr="000F5FEE">
        <w:rPr>
          <w:rFonts w:ascii="Times New Roman" w:hAnsi="Times New Roman" w:cs="Times New Roman"/>
          <w:sz w:val="24"/>
          <w:szCs w:val="24"/>
        </w:rPr>
        <w:t xml:space="preserve"> scheduled to address the utility’s integrated resource plan</w:t>
      </w:r>
      <w:r w:rsidR="00FD3890" w:rsidRPr="000F5FEE">
        <w:rPr>
          <w:rFonts w:ascii="Times New Roman" w:hAnsi="Times New Roman" w:cs="Times New Roman"/>
          <w:sz w:val="24"/>
          <w:szCs w:val="24"/>
        </w:rPr>
        <w:t>, conservation programs,</w:t>
      </w:r>
      <w:r w:rsidR="00C565AE" w:rsidRPr="000F5FEE">
        <w:rPr>
          <w:rFonts w:ascii="Times New Roman" w:hAnsi="Times New Roman" w:cs="Times New Roman"/>
          <w:sz w:val="24"/>
          <w:szCs w:val="24"/>
        </w:rPr>
        <w:t xml:space="preserve"> </w:t>
      </w:r>
      <w:r w:rsidR="00FD3890" w:rsidRPr="000F5FEE">
        <w:rPr>
          <w:rFonts w:ascii="Times New Roman" w:hAnsi="Times New Roman" w:cs="Times New Roman"/>
          <w:sz w:val="24"/>
          <w:szCs w:val="24"/>
        </w:rPr>
        <w:t>or conservation tariffs</w:t>
      </w:r>
      <w:r w:rsidRPr="000F5FEE">
        <w:rPr>
          <w:rFonts w:ascii="Times New Roman" w:hAnsi="Times New Roman" w:cs="Times New Roman"/>
          <w:sz w:val="24"/>
          <w:szCs w:val="24"/>
        </w:rPr>
        <w:t xml:space="preserve">.  </w:t>
      </w:r>
    </w:p>
    <w:p w14:paraId="72084284" w14:textId="77777777" w:rsidR="003A6B34" w:rsidRPr="000F5FEE" w:rsidRDefault="003A6B34" w:rsidP="003A6B34">
      <w:pPr>
        <w:spacing w:after="0" w:line="240" w:lineRule="auto"/>
        <w:rPr>
          <w:rFonts w:ascii="Times New Roman" w:hAnsi="Times New Roman" w:cs="Times New Roman"/>
          <w:sz w:val="24"/>
          <w:szCs w:val="24"/>
        </w:rPr>
      </w:pPr>
    </w:p>
    <w:p w14:paraId="1C02E169" w14:textId="77777777" w:rsidR="00522323" w:rsidRPr="000F5FEE" w:rsidRDefault="00522323">
      <w:pPr>
        <w:rPr>
          <w:rFonts w:ascii="Times New Roman" w:hAnsi="Times New Roman" w:cs="Times New Roman"/>
          <w:b/>
          <w:sz w:val="24"/>
          <w:szCs w:val="24"/>
        </w:rPr>
      </w:pPr>
      <w:r w:rsidRPr="000F5FEE">
        <w:rPr>
          <w:rFonts w:ascii="Times New Roman" w:hAnsi="Times New Roman" w:cs="Times New Roman"/>
          <w:b/>
          <w:sz w:val="24"/>
          <w:szCs w:val="24"/>
        </w:rPr>
        <w:br w:type="page"/>
      </w:r>
    </w:p>
    <w:p w14:paraId="30CAA255" w14:textId="5AA1BA26" w:rsidR="003A6B34" w:rsidRPr="000F5FEE" w:rsidRDefault="003A6B34" w:rsidP="003A6B34">
      <w:pPr>
        <w:spacing w:after="0" w:line="240" w:lineRule="auto"/>
        <w:rPr>
          <w:rFonts w:ascii="Times New Roman" w:hAnsi="Times New Roman" w:cs="Times New Roman"/>
          <w:sz w:val="24"/>
          <w:szCs w:val="24"/>
        </w:rPr>
      </w:pPr>
      <w:r w:rsidRPr="000F5FEE">
        <w:rPr>
          <w:rFonts w:ascii="Times New Roman" w:hAnsi="Times New Roman" w:cs="Times New Roman"/>
          <w:b/>
          <w:sz w:val="24"/>
          <w:szCs w:val="24"/>
        </w:rPr>
        <w:t>480-109-</w:t>
      </w:r>
      <w:r w:rsidR="003D30C2" w:rsidRPr="000F5FEE">
        <w:rPr>
          <w:rFonts w:ascii="Times New Roman" w:hAnsi="Times New Roman" w:cs="Times New Roman"/>
          <w:b/>
          <w:sz w:val="24"/>
          <w:szCs w:val="24"/>
        </w:rPr>
        <w:t>BBB</w:t>
      </w:r>
      <w:r w:rsidR="00E357EF">
        <w:rPr>
          <w:rFonts w:ascii="Times New Roman" w:hAnsi="Times New Roman" w:cs="Times New Roman"/>
          <w:b/>
          <w:sz w:val="24"/>
          <w:szCs w:val="24"/>
        </w:rPr>
        <w:tab/>
      </w:r>
      <w:r w:rsidR="00E357EF">
        <w:rPr>
          <w:rFonts w:ascii="Times New Roman" w:hAnsi="Times New Roman" w:cs="Times New Roman"/>
          <w:b/>
          <w:sz w:val="24"/>
          <w:szCs w:val="24"/>
        </w:rPr>
        <w:tab/>
      </w:r>
      <w:r w:rsidRPr="000F5FEE">
        <w:rPr>
          <w:rFonts w:ascii="Times New Roman" w:hAnsi="Times New Roman" w:cs="Times New Roman"/>
          <w:b/>
          <w:sz w:val="24"/>
          <w:szCs w:val="24"/>
        </w:rPr>
        <w:t>Conservation reporting</w:t>
      </w:r>
      <w:r w:rsidR="000A22F3" w:rsidRPr="000F5FEE">
        <w:rPr>
          <w:rFonts w:ascii="Times New Roman" w:hAnsi="Times New Roman" w:cs="Times New Roman"/>
          <w:b/>
          <w:sz w:val="24"/>
          <w:szCs w:val="24"/>
        </w:rPr>
        <w:t>.</w:t>
      </w:r>
    </w:p>
    <w:p w14:paraId="07486A90" w14:textId="779416FE" w:rsidR="003A6B34" w:rsidRPr="000F5FEE" w:rsidRDefault="00FD3890" w:rsidP="007425AA">
      <w:pPr>
        <w:pStyle w:val="ListParagraph"/>
        <w:numPr>
          <w:ilvl w:val="0"/>
          <w:numId w:val="1"/>
        </w:numPr>
        <w:ind w:left="360"/>
        <w:rPr>
          <w:rFonts w:ascii="Times New Roman" w:hAnsi="Times New Roman" w:cs="Times New Roman"/>
          <w:b/>
          <w:sz w:val="24"/>
          <w:szCs w:val="24"/>
        </w:rPr>
      </w:pPr>
      <w:r w:rsidRPr="000F5FEE">
        <w:rPr>
          <w:rFonts w:ascii="Times New Roman" w:hAnsi="Times New Roman" w:cs="Times New Roman"/>
          <w:b/>
          <w:sz w:val="24"/>
          <w:szCs w:val="24"/>
        </w:rPr>
        <w:t xml:space="preserve">Annual conservation plan.  </w:t>
      </w:r>
      <w:r w:rsidR="003A6B34" w:rsidRPr="000F5FEE">
        <w:rPr>
          <w:rFonts w:ascii="Times New Roman" w:hAnsi="Times New Roman" w:cs="Times New Roman"/>
          <w:sz w:val="24"/>
          <w:szCs w:val="24"/>
        </w:rPr>
        <w:t xml:space="preserve">On or before November 1 of each even-numbered year, </w:t>
      </w:r>
      <w:r w:rsidR="00030B31" w:rsidRPr="000F5FEE">
        <w:rPr>
          <w:rFonts w:ascii="Times New Roman" w:hAnsi="Times New Roman" w:cs="Times New Roman"/>
          <w:sz w:val="24"/>
          <w:szCs w:val="24"/>
        </w:rPr>
        <w:t>a</w:t>
      </w:r>
      <w:r w:rsidR="003A6B34" w:rsidRPr="000F5FEE">
        <w:rPr>
          <w:rFonts w:ascii="Times New Roman" w:hAnsi="Times New Roman" w:cs="Times New Roman"/>
          <w:sz w:val="24"/>
          <w:szCs w:val="24"/>
        </w:rPr>
        <w:t xml:space="preserve"> utility must file with the commission</w:t>
      </w:r>
      <w:r w:rsidR="001D2A7F" w:rsidRPr="000F5FEE">
        <w:rPr>
          <w:rFonts w:ascii="Times New Roman" w:hAnsi="Times New Roman" w:cs="Times New Roman"/>
          <w:sz w:val="24"/>
          <w:szCs w:val="24"/>
        </w:rPr>
        <w:t>,</w:t>
      </w:r>
      <w:r w:rsidR="00030B31" w:rsidRPr="000F5FEE">
        <w:rPr>
          <w:rFonts w:ascii="Times New Roman" w:hAnsi="Times New Roman" w:cs="Times New Roman"/>
          <w:sz w:val="24"/>
          <w:szCs w:val="24"/>
        </w:rPr>
        <w:t xml:space="preserve"> in the same docket as the current biennial conservation plan required </w:t>
      </w:r>
      <w:r w:rsidR="001D2A7F" w:rsidRPr="000F5FEE">
        <w:rPr>
          <w:rFonts w:ascii="Times New Roman" w:hAnsi="Times New Roman" w:cs="Times New Roman"/>
          <w:sz w:val="24"/>
          <w:szCs w:val="24"/>
        </w:rPr>
        <w:t>in</w:t>
      </w:r>
      <w:r w:rsidR="00030B31" w:rsidRPr="000F5FEE">
        <w:rPr>
          <w:rFonts w:ascii="Times New Roman" w:hAnsi="Times New Roman" w:cs="Times New Roman"/>
          <w:sz w:val="24"/>
          <w:szCs w:val="24"/>
        </w:rPr>
        <w:t xml:space="preserve"> WAC 480-109-010(3),</w:t>
      </w:r>
      <w:r w:rsidR="003A6B34" w:rsidRPr="000F5FEE">
        <w:rPr>
          <w:rFonts w:ascii="Times New Roman" w:hAnsi="Times New Roman" w:cs="Times New Roman"/>
          <w:sz w:val="24"/>
          <w:szCs w:val="24"/>
        </w:rPr>
        <w:t xml:space="preserve"> a</w:t>
      </w:r>
      <w:r w:rsidRPr="000F5FEE">
        <w:rPr>
          <w:rFonts w:ascii="Times New Roman" w:hAnsi="Times New Roman" w:cs="Times New Roman"/>
          <w:sz w:val="24"/>
          <w:szCs w:val="24"/>
        </w:rPr>
        <w:t>n</w:t>
      </w:r>
      <w:r w:rsidR="003A6B34" w:rsidRPr="000F5FEE">
        <w:rPr>
          <w:rFonts w:ascii="Times New Roman" w:hAnsi="Times New Roman" w:cs="Times New Roman"/>
          <w:sz w:val="24"/>
          <w:szCs w:val="24"/>
        </w:rPr>
        <w:t xml:space="preserve"> annual conservation plan containing any changes to program details and annual budget.  </w:t>
      </w:r>
    </w:p>
    <w:p w14:paraId="1D1FF813" w14:textId="16316BB7" w:rsidR="007425AA" w:rsidRPr="000F5FEE" w:rsidRDefault="00FD3890" w:rsidP="007425AA">
      <w:pPr>
        <w:pStyle w:val="ListParagraph"/>
        <w:numPr>
          <w:ilvl w:val="0"/>
          <w:numId w:val="1"/>
        </w:numPr>
        <w:ind w:left="360"/>
        <w:rPr>
          <w:rFonts w:ascii="Times New Roman" w:hAnsi="Times New Roman" w:cs="Times New Roman"/>
          <w:b/>
          <w:sz w:val="24"/>
          <w:szCs w:val="24"/>
        </w:rPr>
      </w:pPr>
      <w:r w:rsidRPr="000F5FEE">
        <w:rPr>
          <w:rFonts w:ascii="Times New Roman" w:hAnsi="Times New Roman" w:cs="Times New Roman"/>
          <w:b/>
          <w:sz w:val="24"/>
          <w:szCs w:val="24"/>
        </w:rPr>
        <w:t>Annual conservation report</w:t>
      </w:r>
      <w:r w:rsidR="007425AA" w:rsidRPr="000F5FEE">
        <w:rPr>
          <w:rFonts w:ascii="Times New Roman" w:hAnsi="Times New Roman" w:cs="Times New Roman"/>
          <w:b/>
          <w:sz w:val="24"/>
          <w:szCs w:val="24"/>
        </w:rPr>
        <w:t>.</w:t>
      </w:r>
    </w:p>
    <w:p w14:paraId="79582F20" w14:textId="77777777" w:rsidR="007425AA" w:rsidRPr="000F5FEE" w:rsidRDefault="003A6B34" w:rsidP="007425AA">
      <w:pPr>
        <w:pStyle w:val="ListParagraph"/>
        <w:numPr>
          <w:ilvl w:val="0"/>
          <w:numId w:val="28"/>
        </w:numPr>
        <w:rPr>
          <w:rFonts w:ascii="Times New Roman" w:hAnsi="Times New Roman" w:cs="Times New Roman"/>
          <w:sz w:val="24"/>
          <w:szCs w:val="24"/>
        </w:rPr>
      </w:pPr>
      <w:r w:rsidRPr="000F5FEE">
        <w:rPr>
          <w:rFonts w:ascii="Times New Roman" w:hAnsi="Times New Roman" w:cs="Times New Roman"/>
          <w:sz w:val="24"/>
          <w:szCs w:val="24"/>
        </w:rPr>
        <w:t xml:space="preserve">On or before June 1 of each odd-numbered year, </w:t>
      </w:r>
      <w:r w:rsidR="00030B31" w:rsidRPr="000F5FEE">
        <w:rPr>
          <w:rFonts w:ascii="Times New Roman" w:hAnsi="Times New Roman" w:cs="Times New Roman"/>
          <w:sz w:val="24"/>
          <w:szCs w:val="24"/>
        </w:rPr>
        <w:t>a utility must file with the commission</w:t>
      </w:r>
      <w:r w:rsidR="001D2A7F" w:rsidRPr="000F5FEE">
        <w:rPr>
          <w:rFonts w:ascii="Times New Roman" w:hAnsi="Times New Roman" w:cs="Times New Roman"/>
          <w:sz w:val="24"/>
          <w:szCs w:val="24"/>
        </w:rPr>
        <w:t>,</w:t>
      </w:r>
      <w:r w:rsidR="00030B31" w:rsidRPr="000F5FEE">
        <w:rPr>
          <w:rFonts w:ascii="Times New Roman" w:hAnsi="Times New Roman" w:cs="Times New Roman"/>
          <w:sz w:val="24"/>
          <w:szCs w:val="24"/>
        </w:rPr>
        <w:t xml:space="preserve"> in the same docket as the current biennial conservation plan required </w:t>
      </w:r>
      <w:r w:rsidR="001D2A7F" w:rsidRPr="000F5FEE">
        <w:rPr>
          <w:rFonts w:ascii="Times New Roman" w:hAnsi="Times New Roman" w:cs="Times New Roman"/>
          <w:sz w:val="24"/>
          <w:szCs w:val="24"/>
        </w:rPr>
        <w:t>in</w:t>
      </w:r>
      <w:r w:rsidR="00030B31" w:rsidRPr="000F5FEE">
        <w:rPr>
          <w:rFonts w:ascii="Times New Roman" w:hAnsi="Times New Roman" w:cs="Times New Roman"/>
          <w:sz w:val="24"/>
          <w:szCs w:val="24"/>
        </w:rPr>
        <w:t xml:space="preserve"> WAC 480-109-010(3), </w:t>
      </w:r>
      <w:r w:rsidRPr="000F5FEE">
        <w:rPr>
          <w:rFonts w:ascii="Times New Roman" w:hAnsi="Times New Roman" w:cs="Times New Roman"/>
          <w:sz w:val="24"/>
          <w:szCs w:val="24"/>
        </w:rPr>
        <w:t>a</w:t>
      </w:r>
      <w:r w:rsidR="00FD3890" w:rsidRPr="000F5FEE">
        <w:rPr>
          <w:rFonts w:ascii="Times New Roman" w:hAnsi="Times New Roman" w:cs="Times New Roman"/>
          <w:sz w:val="24"/>
          <w:szCs w:val="24"/>
        </w:rPr>
        <w:t>n annual conservation</w:t>
      </w:r>
      <w:r w:rsidR="00030B31" w:rsidRPr="000F5FEE">
        <w:rPr>
          <w:rFonts w:ascii="Times New Roman" w:hAnsi="Times New Roman" w:cs="Times New Roman"/>
          <w:sz w:val="24"/>
          <w:szCs w:val="24"/>
        </w:rPr>
        <w:t xml:space="preserve"> report</w:t>
      </w:r>
      <w:r w:rsidRPr="000F5FEE">
        <w:rPr>
          <w:rFonts w:ascii="Times New Roman" w:hAnsi="Times New Roman" w:cs="Times New Roman"/>
          <w:sz w:val="24"/>
          <w:szCs w:val="24"/>
        </w:rPr>
        <w:t xml:space="preserve"> regarding its progress in meeting its conservation targets during the preceding year.  </w:t>
      </w:r>
    </w:p>
    <w:p w14:paraId="13CD2455" w14:textId="4714E7AB" w:rsidR="003A6B34" w:rsidRPr="000F5FEE" w:rsidRDefault="003A6B34" w:rsidP="007425AA">
      <w:pPr>
        <w:pStyle w:val="ListParagraph"/>
        <w:numPr>
          <w:ilvl w:val="0"/>
          <w:numId w:val="28"/>
        </w:numPr>
        <w:rPr>
          <w:rFonts w:ascii="Times New Roman" w:hAnsi="Times New Roman" w:cs="Times New Roman"/>
          <w:sz w:val="24"/>
          <w:szCs w:val="24"/>
        </w:rPr>
      </w:pPr>
      <w:r w:rsidRPr="000F5FEE">
        <w:rPr>
          <w:rFonts w:ascii="Times New Roman" w:hAnsi="Times New Roman" w:cs="Times New Roman"/>
          <w:sz w:val="24"/>
          <w:szCs w:val="24"/>
        </w:rPr>
        <w:t>The annual conservation report must include</w:t>
      </w:r>
      <w:r w:rsidR="00030B31" w:rsidRPr="000F5FEE">
        <w:rPr>
          <w:rFonts w:ascii="Times New Roman" w:hAnsi="Times New Roman" w:cs="Times New Roman"/>
          <w:sz w:val="24"/>
          <w:szCs w:val="24"/>
        </w:rPr>
        <w:t>, but is not limited to</w:t>
      </w:r>
      <w:r w:rsidRPr="000F5FEE">
        <w:rPr>
          <w:rFonts w:ascii="Times New Roman" w:hAnsi="Times New Roman" w:cs="Times New Roman"/>
          <w:sz w:val="24"/>
          <w:szCs w:val="24"/>
        </w:rPr>
        <w:t>:</w:t>
      </w:r>
    </w:p>
    <w:p w14:paraId="3FF79D88" w14:textId="77777777" w:rsidR="003A6B34" w:rsidRPr="000F5FEE" w:rsidRDefault="003A6B34" w:rsidP="00C4467F">
      <w:pPr>
        <w:pStyle w:val="ListParagraph"/>
        <w:numPr>
          <w:ilvl w:val="0"/>
          <w:numId w:val="5"/>
        </w:numPr>
        <w:ind w:left="1800" w:hanging="720"/>
        <w:rPr>
          <w:rFonts w:ascii="Times New Roman" w:hAnsi="Times New Roman" w:cs="Times New Roman"/>
          <w:sz w:val="24"/>
          <w:szCs w:val="24"/>
        </w:rPr>
      </w:pPr>
      <w:r w:rsidRPr="000F5FEE">
        <w:rPr>
          <w:rFonts w:ascii="Times New Roman" w:hAnsi="Times New Roman" w:cs="Times New Roman"/>
          <w:sz w:val="24"/>
          <w:szCs w:val="24"/>
        </w:rPr>
        <w:t>The conservation target for that year.</w:t>
      </w:r>
    </w:p>
    <w:p w14:paraId="19633D48" w14:textId="3C3E0A5B" w:rsidR="003A6B34" w:rsidRPr="000F5FEE" w:rsidRDefault="00C4467F" w:rsidP="00C4467F">
      <w:pPr>
        <w:pStyle w:val="ListParagraph"/>
        <w:numPr>
          <w:ilvl w:val="0"/>
          <w:numId w:val="6"/>
        </w:numPr>
        <w:ind w:left="1800"/>
        <w:rPr>
          <w:rFonts w:ascii="Times New Roman" w:hAnsi="Times New Roman" w:cs="Times New Roman"/>
          <w:sz w:val="24"/>
          <w:szCs w:val="24"/>
        </w:rPr>
      </w:pPr>
      <w:r w:rsidRPr="000F5FEE">
        <w:rPr>
          <w:rFonts w:ascii="Times New Roman" w:hAnsi="Times New Roman" w:cs="Times New Roman"/>
          <w:sz w:val="24"/>
          <w:szCs w:val="24"/>
        </w:rPr>
        <w:t xml:space="preserve"> </w:t>
      </w:r>
      <w:r w:rsidR="003A6B34" w:rsidRPr="000F5FEE">
        <w:rPr>
          <w:rFonts w:ascii="Times New Roman" w:hAnsi="Times New Roman" w:cs="Times New Roman"/>
          <w:sz w:val="24"/>
          <w:szCs w:val="24"/>
        </w:rPr>
        <w:t>Expected and actual electricity savings from conservation.</w:t>
      </w:r>
    </w:p>
    <w:p w14:paraId="0F32A297" w14:textId="77777777" w:rsidR="003A6B34" w:rsidRPr="000F5FEE" w:rsidRDefault="003A6B34" w:rsidP="00C4467F">
      <w:pPr>
        <w:pStyle w:val="ListParagraph"/>
        <w:numPr>
          <w:ilvl w:val="0"/>
          <w:numId w:val="6"/>
        </w:numPr>
        <w:ind w:left="1800"/>
        <w:rPr>
          <w:rFonts w:ascii="Times New Roman" w:hAnsi="Times New Roman" w:cs="Times New Roman"/>
          <w:sz w:val="24"/>
          <w:szCs w:val="24"/>
        </w:rPr>
      </w:pPr>
      <w:r w:rsidRPr="000F5FEE">
        <w:rPr>
          <w:rFonts w:ascii="Times New Roman" w:hAnsi="Times New Roman" w:cs="Times New Roman"/>
          <w:sz w:val="24"/>
          <w:szCs w:val="24"/>
        </w:rPr>
        <w:t xml:space="preserve"> Budgeted and actual expenditures made to acquire conservation.</w:t>
      </w:r>
    </w:p>
    <w:p w14:paraId="24942D82" w14:textId="029C5A36" w:rsidR="003A6B34" w:rsidRPr="000F5FEE" w:rsidRDefault="003A6B34" w:rsidP="00C4467F">
      <w:pPr>
        <w:pStyle w:val="ListParagraph"/>
        <w:numPr>
          <w:ilvl w:val="0"/>
          <w:numId w:val="6"/>
        </w:numPr>
        <w:ind w:left="1800"/>
        <w:rPr>
          <w:rFonts w:ascii="Times New Roman" w:hAnsi="Times New Roman" w:cs="Times New Roman"/>
          <w:sz w:val="24"/>
          <w:szCs w:val="24"/>
        </w:rPr>
      </w:pPr>
      <w:r w:rsidRPr="000F5FEE">
        <w:rPr>
          <w:rFonts w:ascii="Times New Roman" w:hAnsi="Times New Roman" w:cs="Times New Roman"/>
          <w:sz w:val="24"/>
          <w:szCs w:val="24"/>
        </w:rPr>
        <w:t xml:space="preserve"> An evaluation of </w:t>
      </w:r>
      <w:r w:rsidR="00BA6118" w:rsidRPr="000F5FEE">
        <w:rPr>
          <w:rFonts w:ascii="Times New Roman" w:hAnsi="Times New Roman" w:cs="Times New Roman"/>
          <w:sz w:val="24"/>
          <w:szCs w:val="24"/>
        </w:rPr>
        <w:t>portfolio- and program-level</w:t>
      </w:r>
      <w:r w:rsidRPr="000F5FEE">
        <w:rPr>
          <w:rFonts w:ascii="Times New Roman" w:hAnsi="Times New Roman" w:cs="Times New Roman"/>
          <w:sz w:val="24"/>
          <w:szCs w:val="24"/>
        </w:rPr>
        <w:t xml:space="preserve"> cost-effectiveness of the actual </w:t>
      </w:r>
      <w:r w:rsidR="00BA6118" w:rsidRPr="000F5FEE">
        <w:rPr>
          <w:rFonts w:ascii="Times New Roman" w:hAnsi="Times New Roman" w:cs="Times New Roman"/>
          <w:sz w:val="24"/>
          <w:szCs w:val="24"/>
        </w:rPr>
        <w:t>conservation</w:t>
      </w:r>
      <w:r w:rsidRPr="000F5FEE">
        <w:rPr>
          <w:rFonts w:ascii="Times New Roman" w:hAnsi="Times New Roman" w:cs="Times New Roman"/>
          <w:sz w:val="24"/>
          <w:szCs w:val="24"/>
        </w:rPr>
        <w:t xml:space="preserve"> savings.</w:t>
      </w:r>
    </w:p>
    <w:p w14:paraId="71C621D0" w14:textId="0B761D70" w:rsidR="003A6B34" w:rsidRPr="000F5FEE" w:rsidRDefault="00C565AE" w:rsidP="00C4467F">
      <w:pPr>
        <w:pStyle w:val="ListParagraph"/>
        <w:numPr>
          <w:ilvl w:val="0"/>
          <w:numId w:val="6"/>
        </w:numPr>
        <w:ind w:left="1800"/>
        <w:rPr>
          <w:rFonts w:ascii="Times New Roman" w:hAnsi="Times New Roman" w:cs="Times New Roman"/>
          <w:sz w:val="24"/>
          <w:szCs w:val="24"/>
        </w:rPr>
      </w:pPr>
      <w:r w:rsidRPr="000F5FEE">
        <w:rPr>
          <w:rFonts w:ascii="Times New Roman" w:hAnsi="Times New Roman" w:cs="Times New Roman"/>
          <w:sz w:val="24"/>
          <w:szCs w:val="24"/>
        </w:rPr>
        <w:t xml:space="preserve">All </w:t>
      </w:r>
      <w:r w:rsidR="003A6B34" w:rsidRPr="000F5FEE">
        <w:rPr>
          <w:rFonts w:ascii="Times New Roman" w:hAnsi="Times New Roman" w:cs="Times New Roman"/>
          <w:sz w:val="24"/>
          <w:szCs w:val="24"/>
        </w:rPr>
        <w:t>program evaluations completed in the preceding year.</w:t>
      </w:r>
    </w:p>
    <w:p w14:paraId="590C1907" w14:textId="548C59B5" w:rsidR="003A6B34" w:rsidRPr="000F5FEE" w:rsidRDefault="00FD3890" w:rsidP="007425AA">
      <w:pPr>
        <w:pStyle w:val="PlainText"/>
        <w:numPr>
          <w:ilvl w:val="0"/>
          <w:numId w:val="1"/>
        </w:numPr>
        <w:ind w:left="360"/>
        <w:rPr>
          <w:rFonts w:ascii="Times New Roman" w:hAnsi="Times New Roman" w:cs="Times New Roman"/>
          <w:sz w:val="24"/>
          <w:szCs w:val="24"/>
        </w:rPr>
      </w:pPr>
      <w:r w:rsidRPr="000F5FEE">
        <w:rPr>
          <w:rFonts w:ascii="Times New Roman" w:hAnsi="Times New Roman" w:cs="Times New Roman"/>
          <w:b/>
          <w:sz w:val="24"/>
          <w:szCs w:val="24"/>
        </w:rPr>
        <w:t>Biennial conservation report.</w:t>
      </w:r>
      <w:r w:rsidRPr="000F5FEE">
        <w:rPr>
          <w:rFonts w:ascii="Times New Roman" w:hAnsi="Times New Roman" w:cs="Times New Roman"/>
          <w:sz w:val="24"/>
          <w:szCs w:val="24"/>
        </w:rPr>
        <w:t xml:space="preserve"> </w:t>
      </w:r>
      <w:r w:rsidR="003A6B34" w:rsidRPr="000F5FEE">
        <w:rPr>
          <w:rFonts w:ascii="Times New Roman" w:hAnsi="Times New Roman" w:cs="Times New Roman"/>
          <w:sz w:val="24"/>
          <w:szCs w:val="24"/>
        </w:rPr>
        <w:t xml:space="preserve">On or before June 1 of each even-numbered year, </w:t>
      </w:r>
      <w:r w:rsidR="00030B31" w:rsidRPr="000F5FEE">
        <w:rPr>
          <w:rFonts w:ascii="Times New Roman" w:hAnsi="Times New Roman" w:cs="Times New Roman"/>
          <w:sz w:val="24"/>
          <w:szCs w:val="24"/>
        </w:rPr>
        <w:t xml:space="preserve">a </w:t>
      </w:r>
      <w:r w:rsidR="003A6B34" w:rsidRPr="000F5FEE">
        <w:rPr>
          <w:rFonts w:ascii="Times New Roman" w:hAnsi="Times New Roman" w:cs="Times New Roman"/>
          <w:sz w:val="24"/>
          <w:szCs w:val="24"/>
        </w:rPr>
        <w:t xml:space="preserve">utility must file </w:t>
      </w:r>
      <w:r w:rsidR="006F06FC" w:rsidRPr="000F5FEE">
        <w:rPr>
          <w:rFonts w:ascii="Times New Roman" w:hAnsi="Times New Roman" w:cs="Times New Roman"/>
          <w:sz w:val="24"/>
          <w:szCs w:val="24"/>
        </w:rPr>
        <w:t>with the commission</w:t>
      </w:r>
      <w:r w:rsidR="00827132" w:rsidRPr="000F5FEE">
        <w:rPr>
          <w:rFonts w:ascii="Times New Roman" w:hAnsi="Times New Roman" w:cs="Times New Roman"/>
          <w:sz w:val="24"/>
          <w:szCs w:val="24"/>
        </w:rPr>
        <w:t>,</w:t>
      </w:r>
      <w:r w:rsidR="006F06FC" w:rsidRPr="000F5FEE">
        <w:rPr>
          <w:rFonts w:ascii="Times New Roman" w:hAnsi="Times New Roman" w:cs="Times New Roman"/>
          <w:sz w:val="24"/>
          <w:szCs w:val="24"/>
        </w:rPr>
        <w:t xml:space="preserve"> in the same docket as the current biennial conservation plan required </w:t>
      </w:r>
      <w:r w:rsidR="00827132" w:rsidRPr="000F5FEE">
        <w:rPr>
          <w:rFonts w:ascii="Times New Roman" w:hAnsi="Times New Roman" w:cs="Times New Roman"/>
          <w:sz w:val="24"/>
          <w:szCs w:val="24"/>
        </w:rPr>
        <w:t>in</w:t>
      </w:r>
      <w:r w:rsidR="006F06FC" w:rsidRPr="000F5FEE">
        <w:rPr>
          <w:rFonts w:ascii="Times New Roman" w:hAnsi="Times New Roman" w:cs="Times New Roman"/>
          <w:sz w:val="24"/>
          <w:szCs w:val="24"/>
        </w:rPr>
        <w:t xml:space="preserve"> WAC 480-109-010(3), and with the department, </w:t>
      </w:r>
      <w:r w:rsidR="003A6B34" w:rsidRPr="000F5FEE">
        <w:rPr>
          <w:rFonts w:ascii="Times New Roman" w:hAnsi="Times New Roman" w:cs="Times New Roman"/>
          <w:sz w:val="24"/>
          <w:szCs w:val="24"/>
        </w:rPr>
        <w:t xml:space="preserve">a </w:t>
      </w:r>
      <w:r w:rsidRPr="000F5FEE">
        <w:rPr>
          <w:rFonts w:ascii="Times New Roman" w:hAnsi="Times New Roman" w:cs="Times New Roman"/>
          <w:sz w:val="24"/>
          <w:szCs w:val="24"/>
        </w:rPr>
        <w:t xml:space="preserve">biennial conservation </w:t>
      </w:r>
      <w:r w:rsidR="003A6B34" w:rsidRPr="000F5FEE">
        <w:rPr>
          <w:rFonts w:ascii="Times New Roman" w:hAnsi="Times New Roman" w:cs="Times New Roman"/>
          <w:sz w:val="24"/>
          <w:szCs w:val="24"/>
        </w:rPr>
        <w:t xml:space="preserve">report regarding its progress in meeting its conservation targets during the preceding two years.  </w:t>
      </w:r>
    </w:p>
    <w:p w14:paraId="4029141C" w14:textId="77777777" w:rsidR="003A6B34" w:rsidRPr="000F5FEE" w:rsidRDefault="003A6B34" w:rsidP="003A6B34">
      <w:pPr>
        <w:pStyle w:val="PlainText"/>
        <w:numPr>
          <w:ilvl w:val="0"/>
          <w:numId w:val="4"/>
        </w:numPr>
        <w:rPr>
          <w:rFonts w:ascii="Times New Roman" w:hAnsi="Times New Roman" w:cs="Times New Roman"/>
          <w:sz w:val="24"/>
          <w:szCs w:val="24"/>
        </w:rPr>
      </w:pPr>
      <w:r w:rsidRPr="000F5FEE">
        <w:rPr>
          <w:rFonts w:ascii="Times New Roman" w:hAnsi="Times New Roman" w:cs="Times New Roman"/>
          <w:sz w:val="24"/>
          <w:szCs w:val="24"/>
        </w:rPr>
        <w:t>The biennial conservation report must include:</w:t>
      </w:r>
    </w:p>
    <w:p w14:paraId="02F5459A" w14:textId="77777777" w:rsidR="003A6B34" w:rsidRPr="000F5FEE" w:rsidRDefault="003A6B34"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The conservation target for the preceding two years.</w:t>
      </w:r>
    </w:p>
    <w:p w14:paraId="167BC6BE" w14:textId="7448C5B8" w:rsidR="003A6B34" w:rsidRPr="000F5FEE" w:rsidRDefault="003A6B34"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Expected and actual electricity savings from conservation, including a description of the source</w:t>
      </w:r>
      <w:r w:rsidR="00FD3890" w:rsidRPr="000F5FEE">
        <w:rPr>
          <w:rFonts w:ascii="Times New Roman" w:hAnsi="Times New Roman" w:cs="Times New Roman"/>
          <w:sz w:val="24"/>
          <w:szCs w:val="24"/>
        </w:rPr>
        <w:t>(s)</w:t>
      </w:r>
      <w:r w:rsidRPr="000F5FEE">
        <w:rPr>
          <w:rFonts w:ascii="Times New Roman" w:hAnsi="Times New Roman" w:cs="Times New Roman"/>
          <w:sz w:val="24"/>
          <w:szCs w:val="24"/>
        </w:rPr>
        <w:t xml:space="preserve"> of any variance</w:t>
      </w:r>
      <w:r w:rsidR="00FD3890" w:rsidRPr="000F5FEE">
        <w:rPr>
          <w:rFonts w:ascii="Times New Roman" w:hAnsi="Times New Roman" w:cs="Times New Roman"/>
          <w:sz w:val="24"/>
          <w:szCs w:val="24"/>
        </w:rPr>
        <w:t>(s)</w:t>
      </w:r>
      <w:r w:rsidRPr="000F5FEE">
        <w:rPr>
          <w:rFonts w:ascii="Times New Roman" w:hAnsi="Times New Roman" w:cs="Times New Roman"/>
          <w:sz w:val="24"/>
          <w:szCs w:val="24"/>
        </w:rPr>
        <w:t>.</w:t>
      </w:r>
    </w:p>
    <w:p w14:paraId="2584176E" w14:textId="77777777" w:rsidR="003A6B34" w:rsidRPr="000F5FEE" w:rsidRDefault="003A6B34"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Budgeted and actual expenditures made to acquire conservation.</w:t>
      </w:r>
    </w:p>
    <w:p w14:paraId="5783AE7A" w14:textId="77777777" w:rsidR="003A6B34" w:rsidRPr="000F5FEE" w:rsidRDefault="003A6B34"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An evaluation of the cost-effectiveness of the actual electricity savings from conservation.</w:t>
      </w:r>
    </w:p>
    <w:p w14:paraId="5B6E63CB" w14:textId="429187F6" w:rsidR="00DF5B8F" w:rsidRPr="000F5FEE" w:rsidRDefault="00FD3890"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A</w:t>
      </w:r>
      <w:r w:rsidR="00DF5B8F" w:rsidRPr="000F5FEE">
        <w:rPr>
          <w:rFonts w:ascii="Times New Roman" w:hAnsi="Times New Roman" w:cs="Times New Roman"/>
          <w:sz w:val="24"/>
          <w:szCs w:val="24"/>
        </w:rPr>
        <w:t>n independent third-party evaluation of portfolio</w:t>
      </w:r>
      <w:r w:rsidRPr="000F5FEE">
        <w:rPr>
          <w:rFonts w:ascii="Times New Roman" w:hAnsi="Times New Roman" w:cs="Times New Roman"/>
          <w:sz w:val="24"/>
          <w:szCs w:val="24"/>
        </w:rPr>
        <w:t>-</w:t>
      </w:r>
      <w:r w:rsidR="00DF5B8F" w:rsidRPr="000F5FEE">
        <w:rPr>
          <w:rFonts w:ascii="Times New Roman" w:hAnsi="Times New Roman" w:cs="Times New Roman"/>
          <w:sz w:val="24"/>
          <w:szCs w:val="24"/>
        </w:rPr>
        <w:t xml:space="preserve">level </w:t>
      </w:r>
      <w:r w:rsidR="006F06FC" w:rsidRPr="000F5FEE">
        <w:rPr>
          <w:rFonts w:ascii="Times New Roman" w:hAnsi="Times New Roman" w:cs="Times New Roman"/>
          <w:sz w:val="24"/>
          <w:szCs w:val="24"/>
        </w:rPr>
        <w:t xml:space="preserve">biennial </w:t>
      </w:r>
      <w:r w:rsidRPr="000F5FEE">
        <w:rPr>
          <w:rFonts w:ascii="Times New Roman" w:hAnsi="Times New Roman" w:cs="Times New Roman"/>
          <w:sz w:val="24"/>
          <w:szCs w:val="24"/>
        </w:rPr>
        <w:t xml:space="preserve">conservation </w:t>
      </w:r>
      <w:r w:rsidR="00DF5B8F" w:rsidRPr="000F5FEE">
        <w:rPr>
          <w:rFonts w:ascii="Times New Roman" w:hAnsi="Times New Roman" w:cs="Times New Roman"/>
          <w:sz w:val="24"/>
          <w:szCs w:val="24"/>
        </w:rPr>
        <w:t>savings achievement.</w:t>
      </w:r>
    </w:p>
    <w:p w14:paraId="1179E201" w14:textId="39B9D5B4" w:rsidR="00DF5B8F" w:rsidRPr="000F5FEE" w:rsidRDefault="00DF42AB"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 xml:space="preserve">All </w:t>
      </w:r>
      <w:r w:rsidR="003A6B34" w:rsidRPr="000F5FEE">
        <w:rPr>
          <w:rFonts w:ascii="Times New Roman" w:hAnsi="Times New Roman" w:cs="Times New Roman"/>
          <w:sz w:val="24"/>
          <w:szCs w:val="24"/>
        </w:rPr>
        <w:t xml:space="preserve">program evaluations completed </w:t>
      </w:r>
      <w:r w:rsidR="00765F93" w:rsidRPr="000F5FEE">
        <w:rPr>
          <w:rFonts w:ascii="Times New Roman" w:hAnsi="Times New Roman" w:cs="Times New Roman"/>
          <w:sz w:val="24"/>
          <w:szCs w:val="24"/>
        </w:rPr>
        <w:t>in the preceding year</w:t>
      </w:r>
      <w:r w:rsidR="003A6B34" w:rsidRPr="000F5FEE">
        <w:rPr>
          <w:rFonts w:ascii="Times New Roman" w:hAnsi="Times New Roman" w:cs="Times New Roman"/>
          <w:sz w:val="24"/>
          <w:szCs w:val="24"/>
        </w:rPr>
        <w:t>.</w:t>
      </w:r>
    </w:p>
    <w:p w14:paraId="552DE438" w14:textId="4A284957" w:rsidR="003A6B34" w:rsidRPr="000F5FEE" w:rsidRDefault="00FD3890"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A d</w:t>
      </w:r>
      <w:r w:rsidR="003A6B34" w:rsidRPr="000F5FEE">
        <w:rPr>
          <w:rFonts w:ascii="Times New Roman" w:hAnsi="Times New Roman" w:cs="Times New Roman"/>
          <w:sz w:val="24"/>
          <w:szCs w:val="24"/>
        </w:rPr>
        <w:t>iscussion of the steps taken to adaptively manage conservation programs throughout the preceding two years.</w:t>
      </w:r>
    </w:p>
    <w:p w14:paraId="749A9E22" w14:textId="21B432BF" w:rsidR="006F06FC" w:rsidRPr="000F5FEE" w:rsidRDefault="006F06FC" w:rsidP="00C4467F">
      <w:pPr>
        <w:pStyle w:val="ListParagraph"/>
        <w:numPr>
          <w:ilvl w:val="0"/>
          <w:numId w:val="3"/>
        </w:numPr>
        <w:ind w:left="1800" w:hanging="720"/>
        <w:rPr>
          <w:rFonts w:ascii="Times New Roman" w:hAnsi="Times New Roman" w:cs="Times New Roman"/>
          <w:sz w:val="24"/>
          <w:szCs w:val="24"/>
        </w:rPr>
      </w:pPr>
      <w:r w:rsidRPr="000F5FEE">
        <w:rPr>
          <w:rFonts w:ascii="Times New Roman" w:hAnsi="Times New Roman" w:cs="Times New Roman"/>
          <w:sz w:val="24"/>
          <w:szCs w:val="24"/>
        </w:rPr>
        <w:t>Any other information needed to justify the conservation savings achievement.</w:t>
      </w:r>
    </w:p>
    <w:p w14:paraId="53DC9764" w14:textId="2AD073E1" w:rsidR="000A22F3" w:rsidRPr="000F5FEE" w:rsidRDefault="000A22F3" w:rsidP="000A22F3">
      <w:pPr>
        <w:pStyle w:val="ListParagraph"/>
        <w:numPr>
          <w:ilvl w:val="0"/>
          <w:numId w:val="4"/>
        </w:numPr>
        <w:rPr>
          <w:rFonts w:ascii="Times New Roman" w:hAnsi="Times New Roman" w:cs="Times New Roman"/>
          <w:sz w:val="24"/>
          <w:szCs w:val="24"/>
        </w:rPr>
      </w:pPr>
      <w:r w:rsidRPr="000F5FEE">
        <w:rPr>
          <w:rFonts w:ascii="Times New Roman" w:hAnsi="Times New Roman" w:cs="Times New Roman"/>
          <w:sz w:val="24"/>
          <w:szCs w:val="24"/>
        </w:rPr>
        <w:t xml:space="preserve">A utility must provide a summary of the biennial conservation report to its customers by bill insert or other suitable method within ninety days of </w:t>
      </w:r>
      <w:r w:rsidR="00ED0052" w:rsidRPr="000F5FEE">
        <w:rPr>
          <w:rFonts w:ascii="Times New Roman" w:hAnsi="Times New Roman" w:cs="Times New Roman"/>
          <w:sz w:val="24"/>
          <w:szCs w:val="24"/>
        </w:rPr>
        <w:t xml:space="preserve">the commission’s </w:t>
      </w:r>
      <w:r w:rsidRPr="000F5FEE">
        <w:rPr>
          <w:rFonts w:ascii="Times New Roman" w:hAnsi="Times New Roman" w:cs="Times New Roman"/>
          <w:sz w:val="24"/>
          <w:szCs w:val="24"/>
        </w:rPr>
        <w:t>final action on th</w:t>
      </w:r>
      <w:r w:rsidR="00ED0052" w:rsidRPr="000F5FEE">
        <w:rPr>
          <w:rFonts w:ascii="Times New Roman" w:hAnsi="Times New Roman" w:cs="Times New Roman"/>
          <w:sz w:val="24"/>
          <w:szCs w:val="24"/>
        </w:rPr>
        <w:t>e</w:t>
      </w:r>
      <w:r w:rsidRPr="000F5FEE">
        <w:rPr>
          <w:rFonts w:ascii="Times New Roman" w:hAnsi="Times New Roman" w:cs="Times New Roman"/>
          <w:sz w:val="24"/>
          <w:szCs w:val="24"/>
        </w:rPr>
        <w:t xml:space="preserve"> report.</w:t>
      </w:r>
    </w:p>
    <w:p w14:paraId="1FA6C8A2" w14:textId="25E5E21D" w:rsidR="00D34F3A" w:rsidRPr="000F5FEE" w:rsidRDefault="003A6B34" w:rsidP="007425AA">
      <w:pPr>
        <w:pStyle w:val="PlainText"/>
        <w:ind w:left="360" w:hanging="360"/>
        <w:rPr>
          <w:rFonts w:ascii="Times New Roman" w:hAnsi="Times New Roman" w:cs="Times New Roman"/>
          <w:b/>
          <w:sz w:val="24"/>
          <w:szCs w:val="24"/>
        </w:rPr>
      </w:pPr>
      <w:r w:rsidRPr="000F5FEE">
        <w:rPr>
          <w:rFonts w:ascii="Times New Roman" w:hAnsi="Times New Roman" w:cs="Times New Roman"/>
          <w:sz w:val="24"/>
          <w:szCs w:val="24"/>
        </w:rPr>
        <w:t>(4)</w:t>
      </w:r>
      <w:r w:rsidR="002C4107" w:rsidRPr="000F5FEE">
        <w:rPr>
          <w:rFonts w:ascii="Times New Roman" w:hAnsi="Times New Roman" w:cs="Times New Roman"/>
          <w:b/>
          <w:sz w:val="24"/>
          <w:szCs w:val="24"/>
        </w:rPr>
        <w:t xml:space="preserve"> </w:t>
      </w:r>
      <w:r w:rsidR="00720470" w:rsidRPr="000F5FEE">
        <w:rPr>
          <w:rFonts w:ascii="Times New Roman" w:hAnsi="Times New Roman" w:cs="Times New Roman"/>
          <w:b/>
          <w:sz w:val="24"/>
          <w:szCs w:val="24"/>
        </w:rPr>
        <w:t>Plan and r</w:t>
      </w:r>
      <w:r w:rsidR="002C4107" w:rsidRPr="000F5FEE">
        <w:rPr>
          <w:rFonts w:ascii="Times New Roman" w:hAnsi="Times New Roman" w:cs="Times New Roman"/>
          <w:b/>
          <w:sz w:val="24"/>
          <w:szCs w:val="24"/>
        </w:rPr>
        <w:t>eport review</w:t>
      </w:r>
      <w:r w:rsidR="00FD3890" w:rsidRPr="000F5FEE">
        <w:rPr>
          <w:rFonts w:ascii="Times New Roman" w:hAnsi="Times New Roman" w:cs="Times New Roman"/>
          <w:b/>
          <w:sz w:val="24"/>
          <w:szCs w:val="24"/>
        </w:rPr>
        <w:t xml:space="preserve">. </w:t>
      </w:r>
    </w:p>
    <w:p w14:paraId="689DE878" w14:textId="6F94AA05" w:rsidR="003A6B34" w:rsidRPr="000F5FEE" w:rsidRDefault="00CD68B2" w:rsidP="00CD68B2">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2C4107" w:rsidRPr="000F5FEE">
        <w:rPr>
          <w:rFonts w:ascii="Times New Roman" w:hAnsi="Times New Roman" w:cs="Times New Roman"/>
          <w:sz w:val="24"/>
          <w:szCs w:val="24"/>
        </w:rPr>
        <w:t xml:space="preserve">(a) </w:t>
      </w:r>
      <w:r w:rsidRPr="000F5FEE">
        <w:rPr>
          <w:rFonts w:ascii="Times New Roman" w:hAnsi="Times New Roman" w:cs="Times New Roman"/>
          <w:sz w:val="24"/>
          <w:szCs w:val="24"/>
        </w:rPr>
        <w:tab/>
      </w:r>
      <w:r w:rsidR="00ED0052" w:rsidRPr="000F5FEE">
        <w:rPr>
          <w:rFonts w:ascii="Times New Roman" w:hAnsi="Times New Roman" w:cs="Times New Roman"/>
          <w:sz w:val="24"/>
          <w:szCs w:val="24"/>
        </w:rPr>
        <w:t>I</w:t>
      </w:r>
      <w:r w:rsidR="003A6B34" w:rsidRPr="000F5FEE">
        <w:rPr>
          <w:rFonts w:ascii="Times New Roman" w:hAnsi="Times New Roman" w:cs="Times New Roman"/>
          <w:sz w:val="24"/>
          <w:szCs w:val="24"/>
        </w:rPr>
        <w:t>nterested persons may f</w:t>
      </w:r>
      <w:r w:rsidR="000A22F3" w:rsidRPr="000F5FEE">
        <w:rPr>
          <w:rFonts w:ascii="Times New Roman" w:hAnsi="Times New Roman" w:cs="Times New Roman"/>
          <w:sz w:val="24"/>
          <w:szCs w:val="24"/>
        </w:rPr>
        <w:t xml:space="preserve">ile written comments regarding the biennial conservation plan, annual conservation plan, and biennial conservation report </w:t>
      </w:r>
      <w:r w:rsidR="003A6B34" w:rsidRPr="000F5FEE">
        <w:rPr>
          <w:rFonts w:ascii="Times New Roman" w:hAnsi="Times New Roman" w:cs="Times New Roman"/>
          <w:sz w:val="24"/>
          <w:szCs w:val="24"/>
        </w:rPr>
        <w:t>within thirty days of the utility's filing.</w:t>
      </w:r>
    </w:p>
    <w:p w14:paraId="42A80282" w14:textId="36D523A9" w:rsidR="00CD68B2" w:rsidRPr="000F5FEE" w:rsidRDefault="003A6B34" w:rsidP="00CD68B2">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2C4107" w:rsidRPr="000F5FEE">
        <w:rPr>
          <w:rFonts w:ascii="Times New Roman" w:hAnsi="Times New Roman" w:cs="Times New Roman"/>
          <w:sz w:val="24"/>
          <w:szCs w:val="24"/>
        </w:rPr>
        <w:t>(</w:t>
      </w:r>
      <w:r w:rsidR="00B339F4" w:rsidRPr="000F5FEE">
        <w:rPr>
          <w:rFonts w:ascii="Times New Roman" w:hAnsi="Times New Roman" w:cs="Times New Roman"/>
          <w:sz w:val="24"/>
          <w:szCs w:val="24"/>
        </w:rPr>
        <w:t>b</w:t>
      </w:r>
      <w:r w:rsidRPr="000F5FEE">
        <w:rPr>
          <w:rFonts w:ascii="Times New Roman" w:hAnsi="Times New Roman" w:cs="Times New Roman"/>
          <w:sz w:val="24"/>
          <w:szCs w:val="24"/>
        </w:rPr>
        <w:t>) Upon conclusion of the commission review of the utility's report</w:t>
      </w:r>
      <w:r w:rsidR="00FF7F35" w:rsidRPr="000F5FEE">
        <w:rPr>
          <w:rFonts w:ascii="Times New Roman" w:hAnsi="Times New Roman" w:cs="Times New Roman"/>
          <w:sz w:val="24"/>
          <w:szCs w:val="24"/>
        </w:rPr>
        <w:t xml:space="preserve"> or plan</w:t>
      </w:r>
      <w:r w:rsidRPr="000F5FEE">
        <w:rPr>
          <w:rFonts w:ascii="Times New Roman" w:hAnsi="Times New Roman" w:cs="Times New Roman"/>
          <w:sz w:val="24"/>
          <w:szCs w:val="24"/>
        </w:rPr>
        <w:t>, the commission will issue a decision</w:t>
      </w:r>
      <w:r w:rsidR="00FF7F35" w:rsidRPr="000F5FEE">
        <w:rPr>
          <w:rFonts w:ascii="Times New Roman" w:hAnsi="Times New Roman" w:cs="Times New Roman"/>
          <w:sz w:val="24"/>
          <w:szCs w:val="24"/>
        </w:rPr>
        <w:t xml:space="preserve"> accepting or rejecting the calculation of the utility’s conservation target; or determining whether the utility has acquired enough conservation resources to comply with its conservation target.</w:t>
      </w:r>
      <w:r w:rsidRPr="000F5FEE">
        <w:rPr>
          <w:rFonts w:ascii="Times New Roman" w:hAnsi="Times New Roman" w:cs="Times New Roman"/>
          <w:sz w:val="24"/>
          <w:szCs w:val="24"/>
        </w:rPr>
        <w:t xml:space="preserve"> If the utility </w:t>
      </w:r>
      <w:r w:rsidR="00D57C6B" w:rsidRPr="000F5FEE">
        <w:rPr>
          <w:rFonts w:ascii="Times New Roman" w:hAnsi="Times New Roman" w:cs="Times New Roman"/>
          <w:sz w:val="24"/>
          <w:szCs w:val="24"/>
        </w:rPr>
        <w:t>does not meet its biennial conservation target described in WAC 480-109-010(2)</w:t>
      </w:r>
      <w:r w:rsidRPr="000F5FEE">
        <w:rPr>
          <w:rFonts w:ascii="Times New Roman" w:hAnsi="Times New Roman" w:cs="Times New Roman"/>
          <w:sz w:val="24"/>
          <w:szCs w:val="24"/>
        </w:rPr>
        <w:t>, the commission will determine the amount in megawatt-hours by which the utility was deficient.</w:t>
      </w:r>
    </w:p>
    <w:p w14:paraId="13CC6E8D" w14:textId="3A130652" w:rsidR="003A6B34" w:rsidRPr="000F5FEE" w:rsidRDefault="00CD68B2" w:rsidP="00CD68B2">
      <w:pPr>
        <w:pStyle w:val="PlainText"/>
        <w:ind w:left="720" w:hanging="720"/>
        <w:rPr>
          <w:rFonts w:ascii="Times New Roman" w:hAnsi="Times New Roman" w:cs="Times New Roman"/>
          <w:sz w:val="24"/>
          <w:szCs w:val="24"/>
        </w:rPr>
      </w:pPr>
      <w:r w:rsidRPr="000F5FEE">
        <w:rPr>
          <w:rFonts w:ascii="Times New Roman" w:hAnsi="Times New Roman" w:cs="Times New Roman"/>
          <w:sz w:val="24"/>
          <w:szCs w:val="24"/>
        </w:rPr>
        <w:t xml:space="preserve">       (</w:t>
      </w:r>
      <w:r w:rsidR="00B339F4" w:rsidRPr="000F5FEE">
        <w:rPr>
          <w:rFonts w:ascii="Times New Roman" w:hAnsi="Times New Roman" w:cs="Times New Roman"/>
          <w:sz w:val="24"/>
          <w:szCs w:val="24"/>
        </w:rPr>
        <w:t>c</w:t>
      </w:r>
      <w:r w:rsidRPr="000F5FEE">
        <w:rPr>
          <w:rFonts w:ascii="Times New Roman" w:hAnsi="Times New Roman" w:cs="Times New Roman"/>
          <w:sz w:val="24"/>
          <w:szCs w:val="24"/>
        </w:rPr>
        <w:t>)</w:t>
      </w:r>
      <w:r w:rsidRPr="000F5FEE">
        <w:rPr>
          <w:rFonts w:ascii="Times New Roman" w:hAnsi="Times New Roman" w:cs="Times New Roman"/>
          <w:sz w:val="24"/>
          <w:szCs w:val="24"/>
        </w:rPr>
        <w:tab/>
      </w:r>
      <w:r w:rsidR="003A6B34" w:rsidRPr="000F5FEE">
        <w:rPr>
          <w:rFonts w:ascii="Times New Roman" w:hAnsi="Times New Roman" w:cs="Times New Roman"/>
          <w:sz w:val="24"/>
          <w:szCs w:val="24"/>
        </w:rPr>
        <w:t xml:space="preserve">If a utility revises its </w:t>
      </w:r>
      <w:r w:rsidR="00D57C6B" w:rsidRPr="000F5FEE">
        <w:rPr>
          <w:rFonts w:ascii="Times New Roman" w:hAnsi="Times New Roman" w:cs="Times New Roman"/>
          <w:sz w:val="24"/>
          <w:szCs w:val="24"/>
        </w:rPr>
        <w:t xml:space="preserve">annual or </w:t>
      </w:r>
      <w:r w:rsidR="003A6B34" w:rsidRPr="000F5FEE">
        <w:rPr>
          <w:rFonts w:ascii="Times New Roman" w:hAnsi="Times New Roman" w:cs="Times New Roman"/>
          <w:sz w:val="24"/>
          <w:szCs w:val="24"/>
        </w:rPr>
        <w:t>biennial conservation report</w:t>
      </w:r>
      <w:r w:rsidR="00D57C6B" w:rsidRPr="000F5FEE">
        <w:rPr>
          <w:rFonts w:ascii="Times New Roman" w:hAnsi="Times New Roman" w:cs="Times New Roman"/>
          <w:sz w:val="24"/>
          <w:szCs w:val="24"/>
        </w:rPr>
        <w:t>s</w:t>
      </w:r>
      <w:r w:rsidR="003A6B34" w:rsidRPr="000F5FEE">
        <w:rPr>
          <w:rFonts w:ascii="Times New Roman" w:hAnsi="Times New Roman" w:cs="Times New Roman"/>
          <w:sz w:val="24"/>
          <w:szCs w:val="24"/>
        </w:rPr>
        <w:t xml:space="preserve"> as a result of the commission review, the utility must submit the revised final report to the department.</w:t>
      </w:r>
    </w:p>
    <w:p w14:paraId="0770FD64" w14:textId="784D1500" w:rsidR="003A6B34" w:rsidRPr="000F5FEE" w:rsidRDefault="00EC62CB" w:rsidP="005F2F2E">
      <w:pPr>
        <w:pStyle w:val="PlainText"/>
        <w:ind w:left="360" w:hanging="360"/>
        <w:rPr>
          <w:rFonts w:ascii="Times New Roman" w:hAnsi="Times New Roman" w:cs="Times New Roman"/>
          <w:sz w:val="24"/>
          <w:szCs w:val="24"/>
        </w:rPr>
      </w:pPr>
      <w:r w:rsidRPr="000F5FEE">
        <w:rPr>
          <w:rFonts w:ascii="Times New Roman" w:hAnsi="Times New Roman" w:cs="Times New Roman"/>
          <w:sz w:val="24"/>
          <w:szCs w:val="24"/>
        </w:rPr>
        <w:t>(5</w:t>
      </w:r>
      <w:r w:rsidR="003A6B34" w:rsidRPr="000F5FEE">
        <w:rPr>
          <w:rFonts w:ascii="Times New Roman" w:hAnsi="Times New Roman" w:cs="Times New Roman"/>
          <w:sz w:val="24"/>
          <w:szCs w:val="24"/>
        </w:rPr>
        <w:t xml:space="preserve">) </w:t>
      </w:r>
      <w:r w:rsidR="00CD68B2" w:rsidRPr="000F5FEE">
        <w:rPr>
          <w:rFonts w:ascii="Times New Roman" w:hAnsi="Times New Roman" w:cs="Times New Roman"/>
          <w:b/>
          <w:sz w:val="24"/>
          <w:szCs w:val="24"/>
        </w:rPr>
        <w:t xml:space="preserve">Publication of reports. </w:t>
      </w:r>
      <w:r w:rsidR="003A6B34" w:rsidRPr="000F5FEE">
        <w:rPr>
          <w:rFonts w:ascii="Times New Roman" w:hAnsi="Times New Roman" w:cs="Times New Roman"/>
          <w:sz w:val="24"/>
          <w:szCs w:val="24"/>
        </w:rPr>
        <w:t xml:space="preserve">All current and historical </w:t>
      </w:r>
      <w:r w:rsidR="003D30C2" w:rsidRPr="000F5FEE">
        <w:rPr>
          <w:rFonts w:ascii="Times New Roman" w:hAnsi="Times New Roman" w:cs="Times New Roman"/>
          <w:sz w:val="24"/>
          <w:szCs w:val="24"/>
        </w:rPr>
        <w:t xml:space="preserve">plans and </w:t>
      </w:r>
      <w:r w:rsidR="003A6B34" w:rsidRPr="000F5FEE">
        <w:rPr>
          <w:rFonts w:ascii="Times New Roman" w:hAnsi="Times New Roman" w:cs="Times New Roman"/>
          <w:sz w:val="24"/>
          <w:szCs w:val="24"/>
        </w:rPr>
        <w:t xml:space="preserve">reports </w:t>
      </w:r>
      <w:r w:rsidR="00ED0052" w:rsidRPr="000F5FEE">
        <w:rPr>
          <w:rFonts w:ascii="Times New Roman" w:hAnsi="Times New Roman" w:cs="Times New Roman"/>
          <w:sz w:val="24"/>
          <w:szCs w:val="24"/>
        </w:rPr>
        <w:t xml:space="preserve">required in this section </w:t>
      </w:r>
      <w:r w:rsidR="003A6B34" w:rsidRPr="000F5FEE">
        <w:rPr>
          <w:rFonts w:ascii="Times New Roman" w:hAnsi="Times New Roman" w:cs="Times New Roman"/>
          <w:sz w:val="24"/>
          <w:szCs w:val="24"/>
        </w:rPr>
        <w:t>must be posted on the utility's web site and a copy of any report must be provided to any person upon request.</w:t>
      </w:r>
    </w:p>
    <w:p w14:paraId="6D12FACC" w14:textId="77777777" w:rsidR="007351D7" w:rsidRPr="000F5FEE" w:rsidRDefault="007351D7" w:rsidP="00DF5B8F">
      <w:pPr>
        <w:pStyle w:val="PlainText"/>
        <w:rPr>
          <w:rFonts w:ascii="Times New Roman" w:hAnsi="Times New Roman" w:cs="Times New Roman"/>
          <w:sz w:val="24"/>
          <w:szCs w:val="24"/>
        </w:rPr>
      </w:pPr>
    </w:p>
    <w:p w14:paraId="2BF65CF1" w14:textId="77777777" w:rsidR="00522323" w:rsidRPr="000F5FEE" w:rsidRDefault="00522323">
      <w:pPr>
        <w:rPr>
          <w:rFonts w:ascii="Times New Roman" w:hAnsi="Times New Roman" w:cs="Times New Roman"/>
          <w:b/>
          <w:sz w:val="24"/>
          <w:szCs w:val="24"/>
        </w:rPr>
      </w:pPr>
      <w:r w:rsidRPr="000F5FEE">
        <w:rPr>
          <w:rFonts w:ascii="Times New Roman" w:hAnsi="Times New Roman" w:cs="Times New Roman"/>
          <w:b/>
          <w:sz w:val="24"/>
          <w:szCs w:val="24"/>
        </w:rPr>
        <w:br w:type="page"/>
      </w:r>
    </w:p>
    <w:p w14:paraId="258713F7" w14:textId="58F33FE4" w:rsidR="00F723C9" w:rsidRPr="000F5FEE" w:rsidRDefault="00F723C9" w:rsidP="00F723C9">
      <w:pPr>
        <w:pStyle w:val="PlainText"/>
        <w:rPr>
          <w:rFonts w:ascii="Times New Roman" w:hAnsi="Times New Roman" w:cs="Times New Roman"/>
          <w:b/>
          <w:sz w:val="24"/>
          <w:szCs w:val="24"/>
        </w:rPr>
      </w:pPr>
      <w:r w:rsidRPr="000F5FEE">
        <w:rPr>
          <w:rFonts w:ascii="Times New Roman" w:hAnsi="Times New Roman" w:cs="Times New Roman"/>
          <w:b/>
          <w:sz w:val="24"/>
          <w:szCs w:val="24"/>
        </w:rPr>
        <w:t>480-109-020</w:t>
      </w:r>
      <w:r w:rsidRPr="000F5FEE">
        <w:rPr>
          <w:rFonts w:ascii="Times New Roman" w:hAnsi="Times New Roman" w:cs="Times New Roman"/>
          <w:b/>
          <w:sz w:val="24"/>
          <w:szCs w:val="24"/>
        </w:rPr>
        <w:tab/>
        <w:t xml:space="preserve">Renewable </w:t>
      </w:r>
      <w:r w:rsidR="007425AA" w:rsidRPr="000F5FEE">
        <w:rPr>
          <w:rFonts w:ascii="Times New Roman" w:hAnsi="Times New Roman" w:cs="Times New Roman"/>
          <w:b/>
          <w:sz w:val="24"/>
          <w:szCs w:val="24"/>
        </w:rPr>
        <w:t>portfolio standard</w:t>
      </w:r>
      <w:r w:rsidRPr="000F5FEE">
        <w:rPr>
          <w:rFonts w:ascii="Times New Roman" w:hAnsi="Times New Roman" w:cs="Times New Roman"/>
          <w:b/>
          <w:sz w:val="24"/>
          <w:szCs w:val="24"/>
        </w:rPr>
        <w:t>.</w:t>
      </w:r>
    </w:p>
    <w:p w14:paraId="4A15ABC5"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b/>
          <w:sz w:val="24"/>
          <w:szCs w:val="24"/>
        </w:rPr>
        <w:t xml:space="preserve">Annual target. </w:t>
      </w:r>
      <w:r w:rsidRPr="000F5FEE">
        <w:rPr>
          <w:rFonts w:ascii="Times New Roman" w:hAnsi="Times New Roman" w:cs="Times New Roman"/>
          <w:sz w:val="24"/>
          <w:szCs w:val="24"/>
        </w:rPr>
        <w:t>Each utility must meet the following annual targets.</w:t>
      </w:r>
    </w:p>
    <w:p w14:paraId="3C6B8885"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 xml:space="preserve"> By January 1 of each year beginning in 2012 and continuing through 2015, each utility must use sufficient eligible renewable resources, acquire equivalent renewable energy credits, or a combination of both, to supply at least three percent of its two-year average load for the remainder of each target year.</w:t>
      </w:r>
    </w:p>
    <w:p w14:paraId="04613C00"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By January 1 of each year beginning in 2016 and continuing through 2019, each utility must use sufficient eligible renewable resources, acquire equivalent renewable energy credits, or a combination of both, to supply at least nine percent of its two-year average load for the remainder of each target year.</w:t>
      </w:r>
    </w:p>
    <w:p w14:paraId="21476BC6"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By January 1 of each year beginning in 2020 and continuing each year thereafter, each utility must use sufficient eligible renewable resources, acquire equivalent renewable energy credits, or a combination of both, to supply at least fifteen percent of its two-year average load for the remainder of each target year.</w:t>
      </w:r>
    </w:p>
    <w:p w14:paraId="4BFE3F01"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sz w:val="24"/>
          <w:szCs w:val="24"/>
        </w:rPr>
        <w:t>Renewable energy credits produced during the target year, the preceding year or the subsequent year may be used to comply with this annual renewable resource requirement provided that they were acquired by January 1 of the target year.</w:t>
      </w:r>
    </w:p>
    <w:p w14:paraId="73C3EC6A"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sz w:val="24"/>
          <w:szCs w:val="24"/>
        </w:rPr>
        <w:t>All eligible renewable resource generation and all renewable energy credits used for utility compliance with the renewable energy standards must be registered in WREGIS.</w:t>
      </w:r>
    </w:p>
    <w:p w14:paraId="3E51A3A8"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b/>
          <w:sz w:val="24"/>
          <w:szCs w:val="24"/>
        </w:rPr>
        <w:t xml:space="preserve">Renewable energy credit multipliers.  </w:t>
      </w:r>
      <w:r w:rsidRPr="000F5FEE">
        <w:rPr>
          <w:rFonts w:ascii="Times New Roman" w:hAnsi="Times New Roman" w:cs="Times New Roman"/>
          <w:sz w:val="24"/>
          <w:szCs w:val="24"/>
        </w:rPr>
        <w:t>The multipliers described in this subsection do not create additional renewable energy credits.</w:t>
      </w:r>
      <w:r w:rsidRPr="000F5FEE">
        <w:rPr>
          <w:rFonts w:ascii="Times New Roman" w:hAnsi="Times New Roman" w:cs="Times New Roman"/>
          <w:b/>
          <w:sz w:val="24"/>
          <w:szCs w:val="24"/>
        </w:rPr>
        <w:t xml:space="preserve">  </w:t>
      </w:r>
      <w:r w:rsidRPr="000F5FEE">
        <w:rPr>
          <w:rFonts w:ascii="Times New Roman" w:hAnsi="Times New Roman" w:cs="Times New Roman"/>
          <w:sz w:val="24"/>
          <w:szCs w:val="24"/>
        </w:rPr>
        <w:t>A utility may count renewable energy resources and credits at:</w:t>
      </w:r>
    </w:p>
    <w:p w14:paraId="5D003554"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One and two-tenths times the base value where the eligible resource:</w:t>
      </w:r>
    </w:p>
    <w:p w14:paraId="6C0AB46D"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Commenced operation after December 31, 2005; and </w:t>
      </w:r>
    </w:p>
    <w:p w14:paraId="71B89C6D"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The developer of the facility used apprenticeship programs approved by the Washington state apprenticeship and training council.</w:t>
      </w:r>
    </w:p>
    <w:p w14:paraId="5255F1EA"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Two times the base value where the eligible resource was generated by distributed generation and:</w:t>
      </w:r>
    </w:p>
    <w:p w14:paraId="462E82A3"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The utility owns or has contracted for the distributed generation and the associated renewable energy credits; or</w:t>
      </w:r>
    </w:p>
    <w:p w14:paraId="01567EE3"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The utility has contracted to purchase the associated renewable energy credits.</w:t>
      </w:r>
    </w:p>
    <w:p w14:paraId="6E4E6B81"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A utility that uses a multiplier described in this subsection for compliance must retire the associated base value renewable energy credit at the same time.  A utility may not transact the multipliers described in this subsection independent of the associated base value renewable energy credit.</w:t>
      </w:r>
    </w:p>
    <w:p w14:paraId="517F380A" w14:textId="5336C0A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sz w:val="24"/>
          <w:szCs w:val="24"/>
        </w:rPr>
        <w:t xml:space="preserve">In meeting the annual targets of this section, a utility must calculate its annual </w:t>
      </w:r>
      <w:r w:rsidR="007425AA" w:rsidRPr="000F5FEE">
        <w:rPr>
          <w:rFonts w:ascii="Times New Roman" w:hAnsi="Times New Roman" w:cs="Times New Roman"/>
          <w:sz w:val="24"/>
          <w:szCs w:val="24"/>
        </w:rPr>
        <w:t>target</w:t>
      </w:r>
      <w:r w:rsidRPr="000F5FEE">
        <w:rPr>
          <w:rFonts w:ascii="Times New Roman" w:hAnsi="Times New Roman" w:cs="Times New Roman"/>
          <w:sz w:val="24"/>
          <w:szCs w:val="24"/>
        </w:rPr>
        <w:t xml:space="preserve"> based on the average of the utility's load for the previous two years.</w:t>
      </w:r>
    </w:p>
    <w:p w14:paraId="1895A689"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sz w:val="24"/>
          <w:szCs w:val="24"/>
        </w:rPr>
        <w:t>A renewable resource within the Pacific Northwest may receive integration, shaping, storage or other services from sources outside of the Pacific Northwest and remain eligible to count towards a utility's renewable resource target.</w:t>
      </w:r>
    </w:p>
    <w:p w14:paraId="40229383"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b/>
          <w:sz w:val="24"/>
          <w:szCs w:val="24"/>
        </w:rPr>
        <w:t xml:space="preserve">Incremental hydropower calculation. </w:t>
      </w:r>
      <w:r w:rsidRPr="000F5FEE">
        <w:rPr>
          <w:rFonts w:ascii="Times New Roman" w:hAnsi="Times New Roman" w:cs="Times New Roman"/>
          <w:sz w:val="24"/>
          <w:szCs w:val="24"/>
        </w:rPr>
        <w:t>A utility must use one of the following methods to calculate the quantity of incremental electricity produced by eligible efficiency upgrades to any hydropower facility, regardless of ownership, that is used to meet the annual targets of this section.</w:t>
      </w:r>
    </w:p>
    <w:p w14:paraId="0981D5D8"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 xml:space="preserve"> </w:t>
      </w:r>
      <w:r w:rsidRPr="000F5FEE">
        <w:rPr>
          <w:rFonts w:ascii="Times New Roman" w:hAnsi="Times New Roman" w:cs="Times New Roman"/>
          <w:b/>
          <w:sz w:val="24"/>
          <w:szCs w:val="24"/>
        </w:rPr>
        <w:t xml:space="preserve">Method one. </w:t>
      </w:r>
      <w:r w:rsidRPr="000F5FEE">
        <w:rPr>
          <w:rFonts w:ascii="Times New Roman" w:hAnsi="Times New Roman" w:cs="Times New Roman"/>
          <w:sz w:val="24"/>
          <w:szCs w:val="24"/>
        </w:rPr>
        <w:t>An annual calculation performed by:</w:t>
      </w:r>
    </w:p>
    <w:p w14:paraId="54F57D5C"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Determining the river discharge for the facility in the target year;</w:t>
      </w:r>
    </w:p>
    <w:p w14:paraId="68D70D9C"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Measuring the total amount of electricity produced by the upgraded hydropower facility during the target year;</w:t>
      </w:r>
    </w:p>
    <w:p w14:paraId="1D31F5B0" w14:textId="1EE8967E"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 Using a power curve-based production model to calculate how much energy the pre-upgrade facility would have generated under the same </w:t>
      </w:r>
      <w:r w:rsidR="009578AF" w:rsidRPr="000F5FEE">
        <w:rPr>
          <w:rFonts w:ascii="Times New Roman" w:hAnsi="Times New Roman" w:cs="Times New Roman"/>
          <w:sz w:val="24"/>
          <w:szCs w:val="24"/>
        </w:rPr>
        <w:t xml:space="preserve">river </w:t>
      </w:r>
      <w:r w:rsidRPr="000F5FEE">
        <w:rPr>
          <w:rFonts w:ascii="Times New Roman" w:hAnsi="Times New Roman" w:cs="Times New Roman"/>
          <w:sz w:val="24"/>
          <w:szCs w:val="24"/>
        </w:rPr>
        <w:t>discharge observed in the target year; and</w:t>
      </w:r>
    </w:p>
    <w:p w14:paraId="20AB1683"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Subtracting the model output in in subsection (iii) from the measurement in subsection (ii) to determine the quantity of eligible renewable energy produced by the facility during the target year.</w:t>
      </w:r>
    </w:p>
    <w:p w14:paraId="5E8B748F"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b/>
          <w:sz w:val="24"/>
          <w:szCs w:val="24"/>
        </w:rPr>
        <w:t>Method two.</w:t>
      </w:r>
      <w:r w:rsidRPr="000F5FEE">
        <w:rPr>
          <w:rFonts w:ascii="Times New Roman" w:hAnsi="Times New Roman" w:cs="Times New Roman"/>
          <w:sz w:val="24"/>
          <w:szCs w:val="24"/>
        </w:rPr>
        <w:t xml:space="preserve"> An annual application of a percentage to total production performed by:</w:t>
      </w:r>
    </w:p>
    <w:p w14:paraId="27036B0A" w14:textId="78536942"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Determining the river discharge for the facility over a historical period of at least </w:t>
      </w:r>
      <w:r w:rsidR="00F6729E" w:rsidRPr="000F5FEE">
        <w:rPr>
          <w:rFonts w:ascii="Times New Roman" w:hAnsi="Times New Roman" w:cs="Times New Roman"/>
          <w:sz w:val="24"/>
          <w:szCs w:val="24"/>
        </w:rPr>
        <w:t>XX</w:t>
      </w:r>
      <w:r w:rsidRPr="000F5FEE">
        <w:rPr>
          <w:rFonts w:ascii="Times New Roman" w:hAnsi="Times New Roman" w:cs="Times New Roman"/>
          <w:sz w:val="24"/>
          <w:szCs w:val="24"/>
        </w:rPr>
        <w:t xml:space="preserve"> consecutive years;</w:t>
      </w:r>
    </w:p>
    <w:p w14:paraId="492E3759"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Using power curve-based production models to calculate the facility’s generation under the river discharge of each year in the historical period for the pre-upgrade state and the post-upgrade state;</w:t>
      </w:r>
    </w:p>
    <w:p w14:paraId="0D0E2D92"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 Calculating the arithmetic mean of generation in both the pre-upgrade and post-upgrade states over the historical period;</w:t>
      </w:r>
    </w:p>
    <w:p w14:paraId="73F70484"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 Calculate a factor by dividing the arithmetic mean post-upgrade generation by the arithmetic mean pre-upgrade generation and subtracting one; and</w:t>
      </w:r>
    </w:p>
    <w:p w14:paraId="66752AEB"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Multiply the facility’s observed generation in the target year by the factor calculated in subsection (iv) to determine the share of the facility’s observed generation that may be reported as eligible renewable energy.</w:t>
      </w:r>
    </w:p>
    <w:p w14:paraId="37FC7A06"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 xml:space="preserve"> </w:t>
      </w:r>
      <w:r w:rsidRPr="000F5FEE">
        <w:rPr>
          <w:rFonts w:ascii="Times New Roman" w:hAnsi="Times New Roman" w:cs="Times New Roman"/>
          <w:b/>
          <w:sz w:val="24"/>
          <w:szCs w:val="24"/>
        </w:rPr>
        <w:t>Method three.</w:t>
      </w:r>
      <w:r w:rsidRPr="000F5FEE">
        <w:rPr>
          <w:rFonts w:ascii="Times New Roman" w:hAnsi="Times New Roman" w:cs="Times New Roman"/>
          <w:sz w:val="24"/>
          <w:szCs w:val="24"/>
        </w:rPr>
        <w:t xml:space="preserve"> A pilot method that a utility may use to demonstrate compliance only for target years 2014 to 2017.  Method three is a one-time calculation of the quantity of renewable energy performed by:</w:t>
      </w:r>
    </w:p>
    <w:p w14:paraId="6BE20D4C" w14:textId="61FD116C"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Determining the </w:t>
      </w:r>
      <w:r w:rsidR="008E0478" w:rsidRPr="000F5FEE">
        <w:rPr>
          <w:rFonts w:ascii="Times New Roman" w:hAnsi="Times New Roman" w:cs="Times New Roman"/>
          <w:sz w:val="24"/>
          <w:szCs w:val="24"/>
        </w:rPr>
        <w:t xml:space="preserve">river </w:t>
      </w:r>
      <w:r w:rsidRPr="000F5FEE">
        <w:rPr>
          <w:rFonts w:ascii="Times New Roman" w:hAnsi="Times New Roman" w:cs="Times New Roman"/>
          <w:sz w:val="24"/>
          <w:szCs w:val="24"/>
        </w:rPr>
        <w:t xml:space="preserve">discharge for the facility over a historical period of at least </w:t>
      </w:r>
      <w:r w:rsidR="00F6729E" w:rsidRPr="000F5FEE">
        <w:rPr>
          <w:rFonts w:ascii="Times New Roman" w:hAnsi="Times New Roman" w:cs="Times New Roman"/>
          <w:sz w:val="24"/>
          <w:szCs w:val="24"/>
        </w:rPr>
        <w:t>XX</w:t>
      </w:r>
      <w:r w:rsidRPr="000F5FEE">
        <w:rPr>
          <w:rFonts w:ascii="Times New Roman" w:hAnsi="Times New Roman" w:cs="Times New Roman"/>
          <w:sz w:val="24"/>
          <w:szCs w:val="24"/>
        </w:rPr>
        <w:t xml:space="preserve"> consecutive years;</w:t>
      </w:r>
    </w:p>
    <w:p w14:paraId="5A2503A2"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Using a production model to calculate the facility’s generation in megawatt-hours under the river discharge of each year in the historical period for the pre-upgrade state and the post-upgrade state;</w:t>
      </w:r>
      <w:r w:rsidRPr="000F5FEE" w:rsidDel="00C01D91">
        <w:rPr>
          <w:rFonts w:ascii="Times New Roman" w:hAnsi="Times New Roman" w:cs="Times New Roman"/>
          <w:sz w:val="24"/>
          <w:szCs w:val="24"/>
        </w:rPr>
        <w:t xml:space="preserve"> </w:t>
      </w:r>
    </w:p>
    <w:p w14:paraId="590954C3" w14:textId="7A8DDB88"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Calculating the arithmetic mean generation of the pre-upgrade and post-upgrade states over the historical period in megawatt hours;</w:t>
      </w:r>
      <w:r w:rsidR="00984875" w:rsidRPr="000F5FEE">
        <w:rPr>
          <w:rFonts w:ascii="Times New Roman" w:hAnsi="Times New Roman" w:cs="Times New Roman"/>
          <w:sz w:val="24"/>
          <w:szCs w:val="24"/>
        </w:rPr>
        <w:t xml:space="preserve"> and</w:t>
      </w:r>
    </w:p>
    <w:p w14:paraId="5605A0CB" w14:textId="44712009"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 xml:space="preserve">Subtracting the arithmetic mean pre-upgrade generation from the arithmetic mean post-upgrade generation to determine the amount of eligible renewable generation for the target </w:t>
      </w:r>
      <w:r w:rsidR="00984875" w:rsidRPr="000F5FEE">
        <w:rPr>
          <w:rFonts w:ascii="Times New Roman" w:hAnsi="Times New Roman" w:cs="Times New Roman"/>
          <w:sz w:val="24"/>
          <w:szCs w:val="24"/>
        </w:rPr>
        <w:t>year.</w:t>
      </w:r>
    </w:p>
    <w:p w14:paraId="30F6716D" w14:textId="77777777" w:rsidR="00F723C9" w:rsidRPr="000F5FEE" w:rsidRDefault="00F723C9" w:rsidP="00F723C9">
      <w:pPr>
        <w:pStyle w:val="PlainText"/>
        <w:numPr>
          <w:ilvl w:val="2"/>
          <w:numId w:val="19"/>
        </w:numPr>
        <w:rPr>
          <w:rFonts w:ascii="Times New Roman" w:hAnsi="Times New Roman" w:cs="Times New Roman"/>
          <w:sz w:val="24"/>
          <w:szCs w:val="24"/>
        </w:rPr>
      </w:pPr>
      <w:r w:rsidRPr="000F5FEE">
        <w:rPr>
          <w:rFonts w:ascii="Times New Roman" w:hAnsi="Times New Roman" w:cs="Times New Roman"/>
          <w:sz w:val="24"/>
          <w:szCs w:val="24"/>
        </w:rPr>
        <w:t>In the utility’s 2017 renewable portfolio standard report, providing an analysis comparing the amount of incremental hydropower the utility reported in the five previous years using method three to the amount of incremental hydropower the utility would have reported over the same period using one of the other two methods. A utility may not use method three to demonstrate compliance for a target year after 2017 unless granted an exemption from this rule by the commission.</w:t>
      </w:r>
    </w:p>
    <w:p w14:paraId="796A28BA" w14:textId="77777777" w:rsidR="00F723C9" w:rsidRPr="000F5FEE" w:rsidRDefault="00F723C9" w:rsidP="00F723C9">
      <w:pPr>
        <w:pStyle w:val="PlainText"/>
        <w:numPr>
          <w:ilvl w:val="0"/>
          <w:numId w:val="19"/>
        </w:numPr>
        <w:rPr>
          <w:rFonts w:ascii="Times New Roman" w:hAnsi="Times New Roman" w:cs="Times New Roman"/>
          <w:sz w:val="24"/>
          <w:szCs w:val="24"/>
        </w:rPr>
      </w:pPr>
      <w:r w:rsidRPr="000F5FEE">
        <w:rPr>
          <w:rFonts w:ascii="Times New Roman" w:hAnsi="Times New Roman" w:cs="Times New Roman"/>
          <w:b/>
          <w:sz w:val="24"/>
          <w:szCs w:val="24"/>
        </w:rPr>
        <w:t xml:space="preserve">Qualified biomass energy. </w:t>
      </w:r>
      <w:r w:rsidRPr="000F5FEE">
        <w:rPr>
          <w:rFonts w:ascii="Times New Roman" w:hAnsi="Times New Roman" w:cs="Times New Roman"/>
          <w:sz w:val="24"/>
          <w:szCs w:val="24"/>
        </w:rPr>
        <w:t>Beginning January 1, 2016, only a utility that owns or is directly interconnected to a qualified biomass energy facility may use qualified biomass energy to meet its annual target obligation.</w:t>
      </w:r>
    </w:p>
    <w:p w14:paraId="78A9685E"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A utility may no longer use electricity and associated renewable energy credits from a qualified biomass energy facility if the associated industrial pulping or wood manufacturing facility ceases operation other than for purposes of maintenance or upgrade.</w:t>
      </w:r>
    </w:p>
    <w:p w14:paraId="7107BD48" w14:textId="45005B4D"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A utility may acquire renewable energy credits from a qualified biomass energy resource hosted by an industrial facility only if the facility is directly interconnected to the utility at transmission voltage. The number of renewable energy credits that the utility may acquire from an industrial facility for the utility’s target compliance may not be greater than the utility’s renewable portfolio standard percentage times the industrial facility load.</w:t>
      </w:r>
    </w:p>
    <w:p w14:paraId="50F56379" w14:textId="77777777" w:rsidR="00F723C9" w:rsidRPr="000F5FEE" w:rsidRDefault="00F723C9" w:rsidP="00F723C9">
      <w:pPr>
        <w:pStyle w:val="PlainText"/>
        <w:numPr>
          <w:ilvl w:val="1"/>
          <w:numId w:val="19"/>
        </w:numPr>
        <w:rPr>
          <w:rFonts w:ascii="Times New Roman" w:hAnsi="Times New Roman" w:cs="Times New Roman"/>
          <w:sz w:val="24"/>
          <w:szCs w:val="24"/>
        </w:rPr>
      </w:pPr>
      <w:r w:rsidRPr="000F5FEE">
        <w:rPr>
          <w:rFonts w:ascii="Times New Roman" w:hAnsi="Times New Roman" w:cs="Times New Roman"/>
          <w:sz w:val="24"/>
          <w:szCs w:val="24"/>
        </w:rPr>
        <w:t xml:space="preserve">A utility that owns a qualified biomass energy facility may not transfer or sell renewable energy credits associated with qualified biomass energy to another person, entity, or utility. </w:t>
      </w:r>
    </w:p>
    <w:p w14:paraId="739D3504" w14:textId="77777777" w:rsidR="00F723C9" w:rsidRPr="000F5FEE" w:rsidRDefault="00F723C9" w:rsidP="00F723C9">
      <w:pPr>
        <w:pStyle w:val="PlainText"/>
        <w:ind w:left="360"/>
        <w:rPr>
          <w:rFonts w:ascii="Times New Roman" w:hAnsi="Times New Roman" w:cs="Times New Roman"/>
          <w:sz w:val="24"/>
          <w:szCs w:val="24"/>
        </w:rPr>
      </w:pPr>
    </w:p>
    <w:p w14:paraId="668C84C8" w14:textId="68B2880F" w:rsidR="00490763" w:rsidRPr="000F5FEE" w:rsidRDefault="00490763">
      <w:pPr>
        <w:rPr>
          <w:rFonts w:ascii="Times New Roman" w:hAnsi="Times New Roman" w:cs="Times New Roman"/>
          <w:sz w:val="24"/>
          <w:szCs w:val="24"/>
        </w:rPr>
      </w:pPr>
      <w:r w:rsidRPr="000F5FEE">
        <w:rPr>
          <w:rFonts w:ascii="Times New Roman" w:hAnsi="Times New Roman" w:cs="Times New Roman"/>
          <w:sz w:val="24"/>
          <w:szCs w:val="24"/>
        </w:rPr>
        <w:br w:type="page"/>
      </w:r>
    </w:p>
    <w:p w14:paraId="2BD04A6D" w14:textId="77777777" w:rsidR="00B519FB" w:rsidRPr="000F5FEE" w:rsidRDefault="00B519FB" w:rsidP="00B519FB">
      <w:pPr>
        <w:pStyle w:val="PlainText"/>
        <w:rPr>
          <w:rFonts w:ascii="Times New Roman" w:hAnsi="Times New Roman" w:cs="Times New Roman"/>
          <w:b/>
          <w:sz w:val="24"/>
          <w:szCs w:val="24"/>
        </w:rPr>
      </w:pPr>
      <w:r w:rsidRPr="000F5FEE">
        <w:rPr>
          <w:rFonts w:ascii="Times New Roman" w:hAnsi="Times New Roman" w:cs="Times New Roman"/>
          <w:b/>
          <w:sz w:val="24"/>
          <w:szCs w:val="24"/>
        </w:rPr>
        <w:t xml:space="preserve">480-109-030 </w:t>
      </w:r>
      <w:r w:rsidRPr="000F5FEE">
        <w:rPr>
          <w:rFonts w:ascii="Times New Roman" w:hAnsi="Times New Roman" w:cs="Times New Roman"/>
          <w:b/>
          <w:sz w:val="24"/>
          <w:szCs w:val="24"/>
        </w:rPr>
        <w:tab/>
        <w:t>Alternatives to the renewable resource requirement.</w:t>
      </w:r>
    </w:p>
    <w:p w14:paraId="70C3EF7E" w14:textId="77777777" w:rsidR="00B519FB" w:rsidRPr="000F5FEE" w:rsidRDefault="00B519FB" w:rsidP="00B519FB">
      <w:pPr>
        <w:pStyle w:val="PlainText"/>
        <w:rPr>
          <w:rFonts w:ascii="Times New Roman" w:hAnsi="Times New Roman" w:cs="Times New Roman"/>
          <w:sz w:val="24"/>
          <w:szCs w:val="24"/>
        </w:rPr>
      </w:pPr>
      <w:r w:rsidRPr="000F5FEE">
        <w:rPr>
          <w:rFonts w:ascii="Times New Roman" w:hAnsi="Times New Roman" w:cs="Times New Roman"/>
          <w:sz w:val="24"/>
          <w:szCs w:val="24"/>
        </w:rPr>
        <w:t xml:space="preserve">  Instead of fully meeting its annual renewable resource target in WAC 480-109-020, a utility may make one of three demonstrations.</w:t>
      </w:r>
    </w:p>
    <w:p w14:paraId="27C7A1F2" w14:textId="7689BA0E" w:rsidR="00B519FB" w:rsidRPr="000F5FEE" w:rsidRDefault="00B519FB" w:rsidP="00B519FB">
      <w:pPr>
        <w:pStyle w:val="PlainText"/>
        <w:numPr>
          <w:ilvl w:val="0"/>
          <w:numId w:val="20"/>
        </w:numPr>
        <w:rPr>
          <w:rFonts w:ascii="Times New Roman" w:hAnsi="Times New Roman" w:cs="Times New Roman"/>
          <w:sz w:val="24"/>
          <w:szCs w:val="24"/>
        </w:rPr>
      </w:pPr>
      <w:r w:rsidRPr="000F5FEE">
        <w:rPr>
          <w:rFonts w:ascii="Times New Roman" w:hAnsi="Times New Roman" w:cs="Times New Roman"/>
          <w:sz w:val="24"/>
          <w:szCs w:val="24"/>
        </w:rPr>
        <w:t xml:space="preserve">A utility may invest at least four percent of its total annual retail revenue requirement on the incremental costs of eligible renewable resources, renewable energy credits, or a combination of both. </w:t>
      </w:r>
    </w:p>
    <w:p w14:paraId="309C8D6B" w14:textId="77777777" w:rsidR="00B519FB" w:rsidRPr="000F5FEE" w:rsidRDefault="00B519FB" w:rsidP="00B519FB">
      <w:pPr>
        <w:pStyle w:val="PlainText"/>
        <w:numPr>
          <w:ilvl w:val="0"/>
          <w:numId w:val="20"/>
        </w:numPr>
        <w:rPr>
          <w:rFonts w:ascii="Times New Roman" w:hAnsi="Times New Roman" w:cs="Times New Roman"/>
          <w:sz w:val="24"/>
          <w:szCs w:val="24"/>
        </w:rPr>
      </w:pPr>
      <w:r w:rsidRPr="000F5FEE">
        <w:rPr>
          <w:rFonts w:ascii="Times New Roman" w:hAnsi="Times New Roman" w:cs="Times New Roman"/>
          <w:sz w:val="24"/>
          <w:szCs w:val="24"/>
        </w:rPr>
        <w:t>A utility may demonstrate that events beyond its reasonable control that could not have been reasonably anticipated or ameliorated prevented it from meeting the renewable energy target. Such events may include weather-related damage, mechanical failure, strikes, lockouts, or actions of a governmental  authority that adversely affect the generation, transmission, or distribution of an eligible renewable resource owned by or under contract to a qualifying utility.</w:t>
      </w:r>
    </w:p>
    <w:p w14:paraId="00EA06CF" w14:textId="77777777" w:rsidR="00B519FB" w:rsidRPr="000F5FEE" w:rsidRDefault="00B519FB" w:rsidP="00B519FB">
      <w:pPr>
        <w:pStyle w:val="PlainText"/>
        <w:numPr>
          <w:ilvl w:val="0"/>
          <w:numId w:val="20"/>
        </w:numPr>
        <w:rPr>
          <w:rFonts w:ascii="Times New Roman" w:hAnsi="Times New Roman" w:cs="Times New Roman"/>
          <w:sz w:val="24"/>
          <w:szCs w:val="24"/>
        </w:rPr>
      </w:pPr>
      <w:r w:rsidRPr="000F5FEE">
        <w:rPr>
          <w:rFonts w:ascii="Times New Roman" w:hAnsi="Times New Roman" w:cs="Times New Roman"/>
          <w:sz w:val="24"/>
          <w:szCs w:val="24"/>
        </w:rPr>
        <w:t>A utility may demonstrate all of the following:</w:t>
      </w:r>
    </w:p>
    <w:p w14:paraId="2D13EADF" w14:textId="77777777" w:rsidR="00B519FB" w:rsidRPr="000F5FEE" w:rsidRDefault="00B519FB" w:rsidP="00B519FB">
      <w:pPr>
        <w:pStyle w:val="PlainText"/>
        <w:numPr>
          <w:ilvl w:val="1"/>
          <w:numId w:val="20"/>
        </w:numPr>
        <w:rPr>
          <w:rFonts w:ascii="Times New Roman" w:hAnsi="Times New Roman" w:cs="Times New Roman"/>
          <w:sz w:val="24"/>
          <w:szCs w:val="24"/>
        </w:rPr>
      </w:pPr>
      <w:r w:rsidRPr="000F5FEE">
        <w:rPr>
          <w:rFonts w:ascii="Times New Roman" w:hAnsi="Times New Roman" w:cs="Times New Roman"/>
          <w:sz w:val="24"/>
          <w:szCs w:val="24"/>
        </w:rPr>
        <w:t>Its weather-adjusted load for the previous three years prior to the target year on average did not increase.</w:t>
      </w:r>
    </w:p>
    <w:p w14:paraId="70264547" w14:textId="77777777" w:rsidR="00B519FB" w:rsidRPr="000F5FEE" w:rsidRDefault="00B519FB" w:rsidP="00B519FB">
      <w:pPr>
        <w:pStyle w:val="PlainText"/>
        <w:numPr>
          <w:ilvl w:val="1"/>
          <w:numId w:val="20"/>
        </w:numPr>
        <w:rPr>
          <w:rFonts w:ascii="Times New Roman" w:hAnsi="Times New Roman" w:cs="Times New Roman"/>
          <w:sz w:val="24"/>
          <w:szCs w:val="24"/>
        </w:rPr>
      </w:pPr>
      <w:r w:rsidRPr="000F5FEE">
        <w:rPr>
          <w:rFonts w:ascii="Times New Roman" w:hAnsi="Times New Roman" w:cs="Times New Roman"/>
          <w:sz w:val="24"/>
          <w:szCs w:val="24"/>
        </w:rPr>
        <w:t>After December 7, 2006, all new or renewed ownership or purchases of electricity from nonrenewable resources other than coal transition power and daily spot purchases were offset by equivalent renewable energy credits.</w:t>
      </w:r>
    </w:p>
    <w:p w14:paraId="073C9917" w14:textId="77777777" w:rsidR="00B519FB" w:rsidRPr="000F5FEE" w:rsidRDefault="00B519FB" w:rsidP="00B519FB">
      <w:pPr>
        <w:pStyle w:val="PlainText"/>
        <w:numPr>
          <w:ilvl w:val="1"/>
          <w:numId w:val="20"/>
        </w:numPr>
        <w:rPr>
          <w:rFonts w:ascii="Times New Roman" w:hAnsi="Times New Roman" w:cs="Times New Roman"/>
          <w:sz w:val="24"/>
          <w:szCs w:val="24"/>
        </w:rPr>
      </w:pPr>
      <w:r w:rsidRPr="000F5FEE">
        <w:rPr>
          <w:rFonts w:ascii="Times New Roman" w:hAnsi="Times New Roman" w:cs="Times New Roman"/>
          <w:sz w:val="24"/>
          <w:szCs w:val="24"/>
        </w:rPr>
        <w:t>It invested at least one percent of its total annual retail revenue requirement that year on eligible renewable resources, renewable energy credits, or a combination of both.</w:t>
      </w:r>
    </w:p>
    <w:p w14:paraId="3AC9AC72" w14:textId="77777777" w:rsidR="00B519FB" w:rsidRPr="000F5FEE" w:rsidRDefault="00B519FB" w:rsidP="00B519FB">
      <w:pPr>
        <w:pStyle w:val="PlainText"/>
        <w:rPr>
          <w:rFonts w:ascii="Times New Roman" w:hAnsi="Times New Roman" w:cs="Times New Roman"/>
          <w:sz w:val="24"/>
          <w:szCs w:val="24"/>
        </w:rPr>
      </w:pPr>
    </w:p>
    <w:p w14:paraId="65E967E1" w14:textId="77777777" w:rsidR="00B519FB" w:rsidRPr="000F5FEE" w:rsidRDefault="00B519FB" w:rsidP="00B519FB">
      <w:pPr>
        <w:pStyle w:val="PlainText"/>
        <w:rPr>
          <w:rFonts w:ascii="Times New Roman" w:hAnsi="Times New Roman" w:cs="Times New Roman"/>
          <w:sz w:val="18"/>
          <w:szCs w:val="18"/>
        </w:rPr>
      </w:pPr>
      <w:r w:rsidRPr="000F5FEE">
        <w:rPr>
          <w:rFonts w:ascii="Times New Roman" w:hAnsi="Times New Roman" w:cs="Times New Roman"/>
          <w:sz w:val="18"/>
          <w:szCs w:val="18"/>
        </w:rPr>
        <w:t>[Statutory Authority: RCW 80.01.040, 80.04.160, and chapter 19.285 RCW.   07-24-012 and 08-01-037 (Docket UE-061895, General Order R-546), § 480-109-030, filed 11/27/07 and 12/10/07, effective 12/28/07 and 1/10/08.]</w:t>
      </w:r>
    </w:p>
    <w:p w14:paraId="668C84D4" w14:textId="77777777" w:rsidR="00A03A7E" w:rsidRPr="000F5FEE" w:rsidRDefault="00A03A7E" w:rsidP="00DF5B8F">
      <w:pPr>
        <w:pStyle w:val="PlainText"/>
        <w:rPr>
          <w:rFonts w:ascii="Times New Roman" w:hAnsi="Times New Roman" w:cs="Times New Roman"/>
          <w:sz w:val="24"/>
          <w:szCs w:val="24"/>
        </w:rPr>
      </w:pPr>
    </w:p>
    <w:p w14:paraId="46327B51" w14:textId="77777777" w:rsidR="00522323" w:rsidRPr="000F5FEE" w:rsidRDefault="00522323">
      <w:pPr>
        <w:rPr>
          <w:rFonts w:ascii="Times New Roman" w:hAnsi="Times New Roman" w:cs="Times New Roman"/>
          <w:b/>
          <w:sz w:val="24"/>
          <w:szCs w:val="24"/>
        </w:rPr>
      </w:pPr>
      <w:r w:rsidRPr="000F5FEE">
        <w:rPr>
          <w:rFonts w:ascii="Times New Roman" w:hAnsi="Times New Roman" w:cs="Times New Roman"/>
          <w:b/>
          <w:sz w:val="24"/>
          <w:szCs w:val="24"/>
        </w:rPr>
        <w:br w:type="page"/>
      </w:r>
    </w:p>
    <w:p w14:paraId="59B7B668" w14:textId="099154EF" w:rsidR="00B519FB" w:rsidRPr="000F5FEE" w:rsidRDefault="00E357EF" w:rsidP="00E357EF">
      <w:pPr>
        <w:pStyle w:val="PlainText"/>
        <w:rPr>
          <w:rFonts w:ascii="Times New Roman" w:hAnsi="Times New Roman" w:cs="Times New Roman"/>
          <w:b/>
          <w:sz w:val="24"/>
          <w:szCs w:val="24"/>
        </w:rPr>
      </w:pPr>
      <w:r>
        <w:rPr>
          <w:rFonts w:ascii="Times New Roman" w:hAnsi="Times New Roman" w:cs="Times New Roman"/>
          <w:b/>
          <w:sz w:val="24"/>
          <w:szCs w:val="24"/>
        </w:rPr>
        <w:t>480-109-040</w:t>
      </w:r>
      <w:r>
        <w:rPr>
          <w:rFonts w:ascii="Times New Roman" w:hAnsi="Times New Roman" w:cs="Times New Roman"/>
          <w:b/>
          <w:sz w:val="24"/>
          <w:szCs w:val="24"/>
        </w:rPr>
        <w:tab/>
      </w:r>
      <w:r w:rsidR="00B519FB" w:rsidRPr="000F5FEE">
        <w:rPr>
          <w:rFonts w:ascii="Times New Roman" w:hAnsi="Times New Roman" w:cs="Times New Roman"/>
          <w:b/>
          <w:sz w:val="24"/>
          <w:szCs w:val="24"/>
        </w:rPr>
        <w:t>Renewable portfolio standard reporting requirements.</w:t>
      </w:r>
    </w:p>
    <w:p w14:paraId="2C4AA301" w14:textId="77777777" w:rsidR="000F5FEE" w:rsidRDefault="00B519FB" w:rsidP="000F5FEE">
      <w:pPr>
        <w:pStyle w:val="PlainText"/>
        <w:numPr>
          <w:ilvl w:val="0"/>
          <w:numId w:val="22"/>
        </w:numPr>
        <w:rPr>
          <w:rFonts w:ascii="Times New Roman" w:hAnsi="Times New Roman" w:cs="Times New Roman"/>
          <w:sz w:val="24"/>
          <w:szCs w:val="24"/>
        </w:rPr>
      </w:pPr>
      <w:r w:rsidRPr="000F5FEE">
        <w:rPr>
          <w:rFonts w:ascii="Times New Roman" w:hAnsi="Times New Roman" w:cs="Times New Roman"/>
          <w:b/>
          <w:sz w:val="24"/>
          <w:szCs w:val="24"/>
        </w:rPr>
        <w:t xml:space="preserve">Annual report. </w:t>
      </w:r>
      <w:r w:rsidRPr="000F5FEE">
        <w:rPr>
          <w:rFonts w:ascii="Times New Roman" w:hAnsi="Times New Roman" w:cs="Times New Roman"/>
          <w:sz w:val="24"/>
          <w:szCs w:val="24"/>
        </w:rPr>
        <w:t xml:space="preserve">On or before every June 1, each utility must file an annual renewable portfolio standard report with the commission and the department detailing the resources the utility has acquired or contracted to acquire to meet its renewable resource obligation for the target year. </w:t>
      </w:r>
    </w:p>
    <w:p w14:paraId="4ECBEB16" w14:textId="465C2C56" w:rsidR="00B519FB" w:rsidRPr="000F5FEE" w:rsidRDefault="00B519FB" w:rsidP="000F5FEE">
      <w:pPr>
        <w:pStyle w:val="PlainText"/>
        <w:numPr>
          <w:ilvl w:val="0"/>
          <w:numId w:val="22"/>
        </w:numPr>
        <w:rPr>
          <w:rFonts w:ascii="Times New Roman" w:hAnsi="Times New Roman" w:cs="Times New Roman"/>
          <w:sz w:val="24"/>
          <w:szCs w:val="24"/>
        </w:rPr>
      </w:pPr>
      <w:r w:rsidRPr="000F5FEE">
        <w:rPr>
          <w:rFonts w:ascii="Times New Roman" w:hAnsi="Times New Roman" w:cs="Times New Roman"/>
          <w:b/>
          <w:sz w:val="24"/>
          <w:szCs w:val="24"/>
        </w:rPr>
        <w:t xml:space="preserve">Annual report contents. </w:t>
      </w:r>
      <w:r w:rsidRPr="000F5FEE">
        <w:rPr>
          <w:rFonts w:ascii="Times New Roman" w:hAnsi="Times New Roman" w:cs="Times New Roman"/>
          <w:sz w:val="24"/>
          <w:szCs w:val="24"/>
        </w:rPr>
        <w:t xml:space="preserve">The annual renewable portfolio standard report must include the utility's annual load for the prior two years, the total number of megawatt-hours from eligible renewable resources and/or renewable resource credits the utility needed to meet its annual renewable energy target by January 1 of the target year, the amount (in megawatt-hours)  of each type of eligible renewable resource used, and the amount of renewable energy credits acquired. Additionally, the annual renewable portfolio standard report must include the following: </w:t>
      </w:r>
    </w:p>
    <w:p w14:paraId="0006904D" w14:textId="016A06F0" w:rsidR="00B519FB" w:rsidRPr="000F5FEE" w:rsidRDefault="00B519FB" w:rsidP="00B519FB">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Incremental cost calculation. </w:t>
      </w:r>
      <w:r w:rsidRPr="000F5FEE">
        <w:rPr>
          <w:rFonts w:ascii="Times New Roman" w:hAnsi="Times New Roman" w:cs="Times New Roman"/>
          <w:sz w:val="24"/>
          <w:szCs w:val="24"/>
        </w:rPr>
        <w:t xml:space="preserve">To calculate </w:t>
      </w:r>
      <w:r w:rsidR="00400B2B" w:rsidRPr="000F5FEE">
        <w:rPr>
          <w:rFonts w:ascii="Times New Roman" w:hAnsi="Times New Roman" w:cs="Times New Roman"/>
          <w:sz w:val="24"/>
          <w:szCs w:val="24"/>
        </w:rPr>
        <w:t xml:space="preserve">its </w:t>
      </w:r>
      <w:r w:rsidRPr="000F5FEE">
        <w:rPr>
          <w:rFonts w:ascii="Times New Roman" w:hAnsi="Times New Roman" w:cs="Times New Roman"/>
          <w:sz w:val="24"/>
          <w:szCs w:val="24"/>
        </w:rPr>
        <w:t>incremental cost, a utility must:</w:t>
      </w:r>
    </w:p>
    <w:p w14:paraId="16DA7D44"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Determine the </w:t>
      </w:r>
      <w:proofErr w:type="spellStart"/>
      <w:r w:rsidRPr="000F5FEE">
        <w:rPr>
          <w:rFonts w:ascii="Times New Roman" w:hAnsi="Times New Roman" w:cs="Times New Roman"/>
          <w:sz w:val="24"/>
          <w:szCs w:val="24"/>
        </w:rPr>
        <w:t>levelized</w:t>
      </w:r>
      <w:proofErr w:type="spellEnd"/>
      <w:r w:rsidRPr="000F5FEE">
        <w:rPr>
          <w:rFonts w:ascii="Times New Roman" w:hAnsi="Times New Roman" w:cs="Times New Roman"/>
          <w:sz w:val="24"/>
          <w:szCs w:val="24"/>
        </w:rPr>
        <w:t xml:space="preserve"> cost of energy for each eligible resource, including integration costs, expressed in dollars per megawatt hour;</w:t>
      </w:r>
    </w:p>
    <w:p w14:paraId="57046262"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Select and document the lowest-reasonable-cost, non-eligible resource available to the utility. The non-eligible resource may not be a spot market purchase, and must have the same contract length or facility life as the eligible resource; </w:t>
      </w:r>
    </w:p>
    <w:p w14:paraId="5E3F3870"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Determine the </w:t>
      </w:r>
      <w:proofErr w:type="spellStart"/>
      <w:r w:rsidRPr="000F5FEE">
        <w:rPr>
          <w:rFonts w:ascii="Times New Roman" w:hAnsi="Times New Roman" w:cs="Times New Roman"/>
          <w:sz w:val="24"/>
          <w:szCs w:val="24"/>
        </w:rPr>
        <w:t>levelized</w:t>
      </w:r>
      <w:proofErr w:type="spellEnd"/>
      <w:r w:rsidRPr="000F5FEE">
        <w:rPr>
          <w:rFonts w:ascii="Times New Roman" w:hAnsi="Times New Roman" w:cs="Times New Roman"/>
          <w:sz w:val="24"/>
          <w:szCs w:val="24"/>
        </w:rPr>
        <w:t xml:space="preserve"> cost of energy generated by the non-eligible resource selected in subsection (ii), expressed in dollars per megawatt hour;</w:t>
      </w:r>
    </w:p>
    <w:p w14:paraId="3A650B76"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Sum the </w:t>
      </w:r>
      <w:proofErr w:type="spellStart"/>
      <w:r w:rsidRPr="000F5FEE">
        <w:rPr>
          <w:rFonts w:ascii="Times New Roman" w:hAnsi="Times New Roman" w:cs="Times New Roman"/>
          <w:sz w:val="24"/>
          <w:szCs w:val="24"/>
        </w:rPr>
        <w:t>levelized</w:t>
      </w:r>
      <w:proofErr w:type="spellEnd"/>
      <w:r w:rsidRPr="000F5FEE">
        <w:rPr>
          <w:rFonts w:ascii="Times New Roman" w:hAnsi="Times New Roman" w:cs="Times New Roman"/>
          <w:sz w:val="24"/>
          <w:szCs w:val="24"/>
        </w:rPr>
        <w:t xml:space="preserve"> cost of every megawatt-hour of eligible electricity generated during the target year;</w:t>
      </w:r>
    </w:p>
    <w:p w14:paraId="5175817D"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Determine the energy and capacity costs associated with acquiring the same number of megawatt-hours from the non-eligible resource selected in subsection (ii);</w:t>
      </w:r>
    </w:p>
    <w:p w14:paraId="23F56729"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Subtract the total cost of the non-eligible resource calculated in subsection (v) from the total cost of the eligible resources determined in subsection (iv); </w:t>
      </w:r>
    </w:p>
    <w:p w14:paraId="18836611"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Add the cost of any unbundled renewable energy credits purchased for target year compliance to the subtotal determined in subsection (vi); and</w:t>
      </w:r>
    </w:p>
    <w:p w14:paraId="03EF494F" w14:textId="21E1A638" w:rsidR="00B519FB" w:rsidRPr="000F5FEE" w:rsidRDefault="00490763"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Subtract</w:t>
      </w:r>
      <w:r w:rsidR="00B519FB" w:rsidRPr="000F5FEE">
        <w:rPr>
          <w:rFonts w:ascii="Times New Roman" w:hAnsi="Times New Roman" w:cs="Times New Roman"/>
          <w:sz w:val="24"/>
          <w:szCs w:val="24"/>
        </w:rPr>
        <w:t xml:space="preserve"> the revenue from the sales of any renewable energy credits from eligible facilities subtotal determined in subsection (vii).</w:t>
      </w:r>
    </w:p>
    <w:p w14:paraId="0DDC18D8" w14:textId="780B5A0F"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The total calculated in subsection (vii</w:t>
      </w:r>
      <w:r w:rsidR="00490763" w:rsidRPr="000F5FEE">
        <w:rPr>
          <w:rFonts w:ascii="Times New Roman" w:hAnsi="Times New Roman" w:cs="Times New Roman"/>
          <w:sz w:val="24"/>
          <w:szCs w:val="24"/>
        </w:rPr>
        <w:t>i</w:t>
      </w:r>
      <w:r w:rsidRPr="000F5FEE">
        <w:rPr>
          <w:rFonts w:ascii="Times New Roman" w:hAnsi="Times New Roman" w:cs="Times New Roman"/>
          <w:sz w:val="24"/>
          <w:szCs w:val="24"/>
        </w:rPr>
        <w:t xml:space="preserve">) is the incremental cost of all eligible renewable resources. This total should be presented as a dollar amount, as a percentage of the utility’s current revenue requirement, and in dollars per megawatt-hour.   </w:t>
      </w:r>
    </w:p>
    <w:p w14:paraId="4FB1D256" w14:textId="77777777" w:rsidR="00B519FB" w:rsidRPr="000F5FEE" w:rsidRDefault="00B519FB" w:rsidP="00B519FB">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Multiply the dollars per megawatt-hour cost calculated in subsection (viii) by the number of megawatt-hours needed for compliance.</w:t>
      </w:r>
    </w:p>
    <w:p w14:paraId="73DF0C19" w14:textId="5E41CB45" w:rsidR="00B519FB" w:rsidRPr="000F5FEE" w:rsidRDefault="00B519FB" w:rsidP="00B519FB">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Alternative compliance. </w:t>
      </w:r>
      <w:r w:rsidR="007425AA" w:rsidRPr="000F5FEE">
        <w:rPr>
          <w:rFonts w:ascii="Times New Roman" w:hAnsi="Times New Roman" w:cs="Times New Roman"/>
          <w:sz w:val="24"/>
          <w:szCs w:val="24"/>
        </w:rPr>
        <w:t xml:space="preserve"> State</w:t>
      </w:r>
      <w:r w:rsidRPr="000F5FEE">
        <w:rPr>
          <w:rFonts w:ascii="Times New Roman" w:hAnsi="Times New Roman" w:cs="Times New Roman"/>
          <w:sz w:val="24"/>
          <w:szCs w:val="24"/>
        </w:rPr>
        <w:t xml:space="preserve"> whether the utility is relying upon one of the alternative compliance mechanisms provided in WAC 480-109-030 instead of fully meeting its renewable resource target. A utility using an alternative compliance mechanism must use the incremental cost methodology described in this section and include sufficient data, documentation and other information in its report to demonstrate that it qualifies to use that alternative mechanism.</w:t>
      </w:r>
    </w:p>
    <w:p w14:paraId="076D1458" w14:textId="77777777" w:rsidR="00E357EF" w:rsidRDefault="00B519FB" w:rsidP="009B1077">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Compliance Plan. </w:t>
      </w:r>
      <w:r w:rsidRPr="000F5FEE">
        <w:rPr>
          <w:rFonts w:ascii="Times New Roman" w:hAnsi="Times New Roman" w:cs="Times New Roman"/>
          <w:sz w:val="24"/>
          <w:szCs w:val="24"/>
        </w:rPr>
        <w:t xml:space="preserve">Describe the steps the utility took to meet the renewable resource requirements for the target year. </w:t>
      </w:r>
    </w:p>
    <w:p w14:paraId="79319E99" w14:textId="7EB23022" w:rsidR="00B519FB" w:rsidRPr="000F5FEE" w:rsidRDefault="00B519FB" w:rsidP="009B1077">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Eligible resources. </w:t>
      </w:r>
      <w:r w:rsidR="009B1077" w:rsidRPr="000F5FEE">
        <w:rPr>
          <w:rFonts w:ascii="Times New Roman" w:hAnsi="Times New Roman" w:cs="Times New Roman"/>
          <w:sz w:val="24"/>
          <w:szCs w:val="24"/>
        </w:rPr>
        <w:t>A list of e</w:t>
      </w:r>
      <w:r w:rsidRPr="000F5FEE">
        <w:rPr>
          <w:rFonts w:ascii="Times New Roman" w:hAnsi="Times New Roman" w:cs="Times New Roman"/>
          <w:sz w:val="24"/>
          <w:szCs w:val="24"/>
        </w:rPr>
        <w:t>ach eligible renewable resource</w:t>
      </w:r>
      <w:r w:rsidR="009B1077" w:rsidRPr="000F5FEE">
        <w:rPr>
          <w:rFonts w:ascii="Times New Roman" w:hAnsi="Times New Roman" w:cs="Times New Roman"/>
          <w:sz w:val="24"/>
          <w:szCs w:val="24"/>
        </w:rPr>
        <w:t>,</w:t>
      </w:r>
      <w:r w:rsidRPr="000F5FEE">
        <w:rPr>
          <w:rFonts w:ascii="Times New Roman" w:hAnsi="Times New Roman" w:cs="Times New Roman"/>
          <w:sz w:val="24"/>
          <w:szCs w:val="24"/>
        </w:rPr>
        <w:t xml:space="preserve"> </w:t>
      </w:r>
      <w:r w:rsidR="009B1077" w:rsidRPr="000F5FEE">
        <w:rPr>
          <w:rFonts w:ascii="Times New Roman" w:hAnsi="Times New Roman" w:cs="Times New Roman"/>
          <w:sz w:val="24"/>
          <w:szCs w:val="24"/>
        </w:rPr>
        <w:t xml:space="preserve">for which a utility owns the renewable energy credits or qualifying hydroelectric generation, </w:t>
      </w:r>
      <w:r w:rsidRPr="000F5FEE">
        <w:rPr>
          <w:rFonts w:ascii="Times New Roman" w:hAnsi="Times New Roman" w:cs="Times New Roman"/>
          <w:sz w:val="24"/>
          <w:szCs w:val="24"/>
        </w:rPr>
        <w:t>with an installed capacity greater than 25 kilowatts. Resources with an installed capacity of less than 25 kilowatts may be reported in terms of aggregate capacity. The list must include:</w:t>
      </w:r>
    </w:p>
    <w:p w14:paraId="7F9E57C1" w14:textId="0262D2B1" w:rsidR="00B519FB" w:rsidRPr="000F5FEE" w:rsidRDefault="00B519FB" w:rsidP="009B1077">
      <w:pPr>
        <w:pStyle w:val="PlainText"/>
        <w:numPr>
          <w:ilvl w:val="2"/>
          <w:numId w:val="23"/>
        </w:numPr>
        <w:rPr>
          <w:rFonts w:ascii="Times New Roman" w:hAnsi="Times New Roman" w:cs="Times New Roman"/>
          <w:sz w:val="24"/>
          <w:szCs w:val="24"/>
        </w:rPr>
      </w:pPr>
      <w:r w:rsidRPr="000F5FEE">
        <w:rPr>
          <w:rFonts w:ascii="Times New Roman" w:hAnsi="Times New Roman" w:cs="Times New Roman"/>
          <w:sz w:val="24"/>
          <w:szCs w:val="24"/>
        </w:rPr>
        <w:t xml:space="preserve">Each resource’s WREGIS registration status and use of renewable energy credits, </w:t>
      </w:r>
      <w:r w:rsidR="00777EA6" w:rsidRPr="000F5FEE">
        <w:rPr>
          <w:rFonts w:ascii="Times New Roman" w:hAnsi="Times New Roman" w:cs="Times New Roman"/>
          <w:sz w:val="24"/>
          <w:szCs w:val="24"/>
        </w:rPr>
        <w:t>whether it be for annual target compliance, a voluntary renewable energy program as provided for in RCW 19.29A.090, or owned by the customer</w:t>
      </w:r>
      <w:r w:rsidR="009B1077" w:rsidRPr="000F5FEE">
        <w:rPr>
          <w:rFonts w:ascii="Times New Roman" w:hAnsi="Times New Roman" w:cs="Times New Roman"/>
          <w:sz w:val="24"/>
          <w:szCs w:val="24"/>
        </w:rPr>
        <w:t>, and</w:t>
      </w:r>
    </w:p>
    <w:p w14:paraId="789970D5" w14:textId="51709A9B" w:rsidR="00B519FB" w:rsidRPr="000F5FEE" w:rsidRDefault="00B519FB" w:rsidP="009B1077">
      <w:pPr>
        <w:pStyle w:val="PlainText"/>
        <w:numPr>
          <w:ilvl w:val="2"/>
          <w:numId w:val="23"/>
        </w:numPr>
        <w:rPr>
          <w:rFonts w:ascii="Times New Roman" w:hAnsi="Times New Roman" w:cs="Times New Roman"/>
          <w:sz w:val="24"/>
          <w:szCs w:val="24"/>
        </w:rPr>
      </w:pPr>
      <w:r w:rsidRPr="000F5FEE">
        <w:rPr>
          <w:rFonts w:ascii="Times New Roman" w:hAnsi="Times New Roman" w:cs="Times New Roman"/>
          <w:sz w:val="24"/>
          <w:szCs w:val="24"/>
        </w:rPr>
        <w:t>Eligible resources being included in the report for the first time and docu</w:t>
      </w:r>
      <w:r w:rsidR="009B1077" w:rsidRPr="000F5FEE">
        <w:rPr>
          <w:rFonts w:ascii="Times New Roman" w:hAnsi="Times New Roman" w:cs="Times New Roman"/>
          <w:sz w:val="24"/>
          <w:szCs w:val="24"/>
        </w:rPr>
        <w:t>mentation of their eligibility.</w:t>
      </w:r>
    </w:p>
    <w:p w14:paraId="4231002F" w14:textId="77777777" w:rsidR="00115A79" w:rsidRPr="000F5FEE" w:rsidRDefault="00115A79" w:rsidP="00115A79">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Multi-state allocations. </w:t>
      </w:r>
    </w:p>
    <w:p w14:paraId="6CE0DD6B" w14:textId="77777777" w:rsidR="00115A79" w:rsidRPr="000F5FEE" w:rsidRDefault="00115A79" w:rsidP="00115A79">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 xml:space="preserve">If a utility serves retail customers in more than one state, the utility must allocate renewable energy credits and qualifying hydroelectric generation consistent with the utility’s most recent commission-approved interstate cost allocation methodology. The report must show how the utility applied the allocation methodology to arrive at the amount of renewable energy credits and qualifying hydroelectric generation allocated to Washington ratepayers.  </w:t>
      </w:r>
    </w:p>
    <w:p w14:paraId="099B439E" w14:textId="77777777" w:rsidR="00115A79" w:rsidRPr="000F5FEE" w:rsidRDefault="00115A79" w:rsidP="00115A79">
      <w:pPr>
        <w:pStyle w:val="PlainText"/>
        <w:numPr>
          <w:ilvl w:val="2"/>
          <w:numId w:val="21"/>
        </w:numPr>
        <w:rPr>
          <w:rFonts w:ascii="Times New Roman" w:hAnsi="Times New Roman" w:cs="Times New Roman"/>
          <w:sz w:val="24"/>
          <w:szCs w:val="24"/>
        </w:rPr>
      </w:pPr>
      <w:r w:rsidRPr="000F5FEE">
        <w:rPr>
          <w:rFonts w:ascii="Times New Roman" w:hAnsi="Times New Roman" w:cs="Times New Roman"/>
          <w:sz w:val="24"/>
          <w:szCs w:val="24"/>
        </w:rPr>
        <w:t>After documenting the amount of renewable energy credits and qualifying hydroelectric generation allocated to Washington ratepayers, a utility may transfer renewable energy credits or qualifying hydroelectric generation to or from Washington ratepayers.  The report must document the compensation provided to each jurisdiction’s ratepayers for such transfers.</w:t>
      </w:r>
    </w:p>
    <w:p w14:paraId="247DAD89" w14:textId="77777777" w:rsidR="00115A79" w:rsidRPr="000F5FEE" w:rsidRDefault="00115A79" w:rsidP="00115A79">
      <w:pPr>
        <w:pStyle w:val="PlainText"/>
        <w:numPr>
          <w:ilvl w:val="1"/>
          <w:numId w:val="21"/>
        </w:numPr>
        <w:rPr>
          <w:rFonts w:ascii="Times New Roman" w:hAnsi="Times New Roman" w:cs="Times New Roman"/>
          <w:sz w:val="24"/>
          <w:szCs w:val="24"/>
        </w:rPr>
      </w:pPr>
      <w:r w:rsidRPr="000F5FEE">
        <w:rPr>
          <w:rFonts w:ascii="Times New Roman" w:hAnsi="Times New Roman" w:cs="Times New Roman"/>
          <w:b/>
          <w:sz w:val="24"/>
          <w:szCs w:val="24"/>
        </w:rPr>
        <w:t xml:space="preserve">Sales. </w:t>
      </w:r>
      <w:r w:rsidRPr="000F5FEE">
        <w:rPr>
          <w:rFonts w:ascii="Times New Roman" w:hAnsi="Times New Roman" w:cs="Times New Roman"/>
          <w:sz w:val="24"/>
          <w:szCs w:val="24"/>
        </w:rPr>
        <w:t>If a utility sold renewable energy credits, report the number of credits that it sold, their WREGIS certificate numbers, their source, and the revenues obtained from the sales. If a utility sold eligible hydroelectricity, report the number of megawatt-hours sold, their source, and the revenues obtained from the sales.</w:t>
      </w:r>
    </w:p>
    <w:p w14:paraId="04772FE6" w14:textId="77777777" w:rsidR="00115A79" w:rsidRPr="000F5FEE" w:rsidRDefault="00115A79" w:rsidP="00115A79">
      <w:pPr>
        <w:pStyle w:val="PlainText"/>
        <w:numPr>
          <w:ilvl w:val="0"/>
          <w:numId w:val="25"/>
        </w:numPr>
        <w:ind w:firstLine="0"/>
        <w:rPr>
          <w:rFonts w:ascii="Times New Roman" w:hAnsi="Times New Roman" w:cs="Times New Roman"/>
          <w:sz w:val="24"/>
          <w:szCs w:val="24"/>
        </w:rPr>
      </w:pPr>
      <w:r w:rsidRPr="000F5FEE">
        <w:rPr>
          <w:rFonts w:ascii="Times New Roman" w:hAnsi="Times New Roman" w:cs="Times New Roman"/>
          <w:b/>
          <w:sz w:val="24"/>
          <w:szCs w:val="24"/>
        </w:rPr>
        <w:t>Report review.</w:t>
      </w:r>
      <w:r w:rsidRPr="000F5FEE">
        <w:rPr>
          <w:rFonts w:ascii="Times New Roman" w:hAnsi="Times New Roman" w:cs="Times New Roman"/>
          <w:sz w:val="24"/>
          <w:szCs w:val="24"/>
        </w:rPr>
        <w:t xml:space="preserve"> </w:t>
      </w:r>
    </w:p>
    <w:p w14:paraId="6B7536D6" w14:textId="30B5C704" w:rsidR="00115A79" w:rsidRPr="000F5FEE" w:rsidRDefault="00115A79" w:rsidP="00115A79">
      <w:pPr>
        <w:pStyle w:val="PlainText"/>
        <w:numPr>
          <w:ilvl w:val="1"/>
          <w:numId w:val="25"/>
        </w:numPr>
        <w:rPr>
          <w:rFonts w:ascii="Times New Roman" w:hAnsi="Times New Roman" w:cs="Times New Roman"/>
          <w:sz w:val="24"/>
          <w:szCs w:val="24"/>
        </w:rPr>
      </w:pPr>
      <w:r w:rsidRPr="000F5FEE">
        <w:rPr>
          <w:rFonts w:ascii="Times New Roman" w:hAnsi="Times New Roman" w:cs="Times New Roman"/>
          <w:sz w:val="24"/>
          <w:szCs w:val="24"/>
        </w:rPr>
        <w:t>Interested persons may file written comments regarding a utility's annual renewable portfolio standard report within thirty days of the utility's filing.</w:t>
      </w:r>
    </w:p>
    <w:p w14:paraId="4BE79E4A" w14:textId="5883427F" w:rsidR="00115A79" w:rsidRPr="000F5FEE" w:rsidRDefault="00115A79" w:rsidP="00C4467F">
      <w:pPr>
        <w:pStyle w:val="PlainText"/>
        <w:numPr>
          <w:ilvl w:val="1"/>
          <w:numId w:val="26"/>
        </w:numPr>
        <w:rPr>
          <w:rFonts w:ascii="Times New Roman" w:hAnsi="Times New Roman" w:cs="Times New Roman"/>
          <w:sz w:val="24"/>
          <w:szCs w:val="24"/>
        </w:rPr>
      </w:pPr>
      <w:r w:rsidRPr="000F5FEE">
        <w:rPr>
          <w:rFonts w:ascii="Times New Roman" w:hAnsi="Times New Roman" w:cs="Times New Roman"/>
          <w:sz w:val="24"/>
          <w:szCs w:val="24"/>
        </w:rPr>
        <w:t>Upon conclusion of the commission review of the utility's annual renewable portfolio standard report, the commission will issue a decision accepting or rejecting the calculation of the utility’s renewable resource target; determining whether the utility has generated, acquired or arranged to acquire enough renewable energy credits or qualifying generation to comply with its renewable resource target; and determining the eligibility of new renewable resources pursuant to subsection (2)(d) of this section.</w:t>
      </w:r>
    </w:p>
    <w:p w14:paraId="0FB067CF" w14:textId="77777777" w:rsidR="00115A79" w:rsidRPr="000F5FEE" w:rsidRDefault="00115A79" w:rsidP="00C4467F">
      <w:pPr>
        <w:pStyle w:val="PlainText"/>
        <w:numPr>
          <w:ilvl w:val="1"/>
          <w:numId w:val="26"/>
        </w:numPr>
        <w:rPr>
          <w:rFonts w:ascii="Times New Roman" w:hAnsi="Times New Roman" w:cs="Times New Roman"/>
          <w:sz w:val="24"/>
          <w:szCs w:val="24"/>
        </w:rPr>
      </w:pPr>
      <w:r w:rsidRPr="000F5FEE">
        <w:rPr>
          <w:rFonts w:ascii="Times New Roman" w:hAnsi="Times New Roman" w:cs="Times New Roman"/>
          <w:sz w:val="24"/>
          <w:szCs w:val="24"/>
        </w:rPr>
        <w:t>If a utility revises its annual renewable portfolio standard report as a result of the commission review, the utility must submit the revised final annual renewable portfolio standard report to the department.</w:t>
      </w:r>
    </w:p>
    <w:p w14:paraId="7D8B2B64" w14:textId="3E9AE63E" w:rsidR="00115A79" w:rsidRPr="000F5FEE" w:rsidRDefault="00115A79" w:rsidP="00C4467F">
      <w:pPr>
        <w:pStyle w:val="PlainText"/>
        <w:numPr>
          <w:ilvl w:val="0"/>
          <w:numId w:val="26"/>
        </w:numPr>
        <w:rPr>
          <w:rFonts w:ascii="Times New Roman" w:hAnsi="Times New Roman" w:cs="Times New Roman"/>
          <w:sz w:val="24"/>
          <w:szCs w:val="24"/>
        </w:rPr>
      </w:pPr>
      <w:r w:rsidRPr="000F5FEE">
        <w:rPr>
          <w:rFonts w:ascii="Times New Roman" w:hAnsi="Times New Roman" w:cs="Times New Roman"/>
          <w:b/>
          <w:sz w:val="24"/>
          <w:szCs w:val="24"/>
        </w:rPr>
        <w:t xml:space="preserve">Publication of reports. </w:t>
      </w:r>
      <w:r w:rsidRPr="000F5FEE">
        <w:rPr>
          <w:rFonts w:ascii="Times New Roman" w:hAnsi="Times New Roman" w:cs="Times New Roman"/>
          <w:sz w:val="24"/>
          <w:szCs w:val="24"/>
        </w:rPr>
        <w:t>All current and historical renewable portfolio standard reports required in this section must be posted on the utility's web site and a copy of any report must be provided to any person upon request.</w:t>
      </w:r>
    </w:p>
    <w:p w14:paraId="5F0C8833" w14:textId="55F3C343" w:rsidR="00115A79" w:rsidRPr="000F5FEE" w:rsidRDefault="00115A79" w:rsidP="00C4467F">
      <w:pPr>
        <w:pStyle w:val="PlainText"/>
        <w:numPr>
          <w:ilvl w:val="0"/>
          <w:numId w:val="26"/>
        </w:numPr>
        <w:rPr>
          <w:rFonts w:ascii="Times New Roman" w:hAnsi="Times New Roman" w:cs="Times New Roman"/>
          <w:sz w:val="24"/>
          <w:szCs w:val="24"/>
        </w:rPr>
      </w:pPr>
      <w:r w:rsidRPr="000F5FEE">
        <w:rPr>
          <w:rFonts w:ascii="Times New Roman" w:hAnsi="Times New Roman" w:cs="Times New Roman"/>
          <w:b/>
          <w:sz w:val="24"/>
          <w:szCs w:val="24"/>
        </w:rPr>
        <w:t xml:space="preserve">Customer notification. </w:t>
      </w:r>
      <w:r w:rsidRPr="000F5FEE">
        <w:rPr>
          <w:rFonts w:ascii="Times New Roman" w:hAnsi="Times New Roman" w:cs="Times New Roman"/>
          <w:sz w:val="24"/>
          <w:szCs w:val="24"/>
        </w:rPr>
        <w:t>Each utility must provide a summary of its annual renewable portfolio standard report to its customers by bill insert or other suitable method. This summary must be provided within ninety days of final action by the commission on the report.</w:t>
      </w:r>
    </w:p>
    <w:p w14:paraId="7ED1E384" w14:textId="77777777" w:rsidR="00115A79" w:rsidRPr="000F5FEE" w:rsidRDefault="00115A79" w:rsidP="00C4467F">
      <w:pPr>
        <w:pStyle w:val="ListParagraph"/>
        <w:numPr>
          <w:ilvl w:val="0"/>
          <w:numId w:val="26"/>
        </w:numPr>
        <w:rPr>
          <w:rFonts w:ascii="Times New Roman" w:hAnsi="Times New Roman" w:cs="Times New Roman"/>
          <w:sz w:val="24"/>
          <w:szCs w:val="24"/>
        </w:rPr>
      </w:pPr>
      <w:r w:rsidRPr="000F5FEE">
        <w:rPr>
          <w:rFonts w:ascii="Times New Roman" w:hAnsi="Times New Roman" w:cs="Times New Roman"/>
          <w:b/>
          <w:sz w:val="24"/>
          <w:szCs w:val="24"/>
        </w:rPr>
        <w:t xml:space="preserve">Final compliance report. </w:t>
      </w:r>
      <w:r w:rsidRPr="000F5FEE">
        <w:rPr>
          <w:rFonts w:ascii="Times New Roman" w:hAnsi="Times New Roman" w:cs="Times New Roman"/>
          <w:sz w:val="24"/>
          <w:szCs w:val="24"/>
        </w:rPr>
        <w:t>Within two years following submission of its annual renewable portfolio standard report, a utility must submit, in the same docket, a final renewable portfolio standard compliance report that lists the renewable energy credits that it retired in WREGIS for the target year. If a utility does not meet its annual target described in WAC 480-109-020, the commission will determine the amount in megawatt-hours by which the utility was deficient.</w:t>
      </w:r>
    </w:p>
    <w:p w14:paraId="37641AD6" w14:textId="77777777" w:rsidR="00115A79" w:rsidRPr="000F5FEE" w:rsidRDefault="00115A79" w:rsidP="00115A79">
      <w:pPr>
        <w:pStyle w:val="PlainText"/>
        <w:rPr>
          <w:rFonts w:ascii="Times New Roman" w:hAnsi="Times New Roman" w:cs="Times New Roman"/>
          <w:sz w:val="18"/>
          <w:szCs w:val="18"/>
        </w:rPr>
      </w:pPr>
      <w:r w:rsidRPr="000F5FEE">
        <w:rPr>
          <w:rFonts w:ascii="Times New Roman" w:hAnsi="Times New Roman" w:cs="Times New Roman"/>
          <w:sz w:val="18"/>
          <w:szCs w:val="18"/>
        </w:rPr>
        <w:t>[Statutory Authority: RCW 80.01.040, 80.04.160, and chapter 19.285 RCW.   07-24-012 (Docket UE-061895, General Order R-546), § 480-109-040, filed 11/27/07, effective 12/28/07.]</w:t>
      </w:r>
    </w:p>
    <w:p w14:paraId="2FD8A33A" w14:textId="14ED8316" w:rsidR="00522323" w:rsidRPr="000F5FEE" w:rsidRDefault="00522323">
      <w:pPr>
        <w:rPr>
          <w:rFonts w:ascii="Times New Roman" w:hAnsi="Times New Roman" w:cs="Times New Roman"/>
          <w:b/>
          <w:sz w:val="24"/>
          <w:szCs w:val="24"/>
        </w:rPr>
      </w:pPr>
    </w:p>
    <w:p w14:paraId="31C3726E" w14:textId="77777777" w:rsidR="00874156" w:rsidRDefault="00874156">
      <w:pPr>
        <w:rPr>
          <w:rFonts w:ascii="Times New Roman" w:hAnsi="Times New Roman" w:cs="Times New Roman"/>
          <w:b/>
          <w:sz w:val="24"/>
          <w:szCs w:val="24"/>
        </w:rPr>
      </w:pPr>
      <w:r>
        <w:rPr>
          <w:rFonts w:ascii="Times New Roman" w:hAnsi="Times New Roman" w:cs="Times New Roman"/>
          <w:b/>
          <w:sz w:val="24"/>
          <w:szCs w:val="24"/>
        </w:rPr>
        <w:br w:type="page"/>
      </w:r>
    </w:p>
    <w:p w14:paraId="321A99A0" w14:textId="0E06B110" w:rsidR="00874156" w:rsidRDefault="00A03A7E" w:rsidP="00DF5B8F">
      <w:pPr>
        <w:pStyle w:val="PlainText"/>
        <w:rPr>
          <w:rFonts w:ascii="Times New Roman" w:hAnsi="Times New Roman" w:cs="Times New Roman"/>
          <w:b/>
          <w:sz w:val="24"/>
          <w:szCs w:val="24"/>
        </w:rPr>
      </w:pPr>
      <w:r w:rsidRPr="000F5FEE">
        <w:rPr>
          <w:rFonts w:ascii="Times New Roman" w:hAnsi="Times New Roman" w:cs="Times New Roman"/>
          <w:b/>
          <w:sz w:val="24"/>
          <w:szCs w:val="24"/>
        </w:rPr>
        <w:t>480-109-050</w:t>
      </w:r>
      <w:r w:rsidR="00350E09" w:rsidRPr="000F5FEE">
        <w:rPr>
          <w:rFonts w:ascii="Times New Roman" w:hAnsi="Times New Roman" w:cs="Times New Roman"/>
          <w:b/>
          <w:sz w:val="24"/>
          <w:szCs w:val="24"/>
        </w:rPr>
        <w:tab/>
      </w:r>
      <w:r w:rsidRPr="000F5FEE">
        <w:rPr>
          <w:rFonts w:ascii="Times New Roman" w:hAnsi="Times New Roman" w:cs="Times New Roman"/>
          <w:b/>
          <w:sz w:val="24"/>
          <w:szCs w:val="24"/>
        </w:rPr>
        <w:t>Administrative penalties.</w:t>
      </w:r>
      <w:r w:rsidR="00522323" w:rsidRPr="000F5FEE">
        <w:rPr>
          <w:rFonts w:ascii="Times New Roman" w:hAnsi="Times New Roman" w:cs="Times New Roman"/>
          <w:b/>
          <w:sz w:val="24"/>
          <w:szCs w:val="24"/>
        </w:rPr>
        <w:t xml:space="preserve"> </w:t>
      </w:r>
    </w:p>
    <w:p w14:paraId="181626EA" w14:textId="41845D93" w:rsidR="006A3E60" w:rsidRPr="000F5FEE" w:rsidRDefault="00AC50C4" w:rsidP="00DF5B8F">
      <w:pPr>
        <w:pStyle w:val="PlainText"/>
        <w:rPr>
          <w:rFonts w:ascii="Times New Roman" w:hAnsi="Times New Roman" w:cs="Times New Roman"/>
          <w:b/>
          <w:sz w:val="24"/>
          <w:szCs w:val="24"/>
        </w:rPr>
      </w:pPr>
      <w:r w:rsidRPr="000F5FEE">
        <w:rPr>
          <w:rFonts w:ascii="Times New Roman" w:hAnsi="Times New Roman" w:cs="Times New Roman"/>
          <w:sz w:val="24"/>
          <w:szCs w:val="24"/>
        </w:rPr>
        <w:t>No changes.</w:t>
      </w:r>
    </w:p>
    <w:p w14:paraId="071EBC25" w14:textId="77777777" w:rsidR="00522323" w:rsidRDefault="00522323" w:rsidP="00DF5B8F">
      <w:pPr>
        <w:pStyle w:val="PlainText"/>
        <w:rPr>
          <w:rFonts w:ascii="Times New Roman" w:hAnsi="Times New Roman" w:cs="Times New Roman"/>
          <w:b/>
          <w:sz w:val="24"/>
          <w:szCs w:val="24"/>
        </w:rPr>
      </w:pPr>
    </w:p>
    <w:p w14:paraId="76CAAAB2" w14:textId="77777777" w:rsidR="00E357EF" w:rsidRPr="000F5FEE" w:rsidRDefault="00E357EF" w:rsidP="00DF5B8F">
      <w:pPr>
        <w:pStyle w:val="PlainText"/>
        <w:rPr>
          <w:rFonts w:ascii="Times New Roman" w:hAnsi="Times New Roman" w:cs="Times New Roman"/>
          <w:b/>
          <w:sz w:val="24"/>
          <w:szCs w:val="24"/>
        </w:rPr>
      </w:pPr>
    </w:p>
    <w:p w14:paraId="7D5DF8C4" w14:textId="710BA7EA" w:rsidR="00623451" w:rsidRPr="000F5FEE" w:rsidRDefault="006A3E60" w:rsidP="00623451">
      <w:pPr>
        <w:pStyle w:val="PlainText"/>
        <w:rPr>
          <w:rFonts w:ascii="Times New Roman" w:hAnsi="Times New Roman" w:cs="Times New Roman"/>
          <w:sz w:val="24"/>
          <w:szCs w:val="24"/>
        </w:rPr>
      </w:pPr>
      <w:r w:rsidRPr="000F5FEE">
        <w:rPr>
          <w:rFonts w:ascii="Times New Roman" w:hAnsi="Times New Roman" w:cs="Times New Roman"/>
          <w:b/>
          <w:sz w:val="24"/>
          <w:szCs w:val="24"/>
        </w:rPr>
        <w:t>480-109-999</w:t>
      </w:r>
      <w:r w:rsidRPr="000F5FEE">
        <w:rPr>
          <w:rFonts w:ascii="Times New Roman" w:hAnsi="Times New Roman" w:cs="Times New Roman"/>
          <w:b/>
          <w:sz w:val="24"/>
          <w:szCs w:val="24"/>
        </w:rPr>
        <w:tab/>
        <w:t>Adoption by reference.</w:t>
      </w:r>
      <w:r w:rsidR="00623451" w:rsidRPr="000F5FEE">
        <w:t xml:space="preserve"> </w:t>
      </w:r>
      <w:r w:rsidR="00623451" w:rsidRPr="000F5FEE">
        <w:rPr>
          <w:rFonts w:ascii="Times New Roman" w:hAnsi="Times New Roman" w:cs="Times New Roman"/>
          <w:sz w:val="24"/>
          <w:szCs w:val="24"/>
        </w:rPr>
        <w:t xml:space="preserve">In this chapter, the commission adopts by reference all, or portions of, </w:t>
      </w:r>
      <w:r w:rsidR="00F109DD" w:rsidRPr="000F5FEE">
        <w:rPr>
          <w:rFonts w:ascii="Times New Roman" w:hAnsi="Times New Roman" w:cs="Times New Roman"/>
          <w:sz w:val="24"/>
          <w:szCs w:val="24"/>
        </w:rPr>
        <w:t xml:space="preserve">the publications </w:t>
      </w:r>
      <w:r w:rsidR="00623451" w:rsidRPr="000F5FEE">
        <w:rPr>
          <w:rFonts w:ascii="Times New Roman" w:hAnsi="Times New Roman" w:cs="Times New Roman"/>
          <w:sz w:val="24"/>
          <w:szCs w:val="24"/>
        </w:rPr>
        <w:t xml:space="preserve">identified below. They are available for inspection at the commission branch of the Washington state library. The publications, </w:t>
      </w:r>
      <w:r w:rsidR="00F109DD" w:rsidRPr="000F5FEE">
        <w:rPr>
          <w:rFonts w:ascii="Times New Roman" w:hAnsi="Times New Roman" w:cs="Times New Roman"/>
          <w:sz w:val="24"/>
          <w:szCs w:val="24"/>
        </w:rPr>
        <w:t>publication</w:t>
      </w:r>
      <w:r w:rsidR="00623451" w:rsidRPr="000F5FEE">
        <w:rPr>
          <w:rFonts w:ascii="Times New Roman" w:hAnsi="Times New Roman" w:cs="Times New Roman"/>
          <w:sz w:val="24"/>
          <w:szCs w:val="24"/>
        </w:rPr>
        <w:t xml:space="preserve"> dates, references within this chapter, and availability o</w:t>
      </w:r>
      <w:r w:rsidR="005C6905" w:rsidRPr="000F5FEE">
        <w:rPr>
          <w:rFonts w:ascii="Times New Roman" w:hAnsi="Times New Roman" w:cs="Times New Roman"/>
          <w:sz w:val="24"/>
          <w:szCs w:val="24"/>
        </w:rPr>
        <w:t>f the resources are as follows:</w:t>
      </w:r>
    </w:p>
    <w:p w14:paraId="555C716F" w14:textId="77777777" w:rsidR="00623451" w:rsidRPr="000F5FEE" w:rsidRDefault="00A861DA" w:rsidP="00A861DA">
      <w:pPr>
        <w:pStyle w:val="PlainText"/>
        <w:numPr>
          <w:ilvl w:val="0"/>
          <w:numId w:val="9"/>
        </w:numPr>
        <w:rPr>
          <w:rFonts w:ascii="Times New Roman" w:hAnsi="Times New Roman" w:cs="Times New Roman"/>
          <w:sz w:val="24"/>
          <w:szCs w:val="24"/>
        </w:rPr>
      </w:pPr>
      <w:r w:rsidRPr="000F5FEE">
        <w:rPr>
          <w:rFonts w:ascii="Times New Roman" w:hAnsi="Times New Roman" w:cs="Times New Roman"/>
          <w:sz w:val="24"/>
          <w:szCs w:val="24"/>
        </w:rPr>
        <w:t>Sixth Northwest Conservation and Electric Power Plan</w:t>
      </w:r>
      <w:r w:rsidR="00623451" w:rsidRPr="000F5FEE">
        <w:rPr>
          <w:rFonts w:ascii="Times New Roman" w:hAnsi="Times New Roman" w:cs="Times New Roman"/>
          <w:sz w:val="24"/>
          <w:szCs w:val="24"/>
        </w:rPr>
        <w:t xml:space="preserve"> </w:t>
      </w:r>
      <w:proofErr w:type="gramStart"/>
      <w:r w:rsidR="00623451" w:rsidRPr="000F5FEE">
        <w:rPr>
          <w:rFonts w:ascii="Times New Roman" w:hAnsi="Times New Roman" w:cs="Times New Roman"/>
          <w:sz w:val="24"/>
          <w:szCs w:val="24"/>
        </w:rPr>
        <w:t>is</w:t>
      </w:r>
      <w:proofErr w:type="gramEnd"/>
      <w:r w:rsidR="00623451" w:rsidRPr="000F5FEE">
        <w:rPr>
          <w:rFonts w:ascii="Times New Roman" w:hAnsi="Times New Roman" w:cs="Times New Roman"/>
          <w:sz w:val="24"/>
          <w:szCs w:val="24"/>
        </w:rPr>
        <w:t xml:space="preserve"> published by the  Northwest Power and Conservation Council.</w:t>
      </w:r>
    </w:p>
    <w:p w14:paraId="518C6A11" w14:textId="0441C537" w:rsidR="00623451" w:rsidRPr="000F5FEE" w:rsidRDefault="00623451" w:rsidP="00623451">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The commission adopts the version published in 2010.</w:t>
      </w:r>
    </w:p>
    <w:p w14:paraId="4EB5681E" w14:textId="77777777" w:rsidR="00623451" w:rsidRPr="000F5FEE" w:rsidRDefault="00623451" w:rsidP="00623451">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This publication is referenced in WAC 480-109-010.</w:t>
      </w:r>
    </w:p>
    <w:p w14:paraId="0B068924" w14:textId="3867C8DD" w:rsidR="00A861DA" w:rsidRPr="000F5FEE" w:rsidRDefault="00623451" w:rsidP="00623451">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 xml:space="preserve">Copies </w:t>
      </w:r>
      <w:r w:rsidR="005C6905" w:rsidRPr="000F5FEE">
        <w:rPr>
          <w:rFonts w:ascii="Times New Roman" w:hAnsi="Times New Roman" w:cs="Times New Roman"/>
          <w:sz w:val="24"/>
          <w:szCs w:val="24"/>
        </w:rPr>
        <w:t>of Sixth Northwest Conservation and Electric Power Plan are available from the Northwest Power and Conservation Council</w:t>
      </w:r>
      <w:r w:rsidRPr="000F5FEE">
        <w:rPr>
          <w:rFonts w:ascii="Times New Roman" w:hAnsi="Times New Roman" w:cs="Times New Roman"/>
          <w:sz w:val="24"/>
          <w:szCs w:val="24"/>
        </w:rPr>
        <w:t xml:space="preserve"> at</w:t>
      </w:r>
      <w:r w:rsidR="00A861DA" w:rsidRPr="000F5FEE">
        <w:rPr>
          <w:rFonts w:ascii="Times New Roman" w:hAnsi="Times New Roman" w:cs="Times New Roman"/>
          <w:sz w:val="24"/>
          <w:szCs w:val="24"/>
        </w:rPr>
        <w:br/>
      </w:r>
      <w:hyperlink r:id="rId8" w:history="1">
        <w:r w:rsidR="00A861DA" w:rsidRPr="000F5FEE">
          <w:rPr>
            <w:rStyle w:val="Hyperlink"/>
            <w:rFonts w:ascii="Times New Roman" w:hAnsi="Times New Roman" w:cs="Times New Roman"/>
            <w:color w:val="auto"/>
            <w:sz w:val="24"/>
            <w:szCs w:val="24"/>
            <w:u w:val="none"/>
          </w:rPr>
          <w:t>http://www.nwcouncil.org/energy/powerplan/6/plan/</w:t>
        </w:r>
      </w:hyperlink>
      <w:r w:rsidR="00A861DA" w:rsidRPr="000F5FEE">
        <w:rPr>
          <w:rFonts w:ascii="Times New Roman" w:hAnsi="Times New Roman" w:cs="Times New Roman"/>
          <w:sz w:val="24"/>
          <w:szCs w:val="24"/>
        </w:rPr>
        <w:t>.</w:t>
      </w:r>
    </w:p>
    <w:p w14:paraId="1A5CE6DA" w14:textId="77777777" w:rsidR="005C6905" w:rsidRPr="000F5FEE" w:rsidRDefault="00400B2B" w:rsidP="00E14C3F">
      <w:pPr>
        <w:pStyle w:val="PlainText"/>
        <w:numPr>
          <w:ilvl w:val="0"/>
          <w:numId w:val="9"/>
        </w:numPr>
        <w:rPr>
          <w:rFonts w:ascii="Times New Roman" w:hAnsi="Times New Roman" w:cs="Times New Roman"/>
          <w:sz w:val="24"/>
          <w:szCs w:val="24"/>
        </w:rPr>
      </w:pPr>
      <w:r w:rsidRPr="000F5FEE">
        <w:rPr>
          <w:rFonts w:ascii="Times New Roman" w:hAnsi="Times New Roman" w:cs="Times New Roman"/>
          <w:sz w:val="24"/>
          <w:szCs w:val="24"/>
        </w:rPr>
        <w:t>Weatherization Manual</w:t>
      </w:r>
      <w:r w:rsidR="00E14C3F" w:rsidRPr="000F5FEE">
        <w:rPr>
          <w:rFonts w:ascii="Times New Roman" w:hAnsi="Times New Roman" w:cs="Times New Roman"/>
          <w:sz w:val="24"/>
          <w:szCs w:val="24"/>
        </w:rPr>
        <w:t xml:space="preserve"> </w:t>
      </w:r>
      <w:r w:rsidRPr="000F5FEE">
        <w:rPr>
          <w:rFonts w:ascii="Times New Roman" w:hAnsi="Times New Roman" w:cs="Times New Roman"/>
          <w:sz w:val="24"/>
          <w:szCs w:val="24"/>
        </w:rPr>
        <w:t>For Managing the</w:t>
      </w:r>
      <w:r w:rsidR="00E14C3F" w:rsidRPr="000F5FEE">
        <w:rPr>
          <w:rFonts w:ascii="Times New Roman" w:hAnsi="Times New Roman" w:cs="Times New Roman"/>
          <w:sz w:val="24"/>
          <w:szCs w:val="24"/>
        </w:rPr>
        <w:t xml:space="preserve"> </w:t>
      </w:r>
      <w:r w:rsidRPr="000F5FEE">
        <w:rPr>
          <w:rFonts w:ascii="Times New Roman" w:hAnsi="Times New Roman" w:cs="Times New Roman"/>
          <w:sz w:val="24"/>
          <w:szCs w:val="24"/>
        </w:rPr>
        <w:t>Low-Income Weatherization Program</w:t>
      </w:r>
      <w:r w:rsidR="005C6905" w:rsidRPr="000F5FEE">
        <w:rPr>
          <w:rFonts w:ascii="Times New Roman" w:hAnsi="Times New Roman" w:cs="Times New Roman"/>
          <w:sz w:val="24"/>
          <w:szCs w:val="24"/>
        </w:rPr>
        <w:t xml:space="preserve"> is published by the Washington State</w:t>
      </w:r>
      <w:r w:rsidR="00876C84" w:rsidRPr="000F5FEE">
        <w:rPr>
          <w:rFonts w:ascii="Times New Roman" w:hAnsi="Times New Roman" w:cs="Times New Roman"/>
          <w:sz w:val="24"/>
          <w:szCs w:val="24"/>
        </w:rPr>
        <w:t xml:space="preserve"> </w:t>
      </w:r>
      <w:r w:rsidR="00F67B53" w:rsidRPr="000F5FEE">
        <w:rPr>
          <w:rFonts w:ascii="Times New Roman" w:hAnsi="Times New Roman" w:cs="Times New Roman"/>
          <w:sz w:val="24"/>
          <w:szCs w:val="24"/>
        </w:rPr>
        <w:t>D</w:t>
      </w:r>
      <w:r w:rsidR="00E14C3F" w:rsidRPr="000F5FEE">
        <w:rPr>
          <w:rFonts w:ascii="Times New Roman" w:hAnsi="Times New Roman" w:cs="Times New Roman"/>
          <w:sz w:val="24"/>
          <w:szCs w:val="24"/>
        </w:rPr>
        <w:t>epartment of C</w:t>
      </w:r>
      <w:r w:rsidR="00876C84" w:rsidRPr="000F5FEE">
        <w:rPr>
          <w:rFonts w:ascii="Times New Roman" w:hAnsi="Times New Roman" w:cs="Times New Roman"/>
          <w:sz w:val="24"/>
          <w:szCs w:val="24"/>
        </w:rPr>
        <w:t>ommerce</w:t>
      </w:r>
      <w:r w:rsidR="005C6905" w:rsidRPr="000F5FEE">
        <w:rPr>
          <w:rFonts w:ascii="Times New Roman" w:hAnsi="Times New Roman" w:cs="Times New Roman"/>
          <w:sz w:val="24"/>
          <w:szCs w:val="24"/>
        </w:rPr>
        <w:t>.</w:t>
      </w:r>
    </w:p>
    <w:p w14:paraId="19DE4DF4" w14:textId="77777777" w:rsidR="005C6905" w:rsidRPr="000F5FEE" w:rsidRDefault="005C6905" w:rsidP="005C6905">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The commission adopts the version published in 2013.</w:t>
      </w:r>
    </w:p>
    <w:p w14:paraId="2C7B44B2" w14:textId="77777777" w:rsidR="005C6905" w:rsidRPr="000F5FEE" w:rsidRDefault="005C6905" w:rsidP="005C6905">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This publication is referenced in WAC 480-109-BBB.</w:t>
      </w:r>
    </w:p>
    <w:p w14:paraId="7B2EB334" w14:textId="56233E16" w:rsidR="0077294C" w:rsidRPr="000F5FEE" w:rsidRDefault="005C6905" w:rsidP="005C6905">
      <w:pPr>
        <w:pStyle w:val="PlainText"/>
        <w:numPr>
          <w:ilvl w:val="1"/>
          <w:numId w:val="9"/>
        </w:numPr>
        <w:rPr>
          <w:rFonts w:ascii="Times New Roman" w:hAnsi="Times New Roman" w:cs="Times New Roman"/>
          <w:sz w:val="24"/>
          <w:szCs w:val="24"/>
        </w:rPr>
      </w:pPr>
      <w:r w:rsidRPr="000F5FEE">
        <w:rPr>
          <w:rFonts w:ascii="Times New Roman" w:hAnsi="Times New Roman" w:cs="Times New Roman"/>
          <w:sz w:val="24"/>
          <w:szCs w:val="24"/>
        </w:rPr>
        <w:t>Copies of Weatherization Manual For Managing the Low-Income Weatherization Program are</w:t>
      </w:r>
      <w:r w:rsidR="00876C84" w:rsidRPr="000F5FEE">
        <w:rPr>
          <w:rFonts w:ascii="Times New Roman" w:hAnsi="Times New Roman" w:cs="Times New Roman"/>
          <w:sz w:val="24"/>
          <w:szCs w:val="24"/>
        </w:rPr>
        <w:t xml:space="preserve"> </w:t>
      </w:r>
      <w:r w:rsidR="00623451" w:rsidRPr="000F5FEE">
        <w:rPr>
          <w:rFonts w:ascii="Times New Roman" w:hAnsi="Times New Roman" w:cs="Times New Roman"/>
          <w:sz w:val="24"/>
          <w:szCs w:val="24"/>
        </w:rPr>
        <w:t xml:space="preserve">available </w:t>
      </w:r>
      <w:r w:rsidRPr="000F5FEE">
        <w:rPr>
          <w:rFonts w:ascii="Times New Roman" w:hAnsi="Times New Roman" w:cs="Times New Roman"/>
          <w:sz w:val="24"/>
          <w:szCs w:val="24"/>
        </w:rPr>
        <w:t xml:space="preserve">from the Washington State Department of Commerce at </w:t>
      </w:r>
      <w:hyperlink r:id="rId9" w:history="1">
        <w:r w:rsidR="00876C84" w:rsidRPr="000F5FEE">
          <w:rPr>
            <w:rStyle w:val="Hyperlink"/>
            <w:rFonts w:ascii="Times New Roman" w:hAnsi="Times New Roman" w:cs="Times New Roman"/>
            <w:color w:val="auto"/>
            <w:sz w:val="24"/>
            <w:szCs w:val="24"/>
            <w:u w:val="none"/>
          </w:rPr>
          <w:t>http://www.commerce.wa.gov/Programs/services/weatherization/Pages/WeatherizationTechnicalDocuments.aspx</w:t>
        </w:r>
      </w:hyperlink>
      <w:r w:rsidR="00E14C3F" w:rsidRPr="000F5FEE">
        <w:rPr>
          <w:rFonts w:ascii="Times New Roman" w:hAnsi="Times New Roman" w:cs="Times New Roman"/>
          <w:sz w:val="24"/>
          <w:szCs w:val="24"/>
        </w:rPr>
        <w:t>.</w:t>
      </w:r>
    </w:p>
    <w:sectPr w:rsidR="0077294C" w:rsidRPr="000F5FEE" w:rsidSect="008A5EF8">
      <w:headerReference w:type="even" r:id="rId10"/>
      <w:headerReference w:type="default" r:id="rId11"/>
      <w:footerReference w:type="even" r:id="rId12"/>
      <w:footerReference w:type="default" r:id="rId13"/>
      <w:headerReference w:type="first" r:id="rId14"/>
      <w:footerReference w:type="first" r:id="rId15"/>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53E5B" w14:textId="77777777" w:rsidR="00D37C16" w:rsidRDefault="00D37C16" w:rsidP="00522323">
      <w:pPr>
        <w:spacing w:after="0" w:line="240" w:lineRule="auto"/>
      </w:pPr>
      <w:r>
        <w:separator/>
      </w:r>
    </w:p>
  </w:endnote>
  <w:endnote w:type="continuationSeparator" w:id="0">
    <w:p w14:paraId="29D0AB40" w14:textId="77777777" w:rsidR="00D37C16" w:rsidRDefault="00D37C16" w:rsidP="0052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538B0" w14:textId="77777777" w:rsidR="00735AA2" w:rsidRDefault="00735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5207"/>
      <w:docPartObj>
        <w:docPartGallery w:val="Page Numbers (Bottom of Page)"/>
        <w:docPartUnique/>
      </w:docPartObj>
    </w:sdtPr>
    <w:sdtEndPr/>
    <w:sdtContent>
      <w:sdt>
        <w:sdtPr>
          <w:id w:val="-1669238322"/>
          <w:docPartObj>
            <w:docPartGallery w:val="Page Numbers (Top of Page)"/>
            <w:docPartUnique/>
          </w:docPartObj>
        </w:sdtPr>
        <w:sdtEndPr/>
        <w:sdtContent>
          <w:p w14:paraId="02099A13" w14:textId="53E7CADF" w:rsidR="00490763" w:rsidRDefault="004907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49A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49A2">
              <w:rPr>
                <w:b/>
                <w:bCs/>
                <w:noProof/>
              </w:rPr>
              <w:t>3</w:t>
            </w:r>
            <w:r>
              <w:rPr>
                <w:b/>
                <w:bCs/>
                <w:sz w:val="24"/>
                <w:szCs w:val="24"/>
              </w:rPr>
              <w:fldChar w:fldCharType="end"/>
            </w:r>
          </w:p>
        </w:sdtContent>
      </w:sdt>
    </w:sdtContent>
  </w:sdt>
  <w:p w14:paraId="0DAF4469" w14:textId="77777777" w:rsidR="00490763" w:rsidRDefault="00490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E2FE" w14:textId="77777777" w:rsidR="00735AA2" w:rsidRDefault="00735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5EE7D" w14:textId="77777777" w:rsidR="00D37C16" w:rsidRDefault="00D37C16" w:rsidP="00522323">
      <w:pPr>
        <w:spacing w:after="0" w:line="240" w:lineRule="auto"/>
      </w:pPr>
      <w:r>
        <w:separator/>
      </w:r>
    </w:p>
  </w:footnote>
  <w:footnote w:type="continuationSeparator" w:id="0">
    <w:p w14:paraId="535AB5A1" w14:textId="77777777" w:rsidR="00D37C16" w:rsidRDefault="00D37C16" w:rsidP="00522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2D82" w14:textId="77777777" w:rsidR="00735AA2" w:rsidRDefault="00735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7F0D" w14:textId="50A149EA" w:rsidR="008A5EF8" w:rsidRPr="008A5EF8" w:rsidRDefault="008A5EF8" w:rsidP="008A5EF8">
    <w:pPr>
      <w:pStyle w:val="PlainText"/>
      <w:jc w:val="right"/>
      <w:rPr>
        <w:rFonts w:ascii="Times New Roman" w:hAnsi="Times New Roman" w:cs="Times New Roman"/>
        <w:sz w:val="20"/>
        <w:szCs w:val="20"/>
      </w:rPr>
    </w:pPr>
    <w:r w:rsidRPr="008A5EF8">
      <w:rPr>
        <w:rFonts w:ascii="Times New Roman" w:hAnsi="Times New Roman" w:cs="Times New Roman"/>
        <w:sz w:val="20"/>
        <w:szCs w:val="20"/>
      </w:rPr>
      <w:t>April 2014 Informal Draft Rule Language</w:t>
    </w:r>
  </w:p>
  <w:p w14:paraId="108A5269" w14:textId="54836AB3" w:rsidR="008A5EF8" w:rsidRPr="008A5EF8" w:rsidRDefault="008A5EF8" w:rsidP="008A5EF8">
    <w:pPr>
      <w:pStyle w:val="PlainText"/>
      <w:jc w:val="right"/>
      <w:rPr>
        <w:rFonts w:ascii="Times New Roman" w:hAnsi="Times New Roman" w:cs="Times New Roman"/>
        <w:sz w:val="20"/>
        <w:szCs w:val="20"/>
      </w:rPr>
    </w:pPr>
    <w:r w:rsidRPr="008A5EF8">
      <w:rPr>
        <w:rFonts w:ascii="Times New Roman" w:hAnsi="Times New Roman" w:cs="Times New Roman"/>
        <w:sz w:val="20"/>
        <w:szCs w:val="20"/>
      </w:rPr>
      <w:t>CLEAN VERSION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9B497" w14:textId="77777777" w:rsidR="00735AA2" w:rsidRDefault="00735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218"/>
    <w:multiLevelType w:val="multilevel"/>
    <w:tmpl w:val="8E76A5E6"/>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6B325C"/>
    <w:multiLevelType w:val="hybridMultilevel"/>
    <w:tmpl w:val="1FF2C920"/>
    <w:lvl w:ilvl="0" w:tplc="7AACB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5101F"/>
    <w:multiLevelType w:val="hybridMultilevel"/>
    <w:tmpl w:val="544A3296"/>
    <w:lvl w:ilvl="0" w:tplc="CDFCDD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A30C8"/>
    <w:multiLevelType w:val="multilevel"/>
    <w:tmpl w:val="8E76A5E6"/>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B97260"/>
    <w:multiLevelType w:val="multilevel"/>
    <w:tmpl w:val="7A80DF10"/>
    <w:lvl w:ilvl="0">
      <w:start w:val="3"/>
      <w:numFmt w:val="decimal"/>
      <w:suff w:val="space"/>
      <w:lvlText w:val="(%1)"/>
      <w:lvlJc w:val="left"/>
      <w:pPr>
        <w:ind w:left="0" w:firstLine="360"/>
      </w:pPr>
      <w:rPr>
        <w:rFonts w:hint="default"/>
      </w:rPr>
    </w:lvl>
    <w:lvl w:ilvl="1">
      <w:start w:val="2"/>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F133C4"/>
    <w:multiLevelType w:val="multilevel"/>
    <w:tmpl w:val="8E76A5E6"/>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103218B"/>
    <w:multiLevelType w:val="multilevel"/>
    <w:tmpl w:val="01E8997A"/>
    <w:lvl w:ilvl="0">
      <w:start w:val="480"/>
      <w:numFmt w:val="decimal"/>
      <w:lvlText w:val="%1"/>
      <w:lvlJc w:val="left"/>
      <w:pPr>
        <w:ind w:left="1230" w:hanging="1230"/>
      </w:pPr>
      <w:rPr>
        <w:rFonts w:hint="default"/>
      </w:rPr>
    </w:lvl>
    <w:lvl w:ilvl="1">
      <w:start w:val="109"/>
      <w:numFmt w:val="decimal"/>
      <w:lvlText w:val="%1-%2"/>
      <w:lvlJc w:val="left"/>
      <w:pPr>
        <w:ind w:left="1230" w:hanging="1230"/>
      </w:pPr>
      <w:rPr>
        <w:rFonts w:hint="default"/>
      </w:rPr>
    </w:lvl>
    <w:lvl w:ilvl="2">
      <w:start w:val="40"/>
      <w:numFmt w:val="decimalZero"/>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230" w:hanging="123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CE0E2D"/>
    <w:multiLevelType w:val="multilevel"/>
    <w:tmpl w:val="8C04E9F6"/>
    <w:lvl w:ilvl="0">
      <w:start w:val="3"/>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34F3EE2"/>
    <w:multiLevelType w:val="multilevel"/>
    <w:tmpl w:val="6470B954"/>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u w:val="none"/>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525DE0"/>
    <w:multiLevelType w:val="hybridMultilevel"/>
    <w:tmpl w:val="2AB4BF0C"/>
    <w:lvl w:ilvl="0" w:tplc="01E295A4">
      <w:start w:val="1"/>
      <w:numFmt w:val="lowerRoman"/>
      <w:lvlText w:val="(%1)"/>
      <w:lvlJc w:val="left"/>
      <w:pPr>
        <w:ind w:left="1849" w:hanging="360"/>
      </w:pPr>
      <w:rPr>
        <w:rFonts w:ascii="Times New Roman" w:eastAsiaTheme="minorHAnsi" w:hAnsi="Times New Roman" w:cs="Times New Roman"/>
      </w:r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10">
    <w:nsid w:val="26AB34EE"/>
    <w:multiLevelType w:val="multilevel"/>
    <w:tmpl w:val="8E76A5E6"/>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E72D81"/>
    <w:multiLevelType w:val="hybridMultilevel"/>
    <w:tmpl w:val="815E6650"/>
    <w:lvl w:ilvl="0" w:tplc="A7A29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F307E"/>
    <w:multiLevelType w:val="hybridMultilevel"/>
    <w:tmpl w:val="48486938"/>
    <w:lvl w:ilvl="0" w:tplc="E71CB4E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CB963FC"/>
    <w:multiLevelType w:val="multilevel"/>
    <w:tmpl w:val="8670FB20"/>
    <w:lvl w:ilvl="0">
      <w:start w:val="1"/>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strike w:val="0"/>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270EA9"/>
    <w:multiLevelType w:val="hybridMultilevel"/>
    <w:tmpl w:val="16BCA63A"/>
    <w:lvl w:ilvl="0" w:tplc="CDFCDD3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37405721"/>
    <w:multiLevelType w:val="multilevel"/>
    <w:tmpl w:val="69BA96D0"/>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0390260"/>
    <w:multiLevelType w:val="hybridMultilevel"/>
    <w:tmpl w:val="B5F06E04"/>
    <w:lvl w:ilvl="0" w:tplc="56D6B8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AC53C0"/>
    <w:multiLevelType w:val="hybridMultilevel"/>
    <w:tmpl w:val="77D23DAA"/>
    <w:lvl w:ilvl="0" w:tplc="CDFCD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D5D87"/>
    <w:multiLevelType w:val="hybridMultilevel"/>
    <w:tmpl w:val="EDB83BA8"/>
    <w:lvl w:ilvl="0" w:tplc="782C8F06">
      <w:start w:val="1"/>
      <w:numFmt w:val="decimal"/>
      <w:lvlText w:val="(%1)"/>
      <w:lvlJc w:val="left"/>
      <w:pPr>
        <w:ind w:left="360" w:hanging="360"/>
      </w:pPr>
      <w:rPr>
        <w:rFonts w:hint="default"/>
      </w:rPr>
    </w:lvl>
    <w:lvl w:ilvl="1" w:tplc="CDFCDD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250D70"/>
    <w:multiLevelType w:val="multilevel"/>
    <w:tmpl w:val="702A58EC"/>
    <w:lvl w:ilvl="0">
      <w:start w:val="3"/>
      <w:numFmt w:val="decimal"/>
      <w:suff w:val="space"/>
      <w:lvlText w:val="(%1)"/>
      <w:lvlJc w:val="left"/>
      <w:pPr>
        <w:ind w:left="0" w:firstLine="360"/>
      </w:pPr>
      <w:rPr>
        <w:rFonts w:hint="default"/>
      </w:rPr>
    </w:lvl>
    <w:lvl w:ilvl="1">
      <w:start w:val="2"/>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B7C6C5E"/>
    <w:multiLevelType w:val="hybridMultilevel"/>
    <w:tmpl w:val="8B5600D2"/>
    <w:lvl w:ilvl="0" w:tplc="26A862F8">
      <w:start w:val="1"/>
      <w:numFmt w:val="upperLetter"/>
      <w:lvlText w:val="(%1)"/>
      <w:lvlJc w:val="left"/>
      <w:pPr>
        <w:ind w:left="1800" w:hanging="360"/>
      </w:pPr>
      <w:rPr>
        <w:rFonts w:ascii="Times New Roman" w:eastAsiaTheme="minorEastAsia"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F520AB"/>
    <w:multiLevelType w:val="multilevel"/>
    <w:tmpl w:val="EE386DCA"/>
    <w:lvl w:ilvl="0">
      <w:start w:val="1"/>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9291E71"/>
    <w:multiLevelType w:val="hybridMultilevel"/>
    <w:tmpl w:val="FF5E4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E52BE"/>
    <w:multiLevelType w:val="hybridMultilevel"/>
    <w:tmpl w:val="350C9CD0"/>
    <w:lvl w:ilvl="0" w:tplc="09B024C4">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67C5560"/>
    <w:multiLevelType w:val="multilevel"/>
    <w:tmpl w:val="DE76F7C4"/>
    <w:lvl w:ilvl="0">
      <w:start w:val="25"/>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7F42733"/>
    <w:multiLevelType w:val="hybridMultilevel"/>
    <w:tmpl w:val="C082E5C4"/>
    <w:lvl w:ilvl="0" w:tplc="3A1A51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BF79D0"/>
    <w:multiLevelType w:val="multilevel"/>
    <w:tmpl w:val="EE386DCA"/>
    <w:lvl w:ilvl="0">
      <w:start w:val="1"/>
      <w:numFmt w:val="decimal"/>
      <w:suff w:val="space"/>
      <w:lvlText w:val="(%1)"/>
      <w:lvlJc w:val="left"/>
      <w:pPr>
        <w:ind w:left="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A317183"/>
    <w:multiLevelType w:val="hybridMultilevel"/>
    <w:tmpl w:val="B46C2266"/>
    <w:lvl w:ilvl="0" w:tplc="01E295A4">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27"/>
  </w:num>
  <w:num w:numId="4">
    <w:abstractNumId w:val="1"/>
  </w:num>
  <w:num w:numId="5">
    <w:abstractNumId w:val="16"/>
  </w:num>
  <w:num w:numId="6">
    <w:abstractNumId w:val="12"/>
  </w:num>
  <w:num w:numId="7">
    <w:abstractNumId w:val="23"/>
  </w:num>
  <w:num w:numId="8">
    <w:abstractNumId w:val="22"/>
  </w:num>
  <w:num w:numId="9">
    <w:abstractNumId w:val="18"/>
  </w:num>
  <w:num w:numId="10">
    <w:abstractNumId w:val="20"/>
  </w:num>
  <w:num w:numId="11">
    <w:abstractNumId w:val="14"/>
  </w:num>
  <w:num w:numId="12">
    <w:abstractNumId w:val="8"/>
  </w:num>
  <w:num w:numId="13">
    <w:abstractNumId w:val="15"/>
  </w:num>
  <w:num w:numId="14">
    <w:abstractNumId w:val="10"/>
  </w:num>
  <w:num w:numId="15">
    <w:abstractNumId w:val="5"/>
  </w:num>
  <w:num w:numId="16">
    <w:abstractNumId w:val="3"/>
  </w:num>
  <w:num w:numId="17">
    <w:abstractNumId w:val="24"/>
  </w:num>
  <w:num w:numId="18">
    <w:abstractNumId w:val="0"/>
  </w:num>
  <w:num w:numId="19">
    <w:abstractNumId w:val="26"/>
  </w:num>
  <w:num w:numId="20">
    <w:abstractNumId w:val="21"/>
  </w:num>
  <w:num w:numId="21">
    <w:abstractNumId w:val="13"/>
  </w:num>
  <w:num w:numId="22">
    <w:abstractNumId w:val="25"/>
  </w:num>
  <w:num w:numId="23">
    <w:abstractNumId w:val="13"/>
    <w:lvlOverride w:ilvl="0">
      <w:lvl w:ilvl="0">
        <w:start w:val="1"/>
        <w:numFmt w:val="decimal"/>
        <w:suff w:val="space"/>
        <w:lvlText w:val="(%1)"/>
        <w:lvlJc w:val="left"/>
        <w:pPr>
          <w:ind w:left="0" w:firstLine="360"/>
        </w:pPr>
        <w:rPr>
          <w:rFonts w:hint="default"/>
        </w:rPr>
      </w:lvl>
    </w:lvlOverride>
    <w:lvlOverride w:ilvl="1">
      <w:lvl w:ilvl="1">
        <w:start w:val="1"/>
        <w:numFmt w:val="lowerLetter"/>
        <w:lvlText w:val="(%2)"/>
        <w:lvlJc w:val="left"/>
        <w:pPr>
          <w:ind w:left="720" w:hanging="360"/>
        </w:pPr>
        <w:rPr>
          <w:rFonts w:hint="default"/>
          <w:strike w:val="0"/>
        </w:rPr>
      </w:lvl>
    </w:lvlOverride>
    <w:lvlOverride w:ilvl="2">
      <w:lvl w:ilvl="2">
        <w:start w:val="1"/>
        <w:numFmt w:val="lowerRoman"/>
        <w:suff w:val="space"/>
        <w:lvlText w:val="(%3)"/>
        <w:lvlJc w:val="left"/>
        <w:pPr>
          <w:ind w:left="1080" w:hanging="360"/>
        </w:pPr>
        <w:rPr>
          <w:rFonts w:hint="default"/>
        </w:rPr>
      </w:lvl>
    </w:lvlOverride>
    <w:lvlOverride w:ilvl="3">
      <w:lvl w:ilvl="3">
        <w:start w:val="1"/>
        <w:numFmt w:val="upp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9"/>
  </w:num>
  <w:num w:numId="25">
    <w:abstractNumId w:val="7"/>
  </w:num>
  <w:num w:numId="26">
    <w:abstractNumId w:val="4"/>
  </w:num>
  <w:num w:numId="27">
    <w:abstractNumId w:val="9"/>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7E"/>
    <w:rsid w:val="00016A30"/>
    <w:rsid w:val="00030B31"/>
    <w:rsid w:val="00050F88"/>
    <w:rsid w:val="000566EB"/>
    <w:rsid w:val="0006112B"/>
    <w:rsid w:val="000A1471"/>
    <w:rsid w:val="000A22F3"/>
    <w:rsid w:val="000A55CF"/>
    <w:rsid w:val="000A798A"/>
    <w:rsid w:val="000B44CD"/>
    <w:rsid w:val="000D0854"/>
    <w:rsid w:val="000F5FEE"/>
    <w:rsid w:val="000F78D8"/>
    <w:rsid w:val="00103049"/>
    <w:rsid w:val="001078D1"/>
    <w:rsid w:val="00115A79"/>
    <w:rsid w:val="001368D2"/>
    <w:rsid w:val="001467FC"/>
    <w:rsid w:val="00147AFF"/>
    <w:rsid w:val="00150706"/>
    <w:rsid w:val="0016140B"/>
    <w:rsid w:val="001719B9"/>
    <w:rsid w:val="00172C05"/>
    <w:rsid w:val="001736F3"/>
    <w:rsid w:val="001868FB"/>
    <w:rsid w:val="001905A9"/>
    <w:rsid w:val="001A3AC9"/>
    <w:rsid w:val="001A5A8F"/>
    <w:rsid w:val="001B0D46"/>
    <w:rsid w:val="001B1698"/>
    <w:rsid w:val="001B3A1E"/>
    <w:rsid w:val="001C321D"/>
    <w:rsid w:val="001C693D"/>
    <w:rsid w:val="001D0298"/>
    <w:rsid w:val="001D2A7F"/>
    <w:rsid w:val="001E10D4"/>
    <w:rsid w:val="001E7694"/>
    <w:rsid w:val="00200C43"/>
    <w:rsid w:val="00216D63"/>
    <w:rsid w:val="002321CB"/>
    <w:rsid w:val="00254CEA"/>
    <w:rsid w:val="0029672B"/>
    <w:rsid w:val="002A0C05"/>
    <w:rsid w:val="002B0807"/>
    <w:rsid w:val="002C4107"/>
    <w:rsid w:val="002D44FF"/>
    <w:rsid w:val="003110FF"/>
    <w:rsid w:val="00313F3A"/>
    <w:rsid w:val="00330460"/>
    <w:rsid w:val="003305DE"/>
    <w:rsid w:val="00332986"/>
    <w:rsid w:val="00350E09"/>
    <w:rsid w:val="00380E5B"/>
    <w:rsid w:val="00382F7C"/>
    <w:rsid w:val="003936DE"/>
    <w:rsid w:val="003A25FD"/>
    <w:rsid w:val="003A6B34"/>
    <w:rsid w:val="003B177D"/>
    <w:rsid w:val="003C1863"/>
    <w:rsid w:val="003C6E00"/>
    <w:rsid w:val="003D30C2"/>
    <w:rsid w:val="003D4B8C"/>
    <w:rsid w:val="003E0711"/>
    <w:rsid w:val="003E2CF0"/>
    <w:rsid w:val="003E7322"/>
    <w:rsid w:val="003F64F3"/>
    <w:rsid w:val="00400B2B"/>
    <w:rsid w:val="00403017"/>
    <w:rsid w:val="0040337F"/>
    <w:rsid w:val="00403E0B"/>
    <w:rsid w:val="004133E2"/>
    <w:rsid w:val="00447176"/>
    <w:rsid w:val="004532EE"/>
    <w:rsid w:val="00467BE2"/>
    <w:rsid w:val="00474F95"/>
    <w:rsid w:val="004848F7"/>
    <w:rsid w:val="00490763"/>
    <w:rsid w:val="00496670"/>
    <w:rsid w:val="004A284D"/>
    <w:rsid w:val="004B4477"/>
    <w:rsid w:val="004B63C7"/>
    <w:rsid w:val="004C750F"/>
    <w:rsid w:val="004D0E23"/>
    <w:rsid w:val="004E1FE6"/>
    <w:rsid w:val="004E2103"/>
    <w:rsid w:val="004E3E1D"/>
    <w:rsid w:val="004F082C"/>
    <w:rsid w:val="00510275"/>
    <w:rsid w:val="00517A7E"/>
    <w:rsid w:val="00522323"/>
    <w:rsid w:val="005408A4"/>
    <w:rsid w:val="00543E19"/>
    <w:rsid w:val="00553DDF"/>
    <w:rsid w:val="005607BC"/>
    <w:rsid w:val="00582885"/>
    <w:rsid w:val="00584B5B"/>
    <w:rsid w:val="005A216A"/>
    <w:rsid w:val="005A6C49"/>
    <w:rsid w:val="005C0278"/>
    <w:rsid w:val="005C4A04"/>
    <w:rsid w:val="005C6905"/>
    <w:rsid w:val="005D3091"/>
    <w:rsid w:val="005E722E"/>
    <w:rsid w:val="005F2F2E"/>
    <w:rsid w:val="005F3372"/>
    <w:rsid w:val="005F52A3"/>
    <w:rsid w:val="0060164E"/>
    <w:rsid w:val="00604006"/>
    <w:rsid w:val="0061119B"/>
    <w:rsid w:val="00623451"/>
    <w:rsid w:val="00632145"/>
    <w:rsid w:val="00635049"/>
    <w:rsid w:val="006731A7"/>
    <w:rsid w:val="0068139A"/>
    <w:rsid w:val="00691E3A"/>
    <w:rsid w:val="00692218"/>
    <w:rsid w:val="006A3E60"/>
    <w:rsid w:val="006B320D"/>
    <w:rsid w:val="006C2130"/>
    <w:rsid w:val="006D50E3"/>
    <w:rsid w:val="006F06FC"/>
    <w:rsid w:val="007068B3"/>
    <w:rsid w:val="00706BDE"/>
    <w:rsid w:val="00720470"/>
    <w:rsid w:val="00721C0A"/>
    <w:rsid w:val="00722351"/>
    <w:rsid w:val="007351D7"/>
    <w:rsid w:val="00735AA2"/>
    <w:rsid w:val="00736885"/>
    <w:rsid w:val="00737436"/>
    <w:rsid w:val="007425AA"/>
    <w:rsid w:val="00743703"/>
    <w:rsid w:val="00765F93"/>
    <w:rsid w:val="0077294C"/>
    <w:rsid w:val="00777EA6"/>
    <w:rsid w:val="0078439C"/>
    <w:rsid w:val="007D45CD"/>
    <w:rsid w:val="007E5911"/>
    <w:rsid w:val="007F7A69"/>
    <w:rsid w:val="008074EB"/>
    <w:rsid w:val="00807731"/>
    <w:rsid w:val="00811E5E"/>
    <w:rsid w:val="0081308D"/>
    <w:rsid w:val="00827132"/>
    <w:rsid w:val="00840982"/>
    <w:rsid w:val="0085777E"/>
    <w:rsid w:val="00862DEC"/>
    <w:rsid w:val="00864773"/>
    <w:rsid w:val="00865016"/>
    <w:rsid w:val="00873A56"/>
    <w:rsid w:val="00874156"/>
    <w:rsid w:val="00876C84"/>
    <w:rsid w:val="00885CC0"/>
    <w:rsid w:val="00893C72"/>
    <w:rsid w:val="008A5EF8"/>
    <w:rsid w:val="008A6D23"/>
    <w:rsid w:val="008D0AC2"/>
    <w:rsid w:val="008D3881"/>
    <w:rsid w:val="008E0478"/>
    <w:rsid w:val="00910D2A"/>
    <w:rsid w:val="00915FC6"/>
    <w:rsid w:val="00933A44"/>
    <w:rsid w:val="009578AF"/>
    <w:rsid w:val="00962649"/>
    <w:rsid w:val="00984875"/>
    <w:rsid w:val="009A2E84"/>
    <w:rsid w:val="009B1077"/>
    <w:rsid w:val="009B553A"/>
    <w:rsid w:val="009D06A2"/>
    <w:rsid w:val="009D1731"/>
    <w:rsid w:val="009D2820"/>
    <w:rsid w:val="009E2B04"/>
    <w:rsid w:val="009E632A"/>
    <w:rsid w:val="00A03A7E"/>
    <w:rsid w:val="00A31E8B"/>
    <w:rsid w:val="00A34FDD"/>
    <w:rsid w:val="00A772E1"/>
    <w:rsid w:val="00A861DA"/>
    <w:rsid w:val="00AA77FE"/>
    <w:rsid w:val="00AB05D2"/>
    <w:rsid w:val="00AB45B6"/>
    <w:rsid w:val="00AC50C4"/>
    <w:rsid w:val="00AD61B2"/>
    <w:rsid w:val="00AE0DA6"/>
    <w:rsid w:val="00AF52D4"/>
    <w:rsid w:val="00AF6A0F"/>
    <w:rsid w:val="00B06F69"/>
    <w:rsid w:val="00B23A44"/>
    <w:rsid w:val="00B25CC5"/>
    <w:rsid w:val="00B339F4"/>
    <w:rsid w:val="00B35939"/>
    <w:rsid w:val="00B44726"/>
    <w:rsid w:val="00B44CED"/>
    <w:rsid w:val="00B519FB"/>
    <w:rsid w:val="00B53E6F"/>
    <w:rsid w:val="00B56582"/>
    <w:rsid w:val="00B570E1"/>
    <w:rsid w:val="00B709C9"/>
    <w:rsid w:val="00B94939"/>
    <w:rsid w:val="00BA6118"/>
    <w:rsid w:val="00BB09A6"/>
    <w:rsid w:val="00BC5CCC"/>
    <w:rsid w:val="00BD5B70"/>
    <w:rsid w:val="00C10104"/>
    <w:rsid w:val="00C17E6C"/>
    <w:rsid w:val="00C26DC3"/>
    <w:rsid w:val="00C4467F"/>
    <w:rsid w:val="00C565AE"/>
    <w:rsid w:val="00C604BB"/>
    <w:rsid w:val="00C74C2E"/>
    <w:rsid w:val="00C75033"/>
    <w:rsid w:val="00CA13C7"/>
    <w:rsid w:val="00CB41C5"/>
    <w:rsid w:val="00CC53F6"/>
    <w:rsid w:val="00CD68B2"/>
    <w:rsid w:val="00D01A43"/>
    <w:rsid w:val="00D249A2"/>
    <w:rsid w:val="00D34F3A"/>
    <w:rsid w:val="00D37723"/>
    <w:rsid w:val="00D37C16"/>
    <w:rsid w:val="00D43975"/>
    <w:rsid w:val="00D444BE"/>
    <w:rsid w:val="00D452C5"/>
    <w:rsid w:val="00D541D8"/>
    <w:rsid w:val="00D57C6B"/>
    <w:rsid w:val="00D6370D"/>
    <w:rsid w:val="00D70046"/>
    <w:rsid w:val="00D72A83"/>
    <w:rsid w:val="00D94818"/>
    <w:rsid w:val="00DA2C40"/>
    <w:rsid w:val="00DB351E"/>
    <w:rsid w:val="00DB446A"/>
    <w:rsid w:val="00DC1C82"/>
    <w:rsid w:val="00DC6961"/>
    <w:rsid w:val="00DD1C4E"/>
    <w:rsid w:val="00DD3B5C"/>
    <w:rsid w:val="00DE412E"/>
    <w:rsid w:val="00DE7D7E"/>
    <w:rsid w:val="00DF42AB"/>
    <w:rsid w:val="00DF5B8F"/>
    <w:rsid w:val="00E0423C"/>
    <w:rsid w:val="00E04D47"/>
    <w:rsid w:val="00E05D1D"/>
    <w:rsid w:val="00E074D3"/>
    <w:rsid w:val="00E12DC4"/>
    <w:rsid w:val="00E14C3F"/>
    <w:rsid w:val="00E357EF"/>
    <w:rsid w:val="00E429E3"/>
    <w:rsid w:val="00E45EB2"/>
    <w:rsid w:val="00E46A62"/>
    <w:rsid w:val="00E65DC1"/>
    <w:rsid w:val="00E75808"/>
    <w:rsid w:val="00E77F2F"/>
    <w:rsid w:val="00E82FEC"/>
    <w:rsid w:val="00E85694"/>
    <w:rsid w:val="00EA37E7"/>
    <w:rsid w:val="00EB7CD1"/>
    <w:rsid w:val="00EC0DA1"/>
    <w:rsid w:val="00EC5657"/>
    <w:rsid w:val="00EC62CB"/>
    <w:rsid w:val="00ED0052"/>
    <w:rsid w:val="00ED7577"/>
    <w:rsid w:val="00EE0E71"/>
    <w:rsid w:val="00EE3966"/>
    <w:rsid w:val="00EE4AD1"/>
    <w:rsid w:val="00EF155E"/>
    <w:rsid w:val="00EF42AB"/>
    <w:rsid w:val="00F010AA"/>
    <w:rsid w:val="00F109DD"/>
    <w:rsid w:val="00F25721"/>
    <w:rsid w:val="00F3481F"/>
    <w:rsid w:val="00F41ED1"/>
    <w:rsid w:val="00F42CED"/>
    <w:rsid w:val="00F63E97"/>
    <w:rsid w:val="00F6729E"/>
    <w:rsid w:val="00F67B53"/>
    <w:rsid w:val="00F723C9"/>
    <w:rsid w:val="00F77D11"/>
    <w:rsid w:val="00F804A9"/>
    <w:rsid w:val="00FB1608"/>
    <w:rsid w:val="00FD16E8"/>
    <w:rsid w:val="00FD2CDD"/>
    <w:rsid w:val="00FD3890"/>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1B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1B25"/>
    <w:rPr>
      <w:rFonts w:ascii="Consolas" w:hAnsi="Consolas"/>
      <w:sz w:val="21"/>
      <w:szCs w:val="21"/>
    </w:rPr>
  </w:style>
  <w:style w:type="paragraph" w:styleId="ListParagraph">
    <w:name w:val="List Paragraph"/>
    <w:basedOn w:val="Normal"/>
    <w:uiPriority w:val="34"/>
    <w:qFormat/>
    <w:rsid w:val="003A6B34"/>
    <w:pPr>
      <w:spacing w:after="0" w:line="240" w:lineRule="auto"/>
      <w:ind w:left="720"/>
      <w:contextualSpacing/>
    </w:pPr>
    <w:rPr>
      <w:rFonts w:eastAsiaTheme="minorHAnsi"/>
    </w:rPr>
  </w:style>
  <w:style w:type="character" w:styleId="CommentReference">
    <w:name w:val="annotation reference"/>
    <w:basedOn w:val="DefaultParagraphFont"/>
    <w:uiPriority w:val="99"/>
    <w:semiHidden/>
    <w:unhideWhenUsed/>
    <w:rsid w:val="00467BE2"/>
    <w:rPr>
      <w:sz w:val="16"/>
      <w:szCs w:val="16"/>
    </w:rPr>
  </w:style>
  <w:style w:type="paragraph" w:styleId="CommentText">
    <w:name w:val="annotation text"/>
    <w:basedOn w:val="Normal"/>
    <w:link w:val="CommentTextChar"/>
    <w:uiPriority w:val="99"/>
    <w:semiHidden/>
    <w:unhideWhenUsed/>
    <w:rsid w:val="00467BE2"/>
    <w:pPr>
      <w:spacing w:line="240" w:lineRule="auto"/>
    </w:pPr>
    <w:rPr>
      <w:sz w:val="20"/>
      <w:szCs w:val="20"/>
    </w:rPr>
  </w:style>
  <w:style w:type="character" w:customStyle="1" w:styleId="CommentTextChar">
    <w:name w:val="Comment Text Char"/>
    <w:basedOn w:val="DefaultParagraphFont"/>
    <w:link w:val="CommentText"/>
    <w:uiPriority w:val="99"/>
    <w:semiHidden/>
    <w:rsid w:val="00467BE2"/>
    <w:rPr>
      <w:sz w:val="20"/>
      <w:szCs w:val="20"/>
    </w:rPr>
  </w:style>
  <w:style w:type="paragraph" w:styleId="CommentSubject">
    <w:name w:val="annotation subject"/>
    <w:basedOn w:val="CommentText"/>
    <w:next w:val="CommentText"/>
    <w:link w:val="CommentSubjectChar"/>
    <w:uiPriority w:val="99"/>
    <w:semiHidden/>
    <w:unhideWhenUsed/>
    <w:rsid w:val="00467BE2"/>
    <w:rPr>
      <w:b/>
      <w:bCs/>
    </w:rPr>
  </w:style>
  <w:style w:type="character" w:customStyle="1" w:styleId="CommentSubjectChar">
    <w:name w:val="Comment Subject Char"/>
    <w:basedOn w:val="CommentTextChar"/>
    <w:link w:val="CommentSubject"/>
    <w:uiPriority w:val="99"/>
    <w:semiHidden/>
    <w:rsid w:val="00467BE2"/>
    <w:rPr>
      <w:b/>
      <w:bCs/>
      <w:sz w:val="20"/>
      <w:szCs w:val="20"/>
    </w:rPr>
  </w:style>
  <w:style w:type="paragraph" w:styleId="BalloonText">
    <w:name w:val="Balloon Text"/>
    <w:basedOn w:val="Normal"/>
    <w:link w:val="BalloonTextChar"/>
    <w:uiPriority w:val="99"/>
    <w:semiHidden/>
    <w:unhideWhenUsed/>
    <w:rsid w:val="0046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E2"/>
    <w:rPr>
      <w:rFonts w:ascii="Tahoma" w:hAnsi="Tahoma" w:cs="Tahoma"/>
      <w:sz w:val="16"/>
      <w:szCs w:val="16"/>
    </w:rPr>
  </w:style>
  <w:style w:type="character" w:styleId="Hyperlink">
    <w:name w:val="Hyperlink"/>
    <w:basedOn w:val="DefaultParagraphFont"/>
    <w:uiPriority w:val="99"/>
    <w:unhideWhenUsed/>
    <w:rsid w:val="007E5911"/>
    <w:rPr>
      <w:color w:val="2B674D"/>
      <w:u w:val="single"/>
    </w:rPr>
  </w:style>
  <w:style w:type="paragraph" w:styleId="Revision">
    <w:name w:val="Revision"/>
    <w:hidden/>
    <w:uiPriority w:val="99"/>
    <w:semiHidden/>
    <w:rsid w:val="0061119B"/>
    <w:pPr>
      <w:spacing w:after="0" w:line="240" w:lineRule="auto"/>
    </w:pPr>
  </w:style>
  <w:style w:type="paragraph" w:styleId="Header">
    <w:name w:val="header"/>
    <w:basedOn w:val="Normal"/>
    <w:link w:val="HeaderChar"/>
    <w:uiPriority w:val="99"/>
    <w:unhideWhenUsed/>
    <w:rsid w:val="0052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23"/>
  </w:style>
  <w:style w:type="paragraph" w:styleId="Footer">
    <w:name w:val="footer"/>
    <w:basedOn w:val="Normal"/>
    <w:link w:val="FooterChar"/>
    <w:uiPriority w:val="99"/>
    <w:unhideWhenUsed/>
    <w:rsid w:val="00522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23"/>
  </w:style>
  <w:style w:type="character" w:styleId="FollowedHyperlink">
    <w:name w:val="FollowedHyperlink"/>
    <w:basedOn w:val="DefaultParagraphFont"/>
    <w:uiPriority w:val="99"/>
    <w:semiHidden/>
    <w:unhideWhenUsed/>
    <w:rsid w:val="00400B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1B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1B25"/>
    <w:rPr>
      <w:rFonts w:ascii="Consolas" w:hAnsi="Consolas"/>
      <w:sz w:val="21"/>
      <w:szCs w:val="21"/>
    </w:rPr>
  </w:style>
  <w:style w:type="paragraph" w:styleId="ListParagraph">
    <w:name w:val="List Paragraph"/>
    <w:basedOn w:val="Normal"/>
    <w:uiPriority w:val="34"/>
    <w:qFormat/>
    <w:rsid w:val="003A6B34"/>
    <w:pPr>
      <w:spacing w:after="0" w:line="240" w:lineRule="auto"/>
      <w:ind w:left="720"/>
      <w:contextualSpacing/>
    </w:pPr>
    <w:rPr>
      <w:rFonts w:eastAsiaTheme="minorHAnsi"/>
    </w:rPr>
  </w:style>
  <w:style w:type="character" w:styleId="CommentReference">
    <w:name w:val="annotation reference"/>
    <w:basedOn w:val="DefaultParagraphFont"/>
    <w:uiPriority w:val="99"/>
    <w:semiHidden/>
    <w:unhideWhenUsed/>
    <w:rsid w:val="00467BE2"/>
    <w:rPr>
      <w:sz w:val="16"/>
      <w:szCs w:val="16"/>
    </w:rPr>
  </w:style>
  <w:style w:type="paragraph" w:styleId="CommentText">
    <w:name w:val="annotation text"/>
    <w:basedOn w:val="Normal"/>
    <w:link w:val="CommentTextChar"/>
    <w:uiPriority w:val="99"/>
    <w:semiHidden/>
    <w:unhideWhenUsed/>
    <w:rsid w:val="00467BE2"/>
    <w:pPr>
      <w:spacing w:line="240" w:lineRule="auto"/>
    </w:pPr>
    <w:rPr>
      <w:sz w:val="20"/>
      <w:szCs w:val="20"/>
    </w:rPr>
  </w:style>
  <w:style w:type="character" w:customStyle="1" w:styleId="CommentTextChar">
    <w:name w:val="Comment Text Char"/>
    <w:basedOn w:val="DefaultParagraphFont"/>
    <w:link w:val="CommentText"/>
    <w:uiPriority w:val="99"/>
    <w:semiHidden/>
    <w:rsid w:val="00467BE2"/>
    <w:rPr>
      <w:sz w:val="20"/>
      <w:szCs w:val="20"/>
    </w:rPr>
  </w:style>
  <w:style w:type="paragraph" w:styleId="CommentSubject">
    <w:name w:val="annotation subject"/>
    <w:basedOn w:val="CommentText"/>
    <w:next w:val="CommentText"/>
    <w:link w:val="CommentSubjectChar"/>
    <w:uiPriority w:val="99"/>
    <w:semiHidden/>
    <w:unhideWhenUsed/>
    <w:rsid w:val="00467BE2"/>
    <w:rPr>
      <w:b/>
      <w:bCs/>
    </w:rPr>
  </w:style>
  <w:style w:type="character" w:customStyle="1" w:styleId="CommentSubjectChar">
    <w:name w:val="Comment Subject Char"/>
    <w:basedOn w:val="CommentTextChar"/>
    <w:link w:val="CommentSubject"/>
    <w:uiPriority w:val="99"/>
    <w:semiHidden/>
    <w:rsid w:val="00467BE2"/>
    <w:rPr>
      <w:b/>
      <w:bCs/>
      <w:sz w:val="20"/>
      <w:szCs w:val="20"/>
    </w:rPr>
  </w:style>
  <w:style w:type="paragraph" w:styleId="BalloonText">
    <w:name w:val="Balloon Text"/>
    <w:basedOn w:val="Normal"/>
    <w:link w:val="BalloonTextChar"/>
    <w:uiPriority w:val="99"/>
    <w:semiHidden/>
    <w:unhideWhenUsed/>
    <w:rsid w:val="0046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E2"/>
    <w:rPr>
      <w:rFonts w:ascii="Tahoma" w:hAnsi="Tahoma" w:cs="Tahoma"/>
      <w:sz w:val="16"/>
      <w:szCs w:val="16"/>
    </w:rPr>
  </w:style>
  <w:style w:type="character" w:styleId="Hyperlink">
    <w:name w:val="Hyperlink"/>
    <w:basedOn w:val="DefaultParagraphFont"/>
    <w:uiPriority w:val="99"/>
    <w:unhideWhenUsed/>
    <w:rsid w:val="007E5911"/>
    <w:rPr>
      <w:color w:val="2B674D"/>
      <w:u w:val="single"/>
    </w:rPr>
  </w:style>
  <w:style w:type="paragraph" w:styleId="Revision">
    <w:name w:val="Revision"/>
    <w:hidden/>
    <w:uiPriority w:val="99"/>
    <w:semiHidden/>
    <w:rsid w:val="0061119B"/>
    <w:pPr>
      <w:spacing w:after="0" w:line="240" w:lineRule="auto"/>
    </w:pPr>
  </w:style>
  <w:style w:type="paragraph" w:styleId="Header">
    <w:name w:val="header"/>
    <w:basedOn w:val="Normal"/>
    <w:link w:val="HeaderChar"/>
    <w:uiPriority w:val="99"/>
    <w:unhideWhenUsed/>
    <w:rsid w:val="0052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23"/>
  </w:style>
  <w:style w:type="paragraph" w:styleId="Footer">
    <w:name w:val="footer"/>
    <w:basedOn w:val="Normal"/>
    <w:link w:val="FooterChar"/>
    <w:uiPriority w:val="99"/>
    <w:unhideWhenUsed/>
    <w:rsid w:val="00522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23"/>
  </w:style>
  <w:style w:type="character" w:styleId="FollowedHyperlink">
    <w:name w:val="FollowedHyperlink"/>
    <w:basedOn w:val="DefaultParagraphFont"/>
    <w:uiPriority w:val="99"/>
    <w:semiHidden/>
    <w:unhideWhenUsed/>
    <w:rsid w:val="00400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energy/powerplan/6/plan/"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ommerce.wa.gov/Programs/services/weatherization/Pages/WeatherizationTechnicalDocument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2014-04-09T07:00:00+00:00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16049-2413-49AF-8EC9-46E9D86BAB26}"/>
</file>

<file path=customXml/itemProps2.xml><?xml version="1.0" encoding="utf-8"?>
<ds:datastoreItem xmlns:ds="http://schemas.openxmlformats.org/officeDocument/2006/customXml" ds:itemID="{350022CF-5A90-4F95-8C32-34BD79DAC863}"/>
</file>

<file path=customXml/itemProps3.xml><?xml version="1.0" encoding="utf-8"?>
<ds:datastoreItem xmlns:ds="http://schemas.openxmlformats.org/officeDocument/2006/customXml" ds:itemID="{EF2411DD-F16D-4088-8B45-80E2AA451C60}"/>
</file>

<file path=customXml/itemProps4.xml><?xml version="1.0" encoding="utf-8"?>
<ds:datastoreItem xmlns:ds="http://schemas.openxmlformats.org/officeDocument/2006/customXml" ds:itemID="{D3AFB37B-997C-497F-A8AE-897C551C7C66}"/>
</file>

<file path=docProps/app.xml><?xml version="1.0" encoding="utf-8"?>
<Properties xmlns="http://schemas.openxmlformats.org/officeDocument/2006/extended-properties" xmlns:vt="http://schemas.openxmlformats.org/officeDocument/2006/docPropsVTypes">
  <Template>Normal</Template>
  <TotalTime>0</TotalTime>
  <Pages>20</Pages>
  <Words>6440</Words>
  <Characters>36709</Characters>
  <Application>Microsoft Office Word</Application>
  <DocSecurity>0</DocSecurity>
  <Lines>305</Lines>
  <Paragraphs>86</Paragraphs>
  <ScaleCrop>false</ScaleCrop>
  <LinksUpToDate>false</LinksUpToDate>
  <CharactersWithSpaces>43063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2014-04-08T21:43:00Z</dcterms:created>
  <dcterms:modified xsi:type="dcterms:W3CDTF">2014-04-08T21:43:00Z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