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5D3EF" w14:textId="77777777" w:rsidR="009363BA" w:rsidRPr="005440CF" w:rsidRDefault="009363BA" w:rsidP="00FF75F4">
      <w:bookmarkStart w:id="0" w:name="_GoBack"/>
      <w:bookmarkEnd w:id="0"/>
    </w:p>
    <w:p w14:paraId="6655D3F0" w14:textId="77777777" w:rsidR="008A4054" w:rsidRPr="005440CF" w:rsidRDefault="00657DEE" w:rsidP="00FF75F4">
      <w:r w:rsidRPr="005440CF">
        <w:t>Agenda Date:</w:t>
      </w:r>
      <w:r w:rsidRPr="005440CF">
        <w:tab/>
      </w:r>
      <w:r w:rsidR="00744C90" w:rsidRPr="005440CF">
        <w:tab/>
      </w:r>
      <w:r w:rsidR="00040CE3">
        <w:t>December</w:t>
      </w:r>
      <w:r w:rsidR="007B7BB4" w:rsidRPr="005440CF">
        <w:t xml:space="preserve"> </w:t>
      </w:r>
      <w:r w:rsidR="00D75C47">
        <w:t>21</w:t>
      </w:r>
      <w:r w:rsidR="008A4054" w:rsidRPr="005440CF">
        <w:t>, 201</w:t>
      </w:r>
      <w:r w:rsidR="00D75C47">
        <w:t>2</w:t>
      </w:r>
    </w:p>
    <w:p w14:paraId="6655D3F1" w14:textId="7AD7CB3B" w:rsidR="00657DEE" w:rsidRPr="005440CF" w:rsidRDefault="00657DEE" w:rsidP="00FF75F4">
      <w:r w:rsidRPr="005440CF">
        <w:t>Item Number:</w:t>
      </w:r>
      <w:r w:rsidRPr="005440CF">
        <w:tab/>
      </w:r>
      <w:r w:rsidR="006E29B5">
        <w:tab/>
        <w:t>D7</w:t>
      </w:r>
      <w:r w:rsidR="004C1F12">
        <w:tab/>
      </w:r>
    </w:p>
    <w:p w14:paraId="6655D3F2" w14:textId="77777777" w:rsidR="00657DEE" w:rsidRPr="005440CF" w:rsidRDefault="00657DEE" w:rsidP="00FF75F4"/>
    <w:p w14:paraId="6655D3F3" w14:textId="439C8002" w:rsidR="00657DEE" w:rsidRPr="00204A52" w:rsidRDefault="00657DEE" w:rsidP="002C648F">
      <w:pPr>
        <w:rPr>
          <w:b/>
        </w:rPr>
      </w:pPr>
      <w:r w:rsidRPr="00204A52">
        <w:rPr>
          <w:b/>
        </w:rPr>
        <w:t>Docket</w:t>
      </w:r>
      <w:r w:rsidR="002C648F">
        <w:rPr>
          <w:b/>
        </w:rPr>
        <w:t>:</w:t>
      </w:r>
      <w:r w:rsidR="002C648F">
        <w:rPr>
          <w:b/>
        </w:rPr>
        <w:tab/>
      </w:r>
      <w:r w:rsidR="002C648F">
        <w:rPr>
          <w:b/>
        </w:rPr>
        <w:tab/>
      </w:r>
      <w:r w:rsidR="005A7B7E" w:rsidRPr="00204A52">
        <w:rPr>
          <w:b/>
        </w:rPr>
        <w:t>UE</w:t>
      </w:r>
      <w:r w:rsidR="00CF5C63" w:rsidRPr="00204A52">
        <w:rPr>
          <w:b/>
        </w:rPr>
        <w:t>-</w:t>
      </w:r>
      <w:r w:rsidR="005A7B7E" w:rsidRPr="00204A52">
        <w:rPr>
          <w:b/>
        </w:rPr>
        <w:t>1</w:t>
      </w:r>
      <w:r w:rsidR="00D75C47">
        <w:rPr>
          <w:b/>
        </w:rPr>
        <w:t>11882</w:t>
      </w:r>
    </w:p>
    <w:p w14:paraId="6655D3F4" w14:textId="77777777" w:rsidR="00040CE3" w:rsidRDefault="00040CE3" w:rsidP="00FF75F4"/>
    <w:p w14:paraId="6655D3F5" w14:textId="77777777" w:rsidR="00657DEE" w:rsidRPr="005440CF" w:rsidRDefault="00657DEE" w:rsidP="00FF75F4">
      <w:r w:rsidRPr="005440CF">
        <w:t>Company:</w:t>
      </w:r>
      <w:r w:rsidRPr="005440CF">
        <w:tab/>
      </w:r>
      <w:r w:rsidRPr="005440CF">
        <w:tab/>
      </w:r>
      <w:r w:rsidR="005A7B7E" w:rsidRPr="005440CF">
        <w:t>Avista Corporation</w:t>
      </w:r>
    </w:p>
    <w:p w14:paraId="6655D3F6" w14:textId="77777777" w:rsidR="00657DEE" w:rsidRPr="005440CF" w:rsidRDefault="00657DEE" w:rsidP="00FF75F4"/>
    <w:p w14:paraId="6655D3F7" w14:textId="77777777" w:rsidR="003329DB" w:rsidRPr="005440CF" w:rsidRDefault="00657DEE" w:rsidP="00FF75F4">
      <w:r w:rsidRPr="005440CF">
        <w:t>Staff:</w:t>
      </w:r>
      <w:r w:rsidRPr="005440CF">
        <w:tab/>
      </w:r>
      <w:r w:rsidRPr="005440CF">
        <w:tab/>
      </w:r>
      <w:r w:rsidRPr="005440CF">
        <w:tab/>
      </w:r>
      <w:r w:rsidR="00D75C47">
        <w:t>Eric Russell</w:t>
      </w:r>
      <w:r w:rsidR="003329DB" w:rsidRPr="005440CF">
        <w:t>, Regulatory Analyst</w:t>
      </w:r>
    </w:p>
    <w:p w14:paraId="6655D3F8" w14:textId="77777777" w:rsidR="001923BA" w:rsidRPr="005440CF" w:rsidRDefault="00D75C47" w:rsidP="00FF75F4">
      <w:r>
        <w:tab/>
      </w:r>
      <w:r>
        <w:tab/>
      </w:r>
    </w:p>
    <w:p w14:paraId="6655D3F9" w14:textId="77777777" w:rsidR="009363BA" w:rsidRPr="00204A52" w:rsidRDefault="00BF3D13" w:rsidP="00204A52">
      <w:pPr>
        <w:pStyle w:val="Heading1"/>
      </w:pPr>
      <w:r w:rsidRPr="00204A52">
        <w:t>Recommendation</w:t>
      </w:r>
    </w:p>
    <w:p w14:paraId="6655D3FA" w14:textId="5600DD5D" w:rsidR="009652E7" w:rsidRPr="005440CF" w:rsidRDefault="009652E7" w:rsidP="009652E7">
      <w:pPr>
        <w:rPr>
          <w:color w:val="1F497D"/>
        </w:rPr>
      </w:pPr>
      <w:r w:rsidRPr="00040CE3">
        <w:t xml:space="preserve">Take no action, </w:t>
      </w:r>
      <w:r>
        <w:t xml:space="preserve">acknowledging timely receipt of the 2013 </w:t>
      </w:r>
      <w:r w:rsidR="004C1F12">
        <w:t>Demand-Side Management</w:t>
      </w:r>
      <w:r>
        <w:t xml:space="preserve"> business plan on November 1, 2012</w:t>
      </w:r>
      <w:r w:rsidR="006E29B5">
        <w:t>,</w:t>
      </w:r>
      <w:r>
        <w:t xml:space="preserve"> in Docket UE-111882</w:t>
      </w:r>
      <w:r w:rsidRPr="00040CE3">
        <w:t>.</w:t>
      </w:r>
      <w:r>
        <w:t xml:space="preserve"> </w:t>
      </w:r>
    </w:p>
    <w:p w14:paraId="6655D3FB" w14:textId="77777777" w:rsidR="00CA45F4" w:rsidRPr="00204A52" w:rsidRDefault="00092E6A" w:rsidP="00204A52">
      <w:pPr>
        <w:pStyle w:val="Heading1"/>
      </w:pPr>
      <w:r w:rsidRPr="00204A52">
        <w:t>Background</w:t>
      </w:r>
    </w:p>
    <w:p w14:paraId="6655D3FC" w14:textId="4F6D0A21" w:rsidR="004C1F12" w:rsidRDefault="00915206" w:rsidP="00FF75F4">
      <w:r w:rsidRPr="005440CF">
        <w:t xml:space="preserve">Avista </w:t>
      </w:r>
      <w:r w:rsidR="00B04BF8">
        <w:t xml:space="preserve">is currently operating its energy efficiency programs under conditions approved by the </w:t>
      </w:r>
      <w:r w:rsidR="004511F7" w:rsidRPr="005440CF">
        <w:t xml:space="preserve">Washington Utilities and Transportation </w:t>
      </w:r>
      <w:r w:rsidR="005A7B7E" w:rsidRPr="005440CF">
        <w:t>Commission</w:t>
      </w:r>
      <w:r w:rsidR="000E5A4A" w:rsidRPr="005440CF">
        <w:t xml:space="preserve"> (commission</w:t>
      </w:r>
      <w:r w:rsidRPr="005440CF">
        <w:t>) pursuant to RCW 19.285 and WAC 480-109</w:t>
      </w:r>
      <w:r w:rsidR="00787019" w:rsidRPr="005440CF">
        <w:t>.</w:t>
      </w:r>
      <w:r w:rsidR="00E203D1">
        <w:rPr>
          <w:rStyle w:val="FootnoteReference"/>
        </w:rPr>
        <w:footnoteReference w:id="1"/>
      </w:r>
      <w:r w:rsidR="00787019" w:rsidRPr="005440CF">
        <w:t xml:space="preserve"> </w:t>
      </w:r>
      <w:r w:rsidR="00787019" w:rsidRPr="00E3641A">
        <w:t>T</w:t>
      </w:r>
      <w:r w:rsidRPr="00E3641A">
        <w:t xml:space="preserve">he </w:t>
      </w:r>
      <w:r w:rsidR="00124A6F" w:rsidRPr="00E3641A">
        <w:t>c</w:t>
      </w:r>
      <w:r w:rsidRPr="00E3641A">
        <w:t>ompany</w:t>
      </w:r>
      <w:r w:rsidR="00304156" w:rsidRPr="00E3641A">
        <w:t>’s</w:t>
      </w:r>
      <w:r w:rsidRPr="00E3641A">
        <w:t xml:space="preserve"> biennial</w:t>
      </w:r>
      <w:r w:rsidR="00FC66BD" w:rsidRPr="00E3641A">
        <w:t xml:space="preserve"> </w:t>
      </w:r>
      <w:r w:rsidR="00B411EB" w:rsidRPr="00E3641A">
        <w:t>2012-2013</w:t>
      </w:r>
      <w:r w:rsidRPr="00E3641A">
        <w:t xml:space="preserve"> </w:t>
      </w:r>
      <w:r w:rsidR="00304156" w:rsidRPr="00E3641A">
        <w:t>electric</w:t>
      </w:r>
      <w:r w:rsidR="00D90789" w:rsidRPr="00E3641A">
        <w:t xml:space="preserve"> conservation</w:t>
      </w:r>
      <w:r w:rsidR="00304156" w:rsidRPr="00E3641A">
        <w:t xml:space="preserve"> </w:t>
      </w:r>
      <w:r w:rsidRPr="00E3641A">
        <w:t>target</w:t>
      </w:r>
      <w:r w:rsidR="00304156" w:rsidRPr="00E3641A">
        <w:t xml:space="preserve"> is</w:t>
      </w:r>
      <w:r w:rsidR="00EC4490" w:rsidRPr="00E3641A">
        <w:t xml:space="preserve"> </w:t>
      </w:r>
      <w:r w:rsidR="006458CD">
        <w:t xml:space="preserve">a range of 108,589 to </w:t>
      </w:r>
      <w:r w:rsidR="00E3641A" w:rsidRPr="00E3641A">
        <w:t xml:space="preserve">197,557 </w:t>
      </w:r>
      <w:r w:rsidR="00EC4490" w:rsidRPr="00E3641A">
        <w:t>MWh</w:t>
      </w:r>
      <w:r w:rsidR="00D81519" w:rsidRPr="00E3641A">
        <w:t>.</w:t>
      </w:r>
      <w:r w:rsidR="00192AD1" w:rsidRPr="00E3641A">
        <w:rPr>
          <w:rStyle w:val="FootnoteReference"/>
        </w:rPr>
        <w:footnoteReference w:id="2"/>
      </w:r>
      <w:r w:rsidR="0027795B">
        <w:t xml:space="preserve"> </w:t>
      </w:r>
      <w:r w:rsidR="006458CD">
        <w:t xml:space="preserve">Of this range, 76,202 to </w:t>
      </w:r>
      <w:r w:rsidR="004C1F12">
        <w:t xml:space="preserve">137,410 MWh is targeted from end use efficiency. </w:t>
      </w:r>
    </w:p>
    <w:p w14:paraId="6655D3FD" w14:textId="77777777" w:rsidR="004C1F12" w:rsidRDefault="004C1F12" w:rsidP="00FF75F4"/>
    <w:p w14:paraId="6655D3FE" w14:textId="3AC55835" w:rsidR="00EA0CE0" w:rsidRPr="005440CF" w:rsidRDefault="004C1F12" w:rsidP="00FF75F4">
      <w:r>
        <w:t xml:space="preserve">Avista’s </w:t>
      </w:r>
      <w:r w:rsidR="00FC66BD" w:rsidRPr="00E3641A">
        <w:t>201</w:t>
      </w:r>
      <w:r w:rsidR="00B411EB" w:rsidRPr="00E3641A">
        <w:t>2</w:t>
      </w:r>
      <w:r w:rsidR="00FC66BD" w:rsidRPr="00E3641A">
        <w:t xml:space="preserve"> </w:t>
      </w:r>
      <w:r w:rsidR="00304156" w:rsidRPr="00E3641A">
        <w:t xml:space="preserve">natural gas </w:t>
      </w:r>
      <w:r>
        <w:t xml:space="preserve">conservation </w:t>
      </w:r>
      <w:r w:rsidR="00304156" w:rsidRPr="00E3641A">
        <w:t xml:space="preserve">target is </w:t>
      </w:r>
      <w:r w:rsidR="00E3641A" w:rsidRPr="00E3641A">
        <w:t xml:space="preserve">1,739,311 </w:t>
      </w:r>
      <w:r w:rsidR="00FF75F4" w:rsidRPr="00E3641A">
        <w:t>therms</w:t>
      </w:r>
      <w:r w:rsidR="0027795B">
        <w:t xml:space="preserve">. </w:t>
      </w:r>
      <w:r w:rsidR="00E3641A" w:rsidRPr="00E3641A">
        <w:t>The company does not currently have a 2013 target, as it is requesting temporary discontinuance of its natural gas conservation programs</w:t>
      </w:r>
      <w:r w:rsidR="00FF75F4" w:rsidRPr="00E3641A">
        <w:t>.</w:t>
      </w:r>
      <w:r w:rsidR="00001805" w:rsidRPr="00E3641A">
        <w:rPr>
          <w:rStyle w:val="FootnoteReference"/>
        </w:rPr>
        <w:footnoteReference w:id="3"/>
      </w:r>
      <w:r w:rsidR="00520CC1" w:rsidRPr="00E3641A">
        <w:t xml:space="preserve"> Both the electric and natural gas </w:t>
      </w:r>
      <w:r>
        <w:t xml:space="preserve">conservation </w:t>
      </w:r>
      <w:r w:rsidR="00520CC1" w:rsidRPr="00E3641A">
        <w:t xml:space="preserve">targets are based on an assessment of the conservation potential in </w:t>
      </w:r>
      <w:r w:rsidR="00332F2F">
        <w:t>Avista’s</w:t>
      </w:r>
      <w:r w:rsidR="00520CC1" w:rsidRPr="00E3641A">
        <w:t xml:space="preserve"> service area.</w:t>
      </w:r>
    </w:p>
    <w:p w14:paraId="6655D3FF" w14:textId="77777777" w:rsidR="00001805" w:rsidRDefault="00001805" w:rsidP="00FF75F4"/>
    <w:p w14:paraId="6655D400" w14:textId="36847889" w:rsidR="002C648F" w:rsidRDefault="00CE3F94" w:rsidP="0081564A">
      <w:r>
        <w:t>On November 1, 201</w:t>
      </w:r>
      <w:r w:rsidR="00B411EB">
        <w:t>2</w:t>
      </w:r>
      <w:r>
        <w:t>, the company</w:t>
      </w:r>
      <w:r w:rsidR="003B2045">
        <w:t xml:space="preserve"> timely</w:t>
      </w:r>
      <w:r>
        <w:t xml:space="preserve"> filed its</w:t>
      </w:r>
      <w:r w:rsidR="00A56593">
        <w:t xml:space="preserve"> annual</w:t>
      </w:r>
      <w:r>
        <w:t xml:space="preserve"> 201</w:t>
      </w:r>
      <w:r w:rsidR="00B411EB">
        <w:t>3</w:t>
      </w:r>
      <w:r>
        <w:t xml:space="preserve"> </w:t>
      </w:r>
      <w:r w:rsidR="00B411EB">
        <w:t>Electric</w:t>
      </w:r>
      <w:r w:rsidR="00EE35F8">
        <w:t xml:space="preserve"> Demand-Side Management (</w:t>
      </w:r>
      <w:r w:rsidR="004C1F12">
        <w:t>DSM</w:t>
      </w:r>
      <w:r w:rsidR="00EE35F8">
        <w:t>)</w:t>
      </w:r>
      <w:r w:rsidR="004C1F12">
        <w:t xml:space="preserve"> </w:t>
      </w:r>
      <w:r>
        <w:t>Business Plan</w:t>
      </w:r>
      <w:r w:rsidR="00240D31">
        <w:t xml:space="preserve"> (</w:t>
      </w:r>
      <w:r w:rsidR="004C1F12">
        <w:t>Business</w:t>
      </w:r>
      <w:r w:rsidR="00240D31">
        <w:t xml:space="preserve"> Plan)</w:t>
      </w:r>
      <w:r w:rsidR="00A55508">
        <w:t xml:space="preserve"> and 2013 Energy Efficiency Evaluation, Measurement and Verification Annual Plan (EM&amp;V Plan)</w:t>
      </w:r>
      <w:r>
        <w:t xml:space="preserve"> in Docket UE-1</w:t>
      </w:r>
      <w:r w:rsidR="00B411EB">
        <w:t>11882</w:t>
      </w:r>
      <w:r w:rsidR="0027795B">
        <w:t xml:space="preserve">. </w:t>
      </w:r>
      <w:r w:rsidR="002C648F">
        <w:t xml:space="preserve">Avista did not file a natural gas DSM Business Plan, due to the proposed discontinuation of </w:t>
      </w:r>
      <w:r w:rsidR="00EE35F8">
        <w:t>its</w:t>
      </w:r>
      <w:r w:rsidR="002C648F">
        <w:t xml:space="preserve"> natural gas conservation programs in</w:t>
      </w:r>
      <w:r w:rsidR="00804BD8">
        <w:t xml:space="preserve"> Docket</w:t>
      </w:r>
      <w:r w:rsidR="002C648F">
        <w:t xml:space="preserve"> UG-121119.  </w:t>
      </w:r>
    </w:p>
    <w:p w14:paraId="0C563307" w14:textId="77777777" w:rsidR="00804BD8" w:rsidRDefault="00804BD8" w:rsidP="0081564A"/>
    <w:p w14:paraId="6655D404" w14:textId="4FF3BD3A" w:rsidR="00491D88" w:rsidRDefault="00491D88" w:rsidP="0081564A">
      <w:r>
        <w:t>The</w:t>
      </w:r>
      <w:r w:rsidR="00804BD8">
        <w:t xml:space="preserve"> electric conservation</w:t>
      </w:r>
      <w:r>
        <w:t xml:space="preserve"> rider adjustment filed in</w:t>
      </w:r>
      <w:r w:rsidR="00804BD8">
        <w:t xml:space="preserve"> May, 2012,</w:t>
      </w:r>
      <w:r>
        <w:t xml:space="preserve"> </w:t>
      </w:r>
      <w:r w:rsidR="00804BD8">
        <w:t xml:space="preserve">Docket </w:t>
      </w:r>
      <w:r>
        <w:t>UE-120788</w:t>
      </w:r>
      <w:r w:rsidR="00804BD8">
        <w:t>,</w:t>
      </w:r>
      <w:r>
        <w:t xml:space="preserve"> decreased charges and rates by $8.2</w:t>
      </w:r>
      <w:r w:rsidR="00A55508">
        <w:t xml:space="preserve"> </w:t>
      </w:r>
      <w:r>
        <w:t xml:space="preserve">million, </w:t>
      </w:r>
      <w:r w:rsidR="00C238A8">
        <w:t xml:space="preserve">and </w:t>
      </w:r>
      <w:r w:rsidR="00804BD8">
        <w:t xml:space="preserve">went into </w:t>
      </w:r>
      <w:r w:rsidR="0027795B">
        <w:t>effect</w:t>
      </w:r>
      <w:r w:rsidR="00C238A8">
        <w:t xml:space="preserve"> </w:t>
      </w:r>
      <w:r w:rsidR="0027795B">
        <w:t xml:space="preserve">October 11, 2012. </w:t>
      </w:r>
      <w:r>
        <w:t xml:space="preserve">The </w:t>
      </w:r>
      <w:r w:rsidR="00804BD8">
        <w:t xml:space="preserve">natural gas </w:t>
      </w:r>
      <w:r>
        <w:t>rider adjustment</w:t>
      </w:r>
      <w:r w:rsidR="00804BD8">
        <w:t xml:space="preserve"> filed at the same time</w:t>
      </w:r>
      <w:r>
        <w:t xml:space="preserve"> in</w:t>
      </w:r>
      <w:r w:rsidR="00804BD8">
        <w:t xml:space="preserve"> Docket</w:t>
      </w:r>
      <w:r>
        <w:t xml:space="preserve"> UG-120790 proposes a decrease in charges and rates </w:t>
      </w:r>
      <w:r w:rsidR="0027795B">
        <w:lastRenderedPageBreak/>
        <w:t xml:space="preserve">by approximately $1.9 million. </w:t>
      </w:r>
      <w:r w:rsidR="00804BD8">
        <w:t>On August 1, 2012, i</w:t>
      </w:r>
      <w:r>
        <w:t xml:space="preserve">t was </w:t>
      </w:r>
      <w:r w:rsidR="00B0370F">
        <w:t xml:space="preserve">suspended, but </w:t>
      </w:r>
      <w:r>
        <w:t xml:space="preserve">allowed </w:t>
      </w:r>
      <w:r w:rsidR="00804BD8">
        <w:t>to go into effect</w:t>
      </w:r>
      <w:r w:rsidR="00C238A8">
        <w:t xml:space="preserve"> </w:t>
      </w:r>
      <w:r w:rsidR="00B0370F">
        <w:t>on a temporary basis.</w:t>
      </w:r>
      <w:r w:rsidR="00A55508">
        <w:t xml:space="preserve"> </w:t>
      </w:r>
      <w:r w:rsidR="00804BD8">
        <w:t>It will be resolved following resolution of Docket UG-121119.</w:t>
      </w:r>
    </w:p>
    <w:p w14:paraId="6655D405" w14:textId="77777777" w:rsidR="00491D88" w:rsidRDefault="00491D88" w:rsidP="0081564A"/>
    <w:p w14:paraId="6655D406" w14:textId="5FDCF188" w:rsidR="00EC4490" w:rsidRDefault="0081564A" w:rsidP="00FF75F4">
      <w:r w:rsidRPr="005B5A78">
        <w:t xml:space="preserve">The company has developed </w:t>
      </w:r>
      <w:r w:rsidR="002C648F">
        <w:t xml:space="preserve">the </w:t>
      </w:r>
      <w:r w:rsidR="008B4959">
        <w:t>Business</w:t>
      </w:r>
      <w:r w:rsidR="002C648F">
        <w:t xml:space="preserve"> Plan</w:t>
      </w:r>
      <w:r w:rsidRPr="005B5A78">
        <w:t xml:space="preserve"> and a course of action for </w:t>
      </w:r>
      <w:r w:rsidR="00EE35F8">
        <w:t>its</w:t>
      </w:r>
      <w:r w:rsidRPr="005B5A78">
        <w:t xml:space="preserve"> conservation programs in consultation with </w:t>
      </w:r>
      <w:r w:rsidR="00EE35F8">
        <w:t>its</w:t>
      </w:r>
      <w:r w:rsidRPr="005B5A78">
        <w:t xml:space="preserve"> </w:t>
      </w:r>
      <w:r w:rsidR="00C238A8">
        <w:t>a</w:t>
      </w:r>
      <w:r w:rsidR="00D05868">
        <w:t xml:space="preserve">dvisory </w:t>
      </w:r>
      <w:r w:rsidR="00C238A8">
        <w:t>g</w:t>
      </w:r>
      <w:r w:rsidR="00D05868">
        <w:t>roup</w:t>
      </w:r>
      <w:r w:rsidRPr="005B5A78">
        <w:t xml:space="preserve">. </w:t>
      </w:r>
      <w:r w:rsidR="00A56593">
        <w:t xml:space="preserve">Avista’s </w:t>
      </w:r>
      <w:r w:rsidR="008B4959">
        <w:t xml:space="preserve">Business </w:t>
      </w:r>
      <w:r w:rsidR="002C648F">
        <w:t xml:space="preserve">Plan </w:t>
      </w:r>
      <w:r w:rsidR="00A56593">
        <w:t>include</w:t>
      </w:r>
      <w:r w:rsidR="002C648F">
        <w:t>s</w:t>
      </w:r>
      <w:r w:rsidR="00A56593">
        <w:t xml:space="preserve"> </w:t>
      </w:r>
      <w:r w:rsidR="002C648F">
        <w:t xml:space="preserve">minor </w:t>
      </w:r>
      <w:r w:rsidR="00A56593">
        <w:t>changes to program details, and an annual budget</w:t>
      </w:r>
      <w:r w:rsidR="00CC6D50" w:rsidRPr="00CC6D50">
        <w:t xml:space="preserve"> </w:t>
      </w:r>
      <w:r w:rsidR="00CC6D50">
        <w:t xml:space="preserve">with </w:t>
      </w:r>
      <w:r w:rsidR="00CC6D50" w:rsidRPr="00CC6D50">
        <w:t>reasonable program detail that shows planned expenses and the resul</w:t>
      </w:r>
      <w:r w:rsidR="0027795B">
        <w:t xml:space="preserve">ting projected energy savings. </w:t>
      </w:r>
      <w:r w:rsidR="00CC6D50">
        <w:t xml:space="preserve">The budget </w:t>
      </w:r>
      <w:r w:rsidR="002C648F">
        <w:t>is</w:t>
      </w:r>
      <w:r w:rsidR="00CC6D50">
        <w:t xml:space="preserve"> presented </w:t>
      </w:r>
      <w:r w:rsidR="00BC2095" w:rsidRPr="00BC2095">
        <w:t xml:space="preserve">in a detailed format with a summary page indicating the proposed budget and savings levels for each conservation program, </w:t>
      </w:r>
      <w:r w:rsidR="00BC2095">
        <w:t>with</w:t>
      </w:r>
      <w:r w:rsidR="00BC2095" w:rsidRPr="00BC2095">
        <w:t xml:space="preserve"> subsequent supporting spreadsheets providing further detail for each program and line item shown in the summary sheet</w:t>
      </w:r>
      <w:r w:rsidR="00B01ACF">
        <w:t xml:space="preserve"> (</w:t>
      </w:r>
      <w:r w:rsidR="00B01ACF" w:rsidRPr="00B01ACF">
        <w:t xml:space="preserve">Order 01, ¶ </w:t>
      </w:r>
      <w:r w:rsidR="00505AB1">
        <w:t>26</w:t>
      </w:r>
      <w:r w:rsidR="00B01ACF">
        <w:t>)</w:t>
      </w:r>
      <w:r w:rsidR="002E7662">
        <w:t>.</w:t>
      </w:r>
    </w:p>
    <w:p w14:paraId="6655D407" w14:textId="77777777" w:rsidR="00520CC1" w:rsidRPr="005B5A78" w:rsidRDefault="00520CC1" w:rsidP="00520CC1"/>
    <w:p w14:paraId="6655D408" w14:textId="2EB611D3" w:rsidR="00520CC1" w:rsidRDefault="009C4F77" w:rsidP="00520CC1">
      <w:r>
        <w:t>Avista</w:t>
      </w:r>
      <w:r w:rsidR="00520CC1" w:rsidRPr="005B5A78">
        <w:t xml:space="preserve"> serves approximately </w:t>
      </w:r>
      <w:r w:rsidR="00505AB1" w:rsidRPr="00505AB1">
        <w:t>23</w:t>
      </w:r>
      <w:r w:rsidR="00804BD8">
        <w:t>7</w:t>
      </w:r>
      <w:r w:rsidR="00505AB1" w:rsidRPr="00505AB1">
        <w:t>,</w:t>
      </w:r>
      <w:r w:rsidR="00804BD8">
        <w:t>000</w:t>
      </w:r>
      <w:r w:rsidR="00505AB1">
        <w:t xml:space="preserve"> </w:t>
      </w:r>
      <w:r w:rsidR="00FB56F9">
        <w:t xml:space="preserve">Washington </w:t>
      </w:r>
      <w:r w:rsidR="00520CC1" w:rsidRPr="005B5A78">
        <w:t xml:space="preserve">electric customers in </w:t>
      </w:r>
      <w:r w:rsidR="006F1159">
        <w:t xml:space="preserve">Adams, </w:t>
      </w:r>
      <w:r w:rsidR="00AA510D">
        <w:t xml:space="preserve">Asotin, </w:t>
      </w:r>
      <w:r w:rsidR="00764E50">
        <w:t xml:space="preserve">Ferry, </w:t>
      </w:r>
      <w:r w:rsidR="00AA510D">
        <w:t xml:space="preserve">Franklin, Grant, </w:t>
      </w:r>
      <w:r w:rsidR="006F1159">
        <w:t xml:space="preserve">Lincoln, Spokane, Stevens, </w:t>
      </w:r>
      <w:r w:rsidR="00FA5E32">
        <w:t xml:space="preserve">and </w:t>
      </w:r>
      <w:r w:rsidR="00AA510D">
        <w:t xml:space="preserve">Whitman </w:t>
      </w:r>
      <w:r w:rsidR="00520CC1" w:rsidRPr="005B5A78">
        <w:t xml:space="preserve">counties, and approximately </w:t>
      </w:r>
      <w:r w:rsidR="00505AB1" w:rsidRPr="00505AB1">
        <w:t>149,</w:t>
      </w:r>
      <w:r w:rsidR="00804BD8">
        <w:t>000</w:t>
      </w:r>
      <w:r w:rsidR="00505AB1">
        <w:t xml:space="preserve"> </w:t>
      </w:r>
      <w:r w:rsidR="00FB56F9">
        <w:t xml:space="preserve">Washington </w:t>
      </w:r>
      <w:r w:rsidR="00520CC1" w:rsidRPr="005B5A78">
        <w:t xml:space="preserve">natural gas customers in </w:t>
      </w:r>
      <w:r w:rsidR="006F1159">
        <w:t xml:space="preserve">Adams, </w:t>
      </w:r>
      <w:r w:rsidR="00AA510D">
        <w:t>Asotin</w:t>
      </w:r>
      <w:r w:rsidR="006F1159">
        <w:t>,</w:t>
      </w:r>
      <w:r w:rsidR="00764E50">
        <w:t xml:space="preserve"> Ferry, </w:t>
      </w:r>
      <w:r w:rsidR="006F1159">
        <w:t xml:space="preserve">Franklin, Grant, </w:t>
      </w:r>
      <w:r w:rsidR="0081564A">
        <w:t xml:space="preserve">Klickitat, </w:t>
      </w:r>
      <w:r w:rsidR="006F1159">
        <w:t xml:space="preserve">Lincoln, </w:t>
      </w:r>
      <w:r w:rsidR="0081564A">
        <w:t xml:space="preserve">Skamania, </w:t>
      </w:r>
      <w:r w:rsidR="006F1159">
        <w:t xml:space="preserve">Spokane, Stevens, </w:t>
      </w:r>
      <w:r w:rsidR="00FB56F9">
        <w:t xml:space="preserve">and </w:t>
      </w:r>
      <w:r w:rsidR="00AA510D">
        <w:t xml:space="preserve">Whitman </w:t>
      </w:r>
      <w:r w:rsidR="00520CC1" w:rsidRPr="005B5A78">
        <w:t xml:space="preserve">counties. </w:t>
      </w:r>
    </w:p>
    <w:p w14:paraId="6655D409" w14:textId="77777777" w:rsidR="00505AB1" w:rsidRPr="005B5A78" w:rsidRDefault="00505AB1" w:rsidP="00520CC1"/>
    <w:p w14:paraId="6655D40A" w14:textId="77777777" w:rsidR="00520CC1" w:rsidRPr="000F018D" w:rsidRDefault="00520CC1" w:rsidP="00520CC1">
      <w:pPr>
        <w:rPr>
          <w:b/>
          <w:i/>
        </w:rPr>
      </w:pPr>
      <w:r w:rsidRPr="000F018D">
        <w:rPr>
          <w:b/>
          <w:i/>
        </w:rPr>
        <w:t>Electric Conservation Program Changes</w:t>
      </w:r>
    </w:p>
    <w:p w14:paraId="6655D40B" w14:textId="77777777" w:rsidR="000F018D" w:rsidRDefault="000F018D" w:rsidP="00520CC1">
      <w:pPr>
        <w:pStyle w:val="NoSpacing"/>
        <w:rPr>
          <w:szCs w:val="24"/>
        </w:rPr>
      </w:pPr>
    </w:p>
    <w:p w14:paraId="5C9BD42F" w14:textId="7206DCB7" w:rsidR="00752CE3" w:rsidRDefault="006670A6" w:rsidP="006670A6">
      <w:pPr>
        <w:rPr>
          <w:rFonts w:eastAsia="Calibri"/>
        </w:rPr>
      </w:pPr>
      <w:r w:rsidRPr="006670A6">
        <w:rPr>
          <w:rFonts w:eastAsia="Calibri"/>
        </w:rPr>
        <w:t>Avista is proposing a 19 percent increase in its one-year electric conservation budget, increasing from $12.</w:t>
      </w:r>
      <w:r w:rsidR="006B0A35">
        <w:rPr>
          <w:rFonts w:eastAsia="Calibri"/>
        </w:rPr>
        <w:t>4</w:t>
      </w:r>
      <w:r w:rsidRPr="006670A6">
        <w:rPr>
          <w:rFonts w:eastAsia="Calibri"/>
        </w:rPr>
        <w:t xml:space="preserve"> million to $14.7 million (Business Plan, pp. 54). </w:t>
      </w:r>
      <w:r w:rsidR="00E552A5">
        <w:rPr>
          <w:rFonts w:eastAsia="Calibri"/>
        </w:rPr>
        <w:t>The table below summarizes the 2012 and 2013 budgets by program.</w:t>
      </w:r>
    </w:p>
    <w:p w14:paraId="572CDBFE" w14:textId="77777777" w:rsidR="00752CE3" w:rsidRDefault="00752CE3" w:rsidP="006670A6">
      <w:pPr>
        <w:rPr>
          <w:rFonts w:eastAsia="Calibri"/>
        </w:rPr>
      </w:pPr>
    </w:p>
    <w:tbl>
      <w:tblPr>
        <w:tblW w:w="901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168"/>
        <w:gridCol w:w="1980"/>
        <w:gridCol w:w="1980"/>
        <w:gridCol w:w="1890"/>
      </w:tblGrid>
      <w:tr w:rsidR="00752CE3" w14:paraId="5097B781" w14:textId="77777777" w:rsidTr="00752CE3">
        <w:trPr>
          <w:trHeight w:val="279"/>
        </w:trPr>
        <w:tc>
          <w:tcPr>
            <w:tcW w:w="3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2BD3C6E8" w14:textId="77777777" w:rsidR="00752CE3" w:rsidRDefault="00752CE3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00" w:themeColor="text1"/>
              </w:rPr>
              <w:t>Electric Program Budgets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7682896B" w14:textId="0C4E5CA8" w:rsidR="00752CE3" w:rsidRDefault="00752CE3" w:rsidP="00752CE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2012 Budget</w:t>
            </w:r>
            <w:r w:rsidR="006B0A35">
              <w:rPr>
                <w:rStyle w:val="FootnoteReference"/>
                <w:b/>
                <w:bCs/>
                <w:color w:val="000000" w:themeColor="text1"/>
              </w:rPr>
              <w:footnoteReference w:id="4"/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08DED798" w14:textId="3740A220" w:rsidR="00752CE3" w:rsidRDefault="00752CE3" w:rsidP="00752CE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2013 Budget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1F09A8A6" w14:textId="77777777" w:rsidR="00752CE3" w:rsidRDefault="00752CE3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2013 Change</w:t>
            </w:r>
          </w:p>
        </w:tc>
      </w:tr>
      <w:tr w:rsidR="003D38E4" w14:paraId="6C1977EC" w14:textId="77777777" w:rsidTr="00752CE3">
        <w:trPr>
          <w:trHeight w:val="291"/>
        </w:trPr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767A97A" w14:textId="77777777" w:rsidR="003D38E4" w:rsidRDefault="003D38E4">
            <w:r>
              <w:t xml:space="preserve">Residential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EDD9074" w14:textId="2183A289" w:rsidR="003D38E4" w:rsidRDefault="003D38E4" w:rsidP="00752CE3">
            <w:pPr>
              <w:jc w:val="right"/>
              <w:rPr>
                <w:highlight w:val="yellow"/>
              </w:rPr>
            </w:pPr>
            <w:r w:rsidRPr="00044DB0">
              <w:t xml:space="preserve"> $2,831,122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4FB7187" w14:textId="4296DB48" w:rsidR="003D38E4" w:rsidRDefault="003D38E4" w:rsidP="00097757">
            <w:pPr>
              <w:jc w:val="right"/>
            </w:pPr>
            <w:r w:rsidRPr="00044DB0">
              <w:t xml:space="preserve"> $4,100,218 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DDAC08C" w14:textId="02C2EAD0" w:rsidR="003D38E4" w:rsidRDefault="003D38E4">
            <w:pPr>
              <w:jc w:val="right"/>
            </w:pPr>
            <w:r w:rsidRPr="00044DB0">
              <w:t>45%</w:t>
            </w:r>
          </w:p>
        </w:tc>
      </w:tr>
      <w:tr w:rsidR="003D38E4" w14:paraId="56475106" w14:textId="77777777" w:rsidTr="00752CE3">
        <w:trPr>
          <w:trHeight w:val="304"/>
        </w:trPr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81A9A5D" w14:textId="77777777" w:rsidR="003D38E4" w:rsidRDefault="003D38E4">
            <w:r>
              <w:t xml:space="preserve">Nonresidential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FA09E8E" w14:textId="237F9E58" w:rsidR="003D38E4" w:rsidRDefault="003D38E4" w:rsidP="00752CE3">
            <w:pPr>
              <w:jc w:val="right"/>
            </w:pPr>
            <w:r w:rsidRPr="00044DB0">
              <w:t xml:space="preserve"> $4,226,993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FEF6CF9" w14:textId="4948B3FA" w:rsidR="003D38E4" w:rsidRDefault="003D38E4">
            <w:pPr>
              <w:jc w:val="right"/>
            </w:pPr>
            <w:r w:rsidRPr="00044DB0">
              <w:t xml:space="preserve"> $4,066,980 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C1C5721" w14:textId="35161C43" w:rsidR="003D38E4" w:rsidRDefault="003D38E4">
            <w:pPr>
              <w:jc w:val="right"/>
            </w:pPr>
            <w:r w:rsidRPr="00044DB0">
              <w:t>-4%</w:t>
            </w:r>
          </w:p>
        </w:tc>
      </w:tr>
      <w:tr w:rsidR="003D38E4" w14:paraId="0FE5E601" w14:textId="77777777" w:rsidTr="00752CE3">
        <w:trPr>
          <w:trHeight w:val="291"/>
        </w:trPr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8FC2A53" w14:textId="77777777" w:rsidR="003D38E4" w:rsidRDefault="003D38E4">
            <w:r>
              <w:t>Regional Efficiency Programs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CF06F25" w14:textId="39DAADB3" w:rsidR="003D38E4" w:rsidRDefault="003D38E4">
            <w:pPr>
              <w:jc w:val="right"/>
            </w:pPr>
            <w:r w:rsidRPr="00044DB0">
              <w:t xml:space="preserve"> $1,515,509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EE4B2BC" w14:textId="4B7F3EDB" w:rsidR="003D38E4" w:rsidRDefault="003D38E4">
            <w:pPr>
              <w:jc w:val="right"/>
            </w:pPr>
            <w:r w:rsidRPr="00044DB0">
              <w:t xml:space="preserve"> $1,512,000 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8D3C980" w14:textId="3EDC4408" w:rsidR="003D38E4" w:rsidRDefault="003D38E4">
            <w:pPr>
              <w:jc w:val="right"/>
            </w:pPr>
            <w:r w:rsidRPr="00044DB0">
              <w:t>0%</w:t>
            </w:r>
          </w:p>
        </w:tc>
      </w:tr>
      <w:tr w:rsidR="003D38E4" w14:paraId="3B36F116" w14:textId="77777777" w:rsidTr="00752CE3">
        <w:trPr>
          <w:trHeight w:val="291"/>
        </w:trPr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1B5782D" w14:textId="77777777" w:rsidR="003D38E4" w:rsidRDefault="003D38E4">
            <w:r>
              <w:t xml:space="preserve">Support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9D01896" w14:textId="3C2B1A4C" w:rsidR="003D38E4" w:rsidRDefault="003D38E4">
            <w:pPr>
              <w:jc w:val="right"/>
            </w:pPr>
            <w:r w:rsidRPr="00044DB0">
              <w:t xml:space="preserve"> $474,700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F4BFBDA" w14:textId="027C5B06" w:rsidR="003D38E4" w:rsidRDefault="003D38E4">
            <w:pPr>
              <w:jc w:val="right"/>
            </w:pPr>
            <w:r w:rsidRPr="00044DB0">
              <w:t xml:space="preserve"> $695,200 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8FF74F7" w14:textId="189CA95E" w:rsidR="003D38E4" w:rsidRDefault="003D38E4">
            <w:pPr>
              <w:jc w:val="right"/>
            </w:pPr>
            <w:r w:rsidRPr="00044DB0">
              <w:t>46%</w:t>
            </w:r>
          </w:p>
        </w:tc>
      </w:tr>
      <w:tr w:rsidR="003D38E4" w14:paraId="087DAD87" w14:textId="77777777" w:rsidTr="00752CE3">
        <w:trPr>
          <w:trHeight w:val="291"/>
        </w:trPr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5CBAC2A" w14:textId="543CC0F9" w:rsidR="003D38E4" w:rsidRDefault="003D38E4" w:rsidP="007033BA">
            <w:r>
              <w:t>EM&amp;V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1989290" w14:textId="02A928B6" w:rsidR="003D38E4" w:rsidRDefault="003D38E4">
            <w:pPr>
              <w:jc w:val="right"/>
            </w:pPr>
            <w:r w:rsidRPr="00044DB0">
              <w:t xml:space="preserve"> $1,012,542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53B66D8" w14:textId="39D1EC11" w:rsidR="003D38E4" w:rsidRDefault="003D38E4">
            <w:pPr>
              <w:jc w:val="right"/>
            </w:pPr>
            <w:r w:rsidRPr="00044DB0">
              <w:t xml:space="preserve"> $741,000 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FCA21C0" w14:textId="2A87CB47" w:rsidR="003D38E4" w:rsidRDefault="003D38E4">
            <w:pPr>
              <w:jc w:val="right"/>
            </w:pPr>
            <w:r w:rsidRPr="00044DB0">
              <w:t>-27%</w:t>
            </w:r>
          </w:p>
        </w:tc>
      </w:tr>
      <w:tr w:rsidR="003D38E4" w14:paraId="0A25BA7D" w14:textId="77777777" w:rsidTr="003D38E4">
        <w:trPr>
          <w:trHeight w:val="291"/>
        </w:trPr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7B35328" w14:textId="77777777" w:rsidR="003D38E4" w:rsidRDefault="003D38E4" w:rsidP="00EE35F8">
            <w:r>
              <w:t>Other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8A0908" w14:textId="6E5AE7FF" w:rsidR="003D38E4" w:rsidRDefault="003D38E4" w:rsidP="00EE35F8">
            <w:pPr>
              <w:jc w:val="right"/>
            </w:pPr>
            <w:r w:rsidRPr="00A36B18">
              <w:t xml:space="preserve"> $974,436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898080" w14:textId="308320A4" w:rsidR="003D38E4" w:rsidRDefault="003D38E4" w:rsidP="00EE35F8">
            <w:pPr>
              <w:jc w:val="right"/>
            </w:pPr>
            <w:r w:rsidRPr="00A36B18">
              <w:t xml:space="preserve"> $961,252 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138D6E" w14:textId="318808EC" w:rsidR="003D38E4" w:rsidRDefault="003D38E4" w:rsidP="00EE35F8">
            <w:pPr>
              <w:jc w:val="right"/>
            </w:pPr>
            <w:r w:rsidRPr="00A36B18">
              <w:t>-1%</w:t>
            </w:r>
          </w:p>
        </w:tc>
      </w:tr>
      <w:tr w:rsidR="003D38E4" w14:paraId="2E7CE8E2" w14:textId="77777777" w:rsidTr="00752CE3">
        <w:trPr>
          <w:trHeight w:val="291"/>
        </w:trPr>
        <w:tc>
          <w:tcPr>
            <w:tcW w:w="3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876C160" w14:textId="3612EAD4" w:rsidR="003D38E4" w:rsidRDefault="003D38E4">
            <w:r>
              <w:t>Labor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EE55597" w14:textId="7504F0F1" w:rsidR="003D38E4" w:rsidRDefault="003D38E4">
            <w:pPr>
              <w:jc w:val="right"/>
            </w:pPr>
            <w:r w:rsidRPr="005F52CC">
              <w:t xml:space="preserve"> $1,363,762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F117A44" w14:textId="589CC21C" w:rsidR="003D38E4" w:rsidRDefault="003D38E4">
            <w:pPr>
              <w:jc w:val="right"/>
            </w:pPr>
            <w:r w:rsidRPr="005F52CC">
              <w:t xml:space="preserve"> $2,636,068 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F2EB906" w14:textId="042F9472" w:rsidR="003D38E4" w:rsidRDefault="003D38E4">
            <w:pPr>
              <w:jc w:val="right"/>
            </w:pPr>
            <w:r w:rsidRPr="005F52CC">
              <w:t>93%</w:t>
            </w:r>
          </w:p>
        </w:tc>
      </w:tr>
      <w:tr w:rsidR="003D38E4" w14:paraId="21954C96" w14:textId="77777777" w:rsidTr="00752CE3">
        <w:trPr>
          <w:trHeight w:val="291"/>
        </w:trPr>
        <w:tc>
          <w:tcPr>
            <w:tcW w:w="316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08FEE771" w14:textId="77777777" w:rsidR="003D38E4" w:rsidRDefault="003D38E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36019C83" w14:textId="3487DD6C" w:rsidR="003D38E4" w:rsidRDefault="003D38E4">
            <w:pPr>
              <w:jc w:val="right"/>
              <w:rPr>
                <w:b/>
              </w:rPr>
            </w:pPr>
            <w:r w:rsidRPr="00044DB0">
              <w:t xml:space="preserve"> $12,399,064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76DE2BD9" w14:textId="3209E89F" w:rsidR="003D38E4" w:rsidRDefault="003D38E4">
            <w:pPr>
              <w:jc w:val="right"/>
              <w:rPr>
                <w:b/>
              </w:rPr>
            </w:pPr>
            <w:r w:rsidRPr="00044DB0">
              <w:t xml:space="preserve"> $14,712,717 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28AA1FDE" w14:textId="19201E8C" w:rsidR="003D38E4" w:rsidRDefault="003D38E4">
            <w:pPr>
              <w:jc w:val="right"/>
              <w:rPr>
                <w:b/>
              </w:rPr>
            </w:pPr>
            <w:r w:rsidRPr="00044DB0">
              <w:t>19%</w:t>
            </w:r>
          </w:p>
        </w:tc>
      </w:tr>
    </w:tbl>
    <w:p w14:paraId="6F008121" w14:textId="77777777" w:rsidR="00752CE3" w:rsidRDefault="00752CE3" w:rsidP="006670A6">
      <w:pPr>
        <w:rPr>
          <w:rFonts w:eastAsia="Calibri"/>
        </w:rPr>
      </w:pPr>
    </w:p>
    <w:p w14:paraId="4728EA71" w14:textId="38158D16" w:rsidR="0010495C" w:rsidRPr="0010495C" w:rsidRDefault="0010495C" w:rsidP="0010495C">
      <w:pPr>
        <w:rPr>
          <w:rFonts w:eastAsia="Calibri"/>
        </w:rPr>
      </w:pPr>
      <w:r>
        <w:rPr>
          <w:rFonts w:eastAsia="Calibri"/>
        </w:rPr>
        <w:t>The company states that the</w:t>
      </w:r>
      <w:r w:rsidRPr="0010495C">
        <w:rPr>
          <w:rFonts w:eastAsia="Calibri"/>
        </w:rPr>
        <w:t xml:space="preserve"> </w:t>
      </w:r>
      <w:r w:rsidR="00627018">
        <w:rPr>
          <w:rFonts w:eastAsia="Calibri"/>
        </w:rPr>
        <w:t xml:space="preserve">large </w:t>
      </w:r>
      <w:r>
        <w:rPr>
          <w:rFonts w:eastAsia="Calibri"/>
        </w:rPr>
        <w:t xml:space="preserve">increase </w:t>
      </w:r>
      <w:r w:rsidR="00FB1AE3">
        <w:rPr>
          <w:rFonts w:eastAsia="Calibri"/>
        </w:rPr>
        <w:t>in labor expenditures</w:t>
      </w:r>
      <w:r w:rsidRPr="0010495C">
        <w:rPr>
          <w:rFonts w:eastAsia="Calibri"/>
        </w:rPr>
        <w:t xml:space="preserve"> </w:t>
      </w:r>
      <w:r>
        <w:rPr>
          <w:rFonts w:eastAsia="Calibri"/>
        </w:rPr>
        <w:t>is</w:t>
      </w:r>
      <w:r w:rsidRPr="0010495C">
        <w:rPr>
          <w:rFonts w:eastAsia="Calibri"/>
        </w:rPr>
        <w:t xml:space="preserve"> primarily attributable to the need for higher cost </w:t>
      </w:r>
      <w:r w:rsidR="00FB1AE3">
        <w:rPr>
          <w:rFonts w:eastAsia="Calibri"/>
        </w:rPr>
        <w:t xml:space="preserve">skilled </w:t>
      </w:r>
      <w:r w:rsidRPr="0010495C">
        <w:rPr>
          <w:rFonts w:eastAsia="Calibri"/>
        </w:rPr>
        <w:t xml:space="preserve">labor </w:t>
      </w:r>
      <w:r w:rsidR="00EE151E" w:rsidRPr="0010495C">
        <w:rPr>
          <w:rFonts w:eastAsia="Calibri"/>
        </w:rPr>
        <w:t>(e.g.</w:t>
      </w:r>
      <w:r w:rsidR="0082172B">
        <w:rPr>
          <w:rFonts w:eastAsia="Calibri"/>
        </w:rPr>
        <w:t>,</w:t>
      </w:r>
      <w:r w:rsidR="00EE151E" w:rsidRPr="0010495C">
        <w:rPr>
          <w:rFonts w:eastAsia="Calibri"/>
        </w:rPr>
        <w:t xml:space="preserve"> engineering, evaluation, analytical) </w:t>
      </w:r>
      <w:r w:rsidR="00EE151E">
        <w:rPr>
          <w:rFonts w:eastAsia="Calibri"/>
        </w:rPr>
        <w:t>mainly</w:t>
      </w:r>
      <w:r w:rsidRPr="0010495C">
        <w:rPr>
          <w:rFonts w:eastAsia="Calibri"/>
        </w:rPr>
        <w:t xml:space="preserve"> driven by regulatory requirements</w:t>
      </w:r>
      <w:r w:rsidR="00EE151E">
        <w:rPr>
          <w:rFonts w:eastAsia="Calibri"/>
        </w:rPr>
        <w:t>.</w:t>
      </w:r>
    </w:p>
    <w:p w14:paraId="52DF899A" w14:textId="77777777" w:rsidR="00EE151E" w:rsidRDefault="00EE151E" w:rsidP="006670A6">
      <w:pPr>
        <w:rPr>
          <w:rFonts w:eastAsia="Calibri"/>
        </w:rPr>
      </w:pPr>
    </w:p>
    <w:p w14:paraId="6655D40C" w14:textId="252A8249" w:rsidR="006670A6" w:rsidRPr="006670A6" w:rsidRDefault="006670A6" w:rsidP="006670A6">
      <w:pPr>
        <w:rPr>
          <w:rFonts w:eastAsia="Calibri"/>
        </w:rPr>
      </w:pPr>
      <w:r w:rsidRPr="006670A6">
        <w:rPr>
          <w:rFonts w:eastAsia="Calibri"/>
        </w:rPr>
        <w:t xml:space="preserve">The sector-specific </w:t>
      </w:r>
      <w:r w:rsidR="00A6600F">
        <w:rPr>
          <w:rFonts w:eastAsia="Calibri"/>
        </w:rPr>
        <w:t xml:space="preserve">energy </w:t>
      </w:r>
      <w:r w:rsidRPr="006670A6">
        <w:rPr>
          <w:rFonts w:eastAsia="Calibri"/>
        </w:rPr>
        <w:t>savings expectations have increased about 16 percent for nonresidential programs, but decreased about 31 percent for residential programs. Overall</w:t>
      </w:r>
      <w:r w:rsidR="006458CD">
        <w:rPr>
          <w:rFonts w:eastAsia="Calibri"/>
        </w:rPr>
        <w:t>,</w:t>
      </w:r>
      <w:r w:rsidRPr="006670A6">
        <w:rPr>
          <w:rFonts w:eastAsia="Calibri"/>
        </w:rPr>
        <w:t xml:space="preserve"> the </w:t>
      </w:r>
      <w:r w:rsidR="002A5E87">
        <w:rPr>
          <w:rFonts w:eastAsia="Calibri"/>
        </w:rPr>
        <w:t>c</w:t>
      </w:r>
      <w:r w:rsidRPr="006670A6">
        <w:rPr>
          <w:rFonts w:eastAsia="Calibri"/>
        </w:rPr>
        <w:t>ompany’s local programs are expected to deliver 53,441 MWh (including 5,114 MWh of fuel-efficiency) in 2013, a decrease of 11 percent compared</w:t>
      </w:r>
      <w:r w:rsidR="00A6600F">
        <w:rPr>
          <w:rFonts w:eastAsia="Calibri"/>
        </w:rPr>
        <w:t xml:space="preserve"> to the 2012 </w:t>
      </w:r>
      <w:r w:rsidRPr="006670A6">
        <w:rPr>
          <w:rFonts w:eastAsia="Calibri"/>
        </w:rPr>
        <w:t xml:space="preserve">Business Plan. An additional </w:t>
      </w:r>
      <w:r w:rsidRPr="006670A6">
        <w:rPr>
          <w:rFonts w:eastAsia="Calibri"/>
        </w:rPr>
        <w:lastRenderedPageBreak/>
        <w:t xml:space="preserve">12,264 MWh will come from market transformation programs through the Northwest Energy Efficiency Alliance (NEEA). </w:t>
      </w:r>
    </w:p>
    <w:p w14:paraId="6655D40D" w14:textId="77777777" w:rsidR="00E1104B" w:rsidRDefault="00E1104B" w:rsidP="00520CC1"/>
    <w:p w14:paraId="6655D40E" w14:textId="1B9EAF1A" w:rsidR="00520CC1" w:rsidRDefault="00520CC1" w:rsidP="00520CC1">
      <w:r w:rsidRPr="005C3300">
        <w:t xml:space="preserve">The company’s analysis of its proposed electric portfolio cost-effectiveness results in a </w:t>
      </w:r>
      <w:r w:rsidR="002A5E87">
        <w:t>t</w:t>
      </w:r>
      <w:r w:rsidRPr="005C3300">
        <w:t xml:space="preserve">otal </w:t>
      </w:r>
      <w:r w:rsidR="002A5E87">
        <w:t>r</w:t>
      </w:r>
      <w:r w:rsidRPr="005C3300">
        <w:t xml:space="preserve">esource </w:t>
      </w:r>
      <w:r w:rsidR="002A5E87">
        <w:t>c</w:t>
      </w:r>
      <w:r w:rsidR="000A1774" w:rsidRPr="005C3300">
        <w:t xml:space="preserve">ost </w:t>
      </w:r>
      <w:r w:rsidRPr="005C3300">
        <w:t xml:space="preserve">test ratio of </w:t>
      </w:r>
      <w:r w:rsidR="008E517E" w:rsidRPr="005C3300">
        <w:t>1.3</w:t>
      </w:r>
      <w:r w:rsidR="009712CC" w:rsidRPr="005C3300">
        <w:t>3</w:t>
      </w:r>
      <w:r w:rsidRPr="005C3300">
        <w:t>.</w:t>
      </w:r>
      <w:r w:rsidRPr="005C3300">
        <w:rPr>
          <w:rStyle w:val="FootnoteReference"/>
        </w:rPr>
        <w:footnoteReference w:id="5"/>
      </w:r>
      <w:r w:rsidR="00CA08E2" w:rsidRPr="005C3300">
        <w:t xml:space="preserve"> </w:t>
      </w:r>
      <w:r w:rsidRPr="005C3300">
        <w:t>All of the programs are</w:t>
      </w:r>
      <w:r w:rsidRPr="005B5A78">
        <w:t xml:space="preserve"> funded through the company’s </w:t>
      </w:r>
      <w:r w:rsidR="00867374">
        <w:t xml:space="preserve">electric </w:t>
      </w:r>
      <w:r w:rsidRPr="005B5A78">
        <w:t xml:space="preserve">conservation rider Schedule </w:t>
      </w:r>
      <w:r w:rsidR="009C4F77">
        <w:t>91</w:t>
      </w:r>
      <w:r w:rsidRPr="005B5A78">
        <w:t xml:space="preserve">. The company will make a filing in </w:t>
      </w:r>
      <w:r w:rsidR="009C4F77">
        <w:t>May</w:t>
      </w:r>
      <w:r w:rsidR="00170970">
        <w:t>,</w:t>
      </w:r>
      <w:r w:rsidRPr="005B5A78">
        <w:t xml:space="preserve"> 201</w:t>
      </w:r>
      <w:r w:rsidR="009712CC">
        <w:t>3</w:t>
      </w:r>
      <w:r w:rsidRPr="005B5A78">
        <w:t xml:space="preserve">, that will incorporate the increased budget submitted with this filing into the company’s tariff. </w:t>
      </w:r>
    </w:p>
    <w:p w14:paraId="6655D40F" w14:textId="77777777" w:rsidR="00E1104B" w:rsidRDefault="00E1104B" w:rsidP="00520CC1"/>
    <w:p w14:paraId="6655D410" w14:textId="77777777" w:rsidR="00520CC1" w:rsidRPr="000F018D" w:rsidRDefault="00520CC1" w:rsidP="00520CC1">
      <w:pPr>
        <w:rPr>
          <w:b/>
          <w:i/>
        </w:rPr>
      </w:pPr>
      <w:r w:rsidRPr="000F018D">
        <w:rPr>
          <w:b/>
          <w:i/>
        </w:rPr>
        <w:t xml:space="preserve">Natural Gas Conservation Program </w:t>
      </w:r>
    </w:p>
    <w:p w14:paraId="6655D411" w14:textId="77777777" w:rsidR="00520CC1" w:rsidRPr="005B5A78" w:rsidRDefault="00520CC1" w:rsidP="00520CC1"/>
    <w:p w14:paraId="6655D413" w14:textId="31B03CDB" w:rsidR="0073236F" w:rsidRDefault="009712CC" w:rsidP="00FB1AE3">
      <w:r>
        <w:t>Avista is proposing to discontinue its natural gas DSM programs, due to a lack of cost effectiveness, based on portfolio analysis performed by the company.</w:t>
      </w:r>
      <w:r w:rsidR="0027795B">
        <w:t xml:space="preserve"> </w:t>
      </w:r>
      <w:r w:rsidR="00F62B90">
        <w:t xml:space="preserve">This issue will be discussed in a separate memo and review under </w:t>
      </w:r>
      <w:r w:rsidR="00867374">
        <w:t xml:space="preserve">Docket </w:t>
      </w:r>
      <w:r w:rsidR="005E4F1A">
        <w:t>UG-</w:t>
      </w:r>
      <w:r w:rsidR="00F62B90">
        <w:t>121119.</w:t>
      </w:r>
    </w:p>
    <w:p w14:paraId="6655D414" w14:textId="77777777" w:rsidR="00787019" w:rsidRPr="005440CF" w:rsidRDefault="00787019" w:rsidP="00204A52">
      <w:pPr>
        <w:pStyle w:val="Heading1"/>
      </w:pPr>
      <w:r w:rsidRPr="005440CF">
        <w:t>Discussion</w:t>
      </w:r>
    </w:p>
    <w:p w14:paraId="6655D415" w14:textId="77777777" w:rsidR="007D0C27" w:rsidRDefault="00240D31" w:rsidP="00FF75F4">
      <w:r>
        <w:t xml:space="preserve">The company timely filed its </w:t>
      </w:r>
      <w:r w:rsidR="009F2CFD">
        <w:t>Business</w:t>
      </w:r>
      <w:r>
        <w:t xml:space="preserve"> Plan. Staff requested</w:t>
      </w:r>
      <w:r w:rsidR="003139AE">
        <w:t xml:space="preserve"> and the company provided</w:t>
      </w:r>
      <w:r>
        <w:t xml:space="preserve"> budget </w:t>
      </w:r>
      <w:r w:rsidR="003139AE">
        <w:t>details</w:t>
      </w:r>
      <w:r w:rsidR="004F77EA">
        <w:t xml:space="preserve"> (Order 01</w:t>
      </w:r>
      <w:r w:rsidR="00B01ACF">
        <w:t xml:space="preserve">, ¶ </w:t>
      </w:r>
      <w:r w:rsidR="00233031">
        <w:t>27</w:t>
      </w:r>
      <w:r w:rsidR="004F77EA">
        <w:t>)</w:t>
      </w:r>
      <w:r w:rsidR="003139AE">
        <w:t xml:space="preserve"> and program-by-program incentive details</w:t>
      </w:r>
      <w:r w:rsidR="004F77EA">
        <w:t xml:space="preserve"> (Order 01</w:t>
      </w:r>
      <w:r w:rsidR="00B01ACF">
        <w:t xml:space="preserve">, ¶ </w:t>
      </w:r>
      <w:r w:rsidR="00233031">
        <w:t>29</w:t>
      </w:r>
      <w:r w:rsidR="004F77EA">
        <w:t>)</w:t>
      </w:r>
      <w:r w:rsidR="003139AE">
        <w:t>. Staff believes the company has complied with the conditions of the order.</w:t>
      </w:r>
      <w:r w:rsidR="004F77EA">
        <w:t xml:space="preserve"> </w:t>
      </w:r>
    </w:p>
    <w:p w14:paraId="6655D416" w14:textId="77777777" w:rsidR="00233031" w:rsidRDefault="00233031" w:rsidP="00FF75F4"/>
    <w:p w14:paraId="6655D417" w14:textId="730B25BC" w:rsidR="00DA3ECD" w:rsidRDefault="00DA3ECD" w:rsidP="00FF75F4">
      <w:pPr>
        <w:rPr>
          <w:b/>
          <w:i/>
        </w:rPr>
      </w:pPr>
      <w:r>
        <w:rPr>
          <w:b/>
          <w:i/>
        </w:rPr>
        <w:t>2012 Year</w:t>
      </w:r>
      <w:r w:rsidR="00867374">
        <w:rPr>
          <w:b/>
          <w:i/>
        </w:rPr>
        <w:t>-</w:t>
      </w:r>
      <w:r>
        <w:rPr>
          <w:b/>
          <w:i/>
        </w:rPr>
        <w:t>to</w:t>
      </w:r>
      <w:r w:rsidR="00867374">
        <w:rPr>
          <w:b/>
          <w:i/>
        </w:rPr>
        <w:t>-</w:t>
      </w:r>
      <w:r>
        <w:rPr>
          <w:b/>
          <w:i/>
        </w:rPr>
        <w:t>Date Achievements</w:t>
      </w:r>
    </w:p>
    <w:p w14:paraId="6655D418" w14:textId="0DB392CA" w:rsidR="00DA3ECD" w:rsidRDefault="00DA3ECD" w:rsidP="00FF75F4">
      <w:r>
        <w:t xml:space="preserve">Avista </w:t>
      </w:r>
      <w:r w:rsidR="0058116D">
        <w:t xml:space="preserve">is on target to exceed its 2012 </w:t>
      </w:r>
      <w:r>
        <w:t>savings, per the 2012-201</w:t>
      </w:r>
      <w:r w:rsidR="00867374">
        <w:t>3</w:t>
      </w:r>
      <w:r>
        <w:t xml:space="preserve"> Biennial Conservation Plan targets.</w:t>
      </w:r>
      <w:r w:rsidR="0082172B">
        <w:t xml:space="preserve"> </w:t>
      </w:r>
      <w:r w:rsidR="00052CF6">
        <w:t xml:space="preserve">The table below summarizes the company’s </w:t>
      </w:r>
      <w:r w:rsidR="00136969">
        <w:t xml:space="preserve">annual </w:t>
      </w:r>
      <w:r w:rsidR="00052CF6">
        <w:t>target and achievement</w:t>
      </w:r>
      <w:r w:rsidR="00136969">
        <w:t xml:space="preserve"> through November 2012.</w:t>
      </w:r>
    </w:p>
    <w:p w14:paraId="6655D419" w14:textId="77777777" w:rsidR="00DA3ECD" w:rsidRDefault="00DA3ECD" w:rsidP="00FF75F4"/>
    <w:tbl>
      <w:tblPr>
        <w:tblW w:w="8820" w:type="dxa"/>
        <w:tblCellSpacing w:w="15" w:type="dxa"/>
        <w:tblInd w:w="7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51"/>
        <w:gridCol w:w="1744"/>
        <w:gridCol w:w="1972"/>
        <w:gridCol w:w="903"/>
        <w:gridCol w:w="2050"/>
      </w:tblGrid>
      <w:tr w:rsidR="00CE1BB4" w:rsidRPr="00DA3ECD" w14:paraId="6655D420" w14:textId="77777777" w:rsidTr="00C238A8">
        <w:trPr>
          <w:trHeight w:val="255"/>
          <w:tblCellSpacing w:w="15" w:type="dxa"/>
        </w:trPr>
        <w:tc>
          <w:tcPr>
            <w:tcW w:w="2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1A" w14:textId="7C679217" w:rsidR="00CE1BB4" w:rsidRPr="00BF6499" w:rsidRDefault="00CE1BB4">
            <w:pPr>
              <w:rPr>
                <w:color w:val="000000"/>
                <w:sz w:val="22"/>
                <w:szCs w:val="22"/>
              </w:rPr>
            </w:pPr>
            <w:r w:rsidRPr="00BF6499">
              <w:rPr>
                <w:color w:val="000000"/>
                <w:sz w:val="22"/>
                <w:szCs w:val="22"/>
              </w:rPr>
              <w:t>Biennial Conservation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1B" w14:textId="3D12FBAA" w:rsidR="00CE1BB4" w:rsidRPr="00BF6499" w:rsidRDefault="00867374" w:rsidP="005A2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2012 </w:t>
            </w:r>
            <w:r w:rsidR="00627018">
              <w:rPr>
                <w:color w:val="000000"/>
                <w:sz w:val="22"/>
                <w:szCs w:val="22"/>
              </w:rPr>
              <w:t>YTD</w:t>
            </w:r>
            <w:r w:rsidR="005A2073" w:rsidRPr="00BF64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</w:t>
            </w:r>
            <w:r w:rsidR="005A2073" w:rsidRPr="00BF6499">
              <w:rPr>
                <w:color w:val="000000"/>
                <w:sz w:val="22"/>
                <w:szCs w:val="22"/>
              </w:rPr>
              <w:t>arget</w:t>
            </w:r>
            <w:r w:rsidR="00CE1BB4" w:rsidRPr="00BF6499">
              <w:rPr>
                <w:color w:val="000000"/>
                <w:sz w:val="22"/>
                <w:szCs w:val="22"/>
              </w:rPr>
              <w:t xml:space="preserve">   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55D41C" w14:textId="1C4D9003" w:rsidR="00CE1BB4" w:rsidRPr="00BF6499" w:rsidRDefault="008673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2012 </w:t>
            </w:r>
            <w:r w:rsidR="005A2073" w:rsidRPr="00BF6499">
              <w:rPr>
                <w:color w:val="000000"/>
                <w:sz w:val="22"/>
                <w:szCs w:val="22"/>
              </w:rPr>
              <w:t xml:space="preserve">YTD </w:t>
            </w:r>
            <w:r>
              <w:rPr>
                <w:color w:val="000000"/>
                <w:sz w:val="22"/>
                <w:szCs w:val="22"/>
              </w:rPr>
              <w:t>A</w:t>
            </w:r>
            <w:r w:rsidR="005A2073" w:rsidRPr="00BF6499">
              <w:rPr>
                <w:color w:val="000000"/>
                <w:sz w:val="22"/>
                <w:szCs w:val="22"/>
              </w:rPr>
              <w:t>chieved  </w:t>
            </w:r>
          </w:p>
        </w:tc>
        <w:tc>
          <w:tcPr>
            <w:tcW w:w="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1D" w14:textId="4E5D59E6" w:rsidR="00CE1BB4" w:rsidRPr="00BF6499" w:rsidRDefault="005A2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CE1BB4" w:rsidRPr="00BF6499">
              <w:rPr>
                <w:color w:val="000000"/>
                <w:sz w:val="22"/>
                <w:szCs w:val="22"/>
              </w:rPr>
              <w:t>chieved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1E" w14:textId="685FE2C6" w:rsidR="00CE1BB4" w:rsidRPr="00BF6499" w:rsidRDefault="00CE1BB4" w:rsidP="00627018">
            <w:pPr>
              <w:jc w:val="center"/>
              <w:rPr>
                <w:color w:val="000000"/>
                <w:sz w:val="22"/>
                <w:szCs w:val="22"/>
              </w:rPr>
            </w:pPr>
            <w:r w:rsidRPr="00BF6499">
              <w:rPr>
                <w:color w:val="000000"/>
                <w:sz w:val="22"/>
                <w:szCs w:val="22"/>
              </w:rPr>
              <w:t>  </w:t>
            </w:r>
            <w:r w:rsidR="00627018">
              <w:rPr>
                <w:color w:val="000000"/>
                <w:sz w:val="22"/>
                <w:szCs w:val="22"/>
              </w:rPr>
              <w:t>2012</w:t>
            </w:r>
            <w:r w:rsidRPr="00BF6499">
              <w:rPr>
                <w:color w:val="000000"/>
                <w:sz w:val="22"/>
                <w:szCs w:val="22"/>
              </w:rPr>
              <w:t xml:space="preserve"> </w:t>
            </w:r>
            <w:r w:rsidR="005A2073">
              <w:rPr>
                <w:color w:val="000000"/>
                <w:sz w:val="22"/>
                <w:szCs w:val="22"/>
              </w:rPr>
              <w:t>T</w:t>
            </w:r>
            <w:r w:rsidRPr="00BF6499">
              <w:rPr>
                <w:color w:val="000000"/>
                <w:sz w:val="22"/>
                <w:szCs w:val="22"/>
              </w:rPr>
              <w:t>arget  </w:t>
            </w:r>
          </w:p>
        </w:tc>
      </w:tr>
      <w:tr w:rsidR="00CE1BB4" w:rsidRPr="00DA3ECD" w14:paraId="6655D427" w14:textId="77777777" w:rsidTr="00C238A8">
        <w:trPr>
          <w:trHeight w:val="255"/>
          <w:tblCellSpacing w:w="15" w:type="dxa"/>
        </w:trPr>
        <w:tc>
          <w:tcPr>
            <w:tcW w:w="2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55D421" w14:textId="669A821A" w:rsidR="00CE1BB4" w:rsidRPr="00BF6499" w:rsidRDefault="00867374" w:rsidP="005A20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Progress</w:t>
            </w:r>
            <w:r w:rsidR="00CE1BB4" w:rsidRPr="00BF64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22" w14:textId="446183AD" w:rsidR="00CE1BB4" w:rsidRPr="00BF6499" w:rsidRDefault="005A2073" w:rsidP="005A2073">
            <w:pPr>
              <w:jc w:val="center"/>
              <w:rPr>
                <w:color w:val="000000"/>
                <w:sz w:val="22"/>
                <w:szCs w:val="22"/>
              </w:rPr>
            </w:pPr>
            <w:r w:rsidRPr="00BF6499">
              <w:rPr>
                <w:color w:val="000000"/>
                <w:sz w:val="22"/>
                <w:szCs w:val="22"/>
              </w:rPr>
              <w:t>31,204,250</w:t>
            </w:r>
            <w:r w:rsidR="00E85B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KWh</w:t>
            </w:r>
            <w:r w:rsidR="00CE1BB4" w:rsidRPr="00BF6499">
              <w:rPr>
                <w:color w:val="000000"/>
                <w:sz w:val="22"/>
                <w:szCs w:val="22"/>
              </w:rPr>
              <w:t xml:space="preserve">   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55D423" w14:textId="78A53EDF" w:rsidR="00CE1BB4" w:rsidRPr="00BF6499" w:rsidRDefault="005A2073">
            <w:pPr>
              <w:jc w:val="center"/>
              <w:rPr>
                <w:color w:val="000000"/>
                <w:sz w:val="22"/>
                <w:szCs w:val="22"/>
              </w:rPr>
            </w:pPr>
            <w:r w:rsidRPr="00BF6499">
              <w:rPr>
                <w:color w:val="000000"/>
                <w:sz w:val="22"/>
                <w:szCs w:val="22"/>
              </w:rPr>
              <w:t>44,020,288</w:t>
            </w:r>
            <w:r w:rsidR="00E85B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KWh</w:t>
            </w:r>
          </w:p>
        </w:tc>
        <w:tc>
          <w:tcPr>
            <w:tcW w:w="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24" w14:textId="77777777" w:rsidR="00CE1BB4" w:rsidRPr="00BF6499" w:rsidRDefault="00CE1BB4">
            <w:pPr>
              <w:jc w:val="center"/>
              <w:rPr>
                <w:color w:val="000000"/>
                <w:sz w:val="22"/>
                <w:szCs w:val="22"/>
              </w:rPr>
            </w:pPr>
            <w:r w:rsidRPr="00BF6499">
              <w:rPr>
                <w:color w:val="000000"/>
                <w:sz w:val="22"/>
                <w:szCs w:val="22"/>
              </w:rPr>
              <w:t>141%</w:t>
            </w: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25" w14:textId="5607A2CD" w:rsidR="00CE1BB4" w:rsidRPr="00BF6499" w:rsidRDefault="00E85B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34,041,000 KWh</w:t>
            </w:r>
          </w:p>
        </w:tc>
      </w:tr>
      <w:tr w:rsidR="00CE1BB4" w:rsidRPr="00DA3ECD" w14:paraId="6655D42E" w14:textId="77777777" w:rsidTr="00C238A8">
        <w:trPr>
          <w:trHeight w:val="270"/>
          <w:tblCellSpacing w:w="15" w:type="dxa"/>
        </w:trPr>
        <w:tc>
          <w:tcPr>
            <w:tcW w:w="211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55D428" w14:textId="507E166E" w:rsidR="00CE1BB4" w:rsidRPr="00BF6499" w:rsidRDefault="00CE1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29" w14:textId="77777777" w:rsidR="00CE1BB4" w:rsidRPr="00BF6499" w:rsidRDefault="00CE1BB4">
            <w:pPr>
              <w:rPr>
                <w:color w:val="000000"/>
                <w:sz w:val="22"/>
                <w:szCs w:val="22"/>
              </w:rPr>
            </w:pPr>
            <w:r w:rsidRPr="00BF6499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2A" w14:textId="77777777" w:rsidR="00CE1BB4" w:rsidRPr="00BF6499" w:rsidRDefault="00CE1BB4">
            <w:pPr>
              <w:rPr>
                <w:color w:val="000000"/>
                <w:sz w:val="22"/>
                <w:szCs w:val="22"/>
              </w:rPr>
            </w:pPr>
            <w:r w:rsidRPr="00BF6499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2B" w14:textId="77777777" w:rsidR="00CE1BB4" w:rsidRPr="00BF6499" w:rsidRDefault="00CE1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55D42C" w14:textId="77777777" w:rsidR="00CE1BB4" w:rsidRPr="00BF6499" w:rsidRDefault="00CE1BB4">
            <w:pPr>
              <w:rPr>
                <w:color w:val="000000"/>
                <w:sz w:val="22"/>
                <w:szCs w:val="22"/>
              </w:rPr>
            </w:pPr>
            <w:r w:rsidRPr="00BF6499">
              <w:rPr>
                <w:color w:val="000000"/>
                <w:sz w:val="22"/>
                <w:szCs w:val="22"/>
              </w:rPr>
              <w:t>  </w:t>
            </w:r>
          </w:p>
        </w:tc>
      </w:tr>
    </w:tbl>
    <w:p w14:paraId="3729B2B8" w14:textId="77777777" w:rsidR="00097757" w:rsidRDefault="00097757" w:rsidP="00FF75F4">
      <w:pPr>
        <w:rPr>
          <w:b/>
          <w:i/>
        </w:rPr>
      </w:pPr>
    </w:p>
    <w:p w14:paraId="6655D437" w14:textId="77777777" w:rsidR="00A94652" w:rsidRPr="000F018D" w:rsidRDefault="00A94652" w:rsidP="00FF75F4">
      <w:pPr>
        <w:rPr>
          <w:b/>
          <w:i/>
        </w:rPr>
      </w:pPr>
      <w:r w:rsidRPr="000F018D">
        <w:rPr>
          <w:b/>
          <w:i/>
        </w:rPr>
        <w:t>Public Involvement</w:t>
      </w:r>
    </w:p>
    <w:p w14:paraId="6655D438" w14:textId="1820AC76" w:rsidR="00A94652" w:rsidRDefault="00A94652" w:rsidP="00FF75F4">
      <w:r>
        <w:t xml:space="preserve">The company worked closely with its </w:t>
      </w:r>
      <w:r w:rsidR="00867374">
        <w:t>a</w:t>
      </w:r>
      <w:r>
        <w:t xml:space="preserve">dvisory </w:t>
      </w:r>
      <w:r w:rsidR="00867374">
        <w:t>g</w:t>
      </w:r>
      <w:r>
        <w:t>roup throughout 201</w:t>
      </w:r>
      <w:r w:rsidR="00233031">
        <w:t>2</w:t>
      </w:r>
      <w:r>
        <w:t xml:space="preserve">, </w:t>
      </w:r>
      <w:r w:rsidR="00776B7B">
        <w:t xml:space="preserve">with a technical committee subgroup </w:t>
      </w:r>
      <w:r w:rsidR="00867374">
        <w:t>assisting</w:t>
      </w:r>
      <w:r w:rsidR="00776B7B">
        <w:t xml:space="preserve"> Avista with the development of EM&amp;V protocols and related conservation pr</w:t>
      </w:r>
      <w:r w:rsidR="0027795B">
        <w:t xml:space="preserve">ogram analysis considerations. </w:t>
      </w:r>
      <w:r w:rsidR="00867374">
        <w:t>The</w:t>
      </w:r>
      <w:r>
        <w:t xml:space="preserve"> company made a thorough presentation of its program plans at the </w:t>
      </w:r>
      <w:r w:rsidR="00F94663">
        <w:t>September</w:t>
      </w:r>
      <w:r w:rsidR="00AF717D">
        <w:t xml:space="preserve"> </w:t>
      </w:r>
      <w:r w:rsidR="00867374">
        <w:t>a</w:t>
      </w:r>
      <w:r w:rsidR="00D05868">
        <w:t xml:space="preserve">dvisory </w:t>
      </w:r>
      <w:r w:rsidR="00867374">
        <w:t>g</w:t>
      </w:r>
      <w:r w:rsidR="00D05868">
        <w:t>roup</w:t>
      </w:r>
      <w:r>
        <w:t xml:space="preserve"> meeting, and </w:t>
      </w:r>
      <w:r w:rsidR="00AF717D">
        <w:t>expects to engage in significant</w:t>
      </w:r>
      <w:r>
        <w:t xml:space="preserve"> public involvement </w:t>
      </w:r>
      <w:r w:rsidR="00AF717D">
        <w:t xml:space="preserve">during </w:t>
      </w:r>
      <w:r>
        <w:t>201</w:t>
      </w:r>
      <w:r w:rsidR="00F94663">
        <w:t>3</w:t>
      </w:r>
      <w:r w:rsidR="00AF717D">
        <w:t xml:space="preserve"> (Order 01, ¶ </w:t>
      </w:r>
      <w:r w:rsidR="00F94663">
        <w:t>29</w:t>
      </w:r>
      <w:r w:rsidR="00AF717D">
        <w:t>)</w:t>
      </w:r>
      <w:r w:rsidR="00E1104B">
        <w:t>.</w:t>
      </w:r>
    </w:p>
    <w:p w14:paraId="6655D43C" w14:textId="77777777" w:rsidR="00685BB0" w:rsidRDefault="00685BB0" w:rsidP="00FF75F4">
      <w:pPr>
        <w:rPr>
          <w:b/>
          <w:i/>
        </w:rPr>
      </w:pPr>
    </w:p>
    <w:p w14:paraId="3A2ACDF1" w14:textId="77777777" w:rsidR="00C238A8" w:rsidRDefault="00C238A8" w:rsidP="00FF75F4">
      <w:pPr>
        <w:rPr>
          <w:b/>
          <w:i/>
        </w:rPr>
      </w:pPr>
    </w:p>
    <w:p w14:paraId="172B60BC" w14:textId="77777777" w:rsidR="00C238A8" w:rsidRDefault="00C238A8" w:rsidP="00FF75F4">
      <w:pPr>
        <w:rPr>
          <w:b/>
          <w:i/>
        </w:rPr>
      </w:pPr>
    </w:p>
    <w:p w14:paraId="762AB907" w14:textId="77777777" w:rsidR="00C238A8" w:rsidRDefault="00C238A8" w:rsidP="00FF75F4">
      <w:pPr>
        <w:rPr>
          <w:b/>
          <w:i/>
        </w:rPr>
      </w:pPr>
    </w:p>
    <w:p w14:paraId="6655D43D" w14:textId="77777777" w:rsidR="00B06DC7" w:rsidRPr="000F018D" w:rsidRDefault="0028215A" w:rsidP="00FF75F4">
      <w:pPr>
        <w:rPr>
          <w:b/>
          <w:i/>
        </w:rPr>
      </w:pPr>
      <w:r w:rsidRPr="000F018D">
        <w:rPr>
          <w:b/>
          <w:i/>
        </w:rPr>
        <w:lastRenderedPageBreak/>
        <w:t>Evaluation</w:t>
      </w:r>
      <w:r w:rsidR="003139AE" w:rsidRPr="000F018D">
        <w:rPr>
          <w:b/>
          <w:i/>
        </w:rPr>
        <w:t>,</w:t>
      </w:r>
      <w:r w:rsidRPr="000F018D">
        <w:rPr>
          <w:b/>
          <w:i/>
        </w:rPr>
        <w:t xml:space="preserve"> </w:t>
      </w:r>
      <w:r w:rsidR="003139AE" w:rsidRPr="000F018D">
        <w:rPr>
          <w:b/>
          <w:i/>
        </w:rPr>
        <w:t>Measurement and Verification (EM&amp;V) Plan</w:t>
      </w:r>
    </w:p>
    <w:p w14:paraId="6655D43E" w14:textId="77777777" w:rsidR="003776C2" w:rsidRDefault="0072754F" w:rsidP="00FF75F4">
      <w:r w:rsidRPr="005440CF">
        <w:t>The c</w:t>
      </w:r>
      <w:r w:rsidR="00CE2BB3">
        <w:t>ompany’s Annual Plan</w:t>
      </w:r>
      <w:r w:rsidR="00267400">
        <w:t xml:space="preserve"> filing</w:t>
      </w:r>
      <w:r w:rsidR="00CE2BB3">
        <w:t xml:space="preserve"> includes an EM&amp;V Plan as envisioned by the EM&amp;V </w:t>
      </w:r>
      <w:r w:rsidR="00CE2BB3" w:rsidRPr="0027795B">
        <w:t>Framework.</w:t>
      </w:r>
      <w:r w:rsidR="00CE2BB3" w:rsidRPr="0027795B">
        <w:rPr>
          <w:rStyle w:val="FootnoteReference"/>
        </w:rPr>
        <w:footnoteReference w:id="6"/>
      </w:r>
      <w:r w:rsidR="00CE2BB3" w:rsidRPr="0027795B">
        <w:t xml:space="preserve"> T</w:t>
      </w:r>
      <w:r w:rsidR="009A6FAA" w:rsidRPr="0027795B">
        <w:t>he</w:t>
      </w:r>
      <w:r w:rsidR="008F651A" w:rsidRPr="0027795B">
        <w:t xml:space="preserve"> </w:t>
      </w:r>
      <w:r w:rsidR="009A6FAA" w:rsidRPr="0027795B">
        <w:t>company</w:t>
      </w:r>
      <w:r w:rsidR="00CE2BB3" w:rsidRPr="0027795B">
        <w:t xml:space="preserve"> is </w:t>
      </w:r>
      <w:r w:rsidR="00267400" w:rsidRPr="0027795B">
        <w:t>planning to spend</w:t>
      </w:r>
      <w:r w:rsidR="00146617" w:rsidRPr="0027795B">
        <w:t xml:space="preserve"> </w:t>
      </w:r>
      <w:r w:rsidR="009652E7" w:rsidRPr="0027795B">
        <w:t>$741,000</w:t>
      </w:r>
      <w:r w:rsidR="009A6FAA" w:rsidRPr="0027795B">
        <w:t xml:space="preserve"> of its</w:t>
      </w:r>
      <w:r w:rsidR="00267400" w:rsidRPr="0027795B">
        <w:t xml:space="preserve"> 201</w:t>
      </w:r>
      <w:r w:rsidR="009652E7" w:rsidRPr="0027795B">
        <w:t>3</w:t>
      </w:r>
      <w:r w:rsidR="009A6FAA" w:rsidRPr="0027795B">
        <w:t xml:space="preserve"> conservation budget on EM&amp;V, including </w:t>
      </w:r>
      <w:r w:rsidRPr="0027795B">
        <w:t>independent, third-party EM&amp;V.</w:t>
      </w:r>
      <w:r w:rsidR="009A6FAA" w:rsidRPr="0027795B">
        <w:t xml:space="preserve"> The </w:t>
      </w:r>
      <w:r w:rsidR="00267400" w:rsidRPr="0027795B">
        <w:t>three</w:t>
      </w:r>
      <w:r w:rsidR="009A6FAA" w:rsidRPr="0027795B">
        <w:t xml:space="preserve">-year schedule of selected programs </w:t>
      </w:r>
      <w:r w:rsidR="00267400" w:rsidRPr="0027795B">
        <w:t xml:space="preserve">addresses </w:t>
      </w:r>
      <w:r w:rsidR="009A6FAA" w:rsidRPr="0027795B">
        <w:t>all major programs.</w:t>
      </w:r>
      <w:r w:rsidR="00267400" w:rsidRPr="0027795B">
        <w:rPr>
          <w:rStyle w:val="FootnoteReference"/>
        </w:rPr>
        <w:footnoteReference w:id="7"/>
      </w:r>
      <w:r w:rsidR="009A6FAA" w:rsidRPr="0027795B">
        <w:t xml:space="preserve"> The EM&amp;V function </w:t>
      </w:r>
      <w:r w:rsidR="00267400" w:rsidRPr="0027795B">
        <w:t xml:space="preserve">is proposed to </w:t>
      </w:r>
      <w:r w:rsidR="009A6FAA" w:rsidRPr="0027795B">
        <w:t xml:space="preserve">include impact, process, market and cost test analyses. </w:t>
      </w:r>
      <w:r w:rsidR="004F77EA" w:rsidRPr="0027795B">
        <w:t xml:space="preserve">Additional work on the three-year schedule and on individual research plans </w:t>
      </w:r>
      <w:r w:rsidR="00082655" w:rsidRPr="0027795B">
        <w:t xml:space="preserve">will </w:t>
      </w:r>
      <w:r w:rsidR="004F77EA" w:rsidRPr="0027795B">
        <w:t xml:space="preserve">be presented to the </w:t>
      </w:r>
      <w:r w:rsidR="00ED711B">
        <w:t>Advisory Group</w:t>
      </w:r>
      <w:r w:rsidR="004F77EA" w:rsidRPr="0027795B">
        <w:t xml:space="preserve"> over the next year </w:t>
      </w:r>
      <w:r w:rsidR="00277399" w:rsidRPr="0027795B">
        <w:t>(</w:t>
      </w:r>
      <w:r w:rsidR="002970C4" w:rsidRPr="0027795B">
        <w:t>Order 01</w:t>
      </w:r>
      <w:r w:rsidR="00B01ACF" w:rsidRPr="0027795B">
        <w:t xml:space="preserve">, ¶ </w:t>
      </w:r>
      <w:r w:rsidR="009652E7" w:rsidRPr="0027795B">
        <w:t>25</w:t>
      </w:r>
      <w:r w:rsidR="00277399" w:rsidRPr="0027795B">
        <w:t>)</w:t>
      </w:r>
      <w:r w:rsidR="00E1104B" w:rsidRPr="0027795B">
        <w:t>.</w:t>
      </w:r>
      <w:r w:rsidR="000A1774">
        <w:t xml:space="preserve"> </w:t>
      </w:r>
    </w:p>
    <w:p w14:paraId="6655D43F" w14:textId="77777777" w:rsidR="000E2D0C" w:rsidRPr="005440CF" w:rsidRDefault="000E2D0C" w:rsidP="00FF75F4"/>
    <w:p w14:paraId="6655D440" w14:textId="77777777" w:rsidR="0072754F" w:rsidRPr="000F018D" w:rsidRDefault="00271B9B" w:rsidP="00FF75F4">
      <w:pPr>
        <w:rPr>
          <w:b/>
          <w:i/>
        </w:rPr>
      </w:pPr>
      <w:r w:rsidRPr="000F018D">
        <w:rPr>
          <w:b/>
          <w:i/>
        </w:rPr>
        <w:t>Program Outreach</w:t>
      </w:r>
    </w:p>
    <w:p w14:paraId="6655D441" w14:textId="69C6D0DB" w:rsidR="007507D2" w:rsidRPr="00B108F7" w:rsidRDefault="009249F0" w:rsidP="00FF75F4">
      <w:r w:rsidRPr="009652E7">
        <w:t xml:space="preserve">The company’s </w:t>
      </w:r>
      <w:r w:rsidR="00E1104B" w:rsidRPr="009652E7">
        <w:t>“</w:t>
      </w:r>
      <w:r w:rsidRPr="009652E7">
        <w:t>Every Little Bit</w:t>
      </w:r>
      <w:r w:rsidR="00E1104B" w:rsidRPr="009652E7">
        <w:t>”</w:t>
      </w:r>
      <w:r w:rsidRPr="009652E7">
        <w:t xml:space="preserve"> program</w:t>
      </w:r>
      <w:r w:rsidR="00ED711B">
        <w:t xml:space="preserve"> (Business </w:t>
      </w:r>
      <w:r w:rsidR="00AF717D" w:rsidRPr="009652E7">
        <w:t xml:space="preserve">Plan, pp. </w:t>
      </w:r>
      <w:r w:rsidR="009652E7" w:rsidRPr="009652E7">
        <w:t>26</w:t>
      </w:r>
      <w:r w:rsidR="00AF717D" w:rsidRPr="009652E7">
        <w:t xml:space="preserve">) </w:t>
      </w:r>
      <w:r w:rsidRPr="009652E7">
        <w:t xml:space="preserve">is characterized as program outreach </w:t>
      </w:r>
      <w:r w:rsidR="00AF717D" w:rsidRPr="009652E7">
        <w:t xml:space="preserve">(Order 01, ¶ </w:t>
      </w:r>
      <w:r w:rsidR="00E3641A" w:rsidRPr="009652E7">
        <w:t>29</w:t>
      </w:r>
      <w:r w:rsidR="00AF717D" w:rsidRPr="009652E7">
        <w:t>(b))</w:t>
      </w:r>
      <w:r w:rsidR="00E1104B" w:rsidRPr="009652E7">
        <w:t>.</w:t>
      </w:r>
      <w:r w:rsidR="00AF717D" w:rsidRPr="009652E7">
        <w:t xml:space="preserve"> B</w:t>
      </w:r>
      <w:r w:rsidR="00BB173D" w:rsidRPr="009652E7">
        <w:t xml:space="preserve">ecause its savings </w:t>
      </w:r>
      <w:r w:rsidR="009702DA" w:rsidRPr="009652E7">
        <w:t>haven’t been</w:t>
      </w:r>
      <w:r w:rsidR="00BB173D" w:rsidRPr="009652E7">
        <w:t xml:space="preserve"> measured, staff believes it </w:t>
      </w:r>
      <w:r w:rsidR="00AF717D" w:rsidRPr="009652E7">
        <w:t xml:space="preserve">also </w:t>
      </w:r>
      <w:r w:rsidR="00BB173D" w:rsidRPr="009652E7">
        <w:t>falls in</w:t>
      </w:r>
      <w:r w:rsidR="00AF717D" w:rsidRPr="009652E7">
        <w:t>to</w:t>
      </w:r>
      <w:r w:rsidR="00BB173D" w:rsidRPr="009652E7">
        <w:t xml:space="preserve"> the cate</w:t>
      </w:r>
      <w:r w:rsidR="0027795B">
        <w:t xml:space="preserve">gory of informational programs. </w:t>
      </w:r>
      <w:r w:rsidR="00BB173D" w:rsidRPr="009652E7">
        <w:t>The company has budgeted $</w:t>
      </w:r>
      <w:r w:rsidR="00E3641A" w:rsidRPr="009652E7">
        <w:t>525,000</w:t>
      </w:r>
      <w:r w:rsidR="00BB173D" w:rsidRPr="009652E7">
        <w:t xml:space="preserve"> for Every Little Bit in 201</w:t>
      </w:r>
      <w:r w:rsidR="00E3641A" w:rsidRPr="009652E7">
        <w:t>3</w:t>
      </w:r>
      <w:r w:rsidR="00BB173D" w:rsidRPr="009652E7">
        <w:t>, which is well within the ten percent guideline</w:t>
      </w:r>
      <w:r w:rsidR="0028215A" w:rsidRPr="009652E7">
        <w:t xml:space="preserve"> </w:t>
      </w:r>
      <w:r w:rsidR="00277399" w:rsidRPr="009652E7">
        <w:t>(</w:t>
      </w:r>
      <w:r w:rsidR="00931127" w:rsidRPr="009652E7">
        <w:t>Order 01</w:t>
      </w:r>
      <w:r w:rsidR="00B01ACF" w:rsidRPr="009652E7">
        <w:t xml:space="preserve">, ¶ </w:t>
      </w:r>
      <w:r w:rsidR="009652E7" w:rsidRPr="009652E7">
        <w:t>29</w:t>
      </w:r>
      <w:r w:rsidR="00AF717D" w:rsidRPr="009652E7">
        <w:t>(d)</w:t>
      </w:r>
      <w:r w:rsidR="00B25850" w:rsidRPr="009652E7">
        <w:t>)</w:t>
      </w:r>
      <w:r w:rsidR="00E1104B" w:rsidRPr="009652E7">
        <w:t>.</w:t>
      </w:r>
      <w:r w:rsidR="00BB173D" w:rsidRPr="009652E7">
        <w:t xml:space="preserve"> The two-year budget expected with the </w:t>
      </w:r>
      <w:r w:rsidR="00243747">
        <w:t xml:space="preserve">2014-2015 </w:t>
      </w:r>
      <w:r w:rsidR="00BB173D" w:rsidRPr="009652E7">
        <w:t>Biennial Conservation Plan should have a section for these programs.</w:t>
      </w:r>
    </w:p>
    <w:p w14:paraId="6655D442" w14:textId="77777777" w:rsidR="00A6600F" w:rsidRDefault="00A6600F" w:rsidP="00FF75F4">
      <w:pPr>
        <w:rPr>
          <w:b/>
          <w:i/>
        </w:rPr>
      </w:pPr>
    </w:p>
    <w:p w14:paraId="6655D443" w14:textId="77777777" w:rsidR="00667FB8" w:rsidRPr="0027795B" w:rsidRDefault="0028215A" w:rsidP="00FF75F4">
      <w:pPr>
        <w:rPr>
          <w:b/>
          <w:i/>
        </w:rPr>
      </w:pPr>
      <w:r w:rsidRPr="0027795B">
        <w:rPr>
          <w:b/>
          <w:i/>
        </w:rPr>
        <w:t>Regional Market Transformation</w:t>
      </w:r>
    </w:p>
    <w:p w14:paraId="6655D444" w14:textId="0B474644" w:rsidR="00E122FA" w:rsidRPr="0027795B" w:rsidRDefault="00735874" w:rsidP="00FF75F4">
      <w:r w:rsidRPr="0027795B">
        <w:t>Avista expects to count</w:t>
      </w:r>
      <w:r w:rsidR="0045798A" w:rsidRPr="0027795B">
        <w:t xml:space="preserve"> approximately </w:t>
      </w:r>
      <w:r w:rsidR="008C77B1" w:rsidRPr="0027795B">
        <w:t>12,264</w:t>
      </w:r>
      <w:r w:rsidR="00227F90" w:rsidRPr="0027795B">
        <w:t xml:space="preserve"> </w:t>
      </w:r>
      <w:r w:rsidR="000A1774" w:rsidRPr="0027795B">
        <w:t xml:space="preserve">MWh </w:t>
      </w:r>
      <w:r w:rsidR="00227F90" w:rsidRPr="0027795B">
        <w:t>in</w:t>
      </w:r>
      <w:r w:rsidR="006E356D" w:rsidRPr="0027795B">
        <w:t xml:space="preserve"> market transformation</w:t>
      </w:r>
      <w:r w:rsidRPr="0027795B">
        <w:t xml:space="preserve"> savings from NEEA</w:t>
      </w:r>
      <w:r w:rsidR="00227F90" w:rsidRPr="0027795B">
        <w:t xml:space="preserve"> in 201</w:t>
      </w:r>
      <w:r w:rsidR="009652E7" w:rsidRPr="0027795B">
        <w:t>3</w:t>
      </w:r>
      <w:r w:rsidR="006E356D" w:rsidRPr="0027795B">
        <w:t>, including savings from codes and standards</w:t>
      </w:r>
      <w:r w:rsidRPr="0027795B">
        <w:t xml:space="preserve">. </w:t>
      </w:r>
      <w:r w:rsidR="00931127" w:rsidRPr="0027795B">
        <w:t>Avista’s tariff Schedule 90 addresses mark</w:t>
      </w:r>
      <w:r w:rsidR="0027795B">
        <w:t xml:space="preserve">et transformation very lightly. </w:t>
      </w:r>
      <w:r w:rsidR="00931127" w:rsidRPr="0027795B">
        <w:t xml:space="preserve">Staff has asked the company to begin preparing significantly revised and more detailed energy efficiency tariffs to be filed with the </w:t>
      </w:r>
      <w:r w:rsidR="00243747">
        <w:t>2014-2015</w:t>
      </w:r>
      <w:r w:rsidR="00243747" w:rsidRPr="0027795B">
        <w:t xml:space="preserve"> </w:t>
      </w:r>
      <w:r w:rsidR="00931127" w:rsidRPr="0027795B">
        <w:t>Biennial</w:t>
      </w:r>
      <w:r w:rsidR="006D4BCC" w:rsidRPr="0027795B">
        <w:t xml:space="preserve"> Conservation</w:t>
      </w:r>
      <w:r w:rsidR="00931127" w:rsidRPr="0027795B">
        <w:t xml:space="preserve"> Plan</w:t>
      </w:r>
      <w:r w:rsidR="00B25850" w:rsidRPr="0027795B">
        <w:t xml:space="preserve"> (</w:t>
      </w:r>
      <w:r w:rsidR="00931127" w:rsidRPr="0027795B">
        <w:t>Order 01</w:t>
      </w:r>
      <w:r w:rsidR="00B01ACF" w:rsidRPr="0027795B">
        <w:t xml:space="preserve">, ¶ </w:t>
      </w:r>
      <w:r w:rsidR="00931127" w:rsidRPr="0027795B">
        <w:t>61</w:t>
      </w:r>
      <w:r w:rsidR="00B25850" w:rsidRPr="0027795B">
        <w:t>)</w:t>
      </w:r>
      <w:r w:rsidR="00E1104B" w:rsidRPr="0027795B">
        <w:t>.</w:t>
      </w:r>
    </w:p>
    <w:p w14:paraId="6655D445" w14:textId="77777777" w:rsidR="004A2726" w:rsidRDefault="004A2726" w:rsidP="00FF75F4">
      <w:pPr>
        <w:rPr>
          <w:b/>
          <w:i/>
        </w:rPr>
      </w:pPr>
    </w:p>
    <w:p w14:paraId="6655D446" w14:textId="77777777" w:rsidR="001621A5" w:rsidRDefault="001621A5" w:rsidP="00FF75F4">
      <w:pPr>
        <w:rPr>
          <w:b/>
          <w:i/>
        </w:rPr>
      </w:pPr>
      <w:r>
        <w:rPr>
          <w:b/>
          <w:i/>
        </w:rPr>
        <w:t xml:space="preserve">Proposed </w:t>
      </w:r>
      <w:r w:rsidR="00AC7A6F" w:rsidRPr="000F018D">
        <w:rPr>
          <w:b/>
          <w:i/>
        </w:rPr>
        <w:t xml:space="preserve">Revisions </w:t>
      </w:r>
      <w:r>
        <w:rPr>
          <w:b/>
          <w:i/>
        </w:rPr>
        <w:t>to Schedule</w:t>
      </w:r>
      <w:r w:rsidR="00AC7A6F" w:rsidRPr="000F018D">
        <w:rPr>
          <w:b/>
          <w:i/>
        </w:rPr>
        <w:t xml:space="preserve"> 90 </w:t>
      </w:r>
    </w:p>
    <w:p w14:paraId="6655D447" w14:textId="504481FE" w:rsidR="00AC7A6F" w:rsidRDefault="001621A5" w:rsidP="00FF75F4">
      <w:r>
        <w:t xml:space="preserve">One of the key issues the company faced with the development of the 2013 </w:t>
      </w:r>
      <w:r w:rsidR="0027795B">
        <w:t>Business</w:t>
      </w:r>
      <w:r>
        <w:t xml:space="preserve"> Plan is the uneconomic penetration of heat pumps within the </w:t>
      </w:r>
      <w:r w:rsidR="0027795B">
        <w:t xml:space="preserve">natural gas service territory. </w:t>
      </w:r>
      <w:r>
        <w:t xml:space="preserve">Much of this increase in penetration may be explained by the unintended </w:t>
      </w:r>
      <w:r w:rsidR="00243747">
        <w:t>spill-</w:t>
      </w:r>
      <w:r>
        <w:t>over of regional (NEEA) market transformation efforts into the natural gas service territory and by the 2009 and 2010 federal tax credits for t</w:t>
      </w:r>
      <w:r w:rsidR="0027795B">
        <w:t xml:space="preserve">he installation of heat pumps. Avista is working to develop actionable </w:t>
      </w:r>
      <w:r w:rsidR="00243747">
        <w:t xml:space="preserve">steps </w:t>
      </w:r>
      <w:r w:rsidR="0027795B">
        <w:t xml:space="preserve">to mitigate this tendency as well as to increase the acquisition of other </w:t>
      </w:r>
      <w:r w:rsidR="00243747">
        <w:t>cost-</w:t>
      </w:r>
      <w:r w:rsidR="0027795B">
        <w:t>effective measures. Those actions may involve revisions to the current 50 percent cap on incentives as a percentage of the customer incremental cost.</w:t>
      </w:r>
    </w:p>
    <w:p w14:paraId="6655D448" w14:textId="77777777" w:rsidR="00E1104B" w:rsidRDefault="00E1104B" w:rsidP="00FF75F4"/>
    <w:p w14:paraId="6655D449" w14:textId="77777777" w:rsidR="004A2726" w:rsidRPr="000F018D" w:rsidRDefault="004A2726" w:rsidP="004A2726">
      <w:pPr>
        <w:rPr>
          <w:b/>
          <w:i/>
        </w:rPr>
      </w:pPr>
      <w:r>
        <w:rPr>
          <w:b/>
          <w:i/>
        </w:rPr>
        <w:t>Program Changes for 2013</w:t>
      </w:r>
    </w:p>
    <w:p w14:paraId="6655D44A" w14:textId="4F00587E" w:rsidR="004A2726" w:rsidRPr="005440CF" w:rsidRDefault="00152793" w:rsidP="004A2726">
      <w:r>
        <w:t xml:space="preserve">The company is planning to add a </w:t>
      </w:r>
      <w:r w:rsidR="00CD4973">
        <w:t>three-</w:t>
      </w:r>
      <w:r>
        <w:t>year peer comparison report program (behavioral program)</w:t>
      </w:r>
      <w:r w:rsidR="0027795B">
        <w:t xml:space="preserve"> to its residential portfolio. </w:t>
      </w:r>
      <w:r>
        <w:t>The program will begin in 2013 and will co</w:t>
      </w:r>
      <w:r w:rsidR="0027795B">
        <w:t>ntinue through the end of 2015.</w:t>
      </w:r>
      <w:r>
        <w:t xml:space="preserve"> The primary purpose of the program is to supply electric and natural gas savings through behavioral changes the customer mak</w:t>
      </w:r>
      <w:r w:rsidR="0027795B">
        <w:t xml:space="preserve">es to reduce </w:t>
      </w:r>
      <w:r w:rsidR="00CD4973">
        <w:t>his or her</w:t>
      </w:r>
      <w:r w:rsidR="0027795B">
        <w:t xml:space="preserve"> energy bill.</w:t>
      </w:r>
      <w:r>
        <w:t xml:space="preserve"> A second new </w:t>
      </w:r>
      <w:r>
        <w:lastRenderedPageBreak/>
        <w:t xml:space="preserve">program, begun in the last three months of 2012, is the manufactured home duct sealing program, which will </w:t>
      </w:r>
      <w:r w:rsidR="0027795B">
        <w:t xml:space="preserve">continue for 6 months in 2013. </w:t>
      </w:r>
      <w:r>
        <w:t>All work will be completed by a</w:t>
      </w:r>
      <w:r w:rsidR="0027795B">
        <w:t xml:space="preserve"> third party contractor, UCONS.</w:t>
      </w:r>
      <w:r>
        <w:t xml:space="preserve"> The in-home energy audit program, started by the company in April of 2010, en</w:t>
      </w:r>
      <w:r w:rsidR="0027795B">
        <w:t xml:space="preserve">ded on September 30, 2012. </w:t>
      </w:r>
    </w:p>
    <w:p w14:paraId="6655D44B" w14:textId="77777777" w:rsidR="00D60E7F" w:rsidRPr="005440CF" w:rsidRDefault="0028215A" w:rsidP="00204A52">
      <w:pPr>
        <w:pStyle w:val="Heading1"/>
      </w:pPr>
      <w:r w:rsidRPr="005440CF">
        <w:t>Conclusion</w:t>
      </w:r>
    </w:p>
    <w:p w14:paraId="6655D44C" w14:textId="77777777" w:rsidR="00DA3ECD" w:rsidRPr="00A471B5" w:rsidRDefault="00C75312" w:rsidP="00C75312">
      <w:r w:rsidRPr="00040CE3">
        <w:t xml:space="preserve">Take no action, </w:t>
      </w:r>
      <w:r w:rsidR="009652E7">
        <w:t>acknowledging timely receipt of the 2013 DSM business plan on November 1, 2012</w:t>
      </w:r>
      <w:r w:rsidRPr="00040CE3">
        <w:t>.</w:t>
      </w:r>
      <w:r>
        <w:t xml:space="preserve"> </w:t>
      </w:r>
    </w:p>
    <w:sectPr w:rsidR="00DA3ECD" w:rsidRPr="00A471B5" w:rsidSect="00BA4E08">
      <w:headerReference w:type="default" r:id="rId13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5D44F" w14:textId="77777777" w:rsidR="00243747" w:rsidRDefault="00243747" w:rsidP="00FF75F4">
      <w:r>
        <w:separator/>
      </w:r>
    </w:p>
  </w:endnote>
  <w:endnote w:type="continuationSeparator" w:id="0">
    <w:p w14:paraId="6655D450" w14:textId="77777777" w:rsidR="00243747" w:rsidRDefault="00243747" w:rsidP="00FF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5D44D" w14:textId="77777777" w:rsidR="00243747" w:rsidRDefault="00243747" w:rsidP="00FF75F4">
      <w:r>
        <w:separator/>
      </w:r>
    </w:p>
  </w:footnote>
  <w:footnote w:type="continuationSeparator" w:id="0">
    <w:p w14:paraId="6655D44E" w14:textId="77777777" w:rsidR="00243747" w:rsidRDefault="00243747" w:rsidP="00FF75F4">
      <w:r>
        <w:continuationSeparator/>
      </w:r>
    </w:p>
  </w:footnote>
  <w:footnote w:id="1">
    <w:p w14:paraId="6655D455" w14:textId="1DD81216" w:rsidR="00243747" w:rsidRPr="00E203D1" w:rsidRDefault="00243747" w:rsidP="00FF75F4">
      <w:pPr>
        <w:pStyle w:val="FootnoteText"/>
      </w:pPr>
      <w:r w:rsidRPr="00E203D1">
        <w:rPr>
          <w:rStyle w:val="FootnoteReference"/>
        </w:rPr>
        <w:footnoteRef/>
      </w:r>
      <w:r w:rsidRPr="00E203D1">
        <w:t xml:space="preserve"> </w:t>
      </w:r>
      <w:r w:rsidRPr="00045810">
        <w:rPr>
          <w:i/>
        </w:rPr>
        <w:t>In the Matter of Avista Corporation’s Ten-Year Achievable Conservation Potential And Biennial Conservation Target Under RCW 19.285.040 and WAC 480-109-010,</w:t>
      </w:r>
      <w:r w:rsidRPr="00192AD1">
        <w:rPr>
          <w:i/>
        </w:rPr>
        <w:t>.,</w:t>
      </w:r>
      <w:r w:rsidRPr="00192AD1">
        <w:t xml:space="preserve"> Docket UE</w:t>
      </w:r>
      <w:r>
        <w:t>-100176</w:t>
      </w:r>
      <w:r w:rsidRPr="00192AD1">
        <w:t>, Order</w:t>
      </w:r>
      <w:r>
        <w:t xml:space="preserve"> 01, (May 13, 2010</w:t>
      </w:r>
      <w:r w:rsidRPr="00192AD1">
        <w:t>).</w:t>
      </w:r>
      <w:r>
        <w:t xml:space="preserve"> Avista agreed to apply the conditions from Docket UE-100176 to its natural gas energy efficiency programs during the filing of its natural gas rider in Docket UG-100254.</w:t>
      </w:r>
    </w:p>
  </w:footnote>
  <w:footnote w:id="2">
    <w:p w14:paraId="6655D456" w14:textId="5D785801" w:rsidR="00243747" w:rsidRDefault="002437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361F">
        <w:rPr>
          <w:i/>
        </w:rPr>
        <w:t xml:space="preserve">In the Matter of Avista Corporation’s </w:t>
      </w:r>
      <w:r>
        <w:rPr>
          <w:i/>
        </w:rPr>
        <w:t xml:space="preserve">2012-2021 </w:t>
      </w:r>
      <w:r w:rsidRPr="0070361F">
        <w:rPr>
          <w:i/>
        </w:rPr>
        <w:t xml:space="preserve">Ten-Year Achievable Conservation Potential And </w:t>
      </w:r>
      <w:r>
        <w:rPr>
          <w:i/>
        </w:rPr>
        <w:t xml:space="preserve">2012-2013 </w:t>
      </w:r>
      <w:r w:rsidRPr="0070361F">
        <w:rPr>
          <w:i/>
        </w:rPr>
        <w:t>Biennial Conservation Target Under RCW 19.285.040 and WAC 480-109-010</w:t>
      </w:r>
      <w:r>
        <w:t>, UE-111882, Order 01, (February 10, 2012), ¶ 9. (“Order 01”)</w:t>
      </w:r>
    </w:p>
  </w:footnote>
  <w:footnote w:id="3">
    <w:p w14:paraId="6655D457" w14:textId="77777777" w:rsidR="00243747" w:rsidRDefault="00243747" w:rsidP="00FF75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641A">
        <w:t>Avista Presentation on Natural Gas Integrated Resource Plan, Docket UG-</w:t>
      </w:r>
      <w:r>
        <w:t>111588 &amp; UG-121119, Proposed    Temporary Discontinuance of Natural Gas DSM Programs</w:t>
      </w:r>
      <w:r w:rsidRPr="00E3641A">
        <w:t>.</w:t>
      </w:r>
    </w:p>
  </w:footnote>
  <w:footnote w:id="4">
    <w:p w14:paraId="35455C65" w14:textId="66A5B520" w:rsidR="00243747" w:rsidRDefault="00243747">
      <w:pPr>
        <w:pStyle w:val="FootnoteText"/>
      </w:pPr>
      <w:r>
        <w:rPr>
          <w:rStyle w:val="FootnoteReference"/>
        </w:rPr>
        <w:footnoteRef/>
      </w:r>
      <w:r>
        <w:t xml:space="preserve"> UE-100176, 2012 DSM Business Plan.</w:t>
      </w:r>
    </w:p>
  </w:footnote>
  <w:footnote w:id="5">
    <w:p w14:paraId="6655D458" w14:textId="77777777" w:rsidR="00243747" w:rsidRPr="00DF3F1E" w:rsidRDefault="00243747" w:rsidP="00520CC1">
      <w:pPr>
        <w:pStyle w:val="FootnoteText"/>
      </w:pPr>
      <w:r w:rsidRPr="00DF3F1E">
        <w:rPr>
          <w:rStyle w:val="FootnoteReference"/>
        </w:rPr>
        <w:footnoteRef/>
      </w:r>
      <w:r w:rsidRPr="00DF3F1E">
        <w:t xml:space="preserve"> The Total Resource Cost test result must be greater than 1 to demonstrate cost-effectiveness.</w:t>
      </w:r>
    </w:p>
  </w:footnote>
  <w:footnote w:id="6">
    <w:p w14:paraId="6655D45A" w14:textId="77777777" w:rsidR="00243747" w:rsidRDefault="00243747">
      <w:pPr>
        <w:pStyle w:val="FootnoteText"/>
      </w:pPr>
      <w:r>
        <w:rPr>
          <w:rStyle w:val="FootnoteReference"/>
        </w:rPr>
        <w:footnoteRef/>
      </w:r>
      <w:r>
        <w:t xml:space="preserve"> See September 1, 2010, Avista compliance filing in response to </w:t>
      </w:r>
      <w:r w:rsidRPr="00267400">
        <w:rPr>
          <w:i/>
        </w:rPr>
        <w:t>WUTC v. Avista Corporation, d/b/a Avista Utilities,</w:t>
      </w:r>
      <w:r w:rsidRPr="00267400">
        <w:t xml:space="preserve"> Dockets UE-090134 and UG-090135, and UG-060518 (consolidated), Order 10, December 22, 2009, ¶ 305</w:t>
      </w:r>
      <w:r>
        <w:t xml:space="preserve">. </w:t>
      </w:r>
    </w:p>
  </w:footnote>
  <w:footnote w:id="7">
    <w:p w14:paraId="6655D45B" w14:textId="1C1A8CC8" w:rsidR="00243747" w:rsidRDefault="00243747">
      <w:pPr>
        <w:pStyle w:val="FootnoteText"/>
      </w:pPr>
      <w:r>
        <w:rPr>
          <w:rStyle w:val="FootnoteReference"/>
        </w:rPr>
        <w:footnoteRef/>
      </w:r>
      <w:r>
        <w:t xml:space="preserve"> UE-111882, 2013 Energy Efficiency Evaluation, Measurement, and Verification Annual Plan, November 1, 2012.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5D451" w14:textId="77777777" w:rsidR="00243747" w:rsidRPr="00777586" w:rsidRDefault="00243747" w:rsidP="002C648F">
    <w:pPr>
      <w:pStyle w:val="Header"/>
      <w:rPr>
        <w:sz w:val="20"/>
        <w:szCs w:val="20"/>
      </w:rPr>
    </w:pPr>
    <w:r w:rsidRPr="00777586">
      <w:rPr>
        <w:sz w:val="20"/>
        <w:szCs w:val="20"/>
      </w:rPr>
      <w:t>D</w:t>
    </w:r>
    <w:r>
      <w:rPr>
        <w:sz w:val="20"/>
        <w:szCs w:val="20"/>
      </w:rPr>
      <w:t>OCKET UE-111882</w:t>
    </w:r>
  </w:p>
  <w:p w14:paraId="6655D452" w14:textId="77777777" w:rsidR="00243747" w:rsidRPr="00777586" w:rsidRDefault="00243747" w:rsidP="002C648F">
    <w:pPr>
      <w:pStyle w:val="Header"/>
      <w:rPr>
        <w:sz w:val="20"/>
        <w:szCs w:val="20"/>
      </w:rPr>
    </w:pPr>
    <w:r>
      <w:rPr>
        <w:sz w:val="20"/>
        <w:szCs w:val="20"/>
      </w:rPr>
      <w:t>December 21, 2012</w:t>
    </w:r>
  </w:p>
  <w:p w14:paraId="6655D453" w14:textId="77777777" w:rsidR="00243747" w:rsidRPr="00777586" w:rsidRDefault="00243747" w:rsidP="002C648F">
    <w:pPr>
      <w:pStyle w:val="Header"/>
      <w:rPr>
        <w:rStyle w:val="PageNumber"/>
        <w:sz w:val="20"/>
        <w:szCs w:val="20"/>
      </w:rPr>
    </w:pPr>
    <w:r w:rsidRPr="00777586">
      <w:rPr>
        <w:sz w:val="20"/>
        <w:szCs w:val="20"/>
      </w:rPr>
      <w:t xml:space="preserve">Page </w:t>
    </w:r>
    <w:r w:rsidRPr="00777586">
      <w:rPr>
        <w:rStyle w:val="PageNumber"/>
        <w:sz w:val="20"/>
        <w:szCs w:val="20"/>
      </w:rPr>
      <w:fldChar w:fldCharType="begin"/>
    </w:r>
    <w:r w:rsidRPr="00777586">
      <w:rPr>
        <w:rStyle w:val="PageNumber"/>
        <w:sz w:val="20"/>
        <w:szCs w:val="20"/>
      </w:rPr>
      <w:instrText xml:space="preserve"> PAGE </w:instrText>
    </w:r>
    <w:r w:rsidRPr="00777586">
      <w:rPr>
        <w:rStyle w:val="PageNumber"/>
        <w:sz w:val="20"/>
        <w:szCs w:val="20"/>
      </w:rPr>
      <w:fldChar w:fldCharType="separate"/>
    </w:r>
    <w:r w:rsidR="00F56610">
      <w:rPr>
        <w:rStyle w:val="PageNumber"/>
        <w:noProof/>
        <w:sz w:val="20"/>
        <w:szCs w:val="20"/>
      </w:rPr>
      <w:t>5</w:t>
    </w:r>
    <w:r w:rsidRPr="00777586">
      <w:rPr>
        <w:rStyle w:val="PageNumber"/>
        <w:sz w:val="20"/>
        <w:szCs w:val="20"/>
      </w:rPr>
      <w:fldChar w:fldCharType="end"/>
    </w:r>
  </w:p>
  <w:p w14:paraId="6655D454" w14:textId="77777777" w:rsidR="00243747" w:rsidRPr="00E05888" w:rsidRDefault="00243747" w:rsidP="00FF7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1DB"/>
    <w:multiLevelType w:val="hybridMultilevel"/>
    <w:tmpl w:val="09E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6C12"/>
    <w:multiLevelType w:val="hybridMultilevel"/>
    <w:tmpl w:val="89DA0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32C44"/>
    <w:multiLevelType w:val="multilevel"/>
    <w:tmpl w:val="8268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B93792C"/>
    <w:multiLevelType w:val="hybridMultilevel"/>
    <w:tmpl w:val="A0649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B416B"/>
    <w:multiLevelType w:val="hybridMultilevel"/>
    <w:tmpl w:val="E128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0078C"/>
    <w:rsid w:val="00001805"/>
    <w:rsid w:val="000126E3"/>
    <w:rsid w:val="00013E26"/>
    <w:rsid w:val="00025FA6"/>
    <w:rsid w:val="00040CE3"/>
    <w:rsid w:val="00041921"/>
    <w:rsid w:val="00042271"/>
    <w:rsid w:val="00043283"/>
    <w:rsid w:val="00045810"/>
    <w:rsid w:val="00046219"/>
    <w:rsid w:val="00047427"/>
    <w:rsid w:val="00052CF6"/>
    <w:rsid w:val="00054659"/>
    <w:rsid w:val="00057A1C"/>
    <w:rsid w:val="0007172B"/>
    <w:rsid w:val="0007323E"/>
    <w:rsid w:val="00082655"/>
    <w:rsid w:val="00086F2E"/>
    <w:rsid w:val="00092E6A"/>
    <w:rsid w:val="00093F47"/>
    <w:rsid w:val="0009761D"/>
    <w:rsid w:val="00097757"/>
    <w:rsid w:val="000A1774"/>
    <w:rsid w:val="000A302B"/>
    <w:rsid w:val="000A36EF"/>
    <w:rsid w:val="000A4EDF"/>
    <w:rsid w:val="000A6695"/>
    <w:rsid w:val="000C561A"/>
    <w:rsid w:val="000C641A"/>
    <w:rsid w:val="000C6F30"/>
    <w:rsid w:val="000D120B"/>
    <w:rsid w:val="000D2AAE"/>
    <w:rsid w:val="000D335F"/>
    <w:rsid w:val="000E2D0C"/>
    <w:rsid w:val="000E5A4A"/>
    <w:rsid w:val="000F018D"/>
    <w:rsid w:val="000F41CD"/>
    <w:rsid w:val="00100426"/>
    <w:rsid w:val="00100726"/>
    <w:rsid w:val="0010495C"/>
    <w:rsid w:val="00104E99"/>
    <w:rsid w:val="00106E5E"/>
    <w:rsid w:val="00115F20"/>
    <w:rsid w:val="001162AB"/>
    <w:rsid w:val="00124A6F"/>
    <w:rsid w:val="001261D0"/>
    <w:rsid w:val="00136969"/>
    <w:rsid w:val="00144549"/>
    <w:rsid w:val="00146617"/>
    <w:rsid w:val="00147639"/>
    <w:rsid w:val="00152793"/>
    <w:rsid w:val="001621A5"/>
    <w:rsid w:val="00162E85"/>
    <w:rsid w:val="00170495"/>
    <w:rsid w:val="00170726"/>
    <w:rsid w:val="00170970"/>
    <w:rsid w:val="0017204A"/>
    <w:rsid w:val="00177433"/>
    <w:rsid w:val="00180D93"/>
    <w:rsid w:val="00186DE5"/>
    <w:rsid w:val="001916C0"/>
    <w:rsid w:val="001923BA"/>
    <w:rsid w:val="00192AD1"/>
    <w:rsid w:val="00194217"/>
    <w:rsid w:val="00194C72"/>
    <w:rsid w:val="001B4AC2"/>
    <w:rsid w:val="001C41E2"/>
    <w:rsid w:val="001C424C"/>
    <w:rsid w:val="001C5930"/>
    <w:rsid w:val="001C78C3"/>
    <w:rsid w:val="001D0D50"/>
    <w:rsid w:val="001F1DEC"/>
    <w:rsid w:val="001F4BAA"/>
    <w:rsid w:val="001F5226"/>
    <w:rsid w:val="00204A52"/>
    <w:rsid w:val="0020635F"/>
    <w:rsid w:val="00220A9A"/>
    <w:rsid w:val="002215D4"/>
    <w:rsid w:val="002245E8"/>
    <w:rsid w:val="00225BAA"/>
    <w:rsid w:val="0022715D"/>
    <w:rsid w:val="00227F90"/>
    <w:rsid w:val="00233031"/>
    <w:rsid w:val="00236427"/>
    <w:rsid w:val="00240D31"/>
    <w:rsid w:val="00241B8C"/>
    <w:rsid w:val="00242044"/>
    <w:rsid w:val="00243747"/>
    <w:rsid w:val="00246541"/>
    <w:rsid w:val="00252D7E"/>
    <w:rsid w:val="0025719E"/>
    <w:rsid w:val="00257374"/>
    <w:rsid w:val="00262872"/>
    <w:rsid w:val="00267400"/>
    <w:rsid w:val="00270333"/>
    <w:rsid w:val="00270C65"/>
    <w:rsid w:val="00271B9B"/>
    <w:rsid w:val="00271BAD"/>
    <w:rsid w:val="00271DF6"/>
    <w:rsid w:val="00272EAF"/>
    <w:rsid w:val="00277399"/>
    <w:rsid w:val="0027795B"/>
    <w:rsid w:val="00280F8A"/>
    <w:rsid w:val="00281461"/>
    <w:rsid w:val="0028215A"/>
    <w:rsid w:val="00284E91"/>
    <w:rsid w:val="002970C4"/>
    <w:rsid w:val="002A17DE"/>
    <w:rsid w:val="002A36C0"/>
    <w:rsid w:val="002A3F3D"/>
    <w:rsid w:val="002A5E87"/>
    <w:rsid w:val="002A67A9"/>
    <w:rsid w:val="002A7D14"/>
    <w:rsid w:val="002B0496"/>
    <w:rsid w:val="002C0730"/>
    <w:rsid w:val="002C40C5"/>
    <w:rsid w:val="002C5999"/>
    <w:rsid w:val="002C648F"/>
    <w:rsid w:val="002C74B0"/>
    <w:rsid w:val="002D3A0F"/>
    <w:rsid w:val="002D4A71"/>
    <w:rsid w:val="002D7FAC"/>
    <w:rsid w:val="002E69E9"/>
    <w:rsid w:val="002E7662"/>
    <w:rsid w:val="002E7CC5"/>
    <w:rsid w:val="002F156B"/>
    <w:rsid w:val="002F303C"/>
    <w:rsid w:val="002F5A33"/>
    <w:rsid w:val="002F7C4E"/>
    <w:rsid w:val="002F7D05"/>
    <w:rsid w:val="002F7FCC"/>
    <w:rsid w:val="00304156"/>
    <w:rsid w:val="00304D53"/>
    <w:rsid w:val="003109C9"/>
    <w:rsid w:val="003139AE"/>
    <w:rsid w:val="00314086"/>
    <w:rsid w:val="00322A9D"/>
    <w:rsid w:val="0032544B"/>
    <w:rsid w:val="003326BC"/>
    <w:rsid w:val="003329DB"/>
    <w:rsid w:val="00332D84"/>
    <w:rsid w:val="00332F2F"/>
    <w:rsid w:val="0033757E"/>
    <w:rsid w:val="00340117"/>
    <w:rsid w:val="003432D1"/>
    <w:rsid w:val="00343B9D"/>
    <w:rsid w:val="003607EF"/>
    <w:rsid w:val="003614F9"/>
    <w:rsid w:val="003702DA"/>
    <w:rsid w:val="0037080B"/>
    <w:rsid w:val="00372101"/>
    <w:rsid w:val="003776C2"/>
    <w:rsid w:val="0038660C"/>
    <w:rsid w:val="00391AB8"/>
    <w:rsid w:val="003927A9"/>
    <w:rsid w:val="00394387"/>
    <w:rsid w:val="003A683D"/>
    <w:rsid w:val="003B1607"/>
    <w:rsid w:val="003B2045"/>
    <w:rsid w:val="003B741B"/>
    <w:rsid w:val="003C7708"/>
    <w:rsid w:val="003D21C9"/>
    <w:rsid w:val="003D38E4"/>
    <w:rsid w:val="003D3A3A"/>
    <w:rsid w:val="003E7551"/>
    <w:rsid w:val="003F05EC"/>
    <w:rsid w:val="003F1BDE"/>
    <w:rsid w:val="003F2771"/>
    <w:rsid w:val="004148E7"/>
    <w:rsid w:val="0042262E"/>
    <w:rsid w:val="004242A1"/>
    <w:rsid w:val="004358D6"/>
    <w:rsid w:val="004511F7"/>
    <w:rsid w:val="004551A5"/>
    <w:rsid w:val="004563C6"/>
    <w:rsid w:val="00456917"/>
    <w:rsid w:val="0045798A"/>
    <w:rsid w:val="004600EE"/>
    <w:rsid w:val="00465007"/>
    <w:rsid w:val="00465904"/>
    <w:rsid w:val="00471B11"/>
    <w:rsid w:val="00473E34"/>
    <w:rsid w:val="00482FF7"/>
    <w:rsid w:val="00483226"/>
    <w:rsid w:val="00491392"/>
    <w:rsid w:val="00491D88"/>
    <w:rsid w:val="00493DC1"/>
    <w:rsid w:val="00494B89"/>
    <w:rsid w:val="004A2726"/>
    <w:rsid w:val="004A3142"/>
    <w:rsid w:val="004B2C53"/>
    <w:rsid w:val="004B4DA1"/>
    <w:rsid w:val="004C1F12"/>
    <w:rsid w:val="004C207B"/>
    <w:rsid w:val="004C23F1"/>
    <w:rsid w:val="004C2614"/>
    <w:rsid w:val="004C3E8A"/>
    <w:rsid w:val="004D2FEB"/>
    <w:rsid w:val="004D4B4E"/>
    <w:rsid w:val="004E1AB3"/>
    <w:rsid w:val="004F36CA"/>
    <w:rsid w:val="004F5242"/>
    <w:rsid w:val="004F77EA"/>
    <w:rsid w:val="005024F9"/>
    <w:rsid w:val="00505AB1"/>
    <w:rsid w:val="00511608"/>
    <w:rsid w:val="0051363C"/>
    <w:rsid w:val="00514B14"/>
    <w:rsid w:val="00514DF5"/>
    <w:rsid w:val="00514E29"/>
    <w:rsid w:val="00520170"/>
    <w:rsid w:val="00520CC1"/>
    <w:rsid w:val="00520D0B"/>
    <w:rsid w:val="00521DDB"/>
    <w:rsid w:val="00522C40"/>
    <w:rsid w:val="00524B4F"/>
    <w:rsid w:val="00533AF3"/>
    <w:rsid w:val="005426DF"/>
    <w:rsid w:val="005440CF"/>
    <w:rsid w:val="0055621D"/>
    <w:rsid w:val="00566C61"/>
    <w:rsid w:val="0058116D"/>
    <w:rsid w:val="00582C07"/>
    <w:rsid w:val="0058597F"/>
    <w:rsid w:val="0059285C"/>
    <w:rsid w:val="00593784"/>
    <w:rsid w:val="005A0A09"/>
    <w:rsid w:val="005A2073"/>
    <w:rsid w:val="005A496B"/>
    <w:rsid w:val="005A4A28"/>
    <w:rsid w:val="005A7B7E"/>
    <w:rsid w:val="005B75FE"/>
    <w:rsid w:val="005C3300"/>
    <w:rsid w:val="005C36BA"/>
    <w:rsid w:val="005C4D51"/>
    <w:rsid w:val="005D2A45"/>
    <w:rsid w:val="005D3A54"/>
    <w:rsid w:val="005D4DC5"/>
    <w:rsid w:val="005D5411"/>
    <w:rsid w:val="005D7576"/>
    <w:rsid w:val="005E3549"/>
    <w:rsid w:val="005E4477"/>
    <w:rsid w:val="005E4F1A"/>
    <w:rsid w:val="005F0821"/>
    <w:rsid w:val="005F47B0"/>
    <w:rsid w:val="006017F3"/>
    <w:rsid w:val="00605644"/>
    <w:rsid w:val="00607D15"/>
    <w:rsid w:val="006135B4"/>
    <w:rsid w:val="00624FC0"/>
    <w:rsid w:val="00625424"/>
    <w:rsid w:val="00627018"/>
    <w:rsid w:val="00630E56"/>
    <w:rsid w:val="00632EAB"/>
    <w:rsid w:val="006348A7"/>
    <w:rsid w:val="006458CD"/>
    <w:rsid w:val="00645F4C"/>
    <w:rsid w:val="00651161"/>
    <w:rsid w:val="0065373E"/>
    <w:rsid w:val="006546F8"/>
    <w:rsid w:val="00657DEE"/>
    <w:rsid w:val="006670A6"/>
    <w:rsid w:val="00667FB8"/>
    <w:rsid w:val="006733D9"/>
    <w:rsid w:val="00673770"/>
    <w:rsid w:val="00685BB0"/>
    <w:rsid w:val="00697EBD"/>
    <w:rsid w:val="006A28C2"/>
    <w:rsid w:val="006A53CF"/>
    <w:rsid w:val="006A5F45"/>
    <w:rsid w:val="006A6A1D"/>
    <w:rsid w:val="006B0A35"/>
    <w:rsid w:val="006B2981"/>
    <w:rsid w:val="006B44A2"/>
    <w:rsid w:val="006B5368"/>
    <w:rsid w:val="006C19C3"/>
    <w:rsid w:val="006C1A2B"/>
    <w:rsid w:val="006D2279"/>
    <w:rsid w:val="006D4BCC"/>
    <w:rsid w:val="006E0ACD"/>
    <w:rsid w:val="006E29B5"/>
    <w:rsid w:val="006E2FCC"/>
    <w:rsid w:val="006E356D"/>
    <w:rsid w:val="006E4394"/>
    <w:rsid w:val="006E79D6"/>
    <w:rsid w:val="006F1159"/>
    <w:rsid w:val="006F7BF2"/>
    <w:rsid w:val="00701D51"/>
    <w:rsid w:val="007033BA"/>
    <w:rsid w:val="007043A0"/>
    <w:rsid w:val="007110E6"/>
    <w:rsid w:val="00713D2E"/>
    <w:rsid w:val="007221E3"/>
    <w:rsid w:val="007228CB"/>
    <w:rsid w:val="0072754F"/>
    <w:rsid w:val="0073236F"/>
    <w:rsid w:val="007338D7"/>
    <w:rsid w:val="00735874"/>
    <w:rsid w:val="007364B4"/>
    <w:rsid w:val="0074247D"/>
    <w:rsid w:val="00744C90"/>
    <w:rsid w:val="007453CD"/>
    <w:rsid w:val="007507D2"/>
    <w:rsid w:val="00752C89"/>
    <w:rsid w:val="00752CE3"/>
    <w:rsid w:val="00754E12"/>
    <w:rsid w:val="00757194"/>
    <w:rsid w:val="00764E50"/>
    <w:rsid w:val="0076670E"/>
    <w:rsid w:val="00767FFB"/>
    <w:rsid w:val="007711F0"/>
    <w:rsid w:val="00774C1D"/>
    <w:rsid w:val="00776B7B"/>
    <w:rsid w:val="00777EFE"/>
    <w:rsid w:val="0078584E"/>
    <w:rsid w:val="00787019"/>
    <w:rsid w:val="00790F7E"/>
    <w:rsid w:val="00792708"/>
    <w:rsid w:val="00797A54"/>
    <w:rsid w:val="007A2B2C"/>
    <w:rsid w:val="007A3FFE"/>
    <w:rsid w:val="007A6C79"/>
    <w:rsid w:val="007B0D24"/>
    <w:rsid w:val="007B3A29"/>
    <w:rsid w:val="007B7BB4"/>
    <w:rsid w:val="007C66EB"/>
    <w:rsid w:val="007C7855"/>
    <w:rsid w:val="007D0C27"/>
    <w:rsid w:val="007D1FCB"/>
    <w:rsid w:val="007D3D1A"/>
    <w:rsid w:val="007D409B"/>
    <w:rsid w:val="007D50DE"/>
    <w:rsid w:val="007D674F"/>
    <w:rsid w:val="007D6A75"/>
    <w:rsid w:val="007E0EB5"/>
    <w:rsid w:val="007E55FF"/>
    <w:rsid w:val="007E5710"/>
    <w:rsid w:val="007F0A61"/>
    <w:rsid w:val="007F5144"/>
    <w:rsid w:val="00800F62"/>
    <w:rsid w:val="00803182"/>
    <w:rsid w:val="00803942"/>
    <w:rsid w:val="00804BD8"/>
    <w:rsid w:val="008152F2"/>
    <w:rsid w:val="0081564A"/>
    <w:rsid w:val="00820A0A"/>
    <w:rsid w:val="00820CA8"/>
    <w:rsid w:val="0082172B"/>
    <w:rsid w:val="008230A3"/>
    <w:rsid w:val="008256DC"/>
    <w:rsid w:val="00832824"/>
    <w:rsid w:val="00832C63"/>
    <w:rsid w:val="00837009"/>
    <w:rsid w:val="00842F1A"/>
    <w:rsid w:val="00845AFC"/>
    <w:rsid w:val="00845BDF"/>
    <w:rsid w:val="00846CE4"/>
    <w:rsid w:val="00852607"/>
    <w:rsid w:val="00862939"/>
    <w:rsid w:val="00862FFC"/>
    <w:rsid w:val="0086422D"/>
    <w:rsid w:val="00867374"/>
    <w:rsid w:val="008745FE"/>
    <w:rsid w:val="00876F19"/>
    <w:rsid w:val="008771C3"/>
    <w:rsid w:val="00880D77"/>
    <w:rsid w:val="008900C9"/>
    <w:rsid w:val="008A2CAB"/>
    <w:rsid w:val="008A4054"/>
    <w:rsid w:val="008A4EE5"/>
    <w:rsid w:val="008B4959"/>
    <w:rsid w:val="008B5111"/>
    <w:rsid w:val="008C08ED"/>
    <w:rsid w:val="008C77B1"/>
    <w:rsid w:val="008D2D64"/>
    <w:rsid w:val="008E517E"/>
    <w:rsid w:val="008E75AD"/>
    <w:rsid w:val="008F50EB"/>
    <w:rsid w:val="008F651A"/>
    <w:rsid w:val="009003B9"/>
    <w:rsid w:val="009041C3"/>
    <w:rsid w:val="00904645"/>
    <w:rsid w:val="00907168"/>
    <w:rsid w:val="0091069F"/>
    <w:rsid w:val="00915206"/>
    <w:rsid w:val="009249F0"/>
    <w:rsid w:val="0092524C"/>
    <w:rsid w:val="00931127"/>
    <w:rsid w:val="0093145C"/>
    <w:rsid w:val="009363BA"/>
    <w:rsid w:val="00947A1D"/>
    <w:rsid w:val="00947AAF"/>
    <w:rsid w:val="00956BA6"/>
    <w:rsid w:val="00963D1F"/>
    <w:rsid w:val="009652E7"/>
    <w:rsid w:val="009702DA"/>
    <w:rsid w:val="009712CC"/>
    <w:rsid w:val="009742A7"/>
    <w:rsid w:val="00980023"/>
    <w:rsid w:val="00980095"/>
    <w:rsid w:val="009828A2"/>
    <w:rsid w:val="0098532A"/>
    <w:rsid w:val="00985D0D"/>
    <w:rsid w:val="00992B48"/>
    <w:rsid w:val="00993829"/>
    <w:rsid w:val="00993D47"/>
    <w:rsid w:val="009A6FAA"/>
    <w:rsid w:val="009C3A9C"/>
    <w:rsid w:val="009C4479"/>
    <w:rsid w:val="009C4F77"/>
    <w:rsid w:val="009D3809"/>
    <w:rsid w:val="009D4411"/>
    <w:rsid w:val="009D6358"/>
    <w:rsid w:val="009E26F6"/>
    <w:rsid w:val="009E2AFA"/>
    <w:rsid w:val="009E6921"/>
    <w:rsid w:val="009F2CFD"/>
    <w:rsid w:val="009F7605"/>
    <w:rsid w:val="00A0516E"/>
    <w:rsid w:val="00A32572"/>
    <w:rsid w:val="00A33C8A"/>
    <w:rsid w:val="00A413E1"/>
    <w:rsid w:val="00A471B5"/>
    <w:rsid w:val="00A50F3F"/>
    <w:rsid w:val="00A55508"/>
    <w:rsid w:val="00A56593"/>
    <w:rsid w:val="00A633F2"/>
    <w:rsid w:val="00A6600F"/>
    <w:rsid w:val="00A72A8F"/>
    <w:rsid w:val="00A734AE"/>
    <w:rsid w:val="00A92875"/>
    <w:rsid w:val="00A92BA7"/>
    <w:rsid w:val="00A93116"/>
    <w:rsid w:val="00A94652"/>
    <w:rsid w:val="00A97894"/>
    <w:rsid w:val="00A97A07"/>
    <w:rsid w:val="00AA20F7"/>
    <w:rsid w:val="00AA2EF9"/>
    <w:rsid w:val="00AA482F"/>
    <w:rsid w:val="00AA510D"/>
    <w:rsid w:val="00AB0136"/>
    <w:rsid w:val="00AB157C"/>
    <w:rsid w:val="00AC0212"/>
    <w:rsid w:val="00AC4BD9"/>
    <w:rsid w:val="00AC6B2D"/>
    <w:rsid w:val="00AC7A6F"/>
    <w:rsid w:val="00AD4449"/>
    <w:rsid w:val="00AD4D61"/>
    <w:rsid w:val="00AD4E0E"/>
    <w:rsid w:val="00AE1F3A"/>
    <w:rsid w:val="00AE28EC"/>
    <w:rsid w:val="00AE2E47"/>
    <w:rsid w:val="00AE343A"/>
    <w:rsid w:val="00AE7793"/>
    <w:rsid w:val="00AF628C"/>
    <w:rsid w:val="00AF717D"/>
    <w:rsid w:val="00B01ACF"/>
    <w:rsid w:val="00B0370F"/>
    <w:rsid w:val="00B04BF8"/>
    <w:rsid w:val="00B05F29"/>
    <w:rsid w:val="00B06DC7"/>
    <w:rsid w:val="00B108F7"/>
    <w:rsid w:val="00B10EF1"/>
    <w:rsid w:val="00B24201"/>
    <w:rsid w:val="00B25711"/>
    <w:rsid w:val="00B25850"/>
    <w:rsid w:val="00B26F22"/>
    <w:rsid w:val="00B306DE"/>
    <w:rsid w:val="00B3359A"/>
    <w:rsid w:val="00B33E84"/>
    <w:rsid w:val="00B411EB"/>
    <w:rsid w:val="00B41876"/>
    <w:rsid w:val="00B83011"/>
    <w:rsid w:val="00B838ED"/>
    <w:rsid w:val="00B85C3E"/>
    <w:rsid w:val="00B938AD"/>
    <w:rsid w:val="00B93F9E"/>
    <w:rsid w:val="00B97781"/>
    <w:rsid w:val="00BA26E8"/>
    <w:rsid w:val="00BA441B"/>
    <w:rsid w:val="00BA4E08"/>
    <w:rsid w:val="00BA6F57"/>
    <w:rsid w:val="00BB173D"/>
    <w:rsid w:val="00BB1C75"/>
    <w:rsid w:val="00BB5E73"/>
    <w:rsid w:val="00BB5ED3"/>
    <w:rsid w:val="00BB6C46"/>
    <w:rsid w:val="00BB6D0A"/>
    <w:rsid w:val="00BC2095"/>
    <w:rsid w:val="00BC59BE"/>
    <w:rsid w:val="00BC7C16"/>
    <w:rsid w:val="00BD0618"/>
    <w:rsid w:val="00BD6CA0"/>
    <w:rsid w:val="00BF3D13"/>
    <w:rsid w:val="00BF5E4A"/>
    <w:rsid w:val="00BF6499"/>
    <w:rsid w:val="00C00012"/>
    <w:rsid w:val="00C026E9"/>
    <w:rsid w:val="00C12B6F"/>
    <w:rsid w:val="00C14375"/>
    <w:rsid w:val="00C1513B"/>
    <w:rsid w:val="00C238A8"/>
    <w:rsid w:val="00C30885"/>
    <w:rsid w:val="00C516C4"/>
    <w:rsid w:val="00C531D9"/>
    <w:rsid w:val="00C5784F"/>
    <w:rsid w:val="00C67384"/>
    <w:rsid w:val="00C75312"/>
    <w:rsid w:val="00C75742"/>
    <w:rsid w:val="00C843D3"/>
    <w:rsid w:val="00C85FA1"/>
    <w:rsid w:val="00C91FF7"/>
    <w:rsid w:val="00CA04E0"/>
    <w:rsid w:val="00CA08E2"/>
    <w:rsid w:val="00CA45F4"/>
    <w:rsid w:val="00CA65F5"/>
    <w:rsid w:val="00CB403A"/>
    <w:rsid w:val="00CB42AA"/>
    <w:rsid w:val="00CB655F"/>
    <w:rsid w:val="00CB6886"/>
    <w:rsid w:val="00CC094F"/>
    <w:rsid w:val="00CC6D50"/>
    <w:rsid w:val="00CD4973"/>
    <w:rsid w:val="00CE1BB4"/>
    <w:rsid w:val="00CE2BB3"/>
    <w:rsid w:val="00CE3F94"/>
    <w:rsid w:val="00CF34B8"/>
    <w:rsid w:val="00CF5C63"/>
    <w:rsid w:val="00D010ED"/>
    <w:rsid w:val="00D01507"/>
    <w:rsid w:val="00D0152D"/>
    <w:rsid w:val="00D0379E"/>
    <w:rsid w:val="00D05868"/>
    <w:rsid w:val="00D06B3E"/>
    <w:rsid w:val="00D14912"/>
    <w:rsid w:val="00D23AE1"/>
    <w:rsid w:val="00D24828"/>
    <w:rsid w:val="00D5111E"/>
    <w:rsid w:val="00D60E7F"/>
    <w:rsid w:val="00D61F01"/>
    <w:rsid w:val="00D66B54"/>
    <w:rsid w:val="00D718C4"/>
    <w:rsid w:val="00D75620"/>
    <w:rsid w:val="00D75C47"/>
    <w:rsid w:val="00D81519"/>
    <w:rsid w:val="00D83AEA"/>
    <w:rsid w:val="00D87D4B"/>
    <w:rsid w:val="00D90789"/>
    <w:rsid w:val="00D910DE"/>
    <w:rsid w:val="00DA3ECD"/>
    <w:rsid w:val="00DC2128"/>
    <w:rsid w:val="00DC60B0"/>
    <w:rsid w:val="00DE7DEB"/>
    <w:rsid w:val="00DF3F2B"/>
    <w:rsid w:val="00DF5FA6"/>
    <w:rsid w:val="00E02B1B"/>
    <w:rsid w:val="00E04F57"/>
    <w:rsid w:val="00E05888"/>
    <w:rsid w:val="00E06EB3"/>
    <w:rsid w:val="00E1104B"/>
    <w:rsid w:val="00E122FA"/>
    <w:rsid w:val="00E17064"/>
    <w:rsid w:val="00E203D1"/>
    <w:rsid w:val="00E23FC8"/>
    <w:rsid w:val="00E24DA3"/>
    <w:rsid w:val="00E24F64"/>
    <w:rsid w:val="00E27118"/>
    <w:rsid w:val="00E316CB"/>
    <w:rsid w:val="00E363F5"/>
    <w:rsid w:val="00E3641A"/>
    <w:rsid w:val="00E45628"/>
    <w:rsid w:val="00E459B5"/>
    <w:rsid w:val="00E552A5"/>
    <w:rsid w:val="00E6146E"/>
    <w:rsid w:val="00E61812"/>
    <w:rsid w:val="00E63B8D"/>
    <w:rsid w:val="00E64CF5"/>
    <w:rsid w:val="00E654BE"/>
    <w:rsid w:val="00E7401F"/>
    <w:rsid w:val="00E812CF"/>
    <w:rsid w:val="00E82FC5"/>
    <w:rsid w:val="00E85664"/>
    <w:rsid w:val="00E85B17"/>
    <w:rsid w:val="00E865F4"/>
    <w:rsid w:val="00E901C0"/>
    <w:rsid w:val="00E95A72"/>
    <w:rsid w:val="00EA0CE0"/>
    <w:rsid w:val="00EA2CB5"/>
    <w:rsid w:val="00EA5094"/>
    <w:rsid w:val="00EB0C9C"/>
    <w:rsid w:val="00EB4B12"/>
    <w:rsid w:val="00EB72D4"/>
    <w:rsid w:val="00EC4490"/>
    <w:rsid w:val="00EC6592"/>
    <w:rsid w:val="00EC725D"/>
    <w:rsid w:val="00ED2BC8"/>
    <w:rsid w:val="00ED5305"/>
    <w:rsid w:val="00ED711B"/>
    <w:rsid w:val="00EE151E"/>
    <w:rsid w:val="00EE1AEE"/>
    <w:rsid w:val="00EE35F8"/>
    <w:rsid w:val="00EF20DB"/>
    <w:rsid w:val="00F075E4"/>
    <w:rsid w:val="00F13A37"/>
    <w:rsid w:val="00F14C6E"/>
    <w:rsid w:val="00F17292"/>
    <w:rsid w:val="00F22536"/>
    <w:rsid w:val="00F3080F"/>
    <w:rsid w:val="00F361C8"/>
    <w:rsid w:val="00F45647"/>
    <w:rsid w:val="00F47B23"/>
    <w:rsid w:val="00F5398C"/>
    <w:rsid w:val="00F56610"/>
    <w:rsid w:val="00F62B90"/>
    <w:rsid w:val="00F67F4A"/>
    <w:rsid w:val="00F7673B"/>
    <w:rsid w:val="00F857AF"/>
    <w:rsid w:val="00F94663"/>
    <w:rsid w:val="00FA57A3"/>
    <w:rsid w:val="00FA5E32"/>
    <w:rsid w:val="00FA7B38"/>
    <w:rsid w:val="00FB1AE3"/>
    <w:rsid w:val="00FB2F88"/>
    <w:rsid w:val="00FB56F9"/>
    <w:rsid w:val="00FC022B"/>
    <w:rsid w:val="00FC5ECC"/>
    <w:rsid w:val="00FC66BD"/>
    <w:rsid w:val="00FD019B"/>
    <w:rsid w:val="00FD2DAA"/>
    <w:rsid w:val="00FD668C"/>
    <w:rsid w:val="00FD6D96"/>
    <w:rsid w:val="00FF0115"/>
    <w:rsid w:val="00FF3FE9"/>
    <w:rsid w:val="00FF659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655D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2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A52"/>
    <w:pPr>
      <w:spacing w:before="240"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uiPriority w:val="99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rsid w:val="002C07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04A52"/>
    <w:rPr>
      <w:b/>
      <w:sz w:val="24"/>
      <w:szCs w:val="24"/>
    </w:rPr>
  </w:style>
  <w:style w:type="paragraph" w:styleId="NoSpacing">
    <w:name w:val="No Spacing"/>
    <w:uiPriority w:val="1"/>
    <w:qFormat/>
    <w:rsid w:val="00520CC1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2C64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2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A52"/>
    <w:pPr>
      <w:spacing w:before="240"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uiPriority w:val="99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rsid w:val="002C07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04A52"/>
    <w:rPr>
      <w:b/>
      <w:sz w:val="24"/>
      <w:szCs w:val="24"/>
    </w:rPr>
  </w:style>
  <w:style w:type="paragraph" w:styleId="NoSpacing">
    <w:name w:val="No Spacing"/>
    <w:uiPriority w:val="1"/>
    <w:qFormat/>
    <w:rsid w:val="00520CC1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2C6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2011-11-01T07:00:00+00:00</OpenedDate>
    <Date1 xmlns="dc463f71-b30c-4ab2-9473-d307f9d35888">2012-12-21T08:00:00+00:00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111882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ABF30ED998744AAEDA5BCC9FB6841" ma:contentTypeVersion="143" ma:contentTypeDescription="" ma:contentTypeScope="" ma:versionID="e6b3b36a134d3894213a12b14eab8e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8E10-AE6A-4A2C-AA78-53E09D6BD5E8}"/>
</file>

<file path=customXml/itemProps2.xml><?xml version="1.0" encoding="utf-8"?>
<ds:datastoreItem xmlns:ds="http://schemas.openxmlformats.org/officeDocument/2006/customXml" ds:itemID="{61DF372F-5F23-4DD6-BCCA-FBFC671B0AFD}"/>
</file>

<file path=customXml/itemProps3.xml><?xml version="1.0" encoding="utf-8"?>
<ds:datastoreItem xmlns:ds="http://schemas.openxmlformats.org/officeDocument/2006/customXml" ds:itemID="{C7FCE323-5B34-4132-8CFD-57B0A55F0070}"/>
</file>

<file path=customXml/itemProps4.xml><?xml version="1.0" encoding="utf-8"?>
<ds:datastoreItem xmlns:ds="http://schemas.openxmlformats.org/officeDocument/2006/customXml" ds:itemID="{9EDBB708-8910-4FA7-A4D7-652C77AFD58E}"/>
</file>

<file path=customXml/itemProps5.xml><?xml version="1.0" encoding="utf-8"?>
<ds:datastoreItem xmlns:ds="http://schemas.openxmlformats.org/officeDocument/2006/customXml" ds:itemID="{B48AE552-F0CE-471B-B07C-72EBF0FA7F90}"/>
</file>

<file path=customXml/itemProps6.xml><?xml version="1.0" encoding="utf-8"?>
<ds:datastoreItem xmlns:ds="http://schemas.openxmlformats.org/officeDocument/2006/customXml" ds:itemID="{CA775AA8-810F-4919-8016-F9C80C41E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/>
  <cp:lastModifiedBy/>
  <cp:revision>1</cp:revision>
  <dcterms:created xsi:type="dcterms:W3CDTF">2012-12-17T19:05:00Z</dcterms:created>
  <dcterms:modified xsi:type="dcterms:W3CDTF">2012-12-17T19:05:00Z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0x0101006E56B4D1795A2E4DB2F0B01679ED314A00145ABF30ED998744AAEDA5BCC9FB6841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