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7" w:rightFromText="187" w:horzAnchor="margin" w:tblpXSpec="center" w:tblpY="2881"/>
        <w:tblW w:w="4000" w:type="pct"/>
        <w:tblBorders>
          <w:left w:val="single" w:sz="18" w:space="0" w:color="4F81BD"/>
        </w:tblBorders>
        <w:tblLook w:val="00A0"/>
      </w:tblPr>
      <w:tblGrid>
        <w:gridCol w:w="7096"/>
      </w:tblGrid>
      <w:tr w:rsidR="008C6BDB">
        <w:tc>
          <w:tcPr>
            <w:tcW w:w="7672" w:type="dxa"/>
            <w:tcMar>
              <w:top w:w="216" w:type="dxa"/>
              <w:left w:w="115" w:type="dxa"/>
              <w:bottom w:w="216" w:type="dxa"/>
              <w:right w:w="115" w:type="dxa"/>
            </w:tcMar>
          </w:tcPr>
          <w:p w:rsidR="008C6BDB" w:rsidRPr="00DB4080" w:rsidRDefault="008C6BDB" w:rsidP="004D6826">
            <w:pPr>
              <w:pStyle w:val="NoSpacing"/>
              <w:rPr>
                <w:rFonts w:ascii="Cambria" w:hAnsi="Cambria" w:cs="Times New Roman"/>
                <w:sz w:val="40"/>
                <w:szCs w:val="40"/>
              </w:rPr>
            </w:pPr>
            <w:bookmarkStart w:id="0" w:name="_Toc234046346"/>
            <w:bookmarkStart w:id="1" w:name="_Toc165107947"/>
            <w:bookmarkStart w:id="2" w:name="_Ref165107126"/>
            <w:r>
              <w:rPr>
                <w:rFonts w:ascii="Cambria" w:hAnsi="Cambria" w:cs="Times New Roman"/>
                <w:sz w:val="40"/>
                <w:szCs w:val="40"/>
                <w:lang w:eastAsia="ja-JP"/>
              </w:rPr>
              <w:t>PacifiCorp</w:t>
            </w:r>
          </w:p>
        </w:tc>
      </w:tr>
      <w:tr w:rsidR="008C6BDB">
        <w:trPr>
          <w:trHeight w:val="4410"/>
        </w:trPr>
        <w:tc>
          <w:tcPr>
            <w:tcW w:w="7672" w:type="dxa"/>
          </w:tcPr>
          <w:p w:rsidR="008C6BDB" w:rsidRPr="00DB4080" w:rsidRDefault="006B4284" w:rsidP="00DB4080">
            <w:pPr>
              <w:pStyle w:val="NoSpacing"/>
              <w:rPr>
                <w:rFonts w:ascii="Cambria" w:hAnsi="Cambria" w:cs="Times New Roman"/>
                <w:color w:val="4F81BD"/>
                <w:sz w:val="80"/>
                <w:szCs w:val="80"/>
              </w:rPr>
            </w:pPr>
            <w:r>
              <w:rPr>
                <w:rFonts w:ascii="Cambria" w:hAnsi="Cambria" w:cs="Times New Roman"/>
                <w:color w:val="4F81BD"/>
                <w:sz w:val="80"/>
                <w:szCs w:val="80"/>
              </w:rPr>
              <w:t xml:space="preserve">2009 </w:t>
            </w:r>
            <w:r w:rsidR="008C6BDB" w:rsidRPr="00DB4080">
              <w:rPr>
                <w:rFonts w:ascii="Cambria" w:hAnsi="Cambria" w:cs="Times New Roman"/>
                <w:color w:val="4F81BD"/>
                <w:sz w:val="80"/>
                <w:szCs w:val="80"/>
              </w:rPr>
              <w:t>Annual Review of DSM Programs - Washington</w:t>
            </w:r>
          </w:p>
        </w:tc>
      </w:tr>
      <w:tr w:rsidR="008C6BDB">
        <w:tc>
          <w:tcPr>
            <w:tcW w:w="7672" w:type="dxa"/>
            <w:tcMar>
              <w:top w:w="216" w:type="dxa"/>
              <w:left w:w="115" w:type="dxa"/>
              <w:bottom w:w="216" w:type="dxa"/>
              <w:right w:w="115" w:type="dxa"/>
            </w:tcMar>
          </w:tcPr>
          <w:p w:rsidR="008C6BDB" w:rsidRPr="00DB4080" w:rsidRDefault="008C6BDB" w:rsidP="004D6826">
            <w:pPr>
              <w:pStyle w:val="NoSpacing"/>
              <w:rPr>
                <w:rFonts w:ascii="Cambria" w:hAnsi="Cambria" w:cs="Times New Roman"/>
                <w:sz w:val="32"/>
                <w:szCs w:val="32"/>
              </w:rPr>
            </w:pPr>
            <w:r w:rsidRPr="00DB4080">
              <w:rPr>
                <w:rFonts w:ascii="Cambria" w:hAnsi="Cambria" w:cs="Times New Roman"/>
                <w:sz w:val="32"/>
                <w:szCs w:val="32"/>
              </w:rPr>
              <w:t xml:space="preserve">     </w:t>
            </w:r>
          </w:p>
        </w:tc>
      </w:tr>
    </w:tbl>
    <w:p w:rsidR="008C6BDB" w:rsidRDefault="008C6BDB"/>
    <w:p w:rsidR="008C6BDB" w:rsidRDefault="008C6BDB"/>
    <w:tbl>
      <w:tblPr>
        <w:tblpPr w:leftFromText="187" w:rightFromText="187" w:horzAnchor="margin" w:tblpXSpec="center" w:tblpYSpec="bottom"/>
        <w:tblW w:w="4000" w:type="pct"/>
        <w:tblLook w:val="00A0"/>
      </w:tblPr>
      <w:tblGrid>
        <w:gridCol w:w="7096"/>
      </w:tblGrid>
      <w:tr w:rsidR="008C6BDB">
        <w:tc>
          <w:tcPr>
            <w:tcW w:w="7672" w:type="dxa"/>
            <w:tcMar>
              <w:top w:w="216" w:type="dxa"/>
              <w:left w:w="115" w:type="dxa"/>
              <w:bottom w:w="216" w:type="dxa"/>
              <w:right w:w="115" w:type="dxa"/>
            </w:tcMar>
          </w:tcPr>
          <w:p w:rsidR="008C6BDB" w:rsidRPr="00684B39" w:rsidRDefault="008C6BDB">
            <w:pPr>
              <w:pStyle w:val="NoSpacing"/>
              <w:rPr>
                <w:rFonts w:cs="Times New Roman"/>
                <w:color w:val="4F81BD"/>
              </w:rPr>
            </w:pPr>
            <w:r w:rsidRPr="00684B39">
              <w:rPr>
                <w:rFonts w:cs="Times New Roman"/>
                <w:color w:val="4F81BD"/>
              </w:rPr>
              <w:t>PacifiCorp Demand Side Management Team</w:t>
            </w:r>
          </w:p>
          <w:p w:rsidR="008C6BDB" w:rsidRPr="00684B39" w:rsidRDefault="00B4732E">
            <w:pPr>
              <w:pStyle w:val="NoSpacing"/>
              <w:rPr>
                <w:rFonts w:cs="Times New Roman"/>
                <w:color w:val="4F81BD"/>
              </w:rPr>
            </w:pPr>
            <w:r>
              <w:rPr>
                <w:rFonts w:cs="Times New Roman"/>
                <w:color w:val="4F81BD"/>
              </w:rPr>
              <w:t>2/12/2010</w:t>
            </w:r>
          </w:p>
          <w:p w:rsidR="008C6BDB" w:rsidRPr="00684B39" w:rsidRDefault="008C6BDB">
            <w:pPr>
              <w:pStyle w:val="NoSpacing"/>
              <w:rPr>
                <w:rFonts w:cs="Times New Roman"/>
                <w:color w:val="4F81BD"/>
              </w:rPr>
            </w:pPr>
          </w:p>
        </w:tc>
      </w:tr>
    </w:tbl>
    <w:p w:rsidR="008C6BDB" w:rsidRDefault="008C6BDB"/>
    <w:p w:rsidR="008C6BDB" w:rsidRDefault="008C6BDB">
      <w:pPr>
        <w:spacing w:after="200" w:line="276" w:lineRule="auto"/>
        <w:rPr>
          <w:rFonts w:ascii="Arial" w:hAnsi="Arial" w:cs="Arial"/>
          <w:b/>
          <w:bCs/>
          <w:kern w:val="32"/>
          <w:sz w:val="32"/>
          <w:szCs w:val="32"/>
        </w:rPr>
      </w:pPr>
      <w:r>
        <w:br w:type="page"/>
      </w:r>
    </w:p>
    <w:p w:rsidR="008C6BDB" w:rsidRDefault="008C6BDB">
      <w:pPr>
        <w:pStyle w:val="TOCHeading"/>
        <w:rPr>
          <w:rFonts w:ascii="Times New Roman" w:eastAsia="MS Mincho" w:hAnsi="Times New Roman" w:cs="Times New Roman"/>
          <w:b w:val="0"/>
          <w:bCs w:val="0"/>
          <w:color w:val="auto"/>
          <w:sz w:val="24"/>
          <w:szCs w:val="24"/>
          <w:lang w:eastAsia="ja-JP"/>
        </w:rPr>
      </w:pPr>
    </w:p>
    <w:p w:rsidR="008C6BDB" w:rsidRDefault="008C6BDB">
      <w:pPr>
        <w:pStyle w:val="TOCHeading"/>
        <w:rPr>
          <w:rFonts w:cs="Times New Roman"/>
          <w:sz w:val="36"/>
          <w:szCs w:val="36"/>
        </w:rPr>
      </w:pPr>
      <w:r w:rsidRPr="003D60AE">
        <w:rPr>
          <w:sz w:val="36"/>
          <w:szCs w:val="36"/>
        </w:rPr>
        <w:t>Table of Contents</w:t>
      </w:r>
    </w:p>
    <w:p w:rsidR="008C6BDB" w:rsidRDefault="008C6BDB" w:rsidP="003D60AE">
      <w:pPr>
        <w:rPr>
          <w:lang w:eastAsia="en-US"/>
        </w:rPr>
      </w:pPr>
    </w:p>
    <w:p w:rsidR="008C6BDB" w:rsidRPr="006B4284" w:rsidRDefault="008C6BDB" w:rsidP="003D60AE">
      <w:pPr>
        <w:rPr>
          <w:rFonts w:ascii="Arial" w:hAnsi="Arial" w:cs="Arial"/>
          <w:sz w:val="28"/>
          <w:szCs w:val="28"/>
          <w:lang w:eastAsia="en-US"/>
        </w:rPr>
      </w:pPr>
    </w:p>
    <w:p w:rsidR="00E65306" w:rsidRPr="00E65306" w:rsidRDefault="000C0495">
      <w:pPr>
        <w:pStyle w:val="TOC1"/>
        <w:tabs>
          <w:tab w:val="right" w:leader="dot" w:pos="8630"/>
        </w:tabs>
        <w:rPr>
          <w:rFonts w:ascii="Arial" w:eastAsiaTheme="minorEastAsia" w:hAnsi="Arial" w:cs="Arial"/>
          <w:noProof/>
          <w:sz w:val="28"/>
          <w:szCs w:val="28"/>
          <w:lang w:eastAsia="en-US"/>
        </w:rPr>
      </w:pPr>
      <w:r w:rsidRPr="00E65306">
        <w:rPr>
          <w:rFonts w:ascii="Arial" w:hAnsi="Arial" w:cs="Arial"/>
          <w:sz w:val="28"/>
          <w:szCs w:val="28"/>
        </w:rPr>
        <w:fldChar w:fldCharType="begin"/>
      </w:r>
      <w:r w:rsidR="008C6BDB" w:rsidRPr="00E65306">
        <w:rPr>
          <w:rFonts w:ascii="Arial" w:hAnsi="Arial" w:cs="Arial"/>
          <w:sz w:val="28"/>
          <w:szCs w:val="28"/>
        </w:rPr>
        <w:instrText xml:space="preserve"> TOC \o "1-3" \h \z \u </w:instrText>
      </w:r>
      <w:r w:rsidRPr="00E65306">
        <w:rPr>
          <w:rFonts w:ascii="Arial" w:hAnsi="Arial" w:cs="Arial"/>
          <w:sz w:val="28"/>
          <w:szCs w:val="28"/>
        </w:rPr>
        <w:fldChar w:fldCharType="separate"/>
      </w:r>
      <w:hyperlink w:anchor="_Toc253471332" w:history="1">
        <w:r w:rsidR="00E65306" w:rsidRPr="00E65306">
          <w:rPr>
            <w:rStyle w:val="Hyperlink"/>
            <w:rFonts w:ascii="Arial" w:hAnsi="Arial" w:cs="Arial"/>
            <w:noProof/>
            <w:sz w:val="28"/>
            <w:szCs w:val="28"/>
          </w:rPr>
          <w:t>Introduction</w:t>
        </w:r>
        <w:r w:rsidR="00E65306" w:rsidRPr="00E65306">
          <w:rPr>
            <w:rFonts w:ascii="Arial" w:hAnsi="Arial" w:cs="Arial"/>
            <w:noProof/>
            <w:webHidden/>
            <w:sz w:val="28"/>
            <w:szCs w:val="28"/>
          </w:rPr>
          <w:tab/>
        </w:r>
        <w:r w:rsidRPr="00E65306">
          <w:rPr>
            <w:rFonts w:ascii="Arial" w:hAnsi="Arial" w:cs="Arial"/>
            <w:noProof/>
            <w:webHidden/>
            <w:sz w:val="28"/>
            <w:szCs w:val="28"/>
          </w:rPr>
          <w:fldChar w:fldCharType="begin"/>
        </w:r>
        <w:r w:rsidR="00E65306" w:rsidRPr="00E65306">
          <w:rPr>
            <w:rFonts w:ascii="Arial" w:hAnsi="Arial" w:cs="Arial"/>
            <w:noProof/>
            <w:webHidden/>
            <w:sz w:val="28"/>
            <w:szCs w:val="28"/>
          </w:rPr>
          <w:instrText xml:space="preserve"> PAGEREF _Toc253471332 \h </w:instrText>
        </w:r>
        <w:r w:rsidRPr="00E65306">
          <w:rPr>
            <w:rFonts w:ascii="Arial" w:hAnsi="Arial" w:cs="Arial"/>
            <w:noProof/>
            <w:webHidden/>
            <w:sz w:val="28"/>
            <w:szCs w:val="28"/>
          </w:rPr>
        </w:r>
        <w:r w:rsidRPr="00E65306">
          <w:rPr>
            <w:rFonts w:ascii="Arial" w:hAnsi="Arial" w:cs="Arial"/>
            <w:noProof/>
            <w:webHidden/>
            <w:sz w:val="28"/>
            <w:szCs w:val="28"/>
          </w:rPr>
          <w:fldChar w:fldCharType="separate"/>
        </w:r>
        <w:r w:rsidR="00D5168D">
          <w:rPr>
            <w:rFonts w:ascii="Arial" w:hAnsi="Arial" w:cs="Arial"/>
            <w:noProof/>
            <w:webHidden/>
            <w:sz w:val="28"/>
            <w:szCs w:val="28"/>
          </w:rPr>
          <w:t>3</w:t>
        </w:r>
        <w:r w:rsidRPr="00E65306">
          <w:rPr>
            <w:rFonts w:ascii="Arial" w:hAnsi="Arial" w:cs="Arial"/>
            <w:noProof/>
            <w:webHidden/>
            <w:sz w:val="28"/>
            <w:szCs w:val="28"/>
          </w:rPr>
          <w:fldChar w:fldCharType="end"/>
        </w:r>
      </w:hyperlink>
    </w:p>
    <w:p w:rsidR="00E65306" w:rsidRPr="00E65306" w:rsidRDefault="000C0495">
      <w:pPr>
        <w:pStyle w:val="TOC1"/>
        <w:tabs>
          <w:tab w:val="right" w:leader="dot" w:pos="8630"/>
        </w:tabs>
        <w:rPr>
          <w:rFonts w:ascii="Arial" w:eastAsiaTheme="minorEastAsia" w:hAnsi="Arial" w:cs="Arial"/>
          <w:noProof/>
          <w:sz w:val="28"/>
          <w:szCs w:val="28"/>
          <w:lang w:eastAsia="en-US"/>
        </w:rPr>
      </w:pPr>
      <w:hyperlink w:anchor="_Toc253471333" w:history="1">
        <w:r w:rsidR="00E65306" w:rsidRPr="00E65306">
          <w:rPr>
            <w:rStyle w:val="Hyperlink"/>
            <w:rFonts w:ascii="Arial" w:hAnsi="Arial" w:cs="Arial"/>
            <w:noProof/>
            <w:sz w:val="28"/>
            <w:szCs w:val="28"/>
          </w:rPr>
          <w:t>Advisory Group Meetings and Communications</w:t>
        </w:r>
        <w:r w:rsidR="00E65306" w:rsidRPr="00E65306">
          <w:rPr>
            <w:rFonts w:ascii="Arial" w:hAnsi="Arial" w:cs="Arial"/>
            <w:noProof/>
            <w:webHidden/>
            <w:sz w:val="28"/>
            <w:szCs w:val="28"/>
          </w:rPr>
          <w:tab/>
        </w:r>
        <w:r w:rsidRPr="00E65306">
          <w:rPr>
            <w:rFonts w:ascii="Arial" w:hAnsi="Arial" w:cs="Arial"/>
            <w:noProof/>
            <w:webHidden/>
            <w:sz w:val="28"/>
            <w:szCs w:val="28"/>
          </w:rPr>
          <w:fldChar w:fldCharType="begin"/>
        </w:r>
        <w:r w:rsidR="00E65306" w:rsidRPr="00E65306">
          <w:rPr>
            <w:rFonts w:ascii="Arial" w:hAnsi="Arial" w:cs="Arial"/>
            <w:noProof/>
            <w:webHidden/>
            <w:sz w:val="28"/>
            <w:szCs w:val="28"/>
          </w:rPr>
          <w:instrText xml:space="preserve"> PAGEREF _Toc253471333 \h </w:instrText>
        </w:r>
        <w:r w:rsidRPr="00E65306">
          <w:rPr>
            <w:rFonts w:ascii="Arial" w:hAnsi="Arial" w:cs="Arial"/>
            <w:noProof/>
            <w:webHidden/>
            <w:sz w:val="28"/>
            <w:szCs w:val="28"/>
          </w:rPr>
        </w:r>
        <w:r w:rsidRPr="00E65306">
          <w:rPr>
            <w:rFonts w:ascii="Arial" w:hAnsi="Arial" w:cs="Arial"/>
            <w:noProof/>
            <w:webHidden/>
            <w:sz w:val="28"/>
            <w:szCs w:val="28"/>
          </w:rPr>
          <w:fldChar w:fldCharType="separate"/>
        </w:r>
        <w:r w:rsidR="00D5168D">
          <w:rPr>
            <w:rFonts w:ascii="Arial" w:hAnsi="Arial" w:cs="Arial"/>
            <w:noProof/>
            <w:webHidden/>
            <w:sz w:val="28"/>
            <w:szCs w:val="28"/>
          </w:rPr>
          <w:t>4</w:t>
        </w:r>
        <w:r w:rsidRPr="00E65306">
          <w:rPr>
            <w:rFonts w:ascii="Arial" w:hAnsi="Arial" w:cs="Arial"/>
            <w:noProof/>
            <w:webHidden/>
            <w:sz w:val="28"/>
            <w:szCs w:val="28"/>
          </w:rPr>
          <w:fldChar w:fldCharType="end"/>
        </w:r>
      </w:hyperlink>
    </w:p>
    <w:p w:rsidR="00E65306" w:rsidRPr="00E65306" w:rsidRDefault="000C0495">
      <w:pPr>
        <w:pStyle w:val="TOC1"/>
        <w:tabs>
          <w:tab w:val="right" w:leader="dot" w:pos="8630"/>
        </w:tabs>
        <w:rPr>
          <w:rFonts w:ascii="Arial" w:eastAsiaTheme="minorEastAsia" w:hAnsi="Arial" w:cs="Arial"/>
          <w:noProof/>
          <w:sz w:val="28"/>
          <w:szCs w:val="28"/>
          <w:lang w:eastAsia="en-US"/>
        </w:rPr>
      </w:pPr>
      <w:hyperlink w:anchor="_Toc253471334" w:history="1">
        <w:r w:rsidR="00E65306" w:rsidRPr="00E65306">
          <w:rPr>
            <w:rStyle w:val="Hyperlink"/>
            <w:rFonts w:ascii="Arial" w:hAnsi="Arial" w:cs="Arial"/>
            <w:noProof/>
            <w:sz w:val="28"/>
            <w:szCs w:val="28"/>
          </w:rPr>
          <w:t>DSM Filings</w:t>
        </w:r>
        <w:r w:rsidR="00E65306" w:rsidRPr="00E65306">
          <w:rPr>
            <w:rFonts w:ascii="Arial" w:hAnsi="Arial" w:cs="Arial"/>
            <w:noProof/>
            <w:webHidden/>
            <w:sz w:val="28"/>
            <w:szCs w:val="28"/>
          </w:rPr>
          <w:tab/>
        </w:r>
        <w:r w:rsidRPr="00E65306">
          <w:rPr>
            <w:rFonts w:ascii="Arial" w:hAnsi="Arial" w:cs="Arial"/>
            <w:noProof/>
            <w:webHidden/>
            <w:sz w:val="28"/>
            <w:szCs w:val="28"/>
          </w:rPr>
          <w:fldChar w:fldCharType="begin"/>
        </w:r>
        <w:r w:rsidR="00E65306" w:rsidRPr="00E65306">
          <w:rPr>
            <w:rFonts w:ascii="Arial" w:hAnsi="Arial" w:cs="Arial"/>
            <w:noProof/>
            <w:webHidden/>
            <w:sz w:val="28"/>
            <w:szCs w:val="28"/>
          </w:rPr>
          <w:instrText xml:space="preserve"> PAGEREF _Toc253471334 \h </w:instrText>
        </w:r>
        <w:r w:rsidRPr="00E65306">
          <w:rPr>
            <w:rFonts w:ascii="Arial" w:hAnsi="Arial" w:cs="Arial"/>
            <w:noProof/>
            <w:webHidden/>
            <w:sz w:val="28"/>
            <w:szCs w:val="28"/>
          </w:rPr>
        </w:r>
        <w:r w:rsidRPr="00E65306">
          <w:rPr>
            <w:rFonts w:ascii="Arial" w:hAnsi="Arial" w:cs="Arial"/>
            <w:noProof/>
            <w:webHidden/>
            <w:sz w:val="28"/>
            <w:szCs w:val="28"/>
          </w:rPr>
          <w:fldChar w:fldCharType="separate"/>
        </w:r>
        <w:r w:rsidR="00D5168D">
          <w:rPr>
            <w:rFonts w:ascii="Arial" w:hAnsi="Arial" w:cs="Arial"/>
            <w:noProof/>
            <w:webHidden/>
            <w:sz w:val="28"/>
            <w:szCs w:val="28"/>
          </w:rPr>
          <w:t>6</w:t>
        </w:r>
        <w:r w:rsidRPr="00E65306">
          <w:rPr>
            <w:rFonts w:ascii="Arial" w:hAnsi="Arial" w:cs="Arial"/>
            <w:noProof/>
            <w:webHidden/>
            <w:sz w:val="28"/>
            <w:szCs w:val="28"/>
          </w:rPr>
          <w:fldChar w:fldCharType="end"/>
        </w:r>
      </w:hyperlink>
    </w:p>
    <w:p w:rsidR="00E65306" w:rsidRPr="00E65306" w:rsidRDefault="000C0495">
      <w:pPr>
        <w:pStyle w:val="TOC1"/>
        <w:tabs>
          <w:tab w:val="right" w:leader="dot" w:pos="8630"/>
        </w:tabs>
        <w:rPr>
          <w:rFonts w:ascii="Arial" w:eastAsiaTheme="minorEastAsia" w:hAnsi="Arial" w:cs="Arial"/>
          <w:noProof/>
          <w:sz w:val="28"/>
          <w:szCs w:val="28"/>
          <w:lang w:eastAsia="en-US"/>
        </w:rPr>
      </w:pPr>
      <w:hyperlink w:anchor="_Toc253471335" w:history="1">
        <w:r w:rsidR="00E65306" w:rsidRPr="00E65306">
          <w:rPr>
            <w:rStyle w:val="Hyperlink"/>
            <w:rFonts w:ascii="Arial" w:hAnsi="Arial" w:cs="Arial"/>
            <w:noProof/>
            <w:sz w:val="28"/>
            <w:szCs w:val="28"/>
          </w:rPr>
          <w:t>2009 Performance and Activity</w:t>
        </w:r>
        <w:r w:rsidR="00E65306" w:rsidRPr="00E65306">
          <w:rPr>
            <w:rFonts w:ascii="Arial" w:hAnsi="Arial" w:cs="Arial"/>
            <w:noProof/>
            <w:webHidden/>
            <w:sz w:val="28"/>
            <w:szCs w:val="28"/>
          </w:rPr>
          <w:tab/>
        </w:r>
        <w:r w:rsidRPr="00E65306">
          <w:rPr>
            <w:rFonts w:ascii="Arial" w:hAnsi="Arial" w:cs="Arial"/>
            <w:noProof/>
            <w:webHidden/>
            <w:sz w:val="28"/>
            <w:szCs w:val="28"/>
          </w:rPr>
          <w:fldChar w:fldCharType="begin"/>
        </w:r>
        <w:r w:rsidR="00E65306" w:rsidRPr="00E65306">
          <w:rPr>
            <w:rFonts w:ascii="Arial" w:hAnsi="Arial" w:cs="Arial"/>
            <w:noProof/>
            <w:webHidden/>
            <w:sz w:val="28"/>
            <w:szCs w:val="28"/>
          </w:rPr>
          <w:instrText xml:space="preserve"> PAGEREF _Toc253471335 \h </w:instrText>
        </w:r>
        <w:r w:rsidRPr="00E65306">
          <w:rPr>
            <w:rFonts w:ascii="Arial" w:hAnsi="Arial" w:cs="Arial"/>
            <w:noProof/>
            <w:webHidden/>
            <w:sz w:val="28"/>
            <w:szCs w:val="28"/>
          </w:rPr>
        </w:r>
        <w:r w:rsidRPr="00E65306">
          <w:rPr>
            <w:rFonts w:ascii="Arial" w:hAnsi="Arial" w:cs="Arial"/>
            <w:noProof/>
            <w:webHidden/>
            <w:sz w:val="28"/>
            <w:szCs w:val="28"/>
          </w:rPr>
          <w:fldChar w:fldCharType="separate"/>
        </w:r>
        <w:r w:rsidR="00D5168D">
          <w:rPr>
            <w:rFonts w:ascii="Arial" w:hAnsi="Arial" w:cs="Arial"/>
            <w:noProof/>
            <w:webHidden/>
            <w:sz w:val="28"/>
            <w:szCs w:val="28"/>
          </w:rPr>
          <w:t>8</w:t>
        </w:r>
        <w:r w:rsidRPr="00E65306">
          <w:rPr>
            <w:rFonts w:ascii="Arial" w:hAnsi="Arial" w:cs="Arial"/>
            <w:noProof/>
            <w:webHidden/>
            <w:sz w:val="28"/>
            <w:szCs w:val="28"/>
          </w:rPr>
          <w:fldChar w:fldCharType="end"/>
        </w:r>
      </w:hyperlink>
    </w:p>
    <w:p w:rsidR="00E65306" w:rsidRPr="00E65306" w:rsidRDefault="000C0495">
      <w:pPr>
        <w:pStyle w:val="TOC1"/>
        <w:tabs>
          <w:tab w:val="right" w:leader="dot" w:pos="8630"/>
        </w:tabs>
        <w:rPr>
          <w:rFonts w:ascii="Arial" w:eastAsiaTheme="minorEastAsia" w:hAnsi="Arial" w:cs="Arial"/>
          <w:noProof/>
          <w:sz w:val="28"/>
          <w:szCs w:val="28"/>
          <w:lang w:eastAsia="en-US"/>
        </w:rPr>
      </w:pPr>
      <w:hyperlink w:anchor="_Toc253471336" w:history="1">
        <w:r w:rsidR="00E65306" w:rsidRPr="00E65306">
          <w:rPr>
            <w:rStyle w:val="Hyperlink"/>
            <w:rFonts w:ascii="Arial" w:hAnsi="Arial" w:cs="Arial"/>
            <w:noProof/>
            <w:sz w:val="28"/>
            <w:szCs w:val="28"/>
          </w:rPr>
          <w:t>Residential Energy Efficiency Programs and Activity</w:t>
        </w:r>
        <w:r w:rsidR="00E65306" w:rsidRPr="00E65306">
          <w:rPr>
            <w:rFonts w:ascii="Arial" w:hAnsi="Arial" w:cs="Arial"/>
            <w:noProof/>
            <w:webHidden/>
            <w:sz w:val="28"/>
            <w:szCs w:val="28"/>
          </w:rPr>
          <w:tab/>
        </w:r>
        <w:r w:rsidRPr="00E65306">
          <w:rPr>
            <w:rFonts w:ascii="Arial" w:hAnsi="Arial" w:cs="Arial"/>
            <w:noProof/>
            <w:webHidden/>
            <w:sz w:val="28"/>
            <w:szCs w:val="28"/>
          </w:rPr>
          <w:fldChar w:fldCharType="begin"/>
        </w:r>
        <w:r w:rsidR="00E65306" w:rsidRPr="00E65306">
          <w:rPr>
            <w:rFonts w:ascii="Arial" w:hAnsi="Arial" w:cs="Arial"/>
            <w:noProof/>
            <w:webHidden/>
            <w:sz w:val="28"/>
            <w:szCs w:val="28"/>
          </w:rPr>
          <w:instrText xml:space="preserve"> PAGEREF _Toc253471336 \h </w:instrText>
        </w:r>
        <w:r w:rsidRPr="00E65306">
          <w:rPr>
            <w:rFonts w:ascii="Arial" w:hAnsi="Arial" w:cs="Arial"/>
            <w:noProof/>
            <w:webHidden/>
            <w:sz w:val="28"/>
            <w:szCs w:val="28"/>
          </w:rPr>
        </w:r>
        <w:r w:rsidRPr="00E65306">
          <w:rPr>
            <w:rFonts w:ascii="Arial" w:hAnsi="Arial" w:cs="Arial"/>
            <w:noProof/>
            <w:webHidden/>
            <w:sz w:val="28"/>
            <w:szCs w:val="28"/>
          </w:rPr>
          <w:fldChar w:fldCharType="separate"/>
        </w:r>
        <w:r w:rsidR="00D5168D">
          <w:rPr>
            <w:rFonts w:ascii="Arial" w:hAnsi="Arial" w:cs="Arial"/>
            <w:noProof/>
            <w:webHidden/>
            <w:sz w:val="28"/>
            <w:szCs w:val="28"/>
          </w:rPr>
          <w:t>11</w:t>
        </w:r>
        <w:r w:rsidRPr="00E65306">
          <w:rPr>
            <w:rFonts w:ascii="Arial" w:hAnsi="Arial" w:cs="Arial"/>
            <w:noProof/>
            <w:webHidden/>
            <w:sz w:val="28"/>
            <w:szCs w:val="28"/>
          </w:rPr>
          <w:fldChar w:fldCharType="end"/>
        </w:r>
      </w:hyperlink>
    </w:p>
    <w:p w:rsidR="00E65306" w:rsidRPr="00E65306" w:rsidRDefault="000C0495">
      <w:pPr>
        <w:pStyle w:val="TOC1"/>
        <w:tabs>
          <w:tab w:val="right" w:leader="dot" w:pos="8630"/>
        </w:tabs>
        <w:rPr>
          <w:rFonts w:ascii="Arial" w:eastAsiaTheme="minorEastAsia" w:hAnsi="Arial" w:cs="Arial"/>
          <w:noProof/>
          <w:sz w:val="28"/>
          <w:szCs w:val="28"/>
          <w:lang w:eastAsia="en-US"/>
        </w:rPr>
      </w:pPr>
      <w:hyperlink w:anchor="_Toc253471337" w:history="1">
        <w:r w:rsidR="00E65306" w:rsidRPr="00E65306">
          <w:rPr>
            <w:rStyle w:val="Hyperlink"/>
            <w:rFonts w:ascii="Arial" w:hAnsi="Arial" w:cs="Arial"/>
            <w:noProof/>
            <w:sz w:val="28"/>
            <w:szCs w:val="28"/>
          </w:rPr>
          <w:t>Non- Residential Energy Efficiency Programs and Activity</w:t>
        </w:r>
        <w:r w:rsidR="00E65306" w:rsidRPr="00E65306">
          <w:rPr>
            <w:rFonts w:ascii="Arial" w:hAnsi="Arial" w:cs="Arial"/>
            <w:noProof/>
            <w:webHidden/>
            <w:sz w:val="28"/>
            <w:szCs w:val="28"/>
          </w:rPr>
          <w:tab/>
        </w:r>
        <w:r w:rsidRPr="00E65306">
          <w:rPr>
            <w:rFonts w:ascii="Arial" w:hAnsi="Arial" w:cs="Arial"/>
            <w:noProof/>
            <w:webHidden/>
            <w:sz w:val="28"/>
            <w:szCs w:val="28"/>
          </w:rPr>
          <w:fldChar w:fldCharType="begin"/>
        </w:r>
        <w:r w:rsidR="00E65306" w:rsidRPr="00E65306">
          <w:rPr>
            <w:rFonts w:ascii="Arial" w:hAnsi="Arial" w:cs="Arial"/>
            <w:noProof/>
            <w:webHidden/>
            <w:sz w:val="28"/>
            <w:szCs w:val="28"/>
          </w:rPr>
          <w:instrText xml:space="preserve"> PAGEREF _Toc253471337 \h </w:instrText>
        </w:r>
        <w:r w:rsidRPr="00E65306">
          <w:rPr>
            <w:rFonts w:ascii="Arial" w:hAnsi="Arial" w:cs="Arial"/>
            <w:noProof/>
            <w:webHidden/>
            <w:sz w:val="28"/>
            <w:szCs w:val="28"/>
          </w:rPr>
        </w:r>
        <w:r w:rsidRPr="00E65306">
          <w:rPr>
            <w:rFonts w:ascii="Arial" w:hAnsi="Arial" w:cs="Arial"/>
            <w:noProof/>
            <w:webHidden/>
            <w:sz w:val="28"/>
            <w:szCs w:val="28"/>
          </w:rPr>
          <w:fldChar w:fldCharType="separate"/>
        </w:r>
        <w:r w:rsidR="00D5168D">
          <w:rPr>
            <w:rFonts w:ascii="Arial" w:hAnsi="Arial" w:cs="Arial"/>
            <w:noProof/>
            <w:webHidden/>
            <w:sz w:val="28"/>
            <w:szCs w:val="28"/>
          </w:rPr>
          <w:t>18</w:t>
        </w:r>
        <w:r w:rsidRPr="00E65306">
          <w:rPr>
            <w:rFonts w:ascii="Arial" w:hAnsi="Arial" w:cs="Arial"/>
            <w:noProof/>
            <w:webHidden/>
            <w:sz w:val="28"/>
            <w:szCs w:val="28"/>
          </w:rPr>
          <w:fldChar w:fldCharType="end"/>
        </w:r>
      </w:hyperlink>
    </w:p>
    <w:p w:rsidR="00E65306" w:rsidRPr="00E65306" w:rsidRDefault="000C0495">
      <w:pPr>
        <w:pStyle w:val="TOC1"/>
        <w:tabs>
          <w:tab w:val="right" w:leader="dot" w:pos="8630"/>
        </w:tabs>
        <w:rPr>
          <w:rFonts w:ascii="Arial" w:eastAsiaTheme="minorEastAsia" w:hAnsi="Arial" w:cs="Arial"/>
          <w:noProof/>
          <w:sz w:val="28"/>
          <w:szCs w:val="28"/>
          <w:lang w:eastAsia="en-US"/>
        </w:rPr>
      </w:pPr>
      <w:hyperlink w:anchor="_Toc253471338" w:history="1">
        <w:r w:rsidR="00E65306" w:rsidRPr="00E65306">
          <w:rPr>
            <w:rStyle w:val="Hyperlink"/>
            <w:rFonts w:ascii="Arial" w:hAnsi="Arial" w:cs="Arial"/>
            <w:noProof/>
            <w:sz w:val="28"/>
            <w:szCs w:val="28"/>
          </w:rPr>
          <w:t>Overall Expenditures and Results:</w:t>
        </w:r>
        <w:r w:rsidR="00E65306" w:rsidRPr="00E65306">
          <w:rPr>
            <w:rFonts w:ascii="Arial" w:hAnsi="Arial" w:cs="Arial"/>
            <w:noProof/>
            <w:webHidden/>
            <w:sz w:val="28"/>
            <w:szCs w:val="28"/>
          </w:rPr>
          <w:tab/>
        </w:r>
        <w:r w:rsidRPr="00E65306">
          <w:rPr>
            <w:rFonts w:ascii="Arial" w:hAnsi="Arial" w:cs="Arial"/>
            <w:noProof/>
            <w:webHidden/>
            <w:sz w:val="28"/>
            <w:szCs w:val="28"/>
          </w:rPr>
          <w:fldChar w:fldCharType="begin"/>
        </w:r>
        <w:r w:rsidR="00E65306" w:rsidRPr="00E65306">
          <w:rPr>
            <w:rFonts w:ascii="Arial" w:hAnsi="Arial" w:cs="Arial"/>
            <w:noProof/>
            <w:webHidden/>
            <w:sz w:val="28"/>
            <w:szCs w:val="28"/>
          </w:rPr>
          <w:instrText xml:space="preserve"> PAGEREF _Toc253471338 \h </w:instrText>
        </w:r>
        <w:r w:rsidRPr="00E65306">
          <w:rPr>
            <w:rFonts w:ascii="Arial" w:hAnsi="Arial" w:cs="Arial"/>
            <w:noProof/>
            <w:webHidden/>
            <w:sz w:val="28"/>
            <w:szCs w:val="28"/>
          </w:rPr>
        </w:r>
        <w:r w:rsidRPr="00E65306">
          <w:rPr>
            <w:rFonts w:ascii="Arial" w:hAnsi="Arial" w:cs="Arial"/>
            <w:noProof/>
            <w:webHidden/>
            <w:sz w:val="28"/>
            <w:szCs w:val="28"/>
          </w:rPr>
          <w:fldChar w:fldCharType="separate"/>
        </w:r>
        <w:r w:rsidR="00D5168D">
          <w:rPr>
            <w:rFonts w:ascii="Arial" w:hAnsi="Arial" w:cs="Arial"/>
            <w:noProof/>
            <w:webHidden/>
            <w:sz w:val="28"/>
            <w:szCs w:val="28"/>
          </w:rPr>
          <w:t>22</w:t>
        </w:r>
        <w:r w:rsidRPr="00E65306">
          <w:rPr>
            <w:rFonts w:ascii="Arial" w:hAnsi="Arial" w:cs="Arial"/>
            <w:noProof/>
            <w:webHidden/>
            <w:sz w:val="28"/>
            <w:szCs w:val="28"/>
          </w:rPr>
          <w:fldChar w:fldCharType="end"/>
        </w:r>
      </w:hyperlink>
    </w:p>
    <w:p w:rsidR="00E65306" w:rsidRPr="00E65306" w:rsidRDefault="000C0495">
      <w:pPr>
        <w:pStyle w:val="TOC1"/>
        <w:tabs>
          <w:tab w:val="right" w:leader="dot" w:pos="8630"/>
        </w:tabs>
        <w:rPr>
          <w:rFonts w:ascii="Arial" w:eastAsiaTheme="minorEastAsia" w:hAnsi="Arial" w:cs="Arial"/>
          <w:noProof/>
          <w:sz w:val="28"/>
          <w:szCs w:val="28"/>
          <w:lang w:eastAsia="en-US"/>
        </w:rPr>
      </w:pPr>
      <w:hyperlink w:anchor="_Toc253471339" w:history="1">
        <w:r w:rsidR="00E65306" w:rsidRPr="00E65306">
          <w:rPr>
            <w:rStyle w:val="Hyperlink"/>
            <w:rFonts w:ascii="Arial" w:hAnsi="Arial" w:cs="Arial"/>
            <w:noProof/>
            <w:sz w:val="28"/>
            <w:szCs w:val="28"/>
          </w:rPr>
          <w:t>System Benefit Charge Balancing Account Summary</w:t>
        </w:r>
        <w:r w:rsidR="00E65306" w:rsidRPr="00E65306">
          <w:rPr>
            <w:rFonts w:ascii="Arial" w:hAnsi="Arial" w:cs="Arial"/>
            <w:noProof/>
            <w:webHidden/>
            <w:sz w:val="28"/>
            <w:szCs w:val="28"/>
          </w:rPr>
          <w:tab/>
        </w:r>
        <w:r w:rsidRPr="00E65306">
          <w:rPr>
            <w:rFonts w:ascii="Arial" w:hAnsi="Arial" w:cs="Arial"/>
            <w:noProof/>
            <w:webHidden/>
            <w:sz w:val="28"/>
            <w:szCs w:val="28"/>
          </w:rPr>
          <w:fldChar w:fldCharType="begin"/>
        </w:r>
        <w:r w:rsidR="00E65306" w:rsidRPr="00E65306">
          <w:rPr>
            <w:rFonts w:ascii="Arial" w:hAnsi="Arial" w:cs="Arial"/>
            <w:noProof/>
            <w:webHidden/>
            <w:sz w:val="28"/>
            <w:szCs w:val="28"/>
          </w:rPr>
          <w:instrText xml:space="preserve"> PAGEREF _Toc253471339 \h </w:instrText>
        </w:r>
        <w:r w:rsidRPr="00E65306">
          <w:rPr>
            <w:rFonts w:ascii="Arial" w:hAnsi="Arial" w:cs="Arial"/>
            <w:noProof/>
            <w:webHidden/>
            <w:sz w:val="28"/>
            <w:szCs w:val="28"/>
          </w:rPr>
        </w:r>
        <w:r w:rsidRPr="00E65306">
          <w:rPr>
            <w:rFonts w:ascii="Arial" w:hAnsi="Arial" w:cs="Arial"/>
            <w:noProof/>
            <w:webHidden/>
            <w:sz w:val="28"/>
            <w:szCs w:val="28"/>
          </w:rPr>
          <w:fldChar w:fldCharType="separate"/>
        </w:r>
        <w:r w:rsidR="00D5168D">
          <w:rPr>
            <w:rFonts w:ascii="Arial" w:hAnsi="Arial" w:cs="Arial"/>
            <w:noProof/>
            <w:webHidden/>
            <w:sz w:val="28"/>
            <w:szCs w:val="28"/>
          </w:rPr>
          <w:t>23</w:t>
        </w:r>
        <w:r w:rsidRPr="00E65306">
          <w:rPr>
            <w:rFonts w:ascii="Arial" w:hAnsi="Arial" w:cs="Arial"/>
            <w:noProof/>
            <w:webHidden/>
            <w:sz w:val="28"/>
            <w:szCs w:val="28"/>
          </w:rPr>
          <w:fldChar w:fldCharType="end"/>
        </w:r>
      </w:hyperlink>
    </w:p>
    <w:p w:rsidR="00E65306" w:rsidRPr="00E65306" w:rsidRDefault="000C0495">
      <w:pPr>
        <w:pStyle w:val="TOC1"/>
        <w:tabs>
          <w:tab w:val="right" w:leader="dot" w:pos="8630"/>
        </w:tabs>
        <w:rPr>
          <w:rFonts w:ascii="Arial" w:eastAsiaTheme="minorEastAsia" w:hAnsi="Arial" w:cs="Arial"/>
          <w:noProof/>
          <w:sz w:val="28"/>
          <w:szCs w:val="28"/>
          <w:lang w:eastAsia="en-US"/>
        </w:rPr>
      </w:pPr>
      <w:hyperlink w:anchor="_Toc253471340" w:history="1">
        <w:r w:rsidR="00E65306" w:rsidRPr="00E65306">
          <w:rPr>
            <w:rStyle w:val="Hyperlink"/>
            <w:rFonts w:ascii="Arial" w:hAnsi="Arial" w:cs="Arial"/>
            <w:noProof/>
            <w:sz w:val="28"/>
            <w:szCs w:val="28"/>
          </w:rPr>
          <w:t>Appendix:</w:t>
        </w:r>
        <w:r w:rsidR="00E65306" w:rsidRPr="00E65306">
          <w:rPr>
            <w:rFonts w:ascii="Arial" w:hAnsi="Arial" w:cs="Arial"/>
            <w:noProof/>
            <w:webHidden/>
            <w:sz w:val="28"/>
            <w:szCs w:val="28"/>
          </w:rPr>
          <w:tab/>
        </w:r>
        <w:r w:rsidRPr="00E65306">
          <w:rPr>
            <w:rFonts w:ascii="Arial" w:hAnsi="Arial" w:cs="Arial"/>
            <w:noProof/>
            <w:webHidden/>
            <w:sz w:val="28"/>
            <w:szCs w:val="28"/>
          </w:rPr>
          <w:fldChar w:fldCharType="begin"/>
        </w:r>
        <w:r w:rsidR="00E65306" w:rsidRPr="00E65306">
          <w:rPr>
            <w:rFonts w:ascii="Arial" w:hAnsi="Arial" w:cs="Arial"/>
            <w:noProof/>
            <w:webHidden/>
            <w:sz w:val="28"/>
            <w:szCs w:val="28"/>
          </w:rPr>
          <w:instrText xml:space="preserve"> PAGEREF _Toc253471340 \h </w:instrText>
        </w:r>
        <w:r w:rsidRPr="00E65306">
          <w:rPr>
            <w:rFonts w:ascii="Arial" w:hAnsi="Arial" w:cs="Arial"/>
            <w:noProof/>
            <w:webHidden/>
            <w:sz w:val="28"/>
            <w:szCs w:val="28"/>
          </w:rPr>
        </w:r>
        <w:r w:rsidRPr="00E65306">
          <w:rPr>
            <w:rFonts w:ascii="Arial" w:hAnsi="Arial" w:cs="Arial"/>
            <w:noProof/>
            <w:webHidden/>
            <w:sz w:val="28"/>
            <w:szCs w:val="28"/>
          </w:rPr>
          <w:fldChar w:fldCharType="separate"/>
        </w:r>
        <w:r w:rsidR="00D5168D">
          <w:rPr>
            <w:rFonts w:ascii="Arial" w:hAnsi="Arial" w:cs="Arial"/>
            <w:noProof/>
            <w:webHidden/>
            <w:sz w:val="28"/>
            <w:szCs w:val="28"/>
          </w:rPr>
          <w:t>25</w:t>
        </w:r>
        <w:r w:rsidRPr="00E65306">
          <w:rPr>
            <w:rFonts w:ascii="Arial" w:hAnsi="Arial" w:cs="Arial"/>
            <w:noProof/>
            <w:webHidden/>
            <w:sz w:val="28"/>
            <w:szCs w:val="28"/>
          </w:rPr>
          <w:fldChar w:fldCharType="end"/>
        </w:r>
      </w:hyperlink>
    </w:p>
    <w:p w:rsidR="008C6BDB" w:rsidRPr="003E7946" w:rsidRDefault="000C0495">
      <w:pPr>
        <w:rPr>
          <w:rFonts w:ascii="Arial" w:hAnsi="Arial" w:cs="Arial"/>
          <w:sz w:val="28"/>
          <w:szCs w:val="28"/>
        </w:rPr>
      </w:pPr>
      <w:r w:rsidRPr="00E65306">
        <w:rPr>
          <w:rFonts w:ascii="Arial" w:hAnsi="Arial" w:cs="Arial"/>
          <w:sz w:val="28"/>
          <w:szCs w:val="28"/>
        </w:rPr>
        <w:fldChar w:fldCharType="end"/>
      </w:r>
    </w:p>
    <w:p w:rsidR="008C6BDB" w:rsidRDefault="008C6BDB">
      <w:pPr>
        <w:spacing w:after="200" w:line="276" w:lineRule="auto"/>
        <w:rPr>
          <w:rFonts w:ascii="Arial" w:hAnsi="Arial" w:cs="Arial"/>
          <w:b/>
          <w:bCs/>
          <w:kern w:val="32"/>
          <w:sz w:val="32"/>
          <w:szCs w:val="32"/>
        </w:rPr>
      </w:pPr>
      <w:r>
        <w:br w:type="page"/>
      </w:r>
    </w:p>
    <w:p w:rsidR="008C6BDB" w:rsidRDefault="008C6BDB" w:rsidP="002810D1">
      <w:pPr>
        <w:pStyle w:val="Heading1"/>
        <w:jc w:val="both"/>
      </w:pPr>
      <w:bookmarkStart w:id="3" w:name="_Toc253471332"/>
      <w:bookmarkEnd w:id="0"/>
      <w:bookmarkEnd w:id="1"/>
      <w:bookmarkEnd w:id="2"/>
      <w:r>
        <w:lastRenderedPageBreak/>
        <w:t>Introduction</w:t>
      </w:r>
      <w:bookmarkEnd w:id="3"/>
    </w:p>
    <w:p w:rsidR="008C6BDB" w:rsidRDefault="008C6BDB" w:rsidP="002810D1">
      <w:pPr>
        <w:jc w:val="both"/>
        <w:rPr>
          <w:rFonts w:ascii="Arial" w:hAnsi="Arial" w:cs="Arial"/>
        </w:rPr>
      </w:pPr>
    </w:p>
    <w:p w:rsidR="008C6BDB" w:rsidRDefault="008C6BDB" w:rsidP="002810D1">
      <w:pPr>
        <w:jc w:val="both"/>
        <w:rPr>
          <w:rFonts w:ascii="Arial" w:hAnsi="Arial" w:cs="Arial"/>
        </w:rPr>
      </w:pPr>
      <w:r>
        <w:rPr>
          <w:rFonts w:ascii="Arial" w:hAnsi="Arial" w:cs="Arial"/>
        </w:rPr>
        <w:t>PacifiCorp works</w:t>
      </w:r>
      <w:r w:rsidRPr="00972D86">
        <w:rPr>
          <w:rFonts w:ascii="Arial" w:hAnsi="Arial" w:cs="Arial"/>
        </w:rPr>
        <w:t xml:space="preserve"> with its customers to reduce the need for</w:t>
      </w:r>
      <w:r>
        <w:rPr>
          <w:rFonts w:ascii="Arial" w:hAnsi="Arial" w:cs="Arial"/>
        </w:rPr>
        <w:t xml:space="preserve"> investment in</w:t>
      </w:r>
      <w:r w:rsidRPr="00972D86">
        <w:rPr>
          <w:rFonts w:ascii="Arial" w:hAnsi="Arial" w:cs="Arial"/>
        </w:rPr>
        <w:t xml:space="preserve"> supply side resources </w:t>
      </w:r>
      <w:r>
        <w:rPr>
          <w:rFonts w:ascii="Arial" w:hAnsi="Arial" w:cs="Arial"/>
        </w:rPr>
        <w:t xml:space="preserve">and infrastructure </w:t>
      </w:r>
      <w:r w:rsidRPr="00972D86">
        <w:rPr>
          <w:rFonts w:ascii="Arial" w:hAnsi="Arial" w:cs="Arial"/>
        </w:rPr>
        <w:t xml:space="preserve">by reducing energy and peak consumption through </w:t>
      </w:r>
      <w:r>
        <w:rPr>
          <w:rFonts w:ascii="Arial" w:hAnsi="Arial" w:cs="Arial"/>
        </w:rPr>
        <w:t xml:space="preserve">cost-effective energy efficiency programs. </w:t>
      </w:r>
    </w:p>
    <w:p w:rsidR="008C6BDB" w:rsidRDefault="008C6BDB" w:rsidP="002810D1">
      <w:pPr>
        <w:jc w:val="both"/>
        <w:rPr>
          <w:rFonts w:ascii="Arial" w:hAnsi="Arial" w:cs="Arial"/>
        </w:rPr>
      </w:pPr>
    </w:p>
    <w:p w:rsidR="008C6BDB" w:rsidRDefault="008C6BDB" w:rsidP="002810D1">
      <w:pPr>
        <w:jc w:val="both"/>
        <w:rPr>
          <w:rFonts w:ascii="Arial" w:hAnsi="Arial" w:cs="Arial"/>
        </w:rPr>
      </w:pPr>
      <w:r>
        <w:rPr>
          <w:rFonts w:ascii="Arial" w:hAnsi="Arial" w:cs="Arial"/>
        </w:rPr>
        <w:t>PacifiCorp</w:t>
      </w:r>
      <w:r w:rsidRPr="00972D86">
        <w:rPr>
          <w:rFonts w:ascii="Arial" w:hAnsi="Arial" w:cs="Arial"/>
        </w:rPr>
        <w:t xml:space="preserve"> currently offers </w:t>
      </w:r>
      <w:r>
        <w:rPr>
          <w:rFonts w:ascii="Arial" w:hAnsi="Arial" w:cs="Arial"/>
        </w:rPr>
        <w:t>six</w:t>
      </w:r>
      <w:r w:rsidRPr="00972D86">
        <w:rPr>
          <w:rFonts w:ascii="Arial" w:hAnsi="Arial" w:cs="Arial"/>
        </w:rPr>
        <w:t xml:space="preserve"> energy efficiency </w:t>
      </w:r>
      <w:r>
        <w:rPr>
          <w:rFonts w:ascii="Arial" w:hAnsi="Arial" w:cs="Arial"/>
        </w:rPr>
        <w:t xml:space="preserve">programs approved by the Washington Utilities and Transportation Commission (“Commission”) </w:t>
      </w:r>
      <w:r w:rsidRPr="00972D86">
        <w:rPr>
          <w:rFonts w:ascii="Arial" w:hAnsi="Arial" w:cs="Arial"/>
        </w:rPr>
        <w:t xml:space="preserve">in </w:t>
      </w:r>
      <w:smartTag w:uri="urn:schemas-microsoft-com:office:smarttags" w:element="place">
        <w:smartTag w:uri="urn:schemas-microsoft-com:office:smarttags" w:element="State">
          <w:r>
            <w:rPr>
              <w:rFonts w:ascii="Arial" w:hAnsi="Arial" w:cs="Arial"/>
            </w:rPr>
            <w:t>Washington</w:t>
          </w:r>
        </w:smartTag>
      </w:smartTag>
      <w:r>
        <w:rPr>
          <w:rFonts w:ascii="Arial" w:hAnsi="Arial" w:cs="Arial"/>
        </w:rPr>
        <w:t>,</w:t>
      </w:r>
      <w:r w:rsidRPr="00972D86">
        <w:rPr>
          <w:rFonts w:ascii="Arial" w:hAnsi="Arial" w:cs="Arial"/>
        </w:rPr>
        <w:t xml:space="preserve"> with </w:t>
      </w:r>
      <w:r>
        <w:rPr>
          <w:rFonts w:ascii="Arial" w:hAnsi="Arial" w:cs="Arial"/>
        </w:rPr>
        <w:t>expenditures</w:t>
      </w:r>
      <w:r w:rsidRPr="00972D86">
        <w:rPr>
          <w:rFonts w:ascii="Arial" w:hAnsi="Arial" w:cs="Arial"/>
        </w:rPr>
        <w:t xml:space="preserve"> associated with these programs recovered throug</w:t>
      </w:r>
      <w:r>
        <w:rPr>
          <w:rFonts w:ascii="Arial" w:hAnsi="Arial" w:cs="Arial"/>
        </w:rPr>
        <w:t xml:space="preserve">h the System Benefits Charge, Schedule </w:t>
      </w:r>
      <w:r w:rsidRPr="001E1072">
        <w:rPr>
          <w:rFonts w:ascii="Arial" w:hAnsi="Arial" w:cs="Arial"/>
        </w:rPr>
        <w:t>191.</w:t>
      </w:r>
    </w:p>
    <w:p w:rsidR="008C6BDB" w:rsidRDefault="008C6BDB" w:rsidP="002810D1">
      <w:pPr>
        <w:jc w:val="both"/>
        <w:rPr>
          <w:rFonts w:ascii="Arial" w:hAnsi="Arial" w:cs="Arial"/>
        </w:rPr>
      </w:pPr>
    </w:p>
    <w:p w:rsidR="008C6BDB" w:rsidRDefault="008C6BDB" w:rsidP="002810D1">
      <w:pPr>
        <w:jc w:val="both"/>
        <w:rPr>
          <w:rFonts w:ascii="Arial" w:hAnsi="Arial" w:cs="Arial"/>
        </w:rPr>
      </w:pPr>
      <w:r w:rsidRPr="00972D86">
        <w:rPr>
          <w:rFonts w:ascii="Arial" w:hAnsi="Arial" w:cs="Arial"/>
        </w:rPr>
        <w:t>This report provides details on p</w:t>
      </w:r>
      <w:r>
        <w:rPr>
          <w:rFonts w:ascii="Arial" w:hAnsi="Arial" w:cs="Arial"/>
        </w:rPr>
        <w:t>rogram results and activities, expenditures</w:t>
      </w:r>
      <w:r w:rsidRPr="00972D86">
        <w:rPr>
          <w:rFonts w:ascii="Arial" w:hAnsi="Arial" w:cs="Arial"/>
        </w:rPr>
        <w:t xml:space="preserve"> </w:t>
      </w:r>
      <w:r>
        <w:rPr>
          <w:rFonts w:ascii="Arial" w:hAnsi="Arial" w:cs="Arial"/>
        </w:rPr>
        <w:t>and Schedule 191 revenue</w:t>
      </w:r>
      <w:r w:rsidRPr="00972D86">
        <w:rPr>
          <w:rFonts w:ascii="Arial" w:hAnsi="Arial" w:cs="Arial"/>
        </w:rPr>
        <w:t xml:space="preserve"> for the performance period from </w:t>
      </w:r>
      <w:smartTag w:uri="urn:schemas-microsoft-com:office:smarttags" w:element="date">
        <w:smartTagPr>
          <w:attr w:name="Year" w:val="2009"/>
          <w:attr w:name="Day" w:val="1"/>
          <w:attr w:name="Month" w:val="1"/>
        </w:smartTagPr>
        <w:r w:rsidRPr="00972D86">
          <w:rPr>
            <w:rFonts w:ascii="Arial" w:hAnsi="Arial" w:cs="Arial"/>
          </w:rPr>
          <w:t xml:space="preserve">January 1, </w:t>
        </w:r>
        <w:r>
          <w:rPr>
            <w:rFonts w:ascii="Arial" w:hAnsi="Arial" w:cs="Arial"/>
          </w:rPr>
          <w:t>2009</w:t>
        </w:r>
      </w:smartTag>
      <w:r w:rsidRPr="00972D86">
        <w:rPr>
          <w:rFonts w:ascii="Arial" w:hAnsi="Arial" w:cs="Arial"/>
        </w:rPr>
        <w:t xml:space="preserve"> through </w:t>
      </w:r>
      <w:smartTag w:uri="urn:schemas-microsoft-com:office:smarttags" w:element="date">
        <w:smartTagPr>
          <w:attr w:name="Year" w:val="2009"/>
          <w:attr w:name="Day" w:val="31"/>
          <w:attr w:name="Month" w:val="12"/>
        </w:smartTagPr>
        <w:r w:rsidRPr="00972D86">
          <w:rPr>
            <w:rFonts w:ascii="Arial" w:hAnsi="Arial" w:cs="Arial"/>
          </w:rPr>
          <w:t>December 31,</w:t>
        </w:r>
        <w:r>
          <w:rPr>
            <w:rFonts w:ascii="Arial" w:hAnsi="Arial" w:cs="Arial"/>
          </w:rPr>
          <w:t xml:space="preserve"> 2009</w:t>
        </w:r>
      </w:smartTag>
      <w:r w:rsidRPr="00972D86">
        <w:rPr>
          <w:rFonts w:ascii="Arial" w:hAnsi="Arial" w:cs="Arial"/>
        </w:rPr>
        <w:t xml:space="preserve">. Top-line results are summarized in Table 1 below.   </w:t>
      </w:r>
    </w:p>
    <w:p w:rsidR="008C6BDB" w:rsidRDefault="008C6BDB" w:rsidP="002810D1">
      <w:pPr>
        <w:jc w:val="both"/>
        <w:rPr>
          <w:rFonts w:ascii="Arial" w:hAnsi="Arial" w:cs="Arial"/>
        </w:rPr>
      </w:pPr>
    </w:p>
    <w:p w:rsidR="008C6BDB" w:rsidRPr="00AB75EF" w:rsidRDefault="008C6BDB" w:rsidP="005C43FC">
      <w:pPr>
        <w:jc w:val="center"/>
        <w:rPr>
          <w:rFonts w:ascii="Arial" w:hAnsi="Arial" w:cs="Arial"/>
          <w:b/>
          <w:bCs/>
        </w:rPr>
      </w:pPr>
      <w:r w:rsidRPr="00AB75EF">
        <w:rPr>
          <w:rFonts w:ascii="Arial" w:hAnsi="Arial" w:cs="Arial"/>
          <w:b/>
          <w:bCs/>
        </w:rPr>
        <w:t>Table 1</w:t>
      </w:r>
      <w:r>
        <w:rPr>
          <w:rStyle w:val="FootnoteReference"/>
          <w:rFonts w:ascii="Arial" w:hAnsi="Arial" w:cs="Arial"/>
          <w:b/>
          <w:bCs/>
        </w:rPr>
        <w:footnoteReference w:id="1"/>
      </w:r>
    </w:p>
    <w:p w:rsidR="008C6BDB" w:rsidRDefault="00F34CCC" w:rsidP="0062137B">
      <w:pPr>
        <w:jc w:val="center"/>
        <w:rPr>
          <w:rFonts w:ascii="Arial" w:hAnsi="Arial" w:cs="Arial"/>
        </w:rPr>
      </w:pPr>
      <w:r>
        <w:rPr>
          <w:noProof/>
          <w:lang w:eastAsia="ko-KR"/>
        </w:rPr>
        <w:drawing>
          <wp:inline distT="0" distB="0" distL="0" distR="0">
            <wp:extent cx="5095875" cy="1009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095875" cy="1009650"/>
                    </a:xfrm>
                    <a:prstGeom prst="rect">
                      <a:avLst/>
                    </a:prstGeom>
                    <a:noFill/>
                    <a:ln w="9525">
                      <a:noFill/>
                      <a:miter lim="800000"/>
                      <a:headEnd/>
                      <a:tailEnd/>
                    </a:ln>
                  </pic:spPr>
                </pic:pic>
              </a:graphicData>
            </a:graphic>
          </wp:inline>
        </w:drawing>
      </w:r>
    </w:p>
    <w:p w:rsidR="008C6BDB" w:rsidRDefault="008C6BDB">
      <w:pPr>
        <w:jc w:val="both"/>
        <w:rPr>
          <w:rFonts w:ascii="Arial" w:hAnsi="Arial" w:cs="Arial"/>
        </w:rPr>
      </w:pPr>
    </w:p>
    <w:p w:rsidR="008C6BDB" w:rsidRDefault="008C6BDB">
      <w:pPr>
        <w:jc w:val="both"/>
        <w:rPr>
          <w:rFonts w:ascii="Arial" w:hAnsi="Arial" w:cs="Arial"/>
        </w:rPr>
      </w:pPr>
      <w:r>
        <w:rPr>
          <w:rFonts w:ascii="Arial" w:hAnsi="Arial" w:cs="Arial"/>
        </w:rPr>
        <w:t xml:space="preserve">As shown in Table 1 above, </w:t>
      </w:r>
      <w:r w:rsidR="00D931E2" w:rsidRPr="007013AC">
        <w:rPr>
          <w:rFonts w:ascii="Arial" w:hAnsi="Arial" w:cs="Arial"/>
        </w:rPr>
        <w:t>in</w:t>
      </w:r>
      <w:r w:rsidRPr="007013AC">
        <w:rPr>
          <w:rFonts w:ascii="Arial" w:hAnsi="Arial" w:cs="Arial"/>
        </w:rPr>
        <w:t xml:space="preserve"> 200</w:t>
      </w:r>
      <w:r>
        <w:rPr>
          <w:rFonts w:ascii="Arial" w:hAnsi="Arial" w:cs="Arial"/>
        </w:rPr>
        <w:t>9</w:t>
      </w:r>
      <w:r w:rsidRPr="007013AC">
        <w:rPr>
          <w:rFonts w:ascii="Arial" w:hAnsi="Arial" w:cs="Arial"/>
        </w:rPr>
        <w:t xml:space="preserve">, </w:t>
      </w:r>
      <w:r>
        <w:rPr>
          <w:rFonts w:ascii="Arial" w:hAnsi="Arial" w:cs="Arial"/>
        </w:rPr>
        <w:t>PacifiCorp</w:t>
      </w:r>
      <w:r w:rsidRPr="007013AC">
        <w:rPr>
          <w:rFonts w:ascii="Arial" w:hAnsi="Arial" w:cs="Arial"/>
        </w:rPr>
        <w:t xml:space="preserve"> (the “Company”) acquired resources through its energy efficiency program activity totaling</w:t>
      </w:r>
      <w:r>
        <w:rPr>
          <w:rFonts w:ascii="Arial" w:hAnsi="Arial" w:cs="Arial"/>
        </w:rPr>
        <w:t xml:space="preserve"> </w:t>
      </w:r>
      <w:r>
        <w:rPr>
          <w:rFonts w:ascii="Arial" w:hAnsi="Arial" w:cs="Arial"/>
          <w:color w:val="000000"/>
        </w:rPr>
        <w:t>41,997,602</w:t>
      </w:r>
      <w:r w:rsidRPr="00B17F48">
        <w:rPr>
          <w:rFonts w:ascii="Arial" w:hAnsi="Arial" w:cs="Arial"/>
          <w:color w:val="000000"/>
        </w:rPr>
        <w:t xml:space="preserve"> </w:t>
      </w:r>
      <w:r w:rsidRPr="00B17F48">
        <w:rPr>
          <w:rFonts w:ascii="Arial" w:hAnsi="Arial" w:cs="Arial"/>
        </w:rPr>
        <w:t>kWh/year or 4.</w:t>
      </w:r>
      <w:r>
        <w:rPr>
          <w:rFonts w:ascii="Arial" w:hAnsi="Arial" w:cs="Arial"/>
        </w:rPr>
        <w:t>79</w:t>
      </w:r>
      <w:r w:rsidRPr="00B17F48">
        <w:rPr>
          <w:rFonts w:ascii="Arial" w:hAnsi="Arial" w:cs="Arial"/>
        </w:rPr>
        <w:t xml:space="preserve"> </w:t>
      </w:r>
      <w:r>
        <w:rPr>
          <w:rFonts w:ascii="Arial" w:hAnsi="Arial" w:cs="Arial"/>
        </w:rPr>
        <w:t>a</w:t>
      </w:r>
      <w:r w:rsidRPr="00B17F48">
        <w:rPr>
          <w:rFonts w:ascii="Arial" w:hAnsi="Arial" w:cs="Arial"/>
        </w:rPr>
        <w:t>MW</w:t>
      </w:r>
      <w:r w:rsidRPr="00B17F48">
        <w:rPr>
          <w:rFonts w:ascii="Arial" w:hAnsi="Arial" w:cs="Arial"/>
          <w:b/>
          <w:bCs/>
        </w:rPr>
        <w:t xml:space="preserve"> </w:t>
      </w:r>
      <w:r w:rsidRPr="007013AC">
        <w:rPr>
          <w:rFonts w:ascii="Arial" w:hAnsi="Arial" w:cs="Arial"/>
        </w:rPr>
        <w:t xml:space="preserve">in </w:t>
      </w:r>
      <w:smartTag w:uri="urn:schemas-microsoft-com:office:smarttags" w:element="place">
        <w:smartTag w:uri="urn:schemas-microsoft-com:office:smarttags" w:element="State">
          <w:r w:rsidRPr="007013AC">
            <w:rPr>
              <w:rFonts w:ascii="Arial" w:hAnsi="Arial" w:cs="Arial"/>
            </w:rPr>
            <w:t>Washington</w:t>
          </w:r>
        </w:smartTag>
      </w:smartTag>
      <w:r w:rsidRPr="007013AC">
        <w:rPr>
          <w:rFonts w:ascii="Arial" w:hAnsi="Arial" w:cs="Arial"/>
        </w:rPr>
        <w:t xml:space="preserve"> (at generation).</w:t>
      </w:r>
      <w:r>
        <w:rPr>
          <w:rFonts w:ascii="Arial" w:hAnsi="Arial" w:cs="Arial"/>
        </w:rPr>
        <w:t xml:space="preserve">  </w:t>
      </w:r>
    </w:p>
    <w:p w:rsidR="008C6BDB" w:rsidRDefault="008C6BDB">
      <w:pPr>
        <w:jc w:val="both"/>
        <w:rPr>
          <w:rFonts w:ascii="Arial" w:hAnsi="Arial" w:cs="Arial"/>
        </w:rPr>
      </w:pPr>
    </w:p>
    <w:p w:rsidR="008C6BDB" w:rsidRDefault="008C6BDB">
      <w:pPr>
        <w:spacing w:after="200" w:line="276" w:lineRule="auto"/>
        <w:jc w:val="both"/>
        <w:rPr>
          <w:rFonts w:ascii="Arial" w:hAnsi="Arial" w:cs="Arial"/>
          <w:b/>
          <w:bCs/>
          <w:u w:val="single"/>
        </w:rPr>
      </w:pPr>
      <w:r>
        <w:rPr>
          <w:rFonts w:ascii="Arial" w:hAnsi="Arial" w:cs="Arial"/>
          <w:b/>
          <w:bCs/>
          <w:u w:val="single"/>
        </w:rPr>
        <w:br w:type="page"/>
      </w:r>
    </w:p>
    <w:p w:rsidR="008C6BDB" w:rsidRPr="00413179" w:rsidRDefault="008C6BDB" w:rsidP="00413179">
      <w:pPr>
        <w:pStyle w:val="Heading1"/>
        <w:jc w:val="both"/>
      </w:pPr>
      <w:bookmarkStart w:id="4" w:name="_Toc253471333"/>
      <w:r w:rsidRPr="00413179">
        <w:t>Advisory Group Meetings and Communications</w:t>
      </w:r>
      <w:bookmarkEnd w:id="4"/>
    </w:p>
    <w:p w:rsidR="008C6BDB" w:rsidRDefault="008C6BDB">
      <w:pPr>
        <w:jc w:val="both"/>
        <w:rPr>
          <w:rFonts w:ascii="Arial" w:hAnsi="Arial" w:cs="Arial"/>
        </w:rPr>
      </w:pPr>
    </w:p>
    <w:p w:rsidR="008C6BDB" w:rsidRDefault="008C6BDB">
      <w:pPr>
        <w:jc w:val="both"/>
        <w:rPr>
          <w:rFonts w:ascii="Arial" w:hAnsi="Arial" w:cs="Arial"/>
        </w:rPr>
      </w:pPr>
      <w:r>
        <w:rPr>
          <w:rFonts w:ascii="Arial" w:hAnsi="Arial" w:cs="Arial"/>
        </w:rPr>
        <w:t xml:space="preserve">PacifiCorp established the Washington Demand Side Management Advisory Group (“DSM Advisory Group”) in 2000.  The group includes representatives from a variety of constituent organizations and represents the interests of various customer segments.  PacifiCorp </w:t>
      </w:r>
      <w:r w:rsidRPr="00972D86">
        <w:rPr>
          <w:rFonts w:ascii="Arial" w:hAnsi="Arial" w:cs="Arial"/>
        </w:rPr>
        <w:t>met</w:t>
      </w:r>
      <w:r>
        <w:rPr>
          <w:rFonts w:ascii="Arial" w:hAnsi="Arial" w:cs="Arial"/>
        </w:rPr>
        <w:t xml:space="preserve"> and/or communicated</w:t>
      </w:r>
      <w:r w:rsidRPr="00972D86">
        <w:rPr>
          <w:rFonts w:ascii="Arial" w:hAnsi="Arial" w:cs="Arial"/>
        </w:rPr>
        <w:t xml:space="preserve"> with </w:t>
      </w:r>
      <w:r>
        <w:rPr>
          <w:rFonts w:ascii="Arial" w:hAnsi="Arial" w:cs="Arial"/>
        </w:rPr>
        <w:t>the DSM</w:t>
      </w:r>
      <w:r w:rsidRPr="00972D86">
        <w:rPr>
          <w:rFonts w:ascii="Arial" w:hAnsi="Arial" w:cs="Arial"/>
        </w:rPr>
        <w:t xml:space="preserve"> Advisory Group on several occasions during the year.  Meeting dates and subject matter are as follows: </w:t>
      </w:r>
    </w:p>
    <w:p w:rsidR="008C6BDB" w:rsidRDefault="008C6BDB">
      <w:pPr>
        <w:jc w:val="both"/>
        <w:rPr>
          <w:rFonts w:ascii="Arial" w:hAnsi="Arial" w:cs="Arial"/>
        </w:rPr>
      </w:pPr>
    </w:p>
    <w:p w:rsidR="008C6BDB" w:rsidRDefault="008C6BDB">
      <w:pPr>
        <w:jc w:val="both"/>
        <w:rPr>
          <w:rFonts w:ascii="Arial" w:hAnsi="Arial" w:cs="Arial"/>
        </w:rPr>
      </w:pPr>
      <w:r w:rsidRPr="00102531">
        <w:rPr>
          <w:rFonts w:ascii="Arial" w:hAnsi="Arial" w:cs="Arial"/>
          <w:b/>
          <w:bCs/>
        </w:rPr>
        <w:t>February 25, 2009</w:t>
      </w:r>
      <w:r w:rsidRPr="00102531">
        <w:rPr>
          <w:rFonts w:ascii="Arial" w:hAnsi="Arial" w:cs="Arial"/>
        </w:rPr>
        <w:t xml:space="preserve"> – Email to DSM Advisory Group outlining specific changes to the Home Energy Savings </w:t>
      </w:r>
      <w:r w:rsidR="00302C12">
        <w:rPr>
          <w:rFonts w:ascii="Arial" w:hAnsi="Arial" w:cs="Arial"/>
        </w:rPr>
        <w:t>p</w:t>
      </w:r>
      <w:r w:rsidRPr="00102531">
        <w:rPr>
          <w:rFonts w:ascii="Arial" w:hAnsi="Arial" w:cs="Arial"/>
        </w:rPr>
        <w:t>rogram.  This was a follow up to the October 7, 2008 DSM Advisory Group discussion about incorporation of new home measures into the Home Energy Savings program and elimination of the Energy Star New Homes program in Washington.  The primary changes included:</w:t>
      </w:r>
    </w:p>
    <w:p w:rsidR="008C6BDB" w:rsidRPr="00102531" w:rsidRDefault="008C6BDB">
      <w:pPr>
        <w:jc w:val="both"/>
        <w:rPr>
          <w:rFonts w:ascii="Arial" w:hAnsi="Arial" w:cs="Arial"/>
        </w:rPr>
      </w:pPr>
    </w:p>
    <w:p w:rsidR="008C6BDB" w:rsidRDefault="008C6BDB" w:rsidP="007B656B">
      <w:pPr>
        <w:pStyle w:val="ListParagraph"/>
        <w:numPr>
          <w:ilvl w:val="0"/>
          <w:numId w:val="24"/>
        </w:numPr>
        <w:rPr>
          <w:rFonts w:ascii="Arial" w:hAnsi="Arial" w:cs="Arial"/>
        </w:rPr>
      </w:pPr>
      <w:r>
        <w:rPr>
          <w:rFonts w:ascii="Arial" w:hAnsi="Arial" w:cs="Arial"/>
        </w:rPr>
        <w:t>I</w:t>
      </w:r>
      <w:r w:rsidRPr="008F72BD">
        <w:rPr>
          <w:rFonts w:ascii="Arial" w:hAnsi="Arial" w:cs="Arial"/>
        </w:rPr>
        <w:t xml:space="preserve">ncorporating </w:t>
      </w:r>
      <w:r>
        <w:rPr>
          <w:rFonts w:ascii="Arial" w:hAnsi="Arial" w:cs="Arial"/>
        </w:rPr>
        <w:t>a</w:t>
      </w:r>
      <w:r w:rsidRPr="008F72BD">
        <w:rPr>
          <w:rFonts w:ascii="Arial" w:hAnsi="Arial" w:cs="Arial"/>
        </w:rPr>
        <w:t xml:space="preserve"> Builder Option Package (primary elements from</w:t>
      </w:r>
      <w:r>
        <w:rPr>
          <w:rFonts w:ascii="Arial" w:hAnsi="Arial" w:cs="Arial"/>
        </w:rPr>
        <w:t xml:space="preserve"> Energy Star New Homes Program)</w:t>
      </w:r>
      <w:r w:rsidRPr="008F72BD">
        <w:rPr>
          <w:rFonts w:ascii="Arial" w:hAnsi="Arial" w:cs="Arial"/>
        </w:rPr>
        <w:t xml:space="preserve"> and addition of </w:t>
      </w:r>
      <w:r>
        <w:rPr>
          <w:rFonts w:ascii="Arial" w:hAnsi="Arial" w:cs="Arial"/>
        </w:rPr>
        <w:t>stand-alone measures for new homes</w:t>
      </w:r>
      <w:r w:rsidR="00302C12">
        <w:rPr>
          <w:rFonts w:ascii="Arial" w:hAnsi="Arial" w:cs="Arial"/>
        </w:rPr>
        <w:t>,</w:t>
      </w:r>
    </w:p>
    <w:p w:rsidR="008C6BDB" w:rsidRDefault="008C6BDB" w:rsidP="007B656B">
      <w:pPr>
        <w:pStyle w:val="ListParagraph"/>
        <w:numPr>
          <w:ilvl w:val="0"/>
          <w:numId w:val="24"/>
        </w:numPr>
        <w:rPr>
          <w:rFonts w:ascii="Arial" w:hAnsi="Arial" w:cs="Arial"/>
        </w:rPr>
      </w:pPr>
      <w:r w:rsidRPr="008F72BD">
        <w:rPr>
          <w:rFonts w:ascii="Arial" w:hAnsi="Arial" w:cs="Arial"/>
        </w:rPr>
        <w:t xml:space="preserve">Addition of heat pump equipment and </w:t>
      </w:r>
      <w:r>
        <w:rPr>
          <w:rFonts w:ascii="Arial" w:hAnsi="Arial" w:cs="Arial"/>
        </w:rPr>
        <w:t>services</w:t>
      </w:r>
      <w:r w:rsidRPr="008F72BD">
        <w:rPr>
          <w:rFonts w:ascii="Arial" w:hAnsi="Arial" w:cs="Arial"/>
        </w:rPr>
        <w:t xml:space="preserve">, </w:t>
      </w:r>
    </w:p>
    <w:p w:rsidR="008C6BDB" w:rsidRDefault="008C6BDB" w:rsidP="007B656B">
      <w:pPr>
        <w:pStyle w:val="ListParagraph"/>
        <w:numPr>
          <w:ilvl w:val="0"/>
          <w:numId w:val="24"/>
        </w:numPr>
        <w:rPr>
          <w:rFonts w:ascii="Arial" w:hAnsi="Arial" w:cs="Arial"/>
        </w:rPr>
      </w:pPr>
      <w:r w:rsidRPr="008F72BD">
        <w:rPr>
          <w:rFonts w:ascii="Arial" w:hAnsi="Arial" w:cs="Arial"/>
        </w:rPr>
        <w:t xml:space="preserve">Modifications to existing measures, including: changes to certain measure incentives and incentive qualifications, expanding CFL offerings to include specialty bulbs and year-round promotions, revising unit participation projections, updating savings to reflect current </w:t>
      </w:r>
      <w:r>
        <w:rPr>
          <w:rFonts w:ascii="Arial" w:hAnsi="Arial" w:cs="Arial"/>
        </w:rPr>
        <w:t>Regional Technical Forum (RTF)</w:t>
      </w:r>
      <w:r w:rsidRPr="008F72BD">
        <w:rPr>
          <w:rFonts w:ascii="Arial" w:hAnsi="Arial" w:cs="Arial"/>
        </w:rPr>
        <w:t xml:space="preserve"> savings, and moving to fuel specific savings reporting for certain measures. </w:t>
      </w:r>
    </w:p>
    <w:p w:rsidR="008C6BDB" w:rsidRDefault="008C6BDB">
      <w:pPr>
        <w:jc w:val="both"/>
        <w:rPr>
          <w:rFonts w:ascii="Arial" w:hAnsi="Arial" w:cs="Arial"/>
          <w:highlight w:val="yellow"/>
        </w:rPr>
      </w:pPr>
    </w:p>
    <w:p w:rsidR="008C6BDB" w:rsidRPr="00102531" w:rsidRDefault="008C6BDB">
      <w:pPr>
        <w:jc w:val="both"/>
        <w:rPr>
          <w:rFonts w:ascii="Arial" w:hAnsi="Arial" w:cs="Arial"/>
        </w:rPr>
      </w:pPr>
      <w:r w:rsidRPr="00102531">
        <w:rPr>
          <w:rFonts w:ascii="Arial" w:hAnsi="Arial" w:cs="Arial"/>
        </w:rPr>
        <w:t xml:space="preserve">The email included a request for comments on the proposed changes.  </w:t>
      </w:r>
    </w:p>
    <w:p w:rsidR="008C6BDB" w:rsidRPr="00102531" w:rsidRDefault="008C6BDB">
      <w:pPr>
        <w:jc w:val="both"/>
        <w:rPr>
          <w:rFonts w:ascii="Arial" w:hAnsi="Arial" w:cs="Arial"/>
        </w:rPr>
      </w:pPr>
    </w:p>
    <w:p w:rsidR="008C6BDB" w:rsidRPr="00102531" w:rsidRDefault="008C6BDB">
      <w:pPr>
        <w:jc w:val="both"/>
        <w:rPr>
          <w:rFonts w:ascii="Arial" w:hAnsi="Arial" w:cs="Arial"/>
        </w:rPr>
      </w:pPr>
      <w:smartTag w:uri="urn:schemas-microsoft-com:office:smarttags" w:element="date">
        <w:smartTagPr>
          <w:attr w:name="Year" w:val="2009"/>
          <w:attr w:name="Day" w:val="25"/>
          <w:attr w:name="Month" w:val="3"/>
        </w:smartTagPr>
        <w:r w:rsidRPr="00102531">
          <w:rPr>
            <w:rFonts w:ascii="Arial" w:hAnsi="Arial" w:cs="Arial"/>
            <w:b/>
            <w:bCs/>
          </w:rPr>
          <w:t>March 25, 2009</w:t>
        </w:r>
      </w:smartTag>
      <w:r w:rsidRPr="00102531">
        <w:rPr>
          <w:rFonts w:ascii="Arial" w:hAnsi="Arial" w:cs="Arial"/>
        </w:rPr>
        <w:t xml:space="preserve"> – Email to DSM Advisory Group to finalize communications on the Home Energy Savings changes and let the group know of the effective dates for the changes.  Based on input from commission staff, the </w:t>
      </w:r>
      <w:r>
        <w:rPr>
          <w:rFonts w:ascii="Arial" w:hAnsi="Arial" w:cs="Arial"/>
        </w:rPr>
        <w:t>C</w:t>
      </w:r>
      <w:r w:rsidRPr="00102531">
        <w:rPr>
          <w:rFonts w:ascii="Arial" w:hAnsi="Arial" w:cs="Arial"/>
        </w:rPr>
        <w:t xml:space="preserve">ompany implemented changes that resulted in an improved offer to the customer immediately.  For changes that reduced the offer, the </w:t>
      </w:r>
      <w:r>
        <w:rPr>
          <w:rFonts w:ascii="Arial" w:hAnsi="Arial" w:cs="Arial"/>
        </w:rPr>
        <w:t>C</w:t>
      </w:r>
      <w:r w:rsidRPr="00102531">
        <w:rPr>
          <w:rFonts w:ascii="Arial" w:hAnsi="Arial" w:cs="Arial"/>
        </w:rPr>
        <w:t xml:space="preserve">ompany provided a 45-day notification on the program Web site according to the provisions established in the program filing. </w:t>
      </w:r>
    </w:p>
    <w:p w:rsidR="008C6BDB" w:rsidRPr="00102531" w:rsidRDefault="008C6BDB">
      <w:pPr>
        <w:jc w:val="both"/>
        <w:rPr>
          <w:rFonts w:ascii="Arial" w:hAnsi="Arial" w:cs="Arial"/>
        </w:rPr>
      </w:pPr>
    </w:p>
    <w:p w:rsidR="008C6BDB" w:rsidRPr="00102531" w:rsidRDefault="008C6BDB">
      <w:pPr>
        <w:jc w:val="both"/>
        <w:rPr>
          <w:rFonts w:ascii="Arial" w:hAnsi="Arial" w:cs="Arial"/>
        </w:rPr>
      </w:pPr>
      <w:r w:rsidRPr="00102531">
        <w:rPr>
          <w:rFonts w:ascii="Arial" w:hAnsi="Arial" w:cs="Arial"/>
          <w:b/>
          <w:bCs/>
        </w:rPr>
        <w:t>May 12, 2009</w:t>
      </w:r>
      <w:r w:rsidRPr="00102531">
        <w:rPr>
          <w:rFonts w:ascii="Arial" w:hAnsi="Arial" w:cs="Arial"/>
        </w:rPr>
        <w:t xml:space="preserve"> – Email to DSM Advisory Group informing them of the </w:t>
      </w:r>
      <w:r>
        <w:rPr>
          <w:rFonts w:ascii="Arial" w:hAnsi="Arial" w:cs="Arial"/>
        </w:rPr>
        <w:t>C</w:t>
      </w:r>
      <w:r w:rsidRPr="00102531">
        <w:rPr>
          <w:rFonts w:ascii="Arial" w:hAnsi="Arial" w:cs="Arial"/>
        </w:rPr>
        <w:t xml:space="preserve">ompany’s plan to file to end the Energy Star New Homes program as described above and providing them with the link to the information on the new homes offering included in </w:t>
      </w:r>
      <w:r>
        <w:rPr>
          <w:rFonts w:ascii="Arial" w:hAnsi="Arial" w:cs="Arial"/>
        </w:rPr>
        <w:t xml:space="preserve">the </w:t>
      </w:r>
      <w:r w:rsidRPr="00102531">
        <w:rPr>
          <w:rFonts w:ascii="Arial" w:hAnsi="Arial" w:cs="Arial"/>
        </w:rPr>
        <w:t>Home Energy Savings</w:t>
      </w:r>
      <w:r>
        <w:rPr>
          <w:rFonts w:ascii="Arial" w:hAnsi="Arial" w:cs="Arial"/>
        </w:rPr>
        <w:t xml:space="preserve"> program</w:t>
      </w:r>
      <w:r w:rsidRPr="00102531">
        <w:rPr>
          <w:rFonts w:ascii="Arial" w:hAnsi="Arial" w:cs="Arial"/>
        </w:rPr>
        <w:t xml:space="preserve">. </w:t>
      </w:r>
    </w:p>
    <w:p w:rsidR="008C6BDB" w:rsidRPr="00102531" w:rsidRDefault="008C6BDB">
      <w:pPr>
        <w:jc w:val="both"/>
        <w:rPr>
          <w:rFonts w:ascii="Arial" w:hAnsi="Arial" w:cs="Arial"/>
        </w:rPr>
      </w:pPr>
    </w:p>
    <w:p w:rsidR="008C6BDB" w:rsidRPr="00102531" w:rsidRDefault="008C6BDB" w:rsidP="005C575E">
      <w:pPr>
        <w:jc w:val="both"/>
        <w:rPr>
          <w:rFonts w:ascii="Arial" w:hAnsi="Arial" w:cs="Arial"/>
        </w:rPr>
      </w:pPr>
      <w:smartTag w:uri="urn:schemas-microsoft-com:office:smarttags" w:element="date">
        <w:smartTagPr>
          <w:attr w:name="Year" w:val="2009"/>
          <w:attr w:name="Day" w:val="1"/>
          <w:attr w:name="Month" w:val="6"/>
        </w:smartTagPr>
        <w:r w:rsidRPr="00102531">
          <w:rPr>
            <w:rFonts w:ascii="Arial" w:hAnsi="Arial" w:cs="Arial"/>
            <w:b/>
            <w:bCs/>
          </w:rPr>
          <w:t>June 1, 2009</w:t>
        </w:r>
      </w:smartTag>
      <w:r w:rsidRPr="00102531">
        <w:rPr>
          <w:rFonts w:ascii="Arial" w:hAnsi="Arial" w:cs="Arial"/>
        </w:rPr>
        <w:t xml:space="preserve"> – Email to DSM Advisory Group providing the draft filing for proposed Energy FinAnswer and FinAnswer Express program changes. The email included a request for comments on the proposed changes.  </w:t>
      </w:r>
    </w:p>
    <w:p w:rsidR="008C6BDB" w:rsidRPr="00102531" w:rsidRDefault="008C6BDB">
      <w:pPr>
        <w:jc w:val="both"/>
        <w:rPr>
          <w:rFonts w:ascii="Arial" w:hAnsi="Arial" w:cs="Arial"/>
        </w:rPr>
      </w:pPr>
    </w:p>
    <w:p w:rsidR="008C6BDB" w:rsidRPr="00102531" w:rsidRDefault="008C6BDB">
      <w:pPr>
        <w:jc w:val="both"/>
        <w:rPr>
          <w:rFonts w:ascii="Arial" w:hAnsi="Arial" w:cs="Arial"/>
        </w:rPr>
      </w:pPr>
      <w:smartTag w:uri="urn:schemas-microsoft-com:office:smarttags" w:element="date">
        <w:smartTagPr>
          <w:attr w:name="Year" w:val="2009"/>
          <w:attr w:name="Day" w:val="17"/>
          <w:attr w:name="Month" w:val="6"/>
        </w:smartTagPr>
        <w:r w:rsidRPr="00102531">
          <w:rPr>
            <w:rFonts w:ascii="Arial" w:hAnsi="Arial" w:cs="Arial"/>
            <w:b/>
            <w:bCs/>
          </w:rPr>
          <w:t>June 17, 2009</w:t>
        </w:r>
      </w:smartTag>
      <w:r w:rsidRPr="00102531">
        <w:rPr>
          <w:rFonts w:ascii="Arial" w:hAnsi="Arial" w:cs="Arial"/>
        </w:rPr>
        <w:t xml:space="preserve"> – DSM Advisory Group teleconference to discuss the draft filing for proposed Energy FinAnswer and FinAnswer Express program changes. </w:t>
      </w:r>
    </w:p>
    <w:p w:rsidR="008C6BDB" w:rsidRPr="00102531" w:rsidRDefault="008C6BDB">
      <w:pPr>
        <w:jc w:val="both"/>
        <w:rPr>
          <w:color w:val="000000"/>
        </w:rPr>
      </w:pPr>
    </w:p>
    <w:p w:rsidR="008C6BDB" w:rsidRPr="00102531" w:rsidRDefault="008C6BDB">
      <w:pPr>
        <w:jc w:val="both"/>
        <w:rPr>
          <w:rFonts w:ascii="Arial" w:hAnsi="Arial" w:cs="Arial"/>
          <w:b/>
          <w:bCs/>
        </w:rPr>
      </w:pPr>
      <w:smartTag w:uri="urn:schemas-microsoft-com:office:smarttags" w:element="date">
        <w:smartTagPr>
          <w:attr w:name="Year" w:val="2009"/>
          <w:attr w:name="Day" w:val="24"/>
          <w:attr w:name="Month" w:val="6"/>
        </w:smartTagPr>
        <w:r w:rsidRPr="00102531">
          <w:rPr>
            <w:rFonts w:ascii="Arial" w:hAnsi="Arial" w:cs="Arial"/>
            <w:b/>
            <w:bCs/>
          </w:rPr>
          <w:t>June 24, 2009</w:t>
        </w:r>
      </w:smartTag>
      <w:r w:rsidRPr="00102531">
        <w:rPr>
          <w:rFonts w:ascii="Arial" w:hAnsi="Arial" w:cs="Arial"/>
          <w:b/>
          <w:bCs/>
        </w:rPr>
        <w:t xml:space="preserve"> </w:t>
      </w:r>
      <w:r w:rsidRPr="00102531">
        <w:rPr>
          <w:rFonts w:ascii="Arial" w:hAnsi="Arial" w:cs="Arial"/>
        </w:rPr>
        <w:t xml:space="preserve">– Email to DSM Advisory Group summarizing key issues discussed during the </w:t>
      </w:r>
      <w:smartTag w:uri="urn:schemas-microsoft-com:office:smarttags" w:element="date">
        <w:smartTagPr>
          <w:attr w:name="Year" w:val="2009"/>
          <w:attr w:name="Day" w:val="17"/>
          <w:attr w:name="Month" w:val="6"/>
        </w:smartTagPr>
        <w:r w:rsidRPr="00102531">
          <w:rPr>
            <w:rFonts w:ascii="Arial" w:hAnsi="Arial" w:cs="Arial"/>
          </w:rPr>
          <w:t>June 17, 2009</w:t>
        </w:r>
      </w:smartTag>
      <w:r w:rsidRPr="00102531">
        <w:rPr>
          <w:rFonts w:ascii="Arial" w:hAnsi="Arial" w:cs="Arial"/>
        </w:rPr>
        <w:t xml:space="preserve"> teleconference.</w:t>
      </w:r>
    </w:p>
    <w:p w:rsidR="008C6BDB" w:rsidRPr="00102531" w:rsidRDefault="008C6BDB">
      <w:pPr>
        <w:jc w:val="both"/>
        <w:rPr>
          <w:rFonts w:ascii="Arial" w:hAnsi="Arial" w:cs="Arial"/>
          <w:b/>
          <w:bCs/>
        </w:rPr>
      </w:pPr>
    </w:p>
    <w:p w:rsidR="008C6BDB" w:rsidRPr="00102531" w:rsidRDefault="008C6BDB">
      <w:pPr>
        <w:jc w:val="both"/>
        <w:rPr>
          <w:rFonts w:ascii="Arial" w:hAnsi="Arial" w:cs="Arial"/>
        </w:rPr>
      </w:pPr>
      <w:smartTag w:uri="urn:schemas-microsoft-com:office:smarttags" w:element="date">
        <w:smartTagPr>
          <w:attr w:name="Year" w:val="2009"/>
          <w:attr w:name="Day" w:val="15"/>
          <w:attr w:name="Month" w:val="7"/>
        </w:smartTagPr>
        <w:r w:rsidRPr="00102531">
          <w:rPr>
            <w:rFonts w:ascii="Arial" w:hAnsi="Arial" w:cs="Arial"/>
            <w:b/>
            <w:bCs/>
          </w:rPr>
          <w:t>July 15, 2009</w:t>
        </w:r>
      </w:smartTag>
      <w:r w:rsidRPr="00102531">
        <w:rPr>
          <w:rFonts w:ascii="Arial" w:hAnsi="Arial" w:cs="Arial"/>
        </w:rPr>
        <w:t xml:space="preserve"> – Email to DSM Advisory Group providing the draft true-up filing for a proposed increase in the System Benefits Charge and requesting comments.</w:t>
      </w:r>
    </w:p>
    <w:p w:rsidR="008C6BDB" w:rsidRPr="00102531" w:rsidRDefault="008C6BDB">
      <w:pPr>
        <w:jc w:val="both"/>
        <w:rPr>
          <w:rFonts w:ascii="Arial" w:hAnsi="Arial" w:cs="Arial"/>
        </w:rPr>
      </w:pPr>
    </w:p>
    <w:p w:rsidR="008C6BDB" w:rsidRPr="00102531" w:rsidRDefault="008C6BDB">
      <w:pPr>
        <w:jc w:val="both"/>
        <w:rPr>
          <w:rFonts w:ascii="Arial" w:hAnsi="Arial" w:cs="Arial"/>
        </w:rPr>
      </w:pPr>
      <w:smartTag w:uri="urn:schemas-microsoft-com:office:smarttags" w:element="date">
        <w:smartTagPr>
          <w:attr w:name="Year" w:val="2009"/>
          <w:attr w:name="Day" w:val="17"/>
          <w:attr w:name="Month" w:val="9"/>
        </w:smartTagPr>
        <w:r w:rsidRPr="00102531">
          <w:rPr>
            <w:rFonts w:ascii="Arial" w:hAnsi="Arial" w:cs="Arial"/>
            <w:b/>
            <w:bCs/>
          </w:rPr>
          <w:t>September 17, 2009</w:t>
        </w:r>
      </w:smartTag>
      <w:r w:rsidRPr="00102531">
        <w:rPr>
          <w:rFonts w:ascii="Arial" w:hAnsi="Arial" w:cs="Arial"/>
        </w:rPr>
        <w:t xml:space="preserve"> – Email providing the schedule for three meetings for I-937 </w:t>
      </w:r>
      <w:r w:rsidRPr="00882026">
        <w:rPr>
          <w:rFonts w:ascii="Arial" w:hAnsi="Arial" w:cs="Arial"/>
        </w:rPr>
        <w:t>public input</w:t>
      </w:r>
      <w:r w:rsidRPr="00102531">
        <w:rPr>
          <w:rFonts w:ascii="Arial" w:hAnsi="Arial" w:cs="Arial"/>
        </w:rPr>
        <w:t xml:space="preserve">.  </w:t>
      </w:r>
    </w:p>
    <w:p w:rsidR="008C6BDB" w:rsidRPr="00102531" w:rsidRDefault="008C6BDB">
      <w:pPr>
        <w:jc w:val="both"/>
        <w:rPr>
          <w:rFonts w:ascii="Arial" w:hAnsi="Arial" w:cs="Arial"/>
          <w:i/>
          <w:iCs/>
        </w:rPr>
      </w:pPr>
      <w:r w:rsidRPr="00102531">
        <w:rPr>
          <w:rFonts w:ascii="Arial" w:hAnsi="Arial" w:cs="Arial"/>
          <w:i/>
          <w:iCs/>
        </w:rPr>
        <w:t>(Note:  I 937 meetings and activities are covered in the Major Trends and Activities section in 2009 Performance.)</w:t>
      </w:r>
    </w:p>
    <w:p w:rsidR="008C6BDB" w:rsidRDefault="008C6BDB">
      <w:pPr>
        <w:jc w:val="both"/>
        <w:rPr>
          <w:rFonts w:ascii="Arial" w:hAnsi="Arial" w:cs="Arial"/>
        </w:rPr>
      </w:pPr>
    </w:p>
    <w:p w:rsidR="001357FB" w:rsidRDefault="001357FB">
      <w:pPr>
        <w:rPr>
          <w:rFonts w:ascii="Arial" w:hAnsi="Arial" w:cs="Arial"/>
          <w:b/>
          <w:bCs/>
          <w:kern w:val="32"/>
          <w:sz w:val="32"/>
          <w:szCs w:val="32"/>
        </w:rPr>
      </w:pPr>
      <w:r>
        <w:br w:type="page"/>
      </w:r>
    </w:p>
    <w:p w:rsidR="008C6BDB" w:rsidRPr="00413179" w:rsidRDefault="008C6BDB" w:rsidP="00413179">
      <w:pPr>
        <w:pStyle w:val="Heading1"/>
        <w:jc w:val="both"/>
      </w:pPr>
      <w:bookmarkStart w:id="5" w:name="_Toc253471334"/>
      <w:r w:rsidRPr="00413179">
        <w:t>DSM Filings</w:t>
      </w:r>
      <w:bookmarkEnd w:id="5"/>
    </w:p>
    <w:p w:rsidR="008C6BDB" w:rsidRDefault="008C6BDB">
      <w:pPr>
        <w:jc w:val="both"/>
        <w:rPr>
          <w:rFonts w:ascii="Arial" w:hAnsi="Arial" w:cs="Arial"/>
        </w:rPr>
      </w:pPr>
    </w:p>
    <w:p w:rsidR="008C6BDB" w:rsidRPr="00102531" w:rsidRDefault="008C6BDB">
      <w:pPr>
        <w:jc w:val="both"/>
        <w:rPr>
          <w:rFonts w:ascii="Arial" w:hAnsi="Arial" w:cs="Arial"/>
        </w:rPr>
      </w:pPr>
      <w:r w:rsidRPr="00102531">
        <w:rPr>
          <w:rFonts w:ascii="Arial" w:hAnsi="Arial" w:cs="Arial"/>
        </w:rPr>
        <w:t>The Company made</w:t>
      </w:r>
      <w:r>
        <w:rPr>
          <w:rFonts w:ascii="Arial" w:hAnsi="Arial" w:cs="Arial"/>
        </w:rPr>
        <w:t xml:space="preserve"> several filings with the Commission regarding DSM</w:t>
      </w:r>
      <w:r w:rsidRPr="00102531">
        <w:rPr>
          <w:rFonts w:ascii="Arial" w:hAnsi="Arial" w:cs="Arial"/>
        </w:rPr>
        <w:t xml:space="preserve"> during calendar year 2009.  The dates of the filings with descriptions are included below. </w:t>
      </w:r>
    </w:p>
    <w:p w:rsidR="008C6BDB" w:rsidRDefault="008C6BDB">
      <w:pPr>
        <w:jc w:val="both"/>
        <w:rPr>
          <w:rFonts w:ascii="Arial" w:hAnsi="Arial" w:cs="Arial"/>
        </w:rPr>
      </w:pPr>
    </w:p>
    <w:p w:rsidR="008C6BDB" w:rsidRDefault="008C6BDB">
      <w:pPr>
        <w:jc w:val="both"/>
        <w:rPr>
          <w:rFonts w:ascii="Arial" w:hAnsi="Arial" w:cs="Arial"/>
          <w:b/>
          <w:bCs/>
        </w:rPr>
      </w:pPr>
      <w:smartTag w:uri="urn:schemas-microsoft-com:office:smarttags" w:element="date">
        <w:smartTagPr>
          <w:attr w:name="Year" w:val="2009"/>
          <w:attr w:name="Day" w:val="13"/>
          <w:attr w:name="Month" w:val="2"/>
        </w:smartTagPr>
        <w:r w:rsidRPr="00BA3FA2">
          <w:rPr>
            <w:rFonts w:ascii="Arial" w:hAnsi="Arial" w:cs="Arial"/>
            <w:b/>
            <w:bCs/>
          </w:rPr>
          <w:t>February 13, 2009</w:t>
        </w:r>
      </w:smartTag>
      <w:r w:rsidRPr="00BA3FA2">
        <w:rPr>
          <w:rFonts w:ascii="Arial" w:hAnsi="Arial" w:cs="Arial"/>
          <w:b/>
          <w:bCs/>
        </w:rPr>
        <w:t xml:space="preserve"> - </w:t>
      </w:r>
      <w:r>
        <w:rPr>
          <w:rFonts w:ascii="Arial" w:hAnsi="Arial" w:cs="Arial"/>
          <w:b/>
          <w:bCs/>
        </w:rPr>
        <w:t>PacifiCorp</w:t>
      </w:r>
      <w:r w:rsidRPr="00BA3FA2">
        <w:rPr>
          <w:rFonts w:ascii="Arial" w:hAnsi="Arial" w:cs="Arial"/>
          <w:b/>
          <w:bCs/>
        </w:rPr>
        <w:t xml:space="preserve"> </w:t>
      </w:r>
      <w:smartTag w:uri="urn:schemas-microsoft-com:office:smarttags" w:element="place">
        <w:smartTag w:uri="urn:schemas-microsoft-com:office:smarttags" w:element="State">
          <w:r w:rsidRPr="00BA3FA2">
            <w:rPr>
              <w:rFonts w:ascii="Arial" w:hAnsi="Arial" w:cs="Arial"/>
              <w:b/>
              <w:bCs/>
            </w:rPr>
            <w:t>Washington</w:t>
          </w:r>
        </w:smartTag>
      </w:smartTag>
      <w:r w:rsidRPr="00BA3FA2">
        <w:rPr>
          <w:rFonts w:ascii="Arial" w:hAnsi="Arial" w:cs="Arial"/>
          <w:b/>
          <w:bCs/>
        </w:rPr>
        <w:t xml:space="preserve"> DSM Annual report.  Summary of </w:t>
      </w:r>
      <w:r>
        <w:rPr>
          <w:rFonts w:ascii="Arial" w:hAnsi="Arial" w:cs="Arial"/>
          <w:b/>
          <w:bCs/>
        </w:rPr>
        <w:t>PacifiCorp</w:t>
      </w:r>
      <w:r w:rsidRPr="00BA3FA2">
        <w:rPr>
          <w:rFonts w:ascii="Arial" w:hAnsi="Arial" w:cs="Arial"/>
          <w:b/>
          <w:bCs/>
        </w:rPr>
        <w:t xml:space="preserve"> Washington DSM </w:t>
      </w:r>
      <w:r>
        <w:rPr>
          <w:rFonts w:ascii="Arial" w:hAnsi="Arial" w:cs="Arial"/>
          <w:b/>
          <w:bCs/>
        </w:rPr>
        <w:t>results</w:t>
      </w:r>
      <w:r w:rsidRPr="00BA3FA2">
        <w:rPr>
          <w:rFonts w:ascii="Arial" w:hAnsi="Arial" w:cs="Arial"/>
          <w:b/>
          <w:bCs/>
        </w:rPr>
        <w:t xml:space="preserve"> for 2008</w:t>
      </w:r>
    </w:p>
    <w:p w:rsidR="008C6BDB" w:rsidRDefault="008C6BDB">
      <w:pPr>
        <w:jc w:val="both"/>
        <w:rPr>
          <w:rFonts w:ascii="Arial" w:hAnsi="Arial" w:cs="Arial"/>
        </w:rPr>
      </w:pPr>
    </w:p>
    <w:p w:rsidR="008C6BDB" w:rsidRDefault="008C6BDB">
      <w:pPr>
        <w:jc w:val="both"/>
        <w:rPr>
          <w:rFonts w:ascii="Arial" w:hAnsi="Arial" w:cs="Arial"/>
          <w:highlight w:val="yellow"/>
        </w:rPr>
      </w:pPr>
      <w:r>
        <w:rPr>
          <w:rFonts w:ascii="Arial" w:hAnsi="Arial" w:cs="Arial"/>
        </w:rPr>
        <w:t>PacifiCorp</w:t>
      </w:r>
      <w:r w:rsidRPr="000E05BE">
        <w:rPr>
          <w:rFonts w:ascii="Arial" w:hAnsi="Arial" w:cs="Arial"/>
        </w:rPr>
        <w:t xml:space="preserve"> provided its annual review of DSM </w:t>
      </w:r>
      <w:r>
        <w:rPr>
          <w:rFonts w:ascii="Arial" w:hAnsi="Arial" w:cs="Arial"/>
        </w:rPr>
        <w:t>results</w:t>
      </w:r>
      <w:r w:rsidRPr="000E05BE">
        <w:rPr>
          <w:rFonts w:ascii="Arial" w:hAnsi="Arial" w:cs="Arial"/>
        </w:rPr>
        <w:t xml:space="preserve"> in </w:t>
      </w:r>
      <w:smartTag w:uri="urn:schemas-microsoft-com:office:smarttags" w:element="place">
        <w:smartTag w:uri="urn:schemas-microsoft-com:office:smarttags" w:element="State">
          <w:r w:rsidRPr="000E05BE">
            <w:rPr>
              <w:rFonts w:ascii="Arial" w:hAnsi="Arial" w:cs="Arial"/>
            </w:rPr>
            <w:t>Washington</w:t>
          </w:r>
        </w:smartTag>
      </w:smartTag>
      <w:r w:rsidRPr="000E05BE">
        <w:rPr>
          <w:rFonts w:ascii="Arial" w:hAnsi="Arial" w:cs="Arial"/>
        </w:rPr>
        <w:t xml:space="preserve"> for calendar year 2008. </w:t>
      </w:r>
    </w:p>
    <w:p w:rsidR="008C6BDB" w:rsidRDefault="008C6BDB">
      <w:pPr>
        <w:jc w:val="both"/>
        <w:rPr>
          <w:rFonts w:ascii="Arial" w:hAnsi="Arial" w:cs="Arial"/>
          <w:highlight w:val="yellow"/>
        </w:rPr>
      </w:pPr>
    </w:p>
    <w:p w:rsidR="008C6BDB" w:rsidRDefault="008C6BDB">
      <w:pPr>
        <w:jc w:val="both"/>
        <w:rPr>
          <w:rFonts w:ascii="Arial" w:hAnsi="Arial" w:cs="Arial"/>
          <w:b/>
          <w:bCs/>
        </w:rPr>
      </w:pPr>
      <w:smartTag w:uri="urn:schemas-microsoft-com:office:smarttags" w:element="date">
        <w:smartTagPr>
          <w:attr w:name="Year" w:val="2009"/>
          <w:attr w:name="Day" w:val="15"/>
          <w:attr w:name="Month" w:val="5"/>
        </w:smartTagPr>
        <w:r w:rsidRPr="00BA3FA2">
          <w:rPr>
            <w:rFonts w:ascii="Arial" w:hAnsi="Arial" w:cs="Arial"/>
            <w:b/>
            <w:bCs/>
          </w:rPr>
          <w:t>May 15, 2009</w:t>
        </w:r>
      </w:smartTag>
      <w:r w:rsidRPr="00BA3FA2">
        <w:rPr>
          <w:rFonts w:ascii="Arial" w:hAnsi="Arial" w:cs="Arial"/>
          <w:b/>
          <w:bCs/>
        </w:rPr>
        <w:t xml:space="preserve"> – Advice No. 09-02 Cancellation of Tariff Schedule No. 108 – Energy Star New Homes Incentive Program</w:t>
      </w:r>
    </w:p>
    <w:p w:rsidR="008C6BDB" w:rsidRDefault="008C6BDB">
      <w:pPr>
        <w:jc w:val="both"/>
        <w:rPr>
          <w:rFonts w:ascii="Arial" w:hAnsi="Arial" w:cs="Arial"/>
        </w:rPr>
      </w:pPr>
    </w:p>
    <w:p w:rsidR="008C6BDB" w:rsidRDefault="008C6BDB">
      <w:pPr>
        <w:jc w:val="both"/>
        <w:rPr>
          <w:rFonts w:ascii="Arial" w:hAnsi="Arial" w:cs="Arial"/>
        </w:rPr>
      </w:pPr>
      <w:r>
        <w:rPr>
          <w:rFonts w:ascii="Arial" w:hAnsi="Arial" w:cs="Arial"/>
        </w:rPr>
        <w:t xml:space="preserve">PacifiCorp requested cancellation of the Energy Star New Homes program in </w:t>
      </w:r>
      <w:smartTag w:uri="urn:schemas-microsoft-com:office:smarttags" w:element="place">
        <w:smartTag w:uri="urn:schemas-microsoft-com:office:smarttags" w:element="State">
          <w:r>
            <w:rPr>
              <w:rFonts w:ascii="Arial" w:hAnsi="Arial" w:cs="Arial"/>
            </w:rPr>
            <w:t>Washington</w:t>
          </w:r>
        </w:smartTag>
      </w:smartTag>
      <w:r>
        <w:rPr>
          <w:rFonts w:ascii="Arial" w:hAnsi="Arial" w:cs="Arial"/>
        </w:rPr>
        <w:t xml:space="preserve">.  The program had failed to meet initial performance projections between 2005 and 2007.  Potential modifications to the program had been discussed with the DSM Advisory Group in 2007 and 2008.  Key elements of the Energy Star New Homes program were incorporated into the Home Energy Savings program (as noted in advisory group communications detailed above).  Those changes became effective on </w:t>
      </w:r>
      <w:smartTag w:uri="urn:schemas-microsoft-com:office:smarttags" w:element="date">
        <w:smartTagPr>
          <w:attr w:name="Year" w:val="2009"/>
          <w:attr w:name="Day" w:val="1"/>
          <w:attr w:name="Month" w:val="4"/>
        </w:smartTagPr>
        <w:r>
          <w:rPr>
            <w:rFonts w:ascii="Arial" w:hAnsi="Arial" w:cs="Arial"/>
          </w:rPr>
          <w:t>April 1, 2009</w:t>
        </w:r>
      </w:smartTag>
      <w:r>
        <w:rPr>
          <w:rFonts w:ascii="Arial" w:hAnsi="Arial" w:cs="Arial"/>
        </w:rPr>
        <w:t xml:space="preserve">.  This request was to cancel Schedule 108 to reflect the program termination.  The request was approved on </w:t>
      </w:r>
      <w:smartTag w:uri="urn:schemas-microsoft-com:office:smarttags" w:element="date">
        <w:smartTagPr>
          <w:attr w:name="Year" w:val="2009"/>
          <w:attr w:name="Day" w:val="11"/>
          <w:attr w:name="Month" w:val="6"/>
        </w:smartTagPr>
        <w:r>
          <w:rPr>
            <w:rFonts w:ascii="Arial" w:hAnsi="Arial" w:cs="Arial"/>
          </w:rPr>
          <w:t>June 11, 2009</w:t>
        </w:r>
      </w:smartTag>
      <w:r>
        <w:rPr>
          <w:rFonts w:ascii="Arial" w:hAnsi="Arial" w:cs="Arial"/>
        </w:rPr>
        <w:t xml:space="preserve"> and became effective on </w:t>
      </w:r>
      <w:smartTag w:uri="urn:schemas-microsoft-com:office:smarttags" w:element="date">
        <w:smartTagPr>
          <w:attr w:name="Year" w:val="2009"/>
          <w:attr w:name="Day" w:val="17"/>
          <w:attr w:name="Month" w:val="6"/>
        </w:smartTagPr>
        <w:r>
          <w:rPr>
            <w:rFonts w:ascii="Arial" w:hAnsi="Arial" w:cs="Arial"/>
          </w:rPr>
          <w:t>June 17, 2009</w:t>
        </w:r>
      </w:smartTag>
      <w:r>
        <w:rPr>
          <w:rFonts w:ascii="Arial" w:hAnsi="Arial" w:cs="Arial"/>
        </w:rPr>
        <w:t>.</w:t>
      </w:r>
    </w:p>
    <w:p w:rsidR="008C6BDB" w:rsidRDefault="008C6BDB">
      <w:pPr>
        <w:jc w:val="both"/>
        <w:rPr>
          <w:rFonts w:ascii="Arial" w:hAnsi="Arial" w:cs="Arial"/>
          <w:highlight w:val="yellow"/>
        </w:rPr>
      </w:pPr>
    </w:p>
    <w:p w:rsidR="008C6BDB" w:rsidRDefault="008C6BDB">
      <w:pPr>
        <w:jc w:val="both"/>
        <w:rPr>
          <w:rFonts w:ascii="Arial" w:hAnsi="Arial" w:cs="Arial"/>
          <w:b/>
          <w:bCs/>
        </w:rPr>
      </w:pPr>
      <w:smartTag w:uri="urn:schemas-microsoft-com:office:smarttags" w:element="date">
        <w:smartTagPr>
          <w:attr w:name="Year" w:val="2009"/>
          <w:attr w:name="Day" w:val="13"/>
          <w:attr w:name="Month" w:val="8"/>
        </w:smartTagPr>
        <w:r>
          <w:rPr>
            <w:rFonts w:ascii="Arial" w:hAnsi="Arial" w:cs="Arial"/>
            <w:b/>
            <w:bCs/>
          </w:rPr>
          <w:t>August 13</w:t>
        </w:r>
        <w:r w:rsidRPr="00BA3FA2">
          <w:rPr>
            <w:rFonts w:ascii="Arial" w:hAnsi="Arial" w:cs="Arial"/>
            <w:b/>
            <w:bCs/>
          </w:rPr>
          <w:t>, 2009</w:t>
        </w:r>
      </w:smartTag>
      <w:r w:rsidRPr="00BA3FA2">
        <w:rPr>
          <w:rFonts w:ascii="Arial" w:hAnsi="Arial" w:cs="Arial"/>
          <w:b/>
          <w:bCs/>
        </w:rPr>
        <w:t xml:space="preserve"> - </w:t>
      </w:r>
      <w:r>
        <w:rPr>
          <w:rFonts w:ascii="Arial" w:hAnsi="Arial" w:cs="Arial"/>
          <w:b/>
          <w:bCs/>
        </w:rPr>
        <w:t>PacifiCorp</w:t>
      </w:r>
      <w:r w:rsidRPr="00BA3FA2">
        <w:rPr>
          <w:rFonts w:ascii="Arial" w:hAnsi="Arial" w:cs="Arial"/>
          <w:b/>
          <w:bCs/>
        </w:rPr>
        <w:t xml:space="preserve"> </w:t>
      </w:r>
      <w:smartTag w:uri="urn:schemas-microsoft-com:office:smarttags" w:element="place">
        <w:smartTag w:uri="urn:schemas-microsoft-com:office:smarttags" w:element="State">
          <w:r w:rsidRPr="00BA3FA2">
            <w:rPr>
              <w:rFonts w:ascii="Arial" w:hAnsi="Arial" w:cs="Arial"/>
              <w:b/>
              <w:bCs/>
            </w:rPr>
            <w:t>Washington</w:t>
          </w:r>
        </w:smartTag>
      </w:smartTag>
      <w:r w:rsidRPr="00BA3FA2">
        <w:rPr>
          <w:rFonts w:ascii="Arial" w:hAnsi="Arial" w:cs="Arial"/>
          <w:b/>
          <w:bCs/>
        </w:rPr>
        <w:t xml:space="preserve"> DSM </w:t>
      </w:r>
      <w:r>
        <w:rPr>
          <w:rFonts w:ascii="Arial" w:hAnsi="Arial" w:cs="Arial"/>
          <w:b/>
          <w:bCs/>
        </w:rPr>
        <w:t>Semi-</w:t>
      </w:r>
      <w:r w:rsidRPr="00BA3FA2">
        <w:rPr>
          <w:rFonts w:ascii="Arial" w:hAnsi="Arial" w:cs="Arial"/>
          <w:b/>
          <w:bCs/>
        </w:rPr>
        <w:t xml:space="preserve">Annual report.  </w:t>
      </w:r>
    </w:p>
    <w:p w:rsidR="008C6BDB" w:rsidRDefault="008C6BDB">
      <w:pPr>
        <w:jc w:val="both"/>
        <w:rPr>
          <w:rFonts w:ascii="Arial" w:hAnsi="Arial" w:cs="Arial"/>
          <w:b/>
          <w:bCs/>
        </w:rPr>
      </w:pPr>
    </w:p>
    <w:p w:rsidR="008C6BDB" w:rsidRDefault="008C6BDB">
      <w:pPr>
        <w:jc w:val="both"/>
        <w:rPr>
          <w:rFonts w:ascii="Arial" w:hAnsi="Arial" w:cs="Arial"/>
        </w:rPr>
      </w:pPr>
      <w:r>
        <w:rPr>
          <w:rFonts w:ascii="Arial" w:hAnsi="Arial" w:cs="Arial"/>
        </w:rPr>
        <w:t>PacifiCorp</w:t>
      </w:r>
      <w:r w:rsidRPr="000E05BE">
        <w:rPr>
          <w:rFonts w:ascii="Arial" w:hAnsi="Arial" w:cs="Arial"/>
        </w:rPr>
        <w:t xml:space="preserve"> provided its </w:t>
      </w:r>
      <w:r>
        <w:rPr>
          <w:rFonts w:ascii="Arial" w:hAnsi="Arial" w:cs="Arial"/>
        </w:rPr>
        <w:t>semi-</w:t>
      </w:r>
      <w:r w:rsidRPr="000E05BE">
        <w:rPr>
          <w:rFonts w:ascii="Arial" w:hAnsi="Arial" w:cs="Arial"/>
        </w:rPr>
        <w:t xml:space="preserve">annual review of </w:t>
      </w:r>
      <w:r>
        <w:rPr>
          <w:rFonts w:ascii="Arial" w:hAnsi="Arial" w:cs="Arial"/>
        </w:rPr>
        <w:t xml:space="preserve">the System Benefits Charge account for </w:t>
      </w:r>
      <w:smartTag w:uri="urn:schemas-microsoft-com:office:smarttags" w:element="date">
        <w:smartTagPr>
          <w:attr w:name="Year" w:val="2009"/>
          <w:attr w:name="Day" w:val="1"/>
          <w:attr w:name="Month" w:val="1"/>
        </w:smartTagPr>
        <w:r>
          <w:rPr>
            <w:rFonts w:ascii="Arial" w:hAnsi="Arial" w:cs="Arial"/>
          </w:rPr>
          <w:t>January 1, 2009</w:t>
        </w:r>
      </w:smartTag>
      <w:r>
        <w:rPr>
          <w:rFonts w:ascii="Arial" w:hAnsi="Arial" w:cs="Arial"/>
        </w:rPr>
        <w:t xml:space="preserve"> – </w:t>
      </w:r>
      <w:smartTag w:uri="urn:schemas-microsoft-com:office:smarttags" w:element="date">
        <w:smartTagPr>
          <w:attr w:name="Year" w:val="2009"/>
          <w:attr w:name="Day" w:val="30"/>
          <w:attr w:name="Month" w:val="6"/>
        </w:smartTagPr>
        <w:r>
          <w:rPr>
            <w:rFonts w:ascii="Arial" w:hAnsi="Arial" w:cs="Arial"/>
          </w:rPr>
          <w:t>June 30, 2009</w:t>
        </w:r>
      </w:smartTag>
      <w:r w:rsidRPr="000E05BE">
        <w:rPr>
          <w:rFonts w:ascii="Arial" w:hAnsi="Arial" w:cs="Arial"/>
        </w:rPr>
        <w:t xml:space="preserve">. </w:t>
      </w:r>
    </w:p>
    <w:p w:rsidR="008C6BDB" w:rsidRDefault="008C6BDB">
      <w:pPr>
        <w:jc w:val="both"/>
        <w:rPr>
          <w:rFonts w:ascii="Arial" w:hAnsi="Arial" w:cs="Arial"/>
          <w:b/>
          <w:bCs/>
        </w:rPr>
      </w:pPr>
    </w:p>
    <w:p w:rsidR="008C6BDB" w:rsidRDefault="008C6BDB">
      <w:pPr>
        <w:jc w:val="both"/>
        <w:rPr>
          <w:rFonts w:ascii="Arial" w:hAnsi="Arial" w:cs="Arial"/>
          <w:b/>
          <w:bCs/>
        </w:rPr>
      </w:pPr>
      <w:r w:rsidRPr="00BA3FA2">
        <w:rPr>
          <w:rFonts w:ascii="Arial" w:hAnsi="Arial" w:cs="Arial"/>
          <w:b/>
          <w:bCs/>
        </w:rPr>
        <w:t>September 18, 2009 – Advice No. 09-04 Proposed Changes to Schedule 115 and Schedule 125 (FinAnswer Express and Energy FinAnswer programs)</w:t>
      </w:r>
    </w:p>
    <w:p w:rsidR="008C6BDB" w:rsidRDefault="008C6BDB">
      <w:pPr>
        <w:jc w:val="both"/>
        <w:rPr>
          <w:rFonts w:ascii="Arial" w:hAnsi="Arial" w:cs="Arial"/>
        </w:rPr>
      </w:pPr>
    </w:p>
    <w:p w:rsidR="008C6BDB" w:rsidRDefault="008C6BDB">
      <w:pPr>
        <w:jc w:val="both"/>
        <w:rPr>
          <w:rFonts w:ascii="Arial" w:hAnsi="Arial" w:cs="Arial"/>
        </w:rPr>
      </w:pPr>
      <w:r>
        <w:rPr>
          <w:rFonts w:ascii="Arial" w:hAnsi="Arial" w:cs="Arial"/>
        </w:rPr>
        <w:t>PacifiCorp requested modifications to Schedule 115 (FinAnswer Express program) and Schedule 125 (Energy FinAnswer program).</w:t>
      </w:r>
    </w:p>
    <w:p w:rsidR="008C6BDB" w:rsidRDefault="008C6BDB">
      <w:pPr>
        <w:jc w:val="both"/>
        <w:rPr>
          <w:rFonts w:ascii="Arial" w:hAnsi="Arial" w:cs="Arial"/>
        </w:rPr>
      </w:pPr>
    </w:p>
    <w:p w:rsidR="008C6BDB" w:rsidRDefault="008C6BDB">
      <w:pPr>
        <w:jc w:val="both"/>
        <w:rPr>
          <w:rFonts w:ascii="Arial" w:hAnsi="Arial" w:cs="Arial"/>
        </w:rPr>
      </w:pPr>
      <w:r>
        <w:rPr>
          <w:rFonts w:ascii="Arial" w:hAnsi="Arial" w:cs="Arial"/>
        </w:rPr>
        <w:t xml:space="preserve">The primary changes to Schedule 115 – FinAnswer Express program included: </w:t>
      </w:r>
    </w:p>
    <w:p w:rsidR="008C6BDB" w:rsidRDefault="008C6BDB">
      <w:pPr>
        <w:pStyle w:val="ListParagraph"/>
        <w:numPr>
          <w:ilvl w:val="0"/>
          <w:numId w:val="21"/>
        </w:numPr>
        <w:jc w:val="both"/>
        <w:rPr>
          <w:rFonts w:ascii="Arial" w:hAnsi="Arial" w:cs="Arial"/>
        </w:rPr>
      </w:pPr>
      <w:r>
        <w:rPr>
          <w:rFonts w:ascii="Arial" w:hAnsi="Arial" w:cs="Arial"/>
        </w:rPr>
        <w:t xml:space="preserve">Addition of </w:t>
      </w:r>
      <w:r w:rsidRPr="00077366">
        <w:rPr>
          <w:rFonts w:ascii="Arial" w:hAnsi="Arial" w:cs="Arial"/>
        </w:rPr>
        <w:t xml:space="preserve">new measure categories (Food service, Appliances, Irrigation, </w:t>
      </w:r>
      <w:r>
        <w:rPr>
          <w:rFonts w:ascii="Arial" w:hAnsi="Arial" w:cs="Arial"/>
        </w:rPr>
        <w:t>Dairy/</w:t>
      </w:r>
      <w:r w:rsidRPr="00077366">
        <w:rPr>
          <w:rFonts w:ascii="Arial" w:hAnsi="Arial" w:cs="Arial"/>
        </w:rPr>
        <w:t>Farm Equipment, and Compressed Air)</w:t>
      </w:r>
    </w:p>
    <w:p w:rsidR="008C6BDB" w:rsidRDefault="008C6BDB">
      <w:pPr>
        <w:pStyle w:val="ListParagraph"/>
        <w:numPr>
          <w:ilvl w:val="0"/>
          <w:numId w:val="21"/>
        </w:numPr>
        <w:jc w:val="both"/>
        <w:rPr>
          <w:rFonts w:ascii="Arial" w:hAnsi="Arial" w:cs="Arial"/>
        </w:rPr>
      </w:pPr>
      <w:r>
        <w:rPr>
          <w:rFonts w:ascii="Arial" w:hAnsi="Arial" w:cs="Arial"/>
        </w:rPr>
        <w:t>Addition of new measures to existing categories (Lighting and Lighting Controls, Motors, HVAC, Building Envelope, and Network PC Power Management)</w:t>
      </w:r>
    </w:p>
    <w:p w:rsidR="008C6BDB" w:rsidRDefault="008C6BDB">
      <w:pPr>
        <w:pStyle w:val="ListParagraph"/>
        <w:numPr>
          <w:ilvl w:val="0"/>
          <w:numId w:val="21"/>
        </w:numPr>
        <w:jc w:val="both"/>
        <w:rPr>
          <w:rFonts w:ascii="Arial" w:hAnsi="Arial" w:cs="Arial"/>
        </w:rPr>
      </w:pPr>
      <w:r>
        <w:rPr>
          <w:rFonts w:ascii="Arial" w:hAnsi="Arial" w:cs="Arial"/>
        </w:rPr>
        <w:t>Modifications to incentive levels for certain measures (mainly lighting and the custom incentive)</w:t>
      </w:r>
    </w:p>
    <w:p w:rsidR="00215976" w:rsidRDefault="00215976">
      <w:pPr>
        <w:pStyle w:val="ListParagraph"/>
        <w:numPr>
          <w:ilvl w:val="0"/>
          <w:numId w:val="21"/>
        </w:numPr>
        <w:jc w:val="both"/>
        <w:rPr>
          <w:rFonts w:ascii="Arial" w:hAnsi="Arial" w:cs="Arial"/>
        </w:rPr>
      </w:pPr>
      <w:r>
        <w:rPr>
          <w:rFonts w:ascii="Arial" w:hAnsi="Arial" w:cs="Arial"/>
        </w:rPr>
        <w:t xml:space="preserve">Addition of Schedules 33, 47T, and 53 to the list of eligible rate schedules </w:t>
      </w:r>
    </w:p>
    <w:p w:rsidR="008C6BDB" w:rsidRDefault="008C6BDB">
      <w:pPr>
        <w:jc w:val="both"/>
        <w:rPr>
          <w:rFonts w:ascii="Arial" w:hAnsi="Arial" w:cs="Arial"/>
        </w:rPr>
      </w:pPr>
    </w:p>
    <w:p w:rsidR="008C6BDB" w:rsidRDefault="008C6BDB">
      <w:pPr>
        <w:jc w:val="both"/>
        <w:rPr>
          <w:rFonts w:ascii="Arial" w:hAnsi="Arial" w:cs="Arial"/>
        </w:rPr>
      </w:pPr>
      <w:r w:rsidRPr="00BA3FA2">
        <w:rPr>
          <w:rFonts w:ascii="Arial" w:hAnsi="Arial" w:cs="Arial"/>
        </w:rPr>
        <w:t xml:space="preserve">The primary </w:t>
      </w:r>
      <w:r>
        <w:rPr>
          <w:rFonts w:ascii="Arial" w:hAnsi="Arial" w:cs="Arial"/>
        </w:rPr>
        <w:t>c</w:t>
      </w:r>
      <w:r w:rsidRPr="00BA3FA2">
        <w:rPr>
          <w:rFonts w:ascii="Arial" w:hAnsi="Arial" w:cs="Arial"/>
        </w:rPr>
        <w:t>hanges to Schedule 125 – Energy FinAnswer program include</w:t>
      </w:r>
      <w:r w:rsidR="00302C12">
        <w:rPr>
          <w:rFonts w:ascii="Arial" w:hAnsi="Arial" w:cs="Arial"/>
        </w:rPr>
        <w:t>d</w:t>
      </w:r>
      <w:r w:rsidRPr="00BA3FA2">
        <w:rPr>
          <w:rFonts w:ascii="Arial" w:hAnsi="Arial" w:cs="Arial"/>
        </w:rPr>
        <w:t>:</w:t>
      </w:r>
    </w:p>
    <w:p w:rsidR="008C6BDB" w:rsidRDefault="008C6BDB">
      <w:pPr>
        <w:pStyle w:val="ListParagraph"/>
        <w:numPr>
          <w:ilvl w:val="0"/>
          <w:numId w:val="22"/>
        </w:numPr>
        <w:jc w:val="both"/>
        <w:rPr>
          <w:rFonts w:ascii="Arial" w:hAnsi="Arial" w:cs="Arial"/>
        </w:rPr>
      </w:pPr>
      <w:r>
        <w:rPr>
          <w:rFonts w:ascii="Arial" w:hAnsi="Arial" w:cs="Arial"/>
        </w:rPr>
        <w:t>An increase in incentive levels from 12 cents/kWh + $50/KW with a cap of 50% of project costs to 15 cents/kWh + $50/KW with a Cap of 60% of project costs</w:t>
      </w:r>
      <w:r>
        <w:rPr>
          <w:rStyle w:val="FootnoteReference"/>
          <w:rFonts w:ascii="Arial" w:hAnsi="Arial" w:cs="Arial"/>
        </w:rPr>
        <w:footnoteReference w:id="2"/>
      </w:r>
      <w:r>
        <w:rPr>
          <w:rFonts w:ascii="Arial" w:hAnsi="Arial" w:cs="Arial"/>
        </w:rPr>
        <w:t xml:space="preserve">. </w:t>
      </w:r>
    </w:p>
    <w:p w:rsidR="008C6BDB" w:rsidRDefault="008C6BDB">
      <w:pPr>
        <w:pStyle w:val="ListParagraph"/>
        <w:numPr>
          <w:ilvl w:val="0"/>
          <w:numId w:val="22"/>
        </w:numPr>
        <w:jc w:val="both"/>
        <w:rPr>
          <w:rFonts w:ascii="Arial" w:hAnsi="Arial" w:cs="Arial"/>
        </w:rPr>
      </w:pPr>
      <w:r>
        <w:rPr>
          <w:rFonts w:ascii="Arial" w:hAnsi="Arial" w:cs="Arial"/>
        </w:rPr>
        <w:t xml:space="preserve">Removal of 75% lighting savings cap for design assistance projects for new construction/major renovation </w:t>
      </w:r>
    </w:p>
    <w:p w:rsidR="008C6BDB" w:rsidRDefault="008C6BDB">
      <w:pPr>
        <w:pStyle w:val="ListParagraph"/>
        <w:numPr>
          <w:ilvl w:val="0"/>
          <w:numId w:val="22"/>
        </w:numPr>
        <w:jc w:val="both"/>
        <w:rPr>
          <w:rFonts w:ascii="Arial" w:hAnsi="Arial" w:cs="Arial"/>
        </w:rPr>
      </w:pPr>
      <w:r>
        <w:rPr>
          <w:rFonts w:ascii="Arial" w:hAnsi="Arial" w:cs="Arial"/>
        </w:rPr>
        <w:t xml:space="preserve">Addition of </w:t>
      </w:r>
      <w:r w:rsidR="00215976">
        <w:rPr>
          <w:rFonts w:ascii="Arial" w:hAnsi="Arial" w:cs="Arial"/>
        </w:rPr>
        <w:t xml:space="preserve">Schedules </w:t>
      </w:r>
      <w:r>
        <w:rPr>
          <w:rFonts w:ascii="Arial" w:hAnsi="Arial" w:cs="Arial"/>
        </w:rPr>
        <w:t xml:space="preserve">33 and 47T to </w:t>
      </w:r>
      <w:r w:rsidR="00215976">
        <w:rPr>
          <w:rFonts w:ascii="Arial" w:hAnsi="Arial" w:cs="Arial"/>
        </w:rPr>
        <w:t>the list of eligible rate schedules</w:t>
      </w:r>
    </w:p>
    <w:p w:rsidR="008C6BDB" w:rsidRDefault="008C6BDB">
      <w:pPr>
        <w:pStyle w:val="ListParagraph"/>
        <w:numPr>
          <w:ilvl w:val="0"/>
          <w:numId w:val="22"/>
        </w:numPr>
        <w:jc w:val="both"/>
        <w:rPr>
          <w:rFonts w:ascii="Arial" w:hAnsi="Arial" w:cs="Arial"/>
        </w:rPr>
      </w:pPr>
      <w:r>
        <w:rPr>
          <w:rFonts w:ascii="Arial" w:hAnsi="Arial" w:cs="Arial"/>
        </w:rPr>
        <w:t>Addition to definition of Energy Efficiency Measure (EEM) Cost to better coordinate with incentives offered by natural gas companies</w:t>
      </w:r>
    </w:p>
    <w:p w:rsidR="008C6BDB" w:rsidRDefault="008C6BDB">
      <w:pPr>
        <w:jc w:val="both"/>
        <w:rPr>
          <w:rFonts w:ascii="Arial" w:hAnsi="Arial" w:cs="Arial"/>
        </w:rPr>
      </w:pPr>
    </w:p>
    <w:p w:rsidR="008C6BDB" w:rsidRDefault="008C6BDB">
      <w:pPr>
        <w:jc w:val="both"/>
        <w:rPr>
          <w:rFonts w:ascii="Arial" w:hAnsi="Arial" w:cs="Arial"/>
        </w:rPr>
      </w:pPr>
      <w:r>
        <w:rPr>
          <w:rFonts w:ascii="Arial" w:hAnsi="Arial" w:cs="Arial"/>
        </w:rPr>
        <w:t xml:space="preserve">The changes were approved by the Commission on </w:t>
      </w:r>
      <w:smartTag w:uri="urn:schemas-microsoft-com:office:smarttags" w:element="date">
        <w:smartTagPr>
          <w:attr w:name="Year" w:val="2009"/>
          <w:attr w:name="Day" w:val="29"/>
          <w:attr w:name="Month" w:val="10"/>
        </w:smartTagPr>
        <w:r>
          <w:rPr>
            <w:rFonts w:ascii="Arial" w:hAnsi="Arial" w:cs="Arial"/>
          </w:rPr>
          <w:t>October 29, 2009</w:t>
        </w:r>
      </w:smartTag>
      <w:r>
        <w:rPr>
          <w:rFonts w:ascii="Arial" w:hAnsi="Arial" w:cs="Arial"/>
        </w:rPr>
        <w:t xml:space="preserve"> and became effective on </w:t>
      </w:r>
      <w:smartTag w:uri="urn:schemas-microsoft-com:office:smarttags" w:element="date">
        <w:smartTagPr>
          <w:attr w:name="Year" w:val="2009"/>
          <w:attr w:name="Day" w:val="30"/>
          <w:attr w:name="Month" w:val="10"/>
        </w:smartTagPr>
        <w:r>
          <w:rPr>
            <w:rFonts w:ascii="Arial" w:hAnsi="Arial" w:cs="Arial"/>
          </w:rPr>
          <w:t>October 30, 2009</w:t>
        </w:r>
      </w:smartTag>
      <w:r>
        <w:rPr>
          <w:rFonts w:ascii="Arial" w:hAnsi="Arial" w:cs="Arial"/>
        </w:rPr>
        <w:t xml:space="preserve">. </w:t>
      </w:r>
    </w:p>
    <w:p w:rsidR="008C6BDB" w:rsidRDefault="008C6BDB">
      <w:pPr>
        <w:jc w:val="both"/>
        <w:rPr>
          <w:rFonts w:ascii="Arial" w:hAnsi="Arial" w:cs="Arial"/>
        </w:rPr>
      </w:pPr>
    </w:p>
    <w:p w:rsidR="008C6BDB" w:rsidRDefault="008C6BDB">
      <w:pPr>
        <w:jc w:val="both"/>
        <w:rPr>
          <w:rFonts w:ascii="Arial" w:hAnsi="Arial" w:cs="Arial"/>
          <w:b/>
          <w:bCs/>
        </w:rPr>
      </w:pPr>
      <w:smartTag w:uri="urn:schemas-microsoft-com:office:smarttags" w:element="date">
        <w:smartTagPr>
          <w:attr w:name="Year" w:val="2009"/>
          <w:attr w:name="Day" w:val="18"/>
          <w:attr w:name="Month" w:val="9"/>
        </w:smartTagPr>
        <w:r w:rsidRPr="00BA3FA2">
          <w:rPr>
            <w:rFonts w:ascii="Arial" w:hAnsi="Arial" w:cs="Arial"/>
            <w:b/>
            <w:bCs/>
          </w:rPr>
          <w:t>September 18, 2009</w:t>
        </w:r>
      </w:smartTag>
      <w:r w:rsidRPr="00BA3FA2">
        <w:rPr>
          <w:rFonts w:ascii="Arial" w:hAnsi="Arial" w:cs="Arial"/>
          <w:b/>
          <w:bCs/>
        </w:rPr>
        <w:t xml:space="preserve"> – Advice No. 09-05 Proposed Increase to Schedule 191 – System Benefit Charge Adjustment</w:t>
      </w:r>
    </w:p>
    <w:p w:rsidR="008C6BDB" w:rsidRDefault="008C6BDB">
      <w:pPr>
        <w:jc w:val="both"/>
        <w:rPr>
          <w:rFonts w:ascii="Arial" w:hAnsi="Arial" w:cs="Arial"/>
        </w:rPr>
      </w:pPr>
    </w:p>
    <w:p w:rsidR="008C6BDB" w:rsidRPr="0062137B" w:rsidRDefault="008C6BDB">
      <w:pPr>
        <w:jc w:val="both"/>
        <w:rPr>
          <w:rFonts w:ascii="Arial" w:hAnsi="Arial" w:cs="Arial"/>
        </w:rPr>
      </w:pPr>
      <w:r w:rsidRPr="0062137B">
        <w:rPr>
          <w:rFonts w:ascii="Arial" w:hAnsi="Arial" w:cs="Arial"/>
        </w:rPr>
        <w:t>PacifiCorp requested an increase in the System Benefit Charge from approximately $4.5 million (1.7% of revenue) on an annual basis to approximately $8.8 million annually (3.5% of revenue). The adjustment was requested to more closely match the rate of energy efficiency acquisitions, to reduce the uncollected balance in the Schedule 191 balancing account, and to recover increased expenditures for the Energy FinAnswer and FinAnswer Express programs driven by the proposed changes in Advice 09-04.</w:t>
      </w:r>
    </w:p>
    <w:p w:rsidR="008C6BDB" w:rsidRPr="0062137B" w:rsidRDefault="008C6BDB">
      <w:pPr>
        <w:jc w:val="both"/>
        <w:rPr>
          <w:rFonts w:ascii="Arial" w:hAnsi="Arial" w:cs="Arial"/>
        </w:rPr>
      </w:pPr>
      <w:r w:rsidRPr="0062137B">
        <w:rPr>
          <w:rFonts w:ascii="Arial" w:hAnsi="Arial" w:cs="Arial"/>
        </w:rPr>
        <w:t xml:space="preserve">The filing was approved by the Commission on October 29, 2009 with an effective date of October 30, 2009. </w:t>
      </w:r>
    </w:p>
    <w:p w:rsidR="008C6BDB" w:rsidRPr="0062137B" w:rsidRDefault="008C6BDB">
      <w:pPr>
        <w:jc w:val="both"/>
        <w:rPr>
          <w:rFonts w:ascii="Arial" w:hAnsi="Arial" w:cs="Arial"/>
        </w:rPr>
      </w:pPr>
    </w:p>
    <w:p w:rsidR="008C6BDB" w:rsidRPr="0062137B" w:rsidRDefault="008C6BDB">
      <w:pPr>
        <w:jc w:val="both"/>
        <w:rPr>
          <w:rFonts w:ascii="Arial" w:hAnsi="Arial" w:cs="Arial"/>
          <w:b/>
          <w:bCs/>
        </w:rPr>
      </w:pPr>
      <w:r w:rsidRPr="002810D1">
        <w:rPr>
          <w:rFonts w:ascii="Arial" w:hAnsi="Arial" w:cs="Arial"/>
          <w:b/>
          <w:bCs/>
        </w:rPr>
        <w:t>December 31, 2009 – ten-year conservation potential in compliance with WAC 480-109</w:t>
      </w:r>
    </w:p>
    <w:p w:rsidR="008C6BDB" w:rsidRDefault="008C6BDB" w:rsidP="000A204B">
      <w:pPr>
        <w:rPr>
          <w:rFonts w:ascii="Arial" w:hAnsi="Arial" w:cs="Arial"/>
        </w:rPr>
      </w:pPr>
    </w:p>
    <w:p w:rsidR="008C6BDB" w:rsidRPr="0062137B" w:rsidRDefault="008C6BDB" w:rsidP="000A204B">
      <w:pPr>
        <w:rPr>
          <w:rFonts w:ascii="Arial" w:hAnsi="Arial" w:cs="Arial"/>
        </w:rPr>
      </w:pPr>
      <w:r w:rsidRPr="0062137B">
        <w:rPr>
          <w:rFonts w:ascii="Arial" w:hAnsi="Arial" w:cs="Arial"/>
        </w:rPr>
        <w:t>PacifiCorp projected its ten-year conservation potential for the period of 2010 through 2019.   The projection was 47.2 average megawatts.</w:t>
      </w:r>
    </w:p>
    <w:p w:rsidR="00C27914" w:rsidRDefault="008C6BDB" w:rsidP="00413179">
      <w:pPr>
        <w:pStyle w:val="Heading1"/>
        <w:jc w:val="both"/>
      </w:pPr>
      <w:r>
        <w:br w:type="page"/>
      </w:r>
      <w:bookmarkStart w:id="6" w:name="_Toc234046347"/>
      <w:bookmarkStart w:id="7" w:name="_Toc253471335"/>
      <w:r w:rsidR="00C27914" w:rsidRPr="00413179">
        <w:t xml:space="preserve">2009 Performance </w:t>
      </w:r>
      <w:bookmarkEnd w:id="6"/>
      <w:r w:rsidR="00413179">
        <w:t>and Activity</w:t>
      </w:r>
      <w:bookmarkEnd w:id="7"/>
    </w:p>
    <w:p w:rsidR="008C6BDB" w:rsidRDefault="008C6BDB" w:rsidP="002810D1">
      <w:pPr>
        <w:jc w:val="both"/>
        <w:rPr>
          <w:rFonts w:ascii="Arial" w:hAnsi="Arial" w:cs="Arial"/>
        </w:rPr>
      </w:pPr>
    </w:p>
    <w:p w:rsidR="008C6BDB" w:rsidRDefault="008C6BDB" w:rsidP="002810D1">
      <w:pPr>
        <w:jc w:val="both"/>
        <w:rPr>
          <w:rFonts w:ascii="Arial" w:hAnsi="Arial" w:cs="Arial"/>
        </w:rPr>
      </w:pPr>
      <w:r>
        <w:rPr>
          <w:rFonts w:ascii="Arial" w:hAnsi="Arial" w:cs="Arial"/>
        </w:rPr>
        <w:t>In 2009</w:t>
      </w:r>
      <w:r w:rsidRPr="00B17F48">
        <w:rPr>
          <w:rFonts w:ascii="Arial" w:hAnsi="Arial" w:cs="Arial"/>
        </w:rPr>
        <w:t>, PacifiCorp achieved total</w:t>
      </w:r>
      <w:r>
        <w:rPr>
          <w:rFonts w:ascii="Arial" w:hAnsi="Arial" w:cs="Arial"/>
        </w:rPr>
        <w:t xml:space="preserve"> savings</w:t>
      </w:r>
      <w:r w:rsidRPr="00B17F48">
        <w:rPr>
          <w:rFonts w:ascii="Arial" w:hAnsi="Arial" w:cs="Arial"/>
        </w:rPr>
        <w:t xml:space="preserve"> of</w:t>
      </w:r>
      <w:r>
        <w:rPr>
          <w:rFonts w:ascii="Arial" w:hAnsi="Arial" w:cs="Arial"/>
          <w:b/>
          <w:bCs/>
        </w:rPr>
        <w:t xml:space="preserve"> </w:t>
      </w:r>
      <w:r>
        <w:rPr>
          <w:rFonts w:ascii="Arial" w:hAnsi="Arial" w:cs="Arial"/>
          <w:b/>
          <w:bCs/>
          <w:color w:val="000000"/>
        </w:rPr>
        <w:t>41,997,602</w:t>
      </w:r>
      <w:r w:rsidRPr="00B17F48">
        <w:rPr>
          <w:rFonts w:ascii="Arial" w:hAnsi="Arial" w:cs="Arial"/>
          <w:b/>
          <w:bCs/>
          <w:color w:val="000000"/>
        </w:rPr>
        <w:t xml:space="preserve"> </w:t>
      </w:r>
      <w:r w:rsidRPr="00B17F48">
        <w:rPr>
          <w:rFonts w:ascii="Arial" w:hAnsi="Arial" w:cs="Arial"/>
          <w:b/>
          <w:bCs/>
        </w:rPr>
        <w:t xml:space="preserve">kWh/year or </w:t>
      </w:r>
      <w:r>
        <w:rPr>
          <w:rFonts w:ascii="Arial" w:hAnsi="Arial" w:cs="Arial"/>
          <w:b/>
          <w:bCs/>
        </w:rPr>
        <w:t>4.79</w:t>
      </w:r>
      <w:r w:rsidRPr="00B17F48">
        <w:rPr>
          <w:rFonts w:ascii="Arial" w:hAnsi="Arial" w:cs="Arial"/>
          <w:b/>
          <w:bCs/>
        </w:rPr>
        <w:t xml:space="preserve"> </w:t>
      </w:r>
      <w:r>
        <w:rPr>
          <w:rFonts w:ascii="Arial" w:hAnsi="Arial" w:cs="Arial"/>
          <w:b/>
          <w:bCs/>
        </w:rPr>
        <w:t>aMW</w:t>
      </w:r>
      <w:r w:rsidRPr="00B17F48">
        <w:rPr>
          <w:rFonts w:ascii="Arial" w:hAnsi="Arial" w:cs="Arial"/>
          <w:b/>
          <w:bCs/>
        </w:rPr>
        <w:t xml:space="preserve"> </w:t>
      </w:r>
      <w:r w:rsidRPr="00B17F48">
        <w:rPr>
          <w:rFonts w:ascii="Arial" w:hAnsi="Arial" w:cs="Arial"/>
        </w:rPr>
        <w:t xml:space="preserve">in the State of Washington (at generation).  Table 1 below shows </w:t>
      </w:r>
      <w:r>
        <w:rPr>
          <w:rFonts w:ascii="Arial" w:hAnsi="Arial" w:cs="Arial"/>
        </w:rPr>
        <w:t>savings</w:t>
      </w:r>
      <w:r w:rsidRPr="00B17F48">
        <w:rPr>
          <w:rFonts w:ascii="Arial" w:hAnsi="Arial" w:cs="Arial"/>
        </w:rPr>
        <w:t xml:space="preserve"> by program</w:t>
      </w:r>
      <w:r>
        <w:rPr>
          <w:rFonts w:ascii="Arial" w:hAnsi="Arial" w:cs="Arial"/>
        </w:rPr>
        <w:t xml:space="preserve"> and by sector</w:t>
      </w:r>
      <w:r w:rsidRPr="00B17F48">
        <w:rPr>
          <w:rStyle w:val="FootnoteReference"/>
          <w:rFonts w:ascii="Arial" w:hAnsi="Arial" w:cs="Arial"/>
        </w:rPr>
        <w:footnoteReference w:id="3"/>
      </w:r>
      <w:r w:rsidRPr="00B17F48">
        <w:rPr>
          <w:rFonts w:ascii="Arial" w:hAnsi="Arial" w:cs="Arial"/>
        </w:rPr>
        <w:t>.</w:t>
      </w:r>
    </w:p>
    <w:p w:rsidR="008C6BDB" w:rsidRDefault="008C6BDB" w:rsidP="002810D1">
      <w:pPr>
        <w:jc w:val="both"/>
        <w:rPr>
          <w:rFonts w:ascii="Arial" w:hAnsi="Arial" w:cs="Arial"/>
        </w:rPr>
      </w:pPr>
    </w:p>
    <w:p w:rsidR="008C6BDB" w:rsidRDefault="008C6BDB">
      <w:pPr>
        <w:pStyle w:val="tabletitle"/>
        <w:rPr>
          <w:rFonts w:ascii="Arial" w:hAnsi="Arial" w:cs="Arial"/>
        </w:rPr>
      </w:pPr>
      <w:bookmarkStart w:id="8" w:name="_Toc233606217"/>
      <w:r w:rsidRPr="00B17F48">
        <w:rPr>
          <w:rFonts w:ascii="Arial" w:hAnsi="Arial" w:cs="Arial"/>
        </w:rPr>
        <w:t>Table 2 – 2009 Performance</w:t>
      </w:r>
      <w:bookmarkEnd w:id="8"/>
      <w:r>
        <w:rPr>
          <w:rStyle w:val="FootnoteReference"/>
          <w:rFonts w:ascii="Arial" w:hAnsi="Arial" w:cs="Arial"/>
        </w:rPr>
        <w:footnoteReference w:id="4"/>
      </w:r>
    </w:p>
    <w:p w:rsidR="00DD7048" w:rsidRDefault="00DD7048" w:rsidP="00DE5C48">
      <w:pPr>
        <w:rPr>
          <w:rFonts w:ascii="Arial" w:hAnsi="Arial" w:cs="Arial"/>
          <w:b/>
          <w:bCs/>
          <w:u w:val="single"/>
        </w:rPr>
      </w:pPr>
      <w:r w:rsidRPr="00DD7048">
        <w:rPr>
          <w:noProof/>
          <w:lang w:eastAsia="ko-KR"/>
        </w:rPr>
        <w:drawing>
          <wp:inline distT="0" distB="0" distL="0" distR="0">
            <wp:extent cx="5486400" cy="4475747"/>
            <wp:effectExtent l="1905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a:srcRect/>
                    <a:stretch>
                      <a:fillRect/>
                    </a:stretch>
                  </pic:blipFill>
                  <pic:spPr bwMode="auto">
                    <a:xfrm>
                      <a:off x="0" y="0"/>
                      <a:ext cx="5486400" cy="4475747"/>
                    </a:xfrm>
                    <a:prstGeom prst="rect">
                      <a:avLst/>
                    </a:prstGeom>
                    <a:noFill/>
                    <a:ln w="9525">
                      <a:noFill/>
                      <a:miter lim="800000"/>
                      <a:headEnd/>
                      <a:tailEnd/>
                    </a:ln>
                  </pic:spPr>
                </pic:pic>
              </a:graphicData>
            </a:graphic>
          </wp:inline>
        </w:drawing>
      </w:r>
    </w:p>
    <w:p w:rsidR="008C6BDB" w:rsidRPr="00DE5C48" w:rsidRDefault="008C6BDB" w:rsidP="00DE5C48">
      <w:pPr>
        <w:rPr>
          <w:rFonts w:ascii="Arial" w:hAnsi="Arial" w:cs="Arial"/>
        </w:rPr>
      </w:pPr>
      <w:r>
        <w:rPr>
          <w:rFonts w:ascii="Arial" w:hAnsi="Arial" w:cs="Arial"/>
          <w:b/>
          <w:bCs/>
          <w:u w:val="single"/>
        </w:rPr>
        <w:br w:type="page"/>
      </w:r>
    </w:p>
    <w:p w:rsidR="008C6BDB" w:rsidRDefault="008C6BDB">
      <w:pPr>
        <w:jc w:val="both"/>
        <w:rPr>
          <w:rFonts w:ascii="Arial" w:hAnsi="Arial" w:cs="Arial"/>
          <w:b/>
          <w:bCs/>
          <w:u w:val="single"/>
        </w:rPr>
      </w:pPr>
      <w:r w:rsidRPr="00DC08B0">
        <w:rPr>
          <w:rFonts w:ascii="Arial" w:hAnsi="Arial" w:cs="Arial"/>
          <w:b/>
          <w:bCs/>
          <w:u w:val="single"/>
        </w:rPr>
        <w:t>Major Trends and Activities</w:t>
      </w:r>
    </w:p>
    <w:p w:rsidR="008C6BDB" w:rsidRDefault="008C6BDB">
      <w:pPr>
        <w:jc w:val="both"/>
        <w:rPr>
          <w:rFonts w:ascii="Arial" w:hAnsi="Arial" w:cs="Arial"/>
        </w:rPr>
      </w:pPr>
    </w:p>
    <w:p w:rsidR="008C6BDB" w:rsidRDefault="008C6BDB">
      <w:pPr>
        <w:jc w:val="both"/>
        <w:rPr>
          <w:rFonts w:ascii="Arial" w:hAnsi="Arial" w:cs="Arial"/>
        </w:rPr>
      </w:pPr>
      <w:r>
        <w:rPr>
          <w:rFonts w:ascii="Arial" w:hAnsi="Arial" w:cs="Arial"/>
        </w:rPr>
        <w:t>Program Changes:</w:t>
      </w:r>
    </w:p>
    <w:p w:rsidR="001357FB" w:rsidRDefault="001357FB">
      <w:pPr>
        <w:jc w:val="both"/>
        <w:rPr>
          <w:rFonts w:ascii="Arial" w:hAnsi="Arial" w:cs="Arial"/>
        </w:rPr>
      </w:pPr>
    </w:p>
    <w:p w:rsidR="008C6BDB" w:rsidRDefault="008C6BDB">
      <w:pPr>
        <w:jc w:val="both"/>
        <w:rPr>
          <w:rFonts w:ascii="Arial" w:hAnsi="Arial" w:cs="Arial"/>
        </w:rPr>
      </w:pPr>
      <w:r>
        <w:rPr>
          <w:rFonts w:ascii="Arial" w:hAnsi="Arial" w:cs="Arial"/>
        </w:rPr>
        <w:t>PacifiCorp</w:t>
      </w:r>
      <w:r w:rsidRPr="00CB3116">
        <w:rPr>
          <w:rFonts w:ascii="Arial" w:hAnsi="Arial" w:cs="Arial"/>
        </w:rPr>
        <w:t xml:space="preserve"> </w:t>
      </w:r>
      <w:r>
        <w:rPr>
          <w:rFonts w:ascii="Arial" w:hAnsi="Arial" w:cs="Arial"/>
        </w:rPr>
        <w:t xml:space="preserve">expanded the Home Energy Savings program and </w:t>
      </w:r>
      <w:r w:rsidRPr="00CB3116">
        <w:rPr>
          <w:rFonts w:ascii="Arial" w:hAnsi="Arial" w:cs="Arial"/>
        </w:rPr>
        <w:t>eliminated one residential program during the year</w:t>
      </w:r>
      <w:r>
        <w:rPr>
          <w:rFonts w:ascii="Arial" w:hAnsi="Arial" w:cs="Arial"/>
        </w:rPr>
        <w:t xml:space="preserve"> as part of transitioning the new homes measures into the Home Energy Savings program</w:t>
      </w:r>
      <w:r w:rsidRPr="00CB3116">
        <w:rPr>
          <w:rFonts w:ascii="Arial" w:hAnsi="Arial" w:cs="Arial"/>
        </w:rPr>
        <w:t xml:space="preserve">.  </w:t>
      </w:r>
    </w:p>
    <w:p w:rsidR="008C6BDB" w:rsidRDefault="008C6BDB">
      <w:pPr>
        <w:jc w:val="both"/>
        <w:rPr>
          <w:rFonts w:ascii="Arial" w:hAnsi="Arial" w:cs="Arial"/>
        </w:rPr>
      </w:pPr>
    </w:p>
    <w:p w:rsidR="008C6BDB" w:rsidRDefault="008C6BDB">
      <w:pPr>
        <w:jc w:val="both"/>
        <w:rPr>
          <w:rFonts w:ascii="Arial" w:hAnsi="Arial" w:cs="Arial"/>
        </w:rPr>
      </w:pPr>
      <w:r>
        <w:rPr>
          <w:rFonts w:ascii="Arial" w:hAnsi="Arial" w:cs="Arial"/>
        </w:rPr>
        <w:t>The Company’s proposed changes to Commercial and Industrial programs</w:t>
      </w:r>
      <w:r w:rsidR="00302C12">
        <w:rPr>
          <w:rFonts w:ascii="Arial" w:hAnsi="Arial" w:cs="Arial"/>
        </w:rPr>
        <w:t xml:space="preserve"> – </w:t>
      </w:r>
      <w:r>
        <w:rPr>
          <w:rFonts w:ascii="Arial" w:hAnsi="Arial" w:cs="Arial"/>
        </w:rPr>
        <w:t>FinAnswer Express (Schedule 115) and Energy FinAnswer (Schedule 125)</w:t>
      </w:r>
      <w:r w:rsidR="00302C12">
        <w:rPr>
          <w:rFonts w:ascii="Arial" w:hAnsi="Arial" w:cs="Arial"/>
        </w:rPr>
        <w:t xml:space="preserve"> – </w:t>
      </w:r>
      <w:r>
        <w:rPr>
          <w:rFonts w:ascii="Arial" w:hAnsi="Arial" w:cs="Arial"/>
        </w:rPr>
        <w:t xml:space="preserve">were approved by the Commission in October 2009.  Details of the changes are provided in the program discussion section and overview of filings. </w:t>
      </w:r>
    </w:p>
    <w:p w:rsidR="008C6BDB" w:rsidRDefault="008C6BDB">
      <w:pPr>
        <w:jc w:val="both"/>
        <w:rPr>
          <w:rFonts w:ascii="Arial" w:hAnsi="Arial" w:cs="Arial"/>
        </w:rPr>
      </w:pPr>
    </w:p>
    <w:p w:rsidR="008C6BDB" w:rsidRDefault="008C6BDB">
      <w:pPr>
        <w:jc w:val="both"/>
        <w:rPr>
          <w:rFonts w:ascii="Arial" w:hAnsi="Arial" w:cs="Arial"/>
        </w:rPr>
      </w:pPr>
      <w:r>
        <w:rPr>
          <w:rFonts w:ascii="Arial" w:hAnsi="Arial" w:cs="Arial"/>
        </w:rPr>
        <w:t>Changes to System Benefit Charge:</w:t>
      </w:r>
    </w:p>
    <w:p w:rsidR="001357FB" w:rsidRDefault="001357FB">
      <w:pPr>
        <w:jc w:val="both"/>
        <w:rPr>
          <w:rFonts w:ascii="Arial" w:hAnsi="Arial" w:cs="Arial"/>
        </w:rPr>
      </w:pPr>
    </w:p>
    <w:p w:rsidR="008C6BDB" w:rsidRDefault="008C6BDB">
      <w:pPr>
        <w:jc w:val="both"/>
        <w:rPr>
          <w:rFonts w:ascii="Arial" w:hAnsi="Arial" w:cs="Arial"/>
        </w:rPr>
      </w:pPr>
      <w:r w:rsidRPr="00061D82">
        <w:rPr>
          <w:rFonts w:ascii="Arial" w:hAnsi="Arial" w:cs="Arial"/>
        </w:rPr>
        <w:t>PacifiCorp</w:t>
      </w:r>
      <w:r>
        <w:rPr>
          <w:rFonts w:ascii="Arial" w:hAnsi="Arial" w:cs="Arial"/>
        </w:rPr>
        <w:t>’s</w:t>
      </w:r>
      <w:r w:rsidRPr="00061D82">
        <w:rPr>
          <w:rFonts w:ascii="Arial" w:hAnsi="Arial" w:cs="Arial"/>
        </w:rPr>
        <w:t xml:space="preserve"> requested increase in the System Benefit Charge from approximately $4.5 million (1.7% of revenue) on an annual basis to approximately $8.8 million annually (3.5% of revenue)</w:t>
      </w:r>
      <w:r>
        <w:rPr>
          <w:rFonts w:ascii="Arial" w:hAnsi="Arial" w:cs="Arial"/>
        </w:rPr>
        <w:t xml:space="preserve"> was approved by the Commission in October 2009</w:t>
      </w:r>
      <w:r w:rsidRPr="00061D82">
        <w:rPr>
          <w:rFonts w:ascii="Arial" w:hAnsi="Arial" w:cs="Arial"/>
        </w:rPr>
        <w:t>. The increase will support the higher level of resource acquisition</w:t>
      </w:r>
      <w:r>
        <w:rPr>
          <w:rFonts w:ascii="Arial" w:hAnsi="Arial" w:cs="Arial"/>
        </w:rPr>
        <w:t xml:space="preserve">.  </w:t>
      </w:r>
    </w:p>
    <w:p w:rsidR="008C6BDB" w:rsidRDefault="008C6BDB">
      <w:pPr>
        <w:jc w:val="both"/>
        <w:rPr>
          <w:rFonts w:ascii="Arial" w:hAnsi="Arial" w:cs="Arial"/>
        </w:rPr>
      </w:pPr>
    </w:p>
    <w:p w:rsidR="008C6BDB" w:rsidRPr="00FF0B7A" w:rsidRDefault="008C6BDB">
      <w:pPr>
        <w:jc w:val="both"/>
        <w:rPr>
          <w:rFonts w:ascii="Arial" w:hAnsi="Arial" w:cs="Arial"/>
        </w:rPr>
      </w:pPr>
      <w:r w:rsidRPr="002810D1">
        <w:rPr>
          <w:rFonts w:ascii="Arial" w:hAnsi="Arial" w:cs="Arial"/>
        </w:rPr>
        <w:t>Initiative Measure N</w:t>
      </w:r>
      <w:r w:rsidR="00302C12">
        <w:rPr>
          <w:rFonts w:ascii="Arial" w:hAnsi="Arial" w:cs="Arial"/>
        </w:rPr>
        <w:t>umber</w:t>
      </w:r>
      <w:r w:rsidRPr="002810D1">
        <w:rPr>
          <w:rFonts w:ascii="Arial" w:hAnsi="Arial" w:cs="Arial"/>
        </w:rPr>
        <w:t xml:space="preserve"> 937 (I</w:t>
      </w:r>
      <w:r w:rsidR="000177BC">
        <w:rPr>
          <w:rFonts w:ascii="Arial" w:hAnsi="Arial" w:cs="Arial"/>
        </w:rPr>
        <w:t>-</w:t>
      </w:r>
      <w:r w:rsidRPr="002810D1">
        <w:rPr>
          <w:rFonts w:ascii="Arial" w:hAnsi="Arial" w:cs="Arial"/>
        </w:rPr>
        <w:t>937):</w:t>
      </w:r>
    </w:p>
    <w:p w:rsidR="001357FB" w:rsidRDefault="001357FB">
      <w:pPr>
        <w:jc w:val="both"/>
        <w:rPr>
          <w:rFonts w:ascii="Arial" w:hAnsi="Arial" w:cs="Arial"/>
        </w:rPr>
      </w:pPr>
    </w:p>
    <w:p w:rsidR="008C6BDB" w:rsidRPr="00061D82" w:rsidRDefault="008C6BDB">
      <w:pPr>
        <w:jc w:val="both"/>
        <w:rPr>
          <w:rFonts w:ascii="Arial" w:hAnsi="Arial" w:cs="Arial"/>
        </w:rPr>
      </w:pPr>
      <w:r w:rsidRPr="00061D82">
        <w:rPr>
          <w:rFonts w:ascii="Arial" w:hAnsi="Arial" w:cs="Arial"/>
        </w:rPr>
        <w:t xml:space="preserve">In 2006, </w:t>
      </w:r>
      <w:r w:rsidR="00302C12">
        <w:rPr>
          <w:rFonts w:ascii="Arial" w:hAnsi="Arial" w:cs="Arial"/>
        </w:rPr>
        <w:t>voters passed Ballot</w:t>
      </w:r>
      <w:r w:rsidRPr="00061D82">
        <w:rPr>
          <w:rFonts w:ascii="Arial" w:hAnsi="Arial" w:cs="Arial"/>
        </w:rPr>
        <w:t xml:space="preserve"> Initiative Measure Number 937 that establishes renewable energy and energy efficiency guidelines for electric utilities serving customers in the State of Washington.  </w:t>
      </w:r>
      <w:r w:rsidR="000177BC">
        <w:rPr>
          <w:rFonts w:ascii="Arial" w:hAnsi="Arial" w:cs="Arial"/>
        </w:rPr>
        <w:t>I-937</w:t>
      </w:r>
      <w:r w:rsidRPr="00061D82">
        <w:rPr>
          <w:rFonts w:ascii="Arial" w:hAnsi="Arial" w:cs="Arial"/>
        </w:rPr>
        <w:t xml:space="preserve"> requires that PacifiCorp (and other utilities) establish a </w:t>
      </w:r>
      <w:r>
        <w:rPr>
          <w:rFonts w:ascii="Arial" w:hAnsi="Arial" w:cs="Arial"/>
        </w:rPr>
        <w:t>ten-year</w:t>
      </w:r>
      <w:r w:rsidRPr="00061D82">
        <w:rPr>
          <w:rFonts w:ascii="Arial" w:hAnsi="Arial" w:cs="Arial"/>
        </w:rPr>
        <w:t xml:space="preserve"> electric conservation potential and a two</w:t>
      </w:r>
      <w:r>
        <w:rPr>
          <w:rFonts w:ascii="Arial" w:hAnsi="Arial" w:cs="Arial"/>
        </w:rPr>
        <w:t>-</w:t>
      </w:r>
      <w:r w:rsidRPr="00061D82">
        <w:rPr>
          <w:rFonts w:ascii="Arial" w:hAnsi="Arial" w:cs="Arial"/>
        </w:rPr>
        <w:t xml:space="preserve">year target (biennial target) for efficiency acquisitions.  Failure to meet the biennial target results in a penalty of $50/MWh to the Company.  </w:t>
      </w:r>
      <w:r w:rsidR="000177BC">
        <w:rPr>
          <w:rFonts w:ascii="Arial" w:hAnsi="Arial" w:cs="Arial"/>
        </w:rPr>
        <w:t>I-937</w:t>
      </w:r>
      <w:r w:rsidRPr="00061D82">
        <w:rPr>
          <w:rFonts w:ascii="Arial" w:hAnsi="Arial" w:cs="Arial"/>
        </w:rPr>
        <w:t xml:space="preserve"> directs the Company to use either the allocated share of the most recent regional power plan from the Northwest Power and Conservation Council or Company specific Integrated Resource Plans</w:t>
      </w:r>
      <w:r>
        <w:rPr>
          <w:rFonts w:ascii="Arial" w:hAnsi="Arial" w:cs="Arial"/>
        </w:rPr>
        <w:t xml:space="preserve"> as the basis for setting its conservation potential and target</w:t>
      </w:r>
      <w:r w:rsidRPr="00061D82">
        <w:rPr>
          <w:rFonts w:ascii="Arial" w:hAnsi="Arial" w:cs="Arial"/>
        </w:rPr>
        <w:t xml:space="preserve">.  The Company worked with the DSM Advisory group and other interested parties to develop a ten-year energy efficiency potential estimate for 2010-2019 and establish a two-year acquisition target for 2010-2011.  </w:t>
      </w:r>
    </w:p>
    <w:p w:rsidR="008C6BDB" w:rsidRDefault="008C6BDB">
      <w:pPr>
        <w:jc w:val="both"/>
        <w:rPr>
          <w:rFonts w:ascii="Arial" w:hAnsi="Arial" w:cs="Arial"/>
          <w:highlight w:val="yellow"/>
        </w:rPr>
      </w:pPr>
    </w:p>
    <w:p w:rsidR="008C6BDB" w:rsidRPr="00061D82" w:rsidRDefault="008C6BDB" w:rsidP="00952A6B">
      <w:pPr>
        <w:jc w:val="both"/>
        <w:rPr>
          <w:rFonts w:ascii="Arial" w:hAnsi="Arial" w:cs="Arial"/>
          <w:highlight w:val="yellow"/>
        </w:rPr>
      </w:pPr>
      <w:r w:rsidRPr="00061D82">
        <w:rPr>
          <w:rFonts w:ascii="Arial" w:hAnsi="Arial" w:cs="Arial"/>
        </w:rPr>
        <w:t xml:space="preserve">A summary of the meetings held and the topics discussed is provided below. </w:t>
      </w:r>
    </w:p>
    <w:p w:rsidR="008C6BDB" w:rsidRPr="00061D82" w:rsidRDefault="008C6BDB" w:rsidP="00952A6B">
      <w:pPr>
        <w:jc w:val="both"/>
        <w:rPr>
          <w:rFonts w:ascii="Arial" w:hAnsi="Arial" w:cs="Arial"/>
        </w:rPr>
      </w:pPr>
    </w:p>
    <w:p w:rsidR="008C6BDB" w:rsidRPr="00061D82" w:rsidRDefault="008C6BDB" w:rsidP="00952A6B">
      <w:pPr>
        <w:jc w:val="center"/>
        <w:rPr>
          <w:rFonts w:ascii="Arial" w:hAnsi="Arial" w:cs="Arial"/>
          <w:b/>
          <w:bCs/>
        </w:rPr>
      </w:pPr>
      <w:r w:rsidRPr="00061D82">
        <w:rPr>
          <w:rFonts w:ascii="Arial" w:hAnsi="Arial" w:cs="Arial"/>
          <w:b/>
          <w:bCs/>
        </w:rPr>
        <w:t>Overview - Commission Staff and Public Involvement</w:t>
      </w:r>
    </w:p>
    <w:p w:rsidR="008C6BDB" w:rsidRPr="00061D82" w:rsidRDefault="008C6BDB" w:rsidP="00952A6B">
      <w:pPr>
        <w:jc w:val="center"/>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93"/>
        <w:gridCol w:w="7163"/>
      </w:tblGrid>
      <w:tr w:rsidR="008C6BDB" w:rsidRPr="00061D82">
        <w:tc>
          <w:tcPr>
            <w:tcW w:w="1728" w:type="dxa"/>
          </w:tcPr>
          <w:p w:rsidR="008C6BDB" w:rsidRPr="00684B39" w:rsidRDefault="008C6BDB" w:rsidP="00684B39">
            <w:pPr>
              <w:jc w:val="both"/>
              <w:rPr>
                <w:rFonts w:ascii="Arial" w:hAnsi="Arial" w:cs="Arial"/>
                <w:b/>
                <w:bCs/>
              </w:rPr>
            </w:pPr>
            <w:r w:rsidRPr="00684B39">
              <w:rPr>
                <w:rFonts w:ascii="Arial" w:hAnsi="Arial" w:cs="Arial"/>
                <w:b/>
                <w:bCs/>
              </w:rPr>
              <w:t>Date</w:t>
            </w:r>
          </w:p>
        </w:tc>
        <w:tc>
          <w:tcPr>
            <w:tcW w:w="7848" w:type="dxa"/>
          </w:tcPr>
          <w:p w:rsidR="008C6BDB" w:rsidRPr="00684B39" w:rsidRDefault="008C6BDB" w:rsidP="00684B39">
            <w:pPr>
              <w:jc w:val="both"/>
              <w:rPr>
                <w:rFonts w:ascii="Arial" w:hAnsi="Arial" w:cs="Arial"/>
                <w:b/>
                <w:bCs/>
              </w:rPr>
            </w:pPr>
            <w:r w:rsidRPr="00684B39">
              <w:rPr>
                <w:rFonts w:ascii="Arial" w:hAnsi="Arial" w:cs="Arial"/>
                <w:b/>
                <w:bCs/>
              </w:rPr>
              <w:t>Summary</w:t>
            </w:r>
          </w:p>
        </w:tc>
      </w:tr>
      <w:tr w:rsidR="008C6BDB" w:rsidRPr="00061D82">
        <w:tc>
          <w:tcPr>
            <w:tcW w:w="1728" w:type="dxa"/>
          </w:tcPr>
          <w:p w:rsidR="008C6BDB" w:rsidRPr="00684B39" w:rsidRDefault="008C6BDB" w:rsidP="00684B39">
            <w:pPr>
              <w:jc w:val="both"/>
              <w:rPr>
                <w:rFonts w:ascii="Arial" w:hAnsi="Arial" w:cs="Arial"/>
              </w:rPr>
            </w:pPr>
            <w:r w:rsidRPr="00684B39">
              <w:rPr>
                <w:rFonts w:ascii="Arial" w:hAnsi="Arial" w:cs="Arial"/>
              </w:rPr>
              <w:t>10/15/2009</w:t>
            </w:r>
          </w:p>
        </w:tc>
        <w:tc>
          <w:tcPr>
            <w:tcW w:w="7848" w:type="dxa"/>
          </w:tcPr>
          <w:p w:rsidR="008C6BDB" w:rsidRPr="00684B39" w:rsidRDefault="008C6BDB" w:rsidP="00684B39">
            <w:pPr>
              <w:jc w:val="both"/>
              <w:rPr>
                <w:rFonts w:ascii="Arial" w:hAnsi="Arial" w:cs="Arial"/>
              </w:rPr>
            </w:pPr>
            <w:r w:rsidRPr="00684B39">
              <w:rPr>
                <w:rFonts w:ascii="Arial" w:hAnsi="Arial" w:cs="Arial"/>
              </w:rPr>
              <w:t>Initial meeting with the DSM advisory group. Declaration and rational provided as to the use of the Company’s conservation potential assessment and 2008 IRP as the source for filing the Company’s ten-year conservation forecast and biennial target. Outlined the process and analysis planned for this filing, soliciting comments on the process and planned work</w:t>
            </w:r>
            <w:r w:rsidR="000177BC">
              <w:rPr>
                <w:rFonts w:ascii="Arial" w:hAnsi="Arial" w:cs="Arial"/>
              </w:rPr>
              <w:t>.</w:t>
            </w:r>
          </w:p>
        </w:tc>
      </w:tr>
      <w:tr w:rsidR="008C6BDB" w:rsidRPr="00061D82">
        <w:tc>
          <w:tcPr>
            <w:tcW w:w="1728" w:type="dxa"/>
          </w:tcPr>
          <w:p w:rsidR="008C6BDB" w:rsidRPr="00684B39" w:rsidRDefault="008C6BDB" w:rsidP="00684B39">
            <w:pPr>
              <w:jc w:val="both"/>
              <w:rPr>
                <w:rFonts w:ascii="Arial" w:hAnsi="Arial" w:cs="Arial"/>
              </w:rPr>
            </w:pPr>
            <w:r w:rsidRPr="00684B39">
              <w:rPr>
                <w:rFonts w:ascii="Arial" w:hAnsi="Arial" w:cs="Arial"/>
              </w:rPr>
              <w:t>11/18/2009</w:t>
            </w:r>
          </w:p>
        </w:tc>
        <w:tc>
          <w:tcPr>
            <w:tcW w:w="7848" w:type="dxa"/>
          </w:tcPr>
          <w:p w:rsidR="008C6BDB" w:rsidRPr="00684B39" w:rsidRDefault="008C6BDB" w:rsidP="00684B39">
            <w:pPr>
              <w:jc w:val="both"/>
              <w:rPr>
                <w:rFonts w:ascii="Arial" w:hAnsi="Arial" w:cs="Arial"/>
              </w:rPr>
            </w:pPr>
            <w:r w:rsidRPr="00684B39">
              <w:rPr>
                <w:rFonts w:ascii="Arial" w:hAnsi="Arial" w:cs="Arial"/>
              </w:rPr>
              <w:t>Provided initial analysis results and reviewed the preliminary ten-year potential and biennial target figures with the DSM advisory group</w:t>
            </w:r>
            <w:r w:rsidR="000177BC">
              <w:rPr>
                <w:rFonts w:ascii="Arial" w:hAnsi="Arial" w:cs="Arial"/>
              </w:rPr>
              <w:t>.</w:t>
            </w:r>
            <w:r w:rsidRPr="00684B39">
              <w:rPr>
                <w:rFonts w:ascii="Arial" w:hAnsi="Arial" w:cs="Arial"/>
              </w:rPr>
              <w:t xml:space="preserve"> </w:t>
            </w:r>
          </w:p>
        </w:tc>
      </w:tr>
      <w:tr w:rsidR="008C6BDB" w:rsidRPr="00061D82">
        <w:tc>
          <w:tcPr>
            <w:tcW w:w="1728" w:type="dxa"/>
          </w:tcPr>
          <w:p w:rsidR="008C6BDB" w:rsidRPr="00684B39" w:rsidRDefault="008C6BDB" w:rsidP="00684B39">
            <w:pPr>
              <w:jc w:val="both"/>
              <w:rPr>
                <w:rFonts w:ascii="Arial" w:hAnsi="Arial" w:cs="Arial"/>
              </w:rPr>
            </w:pPr>
            <w:r w:rsidRPr="00684B39">
              <w:rPr>
                <w:rFonts w:ascii="Arial" w:hAnsi="Arial" w:cs="Arial"/>
              </w:rPr>
              <w:t>12/8/2009</w:t>
            </w:r>
          </w:p>
        </w:tc>
        <w:tc>
          <w:tcPr>
            <w:tcW w:w="7848" w:type="dxa"/>
          </w:tcPr>
          <w:p w:rsidR="008C6BDB" w:rsidRPr="00684B39" w:rsidRDefault="008C6BDB" w:rsidP="00684B39">
            <w:pPr>
              <w:jc w:val="both"/>
              <w:rPr>
                <w:rFonts w:ascii="Arial" w:hAnsi="Arial" w:cs="Arial"/>
              </w:rPr>
            </w:pPr>
            <w:r w:rsidRPr="00684B39">
              <w:rPr>
                <w:rFonts w:ascii="Arial" w:hAnsi="Arial" w:cs="Arial"/>
              </w:rPr>
              <w:t>Commission staff met with the Company and Cadmus Group, Inc. to review and become better acquainted with the conservation potential assessment, the foundational document used in the development of the 2008 IRP</w:t>
            </w:r>
            <w:r w:rsidR="000177BC">
              <w:rPr>
                <w:rFonts w:ascii="Arial" w:hAnsi="Arial" w:cs="Arial"/>
              </w:rPr>
              <w:t>.</w:t>
            </w:r>
          </w:p>
        </w:tc>
      </w:tr>
      <w:tr w:rsidR="008C6BDB" w:rsidRPr="00061D82">
        <w:tc>
          <w:tcPr>
            <w:tcW w:w="1728" w:type="dxa"/>
          </w:tcPr>
          <w:p w:rsidR="008C6BDB" w:rsidRPr="00684B39" w:rsidRDefault="008C6BDB" w:rsidP="00684B39">
            <w:pPr>
              <w:jc w:val="both"/>
              <w:rPr>
                <w:rFonts w:ascii="Arial" w:hAnsi="Arial" w:cs="Arial"/>
              </w:rPr>
            </w:pPr>
            <w:r w:rsidRPr="00684B39">
              <w:rPr>
                <w:rFonts w:ascii="Arial" w:hAnsi="Arial" w:cs="Arial"/>
              </w:rPr>
              <w:t>12/10/2009</w:t>
            </w:r>
          </w:p>
        </w:tc>
        <w:tc>
          <w:tcPr>
            <w:tcW w:w="7848" w:type="dxa"/>
          </w:tcPr>
          <w:p w:rsidR="008C6BDB" w:rsidRPr="00684B39" w:rsidRDefault="008C6BDB" w:rsidP="00684B39">
            <w:pPr>
              <w:jc w:val="both"/>
              <w:rPr>
                <w:rFonts w:ascii="Arial" w:hAnsi="Arial" w:cs="Arial"/>
              </w:rPr>
            </w:pPr>
            <w:r w:rsidRPr="00684B39">
              <w:rPr>
                <w:rFonts w:ascii="Arial" w:hAnsi="Arial" w:cs="Arial"/>
              </w:rPr>
              <w:t>Reviewed the preliminary draft report with the DSM advisory group and other interested parties, soliciting comments on areas missing and level of detail</w:t>
            </w:r>
            <w:r w:rsidR="000177BC">
              <w:rPr>
                <w:rFonts w:ascii="Arial" w:hAnsi="Arial" w:cs="Arial"/>
              </w:rPr>
              <w:t>.</w:t>
            </w:r>
            <w:r w:rsidRPr="00684B39">
              <w:rPr>
                <w:rFonts w:ascii="Arial" w:hAnsi="Arial" w:cs="Arial"/>
              </w:rPr>
              <w:t xml:space="preserve">  </w:t>
            </w:r>
          </w:p>
        </w:tc>
      </w:tr>
      <w:tr w:rsidR="008C6BDB" w:rsidRPr="00061D82">
        <w:tc>
          <w:tcPr>
            <w:tcW w:w="1728" w:type="dxa"/>
          </w:tcPr>
          <w:p w:rsidR="008C6BDB" w:rsidRPr="00684B39" w:rsidRDefault="008C6BDB" w:rsidP="00684B39">
            <w:pPr>
              <w:jc w:val="both"/>
              <w:rPr>
                <w:rFonts w:ascii="Arial" w:hAnsi="Arial" w:cs="Arial"/>
              </w:rPr>
            </w:pPr>
            <w:r w:rsidRPr="00684B39">
              <w:rPr>
                <w:rFonts w:ascii="Arial" w:hAnsi="Arial" w:cs="Arial"/>
              </w:rPr>
              <w:t>12/21/2009</w:t>
            </w:r>
          </w:p>
        </w:tc>
        <w:tc>
          <w:tcPr>
            <w:tcW w:w="7848" w:type="dxa"/>
          </w:tcPr>
          <w:p w:rsidR="008C6BDB" w:rsidRPr="00684B39" w:rsidRDefault="008C6BDB" w:rsidP="00684B39">
            <w:pPr>
              <w:jc w:val="both"/>
              <w:rPr>
                <w:rFonts w:ascii="Arial" w:hAnsi="Arial" w:cs="Arial"/>
              </w:rPr>
            </w:pPr>
            <w:r w:rsidRPr="00684B39">
              <w:rPr>
                <w:rFonts w:ascii="Arial" w:hAnsi="Arial" w:cs="Arial"/>
              </w:rPr>
              <w:t xml:space="preserve">Company and Council met via teleconference to discuss the methodology for the 10% adder as well as the Council’s market price adder. </w:t>
            </w:r>
          </w:p>
        </w:tc>
      </w:tr>
      <w:tr w:rsidR="008C6BDB" w:rsidRPr="00061D82">
        <w:tc>
          <w:tcPr>
            <w:tcW w:w="1728" w:type="dxa"/>
          </w:tcPr>
          <w:p w:rsidR="008C6BDB" w:rsidRPr="00684B39" w:rsidRDefault="008C6BDB" w:rsidP="00684B39">
            <w:pPr>
              <w:jc w:val="both"/>
              <w:rPr>
                <w:rFonts w:ascii="Arial" w:hAnsi="Arial" w:cs="Arial"/>
              </w:rPr>
            </w:pPr>
            <w:r w:rsidRPr="00684B39">
              <w:rPr>
                <w:rFonts w:ascii="Arial" w:hAnsi="Arial" w:cs="Arial"/>
              </w:rPr>
              <w:t>12/22/2009</w:t>
            </w:r>
          </w:p>
        </w:tc>
        <w:tc>
          <w:tcPr>
            <w:tcW w:w="7848" w:type="dxa"/>
          </w:tcPr>
          <w:p w:rsidR="008C6BDB" w:rsidRPr="00684B39" w:rsidRDefault="008C6BDB" w:rsidP="00684B39">
            <w:pPr>
              <w:jc w:val="both"/>
              <w:rPr>
                <w:rFonts w:ascii="Arial" w:hAnsi="Arial" w:cs="Arial"/>
              </w:rPr>
            </w:pPr>
            <w:r w:rsidRPr="00684B39">
              <w:rPr>
                <w:rFonts w:ascii="Arial" w:hAnsi="Arial" w:cs="Arial"/>
              </w:rPr>
              <w:t>Following the incorporation of feedback received from the December 10 meeting, reviewed the second draft of the report with the DSM advisory group and other interested parties, again soliciting feedback on the current report</w:t>
            </w:r>
            <w:r w:rsidR="000177BC">
              <w:rPr>
                <w:rFonts w:ascii="Arial" w:hAnsi="Arial" w:cs="Arial"/>
              </w:rPr>
              <w:t>.</w:t>
            </w:r>
          </w:p>
        </w:tc>
      </w:tr>
      <w:tr w:rsidR="008C6BDB" w:rsidRPr="00061D82">
        <w:tc>
          <w:tcPr>
            <w:tcW w:w="1728" w:type="dxa"/>
          </w:tcPr>
          <w:p w:rsidR="008C6BDB" w:rsidRPr="00684B39" w:rsidRDefault="008C6BDB" w:rsidP="00684B39">
            <w:pPr>
              <w:jc w:val="both"/>
              <w:rPr>
                <w:rFonts w:ascii="Arial" w:hAnsi="Arial" w:cs="Arial"/>
              </w:rPr>
            </w:pPr>
            <w:r w:rsidRPr="00684B39">
              <w:rPr>
                <w:rFonts w:ascii="Arial" w:hAnsi="Arial" w:cs="Arial"/>
              </w:rPr>
              <w:t>12/30/2009</w:t>
            </w:r>
          </w:p>
        </w:tc>
        <w:tc>
          <w:tcPr>
            <w:tcW w:w="7848" w:type="dxa"/>
          </w:tcPr>
          <w:p w:rsidR="008C6BDB" w:rsidRPr="00684B39" w:rsidRDefault="008C6BDB" w:rsidP="00684B39">
            <w:pPr>
              <w:jc w:val="both"/>
              <w:rPr>
                <w:rFonts w:ascii="Arial" w:hAnsi="Arial" w:cs="Arial"/>
              </w:rPr>
            </w:pPr>
            <w:r w:rsidRPr="00684B39">
              <w:rPr>
                <w:rFonts w:ascii="Arial" w:hAnsi="Arial" w:cs="Arial"/>
              </w:rPr>
              <w:t>Provided Company analysis via e-mail on the 10% adder (Regional Act Credit) to the DSM advisory group and other interested parties, requested feedback on the analysis and results</w:t>
            </w:r>
            <w:r w:rsidR="000177BC">
              <w:rPr>
                <w:rFonts w:ascii="Arial" w:hAnsi="Arial" w:cs="Arial"/>
              </w:rPr>
              <w:t>.</w:t>
            </w:r>
          </w:p>
        </w:tc>
      </w:tr>
      <w:tr w:rsidR="008C6BDB" w:rsidRPr="00061D82">
        <w:tc>
          <w:tcPr>
            <w:tcW w:w="1728" w:type="dxa"/>
          </w:tcPr>
          <w:p w:rsidR="008C6BDB" w:rsidRPr="00684B39" w:rsidRDefault="008C6BDB" w:rsidP="00684B39">
            <w:pPr>
              <w:jc w:val="both"/>
              <w:rPr>
                <w:rFonts w:ascii="Arial" w:hAnsi="Arial" w:cs="Arial"/>
              </w:rPr>
            </w:pPr>
            <w:r w:rsidRPr="00684B39">
              <w:rPr>
                <w:rFonts w:ascii="Arial" w:hAnsi="Arial" w:cs="Arial"/>
              </w:rPr>
              <w:t>12/31/2009</w:t>
            </w:r>
          </w:p>
        </w:tc>
        <w:tc>
          <w:tcPr>
            <w:tcW w:w="7848" w:type="dxa"/>
          </w:tcPr>
          <w:p w:rsidR="008C6BDB" w:rsidRPr="00684B39" w:rsidRDefault="008C6BDB" w:rsidP="00684B39">
            <w:pPr>
              <w:jc w:val="both"/>
              <w:rPr>
                <w:rFonts w:ascii="Arial" w:hAnsi="Arial" w:cs="Arial"/>
              </w:rPr>
            </w:pPr>
            <w:r w:rsidRPr="00684B39">
              <w:rPr>
                <w:rFonts w:ascii="Arial" w:hAnsi="Arial" w:cs="Arial"/>
              </w:rPr>
              <w:t>As required under WAC 480-109-010(1) provided the Company’s initial ten-year conservation potential via e-mail to the DSM advisory group and other interested parties (Commission records center also received a copy)</w:t>
            </w:r>
            <w:r w:rsidR="000177BC">
              <w:rPr>
                <w:rFonts w:ascii="Arial" w:hAnsi="Arial" w:cs="Arial"/>
              </w:rPr>
              <w:t>.</w:t>
            </w:r>
          </w:p>
        </w:tc>
      </w:tr>
      <w:tr w:rsidR="008C6BDB" w:rsidRPr="00061D82">
        <w:tc>
          <w:tcPr>
            <w:tcW w:w="1728" w:type="dxa"/>
          </w:tcPr>
          <w:p w:rsidR="008C6BDB" w:rsidRPr="00684B39" w:rsidRDefault="008C6BDB" w:rsidP="00684B39">
            <w:pPr>
              <w:jc w:val="both"/>
              <w:rPr>
                <w:rFonts w:ascii="Arial" w:hAnsi="Arial" w:cs="Arial"/>
              </w:rPr>
            </w:pPr>
            <w:r w:rsidRPr="00684B39">
              <w:rPr>
                <w:rFonts w:ascii="Arial" w:hAnsi="Arial" w:cs="Arial"/>
              </w:rPr>
              <w:t>1/15/2010</w:t>
            </w:r>
          </w:p>
        </w:tc>
        <w:tc>
          <w:tcPr>
            <w:tcW w:w="7848" w:type="dxa"/>
          </w:tcPr>
          <w:p w:rsidR="008C6BDB" w:rsidRPr="00684B39" w:rsidRDefault="008C6BDB" w:rsidP="00684B39">
            <w:pPr>
              <w:jc w:val="both"/>
              <w:rPr>
                <w:rFonts w:ascii="Arial" w:hAnsi="Arial" w:cs="Arial"/>
              </w:rPr>
            </w:pPr>
            <w:r w:rsidRPr="00684B39">
              <w:rPr>
                <w:rFonts w:ascii="Arial" w:hAnsi="Arial" w:cs="Arial"/>
              </w:rPr>
              <w:t xml:space="preserve">Company contacted the DSM advisory group and other interested parties to determine interest in another meeting to address any outstanding questions. Parties agreed that due to schedules, another meeting was not needed at this time.  </w:t>
            </w:r>
          </w:p>
        </w:tc>
      </w:tr>
    </w:tbl>
    <w:p w:rsidR="008C6BDB" w:rsidRPr="00061D82" w:rsidRDefault="008C6BDB" w:rsidP="00952A6B">
      <w:pPr>
        <w:jc w:val="both"/>
        <w:rPr>
          <w:rFonts w:ascii="Arial" w:hAnsi="Arial" w:cs="Arial"/>
          <w:b/>
          <w:bCs/>
          <w:u w:val="single"/>
        </w:rPr>
      </w:pPr>
    </w:p>
    <w:p w:rsidR="008C6BDB" w:rsidRDefault="008C6BDB">
      <w:pPr>
        <w:jc w:val="both"/>
        <w:rPr>
          <w:rFonts w:ascii="Arial" w:hAnsi="Arial" w:cs="Arial"/>
        </w:rPr>
      </w:pPr>
      <w:r w:rsidRPr="00C06FAB">
        <w:rPr>
          <w:rFonts w:ascii="Arial" w:hAnsi="Arial" w:cs="Arial"/>
        </w:rPr>
        <w:t>Program Evaluations:</w:t>
      </w:r>
    </w:p>
    <w:p w:rsidR="001357FB" w:rsidRDefault="001357FB">
      <w:pPr>
        <w:jc w:val="both"/>
        <w:rPr>
          <w:rFonts w:ascii="Arial" w:hAnsi="Arial" w:cs="Arial"/>
        </w:rPr>
      </w:pPr>
    </w:p>
    <w:p w:rsidR="008C6BDB" w:rsidRDefault="008C6BDB">
      <w:pPr>
        <w:jc w:val="both"/>
        <w:rPr>
          <w:rFonts w:ascii="Arial" w:hAnsi="Arial" w:cs="Arial"/>
        </w:rPr>
      </w:pPr>
      <w:r w:rsidRPr="008F2726">
        <w:rPr>
          <w:rFonts w:ascii="Arial" w:hAnsi="Arial" w:cs="Arial"/>
        </w:rPr>
        <w:t xml:space="preserve">In October, 2009, the </w:t>
      </w:r>
      <w:r>
        <w:rPr>
          <w:rFonts w:ascii="Arial" w:hAnsi="Arial" w:cs="Arial"/>
        </w:rPr>
        <w:t>C</w:t>
      </w:r>
      <w:r w:rsidRPr="008F2726">
        <w:rPr>
          <w:rFonts w:ascii="Arial" w:hAnsi="Arial" w:cs="Arial"/>
        </w:rPr>
        <w:t xml:space="preserve">ompany initiated process and impact evaluations for Home Energy Savings, See Ya Later Refrigerator, Energy FinAnswer and FinAnswer Express programs in Washington for program years 2005 – 2008.  The </w:t>
      </w:r>
      <w:r>
        <w:rPr>
          <w:rFonts w:ascii="Arial" w:hAnsi="Arial" w:cs="Arial"/>
        </w:rPr>
        <w:t xml:space="preserve">draft </w:t>
      </w:r>
      <w:r w:rsidRPr="008F2726">
        <w:rPr>
          <w:rFonts w:ascii="Arial" w:hAnsi="Arial" w:cs="Arial"/>
        </w:rPr>
        <w:t>results of these evaluation</w:t>
      </w:r>
      <w:r>
        <w:rPr>
          <w:rFonts w:ascii="Arial" w:hAnsi="Arial" w:cs="Arial"/>
        </w:rPr>
        <w:t>s</w:t>
      </w:r>
      <w:r w:rsidRPr="008F2726">
        <w:rPr>
          <w:rFonts w:ascii="Arial" w:hAnsi="Arial" w:cs="Arial"/>
        </w:rPr>
        <w:t xml:space="preserve"> are expected to be available during the second quarter of 2010. </w:t>
      </w:r>
    </w:p>
    <w:p w:rsidR="008C6BDB" w:rsidRDefault="008C6BDB">
      <w:pPr>
        <w:jc w:val="both"/>
        <w:rPr>
          <w:rFonts w:ascii="Arial" w:hAnsi="Arial" w:cs="Arial"/>
        </w:rPr>
      </w:pPr>
    </w:p>
    <w:p w:rsidR="008C6BDB" w:rsidRDefault="008C6BDB">
      <w:pPr>
        <w:jc w:val="both"/>
        <w:rPr>
          <w:rFonts w:ascii="Arial" w:hAnsi="Arial" w:cs="Arial"/>
          <w:highlight w:val="yellow"/>
        </w:rPr>
      </w:pPr>
    </w:p>
    <w:p w:rsidR="008C6BDB" w:rsidRDefault="008C6BDB">
      <w:pPr>
        <w:spacing w:after="200" w:line="276" w:lineRule="auto"/>
        <w:jc w:val="both"/>
        <w:rPr>
          <w:rFonts w:ascii="Arial" w:hAnsi="Arial" w:cs="Arial"/>
          <w:b/>
          <w:bCs/>
          <w:kern w:val="32"/>
          <w:sz w:val="32"/>
          <w:szCs w:val="32"/>
        </w:rPr>
      </w:pPr>
      <w:bookmarkStart w:id="9" w:name="_Ref165107293"/>
      <w:bookmarkStart w:id="10" w:name="_Toc165107948"/>
      <w:bookmarkStart w:id="11" w:name="_Toc234046348"/>
      <w:r>
        <w:br w:type="page"/>
      </w:r>
    </w:p>
    <w:p w:rsidR="008C6BDB" w:rsidRDefault="008C6BDB">
      <w:pPr>
        <w:pStyle w:val="Heading1"/>
        <w:jc w:val="both"/>
      </w:pPr>
      <w:bookmarkStart w:id="12" w:name="_Toc253471336"/>
      <w:bookmarkEnd w:id="9"/>
      <w:bookmarkEnd w:id="10"/>
      <w:bookmarkEnd w:id="11"/>
      <w:r>
        <w:t>Residential Energy Efficiency Programs and Activity</w:t>
      </w:r>
      <w:bookmarkEnd w:id="12"/>
    </w:p>
    <w:p w:rsidR="008C6BDB" w:rsidRDefault="008C6BDB">
      <w:pPr>
        <w:jc w:val="both"/>
        <w:rPr>
          <w:rFonts w:ascii="Arial" w:hAnsi="Arial" w:cs="Arial"/>
        </w:rPr>
      </w:pPr>
    </w:p>
    <w:p w:rsidR="008C6BDB" w:rsidRDefault="008C6BDB">
      <w:pPr>
        <w:jc w:val="both"/>
        <w:rPr>
          <w:rFonts w:ascii="Arial" w:hAnsi="Arial" w:cs="Arial"/>
          <w:b/>
          <w:bCs/>
        </w:rPr>
      </w:pPr>
      <w:r w:rsidRPr="00E44119">
        <w:rPr>
          <w:rFonts w:ascii="Arial" w:hAnsi="Arial" w:cs="Arial"/>
          <w:b/>
          <w:bCs/>
        </w:rPr>
        <w:t xml:space="preserve">Home Energy Savings </w:t>
      </w:r>
      <w:r>
        <w:rPr>
          <w:rFonts w:ascii="Arial" w:hAnsi="Arial" w:cs="Arial"/>
          <w:b/>
          <w:bCs/>
        </w:rPr>
        <w:t xml:space="preserve">Incentive </w:t>
      </w:r>
      <w:r w:rsidRPr="00E44119">
        <w:rPr>
          <w:rFonts w:ascii="Arial" w:hAnsi="Arial" w:cs="Arial"/>
          <w:b/>
          <w:bCs/>
        </w:rPr>
        <w:t>Program</w:t>
      </w:r>
      <w:r>
        <w:rPr>
          <w:rFonts w:ascii="Arial" w:hAnsi="Arial" w:cs="Arial"/>
          <w:b/>
          <w:bCs/>
        </w:rPr>
        <w:t xml:space="preserve"> (Schedule 118)</w:t>
      </w:r>
    </w:p>
    <w:p w:rsidR="008C6BDB" w:rsidRDefault="008C6BDB">
      <w:pPr>
        <w:tabs>
          <w:tab w:val="left" w:pos="-1080"/>
        </w:tabs>
        <w:jc w:val="both"/>
        <w:rPr>
          <w:rFonts w:ascii="Arial" w:hAnsi="Arial" w:cs="Arial"/>
        </w:rPr>
      </w:pPr>
    </w:p>
    <w:p w:rsidR="008C6BDB" w:rsidRDefault="008C6BDB">
      <w:pPr>
        <w:tabs>
          <w:tab w:val="left" w:pos="-1080"/>
        </w:tabs>
        <w:jc w:val="both"/>
        <w:rPr>
          <w:rFonts w:ascii="Arial" w:hAnsi="Arial" w:cs="Arial"/>
        </w:rPr>
      </w:pPr>
      <w:r w:rsidRPr="00E44119">
        <w:rPr>
          <w:rFonts w:ascii="Arial" w:hAnsi="Arial" w:cs="Arial"/>
        </w:rPr>
        <w:t xml:space="preserve">The Home Energy Saving </w:t>
      </w:r>
      <w:r w:rsidR="000177BC">
        <w:rPr>
          <w:rFonts w:ascii="Arial" w:hAnsi="Arial" w:cs="Arial"/>
        </w:rPr>
        <w:t>p</w:t>
      </w:r>
      <w:r w:rsidRPr="00E44119">
        <w:rPr>
          <w:rFonts w:ascii="Arial" w:hAnsi="Arial" w:cs="Arial"/>
        </w:rPr>
        <w:t xml:space="preserve">rogram </w:t>
      </w:r>
      <w:r>
        <w:rPr>
          <w:rFonts w:ascii="Arial" w:hAnsi="Arial" w:cs="Arial"/>
        </w:rPr>
        <w:t xml:space="preserve">was first approved in 2006 and </w:t>
      </w:r>
      <w:r w:rsidRPr="00E44119">
        <w:rPr>
          <w:rFonts w:ascii="Arial" w:hAnsi="Arial" w:cs="Arial"/>
        </w:rPr>
        <w:t xml:space="preserve">provides a broad framework to deliver incentives for more efficient products and services for </w:t>
      </w:r>
      <w:r>
        <w:rPr>
          <w:rFonts w:ascii="Arial" w:hAnsi="Arial" w:cs="Arial"/>
        </w:rPr>
        <w:t>Washington</w:t>
      </w:r>
      <w:r w:rsidRPr="00E44119">
        <w:rPr>
          <w:rFonts w:ascii="Arial" w:hAnsi="Arial" w:cs="Arial"/>
        </w:rPr>
        <w:t xml:space="preserve"> residential customers with a new or existing home, multi-family unit or manufactured home. The program is delivered through a third party administrator hired by the </w:t>
      </w:r>
      <w:r>
        <w:rPr>
          <w:rFonts w:ascii="Arial" w:hAnsi="Arial" w:cs="Arial"/>
        </w:rPr>
        <w:t>C</w:t>
      </w:r>
      <w:r w:rsidRPr="00E44119">
        <w:rPr>
          <w:rFonts w:ascii="Arial" w:hAnsi="Arial" w:cs="Arial"/>
        </w:rPr>
        <w:t xml:space="preserve">ompany. </w:t>
      </w:r>
      <w:r w:rsidRPr="00346990">
        <w:rPr>
          <w:rFonts w:ascii="Arial" w:hAnsi="Arial" w:cs="Arial"/>
        </w:rPr>
        <w:t>Schedule 118</w:t>
      </w:r>
      <w:r w:rsidRPr="00E44119">
        <w:rPr>
          <w:rFonts w:ascii="Arial" w:hAnsi="Arial" w:cs="Arial"/>
        </w:rPr>
        <w:t xml:space="preserve"> and the program web site at </w:t>
      </w:r>
      <w:r w:rsidR="00C27914" w:rsidRPr="00C27914">
        <w:rPr>
          <w:rFonts w:ascii="Arial" w:hAnsi="Arial" w:cs="Arial"/>
        </w:rPr>
        <w:t>http://www.homeenergysavings.net/</w:t>
      </w:r>
      <w:r w:rsidRPr="001540B6">
        <w:rPr>
          <w:rFonts w:ascii="Arial" w:hAnsi="Arial" w:cs="Arial"/>
        </w:rPr>
        <w:t xml:space="preserve"> </w:t>
      </w:r>
      <w:r w:rsidRPr="00E44119">
        <w:rPr>
          <w:rFonts w:ascii="Arial" w:hAnsi="Arial" w:cs="Arial"/>
        </w:rPr>
        <w:t xml:space="preserve">operate in tandem to inform customers and contractors of the offerings and qualifications for incentives. </w:t>
      </w:r>
    </w:p>
    <w:p w:rsidR="008C6BDB" w:rsidRDefault="008C6BDB">
      <w:pPr>
        <w:tabs>
          <w:tab w:val="left" w:pos="-1080"/>
        </w:tabs>
        <w:jc w:val="both"/>
        <w:rPr>
          <w:rFonts w:ascii="Arial" w:hAnsi="Arial" w:cs="Arial"/>
        </w:rPr>
      </w:pPr>
      <w:r w:rsidRPr="00E44119">
        <w:rPr>
          <w:rFonts w:ascii="Arial" w:hAnsi="Arial" w:cs="Arial"/>
        </w:rPr>
        <w:t xml:space="preserve"> </w:t>
      </w:r>
    </w:p>
    <w:p w:rsidR="008C6BDB" w:rsidRDefault="008C6BDB">
      <w:pPr>
        <w:tabs>
          <w:tab w:val="left" w:pos="-1080"/>
        </w:tabs>
        <w:jc w:val="both"/>
        <w:rPr>
          <w:rFonts w:ascii="Arial" w:hAnsi="Arial" w:cs="Arial"/>
        </w:rPr>
      </w:pPr>
      <w:r w:rsidRPr="00E44119">
        <w:rPr>
          <w:rFonts w:ascii="Arial" w:hAnsi="Arial" w:cs="Arial"/>
        </w:rPr>
        <w:t xml:space="preserve">Measures eligible for incentives include </w:t>
      </w:r>
      <w:r>
        <w:rPr>
          <w:rFonts w:ascii="Arial" w:hAnsi="Arial" w:cs="Arial"/>
        </w:rPr>
        <w:t>clothes washers</w:t>
      </w:r>
      <w:r w:rsidRPr="00E44119">
        <w:rPr>
          <w:rFonts w:ascii="Arial" w:hAnsi="Arial" w:cs="Arial"/>
        </w:rPr>
        <w:t xml:space="preserve">, </w:t>
      </w:r>
      <w:r>
        <w:rPr>
          <w:rFonts w:ascii="Arial" w:hAnsi="Arial" w:cs="Arial"/>
        </w:rPr>
        <w:t xml:space="preserve">clothes washer recycling, </w:t>
      </w:r>
      <w:r w:rsidRPr="00E44119">
        <w:rPr>
          <w:rFonts w:ascii="Arial" w:hAnsi="Arial" w:cs="Arial"/>
        </w:rPr>
        <w:t>refrigerators, water heaters, dishwashers, lighting (both compact fl</w:t>
      </w:r>
      <w:r>
        <w:rPr>
          <w:rFonts w:ascii="Arial" w:hAnsi="Arial" w:cs="Arial"/>
        </w:rPr>
        <w:t>u</w:t>
      </w:r>
      <w:r w:rsidRPr="00E44119">
        <w:rPr>
          <w:rFonts w:ascii="Arial" w:hAnsi="Arial" w:cs="Arial"/>
        </w:rPr>
        <w:t>orescent lamps (</w:t>
      </w:r>
      <w:r>
        <w:rPr>
          <w:rFonts w:ascii="Arial" w:hAnsi="Arial" w:cs="Arial"/>
        </w:rPr>
        <w:t>“</w:t>
      </w:r>
      <w:r w:rsidRPr="00E44119">
        <w:rPr>
          <w:rFonts w:ascii="Arial" w:hAnsi="Arial" w:cs="Arial"/>
        </w:rPr>
        <w:t>CFL</w:t>
      </w:r>
      <w:r>
        <w:rPr>
          <w:rFonts w:ascii="Arial" w:hAnsi="Arial" w:cs="Arial"/>
        </w:rPr>
        <w:t>”</w:t>
      </w:r>
      <w:r w:rsidRPr="00E44119">
        <w:rPr>
          <w:rFonts w:ascii="Arial" w:hAnsi="Arial" w:cs="Arial"/>
        </w:rPr>
        <w:t xml:space="preserve">)s and fixtures), </w:t>
      </w:r>
      <w:r>
        <w:rPr>
          <w:rFonts w:ascii="Arial" w:hAnsi="Arial" w:cs="Arial"/>
        </w:rPr>
        <w:t xml:space="preserve">heating and </w:t>
      </w:r>
      <w:r w:rsidRPr="00E44119">
        <w:rPr>
          <w:rFonts w:ascii="Arial" w:hAnsi="Arial" w:cs="Arial"/>
        </w:rPr>
        <w:t>cooling equipment and services, insulation, windows and miscellaneous equipment such as ceiling fans</w:t>
      </w:r>
      <w:r>
        <w:rPr>
          <w:rFonts w:ascii="Arial" w:hAnsi="Arial" w:cs="Arial"/>
        </w:rPr>
        <w:t>. In addition, the program includes a Builder Option Package as well as stand-alone measures for new homes.</w:t>
      </w:r>
      <w:r w:rsidRPr="00E44119">
        <w:rPr>
          <w:rFonts w:ascii="Arial" w:hAnsi="Arial" w:cs="Arial"/>
        </w:rPr>
        <w:t xml:space="preserve">  </w:t>
      </w:r>
    </w:p>
    <w:p w:rsidR="008C6BDB" w:rsidRDefault="008C6BDB">
      <w:pPr>
        <w:tabs>
          <w:tab w:val="left" w:pos="-1080"/>
        </w:tabs>
        <w:jc w:val="both"/>
        <w:rPr>
          <w:rFonts w:ascii="Arial" w:hAnsi="Arial" w:cs="Arial"/>
        </w:rPr>
      </w:pPr>
    </w:p>
    <w:p w:rsidR="008C6BDB" w:rsidRDefault="008C6BDB">
      <w:pPr>
        <w:tabs>
          <w:tab w:val="left" w:pos="-1080"/>
        </w:tabs>
        <w:jc w:val="both"/>
        <w:rPr>
          <w:rFonts w:ascii="Arial" w:hAnsi="Arial" w:cs="Arial"/>
        </w:rPr>
      </w:pPr>
      <w:r w:rsidRPr="00E44119">
        <w:rPr>
          <w:rFonts w:ascii="Arial" w:hAnsi="Arial" w:cs="Arial"/>
        </w:rPr>
        <w:t>Incentives are provided in two ways: post-purchase delivery to the customer for the majority of measures and through a manufacturer buy-down for CFLs. Buy-downs result in lower retail prices for customers at the point of purchase as opposed to post-purchase incentives that customers must submit an application to receive.</w:t>
      </w:r>
    </w:p>
    <w:p w:rsidR="008C6BDB" w:rsidRDefault="008C6BDB">
      <w:pPr>
        <w:tabs>
          <w:tab w:val="left" w:pos="-1080"/>
        </w:tabs>
        <w:jc w:val="both"/>
        <w:rPr>
          <w:rFonts w:ascii="Arial" w:hAnsi="Arial" w:cs="Arial"/>
        </w:rPr>
      </w:pPr>
    </w:p>
    <w:p w:rsidR="008C6BDB" w:rsidRDefault="008C6BDB">
      <w:pPr>
        <w:tabs>
          <w:tab w:val="left" w:pos="-1080"/>
        </w:tabs>
        <w:jc w:val="both"/>
        <w:rPr>
          <w:rFonts w:ascii="Arial" w:hAnsi="Arial" w:cs="Arial"/>
        </w:rPr>
      </w:pPr>
      <w:r>
        <w:rPr>
          <w:rFonts w:ascii="Arial" w:hAnsi="Arial" w:cs="Arial"/>
        </w:rPr>
        <w:t>Program results for 2009</w:t>
      </w:r>
      <w:r w:rsidRPr="00E44119">
        <w:rPr>
          <w:rFonts w:ascii="Arial" w:hAnsi="Arial" w:cs="Arial"/>
        </w:rPr>
        <w:t xml:space="preserve"> are provided in the Table</w:t>
      </w:r>
      <w:r>
        <w:rPr>
          <w:rFonts w:ascii="Arial" w:hAnsi="Arial" w:cs="Arial"/>
        </w:rPr>
        <w:t xml:space="preserve"> 3</w:t>
      </w:r>
      <w:r w:rsidRPr="00E44119">
        <w:rPr>
          <w:rFonts w:ascii="Arial" w:hAnsi="Arial" w:cs="Arial"/>
        </w:rPr>
        <w:t xml:space="preserve"> below.    </w:t>
      </w:r>
    </w:p>
    <w:p w:rsidR="008C6BDB" w:rsidRDefault="008C6BDB" w:rsidP="00972D86">
      <w:pPr>
        <w:rPr>
          <w:rFonts w:ascii="Arial" w:hAnsi="Arial" w:cs="Arial"/>
        </w:rPr>
      </w:pPr>
    </w:p>
    <w:p w:rsidR="008C6BDB" w:rsidRPr="00032623" w:rsidRDefault="008C6BDB" w:rsidP="00032623">
      <w:pPr>
        <w:jc w:val="center"/>
        <w:rPr>
          <w:rFonts w:ascii="Arial" w:hAnsi="Arial" w:cs="Arial"/>
          <w:b/>
          <w:bCs/>
        </w:rPr>
      </w:pPr>
      <w:r w:rsidRPr="00032623">
        <w:rPr>
          <w:rFonts w:ascii="Arial" w:hAnsi="Arial" w:cs="Arial"/>
          <w:b/>
          <w:bCs/>
        </w:rPr>
        <w:t>Table 3</w:t>
      </w:r>
    </w:p>
    <w:p w:rsidR="008C6BDB" w:rsidRDefault="00F34CCC" w:rsidP="00CF05F7">
      <w:pPr>
        <w:jc w:val="center"/>
        <w:rPr>
          <w:rFonts w:ascii="Arial" w:hAnsi="Arial" w:cs="Arial"/>
        </w:rPr>
      </w:pPr>
      <w:r>
        <w:rPr>
          <w:noProof/>
          <w:lang w:eastAsia="ko-KR"/>
        </w:rPr>
        <w:drawing>
          <wp:inline distT="0" distB="0" distL="0" distR="0">
            <wp:extent cx="4838700" cy="819150"/>
            <wp:effectExtent l="0" t="0" r="0" b="0"/>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srcRect/>
                    <a:stretch>
                      <a:fillRect/>
                    </a:stretch>
                  </pic:blipFill>
                  <pic:spPr bwMode="auto">
                    <a:xfrm>
                      <a:off x="0" y="0"/>
                      <a:ext cx="4838700" cy="819150"/>
                    </a:xfrm>
                    <a:prstGeom prst="rect">
                      <a:avLst/>
                    </a:prstGeom>
                    <a:noFill/>
                    <a:ln w="9525">
                      <a:noFill/>
                      <a:miter lim="800000"/>
                      <a:headEnd/>
                      <a:tailEnd/>
                    </a:ln>
                  </pic:spPr>
                </pic:pic>
              </a:graphicData>
            </a:graphic>
          </wp:inline>
        </w:drawing>
      </w:r>
    </w:p>
    <w:p w:rsidR="008C6BDB" w:rsidRDefault="008C6BDB" w:rsidP="002E208B">
      <w:pPr>
        <w:rPr>
          <w:rFonts w:ascii="Arial" w:hAnsi="Arial" w:cs="Arial"/>
        </w:rPr>
      </w:pPr>
    </w:p>
    <w:p w:rsidR="008C6BDB" w:rsidRDefault="008C6BDB" w:rsidP="002810D1">
      <w:pPr>
        <w:jc w:val="both"/>
        <w:rPr>
          <w:rFonts w:ascii="Arial" w:hAnsi="Arial" w:cs="Arial"/>
        </w:rPr>
      </w:pPr>
      <w:r>
        <w:rPr>
          <w:rFonts w:ascii="Arial" w:hAnsi="Arial" w:cs="Arial"/>
        </w:rPr>
        <w:t>2009 Program Performance:</w:t>
      </w:r>
    </w:p>
    <w:p w:rsidR="008C6BDB" w:rsidRDefault="008C6BDB" w:rsidP="002810D1">
      <w:pPr>
        <w:jc w:val="both"/>
        <w:rPr>
          <w:rFonts w:ascii="Arial" w:hAnsi="Arial" w:cs="Arial"/>
        </w:rPr>
      </w:pPr>
    </w:p>
    <w:p w:rsidR="008C6BDB" w:rsidRDefault="008C6BDB" w:rsidP="002810D1">
      <w:pPr>
        <w:jc w:val="both"/>
        <w:rPr>
          <w:rFonts w:ascii="Arial" w:hAnsi="Arial" w:cs="Arial"/>
        </w:rPr>
      </w:pPr>
      <w:r>
        <w:rPr>
          <w:rFonts w:ascii="Arial" w:hAnsi="Arial" w:cs="Arial"/>
        </w:rPr>
        <w:t xml:space="preserve">Details of 2009 measure level participation and savings are provided on the following table. </w:t>
      </w:r>
    </w:p>
    <w:p w:rsidR="008C6BDB" w:rsidRDefault="008C6BDB">
      <w:pPr>
        <w:spacing w:after="200" w:line="276" w:lineRule="auto"/>
        <w:rPr>
          <w:rFonts w:ascii="Arial" w:hAnsi="Arial" w:cs="Arial"/>
        </w:rPr>
      </w:pPr>
      <w:r>
        <w:rPr>
          <w:rFonts w:ascii="Arial" w:hAnsi="Arial" w:cs="Arial"/>
        </w:rPr>
        <w:br w:type="page"/>
      </w:r>
    </w:p>
    <w:p w:rsidR="008C6BDB" w:rsidRPr="00032623" w:rsidRDefault="008C6BDB" w:rsidP="00032623">
      <w:pPr>
        <w:jc w:val="center"/>
        <w:rPr>
          <w:rFonts w:ascii="Arial" w:hAnsi="Arial" w:cs="Arial"/>
          <w:b/>
          <w:bCs/>
        </w:rPr>
      </w:pPr>
      <w:r w:rsidRPr="00032623">
        <w:rPr>
          <w:rFonts w:ascii="Arial" w:hAnsi="Arial" w:cs="Arial"/>
          <w:b/>
          <w:bCs/>
        </w:rPr>
        <w:t>Table 4</w:t>
      </w:r>
    </w:p>
    <w:p w:rsidR="008C6BDB" w:rsidRDefault="00F34CCC" w:rsidP="00972D86">
      <w:pPr>
        <w:rPr>
          <w:rFonts w:ascii="Arial" w:hAnsi="Arial" w:cs="Arial"/>
        </w:rPr>
      </w:pPr>
      <w:r>
        <w:rPr>
          <w:noProof/>
          <w:lang w:eastAsia="ko-KR"/>
        </w:rPr>
        <w:drawing>
          <wp:inline distT="0" distB="0" distL="0" distR="0">
            <wp:extent cx="5724525" cy="7934325"/>
            <wp:effectExtent l="1905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5724525" cy="7934325"/>
                    </a:xfrm>
                    <a:prstGeom prst="rect">
                      <a:avLst/>
                    </a:prstGeom>
                    <a:noFill/>
                    <a:ln w="9525">
                      <a:noFill/>
                      <a:miter lim="800000"/>
                      <a:headEnd/>
                      <a:tailEnd/>
                    </a:ln>
                  </pic:spPr>
                </pic:pic>
              </a:graphicData>
            </a:graphic>
          </wp:inline>
        </w:drawing>
      </w:r>
    </w:p>
    <w:p w:rsidR="008C6BDB" w:rsidRDefault="008C6BDB" w:rsidP="002810D1">
      <w:pPr>
        <w:jc w:val="both"/>
        <w:rPr>
          <w:rFonts w:ascii="Arial" w:hAnsi="Arial" w:cs="Arial"/>
        </w:rPr>
      </w:pPr>
      <w:r>
        <w:rPr>
          <w:rFonts w:ascii="Arial" w:hAnsi="Arial" w:cs="Arial"/>
          <w:highlight w:val="yellow"/>
        </w:rPr>
        <w:br w:type="page"/>
      </w:r>
      <w:r>
        <w:rPr>
          <w:rFonts w:ascii="Arial" w:hAnsi="Arial" w:cs="Arial"/>
        </w:rPr>
        <w:t>Program Changes:</w:t>
      </w:r>
    </w:p>
    <w:p w:rsidR="008C6BDB" w:rsidRDefault="008C6BDB" w:rsidP="0030355D">
      <w:pPr>
        <w:jc w:val="both"/>
        <w:rPr>
          <w:rFonts w:ascii="Arial" w:hAnsi="Arial" w:cs="Arial"/>
        </w:rPr>
      </w:pPr>
    </w:p>
    <w:p w:rsidR="008C6BDB" w:rsidRDefault="008C6BDB" w:rsidP="00AD1DD7">
      <w:pPr>
        <w:jc w:val="both"/>
        <w:rPr>
          <w:rFonts w:ascii="Arial" w:hAnsi="Arial" w:cs="Arial"/>
        </w:rPr>
      </w:pPr>
      <w:r>
        <w:rPr>
          <w:rFonts w:ascii="Arial" w:hAnsi="Arial" w:cs="Arial"/>
        </w:rPr>
        <w:t>Several program changes were implemented during 2009. The primary changes included:</w:t>
      </w:r>
    </w:p>
    <w:p w:rsidR="008C6BDB" w:rsidRPr="007B656B" w:rsidRDefault="008C6BDB" w:rsidP="00AD1DD7">
      <w:pPr>
        <w:jc w:val="both"/>
        <w:rPr>
          <w:rFonts w:ascii="Arial" w:hAnsi="Arial" w:cs="Arial"/>
          <w:highlight w:val="yellow"/>
        </w:rPr>
      </w:pPr>
    </w:p>
    <w:p w:rsidR="008C6BDB" w:rsidRDefault="008C6BDB">
      <w:pPr>
        <w:pStyle w:val="ListParagraph"/>
        <w:numPr>
          <w:ilvl w:val="0"/>
          <w:numId w:val="24"/>
        </w:numPr>
        <w:jc w:val="both"/>
        <w:rPr>
          <w:rFonts w:ascii="Arial" w:hAnsi="Arial" w:cs="Arial"/>
        </w:rPr>
      </w:pPr>
      <w:r>
        <w:rPr>
          <w:rFonts w:ascii="Arial" w:hAnsi="Arial" w:cs="Arial"/>
        </w:rPr>
        <w:t>I</w:t>
      </w:r>
      <w:r w:rsidRPr="008F72BD">
        <w:rPr>
          <w:rFonts w:ascii="Arial" w:hAnsi="Arial" w:cs="Arial"/>
        </w:rPr>
        <w:t>ncorporating Builder Option Package (primary elements from</w:t>
      </w:r>
      <w:r>
        <w:rPr>
          <w:rFonts w:ascii="Arial" w:hAnsi="Arial" w:cs="Arial"/>
        </w:rPr>
        <w:t xml:space="preserve"> Energy Star New Homes Program)</w:t>
      </w:r>
      <w:r w:rsidRPr="008F72BD">
        <w:rPr>
          <w:rFonts w:ascii="Arial" w:hAnsi="Arial" w:cs="Arial"/>
        </w:rPr>
        <w:t xml:space="preserve"> and addition of </w:t>
      </w:r>
      <w:r>
        <w:rPr>
          <w:rFonts w:ascii="Arial" w:hAnsi="Arial" w:cs="Arial"/>
        </w:rPr>
        <w:t>stand-alone measures for new homes</w:t>
      </w:r>
      <w:r w:rsidR="000177BC">
        <w:rPr>
          <w:rFonts w:ascii="Arial" w:hAnsi="Arial" w:cs="Arial"/>
        </w:rPr>
        <w:t>,</w:t>
      </w:r>
    </w:p>
    <w:p w:rsidR="008C6BDB" w:rsidRDefault="008C6BDB">
      <w:pPr>
        <w:pStyle w:val="ListParagraph"/>
        <w:numPr>
          <w:ilvl w:val="0"/>
          <w:numId w:val="24"/>
        </w:numPr>
        <w:jc w:val="both"/>
        <w:rPr>
          <w:rFonts w:ascii="Arial" w:hAnsi="Arial" w:cs="Arial"/>
        </w:rPr>
      </w:pPr>
      <w:r w:rsidRPr="008F72BD">
        <w:rPr>
          <w:rFonts w:ascii="Arial" w:hAnsi="Arial" w:cs="Arial"/>
        </w:rPr>
        <w:t xml:space="preserve">Addition of heat pump equipment and </w:t>
      </w:r>
      <w:r>
        <w:rPr>
          <w:rFonts w:ascii="Arial" w:hAnsi="Arial" w:cs="Arial"/>
        </w:rPr>
        <w:t>services</w:t>
      </w:r>
      <w:r w:rsidRPr="008F72BD">
        <w:rPr>
          <w:rFonts w:ascii="Arial" w:hAnsi="Arial" w:cs="Arial"/>
        </w:rPr>
        <w:t xml:space="preserve">, </w:t>
      </w:r>
    </w:p>
    <w:p w:rsidR="008C6BDB" w:rsidRDefault="008C6BDB" w:rsidP="002810D1">
      <w:pPr>
        <w:pStyle w:val="ListParagraph"/>
        <w:numPr>
          <w:ilvl w:val="0"/>
          <w:numId w:val="24"/>
        </w:numPr>
        <w:jc w:val="both"/>
        <w:rPr>
          <w:rFonts w:ascii="Arial" w:hAnsi="Arial" w:cs="Arial"/>
        </w:rPr>
      </w:pPr>
      <w:r w:rsidRPr="008F72BD">
        <w:rPr>
          <w:rFonts w:ascii="Arial" w:hAnsi="Arial" w:cs="Arial"/>
        </w:rPr>
        <w:t>Modifications to existing measures, including</w:t>
      </w:r>
      <w:r>
        <w:rPr>
          <w:rFonts w:ascii="Arial" w:hAnsi="Arial" w:cs="Arial"/>
        </w:rPr>
        <w:t xml:space="preserve"> </w:t>
      </w:r>
      <w:r w:rsidRPr="008F72BD">
        <w:rPr>
          <w:rFonts w:ascii="Arial" w:hAnsi="Arial" w:cs="Arial"/>
        </w:rPr>
        <w:t xml:space="preserve"> changes to certain measure incentives and incentive qualifications, expanding CFL offerings to include specialty bulbs and year-round promotions, revising unit participation projections, updating savings to reflect current </w:t>
      </w:r>
      <w:r>
        <w:rPr>
          <w:rFonts w:ascii="Arial" w:hAnsi="Arial" w:cs="Arial"/>
        </w:rPr>
        <w:t>Regional Technical Forum (RTF)</w:t>
      </w:r>
      <w:r w:rsidRPr="008F72BD">
        <w:rPr>
          <w:rFonts w:ascii="Arial" w:hAnsi="Arial" w:cs="Arial"/>
        </w:rPr>
        <w:t xml:space="preserve"> savings, and moving to fuel specific savings reporting for certain measures.</w:t>
      </w:r>
    </w:p>
    <w:p w:rsidR="00C27914" w:rsidRDefault="008C6BDB" w:rsidP="00C27914">
      <w:pPr>
        <w:pStyle w:val="ListParagraph"/>
        <w:jc w:val="both"/>
        <w:rPr>
          <w:rFonts w:ascii="Arial" w:hAnsi="Arial" w:cs="Arial"/>
        </w:rPr>
      </w:pPr>
      <w:r w:rsidRPr="008F72BD">
        <w:rPr>
          <w:rFonts w:ascii="Arial" w:hAnsi="Arial" w:cs="Arial"/>
        </w:rPr>
        <w:t xml:space="preserve"> </w:t>
      </w:r>
    </w:p>
    <w:p w:rsidR="008C6BDB" w:rsidRDefault="008C6BDB" w:rsidP="002810D1">
      <w:pPr>
        <w:jc w:val="both"/>
        <w:rPr>
          <w:rFonts w:ascii="Arial" w:hAnsi="Arial" w:cs="Arial"/>
        </w:rPr>
      </w:pPr>
      <w:r w:rsidRPr="00123418">
        <w:rPr>
          <w:rFonts w:ascii="Arial" w:hAnsi="Arial" w:cs="Arial"/>
        </w:rPr>
        <w:t xml:space="preserve">The modifications were </w:t>
      </w:r>
      <w:r>
        <w:rPr>
          <w:rFonts w:ascii="Arial" w:hAnsi="Arial" w:cs="Arial"/>
        </w:rPr>
        <w:t>p</w:t>
      </w:r>
      <w:r w:rsidRPr="00123418">
        <w:rPr>
          <w:rFonts w:ascii="Arial" w:hAnsi="Arial" w:cs="Arial"/>
        </w:rPr>
        <w:t xml:space="preserve">reviewed with the DSM Advisory group at the October 7, 2008 meeting.  The specific modifications were emailed to DSM Advisory Group on February 25, 2009 with a request for comments.  Based on input from </w:t>
      </w:r>
      <w:r w:rsidR="00215976">
        <w:rPr>
          <w:rFonts w:ascii="Arial" w:hAnsi="Arial" w:cs="Arial"/>
        </w:rPr>
        <w:t>C</w:t>
      </w:r>
      <w:r w:rsidR="00215976" w:rsidRPr="00123418">
        <w:rPr>
          <w:rFonts w:ascii="Arial" w:hAnsi="Arial" w:cs="Arial"/>
        </w:rPr>
        <w:t xml:space="preserve">ommission </w:t>
      </w:r>
      <w:r w:rsidRPr="00123418">
        <w:rPr>
          <w:rFonts w:ascii="Arial" w:hAnsi="Arial" w:cs="Arial"/>
        </w:rPr>
        <w:t xml:space="preserve">staff, the </w:t>
      </w:r>
      <w:r>
        <w:rPr>
          <w:rFonts w:ascii="Arial" w:hAnsi="Arial" w:cs="Arial"/>
        </w:rPr>
        <w:t>C</w:t>
      </w:r>
      <w:r w:rsidRPr="00123418">
        <w:rPr>
          <w:rFonts w:ascii="Arial" w:hAnsi="Arial" w:cs="Arial"/>
        </w:rPr>
        <w:t xml:space="preserve">ompany implemented changes that resulted in an improved offer to the customer immediately.  These changes were effective April 1, 2009.  For changes that reduced the offer, the </w:t>
      </w:r>
      <w:r>
        <w:rPr>
          <w:rFonts w:ascii="Arial" w:hAnsi="Arial" w:cs="Arial"/>
        </w:rPr>
        <w:t>C</w:t>
      </w:r>
      <w:r w:rsidRPr="00123418">
        <w:rPr>
          <w:rFonts w:ascii="Arial" w:hAnsi="Arial" w:cs="Arial"/>
        </w:rPr>
        <w:t>ompany provided a 45-day notification on the program Web site according to the provisions established in the program filing.  These changes included a reduction in incentives for insulation and evaporative cooler measures and were effective May 23, 2009.</w:t>
      </w:r>
    </w:p>
    <w:p w:rsidR="008C6BDB" w:rsidRDefault="008C6BDB" w:rsidP="002810D1">
      <w:pPr>
        <w:jc w:val="both"/>
        <w:rPr>
          <w:rFonts w:ascii="Arial" w:hAnsi="Arial" w:cs="Arial"/>
        </w:rPr>
      </w:pPr>
    </w:p>
    <w:p w:rsidR="008C6BDB" w:rsidRDefault="008C6BDB" w:rsidP="002810D1">
      <w:pPr>
        <w:jc w:val="both"/>
        <w:rPr>
          <w:rFonts w:ascii="Arial" w:hAnsi="Arial" w:cs="Arial"/>
        </w:rPr>
      </w:pPr>
      <w:r w:rsidRPr="00C06FAB">
        <w:rPr>
          <w:rFonts w:ascii="Arial" w:hAnsi="Arial" w:cs="Arial"/>
        </w:rPr>
        <w:t>Program Evaluations:</w:t>
      </w:r>
    </w:p>
    <w:p w:rsidR="008C6BDB" w:rsidRDefault="008C6BDB" w:rsidP="002810D1">
      <w:pPr>
        <w:jc w:val="both"/>
        <w:rPr>
          <w:rFonts w:ascii="Arial" w:hAnsi="Arial" w:cs="Arial"/>
        </w:rPr>
      </w:pPr>
    </w:p>
    <w:p w:rsidR="008C6BDB" w:rsidRDefault="008C6BDB" w:rsidP="002810D1">
      <w:pPr>
        <w:jc w:val="both"/>
        <w:rPr>
          <w:rFonts w:ascii="Arial" w:hAnsi="Arial" w:cs="Arial"/>
        </w:rPr>
      </w:pPr>
      <w:r w:rsidRPr="008F2726">
        <w:rPr>
          <w:rFonts w:ascii="Arial" w:hAnsi="Arial" w:cs="Arial"/>
        </w:rPr>
        <w:t xml:space="preserve">In October, 2009, the </w:t>
      </w:r>
      <w:r>
        <w:rPr>
          <w:rFonts w:ascii="Arial" w:hAnsi="Arial" w:cs="Arial"/>
        </w:rPr>
        <w:t>C</w:t>
      </w:r>
      <w:r w:rsidRPr="008F2726">
        <w:rPr>
          <w:rFonts w:ascii="Arial" w:hAnsi="Arial" w:cs="Arial"/>
        </w:rPr>
        <w:t xml:space="preserve">ompany initiated process and impact evaluations for </w:t>
      </w:r>
      <w:r>
        <w:rPr>
          <w:rFonts w:ascii="Arial" w:hAnsi="Arial" w:cs="Arial"/>
        </w:rPr>
        <w:t xml:space="preserve">the </w:t>
      </w:r>
      <w:r w:rsidRPr="008F2726">
        <w:rPr>
          <w:rFonts w:ascii="Arial" w:hAnsi="Arial" w:cs="Arial"/>
        </w:rPr>
        <w:t>Home Energy Savings</w:t>
      </w:r>
      <w:r>
        <w:rPr>
          <w:rFonts w:ascii="Arial" w:hAnsi="Arial" w:cs="Arial"/>
        </w:rPr>
        <w:t xml:space="preserve"> Incentive Program</w:t>
      </w:r>
      <w:r w:rsidRPr="008F2726">
        <w:rPr>
          <w:rFonts w:ascii="Arial" w:hAnsi="Arial" w:cs="Arial"/>
        </w:rPr>
        <w:t xml:space="preserve"> for program years 200</w:t>
      </w:r>
      <w:r>
        <w:rPr>
          <w:rFonts w:ascii="Arial" w:hAnsi="Arial" w:cs="Arial"/>
        </w:rPr>
        <w:t>6</w:t>
      </w:r>
      <w:r w:rsidRPr="008F2726">
        <w:rPr>
          <w:rFonts w:ascii="Arial" w:hAnsi="Arial" w:cs="Arial"/>
        </w:rPr>
        <w:t xml:space="preserve"> – 2008.  The </w:t>
      </w:r>
      <w:r>
        <w:rPr>
          <w:rFonts w:ascii="Arial" w:hAnsi="Arial" w:cs="Arial"/>
        </w:rPr>
        <w:t xml:space="preserve">draft </w:t>
      </w:r>
      <w:r w:rsidRPr="008F2726">
        <w:rPr>
          <w:rFonts w:ascii="Arial" w:hAnsi="Arial" w:cs="Arial"/>
        </w:rPr>
        <w:t>results of these evaluation</w:t>
      </w:r>
      <w:r>
        <w:rPr>
          <w:rFonts w:ascii="Arial" w:hAnsi="Arial" w:cs="Arial"/>
        </w:rPr>
        <w:t>s</w:t>
      </w:r>
      <w:r w:rsidRPr="008F2726">
        <w:rPr>
          <w:rFonts w:ascii="Arial" w:hAnsi="Arial" w:cs="Arial"/>
        </w:rPr>
        <w:t xml:space="preserve"> are expected to be available during the second quarter of 2010. </w:t>
      </w:r>
    </w:p>
    <w:p w:rsidR="008C6BDB" w:rsidRDefault="008C6BDB" w:rsidP="002810D1">
      <w:pPr>
        <w:jc w:val="both"/>
        <w:rPr>
          <w:rFonts w:ascii="Arial" w:hAnsi="Arial" w:cs="Arial"/>
        </w:rPr>
      </w:pPr>
    </w:p>
    <w:p w:rsidR="008C6BDB" w:rsidRDefault="008C6BDB" w:rsidP="002810D1">
      <w:pPr>
        <w:jc w:val="both"/>
        <w:rPr>
          <w:rFonts w:ascii="Arial" w:hAnsi="Arial" w:cs="Arial"/>
        </w:rPr>
      </w:pPr>
    </w:p>
    <w:p w:rsidR="008C6BDB" w:rsidRDefault="008C6BDB" w:rsidP="002810D1">
      <w:pPr>
        <w:spacing w:after="200" w:line="276" w:lineRule="auto"/>
        <w:jc w:val="both"/>
        <w:rPr>
          <w:rFonts w:ascii="Arial" w:hAnsi="Arial" w:cs="Arial"/>
        </w:rPr>
      </w:pPr>
      <w:r>
        <w:rPr>
          <w:rFonts w:ascii="Arial" w:hAnsi="Arial" w:cs="Arial"/>
        </w:rPr>
        <w:br w:type="page"/>
      </w:r>
    </w:p>
    <w:p w:rsidR="008C6BDB" w:rsidRPr="006312DD" w:rsidRDefault="008C6BDB" w:rsidP="006312DD">
      <w:pPr>
        <w:rPr>
          <w:rFonts w:ascii="Arial" w:hAnsi="Arial" w:cs="Arial"/>
          <w:b/>
          <w:bCs/>
        </w:rPr>
      </w:pPr>
      <w:r>
        <w:rPr>
          <w:rFonts w:ascii="Arial" w:hAnsi="Arial" w:cs="Arial"/>
          <w:b/>
          <w:bCs/>
        </w:rPr>
        <w:t>Refrigerator Recycling (Schedule 107)</w:t>
      </w:r>
    </w:p>
    <w:p w:rsidR="008C6BDB" w:rsidRPr="006B4284" w:rsidRDefault="008C6BDB" w:rsidP="002810D1">
      <w:pPr>
        <w:jc w:val="both"/>
        <w:rPr>
          <w:rFonts w:ascii="Arial" w:hAnsi="Arial" w:cs="Arial"/>
          <w:sz w:val="16"/>
          <w:szCs w:val="16"/>
        </w:rPr>
      </w:pPr>
    </w:p>
    <w:p w:rsidR="008C6BDB" w:rsidRDefault="008C6BDB" w:rsidP="002810D1">
      <w:pPr>
        <w:jc w:val="both"/>
        <w:rPr>
          <w:rFonts w:ascii="Arial" w:hAnsi="Arial" w:cs="Arial"/>
        </w:rPr>
      </w:pPr>
      <w:r>
        <w:rPr>
          <w:rFonts w:ascii="Arial" w:hAnsi="Arial" w:cs="Arial"/>
        </w:rPr>
        <w:t>This program, operated as the See Ya Later Refrigerator program,</w:t>
      </w:r>
      <w:r w:rsidRPr="006312DD">
        <w:rPr>
          <w:rFonts w:ascii="Arial" w:hAnsi="Arial" w:cs="Arial"/>
        </w:rPr>
        <w:t xml:space="preserve"> was </w:t>
      </w:r>
      <w:r>
        <w:rPr>
          <w:rFonts w:ascii="Arial" w:hAnsi="Arial" w:cs="Arial"/>
        </w:rPr>
        <w:t xml:space="preserve">first </w:t>
      </w:r>
      <w:r w:rsidRPr="006312DD">
        <w:rPr>
          <w:rFonts w:ascii="Arial" w:hAnsi="Arial" w:cs="Arial"/>
        </w:rPr>
        <w:t xml:space="preserve">approved effective April 1, 2005.  This program aims to decrease residential refrigeration loads by reducing the number of inefficient secondary and primary refrigerator and freezer models in operation.  With this program, the Company offers all residential customers in Washington the opportunity to receive a </w:t>
      </w:r>
      <w:r w:rsidRPr="006312DD">
        <w:rPr>
          <w:rStyle w:val="Strong"/>
          <w:rFonts w:ascii="Arial" w:hAnsi="Arial" w:cs="Arial"/>
          <w:b w:val="0"/>
          <w:bCs w:val="0"/>
        </w:rPr>
        <w:t>$30</w:t>
      </w:r>
      <w:r w:rsidRPr="006312DD">
        <w:rPr>
          <w:rFonts w:ascii="Arial" w:hAnsi="Arial" w:cs="Arial"/>
        </w:rPr>
        <w:t xml:space="preserve"> incentive (by check mailed within 30 days after collection) in exchange for turning in their old but working refrigerators and/or freezers for recycling.  Each customer can recycle up to two units, refrigerators and/or freezers, per household.  In addition, a kit with instant energy-saving measures is provided to each participating customer.  </w:t>
      </w:r>
    </w:p>
    <w:p w:rsidR="008C6BDB" w:rsidRPr="006B4284" w:rsidRDefault="008C6BDB" w:rsidP="006312DD">
      <w:pPr>
        <w:rPr>
          <w:rFonts w:ascii="Arial" w:hAnsi="Arial" w:cs="Arial"/>
          <w:sz w:val="16"/>
          <w:szCs w:val="16"/>
        </w:rPr>
      </w:pPr>
    </w:p>
    <w:p w:rsidR="008C6BDB" w:rsidRPr="00032623" w:rsidRDefault="008C6BDB" w:rsidP="00032623">
      <w:pPr>
        <w:jc w:val="center"/>
        <w:rPr>
          <w:rFonts w:ascii="Arial" w:hAnsi="Arial" w:cs="Arial"/>
          <w:b/>
          <w:bCs/>
        </w:rPr>
      </w:pPr>
      <w:r w:rsidRPr="00032623">
        <w:rPr>
          <w:rFonts w:ascii="Arial" w:hAnsi="Arial" w:cs="Arial"/>
          <w:b/>
          <w:bCs/>
        </w:rPr>
        <w:t>Table 5</w:t>
      </w:r>
    </w:p>
    <w:p w:rsidR="008C6BDB" w:rsidRDefault="00F34CCC" w:rsidP="003E7946">
      <w:pPr>
        <w:jc w:val="center"/>
        <w:rPr>
          <w:rFonts w:ascii="Arial" w:hAnsi="Arial" w:cs="Arial"/>
        </w:rPr>
      </w:pPr>
      <w:r>
        <w:rPr>
          <w:noProof/>
          <w:lang w:eastAsia="ko-KR"/>
        </w:rPr>
        <w:drawing>
          <wp:inline distT="0" distB="0" distL="0" distR="0">
            <wp:extent cx="4371975" cy="8191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srcRect/>
                    <a:stretch>
                      <a:fillRect/>
                    </a:stretch>
                  </pic:blipFill>
                  <pic:spPr bwMode="auto">
                    <a:xfrm>
                      <a:off x="0" y="0"/>
                      <a:ext cx="4371975" cy="819150"/>
                    </a:xfrm>
                    <a:prstGeom prst="rect">
                      <a:avLst/>
                    </a:prstGeom>
                    <a:noFill/>
                    <a:ln w="9525">
                      <a:noFill/>
                      <a:miter lim="800000"/>
                      <a:headEnd/>
                      <a:tailEnd/>
                    </a:ln>
                  </pic:spPr>
                </pic:pic>
              </a:graphicData>
            </a:graphic>
          </wp:inline>
        </w:drawing>
      </w:r>
    </w:p>
    <w:p w:rsidR="008C6BDB" w:rsidRPr="00CC7138" w:rsidRDefault="008C6BDB" w:rsidP="006312DD">
      <w:pPr>
        <w:rPr>
          <w:rFonts w:ascii="Arial" w:hAnsi="Arial" w:cs="Arial"/>
          <w:sz w:val="18"/>
          <w:szCs w:val="18"/>
        </w:rPr>
      </w:pPr>
    </w:p>
    <w:p w:rsidR="008C6BDB" w:rsidRDefault="008C6BDB" w:rsidP="006312DD">
      <w:pPr>
        <w:rPr>
          <w:rFonts w:ascii="Arial" w:hAnsi="Arial" w:cs="Arial"/>
        </w:rPr>
      </w:pPr>
      <w:r>
        <w:rPr>
          <w:rFonts w:ascii="Arial" w:hAnsi="Arial" w:cs="Arial"/>
        </w:rPr>
        <w:t xml:space="preserve">Details on participation and savings are provided in the table below. </w:t>
      </w:r>
    </w:p>
    <w:p w:rsidR="008C6BDB" w:rsidRPr="00CC7138" w:rsidRDefault="008C6BDB" w:rsidP="006312DD">
      <w:pPr>
        <w:rPr>
          <w:rFonts w:ascii="Arial" w:hAnsi="Arial" w:cs="Arial"/>
          <w:sz w:val="18"/>
          <w:szCs w:val="18"/>
        </w:rPr>
      </w:pPr>
    </w:p>
    <w:p w:rsidR="008C6BDB" w:rsidRDefault="008C6BDB" w:rsidP="00032623">
      <w:pPr>
        <w:jc w:val="center"/>
        <w:rPr>
          <w:rFonts w:ascii="Arial" w:hAnsi="Arial" w:cs="Arial"/>
          <w:b/>
          <w:bCs/>
        </w:rPr>
      </w:pPr>
      <w:r w:rsidRPr="00032623">
        <w:rPr>
          <w:rFonts w:ascii="Arial" w:hAnsi="Arial" w:cs="Arial"/>
          <w:b/>
          <w:bCs/>
        </w:rPr>
        <w:t>Table 6</w:t>
      </w:r>
    </w:p>
    <w:p w:rsidR="008C6BDB" w:rsidRDefault="00F34CCC" w:rsidP="00032623">
      <w:pPr>
        <w:jc w:val="center"/>
        <w:rPr>
          <w:rFonts w:ascii="Arial" w:hAnsi="Arial" w:cs="Arial"/>
          <w:b/>
          <w:bCs/>
        </w:rPr>
      </w:pPr>
      <w:r>
        <w:rPr>
          <w:noProof/>
          <w:lang w:eastAsia="ko-KR"/>
        </w:rPr>
        <w:drawing>
          <wp:inline distT="0" distB="0" distL="0" distR="0">
            <wp:extent cx="2390775" cy="771525"/>
            <wp:effectExtent l="0" t="0" r="0" b="0"/>
            <wp:docPr id="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srcRect/>
                    <a:stretch>
                      <a:fillRect/>
                    </a:stretch>
                  </pic:blipFill>
                  <pic:spPr bwMode="auto">
                    <a:xfrm>
                      <a:off x="0" y="0"/>
                      <a:ext cx="2390775" cy="771525"/>
                    </a:xfrm>
                    <a:prstGeom prst="rect">
                      <a:avLst/>
                    </a:prstGeom>
                    <a:noFill/>
                    <a:ln w="9525">
                      <a:noFill/>
                      <a:miter lim="800000"/>
                      <a:headEnd/>
                      <a:tailEnd/>
                    </a:ln>
                  </pic:spPr>
                </pic:pic>
              </a:graphicData>
            </a:graphic>
          </wp:inline>
        </w:drawing>
      </w:r>
    </w:p>
    <w:p w:rsidR="008C6BDB" w:rsidRDefault="008C6BDB" w:rsidP="00032623">
      <w:pPr>
        <w:jc w:val="center"/>
        <w:rPr>
          <w:rFonts w:ascii="Arial" w:hAnsi="Arial" w:cs="Arial"/>
          <w:b/>
          <w:bCs/>
        </w:rPr>
      </w:pPr>
    </w:p>
    <w:p w:rsidR="008C6BDB" w:rsidRDefault="00DD7048" w:rsidP="00032623">
      <w:pPr>
        <w:jc w:val="center"/>
        <w:rPr>
          <w:rFonts w:ascii="Arial" w:hAnsi="Arial" w:cs="Arial"/>
          <w:b/>
          <w:bCs/>
        </w:rPr>
      </w:pPr>
      <w:r w:rsidRPr="00DD7048">
        <w:rPr>
          <w:noProof/>
          <w:lang w:eastAsia="ko-KR"/>
        </w:rPr>
        <w:drawing>
          <wp:inline distT="0" distB="0" distL="0" distR="0">
            <wp:extent cx="3638550" cy="35052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a:srcRect/>
                    <a:stretch>
                      <a:fillRect/>
                    </a:stretch>
                  </pic:blipFill>
                  <pic:spPr bwMode="auto">
                    <a:xfrm>
                      <a:off x="0" y="0"/>
                      <a:ext cx="3638550" cy="3505200"/>
                    </a:xfrm>
                    <a:prstGeom prst="rect">
                      <a:avLst/>
                    </a:prstGeom>
                    <a:noFill/>
                    <a:ln w="9525">
                      <a:noFill/>
                      <a:miter lim="800000"/>
                      <a:headEnd/>
                      <a:tailEnd/>
                    </a:ln>
                  </pic:spPr>
                </pic:pic>
              </a:graphicData>
            </a:graphic>
          </wp:inline>
        </w:drawing>
      </w:r>
    </w:p>
    <w:p w:rsidR="008C6BDB" w:rsidRDefault="008C6BDB" w:rsidP="00CC7138">
      <w:pPr>
        <w:jc w:val="center"/>
        <w:rPr>
          <w:rFonts w:ascii="Arial" w:hAnsi="Arial" w:cs="Arial"/>
        </w:rPr>
      </w:pPr>
    </w:p>
    <w:p w:rsidR="008C6BDB" w:rsidRDefault="008C6BDB" w:rsidP="002507DB">
      <w:pPr>
        <w:jc w:val="both"/>
        <w:rPr>
          <w:rFonts w:ascii="Arial" w:hAnsi="Arial" w:cs="Arial"/>
        </w:rPr>
      </w:pPr>
      <w:r w:rsidRPr="005C5105">
        <w:rPr>
          <w:rFonts w:ascii="Arial" w:hAnsi="Arial" w:cs="Arial"/>
        </w:rPr>
        <w:t>In 2009, 2,354 units were recycled (80% refrigerators and 20% freezers) by 2,168 households.  According to the program delivery vendor, JACO Environmental, the program recycled more than 145 tons of steel, 4.5 tons of aluminum and copper, 23 tons of plastics and prevented landfill deposits that would cover an entire football field more than two and a half feet deep.  In addition, the greenhouse gases (CFCs) collected and destroyed during recycling equate</w:t>
      </w:r>
      <w:r>
        <w:rPr>
          <w:rFonts w:ascii="Arial" w:hAnsi="Arial" w:cs="Arial"/>
        </w:rPr>
        <w:t>s</w:t>
      </w:r>
      <w:r w:rsidRPr="005C5105">
        <w:rPr>
          <w:rFonts w:ascii="Arial" w:hAnsi="Arial" w:cs="Arial"/>
        </w:rPr>
        <w:t xml:space="preserve"> to approximately 5 tons per unit, equivalent to the annual output of the average car.  Finally, the average age of the units recycled was 27 years w</w:t>
      </w:r>
      <w:r w:rsidR="000177BC">
        <w:rPr>
          <w:rFonts w:ascii="Arial" w:hAnsi="Arial" w:cs="Arial"/>
        </w:rPr>
        <w:t>ith</w:t>
      </w:r>
      <w:r w:rsidRPr="005C5105">
        <w:rPr>
          <w:rFonts w:ascii="Arial" w:hAnsi="Arial" w:cs="Arial"/>
        </w:rPr>
        <w:t xml:space="preserve"> consumption approximately three times more than units purchased today.</w:t>
      </w:r>
      <w:r>
        <w:rPr>
          <w:rFonts w:ascii="Arial" w:hAnsi="Arial" w:cs="Arial"/>
        </w:rPr>
        <w:t xml:space="preserve"> </w:t>
      </w:r>
    </w:p>
    <w:p w:rsidR="008C6BDB" w:rsidRDefault="008C6BDB" w:rsidP="002810D1">
      <w:pPr>
        <w:jc w:val="both"/>
        <w:rPr>
          <w:rFonts w:ascii="Arial" w:hAnsi="Arial" w:cs="Arial"/>
        </w:rPr>
      </w:pPr>
    </w:p>
    <w:p w:rsidR="008C6BDB" w:rsidRDefault="008C6BDB" w:rsidP="002810D1">
      <w:pPr>
        <w:jc w:val="both"/>
        <w:rPr>
          <w:rFonts w:ascii="Arial" w:hAnsi="Arial" w:cs="Arial"/>
        </w:rPr>
      </w:pPr>
      <w:r w:rsidRPr="00C06FAB">
        <w:rPr>
          <w:rFonts w:ascii="Arial" w:hAnsi="Arial" w:cs="Arial"/>
        </w:rPr>
        <w:t>Program Evaluations:</w:t>
      </w:r>
    </w:p>
    <w:p w:rsidR="008C6BDB" w:rsidRDefault="008C6BDB" w:rsidP="002810D1">
      <w:pPr>
        <w:jc w:val="both"/>
        <w:rPr>
          <w:rFonts w:ascii="Arial" w:hAnsi="Arial" w:cs="Arial"/>
        </w:rPr>
      </w:pPr>
    </w:p>
    <w:p w:rsidR="008C6BDB" w:rsidRDefault="008C6BDB" w:rsidP="002810D1">
      <w:pPr>
        <w:jc w:val="both"/>
        <w:rPr>
          <w:rFonts w:ascii="Arial" w:hAnsi="Arial" w:cs="Arial"/>
        </w:rPr>
      </w:pPr>
      <w:r w:rsidRPr="008F2726">
        <w:rPr>
          <w:rFonts w:ascii="Arial" w:hAnsi="Arial" w:cs="Arial"/>
        </w:rPr>
        <w:t xml:space="preserve">In October, 2009, the </w:t>
      </w:r>
      <w:r>
        <w:rPr>
          <w:rFonts w:ascii="Arial" w:hAnsi="Arial" w:cs="Arial"/>
        </w:rPr>
        <w:t>C</w:t>
      </w:r>
      <w:r w:rsidRPr="008F2726">
        <w:rPr>
          <w:rFonts w:ascii="Arial" w:hAnsi="Arial" w:cs="Arial"/>
        </w:rPr>
        <w:t xml:space="preserve">ompany initiated process and impact evaluations </w:t>
      </w:r>
      <w:r>
        <w:rPr>
          <w:rFonts w:ascii="Arial" w:hAnsi="Arial" w:cs="Arial"/>
        </w:rPr>
        <w:t xml:space="preserve">for the </w:t>
      </w:r>
      <w:r w:rsidRPr="008F2726">
        <w:rPr>
          <w:rFonts w:ascii="Arial" w:hAnsi="Arial" w:cs="Arial"/>
        </w:rPr>
        <w:t>See Ya Later Refrigerator</w:t>
      </w:r>
      <w:r>
        <w:rPr>
          <w:rFonts w:ascii="Arial" w:hAnsi="Arial" w:cs="Arial"/>
        </w:rPr>
        <w:t xml:space="preserve"> Program </w:t>
      </w:r>
      <w:r w:rsidRPr="008F2726">
        <w:rPr>
          <w:rFonts w:ascii="Arial" w:hAnsi="Arial" w:cs="Arial"/>
        </w:rPr>
        <w:t xml:space="preserve">for program years 2005 – 2008.  The </w:t>
      </w:r>
      <w:r>
        <w:rPr>
          <w:rFonts w:ascii="Arial" w:hAnsi="Arial" w:cs="Arial"/>
        </w:rPr>
        <w:t xml:space="preserve">draft </w:t>
      </w:r>
      <w:r w:rsidRPr="008F2726">
        <w:rPr>
          <w:rFonts w:ascii="Arial" w:hAnsi="Arial" w:cs="Arial"/>
        </w:rPr>
        <w:t>results of these evaluation</w:t>
      </w:r>
      <w:r>
        <w:rPr>
          <w:rFonts w:ascii="Arial" w:hAnsi="Arial" w:cs="Arial"/>
        </w:rPr>
        <w:t>s</w:t>
      </w:r>
      <w:r w:rsidRPr="008F2726">
        <w:rPr>
          <w:rFonts w:ascii="Arial" w:hAnsi="Arial" w:cs="Arial"/>
        </w:rPr>
        <w:t xml:space="preserve"> are expected to be available during the second quarter of 2010. </w:t>
      </w:r>
    </w:p>
    <w:p w:rsidR="008C6BDB" w:rsidRDefault="008C6BDB" w:rsidP="002810D1">
      <w:pPr>
        <w:jc w:val="both"/>
        <w:rPr>
          <w:rFonts w:ascii="Arial" w:hAnsi="Arial" w:cs="Arial"/>
        </w:rPr>
      </w:pPr>
    </w:p>
    <w:p w:rsidR="008C6BDB" w:rsidRDefault="008C6BDB">
      <w:pPr>
        <w:spacing w:after="200" w:line="276" w:lineRule="auto"/>
        <w:rPr>
          <w:rFonts w:ascii="Arial" w:hAnsi="Arial" w:cs="Arial"/>
          <w:b/>
          <w:bCs/>
        </w:rPr>
      </w:pPr>
      <w:r>
        <w:rPr>
          <w:rFonts w:ascii="Arial" w:hAnsi="Arial" w:cs="Arial"/>
          <w:b/>
          <w:bCs/>
        </w:rPr>
        <w:br w:type="page"/>
      </w:r>
    </w:p>
    <w:p w:rsidR="008C6BDB" w:rsidRDefault="008C6BDB" w:rsidP="006312DD">
      <w:pPr>
        <w:rPr>
          <w:rFonts w:ascii="Arial" w:hAnsi="Arial" w:cs="Arial"/>
          <w:b/>
          <w:bCs/>
        </w:rPr>
      </w:pPr>
      <w:r w:rsidRPr="006312DD">
        <w:rPr>
          <w:rFonts w:ascii="Arial" w:hAnsi="Arial" w:cs="Arial"/>
          <w:b/>
          <w:bCs/>
        </w:rPr>
        <w:t>Low Income Weatherization</w:t>
      </w:r>
      <w:r>
        <w:rPr>
          <w:rFonts w:ascii="Arial" w:hAnsi="Arial" w:cs="Arial"/>
          <w:b/>
          <w:bCs/>
        </w:rPr>
        <w:t xml:space="preserve"> (Schedule 114)</w:t>
      </w:r>
    </w:p>
    <w:p w:rsidR="008C6BDB" w:rsidRPr="006312DD" w:rsidRDefault="008C6BDB" w:rsidP="006312DD">
      <w:pPr>
        <w:rPr>
          <w:rFonts w:ascii="Arial" w:hAnsi="Arial" w:cs="Arial"/>
          <w:b/>
          <w:bCs/>
        </w:rPr>
      </w:pPr>
    </w:p>
    <w:p w:rsidR="008C6BDB" w:rsidRDefault="008C6BDB" w:rsidP="002810D1">
      <w:pPr>
        <w:jc w:val="both"/>
        <w:rPr>
          <w:rFonts w:ascii="Arial" w:hAnsi="Arial" w:cs="Arial"/>
        </w:rPr>
      </w:pPr>
      <w:r w:rsidRPr="00A91B57">
        <w:rPr>
          <w:rFonts w:ascii="Arial" w:hAnsi="Arial" w:cs="Arial"/>
        </w:rPr>
        <w:t xml:space="preserve">PacifiCorp partners with three local non-profit agencies, Blue Mountain Action Council in Walla Walla, Northwest Community Action Center in Toppenish and Opportunities Industrialization Center of Washington in Yakima to provide weatherization services to income qualifying households throughout </w:t>
      </w:r>
      <w:r w:rsidR="0087015C">
        <w:rPr>
          <w:rFonts w:ascii="Arial" w:hAnsi="Arial" w:cs="Arial"/>
        </w:rPr>
        <w:t>its</w:t>
      </w:r>
      <w:r w:rsidR="0087015C" w:rsidRPr="00A91B57">
        <w:rPr>
          <w:rFonts w:ascii="Arial" w:hAnsi="Arial" w:cs="Arial"/>
        </w:rPr>
        <w:t xml:space="preserve"> </w:t>
      </w:r>
      <w:r w:rsidRPr="00A91B57">
        <w:rPr>
          <w:rFonts w:ascii="Arial" w:hAnsi="Arial" w:cs="Arial"/>
        </w:rPr>
        <w:t>Washington service area.  The leveraging of PacifiCorp funding along with Washington MatchMaker Program funds allows the agencies to provide these energy efficiency services at no</w:t>
      </w:r>
      <w:r w:rsidR="0087015C">
        <w:rPr>
          <w:rFonts w:ascii="Arial" w:hAnsi="Arial" w:cs="Arial"/>
        </w:rPr>
        <w:t xml:space="preserve"> </w:t>
      </w:r>
      <w:r w:rsidRPr="00A91B57">
        <w:rPr>
          <w:rFonts w:ascii="Arial" w:hAnsi="Arial" w:cs="Arial"/>
        </w:rPr>
        <w:t xml:space="preserve">cost to participating customers.  The Company provides rebates to partnering agencies for 50% of the cost of services while MatchMaker funds are available, and covers 100% of costs when these state funds are depleted.  </w:t>
      </w:r>
      <w:r>
        <w:rPr>
          <w:rFonts w:ascii="Arial" w:hAnsi="Arial" w:cs="Arial"/>
        </w:rPr>
        <w:t xml:space="preserve">The program was revised through a tariff change effective March 1, 2009. The changes include an increase in rebates on eligible repairs, the elimination of a cap per home for administrative cost reimbursements and the elimination of the rebate on an energy education component. </w:t>
      </w:r>
      <w:r w:rsidRPr="00A91B57">
        <w:rPr>
          <w:rFonts w:ascii="Arial" w:hAnsi="Arial" w:cs="Arial"/>
        </w:rPr>
        <w:t>Participants qualify whether they are homeowners or renters residing in single-family homes, manufactured homes or apartments.  Over 6,</w:t>
      </w:r>
      <w:r>
        <w:rPr>
          <w:rFonts w:ascii="Arial" w:hAnsi="Arial" w:cs="Arial"/>
        </w:rPr>
        <w:t>6</w:t>
      </w:r>
      <w:r w:rsidRPr="00A91B57">
        <w:rPr>
          <w:rFonts w:ascii="Arial" w:hAnsi="Arial" w:cs="Arial"/>
        </w:rPr>
        <w:t>00 homes have been completed since the program began in the mid-1980s</w:t>
      </w:r>
      <w:r w:rsidRPr="00CC7138">
        <w:rPr>
          <w:rFonts w:ascii="Arial" w:hAnsi="Arial" w:cs="Arial"/>
        </w:rPr>
        <w:t>.</w:t>
      </w:r>
      <w:r w:rsidRPr="006312DD">
        <w:rPr>
          <w:rFonts w:ascii="Arial" w:hAnsi="Arial" w:cs="Arial"/>
        </w:rPr>
        <w:t xml:space="preserve">   </w:t>
      </w:r>
    </w:p>
    <w:p w:rsidR="008C6BDB" w:rsidRDefault="008C6BDB" w:rsidP="002810D1">
      <w:pPr>
        <w:jc w:val="both"/>
        <w:rPr>
          <w:rFonts w:ascii="Arial" w:hAnsi="Arial" w:cs="Arial"/>
        </w:rPr>
      </w:pPr>
    </w:p>
    <w:p w:rsidR="008C6BDB" w:rsidRPr="00032623" w:rsidRDefault="008C6BDB" w:rsidP="00032623">
      <w:pPr>
        <w:jc w:val="center"/>
        <w:rPr>
          <w:rFonts w:ascii="Arial" w:hAnsi="Arial" w:cs="Arial"/>
          <w:b/>
          <w:bCs/>
        </w:rPr>
      </w:pPr>
      <w:r w:rsidRPr="00032623">
        <w:rPr>
          <w:rFonts w:ascii="Arial" w:hAnsi="Arial" w:cs="Arial"/>
          <w:b/>
          <w:bCs/>
        </w:rPr>
        <w:t>Table 7</w:t>
      </w:r>
    </w:p>
    <w:p w:rsidR="008C6BDB" w:rsidRDefault="00F34CCC" w:rsidP="00F86024">
      <w:pPr>
        <w:jc w:val="center"/>
        <w:rPr>
          <w:rFonts w:ascii="Arial" w:hAnsi="Arial" w:cs="Arial"/>
        </w:rPr>
      </w:pPr>
      <w:r>
        <w:rPr>
          <w:noProof/>
          <w:lang w:eastAsia="ko-KR"/>
        </w:rPr>
        <w:drawing>
          <wp:inline distT="0" distB="0" distL="0" distR="0">
            <wp:extent cx="3933825" cy="4267200"/>
            <wp:effectExtent l="1905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srcRect/>
                    <a:stretch>
                      <a:fillRect/>
                    </a:stretch>
                  </pic:blipFill>
                  <pic:spPr bwMode="auto">
                    <a:xfrm>
                      <a:off x="0" y="0"/>
                      <a:ext cx="3933825" cy="4267200"/>
                    </a:xfrm>
                    <a:prstGeom prst="rect">
                      <a:avLst/>
                    </a:prstGeom>
                    <a:noFill/>
                    <a:ln w="9525">
                      <a:noFill/>
                      <a:miter lim="800000"/>
                      <a:headEnd/>
                      <a:tailEnd/>
                    </a:ln>
                  </pic:spPr>
                </pic:pic>
              </a:graphicData>
            </a:graphic>
          </wp:inline>
        </w:drawing>
      </w:r>
    </w:p>
    <w:p w:rsidR="008C6BDB" w:rsidRPr="00D649F1" w:rsidRDefault="008C6BDB" w:rsidP="006312DD">
      <w:pPr>
        <w:rPr>
          <w:rFonts w:ascii="Arial" w:hAnsi="Arial" w:cs="Arial"/>
        </w:rPr>
      </w:pPr>
    </w:p>
    <w:p w:rsidR="008C6BDB" w:rsidRDefault="008C6BDB" w:rsidP="002810D1">
      <w:pPr>
        <w:spacing w:after="200" w:line="276" w:lineRule="auto"/>
        <w:jc w:val="both"/>
        <w:rPr>
          <w:rFonts w:ascii="Arial" w:hAnsi="Arial" w:cs="Arial"/>
        </w:rPr>
      </w:pPr>
      <w:r>
        <w:rPr>
          <w:rFonts w:ascii="Arial" w:hAnsi="Arial" w:cs="Arial"/>
        </w:rPr>
        <w:br w:type="page"/>
      </w:r>
    </w:p>
    <w:p w:rsidR="008C6BDB" w:rsidRDefault="008C6BDB" w:rsidP="002810D1">
      <w:pPr>
        <w:jc w:val="both"/>
        <w:rPr>
          <w:rFonts w:ascii="Arial" w:hAnsi="Arial" w:cs="Arial"/>
        </w:rPr>
      </w:pPr>
    </w:p>
    <w:p w:rsidR="008C6BDB" w:rsidRDefault="008C6BDB" w:rsidP="002810D1">
      <w:pPr>
        <w:jc w:val="both"/>
        <w:rPr>
          <w:rFonts w:ascii="Arial" w:hAnsi="Arial" w:cs="Arial"/>
          <w:b/>
          <w:bCs/>
        </w:rPr>
      </w:pPr>
      <w:r w:rsidRPr="00FF7509">
        <w:rPr>
          <w:rFonts w:ascii="Arial" w:hAnsi="Arial" w:cs="Arial"/>
          <w:b/>
          <w:bCs/>
        </w:rPr>
        <w:t>Energy Education in Schools</w:t>
      </w:r>
      <w:r>
        <w:rPr>
          <w:rFonts w:ascii="Arial" w:hAnsi="Arial" w:cs="Arial"/>
          <w:b/>
          <w:bCs/>
        </w:rPr>
        <w:t xml:space="preserve"> (Schedule 113)</w:t>
      </w:r>
    </w:p>
    <w:p w:rsidR="008C6BDB" w:rsidRDefault="008C6BDB" w:rsidP="002810D1">
      <w:pPr>
        <w:jc w:val="both"/>
        <w:rPr>
          <w:rFonts w:ascii="Arial" w:hAnsi="Arial" w:cs="Arial"/>
          <w:b/>
          <w:bCs/>
        </w:rPr>
      </w:pPr>
    </w:p>
    <w:p w:rsidR="008C6BDB" w:rsidRDefault="008C6BDB" w:rsidP="002810D1">
      <w:pPr>
        <w:jc w:val="both"/>
        <w:rPr>
          <w:rFonts w:ascii="Arial" w:hAnsi="Arial" w:cs="Arial"/>
        </w:rPr>
      </w:pPr>
      <w:r w:rsidRPr="00C62E2C">
        <w:rPr>
          <w:rFonts w:ascii="Arial" w:hAnsi="Arial" w:cs="Arial"/>
        </w:rPr>
        <w:t xml:space="preserve">The energy education curriculum was developed for </w:t>
      </w:r>
      <w:r w:rsidR="0087015C">
        <w:rPr>
          <w:rFonts w:ascii="Arial" w:hAnsi="Arial" w:cs="Arial"/>
        </w:rPr>
        <w:t>sixth</w:t>
      </w:r>
      <w:r w:rsidR="0087015C" w:rsidRPr="00C62E2C">
        <w:rPr>
          <w:rFonts w:ascii="Arial" w:hAnsi="Arial" w:cs="Arial"/>
        </w:rPr>
        <w:t xml:space="preserve"> </w:t>
      </w:r>
      <w:r w:rsidRPr="00C62E2C">
        <w:rPr>
          <w:rFonts w:ascii="Arial" w:hAnsi="Arial" w:cs="Arial"/>
        </w:rPr>
        <w:t>grade classrooms by three partnering agencies (Blue Mountain Action Council in Walla Walla, Northwest Community Action Center in Toppenish and Opportunities Industrialization Center of Washington in Yakima).  The agencies employ certified teachers to work with school administrators, teachers and students. They provide a minimum of 3 one-hour energy education sessions on topics such as electricity generation, conservation, meter reading and efficiency tips.  Students receive a kit of measures including a CFL, a refrigerator/freezer temperature card, a</w:t>
      </w:r>
      <w:r>
        <w:rPr>
          <w:rFonts w:ascii="Arial" w:hAnsi="Arial" w:cs="Arial"/>
        </w:rPr>
        <w:t>n electroluminescent</w:t>
      </w:r>
      <w:r w:rsidRPr="00C62E2C">
        <w:rPr>
          <w:rFonts w:ascii="Arial" w:hAnsi="Arial" w:cs="Arial"/>
        </w:rPr>
        <w:t xml:space="preserve"> nightlight, a shower timer, a hot water temperature card, a </w:t>
      </w:r>
      <w:r>
        <w:rPr>
          <w:rFonts w:ascii="Arial" w:hAnsi="Arial" w:cs="Arial"/>
        </w:rPr>
        <w:t xml:space="preserve">kitchen </w:t>
      </w:r>
      <w:r w:rsidRPr="00C62E2C">
        <w:rPr>
          <w:rFonts w:ascii="Arial" w:hAnsi="Arial" w:cs="Arial"/>
        </w:rPr>
        <w:t xml:space="preserve">faucet aerator and a </w:t>
      </w:r>
      <w:r>
        <w:rPr>
          <w:rFonts w:ascii="Arial" w:hAnsi="Arial" w:cs="Arial"/>
        </w:rPr>
        <w:t xml:space="preserve">wall plate </w:t>
      </w:r>
      <w:r w:rsidRPr="00C62E2C">
        <w:rPr>
          <w:rFonts w:ascii="Arial" w:hAnsi="Arial" w:cs="Arial"/>
        </w:rPr>
        <w:t>thermometer.  A low flow showerhead is provided to those students where the results of a water flow test i</w:t>
      </w:r>
      <w:r>
        <w:rPr>
          <w:rFonts w:ascii="Arial" w:hAnsi="Arial" w:cs="Arial"/>
        </w:rPr>
        <w:t>ndicated this need.  In the 2008-2009 school year, 4,158</w:t>
      </w:r>
      <w:r w:rsidRPr="00C62E2C">
        <w:rPr>
          <w:rFonts w:ascii="Arial" w:hAnsi="Arial" w:cs="Arial"/>
        </w:rPr>
        <w:t xml:space="preserve"> students completed the course </w:t>
      </w:r>
      <w:r w:rsidRPr="00D34AF2">
        <w:rPr>
          <w:rFonts w:ascii="Arial" w:hAnsi="Arial" w:cs="Arial"/>
        </w:rPr>
        <w:t xml:space="preserve">with an estimated annual savings for measure installation of 801 kWh per student and annual savings from behavioral changes of 1,946 kWh per student.  Table </w:t>
      </w:r>
      <w:r w:rsidR="00DD7048">
        <w:rPr>
          <w:rFonts w:ascii="Arial" w:hAnsi="Arial" w:cs="Arial"/>
        </w:rPr>
        <w:t>8</w:t>
      </w:r>
      <w:r w:rsidRPr="00D34AF2">
        <w:rPr>
          <w:rFonts w:ascii="Arial" w:hAnsi="Arial" w:cs="Arial"/>
        </w:rPr>
        <w:t xml:space="preserve"> includes savings of 801 kWh per year per student (at customer site), representing savings from measure installations only.  The program is well received by teachers and students.</w:t>
      </w:r>
    </w:p>
    <w:p w:rsidR="008C6BDB" w:rsidRDefault="008C6BDB" w:rsidP="008E0B0E">
      <w:pPr>
        <w:rPr>
          <w:rFonts w:ascii="Arial" w:hAnsi="Arial" w:cs="Arial"/>
        </w:rPr>
      </w:pPr>
    </w:p>
    <w:p w:rsidR="008C6BDB" w:rsidRPr="00032623" w:rsidRDefault="008C6BDB" w:rsidP="00032623">
      <w:pPr>
        <w:jc w:val="center"/>
        <w:rPr>
          <w:rFonts w:ascii="Arial" w:hAnsi="Arial" w:cs="Arial"/>
          <w:b/>
          <w:bCs/>
        </w:rPr>
      </w:pPr>
      <w:r w:rsidRPr="00032623">
        <w:rPr>
          <w:rFonts w:ascii="Arial" w:hAnsi="Arial" w:cs="Arial"/>
          <w:b/>
          <w:bCs/>
        </w:rPr>
        <w:t>Table 8</w:t>
      </w:r>
    </w:p>
    <w:p w:rsidR="008C6BDB" w:rsidRDefault="00F34CCC" w:rsidP="008E0B0E">
      <w:pPr>
        <w:jc w:val="center"/>
        <w:rPr>
          <w:rFonts w:ascii="Arial" w:hAnsi="Arial" w:cs="Arial"/>
        </w:rPr>
      </w:pPr>
      <w:r>
        <w:rPr>
          <w:noProof/>
          <w:lang w:eastAsia="ko-KR"/>
        </w:rPr>
        <w:drawing>
          <wp:inline distT="0" distB="0" distL="0" distR="0">
            <wp:extent cx="3209925" cy="1181100"/>
            <wp:effectExtent l="1905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srcRect/>
                    <a:stretch>
                      <a:fillRect/>
                    </a:stretch>
                  </pic:blipFill>
                  <pic:spPr bwMode="auto">
                    <a:xfrm>
                      <a:off x="0" y="0"/>
                      <a:ext cx="3209925" cy="1181100"/>
                    </a:xfrm>
                    <a:prstGeom prst="rect">
                      <a:avLst/>
                    </a:prstGeom>
                    <a:noFill/>
                    <a:ln w="9525">
                      <a:noFill/>
                      <a:miter lim="800000"/>
                      <a:headEnd/>
                      <a:tailEnd/>
                    </a:ln>
                  </pic:spPr>
                </pic:pic>
              </a:graphicData>
            </a:graphic>
          </wp:inline>
        </w:drawing>
      </w:r>
    </w:p>
    <w:p w:rsidR="008C6BDB" w:rsidRDefault="008C6BDB" w:rsidP="008E0B0E">
      <w:pPr>
        <w:rPr>
          <w:rFonts w:ascii="Arial" w:hAnsi="Arial" w:cs="Arial"/>
        </w:rPr>
      </w:pPr>
    </w:p>
    <w:p w:rsidR="008C6BDB" w:rsidRDefault="008C6BDB">
      <w:pPr>
        <w:jc w:val="both"/>
        <w:rPr>
          <w:rFonts w:ascii="Arial" w:hAnsi="Arial" w:cs="Arial"/>
        </w:rPr>
      </w:pPr>
      <w:r>
        <w:rPr>
          <w:rFonts w:ascii="Arial" w:hAnsi="Arial" w:cs="Arial"/>
        </w:rPr>
        <w:t>Installed measure savings for the program include additional CFLs purchased by participating households.  There is a high probability that these additional CFLs were purchased at retailers selling CFLs that were discounted as a result of the Home Energy Savings Incentive Program</w:t>
      </w:r>
      <w:r>
        <w:rPr>
          <w:rStyle w:val="FootnoteReference"/>
          <w:rFonts w:ascii="Arial" w:hAnsi="Arial" w:cs="Arial"/>
        </w:rPr>
        <w:footnoteReference w:id="5"/>
      </w:r>
      <w:r>
        <w:rPr>
          <w:rFonts w:ascii="Arial" w:hAnsi="Arial" w:cs="Arial"/>
        </w:rPr>
        <w:t>.  The savings associated with these additional CFL installations identified in the Washington Energy Education program assessment</w:t>
      </w:r>
      <w:r>
        <w:rPr>
          <w:rStyle w:val="FootnoteReference"/>
          <w:rFonts w:ascii="Arial" w:hAnsi="Arial" w:cs="Arial"/>
        </w:rPr>
        <w:footnoteReference w:id="6"/>
      </w:r>
      <w:r>
        <w:rPr>
          <w:rFonts w:ascii="Arial" w:hAnsi="Arial" w:cs="Arial"/>
        </w:rPr>
        <w:t xml:space="preserve"> was 1,005,564 kWh at site for the 2008-2009 school year.  In order to avoid potentially double counting these savings, the Residential portfolio results were adjusted downward by 1,005,</w:t>
      </w:r>
      <w:r w:rsidR="00C27914" w:rsidRPr="00C27914">
        <w:rPr>
          <w:rFonts w:ascii="Arial" w:hAnsi="Arial" w:cs="Arial"/>
        </w:rPr>
        <w:t>564 kWh/yr (at site).</w:t>
      </w:r>
    </w:p>
    <w:p w:rsidR="008C6BDB" w:rsidRDefault="008C6BDB">
      <w:pPr>
        <w:rPr>
          <w:rFonts w:ascii="Arial" w:hAnsi="Arial" w:cs="Arial"/>
        </w:rPr>
      </w:pPr>
    </w:p>
    <w:p w:rsidR="008C6BDB" w:rsidRDefault="008C6BDB">
      <w:pPr>
        <w:spacing w:after="200" w:line="276" w:lineRule="auto"/>
        <w:rPr>
          <w:rFonts w:ascii="Arial" w:hAnsi="Arial" w:cs="Arial"/>
          <w:b/>
          <w:bCs/>
          <w:kern w:val="32"/>
          <w:sz w:val="32"/>
          <w:szCs w:val="32"/>
        </w:rPr>
      </w:pPr>
      <w:r>
        <w:br w:type="page"/>
      </w:r>
    </w:p>
    <w:p w:rsidR="008C6BDB" w:rsidRPr="00D649F1" w:rsidRDefault="008C6BDB" w:rsidP="00734E52">
      <w:pPr>
        <w:pStyle w:val="Heading1"/>
        <w:rPr>
          <w:rFonts w:cs="Times New Roman"/>
        </w:rPr>
      </w:pPr>
      <w:bookmarkStart w:id="13" w:name="_Toc253471337"/>
      <w:r>
        <w:t>Non- Residential Energy Efficiency Programs and Activity</w:t>
      </w:r>
      <w:bookmarkEnd w:id="13"/>
    </w:p>
    <w:p w:rsidR="008C6BDB" w:rsidRDefault="008C6BDB" w:rsidP="00734E52">
      <w:pPr>
        <w:rPr>
          <w:rFonts w:ascii="Arial" w:hAnsi="Arial" w:cs="Arial"/>
        </w:rPr>
      </w:pPr>
    </w:p>
    <w:p w:rsidR="008C6BDB" w:rsidRDefault="008C6BDB" w:rsidP="00DB4080">
      <w:pPr>
        <w:rPr>
          <w:rFonts w:ascii="Arial" w:hAnsi="Arial" w:cs="Arial"/>
          <w:b/>
          <w:bCs/>
        </w:rPr>
      </w:pPr>
      <w:r w:rsidRPr="00DB4080">
        <w:rPr>
          <w:rFonts w:ascii="Arial" w:hAnsi="Arial" w:cs="Arial"/>
          <w:b/>
          <w:bCs/>
        </w:rPr>
        <w:t>FinAnswer Express</w:t>
      </w:r>
      <w:r>
        <w:rPr>
          <w:rFonts w:ascii="Arial" w:hAnsi="Arial" w:cs="Arial"/>
          <w:b/>
          <w:bCs/>
        </w:rPr>
        <w:t xml:space="preserve"> (Schedule 115)</w:t>
      </w:r>
    </w:p>
    <w:p w:rsidR="008C6BDB" w:rsidRPr="00DB4080" w:rsidRDefault="008C6BDB" w:rsidP="00DB4080">
      <w:pPr>
        <w:rPr>
          <w:rFonts w:ascii="Arial" w:hAnsi="Arial" w:cs="Arial"/>
          <w:b/>
          <w:bCs/>
        </w:rPr>
      </w:pPr>
    </w:p>
    <w:p w:rsidR="008C6BDB" w:rsidRDefault="008C6BDB">
      <w:pPr>
        <w:jc w:val="both"/>
        <w:rPr>
          <w:rFonts w:ascii="Arial" w:hAnsi="Arial" w:cs="Arial"/>
        </w:rPr>
      </w:pPr>
      <w:r>
        <w:rPr>
          <w:rFonts w:ascii="Arial" w:hAnsi="Arial" w:cs="Arial"/>
        </w:rPr>
        <w:t xml:space="preserve">The FinAnswer Express program provides prescriptive incentives to commercial, industrial and irrigation customers </w:t>
      </w:r>
      <w:r w:rsidRPr="00C62E2C">
        <w:rPr>
          <w:rFonts w:ascii="Arial" w:hAnsi="Arial" w:cs="Arial"/>
        </w:rPr>
        <w:t xml:space="preserve">for typical lighting, HVAC, motor, </w:t>
      </w:r>
      <w:r>
        <w:rPr>
          <w:rFonts w:ascii="Arial" w:hAnsi="Arial" w:cs="Arial"/>
        </w:rPr>
        <w:t>f</w:t>
      </w:r>
      <w:r w:rsidRPr="00077366">
        <w:rPr>
          <w:rFonts w:ascii="Arial" w:hAnsi="Arial" w:cs="Arial"/>
        </w:rPr>
        <w:t xml:space="preserve">ood service, </w:t>
      </w:r>
      <w:r>
        <w:rPr>
          <w:rFonts w:ascii="Arial" w:hAnsi="Arial" w:cs="Arial"/>
        </w:rPr>
        <w:t>appliances, irrigation, farm equipment, c</w:t>
      </w:r>
      <w:r w:rsidRPr="00077366">
        <w:rPr>
          <w:rFonts w:ascii="Arial" w:hAnsi="Arial" w:cs="Arial"/>
        </w:rPr>
        <w:t xml:space="preserve">ompressed </w:t>
      </w:r>
      <w:r>
        <w:rPr>
          <w:rFonts w:ascii="Arial" w:hAnsi="Arial" w:cs="Arial"/>
        </w:rPr>
        <w:t>a</w:t>
      </w:r>
      <w:r w:rsidRPr="00077366">
        <w:rPr>
          <w:rFonts w:ascii="Arial" w:hAnsi="Arial" w:cs="Arial"/>
        </w:rPr>
        <w:t>ir</w:t>
      </w:r>
      <w:r w:rsidRPr="00C62E2C">
        <w:rPr>
          <w:rFonts w:ascii="Arial" w:hAnsi="Arial" w:cs="Arial"/>
        </w:rPr>
        <w:t xml:space="preserve"> and other retrofits or new installations.  The program includes an expedited energy analysis and incentives based on the equipment installed ($/fixture, $/motor, $/ton, etc.).  </w:t>
      </w:r>
      <w:r w:rsidRPr="007B35F2">
        <w:rPr>
          <w:rFonts w:ascii="Arial" w:hAnsi="Arial" w:cs="Arial"/>
        </w:rPr>
        <w:t>The program is marketed primarily via trade allies, PacifiCorp staff, and a combination of other Company outreach efforts including radio advertising in 2009.  This pro</w:t>
      </w:r>
      <w:r w:rsidRPr="00C62E2C">
        <w:rPr>
          <w:rFonts w:ascii="Arial" w:hAnsi="Arial" w:cs="Arial"/>
        </w:rPr>
        <w:t>gram began as Small Retrofit Incentive and Retrofit Incentive (Schedules 115 and 116) in November 2000 and was improved and renamed FinAnswer Express (Schedule 115) in May 2004.</w:t>
      </w:r>
    </w:p>
    <w:p w:rsidR="008C6BDB" w:rsidRDefault="008C6BDB" w:rsidP="00C62E2C">
      <w:pPr>
        <w:rPr>
          <w:rFonts w:ascii="Arial" w:hAnsi="Arial" w:cs="Arial"/>
        </w:rPr>
      </w:pPr>
    </w:p>
    <w:p w:rsidR="008C6BDB" w:rsidRDefault="008C6BDB">
      <w:pPr>
        <w:jc w:val="both"/>
        <w:rPr>
          <w:rFonts w:ascii="Arial" w:hAnsi="Arial" w:cs="Arial"/>
        </w:rPr>
      </w:pPr>
      <w:r>
        <w:rPr>
          <w:rFonts w:ascii="Arial" w:hAnsi="Arial" w:cs="Arial"/>
        </w:rPr>
        <w:t>Program expenditures, kWh savings and incentives paid are outlined in the tables below.</w:t>
      </w:r>
    </w:p>
    <w:p w:rsidR="008C6BDB" w:rsidRDefault="008C6BDB" w:rsidP="00C62E2C">
      <w:pPr>
        <w:rPr>
          <w:rFonts w:ascii="Arial" w:hAnsi="Arial" w:cs="Arial"/>
        </w:rPr>
      </w:pPr>
    </w:p>
    <w:p w:rsidR="008C6BDB" w:rsidRPr="00032623" w:rsidRDefault="008C6BDB" w:rsidP="00032623">
      <w:pPr>
        <w:jc w:val="center"/>
        <w:rPr>
          <w:rFonts w:ascii="Arial" w:hAnsi="Arial" w:cs="Arial"/>
          <w:b/>
          <w:bCs/>
        </w:rPr>
      </w:pPr>
      <w:r w:rsidRPr="00032623">
        <w:rPr>
          <w:rFonts w:ascii="Arial" w:hAnsi="Arial" w:cs="Arial"/>
          <w:b/>
          <w:bCs/>
        </w:rPr>
        <w:t>Table 9</w:t>
      </w:r>
    </w:p>
    <w:p w:rsidR="008C6BDB" w:rsidRDefault="00F34CCC" w:rsidP="00CF05F7">
      <w:pPr>
        <w:jc w:val="center"/>
        <w:rPr>
          <w:rFonts w:ascii="Arial" w:hAnsi="Arial" w:cs="Arial"/>
        </w:rPr>
      </w:pPr>
      <w:r>
        <w:rPr>
          <w:noProof/>
          <w:lang w:eastAsia="ko-KR"/>
        </w:rPr>
        <w:drawing>
          <wp:inline distT="0" distB="0" distL="0" distR="0">
            <wp:extent cx="3857625" cy="8191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srcRect/>
                    <a:stretch>
                      <a:fillRect/>
                    </a:stretch>
                  </pic:blipFill>
                  <pic:spPr bwMode="auto">
                    <a:xfrm>
                      <a:off x="0" y="0"/>
                      <a:ext cx="3857625" cy="819150"/>
                    </a:xfrm>
                    <a:prstGeom prst="rect">
                      <a:avLst/>
                    </a:prstGeom>
                    <a:noFill/>
                    <a:ln w="9525">
                      <a:noFill/>
                      <a:miter lim="800000"/>
                      <a:headEnd/>
                      <a:tailEnd/>
                    </a:ln>
                  </pic:spPr>
                </pic:pic>
              </a:graphicData>
            </a:graphic>
          </wp:inline>
        </w:drawing>
      </w:r>
    </w:p>
    <w:p w:rsidR="008C6BDB" w:rsidRDefault="008C6BDB" w:rsidP="00C62E2C">
      <w:pPr>
        <w:rPr>
          <w:rFonts w:ascii="Arial" w:hAnsi="Arial" w:cs="Arial"/>
        </w:rPr>
      </w:pPr>
    </w:p>
    <w:p w:rsidR="008C6BDB" w:rsidRDefault="008C6BDB" w:rsidP="00724576">
      <w:pPr>
        <w:rPr>
          <w:rFonts w:ascii="Arial" w:hAnsi="Arial" w:cs="Arial"/>
        </w:rPr>
      </w:pPr>
      <w:r>
        <w:rPr>
          <w:rFonts w:ascii="Arial" w:hAnsi="Arial" w:cs="Arial"/>
        </w:rPr>
        <w:t xml:space="preserve">Details of program savings by measure type are provided on the table below. </w:t>
      </w:r>
    </w:p>
    <w:p w:rsidR="008C6BDB" w:rsidRDefault="008C6BDB" w:rsidP="00C62E2C">
      <w:pPr>
        <w:rPr>
          <w:rFonts w:ascii="Arial" w:hAnsi="Arial" w:cs="Arial"/>
        </w:rPr>
      </w:pPr>
    </w:p>
    <w:p w:rsidR="008C6BDB" w:rsidRPr="00032623" w:rsidRDefault="008C6BDB" w:rsidP="00032623">
      <w:pPr>
        <w:jc w:val="center"/>
        <w:rPr>
          <w:rFonts w:ascii="Arial" w:hAnsi="Arial" w:cs="Arial"/>
          <w:b/>
          <w:bCs/>
        </w:rPr>
      </w:pPr>
      <w:r w:rsidRPr="00032623">
        <w:rPr>
          <w:rFonts w:ascii="Arial" w:hAnsi="Arial" w:cs="Arial"/>
          <w:b/>
          <w:bCs/>
        </w:rPr>
        <w:t>Table 10</w:t>
      </w:r>
    </w:p>
    <w:p w:rsidR="008C6BDB" w:rsidRDefault="00F34CCC" w:rsidP="00DB4080">
      <w:pPr>
        <w:jc w:val="center"/>
        <w:rPr>
          <w:rFonts w:ascii="Arial" w:hAnsi="Arial" w:cs="Arial"/>
        </w:rPr>
      </w:pPr>
      <w:r>
        <w:rPr>
          <w:noProof/>
          <w:lang w:eastAsia="ko-KR"/>
        </w:rPr>
        <w:drawing>
          <wp:inline distT="0" distB="0" distL="0" distR="0">
            <wp:extent cx="3876675" cy="136207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srcRect/>
                    <a:stretch>
                      <a:fillRect/>
                    </a:stretch>
                  </pic:blipFill>
                  <pic:spPr bwMode="auto">
                    <a:xfrm>
                      <a:off x="0" y="0"/>
                      <a:ext cx="3876675" cy="1362075"/>
                    </a:xfrm>
                    <a:prstGeom prst="rect">
                      <a:avLst/>
                    </a:prstGeom>
                    <a:noFill/>
                    <a:ln w="9525">
                      <a:noFill/>
                      <a:miter lim="800000"/>
                      <a:headEnd/>
                      <a:tailEnd/>
                    </a:ln>
                  </pic:spPr>
                </pic:pic>
              </a:graphicData>
            </a:graphic>
          </wp:inline>
        </w:drawing>
      </w:r>
    </w:p>
    <w:p w:rsidR="008C6BDB" w:rsidRDefault="008C6BDB" w:rsidP="00C62E2C">
      <w:pPr>
        <w:rPr>
          <w:rFonts w:ascii="Arial" w:hAnsi="Arial" w:cs="Arial"/>
        </w:rPr>
      </w:pPr>
    </w:p>
    <w:p w:rsidR="001357FB" w:rsidRDefault="001357FB">
      <w:pPr>
        <w:rPr>
          <w:rFonts w:ascii="Arial" w:hAnsi="Arial" w:cs="Arial"/>
        </w:rPr>
      </w:pPr>
      <w:r>
        <w:rPr>
          <w:rFonts w:ascii="Arial" w:hAnsi="Arial" w:cs="Arial"/>
        </w:rPr>
        <w:br w:type="page"/>
      </w:r>
    </w:p>
    <w:p w:rsidR="008C6BDB" w:rsidRDefault="008C6BDB" w:rsidP="00C62E2C">
      <w:pPr>
        <w:rPr>
          <w:rFonts w:ascii="Arial" w:hAnsi="Arial" w:cs="Arial"/>
        </w:rPr>
      </w:pPr>
      <w:r>
        <w:rPr>
          <w:rFonts w:ascii="Arial" w:hAnsi="Arial" w:cs="Arial"/>
        </w:rPr>
        <w:t>Major Trends and Activities:</w:t>
      </w:r>
    </w:p>
    <w:p w:rsidR="008C6BDB" w:rsidRDefault="008C6BDB">
      <w:pPr>
        <w:jc w:val="both"/>
        <w:rPr>
          <w:rFonts w:ascii="Arial" w:hAnsi="Arial" w:cs="Arial"/>
        </w:rPr>
      </w:pPr>
    </w:p>
    <w:p w:rsidR="008C6BDB" w:rsidRDefault="008C6BDB">
      <w:pPr>
        <w:jc w:val="both"/>
        <w:rPr>
          <w:rFonts w:ascii="Arial" w:hAnsi="Arial" w:cs="Arial"/>
        </w:rPr>
      </w:pPr>
      <w:r>
        <w:rPr>
          <w:rFonts w:ascii="Arial" w:hAnsi="Arial" w:cs="Arial"/>
        </w:rPr>
        <w:t>As previously noted, program changes were approved by the Commission effective October 30, 2009.  The primary changes include:</w:t>
      </w:r>
    </w:p>
    <w:p w:rsidR="008C6BDB" w:rsidRDefault="008C6BDB">
      <w:pPr>
        <w:jc w:val="both"/>
        <w:rPr>
          <w:rFonts w:ascii="Arial" w:hAnsi="Arial" w:cs="Arial"/>
        </w:rPr>
      </w:pPr>
      <w:r>
        <w:rPr>
          <w:rFonts w:ascii="Arial" w:hAnsi="Arial" w:cs="Arial"/>
        </w:rPr>
        <w:t xml:space="preserve"> </w:t>
      </w:r>
    </w:p>
    <w:p w:rsidR="008C6BDB" w:rsidRDefault="008C6BDB">
      <w:pPr>
        <w:pStyle w:val="ListParagraph"/>
        <w:numPr>
          <w:ilvl w:val="0"/>
          <w:numId w:val="21"/>
        </w:numPr>
        <w:jc w:val="both"/>
        <w:rPr>
          <w:rFonts w:ascii="Arial" w:hAnsi="Arial" w:cs="Arial"/>
        </w:rPr>
      </w:pPr>
      <w:r>
        <w:rPr>
          <w:rFonts w:ascii="Arial" w:hAnsi="Arial" w:cs="Arial"/>
        </w:rPr>
        <w:t xml:space="preserve">Addition of </w:t>
      </w:r>
      <w:r w:rsidRPr="00077366">
        <w:rPr>
          <w:rFonts w:ascii="Arial" w:hAnsi="Arial" w:cs="Arial"/>
        </w:rPr>
        <w:t>new measure categories (Food service, Appliances, Irrigation, Farm Equipment, and Compressed Air)</w:t>
      </w:r>
    </w:p>
    <w:p w:rsidR="008C6BDB" w:rsidRDefault="008C6BDB">
      <w:pPr>
        <w:pStyle w:val="ListParagraph"/>
        <w:numPr>
          <w:ilvl w:val="0"/>
          <w:numId w:val="21"/>
        </w:numPr>
        <w:jc w:val="both"/>
        <w:rPr>
          <w:rFonts w:ascii="Arial" w:hAnsi="Arial" w:cs="Arial"/>
        </w:rPr>
      </w:pPr>
      <w:r>
        <w:rPr>
          <w:rFonts w:ascii="Arial" w:hAnsi="Arial" w:cs="Arial"/>
        </w:rPr>
        <w:t>Addition of new measures to existing categories (Lighting and Lighting Controls, Motors, HVAC, Building Envelope, and Network PC Power Management)</w:t>
      </w:r>
    </w:p>
    <w:p w:rsidR="008C6BDB" w:rsidRDefault="008C6BDB">
      <w:pPr>
        <w:pStyle w:val="ListParagraph"/>
        <w:numPr>
          <w:ilvl w:val="0"/>
          <w:numId w:val="21"/>
        </w:numPr>
        <w:jc w:val="both"/>
        <w:rPr>
          <w:rFonts w:ascii="Arial" w:hAnsi="Arial" w:cs="Arial"/>
        </w:rPr>
      </w:pPr>
      <w:r>
        <w:rPr>
          <w:rFonts w:ascii="Arial" w:hAnsi="Arial" w:cs="Arial"/>
        </w:rPr>
        <w:t>Modifications to incentive levels for certain measures (mainly lighting)</w:t>
      </w:r>
    </w:p>
    <w:p w:rsidR="00215976" w:rsidRDefault="00215976" w:rsidP="00215976">
      <w:pPr>
        <w:pStyle w:val="ListParagraph"/>
        <w:numPr>
          <w:ilvl w:val="0"/>
          <w:numId w:val="21"/>
        </w:numPr>
        <w:jc w:val="both"/>
        <w:rPr>
          <w:rFonts w:ascii="Arial" w:hAnsi="Arial" w:cs="Arial"/>
        </w:rPr>
      </w:pPr>
      <w:r>
        <w:rPr>
          <w:rFonts w:ascii="Arial" w:hAnsi="Arial" w:cs="Arial"/>
        </w:rPr>
        <w:t xml:space="preserve">Addition of Schedules 33, 47T, and 53 to the list of eligible rate schedules </w:t>
      </w:r>
    </w:p>
    <w:p w:rsidR="00C45BD1" w:rsidRDefault="00C45BD1">
      <w:pPr>
        <w:ind w:left="360"/>
        <w:jc w:val="both"/>
        <w:rPr>
          <w:rFonts w:ascii="Arial" w:hAnsi="Arial" w:cs="Arial"/>
        </w:rPr>
      </w:pPr>
    </w:p>
    <w:p w:rsidR="006B4284" w:rsidRDefault="006B4284" w:rsidP="00C27914">
      <w:pPr>
        <w:spacing w:after="200" w:line="276" w:lineRule="auto"/>
        <w:rPr>
          <w:rFonts w:ascii="Arial" w:hAnsi="Arial" w:cs="Arial"/>
        </w:rPr>
      </w:pPr>
    </w:p>
    <w:p w:rsidR="00C27914" w:rsidRDefault="008C6BDB" w:rsidP="00C27914">
      <w:pPr>
        <w:spacing w:after="200" w:line="276" w:lineRule="auto"/>
        <w:rPr>
          <w:rFonts w:ascii="Arial" w:hAnsi="Arial" w:cs="Arial"/>
        </w:rPr>
      </w:pPr>
      <w:r w:rsidRPr="00C06FAB">
        <w:rPr>
          <w:rFonts w:ascii="Arial" w:hAnsi="Arial" w:cs="Arial"/>
        </w:rPr>
        <w:t>Program Evaluations:</w:t>
      </w:r>
    </w:p>
    <w:p w:rsidR="008C6BDB" w:rsidRDefault="008C6BDB">
      <w:pPr>
        <w:jc w:val="both"/>
        <w:rPr>
          <w:rFonts w:ascii="Arial" w:hAnsi="Arial" w:cs="Arial"/>
        </w:rPr>
      </w:pPr>
      <w:r w:rsidRPr="008F2726">
        <w:rPr>
          <w:rFonts w:ascii="Arial" w:hAnsi="Arial" w:cs="Arial"/>
        </w:rPr>
        <w:t xml:space="preserve">In October, 2009, the </w:t>
      </w:r>
      <w:r>
        <w:rPr>
          <w:rFonts w:ascii="Arial" w:hAnsi="Arial" w:cs="Arial"/>
        </w:rPr>
        <w:t>C</w:t>
      </w:r>
      <w:r w:rsidRPr="008F2726">
        <w:rPr>
          <w:rFonts w:ascii="Arial" w:hAnsi="Arial" w:cs="Arial"/>
        </w:rPr>
        <w:t xml:space="preserve">ompany initiated process and impact evaluations </w:t>
      </w:r>
      <w:r>
        <w:rPr>
          <w:rFonts w:ascii="Arial" w:hAnsi="Arial" w:cs="Arial"/>
        </w:rPr>
        <w:t>for the</w:t>
      </w:r>
      <w:r w:rsidRPr="008F2726">
        <w:rPr>
          <w:rFonts w:ascii="Arial" w:hAnsi="Arial" w:cs="Arial"/>
        </w:rPr>
        <w:t xml:space="preserve"> FinAnswer Express program in Washington for program years 2005 – 2008.  The </w:t>
      </w:r>
      <w:r>
        <w:rPr>
          <w:rFonts w:ascii="Arial" w:hAnsi="Arial" w:cs="Arial"/>
        </w:rPr>
        <w:t xml:space="preserve">draft </w:t>
      </w:r>
      <w:r w:rsidRPr="008F2726">
        <w:rPr>
          <w:rFonts w:ascii="Arial" w:hAnsi="Arial" w:cs="Arial"/>
        </w:rPr>
        <w:t>results of these evaluation</w:t>
      </w:r>
      <w:r>
        <w:rPr>
          <w:rFonts w:ascii="Arial" w:hAnsi="Arial" w:cs="Arial"/>
        </w:rPr>
        <w:t>s</w:t>
      </w:r>
      <w:r w:rsidRPr="008F2726">
        <w:rPr>
          <w:rFonts w:ascii="Arial" w:hAnsi="Arial" w:cs="Arial"/>
        </w:rPr>
        <w:t xml:space="preserve"> are expected to be available during the second quarter of 2010. </w:t>
      </w:r>
    </w:p>
    <w:p w:rsidR="008C6BDB" w:rsidRDefault="008C6BDB">
      <w:pPr>
        <w:rPr>
          <w:rFonts w:ascii="Arial" w:hAnsi="Arial" w:cs="Arial"/>
        </w:rPr>
      </w:pPr>
    </w:p>
    <w:p w:rsidR="008C6BDB" w:rsidRDefault="008C6BDB">
      <w:pPr>
        <w:rPr>
          <w:rFonts w:ascii="Arial" w:hAnsi="Arial" w:cs="Arial"/>
        </w:rPr>
      </w:pPr>
    </w:p>
    <w:p w:rsidR="008C6BDB" w:rsidRDefault="008C6BDB">
      <w:pPr>
        <w:spacing w:after="200" w:line="276" w:lineRule="auto"/>
        <w:rPr>
          <w:rFonts w:ascii="Arial" w:hAnsi="Arial" w:cs="Arial"/>
          <w:b/>
          <w:bCs/>
        </w:rPr>
      </w:pPr>
      <w:r>
        <w:rPr>
          <w:rFonts w:ascii="Arial" w:hAnsi="Arial" w:cs="Arial"/>
          <w:b/>
          <w:bCs/>
        </w:rPr>
        <w:br w:type="page"/>
      </w:r>
      <w:r w:rsidRPr="00641C59">
        <w:rPr>
          <w:rFonts w:ascii="Arial" w:hAnsi="Arial" w:cs="Arial"/>
          <w:b/>
          <w:bCs/>
        </w:rPr>
        <w:t>Energy FinAnswer</w:t>
      </w:r>
      <w:r w:rsidR="0087015C">
        <w:rPr>
          <w:rFonts w:ascii="Arial" w:hAnsi="Arial" w:cs="Arial"/>
          <w:b/>
          <w:bCs/>
        </w:rPr>
        <w:t xml:space="preserve"> (Schedule 125)</w:t>
      </w:r>
    </w:p>
    <w:p w:rsidR="008C6BDB" w:rsidRDefault="008C6BDB">
      <w:pPr>
        <w:jc w:val="both"/>
        <w:rPr>
          <w:rFonts w:ascii="Arial" w:hAnsi="Arial" w:cs="Arial"/>
        </w:rPr>
      </w:pPr>
      <w:r w:rsidRPr="00C62E2C">
        <w:rPr>
          <w:rFonts w:ascii="Arial" w:hAnsi="Arial" w:cs="Arial"/>
        </w:rPr>
        <w:t>The Energy FinAnswer program serves commercial</w:t>
      </w:r>
      <w:r>
        <w:rPr>
          <w:rFonts w:ascii="Arial" w:hAnsi="Arial" w:cs="Arial"/>
        </w:rPr>
        <w:t>,</w:t>
      </w:r>
      <w:r w:rsidRPr="00C62E2C">
        <w:rPr>
          <w:rFonts w:ascii="Arial" w:hAnsi="Arial" w:cs="Arial"/>
        </w:rPr>
        <w:t xml:space="preserve"> industrial</w:t>
      </w:r>
      <w:r>
        <w:rPr>
          <w:rFonts w:ascii="Arial" w:hAnsi="Arial" w:cs="Arial"/>
        </w:rPr>
        <w:t>, and agricultural</w:t>
      </w:r>
      <w:r w:rsidRPr="00C62E2C">
        <w:rPr>
          <w:rFonts w:ascii="Arial" w:hAnsi="Arial" w:cs="Arial"/>
        </w:rPr>
        <w:t xml:space="preserve"> customers for retrofits and new construction.  The program includes a vendor neutral investment grade energy analysis an</w:t>
      </w:r>
      <w:r>
        <w:rPr>
          <w:rFonts w:ascii="Arial" w:hAnsi="Arial" w:cs="Arial"/>
        </w:rPr>
        <w:t>d cash incentives equal to $0.15</w:t>
      </w:r>
      <w:r w:rsidRPr="00C62E2C">
        <w:rPr>
          <w:rFonts w:ascii="Arial" w:hAnsi="Arial" w:cs="Arial"/>
        </w:rPr>
        <w:t xml:space="preserve"> per kWh annual energy savings plus $50 per kW average</w:t>
      </w:r>
      <w:r>
        <w:rPr>
          <w:rFonts w:ascii="Arial" w:hAnsi="Arial" w:cs="Arial"/>
        </w:rPr>
        <w:t xml:space="preserve"> monthly demand savings (up to 6</w:t>
      </w:r>
      <w:r w:rsidRPr="00C62E2C">
        <w:rPr>
          <w:rFonts w:ascii="Arial" w:hAnsi="Arial" w:cs="Arial"/>
        </w:rPr>
        <w:t>0% of project costs)</w:t>
      </w:r>
      <w:r>
        <w:rPr>
          <w:rStyle w:val="FootnoteReference"/>
          <w:rFonts w:ascii="Arial" w:hAnsi="Arial" w:cs="Arial"/>
        </w:rPr>
        <w:footnoteReference w:id="7"/>
      </w:r>
      <w:r w:rsidRPr="00C62E2C">
        <w:rPr>
          <w:rFonts w:ascii="Arial" w:hAnsi="Arial" w:cs="Arial"/>
        </w:rPr>
        <w:t>.  There is a cap to prevent incentives from bringing the payback for a project below one year and a cap for lighting energy savings per project since lighting-only projects are included in FinAnswer Express.  The program includes a commissioning requirement and post-installation verification.  There are design assistance services and special incentives available for new construction and major renovation projects where energy code applies.  The program is marketed primarily via PacifiCorp account managers, trade allies, Energy FinAnswer consultants and project staff.  Other leads come via word-of-mouth, past participants returning for additional projects and a combination of other Company outreach efforts.  This program is an existing program enhanced</w:t>
      </w:r>
      <w:r w:rsidR="00DD7048">
        <w:rPr>
          <w:rFonts w:ascii="Arial" w:hAnsi="Arial" w:cs="Arial"/>
        </w:rPr>
        <w:t xml:space="preserve"> with incentives in Oct</w:t>
      </w:r>
      <w:r w:rsidR="0087015C">
        <w:rPr>
          <w:rFonts w:ascii="Arial" w:hAnsi="Arial" w:cs="Arial"/>
        </w:rPr>
        <w:t>ober</w:t>
      </w:r>
      <w:r w:rsidR="00DD7048">
        <w:rPr>
          <w:rFonts w:ascii="Arial" w:hAnsi="Arial" w:cs="Arial"/>
        </w:rPr>
        <w:t xml:space="preserve"> </w:t>
      </w:r>
      <w:r w:rsidR="00215976">
        <w:rPr>
          <w:rFonts w:ascii="Arial" w:hAnsi="Arial" w:cs="Arial"/>
        </w:rPr>
        <w:t>2000</w:t>
      </w:r>
      <w:r w:rsidR="00215976">
        <w:rPr>
          <w:rStyle w:val="FootnoteReference"/>
          <w:rFonts w:ascii="Arial" w:hAnsi="Arial" w:cs="Arial"/>
        </w:rPr>
        <w:footnoteReference w:id="8"/>
      </w:r>
      <w:r w:rsidR="00215976">
        <w:rPr>
          <w:rFonts w:ascii="Arial" w:hAnsi="Arial" w:cs="Arial"/>
        </w:rPr>
        <w:t xml:space="preserve"> </w:t>
      </w:r>
    </w:p>
    <w:p w:rsidR="008C6BDB" w:rsidRDefault="008C6BDB" w:rsidP="00C62E2C">
      <w:pPr>
        <w:rPr>
          <w:rFonts w:ascii="Arial" w:hAnsi="Arial" w:cs="Arial"/>
        </w:rPr>
      </w:pPr>
    </w:p>
    <w:p w:rsidR="008C6BDB" w:rsidRPr="00032623" w:rsidRDefault="008C6BDB" w:rsidP="00032623">
      <w:pPr>
        <w:jc w:val="center"/>
        <w:rPr>
          <w:rFonts w:ascii="Arial" w:hAnsi="Arial" w:cs="Arial"/>
          <w:b/>
          <w:bCs/>
        </w:rPr>
      </w:pPr>
      <w:r w:rsidRPr="00032623">
        <w:rPr>
          <w:rFonts w:ascii="Arial" w:hAnsi="Arial" w:cs="Arial"/>
          <w:b/>
          <w:bCs/>
        </w:rPr>
        <w:t>Table 11</w:t>
      </w:r>
    </w:p>
    <w:p w:rsidR="008C6BDB" w:rsidRDefault="00F34CCC" w:rsidP="00CF05F7">
      <w:pPr>
        <w:jc w:val="center"/>
        <w:rPr>
          <w:rFonts w:ascii="Arial" w:hAnsi="Arial" w:cs="Arial"/>
        </w:rPr>
      </w:pPr>
      <w:r>
        <w:rPr>
          <w:noProof/>
          <w:lang w:eastAsia="ko-KR"/>
        </w:rPr>
        <w:drawing>
          <wp:inline distT="0" distB="0" distL="0" distR="0">
            <wp:extent cx="3857625" cy="8191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srcRect/>
                    <a:stretch>
                      <a:fillRect/>
                    </a:stretch>
                  </pic:blipFill>
                  <pic:spPr bwMode="auto">
                    <a:xfrm>
                      <a:off x="0" y="0"/>
                      <a:ext cx="3857625" cy="819150"/>
                    </a:xfrm>
                    <a:prstGeom prst="rect">
                      <a:avLst/>
                    </a:prstGeom>
                    <a:noFill/>
                    <a:ln w="9525">
                      <a:noFill/>
                      <a:miter lim="800000"/>
                      <a:headEnd/>
                      <a:tailEnd/>
                    </a:ln>
                  </pic:spPr>
                </pic:pic>
              </a:graphicData>
            </a:graphic>
          </wp:inline>
        </w:drawing>
      </w:r>
    </w:p>
    <w:p w:rsidR="008C6BDB" w:rsidRDefault="008C6BDB" w:rsidP="00C62E2C">
      <w:pPr>
        <w:rPr>
          <w:rFonts w:ascii="Arial" w:hAnsi="Arial" w:cs="Arial"/>
        </w:rPr>
      </w:pPr>
    </w:p>
    <w:p w:rsidR="008C6BDB" w:rsidRDefault="008C6BDB" w:rsidP="00C62E2C">
      <w:pPr>
        <w:rPr>
          <w:rFonts w:ascii="Arial" w:hAnsi="Arial" w:cs="Arial"/>
        </w:rPr>
      </w:pPr>
    </w:p>
    <w:p w:rsidR="008C6BDB" w:rsidRDefault="008C6BDB" w:rsidP="00C62E2C">
      <w:pPr>
        <w:rPr>
          <w:rFonts w:ascii="Arial" w:hAnsi="Arial" w:cs="Arial"/>
        </w:rPr>
      </w:pPr>
      <w:r>
        <w:rPr>
          <w:rFonts w:ascii="Arial" w:hAnsi="Arial" w:cs="Arial"/>
        </w:rPr>
        <w:t xml:space="preserve">Details of program savings by measure type are provided on the table below. </w:t>
      </w:r>
    </w:p>
    <w:p w:rsidR="008C6BDB" w:rsidRDefault="008C6BDB" w:rsidP="00C62E2C">
      <w:pPr>
        <w:rPr>
          <w:rFonts w:ascii="Arial" w:hAnsi="Arial" w:cs="Arial"/>
        </w:rPr>
      </w:pPr>
    </w:p>
    <w:p w:rsidR="008C6BDB" w:rsidRPr="00032623" w:rsidRDefault="008C6BDB" w:rsidP="00032623">
      <w:pPr>
        <w:jc w:val="center"/>
        <w:rPr>
          <w:rFonts w:ascii="Arial" w:hAnsi="Arial" w:cs="Arial"/>
          <w:b/>
          <w:bCs/>
        </w:rPr>
      </w:pPr>
      <w:r w:rsidRPr="00032623">
        <w:rPr>
          <w:rFonts w:ascii="Arial" w:hAnsi="Arial" w:cs="Arial"/>
          <w:b/>
          <w:bCs/>
        </w:rPr>
        <w:t>Table 12</w:t>
      </w:r>
    </w:p>
    <w:p w:rsidR="008C6BDB" w:rsidRPr="00C62E2C" w:rsidRDefault="00F34CCC" w:rsidP="00641C59">
      <w:pPr>
        <w:jc w:val="center"/>
        <w:rPr>
          <w:rFonts w:ascii="Arial" w:hAnsi="Arial" w:cs="Arial"/>
        </w:rPr>
      </w:pPr>
      <w:r>
        <w:rPr>
          <w:noProof/>
          <w:lang w:eastAsia="ko-KR"/>
        </w:rPr>
        <w:drawing>
          <wp:inline distT="0" distB="0" distL="0" distR="0">
            <wp:extent cx="3876675" cy="153352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srcRect/>
                    <a:stretch>
                      <a:fillRect/>
                    </a:stretch>
                  </pic:blipFill>
                  <pic:spPr bwMode="auto">
                    <a:xfrm>
                      <a:off x="0" y="0"/>
                      <a:ext cx="3876675" cy="1533525"/>
                    </a:xfrm>
                    <a:prstGeom prst="rect">
                      <a:avLst/>
                    </a:prstGeom>
                    <a:noFill/>
                    <a:ln w="9525">
                      <a:noFill/>
                      <a:miter lim="800000"/>
                      <a:headEnd/>
                      <a:tailEnd/>
                    </a:ln>
                  </pic:spPr>
                </pic:pic>
              </a:graphicData>
            </a:graphic>
          </wp:inline>
        </w:drawing>
      </w:r>
    </w:p>
    <w:p w:rsidR="008C6BDB" w:rsidRDefault="008C6BDB" w:rsidP="004D6826">
      <w:pPr>
        <w:rPr>
          <w:rFonts w:ascii="Arial" w:hAnsi="Arial" w:cs="Arial"/>
        </w:rPr>
      </w:pPr>
    </w:p>
    <w:p w:rsidR="001357FB" w:rsidRDefault="001357FB">
      <w:pPr>
        <w:rPr>
          <w:rFonts w:ascii="Arial" w:hAnsi="Arial" w:cs="Arial"/>
        </w:rPr>
      </w:pPr>
      <w:r>
        <w:rPr>
          <w:rFonts w:ascii="Arial" w:hAnsi="Arial" w:cs="Arial"/>
        </w:rPr>
        <w:br w:type="page"/>
      </w:r>
    </w:p>
    <w:p w:rsidR="008C6BDB" w:rsidRDefault="001357FB" w:rsidP="004D6826">
      <w:pPr>
        <w:rPr>
          <w:rFonts w:ascii="Arial" w:hAnsi="Arial" w:cs="Arial"/>
        </w:rPr>
      </w:pPr>
      <w:r>
        <w:rPr>
          <w:rFonts w:ascii="Arial" w:hAnsi="Arial" w:cs="Arial"/>
        </w:rPr>
        <w:t>Major Trends and Activities</w:t>
      </w:r>
      <w:r w:rsidR="008C6BDB">
        <w:rPr>
          <w:rFonts w:ascii="Arial" w:hAnsi="Arial" w:cs="Arial"/>
        </w:rPr>
        <w:t>:</w:t>
      </w:r>
    </w:p>
    <w:p w:rsidR="008C6BDB" w:rsidRDefault="008C6BDB" w:rsidP="004D6826">
      <w:pPr>
        <w:rPr>
          <w:rFonts w:ascii="Arial" w:hAnsi="Arial" w:cs="Arial"/>
        </w:rPr>
      </w:pPr>
    </w:p>
    <w:p w:rsidR="008C6BDB" w:rsidRDefault="008C6BDB">
      <w:pPr>
        <w:jc w:val="both"/>
        <w:rPr>
          <w:rFonts w:ascii="Arial" w:hAnsi="Arial" w:cs="Arial"/>
        </w:rPr>
      </w:pPr>
      <w:r>
        <w:rPr>
          <w:rFonts w:ascii="Arial" w:hAnsi="Arial" w:cs="Arial"/>
        </w:rPr>
        <w:t>As previously noted, program changes were approved by the Commission effective October 30, 2009.  The primary changes include</w:t>
      </w:r>
      <w:r w:rsidRPr="00BA3FA2">
        <w:rPr>
          <w:rFonts w:ascii="Arial" w:hAnsi="Arial" w:cs="Arial"/>
        </w:rPr>
        <w:t>:</w:t>
      </w:r>
    </w:p>
    <w:p w:rsidR="008C6BDB" w:rsidRDefault="008C6BDB">
      <w:pPr>
        <w:pStyle w:val="ListParagraph"/>
        <w:numPr>
          <w:ilvl w:val="0"/>
          <w:numId w:val="22"/>
        </w:numPr>
        <w:jc w:val="both"/>
        <w:rPr>
          <w:rFonts w:ascii="Arial" w:hAnsi="Arial" w:cs="Arial"/>
        </w:rPr>
      </w:pPr>
      <w:r>
        <w:rPr>
          <w:rFonts w:ascii="Arial" w:hAnsi="Arial" w:cs="Arial"/>
        </w:rPr>
        <w:t xml:space="preserve">An increase in incentive levels from 12 cents/kWh + $50/KW with a cap of 50% of project costs to 15 cents/kWh + $50/KW with a Cap of 60% of project costs. </w:t>
      </w:r>
    </w:p>
    <w:p w:rsidR="008C6BDB" w:rsidRDefault="008C6BDB">
      <w:pPr>
        <w:pStyle w:val="ListParagraph"/>
        <w:numPr>
          <w:ilvl w:val="0"/>
          <w:numId w:val="22"/>
        </w:numPr>
        <w:jc w:val="both"/>
        <w:rPr>
          <w:rFonts w:ascii="Arial" w:hAnsi="Arial" w:cs="Arial"/>
        </w:rPr>
      </w:pPr>
      <w:r>
        <w:rPr>
          <w:rFonts w:ascii="Arial" w:hAnsi="Arial" w:cs="Arial"/>
        </w:rPr>
        <w:t xml:space="preserve">Removal of 75% lighting savings cap for design assistance projects for new construction/major renovation </w:t>
      </w:r>
    </w:p>
    <w:p w:rsidR="008C6BDB" w:rsidRDefault="00215976">
      <w:pPr>
        <w:pStyle w:val="ListParagraph"/>
        <w:numPr>
          <w:ilvl w:val="0"/>
          <w:numId w:val="22"/>
        </w:numPr>
        <w:jc w:val="both"/>
        <w:rPr>
          <w:rFonts w:ascii="Arial" w:hAnsi="Arial" w:cs="Arial"/>
        </w:rPr>
      </w:pPr>
      <w:r>
        <w:rPr>
          <w:rFonts w:ascii="Arial" w:hAnsi="Arial" w:cs="Arial"/>
        </w:rPr>
        <w:t>Addition of Schedules 33 and 47T to the list of eligible rate schedules</w:t>
      </w:r>
      <w:r w:rsidDel="00215976">
        <w:rPr>
          <w:rFonts w:ascii="Arial" w:hAnsi="Arial" w:cs="Arial"/>
        </w:rPr>
        <w:t xml:space="preserve"> </w:t>
      </w:r>
      <w:r w:rsidR="008C6BDB">
        <w:rPr>
          <w:rFonts w:ascii="Arial" w:hAnsi="Arial" w:cs="Arial"/>
        </w:rPr>
        <w:t>Addition of definition of Energy Efficiency Measure (EEM) Cost to better coordinate with incentives offered by natural gas companies</w:t>
      </w:r>
    </w:p>
    <w:p w:rsidR="008C6BDB" w:rsidRDefault="008C6BDB">
      <w:pPr>
        <w:jc w:val="both"/>
        <w:rPr>
          <w:rFonts w:ascii="Arial" w:hAnsi="Arial" w:cs="Arial"/>
        </w:rPr>
      </w:pPr>
    </w:p>
    <w:p w:rsidR="008C6BDB" w:rsidRDefault="008C6BDB">
      <w:pPr>
        <w:jc w:val="both"/>
        <w:rPr>
          <w:rFonts w:ascii="Arial" w:hAnsi="Arial" w:cs="Arial"/>
        </w:rPr>
      </w:pPr>
      <w:r w:rsidRPr="00C06FAB">
        <w:rPr>
          <w:rFonts w:ascii="Arial" w:hAnsi="Arial" w:cs="Arial"/>
        </w:rPr>
        <w:t>Program Evaluations:</w:t>
      </w:r>
    </w:p>
    <w:p w:rsidR="008C6BDB" w:rsidRDefault="008C6BDB">
      <w:pPr>
        <w:jc w:val="both"/>
        <w:rPr>
          <w:rFonts w:ascii="Arial" w:hAnsi="Arial" w:cs="Arial"/>
        </w:rPr>
      </w:pPr>
    </w:p>
    <w:p w:rsidR="008C6BDB" w:rsidRDefault="008C6BDB">
      <w:pPr>
        <w:jc w:val="both"/>
        <w:rPr>
          <w:rFonts w:ascii="Arial" w:hAnsi="Arial" w:cs="Arial"/>
        </w:rPr>
      </w:pPr>
      <w:r w:rsidRPr="008F2726">
        <w:rPr>
          <w:rFonts w:ascii="Arial" w:hAnsi="Arial" w:cs="Arial"/>
        </w:rPr>
        <w:t xml:space="preserve">In October, 2009, the </w:t>
      </w:r>
      <w:r>
        <w:rPr>
          <w:rFonts w:ascii="Arial" w:hAnsi="Arial" w:cs="Arial"/>
        </w:rPr>
        <w:t>C</w:t>
      </w:r>
      <w:r w:rsidRPr="008F2726">
        <w:rPr>
          <w:rFonts w:ascii="Arial" w:hAnsi="Arial" w:cs="Arial"/>
        </w:rPr>
        <w:t xml:space="preserve">ompany initiated process and impact evaluations for </w:t>
      </w:r>
      <w:r>
        <w:rPr>
          <w:rFonts w:ascii="Arial" w:hAnsi="Arial" w:cs="Arial"/>
        </w:rPr>
        <w:t xml:space="preserve">the </w:t>
      </w:r>
      <w:r w:rsidRPr="008F2726">
        <w:rPr>
          <w:rFonts w:ascii="Arial" w:hAnsi="Arial" w:cs="Arial"/>
        </w:rPr>
        <w:t xml:space="preserve">Energy FinAnswer </w:t>
      </w:r>
      <w:r>
        <w:rPr>
          <w:rFonts w:ascii="Arial" w:hAnsi="Arial" w:cs="Arial"/>
        </w:rPr>
        <w:t xml:space="preserve">program </w:t>
      </w:r>
      <w:r w:rsidRPr="008F2726">
        <w:rPr>
          <w:rFonts w:ascii="Arial" w:hAnsi="Arial" w:cs="Arial"/>
        </w:rPr>
        <w:t xml:space="preserve">for program years 2005 – 2008.  The </w:t>
      </w:r>
      <w:r>
        <w:rPr>
          <w:rFonts w:ascii="Arial" w:hAnsi="Arial" w:cs="Arial"/>
        </w:rPr>
        <w:t xml:space="preserve">draft </w:t>
      </w:r>
      <w:r w:rsidRPr="008F2726">
        <w:rPr>
          <w:rFonts w:ascii="Arial" w:hAnsi="Arial" w:cs="Arial"/>
        </w:rPr>
        <w:t>results of these evaluation</w:t>
      </w:r>
      <w:r>
        <w:rPr>
          <w:rFonts w:ascii="Arial" w:hAnsi="Arial" w:cs="Arial"/>
        </w:rPr>
        <w:t>s</w:t>
      </w:r>
      <w:r w:rsidRPr="008F2726">
        <w:rPr>
          <w:rFonts w:ascii="Arial" w:hAnsi="Arial" w:cs="Arial"/>
        </w:rPr>
        <w:t xml:space="preserve"> are expected to be available during the second quarter of 2010. </w:t>
      </w:r>
    </w:p>
    <w:p w:rsidR="008C6BDB" w:rsidRDefault="008C6BDB" w:rsidP="004D6826">
      <w:pPr>
        <w:rPr>
          <w:rFonts w:ascii="Arial" w:hAnsi="Arial" w:cs="Arial"/>
        </w:rPr>
      </w:pPr>
    </w:p>
    <w:p w:rsidR="008C6BDB" w:rsidRPr="00D649F1" w:rsidRDefault="008C6BDB" w:rsidP="004D6826">
      <w:pPr>
        <w:rPr>
          <w:rFonts w:ascii="Arial" w:hAnsi="Arial" w:cs="Arial"/>
        </w:rPr>
      </w:pPr>
    </w:p>
    <w:p w:rsidR="008C6BDB" w:rsidRDefault="008C6BDB">
      <w:pPr>
        <w:spacing w:after="200" w:line="276" w:lineRule="auto"/>
        <w:rPr>
          <w:rFonts w:ascii="Arial" w:hAnsi="Arial" w:cs="Arial"/>
          <w:b/>
          <w:bCs/>
          <w:kern w:val="32"/>
          <w:sz w:val="32"/>
          <w:szCs w:val="32"/>
        </w:rPr>
      </w:pPr>
      <w:r>
        <w:br w:type="page"/>
      </w:r>
    </w:p>
    <w:p w:rsidR="008C6BDB" w:rsidRPr="00EC1594" w:rsidRDefault="008C6BDB" w:rsidP="00EC1594">
      <w:pPr>
        <w:pStyle w:val="Heading1"/>
      </w:pPr>
      <w:bookmarkStart w:id="14" w:name="_Toc253471338"/>
      <w:r w:rsidRPr="00EC1594">
        <w:t>Overall Expenditures and Results</w:t>
      </w:r>
      <w:r>
        <w:rPr>
          <w:rStyle w:val="FootnoteReference"/>
          <w:rFonts w:cs="Times New Roman"/>
        </w:rPr>
        <w:footnoteReference w:id="9"/>
      </w:r>
      <w:r w:rsidRPr="00EC1594">
        <w:t>:</w:t>
      </w:r>
      <w:bookmarkEnd w:id="14"/>
    </w:p>
    <w:p w:rsidR="008C6BDB" w:rsidRDefault="008C6BDB" w:rsidP="004403B9">
      <w:pPr>
        <w:rPr>
          <w:rFonts w:ascii="Arial" w:hAnsi="Arial" w:cs="Arial"/>
        </w:rPr>
      </w:pPr>
    </w:p>
    <w:p w:rsidR="008C6BDB" w:rsidRDefault="00F34CCC" w:rsidP="009764E7">
      <w:pPr>
        <w:jc w:val="center"/>
        <w:rPr>
          <w:rFonts w:ascii="Arial" w:hAnsi="Arial" w:cs="Arial"/>
        </w:rPr>
      </w:pPr>
      <w:r>
        <w:rPr>
          <w:noProof/>
          <w:lang w:eastAsia="ko-KR"/>
        </w:rPr>
        <w:drawing>
          <wp:inline distT="0" distB="0" distL="0" distR="0">
            <wp:extent cx="4124325" cy="3495675"/>
            <wp:effectExtent l="19050" t="0" r="9525" b="0"/>
            <wp:docPr id="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srcRect/>
                    <a:stretch>
                      <a:fillRect/>
                    </a:stretch>
                  </pic:blipFill>
                  <pic:spPr bwMode="auto">
                    <a:xfrm>
                      <a:off x="0" y="0"/>
                      <a:ext cx="4124325" cy="3495675"/>
                    </a:xfrm>
                    <a:prstGeom prst="rect">
                      <a:avLst/>
                    </a:prstGeom>
                    <a:noFill/>
                    <a:ln w="9525">
                      <a:noFill/>
                      <a:miter lim="800000"/>
                      <a:headEnd/>
                      <a:tailEnd/>
                    </a:ln>
                  </pic:spPr>
                </pic:pic>
              </a:graphicData>
            </a:graphic>
          </wp:inline>
        </w:drawing>
      </w:r>
    </w:p>
    <w:p w:rsidR="008C6BDB" w:rsidRDefault="008C6BDB" w:rsidP="009764E7">
      <w:pPr>
        <w:jc w:val="center"/>
        <w:rPr>
          <w:rFonts w:ascii="Arial" w:hAnsi="Arial" w:cs="Arial"/>
        </w:rPr>
      </w:pPr>
    </w:p>
    <w:p w:rsidR="008C6BDB" w:rsidRPr="00104615" w:rsidRDefault="00F34CCC" w:rsidP="00F60719">
      <w:pPr>
        <w:jc w:val="center"/>
        <w:rPr>
          <w:rFonts w:ascii="Arial" w:hAnsi="Arial" w:cs="Arial"/>
        </w:rPr>
      </w:pPr>
      <w:r>
        <w:rPr>
          <w:noProof/>
          <w:lang w:eastAsia="ko-KR"/>
        </w:rPr>
        <w:drawing>
          <wp:inline distT="0" distB="0" distL="0" distR="0">
            <wp:extent cx="4171950" cy="3495675"/>
            <wp:effectExtent l="1905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a:srcRect/>
                    <a:stretch>
                      <a:fillRect/>
                    </a:stretch>
                  </pic:blipFill>
                  <pic:spPr bwMode="auto">
                    <a:xfrm>
                      <a:off x="0" y="0"/>
                      <a:ext cx="4171950" cy="3495675"/>
                    </a:xfrm>
                    <a:prstGeom prst="rect">
                      <a:avLst/>
                    </a:prstGeom>
                    <a:noFill/>
                    <a:ln w="9525">
                      <a:noFill/>
                      <a:miter lim="800000"/>
                      <a:headEnd/>
                      <a:tailEnd/>
                    </a:ln>
                  </pic:spPr>
                </pic:pic>
              </a:graphicData>
            </a:graphic>
          </wp:inline>
        </w:drawing>
      </w:r>
    </w:p>
    <w:p w:rsidR="008C6BDB" w:rsidRPr="00104615" w:rsidRDefault="008C6BDB" w:rsidP="003D60AE">
      <w:pPr>
        <w:pStyle w:val="Heading1"/>
      </w:pPr>
      <w:bookmarkStart w:id="15" w:name="_Toc253471339"/>
      <w:r>
        <w:t xml:space="preserve">System Benefit Charge </w:t>
      </w:r>
      <w:r w:rsidRPr="00104615">
        <w:t>Balancing Account Summary</w:t>
      </w:r>
      <w:bookmarkEnd w:id="15"/>
    </w:p>
    <w:p w:rsidR="008C6BDB" w:rsidRPr="00C5087B" w:rsidRDefault="008C6BDB" w:rsidP="00264E3A">
      <w:pPr>
        <w:spacing w:line="276" w:lineRule="auto"/>
        <w:rPr>
          <w:rFonts w:ascii="Arial" w:hAnsi="Arial" w:cs="Arial"/>
          <w:sz w:val="16"/>
          <w:szCs w:val="16"/>
        </w:rPr>
      </w:pPr>
    </w:p>
    <w:p w:rsidR="008C6BDB" w:rsidRDefault="008C6BDB">
      <w:pPr>
        <w:jc w:val="both"/>
        <w:rPr>
          <w:rFonts w:ascii="Arial" w:hAnsi="Arial" w:cs="Arial"/>
        </w:rPr>
      </w:pPr>
      <w:r>
        <w:rPr>
          <w:rFonts w:ascii="Arial" w:hAnsi="Arial" w:cs="Arial"/>
        </w:rPr>
        <w:t>Demand Side Management activities are funded through Schedule 191, DSM System Benefit Charge.   Expenses for DSM expenditures are charged as incurred and collected from the System Benefit Charge.  The DSM balancing account is the mechanism used for managing the revenue collected and expenses incurred in the provision of Demand Side Management programs.  The DSM balancing account activity for 2009 is outlined in the table below.</w:t>
      </w:r>
    </w:p>
    <w:p w:rsidR="008C6BDB" w:rsidRPr="001D4C2F" w:rsidRDefault="008C6BDB" w:rsidP="00264E3A">
      <w:pPr>
        <w:rPr>
          <w:rFonts w:ascii="Arial" w:hAnsi="Arial" w:cs="Arial"/>
          <w:noProof/>
          <w:lang w:eastAsia="en-US"/>
        </w:rPr>
      </w:pPr>
    </w:p>
    <w:p w:rsidR="008C6BDB" w:rsidRPr="001D4C2F" w:rsidRDefault="008C6BDB" w:rsidP="001D4C2F">
      <w:pPr>
        <w:jc w:val="center"/>
        <w:rPr>
          <w:rFonts w:ascii="Arial" w:hAnsi="Arial" w:cs="Arial"/>
          <w:b/>
          <w:bCs/>
          <w:noProof/>
          <w:lang w:eastAsia="en-US"/>
        </w:rPr>
      </w:pPr>
      <w:r w:rsidRPr="001D4C2F">
        <w:rPr>
          <w:rFonts w:ascii="Arial" w:hAnsi="Arial" w:cs="Arial"/>
          <w:b/>
          <w:bCs/>
          <w:noProof/>
          <w:lang w:eastAsia="en-US"/>
        </w:rPr>
        <w:t>Table 13</w:t>
      </w:r>
    </w:p>
    <w:p w:rsidR="008C6BDB" w:rsidRDefault="001357FB" w:rsidP="00CF05F7">
      <w:pPr>
        <w:jc w:val="center"/>
      </w:pPr>
      <w:r w:rsidRPr="001357FB">
        <w:rPr>
          <w:noProof/>
          <w:lang w:eastAsia="ko-KR"/>
        </w:rPr>
        <w:drawing>
          <wp:inline distT="0" distB="0" distL="0" distR="0">
            <wp:extent cx="4467225" cy="2895600"/>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srcRect/>
                    <a:stretch>
                      <a:fillRect/>
                    </a:stretch>
                  </pic:blipFill>
                  <pic:spPr bwMode="auto">
                    <a:xfrm>
                      <a:off x="0" y="0"/>
                      <a:ext cx="4467225" cy="2895600"/>
                    </a:xfrm>
                    <a:prstGeom prst="rect">
                      <a:avLst/>
                    </a:prstGeom>
                    <a:noFill/>
                    <a:ln w="9525">
                      <a:noFill/>
                      <a:miter lim="800000"/>
                      <a:headEnd/>
                      <a:tailEnd/>
                    </a:ln>
                  </pic:spPr>
                </pic:pic>
              </a:graphicData>
            </a:graphic>
          </wp:inline>
        </w:drawing>
      </w:r>
    </w:p>
    <w:p w:rsidR="008C6BDB" w:rsidRDefault="008C6BDB" w:rsidP="00264E3A">
      <w:pPr>
        <w:jc w:val="center"/>
      </w:pPr>
    </w:p>
    <w:p w:rsidR="008C6BDB" w:rsidRPr="00E21DEA" w:rsidRDefault="008C6BDB" w:rsidP="00264E3A">
      <w:pPr>
        <w:spacing w:line="276" w:lineRule="auto"/>
        <w:rPr>
          <w:rFonts w:ascii="Arial" w:hAnsi="Arial" w:cs="Arial"/>
        </w:rPr>
      </w:pPr>
      <w:r w:rsidRPr="00E21DEA">
        <w:rPr>
          <w:rFonts w:ascii="Arial" w:hAnsi="Arial" w:cs="Arial"/>
        </w:rPr>
        <w:t>Column Explanations:</w:t>
      </w:r>
    </w:p>
    <w:p w:rsidR="008C6BDB" w:rsidRPr="002940D7" w:rsidRDefault="008C6BDB" w:rsidP="00915479">
      <w:pPr>
        <w:spacing w:line="276" w:lineRule="auto"/>
        <w:ind w:left="720"/>
        <w:rPr>
          <w:rFonts w:ascii="Arial" w:hAnsi="Arial" w:cs="Arial"/>
          <w:sz w:val="22"/>
          <w:szCs w:val="22"/>
        </w:rPr>
      </w:pPr>
      <w:r w:rsidRPr="002940D7">
        <w:rPr>
          <w:rFonts w:ascii="Arial" w:hAnsi="Arial" w:cs="Arial"/>
          <w:sz w:val="22"/>
          <w:szCs w:val="22"/>
          <w:u w:val="single"/>
        </w:rPr>
        <w:t>Deferred Expenditures</w:t>
      </w:r>
      <w:r w:rsidRPr="002940D7">
        <w:rPr>
          <w:rFonts w:ascii="Arial" w:hAnsi="Arial" w:cs="Arial"/>
          <w:sz w:val="22"/>
          <w:szCs w:val="22"/>
        </w:rPr>
        <w:t xml:space="preserve">: Monthly expenditures for all DSM program activities, including funding for </w:t>
      </w:r>
      <w:r>
        <w:rPr>
          <w:rFonts w:ascii="Arial" w:hAnsi="Arial" w:cs="Arial"/>
          <w:sz w:val="22"/>
          <w:szCs w:val="22"/>
        </w:rPr>
        <w:t xml:space="preserve">the </w:t>
      </w:r>
      <w:r w:rsidRPr="002940D7">
        <w:rPr>
          <w:rFonts w:ascii="Arial" w:hAnsi="Arial" w:cs="Arial"/>
          <w:sz w:val="22"/>
          <w:szCs w:val="22"/>
        </w:rPr>
        <w:t>N</w:t>
      </w:r>
      <w:r>
        <w:rPr>
          <w:rFonts w:ascii="Arial" w:hAnsi="Arial" w:cs="Arial"/>
          <w:sz w:val="22"/>
          <w:szCs w:val="22"/>
        </w:rPr>
        <w:t xml:space="preserve">orthwest </w:t>
      </w:r>
      <w:r w:rsidRPr="002940D7">
        <w:rPr>
          <w:rFonts w:ascii="Arial" w:hAnsi="Arial" w:cs="Arial"/>
          <w:sz w:val="22"/>
          <w:szCs w:val="22"/>
        </w:rPr>
        <w:t>E</w:t>
      </w:r>
      <w:r>
        <w:rPr>
          <w:rFonts w:ascii="Arial" w:hAnsi="Arial" w:cs="Arial"/>
          <w:sz w:val="22"/>
          <w:szCs w:val="22"/>
        </w:rPr>
        <w:t xml:space="preserve">nergy </w:t>
      </w:r>
      <w:r w:rsidRPr="002940D7">
        <w:rPr>
          <w:rFonts w:ascii="Arial" w:hAnsi="Arial" w:cs="Arial"/>
          <w:sz w:val="22"/>
          <w:szCs w:val="22"/>
        </w:rPr>
        <w:t>E</w:t>
      </w:r>
      <w:r>
        <w:rPr>
          <w:rFonts w:ascii="Arial" w:hAnsi="Arial" w:cs="Arial"/>
          <w:sz w:val="22"/>
          <w:szCs w:val="22"/>
        </w:rPr>
        <w:t xml:space="preserve">fficiency </w:t>
      </w:r>
      <w:r w:rsidRPr="002940D7">
        <w:rPr>
          <w:rFonts w:ascii="Arial" w:hAnsi="Arial" w:cs="Arial"/>
          <w:sz w:val="22"/>
          <w:szCs w:val="22"/>
        </w:rPr>
        <w:t>A</w:t>
      </w:r>
      <w:r>
        <w:rPr>
          <w:rFonts w:ascii="Arial" w:hAnsi="Arial" w:cs="Arial"/>
          <w:sz w:val="22"/>
          <w:szCs w:val="22"/>
        </w:rPr>
        <w:t>lliance</w:t>
      </w:r>
      <w:r w:rsidRPr="002940D7">
        <w:rPr>
          <w:rFonts w:ascii="Arial" w:hAnsi="Arial" w:cs="Arial"/>
          <w:sz w:val="22"/>
          <w:szCs w:val="22"/>
        </w:rPr>
        <w:t>.</w:t>
      </w:r>
    </w:p>
    <w:p w:rsidR="008C6BDB" w:rsidRPr="002940D7" w:rsidRDefault="008C6BDB" w:rsidP="00915479">
      <w:pPr>
        <w:spacing w:line="276" w:lineRule="auto"/>
        <w:ind w:left="720"/>
        <w:rPr>
          <w:rFonts w:ascii="Arial" w:hAnsi="Arial" w:cs="Arial"/>
          <w:sz w:val="22"/>
          <w:szCs w:val="22"/>
        </w:rPr>
      </w:pPr>
      <w:r w:rsidRPr="002940D7">
        <w:rPr>
          <w:rFonts w:ascii="Arial" w:hAnsi="Arial" w:cs="Arial"/>
          <w:sz w:val="22"/>
          <w:szCs w:val="22"/>
          <w:u w:val="single"/>
        </w:rPr>
        <w:t>Revenue Collected</w:t>
      </w:r>
      <w:r w:rsidRPr="002940D7">
        <w:rPr>
          <w:rFonts w:ascii="Arial" w:hAnsi="Arial" w:cs="Arial"/>
          <w:sz w:val="22"/>
          <w:szCs w:val="22"/>
        </w:rPr>
        <w:t xml:space="preserve">: Revenue collected through Schedule 191, System Benefit Charge. </w:t>
      </w:r>
    </w:p>
    <w:p w:rsidR="008C6BDB" w:rsidRPr="002940D7" w:rsidRDefault="008C6BDB" w:rsidP="00915479">
      <w:pPr>
        <w:spacing w:line="276" w:lineRule="auto"/>
        <w:ind w:left="720"/>
        <w:rPr>
          <w:rFonts w:ascii="Arial" w:hAnsi="Arial" w:cs="Arial"/>
          <w:sz w:val="22"/>
          <w:szCs w:val="22"/>
        </w:rPr>
      </w:pPr>
      <w:r w:rsidRPr="002940D7">
        <w:rPr>
          <w:rFonts w:ascii="Arial" w:hAnsi="Arial" w:cs="Arial"/>
          <w:sz w:val="22"/>
          <w:szCs w:val="22"/>
          <w:u w:val="single"/>
        </w:rPr>
        <w:t>Carrying Charge</w:t>
      </w:r>
      <w:r w:rsidRPr="002940D7">
        <w:rPr>
          <w:rFonts w:ascii="Arial" w:hAnsi="Arial" w:cs="Arial"/>
          <w:sz w:val="22"/>
          <w:szCs w:val="22"/>
        </w:rPr>
        <w:t>: Monthly charge based on “Accumulat</w:t>
      </w:r>
      <w:r>
        <w:rPr>
          <w:rFonts w:ascii="Arial" w:hAnsi="Arial" w:cs="Arial"/>
          <w:sz w:val="22"/>
          <w:szCs w:val="22"/>
        </w:rPr>
        <w:t>ive</w:t>
      </w:r>
      <w:r w:rsidRPr="002940D7">
        <w:rPr>
          <w:rFonts w:ascii="Arial" w:hAnsi="Arial" w:cs="Arial"/>
          <w:sz w:val="22"/>
          <w:szCs w:val="22"/>
        </w:rPr>
        <w:t xml:space="preserve"> Balance” of the account, accrued when cumulative revenue exceeds cumulative expenditures.</w:t>
      </w:r>
    </w:p>
    <w:p w:rsidR="008C6BDB" w:rsidRPr="002940D7" w:rsidRDefault="008C6BDB" w:rsidP="00915479">
      <w:pPr>
        <w:spacing w:line="276" w:lineRule="auto"/>
        <w:ind w:left="720"/>
        <w:rPr>
          <w:rFonts w:ascii="Arial" w:hAnsi="Arial" w:cs="Arial"/>
          <w:sz w:val="22"/>
          <w:szCs w:val="22"/>
        </w:rPr>
      </w:pPr>
      <w:r w:rsidRPr="002940D7">
        <w:rPr>
          <w:rFonts w:ascii="Arial" w:hAnsi="Arial" w:cs="Arial"/>
          <w:sz w:val="22"/>
          <w:szCs w:val="22"/>
          <w:u w:val="single"/>
        </w:rPr>
        <w:t>Accumulat</w:t>
      </w:r>
      <w:r>
        <w:rPr>
          <w:rFonts w:ascii="Arial" w:hAnsi="Arial" w:cs="Arial"/>
          <w:sz w:val="22"/>
          <w:szCs w:val="22"/>
          <w:u w:val="single"/>
        </w:rPr>
        <w:t>ive</w:t>
      </w:r>
      <w:r w:rsidRPr="002940D7">
        <w:rPr>
          <w:rFonts w:ascii="Arial" w:hAnsi="Arial" w:cs="Arial"/>
          <w:sz w:val="22"/>
          <w:szCs w:val="22"/>
          <w:u w:val="single"/>
        </w:rPr>
        <w:t xml:space="preserve"> Balance</w:t>
      </w:r>
      <w:r w:rsidRPr="002940D7">
        <w:rPr>
          <w:rFonts w:ascii="Arial" w:hAnsi="Arial" w:cs="Arial"/>
          <w:sz w:val="22"/>
          <w:szCs w:val="22"/>
        </w:rPr>
        <w:t xml:space="preserve">: Current balance of the account.  A running total of account activities.  </w:t>
      </w:r>
      <w:r w:rsidR="0065692B">
        <w:rPr>
          <w:rFonts w:ascii="Arial" w:hAnsi="Arial" w:cs="Arial"/>
          <w:sz w:val="22"/>
          <w:szCs w:val="22"/>
        </w:rPr>
        <w:t xml:space="preserve"> </w:t>
      </w:r>
      <w:r w:rsidRPr="002940D7">
        <w:rPr>
          <w:rFonts w:ascii="Arial" w:hAnsi="Arial" w:cs="Arial"/>
          <w:sz w:val="22"/>
          <w:szCs w:val="22"/>
        </w:rPr>
        <w:t xml:space="preserve">If more is collected in “Revenue” than is spent “Monthly Program Costs” for a given month, then the Accumulated Balance” will be increased by the net amount. </w:t>
      </w:r>
      <w:r w:rsidR="00215976">
        <w:rPr>
          <w:rFonts w:ascii="Arial" w:hAnsi="Arial" w:cs="Arial"/>
          <w:sz w:val="22"/>
          <w:szCs w:val="22"/>
        </w:rPr>
        <w:t xml:space="preserve">A negative accumulative balance </w:t>
      </w:r>
      <w:r w:rsidR="0065692B">
        <w:rPr>
          <w:rFonts w:ascii="Arial" w:hAnsi="Arial" w:cs="Arial"/>
          <w:sz w:val="22"/>
          <w:szCs w:val="22"/>
        </w:rPr>
        <w:t xml:space="preserve">means </w:t>
      </w:r>
      <w:r w:rsidR="00215976">
        <w:rPr>
          <w:rFonts w:ascii="Arial" w:hAnsi="Arial" w:cs="Arial"/>
          <w:sz w:val="22"/>
          <w:szCs w:val="22"/>
        </w:rPr>
        <w:t>cumulative revenue exceeds cumulative expenditures</w:t>
      </w:r>
      <w:r w:rsidR="0065692B">
        <w:rPr>
          <w:rFonts w:ascii="Arial" w:hAnsi="Arial" w:cs="Arial"/>
          <w:sz w:val="22"/>
          <w:szCs w:val="22"/>
        </w:rPr>
        <w:t xml:space="preserve">; positive </w:t>
      </w:r>
      <w:r w:rsidR="00215976">
        <w:rPr>
          <w:rFonts w:ascii="Arial" w:hAnsi="Arial" w:cs="Arial"/>
          <w:sz w:val="22"/>
          <w:szCs w:val="22"/>
        </w:rPr>
        <w:t>accumulative balance means cumulative expenditures exceed cumulative revenue</w:t>
      </w:r>
      <w:r w:rsidR="0065692B">
        <w:rPr>
          <w:rFonts w:ascii="Arial" w:hAnsi="Arial" w:cs="Arial"/>
          <w:sz w:val="22"/>
          <w:szCs w:val="22"/>
        </w:rPr>
        <w:t>.</w:t>
      </w:r>
    </w:p>
    <w:p w:rsidR="008C6BDB" w:rsidRPr="002940D7" w:rsidRDefault="008C6BDB" w:rsidP="00264E3A">
      <w:pPr>
        <w:spacing w:line="276" w:lineRule="auto"/>
        <w:rPr>
          <w:rFonts w:ascii="Arial" w:hAnsi="Arial" w:cs="Arial"/>
          <w:sz w:val="22"/>
          <w:szCs w:val="22"/>
        </w:rPr>
      </w:pPr>
    </w:p>
    <w:p w:rsidR="008C6BDB" w:rsidRDefault="008C6BDB">
      <w:pPr>
        <w:spacing w:line="276" w:lineRule="auto"/>
        <w:jc w:val="both"/>
        <w:rPr>
          <w:rFonts w:ascii="Arial" w:hAnsi="Arial" w:cs="Arial"/>
        </w:rPr>
      </w:pPr>
      <w:r>
        <w:rPr>
          <w:rFonts w:ascii="Arial" w:hAnsi="Arial" w:cs="Arial"/>
        </w:rPr>
        <w:t>During calendar year 2009, the balance in the System Benefits Charge account increased by $1.66 million.  Therefore, PacifiCorp collected $1.66 million less tha</w:t>
      </w:r>
      <w:r w:rsidR="00515802">
        <w:rPr>
          <w:rFonts w:ascii="Arial" w:hAnsi="Arial" w:cs="Arial"/>
        </w:rPr>
        <w:t>n was spent on program delivery during the year.</w:t>
      </w:r>
    </w:p>
    <w:p w:rsidR="008C6BDB" w:rsidRDefault="008C6BDB" w:rsidP="00264E3A">
      <w:pPr>
        <w:spacing w:line="276" w:lineRule="auto"/>
        <w:rPr>
          <w:rFonts w:ascii="Arial" w:hAnsi="Arial" w:cs="Arial"/>
        </w:rPr>
      </w:pPr>
    </w:p>
    <w:p w:rsidR="008C6BDB" w:rsidRDefault="008C6BDB">
      <w:pPr>
        <w:spacing w:line="276" w:lineRule="auto"/>
        <w:jc w:val="both"/>
        <w:rPr>
          <w:rFonts w:ascii="Arial" w:hAnsi="Arial" w:cs="Arial"/>
        </w:rPr>
      </w:pPr>
      <w:r>
        <w:rPr>
          <w:rFonts w:ascii="Arial" w:hAnsi="Arial" w:cs="Arial"/>
        </w:rPr>
        <w:t xml:space="preserve">The System Benefit Charge was increased </w:t>
      </w:r>
      <w:r w:rsidRPr="002940D7">
        <w:rPr>
          <w:rFonts w:ascii="Arial" w:hAnsi="Arial" w:cs="Arial"/>
        </w:rPr>
        <w:t>from approximately $4.5 million (1.7% of revenue) on an annual basis to approximately $8.8 million annually (3.5% of revenue).  The</w:t>
      </w:r>
      <w:r>
        <w:rPr>
          <w:rFonts w:ascii="Arial" w:hAnsi="Arial" w:cs="Arial"/>
        </w:rPr>
        <w:t xml:space="preserve"> SBC increase was requested in Advice No. 09-05 and became effective on October 30, 2009.  The increase will more closely match DSM expenditures with revenue collection and reduce the accumulated balance </w:t>
      </w:r>
      <w:r w:rsidR="0065692B">
        <w:rPr>
          <w:rFonts w:ascii="Arial" w:hAnsi="Arial" w:cs="Arial"/>
        </w:rPr>
        <w:t>i</w:t>
      </w:r>
      <w:r>
        <w:rPr>
          <w:rFonts w:ascii="Arial" w:hAnsi="Arial" w:cs="Arial"/>
        </w:rPr>
        <w:t xml:space="preserve">n the account. </w:t>
      </w:r>
    </w:p>
    <w:p w:rsidR="008C6BDB" w:rsidRDefault="008C6BDB">
      <w:pPr>
        <w:rPr>
          <w:rFonts w:ascii="Arial" w:hAnsi="Arial" w:cs="Arial"/>
        </w:rPr>
      </w:pPr>
    </w:p>
    <w:p w:rsidR="008C6BDB" w:rsidRDefault="008C6BDB">
      <w:pPr>
        <w:spacing w:after="200" w:line="276" w:lineRule="auto"/>
        <w:rPr>
          <w:rFonts w:ascii="Arial" w:hAnsi="Arial" w:cs="Arial"/>
        </w:rPr>
      </w:pPr>
      <w:r>
        <w:rPr>
          <w:rFonts w:ascii="Arial" w:hAnsi="Arial" w:cs="Arial"/>
        </w:rPr>
        <w:br w:type="page"/>
      </w:r>
    </w:p>
    <w:p w:rsidR="008C6BDB" w:rsidRPr="00104615" w:rsidRDefault="008C6BDB" w:rsidP="006645C5">
      <w:pPr>
        <w:pStyle w:val="Heading1"/>
        <w:rPr>
          <w:rFonts w:cs="Times New Roman"/>
        </w:rPr>
      </w:pPr>
      <w:bookmarkStart w:id="16" w:name="_Toc253471340"/>
      <w:r>
        <w:rPr>
          <w:b w:val="0"/>
          <w:bCs w:val="0"/>
        </w:rPr>
        <w:t>Appendix:</w:t>
      </w:r>
      <w:bookmarkEnd w:id="16"/>
    </w:p>
    <w:p w:rsidR="008C6BDB" w:rsidRDefault="008C6BDB">
      <w:pPr>
        <w:rPr>
          <w:rFonts w:ascii="Arial" w:hAnsi="Arial" w:cs="Arial"/>
        </w:rPr>
      </w:pPr>
    </w:p>
    <w:p w:rsidR="008C6BDB" w:rsidRDefault="008C6BDB">
      <w:pPr>
        <w:rPr>
          <w:rFonts w:ascii="Arial" w:hAnsi="Arial" w:cs="Arial"/>
        </w:rPr>
      </w:pPr>
      <w:r>
        <w:rPr>
          <w:rFonts w:ascii="Arial" w:hAnsi="Arial" w:cs="Arial"/>
        </w:rPr>
        <w:t xml:space="preserve">“Assessment of Washington Energy Education in Schools – 2008-2009 Program Year”, October 8, 2009, by the Cadmus Group is attached as a separate document for reference. </w:t>
      </w:r>
    </w:p>
    <w:p w:rsidR="008C6BDB" w:rsidRPr="00972D86" w:rsidRDefault="008C6BDB">
      <w:pPr>
        <w:rPr>
          <w:rFonts w:ascii="Arial" w:hAnsi="Arial" w:cs="Arial"/>
        </w:rPr>
      </w:pPr>
    </w:p>
    <w:sectPr w:rsidR="008C6BDB" w:rsidRPr="00972D86" w:rsidSect="000F136B">
      <w:headerReference w:type="even" r:id="rId23"/>
      <w:headerReference w:type="default" r:id="rId24"/>
      <w:footerReference w:type="even" r:id="rId25"/>
      <w:footerReference w:type="default" r:id="rId26"/>
      <w:headerReference w:type="first" r:id="rId27"/>
      <w:footerReference w:type="first" r:id="rId28"/>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3159" w:rsidRDefault="00473159" w:rsidP="00972D86">
      <w:r>
        <w:separator/>
      </w:r>
    </w:p>
  </w:endnote>
  <w:endnote w:type="continuationSeparator" w:id="0">
    <w:p w:rsidR="00473159" w:rsidRDefault="00473159" w:rsidP="00972D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20002A87" w:usb1="80000000" w:usb2="00000008"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Narrow">
    <w:panose1 w:val="020B05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 w:name="Malgun Gothic">
    <w:panose1 w:val="00000000000000000000"/>
    <w:charset w:val="81"/>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7AC" w:rsidRDefault="00A427A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BDB" w:rsidRPr="007B76B3" w:rsidRDefault="008C6BDB">
    <w:pPr>
      <w:pStyle w:val="Footer"/>
      <w:rPr>
        <w:sz w:val="16"/>
        <w:szCs w:val="16"/>
      </w:rPr>
    </w:pPr>
    <w:r w:rsidRPr="007B76B3">
      <w:rPr>
        <w:sz w:val="16"/>
        <w:szCs w:val="16"/>
      </w:rPr>
      <w:tab/>
    </w:r>
    <w:r w:rsidR="000C0495" w:rsidRPr="007B76B3">
      <w:rPr>
        <w:sz w:val="16"/>
        <w:szCs w:val="16"/>
      </w:rPr>
      <w:fldChar w:fldCharType="begin"/>
    </w:r>
    <w:r w:rsidRPr="007B76B3">
      <w:rPr>
        <w:sz w:val="16"/>
        <w:szCs w:val="16"/>
      </w:rPr>
      <w:instrText xml:space="preserve"> PAGE   \* MERGEFORMAT </w:instrText>
    </w:r>
    <w:r w:rsidR="000C0495" w:rsidRPr="007B76B3">
      <w:rPr>
        <w:sz w:val="16"/>
        <w:szCs w:val="16"/>
      </w:rPr>
      <w:fldChar w:fldCharType="separate"/>
    </w:r>
    <w:r w:rsidR="00A427AC">
      <w:rPr>
        <w:noProof/>
        <w:sz w:val="16"/>
        <w:szCs w:val="16"/>
      </w:rPr>
      <w:t>1</w:t>
    </w:r>
    <w:r w:rsidR="000C0495" w:rsidRPr="007B76B3">
      <w:rPr>
        <w:sz w:val="16"/>
        <w:szCs w:val="16"/>
      </w:rPr>
      <w:fldChar w:fldCharType="end"/>
    </w:r>
    <w:r w:rsidRPr="007B76B3">
      <w:rPr>
        <w:sz w:val="16"/>
        <w:szCs w:val="16"/>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7AC" w:rsidRDefault="00A427A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3159" w:rsidRDefault="00473159" w:rsidP="00972D86">
      <w:r>
        <w:separator/>
      </w:r>
    </w:p>
  </w:footnote>
  <w:footnote w:type="continuationSeparator" w:id="0">
    <w:p w:rsidR="00473159" w:rsidRDefault="00473159" w:rsidP="00972D86">
      <w:r>
        <w:continuationSeparator/>
      </w:r>
    </w:p>
  </w:footnote>
  <w:footnote w:id="1">
    <w:p w:rsidR="008C6BDB" w:rsidRPr="00DE5C48" w:rsidRDefault="008C6BDB" w:rsidP="006426EC">
      <w:pPr>
        <w:rPr>
          <w:rFonts w:ascii="Arial" w:hAnsi="Arial" w:cs="Arial"/>
          <w:sz w:val="20"/>
          <w:szCs w:val="20"/>
        </w:rPr>
      </w:pPr>
      <w:r w:rsidRPr="002810D1">
        <w:rPr>
          <w:rStyle w:val="FootnoteReference"/>
          <w:rFonts w:ascii="Arial" w:hAnsi="Arial" w:cs="Arial"/>
          <w:sz w:val="20"/>
          <w:szCs w:val="20"/>
        </w:rPr>
        <w:footnoteRef/>
      </w:r>
      <w:r w:rsidRPr="002810D1">
        <w:rPr>
          <w:rFonts w:ascii="Arial" w:hAnsi="Arial" w:cs="Arial"/>
          <w:sz w:val="20"/>
          <w:szCs w:val="20"/>
        </w:rPr>
        <w:t xml:space="preserve"> </w:t>
      </w:r>
      <w:r w:rsidRPr="00DE5C48">
        <w:rPr>
          <w:rFonts w:ascii="Arial" w:hAnsi="Arial" w:cs="Arial"/>
          <w:sz w:val="20"/>
          <w:szCs w:val="20"/>
        </w:rPr>
        <w:t>To remain consistent with the Northwest Power and Conservation Council’s regional power plan, the savings values in this table are shown prior to any net-to-gross adjustment.  The values at generation include line losses between the customer site and the generation source. The Company’s assumed line losses by sector are 11.031% for residential, 10.834% for commercial and 9.137% for industrial. These values are based on the Company’s 2001 Transmission and Distribution Loss Study by Management Applications Consulting published in June 2004.</w:t>
      </w:r>
    </w:p>
    <w:p w:rsidR="008C6BDB" w:rsidRDefault="008C6BDB" w:rsidP="006426EC"/>
  </w:footnote>
  <w:footnote w:id="2">
    <w:p w:rsidR="008C6BDB" w:rsidRDefault="008C6BDB">
      <w:pPr>
        <w:pStyle w:val="FootnoteText"/>
      </w:pPr>
      <w:r w:rsidRPr="002940D7">
        <w:rPr>
          <w:rStyle w:val="FootnoteReference"/>
          <w:rFonts w:ascii="Arial" w:hAnsi="Arial" w:cs="Arial"/>
        </w:rPr>
        <w:footnoteRef/>
      </w:r>
      <w:r w:rsidRPr="002940D7">
        <w:rPr>
          <w:rFonts w:ascii="Arial" w:hAnsi="Arial" w:cs="Arial"/>
        </w:rPr>
        <w:t xml:space="preserve"> The incentive caps do not apply to new construction design assistance projects where the whole building is at least ten percent better than the applicable energy code.</w:t>
      </w:r>
    </w:p>
  </w:footnote>
  <w:footnote w:id="3">
    <w:p w:rsidR="008C6BDB" w:rsidRDefault="008C6BDB" w:rsidP="00B17F48">
      <w:r w:rsidRPr="00DE5C48">
        <w:rPr>
          <w:rStyle w:val="FootnoteReference"/>
          <w:rFonts w:ascii="Arial" w:hAnsi="Arial" w:cs="Arial"/>
          <w:sz w:val="20"/>
          <w:szCs w:val="20"/>
        </w:rPr>
        <w:footnoteRef/>
      </w:r>
      <w:r w:rsidRPr="00DE5C48">
        <w:rPr>
          <w:rFonts w:ascii="Arial" w:hAnsi="Arial" w:cs="Arial"/>
          <w:sz w:val="20"/>
          <w:szCs w:val="20"/>
        </w:rPr>
        <w:t xml:space="preserve"> To remain consistent with the Northwest Power and Conservation Council’s regional power plan, the savings values in this table are shown prior to any net-to-gross adjustment.  The values at generation include line losses between the customer site and the generation source. The Company’s assumed line losses by sector are 11.031% for residential, 10.834% for commercial and 9.137% for industrial. These values are based on the Company’s 2001 Transmission and Distribution Loss Study by Management Applications Consulting published in June 2004.</w:t>
      </w:r>
    </w:p>
  </w:footnote>
  <w:footnote w:id="4">
    <w:p w:rsidR="008C6BDB" w:rsidRDefault="008C6BDB" w:rsidP="00DA34F5">
      <w:pPr>
        <w:pStyle w:val="FootnoteText"/>
      </w:pPr>
      <w:r w:rsidRPr="00DE5C48">
        <w:rPr>
          <w:rStyle w:val="FootnoteReference"/>
          <w:rFonts w:ascii="Arial" w:hAnsi="Arial" w:cs="Arial"/>
        </w:rPr>
        <w:footnoteRef/>
      </w:r>
      <w:r w:rsidRPr="00DE5C48">
        <w:rPr>
          <w:rFonts w:ascii="Arial" w:hAnsi="Arial" w:cs="Arial"/>
        </w:rPr>
        <w:t xml:space="preserve"> CFL Adjustment: The Energy Education Program savings reflect 1,005,564 kWh of savings related to installation of additional CFLs that are purchased by participants.  This amount is adjusted out of the Residential portfolio results to avoid potentially double counting the savings in both the Energy Education program and Home Energy Savings program. </w:t>
      </w:r>
    </w:p>
  </w:footnote>
  <w:footnote w:id="5">
    <w:p w:rsidR="008C6BDB" w:rsidRDefault="008C6BDB">
      <w:pPr>
        <w:pStyle w:val="FootnoteText"/>
      </w:pPr>
      <w:r>
        <w:rPr>
          <w:rStyle w:val="FootnoteReference"/>
        </w:rPr>
        <w:footnoteRef/>
      </w:r>
      <w:r>
        <w:t xml:space="preserve"> </w:t>
      </w:r>
      <w:r>
        <w:rPr>
          <w:rFonts w:ascii="Arial" w:hAnsi="Arial" w:cs="Arial"/>
        </w:rPr>
        <w:t xml:space="preserve">The buydown was extended from a seasonal promotion to a year-round promotion in April 2009.  </w:t>
      </w:r>
    </w:p>
  </w:footnote>
  <w:footnote w:id="6">
    <w:p w:rsidR="008C6BDB" w:rsidRDefault="008C6BDB">
      <w:pPr>
        <w:pStyle w:val="FootnoteText"/>
      </w:pPr>
      <w:r w:rsidRPr="001A3026">
        <w:rPr>
          <w:rStyle w:val="FootnoteReference"/>
          <w:rFonts w:ascii="Arial" w:hAnsi="Arial" w:cs="Arial"/>
        </w:rPr>
        <w:footnoteRef/>
      </w:r>
      <w:r w:rsidRPr="001A3026">
        <w:rPr>
          <w:rFonts w:ascii="Arial" w:hAnsi="Arial" w:cs="Arial"/>
        </w:rPr>
        <w:t xml:space="preserve"> “Assessment of Washington Energy Education In Schools- 2008-2009 Program Year”, October 8, 2009 by The Cadmus Group.  The assessment is included as an appendix to this report. </w:t>
      </w:r>
    </w:p>
  </w:footnote>
  <w:footnote w:id="7">
    <w:p w:rsidR="008C6BDB" w:rsidRDefault="008C6BDB">
      <w:pPr>
        <w:pStyle w:val="FootnoteText"/>
      </w:pPr>
      <w:r w:rsidRPr="002940D7">
        <w:rPr>
          <w:rStyle w:val="FootnoteReference"/>
          <w:rFonts w:ascii="Arial" w:hAnsi="Arial" w:cs="Arial"/>
        </w:rPr>
        <w:footnoteRef/>
      </w:r>
      <w:r w:rsidRPr="002940D7">
        <w:rPr>
          <w:rFonts w:ascii="Arial" w:hAnsi="Arial" w:cs="Arial"/>
        </w:rPr>
        <w:t xml:space="preserve"> Incentive amounts were updated during 2009.  Previous incentives were 12 cents/kWh and $50/KW up to 50% of project costs.  The new incentive levels went into effect on October 30, 2009.  See description of Advice No. 09-04 in the WUTC filings section for further details.  Note there are no incentive caps for new construction design assistance projects.</w:t>
      </w:r>
    </w:p>
  </w:footnote>
  <w:footnote w:id="8">
    <w:p w:rsidR="00215976" w:rsidRDefault="00215976">
      <w:pPr>
        <w:pStyle w:val="FootnoteText"/>
      </w:pPr>
      <w:r>
        <w:rPr>
          <w:rStyle w:val="FootnoteReference"/>
        </w:rPr>
        <w:footnoteRef/>
      </w:r>
      <w:r>
        <w:t xml:space="preserve"> </w:t>
      </w:r>
      <w:r>
        <w:rPr>
          <w:rFonts w:ascii="Arial" w:hAnsi="Arial" w:cs="Arial"/>
        </w:rPr>
        <w:t>Prior to October 2000, the program offered energy efficiency funding repaid with interest on the customer’s electric bill</w:t>
      </w:r>
      <w:r w:rsidRPr="00C62E2C">
        <w:rPr>
          <w:rFonts w:ascii="Arial" w:hAnsi="Arial" w:cs="Arial"/>
        </w:rPr>
        <w:t>.</w:t>
      </w:r>
    </w:p>
  </w:footnote>
  <w:footnote w:id="9">
    <w:p w:rsidR="008C6BDB" w:rsidRDefault="008C6BDB">
      <w:pPr>
        <w:pStyle w:val="FootnoteText"/>
      </w:pPr>
      <w:r>
        <w:rPr>
          <w:rStyle w:val="FootnoteReference"/>
        </w:rPr>
        <w:footnoteRef/>
      </w:r>
      <w:r>
        <w:t xml:space="preserve"> </w:t>
      </w:r>
      <w:r w:rsidRPr="002940D7">
        <w:rPr>
          <w:rFonts w:ascii="Arial" w:hAnsi="Arial" w:cs="Arial"/>
        </w:rPr>
        <w:t>In the regional power plan, savings potential for refrigerated warehouses is included in the industrial sector.  This is consistent with the Company’s reporting for savings from this segment.  Electric sales are identified as commercial however.</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7AC" w:rsidRDefault="00A427A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7AC" w:rsidRDefault="00A427A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7AC" w:rsidRDefault="00A427A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34301"/>
    <w:multiLevelType w:val="hybridMultilevel"/>
    <w:tmpl w:val="9B12AF7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31A39AE"/>
    <w:multiLevelType w:val="hybridMultilevel"/>
    <w:tmpl w:val="9B12AF7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52916CD"/>
    <w:multiLevelType w:val="hybridMultilevel"/>
    <w:tmpl w:val="9B12AF7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0CE02781"/>
    <w:multiLevelType w:val="hybridMultilevel"/>
    <w:tmpl w:val="9B12AF7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0F0739DD"/>
    <w:multiLevelType w:val="hybridMultilevel"/>
    <w:tmpl w:val="99AA7F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2442B8"/>
    <w:multiLevelType w:val="hybridMultilevel"/>
    <w:tmpl w:val="800E0E8C"/>
    <w:lvl w:ilvl="0" w:tplc="ABD6A38E">
      <w:start w:val="2"/>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B22B3E"/>
    <w:multiLevelType w:val="hybridMultilevel"/>
    <w:tmpl w:val="67F6BF6C"/>
    <w:lvl w:ilvl="0" w:tplc="0409001B">
      <w:start w:val="1"/>
      <w:numFmt w:val="lowerRoman"/>
      <w:lvlText w:val="%1."/>
      <w:lvlJc w:val="righ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7">
    <w:nsid w:val="31FC3C0C"/>
    <w:multiLevelType w:val="hybridMultilevel"/>
    <w:tmpl w:val="6D44333E"/>
    <w:lvl w:ilvl="0" w:tplc="A6544EC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2CE34AE"/>
    <w:multiLevelType w:val="hybridMultilevel"/>
    <w:tmpl w:val="962A6E28"/>
    <w:lvl w:ilvl="0" w:tplc="D4A8CE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6A17FA4"/>
    <w:multiLevelType w:val="hybridMultilevel"/>
    <w:tmpl w:val="9B12AF7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3AEA70D1"/>
    <w:multiLevelType w:val="hybridMultilevel"/>
    <w:tmpl w:val="638AFD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0DD1402"/>
    <w:multiLevelType w:val="hybridMultilevel"/>
    <w:tmpl w:val="AFEC9C20"/>
    <w:lvl w:ilvl="0" w:tplc="C8944E3C">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cs="Wingdings" w:hint="default"/>
      </w:rPr>
    </w:lvl>
    <w:lvl w:ilvl="3" w:tplc="04090001" w:tentative="1">
      <w:start w:val="1"/>
      <w:numFmt w:val="bullet"/>
      <w:lvlText w:val=""/>
      <w:lvlJc w:val="left"/>
      <w:pPr>
        <w:tabs>
          <w:tab w:val="num" w:pos="3240"/>
        </w:tabs>
        <w:ind w:left="3240" w:hanging="360"/>
      </w:pPr>
      <w:rPr>
        <w:rFonts w:ascii="Symbol" w:hAnsi="Symbol" w:cs="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cs="Wingdings" w:hint="default"/>
      </w:rPr>
    </w:lvl>
    <w:lvl w:ilvl="6" w:tplc="04090001" w:tentative="1">
      <w:start w:val="1"/>
      <w:numFmt w:val="bullet"/>
      <w:lvlText w:val=""/>
      <w:lvlJc w:val="left"/>
      <w:pPr>
        <w:tabs>
          <w:tab w:val="num" w:pos="5400"/>
        </w:tabs>
        <w:ind w:left="5400" w:hanging="360"/>
      </w:pPr>
      <w:rPr>
        <w:rFonts w:ascii="Symbol" w:hAnsi="Symbol" w:cs="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cs="Wingdings" w:hint="default"/>
      </w:rPr>
    </w:lvl>
  </w:abstractNum>
  <w:abstractNum w:abstractNumId="12">
    <w:nsid w:val="44176EDF"/>
    <w:multiLevelType w:val="hybridMultilevel"/>
    <w:tmpl w:val="9B12AF7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4BA77E14"/>
    <w:multiLevelType w:val="hybridMultilevel"/>
    <w:tmpl w:val="21A86EA8"/>
    <w:lvl w:ilvl="0" w:tplc="1A92BC9E">
      <w:start w:val="1"/>
      <w:numFmt w:val="bullet"/>
      <w:lvlText w:val=""/>
      <w:lvlJc w:val="left"/>
      <w:pPr>
        <w:tabs>
          <w:tab w:val="num" w:pos="720"/>
        </w:tabs>
        <w:ind w:left="720" w:hanging="360"/>
      </w:pPr>
      <w:rPr>
        <w:rFonts w:ascii="Symbol" w:hAnsi="Symbol" w:cs="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4">
    <w:nsid w:val="4DA57028"/>
    <w:multiLevelType w:val="hybridMultilevel"/>
    <w:tmpl w:val="03AC28D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5">
    <w:nsid w:val="5F4F35C1"/>
    <w:multiLevelType w:val="hybridMultilevel"/>
    <w:tmpl w:val="EC2044B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6">
    <w:nsid w:val="600329A1"/>
    <w:multiLevelType w:val="hybridMultilevel"/>
    <w:tmpl w:val="7CD450D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7">
    <w:nsid w:val="66C43CF8"/>
    <w:multiLevelType w:val="hybridMultilevel"/>
    <w:tmpl w:val="13ACFF2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8">
    <w:nsid w:val="6BA90432"/>
    <w:multiLevelType w:val="hybridMultilevel"/>
    <w:tmpl w:val="6816B332"/>
    <w:lvl w:ilvl="0" w:tplc="C8944E3C">
      <w:start w:val="1"/>
      <w:numFmt w:val="bullet"/>
      <w:lvlText w:val=""/>
      <w:lvlJc w:val="left"/>
      <w:pPr>
        <w:tabs>
          <w:tab w:val="num" w:pos="720"/>
        </w:tabs>
        <w:ind w:left="720" w:hanging="360"/>
      </w:pPr>
      <w:rPr>
        <w:rFonts w:ascii="Symbol" w:hAnsi="Symbol" w:cs="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6E3A6D5E"/>
    <w:multiLevelType w:val="hybridMultilevel"/>
    <w:tmpl w:val="F5683B1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0">
    <w:nsid w:val="74DD0C53"/>
    <w:multiLevelType w:val="hybridMultilevel"/>
    <w:tmpl w:val="2626EDB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75395EAB"/>
    <w:multiLevelType w:val="hybridMultilevel"/>
    <w:tmpl w:val="3A70366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2">
    <w:nsid w:val="77BE1322"/>
    <w:multiLevelType w:val="hybridMultilevel"/>
    <w:tmpl w:val="A58802BE"/>
    <w:lvl w:ilvl="0" w:tplc="E5F44926">
      <w:start w:val="1"/>
      <w:numFmt w:val="decimal"/>
      <w:lvlText w:val="%1."/>
      <w:lvlJc w:val="left"/>
      <w:pPr>
        <w:ind w:left="180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nsid w:val="7B751985"/>
    <w:multiLevelType w:val="hybridMultilevel"/>
    <w:tmpl w:val="951E469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7C192D08"/>
    <w:multiLevelType w:val="hybridMultilevel"/>
    <w:tmpl w:val="7432301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11"/>
  </w:num>
  <w:num w:numId="2">
    <w:abstractNumId w:val="13"/>
  </w:num>
  <w:num w:numId="3">
    <w:abstractNumId w:val="18"/>
  </w:num>
  <w:num w:numId="4">
    <w:abstractNumId w:val="0"/>
  </w:num>
  <w:num w:numId="5">
    <w:abstractNumId w:val="6"/>
  </w:num>
  <w:num w:numId="6">
    <w:abstractNumId w:val="22"/>
  </w:num>
  <w:num w:numId="7">
    <w:abstractNumId w:val="1"/>
  </w:num>
  <w:num w:numId="8">
    <w:abstractNumId w:val="2"/>
  </w:num>
  <w:num w:numId="9">
    <w:abstractNumId w:val="12"/>
  </w:num>
  <w:num w:numId="10">
    <w:abstractNumId w:val="9"/>
  </w:num>
  <w:num w:numId="11">
    <w:abstractNumId w:val="5"/>
  </w:num>
  <w:num w:numId="12">
    <w:abstractNumId w:val="15"/>
  </w:num>
  <w:num w:numId="13">
    <w:abstractNumId w:val="21"/>
  </w:num>
  <w:num w:numId="14">
    <w:abstractNumId w:val="14"/>
  </w:num>
  <w:num w:numId="15">
    <w:abstractNumId w:val="3"/>
  </w:num>
  <w:num w:numId="16">
    <w:abstractNumId w:val="20"/>
  </w:num>
  <w:num w:numId="17">
    <w:abstractNumId w:val="8"/>
  </w:num>
  <w:num w:numId="18">
    <w:abstractNumId w:val="7"/>
  </w:num>
  <w:num w:numId="19">
    <w:abstractNumId w:val="4"/>
  </w:num>
  <w:num w:numId="20">
    <w:abstractNumId w:val="10"/>
  </w:num>
  <w:num w:numId="21">
    <w:abstractNumId w:val="19"/>
  </w:num>
  <w:num w:numId="22">
    <w:abstractNumId w:val="16"/>
  </w:num>
  <w:num w:numId="23">
    <w:abstractNumId w:val="17"/>
  </w:num>
  <w:num w:numId="24">
    <w:abstractNumId w:val="24"/>
  </w:num>
  <w:num w:numId="25">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SystemFonts/>
  <w:proofState w:spelling="clean" w:grammar="clean"/>
  <w:defaultTabStop w:val="720"/>
  <w:drawingGridHorizontalSpacing w:val="120"/>
  <w:displayHorizontalDrawingGridEvery w:val="2"/>
  <w:characterSpacingControl w:val="doNotCompress"/>
  <w:doNotValidateAgainstSchema/>
  <w:doNotDemarcateInvalidXml/>
  <w:hdrShapeDefaults>
    <o:shapedefaults v:ext="edit" spidmax="9217"/>
  </w:hdrShapeDefaults>
  <w:footnotePr>
    <w:footnote w:id="-1"/>
    <w:footnote w:id="0"/>
  </w:footnotePr>
  <w:endnotePr>
    <w:endnote w:id="-1"/>
    <w:endnote w:id="0"/>
  </w:endnotePr>
  <w:compat/>
  <w:rsids>
    <w:rsidRoot w:val="00972D86"/>
    <w:rsid w:val="00003D96"/>
    <w:rsid w:val="000065BB"/>
    <w:rsid w:val="00007047"/>
    <w:rsid w:val="0001500C"/>
    <w:rsid w:val="000177BC"/>
    <w:rsid w:val="00020FFF"/>
    <w:rsid w:val="00032623"/>
    <w:rsid w:val="00054F60"/>
    <w:rsid w:val="00061D82"/>
    <w:rsid w:val="00065C99"/>
    <w:rsid w:val="00071762"/>
    <w:rsid w:val="00077366"/>
    <w:rsid w:val="00085A44"/>
    <w:rsid w:val="000877A3"/>
    <w:rsid w:val="000A204B"/>
    <w:rsid w:val="000C0495"/>
    <w:rsid w:val="000C3D6F"/>
    <w:rsid w:val="000D290A"/>
    <w:rsid w:val="000D3857"/>
    <w:rsid w:val="000E05BE"/>
    <w:rsid w:val="000F136B"/>
    <w:rsid w:val="000F2E88"/>
    <w:rsid w:val="000F316C"/>
    <w:rsid w:val="000F542D"/>
    <w:rsid w:val="00102531"/>
    <w:rsid w:val="00104615"/>
    <w:rsid w:val="0011091F"/>
    <w:rsid w:val="00113953"/>
    <w:rsid w:val="00123418"/>
    <w:rsid w:val="001357FB"/>
    <w:rsid w:val="001540B6"/>
    <w:rsid w:val="00160CE2"/>
    <w:rsid w:val="001663D7"/>
    <w:rsid w:val="00170CF5"/>
    <w:rsid w:val="00192761"/>
    <w:rsid w:val="001948CA"/>
    <w:rsid w:val="0019716C"/>
    <w:rsid w:val="001976A6"/>
    <w:rsid w:val="001A3026"/>
    <w:rsid w:val="001A7162"/>
    <w:rsid w:val="001B692B"/>
    <w:rsid w:val="001D4C2F"/>
    <w:rsid w:val="001E1072"/>
    <w:rsid w:val="001E57C7"/>
    <w:rsid w:val="001F0042"/>
    <w:rsid w:val="0021128B"/>
    <w:rsid w:val="00215976"/>
    <w:rsid w:val="002170E0"/>
    <w:rsid w:val="00221893"/>
    <w:rsid w:val="00226ED4"/>
    <w:rsid w:val="00240150"/>
    <w:rsid w:val="0025011F"/>
    <w:rsid w:val="002507DB"/>
    <w:rsid w:val="00250FFB"/>
    <w:rsid w:val="00264E3A"/>
    <w:rsid w:val="00274012"/>
    <w:rsid w:val="002810D1"/>
    <w:rsid w:val="00282D61"/>
    <w:rsid w:val="00285815"/>
    <w:rsid w:val="0028681B"/>
    <w:rsid w:val="002940D7"/>
    <w:rsid w:val="002A3770"/>
    <w:rsid w:val="002B6EFB"/>
    <w:rsid w:val="002C0E28"/>
    <w:rsid w:val="002C316F"/>
    <w:rsid w:val="002D66DD"/>
    <w:rsid w:val="002E208B"/>
    <w:rsid w:val="002E38C1"/>
    <w:rsid w:val="00302C12"/>
    <w:rsid w:val="0030355D"/>
    <w:rsid w:val="00320BF6"/>
    <w:rsid w:val="00327081"/>
    <w:rsid w:val="003368C0"/>
    <w:rsid w:val="00340DC8"/>
    <w:rsid w:val="003453B7"/>
    <w:rsid w:val="00346990"/>
    <w:rsid w:val="00346D89"/>
    <w:rsid w:val="00347579"/>
    <w:rsid w:val="003543A7"/>
    <w:rsid w:val="0035642A"/>
    <w:rsid w:val="00367BFA"/>
    <w:rsid w:val="00385E43"/>
    <w:rsid w:val="003A03B2"/>
    <w:rsid w:val="003C6802"/>
    <w:rsid w:val="003C7CBF"/>
    <w:rsid w:val="003D087A"/>
    <w:rsid w:val="003D60AE"/>
    <w:rsid w:val="003D62EE"/>
    <w:rsid w:val="003E7946"/>
    <w:rsid w:val="004003DF"/>
    <w:rsid w:val="0040561A"/>
    <w:rsid w:val="00413179"/>
    <w:rsid w:val="004403B9"/>
    <w:rsid w:val="004542DD"/>
    <w:rsid w:val="004575FF"/>
    <w:rsid w:val="00461EDB"/>
    <w:rsid w:val="00463EE3"/>
    <w:rsid w:val="00470A58"/>
    <w:rsid w:val="00470B16"/>
    <w:rsid w:val="00473159"/>
    <w:rsid w:val="00481D24"/>
    <w:rsid w:val="00491BF1"/>
    <w:rsid w:val="004A6A35"/>
    <w:rsid w:val="004B0235"/>
    <w:rsid w:val="004B7C60"/>
    <w:rsid w:val="004C5A53"/>
    <w:rsid w:val="004C5D4E"/>
    <w:rsid w:val="004D1AAB"/>
    <w:rsid w:val="004D6826"/>
    <w:rsid w:val="004D781B"/>
    <w:rsid w:val="004E024B"/>
    <w:rsid w:val="004F0137"/>
    <w:rsid w:val="00505492"/>
    <w:rsid w:val="00511EF2"/>
    <w:rsid w:val="00515802"/>
    <w:rsid w:val="00553AE0"/>
    <w:rsid w:val="005608EF"/>
    <w:rsid w:val="00563EC2"/>
    <w:rsid w:val="005670BA"/>
    <w:rsid w:val="00567933"/>
    <w:rsid w:val="005705B7"/>
    <w:rsid w:val="005818A9"/>
    <w:rsid w:val="005A1110"/>
    <w:rsid w:val="005A6CF9"/>
    <w:rsid w:val="005B7123"/>
    <w:rsid w:val="005C185A"/>
    <w:rsid w:val="005C43FC"/>
    <w:rsid w:val="005C5105"/>
    <w:rsid w:val="005C575E"/>
    <w:rsid w:val="005C5BE2"/>
    <w:rsid w:val="005D3D8A"/>
    <w:rsid w:val="005E0A13"/>
    <w:rsid w:val="005E2476"/>
    <w:rsid w:val="005F525B"/>
    <w:rsid w:val="006032C0"/>
    <w:rsid w:val="00615ABA"/>
    <w:rsid w:val="0062137B"/>
    <w:rsid w:val="00627563"/>
    <w:rsid w:val="006312DD"/>
    <w:rsid w:val="00633AF4"/>
    <w:rsid w:val="00641C59"/>
    <w:rsid w:val="006426EC"/>
    <w:rsid w:val="0064683B"/>
    <w:rsid w:val="00654E1C"/>
    <w:rsid w:val="0065692B"/>
    <w:rsid w:val="00664519"/>
    <w:rsid w:val="006645C5"/>
    <w:rsid w:val="00672D72"/>
    <w:rsid w:val="00682923"/>
    <w:rsid w:val="00684B39"/>
    <w:rsid w:val="006960B6"/>
    <w:rsid w:val="006A3786"/>
    <w:rsid w:val="006B4284"/>
    <w:rsid w:val="006B5D7B"/>
    <w:rsid w:val="006D54B5"/>
    <w:rsid w:val="006E0554"/>
    <w:rsid w:val="006F6D50"/>
    <w:rsid w:val="00700962"/>
    <w:rsid w:val="007013AC"/>
    <w:rsid w:val="00724576"/>
    <w:rsid w:val="00734E52"/>
    <w:rsid w:val="007430D9"/>
    <w:rsid w:val="00754D00"/>
    <w:rsid w:val="00757C1B"/>
    <w:rsid w:val="0076500F"/>
    <w:rsid w:val="00766D70"/>
    <w:rsid w:val="0078204A"/>
    <w:rsid w:val="0078254A"/>
    <w:rsid w:val="007A7004"/>
    <w:rsid w:val="007A758B"/>
    <w:rsid w:val="007B14DF"/>
    <w:rsid w:val="007B35F2"/>
    <w:rsid w:val="007B656B"/>
    <w:rsid w:val="007B6579"/>
    <w:rsid w:val="007B76B3"/>
    <w:rsid w:val="007C4933"/>
    <w:rsid w:val="007C7B2E"/>
    <w:rsid w:val="007D4061"/>
    <w:rsid w:val="007E669D"/>
    <w:rsid w:val="007F1E3D"/>
    <w:rsid w:val="008001B7"/>
    <w:rsid w:val="00800811"/>
    <w:rsid w:val="00804A45"/>
    <w:rsid w:val="0080658E"/>
    <w:rsid w:val="00810E06"/>
    <w:rsid w:val="008422F3"/>
    <w:rsid w:val="00852CDB"/>
    <w:rsid w:val="00853A7A"/>
    <w:rsid w:val="00854F5D"/>
    <w:rsid w:val="008569A0"/>
    <w:rsid w:val="00862460"/>
    <w:rsid w:val="0086634F"/>
    <w:rsid w:val="0087015C"/>
    <w:rsid w:val="008736E1"/>
    <w:rsid w:val="00882026"/>
    <w:rsid w:val="00892C55"/>
    <w:rsid w:val="008936C6"/>
    <w:rsid w:val="008A6C42"/>
    <w:rsid w:val="008B487D"/>
    <w:rsid w:val="008C6BDB"/>
    <w:rsid w:val="008E0B0E"/>
    <w:rsid w:val="008F2726"/>
    <w:rsid w:val="008F72BD"/>
    <w:rsid w:val="0090469A"/>
    <w:rsid w:val="00905F3C"/>
    <w:rsid w:val="00915479"/>
    <w:rsid w:val="00952A6B"/>
    <w:rsid w:val="00972D86"/>
    <w:rsid w:val="009739AF"/>
    <w:rsid w:val="009764E7"/>
    <w:rsid w:val="00994969"/>
    <w:rsid w:val="0099695C"/>
    <w:rsid w:val="00997125"/>
    <w:rsid w:val="009A5332"/>
    <w:rsid w:val="009A63CD"/>
    <w:rsid w:val="009B7AC9"/>
    <w:rsid w:val="009D3CB8"/>
    <w:rsid w:val="009E4B63"/>
    <w:rsid w:val="00A00B9B"/>
    <w:rsid w:val="00A12548"/>
    <w:rsid w:val="00A427AC"/>
    <w:rsid w:val="00A57B52"/>
    <w:rsid w:val="00A63615"/>
    <w:rsid w:val="00A72455"/>
    <w:rsid w:val="00A819BB"/>
    <w:rsid w:val="00A91B57"/>
    <w:rsid w:val="00AA6AC1"/>
    <w:rsid w:val="00AB2236"/>
    <w:rsid w:val="00AB75EF"/>
    <w:rsid w:val="00AD1DD7"/>
    <w:rsid w:val="00AD5971"/>
    <w:rsid w:val="00AE1AA7"/>
    <w:rsid w:val="00AE1D65"/>
    <w:rsid w:val="00AE2010"/>
    <w:rsid w:val="00AE4412"/>
    <w:rsid w:val="00AF5014"/>
    <w:rsid w:val="00B0040E"/>
    <w:rsid w:val="00B006F4"/>
    <w:rsid w:val="00B06329"/>
    <w:rsid w:val="00B17F48"/>
    <w:rsid w:val="00B20127"/>
    <w:rsid w:val="00B345F4"/>
    <w:rsid w:val="00B36E01"/>
    <w:rsid w:val="00B41C9A"/>
    <w:rsid w:val="00B432A1"/>
    <w:rsid w:val="00B4732E"/>
    <w:rsid w:val="00B47496"/>
    <w:rsid w:val="00B77427"/>
    <w:rsid w:val="00B81F6D"/>
    <w:rsid w:val="00B91174"/>
    <w:rsid w:val="00B9754B"/>
    <w:rsid w:val="00B97FC7"/>
    <w:rsid w:val="00BA2D26"/>
    <w:rsid w:val="00BA3FA2"/>
    <w:rsid w:val="00BA76F8"/>
    <w:rsid w:val="00BB06DB"/>
    <w:rsid w:val="00BD218C"/>
    <w:rsid w:val="00BE0A84"/>
    <w:rsid w:val="00C03A82"/>
    <w:rsid w:val="00C06FAB"/>
    <w:rsid w:val="00C11B05"/>
    <w:rsid w:val="00C1321D"/>
    <w:rsid w:val="00C14C45"/>
    <w:rsid w:val="00C16511"/>
    <w:rsid w:val="00C27914"/>
    <w:rsid w:val="00C3009B"/>
    <w:rsid w:val="00C45BD1"/>
    <w:rsid w:val="00C46EC1"/>
    <w:rsid w:val="00C5087B"/>
    <w:rsid w:val="00C6122E"/>
    <w:rsid w:val="00C62E2C"/>
    <w:rsid w:val="00C83C30"/>
    <w:rsid w:val="00C849EF"/>
    <w:rsid w:val="00C94516"/>
    <w:rsid w:val="00C97BDB"/>
    <w:rsid w:val="00CA52F0"/>
    <w:rsid w:val="00CA5814"/>
    <w:rsid w:val="00CB28B8"/>
    <w:rsid w:val="00CB2C6D"/>
    <w:rsid w:val="00CB3116"/>
    <w:rsid w:val="00CB4CD1"/>
    <w:rsid w:val="00CC3FE4"/>
    <w:rsid w:val="00CC7138"/>
    <w:rsid w:val="00CD612B"/>
    <w:rsid w:val="00CE42BC"/>
    <w:rsid w:val="00CF05F7"/>
    <w:rsid w:val="00CF3E98"/>
    <w:rsid w:val="00CF574F"/>
    <w:rsid w:val="00D302C8"/>
    <w:rsid w:val="00D34088"/>
    <w:rsid w:val="00D34AF2"/>
    <w:rsid w:val="00D36DBC"/>
    <w:rsid w:val="00D464BB"/>
    <w:rsid w:val="00D46A1F"/>
    <w:rsid w:val="00D47764"/>
    <w:rsid w:val="00D5168D"/>
    <w:rsid w:val="00D535DD"/>
    <w:rsid w:val="00D57476"/>
    <w:rsid w:val="00D649F1"/>
    <w:rsid w:val="00D70A6F"/>
    <w:rsid w:val="00D9196A"/>
    <w:rsid w:val="00D931E2"/>
    <w:rsid w:val="00DA34F5"/>
    <w:rsid w:val="00DA4465"/>
    <w:rsid w:val="00DA605D"/>
    <w:rsid w:val="00DA63F4"/>
    <w:rsid w:val="00DB211C"/>
    <w:rsid w:val="00DB37A3"/>
    <w:rsid w:val="00DB4080"/>
    <w:rsid w:val="00DC08B0"/>
    <w:rsid w:val="00DC0D0A"/>
    <w:rsid w:val="00DC3EE6"/>
    <w:rsid w:val="00DC4781"/>
    <w:rsid w:val="00DD126D"/>
    <w:rsid w:val="00DD6AF1"/>
    <w:rsid w:val="00DD6BFB"/>
    <w:rsid w:val="00DD7048"/>
    <w:rsid w:val="00DE5C48"/>
    <w:rsid w:val="00DF07DD"/>
    <w:rsid w:val="00DF456D"/>
    <w:rsid w:val="00E21D30"/>
    <w:rsid w:val="00E21DEA"/>
    <w:rsid w:val="00E3599A"/>
    <w:rsid w:val="00E3641B"/>
    <w:rsid w:val="00E407FF"/>
    <w:rsid w:val="00E44119"/>
    <w:rsid w:val="00E46F3D"/>
    <w:rsid w:val="00E5240C"/>
    <w:rsid w:val="00E643C7"/>
    <w:rsid w:val="00E65306"/>
    <w:rsid w:val="00E768B3"/>
    <w:rsid w:val="00E832E1"/>
    <w:rsid w:val="00E86160"/>
    <w:rsid w:val="00E96884"/>
    <w:rsid w:val="00EA4068"/>
    <w:rsid w:val="00EA4261"/>
    <w:rsid w:val="00EA4B09"/>
    <w:rsid w:val="00EA5215"/>
    <w:rsid w:val="00EA6CB8"/>
    <w:rsid w:val="00EB1DC9"/>
    <w:rsid w:val="00EB4322"/>
    <w:rsid w:val="00EC1594"/>
    <w:rsid w:val="00ED2B67"/>
    <w:rsid w:val="00EE53F9"/>
    <w:rsid w:val="00EF5CAF"/>
    <w:rsid w:val="00F021F5"/>
    <w:rsid w:val="00F04415"/>
    <w:rsid w:val="00F16792"/>
    <w:rsid w:val="00F34CCC"/>
    <w:rsid w:val="00F46F8E"/>
    <w:rsid w:val="00F56A05"/>
    <w:rsid w:val="00F60719"/>
    <w:rsid w:val="00F74519"/>
    <w:rsid w:val="00F7701E"/>
    <w:rsid w:val="00F86024"/>
    <w:rsid w:val="00FA6262"/>
    <w:rsid w:val="00FA62E7"/>
    <w:rsid w:val="00FC0069"/>
    <w:rsid w:val="00FC43DB"/>
    <w:rsid w:val="00FD49FC"/>
    <w:rsid w:val="00FE0FF7"/>
    <w:rsid w:val="00FF0B7A"/>
    <w:rsid w:val="00FF7509"/>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martTagType w:namespaceuri="urn:schemas-microsoft-com:office:smarttags" w:name="place"/>
  <w:smartTagType w:namespaceuri="urn:schemas-microsoft-com:office:smarttags" w:name="State"/>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unhideWhenUsed="0"/>
    <w:lsdException w:name="toc 2" w:unhideWhenUsed="0"/>
    <w:lsdException w:name="toc 3" w:unhideWhenUsed="0"/>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annotation text" w:unhideWhenUsed="0"/>
    <w:lsdException w:name="header" w:unhideWhenUsed="0"/>
    <w:lsdException w:name="footer" w:unhideWhenUsed="0"/>
    <w:lsdException w:name="caption" w:uiPriority="35" w:qFormat="1"/>
    <w:lsdException w:name="footnote reference" w:unhideWhenUsed="0"/>
    <w:lsdException w:name="annotation reference" w:unhideWhenUsed="0"/>
    <w:lsdException w:name="endnote reference" w:unhideWhenUsed="0"/>
    <w:lsdException w:name="endnote text"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FollowedHyperlink" w:unhideWhenUsed="0"/>
    <w:lsdException w:name="Strong" w:semiHidden="0" w:unhideWhenUsed="0" w:qFormat="1"/>
    <w:lsdException w:name="Emphasis" w:semiHidden="0" w:uiPriority="20" w:unhideWhenUsed="0" w:qFormat="1"/>
    <w:lsdException w:name="annotation subject" w:unhideWhenUsed="0"/>
    <w:lsdException w:name="Balloon Text" w:unhideWhenUsed="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nhideWhenUsed="0" w:qFormat="1"/>
  </w:latentStyles>
  <w:style w:type="paragraph" w:default="1" w:styleId="Normal">
    <w:name w:val="Normal"/>
    <w:qFormat/>
    <w:rsid w:val="00972D86"/>
    <w:rPr>
      <w:rFonts w:ascii="Times New Roman" w:eastAsia="MS Mincho" w:hAnsi="Times New Roman"/>
      <w:sz w:val="24"/>
      <w:szCs w:val="24"/>
      <w:lang w:eastAsia="ja-JP"/>
    </w:rPr>
  </w:style>
  <w:style w:type="paragraph" w:styleId="Heading1">
    <w:name w:val="heading 1"/>
    <w:basedOn w:val="Normal"/>
    <w:next w:val="Normal"/>
    <w:link w:val="Heading1Char"/>
    <w:uiPriority w:val="99"/>
    <w:qFormat/>
    <w:rsid w:val="00972D86"/>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972D86"/>
    <w:rPr>
      <w:rFonts w:ascii="Arial" w:eastAsia="MS Mincho" w:hAnsi="Arial" w:cs="Arial"/>
      <w:b/>
      <w:bCs/>
      <w:kern w:val="32"/>
      <w:sz w:val="32"/>
      <w:szCs w:val="32"/>
      <w:lang w:eastAsia="ja-JP"/>
    </w:rPr>
  </w:style>
  <w:style w:type="paragraph" w:customStyle="1" w:styleId="tabletitle">
    <w:name w:val="table title"/>
    <w:basedOn w:val="Normal"/>
    <w:uiPriority w:val="99"/>
    <w:rsid w:val="00972D86"/>
    <w:pPr>
      <w:keepNext/>
      <w:spacing w:before="180" w:after="60"/>
      <w:jc w:val="center"/>
    </w:pPr>
    <w:rPr>
      <w:rFonts w:eastAsia="Times New Roman"/>
      <w:b/>
      <w:bCs/>
      <w:lang w:eastAsia="en-US"/>
    </w:rPr>
  </w:style>
  <w:style w:type="paragraph" w:styleId="FootnoteText">
    <w:name w:val="footnote text"/>
    <w:basedOn w:val="Normal"/>
    <w:link w:val="FootnoteTextChar"/>
    <w:uiPriority w:val="99"/>
    <w:semiHidden/>
    <w:rsid w:val="00972D86"/>
    <w:rPr>
      <w:sz w:val="20"/>
      <w:szCs w:val="20"/>
    </w:rPr>
  </w:style>
  <w:style w:type="character" w:customStyle="1" w:styleId="FootnoteTextChar">
    <w:name w:val="Footnote Text Char"/>
    <w:basedOn w:val="DefaultParagraphFont"/>
    <w:link w:val="FootnoteText"/>
    <w:uiPriority w:val="99"/>
    <w:semiHidden/>
    <w:rsid w:val="00972D86"/>
    <w:rPr>
      <w:rFonts w:ascii="Times New Roman" w:eastAsia="MS Mincho" w:hAnsi="Times New Roman" w:cs="Times New Roman"/>
      <w:sz w:val="20"/>
      <w:szCs w:val="20"/>
      <w:lang w:eastAsia="ja-JP"/>
    </w:rPr>
  </w:style>
  <w:style w:type="character" w:styleId="FootnoteReference">
    <w:name w:val="footnote reference"/>
    <w:basedOn w:val="DefaultParagraphFont"/>
    <w:uiPriority w:val="99"/>
    <w:semiHidden/>
    <w:rsid w:val="00972D86"/>
    <w:rPr>
      <w:vertAlign w:val="superscript"/>
    </w:rPr>
  </w:style>
  <w:style w:type="table" w:styleId="TableGrid">
    <w:name w:val="Table Grid"/>
    <w:basedOn w:val="TableNormal"/>
    <w:uiPriority w:val="99"/>
    <w:rsid w:val="00972D86"/>
    <w:rPr>
      <w:rFonts w:ascii="Times New Roman" w:eastAsia="MS Mincho"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2">
    <w:name w:val="Char Char2"/>
    <w:basedOn w:val="Normal"/>
    <w:uiPriority w:val="99"/>
    <w:rsid w:val="00972D86"/>
    <w:pPr>
      <w:spacing w:after="160" w:line="240" w:lineRule="exact"/>
    </w:pPr>
    <w:rPr>
      <w:rFonts w:ascii="CG Times" w:eastAsia="Times New Roman" w:hAnsi="CG Times" w:cs="CG Times"/>
      <w:sz w:val="20"/>
      <w:szCs w:val="20"/>
      <w:lang w:eastAsia="en-US"/>
    </w:rPr>
  </w:style>
  <w:style w:type="paragraph" w:styleId="BalloonText">
    <w:name w:val="Balloon Text"/>
    <w:basedOn w:val="Normal"/>
    <w:link w:val="BalloonTextChar"/>
    <w:uiPriority w:val="99"/>
    <w:semiHidden/>
    <w:rsid w:val="00905F3C"/>
    <w:rPr>
      <w:rFonts w:ascii="Tahoma" w:hAnsi="Tahoma" w:cs="Tahoma"/>
      <w:sz w:val="16"/>
      <w:szCs w:val="16"/>
    </w:rPr>
  </w:style>
  <w:style w:type="character" w:customStyle="1" w:styleId="BalloonTextChar">
    <w:name w:val="Balloon Text Char"/>
    <w:basedOn w:val="DefaultParagraphFont"/>
    <w:link w:val="BalloonText"/>
    <w:uiPriority w:val="99"/>
    <w:semiHidden/>
    <w:rsid w:val="00905F3C"/>
    <w:rPr>
      <w:rFonts w:ascii="Tahoma" w:eastAsia="MS Mincho" w:hAnsi="Tahoma" w:cs="Tahoma"/>
      <w:sz w:val="16"/>
      <w:szCs w:val="16"/>
      <w:lang w:eastAsia="ja-JP"/>
    </w:rPr>
  </w:style>
  <w:style w:type="character" w:styleId="Hyperlink">
    <w:name w:val="Hyperlink"/>
    <w:basedOn w:val="DefaultParagraphFont"/>
    <w:uiPriority w:val="99"/>
    <w:rsid w:val="00E44119"/>
    <w:rPr>
      <w:color w:val="0000FF"/>
      <w:u w:val="single"/>
    </w:rPr>
  </w:style>
  <w:style w:type="paragraph" w:customStyle="1" w:styleId="CharChar21">
    <w:name w:val="Char Char21"/>
    <w:basedOn w:val="Normal"/>
    <w:uiPriority w:val="99"/>
    <w:rsid w:val="00E44119"/>
    <w:pPr>
      <w:spacing w:after="160" w:line="240" w:lineRule="exact"/>
    </w:pPr>
    <w:rPr>
      <w:rFonts w:ascii="CG Times" w:eastAsia="Times New Roman" w:hAnsi="CG Times" w:cs="CG Times"/>
      <w:sz w:val="20"/>
      <w:szCs w:val="20"/>
      <w:lang w:eastAsia="en-US"/>
    </w:rPr>
  </w:style>
  <w:style w:type="paragraph" w:styleId="ListParagraph">
    <w:name w:val="List Paragraph"/>
    <w:basedOn w:val="Normal"/>
    <w:uiPriority w:val="99"/>
    <w:qFormat/>
    <w:rsid w:val="00F021F5"/>
    <w:pPr>
      <w:ind w:left="720"/>
      <w:contextualSpacing/>
    </w:pPr>
  </w:style>
  <w:style w:type="paragraph" w:styleId="Header">
    <w:name w:val="header"/>
    <w:basedOn w:val="Normal"/>
    <w:link w:val="HeaderChar"/>
    <w:uiPriority w:val="99"/>
    <w:semiHidden/>
    <w:rsid w:val="002E208B"/>
    <w:pPr>
      <w:tabs>
        <w:tab w:val="center" w:pos="4680"/>
        <w:tab w:val="right" w:pos="9360"/>
      </w:tabs>
    </w:pPr>
  </w:style>
  <w:style w:type="character" w:customStyle="1" w:styleId="HeaderChar">
    <w:name w:val="Header Char"/>
    <w:basedOn w:val="DefaultParagraphFont"/>
    <w:link w:val="Header"/>
    <w:uiPriority w:val="99"/>
    <w:semiHidden/>
    <w:rsid w:val="002E208B"/>
    <w:rPr>
      <w:rFonts w:ascii="Times New Roman" w:eastAsia="MS Mincho" w:hAnsi="Times New Roman" w:cs="Times New Roman"/>
      <w:sz w:val="24"/>
      <w:szCs w:val="24"/>
      <w:lang w:eastAsia="ja-JP"/>
    </w:rPr>
  </w:style>
  <w:style w:type="paragraph" w:styleId="Footer">
    <w:name w:val="footer"/>
    <w:basedOn w:val="Normal"/>
    <w:link w:val="FooterChar"/>
    <w:uiPriority w:val="99"/>
    <w:rsid w:val="002E208B"/>
    <w:pPr>
      <w:tabs>
        <w:tab w:val="center" w:pos="4680"/>
        <w:tab w:val="right" w:pos="9360"/>
      </w:tabs>
    </w:pPr>
  </w:style>
  <w:style w:type="character" w:customStyle="1" w:styleId="FooterChar">
    <w:name w:val="Footer Char"/>
    <w:basedOn w:val="DefaultParagraphFont"/>
    <w:link w:val="Footer"/>
    <w:uiPriority w:val="99"/>
    <w:rsid w:val="002E208B"/>
    <w:rPr>
      <w:rFonts w:ascii="Times New Roman" w:eastAsia="MS Mincho" w:hAnsi="Times New Roman" w:cs="Times New Roman"/>
      <w:sz w:val="24"/>
      <w:szCs w:val="24"/>
      <w:lang w:eastAsia="ja-JP"/>
    </w:rPr>
  </w:style>
  <w:style w:type="paragraph" w:customStyle="1" w:styleId="tabletext">
    <w:name w:val="table text"/>
    <w:basedOn w:val="Normal"/>
    <w:uiPriority w:val="99"/>
    <w:rsid w:val="00264E3A"/>
    <w:pPr>
      <w:spacing w:before="20" w:after="20"/>
    </w:pPr>
    <w:rPr>
      <w:rFonts w:ascii="Arial Narrow" w:eastAsia="Times New Roman" w:hAnsi="Arial Narrow" w:cs="Arial Narrow"/>
      <w:sz w:val="20"/>
      <w:szCs w:val="20"/>
      <w:lang w:eastAsia="en-US"/>
    </w:rPr>
  </w:style>
  <w:style w:type="paragraph" w:styleId="NoSpacing">
    <w:name w:val="No Spacing"/>
    <w:link w:val="NoSpacingChar"/>
    <w:uiPriority w:val="99"/>
    <w:qFormat/>
    <w:rsid w:val="003D60AE"/>
    <w:rPr>
      <w:rFonts w:eastAsia="Times New Roman" w:cs="Calibri"/>
    </w:rPr>
  </w:style>
  <w:style w:type="character" w:customStyle="1" w:styleId="NoSpacingChar">
    <w:name w:val="No Spacing Char"/>
    <w:basedOn w:val="DefaultParagraphFont"/>
    <w:link w:val="NoSpacing"/>
    <w:uiPriority w:val="99"/>
    <w:rsid w:val="003D60AE"/>
    <w:rPr>
      <w:rFonts w:eastAsia="Times New Roman"/>
      <w:sz w:val="22"/>
      <w:szCs w:val="22"/>
      <w:lang w:val="en-US" w:eastAsia="en-US"/>
    </w:rPr>
  </w:style>
  <w:style w:type="paragraph" w:styleId="TOCHeading">
    <w:name w:val="TOC Heading"/>
    <w:basedOn w:val="Heading1"/>
    <w:next w:val="Normal"/>
    <w:uiPriority w:val="99"/>
    <w:qFormat/>
    <w:rsid w:val="003D60AE"/>
    <w:pPr>
      <w:keepLines/>
      <w:spacing w:before="480" w:after="0" w:line="276" w:lineRule="auto"/>
      <w:outlineLvl w:val="9"/>
    </w:pPr>
    <w:rPr>
      <w:rFonts w:ascii="Cambria" w:eastAsia="Times New Roman" w:hAnsi="Cambria" w:cs="Cambria"/>
      <w:color w:val="365F91"/>
      <w:kern w:val="0"/>
      <w:sz w:val="28"/>
      <w:szCs w:val="28"/>
      <w:lang w:eastAsia="en-US"/>
    </w:rPr>
  </w:style>
  <w:style w:type="paragraph" w:styleId="TOC1">
    <w:name w:val="toc 1"/>
    <w:basedOn w:val="Normal"/>
    <w:next w:val="Normal"/>
    <w:autoRedefine/>
    <w:uiPriority w:val="39"/>
    <w:rsid w:val="003D60AE"/>
    <w:pPr>
      <w:spacing w:after="100"/>
    </w:pPr>
  </w:style>
  <w:style w:type="paragraph" w:styleId="TOC2">
    <w:name w:val="toc 2"/>
    <w:basedOn w:val="Normal"/>
    <w:next w:val="Normal"/>
    <w:autoRedefine/>
    <w:uiPriority w:val="99"/>
    <w:semiHidden/>
    <w:rsid w:val="003D60AE"/>
    <w:pPr>
      <w:spacing w:after="100" w:line="276" w:lineRule="auto"/>
      <w:ind w:left="220"/>
    </w:pPr>
    <w:rPr>
      <w:rFonts w:ascii="Calibri" w:eastAsia="Times New Roman" w:hAnsi="Calibri" w:cs="Calibri"/>
      <w:sz w:val="22"/>
      <w:szCs w:val="22"/>
      <w:lang w:eastAsia="en-US"/>
    </w:rPr>
  </w:style>
  <w:style w:type="paragraph" w:styleId="TOC3">
    <w:name w:val="toc 3"/>
    <w:basedOn w:val="Normal"/>
    <w:next w:val="Normal"/>
    <w:autoRedefine/>
    <w:uiPriority w:val="99"/>
    <w:semiHidden/>
    <w:rsid w:val="003D60AE"/>
    <w:pPr>
      <w:spacing w:after="100" w:line="276" w:lineRule="auto"/>
      <w:ind w:left="440"/>
    </w:pPr>
    <w:rPr>
      <w:rFonts w:ascii="Calibri" w:eastAsia="Times New Roman" w:hAnsi="Calibri" w:cs="Calibri"/>
      <w:sz w:val="22"/>
      <w:szCs w:val="22"/>
      <w:lang w:eastAsia="en-US"/>
    </w:rPr>
  </w:style>
  <w:style w:type="paragraph" w:styleId="Revision">
    <w:name w:val="Revision"/>
    <w:hidden/>
    <w:uiPriority w:val="99"/>
    <w:semiHidden/>
    <w:rsid w:val="00C5087B"/>
    <w:rPr>
      <w:rFonts w:ascii="Times New Roman" w:eastAsia="MS Mincho" w:hAnsi="Times New Roman"/>
      <w:sz w:val="24"/>
      <w:szCs w:val="24"/>
      <w:lang w:eastAsia="ja-JP"/>
    </w:rPr>
  </w:style>
  <w:style w:type="character" w:styleId="FollowedHyperlink">
    <w:name w:val="FollowedHyperlink"/>
    <w:basedOn w:val="DefaultParagraphFont"/>
    <w:uiPriority w:val="99"/>
    <w:semiHidden/>
    <w:rsid w:val="009739AF"/>
    <w:rPr>
      <w:color w:val="800080"/>
      <w:u w:val="single"/>
    </w:rPr>
  </w:style>
  <w:style w:type="character" w:styleId="Strong">
    <w:name w:val="Strong"/>
    <w:basedOn w:val="DefaultParagraphFont"/>
    <w:uiPriority w:val="99"/>
    <w:qFormat/>
    <w:rsid w:val="006312DD"/>
    <w:rPr>
      <w:b/>
      <w:bCs/>
    </w:rPr>
  </w:style>
  <w:style w:type="character" w:styleId="CommentReference">
    <w:name w:val="annotation reference"/>
    <w:basedOn w:val="DefaultParagraphFont"/>
    <w:uiPriority w:val="99"/>
    <w:semiHidden/>
    <w:rsid w:val="00A91B57"/>
    <w:rPr>
      <w:sz w:val="16"/>
      <w:szCs w:val="16"/>
    </w:rPr>
  </w:style>
  <w:style w:type="paragraph" w:styleId="CommentText">
    <w:name w:val="annotation text"/>
    <w:basedOn w:val="Normal"/>
    <w:link w:val="CommentTextChar"/>
    <w:uiPriority w:val="99"/>
    <w:semiHidden/>
    <w:rsid w:val="00A91B57"/>
    <w:rPr>
      <w:sz w:val="20"/>
      <w:szCs w:val="20"/>
    </w:rPr>
  </w:style>
  <w:style w:type="character" w:customStyle="1" w:styleId="CommentTextChar">
    <w:name w:val="Comment Text Char"/>
    <w:basedOn w:val="DefaultParagraphFont"/>
    <w:link w:val="CommentText"/>
    <w:uiPriority w:val="99"/>
    <w:semiHidden/>
    <w:rsid w:val="00A91B57"/>
    <w:rPr>
      <w:rFonts w:ascii="Times New Roman" w:eastAsia="MS Mincho" w:hAnsi="Times New Roman" w:cs="Times New Roman"/>
      <w:sz w:val="20"/>
      <w:szCs w:val="20"/>
      <w:lang w:eastAsia="ja-JP"/>
    </w:rPr>
  </w:style>
  <w:style w:type="paragraph" w:styleId="CommentSubject">
    <w:name w:val="annotation subject"/>
    <w:basedOn w:val="CommentText"/>
    <w:next w:val="CommentText"/>
    <w:link w:val="CommentSubjectChar"/>
    <w:uiPriority w:val="99"/>
    <w:semiHidden/>
    <w:rsid w:val="00A91B57"/>
    <w:rPr>
      <w:b/>
      <w:bCs/>
    </w:rPr>
  </w:style>
  <w:style w:type="character" w:customStyle="1" w:styleId="CommentSubjectChar">
    <w:name w:val="Comment Subject Char"/>
    <w:basedOn w:val="CommentTextChar"/>
    <w:link w:val="CommentSubject"/>
    <w:uiPriority w:val="99"/>
    <w:semiHidden/>
    <w:rsid w:val="00A91B57"/>
    <w:rPr>
      <w:b/>
      <w:bCs/>
    </w:rPr>
  </w:style>
  <w:style w:type="paragraph" w:styleId="EndnoteText">
    <w:name w:val="endnote text"/>
    <w:basedOn w:val="Normal"/>
    <w:link w:val="EndnoteTextChar"/>
    <w:uiPriority w:val="99"/>
    <w:semiHidden/>
    <w:rsid w:val="0080658E"/>
    <w:rPr>
      <w:sz w:val="20"/>
      <w:szCs w:val="20"/>
    </w:rPr>
  </w:style>
  <w:style w:type="character" w:customStyle="1" w:styleId="EndnoteTextChar">
    <w:name w:val="Endnote Text Char"/>
    <w:basedOn w:val="DefaultParagraphFont"/>
    <w:link w:val="EndnoteText"/>
    <w:uiPriority w:val="99"/>
    <w:semiHidden/>
    <w:rsid w:val="0080658E"/>
    <w:rPr>
      <w:rFonts w:ascii="Times New Roman" w:eastAsia="MS Mincho" w:hAnsi="Times New Roman" w:cs="Times New Roman"/>
      <w:sz w:val="20"/>
      <w:szCs w:val="20"/>
      <w:lang w:eastAsia="ja-JP"/>
    </w:rPr>
  </w:style>
  <w:style w:type="character" w:styleId="EndnoteReference">
    <w:name w:val="endnote reference"/>
    <w:basedOn w:val="DefaultParagraphFont"/>
    <w:uiPriority w:val="99"/>
    <w:semiHidden/>
    <w:rsid w:val="0080658E"/>
    <w:rPr>
      <w:vertAlign w:val="superscript"/>
    </w:rPr>
  </w:style>
</w:styles>
</file>

<file path=word/webSettings.xml><?xml version="1.0" encoding="utf-8"?>
<w:webSettings xmlns:r="http://schemas.openxmlformats.org/officeDocument/2006/relationships" xmlns:w="http://schemas.openxmlformats.org/wordprocessingml/2006/main">
  <w:divs>
    <w:div w:id="154104917">
      <w:marLeft w:val="0"/>
      <w:marRight w:val="0"/>
      <w:marTop w:val="0"/>
      <w:marBottom w:val="0"/>
      <w:divBdr>
        <w:top w:val="none" w:sz="0" w:space="0" w:color="auto"/>
        <w:left w:val="none" w:sz="0" w:space="0" w:color="auto"/>
        <w:bottom w:val="none" w:sz="0" w:space="0" w:color="auto"/>
        <w:right w:val="none" w:sz="0" w:space="0" w:color="auto"/>
      </w:divBdr>
    </w:div>
    <w:div w:id="154104918">
      <w:marLeft w:val="0"/>
      <w:marRight w:val="0"/>
      <w:marTop w:val="0"/>
      <w:marBottom w:val="0"/>
      <w:divBdr>
        <w:top w:val="none" w:sz="0" w:space="0" w:color="auto"/>
        <w:left w:val="none" w:sz="0" w:space="0" w:color="auto"/>
        <w:bottom w:val="none" w:sz="0" w:space="0" w:color="auto"/>
        <w:right w:val="none" w:sz="0" w:space="0" w:color="auto"/>
      </w:divBdr>
    </w:div>
    <w:div w:id="154104919">
      <w:marLeft w:val="0"/>
      <w:marRight w:val="0"/>
      <w:marTop w:val="0"/>
      <w:marBottom w:val="0"/>
      <w:divBdr>
        <w:top w:val="none" w:sz="0" w:space="0" w:color="auto"/>
        <w:left w:val="none" w:sz="0" w:space="0" w:color="auto"/>
        <w:bottom w:val="none" w:sz="0" w:space="0" w:color="auto"/>
        <w:right w:val="none" w:sz="0" w:space="0" w:color="auto"/>
      </w:divBdr>
    </w:div>
    <w:div w:id="154104920">
      <w:marLeft w:val="0"/>
      <w:marRight w:val="0"/>
      <w:marTop w:val="0"/>
      <w:marBottom w:val="0"/>
      <w:divBdr>
        <w:top w:val="none" w:sz="0" w:space="0" w:color="auto"/>
        <w:left w:val="none" w:sz="0" w:space="0" w:color="auto"/>
        <w:bottom w:val="none" w:sz="0" w:space="0" w:color="auto"/>
        <w:right w:val="none" w:sz="0" w:space="0" w:color="auto"/>
      </w:divBdr>
    </w:div>
    <w:div w:id="154104921">
      <w:marLeft w:val="0"/>
      <w:marRight w:val="0"/>
      <w:marTop w:val="0"/>
      <w:marBottom w:val="0"/>
      <w:divBdr>
        <w:top w:val="none" w:sz="0" w:space="0" w:color="auto"/>
        <w:left w:val="none" w:sz="0" w:space="0" w:color="auto"/>
        <w:bottom w:val="none" w:sz="0" w:space="0" w:color="auto"/>
        <w:right w:val="none" w:sz="0" w:space="0" w:color="auto"/>
      </w:divBdr>
    </w:div>
    <w:div w:id="154104922">
      <w:marLeft w:val="0"/>
      <w:marRight w:val="0"/>
      <w:marTop w:val="0"/>
      <w:marBottom w:val="0"/>
      <w:divBdr>
        <w:top w:val="none" w:sz="0" w:space="0" w:color="auto"/>
        <w:left w:val="none" w:sz="0" w:space="0" w:color="auto"/>
        <w:bottom w:val="none" w:sz="0" w:space="0" w:color="auto"/>
        <w:right w:val="none" w:sz="0" w:space="0" w:color="auto"/>
      </w:divBdr>
    </w:div>
    <w:div w:id="154104923">
      <w:marLeft w:val="0"/>
      <w:marRight w:val="0"/>
      <w:marTop w:val="0"/>
      <w:marBottom w:val="0"/>
      <w:divBdr>
        <w:top w:val="none" w:sz="0" w:space="0" w:color="auto"/>
        <w:left w:val="none" w:sz="0" w:space="0" w:color="auto"/>
        <w:bottom w:val="none" w:sz="0" w:space="0" w:color="auto"/>
        <w:right w:val="none" w:sz="0" w:space="0" w:color="auto"/>
      </w:divBdr>
    </w:div>
    <w:div w:id="154104924">
      <w:marLeft w:val="0"/>
      <w:marRight w:val="0"/>
      <w:marTop w:val="0"/>
      <w:marBottom w:val="0"/>
      <w:divBdr>
        <w:top w:val="none" w:sz="0" w:space="0" w:color="auto"/>
        <w:left w:val="none" w:sz="0" w:space="0" w:color="auto"/>
        <w:bottom w:val="none" w:sz="0" w:space="0" w:color="auto"/>
        <w:right w:val="none" w:sz="0" w:space="0" w:color="auto"/>
      </w:divBdr>
    </w:div>
    <w:div w:id="154104925">
      <w:marLeft w:val="0"/>
      <w:marRight w:val="0"/>
      <w:marTop w:val="0"/>
      <w:marBottom w:val="0"/>
      <w:divBdr>
        <w:top w:val="none" w:sz="0" w:space="0" w:color="auto"/>
        <w:left w:val="none" w:sz="0" w:space="0" w:color="auto"/>
        <w:bottom w:val="none" w:sz="0" w:space="0" w:color="auto"/>
        <w:right w:val="none" w:sz="0" w:space="0" w:color="auto"/>
      </w:divBdr>
    </w:div>
    <w:div w:id="154104926">
      <w:marLeft w:val="0"/>
      <w:marRight w:val="0"/>
      <w:marTop w:val="0"/>
      <w:marBottom w:val="0"/>
      <w:divBdr>
        <w:top w:val="none" w:sz="0" w:space="0" w:color="auto"/>
        <w:left w:val="none" w:sz="0" w:space="0" w:color="auto"/>
        <w:bottom w:val="none" w:sz="0" w:space="0" w:color="auto"/>
        <w:right w:val="none" w:sz="0" w:space="0" w:color="auto"/>
      </w:divBdr>
    </w:div>
    <w:div w:id="154104927">
      <w:marLeft w:val="0"/>
      <w:marRight w:val="0"/>
      <w:marTop w:val="0"/>
      <w:marBottom w:val="0"/>
      <w:divBdr>
        <w:top w:val="none" w:sz="0" w:space="0" w:color="auto"/>
        <w:left w:val="none" w:sz="0" w:space="0" w:color="auto"/>
        <w:bottom w:val="none" w:sz="0" w:space="0" w:color="auto"/>
        <w:right w:val="none" w:sz="0" w:space="0" w:color="auto"/>
      </w:divBdr>
    </w:div>
    <w:div w:id="154104928">
      <w:marLeft w:val="0"/>
      <w:marRight w:val="0"/>
      <w:marTop w:val="0"/>
      <w:marBottom w:val="0"/>
      <w:divBdr>
        <w:top w:val="none" w:sz="0" w:space="0" w:color="auto"/>
        <w:left w:val="none" w:sz="0" w:space="0" w:color="auto"/>
        <w:bottom w:val="none" w:sz="0" w:space="0" w:color="auto"/>
        <w:right w:val="none" w:sz="0" w:space="0" w:color="auto"/>
      </w:divBdr>
    </w:div>
    <w:div w:id="15410492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image" Target="media/image15.emf"/><Relationship Id="rId34" Type="http://schemas.openxmlformats.org/officeDocument/2006/relationships/customXml" Target="../customXml/item4.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footer" Target="footer1.xml"/><Relationship Id="rId33"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emf"/><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header" Target="header2.xml"/><Relationship Id="rId32"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header" Target="header3.xml"/><Relationship Id="rId30" Type="http://schemas.openxmlformats.org/officeDocument/2006/relationships/theme" Target="theme/theme1.xml"/><Relationship Id="rId8"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7888D0B81AFA74799D98F022F66F759" ma:contentTypeVersion="144" ma:contentTypeDescription="" ma:contentTypeScope="" ma:versionID="eff539e942df3fe66d9be35b640cd08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Compliance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2000-09-25T07:00:00+00:00</OpenedDate>
    <Date1 xmlns="dc463f71-b30c-4ab2-9473-d307f9d35888">2010-02-12T08:00:00+00:00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001457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EC295551-7BF7-4999-83A9-7229F7FAA929}"/>
</file>

<file path=customXml/itemProps2.xml><?xml version="1.0" encoding="utf-8"?>
<ds:datastoreItem xmlns:ds="http://schemas.openxmlformats.org/officeDocument/2006/customXml" ds:itemID="{6B2E3B9A-C556-4CB3-BB69-42D7C78AA91C}"/>
</file>

<file path=customXml/itemProps3.xml><?xml version="1.0" encoding="utf-8"?>
<ds:datastoreItem xmlns:ds="http://schemas.openxmlformats.org/officeDocument/2006/customXml" ds:itemID="{FD1E2B25-49F1-4246-AEF2-8EAD65719F23}"/>
</file>

<file path=customXml/itemProps4.xml><?xml version="1.0" encoding="utf-8"?>
<ds:datastoreItem xmlns:ds="http://schemas.openxmlformats.org/officeDocument/2006/customXml" ds:itemID="{A7A7FDAF-7340-413B-B07B-8E164930995A}"/>
</file>

<file path=docProps/app.xml><?xml version="1.0" encoding="utf-8"?>
<Properties xmlns="http://schemas.openxmlformats.org/officeDocument/2006/extended-properties" xmlns:vt="http://schemas.openxmlformats.org/officeDocument/2006/docPropsVTypes">
  <Template>Normal.dotm</Template>
  <TotalTime>0</TotalTime>
  <Pages>25</Pages>
  <Words>3972</Words>
  <Characters>23712</Characters>
  <Application>Microsoft Office Word</Application>
  <DocSecurity>0</DocSecurity>
  <Lines>197</Lines>
  <Paragraphs>55</Paragraphs>
  <ScaleCrop>false</ScaleCrop>
  <Company/>
  <LinksUpToDate>false</LinksUpToDate>
  <CharactersWithSpaces>27629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2010-02-12T16:56:00Z</dcterms:created>
  <dcterms:modified xsi:type="dcterms:W3CDTF">2010-02-12T16:56:00Z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0x0101006E56B4D1795A2E4DB2F0B01679ED314A0097888D0B81AFA74799D98F022F66F759</vt:lpwstr>
  </property>
  <property fmtid="{D5CDD505-2E9C-101B-9397-08002B2CF9AE}" pid="4" name="_docset_NoMedatataSyncRequired">
    <vt:lpwstr>False</vt:lpwstr>
  </property>
</Properties>
</file>