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039" w:rsidRPr="00F87971" w:rsidRDefault="00156039" w:rsidP="00156039">
      <w:pPr>
        <w:spacing w:after="0" w:line="240" w:lineRule="auto"/>
        <w:ind w:right="18" w:firstLine="4860"/>
        <w:contextualSpacing/>
        <w:rPr>
          <w:b/>
          <w:lang w:val="fr-FR"/>
        </w:rPr>
      </w:pPr>
      <w:r w:rsidRPr="00F87971">
        <w:rPr>
          <w:b/>
        </w:rPr>
        <w:t>Exhibit</w:t>
      </w:r>
      <w:r w:rsidRPr="00F87971">
        <w:rPr>
          <w:b/>
          <w:lang w:val="fr-FR"/>
        </w:rPr>
        <w:t xml:space="preserve"> No. ___ HCT (</w:t>
      </w:r>
      <w:proofErr w:type="spellStart"/>
      <w:r w:rsidRPr="00F87971">
        <w:rPr>
          <w:b/>
          <w:lang w:val="fr-FR"/>
        </w:rPr>
        <w:t>J</w:t>
      </w:r>
      <w:r>
        <w:rPr>
          <w:b/>
          <w:lang w:val="fr-FR"/>
        </w:rPr>
        <w:t>L</w:t>
      </w:r>
      <w:proofErr w:type="spellEnd"/>
      <w:r w:rsidRPr="00F87971">
        <w:rPr>
          <w:b/>
          <w:lang w:val="fr-FR"/>
        </w:rPr>
        <w:t>-1HCT)</w:t>
      </w:r>
    </w:p>
    <w:p w:rsidR="00156039" w:rsidRPr="00F87971" w:rsidRDefault="00156039" w:rsidP="00156039">
      <w:pPr>
        <w:spacing w:after="0" w:line="240" w:lineRule="auto"/>
        <w:ind w:firstLine="4860"/>
        <w:contextualSpacing/>
        <w:rPr>
          <w:b/>
        </w:rPr>
      </w:pPr>
      <w:r w:rsidRPr="00F87971">
        <w:rPr>
          <w:b/>
        </w:rPr>
        <w:t>Docket UT-090842</w:t>
      </w:r>
    </w:p>
    <w:p w:rsidR="00156039" w:rsidRPr="00F87971" w:rsidRDefault="00156039" w:rsidP="00156039">
      <w:pPr>
        <w:spacing w:after="0" w:line="240" w:lineRule="auto"/>
        <w:ind w:firstLine="4860"/>
        <w:contextualSpacing/>
        <w:rPr>
          <w:b/>
        </w:rPr>
      </w:pPr>
      <w:r w:rsidRPr="00F87971">
        <w:rPr>
          <w:b/>
        </w:rPr>
        <w:t xml:space="preserve">Witness:  Jing </w:t>
      </w:r>
      <w:r>
        <w:rPr>
          <w:b/>
        </w:rPr>
        <w:t>Liu</w:t>
      </w:r>
    </w:p>
    <w:p w:rsidR="00156039" w:rsidRPr="00F87971" w:rsidRDefault="00E32A0D" w:rsidP="00156039">
      <w:pPr>
        <w:spacing w:after="0" w:line="240" w:lineRule="auto"/>
        <w:ind w:firstLine="4860"/>
        <w:contextualSpacing/>
        <w:rPr>
          <w:b/>
        </w:rPr>
      </w:pPr>
      <w:r>
        <w:rPr>
          <w:b/>
        </w:rPr>
        <w:t xml:space="preserve">REDACTED </w:t>
      </w:r>
      <w:r w:rsidR="00156039" w:rsidRPr="00F87971">
        <w:rPr>
          <w:b/>
        </w:rPr>
        <w:t>VERSION</w:t>
      </w:r>
    </w:p>
    <w:p w:rsidR="00156039" w:rsidRPr="00F87971" w:rsidRDefault="00156039" w:rsidP="00156039">
      <w:pPr>
        <w:spacing w:after="0" w:line="240" w:lineRule="auto"/>
        <w:ind w:firstLine="5670"/>
        <w:contextualSpacing/>
        <w:rPr>
          <w:b/>
        </w:rPr>
      </w:pPr>
    </w:p>
    <w:p w:rsidR="00156039" w:rsidRPr="00F87971" w:rsidRDefault="00156039" w:rsidP="00156039">
      <w:pPr>
        <w:pStyle w:val="BlockText"/>
        <w:spacing w:line="240" w:lineRule="auto"/>
        <w:ind w:left="0"/>
        <w:contextualSpacing/>
        <w:rPr>
          <w:b/>
          <w:color w:val="0000FF"/>
        </w:rPr>
      </w:pPr>
    </w:p>
    <w:p w:rsidR="00156039" w:rsidRPr="00F87971" w:rsidRDefault="00156039" w:rsidP="00156039">
      <w:pPr>
        <w:pStyle w:val="BlockText"/>
        <w:spacing w:line="240" w:lineRule="auto"/>
        <w:ind w:left="0"/>
        <w:contextualSpacing/>
        <w:rPr>
          <w:b/>
          <w:color w:val="0000FF"/>
        </w:rPr>
      </w:pPr>
    </w:p>
    <w:p w:rsidR="00156039" w:rsidRPr="00F87971" w:rsidRDefault="00156039" w:rsidP="00156039">
      <w:pPr>
        <w:pStyle w:val="BlockText"/>
        <w:spacing w:line="240" w:lineRule="auto"/>
        <w:ind w:left="0"/>
        <w:contextualSpacing/>
        <w:rPr>
          <w:b/>
          <w:color w:val="0000FF"/>
        </w:rPr>
      </w:pPr>
    </w:p>
    <w:p w:rsidR="00156039" w:rsidRPr="00F87971" w:rsidRDefault="00156039" w:rsidP="00156039">
      <w:pPr>
        <w:tabs>
          <w:tab w:val="center" w:pos="4680"/>
        </w:tabs>
        <w:spacing w:after="0" w:line="240" w:lineRule="auto"/>
        <w:ind w:right="-108" w:hanging="180"/>
        <w:contextualSpacing/>
        <w:jc w:val="both"/>
        <w:rPr>
          <w:b/>
        </w:rPr>
      </w:pPr>
      <w:r w:rsidRPr="00F87971">
        <w:rPr>
          <w:b/>
        </w:rPr>
        <w:t>BEFORE THE WASHINGTON UTILITIES AND TRANSPORTATION COMMISSION</w:t>
      </w:r>
    </w:p>
    <w:p w:rsidR="00156039" w:rsidRPr="00F87971" w:rsidRDefault="00156039" w:rsidP="00156039">
      <w:pPr>
        <w:spacing w:after="0" w:line="240" w:lineRule="auto"/>
        <w:contextualSpacing/>
        <w:jc w:val="both"/>
        <w:rPr>
          <w:b/>
        </w:rPr>
      </w:pPr>
    </w:p>
    <w:p w:rsidR="00156039" w:rsidRPr="00F87971" w:rsidRDefault="00156039" w:rsidP="00156039">
      <w:pPr>
        <w:spacing w:after="0" w:line="240" w:lineRule="auto"/>
        <w:contextualSpacing/>
        <w:jc w:val="both"/>
        <w:rPr>
          <w:b/>
        </w:rPr>
      </w:pPr>
    </w:p>
    <w:tbl>
      <w:tblPr>
        <w:tblW w:w="9180" w:type="dxa"/>
        <w:tblInd w:w="124" w:type="dxa"/>
        <w:tblLayout w:type="fixed"/>
        <w:tblCellMar>
          <w:left w:w="124" w:type="dxa"/>
          <w:right w:w="124" w:type="dxa"/>
        </w:tblCellMar>
        <w:tblLook w:val="0000"/>
      </w:tblPr>
      <w:tblGrid>
        <w:gridCol w:w="4590"/>
        <w:gridCol w:w="4590"/>
      </w:tblGrid>
      <w:tr w:rsidR="00156039" w:rsidRPr="00F87971" w:rsidTr="00156039">
        <w:tc>
          <w:tcPr>
            <w:tcW w:w="4590" w:type="dxa"/>
            <w:tcBorders>
              <w:top w:val="single" w:sz="6" w:space="0" w:color="FFFFFF"/>
              <w:left w:val="single" w:sz="6" w:space="0" w:color="FFFFFF"/>
              <w:bottom w:val="single" w:sz="7" w:space="0" w:color="000000"/>
              <w:right w:val="single" w:sz="6" w:space="0" w:color="FFFFFF"/>
            </w:tcBorders>
          </w:tcPr>
          <w:p w:rsidR="00156039" w:rsidRPr="00F87971" w:rsidRDefault="00156039" w:rsidP="00156039">
            <w:pPr>
              <w:spacing w:after="0" w:line="240" w:lineRule="auto"/>
              <w:contextualSpacing/>
              <w:rPr>
                <w:b/>
              </w:rPr>
            </w:pPr>
          </w:p>
          <w:p w:rsidR="00156039" w:rsidRPr="00F87971" w:rsidRDefault="00156039" w:rsidP="00156039">
            <w:pPr>
              <w:spacing w:after="0" w:line="240" w:lineRule="auto"/>
              <w:contextualSpacing/>
              <w:rPr>
                <w:b/>
              </w:rPr>
            </w:pPr>
            <w:r w:rsidRPr="00F87971">
              <w:rPr>
                <w:b/>
              </w:rPr>
              <w:t>In the Matter of the Joint Application of</w:t>
            </w:r>
          </w:p>
          <w:p w:rsidR="00156039" w:rsidRPr="00F87971" w:rsidRDefault="00156039" w:rsidP="00156039">
            <w:pPr>
              <w:spacing w:after="0" w:line="240" w:lineRule="auto"/>
              <w:contextualSpacing/>
              <w:rPr>
                <w:b/>
              </w:rPr>
            </w:pPr>
          </w:p>
          <w:p w:rsidR="00156039" w:rsidRPr="00F87971" w:rsidRDefault="00156039" w:rsidP="00156039">
            <w:pPr>
              <w:spacing w:after="0" w:line="240" w:lineRule="auto"/>
              <w:contextualSpacing/>
              <w:rPr>
                <w:b/>
              </w:rPr>
            </w:pPr>
            <w:r w:rsidRPr="00F87971">
              <w:rPr>
                <w:b/>
              </w:rPr>
              <w:t>FRONTIER COMMUNICATION CORPORATION AND VERIZON COMMUNICATIONS, INC.</w:t>
            </w:r>
          </w:p>
          <w:p w:rsidR="00156039" w:rsidRPr="00F87971" w:rsidRDefault="00156039" w:rsidP="00156039">
            <w:pPr>
              <w:spacing w:after="0" w:line="240" w:lineRule="auto"/>
              <w:contextualSpacing/>
              <w:rPr>
                <w:b/>
              </w:rPr>
            </w:pPr>
          </w:p>
          <w:p w:rsidR="00156039" w:rsidRPr="00F87971" w:rsidRDefault="00156039" w:rsidP="00156039">
            <w:pPr>
              <w:spacing w:after="0" w:line="240" w:lineRule="auto"/>
              <w:contextualSpacing/>
              <w:rPr>
                <w:b/>
              </w:rPr>
            </w:pPr>
            <w:proofErr w:type="gramStart"/>
            <w:r w:rsidRPr="00F87971">
              <w:rPr>
                <w:b/>
              </w:rPr>
              <w:t>for</w:t>
            </w:r>
            <w:proofErr w:type="gramEnd"/>
            <w:r w:rsidRPr="00F87971">
              <w:rPr>
                <w:b/>
              </w:rPr>
              <w:t xml:space="preserve"> Approval of Indirect Transfer of Control of Verizon Northwest, Inc.</w:t>
            </w:r>
          </w:p>
          <w:p w:rsidR="00156039" w:rsidRPr="00F87971" w:rsidRDefault="00156039" w:rsidP="00156039">
            <w:pPr>
              <w:spacing w:after="0" w:line="240" w:lineRule="auto"/>
              <w:contextualSpacing/>
              <w:rPr>
                <w:b/>
              </w:rPr>
            </w:pPr>
          </w:p>
        </w:tc>
        <w:tc>
          <w:tcPr>
            <w:tcW w:w="4590" w:type="dxa"/>
            <w:tcBorders>
              <w:top w:val="single" w:sz="6" w:space="0" w:color="FFFFFF"/>
              <w:left w:val="single" w:sz="7" w:space="0" w:color="000000"/>
              <w:bottom w:val="single" w:sz="6" w:space="0" w:color="FFFFFF"/>
              <w:right w:val="single" w:sz="6" w:space="0" w:color="FFFFFF"/>
            </w:tcBorders>
          </w:tcPr>
          <w:p w:rsidR="00156039" w:rsidRPr="00F87971" w:rsidRDefault="00156039" w:rsidP="00156039">
            <w:pPr>
              <w:spacing w:after="0" w:line="240" w:lineRule="auto"/>
              <w:ind w:firstLine="720"/>
              <w:contextualSpacing/>
              <w:rPr>
                <w:b/>
              </w:rPr>
            </w:pPr>
          </w:p>
          <w:p w:rsidR="00156039" w:rsidRPr="00F87971" w:rsidRDefault="00156039" w:rsidP="00156039">
            <w:pPr>
              <w:spacing w:after="0" w:line="240" w:lineRule="auto"/>
              <w:ind w:firstLine="720"/>
              <w:contextualSpacing/>
              <w:rPr>
                <w:b/>
              </w:rPr>
            </w:pPr>
            <w:r w:rsidRPr="00F87971">
              <w:rPr>
                <w:b/>
              </w:rPr>
              <w:t>DOCKET UT-090842</w:t>
            </w:r>
          </w:p>
          <w:p w:rsidR="00156039" w:rsidRPr="00F87971" w:rsidRDefault="00156039" w:rsidP="00156039">
            <w:pPr>
              <w:spacing w:after="0" w:line="240" w:lineRule="auto"/>
              <w:contextualSpacing/>
              <w:rPr>
                <w:b/>
              </w:rPr>
            </w:pPr>
          </w:p>
          <w:p w:rsidR="00156039" w:rsidRPr="00F87971" w:rsidRDefault="00156039" w:rsidP="00156039">
            <w:pPr>
              <w:spacing w:after="0" w:line="240" w:lineRule="auto"/>
              <w:ind w:left="720"/>
              <w:contextualSpacing/>
              <w:rPr>
                <w:b/>
              </w:rPr>
            </w:pPr>
            <w:r w:rsidRPr="00F87971">
              <w:rPr>
                <w:b/>
              </w:rPr>
              <w:t xml:space="preserve"> </w:t>
            </w:r>
          </w:p>
        </w:tc>
      </w:tr>
    </w:tbl>
    <w:p w:rsidR="00156039" w:rsidRPr="00F87971" w:rsidRDefault="00156039" w:rsidP="00156039">
      <w:pPr>
        <w:spacing w:after="0" w:line="240" w:lineRule="auto"/>
        <w:contextualSpacing/>
        <w:jc w:val="both"/>
      </w:pPr>
    </w:p>
    <w:p w:rsidR="00156039" w:rsidRPr="00F87971" w:rsidRDefault="00156039" w:rsidP="00156039">
      <w:pPr>
        <w:spacing w:after="0" w:line="240" w:lineRule="auto"/>
        <w:contextualSpacing/>
        <w:rPr>
          <w:b/>
          <w:bCs/>
        </w:rPr>
      </w:pPr>
    </w:p>
    <w:p w:rsidR="00156039" w:rsidRPr="00F87971" w:rsidRDefault="00156039" w:rsidP="00156039">
      <w:pPr>
        <w:spacing w:after="0" w:line="240" w:lineRule="auto"/>
        <w:contextualSpacing/>
        <w:rPr>
          <w:b/>
          <w:bCs/>
        </w:rPr>
      </w:pPr>
    </w:p>
    <w:p w:rsidR="00156039" w:rsidRPr="00F87971" w:rsidRDefault="00156039" w:rsidP="00156039">
      <w:pPr>
        <w:spacing w:after="0" w:line="240" w:lineRule="auto"/>
        <w:contextualSpacing/>
        <w:jc w:val="center"/>
        <w:rPr>
          <w:b/>
          <w:bCs/>
        </w:rPr>
      </w:pPr>
    </w:p>
    <w:p w:rsidR="00156039" w:rsidRPr="00F87971" w:rsidRDefault="00156039" w:rsidP="00156039">
      <w:pPr>
        <w:tabs>
          <w:tab w:val="center" w:pos="4680"/>
        </w:tabs>
        <w:spacing w:after="0" w:line="240" w:lineRule="auto"/>
        <w:contextualSpacing/>
        <w:jc w:val="center"/>
        <w:rPr>
          <w:b/>
        </w:rPr>
      </w:pPr>
      <w:r w:rsidRPr="00F87971">
        <w:rPr>
          <w:b/>
        </w:rPr>
        <w:t>TESTIMONY</w:t>
      </w:r>
    </w:p>
    <w:p w:rsidR="00156039" w:rsidRPr="00F87971" w:rsidRDefault="00156039" w:rsidP="00156039">
      <w:pPr>
        <w:spacing w:after="0" w:line="240" w:lineRule="auto"/>
        <w:contextualSpacing/>
        <w:jc w:val="center"/>
        <w:rPr>
          <w:b/>
        </w:rPr>
      </w:pPr>
    </w:p>
    <w:p w:rsidR="00156039" w:rsidRPr="00F87971" w:rsidRDefault="00156039" w:rsidP="00156039">
      <w:pPr>
        <w:spacing w:after="0" w:line="240" w:lineRule="auto"/>
        <w:contextualSpacing/>
        <w:jc w:val="center"/>
        <w:rPr>
          <w:b/>
        </w:rPr>
      </w:pPr>
      <w:r w:rsidRPr="00F87971">
        <w:rPr>
          <w:b/>
        </w:rPr>
        <w:t>OF</w:t>
      </w:r>
    </w:p>
    <w:p w:rsidR="00156039" w:rsidRPr="00F87971" w:rsidRDefault="00156039" w:rsidP="00156039">
      <w:pPr>
        <w:spacing w:after="0" w:line="240" w:lineRule="auto"/>
        <w:contextualSpacing/>
        <w:jc w:val="center"/>
        <w:rPr>
          <w:b/>
        </w:rPr>
      </w:pPr>
    </w:p>
    <w:p w:rsidR="00156039" w:rsidRPr="00F87971" w:rsidRDefault="00156039" w:rsidP="00156039">
      <w:pPr>
        <w:tabs>
          <w:tab w:val="center" w:pos="4680"/>
        </w:tabs>
        <w:spacing w:after="0" w:line="240" w:lineRule="auto"/>
        <w:contextualSpacing/>
        <w:jc w:val="center"/>
        <w:rPr>
          <w:b/>
        </w:rPr>
      </w:pPr>
      <w:r w:rsidRPr="00F87971">
        <w:rPr>
          <w:b/>
        </w:rPr>
        <w:t xml:space="preserve">JING </w:t>
      </w:r>
      <w:r>
        <w:rPr>
          <w:b/>
        </w:rPr>
        <w:t>LIU</w:t>
      </w:r>
    </w:p>
    <w:p w:rsidR="00156039" w:rsidRPr="00F87971" w:rsidRDefault="00156039" w:rsidP="00156039">
      <w:pPr>
        <w:spacing w:after="0" w:line="240" w:lineRule="auto"/>
        <w:contextualSpacing/>
        <w:jc w:val="center"/>
        <w:rPr>
          <w:b/>
        </w:rPr>
      </w:pPr>
    </w:p>
    <w:p w:rsidR="00156039" w:rsidRPr="00F87971" w:rsidRDefault="00156039" w:rsidP="00156039">
      <w:pPr>
        <w:tabs>
          <w:tab w:val="center" w:pos="4680"/>
        </w:tabs>
        <w:spacing w:after="0" w:line="240" w:lineRule="auto"/>
        <w:contextualSpacing/>
        <w:jc w:val="center"/>
        <w:rPr>
          <w:b/>
        </w:rPr>
      </w:pPr>
      <w:r w:rsidRPr="00F87971">
        <w:rPr>
          <w:b/>
        </w:rPr>
        <w:t>STAFF OF</w:t>
      </w:r>
    </w:p>
    <w:p w:rsidR="00156039" w:rsidRPr="00F87971" w:rsidRDefault="00156039" w:rsidP="00156039">
      <w:pPr>
        <w:tabs>
          <w:tab w:val="center" w:pos="4680"/>
        </w:tabs>
        <w:spacing w:after="0" w:line="240" w:lineRule="auto"/>
        <w:contextualSpacing/>
        <w:jc w:val="center"/>
        <w:rPr>
          <w:b/>
        </w:rPr>
      </w:pPr>
    </w:p>
    <w:p w:rsidR="00156039" w:rsidRPr="00F87971" w:rsidRDefault="00156039" w:rsidP="00156039">
      <w:pPr>
        <w:tabs>
          <w:tab w:val="center" w:pos="4680"/>
        </w:tabs>
        <w:spacing w:after="0" w:line="240" w:lineRule="auto"/>
        <w:contextualSpacing/>
        <w:jc w:val="center"/>
        <w:rPr>
          <w:b/>
        </w:rPr>
      </w:pPr>
      <w:r w:rsidRPr="00F87971">
        <w:rPr>
          <w:b/>
        </w:rPr>
        <w:t>WASHINGTON UTILITIES AND</w:t>
      </w:r>
    </w:p>
    <w:p w:rsidR="00156039" w:rsidRPr="00F87971" w:rsidRDefault="00156039" w:rsidP="00156039">
      <w:pPr>
        <w:tabs>
          <w:tab w:val="center" w:pos="4680"/>
        </w:tabs>
        <w:spacing w:after="0" w:line="240" w:lineRule="auto"/>
        <w:contextualSpacing/>
        <w:jc w:val="center"/>
        <w:rPr>
          <w:b/>
        </w:rPr>
      </w:pPr>
      <w:r w:rsidRPr="00F87971">
        <w:rPr>
          <w:b/>
        </w:rPr>
        <w:t>TRANSPORTATION COMMISSION</w:t>
      </w:r>
    </w:p>
    <w:p w:rsidR="00156039" w:rsidRPr="00F87971" w:rsidRDefault="00156039" w:rsidP="00156039">
      <w:pPr>
        <w:tabs>
          <w:tab w:val="center" w:pos="4680"/>
        </w:tabs>
        <w:spacing w:after="0" w:line="240" w:lineRule="auto"/>
        <w:contextualSpacing/>
        <w:jc w:val="center"/>
        <w:rPr>
          <w:b/>
        </w:rPr>
      </w:pPr>
    </w:p>
    <w:p w:rsidR="00156039" w:rsidRPr="00F87971" w:rsidRDefault="00156039" w:rsidP="00156039">
      <w:pPr>
        <w:tabs>
          <w:tab w:val="center" w:pos="4680"/>
        </w:tabs>
        <w:spacing w:after="0" w:line="240" w:lineRule="auto"/>
        <w:contextualSpacing/>
        <w:jc w:val="center"/>
        <w:rPr>
          <w:b/>
        </w:rPr>
      </w:pPr>
    </w:p>
    <w:p w:rsidR="00156039" w:rsidRPr="00F87971" w:rsidRDefault="00156039" w:rsidP="00156039">
      <w:pPr>
        <w:tabs>
          <w:tab w:val="center" w:pos="4680"/>
        </w:tabs>
        <w:spacing w:after="0" w:line="240" w:lineRule="auto"/>
        <w:contextualSpacing/>
        <w:jc w:val="center"/>
        <w:rPr>
          <w:b/>
        </w:rPr>
      </w:pPr>
    </w:p>
    <w:p w:rsidR="00156039" w:rsidRPr="00F87971" w:rsidRDefault="00156039" w:rsidP="00156039">
      <w:pPr>
        <w:tabs>
          <w:tab w:val="center" w:pos="4680"/>
        </w:tabs>
        <w:spacing w:after="0" w:line="240" w:lineRule="auto"/>
        <w:contextualSpacing/>
        <w:jc w:val="center"/>
        <w:rPr>
          <w:b/>
        </w:rPr>
      </w:pPr>
    </w:p>
    <w:p w:rsidR="00156039" w:rsidRPr="00F87971" w:rsidRDefault="00156039" w:rsidP="00156039">
      <w:pPr>
        <w:tabs>
          <w:tab w:val="center" w:pos="4680"/>
        </w:tabs>
        <w:spacing w:after="0" w:line="240" w:lineRule="auto"/>
        <w:contextualSpacing/>
        <w:jc w:val="center"/>
        <w:rPr>
          <w:b/>
        </w:rPr>
      </w:pPr>
    </w:p>
    <w:p w:rsidR="00156039" w:rsidRPr="00F87971" w:rsidRDefault="00156039" w:rsidP="00156039">
      <w:pPr>
        <w:tabs>
          <w:tab w:val="center" w:pos="4680"/>
        </w:tabs>
        <w:spacing w:after="0" w:line="240" w:lineRule="auto"/>
        <w:contextualSpacing/>
        <w:jc w:val="center"/>
        <w:rPr>
          <w:b/>
        </w:rPr>
      </w:pPr>
    </w:p>
    <w:p w:rsidR="00156039" w:rsidRDefault="00156039" w:rsidP="00156039">
      <w:pPr>
        <w:tabs>
          <w:tab w:val="center" w:pos="4680"/>
        </w:tabs>
        <w:spacing w:after="0" w:line="240" w:lineRule="auto"/>
        <w:contextualSpacing/>
        <w:jc w:val="center"/>
        <w:rPr>
          <w:b/>
        </w:rPr>
      </w:pPr>
      <w:r w:rsidRPr="00F87971">
        <w:rPr>
          <w:b/>
        </w:rPr>
        <w:t>November 3, 2009</w:t>
      </w:r>
    </w:p>
    <w:p w:rsidR="0069439A" w:rsidRDefault="0069439A" w:rsidP="00156039">
      <w:pPr>
        <w:tabs>
          <w:tab w:val="center" w:pos="4680"/>
        </w:tabs>
        <w:spacing w:after="0" w:line="240" w:lineRule="auto"/>
        <w:contextualSpacing/>
        <w:jc w:val="center"/>
        <w:rPr>
          <w:b/>
        </w:rPr>
      </w:pPr>
    </w:p>
    <w:p w:rsidR="0069439A" w:rsidRDefault="0069439A" w:rsidP="00156039">
      <w:pPr>
        <w:tabs>
          <w:tab w:val="center" w:pos="4680"/>
        </w:tabs>
        <w:spacing w:after="0" w:line="240" w:lineRule="auto"/>
        <w:contextualSpacing/>
        <w:jc w:val="center"/>
        <w:rPr>
          <w:b/>
        </w:rPr>
      </w:pPr>
    </w:p>
    <w:p w:rsidR="0069439A" w:rsidRDefault="0069439A" w:rsidP="00156039">
      <w:pPr>
        <w:tabs>
          <w:tab w:val="center" w:pos="4680"/>
        </w:tabs>
        <w:spacing w:after="0" w:line="240" w:lineRule="auto"/>
        <w:contextualSpacing/>
        <w:jc w:val="center"/>
        <w:rPr>
          <w:b/>
        </w:rPr>
        <w:sectPr w:rsidR="0069439A" w:rsidSect="00156039">
          <w:footerReference w:type="default" r:id="rId8"/>
          <w:footerReference w:type="first" r:id="rId9"/>
          <w:pgSz w:w="12240" w:h="15840" w:code="1"/>
          <w:pgMar w:top="1440" w:right="1440" w:bottom="1440" w:left="1872" w:header="720" w:footer="720" w:gutter="0"/>
          <w:pgNumType w:fmt="lowerRoman" w:start="1"/>
          <w:cols w:space="720"/>
          <w:titlePg/>
          <w:docGrid w:linePitch="360"/>
        </w:sectPr>
      </w:pPr>
      <w:r>
        <w:rPr>
          <w:b/>
        </w:rPr>
        <w:t>REDACTED VERSION</w:t>
      </w:r>
    </w:p>
    <w:p w:rsidR="0031555B" w:rsidRDefault="0031555B" w:rsidP="0031555B">
      <w:pPr>
        <w:spacing w:after="0" w:line="240" w:lineRule="auto"/>
        <w:jc w:val="center"/>
        <w:rPr>
          <w:b/>
        </w:rPr>
      </w:pPr>
      <w:r>
        <w:rPr>
          <w:b/>
        </w:rPr>
        <w:lastRenderedPageBreak/>
        <w:t>TABLE OF CONTENTS</w:t>
      </w:r>
    </w:p>
    <w:p w:rsidR="0031555B" w:rsidRDefault="0031555B" w:rsidP="0031555B">
      <w:pPr>
        <w:spacing w:after="0" w:line="240" w:lineRule="auto"/>
        <w:jc w:val="center"/>
        <w:rPr>
          <w:b/>
        </w:rPr>
      </w:pPr>
    </w:p>
    <w:p w:rsidR="0031555B" w:rsidRDefault="0031555B" w:rsidP="0031555B">
      <w:pPr>
        <w:spacing w:after="0"/>
        <w:contextualSpacing/>
        <w:rPr>
          <w:b/>
        </w:rPr>
      </w:pPr>
    </w:p>
    <w:p w:rsidR="0031555B" w:rsidRDefault="0031555B" w:rsidP="0031555B">
      <w:pPr>
        <w:pStyle w:val="ListParagraph"/>
        <w:numPr>
          <w:ilvl w:val="0"/>
          <w:numId w:val="20"/>
        </w:numPr>
        <w:tabs>
          <w:tab w:val="left" w:pos="1980"/>
          <w:tab w:val="right" w:leader="dot" w:pos="9360"/>
        </w:tabs>
        <w:spacing w:after="0" w:line="240" w:lineRule="auto"/>
        <w:ind w:left="720"/>
      </w:pPr>
      <w:r w:rsidRPr="00A63680">
        <w:t>INTRODUCTION</w:t>
      </w:r>
      <w:r w:rsidRPr="00A63680">
        <w:tab/>
        <w:t>1</w:t>
      </w:r>
    </w:p>
    <w:p w:rsidR="00BD0569" w:rsidRDefault="00BD0569" w:rsidP="00BD0569">
      <w:pPr>
        <w:pStyle w:val="ListParagraph"/>
        <w:tabs>
          <w:tab w:val="left" w:pos="1980"/>
          <w:tab w:val="right" w:leader="dot" w:pos="9360"/>
        </w:tabs>
        <w:spacing w:after="0" w:line="240" w:lineRule="auto"/>
      </w:pPr>
    </w:p>
    <w:p w:rsidR="00BD0569" w:rsidRPr="00BD0569" w:rsidRDefault="0031555B" w:rsidP="00BD0569">
      <w:pPr>
        <w:pStyle w:val="ListParagraph"/>
        <w:numPr>
          <w:ilvl w:val="0"/>
          <w:numId w:val="20"/>
        </w:numPr>
        <w:tabs>
          <w:tab w:val="left" w:pos="1980"/>
          <w:tab w:val="right" w:leader="dot" w:pos="9360"/>
        </w:tabs>
        <w:spacing w:after="0" w:line="240" w:lineRule="auto"/>
        <w:ind w:left="720"/>
      </w:pPr>
      <w:r w:rsidRPr="00BD0569">
        <w:rPr>
          <w:caps/>
        </w:rPr>
        <w:t>state-wide BROADBAND DEPLOYMENT COMMITMENT</w:t>
      </w:r>
      <w:r w:rsidR="00BD0569">
        <w:rPr>
          <w:caps/>
        </w:rPr>
        <w:tab/>
        <w:t>4</w:t>
      </w:r>
    </w:p>
    <w:p w:rsidR="00BD0569" w:rsidRPr="00BD0569" w:rsidRDefault="00BD0569" w:rsidP="00BD0569">
      <w:pPr>
        <w:pStyle w:val="ListParagraph"/>
        <w:rPr>
          <w:b/>
          <w:caps/>
        </w:rPr>
      </w:pPr>
    </w:p>
    <w:p w:rsidR="00BD0569" w:rsidRPr="00BD0569" w:rsidRDefault="00BD0569" w:rsidP="00BD0569">
      <w:pPr>
        <w:pStyle w:val="ListParagraph"/>
        <w:numPr>
          <w:ilvl w:val="0"/>
          <w:numId w:val="20"/>
        </w:numPr>
        <w:tabs>
          <w:tab w:val="left" w:pos="1980"/>
          <w:tab w:val="right" w:leader="dot" w:pos="9360"/>
        </w:tabs>
        <w:spacing w:after="0" w:line="240" w:lineRule="auto"/>
        <w:ind w:left="720"/>
      </w:pPr>
      <w:r w:rsidRPr="00BD0569">
        <w:rPr>
          <w:caps/>
        </w:rPr>
        <w:t>Broadband deployment in high-cost areas</w:t>
      </w:r>
      <w:r>
        <w:rPr>
          <w:caps/>
        </w:rPr>
        <w:tab/>
        <w:t>13</w:t>
      </w:r>
    </w:p>
    <w:p w:rsidR="00BD0569" w:rsidRDefault="00BD0569" w:rsidP="00BD0569">
      <w:pPr>
        <w:pStyle w:val="ListParagraph"/>
      </w:pPr>
    </w:p>
    <w:p w:rsidR="00BD0569" w:rsidRPr="00BD0569" w:rsidRDefault="00BD0569" w:rsidP="00BD0569">
      <w:pPr>
        <w:pStyle w:val="ListParagraph"/>
        <w:numPr>
          <w:ilvl w:val="0"/>
          <w:numId w:val="20"/>
        </w:numPr>
        <w:tabs>
          <w:tab w:val="left" w:pos="1980"/>
          <w:tab w:val="right" w:leader="dot" w:pos="9360"/>
        </w:tabs>
        <w:spacing w:after="0" w:line="240" w:lineRule="auto"/>
        <w:ind w:left="720"/>
      </w:pPr>
      <w:r w:rsidRPr="00BD0569">
        <w:rPr>
          <w:caps/>
        </w:rPr>
        <w:t>Reporting requirements</w:t>
      </w:r>
      <w:r>
        <w:rPr>
          <w:caps/>
        </w:rPr>
        <w:tab/>
        <w:t>17</w:t>
      </w:r>
    </w:p>
    <w:p w:rsidR="00BD0569" w:rsidRDefault="00BD0569" w:rsidP="00BD0569">
      <w:pPr>
        <w:pStyle w:val="ListParagraph"/>
      </w:pPr>
    </w:p>
    <w:p w:rsidR="00BD0569" w:rsidRPr="00BD0569" w:rsidRDefault="00BD0569" w:rsidP="00BD0569">
      <w:pPr>
        <w:pStyle w:val="ListParagraph"/>
        <w:numPr>
          <w:ilvl w:val="0"/>
          <w:numId w:val="20"/>
        </w:numPr>
        <w:tabs>
          <w:tab w:val="left" w:pos="1980"/>
          <w:tab w:val="right" w:leader="dot" w:pos="9360"/>
        </w:tabs>
        <w:spacing w:after="0" w:line="240" w:lineRule="auto"/>
        <w:ind w:left="720"/>
      </w:pPr>
      <w:r w:rsidRPr="00BD0569">
        <w:rPr>
          <w:caps/>
        </w:rPr>
        <w:t>Stand alone dsl offering and prices</w:t>
      </w:r>
      <w:r>
        <w:rPr>
          <w:caps/>
        </w:rPr>
        <w:tab/>
        <w:t>18</w:t>
      </w:r>
    </w:p>
    <w:p w:rsidR="00BD0569" w:rsidRPr="00BD0569" w:rsidRDefault="00BD0569" w:rsidP="00BD0569">
      <w:pPr>
        <w:pStyle w:val="ListParagraph"/>
        <w:tabs>
          <w:tab w:val="left" w:pos="1980"/>
          <w:tab w:val="right" w:leader="dot" w:pos="9360"/>
        </w:tabs>
        <w:spacing w:after="0" w:line="240" w:lineRule="auto"/>
      </w:pPr>
    </w:p>
    <w:p w:rsidR="0031555B" w:rsidRDefault="0031555B" w:rsidP="0031555B">
      <w:pPr>
        <w:tabs>
          <w:tab w:val="left" w:pos="1980"/>
          <w:tab w:val="right" w:leader="dot" w:pos="9360"/>
        </w:tabs>
        <w:spacing w:after="0"/>
        <w:contextualSpacing/>
      </w:pPr>
    </w:p>
    <w:p w:rsidR="00BD0569" w:rsidRDefault="00BD0569" w:rsidP="0031555B">
      <w:pPr>
        <w:tabs>
          <w:tab w:val="left" w:pos="1980"/>
          <w:tab w:val="right" w:leader="dot" w:pos="9360"/>
        </w:tabs>
        <w:spacing w:after="0"/>
        <w:contextualSpacing/>
      </w:pPr>
    </w:p>
    <w:p w:rsidR="00BD0569" w:rsidRDefault="00BD0569" w:rsidP="0031555B">
      <w:pPr>
        <w:tabs>
          <w:tab w:val="left" w:pos="1980"/>
          <w:tab w:val="right" w:leader="dot" w:pos="9360"/>
        </w:tabs>
        <w:spacing w:after="0"/>
        <w:contextualSpacing/>
      </w:pPr>
    </w:p>
    <w:p w:rsidR="0031555B" w:rsidRDefault="0031555B" w:rsidP="0031555B">
      <w:pPr>
        <w:tabs>
          <w:tab w:val="left" w:pos="1980"/>
          <w:tab w:val="right" w:leader="dot" w:pos="9360"/>
        </w:tabs>
        <w:spacing w:after="0"/>
        <w:contextualSpacing/>
      </w:pPr>
    </w:p>
    <w:p w:rsidR="0031555B" w:rsidRDefault="0031555B" w:rsidP="0031555B">
      <w:pPr>
        <w:tabs>
          <w:tab w:val="left" w:pos="1980"/>
          <w:tab w:val="right" w:leader="dot" w:pos="9360"/>
        </w:tabs>
        <w:spacing w:after="0"/>
        <w:contextualSpacing/>
      </w:pPr>
    </w:p>
    <w:p w:rsidR="0031555B" w:rsidRDefault="0031555B" w:rsidP="0031555B">
      <w:pPr>
        <w:spacing w:after="0" w:line="240" w:lineRule="auto"/>
        <w:rPr>
          <w:b/>
        </w:rPr>
      </w:pPr>
    </w:p>
    <w:p w:rsidR="0031555B" w:rsidRDefault="0031555B" w:rsidP="0031555B">
      <w:pPr>
        <w:spacing w:after="0" w:line="240" w:lineRule="auto"/>
        <w:rPr>
          <w:b/>
        </w:rPr>
      </w:pPr>
    </w:p>
    <w:p w:rsidR="0031555B" w:rsidRDefault="0031555B" w:rsidP="0031555B">
      <w:pPr>
        <w:spacing w:after="0" w:line="240" w:lineRule="auto"/>
        <w:rPr>
          <w:b/>
        </w:rPr>
      </w:pPr>
    </w:p>
    <w:p w:rsidR="0031555B" w:rsidRDefault="0031555B" w:rsidP="0031555B">
      <w:pPr>
        <w:spacing w:after="0" w:line="240" w:lineRule="auto"/>
        <w:rPr>
          <w:b/>
        </w:rPr>
      </w:pPr>
    </w:p>
    <w:p w:rsidR="0031555B" w:rsidRDefault="0031555B">
      <w:pPr>
        <w:spacing w:after="0" w:line="240" w:lineRule="auto"/>
        <w:rPr>
          <w:b/>
        </w:rPr>
      </w:pPr>
      <w:r>
        <w:rPr>
          <w:b/>
        </w:rPr>
        <w:br w:type="page"/>
      </w:r>
    </w:p>
    <w:p w:rsidR="00156039" w:rsidRDefault="00156039" w:rsidP="00156039">
      <w:pPr>
        <w:spacing w:after="0" w:line="240" w:lineRule="auto"/>
        <w:contextualSpacing/>
        <w:jc w:val="center"/>
        <w:rPr>
          <w:b/>
        </w:rPr>
      </w:pPr>
      <w:r>
        <w:rPr>
          <w:b/>
        </w:rPr>
        <w:lastRenderedPageBreak/>
        <w:t>EXHIBIT LIST</w:t>
      </w:r>
    </w:p>
    <w:p w:rsidR="00156039" w:rsidRDefault="00156039" w:rsidP="00156039">
      <w:pPr>
        <w:spacing w:after="0" w:line="240" w:lineRule="auto"/>
        <w:contextualSpacing/>
        <w:jc w:val="center"/>
        <w:rPr>
          <w:b/>
        </w:rPr>
      </w:pPr>
    </w:p>
    <w:p w:rsidR="00156039" w:rsidRDefault="00156039" w:rsidP="00156039">
      <w:pPr>
        <w:spacing w:after="0" w:line="240" w:lineRule="auto"/>
        <w:contextualSpacing/>
      </w:pPr>
    </w:p>
    <w:p w:rsidR="00156039" w:rsidRDefault="00156039" w:rsidP="00156039">
      <w:pPr>
        <w:tabs>
          <w:tab w:val="left" w:pos="2700"/>
        </w:tabs>
        <w:spacing w:after="0" w:line="240" w:lineRule="auto"/>
        <w:contextualSpacing/>
        <w:sectPr w:rsidR="00156039" w:rsidSect="00156039">
          <w:footerReference w:type="default" r:id="rId10"/>
          <w:pgSz w:w="12240" w:h="15840" w:code="1"/>
          <w:pgMar w:top="1440" w:right="1440" w:bottom="1008" w:left="1872" w:header="720" w:footer="720" w:gutter="0"/>
          <w:pgNumType w:fmt="lowerRoman" w:start="1"/>
          <w:cols w:space="720"/>
          <w:docGrid w:linePitch="360"/>
        </w:sectPr>
      </w:pPr>
      <w:r>
        <w:t xml:space="preserve">Exhibit No. ___ </w:t>
      </w:r>
      <w:r w:rsidR="00193FED">
        <w:t xml:space="preserve">HC </w:t>
      </w:r>
      <w:r>
        <w:t>(</w:t>
      </w:r>
      <w:proofErr w:type="spellStart"/>
      <w:r>
        <w:t>JL-2</w:t>
      </w:r>
      <w:r w:rsidR="00193FED">
        <w:t>HC</w:t>
      </w:r>
      <w:proofErr w:type="spellEnd"/>
      <w:r>
        <w:t>)</w:t>
      </w:r>
      <w:r>
        <w:tab/>
      </w:r>
    </w:p>
    <w:p w:rsidR="00193FED" w:rsidRPr="00193FED" w:rsidRDefault="00193FED" w:rsidP="00193FED">
      <w:pPr>
        <w:pStyle w:val="NoSpacing"/>
        <w:numPr>
          <w:ilvl w:val="0"/>
          <w:numId w:val="16"/>
        </w:numPr>
        <w:spacing w:line="480" w:lineRule="auto"/>
        <w:ind w:left="0" w:firstLine="0"/>
        <w:jc w:val="center"/>
        <w:rPr>
          <w:b/>
        </w:rPr>
      </w:pPr>
      <w:r>
        <w:rPr>
          <w:b/>
        </w:rPr>
        <w:lastRenderedPageBreak/>
        <w:t xml:space="preserve"> INTRODUCTION</w:t>
      </w:r>
    </w:p>
    <w:p w:rsidR="00193FED" w:rsidRDefault="00193FED" w:rsidP="00193FED">
      <w:pPr>
        <w:pStyle w:val="NoSpacing"/>
        <w:spacing w:line="480" w:lineRule="auto"/>
        <w:rPr>
          <w:b/>
        </w:rPr>
      </w:pPr>
    </w:p>
    <w:p w:rsidR="00193FED" w:rsidRPr="009C5B5C" w:rsidRDefault="00193FED" w:rsidP="00DD2016">
      <w:pPr>
        <w:pStyle w:val="NoSpacing"/>
        <w:spacing w:line="480" w:lineRule="auto"/>
        <w:ind w:left="720" w:hanging="720"/>
        <w:rPr>
          <w:b/>
        </w:rPr>
      </w:pPr>
      <w:r>
        <w:rPr>
          <w:b/>
        </w:rPr>
        <w:t>Q.</w:t>
      </w:r>
      <w:r>
        <w:rPr>
          <w:b/>
        </w:rPr>
        <w:tab/>
      </w:r>
      <w:r w:rsidRPr="009C5B5C">
        <w:rPr>
          <w:b/>
        </w:rPr>
        <w:t>Please state your name and business address.</w:t>
      </w:r>
    </w:p>
    <w:p w:rsidR="00193FED" w:rsidRPr="009C5B5C" w:rsidRDefault="00193FED" w:rsidP="00DD2016">
      <w:pPr>
        <w:pStyle w:val="NoSpacing"/>
        <w:spacing w:line="480" w:lineRule="auto"/>
        <w:ind w:left="720" w:hanging="720"/>
      </w:pPr>
      <w:r>
        <w:t>A.</w:t>
      </w:r>
      <w:r>
        <w:tab/>
      </w:r>
      <w:r w:rsidRPr="009C5B5C">
        <w:t xml:space="preserve">My name is Jing Liu.  My business address is </w:t>
      </w:r>
      <w:smartTag w:uri="urn:schemas-microsoft-com:office:smarttags" w:element="address">
        <w:smartTag w:uri="urn:schemas-microsoft-com:office:smarttags" w:element="Street">
          <w:r w:rsidRPr="009C5B5C">
            <w:t>1300 South Evergreen Park Drive Southwest, P. O. Box 47250</w:t>
          </w:r>
        </w:smartTag>
        <w:r w:rsidRPr="009C5B5C">
          <w:t xml:space="preserve">, </w:t>
        </w:r>
        <w:smartTag w:uri="urn:schemas-microsoft-com:office:smarttags" w:element="City">
          <w:r w:rsidRPr="009C5B5C">
            <w:t>Olympia</w:t>
          </w:r>
        </w:smartTag>
        <w:r w:rsidRPr="009C5B5C">
          <w:t xml:space="preserve">, </w:t>
        </w:r>
        <w:smartTag w:uri="urn:schemas-microsoft-com:office:smarttags" w:element="State">
          <w:r w:rsidRPr="009C5B5C">
            <w:t>Washington</w:t>
          </w:r>
        </w:smartTag>
        <w:r w:rsidRPr="009C5B5C">
          <w:t xml:space="preserve">, </w:t>
        </w:r>
        <w:smartTag w:uri="urn:schemas-microsoft-com:office:smarttags" w:element="PostalCode">
          <w:r w:rsidRPr="009C5B5C">
            <w:t>98504</w:t>
          </w:r>
        </w:smartTag>
      </w:smartTag>
      <w:r w:rsidRPr="009C5B5C">
        <w:t xml:space="preserve">.  My business email address is </w:t>
      </w:r>
      <w:hyperlink r:id="rId11" w:history="1">
        <w:r w:rsidRPr="009C5B5C">
          <w:rPr>
            <w:rStyle w:val="Hyperlink"/>
          </w:rPr>
          <w:t>jliu@utc.wa.gov</w:t>
        </w:r>
      </w:hyperlink>
      <w:r w:rsidRPr="009C5B5C">
        <w:t xml:space="preserve">. </w:t>
      </w:r>
    </w:p>
    <w:p w:rsidR="00193FED" w:rsidRPr="009C5B5C" w:rsidRDefault="00193FED" w:rsidP="00DD2016">
      <w:pPr>
        <w:pStyle w:val="NoSpacing"/>
        <w:spacing w:line="480" w:lineRule="auto"/>
        <w:ind w:left="720" w:hanging="720"/>
      </w:pPr>
    </w:p>
    <w:p w:rsidR="00193FED" w:rsidRPr="009C5B5C" w:rsidRDefault="00193FED" w:rsidP="00DD2016">
      <w:pPr>
        <w:pStyle w:val="NoSpacing"/>
        <w:spacing w:line="480" w:lineRule="auto"/>
        <w:ind w:left="720" w:hanging="720"/>
        <w:rPr>
          <w:b/>
        </w:rPr>
      </w:pPr>
      <w:r>
        <w:rPr>
          <w:b/>
        </w:rPr>
        <w:t>Q.</w:t>
      </w:r>
      <w:r>
        <w:rPr>
          <w:b/>
        </w:rPr>
        <w:tab/>
      </w:r>
      <w:r w:rsidRPr="009C5B5C">
        <w:rPr>
          <w:b/>
        </w:rPr>
        <w:t xml:space="preserve">By whom are you employed and in what capacity? </w:t>
      </w:r>
    </w:p>
    <w:p w:rsidR="00193FED" w:rsidRPr="009C5B5C" w:rsidRDefault="00193FED" w:rsidP="00DD2016">
      <w:pPr>
        <w:pStyle w:val="NoSpacing"/>
        <w:spacing w:line="480" w:lineRule="auto"/>
        <w:ind w:left="720" w:hanging="720"/>
      </w:pPr>
      <w:r>
        <w:t>A.</w:t>
      </w:r>
      <w:r>
        <w:tab/>
      </w:r>
      <w:r w:rsidRPr="009C5B5C">
        <w:t xml:space="preserve">I am employed by the Washington Utilities and Transportation Commission (Commission) as a regulatory analyst in the telecommunications section. </w:t>
      </w:r>
    </w:p>
    <w:p w:rsidR="00193FED" w:rsidRPr="009C5B5C" w:rsidRDefault="00193FED" w:rsidP="00DD2016">
      <w:pPr>
        <w:pStyle w:val="NoSpacing"/>
        <w:spacing w:line="480" w:lineRule="auto"/>
        <w:ind w:left="720" w:hanging="720"/>
      </w:pPr>
    </w:p>
    <w:p w:rsidR="00193FED" w:rsidRPr="009C5B5C" w:rsidRDefault="00193FED" w:rsidP="00DD2016">
      <w:pPr>
        <w:pStyle w:val="NoSpacing"/>
        <w:spacing w:line="480" w:lineRule="auto"/>
        <w:ind w:left="720" w:hanging="720"/>
        <w:rPr>
          <w:b/>
        </w:rPr>
      </w:pPr>
      <w:r>
        <w:rPr>
          <w:b/>
        </w:rPr>
        <w:t>Q.</w:t>
      </w:r>
      <w:r>
        <w:rPr>
          <w:b/>
        </w:rPr>
        <w:tab/>
      </w:r>
      <w:r w:rsidRPr="009C5B5C">
        <w:rPr>
          <w:b/>
        </w:rPr>
        <w:t>What are your education and experience qualifications?</w:t>
      </w:r>
    </w:p>
    <w:p w:rsidR="00193FED" w:rsidRPr="009C5B5C" w:rsidRDefault="00193FED" w:rsidP="00DD2016">
      <w:pPr>
        <w:pStyle w:val="NoSpacing"/>
        <w:spacing w:line="480" w:lineRule="auto"/>
        <w:ind w:left="720" w:hanging="720"/>
      </w:pPr>
      <w:r>
        <w:t>A.</w:t>
      </w:r>
      <w:r>
        <w:tab/>
        <w:t xml:space="preserve">I hold a Master of Arts degree </w:t>
      </w:r>
      <w:r w:rsidRPr="009C5B5C">
        <w:t xml:space="preserve">in organizational communication and a </w:t>
      </w:r>
      <w:r>
        <w:t xml:space="preserve">Master of Science degree in communication technology and policy </w:t>
      </w:r>
      <w:r w:rsidRPr="009C5B5C">
        <w:t xml:space="preserve">from Ohio University.  I also completed four years of doctoral study in public policy from </w:t>
      </w:r>
      <w:smartTag w:uri="urn:schemas-microsoft-com:office:smarttags" w:element="place">
        <w:smartTag w:uri="urn:schemas-microsoft-com:office:smarttags" w:element="PlaceName">
          <w:r w:rsidRPr="009C5B5C">
            <w:t>Ohio</w:t>
          </w:r>
        </w:smartTag>
        <w:r w:rsidRPr="009C5B5C">
          <w:t xml:space="preserve"> </w:t>
        </w:r>
        <w:smartTag w:uri="urn:schemas-microsoft-com:office:smarttags" w:element="PlaceType">
          <w:r w:rsidRPr="009C5B5C">
            <w:t>State</w:t>
          </w:r>
        </w:smartTag>
        <w:r w:rsidRPr="009C5B5C">
          <w:t xml:space="preserve"> </w:t>
        </w:r>
        <w:smartTag w:uri="urn:schemas-microsoft-com:office:smarttags" w:element="PlaceType">
          <w:r w:rsidRPr="009C5B5C">
            <w:t>University</w:t>
          </w:r>
        </w:smartTag>
      </w:smartTag>
      <w:r w:rsidRPr="009C5B5C">
        <w:t>.  I worked as a graduate research associate at the National Regulatory Research Institute (</w:t>
      </w:r>
      <w:proofErr w:type="spellStart"/>
      <w:r w:rsidRPr="009C5B5C">
        <w:t>NRRI</w:t>
      </w:r>
      <w:proofErr w:type="spellEnd"/>
      <w:r w:rsidRPr="009C5B5C">
        <w:t xml:space="preserve">) from 2005 to 2007.  During that period, I authored and coauthored five papers published by the </w:t>
      </w:r>
      <w:proofErr w:type="spellStart"/>
      <w:r w:rsidRPr="009C5B5C">
        <w:t>NRRI</w:t>
      </w:r>
      <w:proofErr w:type="spellEnd"/>
      <w:r w:rsidRPr="009C5B5C">
        <w:t xml:space="preserve">, primarily on universal service and inter-carrier compensation issues.  </w:t>
      </w:r>
      <w:r>
        <w:t xml:space="preserve">In 2009, </w:t>
      </w:r>
      <w:r w:rsidRPr="009C5B5C">
        <w:t xml:space="preserve">I provided testimony in the proceeding on United Telephone Company of the Northwest Inc.’s intrastate access charges (UT-081393). </w:t>
      </w:r>
    </w:p>
    <w:p w:rsidR="00193FED" w:rsidRPr="009C5B5C" w:rsidRDefault="00193FED" w:rsidP="00DD2016">
      <w:pPr>
        <w:pStyle w:val="NoSpacing"/>
        <w:spacing w:line="480" w:lineRule="auto"/>
        <w:ind w:left="720" w:hanging="720"/>
      </w:pPr>
    </w:p>
    <w:p w:rsidR="00193FED" w:rsidRPr="009C5B5C" w:rsidRDefault="00193FED" w:rsidP="00DD2016">
      <w:pPr>
        <w:pStyle w:val="NoSpacing"/>
        <w:keepNext/>
        <w:keepLines/>
        <w:spacing w:line="480" w:lineRule="auto"/>
        <w:ind w:left="720" w:hanging="720"/>
        <w:rPr>
          <w:b/>
        </w:rPr>
      </w:pPr>
      <w:r>
        <w:rPr>
          <w:b/>
        </w:rPr>
        <w:lastRenderedPageBreak/>
        <w:t>Q.</w:t>
      </w:r>
      <w:r>
        <w:rPr>
          <w:b/>
        </w:rPr>
        <w:tab/>
      </w:r>
      <w:r w:rsidRPr="009C5B5C">
        <w:rPr>
          <w:b/>
        </w:rPr>
        <w:t>What is the scope of your testimony at this time?</w:t>
      </w:r>
    </w:p>
    <w:p w:rsidR="00193FED" w:rsidRPr="009C5B5C" w:rsidRDefault="00193FED" w:rsidP="00DD2016">
      <w:pPr>
        <w:pStyle w:val="NoSpacing"/>
        <w:keepNext/>
        <w:keepLines/>
        <w:spacing w:line="480" w:lineRule="auto"/>
        <w:ind w:left="720" w:hanging="720"/>
      </w:pPr>
      <w:r>
        <w:t>A.</w:t>
      </w:r>
      <w:r>
        <w:tab/>
      </w:r>
      <w:r w:rsidRPr="009C5B5C">
        <w:t xml:space="preserve">My testimony </w:t>
      </w:r>
      <w:r>
        <w:t xml:space="preserve">addresses Frontier Communications Corporation’s (Frontier) </w:t>
      </w:r>
      <w:r w:rsidRPr="009C5B5C">
        <w:t xml:space="preserve">future broadband investment </w:t>
      </w:r>
      <w:r>
        <w:t>in Washington</w:t>
      </w:r>
      <w:r w:rsidRPr="009C5B5C">
        <w:t xml:space="preserve">.  It supplements Mr. William Weinman’s overall recommendation on the proposed transaction.  If the Commission approves the </w:t>
      </w:r>
      <w:r>
        <w:t>transaction between Frontier and Verizon Northwest, Inc (Verizon)</w:t>
      </w:r>
      <w:r w:rsidRPr="009C5B5C">
        <w:t xml:space="preserve">, the approval should be conditioned on the specific broadband deployment targets </w:t>
      </w:r>
      <w:r>
        <w:t>I</w:t>
      </w:r>
      <w:r w:rsidRPr="009C5B5C">
        <w:t xml:space="preserve"> recommend below, along with conditions proposed by other </w:t>
      </w:r>
      <w:r>
        <w:t>S</w:t>
      </w:r>
      <w:r w:rsidRPr="009C5B5C">
        <w:t xml:space="preserve">taff witnesses, to ensure the public interest.  </w:t>
      </w:r>
    </w:p>
    <w:p w:rsidR="00193FED" w:rsidRPr="009C5B5C" w:rsidRDefault="00193FED" w:rsidP="00DD2016">
      <w:pPr>
        <w:pStyle w:val="NoSpacing"/>
        <w:spacing w:line="480" w:lineRule="auto"/>
        <w:ind w:left="720" w:hanging="720"/>
      </w:pPr>
    </w:p>
    <w:p w:rsidR="00193FED" w:rsidRPr="009C5B5C" w:rsidRDefault="00193FED" w:rsidP="00DD2016">
      <w:pPr>
        <w:pStyle w:val="NoSpacing"/>
        <w:spacing w:line="480" w:lineRule="auto"/>
        <w:ind w:left="720" w:hanging="720"/>
        <w:rPr>
          <w:b/>
        </w:rPr>
      </w:pPr>
      <w:r>
        <w:rPr>
          <w:b/>
        </w:rPr>
        <w:t>Q.</w:t>
      </w:r>
      <w:r>
        <w:rPr>
          <w:b/>
        </w:rPr>
        <w:tab/>
      </w:r>
      <w:r w:rsidRPr="009C5B5C">
        <w:rPr>
          <w:b/>
        </w:rPr>
        <w:t xml:space="preserve">On what basis do you propose the conditions on the company’s future broadband deployment? </w:t>
      </w:r>
    </w:p>
    <w:p w:rsidR="00193FED" w:rsidRPr="009C5B5C" w:rsidRDefault="00193FED" w:rsidP="00DD2016">
      <w:pPr>
        <w:pStyle w:val="NoSpacing"/>
        <w:spacing w:line="480" w:lineRule="auto"/>
        <w:ind w:left="720" w:hanging="720"/>
      </w:pPr>
      <w:r>
        <w:t>A.</w:t>
      </w:r>
      <w:r>
        <w:tab/>
      </w:r>
      <w:r w:rsidRPr="009C5B5C">
        <w:t xml:space="preserve">One of the “no harm” standards in evaluating the public interest merits of a proposed transaction is whether customers will be able to share benefits resulting from the transaction.  Expansion of broadband services is the one of the </w:t>
      </w:r>
      <w:r>
        <w:t>major</w:t>
      </w:r>
      <w:r w:rsidRPr="009C5B5C">
        <w:t xml:space="preserve"> benefits that has bee</w:t>
      </w:r>
      <w:r>
        <w:t>n repeatedly emphasized by the J</w:t>
      </w:r>
      <w:r w:rsidRPr="009C5B5C">
        <w:t xml:space="preserve">oint </w:t>
      </w:r>
      <w:r>
        <w:t>A</w:t>
      </w:r>
      <w:r w:rsidRPr="009C5B5C">
        <w:t xml:space="preserve">pplicants.  My proposed conditions on the company’s future broadband deployment </w:t>
      </w:r>
      <w:r>
        <w:t xml:space="preserve">are </w:t>
      </w:r>
      <w:r w:rsidRPr="009C5B5C">
        <w:t>intend</w:t>
      </w:r>
      <w:r>
        <w:t>ed</w:t>
      </w:r>
      <w:r w:rsidRPr="009C5B5C">
        <w:t xml:space="preserve"> to substantiate the company’s promise.  The</w:t>
      </w:r>
      <w:r>
        <w:t xml:space="preserve"> proposed conditions</w:t>
      </w:r>
      <w:r w:rsidRPr="009C5B5C">
        <w:t xml:space="preserve"> are explicit and enforceable targets to ensure </w:t>
      </w:r>
      <w:r>
        <w:t>that Washington</w:t>
      </w:r>
      <w:r w:rsidRPr="009C5B5C">
        <w:t xml:space="preserve"> consumer</w:t>
      </w:r>
      <w:r>
        <w:t>s</w:t>
      </w:r>
      <w:r w:rsidRPr="009C5B5C">
        <w:t xml:space="preserve"> </w:t>
      </w:r>
      <w:r>
        <w:t xml:space="preserve">will </w:t>
      </w:r>
      <w:r w:rsidRPr="009C5B5C">
        <w:t xml:space="preserve">benefit from the proposed </w:t>
      </w:r>
      <w:r>
        <w:t xml:space="preserve">merger </w:t>
      </w:r>
      <w:r w:rsidRPr="009C5B5C">
        <w:t xml:space="preserve">transaction. </w:t>
      </w:r>
    </w:p>
    <w:p w:rsidR="00193FED" w:rsidRPr="009C5B5C" w:rsidRDefault="00193FED" w:rsidP="00DD2016">
      <w:pPr>
        <w:pStyle w:val="NoSpacing"/>
        <w:spacing w:line="480" w:lineRule="auto"/>
        <w:ind w:left="720" w:hanging="720"/>
      </w:pPr>
    </w:p>
    <w:p w:rsidR="00193FED" w:rsidRPr="009C5B5C" w:rsidRDefault="00193FED" w:rsidP="00DD2016">
      <w:pPr>
        <w:pStyle w:val="NoSpacing"/>
        <w:spacing w:line="480" w:lineRule="auto"/>
        <w:ind w:left="720" w:hanging="720"/>
        <w:rPr>
          <w:b/>
        </w:rPr>
      </w:pPr>
      <w:r>
        <w:rPr>
          <w:b/>
        </w:rPr>
        <w:t>Q.</w:t>
      </w:r>
      <w:r>
        <w:rPr>
          <w:b/>
        </w:rPr>
        <w:tab/>
      </w:r>
      <w:r w:rsidRPr="009C5B5C">
        <w:rPr>
          <w:b/>
        </w:rPr>
        <w:t xml:space="preserve">Are your proposed conditions on broadband deployment consistent with Washington </w:t>
      </w:r>
      <w:r>
        <w:rPr>
          <w:b/>
        </w:rPr>
        <w:t>S</w:t>
      </w:r>
      <w:r w:rsidRPr="009C5B5C">
        <w:rPr>
          <w:b/>
        </w:rPr>
        <w:t>tate’s policy objective</w:t>
      </w:r>
      <w:r>
        <w:rPr>
          <w:b/>
        </w:rPr>
        <w:t>s</w:t>
      </w:r>
      <w:r w:rsidRPr="009C5B5C">
        <w:rPr>
          <w:b/>
        </w:rPr>
        <w:t xml:space="preserve"> on telecommunications? </w:t>
      </w:r>
    </w:p>
    <w:p w:rsidR="00193FED" w:rsidRPr="009C5B5C" w:rsidRDefault="00193FED" w:rsidP="00DD2016">
      <w:pPr>
        <w:pStyle w:val="NoSpacing"/>
        <w:spacing w:line="480" w:lineRule="auto"/>
        <w:ind w:left="720" w:hanging="720"/>
      </w:pPr>
      <w:r>
        <w:lastRenderedPageBreak/>
        <w:t>A.</w:t>
      </w:r>
      <w:r>
        <w:tab/>
      </w:r>
      <w:r w:rsidRPr="009C5B5C">
        <w:t>Broadband deployment has consistently been a policy of interest</w:t>
      </w:r>
      <w:r>
        <w:t xml:space="preserve"> for</w:t>
      </w:r>
      <w:r w:rsidRPr="009C5B5C">
        <w:t xml:space="preserve"> the </w:t>
      </w:r>
      <w:r>
        <w:t>S</w:t>
      </w:r>
      <w:r w:rsidRPr="009C5B5C">
        <w:t xml:space="preserve">tate of Washington.  </w:t>
      </w:r>
      <w:r>
        <w:t xml:space="preserve">The </w:t>
      </w:r>
      <w:r w:rsidRPr="009C5B5C">
        <w:t xml:space="preserve">Washington legislature explicitly expresses several state telecommunications policy objectives, which include maintaining and advancing the efficiency and availability of telecommunications services; and promoting diversity in the supply of telecommunications services and products in telecommunications markets throughout the state.  </w:t>
      </w:r>
      <w:proofErr w:type="gramStart"/>
      <w:r w:rsidRPr="009C5B5C">
        <w:rPr>
          <w:i/>
        </w:rPr>
        <w:t>RCW 80.36.300</w:t>
      </w:r>
      <w:r w:rsidRPr="009C5B5C">
        <w:t>.</w:t>
      </w:r>
      <w:proofErr w:type="gramEnd"/>
      <w:r w:rsidRPr="009C5B5C">
        <w:t xml:space="preserve">  No doubt, broadband availability and </w:t>
      </w:r>
      <w:r>
        <w:t>supply</w:t>
      </w:r>
      <w:r w:rsidRPr="009C5B5C">
        <w:t xml:space="preserve"> diversity are relevant concerns of this Commission in d</w:t>
      </w:r>
      <w:r>
        <w:t>ecision making</w:t>
      </w:r>
      <w:r w:rsidRPr="009C5B5C">
        <w:t xml:space="preserve">.  The </w:t>
      </w:r>
      <w:r>
        <w:t>J</w:t>
      </w:r>
      <w:r w:rsidRPr="009C5B5C">
        <w:t>oin</w:t>
      </w:r>
      <w:r>
        <w:t>t A</w:t>
      </w:r>
      <w:r w:rsidRPr="009C5B5C">
        <w:t>pplicants recognize that the Commission has significant interest in Frontier’s future deployment of broadband in Washington.</w:t>
      </w:r>
      <w:r w:rsidRPr="009C5B5C">
        <w:rPr>
          <w:rStyle w:val="FootnoteReference"/>
        </w:rPr>
        <w:footnoteReference w:id="1"/>
      </w:r>
    </w:p>
    <w:p w:rsidR="00193FED" w:rsidRPr="009C5B5C" w:rsidRDefault="00193FED" w:rsidP="00DD2016">
      <w:pPr>
        <w:pStyle w:val="NoSpacing"/>
        <w:spacing w:line="480" w:lineRule="auto"/>
        <w:ind w:left="720" w:hanging="720"/>
      </w:pPr>
    </w:p>
    <w:p w:rsidR="00193FED" w:rsidRPr="009C5B5C" w:rsidRDefault="00193FED" w:rsidP="00DD2016">
      <w:pPr>
        <w:pStyle w:val="NoSpacing"/>
        <w:spacing w:line="480" w:lineRule="auto"/>
        <w:ind w:left="720" w:hanging="720"/>
        <w:rPr>
          <w:b/>
        </w:rPr>
      </w:pPr>
      <w:r>
        <w:rPr>
          <w:b/>
        </w:rPr>
        <w:t>Q.</w:t>
      </w:r>
      <w:r>
        <w:rPr>
          <w:b/>
        </w:rPr>
        <w:tab/>
        <w:t>Are</w:t>
      </w:r>
      <w:r w:rsidRPr="009C5B5C">
        <w:rPr>
          <w:b/>
        </w:rPr>
        <w:t xml:space="preserve"> there any preceden</w:t>
      </w:r>
      <w:r>
        <w:rPr>
          <w:b/>
        </w:rPr>
        <w:t>ts</w:t>
      </w:r>
      <w:r w:rsidRPr="009C5B5C">
        <w:rPr>
          <w:b/>
        </w:rPr>
        <w:t xml:space="preserve"> </w:t>
      </w:r>
      <w:r>
        <w:rPr>
          <w:b/>
        </w:rPr>
        <w:t>for</w:t>
      </w:r>
      <w:r w:rsidRPr="009C5B5C">
        <w:rPr>
          <w:b/>
        </w:rPr>
        <w:t xml:space="preserve"> the </w:t>
      </w:r>
      <w:r>
        <w:rPr>
          <w:b/>
        </w:rPr>
        <w:t>C</w:t>
      </w:r>
      <w:r w:rsidRPr="009C5B5C">
        <w:rPr>
          <w:b/>
        </w:rPr>
        <w:t>ommission requir</w:t>
      </w:r>
      <w:r>
        <w:rPr>
          <w:b/>
        </w:rPr>
        <w:t>ing</w:t>
      </w:r>
      <w:r w:rsidRPr="009C5B5C">
        <w:rPr>
          <w:b/>
        </w:rPr>
        <w:t xml:space="preserve"> broadband deployment in regulatory proceedings? </w:t>
      </w:r>
    </w:p>
    <w:p w:rsidR="00193FED" w:rsidRPr="009C5B5C" w:rsidRDefault="00193FED" w:rsidP="00DD2016">
      <w:pPr>
        <w:pStyle w:val="NoSpacing"/>
        <w:spacing w:line="480" w:lineRule="auto"/>
        <w:ind w:left="720" w:hanging="720"/>
      </w:pPr>
      <w:r>
        <w:t>A.</w:t>
      </w:r>
      <w:r>
        <w:tab/>
      </w:r>
      <w:r w:rsidRPr="009C5B5C">
        <w:t xml:space="preserve">Yes.  The Commission </w:t>
      </w:r>
      <w:r>
        <w:t>previously</w:t>
      </w:r>
      <w:r w:rsidRPr="009C5B5C">
        <w:t xml:space="preserve"> conditioned </w:t>
      </w:r>
      <w:r>
        <w:t xml:space="preserve">its </w:t>
      </w:r>
      <w:r w:rsidRPr="009C5B5C">
        <w:t>approval of Qwest Corporation’s Alternative Form of Regulation (</w:t>
      </w:r>
      <w:proofErr w:type="spellStart"/>
      <w:r w:rsidRPr="009C5B5C">
        <w:t>AFOR</w:t>
      </w:r>
      <w:proofErr w:type="spellEnd"/>
      <w:r w:rsidRPr="009C5B5C">
        <w:t>) and</w:t>
      </w:r>
      <w:r>
        <w:t xml:space="preserve"> the merger between </w:t>
      </w:r>
      <w:r w:rsidRPr="009C5B5C">
        <w:t xml:space="preserve">Embarq Corporation and CenturyTel, Inc. on </w:t>
      </w:r>
      <w:r>
        <w:t xml:space="preserve">the </w:t>
      </w:r>
      <w:r w:rsidRPr="009C5B5C">
        <w:t>companies’ specific broadband deployment commitment</w:t>
      </w:r>
      <w:r>
        <w:t>s</w:t>
      </w:r>
      <w:r w:rsidRPr="009C5B5C">
        <w:t xml:space="preserve"> in the state.  Those conditions reflect the reality of technological advancement, the change in consumer demand</w:t>
      </w:r>
      <w:r>
        <w:t>, and</w:t>
      </w:r>
      <w:r w:rsidRPr="009C5B5C">
        <w:t xml:space="preserve"> the shift from </w:t>
      </w:r>
      <w:r>
        <w:t>“</w:t>
      </w:r>
      <w:r w:rsidRPr="009C5B5C">
        <w:t>plain old telephone service</w:t>
      </w:r>
      <w:r>
        <w:t>”</w:t>
      </w:r>
      <w:r w:rsidRPr="009C5B5C">
        <w:t xml:space="preserve"> to broadband data service in the use of</w:t>
      </w:r>
      <w:r>
        <w:t xml:space="preserve"> the</w:t>
      </w:r>
      <w:r w:rsidRPr="009C5B5C">
        <w:t xml:space="preserve"> modern </w:t>
      </w:r>
      <w:r>
        <w:t>communications</w:t>
      </w:r>
      <w:r w:rsidRPr="009C5B5C">
        <w:t xml:space="preserve"> network.  They are consistent with the general public interest as well as </w:t>
      </w:r>
      <w:r>
        <w:t>the companies'</w:t>
      </w:r>
      <w:r w:rsidRPr="009C5B5C">
        <w:t xml:space="preserve"> traditional role as a common carrier</w:t>
      </w:r>
      <w:r>
        <w:t xml:space="preserve">. </w:t>
      </w:r>
    </w:p>
    <w:p w:rsidR="00193FED" w:rsidRPr="009C5B5C" w:rsidRDefault="00193FED" w:rsidP="00DD2016">
      <w:pPr>
        <w:pStyle w:val="NoSpacing"/>
        <w:spacing w:line="480" w:lineRule="auto"/>
        <w:ind w:left="720" w:hanging="720"/>
      </w:pPr>
    </w:p>
    <w:p w:rsidR="00193FED" w:rsidRPr="009C5B5C" w:rsidRDefault="00193FED" w:rsidP="00DD2016">
      <w:pPr>
        <w:pStyle w:val="NoSpacing"/>
        <w:spacing w:line="480" w:lineRule="auto"/>
        <w:ind w:left="720" w:firstLine="720"/>
      </w:pPr>
      <w:r w:rsidRPr="009C5B5C">
        <w:lastRenderedPageBreak/>
        <w:t xml:space="preserve">In the </w:t>
      </w:r>
      <w:r>
        <w:t xml:space="preserve">Qwest </w:t>
      </w:r>
      <w:proofErr w:type="spellStart"/>
      <w:r>
        <w:t>AFOR</w:t>
      </w:r>
      <w:proofErr w:type="spellEnd"/>
      <w:r>
        <w:t xml:space="preserve"> </w:t>
      </w:r>
      <w:r w:rsidRPr="009C5B5C">
        <w:t>proceeding, Qwest committed to spend at least $4 million to increase the availability of advanced telecommunications services in underserved areas and among underserved customer classes in Washington.</w:t>
      </w:r>
      <w:r w:rsidRPr="009C5B5C">
        <w:rPr>
          <w:rStyle w:val="FootnoteReference"/>
        </w:rPr>
        <w:footnoteReference w:id="2"/>
      </w:r>
      <w:r w:rsidRPr="009C5B5C">
        <w:t xml:space="preserve">  Similarly, in the Embarq and CenturyTel merger proceeding, the merged company agreed to provision broadband to 2,200 residential lines which were previously not broadband capable within three years after the close of the merger.</w:t>
      </w:r>
      <w:r w:rsidRPr="009C5B5C">
        <w:rPr>
          <w:rStyle w:val="FootnoteReference"/>
        </w:rPr>
        <w:footnoteReference w:id="3"/>
      </w:r>
    </w:p>
    <w:p w:rsidR="00193FED" w:rsidRPr="009C5B5C" w:rsidRDefault="00193FED" w:rsidP="00DD2016">
      <w:pPr>
        <w:pStyle w:val="NoSpacing"/>
        <w:spacing w:line="480" w:lineRule="auto"/>
        <w:ind w:left="720" w:hanging="720"/>
      </w:pPr>
    </w:p>
    <w:p w:rsidR="00193FED" w:rsidRPr="00193FED" w:rsidRDefault="00193FED" w:rsidP="00DD2016">
      <w:pPr>
        <w:pStyle w:val="NoSpacing"/>
        <w:numPr>
          <w:ilvl w:val="0"/>
          <w:numId w:val="16"/>
        </w:numPr>
        <w:spacing w:line="480" w:lineRule="auto"/>
        <w:ind w:left="720"/>
        <w:jc w:val="center"/>
        <w:rPr>
          <w:b/>
          <w:caps/>
        </w:rPr>
      </w:pPr>
      <w:r w:rsidRPr="00193FED">
        <w:rPr>
          <w:b/>
          <w:caps/>
        </w:rPr>
        <w:t>state-wide BROADBAND DEPLOYMENT COMMITMENT</w:t>
      </w:r>
    </w:p>
    <w:p w:rsidR="00193FED" w:rsidRDefault="00193FED" w:rsidP="00DD2016">
      <w:pPr>
        <w:pStyle w:val="NoSpacing"/>
        <w:spacing w:line="480" w:lineRule="auto"/>
        <w:ind w:left="720" w:hanging="720"/>
        <w:rPr>
          <w:b/>
        </w:rPr>
      </w:pPr>
    </w:p>
    <w:p w:rsidR="00193FED" w:rsidRPr="009C5B5C" w:rsidRDefault="00193FED" w:rsidP="00DD2016">
      <w:pPr>
        <w:pStyle w:val="NoSpacing"/>
        <w:spacing w:line="480" w:lineRule="auto"/>
        <w:ind w:left="720" w:hanging="720"/>
        <w:rPr>
          <w:b/>
        </w:rPr>
      </w:pPr>
      <w:r>
        <w:rPr>
          <w:b/>
        </w:rPr>
        <w:t>Q.</w:t>
      </w:r>
      <w:r>
        <w:rPr>
          <w:b/>
        </w:rPr>
        <w:tab/>
      </w:r>
      <w:r w:rsidRPr="009C5B5C">
        <w:rPr>
          <w:b/>
        </w:rPr>
        <w:t xml:space="preserve">Why </w:t>
      </w:r>
      <w:r>
        <w:rPr>
          <w:b/>
        </w:rPr>
        <w:t xml:space="preserve">is </w:t>
      </w:r>
      <w:r w:rsidRPr="009C5B5C">
        <w:rPr>
          <w:b/>
        </w:rPr>
        <w:t>accelerating broadband deployment important to the merged entity?</w:t>
      </w:r>
    </w:p>
    <w:p w:rsidR="00193FED" w:rsidRPr="009C5B5C" w:rsidRDefault="00193FED" w:rsidP="00DD2016">
      <w:pPr>
        <w:pStyle w:val="NoSpacing"/>
        <w:spacing w:line="480" w:lineRule="auto"/>
        <w:ind w:left="720" w:hanging="720"/>
      </w:pPr>
      <w:r>
        <w:t>A.</w:t>
      </w:r>
      <w:r>
        <w:tab/>
      </w:r>
      <w:r w:rsidRPr="009C5B5C">
        <w:t xml:space="preserve">Broadband expansion is the key selling point of the proposed </w:t>
      </w:r>
      <w:r>
        <w:t>transaction</w:t>
      </w:r>
      <w:r w:rsidRPr="009C5B5C">
        <w:t xml:space="preserve">.  </w:t>
      </w:r>
      <w:r>
        <w:t>Broadband Internet access can be provided over a number of technological platforms, including digital subscriber lines (DSL) over the traditional telephone network, coaxial cable, fiber optic cable and various wireless access technologies.  In this proceeding, Frontier’s future focus in Washington is mainly on expanding DSL capability over the existing network.</w:t>
      </w:r>
      <w:r>
        <w:rPr>
          <w:rStyle w:val="FootnoteReference"/>
        </w:rPr>
        <w:footnoteReference w:id="4"/>
      </w:r>
      <w:r>
        <w:t xml:space="preserve">  Increasing DSL</w:t>
      </w:r>
      <w:r w:rsidRPr="009C5B5C">
        <w:t xml:space="preserve"> availability and subscribership is vital to the growth of Frontier’s business after </w:t>
      </w:r>
      <w:r>
        <w:t xml:space="preserve">the </w:t>
      </w:r>
      <w:r w:rsidRPr="009C5B5C">
        <w:t xml:space="preserve">merger.  It also has serious ramifications </w:t>
      </w:r>
      <w:r>
        <w:t>for</w:t>
      </w:r>
      <w:r w:rsidRPr="009C5B5C">
        <w:t xml:space="preserve"> consumers.  I will illustrate the importance of broadband deployment in four aspects: (1) improving subscriber retention; (2) ensuring the company’s financial health; (3) maintaining </w:t>
      </w:r>
      <w:r>
        <w:t xml:space="preserve">a </w:t>
      </w:r>
      <w:r w:rsidRPr="009C5B5C">
        <w:t xml:space="preserve">modern network; </w:t>
      </w:r>
      <w:r>
        <w:t xml:space="preserve">and </w:t>
      </w:r>
      <w:r w:rsidRPr="009C5B5C">
        <w:t>(4) increasing availability and competitive offering</w:t>
      </w:r>
      <w:r>
        <w:t>s</w:t>
      </w:r>
      <w:r w:rsidRPr="009C5B5C">
        <w:t xml:space="preserve"> in rural market</w:t>
      </w:r>
      <w:r>
        <w:t>s</w:t>
      </w:r>
      <w:r w:rsidRPr="009C5B5C">
        <w:t xml:space="preserve">. </w:t>
      </w:r>
    </w:p>
    <w:p w:rsidR="00193FED" w:rsidRPr="009C5B5C" w:rsidRDefault="00193FED" w:rsidP="00DD2016">
      <w:pPr>
        <w:pStyle w:val="NoSpacing"/>
        <w:spacing w:line="480" w:lineRule="auto"/>
        <w:ind w:left="720" w:hanging="720"/>
        <w:rPr>
          <w:b/>
        </w:rPr>
      </w:pPr>
      <w:r w:rsidRPr="009C5B5C">
        <w:lastRenderedPageBreak/>
        <w:t xml:space="preserve"> </w:t>
      </w:r>
      <w:r>
        <w:rPr>
          <w:b/>
        </w:rPr>
        <w:t>Q.</w:t>
      </w:r>
      <w:r>
        <w:rPr>
          <w:b/>
        </w:rPr>
        <w:tab/>
      </w:r>
      <w:r w:rsidRPr="009C5B5C">
        <w:rPr>
          <w:b/>
        </w:rPr>
        <w:t xml:space="preserve">Why </w:t>
      </w:r>
      <w:r>
        <w:rPr>
          <w:b/>
        </w:rPr>
        <w:t xml:space="preserve">is </w:t>
      </w:r>
      <w:r w:rsidRPr="009C5B5C">
        <w:rPr>
          <w:b/>
        </w:rPr>
        <w:t xml:space="preserve">broadband deployment important </w:t>
      </w:r>
      <w:r>
        <w:rPr>
          <w:b/>
        </w:rPr>
        <w:t>to</w:t>
      </w:r>
      <w:r w:rsidRPr="009C5B5C">
        <w:rPr>
          <w:b/>
        </w:rPr>
        <w:t xml:space="preserve"> subscriber retention? </w:t>
      </w:r>
    </w:p>
    <w:p w:rsidR="00193FED" w:rsidRPr="009C5B5C" w:rsidRDefault="00193FED" w:rsidP="00DD2016">
      <w:pPr>
        <w:pStyle w:val="NoSpacing"/>
        <w:spacing w:line="480" w:lineRule="auto"/>
        <w:ind w:left="720" w:hanging="720"/>
      </w:pPr>
      <w:r>
        <w:t>A.</w:t>
      </w:r>
      <w:r>
        <w:tab/>
      </w:r>
      <w:r w:rsidRPr="009C5B5C">
        <w:t xml:space="preserve">As recognized by </w:t>
      </w:r>
      <w:r>
        <w:t>the Joint A</w:t>
      </w:r>
      <w:r w:rsidRPr="009C5B5C">
        <w:t xml:space="preserve">pplicants, the wireline telecommunications industry nowadays faces increasing competitive pressure from the wireless </w:t>
      </w:r>
      <w:r>
        <w:t xml:space="preserve">service </w:t>
      </w:r>
      <w:r w:rsidRPr="009C5B5C">
        <w:t xml:space="preserve">providers and </w:t>
      </w:r>
      <w:r>
        <w:t xml:space="preserve">from </w:t>
      </w:r>
      <w:r w:rsidRPr="009C5B5C">
        <w:t>alternati</w:t>
      </w:r>
      <w:r>
        <w:t xml:space="preserve">ve service providers such as </w:t>
      </w:r>
      <w:r w:rsidRPr="009C5B5C">
        <w:t xml:space="preserve">cable companies.  </w:t>
      </w:r>
      <w:r>
        <w:t>Verizon’s</w:t>
      </w:r>
      <w:r w:rsidRPr="009C5B5C">
        <w:t xml:space="preserve"> traditional voice service subscriber lines and the associated </w:t>
      </w:r>
      <w:r>
        <w:t xml:space="preserve">intrastate </w:t>
      </w:r>
      <w:r w:rsidRPr="009C5B5C">
        <w:t>revenue has experienced steady decline</w:t>
      </w:r>
      <w:r>
        <w:t xml:space="preserve"> in the past few years</w:t>
      </w:r>
      <w:r w:rsidRPr="009C5B5C">
        <w:t xml:space="preserve">. </w:t>
      </w:r>
      <w:r>
        <w:t xml:space="preserve"> </w:t>
      </w:r>
      <w:r w:rsidRPr="009C5B5C">
        <w:t xml:space="preserve">I agree with Frontier that broadband </w:t>
      </w:r>
      <w:r>
        <w:t xml:space="preserve">capacity is </w:t>
      </w:r>
      <w:r w:rsidRPr="009C5B5C">
        <w:t>important to retain customers on the company’s network.  Mr. McCarthy discusse</w:t>
      </w:r>
      <w:r>
        <w:t>s</w:t>
      </w:r>
      <w:r w:rsidRPr="009C5B5C">
        <w:t xml:space="preserve"> in his direct testimony</w:t>
      </w:r>
      <w:r>
        <w:t xml:space="preserve"> that</w:t>
      </w:r>
      <w:r w:rsidRPr="009C5B5C">
        <w:t xml:space="preserve"> the combination of various strategies, including </w:t>
      </w:r>
      <w:r>
        <w:t>aggressive marketing of DSL services</w:t>
      </w:r>
      <w:r w:rsidRPr="009C5B5C">
        <w:t xml:space="preserve">, innovative promotion with a free personal computer for the “Free Ride” bundle, localized management, dedicated customer support, and computer backup and restoration services, have worked well in customer retention in Frontier’s current service territories.  </w:t>
      </w:r>
      <w:r>
        <w:t xml:space="preserve">As a result, </w:t>
      </w:r>
      <w:r w:rsidRPr="009C5B5C">
        <w:t xml:space="preserve">Frontier appears to have a slower annual loss of its access lines </w:t>
      </w:r>
      <w:r>
        <w:t xml:space="preserve">– </w:t>
      </w:r>
      <w:r w:rsidRPr="009C5B5C">
        <w:t>7 percent for its national operation, as compared to 10 percent for</w:t>
      </w:r>
      <w:r>
        <w:t xml:space="preserve"> Verizon in the service areas Frontier is proposing to acquire</w:t>
      </w:r>
      <w:r w:rsidRPr="009C5B5C">
        <w:t>.</w:t>
      </w:r>
      <w:r w:rsidRPr="009C5B5C">
        <w:rPr>
          <w:rStyle w:val="FootnoteReference"/>
        </w:rPr>
        <w:footnoteReference w:id="5"/>
      </w:r>
      <w:r w:rsidRPr="009C5B5C">
        <w:t xml:space="preserve">  </w:t>
      </w:r>
      <w:r>
        <w:t xml:space="preserve">Such line retention objectives will not be achieved after the merger </w:t>
      </w:r>
      <w:r w:rsidRPr="009C5B5C">
        <w:t>with</w:t>
      </w:r>
      <w:r>
        <w:t>out</w:t>
      </w:r>
      <w:r w:rsidRPr="009C5B5C">
        <w:t xml:space="preserve"> more expansive broadband infrastructure. </w:t>
      </w:r>
    </w:p>
    <w:p w:rsidR="00193FED" w:rsidRPr="009C5B5C" w:rsidRDefault="00193FED" w:rsidP="00DD2016">
      <w:pPr>
        <w:pStyle w:val="NoSpacing"/>
        <w:spacing w:line="480" w:lineRule="auto"/>
        <w:ind w:left="720" w:hanging="720"/>
      </w:pPr>
    </w:p>
    <w:p w:rsidR="00193FED" w:rsidRPr="009C5B5C" w:rsidRDefault="00193FED" w:rsidP="00DD2016">
      <w:pPr>
        <w:pStyle w:val="NoSpacing"/>
        <w:keepNext/>
        <w:keepLines/>
        <w:spacing w:line="480" w:lineRule="auto"/>
        <w:ind w:left="720" w:hanging="720"/>
        <w:rPr>
          <w:b/>
        </w:rPr>
      </w:pPr>
      <w:r>
        <w:rPr>
          <w:b/>
        </w:rPr>
        <w:lastRenderedPageBreak/>
        <w:t>Q.</w:t>
      </w:r>
      <w:r>
        <w:rPr>
          <w:b/>
        </w:rPr>
        <w:tab/>
      </w:r>
      <w:r w:rsidRPr="009C5B5C">
        <w:rPr>
          <w:b/>
        </w:rPr>
        <w:t xml:space="preserve">Why </w:t>
      </w:r>
      <w:r>
        <w:rPr>
          <w:b/>
        </w:rPr>
        <w:t xml:space="preserve">is </w:t>
      </w:r>
      <w:r w:rsidRPr="009C5B5C">
        <w:rPr>
          <w:b/>
        </w:rPr>
        <w:t>broadband deployment important to the company’s financial health?</w:t>
      </w:r>
    </w:p>
    <w:p w:rsidR="00193FED" w:rsidRPr="009C5B5C" w:rsidRDefault="00193FED" w:rsidP="00DD2016">
      <w:pPr>
        <w:pStyle w:val="NoSpacing"/>
        <w:keepNext/>
        <w:keepLines/>
        <w:spacing w:line="480" w:lineRule="auto"/>
        <w:ind w:left="720" w:hanging="720"/>
      </w:pPr>
      <w:r>
        <w:t>A.</w:t>
      </w:r>
      <w:r>
        <w:tab/>
      </w:r>
      <w:r w:rsidRPr="009C5B5C">
        <w:t xml:space="preserve">Broadband will be the cornerstone of the company’s future business model in Washington. DSL service used to be </w:t>
      </w:r>
      <w:r>
        <w:t xml:space="preserve">considered an auxiliary service over the telephone network.  </w:t>
      </w:r>
      <w:r w:rsidRPr="009C5B5C">
        <w:t xml:space="preserve">However, the data and voice services have switched roles in recent years as </w:t>
      </w:r>
      <w:r>
        <w:t xml:space="preserve">broadband </w:t>
      </w:r>
      <w:r w:rsidRPr="009C5B5C">
        <w:t xml:space="preserve">Internet access became more widely adopted.  </w:t>
      </w:r>
      <w:r>
        <w:t>With burgeoning Internet content</w:t>
      </w:r>
      <w:r w:rsidRPr="009C5B5C">
        <w:t xml:space="preserve"> and </w:t>
      </w:r>
      <w:r>
        <w:t>Internet protocol-based applications, broadband has changed from a luxury to a necessity</w:t>
      </w:r>
      <w:r w:rsidRPr="009C5B5C">
        <w:t xml:space="preserve">.  Broadband revenue </w:t>
      </w:r>
      <w:r>
        <w:t>has consisted of</w:t>
      </w:r>
      <w:r w:rsidRPr="009C5B5C">
        <w:t xml:space="preserve"> an increasingly large portion of </w:t>
      </w:r>
      <w:r>
        <w:t>telephone companies’</w:t>
      </w:r>
      <w:r w:rsidRPr="009C5B5C">
        <w:t xml:space="preserve"> overall and the trend will continue.  In the future, </w:t>
      </w:r>
      <w:r>
        <w:t>Frontier</w:t>
      </w:r>
      <w:r w:rsidRPr="009C5B5C">
        <w:t xml:space="preserve"> will rely more and more on its revenue from broadband access services than its traditional voice telephone services.  As such, DSL deployment is a key factor that determines the company’s financial health.  As Mr. McCarthy stated in his direct testimony, the key growth market for a provider like Frontier is to reach relatively higher penetration of broadband in less-dense regions.</w:t>
      </w:r>
      <w:r w:rsidRPr="009C5B5C">
        <w:rPr>
          <w:rStyle w:val="FootnoteReference"/>
        </w:rPr>
        <w:footnoteReference w:id="6"/>
      </w:r>
      <w:r w:rsidRPr="009C5B5C">
        <w:t xml:space="preserve">  The low broadband availability and subscriber rate in Verizon’ service territory in Washington presents </w:t>
      </w:r>
      <w:r>
        <w:t>opportunities for future growth that Verizon has not yet tapped into.</w:t>
      </w:r>
    </w:p>
    <w:p w:rsidR="00193FED" w:rsidRPr="009C5B5C" w:rsidRDefault="00193FED" w:rsidP="00DD2016">
      <w:pPr>
        <w:pStyle w:val="NoSpacing"/>
        <w:spacing w:line="480" w:lineRule="auto"/>
        <w:ind w:left="720" w:hanging="720"/>
      </w:pPr>
    </w:p>
    <w:p w:rsidR="00193FED" w:rsidRPr="009C5B5C" w:rsidRDefault="00193FED" w:rsidP="00DD2016">
      <w:pPr>
        <w:pStyle w:val="NoSpacing"/>
        <w:spacing w:line="480" w:lineRule="auto"/>
        <w:ind w:left="720" w:hanging="720"/>
        <w:rPr>
          <w:b/>
        </w:rPr>
      </w:pPr>
      <w:r>
        <w:rPr>
          <w:b/>
        </w:rPr>
        <w:t>Q.</w:t>
      </w:r>
      <w:r>
        <w:rPr>
          <w:b/>
        </w:rPr>
        <w:tab/>
      </w:r>
      <w:r w:rsidRPr="009C5B5C">
        <w:rPr>
          <w:b/>
        </w:rPr>
        <w:t xml:space="preserve">Why </w:t>
      </w:r>
      <w:r>
        <w:rPr>
          <w:b/>
        </w:rPr>
        <w:t xml:space="preserve">does broadband deployment play an </w:t>
      </w:r>
      <w:r w:rsidRPr="009C5B5C">
        <w:rPr>
          <w:b/>
        </w:rPr>
        <w:t xml:space="preserve">important </w:t>
      </w:r>
      <w:r>
        <w:rPr>
          <w:b/>
        </w:rPr>
        <w:t xml:space="preserve">role </w:t>
      </w:r>
      <w:r w:rsidRPr="009C5B5C">
        <w:rPr>
          <w:b/>
        </w:rPr>
        <w:t xml:space="preserve">in maintaining a modern network? </w:t>
      </w:r>
    </w:p>
    <w:p w:rsidR="00193FED" w:rsidRPr="009C5B5C" w:rsidRDefault="00193FED" w:rsidP="00DD2016">
      <w:pPr>
        <w:pStyle w:val="NoSpacing"/>
        <w:spacing w:line="480" w:lineRule="auto"/>
        <w:ind w:left="720" w:hanging="720"/>
      </w:pPr>
      <w:r>
        <w:t>A.</w:t>
      </w:r>
      <w:r>
        <w:tab/>
      </w:r>
      <w:r w:rsidRPr="009C5B5C">
        <w:t>Making subscriber line DSL</w:t>
      </w:r>
      <w:r>
        <w:t>-</w:t>
      </w:r>
      <w:r w:rsidRPr="009C5B5C">
        <w:t>capable can involve a number of network improvements, including investment in DSL Access Modules (</w:t>
      </w:r>
      <w:proofErr w:type="spellStart"/>
      <w:r w:rsidRPr="009C5B5C">
        <w:t>DSLAM</w:t>
      </w:r>
      <w:r>
        <w:t>s</w:t>
      </w:r>
      <w:proofErr w:type="spellEnd"/>
      <w:r w:rsidRPr="009C5B5C">
        <w:t xml:space="preserve">), fiber optic cable in the loop, </w:t>
      </w:r>
      <w:r w:rsidRPr="00D15A10">
        <w:t xml:space="preserve">digital loop carrier remote terminals, power plant and </w:t>
      </w:r>
      <w:r>
        <w:t xml:space="preserve">advanced </w:t>
      </w:r>
      <w:r w:rsidRPr="00D15A10">
        <w:lastRenderedPageBreak/>
        <w:t>digita</w:t>
      </w:r>
      <w:r>
        <w:t>l data transmission technologies</w:t>
      </w:r>
      <w:r w:rsidRPr="00D15A10">
        <w:t xml:space="preserve">.  These upgrades are critical for a carrier to provide voice, data and video services over the same network.  In particular, the </w:t>
      </w:r>
      <w:r>
        <w:t>increased deployment of</w:t>
      </w:r>
      <w:r w:rsidRPr="00D15A10">
        <w:t xml:space="preserve"> fiber optic cable as well</w:t>
      </w:r>
      <w:r>
        <w:t xml:space="preserve"> as i</w:t>
      </w:r>
      <w:r w:rsidRPr="00D15A10">
        <w:t xml:space="preserve">ncreased switching capacity </w:t>
      </w:r>
      <w:r>
        <w:t>will</w:t>
      </w:r>
      <w:r w:rsidRPr="00D15A10">
        <w:t xml:space="preserve"> make the overall network more</w:t>
      </w:r>
      <w:r w:rsidRPr="009C5B5C">
        <w:t xml:space="preserve"> </w:t>
      </w:r>
      <w:r>
        <w:t>efficient</w:t>
      </w:r>
      <w:r w:rsidRPr="009C5B5C">
        <w:t xml:space="preserve">.  More managerial attention and technical support will also </w:t>
      </w:r>
      <w:r>
        <w:t xml:space="preserve">be </w:t>
      </w:r>
      <w:r w:rsidRPr="009C5B5C">
        <w:t xml:space="preserve">given to common facilities that support both </w:t>
      </w:r>
      <w:r>
        <w:t>voice</w:t>
      </w:r>
      <w:r w:rsidRPr="009C5B5C">
        <w:t xml:space="preserve"> and </w:t>
      </w:r>
      <w:r>
        <w:t>data</w:t>
      </w:r>
      <w:r w:rsidRPr="009C5B5C">
        <w:t xml:space="preserve"> services.  </w:t>
      </w:r>
      <w:r>
        <w:t xml:space="preserve">Without investment in broadband technologies, the network will soon become antiquated. </w:t>
      </w:r>
    </w:p>
    <w:p w:rsidR="00193FED" w:rsidRPr="009C5B5C" w:rsidRDefault="00193FED" w:rsidP="00DD2016">
      <w:pPr>
        <w:pStyle w:val="NoSpacing"/>
        <w:spacing w:line="480" w:lineRule="auto"/>
        <w:ind w:left="720" w:hanging="720"/>
      </w:pPr>
    </w:p>
    <w:p w:rsidR="00193FED" w:rsidRPr="009C5B5C" w:rsidRDefault="00193FED" w:rsidP="00DD2016">
      <w:pPr>
        <w:pStyle w:val="NoSpacing"/>
        <w:spacing w:line="480" w:lineRule="auto"/>
        <w:ind w:left="720" w:hanging="720"/>
        <w:rPr>
          <w:b/>
        </w:rPr>
      </w:pPr>
      <w:r>
        <w:rPr>
          <w:b/>
        </w:rPr>
        <w:t>Q.</w:t>
      </w:r>
      <w:r>
        <w:rPr>
          <w:b/>
        </w:rPr>
        <w:tab/>
      </w:r>
      <w:r w:rsidRPr="009C5B5C">
        <w:rPr>
          <w:b/>
        </w:rPr>
        <w:t>Why is broadband deployment important to rural market</w:t>
      </w:r>
      <w:r>
        <w:rPr>
          <w:b/>
        </w:rPr>
        <w:t>s</w:t>
      </w:r>
      <w:r w:rsidRPr="009C5B5C">
        <w:rPr>
          <w:b/>
        </w:rPr>
        <w:t xml:space="preserve"> and consumers? </w:t>
      </w:r>
    </w:p>
    <w:p w:rsidR="00DD2016" w:rsidRDefault="00193FED" w:rsidP="00DD2016">
      <w:pPr>
        <w:pStyle w:val="NoSpacing"/>
        <w:spacing w:line="480" w:lineRule="auto"/>
        <w:ind w:left="720" w:hanging="720"/>
        <w:sectPr w:rsidR="00DD2016" w:rsidSect="0031555B">
          <w:footerReference w:type="default" r:id="rId12"/>
          <w:pgSz w:w="12240" w:h="15840"/>
          <w:pgMar w:top="1440" w:right="1440" w:bottom="1440" w:left="1872" w:header="720" w:footer="720" w:gutter="0"/>
          <w:lnNumType w:countBy="1"/>
          <w:pgNumType w:start="1"/>
          <w:cols w:space="720"/>
          <w:docGrid w:linePitch="360"/>
        </w:sectPr>
      </w:pPr>
      <w:r>
        <w:t>A.</w:t>
      </w:r>
      <w:r>
        <w:tab/>
        <w:t>The b</w:t>
      </w:r>
      <w:r w:rsidRPr="009C5B5C">
        <w:t>roadband market is far from competitive in rural and high</w:t>
      </w:r>
      <w:r>
        <w:t>-</w:t>
      </w:r>
      <w:r w:rsidRPr="009C5B5C">
        <w:t>cost areas.  Even if alternative broadband access technologies such as cable m</w:t>
      </w:r>
      <w:r>
        <w:t>odem</w:t>
      </w:r>
      <w:r w:rsidRPr="009C5B5C">
        <w:t xml:space="preserve"> or satellite exist in some areas, their prices can be relatively high.  Extending DSL services to </w:t>
      </w:r>
      <w:proofErr w:type="spellStart"/>
      <w:r w:rsidRPr="009C5B5C">
        <w:t>unserved</w:t>
      </w:r>
      <w:proofErr w:type="spellEnd"/>
      <w:r w:rsidRPr="009C5B5C">
        <w:t xml:space="preserve"> and underserved areas will especially benefit th</w:t>
      </w:r>
      <w:r>
        <w:t xml:space="preserve">at portion of </w:t>
      </w:r>
      <w:r w:rsidRPr="009C5B5C">
        <w:t xml:space="preserve">rural </w:t>
      </w:r>
      <w:r>
        <w:t>consumers</w:t>
      </w:r>
      <w:r w:rsidRPr="009C5B5C">
        <w:t xml:space="preserve"> who still rely on dial-up Internet connection either because no broadband service is available in the area or the price of alternative broadband technologies is too high</w:t>
      </w:r>
      <w:r>
        <w:t>.</w:t>
      </w:r>
      <w:r w:rsidRPr="009C5B5C">
        <w:t xml:space="preserve"> </w:t>
      </w:r>
      <w:r>
        <w:t xml:space="preserve"> </w:t>
      </w:r>
      <w:r w:rsidRPr="009C5B5C">
        <w:t>Competitive DSL offerings in those areas can enhance consumer choices</w:t>
      </w:r>
      <w:r>
        <w:t xml:space="preserve"> and more importantly, </w:t>
      </w:r>
      <w:r w:rsidRPr="009C5B5C">
        <w:t>assert pressur</w:t>
      </w:r>
      <w:r>
        <w:t xml:space="preserve">e for providers to reduce price, </w:t>
      </w:r>
      <w:r w:rsidRPr="009C5B5C">
        <w:t xml:space="preserve">increase service quality and </w:t>
      </w:r>
      <w:r>
        <w:t xml:space="preserve">compete with </w:t>
      </w:r>
      <w:r w:rsidRPr="009C5B5C">
        <w:t xml:space="preserve">innovative product differentiation. </w:t>
      </w:r>
    </w:p>
    <w:p w:rsidR="00193FED" w:rsidRPr="009C5B5C" w:rsidRDefault="00193FED" w:rsidP="00DD2016">
      <w:pPr>
        <w:pStyle w:val="NoSpacing"/>
        <w:keepNext/>
        <w:keepLines/>
        <w:spacing w:line="480" w:lineRule="auto"/>
        <w:ind w:left="720" w:hanging="720"/>
        <w:rPr>
          <w:b/>
        </w:rPr>
      </w:pPr>
      <w:r>
        <w:rPr>
          <w:b/>
        </w:rPr>
        <w:lastRenderedPageBreak/>
        <w:t>Q.</w:t>
      </w:r>
      <w:r>
        <w:rPr>
          <w:b/>
        </w:rPr>
        <w:tab/>
      </w:r>
      <w:r w:rsidRPr="009C5B5C">
        <w:rPr>
          <w:b/>
        </w:rPr>
        <w:t>What</w:t>
      </w:r>
      <w:r>
        <w:rPr>
          <w:b/>
        </w:rPr>
        <w:t xml:space="preserve"> is</w:t>
      </w:r>
      <w:r w:rsidRPr="009C5B5C">
        <w:rPr>
          <w:b/>
        </w:rPr>
        <w:t xml:space="preserve"> the current status of Verizon’s broadband availability? </w:t>
      </w:r>
    </w:p>
    <w:p w:rsidR="00193FED" w:rsidRDefault="00193FED" w:rsidP="00DD2016">
      <w:pPr>
        <w:pStyle w:val="NoSpacing"/>
        <w:keepNext/>
        <w:keepLines/>
        <w:spacing w:line="480" w:lineRule="auto"/>
        <w:ind w:left="720" w:hanging="720"/>
      </w:pPr>
      <w:r>
        <w:t>A.</w:t>
      </w:r>
      <w:r>
        <w:tab/>
        <w:t>As illustrated in the following table, t</w:t>
      </w:r>
      <w:r w:rsidRPr="009C5B5C">
        <w:t xml:space="preserve">he status quo of Verizon’s DSL availability is poor as compared to other medium or large incumbent local exchange carriers in the state.  It is also below the Washington state average. </w:t>
      </w:r>
    </w:p>
    <w:p w:rsidR="00193FED" w:rsidRPr="009C5B5C" w:rsidRDefault="00193FED" w:rsidP="00193FED">
      <w:pPr>
        <w:pStyle w:val="NoSpacing"/>
        <w:spacing w:line="480" w:lineRule="auto"/>
      </w:pPr>
    </w:p>
    <w:tbl>
      <w:tblPr>
        <w:tblStyle w:val="TableGrid"/>
        <w:tblW w:w="8370" w:type="dxa"/>
        <w:tblInd w:w="828" w:type="dxa"/>
        <w:tblLook w:val="04A0"/>
      </w:tblPr>
      <w:tblGrid>
        <w:gridCol w:w="3330"/>
        <w:gridCol w:w="2610"/>
        <w:gridCol w:w="2430"/>
      </w:tblGrid>
      <w:tr w:rsidR="00193FED" w:rsidRPr="009C5B5C" w:rsidTr="00DD2016">
        <w:trPr>
          <w:trHeight w:val="620"/>
          <w:tblHeader/>
        </w:trPr>
        <w:tc>
          <w:tcPr>
            <w:tcW w:w="8370" w:type="dxa"/>
            <w:gridSpan w:val="3"/>
            <w:tcBorders>
              <w:top w:val="nil"/>
              <w:left w:val="nil"/>
              <w:right w:val="nil"/>
            </w:tcBorders>
            <w:vAlign w:val="center"/>
          </w:tcPr>
          <w:p w:rsidR="00193FED" w:rsidRPr="006F4C1A" w:rsidRDefault="00193FED" w:rsidP="00193FED">
            <w:pPr>
              <w:pStyle w:val="NoSpacing"/>
              <w:spacing w:line="360" w:lineRule="auto"/>
              <w:jc w:val="center"/>
              <w:rPr>
                <w:b/>
                <w:bCs/>
                <w:color w:val="000000"/>
                <w:szCs w:val="24"/>
              </w:rPr>
            </w:pPr>
            <w:r w:rsidRPr="006F4C1A">
              <w:rPr>
                <w:b/>
                <w:bCs/>
                <w:color w:val="000000"/>
                <w:szCs w:val="24"/>
              </w:rPr>
              <w:t>Table 1. Comparison of DSL Availability</w:t>
            </w:r>
          </w:p>
        </w:tc>
      </w:tr>
      <w:tr w:rsidR="00193FED" w:rsidRPr="009C5B5C" w:rsidTr="00DD2016">
        <w:trPr>
          <w:trHeight w:val="620"/>
          <w:tblHeader/>
        </w:trPr>
        <w:tc>
          <w:tcPr>
            <w:tcW w:w="3330" w:type="dxa"/>
            <w:vAlign w:val="center"/>
          </w:tcPr>
          <w:p w:rsidR="00193FED" w:rsidRPr="009C5B5C" w:rsidRDefault="00193FED" w:rsidP="00193FED">
            <w:pPr>
              <w:pStyle w:val="NoSpacing"/>
              <w:jc w:val="center"/>
              <w:rPr>
                <w:b/>
              </w:rPr>
            </w:pPr>
            <w:r>
              <w:rPr>
                <w:b/>
              </w:rPr>
              <w:t>Company</w:t>
            </w:r>
          </w:p>
        </w:tc>
        <w:tc>
          <w:tcPr>
            <w:tcW w:w="5040" w:type="dxa"/>
            <w:gridSpan w:val="2"/>
            <w:vAlign w:val="center"/>
          </w:tcPr>
          <w:p w:rsidR="00193FED" w:rsidRPr="006F4C1A" w:rsidRDefault="00193FED" w:rsidP="00193FED">
            <w:pPr>
              <w:pStyle w:val="NoSpacing"/>
              <w:spacing w:line="360" w:lineRule="auto"/>
              <w:jc w:val="center"/>
              <w:rPr>
                <w:b/>
                <w:szCs w:val="24"/>
              </w:rPr>
            </w:pPr>
            <w:r w:rsidRPr="006F4C1A">
              <w:rPr>
                <w:b/>
                <w:szCs w:val="24"/>
              </w:rPr>
              <w:t>DSL Availability</w:t>
            </w:r>
          </w:p>
        </w:tc>
      </w:tr>
      <w:tr w:rsidR="00193FED" w:rsidRPr="009C5B5C" w:rsidTr="00DD2016">
        <w:tc>
          <w:tcPr>
            <w:tcW w:w="3330" w:type="dxa"/>
          </w:tcPr>
          <w:p w:rsidR="00193FED" w:rsidRPr="009C5B5C" w:rsidRDefault="00193FED" w:rsidP="00193FED">
            <w:pPr>
              <w:pStyle w:val="NoSpacing"/>
            </w:pPr>
            <w:r w:rsidRPr="009C5B5C">
              <w:t xml:space="preserve">Washington average </w:t>
            </w:r>
            <w:r>
              <w:t>- residential</w:t>
            </w:r>
            <w:r w:rsidRPr="009C5B5C">
              <w:rPr>
                <w:rStyle w:val="FootnoteReference"/>
              </w:rPr>
              <w:footnoteReference w:id="7"/>
            </w:r>
          </w:p>
        </w:tc>
        <w:tc>
          <w:tcPr>
            <w:tcW w:w="2610" w:type="dxa"/>
            <w:tcBorders>
              <w:right w:val="nil"/>
            </w:tcBorders>
          </w:tcPr>
          <w:p w:rsidR="00193FED" w:rsidRPr="009C5B5C" w:rsidRDefault="00193FED" w:rsidP="00193FED">
            <w:pPr>
              <w:pStyle w:val="NoSpacing"/>
              <w:jc w:val="center"/>
            </w:pPr>
            <w:r w:rsidRPr="009C5B5C">
              <w:t>83%</w:t>
            </w:r>
          </w:p>
        </w:tc>
        <w:tc>
          <w:tcPr>
            <w:tcW w:w="2430" w:type="dxa"/>
            <w:tcBorders>
              <w:left w:val="nil"/>
            </w:tcBorders>
          </w:tcPr>
          <w:p w:rsidR="00193FED" w:rsidRPr="009C5B5C" w:rsidRDefault="00193FED" w:rsidP="00193FED">
            <w:pPr>
              <w:pStyle w:val="NoSpacing"/>
            </w:pPr>
            <w:r>
              <w:t>(</w:t>
            </w:r>
            <w:r w:rsidRPr="009C5B5C">
              <w:t>June 30, 2008</w:t>
            </w:r>
            <w:r>
              <w:t>)</w:t>
            </w:r>
          </w:p>
        </w:tc>
      </w:tr>
      <w:tr w:rsidR="00193FED" w:rsidRPr="009C5B5C" w:rsidTr="00DD2016">
        <w:tc>
          <w:tcPr>
            <w:tcW w:w="3330" w:type="dxa"/>
          </w:tcPr>
          <w:p w:rsidR="00193FED" w:rsidRPr="009C5B5C" w:rsidRDefault="00193FED" w:rsidP="00193FED">
            <w:pPr>
              <w:pStyle w:val="NoSpacing"/>
            </w:pPr>
            <w:r w:rsidRPr="009C5B5C">
              <w:t>Qwest Corporation (WA)</w:t>
            </w:r>
            <w:r w:rsidRPr="009C5B5C">
              <w:rPr>
                <w:rStyle w:val="FootnoteReference"/>
              </w:rPr>
              <w:footnoteReference w:id="8"/>
            </w:r>
          </w:p>
        </w:tc>
        <w:tc>
          <w:tcPr>
            <w:tcW w:w="2610" w:type="dxa"/>
            <w:tcBorders>
              <w:right w:val="nil"/>
            </w:tcBorders>
          </w:tcPr>
          <w:p w:rsidR="00193FED" w:rsidRPr="00F77888" w:rsidRDefault="00193FED" w:rsidP="00193FED">
            <w:pPr>
              <w:pStyle w:val="NoSpacing"/>
              <w:jc w:val="center"/>
            </w:pPr>
            <w:r w:rsidRPr="00F77888">
              <w:t>87%</w:t>
            </w:r>
          </w:p>
        </w:tc>
        <w:tc>
          <w:tcPr>
            <w:tcW w:w="2430" w:type="dxa"/>
            <w:tcBorders>
              <w:left w:val="nil"/>
            </w:tcBorders>
          </w:tcPr>
          <w:p w:rsidR="00193FED" w:rsidRPr="009C5B5C" w:rsidRDefault="00193FED" w:rsidP="00193FED">
            <w:pPr>
              <w:pStyle w:val="NoSpacing"/>
            </w:pPr>
            <w:r>
              <w:t>(</w:t>
            </w:r>
            <w:r w:rsidRPr="009C5B5C">
              <w:t>August 31, 2009</w:t>
            </w:r>
            <w:r>
              <w:t>)</w:t>
            </w:r>
          </w:p>
        </w:tc>
      </w:tr>
      <w:tr w:rsidR="00193FED" w:rsidRPr="009C5B5C" w:rsidTr="00DD2016">
        <w:tc>
          <w:tcPr>
            <w:tcW w:w="3330" w:type="dxa"/>
          </w:tcPr>
          <w:p w:rsidR="00193FED" w:rsidRPr="009C5B5C" w:rsidRDefault="00193FED" w:rsidP="00193FED">
            <w:pPr>
              <w:pStyle w:val="NoSpacing"/>
            </w:pPr>
            <w:r w:rsidRPr="009C5B5C">
              <w:t>CenturyTel (WA)</w:t>
            </w:r>
            <w:r w:rsidRPr="009C5B5C">
              <w:rPr>
                <w:rStyle w:val="FootnoteReference"/>
              </w:rPr>
              <w:footnoteReference w:id="9"/>
            </w:r>
          </w:p>
        </w:tc>
        <w:tc>
          <w:tcPr>
            <w:tcW w:w="2610" w:type="dxa"/>
            <w:tcBorders>
              <w:right w:val="nil"/>
            </w:tcBorders>
          </w:tcPr>
          <w:p w:rsidR="00193FED" w:rsidRPr="00F77888" w:rsidRDefault="00193FED" w:rsidP="00193FED">
            <w:pPr>
              <w:pStyle w:val="NoSpacing"/>
              <w:jc w:val="center"/>
            </w:pPr>
            <w:r w:rsidRPr="00F77888">
              <w:t>89%</w:t>
            </w:r>
          </w:p>
        </w:tc>
        <w:tc>
          <w:tcPr>
            <w:tcW w:w="2430" w:type="dxa"/>
            <w:tcBorders>
              <w:left w:val="nil"/>
            </w:tcBorders>
          </w:tcPr>
          <w:p w:rsidR="00193FED" w:rsidRPr="009C5B5C" w:rsidRDefault="00193FED" w:rsidP="00193FED">
            <w:pPr>
              <w:pStyle w:val="NoSpacing"/>
            </w:pPr>
            <w:r>
              <w:t>(</w:t>
            </w:r>
            <w:r w:rsidRPr="009C5B5C">
              <w:t>2008</w:t>
            </w:r>
            <w:r>
              <w:t>)</w:t>
            </w:r>
          </w:p>
        </w:tc>
      </w:tr>
      <w:tr w:rsidR="00193FED" w:rsidRPr="009C5B5C" w:rsidTr="00DD2016">
        <w:tc>
          <w:tcPr>
            <w:tcW w:w="3330" w:type="dxa"/>
          </w:tcPr>
          <w:p w:rsidR="00193FED" w:rsidRPr="009C5B5C" w:rsidRDefault="00193FED" w:rsidP="00193FED">
            <w:pPr>
              <w:pStyle w:val="NoSpacing"/>
            </w:pPr>
            <w:r>
              <w:t>Embarq</w:t>
            </w:r>
            <w:r w:rsidRPr="009C5B5C">
              <w:t xml:space="preserve"> (WA)</w:t>
            </w:r>
            <w:r w:rsidRPr="009C5B5C">
              <w:rPr>
                <w:rStyle w:val="FootnoteReference"/>
              </w:rPr>
              <w:footnoteReference w:id="10"/>
            </w:r>
          </w:p>
        </w:tc>
        <w:tc>
          <w:tcPr>
            <w:tcW w:w="2610" w:type="dxa"/>
            <w:tcBorders>
              <w:right w:val="nil"/>
            </w:tcBorders>
          </w:tcPr>
          <w:p w:rsidR="00193FED" w:rsidRPr="00F77888" w:rsidRDefault="00193FED" w:rsidP="00193FED">
            <w:pPr>
              <w:pStyle w:val="NoSpacing"/>
              <w:jc w:val="center"/>
            </w:pPr>
            <w:r w:rsidRPr="00F77888">
              <w:t>78%</w:t>
            </w:r>
          </w:p>
        </w:tc>
        <w:tc>
          <w:tcPr>
            <w:tcW w:w="2430" w:type="dxa"/>
            <w:tcBorders>
              <w:left w:val="nil"/>
            </w:tcBorders>
          </w:tcPr>
          <w:p w:rsidR="00193FED" w:rsidRPr="009C5B5C" w:rsidRDefault="00193FED" w:rsidP="00193FED">
            <w:pPr>
              <w:pStyle w:val="NoSpacing"/>
            </w:pPr>
            <w:r>
              <w:t>(</w:t>
            </w:r>
            <w:r w:rsidRPr="009C5B5C">
              <w:t>2008</w:t>
            </w:r>
            <w:r>
              <w:t>)</w:t>
            </w:r>
          </w:p>
        </w:tc>
      </w:tr>
      <w:tr w:rsidR="00193FED" w:rsidRPr="009C5B5C" w:rsidTr="00DD2016">
        <w:tc>
          <w:tcPr>
            <w:tcW w:w="3330" w:type="dxa"/>
          </w:tcPr>
          <w:p w:rsidR="00193FED" w:rsidRPr="009C5B5C" w:rsidRDefault="00193FED" w:rsidP="00193FED">
            <w:pPr>
              <w:pStyle w:val="NoSpacing"/>
            </w:pPr>
            <w:r w:rsidRPr="009C5B5C">
              <w:t xml:space="preserve">Verizon </w:t>
            </w:r>
            <w:r>
              <w:t xml:space="preserve">Washington </w:t>
            </w:r>
            <w:r w:rsidRPr="009C5B5C">
              <w:t>operation which Frontier will acquire in the proposed transaction</w:t>
            </w:r>
            <w:r w:rsidRPr="009C5B5C">
              <w:rPr>
                <w:rStyle w:val="FootnoteReference"/>
              </w:rPr>
              <w:footnoteReference w:id="11"/>
            </w:r>
          </w:p>
        </w:tc>
        <w:tc>
          <w:tcPr>
            <w:tcW w:w="2610" w:type="dxa"/>
            <w:tcBorders>
              <w:right w:val="nil"/>
            </w:tcBorders>
          </w:tcPr>
          <w:p w:rsidR="00193FED" w:rsidRPr="00C65FCC" w:rsidRDefault="00E32A0D" w:rsidP="00193FED">
            <w:pPr>
              <w:pStyle w:val="NoSpacing"/>
              <w:jc w:val="center"/>
              <w:rPr>
                <w:b/>
              </w:rPr>
            </w:pPr>
            <w:r w:rsidRPr="00E32A0D">
              <w:rPr>
                <w:b/>
                <w:highlight w:val="black"/>
              </w:rPr>
              <w:t>XXX</w:t>
            </w:r>
          </w:p>
        </w:tc>
        <w:tc>
          <w:tcPr>
            <w:tcW w:w="2430" w:type="dxa"/>
            <w:tcBorders>
              <w:left w:val="nil"/>
            </w:tcBorders>
          </w:tcPr>
          <w:p w:rsidR="00193FED" w:rsidRPr="009C5B5C" w:rsidRDefault="00193FED" w:rsidP="00193FED">
            <w:pPr>
              <w:pStyle w:val="NoSpacing"/>
            </w:pPr>
            <w:r>
              <w:t>(</w:t>
            </w:r>
            <w:r w:rsidRPr="009C5B5C">
              <w:t>February 2009</w:t>
            </w:r>
            <w:r>
              <w:t>)</w:t>
            </w:r>
          </w:p>
        </w:tc>
      </w:tr>
    </w:tbl>
    <w:p w:rsidR="00193FED" w:rsidRPr="009C5B5C" w:rsidRDefault="00193FED" w:rsidP="00193FED">
      <w:pPr>
        <w:pStyle w:val="NoSpacing"/>
        <w:spacing w:line="480" w:lineRule="auto"/>
      </w:pPr>
    </w:p>
    <w:p w:rsidR="00193FED" w:rsidRPr="009C5B5C" w:rsidRDefault="00193FED" w:rsidP="00DD2016">
      <w:pPr>
        <w:pStyle w:val="NoSpacing"/>
        <w:spacing w:line="480" w:lineRule="auto"/>
        <w:ind w:left="720" w:hanging="720"/>
        <w:rPr>
          <w:b/>
        </w:rPr>
      </w:pPr>
      <w:r>
        <w:rPr>
          <w:b/>
        </w:rPr>
        <w:t>Q.</w:t>
      </w:r>
      <w:r>
        <w:rPr>
          <w:b/>
        </w:rPr>
        <w:tab/>
      </w:r>
      <w:r w:rsidRPr="009C5B5C">
        <w:rPr>
          <w:b/>
        </w:rPr>
        <w:t xml:space="preserve">Did the </w:t>
      </w:r>
      <w:r>
        <w:rPr>
          <w:b/>
        </w:rPr>
        <w:t>J</w:t>
      </w:r>
      <w:r w:rsidRPr="009C5B5C">
        <w:rPr>
          <w:b/>
        </w:rPr>
        <w:t xml:space="preserve">oint </w:t>
      </w:r>
      <w:r>
        <w:rPr>
          <w:b/>
        </w:rPr>
        <w:t>A</w:t>
      </w:r>
      <w:r w:rsidRPr="009C5B5C">
        <w:rPr>
          <w:b/>
        </w:rPr>
        <w:t xml:space="preserve">pplicants make tangible commitments </w:t>
      </w:r>
      <w:r>
        <w:rPr>
          <w:b/>
        </w:rPr>
        <w:t>for</w:t>
      </w:r>
      <w:r w:rsidRPr="009C5B5C">
        <w:rPr>
          <w:b/>
        </w:rPr>
        <w:t xml:space="preserve"> future broadband deployment? </w:t>
      </w:r>
    </w:p>
    <w:p w:rsidR="00DD2016" w:rsidRDefault="00193FED" w:rsidP="00DD2016">
      <w:pPr>
        <w:pStyle w:val="NoSpacing"/>
        <w:spacing w:line="480" w:lineRule="auto"/>
        <w:ind w:left="720" w:hanging="720"/>
        <w:sectPr w:rsidR="00DD2016" w:rsidSect="004B1C98">
          <w:footerReference w:type="default" r:id="rId13"/>
          <w:pgSz w:w="12240" w:h="15840"/>
          <w:pgMar w:top="1440" w:right="1440" w:bottom="1440" w:left="1872" w:header="720" w:footer="720" w:gutter="0"/>
          <w:lnNumType w:countBy="1"/>
          <w:cols w:space="720"/>
          <w:docGrid w:linePitch="360"/>
        </w:sectPr>
      </w:pPr>
      <w:r>
        <w:t>A.</w:t>
      </w:r>
      <w:r>
        <w:tab/>
      </w:r>
      <w:r w:rsidRPr="009C5B5C">
        <w:t>No</w:t>
      </w:r>
      <w:r>
        <w:t>.  E</w:t>
      </w:r>
      <w:r w:rsidRPr="009C5B5C">
        <w:t xml:space="preserve">ven though the Joint Applicants claim that future broadband deployment will </w:t>
      </w:r>
      <w:r>
        <w:t xml:space="preserve">be a great </w:t>
      </w:r>
      <w:r w:rsidRPr="009C5B5C">
        <w:t>consumer benefit after the transaction is completed</w:t>
      </w:r>
      <w:r>
        <w:t>,</w:t>
      </w:r>
      <w:r w:rsidRPr="009C5B5C">
        <w:t xml:space="preserve"> Frontier has not provided any </w:t>
      </w:r>
      <w:r>
        <w:t>enforceable</w:t>
      </w:r>
      <w:r w:rsidRPr="009C5B5C">
        <w:t xml:space="preserve"> commitments.  So far, Frontier has not provided any cost estimate or project studies with regard to broadband deployment in the state.  Frontier indicated that it has not prepared any business case analyses or capital plans; </w:t>
      </w:r>
    </w:p>
    <w:p w:rsidR="00193FED" w:rsidRPr="009C5B5C" w:rsidRDefault="00193FED" w:rsidP="00DD2016">
      <w:pPr>
        <w:pStyle w:val="NoSpacing"/>
        <w:spacing w:line="480" w:lineRule="auto"/>
        <w:ind w:left="720"/>
      </w:pPr>
      <w:proofErr w:type="gramStart"/>
      <w:r w:rsidRPr="009C5B5C">
        <w:lastRenderedPageBreak/>
        <w:t>it</w:t>
      </w:r>
      <w:proofErr w:type="gramEnd"/>
      <w:r w:rsidRPr="009C5B5C">
        <w:t xml:space="preserve"> has not developed a timeline for increasing broadband availability in the acquired properties; it has not reviewed Verizon’s Washington broadband plans nor has it inspected Verizon’s infrastructure for broadband capabilities.</w:t>
      </w:r>
      <w:r w:rsidRPr="009C5B5C">
        <w:rPr>
          <w:rStyle w:val="FootnoteReference"/>
        </w:rPr>
        <w:footnoteReference w:id="12"/>
      </w:r>
      <w:r w:rsidRPr="009C5B5C">
        <w:t xml:space="preserve">  Neither company applied for the federal broadband stimulus fund, nor have they determined whether they would apply in the future. </w:t>
      </w:r>
    </w:p>
    <w:p w:rsidR="00193FED" w:rsidRPr="009C5B5C" w:rsidRDefault="00193FED" w:rsidP="00DD2016">
      <w:pPr>
        <w:pStyle w:val="NoSpacing"/>
        <w:spacing w:line="480" w:lineRule="auto"/>
        <w:ind w:left="720" w:hanging="720"/>
      </w:pPr>
    </w:p>
    <w:p w:rsidR="00193FED" w:rsidRPr="009C5B5C" w:rsidRDefault="00193FED" w:rsidP="00DD2016">
      <w:pPr>
        <w:pStyle w:val="NoSpacing"/>
        <w:spacing w:line="480" w:lineRule="auto"/>
        <w:ind w:left="720" w:hanging="720"/>
        <w:rPr>
          <w:b/>
        </w:rPr>
      </w:pPr>
      <w:r>
        <w:rPr>
          <w:b/>
        </w:rPr>
        <w:t>Q.</w:t>
      </w:r>
      <w:r>
        <w:rPr>
          <w:b/>
        </w:rPr>
        <w:tab/>
      </w:r>
      <w:r w:rsidRPr="009C5B5C">
        <w:rPr>
          <w:b/>
        </w:rPr>
        <w:t xml:space="preserve">What is </w:t>
      </w:r>
      <w:r>
        <w:rPr>
          <w:b/>
        </w:rPr>
        <w:t>your</w:t>
      </w:r>
      <w:r w:rsidRPr="009C5B5C">
        <w:rPr>
          <w:b/>
        </w:rPr>
        <w:t xml:space="preserve"> recommended condition </w:t>
      </w:r>
      <w:r>
        <w:rPr>
          <w:b/>
        </w:rPr>
        <w:t>for</w:t>
      </w:r>
      <w:r w:rsidRPr="009C5B5C">
        <w:rPr>
          <w:b/>
        </w:rPr>
        <w:t xml:space="preserve"> Frontier’s overall broadband deployment in Washington? </w:t>
      </w:r>
    </w:p>
    <w:p w:rsidR="00193FED" w:rsidRPr="009C5B5C" w:rsidRDefault="00193FED" w:rsidP="00DD2016">
      <w:pPr>
        <w:pStyle w:val="NoSpacing"/>
        <w:spacing w:line="480" w:lineRule="auto"/>
        <w:ind w:left="720" w:hanging="720"/>
      </w:pPr>
      <w:r>
        <w:t>A.</w:t>
      </w:r>
      <w:r>
        <w:tab/>
        <w:t>If</w:t>
      </w:r>
      <w:r w:rsidRPr="009C5B5C">
        <w:t xml:space="preserve"> the Commission approve</w:t>
      </w:r>
      <w:r>
        <w:t>s</w:t>
      </w:r>
      <w:r w:rsidRPr="009C5B5C">
        <w:t xml:space="preserve"> the transaction, </w:t>
      </w:r>
      <w:r>
        <w:t xml:space="preserve">it should require </w:t>
      </w:r>
      <w:r w:rsidRPr="009C5B5C">
        <w:t xml:space="preserve">the company to </w:t>
      </w:r>
      <w:r>
        <w:t xml:space="preserve">provide </w:t>
      </w:r>
      <w:r w:rsidRPr="00975E9F">
        <w:t xml:space="preserve">broadband to 95 percent of its customers, using DSL, </w:t>
      </w:r>
      <w:proofErr w:type="spellStart"/>
      <w:r w:rsidRPr="00975E9F">
        <w:t>FTTP</w:t>
      </w:r>
      <w:proofErr w:type="spellEnd"/>
      <w:r w:rsidRPr="00975E9F">
        <w:t xml:space="preserve"> or functionally equivalent technologies, by the end of 2013.  The company should be required to meet the milestone of 75 percent broadband availability by December 31, 2010, 85 percent milestone by December 31, 2011, 90 percent milestone by December 31, 2012, and finally 95 percent milestone by December 31, 2013.  This condition will ensure the consumer benefits that Frontier promises with respect to broadband expansion will actually come</w:t>
      </w:r>
      <w:r>
        <w:t xml:space="preserve"> to fruition. </w:t>
      </w:r>
    </w:p>
    <w:p w:rsidR="00DD2016" w:rsidRDefault="00193FED" w:rsidP="00DD2016">
      <w:pPr>
        <w:pStyle w:val="NoSpacing"/>
        <w:spacing w:line="480" w:lineRule="auto"/>
        <w:ind w:left="720" w:firstLine="720"/>
        <w:sectPr w:rsidR="00DD2016" w:rsidSect="004B1C98">
          <w:footerReference w:type="default" r:id="rId14"/>
          <w:pgSz w:w="12240" w:h="15840"/>
          <w:pgMar w:top="1440" w:right="1440" w:bottom="1440" w:left="1872" w:header="720" w:footer="720" w:gutter="0"/>
          <w:lnNumType w:countBy="1"/>
          <w:cols w:space="720"/>
          <w:docGrid w:linePitch="360"/>
        </w:sectPr>
      </w:pPr>
      <w:r w:rsidRPr="009C5B5C">
        <w:t>The speed</w:t>
      </w:r>
      <w:r>
        <w:t xml:space="preserve"> capability</w:t>
      </w:r>
      <w:r w:rsidRPr="009C5B5C">
        <w:t xml:space="preserve"> of the broadband </w:t>
      </w:r>
      <w:r>
        <w:t xml:space="preserve">Frontier provides </w:t>
      </w:r>
      <w:r w:rsidRPr="009C5B5C">
        <w:t xml:space="preserve">should not be lower than the lowest </w:t>
      </w:r>
      <w:r>
        <w:t xml:space="preserve">DSL </w:t>
      </w:r>
      <w:r w:rsidRPr="009C5B5C">
        <w:t xml:space="preserve">speed that </w:t>
      </w:r>
      <w:r>
        <w:t>Verizon</w:t>
      </w:r>
      <w:r w:rsidRPr="009C5B5C">
        <w:t xml:space="preserve"> currently offers, which is 1 megabits per second </w:t>
      </w:r>
      <w:r>
        <w:t xml:space="preserve">(Mbps) </w:t>
      </w:r>
      <w:r w:rsidRPr="009C5B5C">
        <w:t>for</w:t>
      </w:r>
      <w:r>
        <w:t xml:space="preserve"> </w:t>
      </w:r>
      <w:r w:rsidRPr="009C5B5C">
        <w:t xml:space="preserve">downloading and </w:t>
      </w:r>
      <w:r>
        <w:t>384</w:t>
      </w:r>
      <w:r w:rsidRPr="009C5B5C">
        <w:t xml:space="preserve"> kilobits per second </w:t>
      </w:r>
      <w:r>
        <w:t xml:space="preserve">(kbps) </w:t>
      </w:r>
      <w:r w:rsidRPr="009C5B5C">
        <w:t>for uploading.</w:t>
      </w:r>
      <w:r w:rsidRPr="009C5B5C">
        <w:rPr>
          <w:rStyle w:val="FootnoteReference"/>
        </w:rPr>
        <w:footnoteReference w:id="13"/>
      </w:r>
      <w:r w:rsidRPr="009C5B5C">
        <w:t xml:space="preserve"> </w:t>
      </w:r>
      <w:r>
        <w:t xml:space="preserve"> While Frontier may offer a lower-end product to attract more customers, it must </w:t>
      </w:r>
    </w:p>
    <w:p w:rsidR="00193FED" w:rsidRDefault="00193FED" w:rsidP="00DD2016">
      <w:pPr>
        <w:pStyle w:val="NoSpacing"/>
        <w:spacing w:line="480" w:lineRule="auto"/>
        <w:ind w:left="720"/>
      </w:pPr>
      <w:proofErr w:type="gramStart"/>
      <w:r>
        <w:lastRenderedPageBreak/>
        <w:t>modify</w:t>
      </w:r>
      <w:proofErr w:type="gramEnd"/>
      <w:r>
        <w:t xml:space="preserve"> all subscriber lines to meet the </w:t>
      </w:r>
      <w:proofErr w:type="spellStart"/>
      <w:r>
        <w:t>1Mbps</w:t>
      </w:r>
      <w:proofErr w:type="spellEnd"/>
      <w:r>
        <w:t xml:space="preserve"> /384 kbps minimum capacity so that such capacity will be available to any customers who request it. </w:t>
      </w:r>
    </w:p>
    <w:p w:rsidR="00193FED" w:rsidRPr="009C5B5C" w:rsidRDefault="00193FED" w:rsidP="00DD2016">
      <w:pPr>
        <w:pStyle w:val="NoSpacing"/>
        <w:spacing w:line="480" w:lineRule="auto"/>
        <w:ind w:left="720" w:hanging="720"/>
      </w:pPr>
    </w:p>
    <w:p w:rsidR="00193FED" w:rsidRPr="009C5B5C" w:rsidRDefault="00193FED" w:rsidP="00DD2016">
      <w:pPr>
        <w:pStyle w:val="NoSpacing"/>
        <w:spacing w:line="480" w:lineRule="auto"/>
        <w:ind w:left="720" w:hanging="720"/>
        <w:rPr>
          <w:b/>
        </w:rPr>
      </w:pPr>
      <w:r>
        <w:rPr>
          <w:b/>
        </w:rPr>
        <w:t>Q.</w:t>
      </w:r>
      <w:r>
        <w:rPr>
          <w:b/>
        </w:rPr>
        <w:tab/>
      </w:r>
      <w:r w:rsidRPr="009C5B5C">
        <w:rPr>
          <w:b/>
        </w:rPr>
        <w:t xml:space="preserve">What is the basis of your recommended DSL availability ratio? </w:t>
      </w:r>
    </w:p>
    <w:p w:rsidR="00DD2016" w:rsidRDefault="00193FED" w:rsidP="00DD2016">
      <w:pPr>
        <w:pStyle w:val="NoSpacing"/>
        <w:spacing w:line="480" w:lineRule="auto"/>
        <w:ind w:left="720" w:hanging="720"/>
      </w:pPr>
      <w:r>
        <w:t>A.</w:t>
      </w:r>
      <w:r>
        <w:tab/>
        <w:t>The</w:t>
      </w:r>
      <w:r w:rsidRPr="009C5B5C">
        <w:t xml:space="preserve"> 95 percent </w:t>
      </w:r>
      <w:r>
        <w:t>broadband</w:t>
      </w:r>
      <w:r w:rsidRPr="009C5B5C">
        <w:t xml:space="preserve"> availability rate is </w:t>
      </w:r>
      <w:r>
        <w:t xml:space="preserve">a </w:t>
      </w:r>
      <w:r w:rsidRPr="009C5B5C">
        <w:t>reasonable</w:t>
      </w:r>
      <w:r>
        <w:t xml:space="preserve"> goal</w:t>
      </w:r>
      <w:r w:rsidRPr="009C5B5C">
        <w:t xml:space="preserve">.  Frontier has experience in deploying broadband to over </w:t>
      </w:r>
      <w:r w:rsidRPr="00A67EDD">
        <w:t>90 percent</w:t>
      </w:r>
      <w:r w:rsidRPr="009C5B5C">
        <w:t xml:space="preserve"> of the households in its existing service territory.  Frontier has deployed DSL service in 99.3 percent of the company’s host and remote switches; it is able to serve over 90 percent of the local exchange customers with broadband capacity</w:t>
      </w:r>
      <w:r w:rsidRPr="000B1032">
        <w:t xml:space="preserve"> </w:t>
      </w:r>
      <w:r w:rsidRPr="009C5B5C">
        <w:t>on the national basis.</w:t>
      </w:r>
      <w:r w:rsidRPr="009C5B5C">
        <w:rPr>
          <w:rStyle w:val="FootnoteReference"/>
        </w:rPr>
        <w:footnoteReference w:id="14"/>
      </w:r>
      <w:r w:rsidRPr="009C5B5C">
        <w:t xml:space="preserve">  For the proposed merger, it is Frontier’s goal “to approach the levels of broadband availability and subscribership in these areas that more nearly approximate those achieved in Frontier’s service territories today.”</w:t>
      </w:r>
      <w:r w:rsidRPr="009C5B5C">
        <w:rPr>
          <w:rStyle w:val="FootnoteReference"/>
        </w:rPr>
        <w:footnoteReference w:id="15"/>
      </w:r>
      <w:r w:rsidRPr="009C5B5C">
        <w:t xml:space="preserve">  </w:t>
      </w:r>
      <w:proofErr w:type="spellStart"/>
      <w:r w:rsidR="00E32A0D" w:rsidRPr="00E32A0D">
        <w:rPr>
          <w:highlight w:val="black"/>
        </w:rPr>
        <w:t>XXXXX</w:t>
      </w:r>
      <w:proofErr w:type="spellEnd"/>
      <w:r w:rsidRPr="009C5B5C">
        <w:t xml:space="preserve"> </w:t>
      </w:r>
      <w:r w:rsidRPr="00A474B6">
        <w:t>out of</w:t>
      </w:r>
      <w:r w:rsidR="00E32A0D">
        <w:rPr>
          <w:b/>
        </w:rPr>
        <w:t xml:space="preserve"> </w:t>
      </w:r>
      <w:r w:rsidR="00E32A0D" w:rsidRPr="00E32A0D">
        <w:rPr>
          <w:b/>
          <w:highlight w:val="black"/>
        </w:rPr>
        <w:t>XX</w:t>
      </w:r>
      <w:r w:rsidRPr="009C5B5C">
        <w:t xml:space="preserve"> GTE operations Frontier acquired </w:t>
      </w:r>
      <w:r>
        <w:t xml:space="preserve">over years have </w:t>
      </w:r>
      <w:r w:rsidRPr="009C5B5C">
        <w:t xml:space="preserve">reached </w:t>
      </w:r>
      <w:proofErr w:type="gramStart"/>
      <w:r>
        <w:t>at least</w:t>
      </w:r>
      <w:r w:rsidRPr="009C5B5C">
        <w:t xml:space="preserve"> 90 percent </w:t>
      </w:r>
      <w:r>
        <w:t xml:space="preserve">state-wide </w:t>
      </w:r>
      <w:r w:rsidRPr="009C5B5C">
        <w:t>broadband availability as of March 2009</w:t>
      </w:r>
      <w:proofErr w:type="gramEnd"/>
      <w:r w:rsidRPr="009C5B5C">
        <w:t>.</w:t>
      </w:r>
      <w:r w:rsidRPr="009C5B5C">
        <w:rPr>
          <w:rStyle w:val="FootnoteReference"/>
        </w:rPr>
        <w:footnoteReference w:id="16"/>
      </w:r>
      <w:r w:rsidRPr="009C5B5C">
        <w:t xml:space="preserve">  In 24 states where Frontier currently operates, the average percent of DSL availability is </w:t>
      </w:r>
      <w:r w:rsidR="00E32A0D" w:rsidRPr="00E32A0D">
        <w:rPr>
          <w:b/>
          <w:highlight w:val="black"/>
          <w:u w:val="single"/>
        </w:rPr>
        <w:t>XXX</w:t>
      </w:r>
      <w:r>
        <w:rPr>
          <w:b/>
        </w:rPr>
        <w:t xml:space="preserve"> </w:t>
      </w:r>
      <w:r w:rsidRPr="00A474B6">
        <w:t xml:space="preserve">percent </w:t>
      </w:r>
      <w:r w:rsidRPr="00B27274">
        <w:t>as of March</w:t>
      </w:r>
      <w:r>
        <w:t xml:space="preserve"> 31</w:t>
      </w:r>
      <w:r w:rsidRPr="00B27274">
        <w:t>, 2009</w:t>
      </w:r>
      <w:r>
        <w:t>.</w:t>
      </w:r>
      <w:r w:rsidRPr="001E0E06">
        <w:rPr>
          <w:rStyle w:val="FootnoteReference"/>
        </w:rPr>
        <w:footnoteReference w:id="17"/>
      </w:r>
      <w:r w:rsidRPr="001E0E06">
        <w:t xml:space="preserve">  </w:t>
      </w:r>
      <w:r w:rsidRPr="009C5B5C">
        <w:t xml:space="preserve">The 95 percent target will also </w:t>
      </w:r>
      <w:r>
        <w:t>put</w:t>
      </w:r>
      <w:r w:rsidRPr="009C5B5C">
        <w:t xml:space="preserve"> </w:t>
      </w:r>
      <w:r>
        <w:t>Frontier on par</w:t>
      </w:r>
      <w:r w:rsidRPr="009C5B5C">
        <w:t xml:space="preserve"> with Qwest, Embarq and CenturyTel’s DSL </w:t>
      </w:r>
      <w:r>
        <w:t>deployment</w:t>
      </w:r>
      <w:r w:rsidRPr="009C5B5C">
        <w:t xml:space="preserve"> level in Washington</w:t>
      </w:r>
      <w:r>
        <w:t xml:space="preserve"> in the next four years</w:t>
      </w:r>
      <w:r w:rsidRPr="009C5B5C">
        <w:t>.</w:t>
      </w:r>
    </w:p>
    <w:p w:rsidR="00193FED" w:rsidRPr="009C5B5C" w:rsidRDefault="00193FED" w:rsidP="00DD2016">
      <w:pPr>
        <w:pStyle w:val="NoSpacing"/>
        <w:spacing w:line="480" w:lineRule="auto"/>
        <w:ind w:left="720" w:hanging="720"/>
      </w:pPr>
      <w:r w:rsidRPr="009C5B5C">
        <w:t xml:space="preserve">  </w:t>
      </w:r>
    </w:p>
    <w:p w:rsidR="00193FED" w:rsidRPr="009C5B5C" w:rsidRDefault="00193FED" w:rsidP="00DD2016">
      <w:pPr>
        <w:pStyle w:val="NoSpacing"/>
        <w:keepNext/>
        <w:keepLines/>
        <w:spacing w:line="480" w:lineRule="auto"/>
        <w:ind w:left="720" w:hanging="720"/>
        <w:rPr>
          <w:b/>
        </w:rPr>
      </w:pPr>
      <w:r>
        <w:rPr>
          <w:b/>
        </w:rPr>
        <w:lastRenderedPageBreak/>
        <w:t>Q.</w:t>
      </w:r>
      <w:r>
        <w:rPr>
          <w:b/>
        </w:rPr>
        <w:tab/>
      </w:r>
      <w:r w:rsidRPr="009C5B5C">
        <w:rPr>
          <w:b/>
        </w:rPr>
        <w:t xml:space="preserve">What is the basis of your recommended DSL availability timeframe? </w:t>
      </w:r>
    </w:p>
    <w:p w:rsidR="00193FED" w:rsidRPr="009C5B5C" w:rsidRDefault="00193FED" w:rsidP="00DD2016">
      <w:pPr>
        <w:pStyle w:val="NoSpacing"/>
        <w:keepNext/>
        <w:keepLines/>
        <w:spacing w:line="480" w:lineRule="auto"/>
        <w:ind w:left="720" w:hanging="720"/>
      </w:pPr>
      <w:r>
        <w:t>A.</w:t>
      </w:r>
      <w:r>
        <w:tab/>
      </w:r>
      <w:r w:rsidRPr="009C5B5C">
        <w:t>The four year time frame is reasonable based on several considerations.</w:t>
      </w:r>
      <w:r>
        <w:t xml:space="preserve">  </w:t>
      </w:r>
      <w:r w:rsidRPr="009C5B5C">
        <w:t xml:space="preserve">One, Frontier has made broadband available to over 90 percent of </w:t>
      </w:r>
      <w:r>
        <w:t>its customers</w:t>
      </w:r>
      <w:r w:rsidRPr="009C5B5C">
        <w:t xml:space="preserve"> that it serves nation-wide over the last eight years.</w:t>
      </w:r>
      <w:r w:rsidRPr="009C5B5C">
        <w:rPr>
          <w:rStyle w:val="FootnoteReference"/>
        </w:rPr>
        <w:footnoteReference w:id="18"/>
      </w:r>
      <w:r w:rsidRPr="009C5B5C">
        <w:t xml:space="preserve">  However, technologies have advanced in recent years that can reduce the broadband deployment costs.  </w:t>
      </w:r>
      <w:r>
        <w:t xml:space="preserve">Frontier also has been using some cost-effective solutions for extending DSL to customers such as pole mounted </w:t>
      </w:r>
      <w:proofErr w:type="spellStart"/>
      <w:r>
        <w:t>DSLAM</w:t>
      </w:r>
      <w:proofErr w:type="spellEnd"/>
      <w:r>
        <w:t xml:space="preserve"> or pad mounted cabinets.</w:t>
      </w:r>
      <w:r>
        <w:rPr>
          <w:rStyle w:val="FootnoteReference"/>
        </w:rPr>
        <w:footnoteReference w:id="19"/>
      </w:r>
      <w:r>
        <w:t xml:space="preserve">  </w:t>
      </w:r>
      <w:r w:rsidRPr="009C5B5C">
        <w:t>Besides, the average line density in the current Verizon territories</w:t>
      </w:r>
      <w:r>
        <w:t xml:space="preserve"> (35 access lines per square miles)</w:t>
      </w:r>
      <w:r w:rsidRPr="009C5B5C">
        <w:t xml:space="preserve"> is much higher than Frontier’s current territories</w:t>
      </w:r>
      <w:r>
        <w:t xml:space="preserve"> (17 access lines per square miles)</w:t>
      </w:r>
      <w:r w:rsidRPr="009C5B5C">
        <w:t>.</w:t>
      </w:r>
      <w:r w:rsidRPr="009C5B5C">
        <w:rPr>
          <w:rStyle w:val="FootnoteReference"/>
        </w:rPr>
        <w:footnoteReference w:id="20"/>
      </w:r>
      <w:r w:rsidRPr="009C5B5C">
        <w:t xml:space="preserve">  Frontier will have a higher DSL availability rate to begin with in Washington (</w:t>
      </w:r>
      <w:r w:rsidR="00E32A0D" w:rsidRPr="00E32A0D">
        <w:rPr>
          <w:b/>
          <w:highlight w:val="black"/>
          <w:u w:val="single"/>
        </w:rPr>
        <w:t>XX</w:t>
      </w:r>
      <w:r w:rsidRPr="00193FED">
        <w:rPr>
          <w:b/>
        </w:rPr>
        <w:t xml:space="preserve"> </w:t>
      </w:r>
      <w:r w:rsidRPr="00A474B6">
        <w:t>percent</w:t>
      </w:r>
      <w:r w:rsidRPr="00325E57">
        <w:rPr>
          <w:rStyle w:val="FootnoteReference"/>
        </w:rPr>
        <w:footnoteReference w:id="21"/>
      </w:r>
      <w:r w:rsidRPr="00325E57">
        <w:t>)</w:t>
      </w:r>
      <w:r w:rsidRPr="009C5B5C">
        <w:t xml:space="preserve"> than other states where Frontier is acquiring (60 percent</w:t>
      </w:r>
      <w:r>
        <w:t xml:space="preserve"> average</w:t>
      </w:r>
      <w:r>
        <w:rPr>
          <w:rStyle w:val="FootnoteReference"/>
        </w:rPr>
        <w:footnoteReference w:id="22"/>
      </w:r>
      <w:r w:rsidRPr="009C5B5C">
        <w:t>).</w:t>
      </w:r>
    </w:p>
    <w:p w:rsidR="00193FED" w:rsidRPr="009C5B5C" w:rsidRDefault="00193FED" w:rsidP="00DD2016">
      <w:pPr>
        <w:pStyle w:val="NoSpacing"/>
        <w:spacing w:line="480" w:lineRule="auto"/>
        <w:ind w:left="720" w:hanging="720"/>
      </w:pPr>
    </w:p>
    <w:p w:rsidR="00193FED" w:rsidRPr="009C5B5C" w:rsidRDefault="00193FED" w:rsidP="00DD2016">
      <w:pPr>
        <w:pStyle w:val="NoSpacing"/>
        <w:spacing w:line="480" w:lineRule="auto"/>
        <w:ind w:left="720" w:hanging="720"/>
        <w:rPr>
          <w:b/>
        </w:rPr>
      </w:pPr>
      <w:r>
        <w:rPr>
          <w:b/>
        </w:rPr>
        <w:t>Q.</w:t>
      </w:r>
      <w:r>
        <w:rPr>
          <w:b/>
        </w:rPr>
        <w:tab/>
      </w:r>
      <w:r w:rsidRPr="009C5B5C">
        <w:rPr>
          <w:b/>
        </w:rPr>
        <w:t>Why do you advocate a percent target for broadband availability rather than a capital expenditure target?</w:t>
      </w:r>
    </w:p>
    <w:p w:rsidR="00DD2016" w:rsidRDefault="00193FED" w:rsidP="00DD2016">
      <w:pPr>
        <w:pStyle w:val="NoSpacing"/>
        <w:spacing w:line="480" w:lineRule="auto"/>
        <w:ind w:left="720" w:hanging="720"/>
        <w:sectPr w:rsidR="00DD2016" w:rsidSect="004B1C98">
          <w:footerReference w:type="default" r:id="rId15"/>
          <w:pgSz w:w="12240" w:h="15840"/>
          <w:pgMar w:top="1440" w:right="1440" w:bottom="1440" w:left="1872" w:header="720" w:footer="720" w:gutter="0"/>
          <w:lnNumType w:countBy="1"/>
          <w:cols w:space="720"/>
          <w:docGrid w:linePitch="360"/>
        </w:sectPr>
      </w:pPr>
      <w:r>
        <w:t>A.</w:t>
      </w:r>
      <w:r>
        <w:tab/>
      </w:r>
      <w:r w:rsidRPr="009C5B5C">
        <w:t xml:space="preserve">As reflected in the Qwest </w:t>
      </w:r>
      <w:proofErr w:type="spellStart"/>
      <w:r w:rsidRPr="009C5B5C">
        <w:t>AFOR</w:t>
      </w:r>
      <w:proofErr w:type="spellEnd"/>
      <w:r w:rsidRPr="009C5B5C">
        <w:t xml:space="preserve"> proceeding and the Embarq-CenturyTel merger proceeding, determining the appropriate target for spending on </w:t>
      </w:r>
      <w:r>
        <w:t>broadband</w:t>
      </w:r>
      <w:r w:rsidRPr="009C5B5C">
        <w:t xml:space="preserve"> deployment is a difficult task.  In the Qwest </w:t>
      </w:r>
      <w:proofErr w:type="spellStart"/>
      <w:r w:rsidRPr="009C5B5C">
        <w:t>AFOR</w:t>
      </w:r>
      <w:proofErr w:type="spellEnd"/>
      <w:r w:rsidRPr="009C5B5C">
        <w:t xml:space="preserve"> proceeding, the Commission stated that neither Qwest nor Public Counsel provided studies on the costs of additional DSL deployment o</w:t>
      </w:r>
      <w:r>
        <w:t xml:space="preserve">r on future customer subscribership rate and </w:t>
      </w:r>
      <w:r w:rsidRPr="009C5B5C">
        <w:t xml:space="preserve">that $4 </w:t>
      </w:r>
    </w:p>
    <w:p w:rsidR="00193FED" w:rsidRPr="009C5B5C" w:rsidRDefault="00193FED" w:rsidP="00DD2016">
      <w:pPr>
        <w:pStyle w:val="NoSpacing"/>
        <w:spacing w:line="480" w:lineRule="auto"/>
        <w:ind w:left="720"/>
      </w:pPr>
      <w:proofErr w:type="gramStart"/>
      <w:r w:rsidRPr="009C5B5C">
        <w:lastRenderedPageBreak/>
        <w:t>million</w:t>
      </w:r>
      <w:proofErr w:type="gramEnd"/>
      <w:r w:rsidRPr="009C5B5C">
        <w:t xml:space="preserve"> </w:t>
      </w:r>
      <w:r>
        <w:t>was</w:t>
      </w:r>
      <w:r w:rsidRPr="009C5B5C">
        <w:t xml:space="preserve"> a reasonably necessary commitment but not a calculation of precision.</w:t>
      </w:r>
      <w:r w:rsidRPr="009C5B5C">
        <w:rPr>
          <w:rStyle w:val="FootnoteReference"/>
        </w:rPr>
        <w:footnoteReference w:id="23"/>
      </w:r>
      <w:r w:rsidRPr="009C5B5C">
        <w:t xml:space="preserve">  In the Embarq-CenturyTel merger proceeding, the Commission acknowledged that the expansion of DSL availability to 2200 customers seems a very modest benefit in expectation of $400 million </w:t>
      </w:r>
      <w:r>
        <w:t xml:space="preserve">company-wide </w:t>
      </w:r>
      <w:r w:rsidRPr="009C5B5C">
        <w:t>annual merger synergy savings; and that the public interest demands more flow through of the merger benefits.</w:t>
      </w:r>
      <w:r w:rsidRPr="009C5B5C">
        <w:rPr>
          <w:rStyle w:val="FootnoteReference"/>
        </w:rPr>
        <w:footnoteReference w:id="24"/>
      </w:r>
    </w:p>
    <w:p w:rsidR="00193FED" w:rsidRPr="009C5B5C" w:rsidRDefault="00193FED" w:rsidP="00DD2016">
      <w:pPr>
        <w:pStyle w:val="NoSpacing"/>
        <w:spacing w:line="480" w:lineRule="auto"/>
        <w:ind w:left="720" w:hanging="720"/>
      </w:pPr>
      <w:r>
        <w:tab/>
      </w:r>
      <w:r w:rsidRPr="009C5B5C">
        <w:t xml:space="preserve">Likewise, in this case, it is hard to decide what percent of the merger synergy gains, if any, should be allocated to </w:t>
      </w:r>
      <w:r>
        <w:t>broadband</w:t>
      </w:r>
      <w:r w:rsidRPr="009C5B5C">
        <w:t xml:space="preserve"> deployment in </w:t>
      </w:r>
      <w:r>
        <w:t>Washington</w:t>
      </w:r>
      <w:r w:rsidRPr="009C5B5C">
        <w:t xml:space="preserve">.  It is also difficult to estimate the costs of </w:t>
      </w:r>
      <w:r>
        <w:t>broadband deployment</w:t>
      </w:r>
      <w:r w:rsidRPr="009C5B5C">
        <w:t xml:space="preserve">.  Frontier </w:t>
      </w:r>
      <w:r>
        <w:t>provided an estimate of</w:t>
      </w:r>
      <w:r w:rsidRPr="009C5B5C">
        <w:t xml:space="preserve"> deploy</w:t>
      </w:r>
      <w:r>
        <w:t>ing</w:t>
      </w:r>
      <w:r w:rsidRPr="009C5B5C">
        <w:t xml:space="preserve"> broadband to approximately 85 percent of the households in the Verizon’s Washington exchanges, but </w:t>
      </w:r>
      <w:r>
        <w:t>this</w:t>
      </w:r>
      <w:r w:rsidRPr="009C5B5C">
        <w:t xml:space="preserve"> was a rough estimate based on very broad assumptions and did not involve even </w:t>
      </w:r>
      <w:r>
        <w:t xml:space="preserve">a </w:t>
      </w:r>
      <w:r w:rsidRPr="009C5B5C">
        <w:t>preliminary field survey.</w:t>
      </w:r>
      <w:r w:rsidRPr="009C5B5C" w:rsidDel="009E30E4">
        <w:rPr>
          <w:rStyle w:val="FootnoteReference"/>
        </w:rPr>
        <w:t xml:space="preserve"> </w:t>
      </w:r>
      <w:r w:rsidRPr="009C5B5C">
        <w:t xml:space="preserve">  In addition, the company will receive increased end-user revenue from </w:t>
      </w:r>
      <w:r>
        <w:t>broadband</w:t>
      </w:r>
      <w:r w:rsidRPr="009C5B5C">
        <w:t xml:space="preserve"> services.  Future </w:t>
      </w:r>
      <w:r>
        <w:t>broadband</w:t>
      </w:r>
      <w:r w:rsidRPr="009C5B5C">
        <w:t xml:space="preserve"> revenue </w:t>
      </w:r>
      <w:r>
        <w:t>will</w:t>
      </w:r>
      <w:r w:rsidRPr="009C5B5C">
        <w:t xml:space="preserve"> likely offset </w:t>
      </w:r>
      <w:r>
        <w:t>much, if not all,</w:t>
      </w:r>
      <w:r w:rsidRPr="009C5B5C">
        <w:t xml:space="preserve"> of </w:t>
      </w:r>
      <w:r>
        <w:t xml:space="preserve">the costs of </w:t>
      </w:r>
      <w:r w:rsidRPr="009C5B5C">
        <w:t xml:space="preserve">network upgrade conditioned in this merger proceeding.  </w:t>
      </w:r>
    </w:p>
    <w:p w:rsidR="00193FED" w:rsidRPr="009C5B5C" w:rsidRDefault="00193FED" w:rsidP="00DD2016">
      <w:pPr>
        <w:pStyle w:val="NoSpacing"/>
        <w:spacing w:line="480" w:lineRule="auto"/>
        <w:ind w:left="720" w:firstLine="720"/>
      </w:pPr>
      <w:r w:rsidRPr="009C5B5C">
        <w:t xml:space="preserve">Furthermore, </w:t>
      </w:r>
      <w:r>
        <w:t>broadband</w:t>
      </w:r>
      <w:r w:rsidRPr="009C5B5C">
        <w:t xml:space="preserve"> availability </w:t>
      </w:r>
      <w:r>
        <w:t xml:space="preserve">rate </w:t>
      </w:r>
      <w:r w:rsidRPr="009C5B5C">
        <w:t xml:space="preserve">is a more direct measurement of how the policy goal has been achieved </w:t>
      </w:r>
      <w:r>
        <w:t xml:space="preserve">than </w:t>
      </w:r>
      <w:r w:rsidRPr="009C5B5C">
        <w:t>capital expenditure.  It avoids the uncertainty of cost estimates and reven</w:t>
      </w:r>
      <w:r>
        <w:t>ue allocation, which are not an iss</w:t>
      </w:r>
      <w:r w:rsidRPr="009C5B5C">
        <w:t xml:space="preserve">ue to be decided in this proceeding.  Instead, </w:t>
      </w:r>
      <w:r>
        <w:t>a</w:t>
      </w:r>
      <w:r w:rsidRPr="009C5B5C">
        <w:t xml:space="preserve"> </w:t>
      </w:r>
      <w:r>
        <w:t xml:space="preserve">company-specific broadband availability </w:t>
      </w:r>
      <w:r w:rsidRPr="009C5B5C">
        <w:t xml:space="preserve">target is outcome-oriented, directly measurable and transparent. </w:t>
      </w:r>
    </w:p>
    <w:p w:rsidR="00193FED" w:rsidRPr="009C5B5C" w:rsidRDefault="00193FED" w:rsidP="00DD2016">
      <w:pPr>
        <w:pStyle w:val="NoSpacing"/>
        <w:spacing w:line="480" w:lineRule="auto"/>
        <w:ind w:left="720" w:hanging="720"/>
      </w:pPr>
    </w:p>
    <w:p w:rsidR="00193FED" w:rsidRPr="00193FED" w:rsidRDefault="00193FED" w:rsidP="00DD2016">
      <w:pPr>
        <w:pStyle w:val="NoSpacing"/>
        <w:keepNext/>
        <w:keepLines/>
        <w:numPr>
          <w:ilvl w:val="0"/>
          <w:numId w:val="16"/>
        </w:numPr>
        <w:spacing w:line="480" w:lineRule="auto"/>
        <w:ind w:left="720"/>
        <w:jc w:val="center"/>
        <w:rPr>
          <w:b/>
          <w:caps/>
        </w:rPr>
      </w:pPr>
      <w:r w:rsidRPr="00193FED">
        <w:rPr>
          <w:b/>
          <w:caps/>
        </w:rPr>
        <w:lastRenderedPageBreak/>
        <w:t>Broadband deployment in high-cost areas</w:t>
      </w:r>
    </w:p>
    <w:p w:rsidR="00193FED" w:rsidRPr="009C5B5C" w:rsidRDefault="00193FED" w:rsidP="00DD2016">
      <w:pPr>
        <w:pStyle w:val="NoSpacing"/>
        <w:keepNext/>
        <w:keepLines/>
        <w:spacing w:line="480" w:lineRule="auto"/>
        <w:ind w:left="720" w:hanging="720"/>
        <w:rPr>
          <w:b/>
        </w:rPr>
      </w:pPr>
    </w:p>
    <w:p w:rsidR="00193FED" w:rsidRPr="009C5B5C" w:rsidRDefault="00193FED" w:rsidP="00DD2016">
      <w:pPr>
        <w:pStyle w:val="NoSpacing"/>
        <w:keepNext/>
        <w:keepLines/>
        <w:spacing w:line="480" w:lineRule="auto"/>
        <w:ind w:left="720" w:hanging="720"/>
        <w:rPr>
          <w:b/>
        </w:rPr>
      </w:pPr>
      <w:r>
        <w:rPr>
          <w:b/>
        </w:rPr>
        <w:t>Q.</w:t>
      </w:r>
      <w:r>
        <w:rPr>
          <w:b/>
        </w:rPr>
        <w:tab/>
      </w:r>
      <w:r w:rsidRPr="009C5B5C">
        <w:rPr>
          <w:b/>
        </w:rPr>
        <w:t xml:space="preserve">Other than a state-wide target for broadband deployment, what else do you recommend in terms of the company’s future broadband investment in Washington?  </w:t>
      </w:r>
    </w:p>
    <w:p w:rsidR="00193FED" w:rsidRPr="009C5B5C" w:rsidRDefault="00193FED" w:rsidP="00DD2016">
      <w:pPr>
        <w:pStyle w:val="NoSpacing"/>
        <w:keepNext/>
        <w:keepLines/>
        <w:spacing w:line="480" w:lineRule="auto"/>
        <w:ind w:left="720" w:hanging="720"/>
      </w:pPr>
      <w:r>
        <w:t>A.</w:t>
      </w:r>
      <w:r>
        <w:tab/>
      </w:r>
      <w:r w:rsidRPr="009C5B5C">
        <w:t xml:space="preserve">I also believe that from the distributional equity standpoint, Frontier should expand </w:t>
      </w:r>
      <w:r w:rsidRPr="00975E9F">
        <w:t>broadband internet access to 90 percent of its customers in each identified high-cost wire center by the end of 2013.</w:t>
      </w:r>
      <w:r w:rsidRPr="009C5B5C">
        <w:t xml:space="preserve">  </w:t>
      </w:r>
    </w:p>
    <w:p w:rsidR="00193FED" w:rsidRPr="009C5B5C" w:rsidRDefault="00193FED" w:rsidP="00DD2016">
      <w:pPr>
        <w:pStyle w:val="NoSpacing"/>
        <w:spacing w:line="480" w:lineRule="auto"/>
        <w:ind w:left="720" w:hanging="720"/>
      </w:pPr>
    </w:p>
    <w:p w:rsidR="00193FED" w:rsidRPr="009C5B5C" w:rsidRDefault="00193FED" w:rsidP="00DD2016">
      <w:pPr>
        <w:pStyle w:val="NoSpacing"/>
        <w:spacing w:line="480" w:lineRule="auto"/>
        <w:ind w:left="720" w:hanging="720"/>
        <w:rPr>
          <w:b/>
        </w:rPr>
      </w:pPr>
      <w:r>
        <w:rPr>
          <w:b/>
        </w:rPr>
        <w:t>Q.</w:t>
      </w:r>
      <w:r>
        <w:rPr>
          <w:b/>
        </w:rPr>
        <w:tab/>
      </w:r>
      <w:r w:rsidRPr="009C5B5C">
        <w:rPr>
          <w:b/>
        </w:rPr>
        <w:t xml:space="preserve">Why is distributional equity a concern in broadband deployment? </w:t>
      </w:r>
    </w:p>
    <w:p w:rsidR="00193FED" w:rsidRPr="009C5B5C" w:rsidRDefault="00193FED" w:rsidP="00DD2016">
      <w:pPr>
        <w:pStyle w:val="NoSpacing"/>
        <w:spacing w:line="480" w:lineRule="auto"/>
        <w:ind w:left="720" w:hanging="720"/>
      </w:pPr>
      <w:r>
        <w:t>A.</w:t>
      </w:r>
      <w:r>
        <w:tab/>
      </w:r>
      <w:r w:rsidRPr="009C5B5C">
        <w:t xml:space="preserve">Promoting broadband availability and adoption is </w:t>
      </w:r>
      <w:r>
        <w:t>crucial</w:t>
      </w:r>
      <w:r w:rsidRPr="009C5B5C">
        <w:t xml:space="preserve"> in rural </w:t>
      </w:r>
      <w:r>
        <w:t>communities</w:t>
      </w:r>
      <w:r w:rsidRPr="009C5B5C">
        <w:t xml:space="preserve"> for economic development and societal benefits. </w:t>
      </w:r>
      <w:r>
        <w:t xml:space="preserve"> </w:t>
      </w:r>
      <w:r w:rsidRPr="009C5B5C">
        <w:t xml:space="preserve">Without regulatory intervention, it is only natural for companies to invest in areas where they can reap the most profits.  Lack of broadband infrastructure in rural and high-cost areas will deepen the existing digital divide between people who have advanced technologies </w:t>
      </w:r>
      <w:r>
        <w:t xml:space="preserve">to </w:t>
      </w:r>
      <w:r w:rsidRPr="009C5B5C">
        <w:t xml:space="preserve">access </w:t>
      </w:r>
      <w:r>
        <w:t xml:space="preserve">information </w:t>
      </w:r>
      <w:r w:rsidRPr="009C5B5C">
        <w:t xml:space="preserve">and those who do not.  Without directed investment, there is no guarantee that rural customers will benefit from the proposed merger </w:t>
      </w:r>
      <w:r>
        <w:t>to the same extent</w:t>
      </w:r>
      <w:r w:rsidRPr="009C5B5C">
        <w:t xml:space="preserve"> as urban customers.  </w:t>
      </w:r>
    </w:p>
    <w:p w:rsidR="00193FED" w:rsidRPr="009C5B5C" w:rsidRDefault="00193FED" w:rsidP="00DD2016">
      <w:pPr>
        <w:pStyle w:val="NoSpacing"/>
        <w:spacing w:line="480" w:lineRule="auto"/>
        <w:ind w:left="720" w:hanging="720"/>
      </w:pPr>
    </w:p>
    <w:p w:rsidR="00193FED" w:rsidRPr="009C5B5C" w:rsidRDefault="00193FED" w:rsidP="00DD2016">
      <w:pPr>
        <w:pStyle w:val="NoSpacing"/>
        <w:spacing w:line="480" w:lineRule="auto"/>
        <w:ind w:left="720" w:hanging="720"/>
        <w:rPr>
          <w:b/>
        </w:rPr>
      </w:pPr>
      <w:r>
        <w:rPr>
          <w:b/>
        </w:rPr>
        <w:t>Q.</w:t>
      </w:r>
      <w:r>
        <w:rPr>
          <w:b/>
        </w:rPr>
        <w:tab/>
      </w:r>
      <w:r w:rsidRPr="009C5B5C">
        <w:rPr>
          <w:b/>
        </w:rPr>
        <w:t>Is there any preceden</w:t>
      </w:r>
      <w:r>
        <w:rPr>
          <w:b/>
        </w:rPr>
        <w:t>t</w:t>
      </w:r>
      <w:r w:rsidRPr="009C5B5C">
        <w:rPr>
          <w:b/>
        </w:rPr>
        <w:t xml:space="preserve"> </w:t>
      </w:r>
      <w:r>
        <w:rPr>
          <w:b/>
        </w:rPr>
        <w:t>for the Commission requiring broadband</w:t>
      </w:r>
      <w:r w:rsidRPr="009C5B5C">
        <w:rPr>
          <w:b/>
        </w:rPr>
        <w:t xml:space="preserve"> deployment in high-cost areas in Washington? </w:t>
      </w:r>
    </w:p>
    <w:p w:rsidR="00193FED" w:rsidRPr="009C5B5C" w:rsidRDefault="00193FED" w:rsidP="00DD2016">
      <w:pPr>
        <w:pStyle w:val="NoSpacing"/>
        <w:spacing w:line="480" w:lineRule="auto"/>
        <w:ind w:left="720" w:hanging="720"/>
      </w:pPr>
      <w:r>
        <w:lastRenderedPageBreak/>
        <w:t>A.</w:t>
      </w:r>
      <w:r>
        <w:tab/>
      </w:r>
      <w:r w:rsidRPr="009C5B5C">
        <w:t xml:space="preserve">Yes.  The Commission has given more weight to broadband deployment in the rural areas.  In the Qwest </w:t>
      </w:r>
      <w:proofErr w:type="spellStart"/>
      <w:r w:rsidRPr="009C5B5C">
        <w:t>AFO</w:t>
      </w:r>
      <w:r>
        <w:t>R</w:t>
      </w:r>
      <w:proofErr w:type="spellEnd"/>
      <w:r w:rsidRPr="009C5B5C">
        <w:t xml:space="preserve"> proceeding, committed investment</w:t>
      </w:r>
      <w:r>
        <w:t>s</w:t>
      </w:r>
      <w:r w:rsidRPr="009C5B5C">
        <w:t xml:space="preserve"> were directed </w:t>
      </w:r>
      <w:r>
        <w:t xml:space="preserve">first </w:t>
      </w:r>
      <w:r w:rsidRPr="009C5B5C">
        <w:t xml:space="preserve">to wire centers with no DSL capability and wire centers with less than 75 percent DSL availability.  Initially, Qwest proposed to set the goal of DSL deployment as making DSL available to 83 percent of consumers in Washington.  The Commission found the proposal </w:t>
      </w:r>
      <w:r>
        <w:t>to be</w:t>
      </w:r>
      <w:r w:rsidRPr="009C5B5C">
        <w:t xml:space="preserve"> in the right direction, but not sufficient</w:t>
      </w:r>
      <w:r>
        <w:t xml:space="preserve"> to</w:t>
      </w:r>
      <w:r w:rsidRPr="009C5B5C">
        <w:t xml:space="preserve"> facilitate the broadband deployment, promote diversity in advanced services, </w:t>
      </w:r>
      <w:r>
        <w:t xml:space="preserve">or </w:t>
      </w:r>
      <w:r w:rsidRPr="009C5B5C">
        <w:t>meaningfully address the issue of underserved communities.</w:t>
      </w:r>
      <w:r w:rsidRPr="009C5B5C">
        <w:rPr>
          <w:rStyle w:val="FootnoteReference"/>
        </w:rPr>
        <w:footnoteReference w:id="25"/>
      </w:r>
      <w:r w:rsidRPr="009C5B5C">
        <w:t xml:space="preserve">  </w:t>
      </w:r>
    </w:p>
    <w:p w:rsidR="00193FED" w:rsidRPr="009C5B5C" w:rsidRDefault="00193FED" w:rsidP="00DD2016">
      <w:pPr>
        <w:pStyle w:val="NoSpacing"/>
        <w:spacing w:line="480" w:lineRule="auto"/>
        <w:ind w:left="720" w:hanging="720"/>
      </w:pPr>
    </w:p>
    <w:p w:rsidR="00193FED" w:rsidRPr="009C5B5C" w:rsidRDefault="00193FED" w:rsidP="00DD2016">
      <w:pPr>
        <w:pStyle w:val="NoSpacing"/>
        <w:spacing w:line="480" w:lineRule="auto"/>
        <w:ind w:left="720" w:hanging="720"/>
        <w:rPr>
          <w:b/>
        </w:rPr>
      </w:pPr>
      <w:r>
        <w:rPr>
          <w:b/>
        </w:rPr>
        <w:t>Q.</w:t>
      </w:r>
      <w:r>
        <w:rPr>
          <w:b/>
        </w:rPr>
        <w:tab/>
      </w:r>
      <w:r w:rsidRPr="009C5B5C">
        <w:rPr>
          <w:b/>
        </w:rPr>
        <w:t>What</w:t>
      </w:r>
      <w:r>
        <w:rPr>
          <w:b/>
        </w:rPr>
        <w:t xml:space="preserve"> is</w:t>
      </w:r>
      <w:r w:rsidRPr="009C5B5C">
        <w:rPr>
          <w:b/>
        </w:rPr>
        <w:t xml:space="preserve"> Verizon’s current broadband deployment level in </w:t>
      </w:r>
      <w:r>
        <w:rPr>
          <w:b/>
        </w:rPr>
        <w:t>low</w:t>
      </w:r>
      <w:r w:rsidRPr="009C5B5C">
        <w:rPr>
          <w:b/>
        </w:rPr>
        <w:t xml:space="preserve">-cost areas as compared to </w:t>
      </w:r>
      <w:r>
        <w:rPr>
          <w:b/>
        </w:rPr>
        <w:t>high-cost areas</w:t>
      </w:r>
      <w:r w:rsidRPr="009C5B5C">
        <w:rPr>
          <w:b/>
        </w:rPr>
        <w:t xml:space="preserve"> in Washington? </w:t>
      </w:r>
    </w:p>
    <w:p w:rsidR="00904C1D" w:rsidRDefault="00193FED" w:rsidP="00DD2016">
      <w:pPr>
        <w:pStyle w:val="NoSpacing"/>
        <w:spacing w:line="480" w:lineRule="auto"/>
        <w:ind w:left="720" w:hanging="720"/>
        <w:sectPr w:rsidR="00904C1D" w:rsidSect="004B1C98">
          <w:footerReference w:type="default" r:id="rId16"/>
          <w:pgSz w:w="12240" w:h="15840"/>
          <w:pgMar w:top="1440" w:right="1440" w:bottom="1440" w:left="1872" w:header="720" w:footer="720" w:gutter="0"/>
          <w:lnNumType w:countBy="1"/>
          <w:cols w:space="720"/>
          <w:docGrid w:linePitch="360"/>
        </w:sectPr>
      </w:pPr>
      <w:r>
        <w:t>A.</w:t>
      </w:r>
      <w:r>
        <w:tab/>
      </w:r>
      <w:r w:rsidRPr="009C5B5C">
        <w:t xml:space="preserve">Verizon’s current DSL availability status by wire center demonstrates serious distributional concerns.  </w:t>
      </w:r>
      <w:r>
        <w:t xml:space="preserve">To illustrate the point, </w:t>
      </w:r>
      <w:r w:rsidRPr="009C5B5C">
        <w:t xml:space="preserve">I will </w:t>
      </w:r>
      <w:r>
        <w:t xml:space="preserve">demonstrate the DSL availability across Verizon’s </w:t>
      </w:r>
      <w:r w:rsidRPr="009C5B5C">
        <w:t xml:space="preserve">unbundled network elements </w:t>
      </w:r>
      <w:r>
        <w:t xml:space="preserve">zones </w:t>
      </w:r>
      <w:r w:rsidRPr="009C5B5C">
        <w:t>(UNE</w:t>
      </w:r>
      <w:r>
        <w:t xml:space="preserve"> zones</w:t>
      </w:r>
      <w:r w:rsidRPr="009C5B5C">
        <w:t xml:space="preserve">) </w:t>
      </w:r>
      <w:r>
        <w:t>because UNE zone classification is based on network costs.  Please see Exhibit No. ___ HC (</w:t>
      </w:r>
      <w:proofErr w:type="spellStart"/>
      <w:r>
        <w:t>JL-2HC</w:t>
      </w:r>
      <w:proofErr w:type="spellEnd"/>
      <w:r>
        <w:t xml:space="preserve">), </w:t>
      </w:r>
      <w:r w:rsidRPr="00291999">
        <w:rPr>
          <w:i/>
        </w:rPr>
        <w:t xml:space="preserve">Verizon DSL Availability, Take Rate and </w:t>
      </w:r>
      <w:proofErr w:type="spellStart"/>
      <w:r w:rsidRPr="00291999">
        <w:rPr>
          <w:i/>
        </w:rPr>
        <w:t>FiOS</w:t>
      </w:r>
      <w:proofErr w:type="spellEnd"/>
      <w:r w:rsidRPr="00291999">
        <w:rPr>
          <w:i/>
        </w:rPr>
        <w:t xml:space="preserve"> Availability by Wire Center</w:t>
      </w:r>
      <w:r>
        <w:t xml:space="preserve">.  </w:t>
      </w:r>
      <w:r w:rsidRPr="009C5B5C">
        <w:t>Verizon classifies their wire centers into five zones for the purpose of determining the costs for UNEs, Zone 1 being the least costly area and Zone 5 being the most costly area</w:t>
      </w:r>
      <w:r w:rsidRPr="009C5B5C">
        <w:rPr>
          <w:color w:val="FF0000"/>
        </w:rPr>
        <w:t xml:space="preserve">.  </w:t>
      </w:r>
      <w:r w:rsidRPr="00C658A7">
        <w:t xml:space="preserve">The Exhibit </w:t>
      </w:r>
      <w:r>
        <w:t>and the following summary table show</w:t>
      </w:r>
      <w:r w:rsidRPr="00C658A7">
        <w:t xml:space="preserve"> that wire centers in Zone 3-5 have much low</w:t>
      </w:r>
      <w:r>
        <w:t>er</w:t>
      </w:r>
      <w:r w:rsidRPr="009C5B5C">
        <w:t xml:space="preserve"> broadband availability than wire centers in Zone 1-2.  For example,</w:t>
      </w:r>
      <w:r>
        <w:t xml:space="preserve"> broadband availability in</w:t>
      </w:r>
      <w:r w:rsidRPr="009C5B5C">
        <w:t xml:space="preserve"> all Zone 3-5 wire centers </w:t>
      </w:r>
      <w:r>
        <w:t xml:space="preserve">is </w:t>
      </w:r>
      <w:r w:rsidRPr="009C5B5C">
        <w:t xml:space="preserve">below </w:t>
      </w:r>
    </w:p>
    <w:p w:rsidR="00193FED" w:rsidRDefault="00193FED" w:rsidP="00904C1D">
      <w:pPr>
        <w:pStyle w:val="NoSpacing"/>
        <w:spacing w:line="480" w:lineRule="auto"/>
        <w:ind w:left="720"/>
      </w:pPr>
      <w:proofErr w:type="gramStart"/>
      <w:r>
        <w:lastRenderedPageBreak/>
        <w:t>Verizon’s Washington state average of</w:t>
      </w:r>
      <w:r w:rsidRPr="009C5B5C">
        <w:t xml:space="preserve"> </w:t>
      </w:r>
      <w:r w:rsidR="00E32A0D" w:rsidRPr="00E32A0D">
        <w:rPr>
          <w:b/>
          <w:highlight w:val="black"/>
          <w:u w:val="single"/>
        </w:rPr>
        <w:t>XX</w:t>
      </w:r>
      <w:r w:rsidRPr="009E30E4">
        <w:rPr>
          <w:b/>
        </w:rPr>
        <w:t xml:space="preserve"> </w:t>
      </w:r>
      <w:r w:rsidRPr="00A474B6">
        <w:t>percent.</w:t>
      </w:r>
      <w:proofErr w:type="gramEnd"/>
      <w:r w:rsidRPr="009C5B5C">
        <w:t xml:space="preserve"> </w:t>
      </w:r>
      <w:r>
        <w:t xml:space="preserve"> </w:t>
      </w:r>
      <w:r w:rsidRPr="009C5B5C">
        <w:t xml:space="preserve">A total of 38 wire centers do not have DSL availability, 30 of which are located in Zone 3-5.  </w:t>
      </w:r>
      <w:r>
        <w:t>The average DSL availability decreases steadily from Zone 1 through Zone 5.  D</w:t>
      </w:r>
      <w:r w:rsidRPr="009C5B5C">
        <w:t>ifferent views of the DSL availability data across UNE zones all lead to one finding, that is, Verizon has neglected</w:t>
      </w:r>
      <w:r>
        <w:t xml:space="preserve"> DSL deployment in high-</w:t>
      </w:r>
      <w:r w:rsidRPr="009C5B5C">
        <w:t xml:space="preserve">cost areas.  </w:t>
      </w:r>
      <w:r>
        <w:t>On the other hand, the customers’ take rate of DSL services</w:t>
      </w:r>
      <w:r>
        <w:rPr>
          <w:rStyle w:val="FootnoteReference"/>
        </w:rPr>
        <w:footnoteReference w:id="26"/>
      </w:r>
      <w:r>
        <w:t xml:space="preserve"> does not decrease from low-cost zone to high-cost zone, indicating that rural customers have a similar, if not higher, level of demand for DSL services. </w:t>
      </w:r>
    </w:p>
    <w:tbl>
      <w:tblPr>
        <w:tblStyle w:val="TableGrid"/>
        <w:tblW w:w="10012" w:type="dxa"/>
        <w:jc w:val="center"/>
        <w:tblLook w:val="04A0"/>
      </w:tblPr>
      <w:tblGrid>
        <w:gridCol w:w="918"/>
        <w:gridCol w:w="774"/>
        <w:gridCol w:w="594"/>
        <w:gridCol w:w="776"/>
        <w:gridCol w:w="689"/>
        <w:gridCol w:w="696"/>
        <w:gridCol w:w="625"/>
        <w:gridCol w:w="746"/>
        <w:gridCol w:w="699"/>
        <w:gridCol w:w="676"/>
        <w:gridCol w:w="1577"/>
        <w:gridCol w:w="1242"/>
      </w:tblGrid>
      <w:tr w:rsidR="00193FED" w:rsidRPr="00D15A10" w:rsidTr="00193FED">
        <w:trPr>
          <w:trHeight w:val="755"/>
          <w:tblHeader/>
          <w:jc w:val="center"/>
        </w:trPr>
        <w:tc>
          <w:tcPr>
            <w:tcW w:w="10012" w:type="dxa"/>
            <w:gridSpan w:val="12"/>
            <w:tcBorders>
              <w:top w:val="nil"/>
              <w:left w:val="nil"/>
              <w:right w:val="nil"/>
            </w:tcBorders>
            <w:vAlign w:val="center"/>
          </w:tcPr>
          <w:p w:rsidR="00193FED" w:rsidRPr="00A474B6" w:rsidRDefault="00193FED" w:rsidP="00193FED">
            <w:pPr>
              <w:pStyle w:val="NoSpacing"/>
              <w:spacing w:line="360" w:lineRule="auto"/>
              <w:jc w:val="center"/>
              <w:rPr>
                <w:b/>
                <w:bCs/>
                <w:color w:val="000000"/>
                <w:szCs w:val="24"/>
              </w:rPr>
            </w:pPr>
            <w:r w:rsidRPr="00A474B6">
              <w:rPr>
                <w:b/>
                <w:bCs/>
                <w:color w:val="000000"/>
                <w:szCs w:val="24"/>
              </w:rPr>
              <w:t>Table 2. Number of Wire Centers with DSL Capability and Take Rate</w:t>
            </w:r>
          </w:p>
          <w:p w:rsidR="00193FED" w:rsidRPr="00B02A50" w:rsidRDefault="00193FED" w:rsidP="00193FED">
            <w:pPr>
              <w:pStyle w:val="NoSpacing"/>
              <w:spacing w:line="360" w:lineRule="auto"/>
              <w:jc w:val="center"/>
              <w:rPr>
                <w:b/>
                <w:bCs/>
                <w:color w:val="000000"/>
                <w:szCs w:val="24"/>
                <w:highlight w:val="lightGray"/>
              </w:rPr>
            </w:pPr>
            <w:r>
              <w:rPr>
                <w:b/>
                <w:bCs/>
                <w:color w:val="000000"/>
                <w:szCs w:val="24"/>
                <w:highlight w:val="lightGray"/>
              </w:rPr>
              <w:t>Highly Confidential</w:t>
            </w:r>
            <w:r w:rsidR="00E32A0D">
              <w:rPr>
                <w:b/>
                <w:bCs/>
                <w:color w:val="000000"/>
                <w:szCs w:val="24"/>
                <w:highlight w:val="lightGray"/>
              </w:rPr>
              <w:t xml:space="preserve"> – Redacted Version</w:t>
            </w:r>
          </w:p>
        </w:tc>
      </w:tr>
      <w:tr w:rsidR="00193FED" w:rsidRPr="000F4AA3" w:rsidTr="00193FED">
        <w:trPr>
          <w:trHeight w:val="755"/>
          <w:tblHeader/>
          <w:jc w:val="center"/>
        </w:trPr>
        <w:tc>
          <w:tcPr>
            <w:tcW w:w="918" w:type="dxa"/>
            <w:vMerge w:val="restart"/>
            <w:vAlign w:val="center"/>
          </w:tcPr>
          <w:p w:rsidR="00193FED" w:rsidRPr="000F4AA3" w:rsidRDefault="00193FED" w:rsidP="00193FED">
            <w:pPr>
              <w:pStyle w:val="NoSpacing"/>
              <w:spacing w:line="360" w:lineRule="auto"/>
              <w:jc w:val="center"/>
              <w:rPr>
                <w:b/>
                <w:szCs w:val="24"/>
              </w:rPr>
            </w:pPr>
            <w:r w:rsidRPr="000F4AA3">
              <w:rPr>
                <w:b/>
                <w:szCs w:val="24"/>
              </w:rPr>
              <w:t>UNE Zone</w:t>
            </w:r>
          </w:p>
        </w:tc>
        <w:tc>
          <w:tcPr>
            <w:tcW w:w="6275" w:type="dxa"/>
            <w:gridSpan w:val="9"/>
            <w:tcBorders>
              <w:right w:val="single" w:sz="4" w:space="0" w:color="auto"/>
            </w:tcBorders>
            <w:vAlign w:val="center"/>
          </w:tcPr>
          <w:p w:rsidR="00193FED" w:rsidRPr="000F4AA3" w:rsidRDefault="00193FED" w:rsidP="00193FED">
            <w:pPr>
              <w:pStyle w:val="NoSpacing"/>
              <w:spacing w:line="360" w:lineRule="auto"/>
              <w:jc w:val="center"/>
              <w:rPr>
                <w:b/>
                <w:bCs/>
                <w:color w:val="000000"/>
                <w:szCs w:val="24"/>
              </w:rPr>
            </w:pPr>
            <w:r>
              <w:rPr>
                <w:b/>
                <w:bCs/>
                <w:color w:val="000000"/>
                <w:szCs w:val="24"/>
              </w:rPr>
              <w:t>Number of Wire Centers and Percent of Zone Total</w:t>
            </w:r>
          </w:p>
        </w:tc>
        <w:tc>
          <w:tcPr>
            <w:tcW w:w="1577" w:type="dxa"/>
            <w:vMerge w:val="restart"/>
            <w:vAlign w:val="center"/>
          </w:tcPr>
          <w:p w:rsidR="00193FED" w:rsidRPr="000F4AA3" w:rsidRDefault="00193FED" w:rsidP="00193FED">
            <w:pPr>
              <w:pStyle w:val="NoSpacing"/>
              <w:spacing w:line="360" w:lineRule="auto"/>
              <w:jc w:val="center"/>
              <w:rPr>
                <w:b/>
                <w:bCs/>
                <w:color w:val="000000"/>
                <w:szCs w:val="24"/>
              </w:rPr>
            </w:pPr>
            <w:r>
              <w:rPr>
                <w:b/>
                <w:bCs/>
                <w:color w:val="000000"/>
                <w:szCs w:val="24"/>
              </w:rPr>
              <w:t>Average DSL Availability</w:t>
            </w:r>
          </w:p>
        </w:tc>
        <w:tc>
          <w:tcPr>
            <w:tcW w:w="1242" w:type="dxa"/>
            <w:vMerge w:val="restart"/>
            <w:tcBorders>
              <w:top w:val="single" w:sz="4" w:space="0" w:color="auto"/>
              <w:right w:val="single" w:sz="4" w:space="0" w:color="auto"/>
            </w:tcBorders>
            <w:vAlign w:val="center"/>
          </w:tcPr>
          <w:p w:rsidR="00193FED" w:rsidRPr="000F4AA3" w:rsidRDefault="00193FED" w:rsidP="00193FED">
            <w:pPr>
              <w:pStyle w:val="NoSpacing"/>
              <w:spacing w:line="360" w:lineRule="auto"/>
              <w:jc w:val="center"/>
              <w:rPr>
                <w:b/>
                <w:bCs/>
                <w:color w:val="000000"/>
                <w:szCs w:val="24"/>
              </w:rPr>
            </w:pPr>
            <w:r w:rsidRPr="000F4AA3">
              <w:rPr>
                <w:b/>
                <w:bCs/>
                <w:color w:val="000000"/>
                <w:szCs w:val="24"/>
              </w:rPr>
              <w:t>Average</w:t>
            </w:r>
            <w:r>
              <w:rPr>
                <w:b/>
                <w:bCs/>
                <w:color w:val="000000"/>
                <w:szCs w:val="24"/>
              </w:rPr>
              <w:t xml:space="preserve"> DSL</w:t>
            </w:r>
          </w:p>
          <w:p w:rsidR="00193FED" w:rsidRPr="000F4AA3" w:rsidRDefault="00193FED" w:rsidP="00193FED">
            <w:pPr>
              <w:pStyle w:val="NoSpacing"/>
              <w:spacing w:line="360" w:lineRule="auto"/>
              <w:jc w:val="center"/>
              <w:rPr>
                <w:b/>
                <w:bCs/>
                <w:color w:val="000000"/>
                <w:szCs w:val="24"/>
              </w:rPr>
            </w:pPr>
            <w:r w:rsidRPr="000F4AA3">
              <w:rPr>
                <w:b/>
                <w:bCs/>
                <w:color w:val="000000"/>
                <w:szCs w:val="24"/>
              </w:rPr>
              <w:t>Take Rate</w:t>
            </w:r>
          </w:p>
        </w:tc>
      </w:tr>
      <w:tr w:rsidR="00193FED" w:rsidRPr="000F4AA3" w:rsidTr="00193FED">
        <w:trPr>
          <w:trHeight w:val="755"/>
          <w:tblHeader/>
          <w:jc w:val="center"/>
        </w:trPr>
        <w:tc>
          <w:tcPr>
            <w:tcW w:w="918" w:type="dxa"/>
            <w:vMerge/>
            <w:vAlign w:val="center"/>
          </w:tcPr>
          <w:p w:rsidR="00193FED" w:rsidRPr="000F4AA3" w:rsidRDefault="00193FED" w:rsidP="00193FED">
            <w:pPr>
              <w:pStyle w:val="NoSpacing"/>
              <w:spacing w:line="360" w:lineRule="auto"/>
              <w:jc w:val="center"/>
              <w:rPr>
                <w:b/>
                <w:szCs w:val="24"/>
              </w:rPr>
            </w:pPr>
          </w:p>
        </w:tc>
        <w:tc>
          <w:tcPr>
            <w:tcW w:w="774" w:type="dxa"/>
            <w:vAlign w:val="center"/>
          </w:tcPr>
          <w:p w:rsidR="00193FED" w:rsidRPr="000F4AA3" w:rsidRDefault="00193FED" w:rsidP="00193FED">
            <w:pPr>
              <w:spacing w:after="0" w:line="360" w:lineRule="auto"/>
              <w:jc w:val="center"/>
              <w:rPr>
                <w:b/>
                <w:bCs/>
                <w:color w:val="000000"/>
                <w:szCs w:val="24"/>
              </w:rPr>
            </w:pPr>
            <w:r>
              <w:rPr>
                <w:b/>
                <w:bCs/>
                <w:color w:val="000000"/>
                <w:szCs w:val="24"/>
              </w:rPr>
              <w:t>Total</w:t>
            </w:r>
          </w:p>
        </w:tc>
        <w:tc>
          <w:tcPr>
            <w:tcW w:w="1370" w:type="dxa"/>
            <w:gridSpan w:val="2"/>
            <w:tcBorders>
              <w:bottom w:val="single" w:sz="4" w:space="0" w:color="auto"/>
              <w:right w:val="single" w:sz="4" w:space="0" w:color="auto"/>
            </w:tcBorders>
            <w:vAlign w:val="center"/>
          </w:tcPr>
          <w:p w:rsidR="00193FED" w:rsidRPr="000F4AA3" w:rsidRDefault="00193FED" w:rsidP="00193FED">
            <w:pPr>
              <w:spacing w:after="0" w:line="360" w:lineRule="auto"/>
              <w:jc w:val="center"/>
              <w:rPr>
                <w:b/>
                <w:bCs/>
                <w:color w:val="000000"/>
                <w:szCs w:val="24"/>
              </w:rPr>
            </w:pPr>
            <w:r w:rsidRPr="000F4AA3">
              <w:rPr>
                <w:b/>
                <w:bCs/>
                <w:color w:val="000000"/>
                <w:szCs w:val="24"/>
              </w:rPr>
              <w:t>0%</w:t>
            </w:r>
          </w:p>
          <w:p w:rsidR="00193FED" w:rsidRPr="000F4AA3" w:rsidRDefault="00193FED" w:rsidP="00193FED">
            <w:pPr>
              <w:spacing w:after="0" w:line="360" w:lineRule="auto"/>
              <w:jc w:val="center"/>
              <w:rPr>
                <w:b/>
                <w:bCs/>
                <w:color w:val="000000"/>
                <w:szCs w:val="24"/>
              </w:rPr>
            </w:pPr>
            <w:r w:rsidRPr="000F4AA3">
              <w:rPr>
                <w:b/>
                <w:bCs/>
                <w:color w:val="000000"/>
                <w:szCs w:val="24"/>
              </w:rPr>
              <w:t>availability</w:t>
            </w:r>
          </w:p>
        </w:tc>
        <w:tc>
          <w:tcPr>
            <w:tcW w:w="1385" w:type="dxa"/>
            <w:gridSpan w:val="2"/>
            <w:tcBorders>
              <w:top w:val="single" w:sz="4" w:space="0" w:color="auto"/>
              <w:left w:val="single" w:sz="4" w:space="0" w:color="auto"/>
              <w:bottom w:val="single" w:sz="4" w:space="0" w:color="auto"/>
            </w:tcBorders>
            <w:vAlign w:val="center"/>
          </w:tcPr>
          <w:p w:rsidR="00193FED" w:rsidRPr="000F4AA3" w:rsidRDefault="00193FED" w:rsidP="00193FED">
            <w:pPr>
              <w:spacing w:after="0" w:line="360" w:lineRule="auto"/>
              <w:jc w:val="center"/>
              <w:rPr>
                <w:b/>
                <w:bCs/>
                <w:color w:val="000000"/>
                <w:szCs w:val="24"/>
              </w:rPr>
            </w:pPr>
            <w:r w:rsidRPr="000F4AA3">
              <w:rPr>
                <w:b/>
                <w:bCs/>
                <w:color w:val="000000"/>
                <w:szCs w:val="24"/>
              </w:rPr>
              <w:t>0-50%  availability</w:t>
            </w:r>
          </w:p>
        </w:tc>
        <w:tc>
          <w:tcPr>
            <w:tcW w:w="1371" w:type="dxa"/>
            <w:gridSpan w:val="2"/>
            <w:tcBorders>
              <w:top w:val="single" w:sz="4" w:space="0" w:color="auto"/>
              <w:bottom w:val="single" w:sz="4" w:space="0" w:color="auto"/>
            </w:tcBorders>
            <w:vAlign w:val="center"/>
          </w:tcPr>
          <w:p w:rsidR="00193FED" w:rsidRPr="000F4AA3" w:rsidRDefault="00193FED" w:rsidP="00193FED">
            <w:pPr>
              <w:pStyle w:val="NoSpacing"/>
              <w:spacing w:line="360" w:lineRule="auto"/>
              <w:jc w:val="center"/>
              <w:rPr>
                <w:b/>
                <w:szCs w:val="24"/>
              </w:rPr>
            </w:pPr>
            <w:r>
              <w:rPr>
                <w:b/>
                <w:bCs/>
                <w:color w:val="000000"/>
                <w:szCs w:val="24"/>
              </w:rPr>
              <w:t>51</w:t>
            </w:r>
            <w:r w:rsidRPr="000F4AA3">
              <w:rPr>
                <w:b/>
                <w:bCs/>
                <w:color w:val="000000"/>
                <w:szCs w:val="24"/>
              </w:rPr>
              <w:t>-90%  availability</w:t>
            </w:r>
          </w:p>
        </w:tc>
        <w:tc>
          <w:tcPr>
            <w:tcW w:w="1375" w:type="dxa"/>
            <w:gridSpan w:val="2"/>
            <w:tcBorders>
              <w:top w:val="single" w:sz="4" w:space="0" w:color="auto"/>
              <w:bottom w:val="single" w:sz="4" w:space="0" w:color="auto"/>
              <w:right w:val="single" w:sz="4" w:space="0" w:color="auto"/>
            </w:tcBorders>
            <w:vAlign w:val="center"/>
          </w:tcPr>
          <w:p w:rsidR="00193FED" w:rsidRPr="000F4AA3" w:rsidRDefault="00193FED" w:rsidP="00193FED">
            <w:pPr>
              <w:pStyle w:val="NoSpacing"/>
              <w:spacing w:line="360" w:lineRule="auto"/>
              <w:jc w:val="center"/>
              <w:rPr>
                <w:b/>
                <w:bCs/>
                <w:color w:val="000000"/>
                <w:szCs w:val="24"/>
              </w:rPr>
            </w:pPr>
            <w:r>
              <w:rPr>
                <w:b/>
                <w:bCs/>
                <w:color w:val="000000"/>
                <w:szCs w:val="24"/>
              </w:rPr>
              <w:t>91</w:t>
            </w:r>
            <w:r w:rsidRPr="000F4AA3">
              <w:rPr>
                <w:b/>
                <w:bCs/>
                <w:color w:val="000000"/>
                <w:szCs w:val="24"/>
              </w:rPr>
              <w:t>-100%</w:t>
            </w:r>
          </w:p>
          <w:p w:rsidR="00193FED" w:rsidRPr="000F4AA3" w:rsidRDefault="00193FED" w:rsidP="00193FED">
            <w:pPr>
              <w:pStyle w:val="NoSpacing"/>
              <w:spacing w:line="360" w:lineRule="auto"/>
              <w:jc w:val="center"/>
              <w:rPr>
                <w:b/>
                <w:szCs w:val="24"/>
              </w:rPr>
            </w:pPr>
            <w:r w:rsidRPr="000F4AA3">
              <w:rPr>
                <w:b/>
                <w:bCs/>
                <w:color w:val="000000"/>
                <w:szCs w:val="24"/>
              </w:rPr>
              <w:t>availability</w:t>
            </w:r>
          </w:p>
        </w:tc>
        <w:tc>
          <w:tcPr>
            <w:tcW w:w="1577" w:type="dxa"/>
            <w:vMerge/>
            <w:tcBorders>
              <w:bottom w:val="single" w:sz="4" w:space="0" w:color="auto"/>
            </w:tcBorders>
          </w:tcPr>
          <w:p w:rsidR="00193FED" w:rsidRPr="000F4AA3" w:rsidRDefault="00193FED" w:rsidP="00193FED">
            <w:pPr>
              <w:pStyle w:val="NoSpacing"/>
              <w:spacing w:line="360" w:lineRule="auto"/>
              <w:jc w:val="center"/>
              <w:rPr>
                <w:b/>
                <w:bCs/>
                <w:color w:val="000000"/>
                <w:szCs w:val="24"/>
              </w:rPr>
            </w:pPr>
          </w:p>
        </w:tc>
        <w:tc>
          <w:tcPr>
            <w:tcW w:w="1242" w:type="dxa"/>
            <w:vMerge/>
            <w:tcBorders>
              <w:bottom w:val="single" w:sz="4" w:space="0" w:color="auto"/>
              <w:right w:val="single" w:sz="4" w:space="0" w:color="auto"/>
            </w:tcBorders>
            <w:vAlign w:val="center"/>
          </w:tcPr>
          <w:p w:rsidR="00193FED" w:rsidRPr="000F4AA3" w:rsidRDefault="00193FED" w:rsidP="00193FED">
            <w:pPr>
              <w:pStyle w:val="NoSpacing"/>
              <w:spacing w:line="360" w:lineRule="auto"/>
              <w:jc w:val="center"/>
              <w:rPr>
                <w:b/>
                <w:bCs/>
                <w:color w:val="000000"/>
                <w:szCs w:val="24"/>
              </w:rPr>
            </w:pPr>
          </w:p>
        </w:tc>
      </w:tr>
      <w:tr w:rsidR="00193FED" w:rsidRPr="00D15A10" w:rsidTr="00193FED">
        <w:trPr>
          <w:jc w:val="center"/>
        </w:trPr>
        <w:tc>
          <w:tcPr>
            <w:tcW w:w="918" w:type="dxa"/>
            <w:vAlign w:val="bottom"/>
          </w:tcPr>
          <w:p w:rsidR="00193FED" w:rsidRPr="00D15A10" w:rsidRDefault="00193FED" w:rsidP="00193FED">
            <w:pPr>
              <w:spacing w:after="0" w:line="360" w:lineRule="auto"/>
              <w:rPr>
                <w:b/>
                <w:color w:val="000000"/>
                <w:szCs w:val="24"/>
              </w:rPr>
            </w:pPr>
            <w:r w:rsidRPr="00D15A10">
              <w:rPr>
                <w:b/>
                <w:color w:val="000000"/>
                <w:szCs w:val="24"/>
              </w:rPr>
              <w:t>Zone 1</w:t>
            </w:r>
          </w:p>
        </w:tc>
        <w:tc>
          <w:tcPr>
            <w:tcW w:w="774" w:type="dxa"/>
            <w:tcBorders>
              <w:right w:val="single" w:sz="4" w:space="0" w:color="auto"/>
            </w:tcBorders>
            <w:vAlign w:val="bottom"/>
          </w:tcPr>
          <w:p w:rsidR="00193FED" w:rsidRPr="00D15A10" w:rsidRDefault="00193FED" w:rsidP="00193FED">
            <w:pPr>
              <w:spacing w:after="0" w:line="360" w:lineRule="auto"/>
              <w:jc w:val="right"/>
              <w:rPr>
                <w:color w:val="000000"/>
                <w:szCs w:val="24"/>
              </w:rPr>
            </w:pPr>
            <w:r w:rsidRPr="00D15A10">
              <w:rPr>
                <w:color w:val="000000"/>
                <w:szCs w:val="24"/>
              </w:rPr>
              <w:t>29</w:t>
            </w:r>
          </w:p>
        </w:tc>
        <w:tc>
          <w:tcPr>
            <w:tcW w:w="594"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7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89"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9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25"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74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E32A0D">
            <w:pPr>
              <w:spacing w:after="0" w:line="360" w:lineRule="auto"/>
              <w:jc w:val="right"/>
              <w:rPr>
                <w:color w:val="000000"/>
                <w:szCs w:val="24"/>
                <w:highlight w:val="black"/>
                <w:u w:val="single"/>
              </w:rPr>
            </w:pPr>
            <w:r w:rsidRPr="00E32A0D">
              <w:rPr>
                <w:color w:val="000000"/>
                <w:szCs w:val="24"/>
                <w:highlight w:val="black"/>
                <w:u w:val="single"/>
              </w:rPr>
              <w:t>X</w:t>
            </w:r>
          </w:p>
        </w:tc>
        <w:tc>
          <w:tcPr>
            <w:tcW w:w="699"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tcPr>
          <w:p w:rsidR="00193FED" w:rsidRPr="00E32A0D" w:rsidRDefault="00E32A0D" w:rsidP="00193FED">
            <w:pPr>
              <w:spacing w:after="0" w:line="360" w:lineRule="auto"/>
              <w:jc w:val="center"/>
              <w:rPr>
                <w:color w:val="000000"/>
                <w:szCs w:val="24"/>
                <w:highlight w:val="black"/>
                <w:u w:val="single"/>
              </w:rPr>
            </w:pPr>
            <w:r w:rsidRPr="00E32A0D">
              <w:rPr>
                <w:color w:val="000000"/>
                <w:szCs w:val="24"/>
                <w:highlight w:val="black"/>
                <w:u w:val="single"/>
              </w:rPr>
              <w:t>XXX</w:t>
            </w:r>
          </w:p>
        </w:tc>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3FED" w:rsidRPr="00E32A0D" w:rsidRDefault="00E32A0D" w:rsidP="00193FED">
            <w:pPr>
              <w:spacing w:after="0" w:line="360" w:lineRule="auto"/>
              <w:jc w:val="center"/>
              <w:rPr>
                <w:color w:val="000000"/>
                <w:szCs w:val="24"/>
                <w:highlight w:val="black"/>
                <w:u w:val="single"/>
              </w:rPr>
            </w:pPr>
            <w:r w:rsidRPr="00E32A0D">
              <w:rPr>
                <w:color w:val="000000"/>
                <w:szCs w:val="24"/>
                <w:highlight w:val="black"/>
                <w:u w:val="single"/>
              </w:rPr>
              <w:t>XX</w:t>
            </w:r>
          </w:p>
        </w:tc>
      </w:tr>
      <w:tr w:rsidR="00193FED" w:rsidRPr="00D15A10" w:rsidTr="00193FED">
        <w:trPr>
          <w:jc w:val="center"/>
        </w:trPr>
        <w:tc>
          <w:tcPr>
            <w:tcW w:w="918" w:type="dxa"/>
            <w:vAlign w:val="bottom"/>
          </w:tcPr>
          <w:p w:rsidR="00193FED" w:rsidRPr="00D15A10" w:rsidRDefault="00193FED" w:rsidP="00193FED">
            <w:pPr>
              <w:spacing w:after="0" w:line="360" w:lineRule="auto"/>
              <w:rPr>
                <w:b/>
                <w:color w:val="000000"/>
                <w:szCs w:val="24"/>
              </w:rPr>
            </w:pPr>
            <w:r w:rsidRPr="00D15A10">
              <w:rPr>
                <w:b/>
                <w:color w:val="000000"/>
                <w:szCs w:val="24"/>
              </w:rPr>
              <w:t>Zone 2</w:t>
            </w:r>
          </w:p>
        </w:tc>
        <w:tc>
          <w:tcPr>
            <w:tcW w:w="774" w:type="dxa"/>
            <w:tcBorders>
              <w:right w:val="single" w:sz="4" w:space="0" w:color="auto"/>
            </w:tcBorders>
            <w:vAlign w:val="bottom"/>
          </w:tcPr>
          <w:p w:rsidR="00193FED" w:rsidRPr="00D15A10" w:rsidRDefault="00193FED" w:rsidP="00193FED">
            <w:pPr>
              <w:spacing w:after="0" w:line="360" w:lineRule="auto"/>
              <w:jc w:val="right"/>
              <w:rPr>
                <w:color w:val="000000"/>
                <w:szCs w:val="24"/>
              </w:rPr>
            </w:pPr>
            <w:r w:rsidRPr="00D15A10">
              <w:rPr>
                <w:color w:val="000000"/>
                <w:szCs w:val="24"/>
              </w:rPr>
              <w:t>29</w:t>
            </w:r>
          </w:p>
        </w:tc>
        <w:tc>
          <w:tcPr>
            <w:tcW w:w="594"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7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89"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9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25"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74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99"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tcPr>
          <w:p w:rsidR="00193FED" w:rsidRPr="00E32A0D" w:rsidRDefault="00E32A0D" w:rsidP="00193FED">
            <w:pPr>
              <w:spacing w:after="0" w:line="360" w:lineRule="auto"/>
              <w:jc w:val="center"/>
              <w:rPr>
                <w:color w:val="000000"/>
                <w:szCs w:val="24"/>
                <w:highlight w:val="black"/>
                <w:u w:val="single"/>
              </w:rPr>
            </w:pPr>
            <w:r w:rsidRPr="00E32A0D">
              <w:rPr>
                <w:color w:val="000000"/>
                <w:szCs w:val="24"/>
                <w:highlight w:val="black"/>
                <w:u w:val="single"/>
              </w:rPr>
              <w:t>XXX</w:t>
            </w:r>
          </w:p>
        </w:tc>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3FED" w:rsidRPr="00E32A0D" w:rsidRDefault="00E32A0D" w:rsidP="00193FED">
            <w:pPr>
              <w:spacing w:after="0" w:line="360" w:lineRule="auto"/>
              <w:jc w:val="center"/>
              <w:rPr>
                <w:color w:val="000000"/>
                <w:szCs w:val="24"/>
                <w:highlight w:val="black"/>
                <w:u w:val="single"/>
              </w:rPr>
            </w:pPr>
            <w:r w:rsidRPr="00E32A0D">
              <w:rPr>
                <w:color w:val="000000"/>
                <w:szCs w:val="24"/>
                <w:highlight w:val="black"/>
                <w:u w:val="single"/>
              </w:rPr>
              <w:t>XX</w:t>
            </w:r>
          </w:p>
        </w:tc>
      </w:tr>
      <w:tr w:rsidR="00193FED" w:rsidRPr="00D15A10" w:rsidTr="00193FED">
        <w:trPr>
          <w:jc w:val="center"/>
        </w:trPr>
        <w:tc>
          <w:tcPr>
            <w:tcW w:w="918" w:type="dxa"/>
            <w:vAlign w:val="bottom"/>
          </w:tcPr>
          <w:p w:rsidR="00193FED" w:rsidRPr="00D15A10" w:rsidRDefault="00193FED" w:rsidP="00193FED">
            <w:pPr>
              <w:spacing w:after="0" w:line="360" w:lineRule="auto"/>
              <w:rPr>
                <w:b/>
                <w:color w:val="000000"/>
                <w:szCs w:val="24"/>
              </w:rPr>
            </w:pPr>
            <w:r w:rsidRPr="00D15A10">
              <w:rPr>
                <w:b/>
                <w:color w:val="000000"/>
                <w:szCs w:val="24"/>
              </w:rPr>
              <w:t>Zone 3</w:t>
            </w:r>
          </w:p>
        </w:tc>
        <w:tc>
          <w:tcPr>
            <w:tcW w:w="774" w:type="dxa"/>
            <w:tcBorders>
              <w:right w:val="single" w:sz="4" w:space="0" w:color="auto"/>
            </w:tcBorders>
            <w:vAlign w:val="bottom"/>
          </w:tcPr>
          <w:p w:rsidR="00193FED" w:rsidRPr="00D15A10" w:rsidRDefault="00193FED" w:rsidP="00193FED">
            <w:pPr>
              <w:spacing w:after="0" w:line="360" w:lineRule="auto"/>
              <w:jc w:val="right"/>
              <w:rPr>
                <w:color w:val="000000"/>
                <w:szCs w:val="24"/>
              </w:rPr>
            </w:pPr>
            <w:r w:rsidRPr="00D15A10">
              <w:rPr>
                <w:color w:val="000000"/>
                <w:szCs w:val="24"/>
              </w:rPr>
              <w:t>25</w:t>
            </w:r>
          </w:p>
        </w:tc>
        <w:tc>
          <w:tcPr>
            <w:tcW w:w="594"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7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89"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9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25"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74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99"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tcPr>
          <w:p w:rsidR="00193FED" w:rsidRPr="00E32A0D" w:rsidRDefault="00E32A0D" w:rsidP="00193FED">
            <w:pPr>
              <w:spacing w:after="0" w:line="360" w:lineRule="auto"/>
              <w:jc w:val="center"/>
              <w:rPr>
                <w:color w:val="000000"/>
                <w:szCs w:val="24"/>
                <w:highlight w:val="black"/>
                <w:u w:val="single"/>
              </w:rPr>
            </w:pPr>
            <w:r w:rsidRPr="00E32A0D">
              <w:rPr>
                <w:color w:val="000000"/>
                <w:szCs w:val="24"/>
                <w:highlight w:val="black"/>
                <w:u w:val="single"/>
              </w:rPr>
              <w:t>XXX</w:t>
            </w:r>
          </w:p>
        </w:tc>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3FED" w:rsidRPr="00E32A0D" w:rsidRDefault="00E32A0D" w:rsidP="00193FED">
            <w:pPr>
              <w:spacing w:after="0" w:line="360" w:lineRule="auto"/>
              <w:jc w:val="center"/>
              <w:rPr>
                <w:color w:val="000000"/>
                <w:szCs w:val="24"/>
                <w:highlight w:val="black"/>
                <w:u w:val="single"/>
              </w:rPr>
            </w:pPr>
            <w:r w:rsidRPr="00E32A0D">
              <w:rPr>
                <w:color w:val="000000"/>
                <w:szCs w:val="24"/>
                <w:highlight w:val="black"/>
                <w:u w:val="single"/>
              </w:rPr>
              <w:t>XX</w:t>
            </w:r>
          </w:p>
        </w:tc>
      </w:tr>
      <w:tr w:rsidR="00193FED" w:rsidRPr="00D15A10" w:rsidTr="00193FED">
        <w:trPr>
          <w:jc w:val="center"/>
        </w:trPr>
        <w:tc>
          <w:tcPr>
            <w:tcW w:w="918" w:type="dxa"/>
            <w:vAlign w:val="bottom"/>
          </w:tcPr>
          <w:p w:rsidR="00193FED" w:rsidRPr="00D15A10" w:rsidRDefault="00193FED" w:rsidP="00193FED">
            <w:pPr>
              <w:spacing w:after="0" w:line="360" w:lineRule="auto"/>
              <w:rPr>
                <w:b/>
                <w:color w:val="000000"/>
                <w:szCs w:val="24"/>
              </w:rPr>
            </w:pPr>
            <w:r w:rsidRPr="00D15A10">
              <w:rPr>
                <w:b/>
                <w:color w:val="000000"/>
                <w:szCs w:val="24"/>
              </w:rPr>
              <w:t>Zone 4</w:t>
            </w:r>
          </w:p>
        </w:tc>
        <w:tc>
          <w:tcPr>
            <w:tcW w:w="774" w:type="dxa"/>
            <w:tcBorders>
              <w:right w:val="single" w:sz="4" w:space="0" w:color="auto"/>
            </w:tcBorders>
            <w:vAlign w:val="bottom"/>
          </w:tcPr>
          <w:p w:rsidR="00193FED" w:rsidRPr="00D15A10" w:rsidRDefault="00193FED" w:rsidP="00193FED">
            <w:pPr>
              <w:spacing w:after="0" w:line="360" w:lineRule="auto"/>
              <w:jc w:val="right"/>
              <w:rPr>
                <w:color w:val="000000"/>
                <w:szCs w:val="24"/>
              </w:rPr>
            </w:pPr>
            <w:r w:rsidRPr="00D15A10">
              <w:rPr>
                <w:color w:val="000000"/>
                <w:szCs w:val="24"/>
              </w:rPr>
              <w:t>18</w:t>
            </w:r>
          </w:p>
        </w:tc>
        <w:tc>
          <w:tcPr>
            <w:tcW w:w="594"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7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89"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9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25"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74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99"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tcPr>
          <w:p w:rsidR="00193FED" w:rsidRPr="00E32A0D" w:rsidRDefault="00E32A0D" w:rsidP="00193FED">
            <w:pPr>
              <w:spacing w:after="0" w:line="360" w:lineRule="auto"/>
              <w:jc w:val="center"/>
              <w:rPr>
                <w:color w:val="000000"/>
                <w:szCs w:val="24"/>
                <w:highlight w:val="black"/>
                <w:u w:val="single"/>
              </w:rPr>
            </w:pPr>
            <w:r w:rsidRPr="00E32A0D">
              <w:rPr>
                <w:color w:val="000000"/>
                <w:szCs w:val="24"/>
                <w:highlight w:val="black"/>
                <w:u w:val="single"/>
              </w:rPr>
              <w:t>XXX</w:t>
            </w:r>
          </w:p>
        </w:tc>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3FED" w:rsidRPr="00E32A0D" w:rsidRDefault="00E32A0D" w:rsidP="00193FED">
            <w:pPr>
              <w:spacing w:after="0" w:line="360" w:lineRule="auto"/>
              <w:jc w:val="center"/>
              <w:rPr>
                <w:color w:val="000000"/>
                <w:szCs w:val="24"/>
                <w:highlight w:val="black"/>
                <w:u w:val="single"/>
              </w:rPr>
            </w:pPr>
            <w:r w:rsidRPr="00E32A0D">
              <w:rPr>
                <w:color w:val="000000"/>
                <w:szCs w:val="24"/>
                <w:highlight w:val="black"/>
                <w:u w:val="single"/>
              </w:rPr>
              <w:t>XX</w:t>
            </w:r>
          </w:p>
        </w:tc>
      </w:tr>
      <w:tr w:rsidR="00193FED" w:rsidRPr="00D15A10" w:rsidTr="00193FED">
        <w:trPr>
          <w:jc w:val="center"/>
        </w:trPr>
        <w:tc>
          <w:tcPr>
            <w:tcW w:w="918" w:type="dxa"/>
            <w:vAlign w:val="bottom"/>
          </w:tcPr>
          <w:p w:rsidR="00193FED" w:rsidRPr="00D15A10" w:rsidRDefault="00193FED" w:rsidP="00193FED">
            <w:pPr>
              <w:spacing w:after="0" w:line="360" w:lineRule="auto"/>
              <w:rPr>
                <w:b/>
                <w:color w:val="000000"/>
                <w:szCs w:val="24"/>
              </w:rPr>
            </w:pPr>
            <w:r w:rsidRPr="00D15A10">
              <w:rPr>
                <w:b/>
                <w:color w:val="000000"/>
                <w:szCs w:val="24"/>
              </w:rPr>
              <w:t>Zone 5</w:t>
            </w:r>
          </w:p>
        </w:tc>
        <w:tc>
          <w:tcPr>
            <w:tcW w:w="774" w:type="dxa"/>
            <w:tcBorders>
              <w:right w:val="single" w:sz="4" w:space="0" w:color="auto"/>
            </w:tcBorders>
            <w:vAlign w:val="bottom"/>
          </w:tcPr>
          <w:p w:rsidR="00193FED" w:rsidRPr="00D15A10" w:rsidRDefault="00193FED" w:rsidP="00193FED">
            <w:pPr>
              <w:spacing w:after="0" w:line="360" w:lineRule="auto"/>
              <w:jc w:val="right"/>
              <w:rPr>
                <w:color w:val="000000"/>
                <w:szCs w:val="24"/>
              </w:rPr>
            </w:pPr>
            <w:r w:rsidRPr="00D15A10">
              <w:rPr>
                <w:color w:val="000000"/>
                <w:szCs w:val="24"/>
              </w:rPr>
              <w:t>1</w:t>
            </w:r>
          </w:p>
        </w:tc>
        <w:tc>
          <w:tcPr>
            <w:tcW w:w="594"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7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89"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9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25"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74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99"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6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color w:val="000000"/>
                <w:szCs w:val="24"/>
                <w:highlight w:val="black"/>
                <w:u w:val="single"/>
              </w:rPr>
            </w:pPr>
            <w:r w:rsidRPr="00E32A0D">
              <w:rPr>
                <w:color w:val="000000"/>
                <w:szCs w:val="24"/>
                <w:highlight w:val="black"/>
                <w:u w:val="single"/>
              </w:rPr>
              <w:t>X</w:t>
            </w: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tcPr>
          <w:p w:rsidR="00193FED" w:rsidRPr="00E32A0D" w:rsidRDefault="00E32A0D" w:rsidP="00193FED">
            <w:pPr>
              <w:spacing w:after="0" w:line="360" w:lineRule="auto"/>
              <w:jc w:val="center"/>
              <w:rPr>
                <w:color w:val="000000"/>
                <w:szCs w:val="24"/>
                <w:highlight w:val="black"/>
                <w:u w:val="single"/>
              </w:rPr>
            </w:pPr>
            <w:r w:rsidRPr="00E32A0D">
              <w:rPr>
                <w:color w:val="000000"/>
                <w:szCs w:val="24"/>
                <w:highlight w:val="black"/>
                <w:u w:val="single"/>
              </w:rPr>
              <w:t>XXX</w:t>
            </w:r>
          </w:p>
        </w:tc>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3FED" w:rsidRPr="00E32A0D" w:rsidRDefault="00E32A0D" w:rsidP="00193FED">
            <w:pPr>
              <w:spacing w:after="0" w:line="360" w:lineRule="auto"/>
              <w:jc w:val="center"/>
              <w:rPr>
                <w:color w:val="000000"/>
                <w:szCs w:val="24"/>
                <w:highlight w:val="black"/>
                <w:u w:val="single"/>
              </w:rPr>
            </w:pPr>
            <w:r w:rsidRPr="00E32A0D">
              <w:rPr>
                <w:color w:val="000000"/>
                <w:szCs w:val="24"/>
                <w:highlight w:val="black"/>
                <w:u w:val="single"/>
              </w:rPr>
              <w:t>XX</w:t>
            </w:r>
          </w:p>
        </w:tc>
      </w:tr>
      <w:tr w:rsidR="00193FED" w:rsidRPr="00D15A10" w:rsidTr="00193FED">
        <w:trPr>
          <w:jc w:val="center"/>
        </w:trPr>
        <w:tc>
          <w:tcPr>
            <w:tcW w:w="918" w:type="dxa"/>
            <w:vAlign w:val="bottom"/>
          </w:tcPr>
          <w:p w:rsidR="00193FED" w:rsidRPr="00D15A10" w:rsidRDefault="00193FED" w:rsidP="00193FED">
            <w:pPr>
              <w:spacing w:after="0" w:line="360" w:lineRule="auto"/>
              <w:rPr>
                <w:b/>
                <w:bCs/>
                <w:color w:val="000000"/>
                <w:szCs w:val="24"/>
              </w:rPr>
            </w:pPr>
            <w:r w:rsidRPr="00D15A10">
              <w:rPr>
                <w:b/>
                <w:bCs/>
                <w:color w:val="000000"/>
                <w:szCs w:val="24"/>
              </w:rPr>
              <w:t>Total</w:t>
            </w:r>
          </w:p>
        </w:tc>
        <w:tc>
          <w:tcPr>
            <w:tcW w:w="774" w:type="dxa"/>
            <w:tcBorders>
              <w:right w:val="single" w:sz="4" w:space="0" w:color="auto"/>
            </w:tcBorders>
            <w:vAlign w:val="bottom"/>
          </w:tcPr>
          <w:p w:rsidR="00193FED" w:rsidRPr="00D15A10" w:rsidRDefault="00193FED" w:rsidP="00193FED">
            <w:pPr>
              <w:spacing w:after="0" w:line="360" w:lineRule="auto"/>
              <w:jc w:val="right"/>
              <w:rPr>
                <w:b/>
                <w:bCs/>
                <w:color w:val="000000"/>
                <w:szCs w:val="24"/>
              </w:rPr>
            </w:pPr>
            <w:r w:rsidRPr="00D15A10">
              <w:rPr>
                <w:b/>
                <w:bCs/>
                <w:color w:val="000000"/>
                <w:szCs w:val="24"/>
              </w:rPr>
              <w:t>102</w:t>
            </w:r>
          </w:p>
        </w:tc>
        <w:tc>
          <w:tcPr>
            <w:tcW w:w="594"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b/>
                <w:bCs/>
                <w:color w:val="000000"/>
                <w:szCs w:val="24"/>
                <w:highlight w:val="black"/>
                <w:u w:val="single"/>
              </w:rPr>
            </w:pPr>
            <w:r w:rsidRPr="00E32A0D">
              <w:rPr>
                <w:b/>
                <w:bCs/>
                <w:color w:val="000000"/>
                <w:szCs w:val="24"/>
                <w:highlight w:val="black"/>
                <w:u w:val="single"/>
              </w:rPr>
              <w:t>XX</w:t>
            </w:r>
          </w:p>
        </w:tc>
        <w:tc>
          <w:tcPr>
            <w:tcW w:w="7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b/>
                <w:bCs/>
                <w:color w:val="000000"/>
                <w:szCs w:val="24"/>
                <w:highlight w:val="black"/>
                <w:u w:val="single"/>
              </w:rPr>
            </w:pPr>
            <w:r w:rsidRPr="00E32A0D">
              <w:rPr>
                <w:b/>
                <w:bCs/>
                <w:color w:val="000000"/>
                <w:szCs w:val="24"/>
                <w:highlight w:val="black"/>
                <w:u w:val="single"/>
              </w:rPr>
              <w:t>XX</w:t>
            </w:r>
          </w:p>
        </w:tc>
        <w:tc>
          <w:tcPr>
            <w:tcW w:w="689"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b/>
                <w:bCs/>
                <w:color w:val="000000"/>
                <w:szCs w:val="24"/>
                <w:highlight w:val="black"/>
                <w:u w:val="single"/>
              </w:rPr>
            </w:pPr>
            <w:r w:rsidRPr="00E32A0D">
              <w:rPr>
                <w:b/>
                <w:bCs/>
                <w:color w:val="000000"/>
                <w:szCs w:val="24"/>
                <w:highlight w:val="black"/>
                <w:u w:val="single"/>
              </w:rPr>
              <w:t>XX</w:t>
            </w:r>
          </w:p>
        </w:tc>
        <w:tc>
          <w:tcPr>
            <w:tcW w:w="69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b/>
                <w:bCs/>
                <w:color w:val="000000"/>
                <w:szCs w:val="24"/>
                <w:highlight w:val="black"/>
                <w:u w:val="single"/>
              </w:rPr>
            </w:pPr>
            <w:r w:rsidRPr="00E32A0D">
              <w:rPr>
                <w:b/>
                <w:bCs/>
                <w:color w:val="000000"/>
                <w:szCs w:val="24"/>
                <w:highlight w:val="black"/>
                <w:u w:val="single"/>
              </w:rPr>
              <w:t>XX</w:t>
            </w:r>
          </w:p>
        </w:tc>
        <w:tc>
          <w:tcPr>
            <w:tcW w:w="625"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b/>
                <w:bCs/>
                <w:color w:val="000000"/>
                <w:szCs w:val="24"/>
                <w:highlight w:val="black"/>
                <w:u w:val="single"/>
              </w:rPr>
            </w:pPr>
            <w:r w:rsidRPr="00E32A0D">
              <w:rPr>
                <w:b/>
                <w:bCs/>
                <w:color w:val="000000"/>
                <w:szCs w:val="24"/>
                <w:highlight w:val="black"/>
                <w:u w:val="single"/>
              </w:rPr>
              <w:t>XX</w:t>
            </w:r>
          </w:p>
        </w:tc>
        <w:tc>
          <w:tcPr>
            <w:tcW w:w="74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b/>
                <w:bCs/>
                <w:color w:val="000000"/>
                <w:szCs w:val="24"/>
                <w:highlight w:val="black"/>
                <w:u w:val="single"/>
              </w:rPr>
            </w:pPr>
            <w:r w:rsidRPr="00E32A0D">
              <w:rPr>
                <w:b/>
                <w:bCs/>
                <w:color w:val="000000"/>
                <w:szCs w:val="24"/>
                <w:highlight w:val="black"/>
                <w:u w:val="single"/>
              </w:rPr>
              <w:t>XX</w:t>
            </w:r>
          </w:p>
        </w:tc>
        <w:tc>
          <w:tcPr>
            <w:tcW w:w="699"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193FED" w:rsidRPr="00E32A0D" w:rsidRDefault="00E32A0D" w:rsidP="00193FED">
            <w:pPr>
              <w:spacing w:after="0" w:line="360" w:lineRule="auto"/>
              <w:jc w:val="right"/>
              <w:rPr>
                <w:b/>
                <w:bCs/>
                <w:color w:val="000000"/>
                <w:szCs w:val="24"/>
                <w:highlight w:val="black"/>
                <w:u w:val="single"/>
              </w:rPr>
            </w:pPr>
            <w:r w:rsidRPr="00E32A0D">
              <w:rPr>
                <w:b/>
                <w:bCs/>
                <w:color w:val="000000"/>
                <w:szCs w:val="24"/>
                <w:highlight w:val="black"/>
                <w:u w:val="single"/>
              </w:rPr>
              <w:t>XX</w:t>
            </w:r>
          </w:p>
        </w:tc>
        <w:tc>
          <w:tcPr>
            <w:tcW w:w="6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93FED" w:rsidRPr="00E32A0D" w:rsidRDefault="00E32A0D" w:rsidP="00193FED">
            <w:pPr>
              <w:spacing w:after="0" w:line="360" w:lineRule="auto"/>
              <w:jc w:val="right"/>
              <w:rPr>
                <w:b/>
                <w:bCs/>
                <w:color w:val="000000"/>
                <w:szCs w:val="24"/>
                <w:highlight w:val="black"/>
                <w:u w:val="single"/>
              </w:rPr>
            </w:pPr>
            <w:r w:rsidRPr="00E32A0D">
              <w:rPr>
                <w:b/>
                <w:bCs/>
                <w:color w:val="000000"/>
                <w:szCs w:val="24"/>
                <w:highlight w:val="black"/>
                <w:u w:val="single"/>
              </w:rPr>
              <w:t>XX</w:t>
            </w: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tcPr>
          <w:p w:rsidR="00193FED" w:rsidRPr="00E32A0D" w:rsidRDefault="00E32A0D" w:rsidP="00193FED">
            <w:pPr>
              <w:spacing w:after="0" w:line="360" w:lineRule="auto"/>
              <w:jc w:val="center"/>
              <w:rPr>
                <w:b/>
                <w:bCs/>
                <w:color w:val="000000"/>
                <w:szCs w:val="24"/>
                <w:highlight w:val="black"/>
                <w:u w:val="single"/>
              </w:rPr>
            </w:pPr>
            <w:r w:rsidRPr="00E32A0D">
              <w:rPr>
                <w:b/>
                <w:bCs/>
                <w:color w:val="000000"/>
                <w:szCs w:val="24"/>
                <w:highlight w:val="black"/>
                <w:u w:val="single"/>
              </w:rPr>
              <w:t>XXX</w:t>
            </w:r>
          </w:p>
        </w:tc>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3FED" w:rsidRPr="00E32A0D" w:rsidRDefault="00E32A0D" w:rsidP="00193FED">
            <w:pPr>
              <w:spacing w:after="0" w:line="360" w:lineRule="auto"/>
              <w:jc w:val="center"/>
              <w:rPr>
                <w:b/>
                <w:bCs/>
                <w:color w:val="000000"/>
                <w:szCs w:val="24"/>
                <w:highlight w:val="black"/>
                <w:u w:val="single"/>
              </w:rPr>
            </w:pPr>
            <w:r w:rsidRPr="00E32A0D">
              <w:rPr>
                <w:b/>
                <w:bCs/>
                <w:color w:val="000000"/>
                <w:szCs w:val="24"/>
                <w:highlight w:val="black"/>
                <w:u w:val="single"/>
              </w:rPr>
              <w:t>XXX</w:t>
            </w:r>
          </w:p>
        </w:tc>
      </w:tr>
    </w:tbl>
    <w:p w:rsidR="00193FED" w:rsidRDefault="00193FED" w:rsidP="00DD2016">
      <w:pPr>
        <w:pStyle w:val="NoSpacing"/>
        <w:spacing w:line="480" w:lineRule="auto"/>
        <w:ind w:left="720" w:hanging="720"/>
      </w:pPr>
    </w:p>
    <w:p w:rsidR="00904C1D" w:rsidRDefault="00193FED" w:rsidP="00DD2016">
      <w:pPr>
        <w:pStyle w:val="NoSpacing"/>
        <w:spacing w:line="480" w:lineRule="auto"/>
        <w:ind w:left="720" w:firstLine="720"/>
        <w:sectPr w:rsidR="00904C1D" w:rsidSect="004B1C98">
          <w:footerReference w:type="default" r:id="rId17"/>
          <w:pgSz w:w="12240" w:h="15840"/>
          <w:pgMar w:top="1440" w:right="1440" w:bottom="1440" w:left="1872" w:header="720" w:footer="720" w:gutter="0"/>
          <w:lnNumType w:countBy="1"/>
          <w:cols w:space="720"/>
          <w:docGrid w:linePitch="360"/>
        </w:sectPr>
      </w:pPr>
      <w:proofErr w:type="gramStart"/>
      <w:r w:rsidRPr="009C5B5C">
        <w:t xml:space="preserve">Similarly, </w:t>
      </w:r>
      <w:r>
        <w:t xml:space="preserve">as also shown in Exhibit </w:t>
      </w:r>
      <w:r w:rsidR="00DD2016">
        <w:t>No.</w:t>
      </w:r>
      <w:proofErr w:type="gramEnd"/>
      <w:r w:rsidR="00DD2016">
        <w:t xml:space="preserve"> </w:t>
      </w:r>
      <w:r>
        <w:t>___ (</w:t>
      </w:r>
      <w:proofErr w:type="spellStart"/>
      <w:r>
        <w:t>JL-2HC</w:t>
      </w:r>
      <w:proofErr w:type="spellEnd"/>
      <w:r>
        <w:t>)</w:t>
      </w:r>
      <w:proofErr w:type="gramStart"/>
      <w:r>
        <w:t xml:space="preserve">,  </w:t>
      </w:r>
      <w:r w:rsidRPr="009C5B5C">
        <w:t>Verizon’s</w:t>
      </w:r>
      <w:proofErr w:type="gramEnd"/>
      <w:r w:rsidRPr="009C5B5C">
        <w:t xml:space="preserve"> current </w:t>
      </w:r>
      <w:r>
        <w:t>fiber-to-the-premises (</w:t>
      </w:r>
      <w:proofErr w:type="spellStart"/>
      <w:r>
        <w:t>FTTP</w:t>
      </w:r>
      <w:proofErr w:type="spellEnd"/>
      <w:r>
        <w:t>) service, Fiber Optic Service (</w:t>
      </w:r>
      <w:proofErr w:type="spellStart"/>
      <w:r>
        <w:t>FiOS</w:t>
      </w:r>
      <w:proofErr w:type="spellEnd"/>
      <w:r>
        <w:t xml:space="preserve">) is </w:t>
      </w:r>
      <w:r w:rsidRPr="009C5B5C">
        <w:t xml:space="preserve">heavily </w:t>
      </w:r>
    </w:p>
    <w:p w:rsidR="00193FED" w:rsidRDefault="00193FED" w:rsidP="00904C1D">
      <w:pPr>
        <w:pStyle w:val="NoSpacing"/>
        <w:spacing w:line="480" w:lineRule="auto"/>
        <w:ind w:left="720"/>
      </w:pPr>
      <w:proofErr w:type="gramStart"/>
      <w:r w:rsidRPr="009C5B5C">
        <w:lastRenderedPageBreak/>
        <w:t>concentrated</w:t>
      </w:r>
      <w:proofErr w:type="gramEnd"/>
      <w:r w:rsidRPr="009C5B5C">
        <w:t xml:space="preserve"> in urban areas.</w:t>
      </w:r>
      <w:r>
        <w:t xml:space="preserve">  It is available mainly in 14 wire centers, 12 of which belong to UNE Zone 1; 2 to UNE Zone 2; and none to UNE Zones 3-5.</w:t>
      </w:r>
      <w:r w:rsidRPr="009263E5">
        <w:rPr>
          <w:rStyle w:val="FootnoteReference"/>
        </w:rPr>
        <w:t xml:space="preserve"> </w:t>
      </w:r>
    </w:p>
    <w:p w:rsidR="00193FED" w:rsidRDefault="00193FED" w:rsidP="00DD2016">
      <w:pPr>
        <w:pStyle w:val="NoSpacing"/>
        <w:spacing w:line="480" w:lineRule="auto"/>
        <w:ind w:left="720" w:firstLine="720"/>
      </w:pPr>
      <w:r w:rsidRPr="009C5B5C">
        <w:t>We have no reason to believe that Frontier will ever give priority to the high</w:t>
      </w:r>
      <w:r>
        <w:t>-</w:t>
      </w:r>
      <w:r w:rsidRPr="009C5B5C">
        <w:t xml:space="preserve">cost wire centers in the future.  </w:t>
      </w:r>
      <w:r>
        <w:t>As Mr. McCarthy stated in his direct testimony, t</w:t>
      </w:r>
      <w:r w:rsidRPr="009C5B5C">
        <w:t xml:space="preserve">he company’s investment will first go to areas where they can reach the highest number of customers most quickly. </w:t>
      </w:r>
      <w:r w:rsidRPr="009C5B5C">
        <w:rPr>
          <w:rStyle w:val="FootnoteReference"/>
        </w:rPr>
        <w:footnoteReference w:id="27"/>
      </w:r>
      <w:r w:rsidRPr="009C5B5C">
        <w:t xml:space="preserve">  </w:t>
      </w:r>
      <w:r>
        <w:t>T</w:t>
      </w:r>
      <w:r w:rsidRPr="009C5B5C">
        <w:t xml:space="preserve">he investment decision </w:t>
      </w:r>
      <w:r>
        <w:t>will be</w:t>
      </w:r>
      <w:r w:rsidRPr="009C5B5C">
        <w:t xml:space="preserve"> driven by corporate profit</w:t>
      </w:r>
      <w:r>
        <w:t xml:space="preserve"> motivation.  I</w:t>
      </w:r>
      <w:r w:rsidRPr="009C5B5C">
        <w:t xml:space="preserve">t is </w:t>
      </w:r>
      <w:r>
        <w:t xml:space="preserve">therefore </w:t>
      </w:r>
      <w:r w:rsidRPr="009C5B5C">
        <w:t xml:space="preserve">opposite to the </w:t>
      </w:r>
      <w:r>
        <w:t>S</w:t>
      </w:r>
      <w:r w:rsidRPr="009C5B5C">
        <w:t>tate’s objective of making advanced services more available to rural customers</w:t>
      </w:r>
      <w:r>
        <w:t>.</w:t>
      </w:r>
    </w:p>
    <w:p w:rsidR="00193FED" w:rsidRPr="009C5B5C" w:rsidRDefault="00193FED" w:rsidP="00193FED">
      <w:pPr>
        <w:pStyle w:val="NoSpacing"/>
        <w:spacing w:line="480" w:lineRule="auto"/>
      </w:pPr>
    </w:p>
    <w:p w:rsidR="00193FED" w:rsidRPr="009C5B5C" w:rsidRDefault="00193FED" w:rsidP="00DD2016">
      <w:pPr>
        <w:pStyle w:val="NoSpacing"/>
        <w:spacing w:line="480" w:lineRule="auto"/>
        <w:ind w:left="720" w:hanging="720"/>
        <w:rPr>
          <w:b/>
        </w:rPr>
      </w:pPr>
      <w:r>
        <w:rPr>
          <w:b/>
        </w:rPr>
        <w:t>Q.</w:t>
      </w:r>
      <w:r>
        <w:rPr>
          <w:b/>
        </w:rPr>
        <w:tab/>
      </w:r>
      <w:r w:rsidRPr="009C5B5C">
        <w:rPr>
          <w:b/>
        </w:rPr>
        <w:t xml:space="preserve">What is your recommended condition </w:t>
      </w:r>
      <w:r>
        <w:rPr>
          <w:b/>
        </w:rPr>
        <w:t>for</w:t>
      </w:r>
      <w:r w:rsidRPr="009C5B5C">
        <w:rPr>
          <w:b/>
        </w:rPr>
        <w:t xml:space="preserve"> Frontier’s broadband deployment in high-cost areas of Washington? </w:t>
      </w:r>
    </w:p>
    <w:p w:rsidR="00193FED" w:rsidRPr="006F4C1A" w:rsidRDefault="00193FED" w:rsidP="00DD2016">
      <w:pPr>
        <w:pStyle w:val="NoSpacing"/>
        <w:spacing w:line="480" w:lineRule="auto"/>
        <w:ind w:left="720" w:hanging="720"/>
      </w:pPr>
      <w:r>
        <w:t>A.</w:t>
      </w:r>
      <w:r>
        <w:tab/>
      </w:r>
      <w:r w:rsidRPr="009C5B5C">
        <w:t xml:space="preserve">In addition to the </w:t>
      </w:r>
      <w:r>
        <w:t xml:space="preserve">requirement </w:t>
      </w:r>
      <w:r w:rsidRPr="009C5B5C">
        <w:t xml:space="preserve">of </w:t>
      </w:r>
      <w:r>
        <w:t>9</w:t>
      </w:r>
      <w:r w:rsidRPr="009C5B5C">
        <w:t xml:space="preserve">5 percent </w:t>
      </w:r>
      <w:r>
        <w:t>state-wide broadband</w:t>
      </w:r>
      <w:r w:rsidRPr="009C5B5C">
        <w:t xml:space="preserve"> availability, </w:t>
      </w:r>
      <w:r>
        <w:t>the</w:t>
      </w:r>
      <w:r w:rsidRPr="009C5B5C">
        <w:t xml:space="preserve"> company </w:t>
      </w:r>
      <w:r>
        <w:t>should be required to provide</w:t>
      </w:r>
      <w:r w:rsidRPr="009C5B5C">
        <w:t xml:space="preserve"> </w:t>
      </w:r>
      <w:r>
        <w:t>broadband</w:t>
      </w:r>
      <w:r w:rsidRPr="009C5B5C">
        <w:t xml:space="preserve"> </w:t>
      </w:r>
      <w:r>
        <w:t>to</w:t>
      </w:r>
      <w:r w:rsidRPr="009C5B5C">
        <w:t xml:space="preserve"> at least 90 </w:t>
      </w:r>
      <w:r>
        <w:t xml:space="preserve">percent of its customers </w:t>
      </w:r>
      <w:r w:rsidRPr="009C5B5C">
        <w:t xml:space="preserve">in each of the 44 wire </w:t>
      </w:r>
      <w:r w:rsidRPr="00975E9F">
        <w:t xml:space="preserve">centers classified in UNE Zones 3-5, using DSL, </w:t>
      </w:r>
      <w:proofErr w:type="spellStart"/>
      <w:r w:rsidRPr="00975E9F">
        <w:t>FTTP</w:t>
      </w:r>
      <w:proofErr w:type="spellEnd"/>
      <w:r w:rsidRPr="00975E9F">
        <w:t xml:space="preserve"> or functionally equivalent technologies by December 31, 2013.  Frontier asserted that it is strategically focused on targeting </w:t>
      </w:r>
      <w:r w:rsidRPr="00975E9F">
        <w:rPr>
          <w:i/>
        </w:rPr>
        <w:t>smaller</w:t>
      </w:r>
      <w:r w:rsidRPr="00975E9F">
        <w:t xml:space="preserve"> markets and </w:t>
      </w:r>
      <w:r w:rsidRPr="00975E9F">
        <w:rPr>
          <w:i/>
        </w:rPr>
        <w:t>less-dense</w:t>
      </w:r>
      <w:r w:rsidRPr="00975E9F">
        <w:t xml:space="preserve"> regions for growth, including for increased broadband penetration.</w:t>
      </w:r>
      <w:r w:rsidRPr="00975E9F">
        <w:rPr>
          <w:rStyle w:val="FootnoteReference"/>
        </w:rPr>
        <w:footnoteReference w:id="28"/>
      </w:r>
      <w:r w:rsidRPr="00975E9F">
        <w:t xml:space="preserve">  Therefore, this condition</w:t>
      </w:r>
      <w:r w:rsidRPr="009C5B5C">
        <w:t xml:space="preserve"> is consistent with the company’s stated goal of retaining subscriber lines in rural areas.  More importantly, it addresses the equity aspect of the company’s future network investment.  </w:t>
      </w:r>
      <w:r>
        <w:t xml:space="preserve">The same broadband speed requirement discussed in the previous section should apply </w:t>
      </w:r>
      <w:r w:rsidRPr="006F4C1A">
        <w:t>to high-cost wire centers.</w:t>
      </w:r>
    </w:p>
    <w:p w:rsidR="00193FED" w:rsidRPr="00193FED" w:rsidRDefault="00193FED" w:rsidP="00DD2016">
      <w:pPr>
        <w:pStyle w:val="NoSpacing"/>
        <w:numPr>
          <w:ilvl w:val="0"/>
          <w:numId w:val="16"/>
        </w:numPr>
        <w:spacing w:line="480" w:lineRule="auto"/>
        <w:ind w:left="720"/>
        <w:jc w:val="center"/>
        <w:rPr>
          <w:b/>
          <w:caps/>
        </w:rPr>
      </w:pPr>
      <w:r w:rsidRPr="00193FED">
        <w:rPr>
          <w:b/>
          <w:caps/>
        </w:rPr>
        <w:lastRenderedPageBreak/>
        <w:t>Reporting requirements</w:t>
      </w:r>
    </w:p>
    <w:p w:rsidR="00193FED" w:rsidRDefault="00193FED" w:rsidP="00DD2016">
      <w:pPr>
        <w:pStyle w:val="NoSpacing"/>
        <w:spacing w:line="480" w:lineRule="auto"/>
        <w:ind w:left="720" w:hanging="720"/>
        <w:rPr>
          <w:b/>
        </w:rPr>
      </w:pPr>
    </w:p>
    <w:p w:rsidR="00193FED" w:rsidRPr="009C5B5C" w:rsidRDefault="00193FED" w:rsidP="00DD2016">
      <w:pPr>
        <w:pStyle w:val="NoSpacing"/>
        <w:spacing w:line="480" w:lineRule="auto"/>
        <w:ind w:left="720" w:hanging="720"/>
        <w:rPr>
          <w:b/>
        </w:rPr>
      </w:pPr>
      <w:r>
        <w:rPr>
          <w:b/>
        </w:rPr>
        <w:t>Q.</w:t>
      </w:r>
      <w:r>
        <w:rPr>
          <w:b/>
        </w:rPr>
        <w:tab/>
      </w:r>
      <w:r w:rsidRPr="009C5B5C">
        <w:rPr>
          <w:b/>
        </w:rPr>
        <w:t xml:space="preserve">What </w:t>
      </w:r>
      <w:r>
        <w:rPr>
          <w:b/>
        </w:rPr>
        <w:t>do you</w:t>
      </w:r>
      <w:r w:rsidRPr="009C5B5C">
        <w:rPr>
          <w:b/>
        </w:rPr>
        <w:t xml:space="preserve"> recommend</w:t>
      </w:r>
      <w:r>
        <w:rPr>
          <w:b/>
        </w:rPr>
        <w:t xml:space="preserve"> in terms of reporting requirements for Frontier’s broadband</w:t>
      </w:r>
      <w:r w:rsidRPr="009C5B5C">
        <w:rPr>
          <w:b/>
        </w:rPr>
        <w:t xml:space="preserve"> deployment? </w:t>
      </w:r>
    </w:p>
    <w:p w:rsidR="00193FED" w:rsidRPr="00975E9F" w:rsidRDefault="00193FED" w:rsidP="00DD2016">
      <w:pPr>
        <w:pStyle w:val="NoSpacing"/>
        <w:spacing w:line="480" w:lineRule="auto"/>
        <w:ind w:left="720" w:hanging="720"/>
      </w:pPr>
      <w:r>
        <w:t>A.</w:t>
      </w:r>
      <w:r>
        <w:tab/>
      </w:r>
      <w:r w:rsidRPr="009C5B5C">
        <w:t xml:space="preserve">To enforce the conditions on the company’s broadband deployment discussed in this testimony, I also recommend progress reporting requirements.  The company should file an initial plan on broadband deployment and subsequently a status report with the Commission annually.  It should submit the initial plan for </w:t>
      </w:r>
      <w:r>
        <w:t>broadband</w:t>
      </w:r>
      <w:r w:rsidRPr="009C5B5C">
        <w:t xml:space="preserve"> deployment within 90 days of the final approval of the merger.  It should file the annual progress report on </w:t>
      </w:r>
      <w:r>
        <w:t>broadband</w:t>
      </w:r>
      <w:r w:rsidRPr="009C5B5C">
        <w:t xml:space="preserve"> deployment with </w:t>
      </w:r>
      <w:r w:rsidRPr="00975E9F">
        <w:t xml:space="preserve">UTC no later than May 1 of each </w:t>
      </w:r>
      <w:r>
        <w:t xml:space="preserve">succeeding </w:t>
      </w:r>
      <w:r w:rsidRPr="00975E9F">
        <w:t>year following the merger approval until all goals specified in the approval order are achieved.  The annual report should contain information on a wire center basis as of December 31 of the previous year including:</w:t>
      </w:r>
    </w:p>
    <w:p w:rsidR="00DD2016" w:rsidRDefault="00193FED" w:rsidP="00DD2016">
      <w:pPr>
        <w:pStyle w:val="NoSpacing"/>
        <w:numPr>
          <w:ilvl w:val="0"/>
          <w:numId w:val="17"/>
        </w:numPr>
        <w:ind w:left="1440" w:hanging="630"/>
      </w:pPr>
      <w:r w:rsidRPr="00975E9F">
        <w:t>the total number of retail residential and business subscriber lines</w:t>
      </w:r>
      <w:r>
        <w:t xml:space="preserve"> served by the company </w:t>
      </w:r>
    </w:p>
    <w:p w:rsidR="00DD2016" w:rsidRDefault="00DD2016" w:rsidP="00DD2016">
      <w:pPr>
        <w:pStyle w:val="NoSpacing"/>
        <w:ind w:left="1440" w:hanging="630"/>
      </w:pPr>
    </w:p>
    <w:p w:rsidR="00DD2016" w:rsidRDefault="00193FED" w:rsidP="00DD2016">
      <w:pPr>
        <w:pStyle w:val="NoSpacing"/>
        <w:numPr>
          <w:ilvl w:val="0"/>
          <w:numId w:val="17"/>
        </w:numPr>
        <w:ind w:left="1440" w:hanging="630"/>
      </w:pPr>
      <w:r w:rsidRPr="009C5B5C">
        <w:t>the number of broadband-capable subscriber lines</w:t>
      </w:r>
      <w:r>
        <w:t xml:space="preserve"> by technology (DSL, </w:t>
      </w:r>
      <w:proofErr w:type="spellStart"/>
      <w:r>
        <w:t>FTTP</w:t>
      </w:r>
      <w:proofErr w:type="spellEnd"/>
      <w:r>
        <w:t xml:space="preserve"> and others)</w:t>
      </w:r>
    </w:p>
    <w:p w:rsidR="00DD2016" w:rsidRDefault="00DD2016" w:rsidP="00DD2016">
      <w:pPr>
        <w:pStyle w:val="NoSpacing"/>
        <w:ind w:left="1440" w:hanging="630"/>
      </w:pPr>
    </w:p>
    <w:p w:rsidR="00DD2016" w:rsidRDefault="00193FED" w:rsidP="00DD2016">
      <w:pPr>
        <w:pStyle w:val="NoSpacing"/>
        <w:numPr>
          <w:ilvl w:val="0"/>
          <w:numId w:val="17"/>
        </w:numPr>
        <w:ind w:left="1440" w:hanging="630"/>
      </w:pPr>
      <w:r>
        <w:t>the</w:t>
      </w:r>
      <w:r w:rsidRPr="009C5B5C">
        <w:t xml:space="preserve"> number of broad</w:t>
      </w:r>
      <w:r>
        <w:t>band subscribers by technology, including both subscribers of stand-alone broadband services and subscribers of bundles that contain broadband services, and</w:t>
      </w:r>
    </w:p>
    <w:p w:rsidR="00DD2016" w:rsidRDefault="00DD2016" w:rsidP="00DD2016">
      <w:pPr>
        <w:pStyle w:val="NoSpacing"/>
        <w:ind w:left="1440" w:hanging="630"/>
      </w:pPr>
    </w:p>
    <w:p w:rsidR="00DD2016" w:rsidRDefault="00193FED" w:rsidP="00DD2016">
      <w:pPr>
        <w:pStyle w:val="NoSpacing"/>
        <w:numPr>
          <w:ilvl w:val="0"/>
          <w:numId w:val="17"/>
        </w:numPr>
        <w:ind w:left="1440" w:hanging="630"/>
      </w:pPr>
      <w:proofErr w:type="gramStart"/>
      <w:r>
        <w:t>total</w:t>
      </w:r>
      <w:proofErr w:type="gramEnd"/>
      <w:r w:rsidRPr="009C5B5C">
        <w:t xml:space="preserve"> expenditure</w:t>
      </w:r>
      <w:r>
        <w:t>s</w:t>
      </w:r>
      <w:r w:rsidRPr="009C5B5C">
        <w:t xml:space="preserve"> associated with new broadband deployment in the </w:t>
      </w:r>
      <w:r>
        <w:t>previous calendar</w:t>
      </w:r>
      <w:r w:rsidRPr="009C5B5C">
        <w:t xml:space="preserve"> year by technolog</w:t>
      </w:r>
      <w:r>
        <w:t>y</w:t>
      </w:r>
      <w:r w:rsidRPr="009C5B5C">
        <w:t>.</w:t>
      </w:r>
    </w:p>
    <w:p w:rsidR="00DD2016" w:rsidRDefault="00DD2016" w:rsidP="00DD2016">
      <w:pPr>
        <w:pStyle w:val="ListParagraph"/>
        <w:ind w:hanging="720"/>
      </w:pPr>
    </w:p>
    <w:p w:rsidR="00DD2016" w:rsidRPr="009C5B5C" w:rsidRDefault="00DD2016" w:rsidP="00DD2016">
      <w:pPr>
        <w:pStyle w:val="NoSpacing"/>
        <w:ind w:left="720" w:hanging="720"/>
      </w:pPr>
    </w:p>
    <w:p w:rsidR="00193FED" w:rsidRPr="009C5B5C" w:rsidRDefault="00193FED" w:rsidP="00DD2016">
      <w:pPr>
        <w:pStyle w:val="NoSpacing"/>
        <w:ind w:left="720" w:hanging="720"/>
        <w:rPr>
          <w:color w:val="FF0000"/>
        </w:rPr>
      </w:pPr>
    </w:p>
    <w:p w:rsidR="00193FED" w:rsidRPr="00DD2016" w:rsidRDefault="00193FED" w:rsidP="00DD2016">
      <w:pPr>
        <w:pStyle w:val="NoSpacing"/>
        <w:keepNext/>
        <w:keepLines/>
        <w:numPr>
          <w:ilvl w:val="0"/>
          <w:numId w:val="16"/>
        </w:numPr>
        <w:spacing w:line="480" w:lineRule="auto"/>
        <w:ind w:left="720"/>
        <w:jc w:val="center"/>
        <w:rPr>
          <w:b/>
          <w:caps/>
        </w:rPr>
      </w:pPr>
      <w:r w:rsidRPr="00DD2016">
        <w:rPr>
          <w:b/>
          <w:caps/>
        </w:rPr>
        <w:lastRenderedPageBreak/>
        <w:t>Stand alone dsl offering and prices</w:t>
      </w:r>
    </w:p>
    <w:p w:rsidR="00193FED" w:rsidRPr="009C5B5C" w:rsidRDefault="00193FED" w:rsidP="00DD2016">
      <w:pPr>
        <w:pStyle w:val="NoSpacing"/>
        <w:keepNext/>
        <w:keepLines/>
        <w:spacing w:line="480" w:lineRule="auto"/>
        <w:ind w:left="720" w:hanging="720"/>
        <w:rPr>
          <w:b/>
        </w:rPr>
      </w:pPr>
    </w:p>
    <w:p w:rsidR="00193FED" w:rsidRPr="009C5B5C" w:rsidRDefault="00DD2016" w:rsidP="00DD2016">
      <w:pPr>
        <w:pStyle w:val="NoSpacing"/>
        <w:keepNext/>
        <w:keepLines/>
        <w:spacing w:line="480" w:lineRule="auto"/>
        <w:ind w:left="720" w:hanging="720"/>
        <w:rPr>
          <w:b/>
        </w:rPr>
      </w:pPr>
      <w:r>
        <w:rPr>
          <w:b/>
        </w:rPr>
        <w:t>Q.</w:t>
      </w:r>
      <w:r>
        <w:rPr>
          <w:b/>
        </w:rPr>
        <w:tab/>
      </w:r>
      <w:r w:rsidR="00193FED">
        <w:rPr>
          <w:b/>
        </w:rPr>
        <w:t>Do you have any other recommendation regarding the company’s future DSL offerings in Washington</w:t>
      </w:r>
      <w:r w:rsidR="00193FED" w:rsidRPr="009C5B5C">
        <w:rPr>
          <w:b/>
        </w:rPr>
        <w:t xml:space="preserve">? </w:t>
      </w:r>
    </w:p>
    <w:p w:rsidR="00193FED" w:rsidRDefault="00DD2016" w:rsidP="00DD2016">
      <w:pPr>
        <w:pStyle w:val="NoSpacing"/>
        <w:keepNext/>
        <w:keepLines/>
        <w:spacing w:line="480" w:lineRule="auto"/>
        <w:ind w:left="720" w:hanging="720"/>
        <w:rPr>
          <w:color w:val="FF0000"/>
        </w:rPr>
      </w:pPr>
      <w:r>
        <w:t>A.</w:t>
      </w:r>
      <w:r>
        <w:tab/>
      </w:r>
      <w:r w:rsidR="00193FED">
        <w:t>Yes</w:t>
      </w:r>
      <w:r>
        <w:t xml:space="preserve">. </w:t>
      </w:r>
      <w:r w:rsidR="00193FED">
        <w:t xml:space="preserve"> </w:t>
      </w:r>
      <w:r w:rsidR="00193FED" w:rsidRPr="009C5B5C">
        <w:t xml:space="preserve">I recommend that the </w:t>
      </w:r>
      <w:r>
        <w:t>C</w:t>
      </w:r>
      <w:r w:rsidR="00193FED" w:rsidRPr="009C5B5C">
        <w:t xml:space="preserve">ompany </w:t>
      </w:r>
      <w:r w:rsidR="00193FED">
        <w:t>be required to</w:t>
      </w:r>
      <w:r w:rsidR="00193FED" w:rsidRPr="009C5B5C">
        <w:t xml:space="preserve"> make DSL available to customers on </w:t>
      </w:r>
      <w:r w:rsidR="00193FED">
        <w:t>a stand-alone, or “</w:t>
      </w:r>
      <w:r w:rsidR="00193FED" w:rsidRPr="009C5B5C">
        <w:t>ala carte</w:t>
      </w:r>
      <w:r w:rsidR="00193FED">
        <w:t>”</w:t>
      </w:r>
      <w:r w:rsidR="00193FED" w:rsidRPr="009C5B5C">
        <w:t xml:space="preserve"> basis.  </w:t>
      </w:r>
      <w:r w:rsidR="00193FED">
        <w:t>A s</w:t>
      </w:r>
      <w:r w:rsidR="00193FED" w:rsidRPr="009C5B5C">
        <w:t>tand-alone broadband offering is important for consumers to have diverse choices as well as for competing VoIP providers to access customers.  Frontier currently provides stand-alone DSL services.</w:t>
      </w:r>
      <w:r w:rsidR="00193FED" w:rsidRPr="009C5B5C">
        <w:rPr>
          <w:color w:val="FF0000"/>
        </w:rPr>
        <w:t xml:space="preserve">  </w:t>
      </w:r>
      <w:r w:rsidR="00193FED">
        <w:t>The</w:t>
      </w:r>
      <w:r w:rsidR="00193FED" w:rsidRPr="009C5B5C">
        <w:t xml:space="preserve"> Commission </w:t>
      </w:r>
      <w:r w:rsidR="00193FED">
        <w:t xml:space="preserve">should </w:t>
      </w:r>
      <w:r w:rsidR="00193FED" w:rsidRPr="009C5B5C">
        <w:t xml:space="preserve">require Frontier to continue to </w:t>
      </w:r>
      <w:r w:rsidR="00193FED">
        <w:t>offer</w:t>
      </w:r>
      <w:r w:rsidR="00193FED" w:rsidRPr="009C5B5C">
        <w:t xml:space="preserve"> stand-alone DSL service </w:t>
      </w:r>
      <w:r w:rsidR="00193FED">
        <w:t>to ensure that Washington consumers get the maximum benefit from the expanded availability of DS</w:t>
      </w:r>
      <w:r w:rsidR="00193FED" w:rsidRPr="00A62BC0">
        <w:t>L.</w:t>
      </w:r>
      <w:r w:rsidR="00193FED" w:rsidRPr="009C5B5C">
        <w:rPr>
          <w:color w:val="FF0000"/>
        </w:rPr>
        <w:t xml:space="preserve">  </w:t>
      </w:r>
    </w:p>
    <w:p w:rsidR="00DD2016" w:rsidRDefault="00DD2016" w:rsidP="00DD2016">
      <w:pPr>
        <w:pStyle w:val="NoSpacing"/>
        <w:keepNext/>
        <w:keepLines/>
        <w:spacing w:line="480" w:lineRule="auto"/>
        <w:ind w:left="720" w:hanging="720"/>
        <w:rPr>
          <w:color w:val="FF0000"/>
        </w:rPr>
      </w:pPr>
    </w:p>
    <w:p w:rsidR="00193FED" w:rsidRPr="009C5B5C" w:rsidRDefault="00DD2016" w:rsidP="00DD2016">
      <w:pPr>
        <w:pStyle w:val="NoSpacing"/>
        <w:spacing w:line="480" w:lineRule="auto"/>
        <w:ind w:left="720" w:hanging="720"/>
        <w:rPr>
          <w:b/>
        </w:rPr>
      </w:pPr>
      <w:r>
        <w:rPr>
          <w:b/>
        </w:rPr>
        <w:t>Q.</w:t>
      </w:r>
      <w:r>
        <w:rPr>
          <w:b/>
        </w:rPr>
        <w:tab/>
      </w:r>
      <w:r w:rsidR="00193FED">
        <w:rPr>
          <w:b/>
        </w:rPr>
        <w:t>What do you think of Frontier’s price for stand-alone DSL services</w:t>
      </w:r>
      <w:r w:rsidR="00193FED" w:rsidRPr="009C5B5C">
        <w:rPr>
          <w:b/>
        </w:rPr>
        <w:t xml:space="preserve">? </w:t>
      </w:r>
    </w:p>
    <w:p w:rsidR="00193FED" w:rsidRDefault="00DD2016" w:rsidP="00DD2016">
      <w:pPr>
        <w:pStyle w:val="NoSpacing"/>
        <w:spacing w:line="480" w:lineRule="auto"/>
        <w:ind w:left="720" w:hanging="720"/>
      </w:pPr>
      <w:r>
        <w:t>A.</w:t>
      </w:r>
      <w:r>
        <w:tab/>
      </w:r>
      <w:r w:rsidR="00193FED">
        <w:t xml:space="preserve">I have serious concerns about the price increase of stand-alone DSL services after the transaction.  As shown in the following table, Frontier’s prices for stand-alone DSL are significantly higher than Verizon’s for similar levels of service.  Frontier’s low-end plan is priced at least 50 percent higher than Verizon’s most basic plan, and Frontier’s plan has lower downloading and uploading speed.  Frontier’s high end plan is priced at least 67 percent higher than Verizon’s medium level plan, with Frontier’s plan having lower uploading access speed.  Drastic price increase will make customers switch to alternative providers, which will not be desirable for Frontier.  Although the Commission does not regulate the rates for DSL services, it </w:t>
      </w:r>
      <w:r w:rsidR="00193FED">
        <w:lastRenderedPageBreak/>
        <w:t xml:space="preserve">should require Frontier to continue with Verizon’s price schedule for a period of time so that </w:t>
      </w:r>
      <w:proofErr w:type="gramStart"/>
      <w:r w:rsidR="00193FED">
        <w:t>Verizon’s existing</w:t>
      </w:r>
      <w:proofErr w:type="gramEnd"/>
      <w:r w:rsidR="00193FED">
        <w:t xml:space="preserve"> customers do not suffer a rate shock.  </w:t>
      </w:r>
    </w:p>
    <w:p w:rsidR="00193FED" w:rsidRDefault="00193FED" w:rsidP="00193FED">
      <w:pPr>
        <w:pStyle w:val="NoSpacing"/>
        <w:spacing w:line="480" w:lineRule="auto"/>
      </w:pPr>
    </w:p>
    <w:tbl>
      <w:tblPr>
        <w:tblW w:w="8936" w:type="dxa"/>
        <w:tblInd w:w="93" w:type="dxa"/>
        <w:tblLook w:val="04A0"/>
      </w:tblPr>
      <w:tblGrid>
        <w:gridCol w:w="4515"/>
        <w:gridCol w:w="1243"/>
        <w:gridCol w:w="1589"/>
        <w:gridCol w:w="1589"/>
      </w:tblGrid>
      <w:tr w:rsidR="00193FED" w:rsidRPr="00D55D9B" w:rsidTr="00193FED">
        <w:trPr>
          <w:cantSplit/>
          <w:trHeight w:val="300"/>
          <w:tblHeader/>
        </w:trPr>
        <w:tc>
          <w:tcPr>
            <w:tcW w:w="89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FED" w:rsidRPr="00D55D9B" w:rsidRDefault="00193FED" w:rsidP="00193FED">
            <w:pPr>
              <w:spacing w:after="0" w:line="360" w:lineRule="auto"/>
              <w:jc w:val="center"/>
              <w:rPr>
                <w:rFonts w:eastAsia="Times New Roman"/>
                <w:b/>
                <w:bCs/>
                <w:color w:val="000000"/>
                <w:szCs w:val="24"/>
              </w:rPr>
            </w:pPr>
            <w:r w:rsidRPr="00D55D9B">
              <w:rPr>
                <w:rFonts w:eastAsia="Times New Roman"/>
                <w:b/>
                <w:bCs/>
                <w:color w:val="000000"/>
                <w:szCs w:val="24"/>
              </w:rPr>
              <w:t xml:space="preserve">Table 3.  </w:t>
            </w:r>
            <w:r>
              <w:rPr>
                <w:rFonts w:eastAsia="Times New Roman"/>
                <w:b/>
                <w:bCs/>
                <w:color w:val="000000"/>
                <w:szCs w:val="24"/>
              </w:rPr>
              <w:t xml:space="preserve">Comparison of </w:t>
            </w:r>
            <w:r w:rsidRPr="00D55D9B">
              <w:rPr>
                <w:rFonts w:eastAsia="Times New Roman"/>
                <w:b/>
                <w:bCs/>
                <w:color w:val="000000"/>
                <w:szCs w:val="24"/>
              </w:rPr>
              <w:t xml:space="preserve">Frontier and Verizon </w:t>
            </w:r>
            <w:r>
              <w:rPr>
                <w:rFonts w:eastAsia="Times New Roman"/>
                <w:b/>
                <w:bCs/>
                <w:color w:val="000000"/>
                <w:szCs w:val="24"/>
              </w:rPr>
              <w:t>Services</w:t>
            </w:r>
          </w:p>
        </w:tc>
      </w:tr>
      <w:tr w:rsidR="00193FED" w:rsidRPr="00D55D9B" w:rsidTr="00193FED">
        <w:trPr>
          <w:cantSplit/>
          <w:trHeight w:val="300"/>
          <w:tblHead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FED" w:rsidRPr="00D55D9B" w:rsidRDefault="00193FED" w:rsidP="00193FED">
            <w:pPr>
              <w:spacing w:after="0" w:line="360" w:lineRule="auto"/>
              <w:jc w:val="center"/>
              <w:rPr>
                <w:rFonts w:eastAsia="Times New Roman"/>
                <w:b/>
                <w:bCs/>
                <w:color w:val="000000"/>
                <w:szCs w:val="24"/>
              </w:rPr>
            </w:pPr>
            <w:r w:rsidRPr="00D55D9B">
              <w:rPr>
                <w:rFonts w:eastAsia="Times New Roman"/>
                <w:b/>
                <w:bCs/>
                <w:color w:val="000000"/>
                <w:szCs w:val="24"/>
              </w:rPr>
              <w:t>Standalone DSL</w:t>
            </w:r>
          </w:p>
          <w:p w:rsidR="00193FED" w:rsidRPr="00D55D9B" w:rsidRDefault="00193FED" w:rsidP="00193FED">
            <w:pPr>
              <w:spacing w:after="0" w:line="360" w:lineRule="auto"/>
              <w:jc w:val="center"/>
              <w:rPr>
                <w:rFonts w:eastAsia="Times New Roman"/>
                <w:b/>
                <w:bCs/>
                <w:color w:val="000000"/>
                <w:szCs w:val="24"/>
              </w:rPr>
            </w:pPr>
          </w:p>
        </w:tc>
        <w:tc>
          <w:tcPr>
            <w:tcW w:w="1243" w:type="dxa"/>
            <w:tcBorders>
              <w:top w:val="single" w:sz="4" w:space="0" w:color="auto"/>
              <w:left w:val="nil"/>
              <w:bottom w:val="single" w:sz="4" w:space="0" w:color="auto"/>
              <w:right w:val="single" w:sz="4" w:space="0" w:color="auto"/>
            </w:tcBorders>
            <w:shd w:val="clear" w:color="auto" w:fill="auto"/>
            <w:noWrap/>
            <w:hideMark/>
          </w:tcPr>
          <w:p w:rsidR="00193FED" w:rsidRPr="00D55D9B" w:rsidRDefault="00193FED" w:rsidP="00193FED">
            <w:pPr>
              <w:spacing w:after="0" w:line="360" w:lineRule="auto"/>
              <w:jc w:val="center"/>
              <w:rPr>
                <w:rFonts w:eastAsia="Times New Roman"/>
                <w:b/>
                <w:bCs/>
                <w:color w:val="000000"/>
                <w:szCs w:val="24"/>
              </w:rPr>
            </w:pPr>
            <w:r w:rsidRPr="00D55D9B">
              <w:rPr>
                <w:rFonts w:eastAsia="Times New Roman"/>
                <w:b/>
                <w:bCs/>
                <w:color w:val="000000"/>
                <w:szCs w:val="24"/>
              </w:rPr>
              <w:t>Frontier</w:t>
            </w:r>
            <w:r>
              <w:rPr>
                <w:rStyle w:val="FootnoteReference"/>
                <w:rFonts w:eastAsia="Times New Roman"/>
                <w:b/>
                <w:bCs/>
                <w:color w:val="000000"/>
                <w:szCs w:val="24"/>
              </w:rPr>
              <w:footnoteReference w:id="29"/>
            </w:r>
            <w:r>
              <w:rPr>
                <w:rFonts w:eastAsia="Times New Roman"/>
                <w:b/>
                <w:bCs/>
                <w:color w:val="000000"/>
                <w:szCs w:val="24"/>
              </w:rPr>
              <w:t xml:space="preserve"> (month-to-month)</w:t>
            </w:r>
          </w:p>
        </w:tc>
        <w:tc>
          <w:tcPr>
            <w:tcW w:w="1589" w:type="dxa"/>
            <w:tcBorders>
              <w:top w:val="single" w:sz="4" w:space="0" w:color="auto"/>
              <w:left w:val="nil"/>
              <w:bottom w:val="single" w:sz="4" w:space="0" w:color="auto"/>
              <w:right w:val="single" w:sz="4" w:space="0" w:color="auto"/>
            </w:tcBorders>
            <w:vAlign w:val="center"/>
          </w:tcPr>
          <w:p w:rsidR="00193FED" w:rsidRDefault="00193FED" w:rsidP="00193FED">
            <w:pPr>
              <w:spacing w:after="0" w:line="360" w:lineRule="auto"/>
              <w:jc w:val="center"/>
              <w:rPr>
                <w:rFonts w:eastAsia="Times New Roman"/>
                <w:b/>
                <w:bCs/>
                <w:color w:val="000000"/>
                <w:szCs w:val="24"/>
              </w:rPr>
            </w:pPr>
            <w:r w:rsidRPr="00D55D9B">
              <w:rPr>
                <w:rFonts w:eastAsia="Times New Roman"/>
                <w:b/>
                <w:bCs/>
                <w:color w:val="000000"/>
                <w:szCs w:val="24"/>
              </w:rPr>
              <w:t>Frontier</w:t>
            </w:r>
            <w:r>
              <w:rPr>
                <w:rStyle w:val="FootnoteReference"/>
                <w:rFonts w:eastAsia="Times New Roman"/>
                <w:b/>
                <w:bCs/>
                <w:color w:val="000000"/>
                <w:szCs w:val="24"/>
              </w:rPr>
              <w:footnoteReference w:id="30"/>
            </w:r>
          </w:p>
          <w:p w:rsidR="00193FED" w:rsidRPr="00D55D9B" w:rsidRDefault="00193FED" w:rsidP="00193FED">
            <w:pPr>
              <w:spacing w:after="0" w:line="360" w:lineRule="auto"/>
              <w:jc w:val="center"/>
              <w:rPr>
                <w:rFonts w:eastAsia="Times New Roman"/>
                <w:b/>
                <w:bCs/>
                <w:color w:val="000000"/>
                <w:szCs w:val="24"/>
              </w:rPr>
            </w:pPr>
            <w:r>
              <w:rPr>
                <w:rFonts w:eastAsia="Times New Roman"/>
                <w:b/>
                <w:bCs/>
                <w:color w:val="000000"/>
                <w:szCs w:val="24"/>
              </w:rPr>
              <w:t>(1-3 year commitment)</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FED" w:rsidRPr="00D55D9B" w:rsidRDefault="00193FED" w:rsidP="00193FED">
            <w:pPr>
              <w:spacing w:after="0" w:line="360" w:lineRule="auto"/>
              <w:jc w:val="center"/>
              <w:rPr>
                <w:rFonts w:eastAsia="Times New Roman"/>
                <w:b/>
                <w:bCs/>
                <w:color w:val="000000"/>
                <w:szCs w:val="24"/>
              </w:rPr>
            </w:pPr>
            <w:r w:rsidRPr="00D55D9B">
              <w:rPr>
                <w:rFonts w:eastAsia="Times New Roman"/>
                <w:b/>
                <w:bCs/>
                <w:color w:val="000000"/>
                <w:szCs w:val="24"/>
              </w:rPr>
              <w:t xml:space="preserve">Verizon </w:t>
            </w:r>
            <w:r>
              <w:rPr>
                <w:rStyle w:val="FootnoteReference"/>
                <w:rFonts w:eastAsia="Times New Roman"/>
                <w:b/>
                <w:bCs/>
                <w:color w:val="000000"/>
                <w:szCs w:val="24"/>
              </w:rPr>
              <w:footnoteReference w:id="31"/>
            </w:r>
          </w:p>
          <w:p w:rsidR="00193FED" w:rsidRPr="00D55D9B" w:rsidRDefault="00193FED" w:rsidP="00193FED">
            <w:pPr>
              <w:spacing w:after="0" w:line="360" w:lineRule="auto"/>
              <w:jc w:val="center"/>
              <w:rPr>
                <w:rFonts w:eastAsia="Times New Roman"/>
                <w:b/>
                <w:bCs/>
                <w:color w:val="000000"/>
                <w:szCs w:val="24"/>
              </w:rPr>
            </w:pPr>
            <w:r w:rsidRPr="00D55D9B">
              <w:rPr>
                <w:rFonts w:eastAsia="Times New Roman"/>
                <w:b/>
                <w:bCs/>
                <w:color w:val="000000"/>
                <w:szCs w:val="24"/>
              </w:rPr>
              <w:t>(1-year commitment)</w:t>
            </w:r>
          </w:p>
        </w:tc>
      </w:tr>
      <w:tr w:rsidR="00193FED" w:rsidRPr="00D55D9B" w:rsidTr="00193FED">
        <w:trPr>
          <w:cantSplit/>
          <w:trHeight w:val="300"/>
        </w:trPr>
        <w:tc>
          <w:tcPr>
            <w:tcW w:w="4515" w:type="dxa"/>
            <w:tcBorders>
              <w:top w:val="single" w:sz="4" w:space="0" w:color="auto"/>
              <w:left w:val="single" w:sz="4" w:space="0" w:color="auto"/>
              <w:bottom w:val="single" w:sz="4" w:space="0" w:color="auto"/>
              <w:right w:val="single" w:sz="4" w:space="0" w:color="auto"/>
            </w:tcBorders>
            <w:shd w:val="clear" w:color="auto" w:fill="auto"/>
            <w:noWrap/>
            <w:hideMark/>
          </w:tcPr>
          <w:p w:rsidR="00193FED" w:rsidRPr="00D55D9B" w:rsidRDefault="00193FED" w:rsidP="00193FED">
            <w:pPr>
              <w:spacing w:after="0" w:line="360" w:lineRule="auto"/>
              <w:rPr>
                <w:rFonts w:eastAsia="Times New Roman"/>
                <w:color w:val="000000"/>
                <w:szCs w:val="24"/>
              </w:rPr>
            </w:pPr>
            <w:proofErr w:type="spellStart"/>
            <w:r w:rsidRPr="00D55D9B">
              <w:rPr>
                <w:rFonts w:eastAsia="Times New Roman"/>
                <w:color w:val="000000"/>
                <w:szCs w:val="24"/>
              </w:rPr>
              <w:t>768k</w:t>
            </w:r>
            <w:proofErr w:type="spellEnd"/>
            <w:r w:rsidRPr="00D55D9B">
              <w:rPr>
                <w:rFonts w:eastAsia="Times New Roman"/>
                <w:color w:val="000000"/>
                <w:szCs w:val="24"/>
              </w:rPr>
              <w:t>/</w:t>
            </w:r>
            <w:proofErr w:type="spellStart"/>
            <w:r w:rsidRPr="00D55D9B">
              <w:rPr>
                <w:rFonts w:eastAsia="Times New Roman"/>
                <w:color w:val="000000"/>
                <w:szCs w:val="24"/>
              </w:rPr>
              <w:t>128k</w:t>
            </w:r>
            <w:proofErr w:type="spellEnd"/>
            <w:r w:rsidRPr="00D55D9B">
              <w:rPr>
                <w:rFonts w:eastAsia="Times New Roman"/>
                <w:color w:val="000000"/>
                <w:szCs w:val="24"/>
              </w:rPr>
              <w:t xml:space="preserve"> (</w:t>
            </w:r>
            <w:r>
              <w:rPr>
                <w:rFonts w:eastAsia="Times New Roman"/>
                <w:color w:val="000000"/>
                <w:szCs w:val="24"/>
              </w:rPr>
              <w:t xml:space="preserve">High-Speed Internet </w:t>
            </w:r>
            <w:proofErr w:type="spellStart"/>
            <w:r w:rsidRPr="00D55D9B">
              <w:rPr>
                <w:rFonts w:eastAsia="Times New Roman"/>
                <w:color w:val="000000"/>
                <w:szCs w:val="24"/>
              </w:rPr>
              <w:t>Lite</w:t>
            </w:r>
            <w:proofErr w:type="spellEnd"/>
            <w:r w:rsidRPr="00D55D9B">
              <w:rPr>
                <w:rFonts w:eastAsia="Times New Roman"/>
                <w:color w:val="000000"/>
                <w:szCs w:val="24"/>
              </w:rPr>
              <w:t>)</w:t>
            </w:r>
          </w:p>
        </w:tc>
        <w:tc>
          <w:tcPr>
            <w:tcW w:w="1243" w:type="dxa"/>
            <w:tcBorders>
              <w:top w:val="single" w:sz="4" w:space="0" w:color="auto"/>
              <w:left w:val="nil"/>
              <w:bottom w:val="single" w:sz="4" w:space="0" w:color="auto"/>
              <w:right w:val="single" w:sz="4" w:space="0" w:color="auto"/>
            </w:tcBorders>
            <w:shd w:val="clear" w:color="auto" w:fill="auto"/>
            <w:noWrap/>
            <w:hideMark/>
          </w:tcPr>
          <w:p w:rsidR="00193FED" w:rsidRPr="00D55D9B" w:rsidRDefault="00193FED" w:rsidP="00193FED">
            <w:pPr>
              <w:spacing w:after="0" w:line="360" w:lineRule="auto"/>
              <w:jc w:val="right"/>
              <w:rPr>
                <w:rFonts w:eastAsia="Times New Roman"/>
                <w:color w:val="000000"/>
                <w:szCs w:val="24"/>
              </w:rPr>
            </w:pPr>
            <w:r w:rsidRPr="00D55D9B">
              <w:rPr>
                <w:rFonts w:eastAsia="Times New Roman"/>
                <w:color w:val="000000"/>
                <w:szCs w:val="24"/>
              </w:rPr>
              <w:t>$34.99</w:t>
            </w:r>
          </w:p>
        </w:tc>
        <w:tc>
          <w:tcPr>
            <w:tcW w:w="1589" w:type="dxa"/>
            <w:tcBorders>
              <w:top w:val="single" w:sz="4" w:space="0" w:color="auto"/>
              <w:left w:val="nil"/>
              <w:bottom w:val="single" w:sz="4" w:space="0" w:color="auto"/>
              <w:right w:val="single" w:sz="4" w:space="0" w:color="auto"/>
            </w:tcBorders>
          </w:tcPr>
          <w:p w:rsidR="00193FED" w:rsidRPr="00D55D9B" w:rsidRDefault="00193FED" w:rsidP="00193FED">
            <w:pPr>
              <w:spacing w:after="0" w:line="360" w:lineRule="auto"/>
              <w:jc w:val="right"/>
              <w:rPr>
                <w:rFonts w:eastAsia="Times New Roman"/>
                <w:color w:val="000000"/>
                <w:szCs w:val="24"/>
              </w:rPr>
            </w:pPr>
            <w:r>
              <w:rPr>
                <w:rFonts w:eastAsia="Times New Roman"/>
                <w:color w:val="000000"/>
                <w:szCs w:val="24"/>
              </w:rPr>
              <w:t>$29.99</w:t>
            </w:r>
          </w:p>
        </w:tc>
        <w:tc>
          <w:tcPr>
            <w:tcW w:w="1589" w:type="dxa"/>
            <w:tcBorders>
              <w:top w:val="nil"/>
              <w:left w:val="single" w:sz="4" w:space="0" w:color="auto"/>
              <w:bottom w:val="single" w:sz="4" w:space="0" w:color="auto"/>
              <w:right w:val="single" w:sz="4" w:space="0" w:color="auto"/>
            </w:tcBorders>
            <w:shd w:val="clear" w:color="auto" w:fill="auto"/>
            <w:noWrap/>
            <w:hideMark/>
          </w:tcPr>
          <w:p w:rsidR="00193FED" w:rsidRPr="00D55D9B" w:rsidRDefault="00193FED" w:rsidP="00193FED">
            <w:pPr>
              <w:spacing w:after="0" w:line="360" w:lineRule="auto"/>
              <w:jc w:val="right"/>
              <w:rPr>
                <w:rFonts w:eastAsia="Times New Roman"/>
                <w:color w:val="000000"/>
                <w:szCs w:val="24"/>
              </w:rPr>
            </w:pPr>
          </w:p>
        </w:tc>
      </w:tr>
      <w:tr w:rsidR="00193FED" w:rsidRPr="00D55D9B" w:rsidTr="00193FED">
        <w:trPr>
          <w:trHeight w:val="300"/>
        </w:trPr>
        <w:tc>
          <w:tcPr>
            <w:tcW w:w="4515" w:type="dxa"/>
            <w:tcBorders>
              <w:top w:val="single" w:sz="4" w:space="0" w:color="auto"/>
              <w:left w:val="single" w:sz="4" w:space="0" w:color="auto"/>
              <w:bottom w:val="single" w:sz="4" w:space="0" w:color="auto"/>
              <w:right w:val="single" w:sz="4" w:space="0" w:color="auto"/>
            </w:tcBorders>
            <w:shd w:val="clear" w:color="auto" w:fill="auto"/>
            <w:noWrap/>
            <w:hideMark/>
          </w:tcPr>
          <w:p w:rsidR="00193FED" w:rsidRPr="00D55D9B" w:rsidRDefault="00193FED" w:rsidP="00193FED">
            <w:pPr>
              <w:spacing w:after="0" w:line="360" w:lineRule="auto"/>
              <w:rPr>
                <w:rFonts w:eastAsia="Times New Roman"/>
                <w:color w:val="000000"/>
                <w:szCs w:val="24"/>
              </w:rPr>
            </w:pPr>
            <w:proofErr w:type="spellStart"/>
            <w:r w:rsidRPr="00D55D9B">
              <w:rPr>
                <w:rFonts w:eastAsia="Times New Roman"/>
                <w:color w:val="000000"/>
                <w:szCs w:val="24"/>
              </w:rPr>
              <w:t>768k</w:t>
            </w:r>
            <w:proofErr w:type="spellEnd"/>
            <w:r w:rsidRPr="00D55D9B">
              <w:rPr>
                <w:rFonts w:eastAsia="Times New Roman"/>
                <w:color w:val="000000"/>
                <w:szCs w:val="24"/>
              </w:rPr>
              <w:t>/</w:t>
            </w:r>
            <w:proofErr w:type="spellStart"/>
            <w:r w:rsidRPr="00D55D9B">
              <w:rPr>
                <w:rFonts w:eastAsia="Times New Roman"/>
                <w:color w:val="000000"/>
                <w:szCs w:val="24"/>
              </w:rPr>
              <w:t>128k</w:t>
            </w:r>
            <w:proofErr w:type="spellEnd"/>
            <w:r w:rsidRPr="00D55D9B">
              <w:rPr>
                <w:rFonts w:eastAsia="Times New Roman"/>
                <w:color w:val="000000"/>
                <w:szCs w:val="24"/>
              </w:rPr>
              <w:t xml:space="preserve"> with security calling</w:t>
            </w:r>
          </w:p>
        </w:tc>
        <w:tc>
          <w:tcPr>
            <w:tcW w:w="1243" w:type="dxa"/>
            <w:tcBorders>
              <w:top w:val="single" w:sz="4" w:space="0" w:color="auto"/>
              <w:left w:val="nil"/>
              <w:bottom w:val="single" w:sz="4" w:space="0" w:color="auto"/>
              <w:right w:val="single" w:sz="4" w:space="0" w:color="auto"/>
            </w:tcBorders>
            <w:shd w:val="clear" w:color="auto" w:fill="auto"/>
            <w:noWrap/>
            <w:hideMark/>
          </w:tcPr>
          <w:p w:rsidR="00193FED" w:rsidRPr="00D55D9B" w:rsidRDefault="00193FED" w:rsidP="00193FED">
            <w:pPr>
              <w:spacing w:after="0" w:line="360" w:lineRule="auto"/>
              <w:jc w:val="right"/>
              <w:rPr>
                <w:rFonts w:eastAsia="Times New Roman"/>
                <w:color w:val="000000"/>
                <w:szCs w:val="24"/>
              </w:rPr>
            </w:pPr>
            <w:r w:rsidRPr="00D55D9B">
              <w:rPr>
                <w:rFonts w:eastAsia="Times New Roman"/>
                <w:color w:val="000000"/>
                <w:szCs w:val="24"/>
              </w:rPr>
              <w:t>$37.98</w:t>
            </w:r>
          </w:p>
        </w:tc>
        <w:tc>
          <w:tcPr>
            <w:tcW w:w="1589" w:type="dxa"/>
            <w:tcBorders>
              <w:top w:val="single" w:sz="4" w:space="0" w:color="auto"/>
              <w:left w:val="nil"/>
              <w:bottom w:val="single" w:sz="4" w:space="0" w:color="auto"/>
              <w:right w:val="single" w:sz="4" w:space="0" w:color="auto"/>
            </w:tcBorders>
          </w:tcPr>
          <w:p w:rsidR="00193FED" w:rsidRPr="00D55D9B" w:rsidRDefault="00193FED" w:rsidP="00193FED">
            <w:pPr>
              <w:spacing w:after="0" w:line="360" w:lineRule="auto"/>
              <w:jc w:val="right"/>
              <w:rPr>
                <w:rFonts w:eastAsia="Times New Roman"/>
                <w:color w:val="000000"/>
                <w:szCs w:val="24"/>
              </w:rPr>
            </w:pPr>
          </w:p>
        </w:tc>
        <w:tc>
          <w:tcPr>
            <w:tcW w:w="1589" w:type="dxa"/>
            <w:tcBorders>
              <w:top w:val="nil"/>
              <w:left w:val="single" w:sz="4" w:space="0" w:color="auto"/>
              <w:bottom w:val="single" w:sz="4" w:space="0" w:color="auto"/>
              <w:right w:val="single" w:sz="4" w:space="0" w:color="auto"/>
            </w:tcBorders>
            <w:shd w:val="clear" w:color="auto" w:fill="auto"/>
            <w:noWrap/>
            <w:hideMark/>
          </w:tcPr>
          <w:p w:rsidR="00193FED" w:rsidRPr="00D55D9B" w:rsidRDefault="00193FED" w:rsidP="00193FED">
            <w:pPr>
              <w:spacing w:after="0" w:line="360" w:lineRule="auto"/>
              <w:jc w:val="right"/>
              <w:rPr>
                <w:rFonts w:eastAsia="Times New Roman"/>
                <w:color w:val="000000"/>
                <w:szCs w:val="24"/>
              </w:rPr>
            </w:pPr>
          </w:p>
        </w:tc>
      </w:tr>
      <w:tr w:rsidR="00193FED" w:rsidRPr="00D55D9B" w:rsidTr="00193FED">
        <w:trPr>
          <w:trHeight w:val="300"/>
        </w:trPr>
        <w:tc>
          <w:tcPr>
            <w:tcW w:w="4515" w:type="dxa"/>
            <w:tcBorders>
              <w:top w:val="single" w:sz="4" w:space="0" w:color="auto"/>
              <w:left w:val="single" w:sz="4" w:space="0" w:color="auto"/>
              <w:bottom w:val="single" w:sz="4" w:space="0" w:color="auto"/>
              <w:right w:val="single" w:sz="4" w:space="0" w:color="auto"/>
            </w:tcBorders>
            <w:shd w:val="clear" w:color="auto" w:fill="auto"/>
            <w:noWrap/>
            <w:hideMark/>
          </w:tcPr>
          <w:p w:rsidR="00193FED" w:rsidRPr="00D55D9B" w:rsidRDefault="00193FED" w:rsidP="00193FED">
            <w:pPr>
              <w:spacing w:after="0" w:line="360" w:lineRule="auto"/>
              <w:rPr>
                <w:rFonts w:eastAsia="Times New Roman"/>
                <w:color w:val="000000"/>
                <w:szCs w:val="24"/>
              </w:rPr>
            </w:pPr>
            <w:r w:rsidRPr="00D55D9B">
              <w:rPr>
                <w:rFonts w:eastAsia="Times New Roman"/>
                <w:color w:val="000000"/>
                <w:szCs w:val="24"/>
              </w:rPr>
              <w:t>1 M/</w:t>
            </w:r>
            <w:proofErr w:type="spellStart"/>
            <w:r w:rsidRPr="00D55D9B">
              <w:rPr>
                <w:rFonts w:eastAsia="Times New Roman"/>
                <w:color w:val="000000"/>
                <w:szCs w:val="24"/>
              </w:rPr>
              <w:t>384k</w:t>
            </w:r>
            <w:proofErr w:type="spellEnd"/>
            <w:r w:rsidRPr="00D55D9B">
              <w:rPr>
                <w:rFonts w:eastAsia="Times New Roman"/>
                <w:color w:val="000000"/>
                <w:szCs w:val="24"/>
              </w:rPr>
              <w:t xml:space="preserve"> (Starter Plan)</w:t>
            </w:r>
          </w:p>
        </w:tc>
        <w:tc>
          <w:tcPr>
            <w:tcW w:w="1243" w:type="dxa"/>
            <w:tcBorders>
              <w:top w:val="single" w:sz="4" w:space="0" w:color="auto"/>
              <w:left w:val="nil"/>
              <w:bottom w:val="single" w:sz="4" w:space="0" w:color="auto"/>
              <w:right w:val="single" w:sz="4" w:space="0" w:color="auto"/>
            </w:tcBorders>
            <w:shd w:val="clear" w:color="auto" w:fill="auto"/>
            <w:noWrap/>
            <w:hideMark/>
          </w:tcPr>
          <w:p w:rsidR="00193FED" w:rsidRPr="00D55D9B" w:rsidRDefault="00193FED" w:rsidP="00193FED">
            <w:pPr>
              <w:spacing w:after="0" w:line="360" w:lineRule="auto"/>
              <w:jc w:val="right"/>
              <w:rPr>
                <w:rFonts w:eastAsia="Times New Roman"/>
                <w:color w:val="000000"/>
                <w:szCs w:val="24"/>
              </w:rPr>
            </w:pPr>
          </w:p>
        </w:tc>
        <w:tc>
          <w:tcPr>
            <w:tcW w:w="1589" w:type="dxa"/>
            <w:tcBorders>
              <w:top w:val="single" w:sz="4" w:space="0" w:color="auto"/>
              <w:left w:val="nil"/>
              <w:bottom w:val="single" w:sz="4" w:space="0" w:color="auto"/>
              <w:right w:val="single" w:sz="4" w:space="0" w:color="auto"/>
            </w:tcBorders>
          </w:tcPr>
          <w:p w:rsidR="00193FED" w:rsidRPr="00D55D9B" w:rsidRDefault="00193FED" w:rsidP="00193FED">
            <w:pPr>
              <w:spacing w:after="0" w:line="360" w:lineRule="auto"/>
              <w:jc w:val="right"/>
              <w:rPr>
                <w:rFonts w:eastAsia="Times New Roman"/>
                <w:color w:val="000000"/>
                <w:szCs w:val="24"/>
              </w:rPr>
            </w:pPr>
          </w:p>
        </w:tc>
        <w:tc>
          <w:tcPr>
            <w:tcW w:w="1589" w:type="dxa"/>
            <w:tcBorders>
              <w:top w:val="nil"/>
              <w:left w:val="single" w:sz="4" w:space="0" w:color="auto"/>
              <w:bottom w:val="single" w:sz="4" w:space="0" w:color="auto"/>
              <w:right w:val="single" w:sz="4" w:space="0" w:color="auto"/>
            </w:tcBorders>
            <w:shd w:val="clear" w:color="auto" w:fill="auto"/>
            <w:noWrap/>
            <w:hideMark/>
          </w:tcPr>
          <w:p w:rsidR="00193FED" w:rsidRPr="00D55D9B" w:rsidRDefault="00193FED" w:rsidP="00193FED">
            <w:pPr>
              <w:spacing w:after="0" w:line="360" w:lineRule="auto"/>
              <w:jc w:val="right"/>
              <w:rPr>
                <w:rFonts w:eastAsia="Times New Roman"/>
                <w:color w:val="000000"/>
                <w:szCs w:val="24"/>
              </w:rPr>
            </w:pPr>
            <w:r w:rsidRPr="00D55D9B">
              <w:rPr>
                <w:rFonts w:eastAsia="Times New Roman"/>
                <w:color w:val="000000"/>
                <w:szCs w:val="24"/>
              </w:rPr>
              <w:t>$19.99</w:t>
            </w:r>
          </w:p>
        </w:tc>
      </w:tr>
      <w:tr w:rsidR="00193FED" w:rsidRPr="00D55D9B" w:rsidTr="00193FED">
        <w:trPr>
          <w:trHeight w:val="300"/>
        </w:trPr>
        <w:tc>
          <w:tcPr>
            <w:tcW w:w="4515" w:type="dxa"/>
            <w:tcBorders>
              <w:top w:val="single" w:sz="4" w:space="0" w:color="auto"/>
              <w:left w:val="single" w:sz="4" w:space="0" w:color="auto"/>
              <w:bottom w:val="single" w:sz="4" w:space="0" w:color="auto"/>
              <w:right w:val="single" w:sz="4" w:space="0" w:color="auto"/>
            </w:tcBorders>
            <w:shd w:val="clear" w:color="auto" w:fill="auto"/>
            <w:noWrap/>
            <w:hideMark/>
          </w:tcPr>
          <w:p w:rsidR="00193FED" w:rsidRPr="00D55D9B" w:rsidRDefault="00193FED" w:rsidP="00193FED">
            <w:pPr>
              <w:spacing w:after="0" w:line="360" w:lineRule="auto"/>
              <w:rPr>
                <w:rFonts w:eastAsia="Times New Roman"/>
                <w:color w:val="000000"/>
                <w:szCs w:val="24"/>
              </w:rPr>
            </w:pPr>
            <w:r w:rsidRPr="00D55D9B">
              <w:rPr>
                <w:rFonts w:eastAsia="Times New Roman"/>
                <w:color w:val="000000"/>
                <w:szCs w:val="24"/>
              </w:rPr>
              <w:t>up to 3M/</w:t>
            </w:r>
            <w:proofErr w:type="spellStart"/>
            <w:r w:rsidRPr="00D55D9B">
              <w:rPr>
                <w:rFonts w:eastAsia="Times New Roman"/>
                <w:color w:val="000000"/>
                <w:szCs w:val="24"/>
              </w:rPr>
              <w:t>384k</w:t>
            </w:r>
            <w:proofErr w:type="spellEnd"/>
            <w:r>
              <w:rPr>
                <w:rFonts w:eastAsia="Times New Roman"/>
                <w:color w:val="000000"/>
                <w:szCs w:val="24"/>
              </w:rPr>
              <w:t xml:space="preserve"> (High-Speed Internet Max)</w:t>
            </w:r>
          </w:p>
        </w:tc>
        <w:tc>
          <w:tcPr>
            <w:tcW w:w="1243" w:type="dxa"/>
            <w:tcBorders>
              <w:top w:val="single" w:sz="4" w:space="0" w:color="auto"/>
              <w:left w:val="nil"/>
              <w:bottom w:val="single" w:sz="4" w:space="0" w:color="auto"/>
              <w:right w:val="single" w:sz="4" w:space="0" w:color="auto"/>
            </w:tcBorders>
            <w:shd w:val="clear" w:color="auto" w:fill="auto"/>
            <w:noWrap/>
            <w:hideMark/>
          </w:tcPr>
          <w:p w:rsidR="00193FED" w:rsidRPr="00D55D9B" w:rsidRDefault="00193FED" w:rsidP="00193FED">
            <w:pPr>
              <w:spacing w:after="0" w:line="360" w:lineRule="auto"/>
              <w:jc w:val="right"/>
              <w:rPr>
                <w:rFonts w:eastAsia="Times New Roman"/>
                <w:color w:val="000000"/>
                <w:szCs w:val="24"/>
              </w:rPr>
            </w:pPr>
            <w:r w:rsidRPr="00D55D9B">
              <w:rPr>
                <w:rFonts w:eastAsia="Times New Roman"/>
                <w:color w:val="000000"/>
                <w:szCs w:val="24"/>
              </w:rPr>
              <w:t>$54.99</w:t>
            </w:r>
          </w:p>
        </w:tc>
        <w:tc>
          <w:tcPr>
            <w:tcW w:w="1589" w:type="dxa"/>
            <w:tcBorders>
              <w:top w:val="single" w:sz="4" w:space="0" w:color="auto"/>
              <w:left w:val="nil"/>
              <w:bottom w:val="single" w:sz="4" w:space="0" w:color="auto"/>
              <w:right w:val="single" w:sz="4" w:space="0" w:color="auto"/>
            </w:tcBorders>
          </w:tcPr>
          <w:p w:rsidR="00193FED" w:rsidRPr="00D55D9B" w:rsidRDefault="00193FED" w:rsidP="00193FED">
            <w:pPr>
              <w:spacing w:after="0" w:line="360" w:lineRule="auto"/>
              <w:jc w:val="right"/>
              <w:rPr>
                <w:rFonts w:eastAsia="Times New Roman"/>
                <w:color w:val="000000"/>
                <w:szCs w:val="24"/>
              </w:rPr>
            </w:pPr>
            <w:r>
              <w:rPr>
                <w:rFonts w:eastAsia="Times New Roman"/>
                <w:color w:val="000000"/>
                <w:szCs w:val="24"/>
              </w:rPr>
              <w:t>$49.99</w:t>
            </w:r>
          </w:p>
        </w:tc>
        <w:tc>
          <w:tcPr>
            <w:tcW w:w="1589" w:type="dxa"/>
            <w:tcBorders>
              <w:top w:val="nil"/>
              <w:left w:val="single" w:sz="4" w:space="0" w:color="auto"/>
              <w:bottom w:val="single" w:sz="4" w:space="0" w:color="auto"/>
              <w:right w:val="single" w:sz="4" w:space="0" w:color="auto"/>
            </w:tcBorders>
            <w:shd w:val="clear" w:color="auto" w:fill="auto"/>
            <w:noWrap/>
            <w:hideMark/>
          </w:tcPr>
          <w:p w:rsidR="00193FED" w:rsidRPr="00D55D9B" w:rsidRDefault="00193FED" w:rsidP="00193FED">
            <w:pPr>
              <w:spacing w:after="0" w:line="360" w:lineRule="auto"/>
              <w:jc w:val="right"/>
              <w:rPr>
                <w:rFonts w:eastAsia="Times New Roman"/>
                <w:color w:val="000000"/>
                <w:szCs w:val="24"/>
              </w:rPr>
            </w:pPr>
          </w:p>
        </w:tc>
      </w:tr>
      <w:tr w:rsidR="00193FED" w:rsidRPr="00D55D9B" w:rsidTr="00193FED">
        <w:trPr>
          <w:trHeight w:val="300"/>
        </w:trPr>
        <w:tc>
          <w:tcPr>
            <w:tcW w:w="4515" w:type="dxa"/>
            <w:tcBorders>
              <w:top w:val="single" w:sz="4" w:space="0" w:color="auto"/>
              <w:left w:val="single" w:sz="4" w:space="0" w:color="auto"/>
              <w:bottom w:val="single" w:sz="4" w:space="0" w:color="auto"/>
              <w:right w:val="single" w:sz="4" w:space="0" w:color="auto"/>
            </w:tcBorders>
            <w:shd w:val="clear" w:color="auto" w:fill="auto"/>
            <w:noWrap/>
            <w:hideMark/>
          </w:tcPr>
          <w:p w:rsidR="00193FED" w:rsidRPr="00D55D9B" w:rsidRDefault="00193FED" w:rsidP="00193FED">
            <w:pPr>
              <w:spacing w:after="0" w:line="360" w:lineRule="auto"/>
              <w:rPr>
                <w:rFonts w:eastAsia="Times New Roman"/>
                <w:color w:val="000000"/>
                <w:szCs w:val="24"/>
              </w:rPr>
            </w:pPr>
            <w:r w:rsidRPr="00D55D9B">
              <w:rPr>
                <w:rFonts w:eastAsia="Times New Roman"/>
                <w:color w:val="000000"/>
                <w:szCs w:val="24"/>
              </w:rPr>
              <w:t>up to 3M/</w:t>
            </w:r>
            <w:proofErr w:type="spellStart"/>
            <w:r w:rsidRPr="00D55D9B">
              <w:rPr>
                <w:rFonts w:eastAsia="Times New Roman"/>
                <w:color w:val="000000"/>
                <w:szCs w:val="24"/>
              </w:rPr>
              <w:t>384k</w:t>
            </w:r>
            <w:proofErr w:type="spellEnd"/>
            <w:r w:rsidRPr="00D55D9B">
              <w:rPr>
                <w:rFonts w:eastAsia="Times New Roman"/>
                <w:color w:val="000000"/>
                <w:szCs w:val="24"/>
              </w:rPr>
              <w:t xml:space="preserve"> with security calling</w:t>
            </w:r>
          </w:p>
        </w:tc>
        <w:tc>
          <w:tcPr>
            <w:tcW w:w="1243" w:type="dxa"/>
            <w:tcBorders>
              <w:top w:val="single" w:sz="4" w:space="0" w:color="auto"/>
              <w:left w:val="nil"/>
              <w:bottom w:val="single" w:sz="4" w:space="0" w:color="auto"/>
              <w:right w:val="single" w:sz="4" w:space="0" w:color="auto"/>
            </w:tcBorders>
            <w:shd w:val="clear" w:color="auto" w:fill="auto"/>
            <w:noWrap/>
            <w:hideMark/>
          </w:tcPr>
          <w:p w:rsidR="00193FED" w:rsidRPr="00D55D9B" w:rsidRDefault="00193FED" w:rsidP="00193FED">
            <w:pPr>
              <w:spacing w:after="0" w:line="360" w:lineRule="auto"/>
              <w:jc w:val="right"/>
              <w:rPr>
                <w:rFonts w:eastAsia="Times New Roman"/>
                <w:color w:val="000000"/>
                <w:szCs w:val="24"/>
              </w:rPr>
            </w:pPr>
            <w:r w:rsidRPr="00D55D9B">
              <w:rPr>
                <w:rFonts w:eastAsia="Times New Roman"/>
                <w:color w:val="000000"/>
                <w:szCs w:val="24"/>
              </w:rPr>
              <w:t>$57.98</w:t>
            </w:r>
          </w:p>
        </w:tc>
        <w:tc>
          <w:tcPr>
            <w:tcW w:w="1589" w:type="dxa"/>
            <w:tcBorders>
              <w:top w:val="single" w:sz="4" w:space="0" w:color="auto"/>
              <w:left w:val="nil"/>
              <w:bottom w:val="single" w:sz="4" w:space="0" w:color="auto"/>
              <w:right w:val="single" w:sz="4" w:space="0" w:color="auto"/>
            </w:tcBorders>
          </w:tcPr>
          <w:p w:rsidR="00193FED" w:rsidRPr="00D55D9B" w:rsidRDefault="00193FED" w:rsidP="00193FED">
            <w:pPr>
              <w:spacing w:after="0" w:line="360" w:lineRule="auto"/>
              <w:jc w:val="right"/>
              <w:rPr>
                <w:rFonts w:eastAsia="Times New Roman"/>
                <w:color w:val="000000"/>
                <w:szCs w:val="24"/>
              </w:rPr>
            </w:pPr>
          </w:p>
        </w:tc>
        <w:tc>
          <w:tcPr>
            <w:tcW w:w="1589" w:type="dxa"/>
            <w:tcBorders>
              <w:top w:val="nil"/>
              <w:left w:val="single" w:sz="4" w:space="0" w:color="auto"/>
              <w:bottom w:val="single" w:sz="4" w:space="0" w:color="auto"/>
              <w:right w:val="single" w:sz="4" w:space="0" w:color="auto"/>
            </w:tcBorders>
            <w:shd w:val="clear" w:color="auto" w:fill="auto"/>
            <w:noWrap/>
            <w:hideMark/>
          </w:tcPr>
          <w:p w:rsidR="00193FED" w:rsidRPr="00D55D9B" w:rsidRDefault="00193FED" w:rsidP="00193FED">
            <w:pPr>
              <w:spacing w:after="0" w:line="360" w:lineRule="auto"/>
              <w:jc w:val="right"/>
              <w:rPr>
                <w:rFonts w:eastAsia="Times New Roman"/>
                <w:color w:val="000000"/>
                <w:szCs w:val="24"/>
              </w:rPr>
            </w:pPr>
          </w:p>
        </w:tc>
      </w:tr>
      <w:tr w:rsidR="00193FED" w:rsidRPr="00D55D9B" w:rsidTr="00193FED">
        <w:trPr>
          <w:trHeight w:val="300"/>
        </w:trPr>
        <w:tc>
          <w:tcPr>
            <w:tcW w:w="4515" w:type="dxa"/>
            <w:tcBorders>
              <w:top w:val="nil"/>
              <w:left w:val="single" w:sz="4" w:space="0" w:color="auto"/>
              <w:bottom w:val="single" w:sz="4" w:space="0" w:color="auto"/>
              <w:right w:val="single" w:sz="4" w:space="0" w:color="auto"/>
            </w:tcBorders>
            <w:shd w:val="clear" w:color="auto" w:fill="auto"/>
            <w:noWrap/>
            <w:hideMark/>
          </w:tcPr>
          <w:p w:rsidR="00193FED" w:rsidRDefault="00193FED" w:rsidP="00193FED">
            <w:pPr>
              <w:spacing w:after="0" w:line="360" w:lineRule="auto"/>
              <w:rPr>
                <w:rFonts w:eastAsia="Times New Roman"/>
                <w:color w:val="000000"/>
                <w:szCs w:val="24"/>
              </w:rPr>
            </w:pPr>
            <w:r w:rsidRPr="00D55D9B">
              <w:rPr>
                <w:rFonts w:eastAsia="Times New Roman"/>
                <w:color w:val="000000"/>
                <w:szCs w:val="24"/>
              </w:rPr>
              <w:t>up to 3M/</w:t>
            </w:r>
            <w:proofErr w:type="spellStart"/>
            <w:r w:rsidRPr="00D55D9B">
              <w:rPr>
                <w:rFonts w:eastAsia="Times New Roman"/>
                <w:color w:val="000000"/>
                <w:szCs w:val="24"/>
              </w:rPr>
              <w:t>768k</w:t>
            </w:r>
            <w:proofErr w:type="spellEnd"/>
            <w:r w:rsidRPr="00D55D9B">
              <w:rPr>
                <w:rFonts w:eastAsia="Times New Roman"/>
                <w:color w:val="000000"/>
                <w:szCs w:val="24"/>
              </w:rPr>
              <w:t xml:space="preserve"> (Power Plan)</w:t>
            </w:r>
          </w:p>
          <w:p w:rsidR="00193FED" w:rsidRPr="00D55D9B" w:rsidRDefault="00193FED" w:rsidP="00193FED">
            <w:pPr>
              <w:spacing w:after="0" w:line="360" w:lineRule="auto"/>
              <w:rPr>
                <w:rFonts w:eastAsia="Times New Roman"/>
                <w:color w:val="000000"/>
                <w:szCs w:val="24"/>
              </w:rPr>
            </w:pPr>
            <w:r>
              <w:rPr>
                <w:rFonts w:eastAsia="Times New Roman"/>
                <w:color w:val="000000"/>
                <w:szCs w:val="24"/>
              </w:rPr>
              <w:t>with free Wi-Fi access</w:t>
            </w:r>
          </w:p>
        </w:tc>
        <w:tc>
          <w:tcPr>
            <w:tcW w:w="1243" w:type="dxa"/>
            <w:tcBorders>
              <w:top w:val="nil"/>
              <w:left w:val="nil"/>
              <w:bottom w:val="single" w:sz="4" w:space="0" w:color="auto"/>
              <w:right w:val="single" w:sz="4" w:space="0" w:color="auto"/>
            </w:tcBorders>
            <w:shd w:val="clear" w:color="auto" w:fill="auto"/>
            <w:noWrap/>
            <w:hideMark/>
          </w:tcPr>
          <w:p w:rsidR="00193FED" w:rsidRPr="00D55D9B" w:rsidRDefault="00193FED" w:rsidP="00193FED">
            <w:pPr>
              <w:spacing w:after="0" w:line="360" w:lineRule="auto"/>
              <w:jc w:val="right"/>
              <w:rPr>
                <w:rFonts w:eastAsia="Times New Roman"/>
                <w:color w:val="000000"/>
                <w:szCs w:val="24"/>
              </w:rPr>
            </w:pPr>
          </w:p>
        </w:tc>
        <w:tc>
          <w:tcPr>
            <w:tcW w:w="1589" w:type="dxa"/>
            <w:tcBorders>
              <w:top w:val="single" w:sz="4" w:space="0" w:color="auto"/>
              <w:left w:val="nil"/>
              <w:bottom w:val="single" w:sz="4" w:space="0" w:color="auto"/>
              <w:right w:val="single" w:sz="4" w:space="0" w:color="auto"/>
            </w:tcBorders>
          </w:tcPr>
          <w:p w:rsidR="00193FED" w:rsidRPr="00D55D9B" w:rsidRDefault="00193FED" w:rsidP="00193FED">
            <w:pPr>
              <w:spacing w:after="0" w:line="360" w:lineRule="auto"/>
              <w:jc w:val="right"/>
              <w:rPr>
                <w:rFonts w:eastAsia="Times New Roman"/>
                <w:color w:val="000000"/>
                <w:szCs w:val="24"/>
              </w:rPr>
            </w:pPr>
          </w:p>
        </w:tc>
        <w:tc>
          <w:tcPr>
            <w:tcW w:w="1589" w:type="dxa"/>
            <w:tcBorders>
              <w:top w:val="nil"/>
              <w:left w:val="single" w:sz="4" w:space="0" w:color="auto"/>
              <w:bottom w:val="single" w:sz="4" w:space="0" w:color="auto"/>
              <w:right w:val="single" w:sz="4" w:space="0" w:color="auto"/>
            </w:tcBorders>
            <w:shd w:val="clear" w:color="auto" w:fill="auto"/>
            <w:noWrap/>
            <w:hideMark/>
          </w:tcPr>
          <w:p w:rsidR="00193FED" w:rsidRPr="00D55D9B" w:rsidRDefault="00193FED" w:rsidP="00193FED">
            <w:pPr>
              <w:spacing w:after="0" w:line="360" w:lineRule="auto"/>
              <w:jc w:val="right"/>
              <w:rPr>
                <w:rFonts w:eastAsia="Times New Roman"/>
                <w:color w:val="000000"/>
                <w:szCs w:val="24"/>
              </w:rPr>
            </w:pPr>
            <w:r w:rsidRPr="00D55D9B">
              <w:rPr>
                <w:rFonts w:eastAsia="Times New Roman"/>
                <w:color w:val="000000"/>
                <w:szCs w:val="24"/>
              </w:rPr>
              <w:t>$29.99</w:t>
            </w:r>
          </w:p>
        </w:tc>
      </w:tr>
      <w:tr w:rsidR="00193FED" w:rsidRPr="00D55D9B" w:rsidTr="00193FED">
        <w:trPr>
          <w:trHeight w:val="300"/>
        </w:trPr>
        <w:tc>
          <w:tcPr>
            <w:tcW w:w="4515" w:type="dxa"/>
            <w:tcBorders>
              <w:top w:val="single" w:sz="4" w:space="0" w:color="auto"/>
              <w:left w:val="single" w:sz="4" w:space="0" w:color="auto"/>
              <w:bottom w:val="single" w:sz="4" w:space="0" w:color="auto"/>
              <w:right w:val="single" w:sz="4" w:space="0" w:color="auto"/>
            </w:tcBorders>
            <w:shd w:val="clear" w:color="auto" w:fill="auto"/>
            <w:noWrap/>
            <w:hideMark/>
          </w:tcPr>
          <w:p w:rsidR="00193FED" w:rsidRDefault="00193FED" w:rsidP="00DD2016">
            <w:pPr>
              <w:spacing w:after="0" w:line="240" w:lineRule="auto"/>
              <w:rPr>
                <w:rFonts w:eastAsia="Times New Roman"/>
                <w:color w:val="000000"/>
                <w:szCs w:val="24"/>
              </w:rPr>
            </w:pPr>
            <w:r w:rsidRPr="00D55D9B">
              <w:rPr>
                <w:rFonts w:eastAsia="Times New Roman"/>
                <w:color w:val="000000"/>
                <w:szCs w:val="24"/>
              </w:rPr>
              <w:t xml:space="preserve">up to </w:t>
            </w:r>
            <w:proofErr w:type="spellStart"/>
            <w:r w:rsidRPr="00D55D9B">
              <w:rPr>
                <w:rFonts w:eastAsia="Times New Roman"/>
                <w:color w:val="000000"/>
                <w:szCs w:val="24"/>
              </w:rPr>
              <w:t>7.1M</w:t>
            </w:r>
            <w:proofErr w:type="spellEnd"/>
            <w:r w:rsidRPr="00D55D9B">
              <w:rPr>
                <w:rFonts w:eastAsia="Times New Roman"/>
                <w:color w:val="000000"/>
                <w:szCs w:val="24"/>
              </w:rPr>
              <w:t>/</w:t>
            </w:r>
            <w:proofErr w:type="spellStart"/>
            <w:r w:rsidRPr="00D55D9B">
              <w:rPr>
                <w:rFonts w:eastAsia="Times New Roman"/>
                <w:color w:val="000000"/>
                <w:szCs w:val="24"/>
              </w:rPr>
              <w:t>768k</w:t>
            </w:r>
            <w:proofErr w:type="spellEnd"/>
            <w:r w:rsidRPr="00D55D9B">
              <w:rPr>
                <w:rFonts w:eastAsia="Times New Roman"/>
                <w:color w:val="000000"/>
                <w:szCs w:val="24"/>
              </w:rPr>
              <w:t xml:space="preserve"> (Turbo Plan)</w:t>
            </w:r>
          </w:p>
          <w:p w:rsidR="00193FED" w:rsidRPr="00D55D9B" w:rsidRDefault="00193FED" w:rsidP="00DD2016">
            <w:pPr>
              <w:spacing w:after="0" w:line="240" w:lineRule="auto"/>
              <w:rPr>
                <w:rFonts w:eastAsia="Times New Roman"/>
                <w:color w:val="000000"/>
                <w:szCs w:val="24"/>
              </w:rPr>
            </w:pPr>
            <w:r>
              <w:rPr>
                <w:rFonts w:eastAsia="Times New Roman"/>
                <w:color w:val="000000"/>
                <w:szCs w:val="24"/>
              </w:rPr>
              <w:t>with free Wi-Fi access</w:t>
            </w:r>
          </w:p>
        </w:tc>
        <w:tc>
          <w:tcPr>
            <w:tcW w:w="1243" w:type="dxa"/>
            <w:tcBorders>
              <w:top w:val="single" w:sz="4" w:space="0" w:color="auto"/>
              <w:left w:val="nil"/>
              <w:bottom w:val="single" w:sz="4" w:space="0" w:color="auto"/>
              <w:right w:val="single" w:sz="4" w:space="0" w:color="auto"/>
            </w:tcBorders>
            <w:shd w:val="clear" w:color="auto" w:fill="auto"/>
            <w:noWrap/>
            <w:hideMark/>
          </w:tcPr>
          <w:p w:rsidR="00193FED" w:rsidRPr="00D55D9B" w:rsidRDefault="00193FED" w:rsidP="00DD2016">
            <w:pPr>
              <w:spacing w:after="0" w:line="240" w:lineRule="auto"/>
              <w:jc w:val="right"/>
              <w:rPr>
                <w:rFonts w:eastAsia="Times New Roman"/>
                <w:color w:val="000000"/>
                <w:szCs w:val="24"/>
              </w:rPr>
            </w:pPr>
          </w:p>
        </w:tc>
        <w:tc>
          <w:tcPr>
            <w:tcW w:w="1589" w:type="dxa"/>
            <w:tcBorders>
              <w:top w:val="single" w:sz="4" w:space="0" w:color="auto"/>
              <w:left w:val="nil"/>
              <w:bottom w:val="single" w:sz="4" w:space="0" w:color="auto"/>
              <w:right w:val="single" w:sz="4" w:space="0" w:color="auto"/>
            </w:tcBorders>
          </w:tcPr>
          <w:p w:rsidR="00193FED" w:rsidRPr="00D55D9B" w:rsidRDefault="00193FED" w:rsidP="00DD2016">
            <w:pPr>
              <w:spacing w:after="0" w:line="240" w:lineRule="auto"/>
              <w:jc w:val="right"/>
              <w:rPr>
                <w:rFonts w:eastAsia="Times New Roman"/>
                <w:color w:val="000000"/>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noWrap/>
            <w:hideMark/>
          </w:tcPr>
          <w:p w:rsidR="00193FED" w:rsidRPr="00D55D9B" w:rsidRDefault="00193FED" w:rsidP="00DD2016">
            <w:pPr>
              <w:spacing w:after="0" w:line="240" w:lineRule="auto"/>
              <w:jc w:val="right"/>
              <w:rPr>
                <w:rFonts w:eastAsia="Times New Roman"/>
                <w:color w:val="000000"/>
                <w:szCs w:val="24"/>
              </w:rPr>
            </w:pPr>
            <w:r w:rsidRPr="00D55D9B">
              <w:rPr>
                <w:rFonts w:eastAsia="Times New Roman"/>
                <w:color w:val="000000"/>
                <w:szCs w:val="24"/>
              </w:rPr>
              <w:t>$42.99</w:t>
            </w:r>
          </w:p>
        </w:tc>
      </w:tr>
    </w:tbl>
    <w:p w:rsidR="00193FED" w:rsidRDefault="00193FED" w:rsidP="00193FED">
      <w:pPr>
        <w:pStyle w:val="NoSpacing"/>
        <w:spacing w:line="480" w:lineRule="auto"/>
      </w:pPr>
    </w:p>
    <w:p w:rsidR="00193FED" w:rsidRPr="009C5B5C" w:rsidRDefault="00DD2016" w:rsidP="00DD2016">
      <w:pPr>
        <w:pStyle w:val="NoSpacing"/>
        <w:spacing w:line="480" w:lineRule="auto"/>
        <w:ind w:left="720" w:hanging="720"/>
        <w:rPr>
          <w:b/>
        </w:rPr>
      </w:pPr>
      <w:r>
        <w:rPr>
          <w:b/>
        </w:rPr>
        <w:t>Q.</w:t>
      </w:r>
      <w:r>
        <w:rPr>
          <w:b/>
        </w:rPr>
        <w:tab/>
      </w:r>
      <w:r w:rsidR="00193FED" w:rsidRPr="009C5B5C">
        <w:rPr>
          <w:b/>
        </w:rPr>
        <w:t xml:space="preserve">What </w:t>
      </w:r>
      <w:r w:rsidR="00193FED">
        <w:rPr>
          <w:b/>
        </w:rPr>
        <w:t>do you</w:t>
      </w:r>
      <w:r w:rsidR="00193FED" w:rsidRPr="009C5B5C">
        <w:rPr>
          <w:b/>
        </w:rPr>
        <w:t xml:space="preserve"> recommend</w:t>
      </w:r>
      <w:r w:rsidR="00193FED">
        <w:rPr>
          <w:b/>
        </w:rPr>
        <w:t xml:space="preserve"> in terms of Frontier’s stand-alone DSL prices</w:t>
      </w:r>
      <w:r w:rsidR="00193FED" w:rsidRPr="009C5B5C">
        <w:rPr>
          <w:b/>
        </w:rPr>
        <w:t xml:space="preserve">? </w:t>
      </w:r>
    </w:p>
    <w:p w:rsidR="00193FED" w:rsidRDefault="00DD2016" w:rsidP="00DD2016">
      <w:pPr>
        <w:pStyle w:val="NoSpacing"/>
        <w:spacing w:line="480" w:lineRule="auto"/>
        <w:ind w:left="720" w:hanging="720"/>
      </w:pPr>
      <w:r>
        <w:t>A.</w:t>
      </w:r>
      <w:r>
        <w:tab/>
      </w:r>
      <w:r w:rsidR="00193FED">
        <w:t xml:space="preserve">Therefore, I recommend that Frontier be required to continue to offer stand-alone DSL services at Verizon’s current rates, terms and conditions for 12 months after the merger closing.  If Verizon’s existing customers choose to terminate the service contact within the 12-month period, no early termination fees should be charged.  Frontier should also be required to provide bundled services currently offered by </w:t>
      </w:r>
      <w:r w:rsidR="00193FED">
        <w:lastRenderedPageBreak/>
        <w:t>Verizon for 12 months after the merger closing, as recommended by Staff witness, Ms. Jing Roth.</w:t>
      </w:r>
    </w:p>
    <w:p w:rsidR="00193FED" w:rsidRPr="009C5B5C" w:rsidRDefault="00193FED" w:rsidP="00DD2016">
      <w:pPr>
        <w:pStyle w:val="NoSpacing"/>
        <w:spacing w:line="480" w:lineRule="auto"/>
        <w:ind w:left="720" w:hanging="720"/>
      </w:pPr>
    </w:p>
    <w:p w:rsidR="00193FED" w:rsidRPr="009C5B5C" w:rsidRDefault="00DD2016" w:rsidP="00DD2016">
      <w:pPr>
        <w:pStyle w:val="NoSpacing"/>
        <w:spacing w:line="480" w:lineRule="auto"/>
        <w:ind w:left="720" w:hanging="720"/>
        <w:rPr>
          <w:b/>
        </w:rPr>
      </w:pPr>
      <w:r>
        <w:rPr>
          <w:b/>
        </w:rPr>
        <w:t>Q.</w:t>
      </w:r>
      <w:r>
        <w:rPr>
          <w:b/>
        </w:rPr>
        <w:tab/>
      </w:r>
      <w:r w:rsidR="00193FED" w:rsidRPr="009C5B5C">
        <w:rPr>
          <w:b/>
        </w:rPr>
        <w:t>Please summarize your testimony.</w:t>
      </w:r>
    </w:p>
    <w:p w:rsidR="00DD2016" w:rsidRDefault="00DD2016" w:rsidP="00DD2016">
      <w:pPr>
        <w:pStyle w:val="NoSpacing"/>
        <w:spacing w:line="480" w:lineRule="auto"/>
        <w:ind w:left="720" w:hanging="720"/>
      </w:pPr>
      <w:r>
        <w:t>A.</w:t>
      </w:r>
      <w:r>
        <w:tab/>
      </w:r>
      <w:r w:rsidR="00193FED" w:rsidRPr="009C5B5C">
        <w:t>I recommend</w:t>
      </w:r>
      <w:r w:rsidR="00193FED">
        <w:t xml:space="preserve">, as conditions of approval of the proposed transfer, </w:t>
      </w:r>
      <w:r w:rsidR="00193FED" w:rsidRPr="00975E9F">
        <w:t>that Frontier be required to: (1) provide broadband to 95 percent of its customers state-wide by the end of 2013 with annual milestones and with minimum speed capacity requirements; (2) provide broadband to 90 percent of its customers in each wire center classified in UNE Zones 3-5 by the end of 2013; (3) submit an initial broadband deployment plan within 90 days of merger approval</w:t>
      </w:r>
      <w:r w:rsidR="00193FED" w:rsidRPr="009C5B5C">
        <w:t xml:space="preserve"> and thereafter a progress report to the </w:t>
      </w:r>
      <w:r w:rsidR="00193FED">
        <w:t>C</w:t>
      </w:r>
      <w:r w:rsidR="00193FED" w:rsidRPr="009C5B5C">
        <w:t xml:space="preserve">ommission annually; and (4) make </w:t>
      </w:r>
      <w:r w:rsidR="00193FED">
        <w:t xml:space="preserve">a </w:t>
      </w:r>
      <w:r w:rsidR="00193FED" w:rsidRPr="009C5B5C">
        <w:t xml:space="preserve">stand-alone DSL offering available to </w:t>
      </w:r>
      <w:r w:rsidR="00193FED">
        <w:t>consumers and continue to offer stand-alone DSL services at the current Verizon rates, terms and conditions for 12 months after the merger closing</w:t>
      </w:r>
      <w:r w:rsidR="00193FED" w:rsidRPr="009C5B5C">
        <w:t>.</w:t>
      </w:r>
    </w:p>
    <w:p w:rsidR="00193FED" w:rsidRPr="009C5B5C" w:rsidRDefault="00193FED" w:rsidP="00DD2016">
      <w:pPr>
        <w:pStyle w:val="NoSpacing"/>
        <w:spacing w:line="480" w:lineRule="auto"/>
        <w:ind w:left="720" w:hanging="720"/>
      </w:pPr>
      <w:r w:rsidRPr="009C5B5C">
        <w:t xml:space="preserve"> </w:t>
      </w:r>
    </w:p>
    <w:p w:rsidR="00193FED" w:rsidRPr="009C5B5C" w:rsidRDefault="00DD2016" w:rsidP="00DD2016">
      <w:pPr>
        <w:pStyle w:val="NoSpacing"/>
        <w:spacing w:line="480" w:lineRule="auto"/>
        <w:ind w:left="720" w:hanging="720"/>
        <w:rPr>
          <w:b/>
        </w:rPr>
      </w:pPr>
      <w:r>
        <w:rPr>
          <w:b/>
        </w:rPr>
        <w:t>Q.</w:t>
      </w:r>
      <w:r>
        <w:rPr>
          <w:b/>
        </w:rPr>
        <w:tab/>
      </w:r>
      <w:r w:rsidR="00193FED" w:rsidRPr="009C5B5C">
        <w:rPr>
          <w:b/>
        </w:rPr>
        <w:t>Does this conclude your testimony?</w:t>
      </w:r>
    </w:p>
    <w:p w:rsidR="00193FED" w:rsidRPr="009C5B5C" w:rsidRDefault="00DD2016" w:rsidP="00DD2016">
      <w:pPr>
        <w:pStyle w:val="NoSpacing"/>
        <w:spacing w:line="480" w:lineRule="auto"/>
        <w:ind w:left="720" w:hanging="720"/>
      </w:pPr>
      <w:r>
        <w:t>A.</w:t>
      </w:r>
      <w:r>
        <w:tab/>
      </w:r>
      <w:r w:rsidR="00193FED" w:rsidRPr="009C5B5C">
        <w:t xml:space="preserve">Yes, it does.  </w:t>
      </w:r>
    </w:p>
    <w:p w:rsidR="00E42560" w:rsidRPr="009C5B5C" w:rsidRDefault="00E42560" w:rsidP="00DD2016">
      <w:pPr>
        <w:pStyle w:val="NoSpacing"/>
        <w:spacing w:line="480" w:lineRule="auto"/>
        <w:ind w:left="720" w:hanging="720"/>
      </w:pPr>
    </w:p>
    <w:sectPr w:rsidR="00E42560" w:rsidRPr="009C5B5C" w:rsidSect="004B1C98">
      <w:footerReference w:type="default" r:id="rId18"/>
      <w:pgSz w:w="12240" w:h="15840"/>
      <w:pgMar w:top="1440" w:right="1440" w:bottom="1440" w:left="1872"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FC8" w:rsidRDefault="00440FC8" w:rsidP="00083764">
      <w:pPr>
        <w:spacing w:after="0" w:line="240" w:lineRule="auto"/>
      </w:pPr>
      <w:r>
        <w:separator/>
      </w:r>
    </w:p>
  </w:endnote>
  <w:endnote w:type="continuationSeparator" w:id="0">
    <w:p w:rsidR="00440FC8" w:rsidRDefault="00440FC8" w:rsidP="000837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C8" w:rsidRPr="00557C40" w:rsidRDefault="00440FC8" w:rsidP="00156039">
    <w:pPr>
      <w:pStyle w:val="Footer"/>
      <w:rPr>
        <w:sz w:val="22"/>
      </w:rPr>
    </w:pPr>
    <w:r w:rsidRPr="00557C40">
      <w:rPr>
        <w:sz w:val="22"/>
      </w:rPr>
      <w:t xml:space="preserve">TESTIMONY OF </w:t>
    </w:r>
    <w:r>
      <w:rPr>
        <w:sz w:val="22"/>
      </w:rPr>
      <w:t xml:space="preserve">JING Y. ROTH  </w:t>
    </w:r>
    <w:r>
      <w:rPr>
        <w:sz w:val="22"/>
      </w:rPr>
      <w:tab/>
    </w:r>
    <w:r>
      <w:rPr>
        <w:sz w:val="22"/>
      </w:rPr>
      <w:tab/>
      <w:t>Exhibit No. ___ HC</w:t>
    </w:r>
    <w:r w:rsidRPr="00557C40">
      <w:rPr>
        <w:sz w:val="22"/>
      </w:rPr>
      <w:t>T (</w:t>
    </w:r>
    <w:proofErr w:type="spellStart"/>
    <w:r w:rsidRPr="00557C40">
      <w:rPr>
        <w:sz w:val="22"/>
      </w:rPr>
      <w:t>JYR</w:t>
    </w:r>
    <w:proofErr w:type="spellEnd"/>
    <w:r w:rsidRPr="00557C40">
      <w:rPr>
        <w:sz w:val="22"/>
      </w:rPr>
      <w:t>-1</w:t>
    </w:r>
    <w:r>
      <w:rPr>
        <w:sz w:val="22"/>
      </w:rPr>
      <w:t>HC</w:t>
    </w:r>
    <w:r w:rsidRPr="00557C40">
      <w:rPr>
        <w:sz w:val="22"/>
      </w:rPr>
      <w:t>T</w:t>
    </w:r>
    <w:proofErr w:type="gramStart"/>
    <w:r w:rsidRPr="00557C40">
      <w:rPr>
        <w:sz w:val="22"/>
      </w:rPr>
      <w:t>)</w:t>
    </w:r>
    <w:proofErr w:type="gramEnd"/>
    <w:r w:rsidRPr="00557C40">
      <w:rPr>
        <w:sz w:val="22"/>
      </w:rPr>
      <w:br/>
      <w:t>Docket No.  UT-090842</w:t>
    </w:r>
    <w:r w:rsidRPr="00557C40">
      <w:rPr>
        <w:sz w:val="22"/>
      </w:rPr>
      <w:tab/>
    </w:r>
    <w:r w:rsidRPr="00557C40">
      <w:rPr>
        <w:sz w:val="22"/>
      </w:rPr>
      <w:tab/>
      <w:t xml:space="preserve">Page </w:t>
    </w:r>
    <w:r w:rsidR="00D52A4E" w:rsidRPr="00557C40">
      <w:rPr>
        <w:rStyle w:val="PageNumber"/>
        <w:sz w:val="22"/>
      </w:rPr>
      <w:fldChar w:fldCharType="begin"/>
    </w:r>
    <w:r w:rsidRPr="00557C40">
      <w:rPr>
        <w:rStyle w:val="PageNumber"/>
        <w:sz w:val="22"/>
      </w:rPr>
      <w:instrText xml:space="preserve"> PAGE </w:instrText>
    </w:r>
    <w:r w:rsidR="00D52A4E" w:rsidRPr="00557C40">
      <w:rPr>
        <w:rStyle w:val="PageNumber"/>
        <w:sz w:val="22"/>
      </w:rPr>
      <w:fldChar w:fldCharType="separate"/>
    </w:r>
    <w:r>
      <w:rPr>
        <w:rStyle w:val="PageNumber"/>
        <w:noProof/>
        <w:sz w:val="22"/>
      </w:rPr>
      <w:t>ii</w:t>
    </w:r>
    <w:r w:rsidR="00D52A4E" w:rsidRPr="00557C40">
      <w:rPr>
        <w:rStyle w:val="PageNumber"/>
        <w:sz w:val="22"/>
      </w:rPr>
      <w:fldChar w:fldCharType="end"/>
    </w:r>
  </w:p>
  <w:p w:rsidR="00440FC8" w:rsidRPr="008404D4" w:rsidRDefault="00440FC8" w:rsidP="00156039">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C8" w:rsidRDefault="00440FC8" w:rsidP="00A05BB5">
    <w:pPr>
      <w:pStyle w:val="Footer"/>
      <w:tabs>
        <w:tab w:val="clear" w:pos="9360"/>
        <w:tab w:val="right" w:pos="8910"/>
      </w:tabs>
      <w:spacing w:after="0" w:line="240" w:lineRule="auto"/>
      <w:ind w:right="-72"/>
    </w:pPr>
  </w:p>
  <w:p w:rsidR="00440FC8" w:rsidRPr="00345CD3" w:rsidRDefault="00440FC8" w:rsidP="00A05BB5">
    <w:pPr>
      <w:pStyle w:val="Footer"/>
      <w:tabs>
        <w:tab w:val="clear" w:pos="9360"/>
        <w:tab w:val="right" w:pos="8910"/>
      </w:tabs>
      <w:spacing w:after="0" w:line="240" w:lineRule="auto"/>
      <w:ind w:right="-72"/>
      <w:rPr>
        <w:sz w:val="22"/>
      </w:rPr>
    </w:pPr>
    <w:r w:rsidRPr="00345CD3">
      <w:rPr>
        <w:sz w:val="22"/>
      </w:rPr>
      <w:t>TESTIMONY OF JING LIU</w:t>
    </w:r>
    <w:r w:rsidRPr="00345CD3">
      <w:rPr>
        <w:sz w:val="22"/>
      </w:rPr>
      <w:tab/>
    </w:r>
    <w:r w:rsidRPr="00345CD3">
      <w:rPr>
        <w:sz w:val="22"/>
      </w:rPr>
      <w:tab/>
      <w:t>Exhibit No. ___ HCT (</w:t>
    </w:r>
    <w:proofErr w:type="spellStart"/>
    <w:r w:rsidRPr="00345CD3">
      <w:rPr>
        <w:sz w:val="22"/>
      </w:rPr>
      <w:t>JL</w:t>
    </w:r>
    <w:proofErr w:type="spellEnd"/>
    <w:r w:rsidRPr="00345CD3">
      <w:rPr>
        <w:sz w:val="22"/>
      </w:rPr>
      <w:t>-1HCT)</w:t>
    </w:r>
  </w:p>
  <w:p w:rsidR="00440FC8" w:rsidRPr="00345CD3" w:rsidRDefault="00440FC8" w:rsidP="00D3001A">
    <w:pPr>
      <w:pStyle w:val="Footer"/>
      <w:tabs>
        <w:tab w:val="right" w:pos="8910"/>
      </w:tabs>
      <w:spacing w:after="0" w:line="240" w:lineRule="auto"/>
      <w:rPr>
        <w:sz w:val="22"/>
      </w:rPr>
    </w:pPr>
    <w:r w:rsidRPr="00345CD3">
      <w:rPr>
        <w:sz w:val="22"/>
      </w:rPr>
      <w:t>Docket UT-090842</w:t>
    </w:r>
    <w:r w:rsidRPr="00345CD3">
      <w:rPr>
        <w:sz w:val="22"/>
        <w:lang w:val="fr-FR"/>
      </w:rPr>
      <w:tab/>
    </w:r>
    <w:r w:rsidRPr="00345CD3">
      <w:rPr>
        <w:sz w:val="22"/>
        <w:lang w:val="fr-FR"/>
      </w:rPr>
      <w:tab/>
      <w:t xml:space="preserve">Page </w:t>
    </w:r>
    <w:r w:rsidR="00D52A4E" w:rsidRPr="00345CD3">
      <w:rPr>
        <w:rStyle w:val="PageNumber"/>
        <w:sz w:val="22"/>
      </w:rPr>
      <w:fldChar w:fldCharType="begin"/>
    </w:r>
    <w:r w:rsidRPr="00345CD3">
      <w:rPr>
        <w:rStyle w:val="PageNumber"/>
        <w:sz w:val="22"/>
        <w:lang w:val="fr-FR"/>
      </w:rPr>
      <w:instrText xml:space="preserve"> PAGE </w:instrText>
    </w:r>
    <w:r w:rsidR="00D52A4E" w:rsidRPr="00345CD3">
      <w:rPr>
        <w:rStyle w:val="PageNumber"/>
        <w:sz w:val="22"/>
      </w:rPr>
      <w:fldChar w:fldCharType="separate"/>
    </w:r>
    <w:r w:rsidR="0069439A">
      <w:rPr>
        <w:rStyle w:val="PageNumber"/>
        <w:noProof/>
        <w:sz w:val="22"/>
        <w:lang w:val="fr-FR"/>
      </w:rPr>
      <w:t>20</w:t>
    </w:r>
    <w:r w:rsidR="00D52A4E" w:rsidRPr="00345CD3">
      <w:rPr>
        <w:rStyle w:val="PageNumber"/>
        <w:sz w:val="22"/>
      </w:rPr>
      <w:fldChar w:fldCharType="end"/>
    </w:r>
  </w:p>
  <w:p w:rsidR="00440FC8" w:rsidRDefault="00440F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C8" w:rsidRPr="007525A5" w:rsidRDefault="00440FC8" w:rsidP="00156039">
    <w:pPr>
      <w:pStyle w:val="Footer"/>
      <w:jc w:val="center"/>
      <w:rPr>
        <w:b/>
      </w:rPr>
    </w:pPr>
    <w:r>
      <w:rPr>
        <w:b/>
      </w:rPr>
      <w:t>HIGHLY CONFIDENTIAL PER PROTECTIVE ORDER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C8" w:rsidRPr="00156039" w:rsidRDefault="00440FC8" w:rsidP="00A05BB5">
    <w:pPr>
      <w:pStyle w:val="Footer"/>
      <w:tabs>
        <w:tab w:val="clear" w:pos="9360"/>
        <w:tab w:val="right" w:pos="8910"/>
      </w:tabs>
      <w:spacing w:after="0" w:line="240" w:lineRule="auto"/>
      <w:ind w:right="-72"/>
      <w:rPr>
        <w:sz w:val="22"/>
      </w:rPr>
    </w:pPr>
    <w:r w:rsidRPr="00156039">
      <w:rPr>
        <w:sz w:val="22"/>
      </w:rPr>
      <w:t>TESTIMONY OF JING LIU</w:t>
    </w:r>
    <w:r w:rsidRPr="00156039">
      <w:rPr>
        <w:sz w:val="22"/>
      </w:rPr>
      <w:tab/>
    </w:r>
    <w:r w:rsidRPr="00156039">
      <w:rPr>
        <w:sz w:val="22"/>
      </w:rPr>
      <w:tab/>
      <w:t>Exhibit No. ___ HC</w:t>
    </w:r>
    <w:r>
      <w:rPr>
        <w:sz w:val="22"/>
      </w:rPr>
      <w:t>T</w:t>
    </w:r>
    <w:r w:rsidRPr="00156039">
      <w:rPr>
        <w:sz w:val="22"/>
      </w:rPr>
      <w:t xml:space="preserve"> (</w:t>
    </w:r>
    <w:proofErr w:type="spellStart"/>
    <w:r w:rsidRPr="00156039">
      <w:rPr>
        <w:sz w:val="22"/>
      </w:rPr>
      <w:t>JL</w:t>
    </w:r>
    <w:proofErr w:type="spellEnd"/>
    <w:r w:rsidRPr="00156039">
      <w:rPr>
        <w:sz w:val="22"/>
      </w:rPr>
      <w:t>-1HCT)</w:t>
    </w:r>
  </w:p>
  <w:p w:rsidR="00440FC8" w:rsidRPr="00156039" w:rsidRDefault="00440FC8" w:rsidP="00D3001A">
    <w:pPr>
      <w:pStyle w:val="Footer"/>
      <w:tabs>
        <w:tab w:val="right" w:pos="8910"/>
      </w:tabs>
      <w:spacing w:after="0" w:line="240" w:lineRule="auto"/>
      <w:rPr>
        <w:sz w:val="22"/>
      </w:rPr>
    </w:pPr>
    <w:r w:rsidRPr="00156039">
      <w:rPr>
        <w:sz w:val="22"/>
      </w:rPr>
      <w:t>Docket UT-090842</w:t>
    </w:r>
    <w:r w:rsidRPr="00156039">
      <w:rPr>
        <w:sz w:val="22"/>
        <w:lang w:val="fr-FR"/>
      </w:rPr>
      <w:tab/>
    </w:r>
    <w:r w:rsidRPr="00156039">
      <w:rPr>
        <w:sz w:val="22"/>
        <w:lang w:val="fr-FR"/>
      </w:rPr>
      <w:tab/>
      <w:t xml:space="preserve">Page </w:t>
    </w:r>
    <w:r w:rsidR="00D52A4E" w:rsidRPr="00156039">
      <w:rPr>
        <w:rStyle w:val="PageNumber"/>
        <w:sz w:val="22"/>
      </w:rPr>
      <w:fldChar w:fldCharType="begin"/>
    </w:r>
    <w:r w:rsidRPr="00156039">
      <w:rPr>
        <w:rStyle w:val="PageNumber"/>
        <w:sz w:val="22"/>
        <w:lang w:val="fr-FR"/>
      </w:rPr>
      <w:instrText xml:space="preserve"> PAGE </w:instrText>
    </w:r>
    <w:r w:rsidR="00D52A4E" w:rsidRPr="00156039">
      <w:rPr>
        <w:rStyle w:val="PageNumber"/>
        <w:sz w:val="22"/>
      </w:rPr>
      <w:fldChar w:fldCharType="separate"/>
    </w:r>
    <w:r w:rsidR="0069439A">
      <w:rPr>
        <w:rStyle w:val="PageNumber"/>
        <w:noProof/>
        <w:sz w:val="22"/>
        <w:lang w:val="fr-FR"/>
      </w:rPr>
      <w:t>ii</w:t>
    </w:r>
    <w:r w:rsidR="00D52A4E" w:rsidRPr="00156039">
      <w:rPr>
        <w:rStyle w:val="PageNumber"/>
        <w:sz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C8" w:rsidRDefault="00440FC8" w:rsidP="00A05BB5">
    <w:pPr>
      <w:pStyle w:val="Footer"/>
      <w:tabs>
        <w:tab w:val="clear" w:pos="9360"/>
        <w:tab w:val="right" w:pos="8910"/>
      </w:tabs>
      <w:spacing w:after="0" w:line="240" w:lineRule="auto"/>
      <w:ind w:right="-72"/>
    </w:pPr>
  </w:p>
  <w:p w:rsidR="00440FC8" w:rsidRPr="00345CD3" w:rsidRDefault="00440FC8" w:rsidP="00A05BB5">
    <w:pPr>
      <w:pStyle w:val="Footer"/>
      <w:tabs>
        <w:tab w:val="clear" w:pos="9360"/>
        <w:tab w:val="right" w:pos="8910"/>
      </w:tabs>
      <w:spacing w:after="0" w:line="240" w:lineRule="auto"/>
      <w:ind w:right="-72"/>
      <w:rPr>
        <w:sz w:val="22"/>
      </w:rPr>
    </w:pPr>
    <w:r w:rsidRPr="00345CD3">
      <w:rPr>
        <w:sz w:val="22"/>
      </w:rPr>
      <w:t>TESTIMONY OF JING LIU</w:t>
    </w:r>
    <w:r w:rsidRPr="00345CD3">
      <w:rPr>
        <w:sz w:val="22"/>
      </w:rPr>
      <w:tab/>
    </w:r>
    <w:r w:rsidRPr="00345CD3">
      <w:rPr>
        <w:sz w:val="22"/>
      </w:rPr>
      <w:tab/>
      <w:t>Exhibit No. ___ HCT (</w:t>
    </w:r>
    <w:proofErr w:type="spellStart"/>
    <w:r w:rsidRPr="00345CD3">
      <w:rPr>
        <w:sz w:val="22"/>
      </w:rPr>
      <w:t>JL</w:t>
    </w:r>
    <w:proofErr w:type="spellEnd"/>
    <w:r w:rsidRPr="00345CD3">
      <w:rPr>
        <w:sz w:val="22"/>
      </w:rPr>
      <w:t>-1HCT)</w:t>
    </w:r>
  </w:p>
  <w:p w:rsidR="00440FC8" w:rsidRPr="00345CD3" w:rsidRDefault="00440FC8" w:rsidP="00D3001A">
    <w:pPr>
      <w:pStyle w:val="Footer"/>
      <w:tabs>
        <w:tab w:val="right" w:pos="8910"/>
      </w:tabs>
      <w:spacing w:after="0" w:line="240" w:lineRule="auto"/>
      <w:rPr>
        <w:sz w:val="22"/>
      </w:rPr>
    </w:pPr>
    <w:r w:rsidRPr="00345CD3">
      <w:rPr>
        <w:sz w:val="22"/>
      </w:rPr>
      <w:t>Docket UT-090842</w:t>
    </w:r>
    <w:r w:rsidRPr="00345CD3">
      <w:rPr>
        <w:sz w:val="22"/>
        <w:lang w:val="fr-FR"/>
      </w:rPr>
      <w:tab/>
    </w:r>
    <w:r w:rsidRPr="00345CD3">
      <w:rPr>
        <w:sz w:val="22"/>
        <w:lang w:val="fr-FR"/>
      </w:rPr>
      <w:tab/>
      <w:t xml:space="preserve">Page </w:t>
    </w:r>
    <w:r w:rsidR="00D52A4E" w:rsidRPr="00345CD3">
      <w:rPr>
        <w:rStyle w:val="PageNumber"/>
        <w:sz w:val="22"/>
      </w:rPr>
      <w:fldChar w:fldCharType="begin"/>
    </w:r>
    <w:r w:rsidRPr="00345CD3">
      <w:rPr>
        <w:rStyle w:val="PageNumber"/>
        <w:sz w:val="22"/>
        <w:lang w:val="fr-FR"/>
      </w:rPr>
      <w:instrText xml:space="preserve"> PAGE </w:instrText>
    </w:r>
    <w:r w:rsidR="00D52A4E" w:rsidRPr="00345CD3">
      <w:rPr>
        <w:rStyle w:val="PageNumber"/>
        <w:sz w:val="22"/>
      </w:rPr>
      <w:fldChar w:fldCharType="separate"/>
    </w:r>
    <w:r w:rsidR="0069439A">
      <w:rPr>
        <w:rStyle w:val="PageNumber"/>
        <w:noProof/>
        <w:sz w:val="22"/>
        <w:lang w:val="fr-FR"/>
      </w:rPr>
      <w:t>7</w:t>
    </w:r>
    <w:r w:rsidR="00D52A4E" w:rsidRPr="00345CD3">
      <w:rPr>
        <w:rStyle w:val="PageNumber"/>
        <w:sz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C8" w:rsidRDefault="00440FC8" w:rsidP="00A05BB5">
    <w:pPr>
      <w:pStyle w:val="Footer"/>
      <w:tabs>
        <w:tab w:val="clear" w:pos="9360"/>
        <w:tab w:val="right" w:pos="8910"/>
      </w:tabs>
      <w:spacing w:after="0" w:line="240" w:lineRule="auto"/>
      <w:ind w:right="-72"/>
    </w:pPr>
  </w:p>
  <w:p w:rsidR="00440FC8" w:rsidRPr="00345CD3" w:rsidRDefault="00440FC8" w:rsidP="00A05BB5">
    <w:pPr>
      <w:pStyle w:val="Footer"/>
      <w:tabs>
        <w:tab w:val="clear" w:pos="9360"/>
        <w:tab w:val="right" w:pos="8910"/>
      </w:tabs>
      <w:spacing w:after="0" w:line="240" w:lineRule="auto"/>
      <w:ind w:right="-72"/>
      <w:rPr>
        <w:sz w:val="22"/>
      </w:rPr>
    </w:pPr>
    <w:r w:rsidRPr="00345CD3">
      <w:rPr>
        <w:sz w:val="22"/>
      </w:rPr>
      <w:t>TESTIMONY OF JING LIU</w:t>
    </w:r>
    <w:r w:rsidRPr="00345CD3">
      <w:rPr>
        <w:sz w:val="22"/>
      </w:rPr>
      <w:tab/>
    </w:r>
    <w:r w:rsidRPr="00345CD3">
      <w:rPr>
        <w:sz w:val="22"/>
      </w:rPr>
      <w:tab/>
      <w:t>Exhibit No. ___ HCT (</w:t>
    </w:r>
    <w:proofErr w:type="spellStart"/>
    <w:r w:rsidRPr="00345CD3">
      <w:rPr>
        <w:sz w:val="22"/>
      </w:rPr>
      <w:t>JL</w:t>
    </w:r>
    <w:proofErr w:type="spellEnd"/>
    <w:r w:rsidRPr="00345CD3">
      <w:rPr>
        <w:sz w:val="22"/>
      </w:rPr>
      <w:t>-1HCT)</w:t>
    </w:r>
  </w:p>
  <w:p w:rsidR="00440FC8" w:rsidRDefault="00440FC8" w:rsidP="00D3001A">
    <w:pPr>
      <w:pStyle w:val="Footer"/>
      <w:tabs>
        <w:tab w:val="right" w:pos="8910"/>
      </w:tabs>
      <w:spacing w:after="0" w:line="240" w:lineRule="auto"/>
      <w:rPr>
        <w:rStyle w:val="PageNumber"/>
        <w:sz w:val="22"/>
      </w:rPr>
    </w:pPr>
    <w:r w:rsidRPr="00345CD3">
      <w:rPr>
        <w:sz w:val="22"/>
      </w:rPr>
      <w:t>Docket UT-090842</w:t>
    </w:r>
    <w:r w:rsidRPr="00345CD3">
      <w:rPr>
        <w:sz w:val="22"/>
        <w:lang w:val="fr-FR"/>
      </w:rPr>
      <w:tab/>
    </w:r>
    <w:r w:rsidRPr="00345CD3">
      <w:rPr>
        <w:sz w:val="22"/>
        <w:lang w:val="fr-FR"/>
      </w:rPr>
      <w:tab/>
      <w:t xml:space="preserve">Page </w:t>
    </w:r>
    <w:r w:rsidR="00D52A4E" w:rsidRPr="00345CD3">
      <w:rPr>
        <w:rStyle w:val="PageNumber"/>
        <w:sz w:val="22"/>
      </w:rPr>
      <w:fldChar w:fldCharType="begin"/>
    </w:r>
    <w:r w:rsidRPr="00345CD3">
      <w:rPr>
        <w:rStyle w:val="PageNumber"/>
        <w:sz w:val="22"/>
        <w:lang w:val="fr-FR"/>
      </w:rPr>
      <w:instrText xml:space="preserve"> PAGE </w:instrText>
    </w:r>
    <w:r w:rsidR="00D52A4E" w:rsidRPr="00345CD3">
      <w:rPr>
        <w:rStyle w:val="PageNumber"/>
        <w:sz w:val="22"/>
      </w:rPr>
      <w:fldChar w:fldCharType="separate"/>
    </w:r>
    <w:r w:rsidR="0069439A">
      <w:rPr>
        <w:rStyle w:val="PageNumber"/>
        <w:noProof/>
        <w:sz w:val="22"/>
        <w:lang w:val="fr-FR"/>
      </w:rPr>
      <w:t>8</w:t>
    </w:r>
    <w:r w:rsidR="00D52A4E" w:rsidRPr="00345CD3">
      <w:rPr>
        <w:rStyle w:val="PageNumber"/>
        <w:sz w:val="22"/>
      </w:rPr>
      <w:fldChar w:fldCharType="end"/>
    </w:r>
  </w:p>
  <w:p w:rsidR="00440FC8" w:rsidRDefault="00440FC8" w:rsidP="00D3001A">
    <w:pPr>
      <w:pStyle w:val="Footer"/>
      <w:tabs>
        <w:tab w:val="right" w:pos="8910"/>
      </w:tabs>
      <w:spacing w:after="0" w:line="240" w:lineRule="auto"/>
      <w:rPr>
        <w:rStyle w:val="PageNumber"/>
        <w:sz w:val="22"/>
      </w:rPr>
    </w:pPr>
  </w:p>
  <w:p w:rsidR="00440FC8" w:rsidRPr="00DD2016" w:rsidRDefault="00440FC8" w:rsidP="00DD2016">
    <w:pPr>
      <w:pStyle w:val="Footer"/>
      <w:jc w:val="center"/>
      <w:rPr>
        <w:b/>
      </w:rPr>
    </w:pPr>
    <w:r>
      <w:rPr>
        <w:b/>
      </w:rPr>
      <w:t>HIGHLY CONFIDENTIAL PER PROTECTIVE ORDER</w:t>
    </w:r>
    <w:r w:rsidR="00E32A0D">
      <w:rPr>
        <w:b/>
      </w:rPr>
      <w:t xml:space="preserve"> – REDACTED VERSION</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C8" w:rsidRDefault="00440FC8" w:rsidP="00A05BB5">
    <w:pPr>
      <w:pStyle w:val="Footer"/>
      <w:tabs>
        <w:tab w:val="clear" w:pos="9360"/>
        <w:tab w:val="right" w:pos="8910"/>
      </w:tabs>
      <w:spacing w:after="0" w:line="240" w:lineRule="auto"/>
      <w:ind w:right="-72"/>
    </w:pPr>
  </w:p>
  <w:p w:rsidR="00440FC8" w:rsidRPr="00345CD3" w:rsidRDefault="00440FC8" w:rsidP="00A05BB5">
    <w:pPr>
      <w:pStyle w:val="Footer"/>
      <w:tabs>
        <w:tab w:val="clear" w:pos="9360"/>
        <w:tab w:val="right" w:pos="8910"/>
      </w:tabs>
      <w:spacing w:after="0" w:line="240" w:lineRule="auto"/>
      <w:ind w:right="-72"/>
      <w:rPr>
        <w:sz w:val="22"/>
      </w:rPr>
    </w:pPr>
    <w:r w:rsidRPr="00345CD3">
      <w:rPr>
        <w:sz w:val="22"/>
      </w:rPr>
      <w:t>TESTIMONY OF JING LIU</w:t>
    </w:r>
    <w:r w:rsidRPr="00345CD3">
      <w:rPr>
        <w:sz w:val="22"/>
      </w:rPr>
      <w:tab/>
    </w:r>
    <w:r w:rsidRPr="00345CD3">
      <w:rPr>
        <w:sz w:val="22"/>
      </w:rPr>
      <w:tab/>
      <w:t>Exhibit No. ___ HCT (</w:t>
    </w:r>
    <w:proofErr w:type="spellStart"/>
    <w:r w:rsidRPr="00345CD3">
      <w:rPr>
        <w:sz w:val="22"/>
      </w:rPr>
      <w:t>JL</w:t>
    </w:r>
    <w:proofErr w:type="spellEnd"/>
    <w:r w:rsidRPr="00345CD3">
      <w:rPr>
        <w:sz w:val="22"/>
      </w:rPr>
      <w:t>-1HCT)</w:t>
    </w:r>
  </w:p>
  <w:p w:rsidR="00440FC8" w:rsidRPr="00345CD3" w:rsidRDefault="00440FC8" w:rsidP="00D3001A">
    <w:pPr>
      <w:pStyle w:val="Footer"/>
      <w:tabs>
        <w:tab w:val="right" w:pos="8910"/>
      </w:tabs>
      <w:spacing w:after="0" w:line="240" w:lineRule="auto"/>
      <w:rPr>
        <w:sz w:val="22"/>
      </w:rPr>
    </w:pPr>
    <w:r w:rsidRPr="00345CD3">
      <w:rPr>
        <w:sz w:val="22"/>
      </w:rPr>
      <w:t>Docket UT-090842</w:t>
    </w:r>
    <w:r w:rsidRPr="00345CD3">
      <w:rPr>
        <w:sz w:val="22"/>
        <w:lang w:val="fr-FR"/>
      </w:rPr>
      <w:tab/>
    </w:r>
    <w:r w:rsidRPr="00345CD3">
      <w:rPr>
        <w:sz w:val="22"/>
        <w:lang w:val="fr-FR"/>
      </w:rPr>
      <w:tab/>
      <w:t xml:space="preserve">Page </w:t>
    </w:r>
    <w:r w:rsidR="00D52A4E" w:rsidRPr="00345CD3">
      <w:rPr>
        <w:rStyle w:val="PageNumber"/>
        <w:sz w:val="22"/>
      </w:rPr>
      <w:fldChar w:fldCharType="begin"/>
    </w:r>
    <w:r w:rsidRPr="00345CD3">
      <w:rPr>
        <w:rStyle w:val="PageNumber"/>
        <w:sz w:val="22"/>
        <w:lang w:val="fr-FR"/>
      </w:rPr>
      <w:instrText xml:space="preserve"> PAGE </w:instrText>
    </w:r>
    <w:r w:rsidR="00D52A4E" w:rsidRPr="00345CD3">
      <w:rPr>
        <w:rStyle w:val="PageNumber"/>
        <w:sz w:val="22"/>
      </w:rPr>
      <w:fldChar w:fldCharType="separate"/>
    </w:r>
    <w:r w:rsidR="0069439A">
      <w:rPr>
        <w:rStyle w:val="PageNumber"/>
        <w:noProof/>
        <w:sz w:val="22"/>
        <w:lang w:val="fr-FR"/>
      </w:rPr>
      <w:t>9</w:t>
    </w:r>
    <w:r w:rsidR="00D52A4E" w:rsidRPr="00345CD3">
      <w:rPr>
        <w:rStyle w:val="PageNumber"/>
        <w:sz w:val="2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C8" w:rsidRDefault="00440FC8" w:rsidP="00A05BB5">
    <w:pPr>
      <w:pStyle w:val="Footer"/>
      <w:tabs>
        <w:tab w:val="clear" w:pos="9360"/>
        <w:tab w:val="right" w:pos="8910"/>
      </w:tabs>
      <w:spacing w:after="0" w:line="240" w:lineRule="auto"/>
      <w:ind w:right="-72"/>
    </w:pPr>
  </w:p>
  <w:p w:rsidR="00440FC8" w:rsidRPr="00345CD3" w:rsidRDefault="00440FC8" w:rsidP="00A05BB5">
    <w:pPr>
      <w:pStyle w:val="Footer"/>
      <w:tabs>
        <w:tab w:val="clear" w:pos="9360"/>
        <w:tab w:val="right" w:pos="8910"/>
      </w:tabs>
      <w:spacing w:after="0" w:line="240" w:lineRule="auto"/>
      <w:ind w:right="-72"/>
      <w:rPr>
        <w:sz w:val="22"/>
      </w:rPr>
    </w:pPr>
    <w:r w:rsidRPr="00345CD3">
      <w:rPr>
        <w:sz w:val="22"/>
      </w:rPr>
      <w:t>TESTIMONY OF JING LIU</w:t>
    </w:r>
    <w:r w:rsidRPr="00345CD3">
      <w:rPr>
        <w:sz w:val="22"/>
      </w:rPr>
      <w:tab/>
    </w:r>
    <w:r w:rsidRPr="00345CD3">
      <w:rPr>
        <w:sz w:val="22"/>
      </w:rPr>
      <w:tab/>
      <w:t>Exhibit No. ___ HCT (</w:t>
    </w:r>
    <w:proofErr w:type="spellStart"/>
    <w:r w:rsidRPr="00345CD3">
      <w:rPr>
        <w:sz w:val="22"/>
      </w:rPr>
      <w:t>JL</w:t>
    </w:r>
    <w:proofErr w:type="spellEnd"/>
    <w:r w:rsidRPr="00345CD3">
      <w:rPr>
        <w:sz w:val="22"/>
      </w:rPr>
      <w:t>-1HCT)</w:t>
    </w:r>
  </w:p>
  <w:p w:rsidR="00440FC8" w:rsidRDefault="00440FC8" w:rsidP="00D3001A">
    <w:pPr>
      <w:pStyle w:val="Footer"/>
      <w:tabs>
        <w:tab w:val="right" w:pos="8910"/>
      </w:tabs>
      <w:spacing w:after="0" w:line="240" w:lineRule="auto"/>
      <w:rPr>
        <w:rStyle w:val="PageNumber"/>
        <w:sz w:val="22"/>
      </w:rPr>
    </w:pPr>
    <w:r w:rsidRPr="00345CD3">
      <w:rPr>
        <w:sz w:val="22"/>
      </w:rPr>
      <w:t>Docket UT-090842</w:t>
    </w:r>
    <w:r w:rsidRPr="00345CD3">
      <w:rPr>
        <w:sz w:val="22"/>
        <w:lang w:val="fr-FR"/>
      </w:rPr>
      <w:tab/>
    </w:r>
    <w:r w:rsidRPr="00345CD3">
      <w:rPr>
        <w:sz w:val="22"/>
        <w:lang w:val="fr-FR"/>
      </w:rPr>
      <w:tab/>
      <w:t xml:space="preserve">Page </w:t>
    </w:r>
    <w:r w:rsidR="00D52A4E" w:rsidRPr="00345CD3">
      <w:rPr>
        <w:rStyle w:val="PageNumber"/>
        <w:sz w:val="22"/>
      </w:rPr>
      <w:fldChar w:fldCharType="begin"/>
    </w:r>
    <w:r w:rsidRPr="00345CD3">
      <w:rPr>
        <w:rStyle w:val="PageNumber"/>
        <w:sz w:val="22"/>
        <w:lang w:val="fr-FR"/>
      </w:rPr>
      <w:instrText xml:space="preserve"> PAGE </w:instrText>
    </w:r>
    <w:r w:rsidR="00D52A4E" w:rsidRPr="00345CD3">
      <w:rPr>
        <w:rStyle w:val="PageNumber"/>
        <w:sz w:val="22"/>
      </w:rPr>
      <w:fldChar w:fldCharType="separate"/>
    </w:r>
    <w:r w:rsidR="0069439A">
      <w:rPr>
        <w:rStyle w:val="PageNumber"/>
        <w:noProof/>
        <w:sz w:val="22"/>
        <w:lang w:val="fr-FR"/>
      </w:rPr>
      <w:t>11</w:t>
    </w:r>
    <w:r w:rsidR="00D52A4E" w:rsidRPr="00345CD3">
      <w:rPr>
        <w:rStyle w:val="PageNumber"/>
        <w:sz w:val="22"/>
      </w:rPr>
      <w:fldChar w:fldCharType="end"/>
    </w:r>
  </w:p>
  <w:p w:rsidR="00440FC8" w:rsidRDefault="00440FC8" w:rsidP="00D3001A">
    <w:pPr>
      <w:pStyle w:val="Footer"/>
      <w:tabs>
        <w:tab w:val="right" w:pos="8910"/>
      </w:tabs>
      <w:spacing w:after="0" w:line="240" w:lineRule="auto"/>
    </w:pPr>
  </w:p>
  <w:p w:rsidR="00440FC8" w:rsidRPr="00904C1D" w:rsidRDefault="00440FC8" w:rsidP="00904C1D">
    <w:pPr>
      <w:pStyle w:val="Footer"/>
      <w:jc w:val="center"/>
      <w:rPr>
        <w:b/>
      </w:rPr>
    </w:pPr>
    <w:r>
      <w:rPr>
        <w:b/>
      </w:rPr>
      <w:t>HIGHLY CONFIDENTIAL PER PROTECTIVE ORDER</w:t>
    </w:r>
    <w:r w:rsidR="00E32A0D">
      <w:rPr>
        <w:b/>
      </w:rPr>
      <w:t xml:space="preserve"> – REDACTED VERSION</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C8" w:rsidRDefault="00440FC8" w:rsidP="00A05BB5">
    <w:pPr>
      <w:pStyle w:val="Footer"/>
      <w:tabs>
        <w:tab w:val="clear" w:pos="9360"/>
        <w:tab w:val="right" w:pos="8910"/>
      </w:tabs>
      <w:spacing w:after="0" w:line="240" w:lineRule="auto"/>
      <w:ind w:right="-72"/>
    </w:pPr>
  </w:p>
  <w:p w:rsidR="00440FC8" w:rsidRPr="00345CD3" w:rsidRDefault="00440FC8" w:rsidP="00A05BB5">
    <w:pPr>
      <w:pStyle w:val="Footer"/>
      <w:tabs>
        <w:tab w:val="clear" w:pos="9360"/>
        <w:tab w:val="right" w:pos="8910"/>
      </w:tabs>
      <w:spacing w:after="0" w:line="240" w:lineRule="auto"/>
      <w:ind w:right="-72"/>
      <w:rPr>
        <w:sz w:val="22"/>
      </w:rPr>
    </w:pPr>
    <w:r w:rsidRPr="00345CD3">
      <w:rPr>
        <w:sz w:val="22"/>
      </w:rPr>
      <w:t>TESTIMONY OF JING LIU</w:t>
    </w:r>
    <w:r w:rsidRPr="00345CD3">
      <w:rPr>
        <w:sz w:val="22"/>
      </w:rPr>
      <w:tab/>
    </w:r>
    <w:r w:rsidRPr="00345CD3">
      <w:rPr>
        <w:sz w:val="22"/>
      </w:rPr>
      <w:tab/>
      <w:t>Exhibit No. ___ HCT (</w:t>
    </w:r>
    <w:proofErr w:type="spellStart"/>
    <w:r w:rsidRPr="00345CD3">
      <w:rPr>
        <w:sz w:val="22"/>
      </w:rPr>
      <w:t>JL</w:t>
    </w:r>
    <w:proofErr w:type="spellEnd"/>
    <w:r w:rsidRPr="00345CD3">
      <w:rPr>
        <w:sz w:val="22"/>
      </w:rPr>
      <w:t>-1HCT)</w:t>
    </w:r>
  </w:p>
  <w:p w:rsidR="00440FC8" w:rsidRPr="00345CD3" w:rsidRDefault="00440FC8" w:rsidP="00D3001A">
    <w:pPr>
      <w:pStyle w:val="Footer"/>
      <w:tabs>
        <w:tab w:val="right" w:pos="8910"/>
      </w:tabs>
      <w:spacing w:after="0" w:line="240" w:lineRule="auto"/>
      <w:rPr>
        <w:sz w:val="22"/>
      </w:rPr>
    </w:pPr>
    <w:r w:rsidRPr="00345CD3">
      <w:rPr>
        <w:sz w:val="22"/>
      </w:rPr>
      <w:t>Docket UT-090842</w:t>
    </w:r>
    <w:r w:rsidRPr="00345CD3">
      <w:rPr>
        <w:sz w:val="22"/>
        <w:lang w:val="fr-FR"/>
      </w:rPr>
      <w:tab/>
    </w:r>
    <w:r w:rsidRPr="00345CD3">
      <w:rPr>
        <w:sz w:val="22"/>
        <w:lang w:val="fr-FR"/>
      </w:rPr>
      <w:tab/>
      <w:t xml:space="preserve">Page </w:t>
    </w:r>
    <w:r w:rsidR="00D52A4E" w:rsidRPr="00345CD3">
      <w:rPr>
        <w:rStyle w:val="PageNumber"/>
        <w:sz w:val="22"/>
      </w:rPr>
      <w:fldChar w:fldCharType="begin"/>
    </w:r>
    <w:r w:rsidRPr="00345CD3">
      <w:rPr>
        <w:rStyle w:val="PageNumber"/>
        <w:sz w:val="22"/>
        <w:lang w:val="fr-FR"/>
      </w:rPr>
      <w:instrText xml:space="preserve"> PAGE </w:instrText>
    </w:r>
    <w:r w:rsidR="00D52A4E" w:rsidRPr="00345CD3">
      <w:rPr>
        <w:rStyle w:val="PageNumber"/>
        <w:sz w:val="22"/>
      </w:rPr>
      <w:fldChar w:fldCharType="separate"/>
    </w:r>
    <w:r w:rsidR="0069439A">
      <w:rPr>
        <w:rStyle w:val="PageNumber"/>
        <w:noProof/>
        <w:sz w:val="22"/>
        <w:lang w:val="fr-FR"/>
      </w:rPr>
      <w:t>14</w:t>
    </w:r>
    <w:r w:rsidR="00D52A4E" w:rsidRPr="00345CD3">
      <w:rPr>
        <w:rStyle w:val="PageNumber"/>
        <w:sz w:val="22"/>
      </w:rPr>
      <w:fldChar w:fldCharType="end"/>
    </w:r>
  </w:p>
  <w:p w:rsidR="00440FC8" w:rsidRDefault="00440FC8">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C8" w:rsidRDefault="00440FC8" w:rsidP="00A05BB5">
    <w:pPr>
      <w:pStyle w:val="Footer"/>
      <w:tabs>
        <w:tab w:val="clear" w:pos="9360"/>
        <w:tab w:val="right" w:pos="8910"/>
      </w:tabs>
      <w:spacing w:after="0" w:line="240" w:lineRule="auto"/>
      <w:ind w:right="-72"/>
    </w:pPr>
  </w:p>
  <w:p w:rsidR="00440FC8" w:rsidRPr="00345CD3" w:rsidRDefault="00440FC8" w:rsidP="00A05BB5">
    <w:pPr>
      <w:pStyle w:val="Footer"/>
      <w:tabs>
        <w:tab w:val="clear" w:pos="9360"/>
        <w:tab w:val="right" w:pos="8910"/>
      </w:tabs>
      <w:spacing w:after="0" w:line="240" w:lineRule="auto"/>
      <w:ind w:right="-72"/>
      <w:rPr>
        <w:sz w:val="22"/>
      </w:rPr>
    </w:pPr>
    <w:r w:rsidRPr="00345CD3">
      <w:rPr>
        <w:sz w:val="22"/>
      </w:rPr>
      <w:t>TESTIMONY OF JING LIU</w:t>
    </w:r>
    <w:r w:rsidRPr="00345CD3">
      <w:rPr>
        <w:sz w:val="22"/>
      </w:rPr>
      <w:tab/>
    </w:r>
    <w:r w:rsidRPr="00345CD3">
      <w:rPr>
        <w:sz w:val="22"/>
      </w:rPr>
      <w:tab/>
      <w:t>Exhibit No. ___ HCT (</w:t>
    </w:r>
    <w:proofErr w:type="spellStart"/>
    <w:r w:rsidRPr="00345CD3">
      <w:rPr>
        <w:sz w:val="22"/>
      </w:rPr>
      <w:t>JL</w:t>
    </w:r>
    <w:proofErr w:type="spellEnd"/>
    <w:r w:rsidRPr="00345CD3">
      <w:rPr>
        <w:sz w:val="22"/>
      </w:rPr>
      <w:t>-1HCT)</w:t>
    </w:r>
  </w:p>
  <w:p w:rsidR="00440FC8" w:rsidRDefault="00440FC8" w:rsidP="00D3001A">
    <w:pPr>
      <w:pStyle w:val="Footer"/>
      <w:tabs>
        <w:tab w:val="right" w:pos="8910"/>
      </w:tabs>
      <w:spacing w:after="0" w:line="240" w:lineRule="auto"/>
      <w:rPr>
        <w:rStyle w:val="PageNumber"/>
        <w:sz w:val="22"/>
      </w:rPr>
    </w:pPr>
    <w:r w:rsidRPr="00345CD3">
      <w:rPr>
        <w:sz w:val="22"/>
      </w:rPr>
      <w:t>Docket UT-090842</w:t>
    </w:r>
    <w:r w:rsidRPr="00345CD3">
      <w:rPr>
        <w:sz w:val="22"/>
        <w:lang w:val="fr-FR"/>
      </w:rPr>
      <w:tab/>
    </w:r>
    <w:r w:rsidRPr="00345CD3">
      <w:rPr>
        <w:sz w:val="22"/>
        <w:lang w:val="fr-FR"/>
      </w:rPr>
      <w:tab/>
      <w:t xml:space="preserve">Page </w:t>
    </w:r>
    <w:r w:rsidR="00D52A4E" w:rsidRPr="00345CD3">
      <w:rPr>
        <w:rStyle w:val="PageNumber"/>
        <w:sz w:val="22"/>
      </w:rPr>
      <w:fldChar w:fldCharType="begin"/>
    </w:r>
    <w:r w:rsidRPr="00345CD3">
      <w:rPr>
        <w:rStyle w:val="PageNumber"/>
        <w:sz w:val="22"/>
        <w:lang w:val="fr-FR"/>
      </w:rPr>
      <w:instrText xml:space="preserve"> PAGE </w:instrText>
    </w:r>
    <w:r w:rsidR="00D52A4E" w:rsidRPr="00345CD3">
      <w:rPr>
        <w:rStyle w:val="PageNumber"/>
        <w:sz w:val="22"/>
      </w:rPr>
      <w:fldChar w:fldCharType="separate"/>
    </w:r>
    <w:r w:rsidR="0069439A">
      <w:rPr>
        <w:rStyle w:val="PageNumber"/>
        <w:noProof/>
        <w:sz w:val="22"/>
        <w:lang w:val="fr-FR"/>
      </w:rPr>
      <w:t>15</w:t>
    </w:r>
    <w:r w:rsidR="00D52A4E" w:rsidRPr="00345CD3">
      <w:rPr>
        <w:rStyle w:val="PageNumber"/>
        <w:sz w:val="22"/>
      </w:rPr>
      <w:fldChar w:fldCharType="end"/>
    </w:r>
  </w:p>
  <w:p w:rsidR="00440FC8" w:rsidRPr="00345CD3" w:rsidRDefault="00440FC8" w:rsidP="00D3001A">
    <w:pPr>
      <w:pStyle w:val="Footer"/>
      <w:tabs>
        <w:tab w:val="right" w:pos="8910"/>
      </w:tabs>
      <w:spacing w:after="0" w:line="240" w:lineRule="auto"/>
      <w:rPr>
        <w:sz w:val="22"/>
      </w:rPr>
    </w:pPr>
  </w:p>
  <w:p w:rsidR="00440FC8" w:rsidRPr="00904C1D" w:rsidRDefault="00440FC8" w:rsidP="00904C1D">
    <w:pPr>
      <w:pStyle w:val="Footer"/>
      <w:jc w:val="center"/>
      <w:rPr>
        <w:b/>
      </w:rPr>
    </w:pPr>
    <w:r>
      <w:rPr>
        <w:b/>
      </w:rPr>
      <w:t>HIGHLY CONFIDENTIAL PER PROTECTIVE ORDER</w:t>
    </w:r>
    <w:r w:rsidR="00E32A0D">
      <w:rPr>
        <w:b/>
      </w:rPr>
      <w:t>- REDACTED VERSION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FC8" w:rsidRDefault="00440FC8" w:rsidP="00083764">
      <w:pPr>
        <w:spacing w:after="0" w:line="240" w:lineRule="auto"/>
      </w:pPr>
      <w:r>
        <w:separator/>
      </w:r>
    </w:p>
  </w:footnote>
  <w:footnote w:type="continuationSeparator" w:id="0">
    <w:p w:rsidR="00440FC8" w:rsidRDefault="00440FC8" w:rsidP="00083764">
      <w:pPr>
        <w:spacing w:after="0" w:line="240" w:lineRule="auto"/>
      </w:pPr>
      <w:r>
        <w:continuationSeparator/>
      </w:r>
    </w:p>
  </w:footnote>
  <w:footnote w:id="1">
    <w:p w:rsidR="00440FC8" w:rsidRDefault="00440FC8" w:rsidP="00193FED">
      <w:pPr>
        <w:pStyle w:val="FootnoteText"/>
        <w:spacing w:after="0" w:line="240" w:lineRule="auto"/>
      </w:pPr>
      <w:r>
        <w:rPr>
          <w:rStyle w:val="FootnoteReference"/>
        </w:rPr>
        <w:footnoteRef/>
      </w:r>
      <w:r>
        <w:t xml:space="preserve"> Direct Testimony of Timothy McCallion, </w:t>
      </w:r>
      <w:proofErr w:type="spellStart"/>
      <w:r>
        <w:t>p.4</w:t>
      </w:r>
      <w:proofErr w:type="spellEnd"/>
      <w:r>
        <w:t>, lines 19-21.</w:t>
      </w:r>
    </w:p>
  </w:footnote>
  <w:footnote w:id="2">
    <w:p w:rsidR="00440FC8" w:rsidRDefault="00440FC8" w:rsidP="00193FED">
      <w:pPr>
        <w:pStyle w:val="FootnoteText"/>
        <w:spacing w:after="0" w:line="240" w:lineRule="auto"/>
      </w:pPr>
      <w:r>
        <w:rPr>
          <w:rStyle w:val="FootnoteReference"/>
        </w:rPr>
        <w:footnoteRef/>
      </w:r>
      <w:r>
        <w:t xml:space="preserve"> </w:t>
      </w:r>
      <w:proofErr w:type="gramStart"/>
      <w:r w:rsidRPr="00090F19">
        <w:t>UT-061625</w:t>
      </w:r>
      <w:r>
        <w:t>, Order 06, ¶¶29-42.</w:t>
      </w:r>
      <w:proofErr w:type="gramEnd"/>
    </w:p>
  </w:footnote>
  <w:footnote w:id="3">
    <w:p w:rsidR="00440FC8" w:rsidRDefault="00440FC8" w:rsidP="00193FED">
      <w:pPr>
        <w:pStyle w:val="FootnoteText"/>
        <w:spacing w:after="0" w:line="240" w:lineRule="auto"/>
      </w:pPr>
      <w:r>
        <w:rPr>
          <w:rStyle w:val="FootnoteReference"/>
        </w:rPr>
        <w:footnoteRef/>
      </w:r>
      <w:r>
        <w:t xml:space="preserve"> </w:t>
      </w:r>
      <w:proofErr w:type="gramStart"/>
      <w:r>
        <w:t>UT-082119, Order 05, Appendix 1 Settlement Agreement, Condition 8.</w:t>
      </w:r>
      <w:proofErr w:type="gramEnd"/>
    </w:p>
  </w:footnote>
  <w:footnote w:id="4">
    <w:p w:rsidR="00440FC8" w:rsidRDefault="00440FC8" w:rsidP="00193FED">
      <w:pPr>
        <w:pStyle w:val="FootnoteText"/>
        <w:spacing w:after="0" w:line="240" w:lineRule="auto"/>
      </w:pPr>
      <w:r>
        <w:rPr>
          <w:rStyle w:val="FootnoteReference"/>
        </w:rPr>
        <w:footnoteRef/>
      </w:r>
      <w:r>
        <w:t xml:space="preserve"> Frontier Response to Public Counsel Data Request </w:t>
      </w:r>
      <w:proofErr w:type="spellStart"/>
      <w:r>
        <w:t>No.197</w:t>
      </w:r>
      <w:proofErr w:type="spellEnd"/>
      <w:r>
        <w:t xml:space="preserve"> indicates that fiber to the premise technology is only used for green field projects. </w:t>
      </w:r>
    </w:p>
  </w:footnote>
  <w:footnote w:id="5">
    <w:p w:rsidR="00440FC8" w:rsidRDefault="00440FC8" w:rsidP="00193FED">
      <w:pPr>
        <w:pStyle w:val="FootnoteText"/>
      </w:pPr>
      <w:r>
        <w:rPr>
          <w:rStyle w:val="FootnoteReference"/>
        </w:rPr>
        <w:footnoteRef/>
      </w:r>
      <w:r>
        <w:t xml:space="preserve"> Direct Testimony of Daniel McCarthy, </w:t>
      </w:r>
      <w:proofErr w:type="spellStart"/>
      <w:r>
        <w:t>p.11</w:t>
      </w:r>
      <w:proofErr w:type="spellEnd"/>
      <w:r>
        <w:t>, lines 5-8.</w:t>
      </w:r>
    </w:p>
  </w:footnote>
  <w:footnote w:id="6">
    <w:p w:rsidR="00440FC8" w:rsidRDefault="00440FC8" w:rsidP="00193FED">
      <w:pPr>
        <w:pStyle w:val="FootnoteText"/>
      </w:pPr>
      <w:r>
        <w:rPr>
          <w:rStyle w:val="FootnoteReference"/>
        </w:rPr>
        <w:footnoteRef/>
      </w:r>
      <w:r>
        <w:t xml:space="preserve"> Direct Testimony of Daniel McCarthy, </w:t>
      </w:r>
      <w:proofErr w:type="spellStart"/>
      <w:r>
        <w:t>p.13</w:t>
      </w:r>
      <w:proofErr w:type="spellEnd"/>
      <w:r>
        <w:t>, lines 9-16.</w:t>
      </w:r>
    </w:p>
  </w:footnote>
  <w:footnote w:id="7">
    <w:p w:rsidR="00440FC8" w:rsidRDefault="00440FC8" w:rsidP="00193FED">
      <w:pPr>
        <w:pStyle w:val="FootnoteText"/>
        <w:spacing w:after="0" w:line="240" w:lineRule="auto"/>
      </w:pPr>
      <w:r>
        <w:rPr>
          <w:rStyle w:val="FootnoteReference"/>
        </w:rPr>
        <w:footnoteRef/>
      </w:r>
      <w:r>
        <w:t xml:space="preserve"> </w:t>
      </w:r>
      <w:proofErr w:type="gramStart"/>
      <w:r>
        <w:t>Federal Communications Commission.</w:t>
      </w:r>
      <w:proofErr w:type="gramEnd"/>
      <w:r>
        <w:t xml:space="preserve">  </w:t>
      </w:r>
      <w:r w:rsidRPr="006E145C">
        <w:rPr>
          <w:i/>
        </w:rPr>
        <w:t>High-Speed Services for Internet Access: Status as of June 30, 2008</w:t>
      </w:r>
      <w:r>
        <w:t xml:space="preserve">. </w:t>
      </w:r>
      <w:proofErr w:type="gramStart"/>
      <w:r>
        <w:t>Released July 2009.</w:t>
      </w:r>
      <w:proofErr w:type="gramEnd"/>
      <w:r>
        <w:t xml:space="preserve"> </w:t>
      </w:r>
      <w:proofErr w:type="gramStart"/>
      <w:r>
        <w:t>Table 14.</w:t>
      </w:r>
      <w:proofErr w:type="gramEnd"/>
      <w:r>
        <w:t xml:space="preserve">  </w:t>
      </w:r>
    </w:p>
  </w:footnote>
  <w:footnote w:id="8">
    <w:p w:rsidR="00440FC8" w:rsidRDefault="00440FC8" w:rsidP="00193FED">
      <w:pPr>
        <w:pStyle w:val="FootnoteText"/>
        <w:spacing w:after="0" w:line="240" w:lineRule="auto"/>
      </w:pPr>
      <w:r>
        <w:rPr>
          <w:rStyle w:val="FootnoteReference"/>
        </w:rPr>
        <w:footnoteRef/>
      </w:r>
      <w:r>
        <w:t xml:space="preserve"> UT-061625, Qwest Broadband Availability Report filed on August 31, 2009. </w:t>
      </w:r>
    </w:p>
  </w:footnote>
  <w:footnote w:id="9">
    <w:p w:rsidR="00440FC8" w:rsidRDefault="00440FC8" w:rsidP="00193FED">
      <w:pPr>
        <w:pStyle w:val="FootnoteText"/>
        <w:spacing w:after="0" w:line="240" w:lineRule="auto"/>
      </w:pPr>
      <w:r>
        <w:rPr>
          <w:rStyle w:val="FootnoteReference"/>
        </w:rPr>
        <w:footnoteRef/>
      </w:r>
      <w:r>
        <w:t xml:space="preserve"> </w:t>
      </w:r>
      <w:proofErr w:type="gramStart"/>
      <w:r>
        <w:t>UT-082119, Order 05, ¶19 footnote.</w:t>
      </w:r>
      <w:proofErr w:type="gramEnd"/>
      <w:r>
        <w:t xml:space="preserve"> </w:t>
      </w:r>
    </w:p>
  </w:footnote>
  <w:footnote w:id="10">
    <w:p w:rsidR="00440FC8" w:rsidRDefault="00440FC8" w:rsidP="00193FED">
      <w:pPr>
        <w:pStyle w:val="FootnoteText"/>
        <w:spacing w:after="0" w:line="240" w:lineRule="auto"/>
      </w:pPr>
      <w:r>
        <w:rPr>
          <w:rStyle w:val="FootnoteReference"/>
        </w:rPr>
        <w:footnoteRef/>
      </w:r>
      <w:r>
        <w:t xml:space="preserve"> </w:t>
      </w:r>
      <w:r w:rsidRPr="004E0098">
        <w:rPr>
          <w:i/>
        </w:rPr>
        <w:t>Id</w:t>
      </w:r>
      <w:r>
        <w:t>.</w:t>
      </w:r>
    </w:p>
  </w:footnote>
  <w:footnote w:id="11">
    <w:p w:rsidR="00440FC8" w:rsidRDefault="00440FC8" w:rsidP="00193FED">
      <w:pPr>
        <w:pStyle w:val="FootnoteText"/>
        <w:spacing w:after="0" w:line="240" w:lineRule="auto"/>
      </w:pPr>
      <w:r>
        <w:rPr>
          <w:rStyle w:val="FootnoteReference"/>
        </w:rPr>
        <w:footnoteRef/>
      </w:r>
      <w:r>
        <w:t xml:space="preserve"> Verizon Response to Staff Data Request Nos.</w:t>
      </w:r>
      <w:r w:rsidRPr="004B2299">
        <w:t xml:space="preserve"> </w:t>
      </w:r>
      <w:r>
        <w:t>18-19.</w:t>
      </w:r>
    </w:p>
  </w:footnote>
  <w:footnote w:id="12">
    <w:p w:rsidR="00440FC8" w:rsidRDefault="00440FC8" w:rsidP="00325E57">
      <w:pPr>
        <w:pStyle w:val="FootnoteText"/>
        <w:spacing w:after="0"/>
      </w:pPr>
      <w:r>
        <w:rPr>
          <w:rStyle w:val="FootnoteReference"/>
        </w:rPr>
        <w:footnoteRef/>
      </w:r>
      <w:r>
        <w:t xml:space="preserve"> </w:t>
      </w:r>
      <w:proofErr w:type="gramStart"/>
      <w:r>
        <w:t xml:space="preserve">Frontier Response to Staff Data Request </w:t>
      </w:r>
      <w:proofErr w:type="spellStart"/>
      <w:r>
        <w:t>Nos.25</w:t>
      </w:r>
      <w:proofErr w:type="spellEnd"/>
      <w:r>
        <w:t xml:space="preserve"> and 30.</w:t>
      </w:r>
      <w:proofErr w:type="gramEnd"/>
      <w:r>
        <w:t xml:space="preserve"> </w:t>
      </w:r>
    </w:p>
  </w:footnote>
  <w:footnote w:id="13">
    <w:p w:rsidR="00440FC8" w:rsidRDefault="00440FC8" w:rsidP="00325E57">
      <w:pPr>
        <w:pStyle w:val="FootnoteText"/>
        <w:spacing w:after="0" w:line="240" w:lineRule="auto"/>
      </w:pPr>
      <w:r>
        <w:rPr>
          <w:rStyle w:val="FootnoteReference"/>
        </w:rPr>
        <w:footnoteRef/>
      </w:r>
      <w:r>
        <w:t xml:space="preserve"> </w:t>
      </w:r>
      <w:hyperlink r:id="rId1" w:history="1">
        <w:r w:rsidRPr="008148A5">
          <w:rPr>
            <w:rStyle w:val="Hyperlink"/>
          </w:rPr>
          <w:t>http://www22.verizon.com/Residential/HighSpeedInternet/Plans/Plans.htm</w:t>
        </w:r>
      </w:hyperlink>
      <w:r>
        <w:t xml:space="preserve">. </w:t>
      </w:r>
    </w:p>
  </w:footnote>
  <w:footnote w:id="14">
    <w:p w:rsidR="00440FC8" w:rsidRDefault="00440FC8" w:rsidP="00193FED">
      <w:pPr>
        <w:pStyle w:val="FootnoteText"/>
        <w:spacing w:after="0" w:line="240" w:lineRule="auto"/>
      </w:pPr>
      <w:r>
        <w:rPr>
          <w:rStyle w:val="FootnoteReference"/>
        </w:rPr>
        <w:footnoteRef/>
      </w:r>
      <w:r>
        <w:t xml:space="preserve"> Direct Testimony of Daniel McCarthy, </w:t>
      </w:r>
      <w:proofErr w:type="spellStart"/>
      <w:r>
        <w:t>p.6</w:t>
      </w:r>
      <w:proofErr w:type="spellEnd"/>
      <w:r>
        <w:t>, lines 5-11.</w:t>
      </w:r>
    </w:p>
  </w:footnote>
  <w:footnote w:id="15">
    <w:p w:rsidR="00440FC8" w:rsidRDefault="00440FC8" w:rsidP="00193FED">
      <w:pPr>
        <w:pStyle w:val="FootnoteText"/>
        <w:spacing w:after="0" w:line="240" w:lineRule="auto"/>
      </w:pPr>
      <w:r>
        <w:rPr>
          <w:rStyle w:val="FootnoteReference"/>
        </w:rPr>
        <w:footnoteRef/>
      </w:r>
      <w:r>
        <w:t xml:space="preserve"> Direct Testimony of Daniel McCarthy, </w:t>
      </w:r>
      <w:proofErr w:type="spellStart"/>
      <w:r>
        <w:t>p.18</w:t>
      </w:r>
      <w:proofErr w:type="spellEnd"/>
      <w:r>
        <w:t>, lines 1-5.</w:t>
      </w:r>
    </w:p>
  </w:footnote>
  <w:footnote w:id="16">
    <w:p w:rsidR="00440FC8" w:rsidRDefault="00440FC8" w:rsidP="00193FED">
      <w:pPr>
        <w:pStyle w:val="FootnoteText"/>
        <w:spacing w:after="0" w:line="240" w:lineRule="auto"/>
      </w:pPr>
      <w:r>
        <w:rPr>
          <w:rStyle w:val="FootnoteReference"/>
        </w:rPr>
        <w:footnoteRef/>
      </w:r>
      <w:r>
        <w:t xml:space="preserve"> </w:t>
      </w:r>
      <w:proofErr w:type="gramStart"/>
      <w:r>
        <w:t xml:space="preserve">Frontier Response to Staff Data Request </w:t>
      </w:r>
      <w:proofErr w:type="spellStart"/>
      <w:r>
        <w:t>No.15</w:t>
      </w:r>
      <w:proofErr w:type="spellEnd"/>
      <w:r>
        <w:t>.</w:t>
      </w:r>
      <w:proofErr w:type="gramEnd"/>
      <w:r>
        <w:t xml:space="preserve"> </w:t>
      </w:r>
    </w:p>
  </w:footnote>
  <w:footnote w:id="17">
    <w:p w:rsidR="00440FC8" w:rsidRDefault="00440FC8" w:rsidP="00193FED">
      <w:pPr>
        <w:pStyle w:val="FootnoteText"/>
        <w:spacing w:after="0" w:line="240" w:lineRule="auto"/>
      </w:pPr>
      <w:r>
        <w:rPr>
          <w:rStyle w:val="FootnoteReference"/>
        </w:rPr>
        <w:footnoteRef/>
      </w:r>
      <w:r>
        <w:t xml:space="preserve"> </w:t>
      </w:r>
      <w:proofErr w:type="gramStart"/>
      <w:r>
        <w:t xml:space="preserve">Frontier Response to Staff Data Request </w:t>
      </w:r>
      <w:proofErr w:type="spellStart"/>
      <w:r>
        <w:t>No.75a</w:t>
      </w:r>
      <w:proofErr w:type="spellEnd"/>
      <w:r>
        <w:t>.</w:t>
      </w:r>
      <w:proofErr w:type="gramEnd"/>
    </w:p>
  </w:footnote>
  <w:footnote w:id="18">
    <w:p w:rsidR="00440FC8" w:rsidRDefault="00440FC8" w:rsidP="00193FED">
      <w:pPr>
        <w:pStyle w:val="FootnoteText"/>
        <w:spacing w:after="0" w:line="240" w:lineRule="auto"/>
      </w:pPr>
      <w:r>
        <w:rPr>
          <w:rStyle w:val="FootnoteReference"/>
        </w:rPr>
        <w:footnoteRef/>
      </w:r>
      <w:r>
        <w:t xml:space="preserve"> McCarthy Direct Testimony, </w:t>
      </w:r>
      <w:proofErr w:type="spellStart"/>
      <w:r>
        <w:t>p.17</w:t>
      </w:r>
      <w:proofErr w:type="spellEnd"/>
      <w:r>
        <w:t>.</w:t>
      </w:r>
    </w:p>
  </w:footnote>
  <w:footnote w:id="19">
    <w:p w:rsidR="00440FC8" w:rsidRDefault="00440FC8" w:rsidP="00193FED">
      <w:pPr>
        <w:pStyle w:val="FootnoteText"/>
        <w:spacing w:after="0" w:line="240" w:lineRule="auto"/>
      </w:pPr>
      <w:r>
        <w:rPr>
          <w:rStyle w:val="FootnoteReference"/>
        </w:rPr>
        <w:footnoteRef/>
      </w:r>
      <w:r>
        <w:t xml:space="preserve"> </w:t>
      </w:r>
      <w:proofErr w:type="gramStart"/>
      <w:r>
        <w:t xml:space="preserve">Frontier Response to Public Council Data Request </w:t>
      </w:r>
      <w:proofErr w:type="spellStart"/>
      <w:r>
        <w:t>No.320</w:t>
      </w:r>
      <w:proofErr w:type="spellEnd"/>
      <w:r>
        <w:t>.</w:t>
      </w:r>
      <w:proofErr w:type="gramEnd"/>
    </w:p>
  </w:footnote>
  <w:footnote w:id="20">
    <w:p w:rsidR="00440FC8" w:rsidRDefault="00440FC8" w:rsidP="00193FED">
      <w:pPr>
        <w:pStyle w:val="FootnoteText"/>
        <w:spacing w:after="0" w:line="240" w:lineRule="auto"/>
      </w:pPr>
      <w:r>
        <w:rPr>
          <w:rStyle w:val="FootnoteReference"/>
        </w:rPr>
        <w:footnoteRef/>
      </w:r>
      <w:r>
        <w:t xml:space="preserve"> Direct Testimony of Daniel McCarthy, </w:t>
      </w:r>
      <w:proofErr w:type="spellStart"/>
      <w:r>
        <w:t>p.20</w:t>
      </w:r>
      <w:proofErr w:type="spellEnd"/>
      <w:r>
        <w:t>, lines 4-6.</w:t>
      </w:r>
    </w:p>
  </w:footnote>
  <w:footnote w:id="21">
    <w:p w:rsidR="00440FC8" w:rsidRDefault="00440FC8" w:rsidP="00193FED">
      <w:pPr>
        <w:pStyle w:val="FootnoteText"/>
        <w:spacing w:after="0" w:line="240" w:lineRule="auto"/>
      </w:pPr>
      <w:r>
        <w:rPr>
          <w:rStyle w:val="FootnoteReference"/>
        </w:rPr>
        <w:footnoteRef/>
      </w:r>
      <w:r>
        <w:t xml:space="preserve"> Verizon Response to Staff Data Request Nos.</w:t>
      </w:r>
      <w:r w:rsidRPr="004B2299">
        <w:t xml:space="preserve"> </w:t>
      </w:r>
      <w:r>
        <w:t>18-19.</w:t>
      </w:r>
    </w:p>
  </w:footnote>
  <w:footnote w:id="22">
    <w:p w:rsidR="00440FC8" w:rsidRDefault="00440FC8" w:rsidP="00193FED">
      <w:pPr>
        <w:pStyle w:val="FootnoteText"/>
        <w:spacing w:after="0" w:line="240" w:lineRule="auto"/>
      </w:pPr>
      <w:r>
        <w:rPr>
          <w:rStyle w:val="FootnoteReference"/>
        </w:rPr>
        <w:footnoteRef/>
      </w:r>
      <w:r>
        <w:t xml:space="preserve"> </w:t>
      </w:r>
      <w:proofErr w:type="gramStart"/>
      <w:r>
        <w:t>Joint Application, ¶40.</w:t>
      </w:r>
      <w:proofErr w:type="gramEnd"/>
    </w:p>
  </w:footnote>
  <w:footnote w:id="23">
    <w:p w:rsidR="00440FC8" w:rsidRDefault="00440FC8" w:rsidP="00193FED">
      <w:pPr>
        <w:pStyle w:val="FootnoteText"/>
        <w:spacing w:after="0" w:line="240" w:lineRule="auto"/>
      </w:pPr>
      <w:r>
        <w:rPr>
          <w:rStyle w:val="FootnoteReference"/>
        </w:rPr>
        <w:footnoteRef/>
      </w:r>
      <w:r>
        <w:t xml:space="preserve"> </w:t>
      </w:r>
      <w:proofErr w:type="gramStart"/>
      <w:r>
        <w:t>UT-061625, Order 06, ¶¶38-39.</w:t>
      </w:r>
      <w:proofErr w:type="gramEnd"/>
    </w:p>
  </w:footnote>
  <w:footnote w:id="24">
    <w:p w:rsidR="00440FC8" w:rsidRDefault="00440FC8" w:rsidP="00193FED">
      <w:pPr>
        <w:pStyle w:val="FootnoteText"/>
        <w:spacing w:after="0" w:line="240" w:lineRule="auto"/>
      </w:pPr>
      <w:r>
        <w:rPr>
          <w:rStyle w:val="FootnoteReference"/>
        </w:rPr>
        <w:footnoteRef/>
      </w:r>
      <w:r>
        <w:t xml:space="preserve"> </w:t>
      </w:r>
      <w:proofErr w:type="gramStart"/>
      <w:r>
        <w:t>UT-082119, Order 05, ¶52.</w:t>
      </w:r>
      <w:proofErr w:type="gramEnd"/>
    </w:p>
  </w:footnote>
  <w:footnote w:id="25">
    <w:p w:rsidR="00440FC8" w:rsidRDefault="00440FC8" w:rsidP="00193FED">
      <w:pPr>
        <w:pStyle w:val="FootnoteText"/>
        <w:spacing w:after="0" w:line="240" w:lineRule="auto"/>
      </w:pPr>
      <w:r>
        <w:rPr>
          <w:rStyle w:val="FootnoteReference"/>
        </w:rPr>
        <w:footnoteRef/>
      </w:r>
      <w:r>
        <w:t xml:space="preserve"> </w:t>
      </w:r>
      <w:proofErr w:type="gramStart"/>
      <w:r w:rsidRPr="00090F19">
        <w:t>UT-061625</w:t>
      </w:r>
      <w:r>
        <w:t>, Order 06, ¶¶29-42.</w:t>
      </w:r>
      <w:proofErr w:type="gramEnd"/>
      <w:r>
        <w:t xml:space="preserve"> </w:t>
      </w:r>
    </w:p>
  </w:footnote>
  <w:footnote w:id="26">
    <w:p w:rsidR="00440FC8" w:rsidRDefault="00440FC8" w:rsidP="00193FED">
      <w:pPr>
        <w:pStyle w:val="FootnoteText"/>
        <w:spacing w:after="0" w:line="240" w:lineRule="auto"/>
      </w:pPr>
      <w:r>
        <w:rPr>
          <w:rStyle w:val="FootnoteReference"/>
        </w:rPr>
        <w:footnoteRef/>
      </w:r>
      <w:r>
        <w:t xml:space="preserve"> Calculated as the number of provisioned DSL lines divided by the number of DSL qualified lines.</w:t>
      </w:r>
    </w:p>
  </w:footnote>
  <w:footnote w:id="27">
    <w:p w:rsidR="00440FC8" w:rsidRDefault="00440FC8" w:rsidP="00DD2016">
      <w:pPr>
        <w:pStyle w:val="FootnoteText"/>
        <w:keepNext/>
        <w:keepLines/>
        <w:spacing w:after="0"/>
      </w:pPr>
      <w:r>
        <w:rPr>
          <w:rStyle w:val="FootnoteReference"/>
        </w:rPr>
        <w:footnoteRef/>
      </w:r>
      <w:r>
        <w:t xml:space="preserve"> Direct Testimony of Daniel McCarthy, </w:t>
      </w:r>
      <w:proofErr w:type="spellStart"/>
      <w:r>
        <w:t>p.19</w:t>
      </w:r>
      <w:proofErr w:type="spellEnd"/>
      <w:r>
        <w:t xml:space="preserve">, lines 16-20. </w:t>
      </w:r>
    </w:p>
  </w:footnote>
  <w:footnote w:id="28">
    <w:p w:rsidR="00440FC8" w:rsidRDefault="00440FC8" w:rsidP="00DD2016">
      <w:pPr>
        <w:pStyle w:val="FootnoteText"/>
        <w:keepNext/>
        <w:keepLines/>
        <w:spacing w:after="0" w:line="240" w:lineRule="auto"/>
      </w:pPr>
      <w:r>
        <w:rPr>
          <w:rStyle w:val="FootnoteReference"/>
        </w:rPr>
        <w:footnoteRef/>
      </w:r>
      <w:r>
        <w:t xml:space="preserve"> Direct Testimony of Daniel McCarthy, </w:t>
      </w:r>
      <w:proofErr w:type="spellStart"/>
      <w:r>
        <w:t>p.13</w:t>
      </w:r>
      <w:proofErr w:type="spellEnd"/>
      <w:r>
        <w:t xml:space="preserve">, lines 9-16; Frontier/Verizon to Staff DR No. 17, emphasis added. </w:t>
      </w:r>
    </w:p>
  </w:footnote>
  <w:footnote w:id="29">
    <w:p w:rsidR="00440FC8" w:rsidRDefault="00440FC8" w:rsidP="00DD2016">
      <w:pPr>
        <w:pStyle w:val="FootnoteText"/>
        <w:spacing w:after="0" w:line="240" w:lineRule="auto"/>
      </w:pPr>
      <w:r>
        <w:rPr>
          <w:rStyle w:val="FootnoteReference"/>
        </w:rPr>
        <w:footnoteRef/>
      </w:r>
      <w:r>
        <w:t xml:space="preserve">  </w:t>
      </w:r>
      <w:hyperlink r:id="rId2" w:history="1">
        <w:r w:rsidRPr="00B04B09">
          <w:rPr>
            <w:rStyle w:val="Hyperlink"/>
          </w:rPr>
          <w:t>http://www.frontier.com/products/ProductOverview.aspx?type=1&amp;p=511</w:t>
        </w:r>
      </w:hyperlink>
      <w:r>
        <w:t>.</w:t>
      </w:r>
    </w:p>
  </w:footnote>
  <w:footnote w:id="30">
    <w:p w:rsidR="00440FC8" w:rsidRDefault="00440FC8" w:rsidP="00DD2016">
      <w:pPr>
        <w:pStyle w:val="FootnoteText"/>
        <w:spacing w:after="0" w:line="240" w:lineRule="auto"/>
      </w:pPr>
      <w:r>
        <w:rPr>
          <w:rStyle w:val="FootnoteReference"/>
        </w:rPr>
        <w:footnoteRef/>
      </w:r>
      <w:r>
        <w:t xml:space="preserve"> Frontier Response to Public Counsel Data Request No. 346.</w:t>
      </w:r>
    </w:p>
  </w:footnote>
  <w:footnote w:id="31">
    <w:p w:rsidR="00440FC8" w:rsidRDefault="00440FC8" w:rsidP="00DD2016">
      <w:pPr>
        <w:pStyle w:val="FootnoteText"/>
        <w:spacing w:after="0" w:line="240" w:lineRule="auto"/>
      </w:pPr>
      <w:r>
        <w:rPr>
          <w:rStyle w:val="FootnoteReference"/>
        </w:rPr>
        <w:footnoteRef/>
      </w:r>
      <w:r>
        <w:t xml:space="preserve"> </w:t>
      </w:r>
      <w:hyperlink r:id="rId3" w:history="1">
        <w:r w:rsidRPr="00B25D4B">
          <w:rPr>
            <w:rStyle w:val="Hyperlink"/>
          </w:rPr>
          <w:t>http://www22.verizon.com/Residential/HighSpeedInternet/Plans/Plans.htm</w:t>
        </w:r>
      </w:hyperlink>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44B"/>
    <w:multiLevelType w:val="hybridMultilevel"/>
    <w:tmpl w:val="ECFC2C42"/>
    <w:lvl w:ilvl="0" w:tplc="E250D1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E1805"/>
    <w:multiLevelType w:val="hybridMultilevel"/>
    <w:tmpl w:val="A69AD8E2"/>
    <w:lvl w:ilvl="0" w:tplc="ABAC7E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7E692C"/>
    <w:multiLevelType w:val="hybridMultilevel"/>
    <w:tmpl w:val="981CF63A"/>
    <w:lvl w:ilvl="0" w:tplc="B25271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1290E"/>
    <w:multiLevelType w:val="hybridMultilevel"/>
    <w:tmpl w:val="5E926FFC"/>
    <w:lvl w:ilvl="0" w:tplc="ED5ECD1C">
      <w:start w:val="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10B4A"/>
    <w:multiLevelType w:val="hybridMultilevel"/>
    <w:tmpl w:val="8488F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F358EE"/>
    <w:multiLevelType w:val="hybridMultilevel"/>
    <w:tmpl w:val="E3B8A38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7D321C"/>
    <w:multiLevelType w:val="hybridMultilevel"/>
    <w:tmpl w:val="BE1857E8"/>
    <w:lvl w:ilvl="0" w:tplc="68BEC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14499"/>
    <w:multiLevelType w:val="hybridMultilevel"/>
    <w:tmpl w:val="03C2A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D63DB7"/>
    <w:multiLevelType w:val="hybridMultilevel"/>
    <w:tmpl w:val="BE1857E8"/>
    <w:lvl w:ilvl="0" w:tplc="68BEC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4D2409"/>
    <w:multiLevelType w:val="hybridMultilevel"/>
    <w:tmpl w:val="BE1857E8"/>
    <w:lvl w:ilvl="0" w:tplc="68BEC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C56AB6"/>
    <w:multiLevelType w:val="hybridMultilevel"/>
    <w:tmpl w:val="BE1857E8"/>
    <w:lvl w:ilvl="0" w:tplc="68BEC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695F7D"/>
    <w:multiLevelType w:val="hybridMultilevel"/>
    <w:tmpl w:val="001EEAD6"/>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2">
    <w:nsid w:val="46F43941"/>
    <w:multiLevelType w:val="hybridMultilevel"/>
    <w:tmpl w:val="4FFAC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510FC2"/>
    <w:multiLevelType w:val="hybridMultilevel"/>
    <w:tmpl w:val="E026A56C"/>
    <w:lvl w:ilvl="0" w:tplc="6262A53E">
      <w:numFmt w:val="bullet"/>
      <w:lvlText w:val="-"/>
      <w:lvlJc w:val="left"/>
      <w:pPr>
        <w:ind w:left="720" w:hanging="360"/>
      </w:pPr>
      <w:rPr>
        <w:rFonts w:ascii="Times New Roman" w:eastAsia="Calibri" w:hAnsi="Times New Roman" w:cs="Times New Roman" w:hint="default"/>
        <w:color w:val="3184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1D6F6A"/>
    <w:multiLevelType w:val="hybridMultilevel"/>
    <w:tmpl w:val="54605F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2C055C3"/>
    <w:multiLevelType w:val="hybridMultilevel"/>
    <w:tmpl w:val="F084AA9E"/>
    <w:lvl w:ilvl="0" w:tplc="CFB4C7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5B7CB5"/>
    <w:multiLevelType w:val="hybridMultilevel"/>
    <w:tmpl w:val="34621706"/>
    <w:lvl w:ilvl="0" w:tplc="9A961C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3408C6"/>
    <w:multiLevelType w:val="hybridMultilevel"/>
    <w:tmpl w:val="AE044AA0"/>
    <w:lvl w:ilvl="0" w:tplc="6B483C12">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EF5DCB"/>
    <w:multiLevelType w:val="hybridMultilevel"/>
    <w:tmpl w:val="13760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E012DAA"/>
    <w:multiLevelType w:val="hybridMultilevel"/>
    <w:tmpl w:val="7F2AEF7C"/>
    <w:lvl w:ilvl="0" w:tplc="0C4E65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5"/>
  </w:num>
  <w:num w:numId="4">
    <w:abstractNumId w:val="13"/>
  </w:num>
  <w:num w:numId="5">
    <w:abstractNumId w:val="9"/>
  </w:num>
  <w:num w:numId="6">
    <w:abstractNumId w:val="1"/>
  </w:num>
  <w:num w:numId="7">
    <w:abstractNumId w:val="19"/>
  </w:num>
  <w:num w:numId="8">
    <w:abstractNumId w:val="0"/>
  </w:num>
  <w:num w:numId="9">
    <w:abstractNumId w:val="18"/>
  </w:num>
  <w:num w:numId="10">
    <w:abstractNumId w:val="10"/>
  </w:num>
  <w:num w:numId="11">
    <w:abstractNumId w:val="4"/>
  </w:num>
  <w:num w:numId="12">
    <w:abstractNumId w:val="6"/>
  </w:num>
  <w:num w:numId="13">
    <w:abstractNumId w:val="8"/>
  </w:num>
  <w:num w:numId="14">
    <w:abstractNumId w:val="3"/>
  </w:num>
  <w:num w:numId="15">
    <w:abstractNumId w:val="11"/>
  </w:num>
  <w:num w:numId="16">
    <w:abstractNumId w:val="16"/>
  </w:num>
  <w:num w:numId="17">
    <w:abstractNumId w:val="12"/>
  </w:num>
  <w:num w:numId="18">
    <w:abstractNumId w:val="7"/>
  </w:num>
  <w:num w:numId="19">
    <w:abstractNumId w:val="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20"/>
  <w:displayHorizontalDrawingGridEvery w:val="2"/>
  <w:characterSpacingControl w:val="doNotCompress"/>
  <w:hdrShapeDefaults>
    <o:shapedefaults v:ext="edit" spidmax="68609"/>
  </w:hdrShapeDefaults>
  <w:footnotePr>
    <w:footnote w:id="-1"/>
    <w:footnote w:id="0"/>
  </w:footnotePr>
  <w:endnotePr>
    <w:endnote w:id="-1"/>
    <w:endnote w:id="0"/>
  </w:endnotePr>
  <w:compat/>
  <w:rsids>
    <w:rsidRoot w:val="00291217"/>
    <w:rsid w:val="00001ABF"/>
    <w:rsid w:val="00003A94"/>
    <w:rsid w:val="00003FB1"/>
    <w:rsid w:val="000140FC"/>
    <w:rsid w:val="0001625A"/>
    <w:rsid w:val="000237D0"/>
    <w:rsid w:val="00033AD1"/>
    <w:rsid w:val="000365D1"/>
    <w:rsid w:val="000379E5"/>
    <w:rsid w:val="000422F3"/>
    <w:rsid w:val="00044932"/>
    <w:rsid w:val="00063A9E"/>
    <w:rsid w:val="00071BD0"/>
    <w:rsid w:val="00074207"/>
    <w:rsid w:val="00075500"/>
    <w:rsid w:val="000835D2"/>
    <w:rsid w:val="00083764"/>
    <w:rsid w:val="00096673"/>
    <w:rsid w:val="00096950"/>
    <w:rsid w:val="00096C80"/>
    <w:rsid w:val="00097B16"/>
    <w:rsid w:val="000A28EA"/>
    <w:rsid w:val="000B1032"/>
    <w:rsid w:val="000B5129"/>
    <w:rsid w:val="000B5F51"/>
    <w:rsid w:val="000C2F2D"/>
    <w:rsid w:val="000D1BD9"/>
    <w:rsid w:val="000D29EB"/>
    <w:rsid w:val="000E4315"/>
    <w:rsid w:val="000F44EB"/>
    <w:rsid w:val="000F4AA3"/>
    <w:rsid w:val="00100DD9"/>
    <w:rsid w:val="001030D2"/>
    <w:rsid w:val="001049BF"/>
    <w:rsid w:val="00106C7A"/>
    <w:rsid w:val="00117245"/>
    <w:rsid w:val="00124F21"/>
    <w:rsid w:val="00136024"/>
    <w:rsid w:val="00140197"/>
    <w:rsid w:val="00141027"/>
    <w:rsid w:val="001421CB"/>
    <w:rsid w:val="00146D03"/>
    <w:rsid w:val="0015399B"/>
    <w:rsid w:val="00154BAE"/>
    <w:rsid w:val="00154DE1"/>
    <w:rsid w:val="00156039"/>
    <w:rsid w:val="00174FFF"/>
    <w:rsid w:val="001833C2"/>
    <w:rsid w:val="00191F77"/>
    <w:rsid w:val="00192477"/>
    <w:rsid w:val="0019343F"/>
    <w:rsid w:val="00193FED"/>
    <w:rsid w:val="0019678E"/>
    <w:rsid w:val="001A21BE"/>
    <w:rsid w:val="001B22B6"/>
    <w:rsid w:val="001B626B"/>
    <w:rsid w:val="001C487E"/>
    <w:rsid w:val="001C5AB1"/>
    <w:rsid w:val="001E069C"/>
    <w:rsid w:val="001E0E06"/>
    <w:rsid w:val="001F5E05"/>
    <w:rsid w:val="00264C06"/>
    <w:rsid w:val="00270E00"/>
    <w:rsid w:val="002765D2"/>
    <w:rsid w:val="0029090F"/>
    <w:rsid w:val="00291217"/>
    <w:rsid w:val="00291999"/>
    <w:rsid w:val="002926A6"/>
    <w:rsid w:val="002B27DD"/>
    <w:rsid w:val="002C039A"/>
    <w:rsid w:val="002C7426"/>
    <w:rsid w:val="002E0718"/>
    <w:rsid w:val="002E304E"/>
    <w:rsid w:val="002E3BFF"/>
    <w:rsid w:val="002F3BE0"/>
    <w:rsid w:val="0030170C"/>
    <w:rsid w:val="003039D0"/>
    <w:rsid w:val="00304D4C"/>
    <w:rsid w:val="00312755"/>
    <w:rsid w:val="003146E0"/>
    <w:rsid w:val="0031555B"/>
    <w:rsid w:val="00322869"/>
    <w:rsid w:val="00325E57"/>
    <w:rsid w:val="00331956"/>
    <w:rsid w:val="00333E1F"/>
    <w:rsid w:val="00341CBD"/>
    <w:rsid w:val="00344128"/>
    <w:rsid w:val="00345CD3"/>
    <w:rsid w:val="00346134"/>
    <w:rsid w:val="00353981"/>
    <w:rsid w:val="00356294"/>
    <w:rsid w:val="003575E4"/>
    <w:rsid w:val="003768AF"/>
    <w:rsid w:val="00377563"/>
    <w:rsid w:val="003822E4"/>
    <w:rsid w:val="0039755A"/>
    <w:rsid w:val="00397AF8"/>
    <w:rsid w:val="003B39D4"/>
    <w:rsid w:val="003B4757"/>
    <w:rsid w:val="003B67AC"/>
    <w:rsid w:val="003C19EC"/>
    <w:rsid w:val="003C1BA6"/>
    <w:rsid w:val="003C2912"/>
    <w:rsid w:val="003C4303"/>
    <w:rsid w:val="003C7A5F"/>
    <w:rsid w:val="003D41D1"/>
    <w:rsid w:val="003D498E"/>
    <w:rsid w:val="003E48C4"/>
    <w:rsid w:val="003E6097"/>
    <w:rsid w:val="003F46E9"/>
    <w:rsid w:val="003F7884"/>
    <w:rsid w:val="004032F1"/>
    <w:rsid w:val="00403CEF"/>
    <w:rsid w:val="00405E5B"/>
    <w:rsid w:val="004108E5"/>
    <w:rsid w:val="004114C7"/>
    <w:rsid w:val="004226BE"/>
    <w:rsid w:val="00423CC9"/>
    <w:rsid w:val="00430602"/>
    <w:rsid w:val="00430BB0"/>
    <w:rsid w:val="00430C2E"/>
    <w:rsid w:val="00440FC8"/>
    <w:rsid w:val="004421A7"/>
    <w:rsid w:val="004421A8"/>
    <w:rsid w:val="004427A7"/>
    <w:rsid w:val="00452E5C"/>
    <w:rsid w:val="00453923"/>
    <w:rsid w:val="00455FAD"/>
    <w:rsid w:val="00460536"/>
    <w:rsid w:val="004634A7"/>
    <w:rsid w:val="004661BD"/>
    <w:rsid w:val="00480BDF"/>
    <w:rsid w:val="00492A7F"/>
    <w:rsid w:val="00492B4D"/>
    <w:rsid w:val="00492E76"/>
    <w:rsid w:val="0049372C"/>
    <w:rsid w:val="00493BBA"/>
    <w:rsid w:val="00496B43"/>
    <w:rsid w:val="004A3E32"/>
    <w:rsid w:val="004A5A8C"/>
    <w:rsid w:val="004A694D"/>
    <w:rsid w:val="004A6F59"/>
    <w:rsid w:val="004B0EB0"/>
    <w:rsid w:val="004B1093"/>
    <w:rsid w:val="004B14BB"/>
    <w:rsid w:val="004B1C98"/>
    <w:rsid w:val="004B2AF5"/>
    <w:rsid w:val="004B3129"/>
    <w:rsid w:val="004B512E"/>
    <w:rsid w:val="004C1092"/>
    <w:rsid w:val="004C6AD9"/>
    <w:rsid w:val="004E0098"/>
    <w:rsid w:val="004E4433"/>
    <w:rsid w:val="004E6513"/>
    <w:rsid w:val="004F1461"/>
    <w:rsid w:val="004F6667"/>
    <w:rsid w:val="00501D38"/>
    <w:rsid w:val="005021FD"/>
    <w:rsid w:val="0050659A"/>
    <w:rsid w:val="00512DA3"/>
    <w:rsid w:val="00524F2A"/>
    <w:rsid w:val="005252BE"/>
    <w:rsid w:val="005279F2"/>
    <w:rsid w:val="00527F41"/>
    <w:rsid w:val="00532007"/>
    <w:rsid w:val="005442AF"/>
    <w:rsid w:val="005476FF"/>
    <w:rsid w:val="005747BA"/>
    <w:rsid w:val="005953EC"/>
    <w:rsid w:val="0059603F"/>
    <w:rsid w:val="005A50DC"/>
    <w:rsid w:val="005A5F93"/>
    <w:rsid w:val="005B6809"/>
    <w:rsid w:val="005C52A8"/>
    <w:rsid w:val="005C573D"/>
    <w:rsid w:val="005D28A4"/>
    <w:rsid w:val="005D3295"/>
    <w:rsid w:val="005D6A7B"/>
    <w:rsid w:val="005D6AF8"/>
    <w:rsid w:val="005E1471"/>
    <w:rsid w:val="005F1BF7"/>
    <w:rsid w:val="005F63EC"/>
    <w:rsid w:val="00606348"/>
    <w:rsid w:val="00610222"/>
    <w:rsid w:val="00616418"/>
    <w:rsid w:val="0062397E"/>
    <w:rsid w:val="00635566"/>
    <w:rsid w:val="00640602"/>
    <w:rsid w:val="00643C56"/>
    <w:rsid w:val="006449CC"/>
    <w:rsid w:val="00647D80"/>
    <w:rsid w:val="00657F67"/>
    <w:rsid w:val="00682593"/>
    <w:rsid w:val="00682E31"/>
    <w:rsid w:val="0068673B"/>
    <w:rsid w:val="0069439A"/>
    <w:rsid w:val="006A3099"/>
    <w:rsid w:val="006A4BBC"/>
    <w:rsid w:val="006B5C2E"/>
    <w:rsid w:val="006C0648"/>
    <w:rsid w:val="006C10B8"/>
    <w:rsid w:val="006C37C1"/>
    <w:rsid w:val="006C526D"/>
    <w:rsid w:val="006D75DC"/>
    <w:rsid w:val="006E145C"/>
    <w:rsid w:val="006E3821"/>
    <w:rsid w:val="006F4C1A"/>
    <w:rsid w:val="006F7629"/>
    <w:rsid w:val="00700E82"/>
    <w:rsid w:val="00706011"/>
    <w:rsid w:val="0070747D"/>
    <w:rsid w:val="00712C6A"/>
    <w:rsid w:val="0071553E"/>
    <w:rsid w:val="00721172"/>
    <w:rsid w:val="0072470A"/>
    <w:rsid w:val="0073482A"/>
    <w:rsid w:val="007461B1"/>
    <w:rsid w:val="00746C50"/>
    <w:rsid w:val="0075017E"/>
    <w:rsid w:val="00750723"/>
    <w:rsid w:val="00752B3B"/>
    <w:rsid w:val="00753169"/>
    <w:rsid w:val="00755733"/>
    <w:rsid w:val="00757F19"/>
    <w:rsid w:val="00761E71"/>
    <w:rsid w:val="007649C4"/>
    <w:rsid w:val="00765EED"/>
    <w:rsid w:val="00766709"/>
    <w:rsid w:val="007738E8"/>
    <w:rsid w:val="00776FDC"/>
    <w:rsid w:val="00784E92"/>
    <w:rsid w:val="00790216"/>
    <w:rsid w:val="0079383E"/>
    <w:rsid w:val="00797707"/>
    <w:rsid w:val="007A012F"/>
    <w:rsid w:val="007B7ED4"/>
    <w:rsid w:val="007C1DB3"/>
    <w:rsid w:val="007C3353"/>
    <w:rsid w:val="007D4F64"/>
    <w:rsid w:val="007D7300"/>
    <w:rsid w:val="007E0516"/>
    <w:rsid w:val="007F1BFD"/>
    <w:rsid w:val="008005C3"/>
    <w:rsid w:val="008050C6"/>
    <w:rsid w:val="00807510"/>
    <w:rsid w:val="00812080"/>
    <w:rsid w:val="00815C91"/>
    <w:rsid w:val="00816179"/>
    <w:rsid w:val="00816930"/>
    <w:rsid w:val="00817813"/>
    <w:rsid w:val="00817D1A"/>
    <w:rsid w:val="00820CD7"/>
    <w:rsid w:val="008237C7"/>
    <w:rsid w:val="00825BA0"/>
    <w:rsid w:val="0082697F"/>
    <w:rsid w:val="00831236"/>
    <w:rsid w:val="0083556C"/>
    <w:rsid w:val="00840461"/>
    <w:rsid w:val="0084558E"/>
    <w:rsid w:val="008572CA"/>
    <w:rsid w:val="008728BB"/>
    <w:rsid w:val="00874382"/>
    <w:rsid w:val="00874BBF"/>
    <w:rsid w:val="00886A34"/>
    <w:rsid w:val="008950CB"/>
    <w:rsid w:val="008A2A55"/>
    <w:rsid w:val="008A4A94"/>
    <w:rsid w:val="008A7835"/>
    <w:rsid w:val="008B11E6"/>
    <w:rsid w:val="008B133C"/>
    <w:rsid w:val="008B6CF0"/>
    <w:rsid w:val="008B72E3"/>
    <w:rsid w:val="008C0A76"/>
    <w:rsid w:val="008C4A67"/>
    <w:rsid w:val="008C4D34"/>
    <w:rsid w:val="008C7789"/>
    <w:rsid w:val="008D18E1"/>
    <w:rsid w:val="008D2C7A"/>
    <w:rsid w:val="008D3ADC"/>
    <w:rsid w:val="008D4652"/>
    <w:rsid w:val="008E1752"/>
    <w:rsid w:val="008E27F9"/>
    <w:rsid w:val="008E2E2A"/>
    <w:rsid w:val="008F12AD"/>
    <w:rsid w:val="00904C1D"/>
    <w:rsid w:val="009062AF"/>
    <w:rsid w:val="009263E5"/>
    <w:rsid w:val="00936D97"/>
    <w:rsid w:val="0094024C"/>
    <w:rsid w:val="00946F9D"/>
    <w:rsid w:val="00947A07"/>
    <w:rsid w:val="00953363"/>
    <w:rsid w:val="00953415"/>
    <w:rsid w:val="00954A3E"/>
    <w:rsid w:val="00955532"/>
    <w:rsid w:val="00966DA9"/>
    <w:rsid w:val="0097359C"/>
    <w:rsid w:val="009756D2"/>
    <w:rsid w:val="00975E9F"/>
    <w:rsid w:val="009772D1"/>
    <w:rsid w:val="00982D9E"/>
    <w:rsid w:val="00990671"/>
    <w:rsid w:val="00993DF3"/>
    <w:rsid w:val="009978B3"/>
    <w:rsid w:val="009A2F73"/>
    <w:rsid w:val="009A4349"/>
    <w:rsid w:val="009A59BB"/>
    <w:rsid w:val="009B5839"/>
    <w:rsid w:val="009C414F"/>
    <w:rsid w:val="009C5B5C"/>
    <w:rsid w:val="009C7DAD"/>
    <w:rsid w:val="009D096B"/>
    <w:rsid w:val="009D7FB3"/>
    <w:rsid w:val="009E2186"/>
    <w:rsid w:val="009E30E4"/>
    <w:rsid w:val="009E532D"/>
    <w:rsid w:val="009E5D47"/>
    <w:rsid w:val="009E7811"/>
    <w:rsid w:val="009F1F2B"/>
    <w:rsid w:val="00A00C37"/>
    <w:rsid w:val="00A03598"/>
    <w:rsid w:val="00A051A9"/>
    <w:rsid w:val="00A05BB5"/>
    <w:rsid w:val="00A127D2"/>
    <w:rsid w:val="00A12F3A"/>
    <w:rsid w:val="00A20B74"/>
    <w:rsid w:val="00A21C96"/>
    <w:rsid w:val="00A247F2"/>
    <w:rsid w:val="00A272CB"/>
    <w:rsid w:val="00A412BA"/>
    <w:rsid w:val="00A44AF3"/>
    <w:rsid w:val="00A459AD"/>
    <w:rsid w:val="00A45F3C"/>
    <w:rsid w:val="00A471F7"/>
    <w:rsid w:val="00A5068B"/>
    <w:rsid w:val="00A62BC0"/>
    <w:rsid w:val="00A67EDD"/>
    <w:rsid w:val="00A70956"/>
    <w:rsid w:val="00A71594"/>
    <w:rsid w:val="00A84C2A"/>
    <w:rsid w:val="00A915EB"/>
    <w:rsid w:val="00A95CA7"/>
    <w:rsid w:val="00AA122F"/>
    <w:rsid w:val="00AA13D7"/>
    <w:rsid w:val="00AB2D89"/>
    <w:rsid w:val="00AB57AF"/>
    <w:rsid w:val="00AB64D0"/>
    <w:rsid w:val="00AC3121"/>
    <w:rsid w:val="00AD0B83"/>
    <w:rsid w:val="00AD1810"/>
    <w:rsid w:val="00AD1C92"/>
    <w:rsid w:val="00AD1EAB"/>
    <w:rsid w:val="00AE11DA"/>
    <w:rsid w:val="00AF055E"/>
    <w:rsid w:val="00B01190"/>
    <w:rsid w:val="00B02A50"/>
    <w:rsid w:val="00B1292A"/>
    <w:rsid w:val="00B12AF3"/>
    <w:rsid w:val="00B1782A"/>
    <w:rsid w:val="00B17C44"/>
    <w:rsid w:val="00B20788"/>
    <w:rsid w:val="00B21317"/>
    <w:rsid w:val="00B226EA"/>
    <w:rsid w:val="00B23B1A"/>
    <w:rsid w:val="00B24621"/>
    <w:rsid w:val="00B27274"/>
    <w:rsid w:val="00B27E7B"/>
    <w:rsid w:val="00B3229B"/>
    <w:rsid w:val="00B3569E"/>
    <w:rsid w:val="00B43069"/>
    <w:rsid w:val="00B44539"/>
    <w:rsid w:val="00B456A1"/>
    <w:rsid w:val="00B46463"/>
    <w:rsid w:val="00B52300"/>
    <w:rsid w:val="00B54051"/>
    <w:rsid w:val="00B57D4A"/>
    <w:rsid w:val="00B61AD9"/>
    <w:rsid w:val="00B652E4"/>
    <w:rsid w:val="00B71B56"/>
    <w:rsid w:val="00B72C00"/>
    <w:rsid w:val="00B76FF4"/>
    <w:rsid w:val="00B77965"/>
    <w:rsid w:val="00B85545"/>
    <w:rsid w:val="00B87606"/>
    <w:rsid w:val="00B87E5D"/>
    <w:rsid w:val="00B933EA"/>
    <w:rsid w:val="00BA564C"/>
    <w:rsid w:val="00BB1194"/>
    <w:rsid w:val="00BB54A1"/>
    <w:rsid w:val="00BC1210"/>
    <w:rsid w:val="00BC3576"/>
    <w:rsid w:val="00BC4579"/>
    <w:rsid w:val="00BC6D80"/>
    <w:rsid w:val="00BD0569"/>
    <w:rsid w:val="00BD3512"/>
    <w:rsid w:val="00BE069A"/>
    <w:rsid w:val="00BE38A0"/>
    <w:rsid w:val="00BE632D"/>
    <w:rsid w:val="00BF6346"/>
    <w:rsid w:val="00BF6BD1"/>
    <w:rsid w:val="00C044D7"/>
    <w:rsid w:val="00C245FB"/>
    <w:rsid w:val="00C30B3B"/>
    <w:rsid w:val="00C3101A"/>
    <w:rsid w:val="00C32CC4"/>
    <w:rsid w:val="00C32FFB"/>
    <w:rsid w:val="00C36614"/>
    <w:rsid w:val="00C51B1A"/>
    <w:rsid w:val="00C60FFE"/>
    <w:rsid w:val="00C61A20"/>
    <w:rsid w:val="00C63EA8"/>
    <w:rsid w:val="00C658A7"/>
    <w:rsid w:val="00C65FCC"/>
    <w:rsid w:val="00C67043"/>
    <w:rsid w:val="00C670F9"/>
    <w:rsid w:val="00C76483"/>
    <w:rsid w:val="00C76F67"/>
    <w:rsid w:val="00C834B7"/>
    <w:rsid w:val="00C97723"/>
    <w:rsid w:val="00CA1BA7"/>
    <w:rsid w:val="00CA298E"/>
    <w:rsid w:val="00CA6E8A"/>
    <w:rsid w:val="00CB1C06"/>
    <w:rsid w:val="00CB2842"/>
    <w:rsid w:val="00CB55A1"/>
    <w:rsid w:val="00CC2287"/>
    <w:rsid w:val="00CD7BD3"/>
    <w:rsid w:val="00CE042D"/>
    <w:rsid w:val="00CF64C9"/>
    <w:rsid w:val="00D01D9E"/>
    <w:rsid w:val="00D02317"/>
    <w:rsid w:val="00D05E2D"/>
    <w:rsid w:val="00D11E8B"/>
    <w:rsid w:val="00D15A10"/>
    <w:rsid w:val="00D16C5A"/>
    <w:rsid w:val="00D21B68"/>
    <w:rsid w:val="00D24C81"/>
    <w:rsid w:val="00D3001A"/>
    <w:rsid w:val="00D45EBD"/>
    <w:rsid w:val="00D50CF1"/>
    <w:rsid w:val="00D52A4E"/>
    <w:rsid w:val="00D55761"/>
    <w:rsid w:val="00D55D9B"/>
    <w:rsid w:val="00D613E8"/>
    <w:rsid w:val="00D62CC5"/>
    <w:rsid w:val="00D9098C"/>
    <w:rsid w:val="00DA3ADC"/>
    <w:rsid w:val="00DA7F5A"/>
    <w:rsid w:val="00DC5F3E"/>
    <w:rsid w:val="00DD04FA"/>
    <w:rsid w:val="00DD2016"/>
    <w:rsid w:val="00DD2528"/>
    <w:rsid w:val="00DD2A47"/>
    <w:rsid w:val="00DD4EA1"/>
    <w:rsid w:val="00DD712D"/>
    <w:rsid w:val="00DE6BA8"/>
    <w:rsid w:val="00DF07CD"/>
    <w:rsid w:val="00E01265"/>
    <w:rsid w:val="00E04C16"/>
    <w:rsid w:val="00E06660"/>
    <w:rsid w:val="00E14F8E"/>
    <w:rsid w:val="00E16FC4"/>
    <w:rsid w:val="00E2063E"/>
    <w:rsid w:val="00E217E9"/>
    <w:rsid w:val="00E32A0D"/>
    <w:rsid w:val="00E32E4E"/>
    <w:rsid w:val="00E36699"/>
    <w:rsid w:val="00E42560"/>
    <w:rsid w:val="00E46B3F"/>
    <w:rsid w:val="00E505E8"/>
    <w:rsid w:val="00E5203E"/>
    <w:rsid w:val="00E63946"/>
    <w:rsid w:val="00E65A36"/>
    <w:rsid w:val="00E73B65"/>
    <w:rsid w:val="00E77810"/>
    <w:rsid w:val="00EA6CDF"/>
    <w:rsid w:val="00EB0649"/>
    <w:rsid w:val="00EB0841"/>
    <w:rsid w:val="00EC5484"/>
    <w:rsid w:val="00ED1C0C"/>
    <w:rsid w:val="00ED58A8"/>
    <w:rsid w:val="00ED5D2B"/>
    <w:rsid w:val="00ED61AE"/>
    <w:rsid w:val="00EE586B"/>
    <w:rsid w:val="00EF0A03"/>
    <w:rsid w:val="00EF2180"/>
    <w:rsid w:val="00F02856"/>
    <w:rsid w:val="00F10B52"/>
    <w:rsid w:val="00F17AE8"/>
    <w:rsid w:val="00F26122"/>
    <w:rsid w:val="00F33360"/>
    <w:rsid w:val="00F54771"/>
    <w:rsid w:val="00F557AE"/>
    <w:rsid w:val="00F62646"/>
    <w:rsid w:val="00F62897"/>
    <w:rsid w:val="00F641EB"/>
    <w:rsid w:val="00F64E82"/>
    <w:rsid w:val="00F77888"/>
    <w:rsid w:val="00FA1F30"/>
    <w:rsid w:val="00FB043B"/>
    <w:rsid w:val="00FB4C9B"/>
    <w:rsid w:val="00FB76C6"/>
    <w:rsid w:val="00FC0EC5"/>
    <w:rsid w:val="00FC109D"/>
    <w:rsid w:val="00FC1676"/>
    <w:rsid w:val="00FD367F"/>
    <w:rsid w:val="00FD69D6"/>
    <w:rsid w:val="00FE79CB"/>
    <w:rsid w:val="00FE7D5E"/>
    <w:rsid w:val="00FF4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line number"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BFD"/>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7F1BFD"/>
    <w:pPr>
      <w:keepNext/>
      <w:keepLines/>
      <w:spacing w:before="480" w:after="0"/>
      <w:outlineLvl w:val="0"/>
    </w:pPr>
    <w:rPr>
      <w:rFonts w:eastAsia="Times New Roman"/>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1BFD"/>
    <w:rPr>
      <w:rFonts w:ascii="Times New Roman" w:hAnsi="Times New Roman"/>
      <w:sz w:val="24"/>
      <w:szCs w:val="22"/>
    </w:rPr>
  </w:style>
  <w:style w:type="character" w:customStyle="1" w:styleId="Heading1Char">
    <w:name w:val="Heading 1 Char"/>
    <w:basedOn w:val="DefaultParagraphFont"/>
    <w:link w:val="Heading1"/>
    <w:uiPriority w:val="9"/>
    <w:rsid w:val="007F1BFD"/>
    <w:rPr>
      <w:rFonts w:ascii="Times New Roman" w:eastAsia="Times New Roman" w:hAnsi="Times New Roman" w:cs="Times New Roman"/>
      <w:b/>
      <w:bCs/>
      <w:color w:val="365F91"/>
      <w:sz w:val="24"/>
      <w:szCs w:val="28"/>
    </w:rPr>
  </w:style>
  <w:style w:type="table" w:styleId="TableGrid">
    <w:name w:val="Table Grid"/>
    <w:basedOn w:val="TableNormal"/>
    <w:uiPriority w:val="59"/>
    <w:rsid w:val="000F44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83764"/>
    <w:pPr>
      <w:tabs>
        <w:tab w:val="center" w:pos="4680"/>
        <w:tab w:val="right" w:pos="9360"/>
      </w:tabs>
    </w:pPr>
  </w:style>
  <w:style w:type="character" w:customStyle="1" w:styleId="HeaderChar">
    <w:name w:val="Header Char"/>
    <w:basedOn w:val="DefaultParagraphFont"/>
    <w:link w:val="Header"/>
    <w:uiPriority w:val="99"/>
    <w:rsid w:val="00083764"/>
    <w:rPr>
      <w:rFonts w:ascii="Times New Roman" w:hAnsi="Times New Roman"/>
      <w:sz w:val="24"/>
      <w:szCs w:val="22"/>
    </w:rPr>
  </w:style>
  <w:style w:type="paragraph" w:styleId="Footer">
    <w:name w:val="footer"/>
    <w:basedOn w:val="Normal"/>
    <w:link w:val="FooterChar"/>
    <w:uiPriority w:val="99"/>
    <w:unhideWhenUsed/>
    <w:rsid w:val="00083764"/>
    <w:pPr>
      <w:tabs>
        <w:tab w:val="center" w:pos="4680"/>
        <w:tab w:val="right" w:pos="9360"/>
      </w:tabs>
    </w:pPr>
  </w:style>
  <w:style w:type="character" w:customStyle="1" w:styleId="FooterChar">
    <w:name w:val="Footer Char"/>
    <w:basedOn w:val="DefaultParagraphFont"/>
    <w:link w:val="Footer"/>
    <w:uiPriority w:val="99"/>
    <w:rsid w:val="00083764"/>
    <w:rPr>
      <w:rFonts w:ascii="Times New Roman" w:hAnsi="Times New Roman"/>
      <w:sz w:val="24"/>
      <w:szCs w:val="22"/>
    </w:rPr>
  </w:style>
  <w:style w:type="character" w:customStyle="1" w:styleId="NoSpacingChar">
    <w:name w:val="No Spacing Char"/>
    <w:basedOn w:val="DefaultParagraphFont"/>
    <w:link w:val="NoSpacing"/>
    <w:uiPriority w:val="1"/>
    <w:rsid w:val="00083764"/>
    <w:rPr>
      <w:rFonts w:ascii="Times New Roman" w:hAnsi="Times New Roman"/>
      <w:sz w:val="24"/>
      <w:szCs w:val="22"/>
      <w:lang w:val="en-US" w:eastAsia="en-US" w:bidi="ar-SA"/>
    </w:rPr>
  </w:style>
  <w:style w:type="paragraph" w:styleId="FootnoteText">
    <w:name w:val="footnote text"/>
    <w:basedOn w:val="Normal"/>
    <w:link w:val="FootnoteTextChar"/>
    <w:uiPriority w:val="99"/>
    <w:semiHidden/>
    <w:unhideWhenUsed/>
    <w:rsid w:val="00074207"/>
    <w:rPr>
      <w:sz w:val="20"/>
      <w:szCs w:val="20"/>
    </w:rPr>
  </w:style>
  <w:style w:type="character" w:customStyle="1" w:styleId="FootnoteTextChar">
    <w:name w:val="Footnote Text Char"/>
    <w:basedOn w:val="DefaultParagraphFont"/>
    <w:link w:val="FootnoteText"/>
    <w:uiPriority w:val="99"/>
    <w:semiHidden/>
    <w:rsid w:val="00074207"/>
    <w:rPr>
      <w:rFonts w:ascii="Times New Roman" w:hAnsi="Times New Roman"/>
    </w:rPr>
  </w:style>
  <w:style w:type="character" w:styleId="FootnoteReference">
    <w:name w:val="footnote reference"/>
    <w:basedOn w:val="DefaultParagraphFont"/>
    <w:uiPriority w:val="99"/>
    <w:semiHidden/>
    <w:unhideWhenUsed/>
    <w:rsid w:val="00074207"/>
    <w:rPr>
      <w:vertAlign w:val="superscript"/>
    </w:rPr>
  </w:style>
  <w:style w:type="character" w:styleId="Hyperlink">
    <w:name w:val="Hyperlink"/>
    <w:basedOn w:val="DefaultParagraphFont"/>
    <w:uiPriority w:val="99"/>
    <w:unhideWhenUsed/>
    <w:rsid w:val="00E36699"/>
    <w:rPr>
      <w:color w:val="0000FF"/>
      <w:u w:val="single"/>
    </w:rPr>
  </w:style>
  <w:style w:type="character" w:styleId="LineNumber">
    <w:name w:val="line number"/>
    <w:basedOn w:val="DefaultParagraphFont"/>
    <w:uiPriority w:val="99"/>
    <w:semiHidden/>
    <w:unhideWhenUsed/>
    <w:rsid w:val="00B1292A"/>
  </w:style>
  <w:style w:type="character" w:styleId="PageNumber">
    <w:name w:val="page number"/>
    <w:basedOn w:val="DefaultParagraphFont"/>
    <w:rsid w:val="00750723"/>
  </w:style>
  <w:style w:type="paragraph" w:styleId="BalloonText">
    <w:name w:val="Balloon Text"/>
    <w:basedOn w:val="Normal"/>
    <w:link w:val="BalloonTextChar"/>
    <w:uiPriority w:val="99"/>
    <w:semiHidden/>
    <w:unhideWhenUsed/>
    <w:rsid w:val="00610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222"/>
    <w:rPr>
      <w:rFonts w:ascii="Tahoma" w:hAnsi="Tahoma" w:cs="Tahoma"/>
      <w:sz w:val="16"/>
      <w:szCs w:val="16"/>
    </w:rPr>
  </w:style>
  <w:style w:type="character" w:styleId="CommentReference">
    <w:name w:val="annotation reference"/>
    <w:basedOn w:val="DefaultParagraphFont"/>
    <w:rsid w:val="00746C50"/>
    <w:rPr>
      <w:sz w:val="16"/>
      <w:szCs w:val="16"/>
    </w:rPr>
  </w:style>
  <w:style w:type="paragraph" w:styleId="CommentText">
    <w:name w:val="annotation text"/>
    <w:basedOn w:val="Normal"/>
    <w:link w:val="CommentTextChar"/>
    <w:rsid w:val="00746C50"/>
    <w:pPr>
      <w:spacing w:line="240" w:lineRule="auto"/>
    </w:pPr>
    <w:rPr>
      <w:sz w:val="20"/>
      <w:szCs w:val="20"/>
    </w:rPr>
  </w:style>
  <w:style w:type="character" w:customStyle="1" w:styleId="CommentTextChar">
    <w:name w:val="Comment Text Char"/>
    <w:basedOn w:val="DefaultParagraphFont"/>
    <w:link w:val="CommentText"/>
    <w:rsid w:val="00746C50"/>
    <w:rPr>
      <w:rFonts w:ascii="Times New Roman" w:hAnsi="Times New Roman"/>
    </w:rPr>
  </w:style>
  <w:style w:type="paragraph" w:styleId="CommentSubject">
    <w:name w:val="annotation subject"/>
    <w:basedOn w:val="CommentText"/>
    <w:next w:val="CommentText"/>
    <w:link w:val="CommentSubjectChar"/>
    <w:rsid w:val="00746C50"/>
    <w:rPr>
      <w:b/>
      <w:bCs/>
    </w:rPr>
  </w:style>
  <w:style w:type="character" w:customStyle="1" w:styleId="CommentSubjectChar">
    <w:name w:val="Comment Subject Char"/>
    <w:basedOn w:val="CommentTextChar"/>
    <w:link w:val="CommentSubject"/>
    <w:rsid w:val="00746C50"/>
    <w:rPr>
      <w:b/>
      <w:bCs/>
    </w:rPr>
  </w:style>
  <w:style w:type="paragraph" w:styleId="Revision">
    <w:name w:val="Revision"/>
    <w:hidden/>
    <w:uiPriority w:val="99"/>
    <w:semiHidden/>
    <w:rsid w:val="005279F2"/>
    <w:rPr>
      <w:rFonts w:ascii="Times New Roman" w:hAnsi="Times New Roman"/>
      <w:sz w:val="24"/>
      <w:szCs w:val="22"/>
    </w:rPr>
  </w:style>
  <w:style w:type="character" w:styleId="FollowedHyperlink">
    <w:name w:val="FollowedHyperlink"/>
    <w:basedOn w:val="DefaultParagraphFont"/>
    <w:rsid w:val="00EF2180"/>
    <w:rPr>
      <w:color w:val="800080" w:themeColor="followedHyperlink"/>
      <w:u w:val="single"/>
    </w:rPr>
  </w:style>
  <w:style w:type="paragraph" w:styleId="BlockText">
    <w:name w:val="Block Text"/>
    <w:basedOn w:val="Normal"/>
    <w:rsid w:val="00156039"/>
    <w:pPr>
      <w:spacing w:after="0" w:line="480" w:lineRule="auto"/>
      <w:ind w:left="2160" w:right="1440"/>
    </w:pPr>
    <w:rPr>
      <w:rFonts w:eastAsia="Times New Roman"/>
      <w:szCs w:val="24"/>
    </w:rPr>
  </w:style>
  <w:style w:type="paragraph" w:styleId="NormalWeb">
    <w:name w:val="Normal (Web)"/>
    <w:basedOn w:val="Normal"/>
    <w:uiPriority w:val="99"/>
    <w:rsid w:val="00156039"/>
    <w:pPr>
      <w:spacing w:before="100" w:beforeAutospacing="1" w:after="100" w:afterAutospacing="1" w:line="240" w:lineRule="auto"/>
    </w:pPr>
    <w:rPr>
      <w:rFonts w:eastAsia="Times New Roman"/>
      <w:szCs w:val="24"/>
    </w:rPr>
  </w:style>
  <w:style w:type="paragraph" w:styleId="ListParagraph">
    <w:name w:val="List Paragraph"/>
    <w:basedOn w:val="Normal"/>
    <w:uiPriority w:val="34"/>
    <w:qFormat/>
    <w:rsid w:val="00DD2016"/>
    <w:pPr>
      <w:ind w:left="720"/>
      <w:contextualSpacing/>
    </w:pPr>
  </w:style>
</w:styles>
</file>

<file path=word/webSettings.xml><?xml version="1.0" encoding="utf-8"?>
<w:webSettings xmlns:r="http://schemas.openxmlformats.org/officeDocument/2006/relationships" xmlns:w="http://schemas.openxmlformats.org/wordprocessingml/2006/main">
  <w:divs>
    <w:div w:id="119810668">
      <w:bodyDiv w:val="1"/>
      <w:marLeft w:val="0"/>
      <w:marRight w:val="0"/>
      <w:marTop w:val="0"/>
      <w:marBottom w:val="0"/>
      <w:divBdr>
        <w:top w:val="none" w:sz="0" w:space="0" w:color="auto"/>
        <w:left w:val="none" w:sz="0" w:space="0" w:color="auto"/>
        <w:bottom w:val="none" w:sz="0" w:space="0" w:color="auto"/>
        <w:right w:val="none" w:sz="0" w:space="0" w:color="auto"/>
      </w:divBdr>
    </w:div>
    <w:div w:id="73289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iu@utc.wa.gov"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customXml" Target="../customXml/item4.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22.verizon.com/Residential/HighSpeedInternet/Plans/Plans.htm" TargetMode="External"/><Relationship Id="rId2" Type="http://schemas.openxmlformats.org/officeDocument/2006/relationships/hyperlink" Target="http://www.frontier.com/products/ProductOverview.aspx?type=1&amp;p=511" TargetMode="External"/><Relationship Id="rId1" Type="http://schemas.openxmlformats.org/officeDocument/2006/relationships/hyperlink" Target="http://www22.verizon.com/Residential/HighSpeedInternet/Plans/Pla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2009-11-03T08:00:00+00:00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E682B-3BC0-4A7D-90F5-5B3ADB6EF1AE}"/>
</file>

<file path=customXml/itemProps2.xml><?xml version="1.0" encoding="utf-8"?>
<ds:datastoreItem xmlns:ds="http://schemas.openxmlformats.org/officeDocument/2006/customXml" ds:itemID="{138AACA2-429F-4268-AFDF-EF65EE0F9776}"/>
</file>

<file path=customXml/itemProps3.xml><?xml version="1.0" encoding="utf-8"?>
<ds:datastoreItem xmlns:ds="http://schemas.openxmlformats.org/officeDocument/2006/customXml" ds:itemID="{B3570452-8538-44E9-BEC2-EB552C25D94E}"/>
</file>

<file path=customXml/itemProps4.xml><?xml version="1.0" encoding="utf-8"?>
<ds:datastoreItem xmlns:ds="http://schemas.openxmlformats.org/officeDocument/2006/customXml" ds:itemID="{238D43AA-97AE-4F2E-AFC9-744C12BA19D6}"/>
</file>

<file path=customXml/itemProps5.xml><?xml version="1.0" encoding="utf-8"?>
<ds:datastoreItem xmlns:ds="http://schemas.openxmlformats.org/officeDocument/2006/customXml" ds:itemID="{3A5C93F8-5ABF-448F-AFE6-9008405B1AC4}"/>
</file>

<file path=docProps/app.xml><?xml version="1.0" encoding="utf-8"?>
<Properties xmlns="http://schemas.openxmlformats.org/officeDocument/2006/extended-properties" xmlns:vt="http://schemas.openxmlformats.org/officeDocument/2006/docPropsVTypes">
  <Template>Normal.dotm</Template>
  <TotalTime>12</TotalTime>
  <Pages>23</Pages>
  <Words>4075</Words>
  <Characters>23231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Please state your name and business address</vt:lpstr>
    </vt:vector>
  </TitlesOfParts>
  <Company>Washington Utilities and Transportation Commission</Company>
  <LinksUpToDate>false</LinksUpToDate>
  <CharactersWithSpaces>27252</CharactersWithSpaces>
  <SharedDoc>false</SharedDoc>
  <HLinks>
    <vt:vector size="12" baseType="variant">
      <vt:variant>
        <vt:i4>721011</vt:i4>
      </vt:variant>
      <vt:variant>
        <vt:i4>0</vt:i4>
      </vt:variant>
      <vt:variant>
        <vt:i4>0</vt:i4>
      </vt:variant>
      <vt:variant>
        <vt:i4>5</vt:i4>
      </vt:variant>
      <vt:variant>
        <vt:lpwstr>mailto:jliu@utc.wa.gov</vt:lpwstr>
      </vt:variant>
      <vt:variant>
        <vt:lpwstr/>
      </vt:variant>
      <vt:variant>
        <vt:i4>1638467</vt:i4>
      </vt:variant>
      <vt:variant>
        <vt:i4>0</vt:i4>
      </vt:variant>
      <vt:variant>
        <vt:i4>0</vt:i4>
      </vt:variant>
      <vt:variant>
        <vt:i4>5</vt:i4>
      </vt:variant>
      <vt:variant>
        <vt:lpwstr>http://www.fcc.gov/wcb/iatd/neca.html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state your name and business address</dc:title>
  <dc:subject/>
  <dc:creator>Jing Liu</dc:creator>
  <cp:keywords/>
  <dc:description/>
  <cp:lastModifiedBy>BDeMarco</cp:lastModifiedBy>
  <cp:revision>4</cp:revision>
  <cp:lastPrinted>2009-11-02T17:59:00Z</cp:lastPrinted>
  <dcterms:created xsi:type="dcterms:W3CDTF">2009-11-02T18:00:00Z</dcterms:created>
  <dcterms:modified xsi:type="dcterms:W3CDTF">2009-11-02T18:11:00Z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