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6C85F" w14:textId="77777777" w:rsidR="00C0665B" w:rsidRPr="00B814E2" w:rsidRDefault="00E278CE" w:rsidP="00027E50">
      <w:pPr>
        <w:ind w:left="5670"/>
        <w:rPr>
          <w:b/>
        </w:rPr>
      </w:pPr>
      <w:bookmarkStart w:id="0" w:name="_GoBack"/>
      <w:bookmarkEnd w:id="0"/>
      <w:r>
        <w:rPr>
          <w:b/>
        </w:rPr>
        <w:t>Exhibit No. AR</w:t>
      </w:r>
      <w:r w:rsidR="003B1A72">
        <w:rPr>
          <w:b/>
        </w:rPr>
        <w:t>-1</w:t>
      </w:r>
      <w:r>
        <w:rPr>
          <w:b/>
        </w:rPr>
        <w:t>T</w:t>
      </w:r>
    </w:p>
    <w:p w14:paraId="4AC1B822" w14:textId="77777777" w:rsidR="00B814E2" w:rsidRPr="00B814E2" w:rsidRDefault="00B814E2" w:rsidP="00027E50">
      <w:pPr>
        <w:ind w:left="5670"/>
        <w:rPr>
          <w:b/>
        </w:rPr>
      </w:pPr>
      <w:r w:rsidRPr="00B814E2">
        <w:rPr>
          <w:b/>
        </w:rPr>
        <w:t>Docket</w:t>
      </w:r>
      <w:r w:rsidR="00027E50">
        <w:rPr>
          <w:b/>
        </w:rPr>
        <w:t>s UE-151871/UG-151872</w:t>
      </w:r>
      <w:r w:rsidRPr="00B814E2">
        <w:rPr>
          <w:b/>
        </w:rPr>
        <w:t xml:space="preserve"> </w:t>
      </w:r>
    </w:p>
    <w:p w14:paraId="04C1BF1B" w14:textId="77777777" w:rsidR="00B814E2" w:rsidRPr="00B814E2" w:rsidRDefault="0046251D" w:rsidP="00027E50">
      <w:pPr>
        <w:ind w:left="5670"/>
        <w:rPr>
          <w:b/>
        </w:rPr>
      </w:pPr>
      <w:r>
        <w:rPr>
          <w:b/>
        </w:rPr>
        <w:t xml:space="preserve">Witness:  </w:t>
      </w:r>
      <w:r w:rsidR="00E278CE">
        <w:rPr>
          <w:b/>
        </w:rPr>
        <w:t>Andrew Roberts</w:t>
      </w:r>
    </w:p>
    <w:p w14:paraId="17CD1E9E" w14:textId="77777777" w:rsidR="00B814E2" w:rsidRPr="00B814E2" w:rsidRDefault="00B814E2" w:rsidP="00027E50">
      <w:pPr>
        <w:ind w:left="5670"/>
        <w:rPr>
          <w:b/>
        </w:rPr>
      </w:pPr>
    </w:p>
    <w:p w14:paraId="331C4288" w14:textId="77777777" w:rsidR="00B814E2" w:rsidRPr="00B814E2" w:rsidRDefault="00B814E2" w:rsidP="00B814E2">
      <w:pPr>
        <w:rPr>
          <w:b/>
        </w:rPr>
      </w:pPr>
    </w:p>
    <w:p w14:paraId="5E31188C" w14:textId="77777777" w:rsidR="00B814E2" w:rsidRPr="00B814E2" w:rsidRDefault="00B814E2" w:rsidP="00B814E2">
      <w:pPr>
        <w:ind w:left="-360" w:right="-252"/>
        <w:jc w:val="center"/>
        <w:rPr>
          <w:b/>
        </w:rPr>
      </w:pPr>
      <w:r w:rsidRPr="00B814E2">
        <w:rPr>
          <w:b/>
        </w:rPr>
        <w:t>BEFORE THE WASHINGTON UTILITIES AND TRANSPORTATION COMMISSION</w:t>
      </w:r>
    </w:p>
    <w:p w14:paraId="1C879518" w14:textId="77777777" w:rsidR="00B814E2" w:rsidRPr="00B814E2" w:rsidRDefault="00B814E2" w:rsidP="00B814E2">
      <w:pPr>
        <w:rPr>
          <w:b/>
        </w:rPr>
      </w:pPr>
    </w:p>
    <w:p w14:paraId="186F7238"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1D00812B" w14:textId="77777777" w:rsidTr="00300F54">
        <w:tc>
          <w:tcPr>
            <w:tcW w:w="4590" w:type="dxa"/>
            <w:tcBorders>
              <w:top w:val="single" w:sz="6" w:space="0" w:color="FFFFFF"/>
              <w:left w:val="single" w:sz="6" w:space="0" w:color="FFFFFF"/>
              <w:bottom w:val="single" w:sz="7" w:space="0" w:color="000000"/>
              <w:right w:val="single" w:sz="6" w:space="0" w:color="FFFFFF"/>
            </w:tcBorders>
          </w:tcPr>
          <w:p w14:paraId="067D802D" w14:textId="77777777" w:rsidR="00B814E2" w:rsidRDefault="00667605" w:rsidP="00300F54">
            <w:pPr>
              <w:rPr>
                <w:b/>
                <w:bCs/>
              </w:rPr>
            </w:pPr>
            <w:r>
              <w:rPr>
                <w:b/>
                <w:bCs/>
              </w:rPr>
              <w:t>WASHINGTON UTILITIES AND TRANSPORTATION COMMISSION</w:t>
            </w:r>
            <w:r w:rsidR="00B814E2">
              <w:rPr>
                <w:b/>
                <w:bCs/>
              </w:rPr>
              <w:t>,</w:t>
            </w:r>
          </w:p>
          <w:p w14:paraId="17AAE9CF" w14:textId="77777777" w:rsidR="00B814E2" w:rsidRDefault="00B814E2" w:rsidP="00300F54">
            <w:pPr>
              <w:rPr>
                <w:b/>
                <w:bCs/>
              </w:rPr>
            </w:pPr>
          </w:p>
          <w:p w14:paraId="12D86B2A" w14:textId="77777777" w:rsidR="00B814E2" w:rsidRDefault="00B814E2" w:rsidP="00300F54">
            <w:pPr>
              <w:rPr>
                <w:b/>
                <w:bCs/>
              </w:rPr>
            </w:pPr>
            <w:r>
              <w:rPr>
                <w:b/>
                <w:bCs/>
              </w:rPr>
              <w:tab/>
            </w:r>
            <w:r w:rsidR="00F92089">
              <w:rPr>
                <w:b/>
                <w:bCs/>
              </w:rPr>
              <w:tab/>
            </w:r>
            <w:r w:rsidR="00F92089">
              <w:rPr>
                <w:b/>
                <w:bCs/>
              </w:rPr>
              <w:tab/>
            </w:r>
            <w:r>
              <w:rPr>
                <w:b/>
                <w:bCs/>
              </w:rPr>
              <w:t xml:space="preserve">Complainant, </w:t>
            </w:r>
          </w:p>
          <w:p w14:paraId="1393F03E" w14:textId="77777777" w:rsidR="00B814E2" w:rsidRDefault="00B814E2" w:rsidP="00300F54">
            <w:pPr>
              <w:rPr>
                <w:b/>
                <w:bCs/>
              </w:rPr>
            </w:pPr>
          </w:p>
          <w:p w14:paraId="2D744707" w14:textId="77777777" w:rsidR="00B814E2" w:rsidRDefault="00B814E2" w:rsidP="00300F54">
            <w:pPr>
              <w:rPr>
                <w:b/>
                <w:bCs/>
              </w:rPr>
            </w:pPr>
            <w:r>
              <w:rPr>
                <w:b/>
                <w:bCs/>
              </w:rPr>
              <w:t>v.</w:t>
            </w:r>
          </w:p>
          <w:p w14:paraId="60D59C7A" w14:textId="77777777" w:rsidR="00B814E2" w:rsidRDefault="00B814E2" w:rsidP="00300F54">
            <w:pPr>
              <w:rPr>
                <w:b/>
                <w:bCs/>
              </w:rPr>
            </w:pPr>
          </w:p>
          <w:p w14:paraId="7DE0D25A" w14:textId="77777777" w:rsidR="00B814E2" w:rsidRDefault="00027E50" w:rsidP="00300F54">
            <w:pPr>
              <w:rPr>
                <w:b/>
                <w:bCs/>
              </w:rPr>
            </w:pPr>
            <w:r>
              <w:rPr>
                <w:b/>
                <w:bCs/>
              </w:rPr>
              <w:t>PUGET SOUND ENERGY</w:t>
            </w:r>
            <w:r w:rsidR="00B814E2">
              <w:rPr>
                <w:b/>
                <w:bCs/>
              </w:rPr>
              <w:t>,</w:t>
            </w:r>
          </w:p>
          <w:p w14:paraId="34F2C553" w14:textId="77777777" w:rsidR="00B814E2" w:rsidRDefault="00B814E2" w:rsidP="00300F54">
            <w:pPr>
              <w:rPr>
                <w:b/>
                <w:bCs/>
              </w:rPr>
            </w:pPr>
          </w:p>
          <w:p w14:paraId="6088DA17" w14:textId="77777777" w:rsidR="00B814E2" w:rsidRDefault="00B814E2" w:rsidP="00667605">
            <w:pPr>
              <w:spacing w:after="19"/>
              <w:rPr>
                <w:b/>
                <w:bCs/>
              </w:rPr>
            </w:pPr>
            <w:r>
              <w:rPr>
                <w:b/>
                <w:bCs/>
              </w:rPr>
              <w:tab/>
            </w:r>
            <w:r w:rsidR="00F92089">
              <w:rPr>
                <w:b/>
                <w:bCs/>
              </w:rPr>
              <w:tab/>
            </w:r>
            <w:r w:rsidR="00F92089">
              <w:rPr>
                <w:b/>
                <w:bCs/>
              </w:rPr>
              <w:tab/>
            </w:r>
            <w:r>
              <w:rPr>
                <w:b/>
                <w:bCs/>
              </w:rPr>
              <w:t>Respondent.</w:t>
            </w:r>
          </w:p>
          <w:p w14:paraId="7D23957E" w14:textId="77777777" w:rsidR="00667605"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592B0D9D" w14:textId="77777777" w:rsidR="00B814E2" w:rsidRDefault="00B814E2" w:rsidP="00300F54">
            <w:pPr>
              <w:ind w:firstLine="720"/>
              <w:rPr>
                <w:b/>
                <w:bCs/>
              </w:rPr>
            </w:pPr>
            <w:r>
              <w:rPr>
                <w:b/>
                <w:bCs/>
              </w:rPr>
              <w:t>DOCKET</w:t>
            </w:r>
            <w:r w:rsidR="00027E50">
              <w:rPr>
                <w:b/>
                <w:bCs/>
              </w:rPr>
              <w:t>S</w:t>
            </w:r>
            <w:r>
              <w:rPr>
                <w:b/>
                <w:bCs/>
              </w:rPr>
              <w:t xml:space="preserve"> </w:t>
            </w:r>
            <w:r w:rsidR="00027E50" w:rsidRPr="00027E50">
              <w:rPr>
                <w:b/>
                <w:bCs/>
              </w:rPr>
              <w:t>UE-151871/UG-151872</w:t>
            </w:r>
          </w:p>
          <w:p w14:paraId="63B63033" w14:textId="77777777" w:rsidR="00B814E2" w:rsidRDefault="00B814E2" w:rsidP="00300F54">
            <w:pPr>
              <w:rPr>
                <w:b/>
                <w:bCs/>
              </w:rPr>
            </w:pPr>
          </w:p>
          <w:p w14:paraId="5F641182" w14:textId="77777777" w:rsidR="00B814E2" w:rsidRDefault="00B814E2" w:rsidP="00300F54">
            <w:pPr>
              <w:spacing w:after="19"/>
              <w:ind w:left="720"/>
              <w:rPr>
                <w:b/>
                <w:bCs/>
              </w:rPr>
            </w:pPr>
          </w:p>
        </w:tc>
      </w:tr>
    </w:tbl>
    <w:p w14:paraId="37681966" w14:textId="77777777" w:rsidR="00B814E2" w:rsidRDefault="00B814E2" w:rsidP="00B814E2">
      <w:pPr>
        <w:jc w:val="both"/>
      </w:pPr>
    </w:p>
    <w:p w14:paraId="2FA34289" w14:textId="77777777" w:rsidR="00B814E2" w:rsidRDefault="00B814E2" w:rsidP="00B814E2">
      <w:pPr>
        <w:rPr>
          <w:b/>
          <w:bCs/>
        </w:rPr>
      </w:pPr>
    </w:p>
    <w:p w14:paraId="253C4B80" w14:textId="77777777" w:rsidR="00B814E2" w:rsidRDefault="00B814E2" w:rsidP="00B814E2">
      <w:pPr>
        <w:rPr>
          <w:b/>
          <w:bCs/>
        </w:rPr>
      </w:pPr>
    </w:p>
    <w:p w14:paraId="15293D27" w14:textId="77777777" w:rsidR="00B814E2" w:rsidRDefault="00B814E2" w:rsidP="00145298">
      <w:pPr>
        <w:jc w:val="center"/>
        <w:rPr>
          <w:b/>
          <w:bCs/>
        </w:rPr>
      </w:pPr>
      <w:r>
        <w:rPr>
          <w:b/>
          <w:bCs/>
        </w:rPr>
        <w:t>TESTIMONY OF</w:t>
      </w:r>
    </w:p>
    <w:p w14:paraId="6A1BB7DD" w14:textId="77777777" w:rsidR="00B814E2" w:rsidRDefault="00B814E2" w:rsidP="00145298">
      <w:pPr>
        <w:jc w:val="center"/>
        <w:rPr>
          <w:b/>
          <w:bCs/>
        </w:rPr>
      </w:pPr>
    </w:p>
    <w:p w14:paraId="44698A0D" w14:textId="77777777" w:rsidR="00B814E2" w:rsidRDefault="00E278CE" w:rsidP="00145298">
      <w:pPr>
        <w:jc w:val="center"/>
        <w:rPr>
          <w:b/>
          <w:bCs/>
        </w:rPr>
      </w:pPr>
      <w:r>
        <w:rPr>
          <w:b/>
          <w:bCs/>
        </w:rPr>
        <w:t>Andrew Roberts</w:t>
      </w:r>
    </w:p>
    <w:p w14:paraId="1FE1FCBA" w14:textId="77777777" w:rsidR="003B1A72" w:rsidRDefault="003B1A72" w:rsidP="00145298">
      <w:pPr>
        <w:jc w:val="center"/>
        <w:rPr>
          <w:b/>
          <w:bCs/>
        </w:rPr>
      </w:pPr>
    </w:p>
    <w:p w14:paraId="3BA9238B" w14:textId="77777777" w:rsidR="00B814E2" w:rsidRDefault="00B814E2" w:rsidP="00145298">
      <w:pPr>
        <w:jc w:val="center"/>
        <w:rPr>
          <w:b/>
          <w:bCs/>
        </w:rPr>
      </w:pPr>
      <w:r>
        <w:rPr>
          <w:b/>
          <w:bCs/>
        </w:rPr>
        <w:t>STAFF OF</w:t>
      </w:r>
    </w:p>
    <w:p w14:paraId="62C55945" w14:textId="77777777" w:rsidR="00B814E2" w:rsidRDefault="00B814E2" w:rsidP="00145298">
      <w:pPr>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7FE9ABC" w14:textId="77777777" w:rsidR="00B814E2" w:rsidRDefault="00B814E2" w:rsidP="00145298">
      <w:pPr>
        <w:jc w:val="center"/>
        <w:rPr>
          <w:b/>
          <w:bCs/>
        </w:rPr>
      </w:pPr>
      <w:r>
        <w:rPr>
          <w:b/>
          <w:bCs/>
        </w:rPr>
        <w:t>TRANSPORTATION COMMISSION</w:t>
      </w:r>
    </w:p>
    <w:p w14:paraId="0D830301" w14:textId="77777777" w:rsidR="00B814E2" w:rsidRDefault="00B814E2" w:rsidP="00145298">
      <w:pPr>
        <w:jc w:val="center"/>
        <w:rPr>
          <w:b/>
          <w:bCs/>
        </w:rPr>
      </w:pPr>
    </w:p>
    <w:p w14:paraId="7616F5A2" w14:textId="77777777" w:rsidR="00B814E2" w:rsidRDefault="00B814E2" w:rsidP="00145298">
      <w:pPr>
        <w:rPr>
          <w:b/>
          <w:bCs/>
        </w:rPr>
      </w:pPr>
    </w:p>
    <w:p w14:paraId="69DA3180" w14:textId="77777777" w:rsidR="00B814E2" w:rsidRDefault="00B814E2" w:rsidP="00145298">
      <w:pPr>
        <w:rPr>
          <w:b/>
          <w:bCs/>
        </w:rPr>
      </w:pPr>
    </w:p>
    <w:p w14:paraId="72A9D9D5" w14:textId="77777777" w:rsidR="00B814E2" w:rsidRDefault="00E13B95" w:rsidP="00145298">
      <w:pPr>
        <w:jc w:val="center"/>
        <w:rPr>
          <w:b/>
          <w:bCs/>
          <w:i/>
        </w:rPr>
      </w:pPr>
      <w:r>
        <w:rPr>
          <w:b/>
          <w:bCs/>
          <w:i/>
        </w:rPr>
        <w:t xml:space="preserve">Testimony in Opposition </w:t>
      </w:r>
      <w:r w:rsidR="00002CB2">
        <w:rPr>
          <w:b/>
          <w:bCs/>
          <w:i/>
        </w:rPr>
        <w:t>to</w:t>
      </w:r>
      <w:r>
        <w:rPr>
          <w:b/>
          <w:bCs/>
          <w:i/>
        </w:rPr>
        <w:t xml:space="preserve"> Puget Sound Energy’s</w:t>
      </w:r>
    </w:p>
    <w:p w14:paraId="7916B484" w14:textId="77777777" w:rsidR="00E13B95" w:rsidRPr="00B814E2" w:rsidRDefault="00E13B95" w:rsidP="00145298">
      <w:pPr>
        <w:jc w:val="center"/>
        <w:rPr>
          <w:b/>
          <w:bCs/>
          <w:i/>
        </w:rPr>
      </w:pPr>
      <w:r>
        <w:rPr>
          <w:b/>
          <w:bCs/>
          <w:i/>
        </w:rPr>
        <w:t>Proposed Leasing Program</w:t>
      </w:r>
    </w:p>
    <w:p w14:paraId="77181AC5" w14:textId="77777777" w:rsidR="00B814E2" w:rsidRDefault="00B814E2" w:rsidP="00145298">
      <w:pPr>
        <w:rPr>
          <w:b/>
          <w:bCs/>
        </w:rPr>
      </w:pPr>
    </w:p>
    <w:p w14:paraId="72C7EA47" w14:textId="77777777" w:rsidR="00B814E2" w:rsidRDefault="00B814E2" w:rsidP="00145298">
      <w:pPr>
        <w:rPr>
          <w:b/>
          <w:bCs/>
        </w:rPr>
      </w:pPr>
    </w:p>
    <w:p w14:paraId="7A73A997" w14:textId="77777777" w:rsidR="00B814E2" w:rsidRDefault="00D11360" w:rsidP="00145298">
      <w:pPr>
        <w:jc w:val="center"/>
        <w:rPr>
          <w:b/>
          <w:bCs/>
        </w:rPr>
      </w:pPr>
      <w:r>
        <w:rPr>
          <w:b/>
          <w:bCs/>
        </w:rPr>
        <w:t>June 7</w:t>
      </w:r>
      <w:r w:rsidR="00F92089">
        <w:rPr>
          <w:b/>
          <w:bCs/>
        </w:rPr>
        <w:t>, 2016</w:t>
      </w:r>
    </w:p>
    <w:p w14:paraId="423DF32D" w14:textId="77777777" w:rsidR="00B814E2" w:rsidRDefault="00B814E2" w:rsidP="00B814E2"/>
    <w:p w14:paraId="5DA6DFC9" w14:textId="77777777" w:rsidR="00B814E2" w:rsidRDefault="00B814E2" w:rsidP="00B814E2"/>
    <w:p w14:paraId="65E40513"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77A388AF" w14:textId="77777777" w:rsidR="003B1A72" w:rsidRDefault="003B1A72" w:rsidP="003B1A72">
      <w:pPr>
        <w:jc w:val="center"/>
      </w:pPr>
      <w:r>
        <w:rPr>
          <w:b/>
        </w:rPr>
        <w:lastRenderedPageBreak/>
        <w:t>TABLE OF CONTENTS</w:t>
      </w:r>
    </w:p>
    <w:p w14:paraId="57BF9929" w14:textId="77777777" w:rsidR="00B814E2" w:rsidRDefault="00B814E2" w:rsidP="00B814E2"/>
    <w:p w14:paraId="6C638FD6" w14:textId="77777777" w:rsidR="003B1A72" w:rsidRDefault="003B1A72" w:rsidP="003B1A72">
      <w:pPr>
        <w:tabs>
          <w:tab w:val="left" w:pos="720"/>
          <w:tab w:val="left" w:pos="1440"/>
          <w:tab w:val="left" w:pos="2160"/>
          <w:tab w:val="right" w:leader="dot" w:pos="9187"/>
        </w:tabs>
      </w:pPr>
      <w:r>
        <w:t>I.</w:t>
      </w:r>
      <w:r>
        <w:tab/>
        <w:t xml:space="preserve">INTRODUCTION </w:t>
      </w:r>
      <w:r>
        <w:tab/>
        <w:t>1</w:t>
      </w:r>
    </w:p>
    <w:p w14:paraId="4291EBB2" w14:textId="77777777" w:rsidR="003B1A72" w:rsidRDefault="003B1A72" w:rsidP="003B1A72">
      <w:pPr>
        <w:tabs>
          <w:tab w:val="left" w:pos="720"/>
          <w:tab w:val="left" w:pos="1440"/>
          <w:tab w:val="left" w:pos="2160"/>
          <w:tab w:val="right" w:leader="dot" w:pos="9187"/>
        </w:tabs>
      </w:pPr>
    </w:p>
    <w:p w14:paraId="7D2C7303" w14:textId="4CF1F4D6" w:rsidR="004D6E88" w:rsidRPr="004D6E88" w:rsidRDefault="004D6E88" w:rsidP="004D6E88">
      <w:pPr>
        <w:pStyle w:val="Heading1"/>
        <w:tabs>
          <w:tab w:val="left" w:pos="720"/>
          <w:tab w:val="left" w:pos="1440"/>
          <w:tab w:val="left" w:pos="2160"/>
          <w:tab w:val="right" w:leader="dot" w:pos="9187"/>
        </w:tabs>
        <w:jc w:val="left"/>
        <w:rPr>
          <w:b w:val="0"/>
        </w:rPr>
      </w:pPr>
      <w:r w:rsidRPr="004D6E88">
        <w:rPr>
          <w:b w:val="0"/>
        </w:rPr>
        <w:t>II.</w:t>
      </w:r>
      <w:r w:rsidRPr="004D6E88">
        <w:rPr>
          <w:b w:val="0"/>
        </w:rPr>
        <w:tab/>
        <w:t>SCOPE AND SUMMARY OF TESTIMONY</w:t>
      </w:r>
      <w:r>
        <w:rPr>
          <w:b w:val="0"/>
        </w:rPr>
        <w:t xml:space="preserve"> </w:t>
      </w:r>
      <w:r>
        <w:rPr>
          <w:b w:val="0"/>
        </w:rPr>
        <w:tab/>
        <w:t>2</w:t>
      </w:r>
    </w:p>
    <w:p w14:paraId="2B0A58CC" w14:textId="77777777" w:rsidR="004D6E88" w:rsidRDefault="004D6E88" w:rsidP="003B1A72">
      <w:pPr>
        <w:tabs>
          <w:tab w:val="left" w:pos="720"/>
          <w:tab w:val="left" w:pos="1440"/>
          <w:tab w:val="left" w:pos="2160"/>
          <w:tab w:val="right" w:leader="dot" w:pos="9187"/>
        </w:tabs>
      </w:pPr>
    </w:p>
    <w:p w14:paraId="72A4F782" w14:textId="2062F295" w:rsidR="00E278CE" w:rsidRDefault="00E278CE" w:rsidP="00E278CE">
      <w:pPr>
        <w:tabs>
          <w:tab w:val="left" w:pos="1560"/>
        </w:tabs>
      </w:pPr>
    </w:p>
    <w:p w14:paraId="3DB834A2" w14:textId="26E6EB06" w:rsidR="00B814E2" w:rsidRPr="00E278CE" w:rsidRDefault="00B814E2" w:rsidP="00E278CE">
      <w:pPr>
        <w:tabs>
          <w:tab w:val="left" w:pos="1560"/>
        </w:tabs>
        <w:sectPr w:rsidR="00B814E2" w:rsidRPr="00E278CE" w:rsidSect="0015026F">
          <w:footerReference w:type="default" r:id="rId11"/>
          <w:pgSz w:w="12240" w:h="15840"/>
          <w:pgMar w:top="1440" w:right="1440" w:bottom="1440" w:left="1872" w:header="720" w:footer="720" w:gutter="0"/>
          <w:pgNumType w:fmt="lowerRoman" w:start="1"/>
          <w:cols w:space="720"/>
          <w:docGrid w:linePitch="360"/>
        </w:sectPr>
      </w:pPr>
    </w:p>
    <w:p w14:paraId="5EC7EECF" w14:textId="77777777" w:rsidR="00B814E2" w:rsidRPr="004A58AD" w:rsidRDefault="00B814E2" w:rsidP="00971954">
      <w:pPr>
        <w:pStyle w:val="Heading1"/>
      </w:pPr>
      <w:bookmarkStart w:id="1" w:name="_Toc450717164"/>
      <w:r w:rsidRPr="004A58AD">
        <w:lastRenderedPageBreak/>
        <w:t>I.</w:t>
      </w:r>
      <w:r w:rsidRPr="004A58AD">
        <w:tab/>
        <w:t>INTRODUCTION</w:t>
      </w:r>
      <w:bookmarkEnd w:id="1"/>
    </w:p>
    <w:p w14:paraId="372171BD" w14:textId="77777777" w:rsidR="00B814E2" w:rsidRDefault="00B814E2" w:rsidP="00971954">
      <w:pPr>
        <w:spacing w:line="480" w:lineRule="auto"/>
        <w:rPr>
          <w:b/>
        </w:rPr>
      </w:pPr>
    </w:p>
    <w:p w14:paraId="191520C7" w14:textId="77777777" w:rsidR="0074055D" w:rsidRPr="009F2F9B" w:rsidRDefault="0074055D" w:rsidP="00971954">
      <w:pPr>
        <w:pStyle w:val="Heading2"/>
      </w:pPr>
      <w:bookmarkStart w:id="2" w:name="_Toc424288807"/>
      <w:bookmarkStart w:id="3" w:name="_Toc450303549"/>
      <w:bookmarkStart w:id="4" w:name="_Toc450717165"/>
      <w:r w:rsidRPr="009F2F9B">
        <w:t>Q.</w:t>
      </w:r>
      <w:r w:rsidRPr="009F2F9B">
        <w:tab/>
        <w:t>Please state your name and business address.</w:t>
      </w:r>
      <w:bookmarkEnd w:id="2"/>
      <w:bookmarkEnd w:id="3"/>
      <w:bookmarkEnd w:id="4"/>
      <w:r w:rsidRPr="009F2F9B">
        <w:t xml:space="preserve">  </w:t>
      </w:r>
    </w:p>
    <w:p w14:paraId="5A971FD9" w14:textId="77777777" w:rsidR="00E13B95" w:rsidRDefault="00E13B95" w:rsidP="00E13B95">
      <w:pPr>
        <w:spacing w:line="480" w:lineRule="auto"/>
        <w:ind w:left="720" w:hanging="720"/>
      </w:pPr>
      <w:bookmarkStart w:id="5" w:name="_Toc424288811"/>
      <w:bookmarkStart w:id="6" w:name="_Toc450303553"/>
      <w:bookmarkStart w:id="7" w:name="_Toc450717169"/>
      <w:r>
        <w:t>A.</w:t>
      </w:r>
      <w:r>
        <w:tab/>
        <w:t xml:space="preserve">My name is Andrew Roberts.  My business address is 1300 S. Evergreen Park Drive S.W., P.O. Box 47250, Olympia, WA  98504.  </w:t>
      </w:r>
    </w:p>
    <w:p w14:paraId="72ADB274" w14:textId="77777777" w:rsidR="00E13B95" w:rsidRDefault="00E13B95" w:rsidP="00E13B95">
      <w:pPr>
        <w:spacing w:line="480" w:lineRule="auto"/>
        <w:ind w:left="720" w:hanging="720"/>
      </w:pPr>
    </w:p>
    <w:p w14:paraId="0CA3F831" w14:textId="77777777" w:rsidR="00E13B95" w:rsidRDefault="00E13B95" w:rsidP="00E13B95">
      <w:pPr>
        <w:pStyle w:val="Heading2"/>
      </w:pPr>
      <w:bookmarkStart w:id="8" w:name="_Toc424288808"/>
      <w:bookmarkStart w:id="9" w:name="_Toc450303550"/>
      <w:bookmarkStart w:id="10" w:name="_Toc450717166"/>
      <w:r>
        <w:t>Q.</w:t>
      </w:r>
      <w:r>
        <w:tab/>
        <w:t>By whom are you employed and in what capacity?</w:t>
      </w:r>
      <w:bookmarkEnd w:id="8"/>
      <w:bookmarkEnd w:id="9"/>
      <w:bookmarkEnd w:id="10"/>
      <w:r>
        <w:t xml:space="preserve">  </w:t>
      </w:r>
    </w:p>
    <w:p w14:paraId="09752095" w14:textId="7106C9DB" w:rsidR="00E13B95" w:rsidRDefault="00E13B95" w:rsidP="00E13B95">
      <w:pPr>
        <w:spacing w:line="480" w:lineRule="auto"/>
        <w:ind w:left="720" w:hanging="720"/>
      </w:pPr>
      <w:r>
        <w:t>A.</w:t>
      </w:r>
      <w:r>
        <w:tab/>
        <w:t xml:space="preserve">I am employed by the Washington Utilities and Transportation Commission (Commission) as a Regulatory Analyst in the Consumer Protection section.  </w:t>
      </w:r>
    </w:p>
    <w:p w14:paraId="6D6FB11E" w14:textId="77777777" w:rsidR="00E13B95" w:rsidRDefault="00E13B95" w:rsidP="00E13B95">
      <w:pPr>
        <w:spacing w:line="480" w:lineRule="auto"/>
        <w:ind w:left="720" w:hanging="720"/>
      </w:pPr>
    </w:p>
    <w:p w14:paraId="70EAC68E" w14:textId="77777777" w:rsidR="00E13B95" w:rsidRDefault="00E13B95" w:rsidP="00E13B95">
      <w:pPr>
        <w:pStyle w:val="Heading2"/>
      </w:pPr>
      <w:bookmarkStart w:id="11" w:name="_Toc424288809"/>
      <w:bookmarkStart w:id="12" w:name="_Toc450303551"/>
      <w:bookmarkStart w:id="13" w:name="_Toc450717167"/>
      <w:r>
        <w:t>Q.</w:t>
      </w:r>
      <w:r>
        <w:tab/>
        <w:t>How long have you been employed by the Commission?</w:t>
      </w:r>
      <w:bookmarkEnd w:id="11"/>
      <w:bookmarkEnd w:id="12"/>
      <w:bookmarkEnd w:id="13"/>
      <w:r>
        <w:t xml:space="preserve">   </w:t>
      </w:r>
    </w:p>
    <w:p w14:paraId="79D01CC2" w14:textId="77777777" w:rsidR="00E13B95" w:rsidRDefault="00E13B95" w:rsidP="00E13B95">
      <w:pPr>
        <w:spacing w:line="480" w:lineRule="auto"/>
        <w:ind w:left="720" w:hanging="720"/>
      </w:pPr>
      <w:r>
        <w:t>A.</w:t>
      </w:r>
      <w:r>
        <w:tab/>
        <w:t xml:space="preserve">I have been working </w:t>
      </w:r>
      <w:r w:rsidR="00002CB2">
        <w:t>at</w:t>
      </w:r>
      <w:r>
        <w:t xml:space="preserve"> the Commission since February 2014.</w:t>
      </w:r>
    </w:p>
    <w:p w14:paraId="3FEC4353" w14:textId="77777777" w:rsidR="00E13B95" w:rsidRDefault="00E13B95" w:rsidP="00E13B95">
      <w:pPr>
        <w:spacing w:line="480" w:lineRule="auto"/>
        <w:ind w:left="720" w:hanging="720"/>
      </w:pPr>
    </w:p>
    <w:p w14:paraId="65DFA2F0" w14:textId="77777777" w:rsidR="00E13B95" w:rsidRDefault="00E13B95" w:rsidP="00E13B95">
      <w:pPr>
        <w:pStyle w:val="Heading2"/>
      </w:pPr>
      <w:bookmarkStart w:id="14" w:name="_Toc424288810"/>
      <w:bookmarkStart w:id="15" w:name="_Toc450303552"/>
      <w:bookmarkStart w:id="16" w:name="_Toc450717168"/>
      <w:r>
        <w:t xml:space="preserve">Q. </w:t>
      </w:r>
      <w:r>
        <w:tab/>
        <w:t>Would you please state your educational and professional background?</w:t>
      </w:r>
      <w:bookmarkEnd w:id="14"/>
      <w:bookmarkEnd w:id="15"/>
      <w:bookmarkEnd w:id="16"/>
      <w:r>
        <w:t xml:space="preserve">  </w:t>
      </w:r>
    </w:p>
    <w:p w14:paraId="4F7ABE95" w14:textId="77777777" w:rsidR="00E13B95" w:rsidRDefault="00E13B95" w:rsidP="00E13B95">
      <w:pPr>
        <w:spacing w:line="480" w:lineRule="auto"/>
        <w:ind w:left="720" w:hanging="720"/>
      </w:pPr>
      <w:r>
        <w:t>A.</w:t>
      </w:r>
      <w:r>
        <w:tab/>
        <w:t xml:space="preserve">I have a Bachelor of Arts degree in Political Economy and a Bachelor of Arts degree in Urban Studies, both from the University of Washington. </w:t>
      </w:r>
      <w:r w:rsidR="006478DD">
        <w:t xml:space="preserve">I have investigated over 300 consumer complaints against regulated utility companies. </w:t>
      </w:r>
      <w:r>
        <w:t xml:space="preserve">I have completed Consumer Affairs training from Regulatory Partners, LLC. The training was developed and presented in partnership with the NARUC Subcommittee on Consumer Affairs. I </w:t>
      </w:r>
      <w:r w:rsidR="00863DE8">
        <w:t>also have</w:t>
      </w:r>
      <w:r>
        <w:t xml:space="preserve"> completed the Western NARUC Utility Rate School.</w:t>
      </w:r>
    </w:p>
    <w:p w14:paraId="32EE3B76" w14:textId="77777777" w:rsidR="00E13B95" w:rsidRDefault="00E13B95" w:rsidP="00E13B95">
      <w:pPr>
        <w:spacing w:line="480" w:lineRule="auto"/>
        <w:ind w:left="720" w:hanging="720"/>
      </w:pPr>
    </w:p>
    <w:p w14:paraId="786BF5D4" w14:textId="52C1A7BB" w:rsidR="0074055D" w:rsidRDefault="0074055D" w:rsidP="00971954">
      <w:pPr>
        <w:pStyle w:val="Heading2"/>
      </w:pPr>
      <w:r>
        <w:t>Q.</w:t>
      </w:r>
      <w:r>
        <w:tab/>
        <w:t xml:space="preserve">Have you previously submitted testimony to this </w:t>
      </w:r>
      <w:r w:rsidR="007D6CF9">
        <w:t>C</w:t>
      </w:r>
      <w:r>
        <w:t>ommission?</w:t>
      </w:r>
      <w:bookmarkEnd w:id="5"/>
      <w:bookmarkEnd w:id="6"/>
      <w:bookmarkEnd w:id="7"/>
      <w:r>
        <w:t xml:space="preserve">   </w:t>
      </w:r>
    </w:p>
    <w:p w14:paraId="60C2CFA8" w14:textId="77777777" w:rsidR="00B814E2" w:rsidRPr="00626BBD" w:rsidRDefault="0074055D" w:rsidP="00971954">
      <w:pPr>
        <w:spacing w:line="480" w:lineRule="auto"/>
        <w:ind w:left="720" w:hanging="720"/>
      </w:pPr>
      <w:r>
        <w:t>A.</w:t>
      </w:r>
      <w:r>
        <w:tab/>
      </w:r>
      <w:r w:rsidR="00E13B95">
        <w:t>No.</w:t>
      </w:r>
    </w:p>
    <w:p w14:paraId="2CA553CC" w14:textId="77777777" w:rsidR="00B814E2" w:rsidRDefault="00B814E2" w:rsidP="00971954">
      <w:pPr>
        <w:spacing w:line="480" w:lineRule="auto"/>
        <w:ind w:left="720" w:hanging="720"/>
      </w:pPr>
    </w:p>
    <w:p w14:paraId="5D8C84EF" w14:textId="77777777" w:rsidR="00B814E2" w:rsidRDefault="00B814E2" w:rsidP="00971954">
      <w:pPr>
        <w:pStyle w:val="Heading1"/>
      </w:pPr>
      <w:bookmarkStart w:id="17" w:name="_Toc450717170"/>
      <w:r>
        <w:t>II.</w:t>
      </w:r>
      <w:r>
        <w:tab/>
        <w:t>SCOPE AND SUMMARY OF TESTIMONY</w:t>
      </w:r>
      <w:bookmarkEnd w:id="17"/>
    </w:p>
    <w:p w14:paraId="72D4BE21" w14:textId="77777777" w:rsidR="00B814E2" w:rsidRDefault="00B814E2" w:rsidP="00971954">
      <w:pPr>
        <w:spacing w:line="480" w:lineRule="auto"/>
        <w:ind w:left="720" w:hanging="720"/>
      </w:pPr>
    </w:p>
    <w:p w14:paraId="668EFB1C" w14:textId="77777777" w:rsidR="00B814E2" w:rsidRDefault="00B814E2" w:rsidP="00971954">
      <w:pPr>
        <w:pStyle w:val="Heading2"/>
      </w:pPr>
      <w:bookmarkStart w:id="18" w:name="_Toc450717171"/>
      <w:r>
        <w:t>Q.</w:t>
      </w:r>
      <w:r>
        <w:tab/>
      </w:r>
      <w:r w:rsidR="0026441F">
        <w:t>Please describe the scope of your testimony.</w:t>
      </w:r>
      <w:bookmarkEnd w:id="18"/>
      <w:r w:rsidR="0026441F">
        <w:t xml:space="preserve"> </w:t>
      </w:r>
    </w:p>
    <w:p w14:paraId="16445C95" w14:textId="750AC0BA" w:rsidR="00965914" w:rsidRDefault="00B814E2" w:rsidP="00971954">
      <w:pPr>
        <w:spacing w:line="480" w:lineRule="auto"/>
        <w:ind w:left="720" w:hanging="720"/>
      </w:pPr>
      <w:r w:rsidRPr="005C6B44">
        <w:t>A</w:t>
      </w:r>
      <w:r>
        <w:t>.</w:t>
      </w:r>
      <w:r>
        <w:tab/>
      </w:r>
      <w:r w:rsidR="008D1DB8">
        <w:t>My testimony cover</w:t>
      </w:r>
      <w:r w:rsidR="007D6CF9">
        <w:t>s</w:t>
      </w:r>
      <w:r w:rsidR="008D1DB8">
        <w:t xml:space="preserve"> the consumer protection issues raised by PSE’s </w:t>
      </w:r>
      <w:r w:rsidR="00863DE8">
        <w:t>proposed</w:t>
      </w:r>
      <w:r w:rsidR="008D1DB8">
        <w:t xml:space="preserve"> optional appliance leasing program. </w:t>
      </w:r>
      <w:r w:rsidR="001A54A2">
        <w:t>The purpose of my testimony is to raise</w:t>
      </w:r>
      <w:r w:rsidR="00135FFA">
        <w:t xml:space="preserve"> </w:t>
      </w:r>
      <w:r w:rsidR="001A54A2">
        <w:t xml:space="preserve">not resolve such issues. My testimony is not inclusive, nor is it intended to be so. </w:t>
      </w:r>
      <w:r w:rsidR="008D1DB8">
        <w:t xml:space="preserve">As discussed in detail by Mr. Cebulko and Ms. O’Connell, PSE’s optional leasing program exposes ratepayers to numerous risks, including the very real </w:t>
      </w:r>
      <w:r w:rsidR="00863DE8">
        <w:t>possibility</w:t>
      </w:r>
      <w:r w:rsidR="008D1DB8">
        <w:t xml:space="preserve"> that a participating customer’s rates will not reflect the actual cost of the appliance provided by the program, </w:t>
      </w:r>
      <w:r w:rsidR="005C6B44">
        <w:t xml:space="preserve">and </w:t>
      </w:r>
      <w:r w:rsidR="008D1DB8">
        <w:t>how non-participating customers are likely to subsidize what is in reality a non-utility appliance leasing and financing business</w:t>
      </w:r>
      <w:r w:rsidR="005C6B44">
        <w:t>. I will address the contractual relationship between PSE and participating customers, and whether PSE will adequately protect its customers from abuse, fraud and misrepresentation by PSE’s contractors.</w:t>
      </w:r>
    </w:p>
    <w:p w14:paraId="57A079D3" w14:textId="77777777" w:rsidR="00965914" w:rsidRDefault="00965914" w:rsidP="00971954">
      <w:pPr>
        <w:spacing w:line="480" w:lineRule="auto"/>
        <w:ind w:left="720" w:hanging="720"/>
      </w:pPr>
    </w:p>
    <w:p w14:paraId="426E683F" w14:textId="77777777" w:rsidR="0024148E" w:rsidRDefault="00965914" w:rsidP="00971954">
      <w:pPr>
        <w:spacing w:line="480" w:lineRule="auto"/>
        <w:ind w:left="720" w:hanging="720"/>
        <w:rPr>
          <w:b/>
        </w:rPr>
      </w:pPr>
      <w:r>
        <w:rPr>
          <w:b/>
        </w:rPr>
        <w:t>Q.</w:t>
      </w:r>
      <w:r>
        <w:rPr>
          <w:b/>
        </w:rPr>
        <w:tab/>
        <w:t>Do you agree that PSE’s leasing program offers “extensive customer protections?”</w:t>
      </w:r>
    </w:p>
    <w:p w14:paraId="20A21580" w14:textId="7E5E47CA" w:rsidR="00965914" w:rsidRDefault="00965914" w:rsidP="00971954">
      <w:pPr>
        <w:spacing w:line="480" w:lineRule="auto"/>
        <w:ind w:left="720" w:hanging="720"/>
      </w:pPr>
      <w:r>
        <w:t>A.</w:t>
      </w:r>
      <w:r>
        <w:tab/>
      </w:r>
      <w:r w:rsidR="00D22254">
        <w:t xml:space="preserve">No. </w:t>
      </w:r>
      <w:r>
        <w:t xml:space="preserve"> That is a gross overstatement. PSE devotes three short paragraphs of its testimony to consumer protection issues.</w:t>
      </w:r>
      <w:r w:rsidR="003E444A">
        <w:rPr>
          <w:rStyle w:val="FootnoteReference"/>
        </w:rPr>
        <w:footnoteReference w:id="2"/>
      </w:r>
      <w:r>
        <w:t xml:space="preserve">  PSE testifies that it will disclose to its customers four elements: (1) the lease term, (2) its total cost, (3) an equipment maintenance schedule, and (4) the warranty.</w:t>
      </w:r>
    </w:p>
    <w:p w14:paraId="051F9676" w14:textId="77777777" w:rsidR="00E278CE" w:rsidRDefault="00E278CE" w:rsidP="008A33C8">
      <w:pPr>
        <w:spacing w:line="480" w:lineRule="auto"/>
      </w:pPr>
    </w:p>
    <w:p w14:paraId="27DBE0DF" w14:textId="77777777" w:rsidR="00E278CE" w:rsidRPr="005C6B44" w:rsidRDefault="005C6B44" w:rsidP="00971954">
      <w:pPr>
        <w:pStyle w:val="ListParagraph"/>
        <w:numPr>
          <w:ilvl w:val="0"/>
          <w:numId w:val="13"/>
        </w:numPr>
        <w:spacing w:line="480" w:lineRule="auto"/>
        <w:ind w:hanging="720"/>
        <w:contextualSpacing w:val="0"/>
        <w:rPr>
          <w:b/>
        </w:rPr>
      </w:pPr>
      <w:r w:rsidRPr="005C6B44">
        <w:rPr>
          <w:b/>
        </w:rPr>
        <w:t>Please describe the relationship between PSE and program participants</w:t>
      </w:r>
      <w:r>
        <w:rPr>
          <w:b/>
        </w:rPr>
        <w:t>.</w:t>
      </w:r>
      <w:r w:rsidRPr="005C6B44">
        <w:rPr>
          <w:b/>
        </w:rPr>
        <w:t xml:space="preserve"> </w:t>
      </w:r>
    </w:p>
    <w:p w14:paraId="394E80BC" w14:textId="4B1B4601" w:rsidR="00F3093B" w:rsidRDefault="00D22254" w:rsidP="00BE3405">
      <w:pPr>
        <w:pStyle w:val="ListParagraph"/>
        <w:numPr>
          <w:ilvl w:val="0"/>
          <w:numId w:val="14"/>
        </w:numPr>
        <w:spacing w:line="480" w:lineRule="auto"/>
        <w:ind w:left="720" w:hanging="720"/>
      </w:pPr>
      <w:r>
        <w:t xml:space="preserve">It is not clear to me that PSE would actually be engaging with customers to deliver the optional leasing services included in the program. As noted by Ms. O’Connell, PSE intends to </w:t>
      </w:r>
      <w:r w:rsidRPr="00136523">
        <w:t xml:space="preserve">manage customer acquisition, financing and </w:t>
      </w:r>
      <w:r>
        <w:t xml:space="preserve">program </w:t>
      </w:r>
      <w:r w:rsidRPr="00136523">
        <w:t>administration activities</w:t>
      </w:r>
      <w:r>
        <w:t xml:space="preserve"> but use third-party “service partners” to distribute equipment and perform in-home fulfillment tasks.</w:t>
      </w:r>
      <w:r w:rsidR="00BE3405">
        <w:t xml:space="preserve">  </w:t>
      </w:r>
    </w:p>
    <w:p w14:paraId="13AD8F35" w14:textId="3891A8DB" w:rsidR="00371B7B" w:rsidRDefault="00F3093B" w:rsidP="00F3093B">
      <w:pPr>
        <w:pStyle w:val="ListParagraph"/>
        <w:spacing w:line="480" w:lineRule="auto"/>
      </w:pPr>
      <w:r>
        <w:tab/>
      </w:r>
      <w:r w:rsidR="00BE3405">
        <w:t xml:space="preserve">It appears to me that once PSE “acquires” a customer, it intends to turn implementation and fulfillment of its contract obligations </w:t>
      </w:r>
      <w:r w:rsidR="00863DE8">
        <w:t xml:space="preserve">over </w:t>
      </w:r>
      <w:r w:rsidR="00BE3405">
        <w:t xml:space="preserve">to </w:t>
      </w:r>
      <w:r w:rsidR="005C5EDA">
        <w:t xml:space="preserve">some </w:t>
      </w:r>
      <w:r w:rsidR="00BE3405">
        <w:t>third party</w:t>
      </w:r>
      <w:r w:rsidR="005C5EDA">
        <w:t>.</w:t>
      </w:r>
      <w:r w:rsidR="00BE3405">
        <w:t xml:space="preserve"> Staff finds it surprising that PSE is asking the Commission to sanction behavior </w:t>
      </w:r>
      <w:r>
        <w:t xml:space="preserve">that </w:t>
      </w:r>
      <w:r w:rsidR="00953661">
        <w:t xml:space="preserve">would be difficult both for the Company to control and for the Consumer Protection Staff to appropriately monitor. </w:t>
      </w:r>
    </w:p>
    <w:p w14:paraId="045B8EBE" w14:textId="77777777" w:rsidR="00E278CE" w:rsidRDefault="00BE3405" w:rsidP="00F3093B">
      <w:pPr>
        <w:pStyle w:val="ListParagraph"/>
        <w:spacing w:line="480" w:lineRule="auto"/>
      </w:pPr>
      <w:r w:rsidRPr="00BE3405">
        <w:rPr>
          <w:i/>
          <w:u w:val="single"/>
        </w:rPr>
        <w:t xml:space="preserve"> </w:t>
      </w:r>
    </w:p>
    <w:p w14:paraId="477FC220" w14:textId="77777777" w:rsidR="009E5257" w:rsidRDefault="009E5257" w:rsidP="009E5257">
      <w:pPr>
        <w:spacing w:line="480" w:lineRule="auto"/>
        <w:rPr>
          <w:b/>
        </w:rPr>
      </w:pPr>
      <w:r w:rsidRPr="009E5257">
        <w:rPr>
          <w:b/>
        </w:rPr>
        <w:t>Q.</w:t>
      </w:r>
      <w:r>
        <w:t xml:space="preserve"> </w:t>
      </w:r>
      <w:r w:rsidRPr="00971954">
        <w:rPr>
          <w:b/>
        </w:rPr>
        <w:tab/>
      </w:r>
      <w:r>
        <w:rPr>
          <w:b/>
        </w:rPr>
        <w:t xml:space="preserve">What ratepayer risks are presented by PSE’s sales and fulfillment strategies? </w:t>
      </w:r>
    </w:p>
    <w:p w14:paraId="0B471AD2" w14:textId="77777777" w:rsidR="00D1687F" w:rsidRDefault="009E5257" w:rsidP="00863DE8">
      <w:pPr>
        <w:pStyle w:val="ListParagraph"/>
        <w:spacing w:line="480" w:lineRule="auto"/>
        <w:ind w:hanging="720"/>
      </w:pPr>
      <w:r>
        <w:t>A.</w:t>
      </w:r>
      <w:r w:rsidR="00863DE8">
        <w:tab/>
      </w:r>
      <w:r>
        <w:t>I believe that PSE’s sales and fulfillment strategies impose risks to ratepayers that d</w:t>
      </w:r>
      <w:r w:rsidR="00D1687F">
        <w:t xml:space="preserve">o not exist today. For example, let’s start with sales. </w:t>
      </w:r>
    </w:p>
    <w:p w14:paraId="41DCB1EC" w14:textId="5CA300DB" w:rsidR="00F3093B" w:rsidRDefault="00D1687F" w:rsidP="009E5257">
      <w:pPr>
        <w:pStyle w:val="ListParagraph"/>
        <w:spacing w:line="480" w:lineRule="auto"/>
      </w:pPr>
      <w:r>
        <w:tab/>
        <w:t>PSE plans to engage with its captive customer base to “sell” its leasing products. I believe PSE describes its intent as “building” on the existing relationship with its customers.</w:t>
      </w:r>
      <w:r w:rsidR="00F3093B">
        <w:t xml:space="preserve"> However, s</w:t>
      </w:r>
      <w:r>
        <w:t xml:space="preserve">ome customers may well consider the purpose of PSE’s actions as exploiting </w:t>
      </w:r>
      <w:r w:rsidR="00F3093B">
        <w:t>its knowledge of utility c</w:t>
      </w:r>
      <w:r>
        <w:t>ustomers</w:t>
      </w:r>
      <w:r w:rsidR="00F3093B">
        <w:t xml:space="preserve"> to extract profits for its investors</w:t>
      </w:r>
      <w:r>
        <w:t>.</w:t>
      </w:r>
      <w:r w:rsidR="00863DE8">
        <w:t xml:space="preserve"> </w:t>
      </w:r>
      <w:r>
        <w:t xml:space="preserve">To protect ratepayers from such exploitation, PSE must tightly control its sales force. However, I am not aware of any PSE commitment to avoid third-party </w:t>
      </w:r>
      <w:r>
        <w:lastRenderedPageBreak/>
        <w:t xml:space="preserve">marketers or the use of similar marketing techniques. </w:t>
      </w:r>
      <w:r w:rsidR="00863DE8">
        <w:t xml:space="preserve">Nor has PSE provided the </w:t>
      </w:r>
      <w:r w:rsidR="00F3093B">
        <w:t>rules that would</w:t>
      </w:r>
      <w:r w:rsidR="00863DE8">
        <w:t xml:space="preserve"> govern</w:t>
      </w:r>
      <w:r w:rsidR="00F3093B">
        <w:t xml:space="preserve"> such marketing efforts and protect customers. </w:t>
      </w:r>
    </w:p>
    <w:p w14:paraId="4AA27716" w14:textId="77777777" w:rsidR="000E2400" w:rsidRDefault="00F3093B" w:rsidP="009E5257">
      <w:pPr>
        <w:pStyle w:val="ListParagraph"/>
        <w:spacing w:line="480" w:lineRule="auto"/>
      </w:pPr>
      <w:r>
        <w:tab/>
      </w:r>
      <w:r w:rsidR="00D1687F">
        <w:t xml:space="preserve">Without such protection, PSE’s ratepayers would likely be exposed to pressure sales, upselling from the product desired by the customer, or other techniques commonly used to make or enhance a sale. In the end, unhappy customers </w:t>
      </w:r>
      <w:r w:rsidR="000E2400">
        <w:t xml:space="preserve">will turn to the Commission for assistance, with customers expecting the Commission to act as a go-between them and PSE. </w:t>
      </w:r>
      <w:r w:rsidR="00863DE8">
        <w:t>S</w:t>
      </w:r>
      <w:r w:rsidR="000E2400">
        <w:t>taff cannot be expected to</w:t>
      </w:r>
      <w:r w:rsidR="00B369D7">
        <w:t xml:space="preserve"> resolve complaints or otherwise</w:t>
      </w:r>
      <w:r w:rsidR="000E2400">
        <w:t xml:space="preserve"> effectively deal with PSE’s surrogates that install, maintain and service the leased appliances</w:t>
      </w:r>
      <w:r>
        <w:t xml:space="preserve">. </w:t>
      </w:r>
      <w:r w:rsidR="000E2400">
        <w:t xml:space="preserve"> </w:t>
      </w:r>
    </w:p>
    <w:p w14:paraId="55BF645A" w14:textId="77777777" w:rsidR="00371B7B" w:rsidRDefault="00371B7B" w:rsidP="009E5257">
      <w:pPr>
        <w:pStyle w:val="ListParagraph"/>
        <w:spacing w:line="480" w:lineRule="auto"/>
      </w:pPr>
    </w:p>
    <w:p w14:paraId="2A79B6F9" w14:textId="72BC6B8D" w:rsidR="000E2400" w:rsidRPr="000E2400" w:rsidRDefault="000E2400" w:rsidP="000E2400">
      <w:pPr>
        <w:spacing w:line="480" w:lineRule="auto"/>
        <w:rPr>
          <w:b/>
        </w:rPr>
      </w:pPr>
      <w:r w:rsidRPr="008A33C8">
        <w:rPr>
          <w:b/>
        </w:rPr>
        <w:t>Q.</w:t>
      </w:r>
      <w:r>
        <w:t xml:space="preserve"> </w:t>
      </w:r>
      <w:r>
        <w:tab/>
      </w:r>
      <w:r w:rsidRPr="000E2400">
        <w:rPr>
          <w:b/>
        </w:rPr>
        <w:t xml:space="preserve">Does PSE have a plan to deal with </w:t>
      </w:r>
      <w:r w:rsidR="00D92366">
        <w:rPr>
          <w:b/>
        </w:rPr>
        <w:t>customer</w:t>
      </w:r>
      <w:r w:rsidRPr="000E2400">
        <w:rPr>
          <w:b/>
        </w:rPr>
        <w:t xml:space="preserve"> disputes?</w:t>
      </w:r>
    </w:p>
    <w:p w14:paraId="49D3F307" w14:textId="02F3F1C5" w:rsidR="00E278CE" w:rsidRDefault="000E2400" w:rsidP="008A33C8">
      <w:pPr>
        <w:spacing w:line="480" w:lineRule="auto"/>
        <w:ind w:left="720" w:hanging="720"/>
      </w:pPr>
      <w:r>
        <w:t xml:space="preserve">A. </w:t>
      </w:r>
      <w:r>
        <w:tab/>
        <w:t xml:space="preserve">Not to my knowledge. PSE’s filing is silent as to the particulars of how </w:t>
      </w:r>
      <w:r w:rsidR="00604B29">
        <w:t xml:space="preserve">customer </w:t>
      </w:r>
      <w:r>
        <w:t xml:space="preserve">disputes would be handled. </w:t>
      </w:r>
      <w:r w:rsidR="005C5EDA">
        <w:t>Without a concrete program to deal with customer disputes, t</w:t>
      </w:r>
      <w:r>
        <w:t xml:space="preserve">his program should not </w:t>
      </w:r>
      <w:r w:rsidR="00AB3156">
        <w:t xml:space="preserve">be allowed to </w:t>
      </w:r>
      <w:r>
        <w:t>go forward</w:t>
      </w:r>
      <w:r w:rsidR="000D1C87">
        <w:t xml:space="preserve">. PSE should be required to </w:t>
      </w:r>
      <w:r>
        <w:t>pr</w:t>
      </w:r>
      <w:r w:rsidR="000D1C87">
        <w:t>ovide</w:t>
      </w:r>
      <w:r>
        <w:t xml:space="preserve"> concrete and effective strategies on how to deal with customer complaints. The Company should not shift this responsibility to the Commission</w:t>
      </w:r>
      <w:r w:rsidR="00953661">
        <w:t xml:space="preserve"> post hoc</w:t>
      </w:r>
      <w:r>
        <w:t xml:space="preserve">. </w:t>
      </w:r>
      <w:r w:rsidR="005C5EDA">
        <w:t xml:space="preserve">In </w:t>
      </w:r>
      <w:r w:rsidR="00A50842">
        <w:t>S</w:t>
      </w:r>
      <w:r w:rsidR="005C5EDA">
        <w:t xml:space="preserve">taff’s opinion, the Commission may be </w:t>
      </w:r>
      <w:r>
        <w:t>require</w:t>
      </w:r>
      <w:r w:rsidR="005C5EDA">
        <w:t>d to engage in</w:t>
      </w:r>
      <w:r>
        <w:t xml:space="preserve"> a comprehensive rulemaking </w:t>
      </w:r>
      <w:r w:rsidR="005C5EDA">
        <w:t xml:space="preserve">just </w:t>
      </w:r>
      <w:r>
        <w:t xml:space="preserve">to deal with </w:t>
      </w:r>
      <w:r w:rsidR="00F3093B">
        <w:t>appliance sales techniques</w:t>
      </w:r>
      <w:r w:rsidR="0018290E">
        <w:t>—</w:t>
      </w:r>
      <w:r w:rsidR="00F3093B">
        <w:t xml:space="preserve">perhaps mirroring the consumer protection laws for </w:t>
      </w:r>
      <w:r w:rsidR="009C28A1">
        <w:t xml:space="preserve">other, </w:t>
      </w:r>
      <w:r w:rsidR="00F3093B">
        <w:t xml:space="preserve">unregulated companies. Without such a rulemaking, </w:t>
      </w:r>
      <w:r w:rsidR="00863DE8">
        <w:t>C</w:t>
      </w:r>
      <w:r w:rsidR="00F3093B">
        <w:t xml:space="preserve">onsumer </w:t>
      </w:r>
      <w:r w:rsidR="00863DE8">
        <w:t>P</w:t>
      </w:r>
      <w:r w:rsidR="00F3093B">
        <w:t xml:space="preserve">rotection </w:t>
      </w:r>
      <w:r w:rsidR="0018290E">
        <w:t>S</w:t>
      </w:r>
      <w:r w:rsidR="00F3093B">
        <w:t xml:space="preserve">taff would not have the tools to deal </w:t>
      </w:r>
      <w:r w:rsidR="00797C22">
        <w:t xml:space="preserve">directly with </w:t>
      </w:r>
      <w:r w:rsidR="00F3093B">
        <w:t>predatory sales strategies</w:t>
      </w:r>
      <w:r w:rsidR="00797C22">
        <w:t xml:space="preserve">. </w:t>
      </w:r>
      <w:r w:rsidR="009E5257">
        <w:t xml:space="preserve"> </w:t>
      </w:r>
    </w:p>
    <w:p w14:paraId="631F218B" w14:textId="77777777" w:rsidR="00C22E1E" w:rsidRDefault="00C22E1E" w:rsidP="00971954">
      <w:pPr>
        <w:spacing w:line="480" w:lineRule="auto"/>
        <w:ind w:left="720" w:hanging="720"/>
      </w:pPr>
    </w:p>
    <w:p w14:paraId="3C56AEB5" w14:textId="68F0BFE8" w:rsidR="00A77D06" w:rsidRDefault="00971954" w:rsidP="008A33C8">
      <w:pPr>
        <w:keepNext/>
        <w:spacing w:line="480" w:lineRule="auto"/>
        <w:rPr>
          <w:b/>
        </w:rPr>
      </w:pPr>
      <w:r w:rsidRPr="00971954">
        <w:rPr>
          <w:b/>
        </w:rPr>
        <w:lastRenderedPageBreak/>
        <w:t>Q.</w:t>
      </w:r>
      <w:r w:rsidRPr="00971954">
        <w:rPr>
          <w:b/>
        </w:rPr>
        <w:tab/>
      </w:r>
      <w:r w:rsidR="009E5257">
        <w:rPr>
          <w:b/>
        </w:rPr>
        <w:t xml:space="preserve">What </w:t>
      </w:r>
      <w:r w:rsidR="00797C22">
        <w:rPr>
          <w:b/>
        </w:rPr>
        <w:t xml:space="preserve">other </w:t>
      </w:r>
      <w:r w:rsidR="009E5257">
        <w:rPr>
          <w:b/>
        </w:rPr>
        <w:t xml:space="preserve">ratepayer risks are presented by PSE’s </w:t>
      </w:r>
      <w:r w:rsidR="00A77D06">
        <w:rPr>
          <w:b/>
        </w:rPr>
        <w:t>sales fulfillment strategy</w:t>
      </w:r>
      <w:r w:rsidR="009E5257">
        <w:rPr>
          <w:b/>
        </w:rPr>
        <w:t xml:space="preserve">? </w:t>
      </w:r>
    </w:p>
    <w:p w14:paraId="64792E18" w14:textId="1A5DA874" w:rsidR="00E278CE" w:rsidRDefault="00797C22" w:rsidP="00AB3156">
      <w:pPr>
        <w:pStyle w:val="ListParagraph"/>
        <w:numPr>
          <w:ilvl w:val="0"/>
          <w:numId w:val="17"/>
        </w:numPr>
        <w:spacing w:line="480" w:lineRule="auto"/>
        <w:ind w:hanging="720"/>
        <w:contextualSpacing w:val="0"/>
      </w:pPr>
      <w:r>
        <w:t xml:space="preserve">Staff is concerned that customers would not fully understand the </w:t>
      </w:r>
      <w:r w:rsidRPr="00433469">
        <w:rPr>
          <w:i/>
        </w:rPr>
        <w:t>ten different cost components</w:t>
      </w:r>
      <w:r>
        <w:t xml:space="preserve"> that are included in PSE’s tariff or the many obligations the “lease” imposes on customers. For example, under PSE’s proposal, customers are obligated to change the furnace filter four times per year. What if a customer fails to do so? Will the lease be terminated or will the customer be liable to the </w:t>
      </w:r>
      <w:r w:rsidR="00A50842">
        <w:t>C</w:t>
      </w:r>
      <w:r>
        <w:t>ompany for damages</w:t>
      </w:r>
      <w:r w:rsidR="00433469">
        <w:t xml:space="preserve"> </w:t>
      </w:r>
      <w:r>
        <w:t xml:space="preserve">or </w:t>
      </w:r>
      <w:r w:rsidR="00433469">
        <w:t>penalties</w:t>
      </w:r>
      <w:r w:rsidR="000463B1">
        <w:t xml:space="preserve">? </w:t>
      </w:r>
      <w:r>
        <w:t xml:space="preserve"> Further, customers are required to give PSE notice of </w:t>
      </w:r>
      <w:r w:rsidR="000463B1">
        <w:t xml:space="preserve">a </w:t>
      </w:r>
      <w:r>
        <w:t>home</w:t>
      </w:r>
      <w:r w:rsidR="000463B1">
        <w:t xml:space="preserve"> </w:t>
      </w:r>
      <w:r>
        <w:t>s</w:t>
      </w:r>
      <w:r w:rsidR="000463B1">
        <w:t>ale</w:t>
      </w:r>
      <w:r>
        <w:t xml:space="preserve"> in order to transfer or purchase leased equipment. What if this does not occur or PSE fails to file a property lien identifying the lease appliance? Will the customer be held responsible by PSE for an appliance “sold” upon closing? </w:t>
      </w:r>
      <w:r w:rsidR="000463B1">
        <w:t xml:space="preserve">Will the homeowner be responsible to hire legal counsel to defend against a defective lien? </w:t>
      </w:r>
      <w:r>
        <w:t xml:space="preserve">These questions are largely unanswered and the Commission should not be responsible for </w:t>
      </w:r>
      <w:r w:rsidR="000463B1">
        <w:t xml:space="preserve">creating the contract mechanisms that provide such answers. </w:t>
      </w:r>
    </w:p>
    <w:p w14:paraId="5F39DD55" w14:textId="77777777" w:rsidR="00AB3156" w:rsidRPr="00A41EC0" w:rsidRDefault="00AB3156" w:rsidP="00AB3156">
      <w:pPr>
        <w:spacing w:line="480" w:lineRule="auto"/>
      </w:pPr>
    </w:p>
    <w:p w14:paraId="17EA2E7B" w14:textId="77777777" w:rsidR="00971954" w:rsidRPr="000463B1" w:rsidRDefault="004B34CC" w:rsidP="00971954">
      <w:pPr>
        <w:pStyle w:val="ListParagraph"/>
        <w:numPr>
          <w:ilvl w:val="0"/>
          <w:numId w:val="18"/>
        </w:numPr>
        <w:spacing w:line="480" w:lineRule="auto"/>
        <w:ind w:hanging="720"/>
        <w:contextualSpacing w:val="0"/>
        <w:rPr>
          <w:b/>
        </w:rPr>
      </w:pPr>
      <w:r>
        <w:rPr>
          <w:b/>
        </w:rPr>
        <w:t xml:space="preserve">Are you able to highlight </w:t>
      </w:r>
      <w:r w:rsidR="00A96100">
        <w:rPr>
          <w:b/>
        </w:rPr>
        <w:t xml:space="preserve">a representative sample of </w:t>
      </w:r>
      <w:r w:rsidR="000463B1" w:rsidRPr="000463B1">
        <w:rPr>
          <w:b/>
        </w:rPr>
        <w:t>consumer protection issues raised by PSE’s proposed tariff</w:t>
      </w:r>
      <w:r>
        <w:rPr>
          <w:b/>
        </w:rPr>
        <w:t>?</w:t>
      </w:r>
      <w:r w:rsidR="000463B1" w:rsidRPr="000463B1">
        <w:rPr>
          <w:b/>
        </w:rPr>
        <w:t xml:space="preserve"> </w:t>
      </w:r>
    </w:p>
    <w:p w14:paraId="0E05DD68" w14:textId="4C86CFB7" w:rsidR="00E278CE" w:rsidRDefault="004B34CC" w:rsidP="004B34CC">
      <w:pPr>
        <w:spacing w:line="480" w:lineRule="auto"/>
        <w:ind w:left="720"/>
      </w:pPr>
      <w:r>
        <w:t xml:space="preserve">Yes. </w:t>
      </w:r>
      <w:r w:rsidR="000463B1">
        <w:t>PSE’s tariff language raises many questions</w:t>
      </w:r>
      <w:r w:rsidR="00F63F63">
        <w:t>.</w:t>
      </w:r>
      <w:r w:rsidR="000463B1">
        <w:t xml:space="preserve"> </w:t>
      </w:r>
      <w:r w:rsidR="004B38C7">
        <w:t>Below, I highlight a number of them.</w:t>
      </w:r>
      <w:r w:rsidR="000463B1">
        <w:t xml:space="preserve">  </w:t>
      </w:r>
    </w:p>
    <w:p w14:paraId="120BA584" w14:textId="1D3B2DB7" w:rsidR="00EE28BE" w:rsidRDefault="005F40BB" w:rsidP="00AB3156">
      <w:pPr>
        <w:pStyle w:val="ListParagraph"/>
        <w:numPr>
          <w:ilvl w:val="0"/>
          <w:numId w:val="33"/>
        </w:numPr>
        <w:spacing w:line="480" w:lineRule="auto"/>
      </w:pPr>
      <w:r>
        <w:rPr>
          <w:b/>
        </w:rPr>
        <w:t xml:space="preserve">Costs - </w:t>
      </w:r>
      <w:r w:rsidR="00EE28BE">
        <w:t xml:space="preserve">Staff is concerned that customers would not fully understand </w:t>
      </w:r>
      <w:r w:rsidR="00EE28BE" w:rsidRPr="00EE28BE">
        <w:t xml:space="preserve">the </w:t>
      </w:r>
      <w:r w:rsidR="00EE28BE" w:rsidRPr="00AB3156">
        <w:t>ten different cost components</w:t>
      </w:r>
      <w:r w:rsidR="00EE28BE">
        <w:t xml:space="preserve"> that are included in PSE’s tariff.</w:t>
      </w:r>
      <w:r w:rsidR="003F4822">
        <w:t xml:space="preserve">  </w:t>
      </w:r>
    </w:p>
    <w:p w14:paraId="29D36A99" w14:textId="420FA9C0" w:rsidR="00D92366" w:rsidRDefault="005F40BB" w:rsidP="003F4822">
      <w:pPr>
        <w:pStyle w:val="ListParagraph"/>
        <w:numPr>
          <w:ilvl w:val="0"/>
          <w:numId w:val="33"/>
        </w:numPr>
        <w:spacing w:line="480" w:lineRule="auto"/>
      </w:pPr>
      <w:r w:rsidRPr="003F4822">
        <w:rPr>
          <w:b/>
        </w:rPr>
        <w:t xml:space="preserve">Liens - </w:t>
      </w:r>
      <w:r>
        <w:t>Customers</w:t>
      </w:r>
      <w:r w:rsidR="00EE28BE">
        <w:t xml:space="preserve"> may not understand the many obligations the “lease” imposes on them. For example, PSE requires customers </w:t>
      </w:r>
      <w:r w:rsidR="00AB3156">
        <w:t xml:space="preserve">to </w:t>
      </w:r>
      <w:r w:rsidR="00EE28BE">
        <w:t>give notice of a home sale in order to transfer or purchase leased equipment.</w:t>
      </w:r>
      <w:r w:rsidRPr="005F40BB">
        <w:t xml:space="preserve"> </w:t>
      </w:r>
      <w:r>
        <w:t xml:space="preserve">PSE states that it would be </w:t>
      </w:r>
      <w:r>
        <w:lastRenderedPageBreak/>
        <w:t>allowed to file a fixture lien on properties in the county where the equipment is installed.</w:t>
      </w:r>
      <w:r>
        <w:rPr>
          <w:rStyle w:val="FootnoteReference"/>
        </w:rPr>
        <w:footnoteReference w:id="3"/>
      </w:r>
      <w:r>
        <w:t xml:space="preserve"> </w:t>
      </w:r>
      <w:r w:rsidR="00D92366">
        <w:t>The tariff states</w:t>
      </w:r>
      <w:r w:rsidR="0018290E">
        <w:t>:</w:t>
      </w:r>
      <w:r w:rsidR="00D92366">
        <w:t xml:space="preserve"> “If the [home] Buyer does not so qualify, the Customer must exercise its Option to purchase the Equipment prior to the transfer or sale of the Premises.”</w:t>
      </w:r>
      <w:r w:rsidR="00604B29">
        <w:rPr>
          <w:rStyle w:val="FootnoteReference"/>
        </w:rPr>
        <w:footnoteReference w:id="4"/>
      </w:r>
      <w:r w:rsidR="00D92366">
        <w:t xml:space="preserve"> It appears to Staff that the </w:t>
      </w:r>
      <w:r w:rsidR="00A50842" w:rsidRPr="00A50842">
        <w:t xml:space="preserve">Company </w:t>
      </w:r>
      <w:r w:rsidR="00D92366">
        <w:t>is forcing the consumer to purchase equipment, when it does not approve of the potential new owner.  RCW 80.04.270 prohibits the sale of utility equipment by PSE. The tariff provides that, in the event a customer fails to inform PSE of a premise sale, PSE intends to terminate the agreement and declare all remaining obligations immediately due and payable.</w:t>
      </w:r>
      <w:r w:rsidR="00D92366">
        <w:rPr>
          <w:rStyle w:val="FootnoteReference"/>
        </w:rPr>
        <w:footnoteReference w:id="5"/>
      </w:r>
      <w:r w:rsidR="00D92366">
        <w:t xml:space="preserve"> Staff does not believe this obligation should be imposed on the customer. As it would place an undue burden on the customer and </w:t>
      </w:r>
      <w:r w:rsidR="005C5EDA">
        <w:t xml:space="preserve">could </w:t>
      </w:r>
      <w:r w:rsidR="00D92366">
        <w:t xml:space="preserve">significantly </w:t>
      </w:r>
      <w:r w:rsidR="005C5EDA">
        <w:t>impact a</w:t>
      </w:r>
      <w:r w:rsidR="00D92366">
        <w:t xml:space="preserve"> customer’s ability to complete sale of </w:t>
      </w:r>
      <w:r w:rsidR="005C5EDA">
        <w:t xml:space="preserve">a </w:t>
      </w:r>
      <w:r w:rsidR="00D92366">
        <w:t>home.</w:t>
      </w:r>
      <w:r w:rsidR="00F63F63" w:rsidRPr="003F4822" w:rsidDel="00D92366">
        <w:rPr>
          <w:b/>
        </w:rPr>
        <w:t xml:space="preserve"> </w:t>
      </w:r>
    </w:p>
    <w:p w14:paraId="2EAD2B00" w14:textId="5401CB04" w:rsidR="00EE28BE" w:rsidRDefault="004F5E5A" w:rsidP="00863DE8">
      <w:pPr>
        <w:pStyle w:val="ListParagraph"/>
        <w:numPr>
          <w:ilvl w:val="0"/>
          <w:numId w:val="33"/>
        </w:numPr>
        <w:spacing w:line="480" w:lineRule="auto"/>
      </w:pPr>
      <w:r w:rsidRPr="003F4822">
        <w:rPr>
          <w:b/>
        </w:rPr>
        <w:t>Late Fees</w:t>
      </w:r>
      <w:r w:rsidR="003F4822">
        <w:rPr>
          <w:b/>
        </w:rPr>
        <w:t xml:space="preserve"> - </w:t>
      </w:r>
      <w:r w:rsidR="000463B1">
        <w:t>PSE states that there will be a late fee assessed on late payments</w:t>
      </w:r>
      <w:r w:rsidR="003F4822">
        <w:t>, but it makes no provision as to how those payments will be collected or applied</w:t>
      </w:r>
      <w:r w:rsidR="000463B1">
        <w:t>.</w:t>
      </w:r>
    </w:p>
    <w:p w14:paraId="44577A6A" w14:textId="76066CCF" w:rsidR="000463B1" w:rsidRPr="004F5E5A" w:rsidRDefault="00EE28BE" w:rsidP="00863DE8">
      <w:pPr>
        <w:pStyle w:val="ListParagraph"/>
        <w:numPr>
          <w:ilvl w:val="0"/>
          <w:numId w:val="33"/>
        </w:numPr>
        <w:spacing w:line="480" w:lineRule="auto"/>
      </w:pPr>
      <w:r w:rsidRPr="003F4822">
        <w:rPr>
          <w:b/>
        </w:rPr>
        <w:t xml:space="preserve">Application of </w:t>
      </w:r>
      <w:r w:rsidR="003F4822" w:rsidRPr="003F4822">
        <w:rPr>
          <w:b/>
        </w:rPr>
        <w:t xml:space="preserve">Lease </w:t>
      </w:r>
      <w:r w:rsidR="00604B29" w:rsidRPr="003F4822">
        <w:rPr>
          <w:b/>
        </w:rPr>
        <w:t>P</w:t>
      </w:r>
      <w:r w:rsidRPr="003F4822">
        <w:rPr>
          <w:b/>
        </w:rPr>
        <w:t>ayments</w:t>
      </w:r>
      <w:r w:rsidRPr="003F4822">
        <w:t xml:space="preserve"> -</w:t>
      </w:r>
      <w:r w:rsidR="003F4822">
        <w:t xml:space="preserve"> </w:t>
      </w:r>
      <w:r w:rsidR="000463B1" w:rsidRPr="00EE28BE">
        <w:t>PSE</w:t>
      </w:r>
      <w:r w:rsidR="000463B1">
        <w:t xml:space="preserve"> indicates that the leased equipment charge will be present on regular monthly bills.</w:t>
      </w:r>
      <w:r w:rsidR="005F40BB">
        <w:rPr>
          <w:rStyle w:val="FootnoteReference"/>
        </w:rPr>
        <w:footnoteReference w:id="6"/>
      </w:r>
      <w:r w:rsidR="000463B1">
        <w:t xml:space="preserve"> </w:t>
      </w:r>
      <w:r w:rsidR="005F675B">
        <w:t xml:space="preserve">However, </w:t>
      </w:r>
      <w:r w:rsidR="000463B1">
        <w:t xml:space="preserve">PSE does not address and the </w:t>
      </w:r>
      <w:r w:rsidR="004F5E5A">
        <w:t>C</w:t>
      </w:r>
      <w:r w:rsidR="000463B1">
        <w:t xml:space="preserve">ommission does not have rules to guide what happens if the customer makes a partial payment. </w:t>
      </w:r>
      <w:r>
        <w:t xml:space="preserve">This could lead to issues and potential conflicts of interest when the </w:t>
      </w:r>
      <w:r w:rsidR="00A50842" w:rsidRPr="00A50842">
        <w:t>Company</w:t>
      </w:r>
      <w:r>
        <w:t xml:space="preserve"> has to decide what service(s) a partial payment should apply to. The </w:t>
      </w:r>
      <w:r w:rsidR="00A50842" w:rsidRPr="00A50842">
        <w:t xml:space="preserve">Company </w:t>
      </w:r>
      <w:r>
        <w:t xml:space="preserve">has not detailed what service it would apply payment to first, or if it would </w:t>
      </w:r>
      <w:r w:rsidR="00604B29">
        <w:t>split the payment</w:t>
      </w:r>
      <w:r>
        <w:t>.</w:t>
      </w:r>
      <w:r w:rsidR="005F675B">
        <w:t xml:space="preserve"> Without tariff provisions </w:t>
      </w:r>
      <w:r>
        <w:t xml:space="preserve">that </w:t>
      </w:r>
      <w:r w:rsidR="00731B05">
        <w:t>detail</w:t>
      </w:r>
      <w:r w:rsidR="005F675B">
        <w:t xml:space="preserve"> w</w:t>
      </w:r>
      <w:r w:rsidR="000463B1">
        <w:t>hat w</w:t>
      </w:r>
      <w:r w:rsidR="005F675B">
        <w:t xml:space="preserve">ould </w:t>
      </w:r>
      <w:r w:rsidR="000463B1">
        <w:t>happen if a consumer makes an incomplete payment</w:t>
      </w:r>
      <w:r w:rsidR="006A5F20">
        <w:t xml:space="preserve">, PSE </w:t>
      </w:r>
      <w:r w:rsidR="000463B1">
        <w:lastRenderedPageBreak/>
        <w:t>could assign the payment as it sees fit</w:t>
      </w:r>
      <w:r w:rsidR="005F40BB">
        <w:t>.</w:t>
      </w:r>
      <w:r w:rsidR="000463B1">
        <w:t xml:space="preserve"> </w:t>
      </w:r>
      <w:r w:rsidR="005F40BB">
        <w:t xml:space="preserve">PSE could </w:t>
      </w:r>
      <w:r w:rsidR="006A5F20">
        <w:t xml:space="preserve">go so far as </w:t>
      </w:r>
      <w:r w:rsidR="0018290E">
        <w:t xml:space="preserve">to </w:t>
      </w:r>
      <w:r w:rsidR="000463B1">
        <w:t>disconnect</w:t>
      </w:r>
      <w:r w:rsidR="006A5F20">
        <w:t xml:space="preserve"> service. Staff is aware that the Commission’s t</w:t>
      </w:r>
      <w:r w:rsidR="000463B1">
        <w:t xml:space="preserve">elecom </w:t>
      </w:r>
      <w:r w:rsidR="006A5F20">
        <w:t xml:space="preserve">rule </w:t>
      </w:r>
      <w:r w:rsidR="003F4822">
        <w:t xml:space="preserve">on disconnection </w:t>
      </w:r>
      <w:r w:rsidR="000463B1">
        <w:t>direct</w:t>
      </w:r>
      <w:r w:rsidR="006A5F20">
        <w:t xml:space="preserve">s </w:t>
      </w:r>
      <w:r w:rsidR="000463B1">
        <w:t xml:space="preserve">companies to first apply payments to regulated services and </w:t>
      </w:r>
      <w:r w:rsidR="006A5F20">
        <w:t xml:space="preserve">to </w:t>
      </w:r>
      <w:r w:rsidR="000463B1">
        <w:t xml:space="preserve">oldest balances first. </w:t>
      </w:r>
      <w:r w:rsidR="006A5F20">
        <w:t xml:space="preserve">Without similar rules, PSE’s </w:t>
      </w:r>
      <w:r w:rsidR="00464DBD">
        <w:t>p</w:t>
      </w:r>
      <w:r w:rsidR="000463B1">
        <w:t xml:space="preserve">rogram </w:t>
      </w:r>
      <w:r w:rsidR="006A5F20">
        <w:t>could put PSE’s lease participants at risk.</w:t>
      </w:r>
      <w:r w:rsidR="00A50842">
        <w:t xml:space="preserve"> </w:t>
      </w:r>
    </w:p>
    <w:p w14:paraId="74C22434" w14:textId="1EF62A10" w:rsidR="00863DE8" w:rsidRDefault="00464DBD" w:rsidP="00526796">
      <w:pPr>
        <w:pStyle w:val="ListParagraph"/>
        <w:numPr>
          <w:ilvl w:val="0"/>
          <w:numId w:val="21"/>
        </w:numPr>
        <w:spacing w:line="480" w:lineRule="auto"/>
        <w:ind w:left="1080"/>
      </w:pPr>
      <w:r>
        <w:rPr>
          <w:b/>
        </w:rPr>
        <w:t>Moving the leased equipment</w:t>
      </w:r>
      <w:r w:rsidR="003F4822">
        <w:rPr>
          <w:b/>
        </w:rPr>
        <w:t xml:space="preserve"> -</w:t>
      </w:r>
      <w:r w:rsidR="0003566C">
        <w:rPr>
          <w:b/>
        </w:rPr>
        <w:t xml:space="preserve"> </w:t>
      </w:r>
      <w:r w:rsidR="000463B1">
        <w:t xml:space="preserve">PSE </w:t>
      </w:r>
      <w:r w:rsidR="006A5F20">
        <w:t xml:space="preserve">prohibits a </w:t>
      </w:r>
      <w:r w:rsidR="000463B1">
        <w:t xml:space="preserve">customer from moving the </w:t>
      </w:r>
      <w:r w:rsidR="006A5F20">
        <w:t xml:space="preserve">installed </w:t>
      </w:r>
      <w:r w:rsidR="000463B1">
        <w:t>equipment</w:t>
      </w:r>
      <w:r w:rsidR="00F63F63">
        <w:t xml:space="preserve"> such as during a remodel</w:t>
      </w:r>
      <w:r w:rsidR="00821A51">
        <w:t>.</w:t>
      </w:r>
      <w:r w:rsidR="00821A51">
        <w:rPr>
          <w:rStyle w:val="FootnoteReference"/>
        </w:rPr>
        <w:footnoteReference w:id="7"/>
      </w:r>
      <w:r w:rsidR="00821A51">
        <w:t xml:space="preserve"> </w:t>
      </w:r>
      <w:r w:rsidR="00B36239">
        <w:t>To move equipment, a</w:t>
      </w:r>
      <w:r w:rsidR="00821A51">
        <w:t xml:space="preserve"> consumer must </w:t>
      </w:r>
      <w:r w:rsidR="00B36239">
        <w:t xml:space="preserve">first </w:t>
      </w:r>
      <w:r w:rsidR="00821A51">
        <w:t xml:space="preserve">contact PSE and allow PSE to arrange relocation of the equipment. </w:t>
      </w:r>
      <w:r w:rsidR="00B36239">
        <w:t xml:space="preserve">However, </w:t>
      </w:r>
      <w:r w:rsidR="00C9243A">
        <w:t xml:space="preserve">PSE has </w:t>
      </w:r>
      <w:r w:rsidR="00F63F63">
        <w:t>failed to provide</w:t>
      </w:r>
      <w:r w:rsidR="00C9243A">
        <w:t xml:space="preserve"> any</w:t>
      </w:r>
      <w:r w:rsidR="00821A51">
        <w:t xml:space="preserve"> specific response guidelines or requirements for equipment relocation. Without response time requirements, </w:t>
      </w:r>
      <w:r w:rsidR="00953661">
        <w:t>S</w:t>
      </w:r>
      <w:r w:rsidR="00821A51">
        <w:t xml:space="preserve">taff would not have </w:t>
      </w:r>
      <w:r w:rsidR="00F63F63">
        <w:t>rules</w:t>
      </w:r>
      <w:r w:rsidR="00821A51">
        <w:t xml:space="preserve"> to enforce if and when a </w:t>
      </w:r>
      <w:r w:rsidR="00A50842" w:rsidRPr="00A50842">
        <w:t>C</w:t>
      </w:r>
      <w:r w:rsidR="00A50842">
        <w:t>ompany</w:t>
      </w:r>
      <w:r w:rsidR="00821A51">
        <w:t xml:space="preserve">/customer dispute arose. PSE has also indicated that the customer would be charged for moving the equipment. According to </w:t>
      </w:r>
      <w:r w:rsidR="003F4822">
        <w:t xml:space="preserve">the </w:t>
      </w:r>
      <w:r w:rsidR="00A50842">
        <w:t>C</w:t>
      </w:r>
      <w:r w:rsidR="003F4822">
        <w:t xml:space="preserve">ompany’s response to </w:t>
      </w:r>
      <w:r w:rsidR="00A50842">
        <w:t>S</w:t>
      </w:r>
      <w:r w:rsidR="00821A51">
        <w:t>taff data request 41 the cost would be classified as a non-standard installation cost</w:t>
      </w:r>
      <w:r w:rsidR="003F4822">
        <w:t xml:space="preserve"> which may in and of itself be determined by not PSE, but rather a contractor</w:t>
      </w:r>
      <w:r w:rsidR="00821A51">
        <w:t>.</w:t>
      </w:r>
    </w:p>
    <w:p w14:paraId="70F5D408" w14:textId="17FEBE9D" w:rsidR="003F4822" w:rsidRDefault="0003566C" w:rsidP="00D6345B">
      <w:pPr>
        <w:pStyle w:val="ListParagraph"/>
        <w:numPr>
          <w:ilvl w:val="0"/>
          <w:numId w:val="21"/>
        </w:numPr>
        <w:spacing w:line="480" w:lineRule="auto"/>
        <w:ind w:left="1080"/>
      </w:pPr>
      <w:r>
        <w:rPr>
          <w:b/>
        </w:rPr>
        <w:t>Maintenance</w:t>
      </w:r>
      <w:r w:rsidR="0070432B">
        <w:rPr>
          <w:b/>
        </w:rPr>
        <w:t xml:space="preserve"> and Repair</w:t>
      </w:r>
      <w:r w:rsidR="00A56BB1">
        <w:rPr>
          <w:b/>
        </w:rPr>
        <w:t xml:space="preserve"> </w:t>
      </w:r>
      <w:r w:rsidR="00953661">
        <w:rPr>
          <w:b/>
        </w:rPr>
        <w:t>–</w:t>
      </w:r>
      <w:r w:rsidR="000463B1" w:rsidRPr="00863DE8">
        <w:rPr>
          <w:rFonts w:cstheme="minorHAnsi"/>
          <w:spacing w:val="-1"/>
        </w:rPr>
        <w:t xml:space="preserve"> </w:t>
      </w:r>
      <w:r w:rsidR="00953661">
        <w:rPr>
          <w:rFonts w:cstheme="minorHAnsi"/>
          <w:spacing w:val="-1"/>
        </w:rPr>
        <w:t>As to PSE’s proposed</w:t>
      </w:r>
      <w:r w:rsidR="00B70E38">
        <w:rPr>
          <w:rFonts w:cstheme="minorHAnsi"/>
          <w:spacing w:val="-1"/>
        </w:rPr>
        <w:t xml:space="preserve"> response tim</w:t>
      </w:r>
      <w:r w:rsidR="00A238BF">
        <w:rPr>
          <w:rFonts w:cstheme="minorHAnsi"/>
          <w:spacing w:val="-1"/>
        </w:rPr>
        <w:t>eframe</w:t>
      </w:r>
      <w:r w:rsidR="00B36239">
        <w:rPr>
          <w:rFonts w:cstheme="minorHAnsi"/>
          <w:spacing w:val="-1"/>
        </w:rPr>
        <w:t xml:space="preserve">, the </w:t>
      </w:r>
      <w:r w:rsidR="00A238BF">
        <w:rPr>
          <w:rFonts w:cstheme="minorHAnsi"/>
          <w:spacing w:val="-1"/>
        </w:rPr>
        <w:t>tariff reads</w:t>
      </w:r>
      <w:r w:rsidR="00B70E38">
        <w:rPr>
          <w:rFonts w:cstheme="minorHAnsi"/>
          <w:spacing w:val="-1"/>
        </w:rPr>
        <w:t xml:space="preserve"> “PSE will schedule a repair as soon</w:t>
      </w:r>
      <w:r w:rsidR="00953661">
        <w:rPr>
          <w:rFonts w:cstheme="minorHAnsi"/>
          <w:spacing w:val="-1"/>
        </w:rPr>
        <w:t xml:space="preserve"> as is commercially reasonable”</w:t>
      </w:r>
      <w:r w:rsidR="00B70E38">
        <w:rPr>
          <w:rStyle w:val="FootnoteReference"/>
          <w:rFonts w:cstheme="minorHAnsi"/>
          <w:spacing w:val="-1"/>
        </w:rPr>
        <w:footnoteReference w:id="8"/>
      </w:r>
      <w:r w:rsidR="00FA1D45">
        <w:rPr>
          <w:rFonts w:cstheme="minorHAnsi"/>
          <w:b/>
          <w:spacing w:val="-1"/>
        </w:rPr>
        <w:t xml:space="preserve"> </w:t>
      </w:r>
      <w:r w:rsidR="00953661">
        <w:rPr>
          <w:rFonts w:cstheme="minorHAnsi"/>
          <w:spacing w:val="-1"/>
        </w:rPr>
        <w:t>and</w:t>
      </w:r>
      <w:r w:rsidR="00B36239" w:rsidRPr="003F4822">
        <w:rPr>
          <w:rFonts w:cstheme="minorHAnsi"/>
          <w:spacing w:val="-1"/>
        </w:rPr>
        <w:t xml:space="preserve"> the Company’s</w:t>
      </w:r>
      <w:r w:rsidR="00C9243A">
        <w:t xml:space="preserve"> testimony highlights the importance of prompt repair to consumers.</w:t>
      </w:r>
      <w:r w:rsidR="00B36239">
        <w:rPr>
          <w:rStyle w:val="FootnoteReference"/>
        </w:rPr>
        <w:footnoteReference w:id="9"/>
      </w:r>
      <w:r w:rsidR="00D92366">
        <w:t xml:space="preserve"> </w:t>
      </w:r>
      <w:r w:rsidR="001A344F">
        <w:t xml:space="preserve">Despite this sentiment, PSE </w:t>
      </w:r>
      <w:r w:rsidR="00B70E38" w:rsidRPr="00B36239">
        <w:rPr>
          <w:rFonts w:cstheme="minorHAnsi"/>
          <w:spacing w:val="-1"/>
        </w:rPr>
        <w:t xml:space="preserve">does not </w:t>
      </w:r>
      <w:r w:rsidR="00B70E38" w:rsidRPr="00B70E38">
        <w:rPr>
          <w:rFonts w:cstheme="minorHAnsi"/>
          <w:spacing w:val="-1"/>
        </w:rPr>
        <w:t>guarantee</w:t>
      </w:r>
      <w:r w:rsidR="00B70E38" w:rsidRPr="00B36239">
        <w:rPr>
          <w:rFonts w:cstheme="minorHAnsi"/>
          <w:spacing w:val="-1"/>
        </w:rPr>
        <w:t xml:space="preserve"> a</w:t>
      </w:r>
      <w:r w:rsidR="001A344F">
        <w:rPr>
          <w:rFonts w:cstheme="minorHAnsi"/>
          <w:spacing w:val="-1"/>
        </w:rPr>
        <w:t xml:space="preserve"> repair</w:t>
      </w:r>
      <w:r w:rsidR="00B70E38" w:rsidRPr="00B36239">
        <w:rPr>
          <w:rFonts w:cstheme="minorHAnsi"/>
          <w:spacing w:val="-1"/>
        </w:rPr>
        <w:t xml:space="preserve"> time that is </w:t>
      </w:r>
      <w:r w:rsidR="00B70E38" w:rsidRPr="00B70E38">
        <w:rPr>
          <w:rFonts w:cstheme="minorHAnsi"/>
          <w:spacing w:val="-1"/>
        </w:rPr>
        <w:t>convenient</w:t>
      </w:r>
      <w:r w:rsidR="00B70E38" w:rsidRPr="00B36239">
        <w:rPr>
          <w:rFonts w:cstheme="minorHAnsi"/>
          <w:spacing w:val="-1"/>
        </w:rPr>
        <w:t xml:space="preserve"> for the customer</w:t>
      </w:r>
      <w:r w:rsidR="0070432B">
        <w:rPr>
          <w:rFonts w:cstheme="minorHAnsi"/>
          <w:spacing w:val="-1"/>
        </w:rPr>
        <w:t xml:space="preserve"> nor define what is “commercially reasonable</w:t>
      </w:r>
      <w:r w:rsidR="00B70E38" w:rsidRPr="00B36239">
        <w:rPr>
          <w:rFonts w:cstheme="minorHAnsi"/>
          <w:spacing w:val="-1"/>
        </w:rPr>
        <w:t>.</w:t>
      </w:r>
      <w:r w:rsidR="0070432B">
        <w:rPr>
          <w:rFonts w:cstheme="minorHAnsi"/>
          <w:spacing w:val="-1"/>
        </w:rPr>
        <w:t>”</w:t>
      </w:r>
      <w:r w:rsidR="00A238BF">
        <w:rPr>
          <w:rFonts w:cstheme="minorHAnsi"/>
          <w:spacing w:val="-1"/>
        </w:rPr>
        <w:t xml:space="preserve"> </w:t>
      </w:r>
      <w:r w:rsidR="001A344F">
        <w:rPr>
          <w:rFonts w:cstheme="minorHAnsi"/>
          <w:spacing w:val="-1"/>
        </w:rPr>
        <w:t>In fact, i</w:t>
      </w:r>
      <w:r w:rsidR="00A238BF">
        <w:rPr>
          <w:rFonts w:cstheme="minorHAnsi"/>
          <w:spacing w:val="-1"/>
        </w:rPr>
        <w:t>t d</w:t>
      </w:r>
      <w:r w:rsidR="00A56BB1">
        <w:rPr>
          <w:rFonts w:cstheme="minorHAnsi"/>
          <w:spacing w:val="-1"/>
        </w:rPr>
        <w:t>oes not even provide for a time</w:t>
      </w:r>
      <w:r w:rsidR="00A238BF">
        <w:rPr>
          <w:rFonts w:cstheme="minorHAnsi"/>
          <w:spacing w:val="-1"/>
        </w:rPr>
        <w:t>frame in which the customer can expect repair.</w:t>
      </w:r>
      <w:r w:rsidR="00B70E38" w:rsidRPr="003F4822">
        <w:rPr>
          <w:rFonts w:cstheme="minorHAnsi"/>
          <w:spacing w:val="-1"/>
        </w:rPr>
        <w:t xml:space="preserve"> It is more </w:t>
      </w:r>
      <w:r w:rsidR="00B70E38" w:rsidRPr="003F4822">
        <w:rPr>
          <w:rFonts w:cstheme="minorHAnsi"/>
          <w:spacing w:val="-1"/>
        </w:rPr>
        <w:lastRenderedPageBreak/>
        <w:t xml:space="preserve">likely </w:t>
      </w:r>
      <w:r w:rsidR="001A344F">
        <w:rPr>
          <w:rFonts w:cstheme="minorHAnsi"/>
          <w:spacing w:val="-1"/>
        </w:rPr>
        <w:t xml:space="preserve">that the </w:t>
      </w:r>
      <w:r w:rsidR="00B70E38" w:rsidRPr="00A56BB1">
        <w:rPr>
          <w:rFonts w:cstheme="minorHAnsi"/>
          <w:spacing w:val="-1"/>
        </w:rPr>
        <w:t xml:space="preserve">time </w:t>
      </w:r>
      <w:r w:rsidR="001A344F">
        <w:rPr>
          <w:rFonts w:cstheme="minorHAnsi"/>
          <w:spacing w:val="-1"/>
        </w:rPr>
        <w:t xml:space="preserve">selected will be </w:t>
      </w:r>
      <w:r w:rsidR="00B70E38" w:rsidRPr="00B70E38">
        <w:rPr>
          <w:rFonts w:cstheme="minorHAnsi"/>
          <w:spacing w:val="-1"/>
        </w:rPr>
        <w:t>convenient</w:t>
      </w:r>
      <w:r w:rsidR="00B70E38" w:rsidRPr="003F4822">
        <w:rPr>
          <w:rFonts w:cstheme="minorHAnsi"/>
          <w:spacing w:val="-1"/>
        </w:rPr>
        <w:t xml:space="preserve"> for the </w:t>
      </w:r>
      <w:r w:rsidR="0070432B">
        <w:rPr>
          <w:rFonts w:cstheme="minorHAnsi"/>
          <w:spacing w:val="-1"/>
        </w:rPr>
        <w:t>C</w:t>
      </w:r>
      <w:r w:rsidR="00B70E38" w:rsidRPr="003F4822">
        <w:rPr>
          <w:rFonts w:cstheme="minorHAnsi"/>
          <w:spacing w:val="-1"/>
        </w:rPr>
        <w:t>ompany and its service partners</w:t>
      </w:r>
      <w:r w:rsidR="00B70E38" w:rsidRPr="00A56BB1">
        <w:rPr>
          <w:rFonts w:cstheme="minorHAnsi"/>
          <w:spacing w:val="-1"/>
        </w:rPr>
        <w:t xml:space="preserve">. </w:t>
      </w:r>
      <w:r w:rsidR="00B70E38" w:rsidDel="00B70E38">
        <w:t xml:space="preserve"> </w:t>
      </w:r>
    </w:p>
    <w:p w14:paraId="5D1AB2C7" w14:textId="60B0DF8B" w:rsidR="000463B1" w:rsidRDefault="008736DF" w:rsidP="003F4822">
      <w:pPr>
        <w:pStyle w:val="ListParagraph"/>
        <w:numPr>
          <w:ilvl w:val="0"/>
          <w:numId w:val="21"/>
        </w:numPr>
        <w:spacing w:line="480" w:lineRule="auto"/>
        <w:ind w:left="1080"/>
      </w:pPr>
      <w:r w:rsidRPr="003F4822">
        <w:rPr>
          <w:b/>
        </w:rPr>
        <w:t>Customer Recourse</w:t>
      </w:r>
      <w:r>
        <w:t xml:space="preserve"> </w:t>
      </w:r>
      <w:r>
        <w:rPr>
          <w:b/>
        </w:rPr>
        <w:t>–</w:t>
      </w:r>
      <w:r>
        <w:t xml:space="preserve"> In the case of equipment failure, after 48 hours of inoperable service, PSE will provide customers a bill credit worth 1/30</w:t>
      </w:r>
      <w:r>
        <w:rPr>
          <w:vertAlign w:val="superscript"/>
        </w:rPr>
        <w:t>th</w:t>
      </w:r>
      <w:r>
        <w:t xml:space="preserve"> of the monthly lease payment per day.</w:t>
      </w:r>
      <w:r w:rsidR="00EF5CF5">
        <w:rPr>
          <w:rStyle w:val="FootnoteReference"/>
        </w:rPr>
        <w:footnoteReference w:id="10"/>
      </w:r>
      <w:r>
        <w:t xml:space="preserve"> </w:t>
      </w:r>
      <w:r w:rsidR="0070432B">
        <w:t>For a standard vent natural gas water heater, t</w:t>
      </w:r>
      <w:r>
        <w:t xml:space="preserve">his equals </w:t>
      </w:r>
      <w:r w:rsidR="0070432B">
        <w:t>to approximately</w:t>
      </w:r>
      <w:r>
        <w:t xml:space="preserve"> </w:t>
      </w:r>
      <w:r w:rsidRPr="0070432B">
        <w:t xml:space="preserve">$0.60 </w:t>
      </w:r>
      <w:r>
        <w:t xml:space="preserve">per day, or just under </w:t>
      </w:r>
      <w:r w:rsidRPr="0070432B">
        <w:t xml:space="preserve">$2 </w:t>
      </w:r>
      <w:r>
        <w:t xml:space="preserve">per day for a </w:t>
      </w:r>
      <w:r w:rsidR="0070432B">
        <w:t xml:space="preserve">two stage </w:t>
      </w:r>
      <w:r>
        <w:t>natural gas furnace.</w:t>
      </w:r>
      <w:r w:rsidR="00EF5CF5" w:rsidRPr="0070432B">
        <w:rPr>
          <w:rStyle w:val="FootnoteReference"/>
        </w:rPr>
        <w:footnoteReference w:id="11"/>
      </w:r>
      <w:r w:rsidRPr="008A33C8">
        <w:rPr>
          <w:color w:val="00B0F0"/>
        </w:rPr>
        <w:t xml:space="preserve"> </w:t>
      </w:r>
      <w:r>
        <w:t xml:space="preserve">Staff finds the offered remediation to be completely insufficient.   </w:t>
      </w:r>
    </w:p>
    <w:p w14:paraId="64495E39" w14:textId="5AA1BAA8" w:rsidR="000463B1" w:rsidRDefault="0003566C" w:rsidP="00863DE8">
      <w:pPr>
        <w:pStyle w:val="ListParagraph"/>
        <w:numPr>
          <w:ilvl w:val="0"/>
          <w:numId w:val="21"/>
        </w:numPr>
        <w:spacing w:line="480" w:lineRule="auto"/>
        <w:ind w:left="1080"/>
      </w:pPr>
      <w:r>
        <w:rPr>
          <w:b/>
        </w:rPr>
        <w:t xml:space="preserve">Method of </w:t>
      </w:r>
      <w:r w:rsidR="0070432B">
        <w:rPr>
          <w:b/>
        </w:rPr>
        <w:t>T</w:t>
      </w:r>
      <w:r>
        <w:rPr>
          <w:b/>
        </w:rPr>
        <w:t>ermination -</w:t>
      </w:r>
      <w:r w:rsidR="00E67CB8">
        <w:t xml:space="preserve"> PSE’s tariff</w:t>
      </w:r>
      <w:r w:rsidR="000463B1">
        <w:t xml:space="preserve"> states “the Customer may terminate this Agreement upon delivery of written notice to PSE without further liability</w:t>
      </w:r>
      <w:r w:rsidR="00E67CB8">
        <w:t>.</w:t>
      </w:r>
      <w:r w:rsidR="000463B1">
        <w:t>”</w:t>
      </w:r>
      <w:r w:rsidR="00835D92">
        <w:rPr>
          <w:rStyle w:val="FootnoteReference"/>
        </w:rPr>
        <w:footnoteReference w:id="12"/>
      </w:r>
      <w:r w:rsidR="00E67CB8">
        <w:t xml:space="preserve"> </w:t>
      </w:r>
      <w:r w:rsidR="000463B1">
        <w:t xml:space="preserve">It is </w:t>
      </w:r>
      <w:r>
        <w:t>S</w:t>
      </w:r>
      <w:r w:rsidR="000463B1">
        <w:t>taff’s opinion that this clause is overly burdensome to the customer</w:t>
      </w:r>
      <w:r w:rsidR="00E67CB8">
        <w:t xml:space="preserve">. A </w:t>
      </w:r>
      <w:r w:rsidR="000463B1">
        <w:t>very small minority of consumers currently choose to write and send written correspondence to utility providers.</w:t>
      </w:r>
      <w:r w:rsidR="00E67CB8">
        <w:t xml:space="preserve"> Therefore, other means of communication </w:t>
      </w:r>
      <w:r w:rsidR="00A238BF">
        <w:t xml:space="preserve">must </w:t>
      </w:r>
      <w:r w:rsidR="00E67CB8">
        <w:t>be allowed to terminate the agreement.</w:t>
      </w:r>
      <w:r w:rsidR="00835D92">
        <w:t xml:space="preserve"> It is unclear to </w:t>
      </w:r>
      <w:r w:rsidR="00A50842">
        <w:t>S</w:t>
      </w:r>
      <w:r w:rsidR="00835D92">
        <w:t xml:space="preserve">taff why the </w:t>
      </w:r>
      <w:r w:rsidR="00A50842">
        <w:t>C</w:t>
      </w:r>
      <w:r w:rsidR="00835D92">
        <w:t>ompany would impose this restriction especially considering PSE representatives already keep records of each phone call and the efficiency and record keeping ability of electronic communications.</w:t>
      </w:r>
    </w:p>
    <w:p w14:paraId="54AF7273" w14:textId="0E1006B5" w:rsidR="000463B1" w:rsidRDefault="001D6BCA" w:rsidP="004F2FF9">
      <w:pPr>
        <w:pStyle w:val="ListParagraph"/>
        <w:numPr>
          <w:ilvl w:val="0"/>
          <w:numId w:val="21"/>
        </w:numPr>
        <w:spacing w:after="160" w:line="480" w:lineRule="auto"/>
        <w:ind w:left="1080"/>
      </w:pPr>
      <w:r w:rsidRPr="004F2FF9">
        <w:rPr>
          <w:b/>
        </w:rPr>
        <w:lastRenderedPageBreak/>
        <w:t>Payments</w:t>
      </w:r>
      <w:r>
        <w:t xml:space="preserve"> </w:t>
      </w:r>
      <w:r w:rsidRPr="00135FFA">
        <w:t>-</w:t>
      </w:r>
      <w:r>
        <w:t xml:space="preserve"> </w:t>
      </w:r>
      <w:r w:rsidR="00835D92" w:rsidRPr="001D6BCA">
        <w:t>PSE</w:t>
      </w:r>
      <w:r w:rsidR="00835D92">
        <w:t xml:space="preserve"> states that it will consider the customer in default if the “Consumer fails to pay the monthly lease payment for the Equipment within thirty (30) days after such charges become due and payable</w:t>
      </w:r>
      <w:r w:rsidR="00AF2819">
        <w:t>.</w:t>
      </w:r>
      <w:r w:rsidR="00835D92">
        <w:t>”</w:t>
      </w:r>
      <w:r w:rsidR="00835D92">
        <w:rPr>
          <w:rStyle w:val="FootnoteReference"/>
        </w:rPr>
        <w:footnoteReference w:id="13"/>
      </w:r>
      <w:r w:rsidR="00835D92">
        <w:t xml:space="preserve"> This language is not consistent with language provided in WAC 480-100-178(2) which measures minimum time before payment is due beginning the day after the statement mailing date. The wording of the rule is important because it holds a billing utility responsible for sending a statement to the consumer. It also keeps the utility accountable for mailing the statement in a timely manner. The language in the proposed le</w:t>
      </w:r>
      <w:r w:rsidR="00A50842">
        <w:t>asing tariff does not hold the C</w:t>
      </w:r>
      <w:r w:rsidR="00835D92">
        <w:t>ompany to the same accountability.</w:t>
      </w:r>
    </w:p>
    <w:p w14:paraId="69C68742" w14:textId="55B22A4C" w:rsidR="000463B1" w:rsidRDefault="00AC447D" w:rsidP="00863DE8">
      <w:pPr>
        <w:pStyle w:val="ListParagraph"/>
        <w:numPr>
          <w:ilvl w:val="0"/>
          <w:numId w:val="21"/>
        </w:numPr>
        <w:spacing w:line="480" w:lineRule="auto"/>
        <w:ind w:left="1080"/>
      </w:pPr>
      <w:r w:rsidRPr="004F2FF9">
        <w:rPr>
          <w:b/>
        </w:rPr>
        <w:t>Default</w:t>
      </w:r>
      <w:r>
        <w:t xml:space="preserve"> </w:t>
      </w:r>
      <w:r>
        <w:rPr>
          <w:b/>
        </w:rPr>
        <w:t xml:space="preserve">– </w:t>
      </w:r>
      <w:r>
        <w:t>Tariff sheet 75-T and U discuss remedies in the case of a customer default. PSE does not place restrictions on what it can do in the case of a customer default. This is illustrated by the statement</w:t>
      </w:r>
      <w:r w:rsidR="004F2FF9">
        <w:t xml:space="preserve"> that it will reserve itself all remedies:</w:t>
      </w:r>
      <w:r>
        <w:t xml:space="preserve"> “PSE will be entitled, at its option, and in addition to and without prejudice to any other remedies</w:t>
      </w:r>
      <w:r w:rsidR="00AF2819">
        <w:t>.</w:t>
      </w:r>
      <w:r>
        <w:t>”</w:t>
      </w:r>
      <w:r>
        <w:rPr>
          <w:rStyle w:val="FootnoteReference"/>
        </w:rPr>
        <w:footnoteReference w:id="14"/>
      </w:r>
      <w:r w:rsidR="000463B1">
        <w:t xml:space="preserve"> </w:t>
      </w:r>
      <w:r>
        <w:t xml:space="preserve">The </w:t>
      </w:r>
      <w:r w:rsidR="00A50842">
        <w:t>C</w:t>
      </w:r>
      <w:r>
        <w:t>ompany holds the option to accelerate the lease payments.</w:t>
      </w:r>
      <w:r>
        <w:rPr>
          <w:rStyle w:val="FootnoteReference"/>
        </w:rPr>
        <w:footnoteReference w:id="15"/>
      </w:r>
      <w:r>
        <w:t xml:space="preserve"> But it does not define or limit what is meant by accelerated payments. This could be anything from making payments due one month early to making the entirety of the remaining payments due and payable.</w:t>
      </w:r>
    </w:p>
    <w:p w14:paraId="5C6409D2" w14:textId="10300F61" w:rsidR="000463B1" w:rsidRDefault="008736DF" w:rsidP="00863DE8">
      <w:pPr>
        <w:pStyle w:val="ListParagraph"/>
        <w:numPr>
          <w:ilvl w:val="0"/>
          <w:numId w:val="21"/>
        </w:numPr>
        <w:spacing w:line="480" w:lineRule="auto"/>
        <w:ind w:left="1080"/>
      </w:pPr>
      <w:r>
        <w:rPr>
          <w:b/>
        </w:rPr>
        <w:t xml:space="preserve">Service Partners </w:t>
      </w:r>
      <w:r w:rsidR="00A41C77">
        <w:rPr>
          <w:b/>
        </w:rPr>
        <w:t xml:space="preserve">- </w:t>
      </w:r>
      <w:r>
        <w:t>PSE’s proposal relies heavily on</w:t>
      </w:r>
      <w:r w:rsidR="00AF2819">
        <w:t xml:space="preserve"> third-party providers that it refers to as </w:t>
      </w:r>
      <w:r>
        <w:t xml:space="preserve">service partners. </w:t>
      </w:r>
      <w:r w:rsidR="00AF2819">
        <w:t xml:space="preserve">However, </w:t>
      </w:r>
      <w:r>
        <w:t xml:space="preserve">PSE fails to provide a framework for customer/service partner dispute resolution. There is no mention given </w:t>
      </w:r>
      <w:r w:rsidR="006478DD">
        <w:t xml:space="preserve">to customer choice in which service partner enters the </w:t>
      </w:r>
      <w:r w:rsidR="00D92366">
        <w:t>customer’s</w:t>
      </w:r>
      <w:r w:rsidR="006478DD">
        <w:t xml:space="preserve"> home. </w:t>
      </w:r>
      <w:r w:rsidR="00A41C77">
        <w:t>T</w:t>
      </w:r>
      <w:r>
        <w:t xml:space="preserve">his </w:t>
      </w:r>
      <w:r>
        <w:lastRenderedPageBreak/>
        <w:t xml:space="preserve">method is very troublesome from a consumer protection perspective. </w:t>
      </w:r>
      <w:r w:rsidR="006478DD">
        <w:t>If this program were to go into effect</w:t>
      </w:r>
      <w:r w:rsidR="00AF2819">
        <w:t xml:space="preserve"> as proposed, </w:t>
      </w:r>
      <w:r w:rsidR="006478DD">
        <w:t xml:space="preserve">the Commission would have no regulatory authority over PSE’s service partners. </w:t>
      </w:r>
      <w:r w:rsidR="00AF2819">
        <w:t>While t</w:t>
      </w:r>
      <w:r w:rsidR="006478DD">
        <w:t>he Commission would have regulatory authority over the rates charged by PSE</w:t>
      </w:r>
      <w:r w:rsidR="00AF2819">
        <w:t xml:space="preserve">, it may not have any </w:t>
      </w:r>
      <w:r w:rsidR="006478DD">
        <w:t>say over the rates charged or actions taken by PSE service partners.</w:t>
      </w:r>
    </w:p>
    <w:p w14:paraId="24E86462" w14:textId="77777777" w:rsidR="004D6E88" w:rsidRDefault="004D6E88" w:rsidP="00A434A7">
      <w:pPr>
        <w:spacing w:line="480" w:lineRule="auto"/>
        <w:rPr>
          <w:b/>
        </w:rPr>
      </w:pPr>
    </w:p>
    <w:p w14:paraId="2B92F2A2" w14:textId="77777777" w:rsidR="00A434A7" w:rsidRDefault="00A434A7" w:rsidP="00A434A7">
      <w:pPr>
        <w:spacing w:line="480" w:lineRule="auto"/>
        <w:rPr>
          <w:b/>
        </w:rPr>
      </w:pPr>
      <w:r>
        <w:rPr>
          <w:b/>
        </w:rPr>
        <w:t>Q.</w:t>
      </w:r>
      <w:r>
        <w:rPr>
          <w:b/>
        </w:rPr>
        <w:tab/>
      </w:r>
      <w:r w:rsidR="00B354F3">
        <w:rPr>
          <w:b/>
        </w:rPr>
        <w:t>Will customers face significant upfront costs under the proposed program?</w:t>
      </w:r>
    </w:p>
    <w:p w14:paraId="0C5D68DC" w14:textId="39D51DEA" w:rsidR="00D770DB" w:rsidRDefault="00B354F3" w:rsidP="008A33C8">
      <w:pPr>
        <w:spacing w:line="480" w:lineRule="auto"/>
        <w:ind w:left="720" w:hanging="720"/>
      </w:pPr>
      <w:r>
        <w:t>A.</w:t>
      </w:r>
      <w:r>
        <w:tab/>
      </w:r>
      <w:r w:rsidR="0070432B">
        <w:t>Possibly</w:t>
      </w:r>
      <w:r w:rsidR="006D7D6F">
        <w:t xml:space="preserve">. </w:t>
      </w:r>
      <w:r w:rsidR="00604B29">
        <w:t>A large number of customers may face significant</w:t>
      </w:r>
      <w:r w:rsidR="006D7D6F">
        <w:t xml:space="preserve"> </w:t>
      </w:r>
      <w:r w:rsidR="00A737B6">
        <w:t xml:space="preserve">upfront costs because any non-standard installation costs </w:t>
      </w:r>
      <w:r w:rsidR="004659B4">
        <w:t>must</w:t>
      </w:r>
      <w:r w:rsidR="00A737B6">
        <w:t xml:space="preserve"> be borne by the customer. </w:t>
      </w:r>
      <w:r w:rsidR="004659B4">
        <w:t>PSE’s tariff does include a rate for non-standard installation. Therefore, it appears that s</w:t>
      </w:r>
      <w:r w:rsidR="00A737B6">
        <w:t xml:space="preserve">uch costs </w:t>
      </w:r>
      <w:r w:rsidR="00A50842">
        <w:t>would</w:t>
      </w:r>
      <w:r w:rsidR="00A737B6">
        <w:t xml:space="preserve"> be determined</w:t>
      </w:r>
      <w:r w:rsidR="004659B4">
        <w:t xml:space="preserve"> </w:t>
      </w:r>
      <w:r w:rsidR="00A737B6">
        <w:t xml:space="preserve">by PSE’s contractors and separately charged to the customer. </w:t>
      </w:r>
      <w:r w:rsidR="0070432B">
        <w:t xml:space="preserve">It will be exceedingly difficult for Consumer Protection Staff to monitor whether these </w:t>
      </w:r>
      <w:r w:rsidR="00A50842">
        <w:t>non-tariffed costs are fair and just or consistently applied.</w:t>
      </w:r>
    </w:p>
    <w:p w14:paraId="768C68D4" w14:textId="77777777" w:rsidR="00971954" w:rsidRDefault="00971954" w:rsidP="000463B1">
      <w:pPr>
        <w:spacing w:line="480" w:lineRule="auto"/>
      </w:pPr>
    </w:p>
    <w:p w14:paraId="039E93F7" w14:textId="77777777" w:rsidR="00D66709" w:rsidRDefault="003B2C0A" w:rsidP="00971954">
      <w:pPr>
        <w:pStyle w:val="Heading2"/>
      </w:pPr>
      <w:bookmarkStart w:id="19" w:name="_Toc450717204"/>
      <w:r>
        <w:t>Q.</w:t>
      </w:r>
      <w:r>
        <w:tab/>
      </w:r>
      <w:r w:rsidR="00D66709">
        <w:t>Do you have any final comments on PSE’s optional lease program?</w:t>
      </w:r>
    </w:p>
    <w:p w14:paraId="759F2373" w14:textId="077BF90F" w:rsidR="00D66709" w:rsidRPr="00D66709" w:rsidRDefault="00D66709" w:rsidP="00971954">
      <w:pPr>
        <w:pStyle w:val="Heading2"/>
        <w:rPr>
          <w:b w:val="0"/>
        </w:rPr>
      </w:pPr>
      <w:r w:rsidRPr="00863DE8">
        <w:rPr>
          <w:b w:val="0"/>
        </w:rPr>
        <w:t xml:space="preserve">A. </w:t>
      </w:r>
      <w:r>
        <w:tab/>
      </w:r>
      <w:r>
        <w:rPr>
          <w:b w:val="0"/>
        </w:rPr>
        <w:t xml:space="preserve">Yes. </w:t>
      </w:r>
      <w:r w:rsidR="005151EE">
        <w:rPr>
          <w:b w:val="0"/>
        </w:rPr>
        <w:t xml:space="preserve">My testimony attempts to point out </w:t>
      </w:r>
      <w:r w:rsidR="0037027D">
        <w:rPr>
          <w:b w:val="0"/>
        </w:rPr>
        <w:t>very serious</w:t>
      </w:r>
      <w:r w:rsidR="005151EE">
        <w:rPr>
          <w:b w:val="0"/>
        </w:rPr>
        <w:t xml:space="preserve"> consumer protection issues raised by PSE’s </w:t>
      </w:r>
      <w:r w:rsidR="0037027D">
        <w:rPr>
          <w:b w:val="0"/>
        </w:rPr>
        <w:t xml:space="preserve">leasing </w:t>
      </w:r>
      <w:r w:rsidR="005151EE">
        <w:rPr>
          <w:b w:val="0"/>
        </w:rPr>
        <w:t xml:space="preserve">program. </w:t>
      </w:r>
      <w:r w:rsidR="00135FFA">
        <w:rPr>
          <w:b w:val="0"/>
        </w:rPr>
        <w:t>This program should not go forward.</w:t>
      </w:r>
    </w:p>
    <w:p w14:paraId="02D37EB1" w14:textId="77777777" w:rsidR="004D6E88" w:rsidRDefault="004D6E88" w:rsidP="00971954">
      <w:pPr>
        <w:pStyle w:val="Heading2"/>
      </w:pPr>
    </w:p>
    <w:p w14:paraId="751FDFDF" w14:textId="77777777" w:rsidR="003B2C0A" w:rsidRDefault="00D66709" w:rsidP="00971954">
      <w:pPr>
        <w:pStyle w:val="Heading2"/>
      </w:pPr>
      <w:r>
        <w:t xml:space="preserve">Q. </w:t>
      </w:r>
      <w:r>
        <w:tab/>
      </w:r>
      <w:r w:rsidR="003B2C0A">
        <w:t>Does this conclude your testimony?</w:t>
      </w:r>
      <w:bookmarkEnd w:id="19"/>
      <w:r w:rsidR="003B2C0A">
        <w:t xml:space="preserve">  </w:t>
      </w:r>
    </w:p>
    <w:p w14:paraId="62DC59D5" w14:textId="77777777" w:rsidR="003B2C0A" w:rsidRDefault="003B2C0A" w:rsidP="00971954">
      <w:pPr>
        <w:spacing w:line="480" w:lineRule="auto"/>
        <w:ind w:left="720" w:hanging="720"/>
      </w:pPr>
      <w:r>
        <w:t>A.</w:t>
      </w:r>
      <w:r>
        <w:tab/>
        <w:t xml:space="preserve">Yes. </w:t>
      </w:r>
    </w:p>
    <w:p w14:paraId="03C72551" w14:textId="2685875B" w:rsidR="008A33C8" w:rsidRDefault="008A33C8" w:rsidP="00971954">
      <w:pPr>
        <w:spacing w:line="480" w:lineRule="auto"/>
        <w:ind w:left="720" w:hanging="720"/>
      </w:pPr>
    </w:p>
    <w:p w14:paraId="33217B57" w14:textId="77777777" w:rsidR="008A33C8" w:rsidRPr="00B814E2" w:rsidRDefault="008A33C8" w:rsidP="00971954">
      <w:pPr>
        <w:spacing w:line="480" w:lineRule="auto"/>
        <w:ind w:left="720" w:hanging="720"/>
      </w:pPr>
    </w:p>
    <w:sectPr w:rsidR="008A33C8"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8CCE6" w14:textId="77777777" w:rsidR="00526796" w:rsidRDefault="00526796" w:rsidP="0015026F">
      <w:r>
        <w:separator/>
      </w:r>
    </w:p>
  </w:endnote>
  <w:endnote w:type="continuationSeparator" w:id="0">
    <w:p w14:paraId="7693EDE1" w14:textId="77777777" w:rsidR="00526796" w:rsidRDefault="00526796" w:rsidP="0015026F">
      <w:r>
        <w:continuationSeparator/>
      </w:r>
    </w:p>
  </w:endnote>
  <w:endnote w:type="continuationNotice" w:id="1">
    <w:p w14:paraId="0D3801E3" w14:textId="77777777" w:rsidR="00526796" w:rsidRDefault="0052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DB5A0" w14:textId="77777777" w:rsidR="00526796" w:rsidRPr="0015026F" w:rsidRDefault="00526796" w:rsidP="0015026F">
    <w:pPr>
      <w:pStyle w:val="Footer"/>
      <w:tabs>
        <w:tab w:val="clear" w:pos="9360"/>
        <w:tab w:val="right" w:pos="8910"/>
      </w:tabs>
      <w:rPr>
        <w:sz w:val="20"/>
        <w:szCs w:val="20"/>
      </w:rPr>
    </w:pPr>
  </w:p>
  <w:p w14:paraId="2DCD799E" w14:textId="77777777" w:rsidR="00526796" w:rsidRPr="0015026F" w:rsidRDefault="00526796" w:rsidP="0015026F">
    <w:pPr>
      <w:pStyle w:val="Footer"/>
      <w:tabs>
        <w:tab w:val="clear" w:pos="9360"/>
        <w:tab w:val="right" w:pos="8910"/>
      </w:tabs>
      <w:rPr>
        <w:sz w:val="20"/>
        <w:szCs w:val="20"/>
      </w:rPr>
    </w:pPr>
    <w:r>
      <w:rPr>
        <w:sz w:val="20"/>
        <w:szCs w:val="20"/>
      </w:rPr>
      <w:t>TESTIMONY OF ANDREW ROBERTS</w:t>
    </w:r>
    <w:r w:rsidRPr="0015026F">
      <w:rPr>
        <w:sz w:val="20"/>
        <w:szCs w:val="20"/>
      </w:rPr>
      <w:tab/>
    </w:r>
    <w:r w:rsidRPr="0015026F">
      <w:rPr>
        <w:sz w:val="20"/>
        <w:szCs w:val="20"/>
      </w:rPr>
      <w:tab/>
      <w:t xml:space="preserve">Exhibit No. </w:t>
    </w:r>
    <w:r>
      <w:rPr>
        <w:sz w:val="20"/>
        <w:szCs w:val="20"/>
      </w:rPr>
      <w:t>AR</w:t>
    </w:r>
    <w:r w:rsidRPr="0015026F">
      <w:rPr>
        <w:sz w:val="20"/>
        <w:szCs w:val="20"/>
      </w:rPr>
      <w:t>-</w:t>
    </w:r>
    <w:r>
      <w:rPr>
        <w:sz w:val="20"/>
        <w:szCs w:val="20"/>
      </w:rPr>
      <w:t>1</w:t>
    </w:r>
    <w:r w:rsidRPr="0015026F">
      <w:rPr>
        <w:sz w:val="20"/>
        <w:szCs w:val="20"/>
      </w:rPr>
      <w:t>T</w:t>
    </w:r>
  </w:p>
  <w:p w14:paraId="3EBF689B" w14:textId="77777777" w:rsidR="00526796" w:rsidRPr="0015026F" w:rsidRDefault="00526796" w:rsidP="0015026F">
    <w:pPr>
      <w:pStyle w:val="Footer"/>
      <w:tabs>
        <w:tab w:val="clear" w:pos="9360"/>
        <w:tab w:val="right" w:pos="8910"/>
      </w:tabs>
      <w:rPr>
        <w:sz w:val="20"/>
        <w:szCs w:val="20"/>
      </w:rPr>
    </w:pPr>
    <w:r w:rsidRPr="0015026F">
      <w:rPr>
        <w:sz w:val="20"/>
        <w:szCs w:val="20"/>
      </w:rPr>
      <w:t>Docket</w:t>
    </w:r>
    <w:r>
      <w:rPr>
        <w:sz w:val="20"/>
        <w:szCs w:val="20"/>
      </w:rPr>
      <w:t>s UE-151871/UG-151872</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466BA">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C269" w14:textId="77777777" w:rsidR="00526796" w:rsidRPr="0015026F" w:rsidRDefault="00526796" w:rsidP="00027E50">
    <w:pPr>
      <w:pStyle w:val="Footer"/>
      <w:tabs>
        <w:tab w:val="clear" w:pos="4680"/>
        <w:tab w:val="clear" w:pos="9360"/>
        <w:tab w:val="left" w:pos="2265"/>
      </w:tabs>
      <w:rPr>
        <w:sz w:val="20"/>
        <w:szCs w:val="20"/>
      </w:rPr>
    </w:pPr>
  </w:p>
  <w:p w14:paraId="0B273BAC" w14:textId="77777777" w:rsidR="00526796" w:rsidRPr="0015026F" w:rsidRDefault="00526796" w:rsidP="00027E50">
    <w:pPr>
      <w:pStyle w:val="Footer"/>
      <w:tabs>
        <w:tab w:val="clear" w:pos="9360"/>
        <w:tab w:val="right" w:pos="8910"/>
      </w:tabs>
      <w:rPr>
        <w:sz w:val="20"/>
        <w:szCs w:val="20"/>
      </w:rPr>
    </w:pPr>
    <w:r w:rsidRPr="0015026F">
      <w:rPr>
        <w:sz w:val="20"/>
        <w:szCs w:val="20"/>
      </w:rPr>
      <w:t>TESTIMONY OF</w:t>
    </w:r>
    <w:r>
      <w:rPr>
        <w:sz w:val="20"/>
        <w:szCs w:val="20"/>
      </w:rPr>
      <w:t xml:space="preserve"> ANDREW ROBERTS</w:t>
    </w:r>
    <w:r w:rsidRPr="0015026F">
      <w:rPr>
        <w:sz w:val="20"/>
        <w:szCs w:val="20"/>
      </w:rPr>
      <w:tab/>
    </w:r>
    <w:r w:rsidRPr="0015026F">
      <w:rPr>
        <w:sz w:val="20"/>
        <w:szCs w:val="20"/>
      </w:rPr>
      <w:tab/>
      <w:t xml:space="preserve">Exhibit No. </w:t>
    </w:r>
    <w:r>
      <w:rPr>
        <w:sz w:val="20"/>
        <w:szCs w:val="20"/>
      </w:rPr>
      <w:t>AR</w:t>
    </w:r>
    <w:r w:rsidRPr="0015026F">
      <w:rPr>
        <w:sz w:val="20"/>
        <w:szCs w:val="20"/>
      </w:rPr>
      <w:t>-</w:t>
    </w:r>
    <w:r>
      <w:rPr>
        <w:sz w:val="20"/>
        <w:szCs w:val="20"/>
      </w:rPr>
      <w:t>1</w:t>
    </w:r>
    <w:r w:rsidRPr="0015026F">
      <w:rPr>
        <w:sz w:val="20"/>
        <w:szCs w:val="20"/>
      </w:rPr>
      <w:t>T</w:t>
    </w:r>
  </w:p>
  <w:p w14:paraId="7B28DCF8" w14:textId="77777777" w:rsidR="00526796" w:rsidRPr="0015026F" w:rsidRDefault="00526796" w:rsidP="00027E50">
    <w:pPr>
      <w:pStyle w:val="Footer"/>
      <w:tabs>
        <w:tab w:val="clear" w:pos="9360"/>
        <w:tab w:val="right" w:pos="8910"/>
      </w:tabs>
      <w:rPr>
        <w:sz w:val="20"/>
        <w:szCs w:val="20"/>
      </w:rPr>
    </w:pPr>
    <w:r w:rsidRPr="0015026F">
      <w:rPr>
        <w:sz w:val="20"/>
        <w:szCs w:val="20"/>
      </w:rPr>
      <w:t>Docket</w:t>
    </w:r>
    <w:r>
      <w:rPr>
        <w:sz w:val="20"/>
        <w:szCs w:val="20"/>
      </w:rPr>
      <w:t>s UE-151871/UG-151872</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466BA">
      <w:rPr>
        <w:noProof/>
        <w:sz w:val="20"/>
        <w:szCs w:val="20"/>
      </w:rPr>
      <w:t>7</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42EFA" w14:textId="77777777" w:rsidR="00526796" w:rsidRDefault="00526796" w:rsidP="0015026F">
      <w:r>
        <w:separator/>
      </w:r>
    </w:p>
  </w:footnote>
  <w:footnote w:type="continuationSeparator" w:id="0">
    <w:p w14:paraId="0F6C924B" w14:textId="77777777" w:rsidR="00526796" w:rsidRDefault="00526796" w:rsidP="0015026F">
      <w:r>
        <w:continuationSeparator/>
      </w:r>
    </w:p>
  </w:footnote>
  <w:footnote w:type="continuationNotice" w:id="1">
    <w:p w14:paraId="347D461E" w14:textId="77777777" w:rsidR="00526796" w:rsidRDefault="00526796"/>
  </w:footnote>
  <w:footnote w:id="2">
    <w:p w14:paraId="2F0F97B4" w14:textId="74696984" w:rsidR="00526796" w:rsidRDefault="00526796">
      <w:pPr>
        <w:pStyle w:val="FootnoteText"/>
      </w:pPr>
      <w:r>
        <w:rPr>
          <w:rStyle w:val="FootnoteReference"/>
        </w:rPr>
        <w:footnoteRef/>
      </w:r>
      <w:r>
        <w:t xml:space="preserve"> Englert, Exh. No. EEE-1T (revised) at 10.</w:t>
      </w:r>
    </w:p>
  </w:footnote>
  <w:footnote w:id="3">
    <w:p w14:paraId="043BB26E" w14:textId="0CAB6A74" w:rsidR="00526796" w:rsidRDefault="00526796">
      <w:pPr>
        <w:pStyle w:val="FootnoteText"/>
      </w:pPr>
      <w:r>
        <w:rPr>
          <w:rStyle w:val="FootnoteReference"/>
        </w:rPr>
        <w:footnoteRef/>
      </w:r>
      <w:r>
        <w:t xml:space="preserve"> </w:t>
      </w:r>
      <w:r w:rsidR="00A50842">
        <w:t xml:space="preserve">[Proposed] Schedule 75, </w:t>
      </w:r>
      <w:r>
        <w:t xml:space="preserve">Tariff </w:t>
      </w:r>
      <w:r w:rsidRPr="004F5E5A">
        <w:t>Sheet</w:t>
      </w:r>
      <w:r>
        <w:t xml:space="preserve"> 75-G, Paragraph 4(b)</w:t>
      </w:r>
      <w:r w:rsidR="00A50842">
        <w:t>.</w:t>
      </w:r>
    </w:p>
  </w:footnote>
  <w:footnote w:id="4">
    <w:p w14:paraId="0138D7DE" w14:textId="05C0A8FE" w:rsidR="00526796" w:rsidRDefault="00526796">
      <w:pPr>
        <w:pStyle w:val="FootnoteText"/>
      </w:pPr>
      <w:r>
        <w:rPr>
          <w:rStyle w:val="FootnoteReference"/>
        </w:rPr>
        <w:footnoteRef/>
      </w:r>
      <w:r>
        <w:t xml:space="preserve"> </w:t>
      </w:r>
      <w:r w:rsidR="00A50842" w:rsidRPr="00A50842">
        <w:rPr>
          <w:i/>
        </w:rPr>
        <w:t>Id</w:t>
      </w:r>
      <w:r w:rsidR="00A50842">
        <w:t xml:space="preserve">. at </w:t>
      </w:r>
      <w:r w:rsidRPr="00A50842">
        <w:t>Tariff</w:t>
      </w:r>
      <w:r>
        <w:t xml:space="preserve"> </w:t>
      </w:r>
      <w:r w:rsidRPr="00B4386E">
        <w:t>Sheet</w:t>
      </w:r>
      <w:r>
        <w:t xml:space="preserve"> 75-S, Paragraph 10(a)</w:t>
      </w:r>
      <w:r w:rsidR="00A50842">
        <w:t>.</w:t>
      </w:r>
    </w:p>
  </w:footnote>
  <w:footnote w:id="5">
    <w:p w14:paraId="7CBE1212" w14:textId="59B833E4" w:rsidR="00526796" w:rsidRDefault="00526796">
      <w:pPr>
        <w:pStyle w:val="FootnoteText"/>
      </w:pPr>
      <w:r>
        <w:rPr>
          <w:rStyle w:val="FootnoteReference"/>
        </w:rPr>
        <w:footnoteRef/>
      </w:r>
      <w:r>
        <w:t xml:space="preserve"> </w:t>
      </w:r>
      <w:r w:rsidR="00A50842" w:rsidRPr="00A50842">
        <w:rPr>
          <w:i/>
        </w:rPr>
        <w:t>Id</w:t>
      </w:r>
      <w:r w:rsidR="00A50842" w:rsidRPr="00A50842">
        <w:t xml:space="preserve">. at </w:t>
      </w:r>
      <w:r>
        <w:t>Tariff Sheet 75-S, Paragraph 10(b)</w:t>
      </w:r>
      <w:r w:rsidR="00A50842">
        <w:t>.</w:t>
      </w:r>
    </w:p>
  </w:footnote>
  <w:footnote w:id="6">
    <w:p w14:paraId="22C8461C" w14:textId="6DD034F6" w:rsidR="00526796" w:rsidRDefault="00526796">
      <w:pPr>
        <w:pStyle w:val="FootnoteText"/>
      </w:pPr>
      <w:r>
        <w:rPr>
          <w:rStyle w:val="FootnoteReference"/>
        </w:rPr>
        <w:footnoteRef/>
      </w:r>
      <w:r>
        <w:t xml:space="preserve"> </w:t>
      </w:r>
      <w:r w:rsidR="00A50842" w:rsidRPr="00A50842">
        <w:rPr>
          <w:i/>
        </w:rPr>
        <w:t>Id</w:t>
      </w:r>
      <w:r w:rsidR="00A50842" w:rsidRPr="00A50842">
        <w:t xml:space="preserve">. at </w:t>
      </w:r>
      <w:r w:rsidRPr="004F5E5A">
        <w:t xml:space="preserve">Tariff 75, Sheet 75-F, </w:t>
      </w:r>
      <w:r>
        <w:t>Pa</w:t>
      </w:r>
      <w:r w:rsidRPr="004F5E5A">
        <w:t>ragraph 3</w:t>
      </w:r>
      <w:r w:rsidR="00A50842">
        <w:t>.</w:t>
      </w:r>
    </w:p>
  </w:footnote>
  <w:footnote w:id="7">
    <w:p w14:paraId="5EC3B7D1" w14:textId="21A27A53" w:rsidR="00526796" w:rsidRDefault="00526796" w:rsidP="00821A51">
      <w:pPr>
        <w:pStyle w:val="FootnoteText"/>
      </w:pPr>
      <w:r w:rsidRPr="00B26140">
        <w:rPr>
          <w:rStyle w:val="FootnoteReference"/>
        </w:rPr>
        <w:footnoteRef/>
      </w:r>
      <w:r>
        <w:t xml:space="preserve"> </w:t>
      </w:r>
      <w:r w:rsidR="00A50842" w:rsidRPr="00A50842">
        <w:rPr>
          <w:i/>
        </w:rPr>
        <w:t>Id</w:t>
      </w:r>
      <w:r w:rsidR="00A50842" w:rsidRPr="00A50842">
        <w:t xml:space="preserve">. at </w:t>
      </w:r>
      <w:r>
        <w:t>Tariff Sheet 75-H, Paragraph 4(c).</w:t>
      </w:r>
    </w:p>
  </w:footnote>
  <w:footnote w:id="8">
    <w:p w14:paraId="156FC02B" w14:textId="7B022FD1" w:rsidR="00526796" w:rsidRDefault="00526796">
      <w:pPr>
        <w:pStyle w:val="FootnoteText"/>
      </w:pPr>
      <w:r>
        <w:rPr>
          <w:rStyle w:val="FootnoteReference"/>
        </w:rPr>
        <w:footnoteRef/>
      </w:r>
      <w:r>
        <w:t xml:space="preserve"> </w:t>
      </w:r>
      <w:r w:rsidR="00A50842" w:rsidRPr="00A50842">
        <w:rPr>
          <w:i/>
        </w:rPr>
        <w:t>Id</w:t>
      </w:r>
      <w:r w:rsidR="00A50842" w:rsidRPr="00A50842">
        <w:t xml:space="preserve">. at </w:t>
      </w:r>
      <w:r>
        <w:t>Tariff Sheet 75-O Paragraph 7(c).</w:t>
      </w:r>
    </w:p>
  </w:footnote>
  <w:footnote w:id="9">
    <w:p w14:paraId="7B2BF308" w14:textId="1DC0B736" w:rsidR="00526796" w:rsidRDefault="00526796">
      <w:pPr>
        <w:pStyle w:val="FootnoteText"/>
      </w:pPr>
      <w:r>
        <w:rPr>
          <w:rStyle w:val="FootnoteReference"/>
        </w:rPr>
        <w:footnoteRef/>
      </w:r>
      <w:r>
        <w:t xml:space="preserve"> </w:t>
      </w:r>
      <w:r w:rsidRPr="003D1B25">
        <w:t xml:space="preserve">McCulloch, </w:t>
      </w:r>
      <w:r>
        <w:t>Exh.</w:t>
      </w:r>
      <w:r w:rsidRPr="003D1B25">
        <w:t xml:space="preserve"> No. MBM-1T </w:t>
      </w:r>
      <w:r>
        <w:t>at</w:t>
      </w:r>
      <w:r w:rsidRPr="003D1B25">
        <w:t xml:space="preserve"> </w:t>
      </w:r>
      <w:r>
        <w:t xml:space="preserve">7.  </w:t>
      </w:r>
    </w:p>
  </w:footnote>
  <w:footnote w:id="10">
    <w:p w14:paraId="203466B9" w14:textId="6C07296D" w:rsidR="00526796" w:rsidRDefault="00526796">
      <w:pPr>
        <w:pStyle w:val="FootnoteText"/>
      </w:pPr>
      <w:r>
        <w:rPr>
          <w:rStyle w:val="FootnoteReference"/>
        </w:rPr>
        <w:footnoteRef/>
      </w:r>
      <w:r>
        <w:t xml:space="preserve"> </w:t>
      </w:r>
      <w:r w:rsidR="0070432B">
        <w:t>[Proposed] Schedule 75, Sheet 75-P (</w:t>
      </w:r>
      <w:r>
        <w:t>“If Equipment is inoperable, and PSE is unable to provide the required service on or the replacement of such Equipment within the first forty-eight (48) hours after the Customer’s notification to PSE, the Customer will receive a credit equal to 1/30</w:t>
      </w:r>
      <w:r>
        <w:rPr>
          <w:vertAlign w:val="superscript"/>
        </w:rPr>
        <w:t>th</w:t>
      </w:r>
      <w:r>
        <w:t xml:space="preserve"> of the monthly lease payment for each twenty-four (24) hour period or portion thereof after the initial 48 hour period that the Equipment remains inoperable.”</w:t>
      </w:r>
      <w:r w:rsidR="0070432B">
        <w:t>).</w:t>
      </w:r>
    </w:p>
  </w:footnote>
  <w:footnote w:id="11">
    <w:p w14:paraId="45C9392E" w14:textId="1B8ECE7B" w:rsidR="00526796" w:rsidRDefault="00526796">
      <w:pPr>
        <w:pStyle w:val="FootnoteText"/>
      </w:pPr>
      <w:r>
        <w:rPr>
          <w:rStyle w:val="FootnoteReference"/>
        </w:rPr>
        <w:footnoteRef/>
      </w:r>
      <w:r>
        <w:t xml:space="preserve"> </w:t>
      </w:r>
      <w:r w:rsidR="0070432B" w:rsidRPr="0070432B">
        <w:t>See [Proposed] Schedule 75, Sheets 75</w:t>
      </w:r>
      <w:r w:rsidR="0070432B">
        <w:t>-</w:t>
      </w:r>
      <w:r w:rsidR="0070432B" w:rsidRPr="0070432B">
        <w:t>A &amp; 75</w:t>
      </w:r>
      <w:r w:rsidR="0070432B">
        <w:t>-</w:t>
      </w:r>
      <w:r w:rsidR="0070432B" w:rsidRPr="0070432B">
        <w:t>B (</w:t>
      </w:r>
      <w:r w:rsidRPr="0070432B">
        <w:t>Standard Vent .62 efficiency natural gas water heater costs $17.95 per month. 17.95/30 = $0.598 per day; 80 percent efficient natural gas furnace costs $58.19 per month. 58.19/30 = $1.973 per day</w:t>
      </w:r>
      <w:r w:rsidR="0070432B" w:rsidRPr="0070432B">
        <w:t>)</w:t>
      </w:r>
      <w:r w:rsidRPr="0070432B">
        <w:t>.</w:t>
      </w:r>
    </w:p>
  </w:footnote>
  <w:footnote w:id="12">
    <w:p w14:paraId="6E1182CD" w14:textId="4DB92A79" w:rsidR="00526796" w:rsidRDefault="00526796">
      <w:pPr>
        <w:pStyle w:val="FootnoteText"/>
      </w:pPr>
      <w:r>
        <w:rPr>
          <w:rStyle w:val="FootnoteReference"/>
        </w:rPr>
        <w:footnoteRef/>
      </w:r>
      <w:r>
        <w:t xml:space="preserve"> Tariff </w:t>
      </w:r>
      <w:r w:rsidRPr="0003566C">
        <w:t>Sheet</w:t>
      </w:r>
      <w:r>
        <w:t xml:space="preserve"> 75-Q, Paragraph 8(a).</w:t>
      </w:r>
    </w:p>
  </w:footnote>
  <w:footnote w:id="13">
    <w:p w14:paraId="30D3E1E4" w14:textId="63F7F93B" w:rsidR="00526796" w:rsidRDefault="00526796" w:rsidP="00835D92">
      <w:pPr>
        <w:pStyle w:val="FootnoteText"/>
      </w:pPr>
      <w:r>
        <w:rPr>
          <w:rStyle w:val="FootnoteReference"/>
        </w:rPr>
        <w:footnoteRef/>
      </w:r>
      <w:r>
        <w:t xml:space="preserve"> </w:t>
      </w:r>
      <w:r w:rsidR="00A50842" w:rsidRPr="00A50842">
        <w:rPr>
          <w:i/>
        </w:rPr>
        <w:t>Id</w:t>
      </w:r>
      <w:r w:rsidR="00A50842" w:rsidRPr="00A50842">
        <w:t xml:space="preserve">. at </w:t>
      </w:r>
      <w:r>
        <w:t>Tariff Sheet 75-T(11)(a).</w:t>
      </w:r>
    </w:p>
  </w:footnote>
  <w:footnote w:id="14">
    <w:p w14:paraId="4B8DC590" w14:textId="12112A05" w:rsidR="00526796" w:rsidRDefault="00526796">
      <w:pPr>
        <w:pStyle w:val="FootnoteText"/>
      </w:pPr>
      <w:r>
        <w:rPr>
          <w:rStyle w:val="FootnoteReference"/>
        </w:rPr>
        <w:footnoteRef/>
      </w:r>
      <w:r>
        <w:t xml:space="preserve"> </w:t>
      </w:r>
      <w:r w:rsidR="00A50842" w:rsidRPr="00A50842">
        <w:rPr>
          <w:i/>
        </w:rPr>
        <w:t>Id</w:t>
      </w:r>
      <w:r w:rsidR="00A50842" w:rsidRPr="00A50842">
        <w:t xml:space="preserve">. at </w:t>
      </w:r>
      <w:r>
        <w:t>Tariff Sheet 75-T(11)(b).</w:t>
      </w:r>
    </w:p>
  </w:footnote>
  <w:footnote w:id="15">
    <w:p w14:paraId="18E10812" w14:textId="1759FF19" w:rsidR="00526796" w:rsidRDefault="00526796">
      <w:pPr>
        <w:pStyle w:val="FootnoteText"/>
      </w:pPr>
      <w:r>
        <w:rPr>
          <w:rStyle w:val="FootnoteReference"/>
        </w:rPr>
        <w:footnoteRef/>
      </w:r>
      <w:r>
        <w:t xml:space="preserve"> </w:t>
      </w:r>
      <w:r w:rsidR="00A50842" w:rsidRPr="00A50842">
        <w:rPr>
          <w:i/>
        </w:rPr>
        <w:t>Id</w:t>
      </w:r>
      <w:r w:rsidR="00A50842" w:rsidRPr="00A50842">
        <w:t xml:space="preserve">. at </w:t>
      </w:r>
      <w:r>
        <w:t>Tariff Sheet 75-T(11)(b)(ii).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E74"/>
    <w:multiLevelType w:val="hybridMultilevel"/>
    <w:tmpl w:val="0010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6D5F"/>
    <w:multiLevelType w:val="hybridMultilevel"/>
    <w:tmpl w:val="922ACB34"/>
    <w:lvl w:ilvl="0" w:tplc="2C7AB692">
      <w:start w:val="17"/>
      <w:numFmt w:val="bullet"/>
      <w:lvlText w:val=""/>
      <w:lvlJc w:val="left"/>
      <w:pPr>
        <w:ind w:left="720" w:hanging="360"/>
      </w:pPr>
      <w:rPr>
        <w:rFonts w:ascii="Wingdings" w:eastAsiaTheme="minorHAnsi"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7AC4"/>
    <w:multiLevelType w:val="hybridMultilevel"/>
    <w:tmpl w:val="8794D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3CBA"/>
    <w:multiLevelType w:val="hybridMultilevel"/>
    <w:tmpl w:val="AD20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6A0F"/>
    <w:multiLevelType w:val="hybridMultilevel"/>
    <w:tmpl w:val="06C89146"/>
    <w:lvl w:ilvl="0" w:tplc="821C0C7A">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E6DD5"/>
    <w:multiLevelType w:val="hybridMultilevel"/>
    <w:tmpl w:val="8682B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57E"/>
    <w:multiLevelType w:val="hybridMultilevel"/>
    <w:tmpl w:val="EFF05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95BC2"/>
    <w:multiLevelType w:val="hybridMultilevel"/>
    <w:tmpl w:val="1C98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31C82"/>
    <w:multiLevelType w:val="hybridMultilevel"/>
    <w:tmpl w:val="536A9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6467A"/>
    <w:multiLevelType w:val="hybridMultilevel"/>
    <w:tmpl w:val="351E1DDE"/>
    <w:lvl w:ilvl="0" w:tplc="93127CE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A552D"/>
    <w:multiLevelType w:val="hybridMultilevel"/>
    <w:tmpl w:val="1A5E0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B3350"/>
    <w:multiLevelType w:val="hybridMultilevel"/>
    <w:tmpl w:val="34EA6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97BD5"/>
    <w:multiLevelType w:val="hybridMultilevel"/>
    <w:tmpl w:val="8DE2B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91E"/>
    <w:multiLevelType w:val="hybridMultilevel"/>
    <w:tmpl w:val="EC1C86C0"/>
    <w:lvl w:ilvl="0" w:tplc="1144D63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F71F2"/>
    <w:multiLevelType w:val="hybridMultilevel"/>
    <w:tmpl w:val="571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D2202"/>
    <w:multiLevelType w:val="hybridMultilevel"/>
    <w:tmpl w:val="B6B0F0A2"/>
    <w:lvl w:ilvl="0" w:tplc="2FA8A46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53EC3"/>
    <w:multiLevelType w:val="hybridMultilevel"/>
    <w:tmpl w:val="8F86A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4E15"/>
    <w:multiLevelType w:val="hybridMultilevel"/>
    <w:tmpl w:val="FE7ED7A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5C9457B"/>
    <w:multiLevelType w:val="hybridMultilevel"/>
    <w:tmpl w:val="66925540"/>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15:restartNumberingAfterBreak="0">
    <w:nsid w:val="5A483F88"/>
    <w:multiLevelType w:val="hybridMultilevel"/>
    <w:tmpl w:val="5E7E6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9542C"/>
    <w:multiLevelType w:val="hybridMultilevel"/>
    <w:tmpl w:val="9D58C952"/>
    <w:lvl w:ilvl="0" w:tplc="4A749946">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904263"/>
    <w:multiLevelType w:val="hybridMultilevel"/>
    <w:tmpl w:val="59489E2A"/>
    <w:lvl w:ilvl="0" w:tplc="46EAE32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21271"/>
    <w:multiLevelType w:val="hybridMultilevel"/>
    <w:tmpl w:val="76620BBC"/>
    <w:lvl w:ilvl="0" w:tplc="A4BAF9F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86A3B"/>
    <w:multiLevelType w:val="hybridMultilevel"/>
    <w:tmpl w:val="86FE4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74A37"/>
    <w:multiLevelType w:val="hybridMultilevel"/>
    <w:tmpl w:val="62CA7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27FD"/>
    <w:multiLevelType w:val="hybridMultilevel"/>
    <w:tmpl w:val="A6C42FD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4772CC"/>
    <w:multiLevelType w:val="hybridMultilevel"/>
    <w:tmpl w:val="A8EE375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879F7"/>
    <w:multiLevelType w:val="hybridMultilevel"/>
    <w:tmpl w:val="8BF6D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B4096"/>
    <w:multiLevelType w:val="hybridMultilevel"/>
    <w:tmpl w:val="CD1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42FEE"/>
    <w:multiLevelType w:val="hybridMultilevel"/>
    <w:tmpl w:val="F94E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B6E92"/>
    <w:multiLevelType w:val="hybridMultilevel"/>
    <w:tmpl w:val="8250B4E2"/>
    <w:lvl w:ilvl="0" w:tplc="C1EE629E">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139A2"/>
    <w:multiLevelType w:val="hybridMultilevel"/>
    <w:tmpl w:val="B7A0EC7A"/>
    <w:lvl w:ilvl="0" w:tplc="9BE4F58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4"/>
  </w:num>
  <w:num w:numId="4">
    <w:abstractNumId w:val="2"/>
  </w:num>
  <w:num w:numId="5">
    <w:abstractNumId w:val="11"/>
  </w:num>
  <w:num w:numId="6">
    <w:abstractNumId w:val="30"/>
  </w:num>
  <w:num w:numId="7">
    <w:abstractNumId w:val="14"/>
  </w:num>
  <w:num w:numId="8">
    <w:abstractNumId w:val="1"/>
  </w:num>
  <w:num w:numId="9">
    <w:abstractNumId w:val="5"/>
  </w:num>
  <w:num w:numId="10">
    <w:abstractNumId w:val="29"/>
  </w:num>
  <w:num w:numId="11">
    <w:abstractNumId w:val="20"/>
  </w:num>
  <w:num w:numId="12">
    <w:abstractNumId w:val="7"/>
  </w:num>
  <w:num w:numId="13">
    <w:abstractNumId w:val="13"/>
  </w:num>
  <w:num w:numId="14">
    <w:abstractNumId w:val="17"/>
  </w:num>
  <w:num w:numId="15">
    <w:abstractNumId w:val="27"/>
  </w:num>
  <w:num w:numId="16">
    <w:abstractNumId w:val="6"/>
  </w:num>
  <w:num w:numId="17">
    <w:abstractNumId w:val="28"/>
  </w:num>
  <w:num w:numId="18">
    <w:abstractNumId w:val="21"/>
  </w:num>
  <w:num w:numId="19">
    <w:abstractNumId w:val="16"/>
  </w:num>
  <w:num w:numId="20">
    <w:abstractNumId w:val="9"/>
  </w:num>
  <w:num w:numId="21">
    <w:abstractNumId w:val="24"/>
  </w:num>
  <w:num w:numId="22">
    <w:abstractNumId w:val="0"/>
  </w:num>
  <w:num w:numId="23">
    <w:abstractNumId w:val="25"/>
  </w:num>
  <w:num w:numId="24">
    <w:abstractNumId w:val="15"/>
  </w:num>
  <w:num w:numId="25">
    <w:abstractNumId w:val="3"/>
  </w:num>
  <w:num w:numId="26">
    <w:abstractNumId w:val="23"/>
  </w:num>
  <w:num w:numId="27">
    <w:abstractNumId w:val="31"/>
  </w:num>
  <w:num w:numId="28">
    <w:abstractNumId w:val="10"/>
  </w:num>
  <w:num w:numId="29">
    <w:abstractNumId w:val="22"/>
  </w:num>
  <w:num w:numId="30">
    <w:abstractNumId w:val="19"/>
  </w:num>
  <w:num w:numId="31">
    <w:abstractNumId w:val="32"/>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2CB2"/>
    <w:rsid w:val="0000480F"/>
    <w:rsid w:val="00012F1E"/>
    <w:rsid w:val="00013F31"/>
    <w:rsid w:val="0002275D"/>
    <w:rsid w:val="00024815"/>
    <w:rsid w:val="00027E50"/>
    <w:rsid w:val="000334F3"/>
    <w:rsid w:val="0003566C"/>
    <w:rsid w:val="000408C3"/>
    <w:rsid w:val="00041349"/>
    <w:rsid w:val="00041401"/>
    <w:rsid w:val="00041E99"/>
    <w:rsid w:val="00042AE5"/>
    <w:rsid w:val="00042DF2"/>
    <w:rsid w:val="000433A8"/>
    <w:rsid w:val="00044A8C"/>
    <w:rsid w:val="000463B1"/>
    <w:rsid w:val="00051F17"/>
    <w:rsid w:val="00052BF5"/>
    <w:rsid w:val="00052F9E"/>
    <w:rsid w:val="00055636"/>
    <w:rsid w:val="00060416"/>
    <w:rsid w:val="00062E8F"/>
    <w:rsid w:val="00063E96"/>
    <w:rsid w:val="0006553A"/>
    <w:rsid w:val="00067784"/>
    <w:rsid w:val="00071B18"/>
    <w:rsid w:val="00073763"/>
    <w:rsid w:val="00081272"/>
    <w:rsid w:val="00084D91"/>
    <w:rsid w:val="0008688E"/>
    <w:rsid w:val="0008725F"/>
    <w:rsid w:val="00095EC4"/>
    <w:rsid w:val="00095F0C"/>
    <w:rsid w:val="000964A9"/>
    <w:rsid w:val="000A4769"/>
    <w:rsid w:val="000A4B9B"/>
    <w:rsid w:val="000B075A"/>
    <w:rsid w:val="000B2263"/>
    <w:rsid w:val="000B5928"/>
    <w:rsid w:val="000C2C2F"/>
    <w:rsid w:val="000D1C87"/>
    <w:rsid w:val="000D3B7F"/>
    <w:rsid w:val="000D5AE3"/>
    <w:rsid w:val="000D6482"/>
    <w:rsid w:val="000D658E"/>
    <w:rsid w:val="000E2400"/>
    <w:rsid w:val="000E772E"/>
    <w:rsid w:val="000F0635"/>
    <w:rsid w:val="000F5089"/>
    <w:rsid w:val="000F761A"/>
    <w:rsid w:val="000F7D3D"/>
    <w:rsid w:val="00101825"/>
    <w:rsid w:val="001023A4"/>
    <w:rsid w:val="00113A9E"/>
    <w:rsid w:val="001144D1"/>
    <w:rsid w:val="001157CA"/>
    <w:rsid w:val="0011717D"/>
    <w:rsid w:val="001179D0"/>
    <w:rsid w:val="00122BBE"/>
    <w:rsid w:val="00123C47"/>
    <w:rsid w:val="00124D0A"/>
    <w:rsid w:val="00130C16"/>
    <w:rsid w:val="00133DEA"/>
    <w:rsid w:val="00135FFA"/>
    <w:rsid w:val="00136222"/>
    <w:rsid w:val="001363F4"/>
    <w:rsid w:val="00145298"/>
    <w:rsid w:val="00145F4F"/>
    <w:rsid w:val="00146C3A"/>
    <w:rsid w:val="0015026F"/>
    <w:rsid w:val="001511F9"/>
    <w:rsid w:val="001517AF"/>
    <w:rsid w:val="00152B4D"/>
    <w:rsid w:val="00155E45"/>
    <w:rsid w:val="00162035"/>
    <w:rsid w:val="00165229"/>
    <w:rsid w:val="00165D60"/>
    <w:rsid w:val="00166C8A"/>
    <w:rsid w:val="0017397B"/>
    <w:rsid w:val="0017666C"/>
    <w:rsid w:val="0018283D"/>
    <w:rsid w:val="0018290E"/>
    <w:rsid w:val="001864E6"/>
    <w:rsid w:val="0019307C"/>
    <w:rsid w:val="001934CF"/>
    <w:rsid w:val="00194D3D"/>
    <w:rsid w:val="001A1216"/>
    <w:rsid w:val="001A293E"/>
    <w:rsid w:val="001A3048"/>
    <w:rsid w:val="001A344F"/>
    <w:rsid w:val="001A3D9D"/>
    <w:rsid w:val="001A54A2"/>
    <w:rsid w:val="001A7536"/>
    <w:rsid w:val="001B0B24"/>
    <w:rsid w:val="001B0F8D"/>
    <w:rsid w:val="001B40AB"/>
    <w:rsid w:val="001B47AE"/>
    <w:rsid w:val="001B6C88"/>
    <w:rsid w:val="001C0696"/>
    <w:rsid w:val="001C6200"/>
    <w:rsid w:val="001C6DBE"/>
    <w:rsid w:val="001C6E4B"/>
    <w:rsid w:val="001D44C6"/>
    <w:rsid w:val="001D6B09"/>
    <w:rsid w:val="001D6BCA"/>
    <w:rsid w:val="001E0540"/>
    <w:rsid w:val="001E0ECE"/>
    <w:rsid w:val="001E3CAD"/>
    <w:rsid w:val="001E78C3"/>
    <w:rsid w:val="001F4DD1"/>
    <w:rsid w:val="001F7248"/>
    <w:rsid w:val="001F7CE2"/>
    <w:rsid w:val="002057A3"/>
    <w:rsid w:val="00206000"/>
    <w:rsid w:val="00214900"/>
    <w:rsid w:val="00215ABC"/>
    <w:rsid w:val="00220FA6"/>
    <w:rsid w:val="002217D1"/>
    <w:rsid w:val="00222A70"/>
    <w:rsid w:val="00222F3B"/>
    <w:rsid w:val="002242BF"/>
    <w:rsid w:val="00226F67"/>
    <w:rsid w:val="00227554"/>
    <w:rsid w:val="00233897"/>
    <w:rsid w:val="00233B7D"/>
    <w:rsid w:val="00240D12"/>
    <w:rsid w:val="0024148E"/>
    <w:rsid w:val="00243575"/>
    <w:rsid w:val="00244EDA"/>
    <w:rsid w:val="00250DB8"/>
    <w:rsid w:val="00262459"/>
    <w:rsid w:val="002639BD"/>
    <w:rsid w:val="0026441F"/>
    <w:rsid w:val="0026638F"/>
    <w:rsid w:val="0026683E"/>
    <w:rsid w:val="00267448"/>
    <w:rsid w:val="0027014F"/>
    <w:rsid w:val="00270727"/>
    <w:rsid w:val="002767B8"/>
    <w:rsid w:val="00277B15"/>
    <w:rsid w:val="00283102"/>
    <w:rsid w:val="0028445E"/>
    <w:rsid w:val="002849FA"/>
    <w:rsid w:val="0029712D"/>
    <w:rsid w:val="002A20FC"/>
    <w:rsid w:val="002B034F"/>
    <w:rsid w:val="002B0A32"/>
    <w:rsid w:val="002B0CCF"/>
    <w:rsid w:val="002B1719"/>
    <w:rsid w:val="002B249B"/>
    <w:rsid w:val="002B2C0B"/>
    <w:rsid w:val="002B6269"/>
    <w:rsid w:val="002B71EA"/>
    <w:rsid w:val="002C1596"/>
    <w:rsid w:val="002C15E9"/>
    <w:rsid w:val="002C48D7"/>
    <w:rsid w:val="002D3E32"/>
    <w:rsid w:val="002D5D72"/>
    <w:rsid w:val="002D68A5"/>
    <w:rsid w:val="002E1646"/>
    <w:rsid w:val="002E18F7"/>
    <w:rsid w:val="002E21B2"/>
    <w:rsid w:val="002E2BEB"/>
    <w:rsid w:val="002E2FBF"/>
    <w:rsid w:val="002E36AA"/>
    <w:rsid w:val="002E41CF"/>
    <w:rsid w:val="002E4C96"/>
    <w:rsid w:val="002F6702"/>
    <w:rsid w:val="00300F54"/>
    <w:rsid w:val="00300F84"/>
    <w:rsid w:val="0030121B"/>
    <w:rsid w:val="00304086"/>
    <w:rsid w:val="003145EB"/>
    <w:rsid w:val="00314BEB"/>
    <w:rsid w:val="00315865"/>
    <w:rsid w:val="003219AF"/>
    <w:rsid w:val="003224D5"/>
    <w:rsid w:val="00323E46"/>
    <w:rsid w:val="00327228"/>
    <w:rsid w:val="00330DB8"/>
    <w:rsid w:val="00331475"/>
    <w:rsid w:val="00332C18"/>
    <w:rsid w:val="00333CB7"/>
    <w:rsid w:val="0033710D"/>
    <w:rsid w:val="00343E92"/>
    <w:rsid w:val="00344589"/>
    <w:rsid w:val="00344E1B"/>
    <w:rsid w:val="003459C7"/>
    <w:rsid w:val="003473FA"/>
    <w:rsid w:val="00352A15"/>
    <w:rsid w:val="00353F52"/>
    <w:rsid w:val="00354544"/>
    <w:rsid w:val="00355793"/>
    <w:rsid w:val="00355A75"/>
    <w:rsid w:val="00357C98"/>
    <w:rsid w:val="003612D1"/>
    <w:rsid w:val="00361341"/>
    <w:rsid w:val="00362335"/>
    <w:rsid w:val="003644CE"/>
    <w:rsid w:val="00364D2B"/>
    <w:rsid w:val="003655DF"/>
    <w:rsid w:val="00366392"/>
    <w:rsid w:val="003665FE"/>
    <w:rsid w:val="00366F4D"/>
    <w:rsid w:val="00367EF2"/>
    <w:rsid w:val="0037027D"/>
    <w:rsid w:val="0037167A"/>
    <w:rsid w:val="00371B7B"/>
    <w:rsid w:val="003852E1"/>
    <w:rsid w:val="0038534C"/>
    <w:rsid w:val="0039199C"/>
    <w:rsid w:val="0039400B"/>
    <w:rsid w:val="00395ED1"/>
    <w:rsid w:val="003A1910"/>
    <w:rsid w:val="003A298E"/>
    <w:rsid w:val="003A4BBC"/>
    <w:rsid w:val="003B01D0"/>
    <w:rsid w:val="003B0A8C"/>
    <w:rsid w:val="003B1188"/>
    <w:rsid w:val="003B1A72"/>
    <w:rsid w:val="003B2C0A"/>
    <w:rsid w:val="003C279C"/>
    <w:rsid w:val="003C2F74"/>
    <w:rsid w:val="003C3D21"/>
    <w:rsid w:val="003C5343"/>
    <w:rsid w:val="003C69C4"/>
    <w:rsid w:val="003C6E31"/>
    <w:rsid w:val="003C6EFA"/>
    <w:rsid w:val="003D177C"/>
    <w:rsid w:val="003D3DFF"/>
    <w:rsid w:val="003E444A"/>
    <w:rsid w:val="003E49BE"/>
    <w:rsid w:val="003F4822"/>
    <w:rsid w:val="00404AB4"/>
    <w:rsid w:val="00405682"/>
    <w:rsid w:val="004064DF"/>
    <w:rsid w:val="004115C6"/>
    <w:rsid w:val="0041269F"/>
    <w:rsid w:val="0041516E"/>
    <w:rsid w:val="00415394"/>
    <w:rsid w:val="00417910"/>
    <w:rsid w:val="00417919"/>
    <w:rsid w:val="0042274D"/>
    <w:rsid w:val="0042389C"/>
    <w:rsid w:val="00425159"/>
    <w:rsid w:val="004263AB"/>
    <w:rsid w:val="00427304"/>
    <w:rsid w:val="004305F7"/>
    <w:rsid w:val="00433469"/>
    <w:rsid w:val="00433B99"/>
    <w:rsid w:val="00433FC8"/>
    <w:rsid w:val="004343BC"/>
    <w:rsid w:val="00435739"/>
    <w:rsid w:val="0043759A"/>
    <w:rsid w:val="00437645"/>
    <w:rsid w:val="00437D2B"/>
    <w:rsid w:val="0044439D"/>
    <w:rsid w:val="00446725"/>
    <w:rsid w:val="0044697A"/>
    <w:rsid w:val="004550D5"/>
    <w:rsid w:val="004566FB"/>
    <w:rsid w:val="004609EC"/>
    <w:rsid w:val="0046251D"/>
    <w:rsid w:val="00464DBD"/>
    <w:rsid w:val="004659B4"/>
    <w:rsid w:val="004668E8"/>
    <w:rsid w:val="00466B4E"/>
    <w:rsid w:val="00467892"/>
    <w:rsid w:val="00481A01"/>
    <w:rsid w:val="0049033A"/>
    <w:rsid w:val="004907FE"/>
    <w:rsid w:val="004910ED"/>
    <w:rsid w:val="0049198D"/>
    <w:rsid w:val="00492A20"/>
    <w:rsid w:val="00493F57"/>
    <w:rsid w:val="00495C25"/>
    <w:rsid w:val="00497D51"/>
    <w:rsid w:val="004A00D1"/>
    <w:rsid w:val="004A24A8"/>
    <w:rsid w:val="004A2776"/>
    <w:rsid w:val="004A58AD"/>
    <w:rsid w:val="004A58C3"/>
    <w:rsid w:val="004A58F9"/>
    <w:rsid w:val="004A7617"/>
    <w:rsid w:val="004B2D52"/>
    <w:rsid w:val="004B34CC"/>
    <w:rsid w:val="004B38C7"/>
    <w:rsid w:val="004B4429"/>
    <w:rsid w:val="004B48A9"/>
    <w:rsid w:val="004B7E92"/>
    <w:rsid w:val="004C215D"/>
    <w:rsid w:val="004C2C5F"/>
    <w:rsid w:val="004C47A9"/>
    <w:rsid w:val="004D008D"/>
    <w:rsid w:val="004D0556"/>
    <w:rsid w:val="004D6C3A"/>
    <w:rsid w:val="004D6CEB"/>
    <w:rsid w:val="004D6E68"/>
    <w:rsid w:val="004D6E88"/>
    <w:rsid w:val="004E0C78"/>
    <w:rsid w:val="004F1DAF"/>
    <w:rsid w:val="004F2FF9"/>
    <w:rsid w:val="004F39A3"/>
    <w:rsid w:val="004F4E5C"/>
    <w:rsid w:val="004F5E5A"/>
    <w:rsid w:val="004F6F6F"/>
    <w:rsid w:val="005010C5"/>
    <w:rsid w:val="00507C6D"/>
    <w:rsid w:val="00513B0E"/>
    <w:rsid w:val="005149FE"/>
    <w:rsid w:val="00514EDA"/>
    <w:rsid w:val="005151EE"/>
    <w:rsid w:val="005171D9"/>
    <w:rsid w:val="005237B4"/>
    <w:rsid w:val="00523917"/>
    <w:rsid w:val="00523D43"/>
    <w:rsid w:val="00525B92"/>
    <w:rsid w:val="00526796"/>
    <w:rsid w:val="00526FD2"/>
    <w:rsid w:val="005272CE"/>
    <w:rsid w:val="0053386E"/>
    <w:rsid w:val="00534F9B"/>
    <w:rsid w:val="00537A31"/>
    <w:rsid w:val="005432C8"/>
    <w:rsid w:val="005466D9"/>
    <w:rsid w:val="00547B3F"/>
    <w:rsid w:val="0055063D"/>
    <w:rsid w:val="005529CF"/>
    <w:rsid w:val="00556735"/>
    <w:rsid w:val="005572B3"/>
    <w:rsid w:val="00557C3C"/>
    <w:rsid w:val="0056167C"/>
    <w:rsid w:val="005642BB"/>
    <w:rsid w:val="00570784"/>
    <w:rsid w:val="0057221E"/>
    <w:rsid w:val="005731B4"/>
    <w:rsid w:val="00585270"/>
    <w:rsid w:val="005852CB"/>
    <w:rsid w:val="00591092"/>
    <w:rsid w:val="00596A87"/>
    <w:rsid w:val="005A0F04"/>
    <w:rsid w:val="005A25DD"/>
    <w:rsid w:val="005A316D"/>
    <w:rsid w:val="005A4104"/>
    <w:rsid w:val="005A469C"/>
    <w:rsid w:val="005A57BA"/>
    <w:rsid w:val="005A57FB"/>
    <w:rsid w:val="005A5A3E"/>
    <w:rsid w:val="005B3A2C"/>
    <w:rsid w:val="005B4ECD"/>
    <w:rsid w:val="005C5EDA"/>
    <w:rsid w:val="005C6B44"/>
    <w:rsid w:val="005C7973"/>
    <w:rsid w:val="005D5DF8"/>
    <w:rsid w:val="005E0D0D"/>
    <w:rsid w:val="005E260D"/>
    <w:rsid w:val="005E34C8"/>
    <w:rsid w:val="005E3ABA"/>
    <w:rsid w:val="005E4B29"/>
    <w:rsid w:val="005E5289"/>
    <w:rsid w:val="005E5AD2"/>
    <w:rsid w:val="005F3295"/>
    <w:rsid w:val="005F40BB"/>
    <w:rsid w:val="005F4BDA"/>
    <w:rsid w:val="005F6418"/>
    <w:rsid w:val="005F675B"/>
    <w:rsid w:val="005F6B35"/>
    <w:rsid w:val="0060435F"/>
    <w:rsid w:val="006047C5"/>
    <w:rsid w:val="00604B29"/>
    <w:rsid w:val="00607B4B"/>
    <w:rsid w:val="00612603"/>
    <w:rsid w:val="006137FC"/>
    <w:rsid w:val="006173B2"/>
    <w:rsid w:val="006256E5"/>
    <w:rsid w:val="0062592D"/>
    <w:rsid w:val="00625EFF"/>
    <w:rsid w:val="00626BBD"/>
    <w:rsid w:val="00630009"/>
    <w:rsid w:val="00630BE4"/>
    <w:rsid w:val="00632611"/>
    <w:rsid w:val="00633416"/>
    <w:rsid w:val="006446F4"/>
    <w:rsid w:val="00644E36"/>
    <w:rsid w:val="00646ACA"/>
    <w:rsid w:val="006478DD"/>
    <w:rsid w:val="00647C07"/>
    <w:rsid w:val="00647C1C"/>
    <w:rsid w:val="0065488E"/>
    <w:rsid w:val="00657620"/>
    <w:rsid w:val="00660176"/>
    <w:rsid w:val="00662E29"/>
    <w:rsid w:val="006643FC"/>
    <w:rsid w:val="00665626"/>
    <w:rsid w:val="00665E50"/>
    <w:rsid w:val="00667605"/>
    <w:rsid w:val="00672290"/>
    <w:rsid w:val="006729EB"/>
    <w:rsid w:val="006735A2"/>
    <w:rsid w:val="00675FA0"/>
    <w:rsid w:val="00677A12"/>
    <w:rsid w:val="00690C28"/>
    <w:rsid w:val="006911D6"/>
    <w:rsid w:val="00692F6E"/>
    <w:rsid w:val="00694CEB"/>
    <w:rsid w:val="00697307"/>
    <w:rsid w:val="006A5F20"/>
    <w:rsid w:val="006B2350"/>
    <w:rsid w:val="006B3293"/>
    <w:rsid w:val="006C09D9"/>
    <w:rsid w:val="006C1FF9"/>
    <w:rsid w:val="006C20A7"/>
    <w:rsid w:val="006D1BFB"/>
    <w:rsid w:val="006D367B"/>
    <w:rsid w:val="006D55DA"/>
    <w:rsid w:val="006D7C8C"/>
    <w:rsid w:val="006D7CF1"/>
    <w:rsid w:val="006D7D6F"/>
    <w:rsid w:val="006E42DE"/>
    <w:rsid w:val="006E67FE"/>
    <w:rsid w:val="006E704F"/>
    <w:rsid w:val="006F0C57"/>
    <w:rsid w:val="006F1518"/>
    <w:rsid w:val="00703A7E"/>
    <w:rsid w:val="0070432B"/>
    <w:rsid w:val="007050ED"/>
    <w:rsid w:val="007051E9"/>
    <w:rsid w:val="0070683F"/>
    <w:rsid w:val="00710D40"/>
    <w:rsid w:val="007128BC"/>
    <w:rsid w:val="00713837"/>
    <w:rsid w:val="00715D18"/>
    <w:rsid w:val="0072207C"/>
    <w:rsid w:val="00723A7D"/>
    <w:rsid w:val="00725AA8"/>
    <w:rsid w:val="00730A74"/>
    <w:rsid w:val="00730CCB"/>
    <w:rsid w:val="00730E90"/>
    <w:rsid w:val="00731B05"/>
    <w:rsid w:val="007325BD"/>
    <w:rsid w:val="00736E18"/>
    <w:rsid w:val="0074055D"/>
    <w:rsid w:val="00740B6A"/>
    <w:rsid w:val="00743053"/>
    <w:rsid w:val="007466BA"/>
    <w:rsid w:val="007511F1"/>
    <w:rsid w:val="00755F4E"/>
    <w:rsid w:val="00757117"/>
    <w:rsid w:val="007578C7"/>
    <w:rsid w:val="00764990"/>
    <w:rsid w:val="00770188"/>
    <w:rsid w:val="00771248"/>
    <w:rsid w:val="00772F84"/>
    <w:rsid w:val="00780EEA"/>
    <w:rsid w:val="0078194D"/>
    <w:rsid w:val="00781E1B"/>
    <w:rsid w:val="00782A16"/>
    <w:rsid w:val="0078515C"/>
    <w:rsid w:val="00785F8D"/>
    <w:rsid w:val="007929EB"/>
    <w:rsid w:val="007951EE"/>
    <w:rsid w:val="00797C22"/>
    <w:rsid w:val="007A02CB"/>
    <w:rsid w:val="007A05BF"/>
    <w:rsid w:val="007A0634"/>
    <w:rsid w:val="007A690B"/>
    <w:rsid w:val="007A7219"/>
    <w:rsid w:val="007A7A36"/>
    <w:rsid w:val="007B08C0"/>
    <w:rsid w:val="007C2618"/>
    <w:rsid w:val="007C4AE8"/>
    <w:rsid w:val="007C563F"/>
    <w:rsid w:val="007C63EB"/>
    <w:rsid w:val="007C6CBB"/>
    <w:rsid w:val="007D392F"/>
    <w:rsid w:val="007D653C"/>
    <w:rsid w:val="007D6CF9"/>
    <w:rsid w:val="007E7567"/>
    <w:rsid w:val="007F1733"/>
    <w:rsid w:val="007F37A1"/>
    <w:rsid w:val="007F3A9A"/>
    <w:rsid w:val="007F59B8"/>
    <w:rsid w:val="007F5CCB"/>
    <w:rsid w:val="007F787C"/>
    <w:rsid w:val="00801163"/>
    <w:rsid w:val="00801315"/>
    <w:rsid w:val="008018B8"/>
    <w:rsid w:val="00802E06"/>
    <w:rsid w:val="00812EE8"/>
    <w:rsid w:val="008138B1"/>
    <w:rsid w:val="0081554F"/>
    <w:rsid w:val="008171C5"/>
    <w:rsid w:val="00821745"/>
    <w:rsid w:val="00821A51"/>
    <w:rsid w:val="00822248"/>
    <w:rsid w:val="00823ACD"/>
    <w:rsid w:val="00824315"/>
    <w:rsid w:val="0082570C"/>
    <w:rsid w:val="00826FE9"/>
    <w:rsid w:val="0082730F"/>
    <w:rsid w:val="00827400"/>
    <w:rsid w:val="00830131"/>
    <w:rsid w:val="00831222"/>
    <w:rsid w:val="00832081"/>
    <w:rsid w:val="00832C24"/>
    <w:rsid w:val="008338CF"/>
    <w:rsid w:val="0083417C"/>
    <w:rsid w:val="008358BB"/>
    <w:rsid w:val="00835D92"/>
    <w:rsid w:val="00837063"/>
    <w:rsid w:val="0085210B"/>
    <w:rsid w:val="0085213D"/>
    <w:rsid w:val="00855089"/>
    <w:rsid w:val="008571F2"/>
    <w:rsid w:val="00863DE8"/>
    <w:rsid w:val="00865D6E"/>
    <w:rsid w:val="0087074D"/>
    <w:rsid w:val="00871376"/>
    <w:rsid w:val="00872ED3"/>
    <w:rsid w:val="008736DF"/>
    <w:rsid w:val="00874146"/>
    <w:rsid w:val="008756DD"/>
    <w:rsid w:val="0087603E"/>
    <w:rsid w:val="0088291A"/>
    <w:rsid w:val="008830F1"/>
    <w:rsid w:val="0088356D"/>
    <w:rsid w:val="008836C9"/>
    <w:rsid w:val="00887570"/>
    <w:rsid w:val="008904E7"/>
    <w:rsid w:val="008914D5"/>
    <w:rsid w:val="00895304"/>
    <w:rsid w:val="00895328"/>
    <w:rsid w:val="00896BE7"/>
    <w:rsid w:val="00896CB1"/>
    <w:rsid w:val="008A0CEA"/>
    <w:rsid w:val="008A1BDF"/>
    <w:rsid w:val="008A28F5"/>
    <w:rsid w:val="008A33C8"/>
    <w:rsid w:val="008A4E90"/>
    <w:rsid w:val="008B186B"/>
    <w:rsid w:val="008B1E89"/>
    <w:rsid w:val="008B28AB"/>
    <w:rsid w:val="008B3654"/>
    <w:rsid w:val="008B41DF"/>
    <w:rsid w:val="008B69B0"/>
    <w:rsid w:val="008C12EC"/>
    <w:rsid w:val="008C3476"/>
    <w:rsid w:val="008C5C84"/>
    <w:rsid w:val="008C68DF"/>
    <w:rsid w:val="008C728D"/>
    <w:rsid w:val="008D0858"/>
    <w:rsid w:val="008D0D9F"/>
    <w:rsid w:val="008D1AC4"/>
    <w:rsid w:val="008D1DB8"/>
    <w:rsid w:val="008D3D08"/>
    <w:rsid w:val="008E47B6"/>
    <w:rsid w:val="008E48CF"/>
    <w:rsid w:val="008F0091"/>
    <w:rsid w:val="008F4B40"/>
    <w:rsid w:val="008F7C39"/>
    <w:rsid w:val="00901F7D"/>
    <w:rsid w:val="00910CA7"/>
    <w:rsid w:val="009163B7"/>
    <w:rsid w:val="00917285"/>
    <w:rsid w:val="009256B7"/>
    <w:rsid w:val="00925991"/>
    <w:rsid w:val="00927387"/>
    <w:rsid w:val="00931E20"/>
    <w:rsid w:val="00933447"/>
    <w:rsid w:val="00933A6C"/>
    <w:rsid w:val="009342B0"/>
    <w:rsid w:val="0094180C"/>
    <w:rsid w:val="00941891"/>
    <w:rsid w:val="00942CC6"/>
    <w:rsid w:val="00943957"/>
    <w:rsid w:val="00947E2E"/>
    <w:rsid w:val="009514A7"/>
    <w:rsid w:val="00953661"/>
    <w:rsid w:val="0095388D"/>
    <w:rsid w:val="00957DB2"/>
    <w:rsid w:val="00965914"/>
    <w:rsid w:val="00971954"/>
    <w:rsid w:val="00972629"/>
    <w:rsid w:val="00972959"/>
    <w:rsid w:val="00974082"/>
    <w:rsid w:val="0097485A"/>
    <w:rsid w:val="00974DE0"/>
    <w:rsid w:val="00976B33"/>
    <w:rsid w:val="00976B63"/>
    <w:rsid w:val="009926E7"/>
    <w:rsid w:val="00992832"/>
    <w:rsid w:val="00995B35"/>
    <w:rsid w:val="0099615B"/>
    <w:rsid w:val="009A3E65"/>
    <w:rsid w:val="009A517E"/>
    <w:rsid w:val="009B1DAC"/>
    <w:rsid w:val="009B21C7"/>
    <w:rsid w:val="009B422D"/>
    <w:rsid w:val="009B59B6"/>
    <w:rsid w:val="009B605B"/>
    <w:rsid w:val="009C06BF"/>
    <w:rsid w:val="009C28A1"/>
    <w:rsid w:val="009C3D5B"/>
    <w:rsid w:val="009C571E"/>
    <w:rsid w:val="009C705B"/>
    <w:rsid w:val="009D5118"/>
    <w:rsid w:val="009D5CCA"/>
    <w:rsid w:val="009D5F9D"/>
    <w:rsid w:val="009D5FD9"/>
    <w:rsid w:val="009D6B52"/>
    <w:rsid w:val="009D6BC2"/>
    <w:rsid w:val="009E1233"/>
    <w:rsid w:val="009E2892"/>
    <w:rsid w:val="009E5257"/>
    <w:rsid w:val="009E75B2"/>
    <w:rsid w:val="009F1D84"/>
    <w:rsid w:val="009F3718"/>
    <w:rsid w:val="009F438D"/>
    <w:rsid w:val="009F49BA"/>
    <w:rsid w:val="009F7AE7"/>
    <w:rsid w:val="00A03A9F"/>
    <w:rsid w:val="00A07647"/>
    <w:rsid w:val="00A16365"/>
    <w:rsid w:val="00A21C99"/>
    <w:rsid w:val="00A222D3"/>
    <w:rsid w:val="00A238BF"/>
    <w:rsid w:val="00A24210"/>
    <w:rsid w:val="00A255C6"/>
    <w:rsid w:val="00A266B7"/>
    <w:rsid w:val="00A26A1F"/>
    <w:rsid w:val="00A26DDC"/>
    <w:rsid w:val="00A26F82"/>
    <w:rsid w:val="00A2741F"/>
    <w:rsid w:val="00A2753B"/>
    <w:rsid w:val="00A276FD"/>
    <w:rsid w:val="00A27F4D"/>
    <w:rsid w:val="00A33B2D"/>
    <w:rsid w:val="00A35223"/>
    <w:rsid w:val="00A4071D"/>
    <w:rsid w:val="00A41C77"/>
    <w:rsid w:val="00A41D1A"/>
    <w:rsid w:val="00A434A7"/>
    <w:rsid w:val="00A43EF5"/>
    <w:rsid w:val="00A44D53"/>
    <w:rsid w:val="00A50842"/>
    <w:rsid w:val="00A50DEF"/>
    <w:rsid w:val="00A50E3D"/>
    <w:rsid w:val="00A52CB4"/>
    <w:rsid w:val="00A548CB"/>
    <w:rsid w:val="00A54A7A"/>
    <w:rsid w:val="00A56BB1"/>
    <w:rsid w:val="00A57AEF"/>
    <w:rsid w:val="00A57D8C"/>
    <w:rsid w:val="00A60AE9"/>
    <w:rsid w:val="00A6252E"/>
    <w:rsid w:val="00A66CAE"/>
    <w:rsid w:val="00A67049"/>
    <w:rsid w:val="00A67391"/>
    <w:rsid w:val="00A737B6"/>
    <w:rsid w:val="00A74F17"/>
    <w:rsid w:val="00A77D06"/>
    <w:rsid w:val="00A81459"/>
    <w:rsid w:val="00A82390"/>
    <w:rsid w:val="00A83180"/>
    <w:rsid w:val="00A86E7E"/>
    <w:rsid w:val="00A91060"/>
    <w:rsid w:val="00A93AE8"/>
    <w:rsid w:val="00A96100"/>
    <w:rsid w:val="00AB0B70"/>
    <w:rsid w:val="00AB106C"/>
    <w:rsid w:val="00AB3156"/>
    <w:rsid w:val="00AB54A4"/>
    <w:rsid w:val="00AB5BBC"/>
    <w:rsid w:val="00AC027F"/>
    <w:rsid w:val="00AC2F7A"/>
    <w:rsid w:val="00AC447D"/>
    <w:rsid w:val="00AD263B"/>
    <w:rsid w:val="00AD2B12"/>
    <w:rsid w:val="00AD4091"/>
    <w:rsid w:val="00AD5CD3"/>
    <w:rsid w:val="00AD630E"/>
    <w:rsid w:val="00AD65D5"/>
    <w:rsid w:val="00AE6BE6"/>
    <w:rsid w:val="00AF0A15"/>
    <w:rsid w:val="00AF0DB1"/>
    <w:rsid w:val="00AF2819"/>
    <w:rsid w:val="00AF6D0D"/>
    <w:rsid w:val="00AF7354"/>
    <w:rsid w:val="00AF76F4"/>
    <w:rsid w:val="00B00023"/>
    <w:rsid w:val="00B005D6"/>
    <w:rsid w:val="00B048AA"/>
    <w:rsid w:val="00B072A1"/>
    <w:rsid w:val="00B12347"/>
    <w:rsid w:val="00B219F3"/>
    <w:rsid w:val="00B22E9C"/>
    <w:rsid w:val="00B26140"/>
    <w:rsid w:val="00B265FD"/>
    <w:rsid w:val="00B267A8"/>
    <w:rsid w:val="00B26C35"/>
    <w:rsid w:val="00B26E47"/>
    <w:rsid w:val="00B271F1"/>
    <w:rsid w:val="00B2769F"/>
    <w:rsid w:val="00B31EED"/>
    <w:rsid w:val="00B33484"/>
    <w:rsid w:val="00B34CA4"/>
    <w:rsid w:val="00B350F0"/>
    <w:rsid w:val="00B354F3"/>
    <w:rsid w:val="00B36239"/>
    <w:rsid w:val="00B369D7"/>
    <w:rsid w:val="00B37FF0"/>
    <w:rsid w:val="00B43275"/>
    <w:rsid w:val="00B437DE"/>
    <w:rsid w:val="00B4386E"/>
    <w:rsid w:val="00B4440C"/>
    <w:rsid w:val="00B44D8B"/>
    <w:rsid w:val="00B44DC0"/>
    <w:rsid w:val="00B464A3"/>
    <w:rsid w:val="00B54B1C"/>
    <w:rsid w:val="00B56344"/>
    <w:rsid w:val="00B61BFC"/>
    <w:rsid w:val="00B668DB"/>
    <w:rsid w:val="00B70E38"/>
    <w:rsid w:val="00B74FF8"/>
    <w:rsid w:val="00B75231"/>
    <w:rsid w:val="00B753B1"/>
    <w:rsid w:val="00B75B8A"/>
    <w:rsid w:val="00B81123"/>
    <w:rsid w:val="00B814E2"/>
    <w:rsid w:val="00B83E57"/>
    <w:rsid w:val="00B8418C"/>
    <w:rsid w:val="00B8543E"/>
    <w:rsid w:val="00B862DC"/>
    <w:rsid w:val="00B877BC"/>
    <w:rsid w:val="00B90C0F"/>
    <w:rsid w:val="00BA1269"/>
    <w:rsid w:val="00BA5E63"/>
    <w:rsid w:val="00BA6C1A"/>
    <w:rsid w:val="00BA7B31"/>
    <w:rsid w:val="00BA7D15"/>
    <w:rsid w:val="00BB0F38"/>
    <w:rsid w:val="00BB2EAB"/>
    <w:rsid w:val="00BB48B0"/>
    <w:rsid w:val="00BC37AD"/>
    <w:rsid w:val="00BC3AB6"/>
    <w:rsid w:val="00BD2421"/>
    <w:rsid w:val="00BD3F5F"/>
    <w:rsid w:val="00BD607A"/>
    <w:rsid w:val="00BE02DF"/>
    <w:rsid w:val="00BE1BDA"/>
    <w:rsid w:val="00BE3405"/>
    <w:rsid w:val="00BF4233"/>
    <w:rsid w:val="00BF4414"/>
    <w:rsid w:val="00C0123E"/>
    <w:rsid w:val="00C01D6E"/>
    <w:rsid w:val="00C029E7"/>
    <w:rsid w:val="00C0665B"/>
    <w:rsid w:val="00C14EFF"/>
    <w:rsid w:val="00C153D7"/>
    <w:rsid w:val="00C1594D"/>
    <w:rsid w:val="00C15C63"/>
    <w:rsid w:val="00C15CA8"/>
    <w:rsid w:val="00C175D1"/>
    <w:rsid w:val="00C205FF"/>
    <w:rsid w:val="00C22E1E"/>
    <w:rsid w:val="00C24FF5"/>
    <w:rsid w:val="00C253AF"/>
    <w:rsid w:val="00C254BD"/>
    <w:rsid w:val="00C318F7"/>
    <w:rsid w:val="00C32946"/>
    <w:rsid w:val="00C3411A"/>
    <w:rsid w:val="00C377DA"/>
    <w:rsid w:val="00C37E16"/>
    <w:rsid w:val="00C46F1C"/>
    <w:rsid w:val="00C47D9E"/>
    <w:rsid w:val="00C53C07"/>
    <w:rsid w:val="00C54804"/>
    <w:rsid w:val="00C5520E"/>
    <w:rsid w:val="00C65D78"/>
    <w:rsid w:val="00C67475"/>
    <w:rsid w:val="00C71541"/>
    <w:rsid w:val="00C73CA2"/>
    <w:rsid w:val="00C864E7"/>
    <w:rsid w:val="00C90F07"/>
    <w:rsid w:val="00C9243A"/>
    <w:rsid w:val="00C941FE"/>
    <w:rsid w:val="00C96616"/>
    <w:rsid w:val="00CA116E"/>
    <w:rsid w:val="00CA3118"/>
    <w:rsid w:val="00CA4CAB"/>
    <w:rsid w:val="00CA5FE8"/>
    <w:rsid w:val="00CB18FA"/>
    <w:rsid w:val="00CB2740"/>
    <w:rsid w:val="00CC28BE"/>
    <w:rsid w:val="00CC331C"/>
    <w:rsid w:val="00CE0DD8"/>
    <w:rsid w:val="00CE0F19"/>
    <w:rsid w:val="00CE1376"/>
    <w:rsid w:val="00CE2FD7"/>
    <w:rsid w:val="00CE4A80"/>
    <w:rsid w:val="00CE6AF1"/>
    <w:rsid w:val="00CE7631"/>
    <w:rsid w:val="00CF2035"/>
    <w:rsid w:val="00CF25E2"/>
    <w:rsid w:val="00CF3EC9"/>
    <w:rsid w:val="00CF566D"/>
    <w:rsid w:val="00CF683A"/>
    <w:rsid w:val="00CF6E3A"/>
    <w:rsid w:val="00D02A65"/>
    <w:rsid w:val="00D03FDD"/>
    <w:rsid w:val="00D05702"/>
    <w:rsid w:val="00D11360"/>
    <w:rsid w:val="00D12270"/>
    <w:rsid w:val="00D128A1"/>
    <w:rsid w:val="00D12ABB"/>
    <w:rsid w:val="00D13E2B"/>
    <w:rsid w:val="00D15CFE"/>
    <w:rsid w:val="00D15F7C"/>
    <w:rsid w:val="00D1687F"/>
    <w:rsid w:val="00D168D9"/>
    <w:rsid w:val="00D22254"/>
    <w:rsid w:val="00D24017"/>
    <w:rsid w:val="00D24E75"/>
    <w:rsid w:val="00D26DA7"/>
    <w:rsid w:val="00D272A6"/>
    <w:rsid w:val="00D304DA"/>
    <w:rsid w:val="00D31ECF"/>
    <w:rsid w:val="00D33204"/>
    <w:rsid w:val="00D405B6"/>
    <w:rsid w:val="00D415C0"/>
    <w:rsid w:val="00D4266B"/>
    <w:rsid w:val="00D44153"/>
    <w:rsid w:val="00D449AA"/>
    <w:rsid w:val="00D4532C"/>
    <w:rsid w:val="00D459EE"/>
    <w:rsid w:val="00D52D34"/>
    <w:rsid w:val="00D534C4"/>
    <w:rsid w:val="00D57320"/>
    <w:rsid w:val="00D6345B"/>
    <w:rsid w:val="00D63E28"/>
    <w:rsid w:val="00D666D8"/>
    <w:rsid w:val="00D66709"/>
    <w:rsid w:val="00D674C3"/>
    <w:rsid w:val="00D71A35"/>
    <w:rsid w:val="00D7481D"/>
    <w:rsid w:val="00D74BB4"/>
    <w:rsid w:val="00D75E3C"/>
    <w:rsid w:val="00D770DB"/>
    <w:rsid w:val="00D859EE"/>
    <w:rsid w:val="00D87E6B"/>
    <w:rsid w:val="00D90052"/>
    <w:rsid w:val="00D92366"/>
    <w:rsid w:val="00D92371"/>
    <w:rsid w:val="00D92AFD"/>
    <w:rsid w:val="00D93A9F"/>
    <w:rsid w:val="00D94012"/>
    <w:rsid w:val="00DA0BAC"/>
    <w:rsid w:val="00DA183D"/>
    <w:rsid w:val="00DA301E"/>
    <w:rsid w:val="00DA4510"/>
    <w:rsid w:val="00DB5841"/>
    <w:rsid w:val="00DB5B4D"/>
    <w:rsid w:val="00DB6DE6"/>
    <w:rsid w:val="00DB793E"/>
    <w:rsid w:val="00DC06DC"/>
    <w:rsid w:val="00DC25B2"/>
    <w:rsid w:val="00DD13A9"/>
    <w:rsid w:val="00DD1B0F"/>
    <w:rsid w:val="00DD2D31"/>
    <w:rsid w:val="00DE2054"/>
    <w:rsid w:val="00DE48C2"/>
    <w:rsid w:val="00DE5C41"/>
    <w:rsid w:val="00DE5C77"/>
    <w:rsid w:val="00DF1991"/>
    <w:rsid w:val="00DF1CD6"/>
    <w:rsid w:val="00DF2BFD"/>
    <w:rsid w:val="00DF3D60"/>
    <w:rsid w:val="00DF3E21"/>
    <w:rsid w:val="00DF4902"/>
    <w:rsid w:val="00DF52D7"/>
    <w:rsid w:val="00E0153A"/>
    <w:rsid w:val="00E03059"/>
    <w:rsid w:val="00E0796A"/>
    <w:rsid w:val="00E10DD7"/>
    <w:rsid w:val="00E13B95"/>
    <w:rsid w:val="00E13C70"/>
    <w:rsid w:val="00E234DA"/>
    <w:rsid w:val="00E25079"/>
    <w:rsid w:val="00E278CE"/>
    <w:rsid w:val="00E27E69"/>
    <w:rsid w:val="00E33025"/>
    <w:rsid w:val="00E33488"/>
    <w:rsid w:val="00E34CA0"/>
    <w:rsid w:val="00E3515F"/>
    <w:rsid w:val="00E353D9"/>
    <w:rsid w:val="00E3707D"/>
    <w:rsid w:val="00E375F3"/>
    <w:rsid w:val="00E41650"/>
    <w:rsid w:val="00E44773"/>
    <w:rsid w:val="00E50BE2"/>
    <w:rsid w:val="00E52D62"/>
    <w:rsid w:val="00E541B7"/>
    <w:rsid w:val="00E55028"/>
    <w:rsid w:val="00E55AFE"/>
    <w:rsid w:val="00E55F05"/>
    <w:rsid w:val="00E61542"/>
    <w:rsid w:val="00E61F89"/>
    <w:rsid w:val="00E639C8"/>
    <w:rsid w:val="00E66744"/>
    <w:rsid w:val="00E67322"/>
    <w:rsid w:val="00E67CB8"/>
    <w:rsid w:val="00E706B0"/>
    <w:rsid w:val="00E727F4"/>
    <w:rsid w:val="00E76A8D"/>
    <w:rsid w:val="00E82F7B"/>
    <w:rsid w:val="00E83C9B"/>
    <w:rsid w:val="00E85079"/>
    <w:rsid w:val="00E858CD"/>
    <w:rsid w:val="00E87D4F"/>
    <w:rsid w:val="00E91FB2"/>
    <w:rsid w:val="00E934B3"/>
    <w:rsid w:val="00E951F0"/>
    <w:rsid w:val="00E959A2"/>
    <w:rsid w:val="00E9639E"/>
    <w:rsid w:val="00EA2544"/>
    <w:rsid w:val="00EA2B80"/>
    <w:rsid w:val="00EA64CF"/>
    <w:rsid w:val="00EA6A09"/>
    <w:rsid w:val="00EB182F"/>
    <w:rsid w:val="00EB3ED4"/>
    <w:rsid w:val="00EB4AC3"/>
    <w:rsid w:val="00EC6DF1"/>
    <w:rsid w:val="00EC7D89"/>
    <w:rsid w:val="00ED061E"/>
    <w:rsid w:val="00ED1E29"/>
    <w:rsid w:val="00EE0D90"/>
    <w:rsid w:val="00EE2390"/>
    <w:rsid w:val="00EE28BE"/>
    <w:rsid w:val="00EE46FC"/>
    <w:rsid w:val="00EF2C09"/>
    <w:rsid w:val="00EF3E65"/>
    <w:rsid w:val="00EF5CF5"/>
    <w:rsid w:val="00F0376C"/>
    <w:rsid w:val="00F041BE"/>
    <w:rsid w:val="00F0786B"/>
    <w:rsid w:val="00F1081E"/>
    <w:rsid w:val="00F14FE9"/>
    <w:rsid w:val="00F1513A"/>
    <w:rsid w:val="00F1570A"/>
    <w:rsid w:val="00F16BF4"/>
    <w:rsid w:val="00F22B08"/>
    <w:rsid w:val="00F25333"/>
    <w:rsid w:val="00F25599"/>
    <w:rsid w:val="00F272A0"/>
    <w:rsid w:val="00F3011B"/>
    <w:rsid w:val="00F3093B"/>
    <w:rsid w:val="00F318DC"/>
    <w:rsid w:val="00F31D3D"/>
    <w:rsid w:val="00F332DB"/>
    <w:rsid w:val="00F34662"/>
    <w:rsid w:val="00F42344"/>
    <w:rsid w:val="00F42731"/>
    <w:rsid w:val="00F44127"/>
    <w:rsid w:val="00F4439E"/>
    <w:rsid w:val="00F447E4"/>
    <w:rsid w:val="00F4518B"/>
    <w:rsid w:val="00F606CB"/>
    <w:rsid w:val="00F63F63"/>
    <w:rsid w:val="00F646D0"/>
    <w:rsid w:val="00F65CE5"/>
    <w:rsid w:val="00F703B7"/>
    <w:rsid w:val="00F758F7"/>
    <w:rsid w:val="00F761D8"/>
    <w:rsid w:val="00F775D7"/>
    <w:rsid w:val="00F77A6D"/>
    <w:rsid w:val="00F80C6D"/>
    <w:rsid w:val="00F80E96"/>
    <w:rsid w:val="00F81892"/>
    <w:rsid w:val="00F845E4"/>
    <w:rsid w:val="00F8737C"/>
    <w:rsid w:val="00F91874"/>
    <w:rsid w:val="00F91F20"/>
    <w:rsid w:val="00F92089"/>
    <w:rsid w:val="00F953DC"/>
    <w:rsid w:val="00FA17EF"/>
    <w:rsid w:val="00FA1D45"/>
    <w:rsid w:val="00FA4735"/>
    <w:rsid w:val="00FB0EB3"/>
    <w:rsid w:val="00FB1417"/>
    <w:rsid w:val="00FB2B34"/>
    <w:rsid w:val="00FB2BB1"/>
    <w:rsid w:val="00FB6739"/>
    <w:rsid w:val="00FC0A8F"/>
    <w:rsid w:val="00FC1E7E"/>
    <w:rsid w:val="00FC23CA"/>
    <w:rsid w:val="00FC380E"/>
    <w:rsid w:val="00FC57ED"/>
    <w:rsid w:val="00FC7208"/>
    <w:rsid w:val="00FC722C"/>
    <w:rsid w:val="00FD014F"/>
    <w:rsid w:val="00FD10FE"/>
    <w:rsid w:val="00FD64C4"/>
    <w:rsid w:val="00FD7207"/>
    <w:rsid w:val="00FD7850"/>
    <w:rsid w:val="00FE1020"/>
    <w:rsid w:val="00FE2DED"/>
    <w:rsid w:val="00FE3575"/>
    <w:rsid w:val="00FE6C83"/>
    <w:rsid w:val="00FE761B"/>
    <w:rsid w:val="00FF0D39"/>
    <w:rsid w:val="00FF2456"/>
    <w:rsid w:val="00FF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3593AC5"/>
  <w15:docId w15:val="{4586AB3C-AE37-4950-BFFC-2B02374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8AD"/>
    <w:pPr>
      <w:spacing w:after="0" w:line="240" w:lineRule="auto"/>
    </w:pPr>
  </w:style>
  <w:style w:type="paragraph" w:styleId="Heading1">
    <w:name w:val="heading 1"/>
    <w:basedOn w:val="Normal"/>
    <w:next w:val="Normal"/>
    <w:link w:val="Heading1Char"/>
    <w:uiPriority w:val="9"/>
    <w:qFormat/>
    <w:rsid w:val="004A58AD"/>
    <w:pPr>
      <w:spacing w:line="480" w:lineRule="auto"/>
      <w:jc w:val="center"/>
      <w:outlineLvl w:val="0"/>
    </w:pPr>
    <w:rPr>
      <w:b/>
    </w:rPr>
  </w:style>
  <w:style w:type="paragraph" w:styleId="Heading2">
    <w:name w:val="heading 2"/>
    <w:basedOn w:val="Normal"/>
    <w:next w:val="Normal"/>
    <w:link w:val="Heading2Char"/>
    <w:uiPriority w:val="9"/>
    <w:unhideWhenUsed/>
    <w:qFormat/>
    <w:rsid w:val="0074055D"/>
    <w:pPr>
      <w:spacing w:line="480" w:lineRule="auto"/>
      <w:ind w:left="720" w:hanging="720"/>
      <w:outlineLvl w:val="1"/>
    </w:pPr>
    <w:rPr>
      <w:b/>
    </w:rPr>
  </w:style>
  <w:style w:type="paragraph" w:styleId="Heading8">
    <w:name w:val="heading 8"/>
    <w:basedOn w:val="Normal"/>
    <w:next w:val="Normal"/>
    <w:link w:val="Heading8Char"/>
    <w:uiPriority w:val="9"/>
    <w:semiHidden/>
    <w:unhideWhenUsed/>
    <w:qFormat/>
    <w:rsid w:val="00802E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customStyle="1" w:styleId="Heading2Char">
    <w:name w:val="Heading 2 Char"/>
    <w:basedOn w:val="DefaultParagraphFont"/>
    <w:link w:val="Heading2"/>
    <w:uiPriority w:val="9"/>
    <w:rsid w:val="0074055D"/>
    <w:rPr>
      <w:b/>
    </w:rPr>
  </w:style>
  <w:style w:type="paragraph" w:styleId="FootnoteText">
    <w:name w:val="footnote text"/>
    <w:basedOn w:val="Normal"/>
    <w:link w:val="FootnoteTextChar"/>
    <w:uiPriority w:val="99"/>
    <w:unhideWhenUsed/>
    <w:rsid w:val="0074055D"/>
    <w:rPr>
      <w:sz w:val="20"/>
      <w:szCs w:val="20"/>
    </w:rPr>
  </w:style>
  <w:style w:type="character" w:customStyle="1" w:styleId="FootnoteTextChar">
    <w:name w:val="Footnote Text Char"/>
    <w:basedOn w:val="DefaultParagraphFont"/>
    <w:link w:val="FootnoteText"/>
    <w:uiPriority w:val="99"/>
    <w:rsid w:val="0074055D"/>
    <w:rPr>
      <w:sz w:val="20"/>
      <w:szCs w:val="20"/>
    </w:rPr>
  </w:style>
  <w:style w:type="character" w:styleId="FootnoteReference">
    <w:name w:val="footnote reference"/>
    <w:basedOn w:val="DefaultParagraphFont"/>
    <w:uiPriority w:val="99"/>
    <w:unhideWhenUsed/>
    <w:rsid w:val="0074055D"/>
    <w:rPr>
      <w:vertAlign w:val="superscript"/>
    </w:rPr>
  </w:style>
  <w:style w:type="character" w:styleId="CommentReference">
    <w:name w:val="annotation reference"/>
    <w:basedOn w:val="DefaultParagraphFont"/>
    <w:uiPriority w:val="99"/>
    <w:semiHidden/>
    <w:unhideWhenUsed/>
    <w:rsid w:val="00042AE5"/>
    <w:rPr>
      <w:sz w:val="16"/>
      <w:szCs w:val="16"/>
    </w:rPr>
  </w:style>
  <w:style w:type="paragraph" w:styleId="CommentText">
    <w:name w:val="annotation text"/>
    <w:basedOn w:val="Normal"/>
    <w:link w:val="CommentTextChar"/>
    <w:uiPriority w:val="99"/>
    <w:unhideWhenUsed/>
    <w:rsid w:val="00042AE5"/>
    <w:rPr>
      <w:sz w:val="20"/>
      <w:szCs w:val="20"/>
    </w:rPr>
  </w:style>
  <w:style w:type="character" w:customStyle="1" w:styleId="CommentTextChar">
    <w:name w:val="Comment Text Char"/>
    <w:basedOn w:val="DefaultParagraphFont"/>
    <w:link w:val="CommentText"/>
    <w:uiPriority w:val="99"/>
    <w:rsid w:val="00042AE5"/>
    <w:rPr>
      <w:sz w:val="20"/>
      <w:szCs w:val="20"/>
    </w:rPr>
  </w:style>
  <w:style w:type="paragraph" w:styleId="CommentSubject">
    <w:name w:val="annotation subject"/>
    <w:basedOn w:val="CommentText"/>
    <w:next w:val="CommentText"/>
    <w:link w:val="CommentSubjectChar"/>
    <w:uiPriority w:val="99"/>
    <w:semiHidden/>
    <w:unhideWhenUsed/>
    <w:rsid w:val="00042AE5"/>
    <w:rPr>
      <w:b/>
      <w:bCs/>
    </w:rPr>
  </w:style>
  <w:style w:type="character" w:customStyle="1" w:styleId="CommentSubjectChar">
    <w:name w:val="Comment Subject Char"/>
    <w:basedOn w:val="CommentTextChar"/>
    <w:link w:val="CommentSubject"/>
    <w:uiPriority w:val="99"/>
    <w:semiHidden/>
    <w:rsid w:val="00042AE5"/>
    <w:rPr>
      <w:b/>
      <w:bCs/>
      <w:sz w:val="20"/>
      <w:szCs w:val="20"/>
    </w:rPr>
  </w:style>
  <w:style w:type="paragraph" w:styleId="BalloonText">
    <w:name w:val="Balloon Text"/>
    <w:basedOn w:val="Normal"/>
    <w:link w:val="BalloonTextChar"/>
    <w:uiPriority w:val="99"/>
    <w:semiHidden/>
    <w:unhideWhenUsed/>
    <w:rsid w:val="00042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E5"/>
    <w:rPr>
      <w:rFonts w:ascii="Segoe UI" w:hAnsi="Segoe UI" w:cs="Segoe UI"/>
      <w:sz w:val="18"/>
      <w:szCs w:val="18"/>
    </w:rPr>
  </w:style>
  <w:style w:type="character" w:customStyle="1" w:styleId="Heading1Char">
    <w:name w:val="Heading 1 Char"/>
    <w:basedOn w:val="DefaultParagraphFont"/>
    <w:link w:val="Heading1"/>
    <w:uiPriority w:val="9"/>
    <w:rsid w:val="004A58AD"/>
    <w:rPr>
      <w:b/>
    </w:rPr>
  </w:style>
  <w:style w:type="paragraph" w:styleId="TOCHeading">
    <w:name w:val="TOC Heading"/>
    <w:basedOn w:val="Heading1"/>
    <w:next w:val="Normal"/>
    <w:uiPriority w:val="39"/>
    <w:unhideWhenUsed/>
    <w:qFormat/>
    <w:rsid w:val="006E704F"/>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E704F"/>
    <w:pPr>
      <w:spacing w:after="100"/>
    </w:pPr>
  </w:style>
  <w:style w:type="paragraph" w:styleId="TOC2">
    <w:name w:val="toc 2"/>
    <w:basedOn w:val="Normal"/>
    <w:next w:val="Normal"/>
    <w:autoRedefine/>
    <w:uiPriority w:val="39"/>
    <w:unhideWhenUsed/>
    <w:rsid w:val="006E704F"/>
    <w:pPr>
      <w:spacing w:after="100"/>
      <w:ind w:left="240"/>
    </w:pPr>
  </w:style>
  <w:style w:type="character" w:styleId="Hyperlink">
    <w:name w:val="Hyperlink"/>
    <w:basedOn w:val="DefaultParagraphFont"/>
    <w:uiPriority w:val="99"/>
    <w:unhideWhenUsed/>
    <w:rsid w:val="006E704F"/>
    <w:rPr>
      <w:color w:val="0000FF" w:themeColor="hyperlink"/>
      <w:u w:val="single"/>
    </w:rPr>
  </w:style>
  <w:style w:type="table" w:styleId="TableGrid">
    <w:name w:val="Table Grid"/>
    <w:basedOn w:val="TableNormal"/>
    <w:uiPriority w:val="59"/>
    <w:rsid w:val="0026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rsid w:val="00C73CA2"/>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C73CA2"/>
    <w:rPr>
      <w:rFonts w:ascii="CG Times (WN)" w:eastAsia="SimSun" w:hAnsi="CG Times (WN)"/>
      <w:szCs w:val="20"/>
      <w:lang w:eastAsia="zh-CN"/>
    </w:rPr>
  </w:style>
  <w:style w:type="character" w:customStyle="1" w:styleId="Heading8Char">
    <w:name w:val="Heading 8 Char"/>
    <w:basedOn w:val="DefaultParagraphFont"/>
    <w:link w:val="Heading8"/>
    <w:uiPriority w:val="9"/>
    <w:semiHidden/>
    <w:rsid w:val="00802E0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3B1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42453">
      <w:bodyDiv w:val="1"/>
      <w:marLeft w:val="0"/>
      <w:marRight w:val="0"/>
      <w:marTop w:val="0"/>
      <w:marBottom w:val="0"/>
      <w:divBdr>
        <w:top w:val="none" w:sz="0" w:space="0" w:color="auto"/>
        <w:left w:val="none" w:sz="0" w:space="0" w:color="auto"/>
        <w:bottom w:val="none" w:sz="0" w:space="0" w:color="auto"/>
        <w:right w:val="none" w:sz="0" w:space="0" w:color="auto"/>
      </w:divBdr>
    </w:div>
    <w:div w:id="1829589577">
      <w:bodyDiv w:val="1"/>
      <w:marLeft w:val="0"/>
      <w:marRight w:val="0"/>
      <w:marTop w:val="0"/>
      <w:marBottom w:val="0"/>
      <w:divBdr>
        <w:top w:val="none" w:sz="0" w:space="0" w:color="auto"/>
        <w:left w:val="none" w:sz="0" w:space="0" w:color="auto"/>
        <w:bottom w:val="none" w:sz="0" w:space="0" w:color="auto"/>
        <w:right w:val="none" w:sz="0" w:space="0" w:color="auto"/>
      </w:divBdr>
    </w:div>
    <w:div w:id="18889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2016-06-07T23:14:29+00:00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E1DA6-2373-4AD4-B171-AB620C7D0109}"/>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4CBF4BAB-A344-4276-9FF4-740F93D9C6B5}"/>
</file>

<file path=customXml/itemProps5.xml><?xml version="1.0" encoding="utf-8"?>
<ds:datastoreItem xmlns:ds="http://schemas.openxmlformats.org/officeDocument/2006/customXml" ds:itemID="{8B29E346-ACF3-4815-AD26-D790B402BF27}"/>
</file>

<file path=docProps/app.xml><?xml version="1.0" encoding="utf-8"?>
<Properties xmlns="http://schemas.openxmlformats.org/officeDocument/2006/extended-properties" xmlns:vt="http://schemas.openxmlformats.org/officeDocument/2006/docPropsVTypes">
  <Template>Normal.dotm</Template>
  <TotalTime>117</TotalTime>
  <Pages>12</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Roberts Testimony</vt:lpstr>
    </vt:vector>
  </TitlesOfParts>
  <Company>Washington Utilities and Transportation Commission</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 Testimony</dc:title>
  <dc:subject/>
  <dc:creator>Information Services</dc:creator>
  <cp:keywords/>
  <dc:description/>
  <cp:lastModifiedBy>Gross, Krista (UTC)</cp:lastModifiedBy>
  <cp:revision>18</cp:revision>
  <cp:lastPrinted>2016-06-07T21:45:00Z</cp:lastPrinted>
  <dcterms:created xsi:type="dcterms:W3CDTF">2016-06-07T20:28:00Z</dcterms:created>
  <dcterms:modified xsi:type="dcterms:W3CDTF">2016-06-07T22:50:00Z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