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4DC52" w14:textId="77777777" w:rsidR="004611C3" w:rsidRPr="004611C3" w:rsidRDefault="004611C3" w:rsidP="00BF05CC">
      <w:pPr>
        <w:ind w:left="4320"/>
        <w:rPr>
          <w:b/>
          <w:szCs w:val="20"/>
          <w:lang w:eastAsia="zh-CN"/>
        </w:rPr>
      </w:pPr>
      <w:r w:rsidRPr="004611C3">
        <w:rPr>
          <w:b/>
          <w:szCs w:val="20"/>
          <w:lang w:eastAsia="zh-CN"/>
        </w:rPr>
        <w:t>EXHIBIT NO. ___(</w:t>
      </w:r>
      <w:r w:rsidR="00290C67">
        <w:rPr>
          <w:b/>
          <w:szCs w:val="20"/>
          <w:lang w:eastAsia="zh-CN"/>
        </w:rPr>
        <w:t>RAM</w:t>
      </w:r>
      <w:r w:rsidRPr="004611C3">
        <w:rPr>
          <w:b/>
          <w:szCs w:val="20"/>
          <w:lang w:eastAsia="zh-CN"/>
        </w:rPr>
        <w:t>-1T)</w:t>
      </w:r>
    </w:p>
    <w:p w14:paraId="6BD65383" w14:textId="54DF5F38" w:rsidR="00290C67" w:rsidRPr="00456C55" w:rsidRDefault="004611C3" w:rsidP="00BF05CC">
      <w:pPr>
        <w:ind w:left="4320"/>
        <w:rPr>
          <w:b/>
          <w:szCs w:val="20"/>
          <w:lang w:val="sv-SE" w:eastAsia="zh-CN"/>
        </w:rPr>
      </w:pPr>
      <w:r w:rsidRPr="00456C55">
        <w:rPr>
          <w:b/>
          <w:szCs w:val="20"/>
          <w:lang w:val="sv-SE" w:eastAsia="zh-CN"/>
        </w:rPr>
        <w:t>DOCKET</w:t>
      </w:r>
      <w:r w:rsidR="00CD6D24">
        <w:rPr>
          <w:b/>
          <w:szCs w:val="20"/>
          <w:lang w:val="sv-SE" w:eastAsia="zh-CN"/>
        </w:rPr>
        <w:t>S</w:t>
      </w:r>
      <w:r w:rsidRPr="00456C55">
        <w:rPr>
          <w:b/>
          <w:szCs w:val="20"/>
          <w:lang w:val="sv-SE" w:eastAsia="zh-CN"/>
        </w:rPr>
        <w:t xml:space="preserve"> U</w:t>
      </w:r>
      <w:r w:rsidR="00290C67" w:rsidRPr="00456C55">
        <w:rPr>
          <w:b/>
          <w:szCs w:val="20"/>
          <w:lang w:val="sv-SE" w:eastAsia="zh-CN"/>
        </w:rPr>
        <w:t>E</w:t>
      </w:r>
      <w:r w:rsidRPr="00456C55">
        <w:rPr>
          <w:b/>
          <w:szCs w:val="20"/>
          <w:lang w:val="sv-SE" w:eastAsia="zh-CN"/>
        </w:rPr>
        <w:t>-1</w:t>
      </w:r>
      <w:r w:rsidR="00204E73" w:rsidRPr="00456C55">
        <w:rPr>
          <w:b/>
          <w:szCs w:val="20"/>
          <w:lang w:val="sv-SE" w:eastAsia="zh-CN"/>
        </w:rPr>
        <w:t>7</w:t>
      </w:r>
      <w:r w:rsidRPr="00456C55">
        <w:rPr>
          <w:b/>
          <w:szCs w:val="20"/>
          <w:lang w:val="sv-SE" w:eastAsia="zh-CN"/>
        </w:rPr>
        <w:t>____</w:t>
      </w:r>
      <w:r w:rsidR="00255958">
        <w:rPr>
          <w:b/>
          <w:szCs w:val="20"/>
          <w:lang w:val="sv-SE" w:eastAsia="zh-CN"/>
        </w:rPr>
        <w:t>/</w:t>
      </w:r>
      <w:r w:rsidR="00290C67" w:rsidRPr="00456C55">
        <w:rPr>
          <w:b/>
          <w:szCs w:val="20"/>
          <w:lang w:val="sv-SE" w:eastAsia="zh-CN"/>
        </w:rPr>
        <w:t>UG-1</w:t>
      </w:r>
      <w:r w:rsidR="00204E73" w:rsidRPr="00456C55">
        <w:rPr>
          <w:b/>
          <w:szCs w:val="20"/>
          <w:lang w:val="sv-SE" w:eastAsia="zh-CN"/>
        </w:rPr>
        <w:t>7</w:t>
      </w:r>
      <w:r w:rsidR="00290C67" w:rsidRPr="00456C55">
        <w:rPr>
          <w:b/>
          <w:szCs w:val="20"/>
          <w:lang w:val="sv-SE" w:eastAsia="zh-CN"/>
        </w:rPr>
        <w:t>____</w:t>
      </w:r>
    </w:p>
    <w:p w14:paraId="184EC56C" w14:textId="15D8DCE2" w:rsidR="00290C67" w:rsidRPr="004611C3" w:rsidRDefault="00204E73" w:rsidP="00BF05CC">
      <w:pPr>
        <w:ind w:left="4320"/>
        <w:rPr>
          <w:b/>
          <w:szCs w:val="20"/>
          <w:lang w:eastAsia="zh-CN"/>
        </w:rPr>
      </w:pPr>
      <w:r>
        <w:rPr>
          <w:b/>
          <w:szCs w:val="20"/>
          <w:lang w:eastAsia="zh-CN"/>
        </w:rPr>
        <w:t>2017</w:t>
      </w:r>
      <w:r w:rsidR="00290C67">
        <w:rPr>
          <w:b/>
          <w:szCs w:val="20"/>
          <w:lang w:eastAsia="zh-CN"/>
        </w:rPr>
        <w:t xml:space="preserve"> </w:t>
      </w:r>
      <w:r w:rsidR="00DB1CF1">
        <w:rPr>
          <w:b/>
          <w:szCs w:val="20"/>
          <w:lang w:eastAsia="zh-CN"/>
        </w:rPr>
        <w:t xml:space="preserve">PSE </w:t>
      </w:r>
      <w:r w:rsidR="00290C67">
        <w:rPr>
          <w:b/>
          <w:szCs w:val="20"/>
          <w:lang w:eastAsia="zh-CN"/>
        </w:rPr>
        <w:t>GENERAL RATE CASE</w:t>
      </w:r>
    </w:p>
    <w:p w14:paraId="20F88B3D" w14:textId="77777777" w:rsidR="004611C3" w:rsidRPr="004611C3" w:rsidRDefault="004611C3" w:rsidP="00BF05CC">
      <w:pPr>
        <w:ind w:left="4320"/>
        <w:rPr>
          <w:b/>
          <w:szCs w:val="20"/>
          <w:lang w:eastAsia="zh-CN"/>
        </w:rPr>
      </w:pPr>
      <w:r w:rsidRPr="004611C3">
        <w:rPr>
          <w:b/>
          <w:szCs w:val="20"/>
          <w:lang w:eastAsia="zh-CN"/>
        </w:rPr>
        <w:t>WITNESS:</w:t>
      </w:r>
      <w:r w:rsidR="00BD560E">
        <w:rPr>
          <w:b/>
          <w:szCs w:val="20"/>
          <w:lang w:eastAsia="zh-CN"/>
        </w:rPr>
        <w:t xml:space="preserve"> </w:t>
      </w:r>
      <w:r w:rsidR="00290C67">
        <w:rPr>
          <w:b/>
          <w:szCs w:val="20"/>
          <w:lang w:eastAsia="zh-CN"/>
        </w:rPr>
        <w:t xml:space="preserve">DR. ROGER A. MORIN </w:t>
      </w:r>
    </w:p>
    <w:p w14:paraId="7A02762D" w14:textId="77777777" w:rsidR="00FB09A7" w:rsidRPr="00E11746" w:rsidRDefault="00FB09A7" w:rsidP="00BF05CC">
      <w:pPr>
        <w:pStyle w:val="center"/>
        <w:keepNext/>
        <w:keepLines w:val="0"/>
        <w:spacing w:before="0" w:line="240" w:lineRule="auto"/>
        <w:rPr>
          <w:b/>
        </w:rPr>
      </w:pPr>
    </w:p>
    <w:p w14:paraId="4B7CA671" w14:textId="77777777" w:rsidR="00FB09A7" w:rsidRDefault="00FB09A7" w:rsidP="00BF05CC">
      <w:pPr>
        <w:pStyle w:val="center"/>
        <w:keepNext/>
        <w:keepLines w:val="0"/>
        <w:spacing w:before="0" w:line="240" w:lineRule="auto"/>
        <w:rPr>
          <w:b/>
        </w:rPr>
      </w:pPr>
    </w:p>
    <w:p w14:paraId="080A0DE7" w14:textId="77777777" w:rsidR="00FB09A7" w:rsidRDefault="00FB09A7" w:rsidP="00BF05CC">
      <w:pPr>
        <w:pStyle w:val="center"/>
        <w:keepNext/>
        <w:keepLines w:val="0"/>
        <w:spacing w:before="0" w:line="240" w:lineRule="auto"/>
        <w:rPr>
          <w:b/>
        </w:rPr>
      </w:pPr>
    </w:p>
    <w:p w14:paraId="04C40A06" w14:textId="77777777" w:rsidR="00517897" w:rsidRPr="00EF16DB" w:rsidRDefault="00517897" w:rsidP="00BF05CC">
      <w:pPr>
        <w:pStyle w:val="center"/>
        <w:keepNext/>
        <w:keepLines w:val="0"/>
        <w:spacing w:before="0" w:line="240" w:lineRule="auto"/>
        <w:rPr>
          <w:b/>
        </w:rPr>
      </w:pPr>
      <w:r w:rsidRPr="00EF16DB">
        <w:rPr>
          <w:b/>
        </w:rPr>
        <w:t>BEFORE THE</w:t>
      </w:r>
    </w:p>
    <w:p w14:paraId="6FC13702" w14:textId="77777777" w:rsidR="00517897" w:rsidRPr="00EF16DB" w:rsidRDefault="00517897" w:rsidP="00BF05CC">
      <w:pPr>
        <w:pStyle w:val="center"/>
        <w:keepNext/>
        <w:keepLines w:val="0"/>
        <w:spacing w:before="0" w:line="240" w:lineRule="auto"/>
        <w:rPr>
          <w:b/>
        </w:rPr>
      </w:pPr>
      <w:r w:rsidRPr="00EF16DB">
        <w:rPr>
          <w:b/>
        </w:rPr>
        <w:t>WASHINGTON UTILITIES AND TRANSPORTATION COMMISSION</w:t>
      </w:r>
    </w:p>
    <w:p w14:paraId="626835B8" w14:textId="77777777" w:rsidR="00517897" w:rsidRPr="00EF16DB" w:rsidRDefault="00517897" w:rsidP="00BF05CC">
      <w:pPr>
        <w:pStyle w:val="center"/>
        <w:keepNext/>
        <w:keepLines w:val="0"/>
        <w:spacing w:before="0" w:line="240" w:lineRule="auto"/>
        <w:rPr>
          <w:b/>
        </w:rPr>
      </w:pPr>
    </w:p>
    <w:p w14:paraId="52E1C68F" w14:textId="77777777" w:rsidR="00517897" w:rsidRDefault="00517897" w:rsidP="00BF05CC">
      <w:pPr>
        <w:pStyle w:val="center"/>
        <w:keepNext/>
        <w:keepLines w:val="0"/>
        <w:spacing w:before="0" w:line="240" w:lineRule="auto"/>
        <w:rPr>
          <w:b/>
        </w:rPr>
      </w:pPr>
    </w:p>
    <w:p w14:paraId="6BAA6045" w14:textId="77777777" w:rsidR="00CD6D24" w:rsidRPr="00EF16DB" w:rsidRDefault="00CD6D24" w:rsidP="00BF05CC">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CD6D24" w:rsidRPr="00CD6D24" w14:paraId="361C02F6" w14:textId="77777777" w:rsidTr="00CD6D24">
        <w:tc>
          <w:tcPr>
            <w:tcW w:w="4536" w:type="dxa"/>
            <w:tcBorders>
              <w:top w:val="nil"/>
              <w:left w:val="nil"/>
            </w:tcBorders>
          </w:tcPr>
          <w:p w14:paraId="0B274AE1" w14:textId="77777777" w:rsidR="00CD6D24" w:rsidRPr="00CD6D24" w:rsidRDefault="00CD6D24" w:rsidP="00CD6D24">
            <w:pPr>
              <w:spacing w:after="240"/>
              <w:rPr>
                <w:b/>
                <w:szCs w:val="20"/>
                <w:lang w:eastAsia="zh-CN"/>
              </w:rPr>
            </w:pPr>
            <w:r w:rsidRPr="00CD6D24">
              <w:rPr>
                <w:b/>
                <w:szCs w:val="20"/>
                <w:lang w:eastAsia="zh-CN"/>
              </w:rPr>
              <w:t>WASHINGTON UTILITIES AND TRANSPORTATION COMMISSION,</w:t>
            </w:r>
          </w:p>
          <w:p w14:paraId="7D705B99" w14:textId="77777777" w:rsidR="00CD6D24" w:rsidRPr="00CD6D24" w:rsidRDefault="00CD6D24" w:rsidP="00CD6D24">
            <w:pPr>
              <w:spacing w:after="240"/>
              <w:ind w:left="2160"/>
              <w:rPr>
                <w:b/>
                <w:szCs w:val="20"/>
                <w:lang w:eastAsia="zh-CN"/>
              </w:rPr>
            </w:pPr>
            <w:r w:rsidRPr="00CD6D24">
              <w:rPr>
                <w:b/>
                <w:szCs w:val="20"/>
                <w:lang w:eastAsia="zh-CN"/>
              </w:rPr>
              <w:t>Complainant,</w:t>
            </w:r>
          </w:p>
          <w:p w14:paraId="5A76EFD2" w14:textId="77777777" w:rsidR="00CD6D24" w:rsidRPr="00CD6D24" w:rsidRDefault="00CD6D24" w:rsidP="00CD6D24">
            <w:pPr>
              <w:spacing w:after="240"/>
              <w:ind w:left="1440"/>
              <w:rPr>
                <w:b/>
                <w:szCs w:val="20"/>
                <w:lang w:eastAsia="zh-CN"/>
              </w:rPr>
            </w:pPr>
            <w:r w:rsidRPr="00CD6D24">
              <w:rPr>
                <w:b/>
                <w:szCs w:val="20"/>
                <w:lang w:eastAsia="zh-CN"/>
              </w:rPr>
              <w:t>v.</w:t>
            </w:r>
          </w:p>
          <w:p w14:paraId="1FDB3311" w14:textId="77777777" w:rsidR="00CD6D24" w:rsidRPr="00CD6D24" w:rsidRDefault="00CD6D24" w:rsidP="00CD6D24">
            <w:pPr>
              <w:spacing w:after="240"/>
              <w:rPr>
                <w:b/>
                <w:szCs w:val="20"/>
                <w:lang w:eastAsia="zh-CN"/>
              </w:rPr>
            </w:pPr>
            <w:r w:rsidRPr="00CD6D24">
              <w:rPr>
                <w:b/>
                <w:szCs w:val="20"/>
                <w:lang w:eastAsia="zh-CN"/>
              </w:rPr>
              <w:t>PUGET SOUND ENERGY,</w:t>
            </w:r>
          </w:p>
          <w:p w14:paraId="3742DC9B" w14:textId="77777777" w:rsidR="00CD6D24" w:rsidRPr="00CD6D24" w:rsidRDefault="00CD6D24" w:rsidP="00CD6D24">
            <w:pPr>
              <w:spacing w:after="240"/>
              <w:ind w:left="2160"/>
              <w:rPr>
                <w:b/>
                <w:szCs w:val="20"/>
                <w:lang w:eastAsia="zh-CN"/>
              </w:rPr>
            </w:pPr>
            <w:r w:rsidRPr="00CD6D24">
              <w:rPr>
                <w:b/>
                <w:szCs w:val="20"/>
                <w:lang w:eastAsia="zh-CN"/>
              </w:rPr>
              <w:t>Respondent.</w:t>
            </w:r>
          </w:p>
        </w:tc>
        <w:tc>
          <w:tcPr>
            <w:tcW w:w="4545" w:type="dxa"/>
            <w:tcBorders>
              <w:top w:val="nil"/>
              <w:bottom w:val="nil"/>
              <w:right w:val="nil"/>
            </w:tcBorders>
            <w:vAlign w:val="center"/>
          </w:tcPr>
          <w:p w14:paraId="1B160073" w14:textId="77777777" w:rsidR="00CD6D24" w:rsidRPr="00CD6D24" w:rsidRDefault="00CD6D24" w:rsidP="00CD6D24">
            <w:pPr>
              <w:keepNext/>
              <w:keepLines/>
              <w:spacing w:after="240"/>
              <w:ind w:left="324"/>
              <w:rPr>
                <w:b/>
                <w:szCs w:val="20"/>
                <w:lang w:eastAsia="zh-CN"/>
              </w:rPr>
            </w:pPr>
            <w:r w:rsidRPr="00CD6D24">
              <w:rPr>
                <w:b/>
                <w:szCs w:val="20"/>
                <w:lang w:eastAsia="zh-CN"/>
              </w:rPr>
              <w:t>Docket UE-17____</w:t>
            </w:r>
            <w:r w:rsidRPr="00CD6D24">
              <w:rPr>
                <w:b/>
                <w:szCs w:val="20"/>
                <w:lang w:eastAsia="zh-CN"/>
              </w:rPr>
              <w:br/>
              <w:t>Docket UG-17____</w:t>
            </w:r>
          </w:p>
        </w:tc>
      </w:tr>
    </w:tbl>
    <w:p w14:paraId="72658B04" w14:textId="77777777" w:rsidR="002E4864" w:rsidRDefault="002E4864" w:rsidP="00BF05CC">
      <w:pPr>
        <w:pStyle w:val="center"/>
        <w:keepNext/>
        <w:keepLines w:val="0"/>
        <w:spacing w:before="0" w:line="240" w:lineRule="auto"/>
        <w:rPr>
          <w:b/>
        </w:rPr>
      </w:pPr>
    </w:p>
    <w:p w14:paraId="3C93197B" w14:textId="77777777" w:rsidR="00E41D7A" w:rsidRDefault="00E41D7A" w:rsidP="00BF05CC">
      <w:pPr>
        <w:pStyle w:val="center"/>
        <w:keepNext/>
        <w:keepLines w:val="0"/>
        <w:spacing w:before="0" w:line="240" w:lineRule="auto"/>
        <w:rPr>
          <w:b/>
        </w:rPr>
      </w:pPr>
    </w:p>
    <w:p w14:paraId="72455547" w14:textId="77777777" w:rsidR="00460AD4" w:rsidRPr="00EF16DB" w:rsidRDefault="00460AD4" w:rsidP="00BF05CC">
      <w:pPr>
        <w:pStyle w:val="center"/>
        <w:keepNext/>
        <w:keepLines w:val="0"/>
        <w:spacing w:before="0" w:line="240" w:lineRule="auto"/>
        <w:rPr>
          <w:b/>
        </w:rPr>
      </w:pPr>
    </w:p>
    <w:p w14:paraId="526B84B4" w14:textId="17D32EFE" w:rsidR="00CD6D24" w:rsidRDefault="00517897" w:rsidP="00BF05CC">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63582B">
        <w:rPr>
          <w:b/>
        </w:rPr>
        <w:t>R</w:t>
      </w:r>
      <w:r w:rsidR="004611C3">
        <w:rPr>
          <w:b/>
        </w:rPr>
        <w:t xml:space="preserve">ECT </w:t>
      </w:r>
      <w:r w:rsidRPr="00EF16DB">
        <w:rPr>
          <w:b/>
        </w:rPr>
        <w:t>TESTIMONY (</w:t>
      </w:r>
      <w:proofErr w:type="spellStart"/>
      <w:r w:rsidR="00695C07">
        <w:rPr>
          <w:b/>
        </w:rPr>
        <w:t>NON</w:t>
      </w:r>
      <w:r w:rsidRPr="00EF16DB">
        <w:rPr>
          <w:b/>
        </w:rPr>
        <w:t>CONFIDENTIAL</w:t>
      </w:r>
      <w:proofErr w:type="spellEnd"/>
      <w:r w:rsidRPr="00EF16DB">
        <w:rPr>
          <w:b/>
        </w:rPr>
        <w:t>) OF</w:t>
      </w:r>
    </w:p>
    <w:p w14:paraId="7659019C" w14:textId="77777777" w:rsidR="00CD6D24" w:rsidRDefault="00CD6D24" w:rsidP="00BF05CC">
      <w:pPr>
        <w:pStyle w:val="center"/>
        <w:keepNext/>
        <w:keepLines w:val="0"/>
        <w:spacing w:before="0" w:line="240" w:lineRule="auto"/>
        <w:rPr>
          <w:b/>
        </w:rPr>
      </w:pPr>
    </w:p>
    <w:p w14:paraId="3C1F1BAD" w14:textId="77777777" w:rsidR="00CD6D24" w:rsidRDefault="00695C07" w:rsidP="00BF05CC">
      <w:pPr>
        <w:pStyle w:val="center"/>
        <w:keepNext/>
        <w:keepLines w:val="0"/>
        <w:spacing w:before="0" w:line="240" w:lineRule="auto"/>
        <w:rPr>
          <w:b/>
        </w:rPr>
      </w:pPr>
      <w:r>
        <w:rPr>
          <w:b/>
          <w:color w:val="000000"/>
        </w:rPr>
        <w:t>DR. ROGER A. MORIN</w:t>
      </w:r>
    </w:p>
    <w:p w14:paraId="0A7DACCB" w14:textId="77777777" w:rsidR="00CD6D24" w:rsidRDefault="00CD6D24" w:rsidP="00BF05CC">
      <w:pPr>
        <w:pStyle w:val="center"/>
        <w:keepNext/>
        <w:keepLines w:val="0"/>
        <w:spacing w:before="0" w:line="240" w:lineRule="auto"/>
        <w:rPr>
          <w:b/>
        </w:rPr>
      </w:pPr>
    </w:p>
    <w:p w14:paraId="68E57D93" w14:textId="10759910" w:rsidR="00517897" w:rsidRPr="00EF16DB" w:rsidRDefault="00517897" w:rsidP="00BF05CC">
      <w:pPr>
        <w:pStyle w:val="center"/>
        <w:keepNext/>
        <w:keepLines w:val="0"/>
        <w:spacing w:before="0" w:line="240" w:lineRule="auto"/>
        <w:rPr>
          <w:b/>
        </w:rPr>
      </w:pPr>
      <w:r w:rsidRPr="00EF16DB">
        <w:rPr>
          <w:b/>
        </w:rPr>
        <w:t xml:space="preserve">ON BEHALF OF PUGET </w:t>
      </w:r>
      <w:r w:rsidR="00150225">
        <w:rPr>
          <w:b/>
        </w:rPr>
        <w:t>SOUND ENERGY</w:t>
      </w:r>
    </w:p>
    <w:p w14:paraId="470F691D" w14:textId="77777777" w:rsidR="00517897" w:rsidRPr="00EF16DB" w:rsidRDefault="00517897" w:rsidP="00BF05CC">
      <w:pPr>
        <w:pStyle w:val="center"/>
        <w:keepNext/>
        <w:keepLines w:val="0"/>
        <w:spacing w:before="0" w:line="240" w:lineRule="auto"/>
        <w:rPr>
          <w:b/>
        </w:rPr>
      </w:pPr>
    </w:p>
    <w:p w14:paraId="1365325B" w14:textId="77777777" w:rsidR="00695C07" w:rsidRDefault="00695C07" w:rsidP="00BF05CC">
      <w:pPr>
        <w:pStyle w:val="center"/>
        <w:keepNext/>
        <w:keepLines w:val="0"/>
        <w:spacing w:before="0" w:line="240" w:lineRule="auto"/>
        <w:rPr>
          <w:b/>
        </w:rPr>
      </w:pPr>
    </w:p>
    <w:p w14:paraId="02B4AFA7" w14:textId="77777777" w:rsidR="009478BC" w:rsidRDefault="009478BC" w:rsidP="00BF05CC">
      <w:pPr>
        <w:pStyle w:val="center"/>
        <w:keepNext/>
        <w:keepLines w:val="0"/>
        <w:spacing w:before="0" w:line="240" w:lineRule="auto"/>
        <w:rPr>
          <w:b/>
        </w:rPr>
      </w:pPr>
    </w:p>
    <w:p w14:paraId="68C355FC" w14:textId="77777777" w:rsidR="009478BC" w:rsidRDefault="009478BC" w:rsidP="00BF05CC">
      <w:pPr>
        <w:pStyle w:val="center"/>
        <w:keepNext/>
        <w:keepLines w:val="0"/>
        <w:spacing w:before="0" w:line="240" w:lineRule="auto"/>
        <w:rPr>
          <w:b/>
        </w:rPr>
      </w:pPr>
    </w:p>
    <w:p w14:paraId="28C686DB" w14:textId="77777777" w:rsidR="009478BC" w:rsidRDefault="009478BC" w:rsidP="00BF05CC">
      <w:pPr>
        <w:pStyle w:val="center"/>
        <w:keepNext/>
        <w:keepLines w:val="0"/>
        <w:spacing w:before="0" w:line="240" w:lineRule="auto"/>
        <w:rPr>
          <w:b/>
        </w:rPr>
      </w:pPr>
    </w:p>
    <w:p w14:paraId="63305606" w14:textId="77777777" w:rsidR="009478BC" w:rsidRDefault="009478BC" w:rsidP="00BF05CC">
      <w:pPr>
        <w:pStyle w:val="center"/>
        <w:keepNext/>
        <w:keepLines w:val="0"/>
        <w:spacing w:before="0" w:line="240" w:lineRule="auto"/>
        <w:rPr>
          <w:b/>
        </w:rPr>
      </w:pPr>
    </w:p>
    <w:p w14:paraId="37846EE1" w14:textId="77777777" w:rsidR="009478BC" w:rsidRDefault="009478BC" w:rsidP="00BF05CC">
      <w:pPr>
        <w:pStyle w:val="center"/>
        <w:keepNext/>
        <w:keepLines w:val="0"/>
        <w:spacing w:before="0" w:line="240" w:lineRule="auto"/>
        <w:rPr>
          <w:b/>
        </w:rPr>
      </w:pPr>
    </w:p>
    <w:p w14:paraId="1B4AFA26" w14:textId="77777777" w:rsidR="00255958" w:rsidRDefault="00255958" w:rsidP="00BF05CC">
      <w:pPr>
        <w:pStyle w:val="center"/>
        <w:keepNext/>
        <w:keepLines w:val="0"/>
        <w:spacing w:before="0" w:line="240" w:lineRule="auto"/>
        <w:rPr>
          <w:b/>
        </w:rPr>
      </w:pPr>
    </w:p>
    <w:p w14:paraId="6ADB6212" w14:textId="77777777" w:rsidR="00255958" w:rsidRDefault="00255958" w:rsidP="00BF05CC">
      <w:pPr>
        <w:pStyle w:val="center"/>
        <w:keepNext/>
        <w:keepLines w:val="0"/>
        <w:spacing w:before="0" w:line="240" w:lineRule="auto"/>
        <w:rPr>
          <w:b/>
        </w:rPr>
      </w:pPr>
    </w:p>
    <w:p w14:paraId="6E9E9177" w14:textId="77777777" w:rsidR="009478BC" w:rsidRDefault="009478BC" w:rsidP="00BF05CC">
      <w:pPr>
        <w:pStyle w:val="center"/>
        <w:keepNext/>
        <w:keepLines w:val="0"/>
        <w:spacing w:before="0" w:line="240" w:lineRule="auto"/>
        <w:rPr>
          <w:b/>
        </w:rPr>
      </w:pPr>
    </w:p>
    <w:p w14:paraId="543F795E" w14:textId="77777777" w:rsidR="009478BC" w:rsidRDefault="009478BC" w:rsidP="00BF05CC">
      <w:pPr>
        <w:pStyle w:val="center"/>
        <w:keepNext/>
        <w:keepLines w:val="0"/>
        <w:spacing w:before="0" w:line="240" w:lineRule="auto"/>
        <w:rPr>
          <w:b/>
        </w:rPr>
      </w:pPr>
    </w:p>
    <w:p w14:paraId="3FBC973C" w14:textId="77777777" w:rsidR="009478BC" w:rsidRDefault="009478BC" w:rsidP="00BF05CC">
      <w:pPr>
        <w:pStyle w:val="center"/>
        <w:keepNext/>
        <w:keepLines w:val="0"/>
        <w:spacing w:before="0" w:line="240" w:lineRule="auto"/>
        <w:rPr>
          <w:b/>
        </w:rPr>
      </w:pPr>
    </w:p>
    <w:p w14:paraId="2C497958" w14:textId="77777777" w:rsidR="00695C07" w:rsidRPr="00EF16DB" w:rsidRDefault="00695C07" w:rsidP="00BF05CC">
      <w:pPr>
        <w:pStyle w:val="center"/>
        <w:keepNext/>
        <w:keepLines w:val="0"/>
        <w:spacing w:before="0" w:line="240" w:lineRule="auto"/>
        <w:rPr>
          <w:b/>
        </w:rPr>
      </w:pPr>
    </w:p>
    <w:p w14:paraId="19C0E5DC" w14:textId="77777777" w:rsidR="00695C07" w:rsidRDefault="00695C07" w:rsidP="00BF05CC">
      <w:pPr>
        <w:pStyle w:val="center"/>
        <w:keepNext/>
        <w:keepLines w:val="0"/>
        <w:spacing w:before="0" w:line="240" w:lineRule="auto"/>
        <w:rPr>
          <w:b/>
        </w:rPr>
      </w:pPr>
    </w:p>
    <w:p w14:paraId="183EE7F0" w14:textId="42474042" w:rsidR="00517897" w:rsidRPr="00EF16DB" w:rsidRDefault="00204E73" w:rsidP="00BF05CC">
      <w:pPr>
        <w:keepNext/>
        <w:jc w:val="center"/>
        <w:rPr>
          <w:rFonts w:eastAsia="SimSun"/>
          <w:b/>
        </w:rPr>
      </w:pPr>
      <w:r>
        <w:rPr>
          <w:b/>
        </w:rPr>
        <w:t>JANUARY</w:t>
      </w:r>
      <w:r w:rsidR="00695C07">
        <w:rPr>
          <w:b/>
        </w:rPr>
        <w:t xml:space="preserve"> </w:t>
      </w:r>
      <w:r w:rsidR="00255958">
        <w:rPr>
          <w:b/>
        </w:rPr>
        <w:t>13</w:t>
      </w:r>
      <w:r w:rsidR="00F07711" w:rsidRPr="00EF16DB">
        <w:rPr>
          <w:b/>
        </w:rPr>
        <w:t xml:space="preserve">, </w:t>
      </w:r>
      <w:r w:rsidR="00517897" w:rsidRPr="00EF16DB">
        <w:rPr>
          <w:b/>
        </w:rPr>
        <w:t>20</w:t>
      </w:r>
      <w:r w:rsidR="004611C3">
        <w:rPr>
          <w:b/>
        </w:rPr>
        <w:t>1</w:t>
      </w:r>
      <w:r>
        <w:rPr>
          <w:b/>
        </w:rPr>
        <w:t>7</w:t>
      </w:r>
    </w:p>
    <w:p w14:paraId="4054B2D0" w14:textId="77777777" w:rsidR="00517897" w:rsidRPr="00EF16DB" w:rsidRDefault="00517897" w:rsidP="00BF05CC">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14:paraId="0C5C9A20" w14:textId="7D99D2DC" w:rsidR="00F07711" w:rsidRPr="00EF16DB" w:rsidRDefault="00150225" w:rsidP="00BF05CC">
      <w:pPr>
        <w:keepNext/>
        <w:spacing w:before="240" w:after="480"/>
        <w:ind w:left="720" w:right="720"/>
        <w:jc w:val="center"/>
        <w:rPr>
          <w:rStyle w:val="Strong"/>
          <w:rFonts w:eastAsia="SimSun"/>
        </w:rPr>
      </w:pPr>
      <w:r>
        <w:rPr>
          <w:rStyle w:val="Strong"/>
          <w:rFonts w:eastAsia="SimSun"/>
        </w:rPr>
        <w:lastRenderedPageBreak/>
        <w:t>PUGET SOUND ENERGY</w:t>
      </w:r>
    </w:p>
    <w:p w14:paraId="579178D1" w14:textId="1BBE8BBC" w:rsidR="00F07711" w:rsidRPr="00C06DEC" w:rsidRDefault="00F07711" w:rsidP="00BF05CC">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proofErr w:type="spellStart"/>
      <w:r w:rsidR="00695C07">
        <w:rPr>
          <w:rFonts w:eastAsia="SimSun"/>
          <w:b/>
          <w:color w:val="000000"/>
        </w:rPr>
        <w:t>NON</w:t>
      </w:r>
      <w:r w:rsidRPr="00EF16DB">
        <w:rPr>
          <w:rFonts w:eastAsia="SimSun"/>
          <w:b/>
          <w:color w:val="000000"/>
        </w:rPr>
        <w:t>CONFIDENTIAL</w:t>
      </w:r>
      <w:proofErr w:type="spellEnd"/>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695C07">
        <w:rPr>
          <w:b/>
          <w:color w:val="000000"/>
        </w:rPr>
        <w:t>DR. ROGER A. MORIN</w:t>
      </w:r>
    </w:p>
    <w:p w14:paraId="02D4D6CD" w14:textId="77777777" w:rsidR="00FC7A2F" w:rsidRPr="001560E5" w:rsidRDefault="00F07711" w:rsidP="00BF05CC">
      <w:pPr>
        <w:keepNext/>
        <w:spacing w:before="240" w:after="480"/>
        <w:ind w:left="547" w:right="547"/>
        <w:jc w:val="center"/>
        <w:rPr>
          <w:rFonts w:eastAsia="SimSun"/>
        </w:rPr>
      </w:pPr>
      <w:bookmarkStart w:id="2" w:name="TOCTitle"/>
      <w:r w:rsidRPr="001560E5">
        <w:rPr>
          <w:b/>
        </w:rPr>
        <w:t>CONTENTS</w:t>
      </w:r>
      <w:bookmarkEnd w:id="2"/>
    </w:p>
    <w:p w14:paraId="3AFB8A9E" w14:textId="030E99C8" w:rsidR="00F26EE6" w:rsidRPr="00F26EE6" w:rsidRDefault="00FC7A2F">
      <w:pPr>
        <w:pStyle w:val="TOC1"/>
        <w:rPr>
          <w:rFonts w:asciiTheme="minorHAnsi" w:eastAsiaTheme="minorEastAsia" w:hAnsiTheme="minorHAnsi" w:cstheme="minorBidi"/>
          <w:color w:val="auto"/>
          <w:sz w:val="22"/>
          <w:szCs w:val="22"/>
          <w:lang w:eastAsia="en-US"/>
        </w:rPr>
      </w:pPr>
      <w:r w:rsidRPr="00F26EE6">
        <w:rPr>
          <w:color w:val="auto"/>
        </w:rPr>
        <w:fldChar w:fldCharType="begin"/>
      </w:r>
      <w:r w:rsidRPr="00F26EE6">
        <w:rPr>
          <w:color w:val="auto"/>
        </w:rPr>
        <w:instrText xml:space="preserve"> TOC \o "1-3" \h \z \u </w:instrText>
      </w:r>
      <w:r w:rsidRPr="00F26EE6">
        <w:rPr>
          <w:color w:val="auto"/>
        </w:rPr>
        <w:fldChar w:fldCharType="separate"/>
      </w:r>
      <w:hyperlink w:anchor="_Toc468636156" w:history="1">
        <w:r w:rsidR="00F26EE6" w:rsidRPr="00F26EE6">
          <w:rPr>
            <w:rStyle w:val="Hyperlink"/>
            <w:color w:val="auto"/>
          </w:rPr>
          <w:t>I.</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INTRODUCTION</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_Toc468636156 \h </w:instrText>
        </w:r>
        <w:r w:rsidR="00F26EE6" w:rsidRPr="00F26EE6">
          <w:rPr>
            <w:webHidden/>
            <w:color w:val="auto"/>
          </w:rPr>
        </w:r>
        <w:r w:rsidR="00F26EE6" w:rsidRPr="00F26EE6">
          <w:rPr>
            <w:webHidden/>
            <w:color w:val="auto"/>
          </w:rPr>
          <w:fldChar w:fldCharType="separate"/>
        </w:r>
        <w:r w:rsidR="00671614">
          <w:rPr>
            <w:webHidden/>
            <w:color w:val="auto"/>
          </w:rPr>
          <w:t>1</w:t>
        </w:r>
        <w:r w:rsidR="00F26EE6" w:rsidRPr="00F26EE6">
          <w:rPr>
            <w:webHidden/>
            <w:color w:val="auto"/>
          </w:rPr>
          <w:fldChar w:fldCharType="end"/>
        </w:r>
      </w:hyperlink>
    </w:p>
    <w:p w14:paraId="5F0191DC" w14:textId="77777777" w:rsidR="00F26EE6" w:rsidRPr="00F26EE6" w:rsidRDefault="007834C1">
      <w:pPr>
        <w:pStyle w:val="TOC1"/>
        <w:rPr>
          <w:rFonts w:asciiTheme="minorHAnsi" w:eastAsiaTheme="minorEastAsia" w:hAnsiTheme="minorHAnsi" w:cstheme="minorBidi"/>
          <w:color w:val="auto"/>
          <w:sz w:val="22"/>
          <w:szCs w:val="22"/>
          <w:lang w:eastAsia="en-US"/>
        </w:rPr>
      </w:pPr>
      <w:hyperlink w:anchor="_Toc468636157" w:history="1">
        <w:r w:rsidR="00F26EE6" w:rsidRPr="00F26EE6">
          <w:rPr>
            <w:rStyle w:val="Hyperlink"/>
            <w:color w:val="auto"/>
          </w:rPr>
          <w:t>II.</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REGULATORY FRAMEWORK AND RATE OF RETURN</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_Toc468636157 \h </w:instrText>
        </w:r>
        <w:r w:rsidR="00F26EE6" w:rsidRPr="00F26EE6">
          <w:rPr>
            <w:webHidden/>
            <w:color w:val="auto"/>
          </w:rPr>
        </w:r>
        <w:r w:rsidR="00F26EE6" w:rsidRPr="00F26EE6">
          <w:rPr>
            <w:webHidden/>
            <w:color w:val="auto"/>
          </w:rPr>
          <w:fldChar w:fldCharType="separate"/>
        </w:r>
        <w:r w:rsidR="00671614">
          <w:rPr>
            <w:webHidden/>
            <w:color w:val="auto"/>
          </w:rPr>
          <w:t>8</w:t>
        </w:r>
        <w:r w:rsidR="00F26EE6" w:rsidRPr="00F26EE6">
          <w:rPr>
            <w:webHidden/>
            <w:color w:val="auto"/>
          </w:rPr>
          <w:fldChar w:fldCharType="end"/>
        </w:r>
      </w:hyperlink>
    </w:p>
    <w:p w14:paraId="5A45832E" w14:textId="77777777" w:rsidR="00F26EE6" w:rsidRPr="00F26EE6" w:rsidRDefault="007834C1">
      <w:pPr>
        <w:pStyle w:val="TOC1"/>
        <w:rPr>
          <w:rFonts w:asciiTheme="minorHAnsi" w:eastAsiaTheme="minorEastAsia" w:hAnsiTheme="minorHAnsi" w:cstheme="minorBidi"/>
          <w:color w:val="auto"/>
          <w:sz w:val="22"/>
          <w:szCs w:val="22"/>
          <w:lang w:eastAsia="en-US"/>
        </w:rPr>
      </w:pPr>
      <w:hyperlink w:anchor="_Toc468636158" w:history="1">
        <w:r w:rsidR="00F26EE6" w:rsidRPr="00F26EE6">
          <w:rPr>
            <w:rStyle w:val="Hyperlink"/>
            <w:color w:val="auto"/>
          </w:rPr>
          <w:t>III.</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COST OF EQUITY CAPITAL ESTIMATES</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_Toc468636158 \h </w:instrText>
        </w:r>
        <w:r w:rsidR="00F26EE6" w:rsidRPr="00F26EE6">
          <w:rPr>
            <w:webHidden/>
            <w:color w:val="auto"/>
          </w:rPr>
        </w:r>
        <w:r w:rsidR="00F26EE6" w:rsidRPr="00F26EE6">
          <w:rPr>
            <w:webHidden/>
            <w:color w:val="auto"/>
          </w:rPr>
          <w:fldChar w:fldCharType="separate"/>
        </w:r>
        <w:r w:rsidR="00671614">
          <w:rPr>
            <w:webHidden/>
            <w:color w:val="auto"/>
          </w:rPr>
          <w:t>15</w:t>
        </w:r>
        <w:r w:rsidR="00F26EE6" w:rsidRPr="00F26EE6">
          <w:rPr>
            <w:webHidden/>
            <w:color w:val="auto"/>
          </w:rPr>
          <w:fldChar w:fldCharType="end"/>
        </w:r>
      </w:hyperlink>
    </w:p>
    <w:p w14:paraId="37C668E2" w14:textId="77777777" w:rsidR="00F26EE6" w:rsidRPr="00F26EE6" w:rsidRDefault="007834C1">
      <w:pPr>
        <w:pStyle w:val="TOC2"/>
        <w:rPr>
          <w:rFonts w:asciiTheme="minorHAnsi" w:eastAsiaTheme="minorEastAsia" w:hAnsiTheme="minorHAnsi" w:cstheme="minorBidi"/>
          <w:color w:val="auto"/>
          <w:sz w:val="22"/>
          <w:szCs w:val="22"/>
          <w:lang w:eastAsia="en-US"/>
        </w:rPr>
      </w:pPr>
      <w:hyperlink w:anchor="_Toc468636159" w:history="1">
        <w:r w:rsidR="00F26EE6" w:rsidRPr="00F26EE6">
          <w:rPr>
            <w:rStyle w:val="Hyperlink"/>
            <w:color w:val="auto"/>
          </w:rPr>
          <w:t>A.</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DCF Estimates</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_Toc468636159 \h </w:instrText>
        </w:r>
        <w:r w:rsidR="00F26EE6" w:rsidRPr="00F26EE6">
          <w:rPr>
            <w:webHidden/>
            <w:color w:val="auto"/>
          </w:rPr>
        </w:r>
        <w:r w:rsidR="00F26EE6" w:rsidRPr="00F26EE6">
          <w:rPr>
            <w:webHidden/>
            <w:color w:val="auto"/>
          </w:rPr>
          <w:fldChar w:fldCharType="separate"/>
        </w:r>
        <w:r w:rsidR="00671614">
          <w:rPr>
            <w:webHidden/>
            <w:color w:val="auto"/>
          </w:rPr>
          <w:t>18</w:t>
        </w:r>
        <w:r w:rsidR="00F26EE6" w:rsidRPr="00F26EE6">
          <w:rPr>
            <w:webHidden/>
            <w:color w:val="auto"/>
          </w:rPr>
          <w:fldChar w:fldCharType="end"/>
        </w:r>
      </w:hyperlink>
    </w:p>
    <w:p w14:paraId="51B27287" w14:textId="77777777" w:rsidR="00F26EE6" w:rsidRPr="00F26EE6" w:rsidRDefault="007834C1">
      <w:pPr>
        <w:pStyle w:val="TOC2"/>
        <w:rPr>
          <w:rFonts w:asciiTheme="minorHAnsi" w:eastAsiaTheme="minorEastAsia" w:hAnsiTheme="minorHAnsi" w:cstheme="minorBidi"/>
          <w:color w:val="auto"/>
          <w:sz w:val="22"/>
          <w:szCs w:val="22"/>
          <w:lang w:eastAsia="en-US"/>
        </w:rPr>
      </w:pPr>
      <w:hyperlink w:anchor="_Toc468636160" w:history="1">
        <w:r w:rsidR="00F26EE6" w:rsidRPr="00F26EE6">
          <w:rPr>
            <w:rStyle w:val="Hyperlink"/>
            <w:color w:val="auto"/>
          </w:rPr>
          <w:t>B.</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CAPM Estimates</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_Toc468636160 \h </w:instrText>
        </w:r>
        <w:r w:rsidR="00F26EE6" w:rsidRPr="00F26EE6">
          <w:rPr>
            <w:webHidden/>
            <w:color w:val="auto"/>
          </w:rPr>
        </w:r>
        <w:r w:rsidR="00F26EE6" w:rsidRPr="00F26EE6">
          <w:rPr>
            <w:webHidden/>
            <w:color w:val="auto"/>
          </w:rPr>
          <w:fldChar w:fldCharType="separate"/>
        </w:r>
        <w:r w:rsidR="00671614">
          <w:rPr>
            <w:webHidden/>
            <w:color w:val="auto"/>
          </w:rPr>
          <w:t>32</w:t>
        </w:r>
        <w:r w:rsidR="00F26EE6" w:rsidRPr="00F26EE6">
          <w:rPr>
            <w:webHidden/>
            <w:color w:val="auto"/>
          </w:rPr>
          <w:fldChar w:fldCharType="end"/>
        </w:r>
      </w:hyperlink>
    </w:p>
    <w:p w14:paraId="45E0895F" w14:textId="77777777" w:rsidR="00F26EE6" w:rsidRPr="00F26EE6" w:rsidRDefault="007834C1">
      <w:pPr>
        <w:pStyle w:val="TOC2"/>
        <w:rPr>
          <w:rFonts w:asciiTheme="minorHAnsi" w:eastAsiaTheme="minorEastAsia" w:hAnsiTheme="minorHAnsi" w:cstheme="minorBidi"/>
          <w:color w:val="auto"/>
          <w:sz w:val="22"/>
          <w:szCs w:val="22"/>
          <w:lang w:eastAsia="en-US"/>
        </w:rPr>
      </w:pPr>
      <w:hyperlink w:anchor="_Toc468636161" w:history="1">
        <w:r w:rsidR="00F26EE6" w:rsidRPr="00F26EE6">
          <w:rPr>
            <w:rStyle w:val="Hyperlink"/>
            <w:color w:val="auto"/>
          </w:rPr>
          <w:t>C.</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Historical Risk Premium Estimates</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_Toc468636161 \h </w:instrText>
        </w:r>
        <w:r w:rsidR="00F26EE6" w:rsidRPr="00F26EE6">
          <w:rPr>
            <w:webHidden/>
            <w:color w:val="auto"/>
          </w:rPr>
        </w:r>
        <w:r w:rsidR="00F26EE6" w:rsidRPr="00F26EE6">
          <w:rPr>
            <w:webHidden/>
            <w:color w:val="auto"/>
          </w:rPr>
          <w:fldChar w:fldCharType="separate"/>
        </w:r>
        <w:r w:rsidR="00671614">
          <w:rPr>
            <w:webHidden/>
            <w:color w:val="auto"/>
          </w:rPr>
          <w:t>50</w:t>
        </w:r>
        <w:r w:rsidR="00F26EE6" w:rsidRPr="00F26EE6">
          <w:rPr>
            <w:webHidden/>
            <w:color w:val="auto"/>
          </w:rPr>
          <w:fldChar w:fldCharType="end"/>
        </w:r>
      </w:hyperlink>
    </w:p>
    <w:p w14:paraId="5202E3AB" w14:textId="77777777" w:rsidR="00F26EE6" w:rsidRPr="00F26EE6" w:rsidRDefault="007834C1">
      <w:pPr>
        <w:pStyle w:val="TOC2"/>
        <w:rPr>
          <w:rFonts w:asciiTheme="minorHAnsi" w:eastAsiaTheme="minorEastAsia" w:hAnsiTheme="minorHAnsi" w:cstheme="minorBidi"/>
          <w:color w:val="auto"/>
          <w:sz w:val="22"/>
          <w:szCs w:val="22"/>
          <w:lang w:eastAsia="en-US"/>
        </w:rPr>
      </w:pPr>
      <w:hyperlink w:anchor="_Toc468636162" w:history="1">
        <w:r w:rsidR="00F26EE6" w:rsidRPr="00F26EE6">
          <w:rPr>
            <w:rStyle w:val="Hyperlink"/>
            <w:color w:val="auto"/>
          </w:rPr>
          <w:t>D.</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Allowed Risk Premium Estimates</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_Toc468636162 \h </w:instrText>
        </w:r>
        <w:r w:rsidR="00F26EE6" w:rsidRPr="00F26EE6">
          <w:rPr>
            <w:webHidden/>
            <w:color w:val="auto"/>
          </w:rPr>
        </w:r>
        <w:r w:rsidR="00F26EE6" w:rsidRPr="00F26EE6">
          <w:rPr>
            <w:webHidden/>
            <w:color w:val="auto"/>
          </w:rPr>
          <w:fldChar w:fldCharType="separate"/>
        </w:r>
        <w:r w:rsidR="00671614">
          <w:rPr>
            <w:webHidden/>
            <w:color w:val="auto"/>
          </w:rPr>
          <w:t>51</w:t>
        </w:r>
        <w:r w:rsidR="00F26EE6" w:rsidRPr="00F26EE6">
          <w:rPr>
            <w:webHidden/>
            <w:color w:val="auto"/>
          </w:rPr>
          <w:fldChar w:fldCharType="end"/>
        </w:r>
      </w:hyperlink>
    </w:p>
    <w:p w14:paraId="53E4EF03" w14:textId="77777777" w:rsidR="00F26EE6" w:rsidRPr="00F26EE6" w:rsidRDefault="007834C1">
      <w:pPr>
        <w:pStyle w:val="TOC1"/>
        <w:rPr>
          <w:rFonts w:asciiTheme="minorHAnsi" w:eastAsiaTheme="minorEastAsia" w:hAnsiTheme="minorHAnsi" w:cstheme="minorBidi"/>
          <w:color w:val="auto"/>
          <w:sz w:val="22"/>
          <w:szCs w:val="22"/>
          <w:lang w:eastAsia="en-US"/>
        </w:rPr>
      </w:pPr>
      <w:hyperlink w:anchor="_Toc468636163" w:history="1">
        <w:r w:rsidR="00F26EE6" w:rsidRPr="00F26EE6">
          <w:rPr>
            <w:rStyle w:val="Hyperlink"/>
            <w:color w:val="auto"/>
          </w:rPr>
          <w:t>IV.</w:t>
        </w:r>
        <w:r w:rsidR="00F26EE6" w:rsidRPr="00F26EE6">
          <w:rPr>
            <w:rFonts w:asciiTheme="minorHAnsi" w:eastAsiaTheme="minorEastAsia" w:hAnsiTheme="minorHAnsi" w:cstheme="minorBidi"/>
            <w:color w:val="auto"/>
            <w:sz w:val="22"/>
            <w:szCs w:val="22"/>
            <w:lang w:eastAsia="en-US"/>
          </w:rPr>
          <w:tab/>
        </w:r>
        <w:r w:rsidR="00F26EE6" w:rsidRPr="00F26EE6">
          <w:rPr>
            <w:rStyle w:val="Hyperlink"/>
            <w:color w:val="auto"/>
          </w:rPr>
          <w:t>CONCLUSION</w:t>
        </w:r>
        <w:r w:rsidR="00F26EE6" w:rsidRPr="00F26EE6">
          <w:rPr>
            <w:webHidden/>
            <w:color w:val="auto"/>
          </w:rPr>
          <w:tab/>
        </w:r>
        <w:r w:rsidR="00F26EE6" w:rsidRPr="00F26EE6">
          <w:rPr>
            <w:webHidden/>
            <w:color w:val="auto"/>
          </w:rPr>
          <w:fldChar w:fldCharType="begin"/>
        </w:r>
        <w:r w:rsidR="00F26EE6" w:rsidRPr="00F26EE6">
          <w:rPr>
            <w:webHidden/>
            <w:color w:val="auto"/>
          </w:rPr>
          <w:instrText xml:space="preserve"> PAGEREF _Toc468636163 \h </w:instrText>
        </w:r>
        <w:r w:rsidR="00F26EE6" w:rsidRPr="00F26EE6">
          <w:rPr>
            <w:webHidden/>
            <w:color w:val="auto"/>
          </w:rPr>
        </w:r>
        <w:r w:rsidR="00F26EE6" w:rsidRPr="00F26EE6">
          <w:rPr>
            <w:webHidden/>
            <w:color w:val="auto"/>
          </w:rPr>
          <w:fldChar w:fldCharType="separate"/>
        </w:r>
        <w:r w:rsidR="00671614">
          <w:rPr>
            <w:webHidden/>
            <w:color w:val="auto"/>
          </w:rPr>
          <w:t>54</w:t>
        </w:r>
        <w:r w:rsidR="00F26EE6" w:rsidRPr="00F26EE6">
          <w:rPr>
            <w:webHidden/>
            <w:color w:val="auto"/>
          </w:rPr>
          <w:fldChar w:fldCharType="end"/>
        </w:r>
      </w:hyperlink>
    </w:p>
    <w:p w14:paraId="41A8B5D4" w14:textId="77777777" w:rsidR="00FC7A2F" w:rsidRPr="00074E1C" w:rsidRDefault="00FC7A2F" w:rsidP="00B91E54">
      <w:pPr>
        <w:pStyle w:val="TOC1"/>
        <w:tabs>
          <w:tab w:val="clear" w:pos="8640"/>
          <w:tab w:val="clear" w:pos="9000"/>
          <w:tab w:val="left" w:leader="dot" w:pos="8280"/>
        </w:tabs>
        <w:spacing w:line="240" w:lineRule="auto"/>
        <w:rPr>
          <w:color w:val="auto"/>
        </w:rPr>
      </w:pPr>
      <w:r w:rsidRPr="00F26EE6">
        <w:rPr>
          <w:color w:val="auto"/>
        </w:rPr>
        <w:fldChar w:fldCharType="end"/>
      </w:r>
    </w:p>
    <w:p w14:paraId="0054543F" w14:textId="77777777" w:rsidR="00F12DC2" w:rsidRPr="000109B4" w:rsidRDefault="00F12DC2" w:rsidP="00BF05CC">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14:paraId="3E309A47" w14:textId="391FEABE" w:rsidR="00517897" w:rsidRPr="00EF16DB" w:rsidRDefault="00517897" w:rsidP="00BF05CC">
      <w:pPr>
        <w:keepNext/>
        <w:spacing w:before="240" w:after="480"/>
        <w:ind w:left="720" w:right="720"/>
        <w:jc w:val="center"/>
        <w:rPr>
          <w:rStyle w:val="Strong"/>
          <w:rFonts w:eastAsia="SimSun"/>
        </w:rPr>
      </w:pPr>
      <w:bookmarkStart w:id="6" w:name="_Toc117411518"/>
      <w:bookmarkStart w:id="7" w:name="_Toc125892215"/>
      <w:bookmarkStart w:id="8" w:name="_Toc126495831"/>
      <w:r w:rsidRPr="00EF16DB">
        <w:rPr>
          <w:rStyle w:val="Strong"/>
          <w:rFonts w:eastAsia="SimSun"/>
        </w:rPr>
        <w:lastRenderedPageBreak/>
        <w:t xml:space="preserve">PUGET </w:t>
      </w:r>
      <w:r w:rsidR="00150225">
        <w:rPr>
          <w:rStyle w:val="Strong"/>
          <w:rFonts w:eastAsia="SimSun"/>
        </w:rPr>
        <w:t>SOUND ENERGY</w:t>
      </w:r>
    </w:p>
    <w:p w14:paraId="699B61C5" w14:textId="77777777" w:rsidR="00FF01D1" w:rsidRPr="00C06DEC" w:rsidRDefault="00FF01D1" w:rsidP="00BF05CC">
      <w:pPr>
        <w:keepNext/>
        <w:spacing w:before="240" w:after="480"/>
        <w:jc w:val="center"/>
        <w:rPr>
          <w:rFonts w:eastAsia="SimSun"/>
        </w:rPr>
      </w:pPr>
      <w:bookmarkStart w:id="9" w:name="_Toc161487050"/>
      <w:bookmarkStart w:id="10" w:name="_Toc162007393"/>
      <w:bookmarkStart w:id="11" w:name="_Toc181442358"/>
      <w:bookmarkStart w:id="12" w:name="_Toc179284150"/>
      <w:bookmarkStart w:id="13" w:name="_Toc182774604"/>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proofErr w:type="spellStart"/>
      <w:r w:rsidR="00695C07">
        <w:rPr>
          <w:rFonts w:eastAsia="SimSun"/>
          <w:b/>
          <w:color w:val="000000"/>
        </w:rPr>
        <w:t>NON</w:t>
      </w:r>
      <w:r w:rsidRPr="00EF16DB">
        <w:rPr>
          <w:rFonts w:eastAsia="SimSun"/>
          <w:b/>
          <w:color w:val="000000"/>
        </w:rPr>
        <w:t>CONFIDENTIAL</w:t>
      </w:r>
      <w:proofErr w:type="spellEnd"/>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695C07">
        <w:rPr>
          <w:b/>
          <w:color w:val="000000"/>
        </w:rPr>
        <w:t>DR. ROGER A. MORIN</w:t>
      </w:r>
    </w:p>
    <w:p w14:paraId="0902B1D7" w14:textId="77777777" w:rsidR="00290C67" w:rsidRDefault="00290C67" w:rsidP="00BF05CC">
      <w:pPr>
        <w:pStyle w:val="Heading1"/>
      </w:pPr>
      <w:bookmarkStart w:id="14" w:name="_Toc468636156"/>
      <w:bookmarkStart w:id="15" w:name="_Toc443553402"/>
      <w:bookmarkStart w:id="16" w:name="_Toc126768441"/>
      <w:bookmarkStart w:id="17" w:name="_Toc143679892"/>
      <w:bookmarkEnd w:id="6"/>
      <w:bookmarkEnd w:id="7"/>
      <w:bookmarkEnd w:id="8"/>
      <w:bookmarkEnd w:id="9"/>
      <w:bookmarkEnd w:id="10"/>
      <w:bookmarkEnd w:id="11"/>
      <w:bookmarkEnd w:id="12"/>
      <w:bookmarkEnd w:id="13"/>
      <w:r>
        <w:t>I.</w:t>
      </w:r>
      <w:r>
        <w:tab/>
        <w:t>INTRODUCTION</w:t>
      </w:r>
      <w:bookmarkEnd w:id="14"/>
      <w:bookmarkEnd w:id="15"/>
    </w:p>
    <w:p w14:paraId="476D2E77" w14:textId="77777777" w:rsidR="00290C67" w:rsidRDefault="00290C67" w:rsidP="00BF05CC">
      <w:pPr>
        <w:pStyle w:val="question"/>
      </w:pPr>
      <w:r>
        <w:t>Q.</w:t>
      </w:r>
      <w:r>
        <w:tab/>
        <w:t>Please state your name, business address, and occupation.</w:t>
      </w:r>
    </w:p>
    <w:p w14:paraId="429C6F43" w14:textId="5828D5EF" w:rsidR="00290C67" w:rsidRDefault="00290C67" w:rsidP="00BF05CC">
      <w:pPr>
        <w:pStyle w:val="answer"/>
      </w:pPr>
      <w:r>
        <w:t>A.</w:t>
      </w:r>
      <w:r>
        <w:tab/>
        <w:t>My name is Dr. Roger A. Morin.</w:t>
      </w:r>
      <w:r w:rsidR="00BD560E">
        <w:t xml:space="preserve"> </w:t>
      </w:r>
      <w:r>
        <w:t>My business address is Georgia State University, Robinson College of Business, University Plaza, Atlanta, Georgia, 30303.</w:t>
      </w:r>
      <w:r w:rsidR="00BD560E">
        <w:t xml:space="preserve"> </w:t>
      </w:r>
      <w:r>
        <w:t>I am Emeritus Professor of Finance at the Robinson College of Business, Georgia State University and Professor of Finance for Regulated Industry at the Center for the Study of Regulated Industry at Georgia State University.</w:t>
      </w:r>
      <w:r w:rsidR="00BD560E">
        <w:t xml:space="preserve"> </w:t>
      </w:r>
      <w:r>
        <w:t>I am also a principal in Utility Research International, an enterprise engaged in regulatory finance and economics consulting to business and government.</w:t>
      </w:r>
      <w:r w:rsidR="00BD560E">
        <w:t xml:space="preserve"> </w:t>
      </w:r>
      <w:r>
        <w:t>I am testifying o</w:t>
      </w:r>
      <w:r w:rsidR="00150225">
        <w:t xml:space="preserve">n behalf of Puget Sound Energy </w:t>
      </w:r>
      <w:r>
        <w:t>(</w:t>
      </w:r>
      <w:r w:rsidR="00BD560E">
        <w:t>“</w:t>
      </w:r>
      <w:r>
        <w:t>PSE</w:t>
      </w:r>
      <w:r w:rsidR="00BD560E">
        <w:t>”</w:t>
      </w:r>
      <w:r>
        <w:t>).</w:t>
      </w:r>
    </w:p>
    <w:p w14:paraId="066523A0" w14:textId="77777777" w:rsidR="00290C67" w:rsidRDefault="00290C67" w:rsidP="00BF05CC">
      <w:pPr>
        <w:pStyle w:val="question"/>
      </w:pPr>
      <w:r>
        <w:t>Q.</w:t>
      </w:r>
      <w:r>
        <w:tab/>
        <w:t>Please describe your educational background.</w:t>
      </w:r>
    </w:p>
    <w:p w14:paraId="71147322" w14:textId="77777777" w:rsidR="00290C67" w:rsidRDefault="00290C67" w:rsidP="00BF05CC">
      <w:pPr>
        <w:pStyle w:val="answer"/>
      </w:pPr>
      <w:r>
        <w:t>A.</w:t>
      </w:r>
      <w:r>
        <w:tab/>
        <w:t>I hold a Bachelor of Engineering degree and an MBA in Finance from McGill University, Montreal, Canada.</w:t>
      </w:r>
      <w:r w:rsidR="00BD560E">
        <w:t xml:space="preserve"> </w:t>
      </w:r>
      <w:r>
        <w:t>I received my Ph.D. in Finance and Econometrics at the Wharton School of Finance, University of Pennsylvania.</w:t>
      </w:r>
    </w:p>
    <w:p w14:paraId="3891E087" w14:textId="77777777" w:rsidR="00290C67" w:rsidRDefault="00290C67" w:rsidP="00BF05CC">
      <w:pPr>
        <w:pStyle w:val="question"/>
      </w:pPr>
      <w:r>
        <w:t>Q.</w:t>
      </w:r>
      <w:r>
        <w:tab/>
        <w:t>Please summarize your academic and business career.</w:t>
      </w:r>
    </w:p>
    <w:p w14:paraId="4F5F7A93" w14:textId="2FA29793" w:rsidR="00695C07" w:rsidRDefault="00290C67" w:rsidP="00204E73">
      <w:pPr>
        <w:pStyle w:val="answer"/>
      </w:pPr>
      <w:r>
        <w:t>A.</w:t>
      </w:r>
      <w:r>
        <w:tab/>
        <w:t>I have taught at the Wharton School of Finance, University of Pennsylvania, Amos Tuck School of Business at Dartmouth College, Drexel University, University of Montreal, McGill University, and Georgia State University.</w:t>
      </w:r>
      <w:r w:rsidR="00BD560E">
        <w:t xml:space="preserve"> </w:t>
      </w:r>
      <w:r>
        <w:t xml:space="preserve">I was a </w:t>
      </w:r>
      <w:r>
        <w:lastRenderedPageBreak/>
        <w:t xml:space="preserve">faculty member of Advanced Management Research International, and I am currently a faculty member of The Management Exchange Inc. and </w:t>
      </w:r>
      <w:r w:rsidR="00204E73">
        <w:t>SNL Center for Financial Education LLC</w:t>
      </w:r>
      <w:r>
        <w:t xml:space="preserve"> (now </w:t>
      </w:r>
      <w:r w:rsidR="00204E73">
        <w:t>S&amp;P Global Market Intelligence</w:t>
      </w:r>
      <w:r>
        <w:t>), where I continue to conduct frequent national executive-level education seminars throughout the United States and Canada.</w:t>
      </w:r>
      <w:r w:rsidR="00BD560E">
        <w:t xml:space="preserve"> </w:t>
      </w:r>
      <w:r>
        <w:t xml:space="preserve">In the last 30 years, I have conducted numerous national seminars on </w:t>
      </w:r>
      <w:r w:rsidR="00BD560E">
        <w:t>“</w:t>
      </w:r>
      <w:r>
        <w:t>Utility Finance,</w:t>
      </w:r>
      <w:r w:rsidR="00BD560E">
        <w:t>”</w:t>
      </w:r>
      <w:r>
        <w:t xml:space="preserve"> </w:t>
      </w:r>
      <w:r w:rsidR="00BD560E">
        <w:t>“</w:t>
      </w:r>
      <w:r>
        <w:t>Utility Cost of Capital,</w:t>
      </w:r>
      <w:r w:rsidR="00BD560E">
        <w:t>”</w:t>
      </w:r>
      <w:r>
        <w:t xml:space="preserve"> </w:t>
      </w:r>
      <w:r w:rsidR="00BD560E">
        <w:t>“</w:t>
      </w:r>
      <w:r>
        <w:t>Alternative Regulatory Frameworks,</w:t>
      </w:r>
      <w:r w:rsidR="00BD560E">
        <w:t>”</w:t>
      </w:r>
      <w:r>
        <w:t xml:space="preserve"> and </w:t>
      </w:r>
      <w:r w:rsidR="00BD560E">
        <w:t>“</w:t>
      </w:r>
      <w:r>
        <w:t>Utility Capital Allocation,</w:t>
      </w:r>
      <w:r w:rsidR="00BD560E">
        <w:t>”</w:t>
      </w:r>
      <w:r>
        <w:t xml:space="preserve"> which I have developed on behalf of The M</w:t>
      </w:r>
      <w:r w:rsidR="00204E73">
        <w:t>anagement Exchange Inc. and S&amp;P Global Market Intelligence.</w:t>
      </w:r>
    </w:p>
    <w:p w14:paraId="1CEE49F2" w14:textId="43FC4DB0" w:rsidR="00E84930" w:rsidRDefault="00290C67" w:rsidP="00BF05CC">
      <w:pPr>
        <w:pStyle w:val="answer"/>
        <w:ind w:firstLine="0"/>
      </w:pPr>
      <w:r>
        <w:t>I have authored or co-authored several books, monographs, and articles in academic scientific journals on the subject of finance.</w:t>
      </w:r>
      <w:r w:rsidR="00BD560E">
        <w:t xml:space="preserve"> </w:t>
      </w:r>
      <w:r>
        <w:t>They have appeared in a variety of journals, including The Journal of Finance, The Journal of Business Administration, International Management Review, and Public Utilities Fortnightly.</w:t>
      </w:r>
      <w:r w:rsidR="00BD560E">
        <w:t xml:space="preserve"> </w:t>
      </w:r>
      <w:r>
        <w:t>I published a widely-used treatise on regulatory finance, Utilities</w:t>
      </w:r>
      <w:r w:rsidR="00BD560E">
        <w:t>’</w:t>
      </w:r>
      <w:r>
        <w:t xml:space="preserve"> Cost of Capital, Public Utilities Reports, Inc., Arlington, Va. 1984.</w:t>
      </w:r>
      <w:r w:rsidR="00BD560E">
        <w:t xml:space="preserve"> </w:t>
      </w:r>
      <w:r>
        <w:t>In late 1994, the same publisher released my book, Regulatory Finance, a voluminous treatise on the application of finance to regulated utilities.</w:t>
      </w:r>
      <w:r w:rsidR="00BD560E">
        <w:t xml:space="preserve"> </w:t>
      </w:r>
      <w:r>
        <w:t>A revised and expanded edition of this book, The New Regulatory Finance, was published in 2006.</w:t>
      </w:r>
      <w:r w:rsidR="00BD560E">
        <w:t xml:space="preserve"> </w:t>
      </w:r>
      <w:r>
        <w:t>I have been engaged in extensive consulting activities on behalf of numerous corporations, legal firms, and regulatory bodies in matters of financial management and corporate litigation.</w:t>
      </w:r>
    </w:p>
    <w:p w14:paraId="7C979C02" w14:textId="77777777" w:rsidR="00290C67" w:rsidRDefault="00E84930" w:rsidP="00BF05CC">
      <w:pPr>
        <w:pStyle w:val="answer"/>
        <w:ind w:firstLine="0"/>
      </w:pPr>
      <w:r>
        <w:t xml:space="preserve">Please see </w:t>
      </w:r>
      <w:r w:rsidR="00290C67">
        <w:t xml:space="preserve">Exhibit </w:t>
      </w:r>
      <w:r>
        <w:t>No. ___(</w:t>
      </w:r>
      <w:r w:rsidR="00290C67">
        <w:t>RAM-</w:t>
      </w:r>
      <w:r>
        <w:t>2)</w:t>
      </w:r>
      <w:r w:rsidR="00290C67">
        <w:t xml:space="preserve"> </w:t>
      </w:r>
      <w:r>
        <w:t xml:space="preserve">for </w:t>
      </w:r>
      <w:r w:rsidR="00290C67">
        <w:t xml:space="preserve">my professional </w:t>
      </w:r>
      <w:r>
        <w:t>qualifications</w:t>
      </w:r>
      <w:r w:rsidR="00290C67">
        <w:t>.</w:t>
      </w:r>
    </w:p>
    <w:p w14:paraId="5F48E36C" w14:textId="77777777" w:rsidR="00290C67" w:rsidRDefault="00290C67" w:rsidP="00BF05CC">
      <w:pPr>
        <w:pStyle w:val="question"/>
      </w:pPr>
      <w:r>
        <w:lastRenderedPageBreak/>
        <w:t>Q.</w:t>
      </w:r>
      <w:r>
        <w:tab/>
        <w:t>Have you previously testified on cost of capital before utility regulatory commissions?</w:t>
      </w:r>
    </w:p>
    <w:p w14:paraId="0A499941" w14:textId="413D39D2" w:rsidR="00290C67" w:rsidRDefault="00290C67" w:rsidP="00BF05CC">
      <w:pPr>
        <w:pStyle w:val="answer"/>
      </w:pPr>
      <w:r>
        <w:t>A.</w:t>
      </w:r>
      <w:r>
        <w:tab/>
        <w:t xml:space="preserve">Yes, I have been a cost of capital witness before nearly 50 regulatory bodies in North America, including the Washington Utilities and Transportation Commission (the </w:t>
      </w:r>
      <w:r w:rsidR="00E84930">
        <w:t>“</w:t>
      </w:r>
      <w:r>
        <w:t>Commission</w:t>
      </w:r>
      <w:r w:rsidR="00E84930">
        <w:t>”</w:t>
      </w:r>
      <w:r>
        <w:t>), Federal Energy Regulatory Commission, and the Federal Communications Commission.</w:t>
      </w:r>
      <w:r w:rsidR="00BD560E">
        <w:t xml:space="preserve"> </w:t>
      </w:r>
      <w:r>
        <w:t>I have also testified before the following state, provincial, and other local regulatory commissions:</w:t>
      </w:r>
    </w:p>
    <w:tbl>
      <w:tblPr>
        <w:tblStyle w:val="TableGrid"/>
        <w:tblW w:w="855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97"/>
        <w:gridCol w:w="2097"/>
        <w:gridCol w:w="2097"/>
      </w:tblGrid>
      <w:tr w:rsidR="004D390B" w14:paraId="43974B29" w14:textId="77777777" w:rsidTr="00BF05CC">
        <w:tc>
          <w:tcPr>
            <w:tcW w:w="2268" w:type="dxa"/>
          </w:tcPr>
          <w:p w14:paraId="4488FF1F" w14:textId="77777777" w:rsidR="00695C07" w:rsidRDefault="004D390B" w:rsidP="00BF05CC">
            <w:pPr>
              <w:spacing w:after="120" w:line="240" w:lineRule="auto"/>
              <w:ind w:firstLine="0"/>
            </w:pPr>
            <w:r>
              <w:t>Alabama</w:t>
            </w:r>
          </w:p>
        </w:tc>
        <w:tc>
          <w:tcPr>
            <w:tcW w:w="2097" w:type="dxa"/>
          </w:tcPr>
          <w:p w14:paraId="56B01E0E" w14:textId="77777777" w:rsidR="00695C07" w:rsidRDefault="004D390B" w:rsidP="00BF05CC">
            <w:pPr>
              <w:spacing w:after="120" w:line="240" w:lineRule="auto"/>
              <w:ind w:firstLine="0"/>
            </w:pPr>
            <w:r>
              <w:t>Florida</w:t>
            </w:r>
          </w:p>
        </w:tc>
        <w:tc>
          <w:tcPr>
            <w:tcW w:w="2097" w:type="dxa"/>
          </w:tcPr>
          <w:p w14:paraId="3D7DD81A" w14:textId="77777777" w:rsidR="00695C07" w:rsidRDefault="004D390B" w:rsidP="00BF05CC">
            <w:pPr>
              <w:spacing w:after="120" w:line="240" w:lineRule="auto"/>
              <w:ind w:firstLine="0"/>
            </w:pPr>
            <w:r>
              <w:t>Missouri</w:t>
            </w:r>
          </w:p>
        </w:tc>
        <w:tc>
          <w:tcPr>
            <w:tcW w:w="2097" w:type="dxa"/>
          </w:tcPr>
          <w:p w14:paraId="1FD82F32" w14:textId="77777777" w:rsidR="00695C07" w:rsidRDefault="00BF05CC" w:rsidP="00BF05CC">
            <w:pPr>
              <w:spacing w:after="120" w:line="240" w:lineRule="auto"/>
              <w:ind w:firstLine="0"/>
            </w:pPr>
            <w:r>
              <w:t>Oklahoma</w:t>
            </w:r>
          </w:p>
        </w:tc>
      </w:tr>
      <w:tr w:rsidR="00BF05CC" w14:paraId="6D0A8D90" w14:textId="77777777" w:rsidTr="00BF05CC">
        <w:tc>
          <w:tcPr>
            <w:tcW w:w="2268" w:type="dxa"/>
          </w:tcPr>
          <w:p w14:paraId="1E2B2E00" w14:textId="77777777" w:rsidR="00BF05CC" w:rsidRDefault="00BF05CC" w:rsidP="00BF05CC">
            <w:pPr>
              <w:spacing w:after="120" w:line="240" w:lineRule="auto"/>
              <w:ind w:firstLine="0"/>
            </w:pPr>
            <w:r>
              <w:t>Alaska</w:t>
            </w:r>
          </w:p>
        </w:tc>
        <w:tc>
          <w:tcPr>
            <w:tcW w:w="2097" w:type="dxa"/>
          </w:tcPr>
          <w:p w14:paraId="79908220" w14:textId="77777777" w:rsidR="00BF05CC" w:rsidRDefault="00BF05CC" w:rsidP="00BF05CC">
            <w:pPr>
              <w:spacing w:after="120" w:line="240" w:lineRule="auto"/>
              <w:ind w:firstLine="0"/>
            </w:pPr>
            <w:r>
              <w:t xml:space="preserve">Georgia </w:t>
            </w:r>
          </w:p>
        </w:tc>
        <w:tc>
          <w:tcPr>
            <w:tcW w:w="2097" w:type="dxa"/>
          </w:tcPr>
          <w:p w14:paraId="37DCF472" w14:textId="77777777" w:rsidR="00BF05CC" w:rsidRDefault="00BF05CC" w:rsidP="00BF05CC">
            <w:pPr>
              <w:spacing w:after="120" w:line="240" w:lineRule="auto"/>
              <w:ind w:firstLine="0"/>
            </w:pPr>
            <w:r>
              <w:t>Montana</w:t>
            </w:r>
          </w:p>
        </w:tc>
        <w:tc>
          <w:tcPr>
            <w:tcW w:w="2097" w:type="dxa"/>
          </w:tcPr>
          <w:p w14:paraId="329A85C4" w14:textId="77777777" w:rsidR="00BF05CC" w:rsidRDefault="00BF05CC" w:rsidP="00BF05CC">
            <w:pPr>
              <w:spacing w:after="120" w:line="240" w:lineRule="auto"/>
              <w:ind w:firstLine="0"/>
            </w:pPr>
            <w:r>
              <w:t>Ontario</w:t>
            </w:r>
          </w:p>
        </w:tc>
      </w:tr>
      <w:tr w:rsidR="00BF05CC" w14:paraId="7A0A6DFE" w14:textId="77777777" w:rsidTr="00BF05CC">
        <w:tc>
          <w:tcPr>
            <w:tcW w:w="2268" w:type="dxa"/>
          </w:tcPr>
          <w:p w14:paraId="48E5B397" w14:textId="77777777" w:rsidR="00BF05CC" w:rsidRDefault="00BF05CC" w:rsidP="00BF05CC">
            <w:pPr>
              <w:spacing w:after="120" w:line="240" w:lineRule="auto"/>
              <w:ind w:firstLine="0"/>
            </w:pPr>
            <w:r>
              <w:t>Alberta</w:t>
            </w:r>
            <w:r>
              <w:tab/>
            </w:r>
          </w:p>
        </w:tc>
        <w:tc>
          <w:tcPr>
            <w:tcW w:w="2097" w:type="dxa"/>
          </w:tcPr>
          <w:p w14:paraId="2F277F73" w14:textId="77777777" w:rsidR="00BF05CC" w:rsidRDefault="00BF05CC" w:rsidP="00BF05CC">
            <w:pPr>
              <w:spacing w:after="120" w:line="240" w:lineRule="auto"/>
              <w:ind w:firstLine="0"/>
            </w:pPr>
            <w:r>
              <w:t>Hawaii</w:t>
            </w:r>
          </w:p>
        </w:tc>
        <w:tc>
          <w:tcPr>
            <w:tcW w:w="2097" w:type="dxa"/>
          </w:tcPr>
          <w:p w14:paraId="19511F38" w14:textId="77777777" w:rsidR="00BF05CC" w:rsidRDefault="00BF05CC" w:rsidP="00BF05CC">
            <w:pPr>
              <w:spacing w:after="120" w:line="240" w:lineRule="auto"/>
              <w:ind w:firstLine="0"/>
            </w:pPr>
            <w:r>
              <w:t>Nebraska</w:t>
            </w:r>
          </w:p>
        </w:tc>
        <w:tc>
          <w:tcPr>
            <w:tcW w:w="2097" w:type="dxa"/>
          </w:tcPr>
          <w:p w14:paraId="582762E9" w14:textId="77777777" w:rsidR="00BF05CC" w:rsidRDefault="00BF05CC" w:rsidP="00BF05CC">
            <w:pPr>
              <w:spacing w:after="120" w:line="240" w:lineRule="auto"/>
              <w:ind w:firstLine="0"/>
            </w:pPr>
            <w:r>
              <w:t>Oregon</w:t>
            </w:r>
          </w:p>
        </w:tc>
      </w:tr>
      <w:tr w:rsidR="00BF05CC" w14:paraId="26E35188" w14:textId="77777777" w:rsidTr="00BF05CC">
        <w:tc>
          <w:tcPr>
            <w:tcW w:w="2268" w:type="dxa"/>
          </w:tcPr>
          <w:p w14:paraId="7D2A91F2" w14:textId="77777777" w:rsidR="00BF05CC" w:rsidRDefault="00BF05CC" w:rsidP="00BF05CC">
            <w:pPr>
              <w:spacing w:after="120" w:line="240" w:lineRule="auto"/>
              <w:ind w:firstLine="0"/>
            </w:pPr>
            <w:r>
              <w:t>Arizona</w:t>
            </w:r>
          </w:p>
        </w:tc>
        <w:tc>
          <w:tcPr>
            <w:tcW w:w="2097" w:type="dxa"/>
          </w:tcPr>
          <w:p w14:paraId="652DE7AC" w14:textId="77777777" w:rsidR="00BF05CC" w:rsidRDefault="00BF05CC" w:rsidP="00BF05CC">
            <w:pPr>
              <w:spacing w:after="120" w:line="240" w:lineRule="auto"/>
              <w:ind w:firstLine="0"/>
            </w:pPr>
            <w:r>
              <w:t>Illinois</w:t>
            </w:r>
          </w:p>
        </w:tc>
        <w:tc>
          <w:tcPr>
            <w:tcW w:w="2097" w:type="dxa"/>
          </w:tcPr>
          <w:p w14:paraId="2D1DADF1" w14:textId="77777777" w:rsidR="00BF05CC" w:rsidRDefault="00BF05CC" w:rsidP="00BF05CC">
            <w:pPr>
              <w:spacing w:after="120" w:line="240" w:lineRule="auto"/>
              <w:ind w:firstLine="0"/>
            </w:pPr>
            <w:r>
              <w:t>Nevada</w:t>
            </w:r>
          </w:p>
        </w:tc>
        <w:tc>
          <w:tcPr>
            <w:tcW w:w="2097" w:type="dxa"/>
          </w:tcPr>
          <w:p w14:paraId="66A6C513" w14:textId="77777777" w:rsidR="00BF05CC" w:rsidRDefault="00BF05CC" w:rsidP="00BF05CC">
            <w:pPr>
              <w:spacing w:after="120" w:line="240" w:lineRule="auto"/>
              <w:ind w:firstLine="0"/>
            </w:pPr>
            <w:r>
              <w:t>Pennsylvania</w:t>
            </w:r>
          </w:p>
        </w:tc>
      </w:tr>
      <w:tr w:rsidR="00BF05CC" w14:paraId="046BB495" w14:textId="77777777" w:rsidTr="00BF05CC">
        <w:tc>
          <w:tcPr>
            <w:tcW w:w="2268" w:type="dxa"/>
          </w:tcPr>
          <w:p w14:paraId="79BB89E5" w14:textId="77777777" w:rsidR="00BF05CC" w:rsidRDefault="00BF05CC" w:rsidP="00BF05CC">
            <w:pPr>
              <w:spacing w:after="120" w:line="240" w:lineRule="auto"/>
              <w:ind w:firstLine="0"/>
            </w:pPr>
            <w:r>
              <w:t>Arkansas</w:t>
            </w:r>
          </w:p>
        </w:tc>
        <w:tc>
          <w:tcPr>
            <w:tcW w:w="2097" w:type="dxa"/>
          </w:tcPr>
          <w:p w14:paraId="2AA61EF0" w14:textId="77777777" w:rsidR="00BF05CC" w:rsidRDefault="00BF05CC" w:rsidP="00BF05CC">
            <w:pPr>
              <w:spacing w:after="120" w:line="240" w:lineRule="auto"/>
              <w:ind w:firstLine="0"/>
            </w:pPr>
            <w:r>
              <w:t>Indiana</w:t>
            </w:r>
            <w:r>
              <w:tab/>
            </w:r>
          </w:p>
        </w:tc>
        <w:tc>
          <w:tcPr>
            <w:tcW w:w="2097" w:type="dxa"/>
          </w:tcPr>
          <w:p w14:paraId="41FDA3B2" w14:textId="77777777" w:rsidR="00BF05CC" w:rsidRDefault="00BF05CC" w:rsidP="00BF05CC">
            <w:pPr>
              <w:spacing w:after="120" w:line="240" w:lineRule="auto"/>
              <w:ind w:firstLine="0"/>
            </w:pPr>
            <w:r>
              <w:t>New Brunswick</w:t>
            </w:r>
          </w:p>
        </w:tc>
        <w:tc>
          <w:tcPr>
            <w:tcW w:w="2097" w:type="dxa"/>
          </w:tcPr>
          <w:p w14:paraId="3A7DBA95" w14:textId="77777777" w:rsidR="00BF05CC" w:rsidRDefault="00BF05CC" w:rsidP="00BF05CC">
            <w:pPr>
              <w:spacing w:after="120" w:line="240" w:lineRule="auto"/>
              <w:ind w:firstLine="0"/>
            </w:pPr>
            <w:r>
              <w:t>Quebec</w:t>
            </w:r>
          </w:p>
        </w:tc>
      </w:tr>
      <w:tr w:rsidR="00BF05CC" w14:paraId="0BEF13E6" w14:textId="77777777" w:rsidTr="00BF05CC">
        <w:tc>
          <w:tcPr>
            <w:tcW w:w="2268" w:type="dxa"/>
          </w:tcPr>
          <w:p w14:paraId="32FB726D" w14:textId="77777777" w:rsidR="00BF05CC" w:rsidRDefault="00BF05CC" w:rsidP="00BF05CC">
            <w:pPr>
              <w:spacing w:after="120" w:line="240" w:lineRule="auto"/>
              <w:ind w:firstLine="0"/>
            </w:pPr>
            <w:r>
              <w:t>British Columbia</w:t>
            </w:r>
          </w:p>
        </w:tc>
        <w:tc>
          <w:tcPr>
            <w:tcW w:w="2097" w:type="dxa"/>
          </w:tcPr>
          <w:p w14:paraId="73617F35" w14:textId="77777777" w:rsidR="00BF05CC" w:rsidRDefault="00BF05CC" w:rsidP="00BF05CC">
            <w:pPr>
              <w:spacing w:after="120" w:line="240" w:lineRule="auto"/>
              <w:ind w:firstLine="0"/>
            </w:pPr>
            <w:r>
              <w:t>Iowa</w:t>
            </w:r>
          </w:p>
        </w:tc>
        <w:tc>
          <w:tcPr>
            <w:tcW w:w="2097" w:type="dxa"/>
          </w:tcPr>
          <w:p w14:paraId="7E5A1C9F" w14:textId="77777777" w:rsidR="00BF05CC" w:rsidRDefault="00BF05CC" w:rsidP="00BF05CC">
            <w:pPr>
              <w:spacing w:after="120" w:line="240" w:lineRule="auto"/>
              <w:ind w:firstLine="0"/>
            </w:pPr>
            <w:r>
              <w:t>New Hampshire</w:t>
            </w:r>
          </w:p>
        </w:tc>
        <w:tc>
          <w:tcPr>
            <w:tcW w:w="2097" w:type="dxa"/>
          </w:tcPr>
          <w:p w14:paraId="6208F014" w14:textId="77777777" w:rsidR="00BF05CC" w:rsidRDefault="00BF05CC" w:rsidP="00BF05CC">
            <w:pPr>
              <w:spacing w:after="120" w:line="240" w:lineRule="auto"/>
              <w:ind w:firstLine="0"/>
            </w:pPr>
            <w:r>
              <w:t>South Carolina</w:t>
            </w:r>
          </w:p>
        </w:tc>
      </w:tr>
      <w:tr w:rsidR="00BF05CC" w14:paraId="277D436C" w14:textId="77777777" w:rsidTr="00BF05CC">
        <w:tc>
          <w:tcPr>
            <w:tcW w:w="2268" w:type="dxa"/>
          </w:tcPr>
          <w:p w14:paraId="6DDB0FDB" w14:textId="77777777" w:rsidR="00BF05CC" w:rsidRDefault="00BF05CC" w:rsidP="00BF05CC">
            <w:pPr>
              <w:spacing w:after="120" w:line="240" w:lineRule="auto"/>
              <w:ind w:firstLine="0"/>
            </w:pPr>
            <w:r>
              <w:t>California</w:t>
            </w:r>
          </w:p>
        </w:tc>
        <w:tc>
          <w:tcPr>
            <w:tcW w:w="2097" w:type="dxa"/>
          </w:tcPr>
          <w:p w14:paraId="07FC3255" w14:textId="77777777" w:rsidR="00BF05CC" w:rsidRDefault="00BF05CC" w:rsidP="00BF05CC">
            <w:pPr>
              <w:spacing w:after="120" w:line="240" w:lineRule="auto"/>
              <w:ind w:firstLine="0"/>
            </w:pPr>
            <w:r>
              <w:t>Kentucky</w:t>
            </w:r>
          </w:p>
        </w:tc>
        <w:tc>
          <w:tcPr>
            <w:tcW w:w="2097" w:type="dxa"/>
          </w:tcPr>
          <w:p w14:paraId="71239E66" w14:textId="77777777" w:rsidR="00BF05CC" w:rsidRDefault="00BF05CC" w:rsidP="00BF05CC">
            <w:pPr>
              <w:spacing w:after="120" w:line="240" w:lineRule="auto"/>
              <w:ind w:firstLine="0"/>
            </w:pPr>
            <w:r>
              <w:t>New Jersey</w:t>
            </w:r>
          </w:p>
        </w:tc>
        <w:tc>
          <w:tcPr>
            <w:tcW w:w="2097" w:type="dxa"/>
          </w:tcPr>
          <w:p w14:paraId="7E809FBE" w14:textId="77777777" w:rsidR="00BF05CC" w:rsidRDefault="00BF05CC" w:rsidP="00BF05CC">
            <w:pPr>
              <w:spacing w:after="120" w:line="240" w:lineRule="auto"/>
              <w:ind w:firstLine="0"/>
            </w:pPr>
            <w:r>
              <w:t>South Dakota</w:t>
            </w:r>
          </w:p>
        </w:tc>
      </w:tr>
      <w:tr w:rsidR="00BF05CC" w14:paraId="3AED3D16" w14:textId="77777777" w:rsidTr="00BF05CC">
        <w:tc>
          <w:tcPr>
            <w:tcW w:w="2268" w:type="dxa"/>
          </w:tcPr>
          <w:p w14:paraId="0B904268" w14:textId="77777777" w:rsidR="00BF05CC" w:rsidRDefault="00BF05CC" w:rsidP="00BF05CC">
            <w:pPr>
              <w:spacing w:after="120" w:line="240" w:lineRule="auto"/>
              <w:ind w:firstLine="0"/>
            </w:pPr>
            <w:r>
              <w:t>City of New Orleans</w:t>
            </w:r>
          </w:p>
        </w:tc>
        <w:tc>
          <w:tcPr>
            <w:tcW w:w="2097" w:type="dxa"/>
          </w:tcPr>
          <w:p w14:paraId="38503DCA" w14:textId="77777777" w:rsidR="00BF05CC" w:rsidRDefault="00BF05CC" w:rsidP="00BF05CC">
            <w:pPr>
              <w:spacing w:after="120" w:line="240" w:lineRule="auto"/>
              <w:ind w:firstLine="0"/>
            </w:pPr>
            <w:r>
              <w:t>Louisiana</w:t>
            </w:r>
          </w:p>
        </w:tc>
        <w:tc>
          <w:tcPr>
            <w:tcW w:w="2097" w:type="dxa"/>
          </w:tcPr>
          <w:p w14:paraId="795F3616" w14:textId="77777777" w:rsidR="00BF05CC" w:rsidRDefault="00BF05CC" w:rsidP="00BF05CC">
            <w:pPr>
              <w:spacing w:after="120" w:line="240" w:lineRule="auto"/>
              <w:ind w:firstLine="0"/>
            </w:pPr>
            <w:r>
              <w:t>New Mexico</w:t>
            </w:r>
          </w:p>
        </w:tc>
        <w:tc>
          <w:tcPr>
            <w:tcW w:w="2097" w:type="dxa"/>
          </w:tcPr>
          <w:p w14:paraId="54AAE3AD" w14:textId="77777777" w:rsidR="00BF05CC" w:rsidRDefault="00BF05CC" w:rsidP="00BF05CC">
            <w:pPr>
              <w:spacing w:after="120" w:line="240" w:lineRule="auto"/>
              <w:ind w:firstLine="0"/>
            </w:pPr>
            <w:r>
              <w:t>Tennessee</w:t>
            </w:r>
          </w:p>
        </w:tc>
      </w:tr>
      <w:tr w:rsidR="00BF05CC" w14:paraId="7EB939B0" w14:textId="77777777" w:rsidTr="00BF05CC">
        <w:tc>
          <w:tcPr>
            <w:tcW w:w="2268" w:type="dxa"/>
          </w:tcPr>
          <w:p w14:paraId="3A4D5BA5" w14:textId="77777777" w:rsidR="00BF05CC" w:rsidRDefault="00BF05CC" w:rsidP="00BF05CC">
            <w:pPr>
              <w:spacing w:after="120" w:line="240" w:lineRule="auto"/>
              <w:ind w:firstLine="0"/>
            </w:pPr>
            <w:r>
              <w:t xml:space="preserve">Colorado </w:t>
            </w:r>
          </w:p>
        </w:tc>
        <w:tc>
          <w:tcPr>
            <w:tcW w:w="2097" w:type="dxa"/>
          </w:tcPr>
          <w:p w14:paraId="44C19CF0" w14:textId="77777777" w:rsidR="00BF05CC" w:rsidRDefault="00BF05CC" w:rsidP="00BF05CC">
            <w:pPr>
              <w:spacing w:after="120" w:line="240" w:lineRule="auto"/>
              <w:ind w:firstLine="0"/>
            </w:pPr>
            <w:r>
              <w:t>Maine</w:t>
            </w:r>
          </w:p>
        </w:tc>
        <w:tc>
          <w:tcPr>
            <w:tcW w:w="2097" w:type="dxa"/>
          </w:tcPr>
          <w:p w14:paraId="52AE6E6A" w14:textId="77777777" w:rsidR="00BF05CC" w:rsidRDefault="00BF05CC" w:rsidP="00BF05CC">
            <w:pPr>
              <w:spacing w:after="120" w:line="240" w:lineRule="auto"/>
              <w:ind w:firstLine="0"/>
            </w:pPr>
            <w:r>
              <w:t>New York</w:t>
            </w:r>
          </w:p>
        </w:tc>
        <w:tc>
          <w:tcPr>
            <w:tcW w:w="2097" w:type="dxa"/>
          </w:tcPr>
          <w:p w14:paraId="08CEC070" w14:textId="77777777" w:rsidR="00BF05CC" w:rsidRDefault="00BF05CC" w:rsidP="00BF05CC">
            <w:pPr>
              <w:spacing w:after="120" w:line="240" w:lineRule="auto"/>
              <w:ind w:firstLine="0"/>
            </w:pPr>
            <w:r>
              <w:t>Texas</w:t>
            </w:r>
          </w:p>
        </w:tc>
      </w:tr>
      <w:tr w:rsidR="00BF05CC" w14:paraId="73B1302D" w14:textId="77777777" w:rsidTr="00BF05CC">
        <w:tc>
          <w:tcPr>
            <w:tcW w:w="2268" w:type="dxa"/>
          </w:tcPr>
          <w:p w14:paraId="22E70D33" w14:textId="77777777" w:rsidR="00BF05CC" w:rsidRDefault="00BF05CC" w:rsidP="00BF05CC">
            <w:pPr>
              <w:spacing w:after="120" w:line="240" w:lineRule="auto"/>
              <w:ind w:firstLine="0"/>
            </w:pPr>
            <w:proofErr w:type="spellStart"/>
            <w:r>
              <w:t>CRTC</w:t>
            </w:r>
            <w:proofErr w:type="spellEnd"/>
          </w:p>
        </w:tc>
        <w:tc>
          <w:tcPr>
            <w:tcW w:w="2097" w:type="dxa"/>
          </w:tcPr>
          <w:p w14:paraId="14F22589" w14:textId="77777777" w:rsidR="00BF05CC" w:rsidRDefault="00BF05CC" w:rsidP="00BF05CC">
            <w:pPr>
              <w:spacing w:after="120" w:line="240" w:lineRule="auto"/>
              <w:ind w:firstLine="0"/>
            </w:pPr>
            <w:r>
              <w:t>Manitoba</w:t>
            </w:r>
          </w:p>
        </w:tc>
        <w:tc>
          <w:tcPr>
            <w:tcW w:w="2097" w:type="dxa"/>
          </w:tcPr>
          <w:p w14:paraId="2896C19A" w14:textId="77777777" w:rsidR="00BF05CC" w:rsidRDefault="00BF05CC" w:rsidP="00BF05CC">
            <w:pPr>
              <w:spacing w:after="120" w:line="240" w:lineRule="auto"/>
              <w:ind w:firstLine="0"/>
            </w:pPr>
            <w:r>
              <w:t>Newfoundland</w:t>
            </w:r>
          </w:p>
        </w:tc>
        <w:tc>
          <w:tcPr>
            <w:tcW w:w="2097" w:type="dxa"/>
          </w:tcPr>
          <w:p w14:paraId="3A8DF9B4" w14:textId="77777777" w:rsidR="00BF05CC" w:rsidRDefault="00BF05CC" w:rsidP="00BF05CC">
            <w:pPr>
              <w:spacing w:after="120" w:line="240" w:lineRule="auto"/>
              <w:ind w:firstLine="0"/>
            </w:pPr>
            <w:r>
              <w:t>Utah</w:t>
            </w:r>
          </w:p>
        </w:tc>
      </w:tr>
      <w:tr w:rsidR="00BF05CC" w14:paraId="65F9FCC0" w14:textId="77777777" w:rsidTr="00BF05CC">
        <w:tc>
          <w:tcPr>
            <w:tcW w:w="2268" w:type="dxa"/>
          </w:tcPr>
          <w:p w14:paraId="6F921A9E" w14:textId="77777777" w:rsidR="00BF05CC" w:rsidRDefault="00BF05CC" w:rsidP="00BF05CC">
            <w:pPr>
              <w:spacing w:after="120" w:line="240" w:lineRule="auto"/>
              <w:ind w:firstLine="0"/>
            </w:pPr>
            <w:r>
              <w:t>Delaware</w:t>
            </w:r>
          </w:p>
        </w:tc>
        <w:tc>
          <w:tcPr>
            <w:tcW w:w="2097" w:type="dxa"/>
          </w:tcPr>
          <w:p w14:paraId="53140B5F" w14:textId="77777777" w:rsidR="00BF05CC" w:rsidRDefault="00BF05CC" w:rsidP="00BF05CC">
            <w:pPr>
              <w:spacing w:after="120" w:line="240" w:lineRule="auto"/>
              <w:ind w:firstLine="0"/>
            </w:pPr>
            <w:r>
              <w:t>Maryland</w:t>
            </w:r>
          </w:p>
        </w:tc>
        <w:tc>
          <w:tcPr>
            <w:tcW w:w="2097" w:type="dxa"/>
          </w:tcPr>
          <w:p w14:paraId="43050B9C" w14:textId="77777777" w:rsidR="00BF05CC" w:rsidRDefault="00BF05CC" w:rsidP="00BF05CC">
            <w:pPr>
              <w:spacing w:after="120" w:line="240" w:lineRule="auto"/>
              <w:ind w:firstLine="0"/>
            </w:pPr>
            <w:r>
              <w:t>North Carolina</w:t>
            </w:r>
          </w:p>
        </w:tc>
        <w:tc>
          <w:tcPr>
            <w:tcW w:w="2097" w:type="dxa"/>
          </w:tcPr>
          <w:p w14:paraId="339B402E" w14:textId="77777777" w:rsidR="00BF05CC" w:rsidRDefault="00BF05CC" w:rsidP="00BF05CC">
            <w:pPr>
              <w:spacing w:after="120" w:line="240" w:lineRule="auto"/>
              <w:ind w:firstLine="0"/>
            </w:pPr>
            <w:r>
              <w:t>Vermont</w:t>
            </w:r>
          </w:p>
        </w:tc>
      </w:tr>
      <w:tr w:rsidR="00BF05CC" w14:paraId="63FBE3C9" w14:textId="77777777" w:rsidTr="00BF05CC">
        <w:tc>
          <w:tcPr>
            <w:tcW w:w="2268" w:type="dxa"/>
          </w:tcPr>
          <w:p w14:paraId="42623C00" w14:textId="77777777" w:rsidR="00BF05CC" w:rsidRDefault="00BF05CC" w:rsidP="00BF05CC">
            <w:pPr>
              <w:spacing w:after="120" w:line="240" w:lineRule="auto"/>
              <w:ind w:firstLine="0"/>
            </w:pPr>
            <w:r>
              <w:t>District of Columbia</w:t>
            </w:r>
          </w:p>
        </w:tc>
        <w:tc>
          <w:tcPr>
            <w:tcW w:w="2097" w:type="dxa"/>
          </w:tcPr>
          <w:p w14:paraId="4DA49534" w14:textId="77777777" w:rsidR="00BF05CC" w:rsidRDefault="00BF05CC" w:rsidP="00BF05CC">
            <w:pPr>
              <w:spacing w:after="120" w:line="240" w:lineRule="auto"/>
              <w:ind w:firstLine="0"/>
            </w:pPr>
            <w:r>
              <w:t>Michigan</w:t>
            </w:r>
          </w:p>
        </w:tc>
        <w:tc>
          <w:tcPr>
            <w:tcW w:w="2097" w:type="dxa"/>
          </w:tcPr>
          <w:p w14:paraId="3DFCD77D" w14:textId="77777777" w:rsidR="00BF05CC" w:rsidRDefault="00BF05CC" w:rsidP="00BF05CC">
            <w:pPr>
              <w:spacing w:after="120" w:line="240" w:lineRule="auto"/>
              <w:ind w:firstLine="0"/>
            </w:pPr>
            <w:r>
              <w:t>North Dakota</w:t>
            </w:r>
          </w:p>
        </w:tc>
        <w:tc>
          <w:tcPr>
            <w:tcW w:w="2097" w:type="dxa"/>
          </w:tcPr>
          <w:p w14:paraId="27E3A9F5" w14:textId="77777777" w:rsidR="00BF05CC" w:rsidRDefault="00BF05CC" w:rsidP="00BF05CC">
            <w:pPr>
              <w:spacing w:after="120" w:line="240" w:lineRule="auto"/>
              <w:ind w:firstLine="0"/>
            </w:pPr>
            <w:r>
              <w:t>Virginia</w:t>
            </w:r>
          </w:p>
        </w:tc>
      </w:tr>
      <w:tr w:rsidR="00BF05CC" w14:paraId="3EB43186" w14:textId="77777777" w:rsidTr="00BF05CC">
        <w:tc>
          <w:tcPr>
            <w:tcW w:w="2268" w:type="dxa"/>
          </w:tcPr>
          <w:p w14:paraId="515E704F" w14:textId="77777777" w:rsidR="00BF05CC" w:rsidRDefault="00BF05CC" w:rsidP="00BF05CC">
            <w:pPr>
              <w:spacing w:after="120" w:line="240" w:lineRule="auto"/>
              <w:ind w:firstLine="0"/>
            </w:pPr>
            <w:r>
              <w:t>FCC</w:t>
            </w:r>
          </w:p>
        </w:tc>
        <w:tc>
          <w:tcPr>
            <w:tcW w:w="2097" w:type="dxa"/>
          </w:tcPr>
          <w:p w14:paraId="2F075BD2" w14:textId="77777777" w:rsidR="00BF05CC" w:rsidRDefault="00BF05CC" w:rsidP="00BF05CC">
            <w:pPr>
              <w:spacing w:after="120" w:line="240" w:lineRule="auto"/>
              <w:ind w:firstLine="0"/>
            </w:pPr>
            <w:r>
              <w:t>Minnesota</w:t>
            </w:r>
          </w:p>
        </w:tc>
        <w:tc>
          <w:tcPr>
            <w:tcW w:w="2097" w:type="dxa"/>
          </w:tcPr>
          <w:p w14:paraId="485A47F4" w14:textId="77777777" w:rsidR="00BF05CC" w:rsidRDefault="00BF05CC" w:rsidP="00BF05CC">
            <w:pPr>
              <w:spacing w:after="120" w:line="240" w:lineRule="auto"/>
              <w:ind w:firstLine="0"/>
            </w:pPr>
            <w:r>
              <w:t>Nova Scotia</w:t>
            </w:r>
          </w:p>
        </w:tc>
        <w:tc>
          <w:tcPr>
            <w:tcW w:w="2097" w:type="dxa"/>
          </w:tcPr>
          <w:p w14:paraId="4A872C1D" w14:textId="77777777" w:rsidR="00BF05CC" w:rsidRDefault="00BF05CC" w:rsidP="00BF05CC">
            <w:pPr>
              <w:spacing w:after="120" w:line="240" w:lineRule="auto"/>
              <w:ind w:firstLine="0"/>
            </w:pPr>
            <w:r>
              <w:t>Washington</w:t>
            </w:r>
          </w:p>
        </w:tc>
      </w:tr>
      <w:tr w:rsidR="00BF05CC" w14:paraId="02405DF4" w14:textId="77777777" w:rsidTr="00BF05CC">
        <w:tc>
          <w:tcPr>
            <w:tcW w:w="2268" w:type="dxa"/>
          </w:tcPr>
          <w:p w14:paraId="21DCA51E" w14:textId="77777777" w:rsidR="00BF05CC" w:rsidRDefault="00BF05CC" w:rsidP="00BF05CC">
            <w:pPr>
              <w:spacing w:after="120" w:line="240" w:lineRule="auto"/>
              <w:ind w:firstLine="0"/>
            </w:pPr>
            <w:r>
              <w:t>FERC</w:t>
            </w:r>
          </w:p>
        </w:tc>
        <w:tc>
          <w:tcPr>
            <w:tcW w:w="2097" w:type="dxa"/>
          </w:tcPr>
          <w:p w14:paraId="28B735A9" w14:textId="77777777" w:rsidR="00BF05CC" w:rsidRDefault="00BF05CC" w:rsidP="00BF05CC">
            <w:pPr>
              <w:spacing w:after="120" w:line="240" w:lineRule="auto"/>
              <w:ind w:firstLine="0"/>
            </w:pPr>
            <w:r>
              <w:t>Mississippi</w:t>
            </w:r>
          </w:p>
        </w:tc>
        <w:tc>
          <w:tcPr>
            <w:tcW w:w="2097" w:type="dxa"/>
          </w:tcPr>
          <w:p w14:paraId="17924BFE" w14:textId="77777777" w:rsidR="00BF05CC" w:rsidRDefault="00BF05CC" w:rsidP="00BF05CC">
            <w:pPr>
              <w:spacing w:after="120" w:line="240" w:lineRule="auto"/>
              <w:ind w:firstLine="0"/>
            </w:pPr>
            <w:r>
              <w:t>Ohio</w:t>
            </w:r>
          </w:p>
        </w:tc>
        <w:tc>
          <w:tcPr>
            <w:tcW w:w="2097" w:type="dxa"/>
          </w:tcPr>
          <w:p w14:paraId="4C974D4D" w14:textId="77777777" w:rsidR="00BF05CC" w:rsidRDefault="00BF05CC" w:rsidP="00BF05CC">
            <w:pPr>
              <w:spacing w:after="120" w:line="240" w:lineRule="auto"/>
              <w:ind w:firstLine="0"/>
            </w:pPr>
            <w:r>
              <w:t>West Virginia</w:t>
            </w:r>
          </w:p>
          <w:p w14:paraId="627A2092" w14:textId="3C1ED316" w:rsidR="00204E73" w:rsidRDefault="00204E73" w:rsidP="00BF05CC">
            <w:pPr>
              <w:spacing w:after="120" w:line="240" w:lineRule="auto"/>
              <w:ind w:firstLine="0"/>
            </w:pPr>
            <w:r>
              <w:t>Wisconsin</w:t>
            </w:r>
          </w:p>
        </w:tc>
      </w:tr>
    </w:tbl>
    <w:p w14:paraId="7A61161B" w14:textId="64E001CE" w:rsidR="00290C67" w:rsidRDefault="00290C67" w:rsidP="00BF05CC">
      <w:pPr>
        <w:pStyle w:val="answer"/>
        <w:spacing w:before="360"/>
        <w:ind w:firstLine="0"/>
      </w:pPr>
      <w:r>
        <w:t xml:space="preserve">The details of my participation in regulatory proceedings are </w:t>
      </w:r>
      <w:r w:rsidR="00E84930">
        <w:t xml:space="preserve">also </w:t>
      </w:r>
      <w:r>
        <w:t xml:space="preserve">provided in Exhibit </w:t>
      </w:r>
      <w:r w:rsidR="00E84930">
        <w:t>No. ___(</w:t>
      </w:r>
      <w:r>
        <w:t>RAM-</w:t>
      </w:r>
      <w:r w:rsidR="00E84930">
        <w:t>2)</w:t>
      </w:r>
      <w:r>
        <w:t>.</w:t>
      </w:r>
    </w:p>
    <w:p w14:paraId="7999FA0D" w14:textId="77777777" w:rsidR="00290C67" w:rsidRDefault="00290C67" w:rsidP="00BF05CC">
      <w:pPr>
        <w:pStyle w:val="question"/>
      </w:pPr>
      <w:r>
        <w:lastRenderedPageBreak/>
        <w:t>Q.</w:t>
      </w:r>
      <w:r>
        <w:tab/>
        <w:t>What is the purpose of your testimony in this proceeding?</w:t>
      </w:r>
    </w:p>
    <w:p w14:paraId="231AB93D" w14:textId="36A880B5" w:rsidR="003A56B0" w:rsidRDefault="00290C67" w:rsidP="00DC13B2">
      <w:pPr>
        <w:pStyle w:val="answer"/>
      </w:pPr>
      <w:r>
        <w:t>A.</w:t>
      </w:r>
      <w:r>
        <w:tab/>
      </w:r>
      <w:r w:rsidR="009437B3">
        <w:t xml:space="preserve">I have been asked by PSE to determine whether the rate of return on common equity (ROE) of 9.8% </w:t>
      </w:r>
      <w:r w:rsidR="005D3935">
        <w:t xml:space="preserve">requested by </w:t>
      </w:r>
      <w:r w:rsidR="00E11746">
        <w:t xml:space="preserve">PSE, </w:t>
      </w:r>
      <w:r w:rsidR="005D3935">
        <w:t xml:space="preserve">which was </w:t>
      </w:r>
      <w:r w:rsidR="009437B3">
        <w:t xml:space="preserve">authorized by the Commission in </w:t>
      </w:r>
      <w:r w:rsidR="00E11746">
        <w:t xml:space="preserve">PSE’s </w:t>
      </w:r>
      <w:r w:rsidR="009437B3">
        <w:t>last rate case</w:t>
      </w:r>
      <w:r w:rsidR="00E11746">
        <w:t>,</w:t>
      </w:r>
      <w:r w:rsidR="00E11746">
        <w:rPr>
          <w:rStyle w:val="FootnoteReference"/>
        </w:rPr>
        <w:footnoteReference w:id="2"/>
      </w:r>
      <w:r w:rsidR="009437B3">
        <w:t xml:space="preserve"> remains </w:t>
      </w:r>
      <w:r>
        <w:t xml:space="preserve">fair and reasonable </w:t>
      </w:r>
      <w:r w:rsidR="009437B3">
        <w:t>under curr</w:t>
      </w:r>
      <w:r w:rsidR="00FF32E7">
        <w:t xml:space="preserve">ent capital market conditions. </w:t>
      </w:r>
      <w:r w:rsidR="00DC13B2">
        <w:t>Based upon this determination</w:t>
      </w:r>
      <w:r>
        <w:t xml:space="preserve">, I have formed my professional judgment as to </w:t>
      </w:r>
      <w:r w:rsidR="00DC13B2">
        <w:t xml:space="preserve">whether such a return </w:t>
      </w:r>
      <w:r>
        <w:t>would</w:t>
      </w:r>
      <w:r w:rsidR="00DC13B2">
        <w:t xml:space="preserve"> still</w:t>
      </w:r>
      <w:r>
        <w:t>:</w:t>
      </w:r>
    </w:p>
    <w:p w14:paraId="53411E05" w14:textId="72596F00" w:rsidR="003A56B0" w:rsidRDefault="00290C67" w:rsidP="003A56B0">
      <w:pPr>
        <w:pStyle w:val="List"/>
      </w:pPr>
      <w:r>
        <w:t>(1)</w:t>
      </w:r>
      <w:r w:rsidR="003A56B0">
        <w:tab/>
      </w:r>
      <w:r>
        <w:t>be fair to ratepayers</w:t>
      </w:r>
      <w:r w:rsidR="003A56B0">
        <w:t>;</w:t>
      </w:r>
    </w:p>
    <w:p w14:paraId="04297CE3" w14:textId="7BEA8FCA" w:rsidR="003A56B0" w:rsidRDefault="00290C67" w:rsidP="003A56B0">
      <w:pPr>
        <w:pStyle w:val="List"/>
      </w:pPr>
      <w:r>
        <w:t>(2)</w:t>
      </w:r>
      <w:r w:rsidR="00733B03">
        <w:tab/>
      </w:r>
      <w:r>
        <w:t xml:space="preserve">allow </w:t>
      </w:r>
      <w:r w:rsidR="003A56B0">
        <w:t xml:space="preserve">PSE </w:t>
      </w:r>
      <w:r>
        <w:t>to attract the capital needed for infrastructure and reliability investments on reasonable terms</w:t>
      </w:r>
      <w:r w:rsidR="003A56B0">
        <w:t>;</w:t>
      </w:r>
    </w:p>
    <w:p w14:paraId="46A8C67D" w14:textId="2E790C46" w:rsidR="003A56B0" w:rsidRDefault="00290C67" w:rsidP="003A56B0">
      <w:pPr>
        <w:pStyle w:val="List"/>
      </w:pPr>
      <w:r>
        <w:t>(3)</w:t>
      </w:r>
      <w:r w:rsidR="00733B03">
        <w:tab/>
      </w:r>
      <w:r>
        <w:t xml:space="preserve">maintain </w:t>
      </w:r>
      <w:r w:rsidR="003A56B0">
        <w:t xml:space="preserve">PSE’s </w:t>
      </w:r>
      <w:r>
        <w:t>financial integrity</w:t>
      </w:r>
      <w:r w:rsidR="003A56B0">
        <w:t xml:space="preserve">; </w:t>
      </w:r>
      <w:r>
        <w:t>and</w:t>
      </w:r>
    </w:p>
    <w:p w14:paraId="53D381D3" w14:textId="37C6D5C2" w:rsidR="003A56B0" w:rsidRDefault="00290C67" w:rsidP="003A56B0">
      <w:pPr>
        <w:pStyle w:val="List"/>
      </w:pPr>
      <w:r>
        <w:t>(4)</w:t>
      </w:r>
      <w:r w:rsidR="00733B03">
        <w:tab/>
      </w:r>
      <w:r>
        <w:t>be comparable to returns offered on comparable risk investments.</w:t>
      </w:r>
    </w:p>
    <w:p w14:paraId="74286260" w14:textId="77777777" w:rsidR="00290C67" w:rsidRDefault="00290C67" w:rsidP="004E2AB3">
      <w:pPr>
        <w:pStyle w:val="answer"/>
        <w:ind w:firstLine="0"/>
      </w:pPr>
      <w:r>
        <w:t>I will testify in this proceeding as to that opinion.</w:t>
      </w:r>
    </w:p>
    <w:p w14:paraId="4C52FE33" w14:textId="77777777" w:rsidR="00290C67" w:rsidRDefault="00290C67" w:rsidP="00BF05CC">
      <w:pPr>
        <w:pStyle w:val="question"/>
      </w:pPr>
      <w:r>
        <w:t>Q.</w:t>
      </w:r>
      <w:r>
        <w:tab/>
        <w:t>Please briefly identify the exhibits and appendices accompanying your testimony.</w:t>
      </w:r>
    </w:p>
    <w:p w14:paraId="26EED800" w14:textId="75C637EF" w:rsidR="00290C67" w:rsidRDefault="00290C67" w:rsidP="00BF05CC">
      <w:pPr>
        <w:pStyle w:val="answer"/>
      </w:pPr>
      <w:r>
        <w:t>A.</w:t>
      </w:r>
      <w:r>
        <w:tab/>
        <w:t xml:space="preserve">I have attached to my testimony Exhibit </w:t>
      </w:r>
      <w:r w:rsidR="003A56B0">
        <w:t>No. ___(</w:t>
      </w:r>
      <w:r>
        <w:t>RAM-</w:t>
      </w:r>
      <w:r w:rsidR="003A56B0">
        <w:t>2)</w:t>
      </w:r>
      <w:r>
        <w:t xml:space="preserve"> through </w:t>
      </w:r>
      <w:r w:rsidR="003A56B0">
        <w:t>Exhibit No. ___(RAM-</w:t>
      </w:r>
      <w:r w:rsidR="004E2AB3">
        <w:t>11)</w:t>
      </w:r>
      <w:r>
        <w:t>.</w:t>
      </w:r>
      <w:r w:rsidR="00BD560E">
        <w:t xml:space="preserve"> </w:t>
      </w:r>
      <w:r>
        <w:t>These exhibits relate directly to points in my testimony</w:t>
      </w:r>
      <w:r w:rsidR="003A56B0">
        <w:t xml:space="preserve"> </w:t>
      </w:r>
      <w:r>
        <w:t>and are described in further detail in connection with the discussion of those points in my testimony.</w:t>
      </w:r>
    </w:p>
    <w:p w14:paraId="33E139F0" w14:textId="77777777" w:rsidR="00290C67" w:rsidRDefault="00290C67" w:rsidP="00BF05CC">
      <w:pPr>
        <w:pStyle w:val="question"/>
      </w:pPr>
      <w:r>
        <w:lastRenderedPageBreak/>
        <w:t>Q.</w:t>
      </w:r>
      <w:r>
        <w:tab/>
        <w:t>Please summarize your findings concerning PSE</w:t>
      </w:r>
      <w:r w:rsidR="00BD560E">
        <w:t>’</w:t>
      </w:r>
      <w:r>
        <w:t>s cost of common equity.</w:t>
      </w:r>
    </w:p>
    <w:p w14:paraId="43D49690" w14:textId="450ADE84" w:rsidR="00BF05CC" w:rsidRDefault="00290C67" w:rsidP="00480CCC">
      <w:pPr>
        <w:pStyle w:val="answer"/>
      </w:pPr>
      <w:r>
        <w:t>A.</w:t>
      </w:r>
      <w:r>
        <w:tab/>
        <w:t xml:space="preserve">Based on the results of various methodologies, current capital market conditions, and current economic industry conditions, I </w:t>
      </w:r>
      <w:r w:rsidR="00480CCC">
        <w:t>conclude that a</w:t>
      </w:r>
      <w:r w:rsidR="005D3935">
        <w:t xml:space="preserve"> minimum</w:t>
      </w:r>
      <w:r w:rsidR="00480CCC">
        <w:t xml:space="preserve"> ROE of 9.8</w:t>
      </w:r>
      <w:r>
        <w:t>% for PSE is required to: (i)</w:t>
      </w:r>
      <w:r w:rsidR="003A56B0">
        <w:t> </w:t>
      </w:r>
      <w:r>
        <w:t>attract capital on reasonable terms, (ii)</w:t>
      </w:r>
      <w:r w:rsidR="003A56B0">
        <w:t> </w:t>
      </w:r>
      <w:r>
        <w:t>maintain its financial integrity, and (iii)</w:t>
      </w:r>
      <w:r w:rsidR="003A56B0">
        <w:t> </w:t>
      </w:r>
      <w:r>
        <w:t>earn a return commensurate with returns o</w:t>
      </w:r>
      <w:r w:rsidR="00BF05CC">
        <w:t>n comparable risk investments.</w:t>
      </w:r>
      <w:r w:rsidR="00FF32E7">
        <w:t xml:space="preserve"> </w:t>
      </w:r>
      <w:r w:rsidR="00911BC0">
        <w:t xml:space="preserve">I consider </w:t>
      </w:r>
      <w:r w:rsidR="00FF32E7">
        <w:t xml:space="preserve">PSE’s </w:t>
      </w:r>
      <w:r w:rsidR="00911BC0">
        <w:t xml:space="preserve">requested </w:t>
      </w:r>
      <w:r w:rsidR="00FF32E7">
        <w:t xml:space="preserve">ROE of </w:t>
      </w:r>
      <w:r w:rsidR="00911BC0">
        <w:t xml:space="preserve">9.8% </w:t>
      </w:r>
      <w:r w:rsidR="00FF32E7">
        <w:t>to be “</w:t>
      </w:r>
      <w:r w:rsidR="00911BC0">
        <w:t>barebones</w:t>
      </w:r>
      <w:r w:rsidR="00FF32E7">
        <w:t>”</w:t>
      </w:r>
      <w:r w:rsidR="00911BC0">
        <w:t xml:space="preserve"> in view of </w:t>
      </w:r>
      <w:r w:rsidR="00FF32E7">
        <w:t xml:space="preserve">PSE’s </w:t>
      </w:r>
      <w:r w:rsidR="00911BC0">
        <w:t>very high external capital requirements over the next five years, its lower than average common equity ratio, and its relative small size.</w:t>
      </w:r>
    </w:p>
    <w:p w14:paraId="4DA0DC1E" w14:textId="47D619D7" w:rsidR="00BF05CC" w:rsidRDefault="00D732D1" w:rsidP="00911BC0">
      <w:pPr>
        <w:pStyle w:val="answer"/>
        <w:ind w:firstLine="0"/>
      </w:pPr>
      <w:r>
        <w:t>My ROE</w:t>
      </w:r>
      <w:r w:rsidR="00911BC0">
        <w:t xml:space="preserve"> estimates are</w:t>
      </w:r>
      <w:r w:rsidR="00480CCC">
        <w:t xml:space="preserve"> </w:t>
      </w:r>
      <w:r w:rsidR="00290C67">
        <w:t>derived from cost of capital studies that I performed using the financial models available to me and from the application of my professional judgment to the results. I applied various cost of capital methodologies</w:t>
      </w:r>
      <w:r w:rsidR="003A56B0">
        <w:t>—</w:t>
      </w:r>
      <w:r w:rsidR="00290C67">
        <w:t>including Discounted Cash Flow (</w:t>
      </w:r>
      <w:r w:rsidR="00BD560E">
        <w:t>“</w:t>
      </w:r>
      <w:proofErr w:type="spellStart"/>
      <w:r w:rsidR="00290C67">
        <w:t>DCF</w:t>
      </w:r>
      <w:proofErr w:type="spellEnd"/>
      <w:r w:rsidR="00BD560E">
        <w:t>”</w:t>
      </w:r>
      <w:r w:rsidR="00290C67">
        <w:t>), Capital Asset Pricing Model (</w:t>
      </w:r>
      <w:r w:rsidR="00BD560E">
        <w:t>“</w:t>
      </w:r>
      <w:proofErr w:type="spellStart"/>
      <w:r w:rsidR="00290C67">
        <w:t>CAPM</w:t>
      </w:r>
      <w:proofErr w:type="spellEnd"/>
      <w:r w:rsidR="00BD560E">
        <w:t>”</w:t>
      </w:r>
      <w:r w:rsidR="00290C67">
        <w:t xml:space="preserve">), </w:t>
      </w:r>
      <w:r w:rsidR="003A56B0">
        <w:t>and Risk Premium</w:t>
      </w:r>
      <w:r w:rsidR="008E2C84">
        <w:t xml:space="preserve"> methodologies</w:t>
      </w:r>
      <w:r w:rsidR="003A56B0">
        <w:t>—</w:t>
      </w:r>
      <w:r w:rsidR="00290C67">
        <w:t>to a group of investment-grade dividend-paying combination gas and electric utilities which are covered in Value Line</w:t>
      </w:r>
      <w:r w:rsidR="00BD560E">
        <w:t>’</w:t>
      </w:r>
      <w:r w:rsidR="00290C67">
        <w:t>s Electric Utility Composite.</w:t>
      </w:r>
      <w:r w:rsidR="00BD560E">
        <w:t xml:space="preserve"> </w:t>
      </w:r>
      <w:r w:rsidR="00290C67">
        <w:t>The companies were also required to have the majority of their revenues from regulated utility operations.</w:t>
      </w:r>
    </w:p>
    <w:p w14:paraId="2F294184" w14:textId="6605F1BF" w:rsidR="00290C67" w:rsidRDefault="00290C67" w:rsidP="00BF05CC">
      <w:pPr>
        <w:pStyle w:val="answer"/>
        <w:ind w:firstLine="0"/>
      </w:pPr>
      <w:r>
        <w:t xml:space="preserve">My recommended rate of return reflects the application of my professional judgment to the results in light of the indicated returns from my </w:t>
      </w:r>
      <w:proofErr w:type="spellStart"/>
      <w:r w:rsidR="003A56B0">
        <w:t>DCF</w:t>
      </w:r>
      <w:proofErr w:type="spellEnd"/>
      <w:r w:rsidR="003A56B0">
        <w:t xml:space="preserve">, </w:t>
      </w:r>
      <w:proofErr w:type="spellStart"/>
      <w:r w:rsidR="003A56B0">
        <w:t>CAPM</w:t>
      </w:r>
      <w:proofErr w:type="spellEnd"/>
      <w:r w:rsidR="003A56B0">
        <w:t>, and Risk Premium analyses.</w:t>
      </w:r>
    </w:p>
    <w:p w14:paraId="5CC33DE4" w14:textId="4555DB5C" w:rsidR="00290C67" w:rsidRDefault="00290C67" w:rsidP="00BF05CC">
      <w:pPr>
        <w:pStyle w:val="question"/>
      </w:pPr>
      <w:r>
        <w:lastRenderedPageBreak/>
        <w:t>Q.</w:t>
      </w:r>
      <w:r>
        <w:tab/>
        <w:t>Would it be in the best i</w:t>
      </w:r>
      <w:r w:rsidR="00480CCC">
        <w:t xml:space="preserve">nterests of ratepayers for the Commission to approve </w:t>
      </w:r>
      <w:r w:rsidR="00911BC0">
        <w:t>the ROE of</w:t>
      </w:r>
      <w:r w:rsidR="00480CCC">
        <w:t xml:space="preserve"> 9.8</w:t>
      </w:r>
      <w:r>
        <w:t xml:space="preserve">% </w:t>
      </w:r>
      <w:r w:rsidR="00911BC0">
        <w:t xml:space="preserve">authorized in </w:t>
      </w:r>
      <w:r w:rsidR="00217503">
        <w:t>PSE</w:t>
      </w:r>
      <w:r w:rsidR="00911BC0">
        <w:t>’s last rate case</w:t>
      </w:r>
      <w:r>
        <w:t xml:space="preserve">? </w:t>
      </w:r>
    </w:p>
    <w:p w14:paraId="492A44F8" w14:textId="01BC09E0" w:rsidR="00290C67" w:rsidRDefault="00290C67" w:rsidP="00BF05CC">
      <w:pPr>
        <w:pStyle w:val="answer"/>
      </w:pPr>
      <w:r>
        <w:t>A.</w:t>
      </w:r>
      <w:r>
        <w:tab/>
        <w:t>Yes.</w:t>
      </w:r>
      <w:r w:rsidR="00BD560E">
        <w:t xml:space="preserve"> </w:t>
      </w:r>
      <w:r>
        <w:t>My a</w:t>
      </w:r>
      <w:r w:rsidR="00480CCC">
        <w:t xml:space="preserve">nalysis shows that a </w:t>
      </w:r>
      <w:r w:rsidR="005D3935">
        <w:t xml:space="preserve">minimum </w:t>
      </w:r>
      <w:r w:rsidR="00480CCC">
        <w:t>ROE of 9.8</w:t>
      </w:r>
      <w:r>
        <w:t xml:space="preserve">% </w:t>
      </w:r>
      <w:r w:rsidR="00D732D1">
        <w:t>is required to fairly compensate</w:t>
      </w:r>
      <w:r>
        <w:t xml:space="preserve"> investors, </w:t>
      </w:r>
      <w:r w:rsidR="00D732D1">
        <w:t>to maintain</w:t>
      </w:r>
      <w:r>
        <w:t xml:space="preserve"> </w:t>
      </w:r>
      <w:r w:rsidR="003A56B0">
        <w:t xml:space="preserve">PSE’s </w:t>
      </w:r>
      <w:r>
        <w:t xml:space="preserve">credit strength, and </w:t>
      </w:r>
      <w:r w:rsidR="00D732D1">
        <w:t>to attract</w:t>
      </w:r>
      <w:r>
        <w:t xml:space="preserve"> the capital needed for utility infrastructure and reliability capital investments.</w:t>
      </w:r>
      <w:r w:rsidR="00BD560E">
        <w:t xml:space="preserve"> </w:t>
      </w:r>
      <w:r>
        <w:t>Adopting a lower ROE would increase costs for ratepayers.</w:t>
      </w:r>
    </w:p>
    <w:p w14:paraId="25A50BEB" w14:textId="0F53ADF4" w:rsidR="00622EB7" w:rsidRDefault="00622EB7" w:rsidP="00622EB7">
      <w:pPr>
        <w:pStyle w:val="question"/>
      </w:pPr>
      <w:r>
        <w:t>Q.</w:t>
      </w:r>
      <w:r>
        <w:tab/>
        <w:t>What was the yield on 30-year Treasury bonds when the Commission approved the ROE of 9.8% authorized in PSE’s last rate case?</w:t>
      </w:r>
    </w:p>
    <w:p w14:paraId="07CD371C" w14:textId="4F272546" w:rsidR="00F4472B" w:rsidRDefault="00F4472B" w:rsidP="00622EB7">
      <w:pPr>
        <w:pStyle w:val="answer"/>
      </w:pPr>
      <w:r>
        <w:t>A.</w:t>
      </w:r>
      <w:r>
        <w:tab/>
        <w:t xml:space="preserve">The yield on 30-year Treasury bonds on May 7, 2012 (i.e., the date on which the Commission issued its order authorizing an ROE of 9.8% for PSE) was 3.07%. The yield on 30-year Treasury bonds on </w:t>
      </w:r>
      <w:r w:rsidR="005C36B5">
        <w:t>January</w:t>
      </w:r>
      <w:r>
        <w:t> </w:t>
      </w:r>
      <w:r w:rsidR="005C36B5">
        <w:t>4</w:t>
      </w:r>
      <w:r>
        <w:t>, 201</w:t>
      </w:r>
      <w:r w:rsidR="005C36B5">
        <w:t>7</w:t>
      </w:r>
      <w:r>
        <w:t xml:space="preserve">, was </w:t>
      </w:r>
      <w:r w:rsidR="00B15EB6">
        <w:t xml:space="preserve">a nearly identical </w:t>
      </w:r>
      <w:r>
        <w:t>3.0</w:t>
      </w:r>
      <w:r w:rsidR="005C36B5">
        <w:t>5</w:t>
      </w:r>
      <w:r>
        <w:t xml:space="preserve">%. </w:t>
      </w:r>
      <w:r w:rsidR="00B15EB6">
        <w:t xml:space="preserve">During the intervening period, the </w:t>
      </w:r>
      <w:r>
        <w:t xml:space="preserve">yield on 30-year Treasury bonds today </w:t>
      </w:r>
      <w:r w:rsidR="00B15EB6">
        <w:t xml:space="preserve">has fluctuated between 2.0% and 4.0%, and there has been an upward trend in the yield since its low of 2.11% on July 8, </w:t>
      </w:r>
      <w:r w:rsidR="00B15EB6" w:rsidRPr="00B15EB6">
        <w:t>2016</w:t>
      </w:r>
      <w:r w:rsidR="00B15EB6">
        <w:t>:</w:t>
      </w:r>
    </w:p>
    <w:p w14:paraId="0D8343F5" w14:textId="334FAB9B" w:rsidR="00B15EB6" w:rsidRPr="00B57D60" w:rsidRDefault="00B15EB6" w:rsidP="005C36B5">
      <w:pPr>
        <w:keepNext/>
        <w:keepLines/>
        <w:spacing w:after="120"/>
        <w:jc w:val="center"/>
        <w:rPr>
          <w:b/>
        </w:rPr>
      </w:pPr>
      <w:r>
        <w:rPr>
          <w:b/>
        </w:rPr>
        <w:t xml:space="preserve">Chart </w:t>
      </w:r>
      <w:r w:rsidRPr="00B57D60">
        <w:rPr>
          <w:b/>
        </w:rPr>
        <w:t>1.</w:t>
      </w:r>
      <w:r>
        <w:rPr>
          <w:b/>
        </w:rPr>
        <w:t xml:space="preserve"> Yields on 30-Year Treasury Bonds</w:t>
      </w:r>
      <w:r>
        <w:rPr>
          <w:b/>
        </w:rPr>
        <w:br/>
        <w:t xml:space="preserve">(May 7, 2012, to </w:t>
      </w:r>
      <w:r w:rsidR="005C36B5">
        <w:rPr>
          <w:b/>
        </w:rPr>
        <w:t>January</w:t>
      </w:r>
      <w:r>
        <w:rPr>
          <w:b/>
        </w:rPr>
        <w:t xml:space="preserve"> </w:t>
      </w:r>
      <w:r w:rsidR="005C36B5">
        <w:rPr>
          <w:b/>
        </w:rPr>
        <w:t>4</w:t>
      </w:r>
      <w:r>
        <w:rPr>
          <w:b/>
        </w:rPr>
        <w:t>, 201</w:t>
      </w:r>
      <w:r w:rsidR="005C36B5">
        <w:rPr>
          <w:b/>
        </w:rPr>
        <w:t>7</w:t>
      </w:r>
      <w:r>
        <w:rPr>
          <w:b/>
        </w:rPr>
        <w:t>)</w:t>
      </w:r>
    </w:p>
    <w:p w14:paraId="7C9DB181" w14:textId="598BE70E" w:rsidR="00B15EB6" w:rsidRDefault="005C36B5" w:rsidP="005C36B5">
      <w:pPr>
        <w:pStyle w:val="answer"/>
        <w:ind w:left="0" w:firstLine="0"/>
        <w:jc w:val="center"/>
      </w:pPr>
      <w:r>
        <w:rPr>
          <w:noProof/>
          <w:lang w:eastAsia="en-US"/>
        </w:rPr>
        <w:drawing>
          <wp:inline distT="0" distB="0" distL="0" distR="0" wp14:anchorId="672BFC7E" wp14:editId="2B6C4DD4">
            <wp:extent cx="5358810" cy="2434856"/>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3FB9DC" w14:textId="57FA248E" w:rsidR="00B15EB6" w:rsidRDefault="00B15EB6" w:rsidP="00B15EB6">
      <w:pPr>
        <w:pStyle w:val="answer"/>
        <w:ind w:firstLine="0"/>
      </w:pPr>
      <w:r>
        <w:lastRenderedPageBreak/>
        <w:t>Thus, yields on 30-year Treasury bonds are virtually identical now as they were when the Commission authorized an ROE of 9.80% for PSE, and the current trend is increasing yields on 30-year Treasury bonds.</w:t>
      </w:r>
    </w:p>
    <w:p w14:paraId="75A4C292" w14:textId="77777777" w:rsidR="00290C67" w:rsidRDefault="00290C67" w:rsidP="00BF05CC">
      <w:pPr>
        <w:pStyle w:val="question"/>
      </w:pPr>
      <w:r>
        <w:t>Q.</w:t>
      </w:r>
      <w:r>
        <w:tab/>
        <w:t xml:space="preserve">Please explain how low allowed </w:t>
      </w:r>
      <w:proofErr w:type="spellStart"/>
      <w:r>
        <w:t>ROEs</w:t>
      </w:r>
      <w:proofErr w:type="spellEnd"/>
      <w:r>
        <w:t xml:space="preserve"> can increase both the future cost of equity and debt financing.</w:t>
      </w:r>
    </w:p>
    <w:p w14:paraId="4CC94B22" w14:textId="77777777" w:rsidR="00BF05CC" w:rsidRDefault="00290C67" w:rsidP="00BF05CC">
      <w:pPr>
        <w:pStyle w:val="answer"/>
      </w:pPr>
      <w:r>
        <w:t>A.</w:t>
      </w:r>
      <w:r>
        <w:tab/>
        <w:t>If a utility is authorized a ROE below the level required by equity investors, the utility or its parent will find it difficult to access equity capital.</w:t>
      </w:r>
      <w:r w:rsidR="00BD560E">
        <w:t xml:space="preserve"> </w:t>
      </w:r>
      <w:r>
        <w:t>Investors will not provide equity capital at the current market price if the earnable return on equity is below the level they require given the risks of an equity investment in the utility.</w:t>
      </w:r>
      <w:r w:rsidR="00BD560E">
        <w:t xml:space="preserve"> </w:t>
      </w:r>
      <w:r>
        <w:t>The equity market corrects this by generating a stock price in equilibrium that reflects the valuation of the potential earnings stream from an equity investment at the risk-adjusted return equity investors require.</w:t>
      </w:r>
      <w:r w:rsidR="00BD560E">
        <w:t xml:space="preserve"> </w:t>
      </w:r>
      <w:r>
        <w:t>In the case of a utility that has been authorized a return below the level investors believe is appropriate for the risk they bear, the result is a decrease in the utility</w:t>
      </w:r>
      <w:r w:rsidR="00BD560E">
        <w:t>’</w:t>
      </w:r>
      <w:r>
        <w:t>s market price per share of common stock.</w:t>
      </w:r>
      <w:r w:rsidR="00BD560E">
        <w:t xml:space="preserve"> </w:t>
      </w:r>
      <w:r>
        <w:t>This reduces the financial viability of equity financing in two ways.</w:t>
      </w:r>
      <w:r w:rsidR="00BD560E">
        <w:t xml:space="preserve"> </w:t>
      </w:r>
      <w:r>
        <w:t>First, because the utility</w:t>
      </w:r>
      <w:r w:rsidR="00BD560E">
        <w:t>’</w:t>
      </w:r>
      <w:r>
        <w:t>s price per share of common stock decreases, the net proceeds from issuing common stock are reduced.</w:t>
      </w:r>
      <w:r w:rsidR="00BD560E">
        <w:t xml:space="preserve"> </w:t>
      </w:r>
      <w:r>
        <w:t>Second, since the utility</w:t>
      </w:r>
      <w:r w:rsidR="00BD560E">
        <w:t>’</w:t>
      </w:r>
      <w:r>
        <w:t>s market to book ratio decreases with the decrease in the share price of common stock, the potential risk from dilution of equity investments reduces investors</w:t>
      </w:r>
      <w:r w:rsidR="00BD560E">
        <w:t>’</w:t>
      </w:r>
      <w:r>
        <w:t xml:space="preserve"> inclination to purchase new issues of common stock.</w:t>
      </w:r>
      <w:r w:rsidR="00BD560E">
        <w:t xml:space="preserve"> </w:t>
      </w:r>
      <w:r>
        <w:t>The ultimate effect is the utility will have to rely more on debt financing to meet its capital needs.</w:t>
      </w:r>
    </w:p>
    <w:p w14:paraId="61542700" w14:textId="69883581" w:rsidR="00BF05CC" w:rsidRDefault="00290C67" w:rsidP="00BF05CC">
      <w:pPr>
        <w:pStyle w:val="answer"/>
        <w:ind w:firstLine="0"/>
      </w:pPr>
      <w:r>
        <w:lastRenderedPageBreak/>
        <w:t xml:space="preserve">As </w:t>
      </w:r>
      <w:r w:rsidR="003A56B0">
        <w:t xml:space="preserve">a </w:t>
      </w:r>
      <w:r>
        <w:t>company relies more on debt financing, its capital structure becomes more leveraged.</w:t>
      </w:r>
      <w:r w:rsidR="00BD560E">
        <w:t xml:space="preserve"> </w:t>
      </w:r>
      <w:r>
        <w:t>Because debt payments are a fixed financial obligation to the utility, and income available to common equity is subordinate to fixed charges, this decreases the operating income available for dividend and earnings growth.</w:t>
      </w:r>
      <w:r w:rsidR="00BD560E">
        <w:t xml:space="preserve"> </w:t>
      </w:r>
      <w:r>
        <w:t>Consequently, equity investors face greater uncertainty about future dividends and earnings from the firm.</w:t>
      </w:r>
      <w:r w:rsidR="00BD560E">
        <w:t xml:space="preserve"> </w:t>
      </w:r>
      <w:r>
        <w:t>As a result, the firm</w:t>
      </w:r>
      <w:r w:rsidR="00BD560E">
        <w:t>’</w:t>
      </w:r>
      <w:r>
        <w:t>s equity becomes a riskier investment.</w:t>
      </w:r>
      <w:r w:rsidR="00BD560E">
        <w:t xml:space="preserve"> </w:t>
      </w:r>
      <w:r>
        <w:t xml:space="preserve">The risk of default on </w:t>
      </w:r>
      <w:r w:rsidR="003A56B0">
        <w:t xml:space="preserve">a </w:t>
      </w:r>
      <w:r>
        <w:t>company</w:t>
      </w:r>
      <w:r w:rsidR="00BD560E">
        <w:t>’</w:t>
      </w:r>
      <w:r>
        <w:t>s bonds also increases, making the utility</w:t>
      </w:r>
      <w:r w:rsidR="00BD560E">
        <w:t>’</w:t>
      </w:r>
      <w:r>
        <w:t>s debt a riskier investment.</w:t>
      </w:r>
      <w:r w:rsidR="00BD560E">
        <w:t xml:space="preserve"> </w:t>
      </w:r>
      <w:r>
        <w:t xml:space="preserve">This increases the cost to the utility from both debt and equity financing and increases the possibility </w:t>
      </w:r>
      <w:r w:rsidR="003A56B0">
        <w:t xml:space="preserve">a </w:t>
      </w:r>
      <w:r>
        <w:t>company will not have access to the capital markets for its outside financing needs.</w:t>
      </w:r>
      <w:r w:rsidR="00BD560E">
        <w:t xml:space="preserve"> </w:t>
      </w:r>
      <w:r>
        <w:t>Ultimately, to ensure that PSE has access to capital markets for its capital needs, a fair and r</w:t>
      </w:r>
      <w:r w:rsidR="00480CCC">
        <w:t>easonable authorized ROE of 9.8</w:t>
      </w:r>
      <w:r>
        <w:t>% is required.</w:t>
      </w:r>
    </w:p>
    <w:p w14:paraId="7469080F" w14:textId="37C28798" w:rsidR="00290C67" w:rsidRDefault="003A56B0" w:rsidP="00BF05CC">
      <w:pPr>
        <w:pStyle w:val="answer"/>
        <w:ind w:firstLine="0"/>
      </w:pPr>
      <w:r>
        <w:t>PSE</w:t>
      </w:r>
      <w:r w:rsidR="00290C67">
        <w:t xml:space="preserve"> must secure outside funds from capital markets to finance required utility plant and equipment investments irrespective of capital market conditions, interest rate conditions and the quality consciousness of market participants.</w:t>
      </w:r>
      <w:r w:rsidR="00BD560E">
        <w:t xml:space="preserve"> </w:t>
      </w:r>
      <w:r w:rsidR="00290C67">
        <w:t>Thus, rate relief requirements and supportive regulatory treatment, including approval of my recommended ROE, are essential requirements.</w:t>
      </w:r>
    </w:p>
    <w:p w14:paraId="14351204" w14:textId="77777777" w:rsidR="00290C67" w:rsidRDefault="00290C67" w:rsidP="00BF05CC">
      <w:pPr>
        <w:pStyle w:val="Heading1"/>
      </w:pPr>
      <w:bookmarkStart w:id="18" w:name="_Toc468636157"/>
      <w:bookmarkStart w:id="19" w:name="_Toc443553403"/>
      <w:r>
        <w:t>II.</w:t>
      </w:r>
      <w:r>
        <w:tab/>
        <w:t>REGULATORY FRAMEWORK AND RATE OF RETURN</w:t>
      </w:r>
      <w:bookmarkEnd w:id="18"/>
      <w:bookmarkEnd w:id="19"/>
    </w:p>
    <w:p w14:paraId="5300D415" w14:textId="77777777" w:rsidR="00290C67" w:rsidRDefault="00290C67" w:rsidP="00BF05CC">
      <w:pPr>
        <w:pStyle w:val="question"/>
      </w:pPr>
      <w:r>
        <w:t>Q.</w:t>
      </w:r>
      <w:r>
        <w:tab/>
        <w:t>Please explain how a regulated company</w:t>
      </w:r>
      <w:r w:rsidR="00BD560E">
        <w:t>’</w:t>
      </w:r>
      <w:r>
        <w:t>s rates should be set under traditional cost of service regulation.</w:t>
      </w:r>
    </w:p>
    <w:p w14:paraId="61D4FF0C" w14:textId="4AB8D3FB" w:rsidR="00BF05CC" w:rsidRDefault="00290C67" w:rsidP="00BF05CC">
      <w:pPr>
        <w:pStyle w:val="answer"/>
      </w:pPr>
      <w:r>
        <w:t>A.</w:t>
      </w:r>
      <w:r>
        <w:tab/>
        <w:t>Under the traditional regulatory process, a regulated company</w:t>
      </w:r>
      <w:r w:rsidR="00BD560E">
        <w:t>’</w:t>
      </w:r>
      <w:r>
        <w:t xml:space="preserve">s rates should be set so that the company recovers its costs, including taxes and depreciation, plus a </w:t>
      </w:r>
      <w:r>
        <w:lastRenderedPageBreak/>
        <w:t>fair and reasonable return on its invested capital.</w:t>
      </w:r>
      <w:r w:rsidR="00BD560E">
        <w:t xml:space="preserve"> </w:t>
      </w:r>
      <w:r>
        <w:t>The allowed rate of return must necessarily reflect the cost of the funds obtained, that is, investors</w:t>
      </w:r>
      <w:r w:rsidR="00BD560E">
        <w:t>’</w:t>
      </w:r>
      <w:r>
        <w:t xml:space="preserve"> return requirements.</w:t>
      </w:r>
      <w:r w:rsidR="00BD560E">
        <w:t xml:space="preserve"> </w:t>
      </w:r>
      <w:r>
        <w:t>In determining a company</w:t>
      </w:r>
      <w:r w:rsidR="00BD560E">
        <w:t>’</w:t>
      </w:r>
      <w:r>
        <w:t>s required rate of return, the starting point is investors</w:t>
      </w:r>
      <w:r w:rsidR="00BD560E">
        <w:t>’</w:t>
      </w:r>
      <w:r>
        <w:t xml:space="preserve"> return requirements in financial markets.</w:t>
      </w:r>
      <w:r w:rsidR="00BD560E">
        <w:t xml:space="preserve"> </w:t>
      </w:r>
      <w:r>
        <w:t xml:space="preserve">A rate of return can then be set at a level sufficient to enable </w:t>
      </w:r>
      <w:r w:rsidR="00000E10">
        <w:t>a</w:t>
      </w:r>
      <w:r>
        <w:t xml:space="preserve"> company to earn a return commensurate with the cost of those funds.</w:t>
      </w:r>
    </w:p>
    <w:p w14:paraId="43494BE5" w14:textId="77777777" w:rsidR="00290C67" w:rsidRDefault="00290C67" w:rsidP="00BF05CC">
      <w:pPr>
        <w:pStyle w:val="answer"/>
        <w:ind w:firstLine="0"/>
      </w:pPr>
      <w:r>
        <w:t>Funds can be obtained in two general forms, debt capital and equity capital.</w:t>
      </w:r>
      <w:r w:rsidR="00BD560E">
        <w:t xml:space="preserve"> </w:t>
      </w:r>
      <w:r>
        <w:t>The cost of debt funds can be easily ascertained from an examination of the contractual interest payments.</w:t>
      </w:r>
      <w:r w:rsidR="00BD560E">
        <w:t xml:space="preserve"> </w:t>
      </w:r>
      <w:r>
        <w:t>The cost of common equity funds (i.e., investors</w:t>
      </w:r>
      <w:r w:rsidR="00BD560E">
        <w:t>’</w:t>
      </w:r>
      <w:r>
        <w:t xml:space="preserve"> required rate of return) is more difficult to estimate.</w:t>
      </w:r>
      <w:r w:rsidR="00BD560E">
        <w:t xml:space="preserve"> </w:t>
      </w:r>
      <w:r>
        <w:t>It is the purpose of the next section of my testimony to estimate fair and reasonable ROE ranges for PSE</w:t>
      </w:r>
      <w:r w:rsidR="00BD560E">
        <w:t>’</w:t>
      </w:r>
      <w:r>
        <w:t>s cost of common equity capital.</w:t>
      </w:r>
    </w:p>
    <w:p w14:paraId="6DF1768A" w14:textId="77777777" w:rsidR="00290C67" w:rsidRDefault="00290C67" w:rsidP="00BF05CC">
      <w:pPr>
        <w:pStyle w:val="question"/>
      </w:pPr>
      <w:r>
        <w:t>Q.</w:t>
      </w:r>
      <w:r>
        <w:tab/>
        <w:t>What fundamental principles underlie the determination of a fair and reasonable ROE?</w:t>
      </w:r>
    </w:p>
    <w:p w14:paraId="635D90FB" w14:textId="77777777" w:rsidR="00BF05CC" w:rsidRDefault="00290C67" w:rsidP="00BF05CC">
      <w:pPr>
        <w:pStyle w:val="answer"/>
      </w:pPr>
      <w:r>
        <w:t>A.</w:t>
      </w:r>
      <w:r>
        <w:tab/>
        <w:t>The heart of utility regulation is the setting of just and reasonable rates by way of a fair and reasonable return.</w:t>
      </w:r>
      <w:r w:rsidR="00BD560E">
        <w:t xml:space="preserve"> </w:t>
      </w:r>
      <w:r>
        <w:t>There are two landmark United States Supreme Court cases that define the legal principles underlying the regulation of a public utility</w:t>
      </w:r>
      <w:r w:rsidR="00BD560E">
        <w:t>’</w:t>
      </w:r>
      <w:r>
        <w:t>s rate of return and provide the foundations for the notion of a fair return:</w:t>
      </w:r>
    </w:p>
    <w:p w14:paraId="178FC8F9" w14:textId="77777777" w:rsidR="00BF05CC" w:rsidRDefault="00290C67" w:rsidP="00BF05CC">
      <w:pPr>
        <w:pStyle w:val="List"/>
      </w:pPr>
      <w:r>
        <w:t>1.</w:t>
      </w:r>
      <w:r>
        <w:tab/>
      </w:r>
      <w:r w:rsidRPr="00BD560E">
        <w:rPr>
          <w:i/>
        </w:rPr>
        <w:t>Bluefield Water Works &amp; Improvement Co. v. Public Service Commission of West Virginia</w:t>
      </w:r>
      <w:r>
        <w:t>, 262</w:t>
      </w:r>
      <w:r w:rsidR="00BD560E">
        <w:t> </w:t>
      </w:r>
      <w:r>
        <w:t>U.S. 679 (1923); and</w:t>
      </w:r>
    </w:p>
    <w:p w14:paraId="021DBF7E" w14:textId="77777777" w:rsidR="00BF05CC" w:rsidRDefault="00290C67" w:rsidP="00BF05CC">
      <w:pPr>
        <w:pStyle w:val="List"/>
      </w:pPr>
      <w:r>
        <w:t>2.</w:t>
      </w:r>
      <w:r>
        <w:tab/>
      </w:r>
      <w:r w:rsidRPr="00BD560E">
        <w:rPr>
          <w:i/>
        </w:rPr>
        <w:t>Federal Power Commission v. Hope Natural Gas Co.</w:t>
      </w:r>
      <w:r>
        <w:t>, 320</w:t>
      </w:r>
      <w:r w:rsidR="00BD560E">
        <w:t> </w:t>
      </w:r>
      <w:r>
        <w:t>U.S. 591 (1944).</w:t>
      </w:r>
    </w:p>
    <w:p w14:paraId="4A47FFBE" w14:textId="77777777" w:rsidR="00290C67" w:rsidRDefault="00290C67" w:rsidP="004E2AB3">
      <w:pPr>
        <w:pStyle w:val="answer"/>
        <w:keepNext/>
        <w:keepLines/>
        <w:ind w:firstLine="0"/>
      </w:pPr>
      <w:r>
        <w:lastRenderedPageBreak/>
        <w:t xml:space="preserve">The </w:t>
      </w:r>
      <w:r w:rsidRPr="00BD560E">
        <w:rPr>
          <w:i/>
        </w:rPr>
        <w:t>Bluefield</w:t>
      </w:r>
      <w:r>
        <w:t xml:space="preserve"> case set the standard against which just and reasonable rates of return are measured:</w:t>
      </w:r>
    </w:p>
    <w:p w14:paraId="472AF3FE" w14:textId="77777777" w:rsidR="00290C67" w:rsidRPr="00BF05CC" w:rsidRDefault="00290C67" w:rsidP="00BF05CC">
      <w:pPr>
        <w:pStyle w:val="Quote"/>
      </w:pPr>
      <w:r w:rsidRPr="00BF05CC">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 The return should be reasonable, sufficient to assure confidence in the financial soundness of the utility, and should be adequate, under efficient and economical management, to maintain and support its credit and enable it to raise money necessary for the proper discharge of its public duties.</w:t>
      </w:r>
    </w:p>
    <w:p w14:paraId="55DF2B31" w14:textId="77777777" w:rsidR="00BF05CC" w:rsidRDefault="00290C67" w:rsidP="00BF05CC">
      <w:pPr>
        <w:pStyle w:val="answer"/>
        <w:ind w:firstLine="0"/>
      </w:pPr>
      <w:r w:rsidRPr="00BD560E">
        <w:rPr>
          <w:i/>
        </w:rPr>
        <w:t>Bluefield Water Works &amp; Improvement Co.</w:t>
      </w:r>
      <w:r>
        <w:t>, 262 U.S. at 692 (emphasis added).</w:t>
      </w:r>
    </w:p>
    <w:p w14:paraId="6D88E16C" w14:textId="77777777" w:rsidR="00290C67" w:rsidRDefault="00290C67" w:rsidP="00BF05CC">
      <w:pPr>
        <w:pStyle w:val="answer"/>
        <w:ind w:firstLine="0"/>
      </w:pPr>
      <w:r>
        <w:t xml:space="preserve">The </w:t>
      </w:r>
      <w:r w:rsidRPr="004E2AB3">
        <w:rPr>
          <w:i/>
        </w:rPr>
        <w:t>Hope</w:t>
      </w:r>
      <w:r>
        <w:t xml:space="preserve"> case expanded on the guidelines to be used to assess the reasonableness of the allowed return.</w:t>
      </w:r>
      <w:r w:rsidR="00BD560E">
        <w:t xml:space="preserve"> </w:t>
      </w:r>
      <w:r>
        <w:t xml:space="preserve">The Court reemphasized its statements in the </w:t>
      </w:r>
      <w:r w:rsidRPr="00BD560E">
        <w:rPr>
          <w:i/>
        </w:rPr>
        <w:t>Bluefield</w:t>
      </w:r>
      <w:r>
        <w:t xml:space="preserve"> case and recognized that revenues must cover </w:t>
      </w:r>
      <w:r w:rsidR="00BD560E">
        <w:t>“</w:t>
      </w:r>
      <w:r>
        <w:t>capital costs.</w:t>
      </w:r>
      <w:r w:rsidR="00BD560E">
        <w:t xml:space="preserve">” </w:t>
      </w:r>
      <w:r>
        <w:t>The Court stated:</w:t>
      </w:r>
    </w:p>
    <w:p w14:paraId="373CD848" w14:textId="77777777" w:rsidR="00290C67" w:rsidRDefault="00290C67" w:rsidP="00BF05CC">
      <w:pPr>
        <w:pStyle w:val="Quote"/>
      </w:pPr>
      <w:r>
        <w:t>From the investor or company point of view it is important that there be enough revenue not only for operating expenses but also for the capital costs of the business.</w:t>
      </w:r>
      <w:r w:rsidR="00BD560E">
        <w:t xml:space="preserve"> </w:t>
      </w:r>
      <w:r>
        <w:t>These include service on the debt and dividends on the stock ... By that standard the return to the equity owner should be commensurate with returns on investments in other enterprises having corresponding risks.</w:t>
      </w:r>
      <w:r w:rsidR="00BD560E">
        <w:t xml:space="preserve"> </w:t>
      </w:r>
      <w:r>
        <w:t>That return, moreover, should be sufficient to assure confidence in the financial integrity of the enterprise, so as to maintain its credit and attract capital.</w:t>
      </w:r>
    </w:p>
    <w:p w14:paraId="34421926" w14:textId="77777777" w:rsidR="00BF05CC" w:rsidRDefault="00290C67" w:rsidP="00BF05CC">
      <w:pPr>
        <w:pStyle w:val="answer"/>
        <w:ind w:firstLine="0"/>
      </w:pPr>
      <w:r w:rsidRPr="00BD560E">
        <w:rPr>
          <w:i/>
        </w:rPr>
        <w:t>Hope Natural Gas Co.</w:t>
      </w:r>
      <w:r>
        <w:t>, 320 U.S. at 603 (emphasis added).</w:t>
      </w:r>
    </w:p>
    <w:p w14:paraId="66CB9C39" w14:textId="77777777" w:rsidR="00290C67" w:rsidRDefault="00290C67" w:rsidP="00BF05CC">
      <w:pPr>
        <w:pStyle w:val="answer"/>
        <w:ind w:firstLine="0"/>
      </w:pPr>
      <w:r>
        <w:t xml:space="preserve">The United States Supreme Court reiterated the criteria set forth in </w:t>
      </w:r>
      <w:r w:rsidRPr="00BD560E">
        <w:rPr>
          <w:i/>
        </w:rPr>
        <w:t>Hope</w:t>
      </w:r>
      <w:r>
        <w:t xml:space="preserve"> in </w:t>
      </w:r>
      <w:r w:rsidRPr="00BD560E">
        <w:rPr>
          <w:i/>
        </w:rPr>
        <w:t>Federal Power Commission v. Memphis Light, Gas &amp; Water Division</w:t>
      </w:r>
      <w:r>
        <w:t>, 411</w:t>
      </w:r>
      <w:r w:rsidR="00BD560E">
        <w:t> </w:t>
      </w:r>
      <w:r>
        <w:t xml:space="preserve">U.S. 458 (1973); in </w:t>
      </w:r>
      <w:r w:rsidRPr="00BD560E">
        <w:rPr>
          <w:i/>
        </w:rPr>
        <w:t>Permian Basin Rate Cases</w:t>
      </w:r>
      <w:r>
        <w:t>, 390</w:t>
      </w:r>
      <w:r w:rsidR="00BD560E">
        <w:t> </w:t>
      </w:r>
      <w:r>
        <w:t xml:space="preserve">U.S. 747 (1968); and, most recently, in </w:t>
      </w:r>
      <w:r w:rsidRPr="00BD560E">
        <w:rPr>
          <w:i/>
        </w:rPr>
        <w:t xml:space="preserve">Duquesne Light Co. v. </w:t>
      </w:r>
      <w:proofErr w:type="spellStart"/>
      <w:r w:rsidRPr="00BD560E">
        <w:rPr>
          <w:i/>
        </w:rPr>
        <w:t>Barasch</w:t>
      </w:r>
      <w:proofErr w:type="spellEnd"/>
      <w:r>
        <w:t>, 488</w:t>
      </w:r>
      <w:r w:rsidR="00BD560E">
        <w:t> </w:t>
      </w:r>
      <w:r>
        <w:t>U.S. 299 (1989).</w:t>
      </w:r>
      <w:r w:rsidR="00BD560E">
        <w:t xml:space="preserve"> </w:t>
      </w:r>
      <w:r>
        <w:t xml:space="preserve">In the </w:t>
      </w:r>
      <w:r w:rsidRPr="00BD560E">
        <w:rPr>
          <w:i/>
        </w:rPr>
        <w:t xml:space="preserve">Permian </w:t>
      </w:r>
      <w:r w:rsidRPr="00BD560E">
        <w:rPr>
          <w:i/>
        </w:rPr>
        <w:lastRenderedPageBreak/>
        <w:t>Basin Rate Cases</w:t>
      </w:r>
      <w:r>
        <w:t>, the Supreme Court stressed that a regulatory agency</w:t>
      </w:r>
      <w:r w:rsidR="00BD560E">
        <w:t>’</w:t>
      </w:r>
      <w:r>
        <w:t>s rate of return order should</w:t>
      </w:r>
    </w:p>
    <w:p w14:paraId="2C35133F" w14:textId="77777777" w:rsidR="00290C67" w:rsidRDefault="00290C67" w:rsidP="00BF05CC">
      <w:pPr>
        <w:pStyle w:val="Quote"/>
      </w:pPr>
      <w:r>
        <w:t>reasonably be expected to maintain financial integrity, attract necessary capital, and fairly compensate investors for the risks they have assumed.</w:t>
      </w:r>
    </w:p>
    <w:p w14:paraId="0B3017E1" w14:textId="77777777" w:rsidR="00BF05CC" w:rsidRDefault="00290C67" w:rsidP="00BF05CC">
      <w:pPr>
        <w:pStyle w:val="answer"/>
        <w:ind w:firstLine="0"/>
      </w:pPr>
      <w:r w:rsidRPr="00BD560E">
        <w:rPr>
          <w:i/>
        </w:rPr>
        <w:t>Permian Basin Rate Cases</w:t>
      </w:r>
      <w:r>
        <w:t>, 390</w:t>
      </w:r>
      <w:r w:rsidR="00BD560E">
        <w:t> </w:t>
      </w:r>
      <w:r>
        <w:t>U.S. at 792.</w:t>
      </w:r>
    </w:p>
    <w:p w14:paraId="4F10CADC" w14:textId="77777777" w:rsidR="00290C67" w:rsidRDefault="00290C67" w:rsidP="00BF05CC">
      <w:pPr>
        <w:pStyle w:val="answer"/>
        <w:ind w:firstLine="0"/>
      </w:pPr>
      <w:r>
        <w:t xml:space="preserve">Therefore, the </w:t>
      </w:r>
      <w:r w:rsidR="00BD560E">
        <w:t>“</w:t>
      </w:r>
      <w:r>
        <w:t>end result</w:t>
      </w:r>
      <w:r w:rsidR="00BD560E">
        <w:t>”</w:t>
      </w:r>
      <w:r>
        <w:t xml:space="preserve"> of this Commission</w:t>
      </w:r>
      <w:r w:rsidR="00BD560E">
        <w:t>’</w:t>
      </w:r>
      <w:r>
        <w:t>s decision should be to allow PSE the opportunity to earn a return on equity that is:</w:t>
      </w:r>
    </w:p>
    <w:p w14:paraId="524335A2" w14:textId="77777777" w:rsidR="00290C67" w:rsidRDefault="00290C67" w:rsidP="00682AF2">
      <w:pPr>
        <w:pStyle w:val="List"/>
      </w:pPr>
      <w:r>
        <w:t>(i)</w:t>
      </w:r>
      <w:r>
        <w:tab/>
        <w:t>commensurate with returns on investments in other firms having corresponding risks;</w:t>
      </w:r>
    </w:p>
    <w:p w14:paraId="776D6E47" w14:textId="77777777" w:rsidR="00290C67" w:rsidRDefault="00290C67" w:rsidP="00682AF2">
      <w:pPr>
        <w:pStyle w:val="List"/>
      </w:pPr>
      <w:r>
        <w:t>(ii)</w:t>
      </w:r>
      <w:r>
        <w:tab/>
        <w:t>sufficient to assure confidence in PSE</w:t>
      </w:r>
      <w:r w:rsidR="00BD560E">
        <w:t>’</w:t>
      </w:r>
      <w:r>
        <w:t>s financial integrity; and</w:t>
      </w:r>
    </w:p>
    <w:p w14:paraId="3C2C7F3F" w14:textId="77777777" w:rsidR="00290C67" w:rsidRDefault="00290C67" w:rsidP="00682AF2">
      <w:pPr>
        <w:pStyle w:val="List"/>
      </w:pPr>
      <w:r>
        <w:t>(iii)</w:t>
      </w:r>
      <w:r>
        <w:tab/>
        <w:t>sufficient to maintain PSE</w:t>
      </w:r>
      <w:r w:rsidR="00BD560E">
        <w:t>’</w:t>
      </w:r>
      <w:r>
        <w:t>s creditworthiness and ability to attract capital on reasonable terms.</w:t>
      </w:r>
    </w:p>
    <w:p w14:paraId="121A6B7B" w14:textId="77777777" w:rsidR="00290C67" w:rsidRDefault="00290C67" w:rsidP="00BF05CC">
      <w:pPr>
        <w:pStyle w:val="question"/>
      </w:pPr>
      <w:r>
        <w:t>Q.</w:t>
      </w:r>
      <w:r>
        <w:tab/>
        <w:t>How is the fair rate of return determined?</w:t>
      </w:r>
    </w:p>
    <w:p w14:paraId="1A9A0E20" w14:textId="77777777" w:rsidR="00682AF2" w:rsidRDefault="00290C67" w:rsidP="00682AF2">
      <w:pPr>
        <w:pStyle w:val="answer"/>
      </w:pPr>
      <w:r>
        <w:t>A.</w:t>
      </w:r>
      <w:r>
        <w:tab/>
        <w:t xml:space="preserve">The aggregate return required by investors is called the </w:t>
      </w:r>
      <w:r w:rsidR="00BD560E">
        <w:t>“</w:t>
      </w:r>
      <w:r>
        <w:t>cost of capital.</w:t>
      </w:r>
      <w:r w:rsidR="00BD560E">
        <w:t xml:space="preserve">” </w:t>
      </w:r>
      <w:r>
        <w:t>The cost of capital is the opportunity cost, expressed in percentage terms, of the total pool of capital employed by the utility.</w:t>
      </w:r>
      <w:r w:rsidR="00BD560E">
        <w:t xml:space="preserve"> </w:t>
      </w:r>
      <w:r>
        <w:t>It is the composite weighted cost of the various classes of capital (e.g., bonds, preferred stock, common stock) used by the utility, with the weights reflecting the proportions of the total capital that each class of capital represents.</w:t>
      </w:r>
      <w:r w:rsidR="00BD560E">
        <w:t xml:space="preserve"> </w:t>
      </w:r>
      <w:r>
        <w:t>The fair return in dollars is obtained by multiplying the rate of return set by the regulator by the utility</w:t>
      </w:r>
      <w:r w:rsidR="00BD560E">
        <w:t>’</w:t>
      </w:r>
      <w:r>
        <w:t xml:space="preserve">s </w:t>
      </w:r>
      <w:r w:rsidR="00BD560E">
        <w:t>“</w:t>
      </w:r>
      <w:r>
        <w:t>rate base.</w:t>
      </w:r>
      <w:r w:rsidR="00BD560E">
        <w:t xml:space="preserve">” </w:t>
      </w:r>
      <w:r>
        <w:t>The rate base is essentially the net book value of the utility</w:t>
      </w:r>
      <w:r w:rsidR="00BD560E">
        <w:t>’</w:t>
      </w:r>
      <w:r>
        <w:t>s plant and other assets used to provide utility service in a particular jurisdiction.</w:t>
      </w:r>
    </w:p>
    <w:p w14:paraId="231C9D32" w14:textId="77777777" w:rsidR="00290C67" w:rsidRDefault="00290C67" w:rsidP="00682AF2">
      <w:pPr>
        <w:pStyle w:val="answer"/>
        <w:ind w:firstLine="0"/>
      </w:pPr>
      <w:r>
        <w:lastRenderedPageBreak/>
        <w:t>Although utilities like PSE enjoy varying degrees of monopoly in the sale of public utility services, they (or their parent companies) must compete with everyone else in the free, open market for the input factors of production, whether labor, materials, machines, or capital, including the capital investments required to support the utility infrastructure.</w:t>
      </w:r>
      <w:r w:rsidR="00BD560E">
        <w:t xml:space="preserve"> </w:t>
      </w:r>
      <w:r>
        <w:t>The prices of these inputs are set in the competitive marketplace by supply and demand, and it is these input prices that are incorporated in the cost of service computation.</w:t>
      </w:r>
      <w:r w:rsidR="00BD560E">
        <w:t xml:space="preserve"> </w:t>
      </w:r>
      <w:r>
        <w:t>This is just as true for capital as for any other factor of production.</w:t>
      </w:r>
      <w:r w:rsidR="00BD560E">
        <w:t xml:space="preserve"> </w:t>
      </w:r>
      <w:r>
        <w:t>Since utilities and other investor-owned businesses must go to the open capital market and sell their securities in competition with every other issuer, there is obviously a market price to pay for the capital they require (e.g., the interest on debt capital or the expected return on equity).</w:t>
      </w:r>
      <w:r w:rsidR="00BD560E">
        <w:t xml:space="preserve"> </w:t>
      </w:r>
      <w:r>
        <w:t>In order to attract the necessary capital, utilities must compete with alternative uses of capital and offer a return commensurate with the associated risks.</w:t>
      </w:r>
    </w:p>
    <w:p w14:paraId="1BC74A27" w14:textId="77777777" w:rsidR="00290C67" w:rsidRDefault="00290C67" w:rsidP="00BF05CC">
      <w:pPr>
        <w:pStyle w:val="question"/>
      </w:pPr>
      <w:r>
        <w:t>Q.</w:t>
      </w:r>
      <w:r>
        <w:tab/>
        <w:t>How does the concept of a fair return relate to the concept of opportunity cost?</w:t>
      </w:r>
    </w:p>
    <w:p w14:paraId="47747C7B" w14:textId="77777777" w:rsidR="00682AF2" w:rsidRDefault="00290C67" w:rsidP="00682AF2">
      <w:pPr>
        <w:pStyle w:val="answer"/>
      </w:pPr>
      <w:r>
        <w:t>A.</w:t>
      </w:r>
      <w:r>
        <w:tab/>
        <w:t xml:space="preserve">The concept of a fair return is intimately related to the economic concept of </w:t>
      </w:r>
      <w:r w:rsidR="00BD560E">
        <w:t>“</w:t>
      </w:r>
      <w:r>
        <w:t>opportunity cost.</w:t>
      </w:r>
      <w:r w:rsidR="00BD560E">
        <w:t xml:space="preserve">” </w:t>
      </w:r>
      <w:r>
        <w:t>When investors supply funds to a utility by buying its stocks or bonds, they are not only postponing consumption, giving up the alternative of spending their dollars in some other way, they are also exposing their funds to risk and forgoing returns from investing their money in alternative comparable risk investments.</w:t>
      </w:r>
      <w:r w:rsidR="00BD560E">
        <w:t xml:space="preserve"> </w:t>
      </w:r>
      <w:r>
        <w:t>The compensation they require is the price of capital.</w:t>
      </w:r>
      <w:r w:rsidR="00BD560E">
        <w:t xml:space="preserve"> </w:t>
      </w:r>
      <w:r>
        <w:t xml:space="preserve">If there are differences in the risk of the investments, competition among firms for a limited </w:t>
      </w:r>
      <w:r>
        <w:lastRenderedPageBreak/>
        <w:t>supply of capital will bring different prices.</w:t>
      </w:r>
      <w:r w:rsidR="00BD560E">
        <w:t xml:space="preserve"> </w:t>
      </w:r>
      <w:r>
        <w:t>The capital markets translate these differences in risk into differences in required return, in much the same way that differences in the characteristics of commodities are reflected in different prices.</w:t>
      </w:r>
    </w:p>
    <w:p w14:paraId="5AD84B01" w14:textId="2FA927C4" w:rsidR="00290C67" w:rsidRDefault="00290C67" w:rsidP="00682AF2">
      <w:pPr>
        <w:pStyle w:val="answer"/>
        <w:ind w:firstLine="0"/>
      </w:pPr>
      <w:r>
        <w:t>The important point is that the required return on capit</w:t>
      </w:r>
      <w:r w:rsidR="00000E10">
        <w:t xml:space="preserve">al is set by supply and demand </w:t>
      </w:r>
      <w:r>
        <w:t>and is influenced by the relationship between the risk and return expected for those securities and the risks expected from the overall menu of available securities.</w:t>
      </w:r>
    </w:p>
    <w:p w14:paraId="36C25AC7" w14:textId="77777777" w:rsidR="00290C67" w:rsidRDefault="00290C67" w:rsidP="00BF05CC">
      <w:pPr>
        <w:pStyle w:val="question"/>
      </w:pPr>
      <w:r>
        <w:t>Q.</w:t>
      </w:r>
      <w:r>
        <w:tab/>
        <w:t>What economic and financial concepts have guided your assessment of PSE</w:t>
      </w:r>
      <w:r w:rsidR="00BD560E">
        <w:t>’</w:t>
      </w:r>
      <w:r>
        <w:t>s cost of common equity?</w:t>
      </w:r>
    </w:p>
    <w:p w14:paraId="59214FF8" w14:textId="77777777" w:rsidR="00682AF2" w:rsidRDefault="00290C67" w:rsidP="00682AF2">
      <w:pPr>
        <w:pStyle w:val="answer"/>
      </w:pPr>
      <w:r>
        <w:t>A.</w:t>
      </w:r>
      <w:r>
        <w:tab/>
        <w:t>Two fundamental economic principles underlie the appraisal of PSE</w:t>
      </w:r>
      <w:r w:rsidR="00BD560E">
        <w:t>’</w:t>
      </w:r>
      <w:r>
        <w:t>s cost of equity, one relating to the supply side of capital markets, the other to the demand side.</w:t>
      </w:r>
    </w:p>
    <w:p w14:paraId="6E05C877" w14:textId="77777777" w:rsidR="00682AF2" w:rsidRDefault="00290C67" w:rsidP="00682AF2">
      <w:pPr>
        <w:pStyle w:val="answer"/>
        <w:ind w:firstLine="0"/>
      </w:pPr>
      <w:r>
        <w:t>On the supply side, the first principle asserts that rational investors maximize the performance of their portfolios only if they expect the returns on investments of comparable risk to be the same.</w:t>
      </w:r>
      <w:r w:rsidR="00BD560E">
        <w:t xml:space="preserve"> </w:t>
      </w:r>
      <w:r>
        <w:t>If not, rational investors will switch out of those investments yielding lower returns at a given risk level in favor of those investment activities offering higher returns for the same degree of risk.</w:t>
      </w:r>
      <w:r w:rsidR="00BD560E">
        <w:t xml:space="preserve"> </w:t>
      </w:r>
      <w:r>
        <w:t>This principle implies that a company will be unable to attract capital funds unless it can offer returns to capital suppliers that are comparable to those achieved on competing investments of similar risk.</w:t>
      </w:r>
    </w:p>
    <w:p w14:paraId="6EE8623B" w14:textId="21035360" w:rsidR="00290C67" w:rsidRDefault="00290C67" w:rsidP="00682AF2">
      <w:pPr>
        <w:pStyle w:val="answer"/>
        <w:ind w:firstLine="0"/>
      </w:pPr>
      <w:r>
        <w:t xml:space="preserve">On the demand side, the second principle asserts that a company will continue to invest in real physical assets if the return on these investments equals, or exceeds, </w:t>
      </w:r>
      <w:r w:rsidR="00000E10">
        <w:lastRenderedPageBreak/>
        <w:t>a</w:t>
      </w:r>
      <w:r>
        <w:t xml:space="preserve"> company</w:t>
      </w:r>
      <w:r w:rsidR="00BD560E">
        <w:t>’</w:t>
      </w:r>
      <w:r>
        <w:t>s cost of capital.</w:t>
      </w:r>
      <w:r w:rsidR="00BD560E">
        <w:t xml:space="preserve"> </w:t>
      </w:r>
      <w:r>
        <w:t xml:space="preserve">This principle suggests that a regulatory board should set rates at a level sufficient to create equality between the return on physical asset investments and </w:t>
      </w:r>
      <w:r w:rsidR="00000E10">
        <w:t>a</w:t>
      </w:r>
      <w:r>
        <w:t xml:space="preserve"> company</w:t>
      </w:r>
      <w:r w:rsidR="00BD560E">
        <w:t>’</w:t>
      </w:r>
      <w:r>
        <w:t>s cost of capital.</w:t>
      </w:r>
    </w:p>
    <w:p w14:paraId="640D6BF1" w14:textId="77777777" w:rsidR="00290C67" w:rsidRDefault="00290C67" w:rsidP="00BF05CC">
      <w:pPr>
        <w:pStyle w:val="question"/>
      </w:pPr>
      <w:r>
        <w:t>Q.</w:t>
      </w:r>
      <w:r>
        <w:tab/>
        <w:t>How does PSE obtain its capital and how is its overall cost of capital determined?</w:t>
      </w:r>
    </w:p>
    <w:p w14:paraId="71F2D5CA" w14:textId="77777777" w:rsidR="00290C67" w:rsidRDefault="00290C67" w:rsidP="00682AF2">
      <w:pPr>
        <w:pStyle w:val="answer"/>
      </w:pPr>
      <w:r>
        <w:t>A.</w:t>
      </w:r>
      <w:r>
        <w:tab/>
        <w:t>The funds employed by PSE are obtained in two general forms, debt capital and equity capital.</w:t>
      </w:r>
      <w:r w:rsidR="00BD560E">
        <w:t xml:space="preserve"> </w:t>
      </w:r>
      <w:r>
        <w:t>The cost of debt funds can be ascertained easily from an examination of the contractual interest payments.</w:t>
      </w:r>
      <w:r w:rsidR="00BD560E">
        <w:t xml:space="preserve"> </w:t>
      </w:r>
      <w:r>
        <w:t>The cost of common equity funds, that is, equity investors</w:t>
      </w:r>
      <w:r w:rsidR="00BD560E">
        <w:t>’</w:t>
      </w:r>
      <w:r>
        <w:t xml:space="preserve"> required rate of return, is more difficult to estimate because the dividend payments received from common stock are not contractual or guaranteed in nature.</w:t>
      </w:r>
      <w:r w:rsidR="00BD560E">
        <w:t xml:space="preserve"> </w:t>
      </w:r>
      <w:r>
        <w:t>They are uneven and risky, unlike interest payments.</w:t>
      </w:r>
      <w:r w:rsidR="00BD560E">
        <w:t xml:space="preserve"> </w:t>
      </w:r>
      <w:r>
        <w:t>Once a cost of common equity estimate has been developed, it can then easily be combined with the embedded cost of debt based on the utility</w:t>
      </w:r>
      <w:r w:rsidR="00BD560E">
        <w:t>’</w:t>
      </w:r>
      <w:r>
        <w:t>s capital structure, in order to arrive at the overall cost of capital (overall rate of return).</w:t>
      </w:r>
    </w:p>
    <w:p w14:paraId="0C008D0A" w14:textId="77777777" w:rsidR="00290C67" w:rsidRDefault="00290C67" w:rsidP="00BF05CC">
      <w:pPr>
        <w:pStyle w:val="question"/>
      </w:pPr>
      <w:r>
        <w:t>Q.</w:t>
      </w:r>
      <w:r>
        <w:tab/>
        <w:t>What is the market required rate of return on equity capital?</w:t>
      </w:r>
    </w:p>
    <w:p w14:paraId="0C2F6645" w14:textId="77777777" w:rsidR="00290C67" w:rsidRDefault="00290C67" w:rsidP="00682AF2">
      <w:pPr>
        <w:pStyle w:val="answer"/>
      </w:pPr>
      <w:r>
        <w:t>A.</w:t>
      </w:r>
      <w:r>
        <w:tab/>
        <w:t>The market required rate of return on common equity, or cost of equity, is the return demanded by the equity investor.</w:t>
      </w:r>
      <w:r w:rsidR="00BD560E">
        <w:t xml:space="preserve"> </w:t>
      </w:r>
      <w:r>
        <w:t>Investors establish the price for equity capital through their buying and selling decisions in capital markets.</w:t>
      </w:r>
      <w:r w:rsidR="00BD560E">
        <w:t xml:space="preserve"> </w:t>
      </w:r>
      <w:r>
        <w:t>Investors set return requirements according to their perception of the risks inherent in the investment, recognizing the opportunity cost of forgone investments in other companies, and the returns available from other investments of comparable risk.</w:t>
      </w:r>
    </w:p>
    <w:p w14:paraId="117309EF" w14:textId="77777777" w:rsidR="00290C67" w:rsidRDefault="00290C67" w:rsidP="00BF05CC">
      <w:pPr>
        <w:pStyle w:val="question"/>
      </w:pPr>
      <w:r>
        <w:lastRenderedPageBreak/>
        <w:t>Q.</w:t>
      </w:r>
      <w:r>
        <w:tab/>
        <w:t>What must be considered in estimating a fair ROE?</w:t>
      </w:r>
    </w:p>
    <w:p w14:paraId="0550D764" w14:textId="77777777" w:rsidR="00290C67" w:rsidRDefault="00290C67" w:rsidP="00682AF2">
      <w:pPr>
        <w:pStyle w:val="answer"/>
      </w:pPr>
      <w:r>
        <w:t>A.</w:t>
      </w:r>
      <w:r>
        <w:tab/>
        <w:t>The basic premise is that the allowable ROE should be commensurate with returns on investments in other firms having corresponding risks.</w:t>
      </w:r>
      <w:r w:rsidR="00BD560E">
        <w:t xml:space="preserve"> </w:t>
      </w:r>
      <w:r>
        <w:t>The allowed return should be sufficient to assure confidence in the financial integrity of the firm, in order to maintain creditworthiness and ability to attract capital on reasonable terms.</w:t>
      </w:r>
      <w:r w:rsidR="00BD560E">
        <w:t xml:space="preserve"> </w:t>
      </w:r>
      <w:r>
        <w:t xml:space="preserve">The </w:t>
      </w:r>
      <w:r w:rsidR="00BD560E">
        <w:t>“</w:t>
      </w:r>
      <w:r>
        <w:t>attraction of capital</w:t>
      </w:r>
      <w:r w:rsidR="00BD560E">
        <w:t>”</w:t>
      </w:r>
      <w:r>
        <w:t xml:space="preserve"> standard focuses on investors</w:t>
      </w:r>
      <w:r w:rsidR="00BD560E">
        <w:t>’</w:t>
      </w:r>
      <w:r>
        <w:t xml:space="preserve"> return requirements that are generally determined using market value methods, such as the </w:t>
      </w:r>
      <w:proofErr w:type="spellStart"/>
      <w:r>
        <w:t>DCF</w:t>
      </w:r>
      <w:proofErr w:type="spellEnd"/>
      <w:r>
        <w:t xml:space="preserve">, </w:t>
      </w:r>
      <w:proofErr w:type="spellStart"/>
      <w:r>
        <w:t>CAPM</w:t>
      </w:r>
      <w:proofErr w:type="spellEnd"/>
      <w:r>
        <w:t>, or risk premium methods.</w:t>
      </w:r>
      <w:r w:rsidR="00BD560E">
        <w:t xml:space="preserve"> </w:t>
      </w:r>
      <w:r>
        <w:t xml:space="preserve">These market value tests define </w:t>
      </w:r>
      <w:r w:rsidR="00BD560E">
        <w:t>“</w:t>
      </w:r>
      <w:r>
        <w:t>fair return</w:t>
      </w:r>
      <w:r w:rsidR="00BD560E">
        <w:t>”</w:t>
      </w:r>
      <w:r>
        <w:t xml:space="preserve"> as the return investors anticipate when they purchase equity shares of comparable risk in the financial marketplace.</w:t>
      </w:r>
      <w:r w:rsidR="00BD560E">
        <w:t xml:space="preserve"> </w:t>
      </w:r>
      <w:r>
        <w:t>This is a market rate of return, defined in terms of anticipated dividends and capital gains as determined by expected changes in stock prices, and reflects the opportunity cost of capital.</w:t>
      </w:r>
      <w:r w:rsidR="00BD560E">
        <w:t xml:space="preserve"> </w:t>
      </w:r>
      <w:r>
        <w:t>The economic basis for market value tests is that new capital will be attracted to a firm only if the return expected by the suppliers of funds is commensurate with that available from alternative investments of comparable risk.</w:t>
      </w:r>
    </w:p>
    <w:p w14:paraId="5E84CAEE" w14:textId="77777777" w:rsidR="00290C67" w:rsidRDefault="00290C67" w:rsidP="00BF05CC">
      <w:pPr>
        <w:pStyle w:val="Heading1"/>
      </w:pPr>
      <w:bookmarkStart w:id="20" w:name="_Toc468636158"/>
      <w:bookmarkStart w:id="21" w:name="_Toc443553404"/>
      <w:r>
        <w:t>III.</w:t>
      </w:r>
      <w:r>
        <w:tab/>
        <w:t>COST OF EQUITY CAPITAL ESTIMATES</w:t>
      </w:r>
      <w:bookmarkEnd w:id="20"/>
      <w:bookmarkEnd w:id="21"/>
    </w:p>
    <w:p w14:paraId="2769FFB4" w14:textId="77777777" w:rsidR="00290C67" w:rsidRDefault="00290C67" w:rsidP="00BF05CC">
      <w:pPr>
        <w:pStyle w:val="question"/>
      </w:pPr>
      <w:r>
        <w:t>Q.</w:t>
      </w:r>
      <w:r>
        <w:tab/>
        <w:t>How did you estimate a fair ROE for PSE?</w:t>
      </w:r>
    </w:p>
    <w:p w14:paraId="28836945" w14:textId="77777777" w:rsidR="00290C67" w:rsidRDefault="00290C67" w:rsidP="00682AF2">
      <w:pPr>
        <w:pStyle w:val="answer"/>
      </w:pPr>
      <w:r>
        <w:t>A.</w:t>
      </w:r>
      <w:r>
        <w:tab/>
        <w:t>To estimate a fair ROE for PSE, I employed three methodologies:</w:t>
      </w:r>
    </w:p>
    <w:p w14:paraId="546A3D7A" w14:textId="77777777" w:rsidR="00290C67" w:rsidRDefault="00290C67" w:rsidP="00682AF2">
      <w:pPr>
        <w:pStyle w:val="List"/>
      </w:pPr>
      <w:r>
        <w:t>(i)</w:t>
      </w:r>
      <w:r>
        <w:tab/>
      </w:r>
      <w:proofErr w:type="spellStart"/>
      <w:r>
        <w:t>DCF</w:t>
      </w:r>
      <w:proofErr w:type="spellEnd"/>
      <w:r>
        <w:t xml:space="preserve"> methodology;</w:t>
      </w:r>
    </w:p>
    <w:p w14:paraId="0AC5611E" w14:textId="77777777" w:rsidR="00290C67" w:rsidRDefault="00290C67" w:rsidP="00682AF2">
      <w:pPr>
        <w:pStyle w:val="List"/>
      </w:pPr>
      <w:r>
        <w:t>(ii)</w:t>
      </w:r>
      <w:r>
        <w:tab/>
      </w:r>
      <w:proofErr w:type="spellStart"/>
      <w:r>
        <w:t>CAPM</w:t>
      </w:r>
      <w:proofErr w:type="spellEnd"/>
      <w:r>
        <w:t xml:space="preserve"> methodology; and</w:t>
      </w:r>
    </w:p>
    <w:p w14:paraId="512B6FAC" w14:textId="77777777" w:rsidR="00290C67" w:rsidRDefault="00290C67" w:rsidP="00682AF2">
      <w:pPr>
        <w:pStyle w:val="List"/>
      </w:pPr>
      <w:r>
        <w:t>(iii)</w:t>
      </w:r>
      <w:r>
        <w:tab/>
        <w:t>Risk Premium methodology.</w:t>
      </w:r>
    </w:p>
    <w:p w14:paraId="0A680708" w14:textId="77777777" w:rsidR="00290C67" w:rsidRDefault="00290C67" w:rsidP="00682AF2">
      <w:pPr>
        <w:pStyle w:val="answer"/>
        <w:ind w:firstLine="0"/>
      </w:pPr>
      <w:r>
        <w:lastRenderedPageBreak/>
        <w:t>All three methodologies are market-based methodologies designed to estimate the return required by investors on the common equity capital committed to PSE.</w:t>
      </w:r>
      <w:r w:rsidR="00BD560E">
        <w:t xml:space="preserve"> </w:t>
      </w:r>
    </w:p>
    <w:p w14:paraId="53E286D0" w14:textId="77777777" w:rsidR="00290C67" w:rsidRDefault="00290C67" w:rsidP="00BF05CC">
      <w:pPr>
        <w:pStyle w:val="question"/>
      </w:pPr>
      <w:r>
        <w:t>Q.</w:t>
      </w:r>
      <w:r>
        <w:tab/>
        <w:t>Why did you use more than one approach for estimating the cost of equity?</w:t>
      </w:r>
    </w:p>
    <w:p w14:paraId="345AA94A" w14:textId="1496D441" w:rsidR="00682AF2" w:rsidRDefault="00290C67" w:rsidP="00682AF2">
      <w:pPr>
        <w:pStyle w:val="answer"/>
      </w:pPr>
      <w:r>
        <w:t>A.</w:t>
      </w:r>
      <w:r>
        <w:tab/>
        <w:t>No one single method</w:t>
      </w:r>
      <w:r w:rsidR="008E2C84">
        <w:t xml:space="preserve"> </w:t>
      </w:r>
      <w:r>
        <w:t>provides the necessary level of precision for determining a fair return, but each method</w:t>
      </w:r>
      <w:r w:rsidR="008E2C84">
        <w:t xml:space="preserve"> </w:t>
      </w:r>
      <w:r>
        <w:t>provides useful evidence to facilitate the exercise of an informed judgment.</w:t>
      </w:r>
      <w:r w:rsidR="00BD560E">
        <w:t xml:space="preserve"> </w:t>
      </w:r>
      <w:r>
        <w:t>Reliance on any single method</w:t>
      </w:r>
      <w:r w:rsidR="008E2C84">
        <w:t xml:space="preserve"> </w:t>
      </w:r>
      <w:r>
        <w:t>or preset formula is inappropriate when dealing with investor expectations because of possible measurement difficulties and vagaries in individual companies</w:t>
      </w:r>
      <w:r w:rsidR="00BD560E">
        <w:t>’</w:t>
      </w:r>
      <w:r>
        <w:t xml:space="preserve"> market data.</w:t>
      </w:r>
      <w:r w:rsidR="00BD560E">
        <w:t xml:space="preserve"> </w:t>
      </w:r>
      <w:r>
        <w:t>Examples of such vagaries include dividend suspension, insufficient or unrepresentative historical data due to a recent merger, impending merger or acquisition, and a new corporate identity due to restructuring activities.</w:t>
      </w:r>
      <w:r w:rsidR="00BD560E">
        <w:t xml:space="preserve"> </w:t>
      </w:r>
      <w:r>
        <w:t>The advantage of using several different approaches is that the results of each one can be used to check the others.</w:t>
      </w:r>
    </w:p>
    <w:p w14:paraId="151D398D" w14:textId="77777777" w:rsidR="00682AF2" w:rsidRDefault="00290C67" w:rsidP="00682AF2">
      <w:pPr>
        <w:pStyle w:val="answer"/>
        <w:ind w:firstLine="0"/>
      </w:pPr>
      <w:r>
        <w:t>As a general proposition, it is extremely dangerous to rely on only one generic methodology to estimate equity costs.</w:t>
      </w:r>
      <w:r w:rsidR="00BD560E">
        <w:t xml:space="preserve"> </w:t>
      </w:r>
      <w:r>
        <w:t>The difficulty is compounded when only one variant of that methodology is employed.</w:t>
      </w:r>
      <w:r w:rsidR="00BD560E">
        <w:t xml:space="preserve"> </w:t>
      </w:r>
      <w:r>
        <w:t>It is compounded even further when that one methodology is applied to a single company.</w:t>
      </w:r>
      <w:r w:rsidR="00BD560E">
        <w:t xml:space="preserve"> </w:t>
      </w:r>
      <w:r>
        <w:t>Hence, several methodologies applied to several comparable risk companies should be employed to estimate the cost of common equity.</w:t>
      </w:r>
    </w:p>
    <w:p w14:paraId="1D359C82" w14:textId="131BB44C" w:rsidR="00682AF2" w:rsidRDefault="00290C67" w:rsidP="00682AF2">
      <w:pPr>
        <w:pStyle w:val="answer"/>
        <w:ind w:firstLine="0"/>
      </w:pPr>
      <w:r>
        <w:t>As I have stated, there are three broad generic methods available to measure the cost of equity:</w:t>
      </w:r>
      <w:r w:rsidR="00BD560E">
        <w:t xml:space="preserve"> </w:t>
      </w:r>
      <w:proofErr w:type="spellStart"/>
      <w:r>
        <w:t>DCF</w:t>
      </w:r>
      <w:proofErr w:type="spellEnd"/>
      <w:r>
        <w:t xml:space="preserve">, </w:t>
      </w:r>
      <w:proofErr w:type="spellStart"/>
      <w:r>
        <w:t>CAPM</w:t>
      </w:r>
      <w:proofErr w:type="spellEnd"/>
      <w:r>
        <w:t>, and risk premium.</w:t>
      </w:r>
      <w:r w:rsidR="00BD560E">
        <w:t xml:space="preserve"> </w:t>
      </w:r>
      <w:r>
        <w:t xml:space="preserve">All three of these methods are accepted and used by the financial community and firmly supported in the </w:t>
      </w:r>
      <w:r>
        <w:lastRenderedPageBreak/>
        <w:t>financial literature.</w:t>
      </w:r>
      <w:r w:rsidR="00BD560E">
        <w:t xml:space="preserve"> </w:t>
      </w:r>
      <w:r>
        <w:t>The weight accorded to any one method may vary depending on unusual circumstances in capital market conditions.</w:t>
      </w:r>
    </w:p>
    <w:p w14:paraId="2CC1E93D" w14:textId="68976D35" w:rsidR="00290C67" w:rsidRDefault="00290C67" w:rsidP="00682AF2">
      <w:pPr>
        <w:pStyle w:val="answer"/>
        <w:ind w:firstLine="0"/>
      </w:pPr>
      <w:r>
        <w:t>Each methodology requires the exercise of considerable judgment on the reasonableness of the assumptions underlying the method and on the reasonableness of the proxies used to validate the theory and apply the method.</w:t>
      </w:r>
      <w:r w:rsidR="00BD560E">
        <w:t xml:space="preserve"> </w:t>
      </w:r>
      <w:r>
        <w:t>Each method has its own way of examining investor behavior, its own premises, and its own set of simplifications of reality.</w:t>
      </w:r>
      <w:r w:rsidR="00BD560E">
        <w:t xml:space="preserve"> </w:t>
      </w:r>
      <w:r>
        <w:t>Investors do not necessarily subscribe to any one method, nor does the stock price reflect the application of any one single method by the price-setting investor.</w:t>
      </w:r>
      <w:r w:rsidR="00BD560E">
        <w:t xml:space="preserve"> </w:t>
      </w:r>
      <w:r>
        <w:t xml:space="preserve">There is no guarantee that a single </w:t>
      </w:r>
      <w:proofErr w:type="spellStart"/>
      <w:r>
        <w:t>DCF</w:t>
      </w:r>
      <w:proofErr w:type="spellEnd"/>
      <w:r>
        <w:t xml:space="preserve"> result is necessarily the ideal predictor of the stock price and of the cost of equity reflected in that price, just as there is no guarantee that a single </w:t>
      </w:r>
      <w:proofErr w:type="spellStart"/>
      <w:r>
        <w:t>CAPM</w:t>
      </w:r>
      <w:proofErr w:type="spellEnd"/>
      <w:r>
        <w:t xml:space="preserve"> or risk premium result constitutes the perfect explanation of a stock</w:t>
      </w:r>
      <w:r w:rsidR="00BD560E">
        <w:t>’</w:t>
      </w:r>
      <w:r>
        <w:t>s price or the cost of equity.</w:t>
      </w:r>
    </w:p>
    <w:p w14:paraId="261DA3FA" w14:textId="77777777" w:rsidR="00290C67" w:rsidRDefault="00290C67" w:rsidP="00BF05CC">
      <w:pPr>
        <w:pStyle w:val="question"/>
      </w:pPr>
      <w:r>
        <w:t>Q.</w:t>
      </w:r>
      <w:r>
        <w:tab/>
        <w:t>Are there any practical difficulties in applying cost of capital methodologies in environments of volatility in capital markets and economic uncertainty?</w:t>
      </w:r>
    </w:p>
    <w:p w14:paraId="5A2866FD" w14:textId="77777777" w:rsidR="00682AF2" w:rsidRDefault="00290C67" w:rsidP="00682AF2">
      <w:pPr>
        <w:pStyle w:val="answer"/>
      </w:pPr>
      <w:r>
        <w:t>A.</w:t>
      </w:r>
      <w:r>
        <w:tab/>
        <w:t>Yes, there are.</w:t>
      </w:r>
      <w:r w:rsidR="00BD560E">
        <w:t xml:space="preserve"> </w:t>
      </w:r>
      <w:r>
        <w:t>The traditional cost of equity estimation methodologies are difficult to implement when you are dealing with the instability and volatility in the capital markets and the highly uncertain economy both in the U.S. and abroad.</w:t>
      </w:r>
      <w:r w:rsidR="00BD560E">
        <w:t xml:space="preserve"> </w:t>
      </w:r>
      <w:r>
        <w:t>This is not only because stock prices are volatile at this time, but also because utility company historical data have become less meaningful for an industry experiencing substantial change, for example, the transition to stringent renewable standards and the need to secure vast amounts of external capital over the next decade, regardless of capital market conditions.</w:t>
      </w:r>
      <w:r w:rsidR="00BD560E">
        <w:t xml:space="preserve"> </w:t>
      </w:r>
      <w:r>
        <w:t xml:space="preserve">Past earnings and dividend trends </w:t>
      </w:r>
      <w:r>
        <w:lastRenderedPageBreak/>
        <w:t>may simply not be indicative of the future.</w:t>
      </w:r>
      <w:r w:rsidR="00BD560E">
        <w:t xml:space="preserve"> </w:t>
      </w:r>
      <w:r>
        <w:t>For example, historical growth rates of earnings and dividends have been depressed by eroding margins due to a variety of factors, including the sluggish economy, restructuring, and falling margins.</w:t>
      </w:r>
      <w:r w:rsidR="00BD560E">
        <w:t xml:space="preserve"> </w:t>
      </w:r>
      <w:r>
        <w:t>As a result, this historical data may not be representative of the future long-term earning power of these companies.</w:t>
      </w:r>
      <w:r w:rsidR="00BD560E">
        <w:t xml:space="preserve"> </w:t>
      </w:r>
      <w:r>
        <w:t xml:space="preserve">Moreover, historical growth rates may not be necessarily representative of future trends for several electric utilities involved in mergers and acquisitions, as these companies going forward are not the same companies for which </w:t>
      </w:r>
      <w:r w:rsidR="00682AF2">
        <w:t>historical data are available.</w:t>
      </w:r>
    </w:p>
    <w:p w14:paraId="5B03E873" w14:textId="77777777" w:rsidR="00290C67" w:rsidRDefault="00290C67" w:rsidP="00682AF2">
      <w:pPr>
        <w:pStyle w:val="answer"/>
        <w:ind w:firstLine="0"/>
      </w:pPr>
      <w:r>
        <w:t>In short, given the volatility in capital markets and economic uncertainties, the utilization of multiple methodologies is critical, and reliance on a single methodology is highly hazardous.</w:t>
      </w:r>
    </w:p>
    <w:p w14:paraId="3FF97D3D" w14:textId="77777777" w:rsidR="00290C67" w:rsidRDefault="00290C67" w:rsidP="00682AF2">
      <w:pPr>
        <w:pStyle w:val="Heading2"/>
      </w:pPr>
      <w:bookmarkStart w:id="22" w:name="_Toc468636159"/>
      <w:bookmarkStart w:id="23" w:name="_Toc443553405"/>
      <w:r>
        <w:t>A.</w:t>
      </w:r>
      <w:r>
        <w:tab/>
      </w:r>
      <w:proofErr w:type="spellStart"/>
      <w:r>
        <w:t>DCF</w:t>
      </w:r>
      <w:proofErr w:type="spellEnd"/>
      <w:r>
        <w:t xml:space="preserve"> Estimates</w:t>
      </w:r>
      <w:bookmarkEnd w:id="22"/>
      <w:bookmarkEnd w:id="23"/>
    </w:p>
    <w:p w14:paraId="6146517E" w14:textId="77777777" w:rsidR="00290C67" w:rsidRDefault="00290C67" w:rsidP="00BF05CC">
      <w:pPr>
        <w:pStyle w:val="question"/>
      </w:pPr>
      <w:r>
        <w:t>Q.</w:t>
      </w:r>
      <w:r>
        <w:tab/>
        <w:t xml:space="preserve">Please describe the </w:t>
      </w:r>
      <w:proofErr w:type="spellStart"/>
      <w:r>
        <w:t>DCF</w:t>
      </w:r>
      <w:proofErr w:type="spellEnd"/>
      <w:r>
        <w:t xml:space="preserve"> approach to estimating the cost of equity capital.</w:t>
      </w:r>
    </w:p>
    <w:p w14:paraId="61B141C9" w14:textId="77777777" w:rsidR="00290C67" w:rsidRDefault="00290C67" w:rsidP="00682AF2">
      <w:pPr>
        <w:pStyle w:val="answer"/>
      </w:pPr>
      <w:r>
        <w:t>A.</w:t>
      </w:r>
      <w:r>
        <w:tab/>
        <w:t xml:space="preserve">According to </w:t>
      </w:r>
      <w:proofErr w:type="spellStart"/>
      <w:r>
        <w:t>DCF</w:t>
      </w:r>
      <w:proofErr w:type="spellEnd"/>
      <w:r>
        <w:t xml:space="preserve"> theory, the value of any security to an investor is the expected discounted value of the future stream of dividends or other benefits.</w:t>
      </w:r>
      <w:r w:rsidR="00BD560E">
        <w:t xml:space="preserve"> </w:t>
      </w:r>
      <w:r>
        <w:t>One widely used method to measure these anticipated benefits in the case of a non-static company is to examine the current dividend plus the increases in future dividend payments expected by investors.</w:t>
      </w:r>
      <w:r w:rsidR="00BD560E">
        <w:t xml:space="preserve"> </w:t>
      </w:r>
      <w:r>
        <w:t xml:space="preserve">This valuation process can be represented by the following formula, which is the traditional </w:t>
      </w:r>
      <w:proofErr w:type="spellStart"/>
      <w:r>
        <w:t>DCF</w:t>
      </w:r>
      <w:proofErr w:type="spellEnd"/>
      <w:r>
        <w:t xml:space="preserve"> model:</w:t>
      </w:r>
    </w:p>
    <w:p w14:paraId="6835B540" w14:textId="637A9405" w:rsidR="00290C67" w:rsidRDefault="00290C67" w:rsidP="00EB5B5F">
      <w:pPr>
        <w:pStyle w:val="Quote"/>
        <w:keepNext/>
        <w:keepLines/>
        <w:pageBreakBefore/>
        <w:ind w:left="720"/>
        <w:jc w:val="center"/>
      </w:pPr>
      <w:proofErr w:type="spellStart"/>
      <w:r>
        <w:lastRenderedPageBreak/>
        <w:t>K</w:t>
      </w:r>
      <w:r w:rsidRPr="00682AF2">
        <w:rPr>
          <w:vertAlign w:val="subscript"/>
        </w:rPr>
        <w:t>e</w:t>
      </w:r>
      <w:proofErr w:type="spellEnd"/>
      <w:r>
        <w:t xml:space="preserve"> = D</w:t>
      </w:r>
      <w:r w:rsidRPr="00682AF2">
        <w:rPr>
          <w:vertAlign w:val="subscript"/>
        </w:rPr>
        <w:t>1</w:t>
      </w:r>
      <w:r>
        <w:t>/P</w:t>
      </w:r>
      <w:r w:rsidRPr="00682AF2">
        <w:rPr>
          <w:vertAlign w:val="subscript"/>
        </w:rPr>
        <w:t>0</w:t>
      </w:r>
      <w:r>
        <w:t xml:space="preserve"> + g</w:t>
      </w:r>
    </w:p>
    <w:p w14:paraId="6F775467" w14:textId="77777777" w:rsidR="004908B1" w:rsidRDefault="00290C67" w:rsidP="004908B1">
      <w:pPr>
        <w:pStyle w:val="Quote"/>
        <w:tabs>
          <w:tab w:val="left" w:pos="2880"/>
          <w:tab w:val="left" w:pos="3150"/>
        </w:tabs>
        <w:spacing w:after="0"/>
        <w:ind w:left="2520" w:hanging="1080"/>
        <w:jc w:val="left"/>
      </w:pPr>
      <w:r>
        <w:t>where:</w:t>
      </w:r>
      <w:r>
        <w:tab/>
      </w:r>
      <w:proofErr w:type="spellStart"/>
      <w:r>
        <w:t>K</w:t>
      </w:r>
      <w:r w:rsidRPr="00682AF2">
        <w:rPr>
          <w:vertAlign w:val="subscript"/>
        </w:rPr>
        <w:t>e</w:t>
      </w:r>
      <w:proofErr w:type="spellEnd"/>
      <w:r w:rsidR="004908B1">
        <w:tab/>
      </w:r>
      <w:r>
        <w:t>=</w:t>
      </w:r>
      <w:r w:rsidR="004908B1">
        <w:tab/>
      </w:r>
      <w:r>
        <w:t>investors</w:t>
      </w:r>
      <w:r w:rsidR="00BD560E">
        <w:t>’</w:t>
      </w:r>
      <w:r>
        <w:t xml:space="preserve"> expected return on equity</w:t>
      </w:r>
    </w:p>
    <w:p w14:paraId="4FEDF2CC" w14:textId="77777777" w:rsidR="004908B1" w:rsidRDefault="00290C67" w:rsidP="004908B1">
      <w:pPr>
        <w:pStyle w:val="Quote"/>
        <w:tabs>
          <w:tab w:val="left" w:pos="2880"/>
          <w:tab w:val="left" w:pos="3150"/>
        </w:tabs>
        <w:spacing w:after="0"/>
        <w:ind w:left="3150" w:hanging="630"/>
        <w:jc w:val="left"/>
      </w:pPr>
      <w:r>
        <w:t>D</w:t>
      </w:r>
      <w:r w:rsidRPr="004908B1">
        <w:rPr>
          <w:vertAlign w:val="subscript"/>
        </w:rPr>
        <w:t>1</w:t>
      </w:r>
      <w:r w:rsidR="004908B1">
        <w:tab/>
      </w:r>
      <w:r>
        <w:t>=</w:t>
      </w:r>
      <w:r w:rsidR="004908B1">
        <w:tab/>
      </w:r>
      <w:r>
        <w:t>expected dividend at the end of the coming year</w:t>
      </w:r>
    </w:p>
    <w:p w14:paraId="76884DDA" w14:textId="77777777" w:rsidR="004908B1" w:rsidRDefault="00290C67" w:rsidP="004908B1">
      <w:pPr>
        <w:pStyle w:val="Quote"/>
        <w:tabs>
          <w:tab w:val="left" w:pos="2880"/>
          <w:tab w:val="left" w:pos="3150"/>
        </w:tabs>
        <w:spacing w:after="0"/>
        <w:ind w:left="3150" w:hanging="630"/>
        <w:jc w:val="left"/>
      </w:pPr>
      <w:r>
        <w:t>P</w:t>
      </w:r>
      <w:r w:rsidRPr="004908B1">
        <w:rPr>
          <w:vertAlign w:val="subscript"/>
        </w:rPr>
        <w:t>0</w:t>
      </w:r>
      <w:r w:rsidR="004908B1">
        <w:tab/>
      </w:r>
      <w:r>
        <w:t>=</w:t>
      </w:r>
      <w:r>
        <w:tab/>
        <w:t>current stock price</w:t>
      </w:r>
    </w:p>
    <w:p w14:paraId="661FAAEA" w14:textId="77777777" w:rsidR="00290C67" w:rsidRDefault="00290C67" w:rsidP="004908B1">
      <w:pPr>
        <w:pStyle w:val="Quote"/>
        <w:tabs>
          <w:tab w:val="left" w:pos="2880"/>
          <w:tab w:val="left" w:pos="3150"/>
        </w:tabs>
        <w:ind w:left="3154" w:hanging="634"/>
        <w:jc w:val="left"/>
      </w:pPr>
      <w:r>
        <w:t>g</w:t>
      </w:r>
      <w:r w:rsidR="004908B1">
        <w:tab/>
      </w:r>
      <w:r>
        <w:t>=</w:t>
      </w:r>
      <w:r w:rsidR="004908B1">
        <w:tab/>
      </w:r>
      <w:r>
        <w:t>expected growth rate of dividends, earnings, stock price, and book value</w:t>
      </w:r>
    </w:p>
    <w:p w14:paraId="67ECC379" w14:textId="76238018" w:rsidR="004908B1" w:rsidRDefault="00290C67" w:rsidP="004908B1">
      <w:pPr>
        <w:pStyle w:val="answer"/>
        <w:ind w:firstLine="0"/>
      </w:pPr>
      <w:r>
        <w:t xml:space="preserve">The traditional </w:t>
      </w:r>
      <w:proofErr w:type="spellStart"/>
      <w:r>
        <w:t>DCF</w:t>
      </w:r>
      <w:proofErr w:type="spellEnd"/>
      <w:r>
        <w:t xml:space="preserve"> formula states that under certain assumptions, which are described in the next paragraph, the equity investor</w:t>
      </w:r>
      <w:r w:rsidR="00BD560E">
        <w:t>’</w:t>
      </w:r>
      <w:r>
        <w:t>s expected return</w:t>
      </w:r>
      <w:r w:rsidR="008E2C84">
        <w:t xml:space="preserve"> (</w:t>
      </w:r>
      <w:proofErr w:type="spellStart"/>
      <w:r>
        <w:t>K</w:t>
      </w:r>
      <w:r w:rsidRPr="004908B1">
        <w:rPr>
          <w:vertAlign w:val="subscript"/>
        </w:rPr>
        <w:t>e</w:t>
      </w:r>
      <w:proofErr w:type="spellEnd"/>
      <w:r w:rsidR="008E2C84">
        <w:t>)</w:t>
      </w:r>
      <w:r>
        <w:t xml:space="preserve"> can be viewed as the sum of an expected dividend yield</w:t>
      </w:r>
      <w:r w:rsidR="008E2C84">
        <w:t xml:space="preserve"> (</w:t>
      </w:r>
      <w:r>
        <w:t>D</w:t>
      </w:r>
      <w:r w:rsidRPr="004908B1">
        <w:rPr>
          <w:vertAlign w:val="subscript"/>
        </w:rPr>
        <w:t>1</w:t>
      </w:r>
      <w:r>
        <w:t>/P</w:t>
      </w:r>
      <w:r w:rsidRPr="004908B1">
        <w:rPr>
          <w:vertAlign w:val="subscript"/>
        </w:rPr>
        <w:t>0</w:t>
      </w:r>
      <w:r w:rsidR="008E2C84">
        <w:t>)</w:t>
      </w:r>
      <w:r>
        <w:t xml:space="preserve"> plus the expected growth rate of future dividends and stock price</w:t>
      </w:r>
      <w:r w:rsidR="008E2C84">
        <w:t xml:space="preserve"> (</w:t>
      </w:r>
      <w:r>
        <w:t>g</w:t>
      </w:r>
      <w:r w:rsidR="008E2C84">
        <w:t>)</w:t>
      </w:r>
      <w:r>
        <w:t>.</w:t>
      </w:r>
      <w:r w:rsidR="00BD560E">
        <w:t xml:space="preserve"> </w:t>
      </w:r>
      <w:r>
        <w:t>The returns anticipated at a given market price are not directly observable and must be estimated from statistical market information.</w:t>
      </w:r>
      <w:r w:rsidR="00BD560E">
        <w:t xml:space="preserve"> </w:t>
      </w:r>
      <w:r>
        <w:t xml:space="preserve">The idea of the market value approach is to infer </w:t>
      </w:r>
      <w:proofErr w:type="spellStart"/>
      <w:r>
        <w:t>K</w:t>
      </w:r>
      <w:r w:rsidRPr="004908B1">
        <w:rPr>
          <w:vertAlign w:val="subscript"/>
        </w:rPr>
        <w:t>e</w:t>
      </w:r>
      <w:proofErr w:type="spellEnd"/>
      <w:r>
        <w:t xml:space="preserve"> from the observed share price, the observed dividend, and an estimate of investors</w:t>
      </w:r>
      <w:r w:rsidR="00BD560E">
        <w:t>’</w:t>
      </w:r>
      <w:r>
        <w:t xml:space="preserve"> expected future growth.</w:t>
      </w:r>
    </w:p>
    <w:p w14:paraId="0113EB74" w14:textId="3B0A74E2" w:rsidR="00B93039" w:rsidRDefault="00290C67" w:rsidP="004908B1">
      <w:pPr>
        <w:pStyle w:val="answer"/>
        <w:ind w:firstLine="0"/>
      </w:pPr>
      <w:r>
        <w:t xml:space="preserve">The assumptions underlying this valuation formulation are well known, and are discussed in detail in Chapter 4 of my reference book, </w:t>
      </w:r>
      <w:r w:rsidRPr="004E2AB3">
        <w:rPr>
          <w:u w:val="single"/>
        </w:rPr>
        <w:t>Regulatory Finance</w:t>
      </w:r>
      <w:r>
        <w:t xml:space="preserve">, and Chapter 8 of my more recent reference text, </w:t>
      </w:r>
      <w:r w:rsidRPr="004E2AB3">
        <w:rPr>
          <w:u w:val="single"/>
        </w:rPr>
        <w:t>The New Regulatory Finance</w:t>
      </w:r>
      <w:r>
        <w:t>.</w:t>
      </w:r>
    </w:p>
    <w:p w14:paraId="743C633B" w14:textId="77777777" w:rsidR="00290C67" w:rsidRDefault="00290C67" w:rsidP="004908B1">
      <w:pPr>
        <w:pStyle w:val="answer"/>
        <w:ind w:firstLine="0"/>
      </w:pPr>
      <w:r>
        <w:t xml:space="preserve">The standard </w:t>
      </w:r>
      <w:proofErr w:type="spellStart"/>
      <w:r>
        <w:t>DCF</w:t>
      </w:r>
      <w:proofErr w:type="spellEnd"/>
      <w:r>
        <w:t xml:space="preserve"> model requires the following main assumptions:</w:t>
      </w:r>
    </w:p>
    <w:p w14:paraId="4BB7C113" w14:textId="77777777" w:rsidR="00290C67" w:rsidRDefault="00290C67" w:rsidP="004908B1">
      <w:pPr>
        <w:pStyle w:val="List"/>
      </w:pPr>
      <w:r>
        <w:t>(i)</w:t>
      </w:r>
      <w:r>
        <w:tab/>
        <w:t>a constant average growth trend for both dividends and earnings;</w:t>
      </w:r>
    </w:p>
    <w:p w14:paraId="6376D7D5" w14:textId="77777777" w:rsidR="00290C67" w:rsidRDefault="00290C67" w:rsidP="004908B1">
      <w:pPr>
        <w:pStyle w:val="List"/>
      </w:pPr>
      <w:r>
        <w:t>(ii)</w:t>
      </w:r>
      <w:r>
        <w:tab/>
        <w:t>a stable dividend payout policy;</w:t>
      </w:r>
    </w:p>
    <w:p w14:paraId="6142EFBA" w14:textId="77777777" w:rsidR="00290C67" w:rsidRDefault="00290C67" w:rsidP="004908B1">
      <w:pPr>
        <w:pStyle w:val="List"/>
      </w:pPr>
      <w:r>
        <w:t>(iii)</w:t>
      </w:r>
      <w:r>
        <w:tab/>
        <w:t>a discount rate in excess of the expected growth rate; and</w:t>
      </w:r>
    </w:p>
    <w:p w14:paraId="5FF39B3E" w14:textId="77777777" w:rsidR="00290C67" w:rsidRDefault="00290C67" w:rsidP="004908B1">
      <w:pPr>
        <w:pStyle w:val="List"/>
      </w:pPr>
      <w:r>
        <w:t>(iv)</w:t>
      </w:r>
      <w:r>
        <w:tab/>
        <w:t>a constant price-earnings multiple, which implies that growth in price is synonymous with growth in earnings and dividends.</w:t>
      </w:r>
    </w:p>
    <w:p w14:paraId="1F979036" w14:textId="77777777" w:rsidR="00290C67" w:rsidRDefault="00290C67" w:rsidP="004908B1">
      <w:pPr>
        <w:pStyle w:val="answer"/>
        <w:ind w:firstLine="0"/>
      </w:pPr>
      <w:r>
        <w:lastRenderedPageBreak/>
        <w:t xml:space="preserve">The standard </w:t>
      </w:r>
      <w:proofErr w:type="spellStart"/>
      <w:r>
        <w:t>DCF</w:t>
      </w:r>
      <w:proofErr w:type="spellEnd"/>
      <w:r>
        <w:t xml:space="preserve"> model also assumes that dividends are paid at the end of each year when in fact dividend payments are normally made on a quarterly basis.</w:t>
      </w:r>
    </w:p>
    <w:p w14:paraId="148436AB" w14:textId="77777777" w:rsidR="00290C67" w:rsidRDefault="00290C67" w:rsidP="00BF05CC">
      <w:pPr>
        <w:pStyle w:val="question"/>
      </w:pPr>
      <w:r>
        <w:t>Q.</w:t>
      </w:r>
      <w:r>
        <w:tab/>
        <w:t>How did you estimate PSE</w:t>
      </w:r>
      <w:r w:rsidR="00BD560E">
        <w:t>’</w:t>
      </w:r>
      <w:r>
        <w:t xml:space="preserve">s cost of equity with the </w:t>
      </w:r>
      <w:proofErr w:type="spellStart"/>
      <w:r>
        <w:t>DCF</w:t>
      </w:r>
      <w:proofErr w:type="spellEnd"/>
      <w:r>
        <w:t xml:space="preserve"> model?</w:t>
      </w:r>
    </w:p>
    <w:p w14:paraId="2F3209CD" w14:textId="21D91627" w:rsidR="004908B1" w:rsidRDefault="00290C67" w:rsidP="00D732D1">
      <w:pPr>
        <w:pStyle w:val="answer"/>
      </w:pPr>
      <w:r>
        <w:t>A.</w:t>
      </w:r>
      <w:r>
        <w:tab/>
        <w:t>In estimating PSE</w:t>
      </w:r>
      <w:r w:rsidR="00BD560E">
        <w:t>’</w:t>
      </w:r>
      <w:r>
        <w:t xml:space="preserve">s cost of equity, I applied the </w:t>
      </w:r>
      <w:proofErr w:type="spellStart"/>
      <w:r>
        <w:t>DCF</w:t>
      </w:r>
      <w:proofErr w:type="spellEnd"/>
      <w:r>
        <w:t xml:space="preserve"> model to a group of investment-grade, dividend-paying, combination gas and electric utilities </w:t>
      </w:r>
      <w:r w:rsidR="00D732D1">
        <w:t>that are covered in the Value Line database</w:t>
      </w:r>
      <w:r w:rsidR="009B418D">
        <w:t>.</w:t>
      </w:r>
      <w:r w:rsidR="00217503">
        <w:t xml:space="preserve"> </w:t>
      </w:r>
      <w:r w:rsidR="009B418D">
        <w:t xml:space="preserve">The companies were required to receive </w:t>
      </w:r>
      <w:r>
        <w:t>the majority of their revenues from regulated operations</w:t>
      </w:r>
      <w:r w:rsidR="009B418D">
        <w:t>.</w:t>
      </w:r>
    </w:p>
    <w:p w14:paraId="2DAEC27C" w14:textId="77777777" w:rsidR="00290C67" w:rsidRDefault="00290C67" w:rsidP="004908B1">
      <w:pPr>
        <w:pStyle w:val="answer"/>
        <w:ind w:firstLine="0"/>
      </w:pPr>
      <w:r>
        <w:t xml:space="preserve">In order to apply the </w:t>
      </w:r>
      <w:proofErr w:type="spellStart"/>
      <w:r>
        <w:t>DCF</w:t>
      </w:r>
      <w:proofErr w:type="spellEnd"/>
      <w:r>
        <w:t xml:space="preserve"> model, two components are required:</w:t>
      </w:r>
      <w:r w:rsidR="00BD560E">
        <w:t xml:space="preserve"> </w:t>
      </w:r>
      <w:r>
        <w:t>the expected dividend yield (</w:t>
      </w:r>
      <w:r w:rsidR="004908B1">
        <w:t>D</w:t>
      </w:r>
      <w:r w:rsidR="004908B1" w:rsidRPr="004908B1">
        <w:rPr>
          <w:vertAlign w:val="subscript"/>
        </w:rPr>
        <w:t>1</w:t>
      </w:r>
      <w:r>
        <w:t>/</w:t>
      </w:r>
      <w:r w:rsidR="004908B1">
        <w:t>P</w:t>
      </w:r>
      <w:r w:rsidR="004908B1" w:rsidRPr="00682AF2">
        <w:rPr>
          <w:vertAlign w:val="subscript"/>
        </w:rPr>
        <w:t>0</w:t>
      </w:r>
      <w:r>
        <w:t>), and the expected long-term growth (g).</w:t>
      </w:r>
      <w:r w:rsidR="00BD560E">
        <w:t xml:space="preserve"> </w:t>
      </w:r>
      <w:r>
        <w:t>The expected dividend (</w:t>
      </w:r>
      <w:r w:rsidR="004908B1">
        <w:t>D</w:t>
      </w:r>
      <w:r w:rsidR="004908B1" w:rsidRPr="004908B1">
        <w:rPr>
          <w:vertAlign w:val="subscript"/>
        </w:rPr>
        <w:t>1</w:t>
      </w:r>
      <w:r>
        <w:t xml:space="preserve">) in the annual </w:t>
      </w:r>
      <w:proofErr w:type="spellStart"/>
      <w:r>
        <w:t>DCF</w:t>
      </w:r>
      <w:proofErr w:type="spellEnd"/>
      <w:r>
        <w:t xml:space="preserve"> model can be obtained by multiplying the current indicated annual dividend rate by the growth factor (1 + g).</w:t>
      </w:r>
    </w:p>
    <w:p w14:paraId="2467CDB0" w14:textId="77777777" w:rsidR="00290C67" w:rsidRDefault="00290C67" w:rsidP="00BF05CC">
      <w:pPr>
        <w:pStyle w:val="question"/>
      </w:pPr>
      <w:r>
        <w:t>Q.</w:t>
      </w:r>
      <w:r>
        <w:tab/>
        <w:t xml:space="preserve">How did you estimate the dividend yield component of the </w:t>
      </w:r>
      <w:proofErr w:type="spellStart"/>
      <w:r>
        <w:t>DCF</w:t>
      </w:r>
      <w:proofErr w:type="spellEnd"/>
      <w:r>
        <w:t xml:space="preserve"> model?</w:t>
      </w:r>
    </w:p>
    <w:p w14:paraId="3D4AAD15" w14:textId="77777777" w:rsidR="004908B1" w:rsidRDefault="00290C67" w:rsidP="004908B1">
      <w:pPr>
        <w:pStyle w:val="answer"/>
      </w:pPr>
      <w:r>
        <w:t>A.</w:t>
      </w:r>
      <w:r>
        <w:tab/>
        <w:t>From a conceptual viewpoint, the stock price to employ in calculating the dividend yield is the then-current price of the security at the time of estimating the cost of equity.</w:t>
      </w:r>
      <w:r w:rsidR="00BD560E">
        <w:t xml:space="preserve"> </w:t>
      </w:r>
      <w:r>
        <w:t>This is because the current stock prices provide a better indication of expected future prices than any other price in an efficient market.</w:t>
      </w:r>
      <w:r w:rsidR="00BD560E">
        <w:t xml:space="preserve"> </w:t>
      </w:r>
      <w:r>
        <w:t>An efficient market implies that prices adjust rapidly to the arrival of new information.</w:t>
      </w:r>
      <w:r w:rsidR="00BD560E">
        <w:t xml:space="preserve"> </w:t>
      </w:r>
      <w:r>
        <w:t>Therefore, current prices reflect the fundamental economic value of a security.</w:t>
      </w:r>
      <w:r w:rsidR="00BD560E">
        <w:t xml:space="preserve"> </w:t>
      </w:r>
      <w:r>
        <w:t>A considerable body of empirical evidence indicates that capital markets are efficient with respect to a broad set of information.</w:t>
      </w:r>
      <w:r w:rsidR="00BD560E">
        <w:t xml:space="preserve"> </w:t>
      </w:r>
      <w:r>
        <w:t>This implies that observed current prices represent the fundamental value of a security, and that a cost of capital estimate should be based on current prices.</w:t>
      </w:r>
    </w:p>
    <w:p w14:paraId="74DED7CA" w14:textId="0E8F0951" w:rsidR="00290C67" w:rsidRDefault="00290C67" w:rsidP="004908B1">
      <w:pPr>
        <w:pStyle w:val="answer"/>
        <w:ind w:firstLine="0"/>
      </w:pPr>
      <w:r>
        <w:lastRenderedPageBreak/>
        <w:t xml:space="preserve">In implementing the </w:t>
      </w:r>
      <w:proofErr w:type="spellStart"/>
      <w:r>
        <w:t>DCF</w:t>
      </w:r>
      <w:proofErr w:type="spellEnd"/>
      <w:r>
        <w:t xml:space="preserve"> model, I have used the </w:t>
      </w:r>
      <w:r w:rsidR="005D3935">
        <w:t xml:space="preserve">current </w:t>
      </w:r>
      <w:r>
        <w:t xml:space="preserve">dividend yields reported in the Value Line </w:t>
      </w:r>
      <w:r w:rsidR="005D3935">
        <w:t>Research Web site</w:t>
      </w:r>
      <w:r>
        <w:t>.</w:t>
      </w:r>
      <w:r w:rsidR="00217503">
        <w:t xml:space="preserve"> </w:t>
      </w:r>
      <w:r>
        <w:t>Basing dividend yields on average results from a large group of companies reduces the concern that the vagaries of individual company stock prices will result in an unrepresentative dividend yield.</w:t>
      </w:r>
    </w:p>
    <w:p w14:paraId="2409666E" w14:textId="70C7B7A5" w:rsidR="00290C67" w:rsidRDefault="00290C67" w:rsidP="00BF05CC">
      <w:pPr>
        <w:pStyle w:val="question"/>
      </w:pPr>
      <w:r>
        <w:t>Q.</w:t>
      </w:r>
      <w:r>
        <w:tab/>
        <w:t>Why did you multiply the spot dividend yield by (1</w:t>
      </w:r>
      <w:r w:rsidR="00B93039">
        <w:t> </w:t>
      </w:r>
      <w:r>
        <w:t>+</w:t>
      </w:r>
      <w:r w:rsidR="00B93039">
        <w:t> </w:t>
      </w:r>
      <w:r>
        <w:t>g) rather than by (1</w:t>
      </w:r>
      <w:r w:rsidR="00B93039">
        <w:t> </w:t>
      </w:r>
      <w:r>
        <w:t>+</w:t>
      </w:r>
      <w:r w:rsidR="00B93039">
        <w:t> </w:t>
      </w:r>
      <w:r>
        <w:t>0.5g)?</w:t>
      </w:r>
    </w:p>
    <w:p w14:paraId="17AB6228" w14:textId="7C3D0472" w:rsidR="004908B1" w:rsidRDefault="00290C67" w:rsidP="004908B1">
      <w:pPr>
        <w:pStyle w:val="answer"/>
      </w:pPr>
      <w:r>
        <w:t>A.</w:t>
      </w:r>
      <w:r>
        <w:tab/>
        <w:t>Some analysts multiply the spot dividend yield by one plus one half the expected growth rate (1</w:t>
      </w:r>
      <w:r w:rsidR="00B93039">
        <w:t> </w:t>
      </w:r>
      <w:r>
        <w:t>+</w:t>
      </w:r>
      <w:r w:rsidR="00B93039">
        <w:t> </w:t>
      </w:r>
      <w:r>
        <w:t>0.5g) rather than the conventional one plus the expected growth rate (1</w:t>
      </w:r>
      <w:r w:rsidR="00B93039">
        <w:t> </w:t>
      </w:r>
      <w:r>
        <w:t>+</w:t>
      </w:r>
      <w:r w:rsidR="00B93039">
        <w:t> </w:t>
      </w:r>
      <w:r>
        <w:t>g).</w:t>
      </w:r>
      <w:r w:rsidR="00BD560E">
        <w:t xml:space="preserve"> </w:t>
      </w:r>
      <w:r>
        <w:t>This procedure understates the return expected by the investor.</w:t>
      </w:r>
    </w:p>
    <w:p w14:paraId="24E143FE" w14:textId="6873635D" w:rsidR="004908B1" w:rsidRDefault="00290C67" w:rsidP="004908B1">
      <w:pPr>
        <w:pStyle w:val="answer"/>
        <w:ind w:firstLine="0"/>
      </w:pPr>
      <w:r>
        <w:t xml:space="preserve">The fundamental assumption of the basic annual </w:t>
      </w:r>
      <w:proofErr w:type="spellStart"/>
      <w:r>
        <w:t>DCF</w:t>
      </w:r>
      <w:proofErr w:type="spellEnd"/>
      <w:r>
        <w:t xml:space="preserve"> model is that dividends are received annually at the end of each year and that the first dividend is to be received one year from now.</w:t>
      </w:r>
      <w:r w:rsidR="00217503">
        <w:t xml:space="preserve"> </w:t>
      </w:r>
      <w:r>
        <w:t xml:space="preserve">Thus, the appropriate dividend to use in a </w:t>
      </w:r>
      <w:proofErr w:type="spellStart"/>
      <w:r>
        <w:t>DCF</w:t>
      </w:r>
      <w:proofErr w:type="spellEnd"/>
      <w:r>
        <w:t xml:space="preserve"> model is the full prospective dividend to be received at the end of the year.</w:t>
      </w:r>
      <w:r w:rsidR="00BD560E">
        <w:t xml:space="preserve"> </w:t>
      </w:r>
      <w:r>
        <w:t xml:space="preserve">Since the appropriate dividend to use in a </w:t>
      </w:r>
      <w:proofErr w:type="spellStart"/>
      <w:r>
        <w:t>DCF</w:t>
      </w:r>
      <w:proofErr w:type="spellEnd"/>
      <w:r>
        <w:t xml:space="preserve"> model is the prospective dividend one year from now rather than the dividend one-half year from now, multiplying the spot dividend yield by (1</w:t>
      </w:r>
      <w:r w:rsidR="00B93039">
        <w:t> </w:t>
      </w:r>
      <w:r>
        <w:t>+</w:t>
      </w:r>
      <w:r w:rsidR="00B93039">
        <w:t> </w:t>
      </w:r>
      <w:r>
        <w:t>0.5g) understates the proper dividend yield.</w:t>
      </w:r>
    </w:p>
    <w:p w14:paraId="70FA283C" w14:textId="4E4CDD97" w:rsidR="00290C67" w:rsidRDefault="00290C67" w:rsidP="004908B1">
      <w:pPr>
        <w:pStyle w:val="answer"/>
        <w:ind w:firstLine="0"/>
      </w:pPr>
      <w:r>
        <w:t xml:space="preserve">Moreover, the basic annual </w:t>
      </w:r>
      <w:proofErr w:type="spellStart"/>
      <w:r>
        <w:t>DCF</w:t>
      </w:r>
      <w:proofErr w:type="spellEnd"/>
      <w:r>
        <w:t xml:space="preserve"> model ignores the time value of quarterly dividend payments and assumes dividends are paid once a year at the end of the year.</w:t>
      </w:r>
      <w:r w:rsidR="00BD560E">
        <w:t xml:space="preserve"> </w:t>
      </w:r>
      <w:r>
        <w:t>Multiplying the spot dividend yield by (1</w:t>
      </w:r>
      <w:r w:rsidR="00B93039">
        <w:t> </w:t>
      </w:r>
      <w:r>
        <w:t>+</w:t>
      </w:r>
      <w:r w:rsidR="00B93039">
        <w:t> </w:t>
      </w:r>
      <w:r>
        <w:t>g) is actually a conservative attempt to capture the reality of quarterly dividend payments.</w:t>
      </w:r>
      <w:r w:rsidR="00BD560E">
        <w:t xml:space="preserve"> </w:t>
      </w:r>
      <w:r>
        <w:t xml:space="preserve">Use of this method is conservative in the sense that the annual </w:t>
      </w:r>
      <w:proofErr w:type="spellStart"/>
      <w:r>
        <w:t>DCF</w:t>
      </w:r>
      <w:proofErr w:type="spellEnd"/>
      <w:r>
        <w:t xml:space="preserve"> model fully ignores the more frequent compounding of quarterly dividends.</w:t>
      </w:r>
    </w:p>
    <w:p w14:paraId="47E67225" w14:textId="77777777" w:rsidR="00290C67" w:rsidRDefault="00290C67" w:rsidP="00BF05CC">
      <w:pPr>
        <w:pStyle w:val="question"/>
      </w:pPr>
      <w:r>
        <w:lastRenderedPageBreak/>
        <w:t>Q.</w:t>
      </w:r>
      <w:r>
        <w:tab/>
        <w:t xml:space="preserve">How did you estimate the growth component of the </w:t>
      </w:r>
      <w:proofErr w:type="spellStart"/>
      <w:r>
        <w:t>DCF</w:t>
      </w:r>
      <w:proofErr w:type="spellEnd"/>
      <w:r>
        <w:t xml:space="preserve"> model?</w:t>
      </w:r>
    </w:p>
    <w:p w14:paraId="6EB5C1F1" w14:textId="77777777" w:rsidR="004908B1" w:rsidRDefault="00290C67" w:rsidP="004908B1">
      <w:pPr>
        <w:pStyle w:val="answer"/>
      </w:pPr>
      <w:r>
        <w:t>A.</w:t>
      </w:r>
      <w:r>
        <w:tab/>
        <w:t xml:space="preserve">The principal difficulty in calculating the required return by the </w:t>
      </w:r>
      <w:proofErr w:type="spellStart"/>
      <w:r>
        <w:t>DCF</w:t>
      </w:r>
      <w:proofErr w:type="spellEnd"/>
      <w:r>
        <w:t xml:space="preserve"> approach is in ascertaining the growth rate that investors currently expect.</w:t>
      </w:r>
      <w:r w:rsidR="00BD560E">
        <w:t xml:space="preserve"> </w:t>
      </w:r>
      <w:r>
        <w:t>Since no explicit estimate of expected growth is observable, proxies must be employed.</w:t>
      </w:r>
    </w:p>
    <w:p w14:paraId="4DDE25D9" w14:textId="77777777" w:rsidR="004908B1" w:rsidRDefault="00290C67" w:rsidP="004908B1">
      <w:pPr>
        <w:pStyle w:val="answer"/>
        <w:ind w:firstLine="0"/>
      </w:pPr>
      <w:r>
        <w:t>As proxies for expected growth, I examined the consensus growth estimate developed by professional analysts.</w:t>
      </w:r>
      <w:r w:rsidR="00BD560E">
        <w:t xml:space="preserve"> </w:t>
      </w:r>
      <w:r>
        <w:t>Projected long-term growth rates actually used by institutional investors to determine the desirability of investing in different securities influence investors</w:t>
      </w:r>
      <w:r w:rsidR="00BD560E">
        <w:t>’</w:t>
      </w:r>
      <w:r>
        <w:t xml:space="preserve"> growth anticipations.</w:t>
      </w:r>
      <w:r w:rsidR="00BD560E">
        <w:t xml:space="preserve"> </w:t>
      </w:r>
      <w:r>
        <w:t>These forecasts are made by large reputable organizations, and the data are readily available and are representative of the consensus view of investors.</w:t>
      </w:r>
      <w:r w:rsidR="00BD560E">
        <w:t xml:space="preserve"> </w:t>
      </w:r>
      <w:r>
        <w:t>Because of the dominance of institutional investors in investment management and security selection, and their influence on individual investment decisions, analysts</w:t>
      </w:r>
      <w:r w:rsidR="00BD560E">
        <w:t>’</w:t>
      </w:r>
      <w:r>
        <w:t xml:space="preserve"> growth forecasts influence investor growth expectations and provide a sound basis for estimating the cost of equity with the </w:t>
      </w:r>
      <w:proofErr w:type="spellStart"/>
      <w:r>
        <w:t>DCF</w:t>
      </w:r>
      <w:proofErr w:type="spellEnd"/>
      <w:r>
        <w:t xml:space="preserve"> model.</w:t>
      </w:r>
    </w:p>
    <w:p w14:paraId="5E5ED3DE" w14:textId="77777777" w:rsidR="00290C67" w:rsidRDefault="00290C67" w:rsidP="004908B1">
      <w:pPr>
        <w:pStyle w:val="answer"/>
        <w:ind w:firstLine="0"/>
      </w:pPr>
      <w:r>
        <w:t>Growth rate forecasts of several analysts are available from published investment newsletters and from systematic compilations of analysts</w:t>
      </w:r>
      <w:r w:rsidR="00BD560E">
        <w:t>’</w:t>
      </w:r>
      <w:r>
        <w:t xml:space="preserve"> forecasts, such as those tabulated by </w:t>
      </w:r>
      <w:proofErr w:type="spellStart"/>
      <w:r>
        <w:t>Zacks</w:t>
      </w:r>
      <w:proofErr w:type="spellEnd"/>
      <w:r>
        <w:t xml:space="preserve"> Investment Research Inc. (</w:t>
      </w:r>
      <w:r w:rsidR="00BD560E">
        <w:t>“</w:t>
      </w:r>
      <w:proofErr w:type="spellStart"/>
      <w:r>
        <w:t>Zacks</w:t>
      </w:r>
      <w:proofErr w:type="spellEnd"/>
      <w:r w:rsidR="00BD560E">
        <w:t>”</w:t>
      </w:r>
      <w:r>
        <w:t>) and Yahoo Finance.</w:t>
      </w:r>
      <w:r w:rsidR="00BD560E">
        <w:t xml:space="preserve"> </w:t>
      </w:r>
      <w:r>
        <w:t>I used analysts</w:t>
      </w:r>
      <w:r w:rsidR="00BD560E">
        <w:t>’</w:t>
      </w:r>
      <w:r>
        <w:t xml:space="preserve"> long-term growth forecasts reported in </w:t>
      </w:r>
      <w:proofErr w:type="spellStart"/>
      <w:r>
        <w:t>Zacks</w:t>
      </w:r>
      <w:proofErr w:type="spellEnd"/>
      <w:r>
        <w:t xml:space="preserve"> as proxies for investors</w:t>
      </w:r>
      <w:r w:rsidR="00BD560E">
        <w:t>’</w:t>
      </w:r>
      <w:r>
        <w:t xml:space="preserve"> growth expectations in applying the </w:t>
      </w:r>
      <w:proofErr w:type="spellStart"/>
      <w:r>
        <w:t>DCF</w:t>
      </w:r>
      <w:proofErr w:type="spellEnd"/>
      <w:r>
        <w:t xml:space="preserve"> model.</w:t>
      </w:r>
      <w:r w:rsidR="00BD560E">
        <w:t xml:space="preserve"> </w:t>
      </w:r>
      <w:r>
        <w:t>I also used Value Line</w:t>
      </w:r>
      <w:r w:rsidR="00BD560E">
        <w:t>’</w:t>
      </w:r>
      <w:r>
        <w:t>s growth forecasts as additional proxies.</w:t>
      </w:r>
    </w:p>
    <w:p w14:paraId="76F2C3E9" w14:textId="77777777" w:rsidR="00290C67" w:rsidRDefault="00290C67" w:rsidP="00BF05CC">
      <w:pPr>
        <w:pStyle w:val="question"/>
      </w:pPr>
      <w:r>
        <w:lastRenderedPageBreak/>
        <w:t>Q.</w:t>
      </w:r>
      <w:r>
        <w:tab/>
        <w:t xml:space="preserve">Why did you reject the use of historical growth rates in applying the </w:t>
      </w:r>
      <w:proofErr w:type="spellStart"/>
      <w:r>
        <w:t>DCF</w:t>
      </w:r>
      <w:proofErr w:type="spellEnd"/>
      <w:r>
        <w:t xml:space="preserve"> model to utilities?</w:t>
      </w:r>
    </w:p>
    <w:p w14:paraId="5A52C0CC" w14:textId="650A1F49" w:rsidR="00290C67" w:rsidRDefault="00290C67" w:rsidP="004908B1">
      <w:pPr>
        <w:pStyle w:val="answer"/>
      </w:pPr>
      <w:r>
        <w:t>A.</w:t>
      </w:r>
      <w:r>
        <w:tab/>
        <w:t xml:space="preserve">I have rejected historical growth rates as proxies for expected growth in the </w:t>
      </w:r>
      <w:proofErr w:type="spellStart"/>
      <w:r>
        <w:t>DCF</w:t>
      </w:r>
      <w:proofErr w:type="spellEnd"/>
      <w:r>
        <w:t xml:space="preserve"> calculation for two reasons.</w:t>
      </w:r>
      <w:r w:rsidR="00BD560E">
        <w:t xml:space="preserve"> </w:t>
      </w:r>
      <w:r>
        <w:t>First, historical growth patterns are already incorporated in analysts</w:t>
      </w:r>
      <w:r w:rsidR="00BD560E">
        <w:t>’</w:t>
      </w:r>
      <w:r>
        <w:t xml:space="preserve"> growth forecasts that should be used in the </w:t>
      </w:r>
      <w:proofErr w:type="spellStart"/>
      <w:r>
        <w:t>DCF</w:t>
      </w:r>
      <w:proofErr w:type="spellEnd"/>
      <w:r>
        <w:t xml:space="preserve"> model, and are therefore redundant.</w:t>
      </w:r>
      <w:r w:rsidR="00BD560E">
        <w:t xml:space="preserve"> </w:t>
      </w:r>
      <w:r>
        <w:t>Second, published studies in the academic literature demonstrate that growth forecasts made by security analysts are reasonable indicators of investor expectations, and that investors rely on analysts</w:t>
      </w:r>
      <w:r w:rsidR="00BD560E">
        <w:t>’</w:t>
      </w:r>
      <w:r>
        <w:t xml:space="preserve"> forecasts.</w:t>
      </w:r>
      <w:r w:rsidR="00BD560E">
        <w:t xml:space="preserve"> </w:t>
      </w:r>
      <w:r>
        <w:t>This considerable literature is summarized in Chapter</w:t>
      </w:r>
      <w:r w:rsidR="00B93039">
        <w:t> </w:t>
      </w:r>
      <w:r>
        <w:t xml:space="preserve">9 of my most recent textbook, </w:t>
      </w:r>
      <w:r w:rsidRPr="004E2AB3">
        <w:rPr>
          <w:u w:val="single"/>
        </w:rPr>
        <w:t>The New Regulatory Finance</w:t>
      </w:r>
      <w:r>
        <w:t>.</w:t>
      </w:r>
    </w:p>
    <w:p w14:paraId="33BB3564" w14:textId="77777777" w:rsidR="00290C67" w:rsidRDefault="00290C67" w:rsidP="00BF05CC">
      <w:pPr>
        <w:pStyle w:val="question"/>
      </w:pPr>
      <w:r>
        <w:t>Q.</w:t>
      </w:r>
      <w:r>
        <w:tab/>
        <w:t xml:space="preserve">Did you consider any other method of estimating expected growth to apply the </w:t>
      </w:r>
      <w:proofErr w:type="spellStart"/>
      <w:r>
        <w:t>DCF</w:t>
      </w:r>
      <w:proofErr w:type="spellEnd"/>
      <w:r>
        <w:t xml:space="preserve"> model?</w:t>
      </w:r>
    </w:p>
    <w:p w14:paraId="2FFC0AA8" w14:textId="77777777" w:rsidR="00290C67" w:rsidRDefault="00290C67" w:rsidP="004908B1">
      <w:pPr>
        <w:pStyle w:val="answer"/>
      </w:pPr>
      <w:r>
        <w:t>A.</w:t>
      </w:r>
      <w:r>
        <w:tab/>
        <w:t>Yes, I did.</w:t>
      </w:r>
      <w:r w:rsidR="00BD560E">
        <w:t xml:space="preserve"> </w:t>
      </w:r>
      <w:r>
        <w:t xml:space="preserve">I considered using the so-called </w:t>
      </w:r>
      <w:r w:rsidR="00BD560E">
        <w:t>“</w:t>
      </w:r>
      <w:r>
        <w:t>sustainable growth</w:t>
      </w:r>
      <w:r w:rsidR="00BD560E">
        <w:t>”</w:t>
      </w:r>
      <w:r>
        <w:t xml:space="preserve"> method, also referred to as the </w:t>
      </w:r>
      <w:r w:rsidR="00BD560E">
        <w:t>“</w:t>
      </w:r>
      <w:r>
        <w:t>retention growth</w:t>
      </w:r>
      <w:r w:rsidR="00BD560E">
        <w:t>”</w:t>
      </w:r>
      <w:r>
        <w:t xml:space="preserve"> method.</w:t>
      </w:r>
      <w:r w:rsidR="00BD560E">
        <w:t xml:space="preserve"> </w:t>
      </w:r>
      <w:r>
        <w:t xml:space="preserve">According to this method, future growth is estimated by multiplying the fraction of earnings expected to be retained by the company, </w:t>
      </w:r>
      <w:r w:rsidR="00BD560E">
        <w:t>‘</w:t>
      </w:r>
      <w:r>
        <w:t>b</w:t>
      </w:r>
      <w:r w:rsidR="00BD560E">
        <w:t>’</w:t>
      </w:r>
      <w:r>
        <w:t xml:space="preserve">, by the expected return on book equity, ROE, as follows: </w:t>
      </w:r>
    </w:p>
    <w:p w14:paraId="733193E3" w14:textId="08B40B27" w:rsidR="004908B1" w:rsidRDefault="004908B1" w:rsidP="006850F6">
      <w:pPr>
        <w:pStyle w:val="Quote"/>
        <w:ind w:left="720"/>
        <w:jc w:val="center"/>
      </w:pPr>
      <w:r>
        <w:t>g = b x ROE</w:t>
      </w:r>
    </w:p>
    <w:p w14:paraId="500368E5" w14:textId="77777777" w:rsidR="004908B1" w:rsidRDefault="004908B1" w:rsidP="004908B1">
      <w:pPr>
        <w:pStyle w:val="Quote"/>
        <w:tabs>
          <w:tab w:val="left" w:pos="3150"/>
          <w:tab w:val="left" w:pos="3420"/>
        </w:tabs>
        <w:spacing w:after="0"/>
        <w:ind w:left="2520" w:hanging="1080"/>
        <w:jc w:val="left"/>
      </w:pPr>
      <w:r>
        <w:t>where:</w:t>
      </w:r>
      <w:r>
        <w:tab/>
        <w:t>g</w:t>
      </w:r>
      <w:r>
        <w:tab/>
        <w:t>=</w:t>
      </w:r>
      <w:r>
        <w:tab/>
        <w:t>expected growth rate in earnings/dividends</w:t>
      </w:r>
    </w:p>
    <w:p w14:paraId="2DDBF594" w14:textId="77777777" w:rsidR="004908B1" w:rsidRDefault="00290C67" w:rsidP="004908B1">
      <w:pPr>
        <w:pStyle w:val="Quote"/>
        <w:tabs>
          <w:tab w:val="left" w:pos="3150"/>
          <w:tab w:val="left" w:pos="3420"/>
        </w:tabs>
        <w:spacing w:after="0"/>
        <w:ind w:left="3150" w:hanging="630"/>
        <w:jc w:val="left"/>
      </w:pPr>
      <w:r>
        <w:t>b</w:t>
      </w:r>
      <w:r w:rsidR="004908B1">
        <w:tab/>
      </w:r>
      <w:r>
        <w:t>=</w:t>
      </w:r>
      <w:r w:rsidR="004908B1">
        <w:tab/>
      </w:r>
      <w:r>
        <w:t>expected retention ratio</w:t>
      </w:r>
    </w:p>
    <w:p w14:paraId="6A69072E" w14:textId="77777777" w:rsidR="00290C67" w:rsidRDefault="00290C67" w:rsidP="004908B1">
      <w:pPr>
        <w:pStyle w:val="Quote"/>
        <w:tabs>
          <w:tab w:val="left" w:pos="3150"/>
          <w:tab w:val="left" w:pos="3420"/>
        </w:tabs>
        <w:ind w:left="3154" w:hanging="634"/>
        <w:jc w:val="left"/>
      </w:pPr>
      <w:r>
        <w:t>ROE</w:t>
      </w:r>
      <w:r w:rsidR="004908B1">
        <w:tab/>
      </w:r>
      <w:r>
        <w:t>=</w:t>
      </w:r>
      <w:r w:rsidR="004908B1">
        <w:tab/>
      </w:r>
      <w:r w:rsidR="00B57D60">
        <w:t>expected return on book equity</w:t>
      </w:r>
    </w:p>
    <w:p w14:paraId="5A455670" w14:textId="77777777" w:rsidR="00290C67" w:rsidRDefault="00290C67" w:rsidP="00BF05CC">
      <w:pPr>
        <w:pStyle w:val="question"/>
      </w:pPr>
      <w:r>
        <w:lastRenderedPageBreak/>
        <w:t>Q.</w:t>
      </w:r>
      <w:r>
        <w:tab/>
        <w:t>Do you have any reservations in regards to the sustainable growth method?</w:t>
      </w:r>
    </w:p>
    <w:p w14:paraId="3111E1A7" w14:textId="77777777" w:rsidR="00290C67" w:rsidRDefault="00290C67" w:rsidP="004908B1">
      <w:pPr>
        <w:pStyle w:val="answer"/>
      </w:pPr>
      <w:r>
        <w:t>A.</w:t>
      </w:r>
      <w:r>
        <w:tab/>
        <w:t>Yes, I do.</w:t>
      </w:r>
      <w:r w:rsidR="00BD560E">
        <w:t xml:space="preserve"> </w:t>
      </w:r>
      <w:r>
        <w:t>First, the sustainable method of predicting growth contains a logic trap:</w:t>
      </w:r>
      <w:r w:rsidR="00BD560E">
        <w:t xml:space="preserve"> </w:t>
      </w:r>
      <w:r>
        <w:t>the method requires an estimate of expected return on book equity to be implemented.</w:t>
      </w:r>
      <w:r w:rsidR="00BD560E">
        <w:t xml:space="preserve"> </w:t>
      </w:r>
      <w:r>
        <w:t>But if the expected return on book equity input required by the model differs from the recommended return on equity, a fundamental contradiction in logic follows.</w:t>
      </w:r>
      <w:r w:rsidR="00BD560E">
        <w:t xml:space="preserve"> </w:t>
      </w:r>
      <w:r>
        <w:t>Second, the empirical finance literature demonstrates that the sustainable growth method of determining growth is not as significantly correlated to measures of value, such as stock prices and price/earnings ratios, as analysts</w:t>
      </w:r>
      <w:r w:rsidR="00BD560E">
        <w:t>’</w:t>
      </w:r>
      <w:r>
        <w:t xml:space="preserve"> growth forecasts.</w:t>
      </w:r>
      <w:r w:rsidR="00BD560E">
        <w:t xml:space="preserve"> </w:t>
      </w:r>
      <w:r>
        <w:t>I therefore chose not to rely on this method.</w:t>
      </w:r>
    </w:p>
    <w:p w14:paraId="160A8AC7" w14:textId="77777777" w:rsidR="00290C67" w:rsidRDefault="00290C67" w:rsidP="00BF05CC">
      <w:pPr>
        <w:pStyle w:val="question"/>
      </w:pPr>
      <w:r>
        <w:t>Q.</w:t>
      </w:r>
      <w:r>
        <w:tab/>
        <w:t xml:space="preserve">Did you consider dividend growth in applying the </w:t>
      </w:r>
      <w:proofErr w:type="spellStart"/>
      <w:r>
        <w:t>DCF</w:t>
      </w:r>
      <w:proofErr w:type="spellEnd"/>
      <w:r>
        <w:t xml:space="preserve"> model?</w:t>
      </w:r>
    </w:p>
    <w:p w14:paraId="2D7AB63B" w14:textId="465339E1" w:rsidR="00290C67" w:rsidRDefault="00290C67" w:rsidP="004908B1">
      <w:pPr>
        <w:pStyle w:val="answer"/>
      </w:pPr>
      <w:r>
        <w:t>A.</w:t>
      </w:r>
      <w:r>
        <w:tab/>
        <w:t>No, not at this time.</w:t>
      </w:r>
      <w:r w:rsidR="00BD560E">
        <w:t xml:space="preserve"> </w:t>
      </w:r>
      <w:r>
        <w:t>The reason is that as a practical matter, while there is an abundance of earnings growth forecasts, there are very few forecasts of dividend growth.</w:t>
      </w:r>
      <w:r w:rsidR="00BD560E">
        <w:t xml:space="preserve"> </w:t>
      </w:r>
      <w:r>
        <w:t>Moreover, it is widely expected that some utilities will continue to lower their dividend payout ratios over the next several years in response to heightened business risk and the need to fund construction programs over the next decade.</w:t>
      </w:r>
      <w:r w:rsidR="00BD560E">
        <w:t xml:space="preserve"> </w:t>
      </w:r>
      <w:r>
        <w:t>Dividend growth has remained largely stagnant in past years as utilities are increasingly conserving financial resources in order to hedge against rising business risks and finance large infrastructure investments.</w:t>
      </w:r>
      <w:r w:rsidR="00BD560E">
        <w:t xml:space="preserve"> </w:t>
      </w:r>
      <w:r>
        <w:t>As a result, investors</w:t>
      </w:r>
      <w:r w:rsidR="00BD560E">
        <w:t>’</w:t>
      </w:r>
      <w:r>
        <w:t xml:space="preserve"> attention has shifted from dividends to earnings.</w:t>
      </w:r>
      <w:r w:rsidR="00BD560E">
        <w:t xml:space="preserve"> </w:t>
      </w:r>
      <w:r>
        <w:t>Therefore, earnings growth provides a more meaningful guide to investors</w:t>
      </w:r>
      <w:r w:rsidR="00BD560E">
        <w:t>’</w:t>
      </w:r>
      <w:r>
        <w:t xml:space="preserve"> long-term growth expectations.</w:t>
      </w:r>
      <w:r w:rsidR="00BD560E">
        <w:t xml:space="preserve"> </w:t>
      </w:r>
      <w:r>
        <w:t xml:space="preserve">Indeed, it is growth in earnings that will support future dividends and share prices. </w:t>
      </w:r>
    </w:p>
    <w:p w14:paraId="57ADC947" w14:textId="77777777" w:rsidR="00290C67" w:rsidRDefault="00290C67" w:rsidP="00BF05CC">
      <w:pPr>
        <w:pStyle w:val="question"/>
      </w:pPr>
      <w:r>
        <w:lastRenderedPageBreak/>
        <w:t>Q.</w:t>
      </w:r>
      <w:r>
        <w:tab/>
        <w:t>Is there any empirical evidence documenting the importance of earnings in evaluating investors</w:t>
      </w:r>
      <w:r w:rsidR="00BD560E">
        <w:t>’</w:t>
      </w:r>
      <w:r>
        <w:t xml:space="preserve"> expectations?</w:t>
      </w:r>
    </w:p>
    <w:p w14:paraId="410F8C73" w14:textId="71E64F25" w:rsidR="00B93039" w:rsidRDefault="00290C67" w:rsidP="004908B1">
      <w:pPr>
        <w:pStyle w:val="answer"/>
      </w:pPr>
      <w:r>
        <w:t>A.</w:t>
      </w:r>
      <w:r>
        <w:tab/>
        <w:t>Yes, there is an abundance of evidence attesting to the importance of earnings in assessing investors</w:t>
      </w:r>
      <w:r w:rsidR="00BD560E">
        <w:t>’</w:t>
      </w:r>
      <w:r>
        <w:t xml:space="preserve"> expectations.</w:t>
      </w:r>
    </w:p>
    <w:p w14:paraId="0C8BE196" w14:textId="47F585E1" w:rsidR="00B93039" w:rsidRDefault="00290C67" w:rsidP="00B93039">
      <w:pPr>
        <w:pStyle w:val="answer"/>
        <w:ind w:firstLine="0"/>
      </w:pPr>
      <w:r>
        <w:t>First, the sheer volume of earnings forecasts available from the investment community relative to the scarcity of dividend forecasts attests to their importance.</w:t>
      </w:r>
      <w:r w:rsidR="00BD560E">
        <w:t xml:space="preserve"> </w:t>
      </w:r>
      <w:r>
        <w:t xml:space="preserve">To illustrate, Value Line, Yahoo Finance, </w:t>
      </w:r>
      <w:proofErr w:type="spellStart"/>
      <w:r>
        <w:t>Zacks</w:t>
      </w:r>
      <w:proofErr w:type="spellEnd"/>
      <w:r>
        <w:t xml:space="preserve"> Investment, First Call Thompson, Reuters, and </w:t>
      </w:r>
      <w:proofErr w:type="spellStart"/>
      <w:r>
        <w:t>Multex</w:t>
      </w:r>
      <w:proofErr w:type="spellEnd"/>
      <w:r>
        <w:t xml:space="preserve"> provide comprehensive compilations of investors</w:t>
      </w:r>
      <w:r w:rsidR="00BD560E">
        <w:t>’</w:t>
      </w:r>
      <w:r>
        <w:t xml:space="preserve"> earnings forecasts.</w:t>
      </w:r>
      <w:r w:rsidR="00BD560E">
        <w:t xml:space="preserve"> </w:t>
      </w:r>
      <w:r>
        <w:t>The fact that these investment information providers focus on growth in earnings rather than growth in dividends indicates that the investment community regards earnings growth as a superior indicator of future long-term growth.</w:t>
      </w:r>
    </w:p>
    <w:p w14:paraId="6D59E7BE" w14:textId="77777777" w:rsidR="00290C67" w:rsidRDefault="00290C67" w:rsidP="004E2AB3">
      <w:pPr>
        <w:pStyle w:val="answer"/>
        <w:ind w:firstLine="0"/>
      </w:pPr>
      <w:r>
        <w:t>Second, Value Line</w:t>
      </w:r>
      <w:r w:rsidR="00BD560E">
        <w:t>’</w:t>
      </w:r>
      <w:r>
        <w:t>s principal investment rating assigned to individual stocks, Timeliness Rank, is based primarily on earnings, which accounts for 65% of the ranking.</w:t>
      </w:r>
    </w:p>
    <w:p w14:paraId="2D1C6354" w14:textId="77777777" w:rsidR="00290C67" w:rsidRDefault="00290C67" w:rsidP="004908B1">
      <w:pPr>
        <w:pStyle w:val="question"/>
      </w:pPr>
      <w:r>
        <w:t>Q.</w:t>
      </w:r>
      <w:r>
        <w:tab/>
        <w:t>How did you approach the composition of comparable groups in order to estimate PSE</w:t>
      </w:r>
      <w:r w:rsidR="00BD560E">
        <w:t>’</w:t>
      </w:r>
      <w:r>
        <w:t xml:space="preserve">s cost of equity with the </w:t>
      </w:r>
      <w:proofErr w:type="spellStart"/>
      <w:r>
        <w:t>DCF</w:t>
      </w:r>
      <w:proofErr w:type="spellEnd"/>
      <w:r>
        <w:t xml:space="preserve"> method?</w:t>
      </w:r>
    </w:p>
    <w:p w14:paraId="351B585F" w14:textId="77777777" w:rsidR="004908B1" w:rsidRDefault="00290C67" w:rsidP="004908B1">
      <w:pPr>
        <w:pStyle w:val="answer"/>
      </w:pPr>
      <w:r>
        <w:t>A.</w:t>
      </w:r>
      <w:r>
        <w:tab/>
        <w:t xml:space="preserve">Because PSE is not publicly traded, the </w:t>
      </w:r>
      <w:proofErr w:type="spellStart"/>
      <w:r>
        <w:t>DCF</w:t>
      </w:r>
      <w:proofErr w:type="spellEnd"/>
      <w:r>
        <w:t xml:space="preserve"> model cannot be applied to PSE and proxies must be used.</w:t>
      </w:r>
      <w:r w:rsidR="00BD560E">
        <w:t xml:space="preserve"> </w:t>
      </w:r>
      <w:r>
        <w:t>There are two possible approaches in forming proxy groups of companies.</w:t>
      </w:r>
    </w:p>
    <w:p w14:paraId="7519F998" w14:textId="77777777" w:rsidR="004908B1" w:rsidRDefault="00290C67" w:rsidP="004908B1">
      <w:pPr>
        <w:pStyle w:val="answer"/>
        <w:ind w:firstLine="0"/>
      </w:pPr>
      <w:r>
        <w:t>The first approach is to apply cost of capital estimation techniques to a select group of companies directly comparable in risk to PSE.</w:t>
      </w:r>
      <w:r w:rsidR="00BD560E">
        <w:t xml:space="preserve"> </w:t>
      </w:r>
      <w:r>
        <w:t xml:space="preserve">These companies are </w:t>
      </w:r>
      <w:r>
        <w:lastRenderedPageBreak/>
        <w:t>chosen by the application of stringent screening criteria to a universe of utility stocks in an attempt to identify companies with the same investment risk as PSE.</w:t>
      </w:r>
      <w:r w:rsidR="00BD560E">
        <w:t xml:space="preserve"> </w:t>
      </w:r>
      <w:r>
        <w:t>Examples of screening criteria include bond rating, beta risk, size, percentage of revenues from utility operations, and common equity ratio.</w:t>
      </w:r>
      <w:r w:rsidR="00BD560E">
        <w:t xml:space="preserve"> </w:t>
      </w:r>
      <w:r>
        <w:t>The end result is a small sample of companies with a risk profile similar to that of PSE, provided the screening criteria are defined and applied correctly.</w:t>
      </w:r>
    </w:p>
    <w:p w14:paraId="00892832" w14:textId="77777777" w:rsidR="004908B1" w:rsidRDefault="00290C67" w:rsidP="004908B1">
      <w:pPr>
        <w:pStyle w:val="answer"/>
        <w:ind w:firstLine="0"/>
      </w:pPr>
      <w:r>
        <w:t>The second approach is to apply cost of capital estimation techniques to a large group of utilities representative of the utility industry average and then make adjustments to account for any difference in investment risk between the company and the industry average, if any.</w:t>
      </w:r>
      <w:r w:rsidR="00BD560E">
        <w:t xml:space="preserve"> </w:t>
      </w:r>
      <w:r>
        <w:t>As explained below, in view of substantial changes in circumstances in the utility industry, I have chosen the latter approach.</w:t>
      </w:r>
    </w:p>
    <w:p w14:paraId="28D7AFE7" w14:textId="77777777" w:rsidR="004908B1" w:rsidRDefault="00290C67" w:rsidP="004908B1">
      <w:pPr>
        <w:pStyle w:val="answer"/>
        <w:ind w:firstLine="0"/>
      </w:pPr>
      <w:r>
        <w:t>In the unstable capital market environments, it is important to select relatively large sample sizes representative of the utility industry as a whole, as opposed to small sample sizes consisting of a handful of companies.</w:t>
      </w:r>
      <w:r w:rsidR="00BD560E">
        <w:t xml:space="preserve"> </w:t>
      </w:r>
      <w:r>
        <w:t>This is because the equity market as a whole and utility industry capital market data are volatile.</w:t>
      </w:r>
      <w:r w:rsidR="00BD560E">
        <w:t xml:space="preserve"> </w:t>
      </w:r>
      <w:r>
        <w:t>As a result of this volatility, the composition of small groups of companies is very fluid, with companies exiting the sample due to dividend suspensions or reductions, insufficient or unrepresentative historical data due to recent mergers, impending merger or acquisition, and changing corporate identities due to restructuring activities.</w:t>
      </w:r>
    </w:p>
    <w:p w14:paraId="7583EB10" w14:textId="77777777" w:rsidR="004908B1" w:rsidRDefault="00290C67" w:rsidP="004908B1">
      <w:pPr>
        <w:pStyle w:val="answer"/>
        <w:ind w:firstLine="0"/>
      </w:pPr>
      <w:r>
        <w:t xml:space="preserve">From a statistical standpoint, confidence in the reliability of the </w:t>
      </w:r>
      <w:proofErr w:type="spellStart"/>
      <w:r>
        <w:t>DCF</w:t>
      </w:r>
      <w:proofErr w:type="spellEnd"/>
      <w:r>
        <w:t xml:space="preserve"> model result is considerably enhanced when applying the </w:t>
      </w:r>
      <w:proofErr w:type="spellStart"/>
      <w:r>
        <w:t>DCF</w:t>
      </w:r>
      <w:proofErr w:type="spellEnd"/>
      <w:r>
        <w:t xml:space="preserve"> model to a large group of companies.</w:t>
      </w:r>
      <w:r w:rsidR="00BD560E">
        <w:t xml:space="preserve"> </w:t>
      </w:r>
      <w:r>
        <w:t xml:space="preserve">Any distortions introduced by measurement errors in the two </w:t>
      </w:r>
      <w:proofErr w:type="spellStart"/>
      <w:r>
        <w:t>DCF</w:t>
      </w:r>
      <w:proofErr w:type="spellEnd"/>
      <w:r>
        <w:t xml:space="preserve"> </w:t>
      </w:r>
      <w:r>
        <w:lastRenderedPageBreak/>
        <w:t>components of equity return for individual companies, namely dividend yield and growth are mitigated.</w:t>
      </w:r>
      <w:r w:rsidR="00BD560E">
        <w:t xml:space="preserve"> </w:t>
      </w:r>
      <w:r>
        <w:t>Utilizing a large portfolio of companies reduces the influence of either overestimating or underestimating the cost of equity for any one individual company.</w:t>
      </w:r>
      <w:r w:rsidR="00BD560E">
        <w:t xml:space="preserve"> </w:t>
      </w:r>
      <w:r>
        <w:t>For example, in a large group of companies, positive and negative deviations from the expected growth will tend to cancel out owing to the law of large numbers, provided that the errors are independent.</w:t>
      </w:r>
      <w:r w:rsidR="00FF0471" w:rsidRPr="00FF0471">
        <w:rPr>
          <w:position w:val="6"/>
          <w:sz w:val="16"/>
          <w:szCs w:val="20"/>
        </w:rPr>
        <w:t xml:space="preserve"> </w:t>
      </w:r>
      <w:r w:rsidR="00FF0471" w:rsidRPr="00FF0471">
        <w:rPr>
          <w:position w:val="6"/>
          <w:sz w:val="16"/>
          <w:szCs w:val="20"/>
        </w:rPr>
        <w:footnoteReference w:id="3"/>
      </w:r>
      <w:r w:rsidR="00BD560E">
        <w:t xml:space="preserve"> </w:t>
      </w:r>
      <w:r>
        <w:t>The average growth rate of several companies is less likely to diverge from expected growth than is the estimate of growth for a single firm.</w:t>
      </w:r>
      <w:r w:rsidR="00BD560E">
        <w:t xml:space="preserve"> </w:t>
      </w:r>
      <w:r>
        <w:t xml:space="preserve">More generally, the assumptions of the </w:t>
      </w:r>
      <w:proofErr w:type="spellStart"/>
      <w:r>
        <w:t>DCF</w:t>
      </w:r>
      <w:proofErr w:type="spellEnd"/>
      <w:r>
        <w:t xml:space="preserve"> model are more likely to be fulfilled for a large group of companies than for any single firm or for a small group of companies.</w:t>
      </w:r>
    </w:p>
    <w:p w14:paraId="60DDA85A" w14:textId="77777777" w:rsidR="004908B1" w:rsidRDefault="00290C67" w:rsidP="004908B1">
      <w:pPr>
        <w:pStyle w:val="answer"/>
        <w:ind w:firstLine="0"/>
      </w:pPr>
      <w:r>
        <w:lastRenderedPageBreak/>
        <w:t>Moreover, small samples are subject to measurement error, and in violation of the Central Limit Theorem of statistics.</w:t>
      </w:r>
      <w:r w:rsidR="00FF0471" w:rsidRPr="00FF0471">
        <w:rPr>
          <w:position w:val="6"/>
          <w:sz w:val="16"/>
          <w:szCs w:val="20"/>
        </w:rPr>
        <w:footnoteReference w:id="4"/>
      </w:r>
      <w:r w:rsidR="00BD560E">
        <w:t xml:space="preserve"> </w:t>
      </w:r>
      <w:r>
        <w:t>From a statistical standpoint, reliance on robust sample sizes mitigates the impact of possible measurement errors and vagaries in individual companies</w:t>
      </w:r>
      <w:r w:rsidR="00BD560E">
        <w:t>’</w:t>
      </w:r>
      <w:r>
        <w:t xml:space="preserve"> market data.</w:t>
      </w:r>
      <w:r w:rsidR="00BD560E">
        <w:t xml:space="preserve"> </w:t>
      </w:r>
      <w:r>
        <w:t>Examples of such vagaries include dividend suspension, insufficient or unrepresentative historical data due to a recent merger, impending merger or acquisition, and a new corporate identity due to restructuring.</w:t>
      </w:r>
    </w:p>
    <w:p w14:paraId="32907D8E" w14:textId="77777777" w:rsidR="00290C67" w:rsidRDefault="00290C67" w:rsidP="004908B1">
      <w:pPr>
        <w:pStyle w:val="answer"/>
        <w:ind w:firstLine="0"/>
      </w:pPr>
      <w:r>
        <w:t>The point of all this is that the use of a handful of companies in a highly fluid and unstable industry produces fragile and statistically unreliable results.</w:t>
      </w:r>
      <w:r w:rsidR="00BD560E">
        <w:t xml:space="preserve"> </w:t>
      </w:r>
      <w:r>
        <w:t>A far safer procedure is to employ large sample sizes representative of the industry as a whole and apply subsequent risk adjustments to the extent that the company</w:t>
      </w:r>
      <w:r w:rsidR="00BD560E">
        <w:t>’</w:t>
      </w:r>
      <w:r>
        <w:t>s risk profile differs from that of the industry average.</w:t>
      </w:r>
    </w:p>
    <w:p w14:paraId="6C2D89E6" w14:textId="77777777" w:rsidR="00290C67" w:rsidRDefault="00290C67" w:rsidP="00BF05CC">
      <w:pPr>
        <w:pStyle w:val="question"/>
      </w:pPr>
      <w:r>
        <w:lastRenderedPageBreak/>
        <w:t>Q.</w:t>
      </w:r>
      <w:r>
        <w:tab/>
        <w:t>Can you describe the proxy group for PSE</w:t>
      </w:r>
      <w:r w:rsidR="00BD560E">
        <w:t>’</w:t>
      </w:r>
      <w:r>
        <w:t>s utility business?</w:t>
      </w:r>
    </w:p>
    <w:p w14:paraId="2A102A2D" w14:textId="0AF3AB2F" w:rsidR="004908B1" w:rsidRDefault="00290C67" w:rsidP="005D3935">
      <w:pPr>
        <w:pStyle w:val="answer"/>
      </w:pPr>
      <w:r>
        <w:t>A.</w:t>
      </w:r>
      <w:r>
        <w:tab/>
        <w:t>As proxies for PSE, I examined a group of investment-grade dividend-paying combination gas and electric utilities covered in Value Line</w:t>
      </w:r>
      <w:r w:rsidR="00BD560E">
        <w:t>’</w:t>
      </w:r>
      <w:r>
        <w:t>s Electric Utility industry group, meaning that these companies all possess utility assets similar to PSE</w:t>
      </w:r>
      <w:r w:rsidR="00BD560E">
        <w:t>’</w:t>
      </w:r>
      <w:r>
        <w:t>s.</w:t>
      </w:r>
      <w:r w:rsidR="00217503">
        <w:t xml:space="preserve"> </w:t>
      </w:r>
      <w:r>
        <w:t xml:space="preserve">I began with all the companies designated as </w:t>
      </w:r>
      <w:r w:rsidR="005D3935">
        <w:t xml:space="preserve">combination gas and electric </w:t>
      </w:r>
      <w:r>
        <w:t xml:space="preserve">utilities </w:t>
      </w:r>
      <w:r w:rsidR="005D3935">
        <w:t xml:space="preserve">by </w:t>
      </w:r>
      <w:proofErr w:type="spellStart"/>
      <w:r w:rsidR="005D3935">
        <w:t>AUS</w:t>
      </w:r>
      <w:proofErr w:type="spellEnd"/>
      <w:r w:rsidR="005D3935">
        <w:t xml:space="preserve"> Utility Reports that are also covered in the </w:t>
      </w:r>
      <w:r>
        <w:t>Value Line</w:t>
      </w:r>
      <w:r w:rsidR="005D3935">
        <w:t xml:space="preserve"> Survey as shown on Exhibit No.</w:t>
      </w:r>
      <w:r w:rsidR="00217503">
        <w:t> </w:t>
      </w:r>
      <w:r w:rsidR="005D3935">
        <w:t>___(RAM-3)</w:t>
      </w:r>
      <w:r>
        <w:t>.</w:t>
      </w:r>
      <w:r w:rsidR="00217503">
        <w:t xml:space="preserve"> </w:t>
      </w:r>
      <w:r w:rsidR="005D3935">
        <w:t>Sempra Energy was added to the group since it is a combination gas and electric utility covered in the Value Line database.</w:t>
      </w:r>
      <w:r w:rsidR="00217503">
        <w:t xml:space="preserve"> </w:t>
      </w:r>
      <w:r>
        <w:t>Foreign companies, private partnerships, private companies, non-dividend-paying companies, and companies below investment-grade (with a Moody</w:t>
      </w:r>
      <w:r w:rsidR="00BD560E">
        <w:t>’</w:t>
      </w:r>
      <w:r>
        <w:t xml:space="preserve">s bond rating below Baa3 as reported in </w:t>
      </w:r>
      <w:proofErr w:type="spellStart"/>
      <w:r>
        <w:t>AUS</w:t>
      </w:r>
      <w:proofErr w:type="spellEnd"/>
      <w:r>
        <w:t xml:space="preserve"> Utility Reports) were eliminated, as well as those companies whose market capitalization was less than $1</w:t>
      </w:r>
      <w:r w:rsidR="00651E78">
        <w:t> </w:t>
      </w:r>
      <w:r>
        <w:t>billion, in order to minimize any stock price anomalies due to thin trading.</w:t>
      </w:r>
      <w:r w:rsidR="00CF1144" w:rsidRPr="00CF1144">
        <w:rPr>
          <w:position w:val="6"/>
          <w:sz w:val="16"/>
          <w:szCs w:val="20"/>
        </w:rPr>
        <w:footnoteReference w:id="5"/>
      </w:r>
    </w:p>
    <w:p w14:paraId="08304023" w14:textId="6DC3A699" w:rsidR="006C0872" w:rsidRDefault="008232F1" w:rsidP="00A82592">
      <w:pPr>
        <w:pStyle w:val="answer"/>
        <w:ind w:firstLine="0"/>
      </w:pPr>
      <w:r>
        <w:t xml:space="preserve">From the list provided in Exhibit No. ___(RAM-3), </w:t>
      </w:r>
      <w:r w:rsidR="006C0872">
        <w:t xml:space="preserve">and as shown on the accompanying notes in the last column of that exhibit, </w:t>
      </w:r>
      <w:r w:rsidR="00A82592">
        <w:t>I excluded six</w:t>
      </w:r>
      <w:r>
        <w:t xml:space="preserve"> companies that have pending merger or acquisition activities. The first excluded company was </w:t>
      </w:r>
      <w:r w:rsidR="00A82592">
        <w:t xml:space="preserve">Black Hills which is in the process of acquiring </w:t>
      </w:r>
      <w:proofErr w:type="spellStart"/>
      <w:r w:rsidR="00A82592">
        <w:t>SourceGas</w:t>
      </w:r>
      <w:proofErr w:type="spellEnd"/>
      <w:r w:rsidR="00A82592">
        <w:t>.</w:t>
      </w:r>
      <w:r w:rsidR="00217503">
        <w:t xml:space="preserve"> </w:t>
      </w:r>
      <w:r w:rsidR="00286569">
        <w:t xml:space="preserve">The second excluded company was </w:t>
      </w:r>
      <w:r w:rsidR="00286569" w:rsidRPr="00286569">
        <w:t>Dominion Resources, Inc.</w:t>
      </w:r>
      <w:r w:rsidR="00286569">
        <w:t xml:space="preserve">, which announced an agreement on February 1, 2016, to combine with </w:t>
      </w:r>
      <w:proofErr w:type="spellStart"/>
      <w:r w:rsidR="00286569">
        <w:t>Questar</w:t>
      </w:r>
      <w:proofErr w:type="spellEnd"/>
      <w:r w:rsidR="00286569">
        <w:t xml:space="preserve"> Corporation. The third excluded company was </w:t>
      </w:r>
      <w:r w:rsidR="00A82592">
        <w:t xml:space="preserve">Duke Energy on account of its acquisition of Piedmont </w:t>
      </w:r>
      <w:r w:rsidR="00A82592">
        <w:lastRenderedPageBreak/>
        <w:t>Natural Gas.</w:t>
      </w:r>
      <w:r w:rsidR="00217503">
        <w:t xml:space="preserve"> </w:t>
      </w:r>
      <w:r w:rsidR="00A82592">
        <w:t>The fourth excluded company was Empire District Electric</w:t>
      </w:r>
      <w:r w:rsidR="00286569">
        <w:t xml:space="preserve"> which announced an agreement on </w:t>
      </w:r>
      <w:r w:rsidR="00286569" w:rsidRPr="00286569">
        <w:t>Feb</w:t>
      </w:r>
      <w:r w:rsidR="00286569">
        <w:t xml:space="preserve">ruary 9, 2016, to combine with a subsidiary of </w:t>
      </w:r>
      <w:r w:rsidR="00286569" w:rsidRPr="00286569">
        <w:t xml:space="preserve">Liberty Utilities Co., </w:t>
      </w:r>
      <w:r w:rsidR="00286569">
        <w:t xml:space="preserve">the </w:t>
      </w:r>
      <w:r w:rsidR="00286569" w:rsidRPr="00286569">
        <w:t>wholly owned regulated utility business</w:t>
      </w:r>
      <w:r w:rsidR="00286569">
        <w:t xml:space="preserve"> subsidiary of </w:t>
      </w:r>
      <w:r w:rsidR="00286569" w:rsidRPr="00286569">
        <w:t>Algonquin Power</w:t>
      </w:r>
      <w:r w:rsidR="00286569">
        <w:t> </w:t>
      </w:r>
      <w:r w:rsidR="00286569" w:rsidRPr="00286569">
        <w:t>&amp; Utilities Corp.</w:t>
      </w:r>
      <w:r w:rsidR="00217503">
        <w:t xml:space="preserve"> </w:t>
      </w:r>
      <w:r w:rsidR="00A82592">
        <w:t>The fifth excluded company was Pepco Holdings which has been merged with Exelon.</w:t>
      </w:r>
      <w:r w:rsidR="00217503">
        <w:t xml:space="preserve"> </w:t>
      </w:r>
      <w:r w:rsidR="00A82592">
        <w:t xml:space="preserve">The sixth excluded company was </w:t>
      </w:r>
      <w:proofErr w:type="spellStart"/>
      <w:r w:rsidR="00A82592">
        <w:t>TECO</w:t>
      </w:r>
      <w:proofErr w:type="spellEnd"/>
      <w:r w:rsidR="00A82592">
        <w:t xml:space="preserve"> Energy which has been acquired by Emera.</w:t>
      </w:r>
    </w:p>
    <w:p w14:paraId="06E6431B" w14:textId="29E3B523" w:rsidR="005D3935" w:rsidRDefault="00A82592" w:rsidP="006C0872">
      <w:pPr>
        <w:pStyle w:val="answer"/>
        <w:ind w:firstLine="0"/>
      </w:pPr>
      <w:r>
        <w:t>Finally, Entergy Corp. was excluded on account of its very high nuclear exposure. After excluding these</w:t>
      </w:r>
      <w:r w:rsidR="006C0872">
        <w:t xml:space="preserve"> companies, t</w:t>
      </w:r>
      <w:r w:rsidR="005D3935">
        <w:t xml:space="preserve">he final group of companies only included those companies with at least 50% of their revenues from regulated utility operations. </w:t>
      </w:r>
      <w:r w:rsidR="006C0872">
        <w:t>Please see Exhibit No. ___(RAM-4</w:t>
      </w:r>
      <w:r w:rsidR="005D3935">
        <w:t xml:space="preserve">) for a list of the </w:t>
      </w:r>
      <w:r w:rsidR="006C0872">
        <w:t>eighteen</w:t>
      </w:r>
      <w:r w:rsidR="005D3935">
        <w:t xml:space="preserve"> companies that </w:t>
      </w:r>
      <w:r w:rsidR="006C0872">
        <w:t xml:space="preserve">that comprise the PSE proxy group. </w:t>
      </w:r>
    </w:p>
    <w:p w14:paraId="492ED04C" w14:textId="77777777" w:rsidR="00290C67" w:rsidRDefault="00290C67" w:rsidP="004908B1">
      <w:pPr>
        <w:pStyle w:val="answer"/>
        <w:ind w:firstLine="0"/>
      </w:pPr>
      <w:r>
        <w:t>I stress that this proxy group must be viewed as a portfolio of comparable risk.</w:t>
      </w:r>
      <w:r w:rsidR="00BD560E">
        <w:t xml:space="preserve"> </w:t>
      </w:r>
      <w:r>
        <w:t>It would be inappropriate to select any particular company or subset of companies from this group and infer the cost of common equity from that company or subset alone.</w:t>
      </w:r>
    </w:p>
    <w:p w14:paraId="23F9C62F" w14:textId="77777777" w:rsidR="00290C67" w:rsidRDefault="00290C67" w:rsidP="00BF05CC">
      <w:pPr>
        <w:pStyle w:val="question"/>
      </w:pPr>
      <w:r>
        <w:t>Q.</w:t>
      </w:r>
      <w:r>
        <w:tab/>
        <w:t xml:space="preserve">What </w:t>
      </w:r>
      <w:proofErr w:type="spellStart"/>
      <w:r>
        <w:t>DCF</w:t>
      </w:r>
      <w:proofErr w:type="spellEnd"/>
      <w:r>
        <w:t xml:space="preserve"> results did you obtain for PSE using Value Line growth projections?</w:t>
      </w:r>
    </w:p>
    <w:p w14:paraId="40C3A3C6" w14:textId="4E67AB74" w:rsidR="00290C67" w:rsidRDefault="00290C67" w:rsidP="005C0946">
      <w:pPr>
        <w:pStyle w:val="answer"/>
      </w:pPr>
      <w:r>
        <w:t>A.</w:t>
      </w:r>
      <w:r>
        <w:tab/>
        <w:t>Exhibit No.</w:t>
      </w:r>
      <w:r w:rsidR="00651E78">
        <w:t> </w:t>
      </w:r>
      <w:r>
        <w:t>___(RAM-</w:t>
      </w:r>
      <w:r w:rsidR="006657BF">
        <w:t>5</w:t>
      </w:r>
      <w:r>
        <w:t xml:space="preserve">) displays the </w:t>
      </w:r>
      <w:proofErr w:type="spellStart"/>
      <w:r>
        <w:t>DCF</w:t>
      </w:r>
      <w:proofErr w:type="spellEnd"/>
      <w:r>
        <w:t xml:space="preserve"> analysis </w:t>
      </w:r>
      <w:r w:rsidR="004E2AB3">
        <w:t xml:space="preserve">using Value Line growth projections </w:t>
      </w:r>
      <w:r>
        <w:t xml:space="preserve">for the </w:t>
      </w:r>
      <w:r w:rsidR="005C0946">
        <w:t>eighteen</w:t>
      </w:r>
      <w:r w:rsidR="006657BF">
        <w:t xml:space="preserve"> </w:t>
      </w:r>
      <w:r>
        <w:t>companies</w:t>
      </w:r>
      <w:r w:rsidR="00651E78">
        <w:t xml:space="preserve"> in PSE’s proxy group</w:t>
      </w:r>
      <w:r>
        <w:t>.</w:t>
      </w:r>
      <w:r w:rsidR="00217503">
        <w:t xml:space="preserve"> </w:t>
      </w:r>
      <w:r>
        <w:t>As shown on column</w:t>
      </w:r>
      <w:r w:rsidR="00651E78">
        <w:t> </w:t>
      </w:r>
      <w:r>
        <w:t>3, line</w:t>
      </w:r>
      <w:r w:rsidR="00651E78">
        <w:t> </w:t>
      </w:r>
      <w:r w:rsidR="005C0946">
        <w:t>20</w:t>
      </w:r>
      <w:r>
        <w:t xml:space="preserve"> of Exhibit No.</w:t>
      </w:r>
      <w:r w:rsidR="00651E78">
        <w:t> </w:t>
      </w:r>
      <w:r>
        <w:t>___(RAM-</w:t>
      </w:r>
      <w:r w:rsidR="006657BF">
        <w:t>5</w:t>
      </w:r>
      <w:r>
        <w:t>), the average long-term earnings per share growth forecast obtained from Value Line is 6.</w:t>
      </w:r>
      <w:r w:rsidR="005C0946">
        <w:t>03</w:t>
      </w:r>
      <w:r>
        <w:t xml:space="preserve">% for </w:t>
      </w:r>
      <w:r w:rsidR="00651E78">
        <w:t xml:space="preserve">PSE’s proxy </w:t>
      </w:r>
      <w:r>
        <w:t>group.</w:t>
      </w:r>
      <w:r w:rsidR="00BD560E">
        <w:t xml:space="preserve"> </w:t>
      </w:r>
      <w:r>
        <w:t>Combining this growth rate with the averag</w:t>
      </w:r>
      <w:r w:rsidR="005C0946">
        <w:t>e expected dividend yield of 3.75</w:t>
      </w:r>
      <w:r>
        <w:t xml:space="preserve">% </w:t>
      </w:r>
      <w:r>
        <w:lastRenderedPageBreak/>
        <w:t>shown on column</w:t>
      </w:r>
      <w:r w:rsidR="00651E78">
        <w:t> </w:t>
      </w:r>
      <w:r>
        <w:t>4, line</w:t>
      </w:r>
      <w:r w:rsidR="00651E78">
        <w:t> </w:t>
      </w:r>
      <w:r w:rsidR="005C0946">
        <w:t>20</w:t>
      </w:r>
      <w:r>
        <w:t xml:space="preserve"> of Exhibit No</w:t>
      </w:r>
      <w:r w:rsidR="00651E78">
        <w:t> </w:t>
      </w:r>
      <w:r>
        <w:t>___(RAM-</w:t>
      </w:r>
      <w:r w:rsidR="006657BF">
        <w:t>5</w:t>
      </w:r>
      <w:r>
        <w:t>)</w:t>
      </w:r>
      <w:r w:rsidR="00651E78">
        <w:t>,</w:t>
      </w:r>
      <w:r>
        <w:t xml:space="preserve"> produces an</w:t>
      </w:r>
      <w:r w:rsidR="005C0946">
        <w:t xml:space="preserve"> estimate of equity costs of 9</w:t>
      </w:r>
      <w:r>
        <w:t>.</w:t>
      </w:r>
      <w:r w:rsidR="005C0946">
        <w:t>78</w:t>
      </w:r>
      <w:r>
        <w:t xml:space="preserve">% for </w:t>
      </w:r>
      <w:r w:rsidR="00651E78">
        <w:t>PSE’s proxy group</w:t>
      </w:r>
      <w:r>
        <w:t>, as shown on column</w:t>
      </w:r>
      <w:r w:rsidR="00651E78">
        <w:t> </w:t>
      </w:r>
      <w:r>
        <w:t>5, line</w:t>
      </w:r>
      <w:r w:rsidR="00651E78">
        <w:t> </w:t>
      </w:r>
      <w:r w:rsidR="005C0946">
        <w:t>20</w:t>
      </w:r>
      <w:r>
        <w:t xml:space="preserve"> of Exhibit No.</w:t>
      </w:r>
      <w:r w:rsidR="00651E78">
        <w:t> </w:t>
      </w:r>
      <w:r>
        <w:t>___(RAM-</w:t>
      </w:r>
      <w:r w:rsidR="006657BF">
        <w:t>5</w:t>
      </w:r>
      <w:r>
        <w:t>).</w:t>
      </w:r>
    </w:p>
    <w:p w14:paraId="2C6EB32E" w14:textId="77777777" w:rsidR="00290C67" w:rsidRDefault="00290C67" w:rsidP="00BF05CC">
      <w:pPr>
        <w:pStyle w:val="question"/>
      </w:pPr>
      <w:r>
        <w:t>Q.</w:t>
      </w:r>
      <w:r>
        <w:tab/>
        <w:t xml:space="preserve">What </w:t>
      </w:r>
      <w:proofErr w:type="spellStart"/>
      <w:r>
        <w:t>DCF</w:t>
      </w:r>
      <w:proofErr w:type="spellEnd"/>
      <w:r>
        <w:t xml:space="preserve"> results did you obtain for PSE using analysts</w:t>
      </w:r>
      <w:r w:rsidR="00BD560E">
        <w:t>’</w:t>
      </w:r>
      <w:r>
        <w:t xml:space="preserve"> consensus growth forecasts?</w:t>
      </w:r>
    </w:p>
    <w:p w14:paraId="2DDCB3CB" w14:textId="6105FF7C" w:rsidR="004908B1" w:rsidRDefault="00290C67" w:rsidP="004908B1">
      <w:pPr>
        <w:pStyle w:val="answer"/>
      </w:pPr>
      <w:r>
        <w:t>A.</w:t>
      </w:r>
      <w:r>
        <w:tab/>
        <w:t>Exhibit No.</w:t>
      </w:r>
      <w:r w:rsidR="00D93DC9">
        <w:t> </w:t>
      </w:r>
      <w:r>
        <w:t>___(RAM-</w:t>
      </w:r>
      <w:r w:rsidR="006657BF">
        <w:t>6</w:t>
      </w:r>
      <w:r>
        <w:t xml:space="preserve">) displays the </w:t>
      </w:r>
      <w:proofErr w:type="spellStart"/>
      <w:r>
        <w:t>DCF</w:t>
      </w:r>
      <w:proofErr w:type="spellEnd"/>
      <w:r>
        <w:t xml:space="preserve"> analysis </w:t>
      </w:r>
      <w:r w:rsidR="00627B83">
        <w:t xml:space="preserve">using analysts’ consensus growth forecasts </w:t>
      </w:r>
      <w:r>
        <w:t xml:space="preserve">for the </w:t>
      </w:r>
      <w:r w:rsidR="005C0946">
        <w:t>eighteen</w:t>
      </w:r>
      <w:r>
        <w:t xml:space="preserve"> companies </w:t>
      </w:r>
      <w:r w:rsidR="00D93DC9">
        <w:t>in PSE’s proxy group</w:t>
      </w:r>
      <w:r>
        <w:t>.</w:t>
      </w:r>
      <w:r w:rsidR="00BD560E">
        <w:t xml:space="preserve"> </w:t>
      </w:r>
      <w:r w:rsidR="00D93DC9">
        <w:t xml:space="preserve">Please note that </w:t>
      </w:r>
      <w:proofErr w:type="spellStart"/>
      <w:r w:rsidR="005C0946">
        <w:t>MGE</w:t>
      </w:r>
      <w:proofErr w:type="spellEnd"/>
      <w:r w:rsidR="005C0946">
        <w:t xml:space="preserve"> Energy</w:t>
      </w:r>
      <w:r>
        <w:t xml:space="preserve"> </w:t>
      </w:r>
      <w:r w:rsidR="005C0946">
        <w:t>and Chesapeake Utilities were</w:t>
      </w:r>
      <w:r>
        <w:t xml:space="preserve"> eliminated </w:t>
      </w:r>
      <w:r w:rsidR="005C0946">
        <w:t>since no analyst forecast were available</w:t>
      </w:r>
      <w:r w:rsidR="004908B1">
        <w:t>.</w:t>
      </w:r>
    </w:p>
    <w:p w14:paraId="06EA428C" w14:textId="09C4CDCC" w:rsidR="00290C67" w:rsidRDefault="00290C67" w:rsidP="004908B1">
      <w:pPr>
        <w:pStyle w:val="answer"/>
        <w:ind w:firstLine="0"/>
      </w:pPr>
      <w:r>
        <w:t>As shown on column</w:t>
      </w:r>
      <w:r w:rsidR="00D93DC9">
        <w:t> </w:t>
      </w:r>
      <w:r>
        <w:t>3, line</w:t>
      </w:r>
      <w:r w:rsidR="00D93DC9">
        <w:t> </w:t>
      </w:r>
      <w:r w:rsidR="005C0946">
        <w:t>20</w:t>
      </w:r>
      <w:r w:rsidR="00D93DC9">
        <w:t>,</w:t>
      </w:r>
      <w:r>
        <w:t xml:space="preserve"> of Exhibit No.</w:t>
      </w:r>
      <w:r w:rsidR="00D93DC9">
        <w:t> </w:t>
      </w:r>
      <w:r>
        <w:t>___(RAM-</w:t>
      </w:r>
      <w:r w:rsidR="006657BF">
        <w:t>6</w:t>
      </w:r>
      <w:r>
        <w:t>), the average long-term earnings per share growth forecast obtained from analysts is 5.</w:t>
      </w:r>
      <w:r w:rsidR="005C0946">
        <w:t>46</w:t>
      </w:r>
      <w:r>
        <w:t xml:space="preserve">% for </w:t>
      </w:r>
      <w:r w:rsidR="00D93DC9">
        <w:t xml:space="preserve">PSE’s proxy </w:t>
      </w:r>
      <w:r>
        <w:t>group.</w:t>
      </w:r>
      <w:r w:rsidR="00170C69">
        <w:t xml:space="preserve"> </w:t>
      </w:r>
      <w:r>
        <w:t>Combining this growth rate with the aver</w:t>
      </w:r>
      <w:r w:rsidR="005C0946">
        <w:t>age expected dividend yield of 3</w:t>
      </w:r>
      <w:r>
        <w:t>.</w:t>
      </w:r>
      <w:r w:rsidR="005C0946">
        <w:t>90</w:t>
      </w:r>
      <w:r>
        <w:t>% shown on column</w:t>
      </w:r>
      <w:r w:rsidR="00D93DC9">
        <w:t> </w:t>
      </w:r>
      <w:r>
        <w:t>4, line</w:t>
      </w:r>
      <w:r w:rsidR="00D93DC9">
        <w:t> </w:t>
      </w:r>
      <w:r w:rsidR="005C0946">
        <w:t>20</w:t>
      </w:r>
      <w:r w:rsidR="00D93DC9">
        <w:t>,</w:t>
      </w:r>
      <w:r>
        <w:t xml:space="preserve"> of Exhibit No.</w:t>
      </w:r>
      <w:r w:rsidR="00D93DC9">
        <w:t> </w:t>
      </w:r>
      <w:r>
        <w:t>___(RAM-</w:t>
      </w:r>
      <w:r w:rsidR="006657BF">
        <w:t>6</w:t>
      </w:r>
      <w:r>
        <w:t>)</w:t>
      </w:r>
      <w:r w:rsidR="00D93DC9">
        <w:t>,</w:t>
      </w:r>
      <w:r>
        <w:t xml:space="preserve"> produces an estimate of equity costs of 9.</w:t>
      </w:r>
      <w:r w:rsidR="005C0946">
        <w:t>36</w:t>
      </w:r>
      <w:r>
        <w:t xml:space="preserve">% for </w:t>
      </w:r>
      <w:r w:rsidR="00D93DC9">
        <w:t>PSE’s proxy group</w:t>
      </w:r>
      <w:r>
        <w:t>, as shown on column</w:t>
      </w:r>
      <w:r w:rsidR="00D93DC9">
        <w:t> </w:t>
      </w:r>
      <w:r>
        <w:t>5, line</w:t>
      </w:r>
      <w:r w:rsidR="00D93DC9">
        <w:t> </w:t>
      </w:r>
      <w:r w:rsidR="005C0946">
        <w:t>20</w:t>
      </w:r>
      <w:r w:rsidR="00D93DC9">
        <w:t>,</w:t>
      </w:r>
      <w:r>
        <w:t xml:space="preserve"> of Exhibit No.</w:t>
      </w:r>
      <w:r w:rsidR="00D93DC9">
        <w:t> </w:t>
      </w:r>
      <w:r>
        <w:t>___(RAM-</w:t>
      </w:r>
      <w:r w:rsidR="006657BF">
        <w:t>6</w:t>
      </w:r>
      <w:r>
        <w:t>).</w:t>
      </w:r>
    </w:p>
    <w:p w14:paraId="6407B97E" w14:textId="77777777" w:rsidR="00290C67" w:rsidRDefault="00290C67" w:rsidP="00BF05CC">
      <w:pPr>
        <w:pStyle w:val="question"/>
      </w:pPr>
      <w:r>
        <w:t>Q.</w:t>
      </w:r>
      <w:r>
        <w:tab/>
        <w:t xml:space="preserve">Please summarize the </w:t>
      </w:r>
      <w:proofErr w:type="spellStart"/>
      <w:r>
        <w:t>DCF</w:t>
      </w:r>
      <w:proofErr w:type="spellEnd"/>
      <w:r>
        <w:t xml:space="preserve"> estimates for PSE.</w:t>
      </w:r>
    </w:p>
    <w:p w14:paraId="1763FF4D" w14:textId="415510AF" w:rsidR="00290C67" w:rsidRDefault="00290C67" w:rsidP="004908B1">
      <w:pPr>
        <w:pStyle w:val="answer"/>
      </w:pPr>
      <w:r>
        <w:t>A.</w:t>
      </w:r>
      <w:r>
        <w:tab/>
        <w:t>Table</w:t>
      </w:r>
      <w:r w:rsidR="00D93DC9">
        <w:t> </w:t>
      </w:r>
      <w:r>
        <w:t xml:space="preserve">1 below summarizes the </w:t>
      </w:r>
      <w:proofErr w:type="spellStart"/>
      <w:r>
        <w:t>DCF</w:t>
      </w:r>
      <w:proofErr w:type="spellEnd"/>
      <w:r>
        <w:t xml:space="preserve"> estimates for PSE</w:t>
      </w:r>
      <w:r w:rsidR="00D93DC9">
        <w:t>:</w:t>
      </w:r>
    </w:p>
    <w:p w14:paraId="7245EF5B" w14:textId="77777777" w:rsidR="00290C67" w:rsidRPr="00B57D60" w:rsidRDefault="00290C67" w:rsidP="00911668">
      <w:pPr>
        <w:keepNext/>
        <w:keepLines/>
        <w:spacing w:after="120"/>
        <w:ind w:left="1627" w:right="1627"/>
        <w:jc w:val="center"/>
        <w:rPr>
          <w:b/>
        </w:rPr>
      </w:pPr>
      <w:r w:rsidRPr="00B57D60">
        <w:rPr>
          <w:b/>
        </w:rPr>
        <w:t>Table 1.</w:t>
      </w:r>
      <w:r w:rsidR="00BD560E">
        <w:rPr>
          <w:b/>
        </w:rPr>
        <w:t xml:space="preserve"> </w:t>
      </w:r>
      <w:proofErr w:type="spellStart"/>
      <w:r w:rsidRPr="00B57D60">
        <w:rPr>
          <w:b/>
        </w:rPr>
        <w:t>DCF</w:t>
      </w:r>
      <w:proofErr w:type="spellEnd"/>
      <w:r w:rsidRPr="00B57D60">
        <w:rPr>
          <w:b/>
        </w:rPr>
        <w:t xml:space="preserve"> Estimates for PSE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255"/>
      </w:tblGrid>
      <w:tr w:rsidR="00B57D60" w14:paraId="1C02AE25" w14:textId="77777777" w:rsidTr="00100704">
        <w:trPr>
          <w:jc w:val="center"/>
        </w:trPr>
        <w:tc>
          <w:tcPr>
            <w:tcW w:w="4073" w:type="dxa"/>
            <w:tcBorders>
              <w:bottom w:val="single" w:sz="4" w:space="0" w:color="auto"/>
            </w:tcBorders>
            <w:shd w:val="clear" w:color="auto" w:fill="auto"/>
          </w:tcPr>
          <w:p w14:paraId="7FFC73B6" w14:textId="77777777" w:rsidR="00B57D60" w:rsidRPr="00B57D60" w:rsidRDefault="00B57D60" w:rsidP="00B57D60">
            <w:pPr>
              <w:spacing w:before="60" w:after="60" w:line="240" w:lineRule="auto"/>
              <w:ind w:firstLine="0"/>
              <w:jc w:val="center"/>
              <w:rPr>
                <w:b/>
              </w:rPr>
            </w:pPr>
            <w:proofErr w:type="spellStart"/>
            <w:r w:rsidRPr="00B57D60">
              <w:rPr>
                <w:b/>
              </w:rPr>
              <w:t>DCF</w:t>
            </w:r>
            <w:proofErr w:type="spellEnd"/>
            <w:r w:rsidRPr="00B57D60">
              <w:rPr>
                <w:b/>
              </w:rPr>
              <w:t xml:space="preserve"> STUDY</w:t>
            </w:r>
          </w:p>
        </w:tc>
        <w:tc>
          <w:tcPr>
            <w:tcW w:w="1255" w:type="dxa"/>
            <w:tcBorders>
              <w:bottom w:val="single" w:sz="4" w:space="0" w:color="auto"/>
            </w:tcBorders>
            <w:shd w:val="clear" w:color="auto" w:fill="auto"/>
          </w:tcPr>
          <w:p w14:paraId="12EFFE7D" w14:textId="77777777" w:rsidR="00B57D60" w:rsidRPr="00B57D60" w:rsidRDefault="00B57D60" w:rsidP="00170C69">
            <w:pPr>
              <w:spacing w:before="60" w:after="60" w:line="240" w:lineRule="auto"/>
              <w:ind w:firstLine="0"/>
              <w:jc w:val="center"/>
              <w:rPr>
                <w:b/>
              </w:rPr>
            </w:pPr>
            <w:r w:rsidRPr="00B57D60">
              <w:rPr>
                <w:b/>
              </w:rPr>
              <w:t>ROE</w:t>
            </w:r>
          </w:p>
        </w:tc>
      </w:tr>
      <w:tr w:rsidR="00B57D60" w14:paraId="11D0E9CA" w14:textId="77777777" w:rsidTr="00100704">
        <w:trPr>
          <w:jc w:val="center"/>
        </w:trPr>
        <w:tc>
          <w:tcPr>
            <w:tcW w:w="4073" w:type="dxa"/>
            <w:tcBorders>
              <w:top w:val="single" w:sz="4" w:space="0" w:color="auto"/>
            </w:tcBorders>
          </w:tcPr>
          <w:p w14:paraId="2DDF85C7" w14:textId="77777777" w:rsidR="00B57D60" w:rsidRDefault="00B57D60" w:rsidP="00B57D60">
            <w:pPr>
              <w:spacing w:before="60" w:after="60" w:line="240" w:lineRule="auto"/>
              <w:ind w:firstLine="0"/>
            </w:pPr>
            <w:r>
              <w:t>Electric Utilities Value Line Growth</w:t>
            </w:r>
          </w:p>
        </w:tc>
        <w:tc>
          <w:tcPr>
            <w:tcW w:w="1255" w:type="dxa"/>
            <w:tcBorders>
              <w:top w:val="single" w:sz="4" w:space="0" w:color="auto"/>
            </w:tcBorders>
          </w:tcPr>
          <w:p w14:paraId="731BEFF1" w14:textId="2A228B3C" w:rsidR="00B57D60" w:rsidRDefault="005C0946" w:rsidP="00170C69">
            <w:pPr>
              <w:spacing w:before="60" w:after="60" w:line="240" w:lineRule="auto"/>
              <w:ind w:firstLine="0"/>
              <w:jc w:val="center"/>
            </w:pPr>
            <w:r>
              <w:t>9</w:t>
            </w:r>
            <w:r w:rsidR="00B57D60">
              <w:t>.</w:t>
            </w:r>
            <w:r>
              <w:t>8</w:t>
            </w:r>
            <w:r w:rsidR="00B57D60">
              <w:t>%</w:t>
            </w:r>
          </w:p>
        </w:tc>
      </w:tr>
      <w:tr w:rsidR="00B57D60" w14:paraId="33B29483" w14:textId="77777777" w:rsidTr="00100704">
        <w:trPr>
          <w:jc w:val="center"/>
        </w:trPr>
        <w:tc>
          <w:tcPr>
            <w:tcW w:w="4073" w:type="dxa"/>
          </w:tcPr>
          <w:p w14:paraId="16A599D1" w14:textId="77777777" w:rsidR="00B57D60" w:rsidRDefault="00B57D60" w:rsidP="00B57D60">
            <w:pPr>
              <w:spacing w:before="60" w:after="60" w:line="240" w:lineRule="auto"/>
              <w:ind w:firstLine="0"/>
            </w:pPr>
            <w:r>
              <w:t>Electric Utilities Analysts Growth</w:t>
            </w:r>
          </w:p>
        </w:tc>
        <w:tc>
          <w:tcPr>
            <w:tcW w:w="1255" w:type="dxa"/>
          </w:tcPr>
          <w:p w14:paraId="6A0A9993" w14:textId="0A44355F" w:rsidR="00B57D60" w:rsidRDefault="00B57D60" w:rsidP="00170C69">
            <w:pPr>
              <w:spacing w:before="60" w:after="60" w:line="240" w:lineRule="auto"/>
              <w:ind w:firstLine="0"/>
              <w:jc w:val="center"/>
            </w:pPr>
            <w:r>
              <w:t>9.</w:t>
            </w:r>
            <w:r w:rsidR="005C0946">
              <w:t>4</w:t>
            </w:r>
            <w:r>
              <w:t>%</w:t>
            </w:r>
          </w:p>
        </w:tc>
      </w:tr>
    </w:tbl>
    <w:p w14:paraId="64F845F2" w14:textId="77777777" w:rsidR="00290C67" w:rsidRDefault="00290C67" w:rsidP="00B57D60">
      <w:pPr>
        <w:pStyle w:val="Heading2"/>
        <w:spacing w:before="360"/>
      </w:pPr>
      <w:bookmarkStart w:id="24" w:name="_Toc468636160"/>
      <w:bookmarkStart w:id="25" w:name="_Toc443553406"/>
      <w:r>
        <w:lastRenderedPageBreak/>
        <w:t>B.</w:t>
      </w:r>
      <w:r>
        <w:tab/>
      </w:r>
      <w:proofErr w:type="spellStart"/>
      <w:r>
        <w:t>CAPM</w:t>
      </w:r>
      <w:proofErr w:type="spellEnd"/>
      <w:r>
        <w:t xml:space="preserve"> Estimates</w:t>
      </w:r>
      <w:bookmarkEnd w:id="24"/>
      <w:bookmarkEnd w:id="25"/>
    </w:p>
    <w:p w14:paraId="23A04562" w14:textId="6622DBD3" w:rsidR="00290C67" w:rsidRDefault="00290C67" w:rsidP="00BF05CC">
      <w:pPr>
        <w:pStyle w:val="question"/>
      </w:pPr>
      <w:r>
        <w:t>Q.</w:t>
      </w:r>
      <w:r>
        <w:tab/>
        <w:t xml:space="preserve">Please describe your application of </w:t>
      </w:r>
      <w:r w:rsidR="00170C69">
        <w:t xml:space="preserve">the </w:t>
      </w:r>
      <w:proofErr w:type="spellStart"/>
      <w:r w:rsidR="00170C69">
        <w:t>CAPM</w:t>
      </w:r>
      <w:proofErr w:type="spellEnd"/>
      <w:r w:rsidR="00170C69">
        <w:t xml:space="preserve"> risk premium approach.</w:t>
      </w:r>
    </w:p>
    <w:p w14:paraId="56928CBA" w14:textId="640F656B" w:rsidR="00B57D60" w:rsidRDefault="00290C67" w:rsidP="00B57D60">
      <w:pPr>
        <w:pStyle w:val="answer"/>
      </w:pPr>
      <w:r>
        <w:t>A.</w:t>
      </w:r>
      <w:r>
        <w:tab/>
        <w:t xml:space="preserve">My first two risk premium estimates are based on the </w:t>
      </w:r>
      <w:proofErr w:type="spellStart"/>
      <w:r>
        <w:t>CAPM</w:t>
      </w:r>
      <w:proofErr w:type="spellEnd"/>
      <w:r>
        <w:t xml:space="preserve"> and on an empirical approximation to the </w:t>
      </w:r>
      <w:proofErr w:type="spellStart"/>
      <w:r>
        <w:t>CAPM</w:t>
      </w:r>
      <w:proofErr w:type="spellEnd"/>
      <w:r>
        <w:t xml:space="preserve"> (</w:t>
      </w:r>
      <w:proofErr w:type="spellStart"/>
      <w:r>
        <w:t>ECAPM</w:t>
      </w:r>
      <w:proofErr w:type="spellEnd"/>
      <w:r>
        <w:t>).</w:t>
      </w:r>
      <w:r w:rsidR="00BD560E">
        <w:t xml:space="preserve"> </w:t>
      </w:r>
      <w:r>
        <w:t xml:space="preserve">The </w:t>
      </w:r>
      <w:proofErr w:type="spellStart"/>
      <w:r>
        <w:t>CAPM</w:t>
      </w:r>
      <w:proofErr w:type="spellEnd"/>
      <w:r>
        <w:t xml:space="preserve"> is a fundamental paradigm of finance.</w:t>
      </w:r>
      <w:r w:rsidR="00BD560E">
        <w:t xml:space="preserve"> </w:t>
      </w:r>
      <w:r>
        <w:t xml:space="preserve">Simply put, the fundamental idea underlying the </w:t>
      </w:r>
      <w:proofErr w:type="spellStart"/>
      <w:r>
        <w:t>CAPM</w:t>
      </w:r>
      <w:proofErr w:type="spellEnd"/>
      <w:r>
        <w:t xml:space="preserve"> is that risk-averse investors demand higher returns for assuming additional risk, and higher-risk securities are priced to yield higher expected returns than lower-risk securities.</w:t>
      </w:r>
      <w:r w:rsidR="00BD560E">
        <w:t xml:space="preserve"> </w:t>
      </w:r>
      <w:r>
        <w:t xml:space="preserve">The </w:t>
      </w:r>
      <w:proofErr w:type="spellStart"/>
      <w:r>
        <w:t>CAPM</w:t>
      </w:r>
      <w:proofErr w:type="spellEnd"/>
      <w:r>
        <w:t xml:space="preserve"> quantifies the additional return, or risk premium, required for bearing incremental risk.</w:t>
      </w:r>
      <w:r w:rsidR="00C714A7">
        <w:t xml:space="preserve"> </w:t>
      </w:r>
      <w:r>
        <w:t>It provides a formal risk-return relationship anchored on the basic idea that only market risk matters, as measured by beta</w:t>
      </w:r>
      <w:r w:rsidR="00D93DC9">
        <w:t xml:space="preserve"> (β)</w:t>
      </w:r>
      <w:r>
        <w:t>.</w:t>
      </w:r>
    </w:p>
    <w:p w14:paraId="4F2DAA63" w14:textId="77777777" w:rsidR="00290C67" w:rsidRDefault="00290C67" w:rsidP="00C714A7">
      <w:pPr>
        <w:pStyle w:val="answer"/>
        <w:ind w:firstLine="0"/>
      </w:pPr>
      <w:r>
        <w:t xml:space="preserve">According to the </w:t>
      </w:r>
      <w:proofErr w:type="spellStart"/>
      <w:r>
        <w:t>CAPM</w:t>
      </w:r>
      <w:proofErr w:type="spellEnd"/>
      <w:r>
        <w:t>, securities are priced such that:</w:t>
      </w:r>
    </w:p>
    <w:p w14:paraId="25EE8A9B" w14:textId="77777777" w:rsidR="00B57D60" w:rsidRDefault="00B57D60" w:rsidP="00C714A7">
      <w:pPr>
        <w:pStyle w:val="Quote"/>
      </w:pPr>
      <w:r>
        <w:t>EXPECTED RETURN = RISK-FREE RATE + RISK PREMIUM</w:t>
      </w:r>
    </w:p>
    <w:p w14:paraId="2DBC9093" w14:textId="77777777" w:rsidR="00C714A7" w:rsidRDefault="00290C67" w:rsidP="00C714A7">
      <w:pPr>
        <w:pStyle w:val="answer"/>
        <w:keepNext/>
        <w:keepLines/>
        <w:ind w:firstLine="0"/>
      </w:pPr>
      <w:r>
        <w:t>Denoting the risk-free rate by R</w:t>
      </w:r>
      <w:r w:rsidRPr="00304E0B">
        <w:rPr>
          <w:vertAlign w:val="subscript"/>
        </w:rPr>
        <w:t>F</w:t>
      </w:r>
      <w:r>
        <w:t xml:space="preserve"> and the return on the market as a whole by R</w:t>
      </w:r>
      <w:r w:rsidRPr="00304E0B">
        <w:rPr>
          <w:vertAlign w:val="subscript"/>
        </w:rPr>
        <w:t>M</w:t>
      </w:r>
      <w:r>
        <w:t xml:space="preserve">, the </w:t>
      </w:r>
      <w:proofErr w:type="spellStart"/>
      <w:r>
        <w:t>CAPM</w:t>
      </w:r>
      <w:proofErr w:type="spellEnd"/>
      <w:r>
        <w:t xml:space="preserve"> is stated as follows:</w:t>
      </w:r>
    </w:p>
    <w:p w14:paraId="2BCDE76D" w14:textId="79C8894D" w:rsidR="00290C67" w:rsidRDefault="00290C67" w:rsidP="00C714A7">
      <w:pPr>
        <w:pStyle w:val="answer"/>
        <w:keepNext/>
        <w:keepLines/>
        <w:ind w:firstLine="0"/>
        <w:jc w:val="center"/>
      </w:pPr>
      <w:r>
        <w:t>K</w:t>
      </w:r>
      <w:r w:rsidR="00304E0B">
        <w:t xml:space="preserve"> </w:t>
      </w:r>
      <w:r>
        <w:t>=</w:t>
      </w:r>
      <w:r w:rsidR="00304E0B">
        <w:t xml:space="preserve"> </w:t>
      </w:r>
      <w:r w:rsidR="00EE48EE">
        <w:t>R</w:t>
      </w:r>
      <w:r w:rsidR="00EE48EE" w:rsidRPr="00304E0B">
        <w:rPr>
          <w:vertAlign w:val="subscript"/>
        </w:rPr>
        <w:t>F</w:t>
      </w:r>
      <w:r w:rsidR="00EE48EE">
        <w:t xml:space="preserve"> </w:t>
      </w:r>
      <w:r>
        <w:t>+</w:t>
      </w:r>
      <w:r w:rsidR="00304E0B">
        <w:t xml:space="preserve"> β × </w:t>
      </w:r>
      <w:r>
        <w:t>(R</w:t>
      </w:r>
      <w:r w:rsidRPr="00304E0B">
        <w:rPr>
          <w:vertAlign w:val="subscript"/>
        </w:rPr>
        <w:t>M</w:t>
      </w:r>
      <w:r>
        <w:t xml:space="preserve"> </w:t>
      </w:r>
      <w:r w:rsidR="00304E0B">
        <w:t>–</w:t>
      </w:r>
      <w:r>
        <w:t xml:space="preserve"> R</w:t>
      </w:r>
      <w:r w:rsidRPr="00304E0B">
        <w:rPr>
          <w:vertAlign w:val="subscript"/>
        </w:rPr>
        <w:t>F</w:t>
      </w:r>
      <w:r>
        <w:t>)</w:t>
      </w:r>
    </w:p>
    <w:p w14:paraId="153417BE" w14:textId="77777777" w:rsidR="00EE48EE" w:rsidRDefault="00EE48EE" w:rsidP="00C714A7">
      <w:pPr>
        <w:pStyle w:val="Quote"/>
        <w:keepNext/>
        <w:keepLines/>
        <w:tabs>
          <w:tab w:val="left" w:pos="2880"/>
          <w:tab w:val="left" w:pos="3150"/>
        </w:tabs>
        <w:spacing w:after="0"/>
        <w:ind w:left="2520" w:hanging="1080"/>
        <w:jc w:val="left"/>
      </w:pPr>
      <w:r>
        <w:t>where:</w:t>
      </w:r>
      <w:r>
        <w:tab/>
        <w:t>K</w:t>
      </w:r>
      <w:r>
        <w:tab/>
        <w:t>=</w:t>
      </w:r>
      <w:r>
        <w:tab/>
        <w:t>investors</w:t>
      </w:r>
      <w:r w:rsidR="00BD560E">
        <w:t>’</w:t>
      </w:r>
      <w:r>
        <w:t xml:space="preserve"> expected return on equity</w:t>
      </w:r>
    </w:p>
    <w:p w14:paraId="0A7F9105" w14:textId="77777777" w:rsidR="00EE48EE" w:rsidRDefault="00BD560E" w:rsidP="00C714A7">
      <w:pPr>
        <w:pStyle w:val="Quote"/>
        <w:keepNext/>
        <w:keepLines/>
        <w:tabs>
          <w:tab w:val="left" w:pos="2880"/>
          <w:tab w:val="left" w:pos="3150"/>
        </w:tabs>
        <w:spacing w:after="0"/>
        <w:ind w:left="3150" w:hanging="630"/>
        <w:jc w:val="left"/>
      </w:pPr>
      <w:r>
        <w:t>R</w:t>
      </w:r>
      <w:r w:rsidRPr="00304E0B">
        <w:rPr>
          <w:vertAlign w:val="subscript"/>
        </w:rPr>
        <w:t>F</w:t>
      </w:r>
      <w:r w:rsidR="00EE48EE">
        <w:tab/>
        <w:t>=</w:t>
      </w:r>
      <w:r w:rsidR="00EE48EE">
        <w:tab/>
      </w:r>
      <w:r>
        <w:t>risk-free rate</w:t>
      </w:r>
    </w:p>
    <w:p w14:paraId="5AEB1ABF" w14:textId="3A230AB7" w:rsidR="00EE48EE" w:rsidRDefault="00BD560E" w:rsidP="00C714A7">
      <w:pPr>
        <w:pStyle w:val="Quote"/>
        <w:keepNext/>
        <w:keepLines/>
        <w:tabs>
          <w:tab w:val="left" w:pos="2880"/>
          <w:tab w:val="left" w:pos="3150"/>
        </w:tabs>
        <w:spacing w:after="0"/>
        <w:ind w:left="3150" w:hanging="630"/>
        <w:jc w:val="left"/>
      </w:pPr>
      <w:r>
        <w:t>R</w:t>
      </w:r>
      <w:r>
        <w:rPr>
          <w:vertAlign w:val="subscript"/>
        </w:rPr>
        <w:t>M</w:t>
      </w:r>
      <w:r w:rsidR="00EE48EE">
        <w:tab/>
        <w:t>=</w:t>
      </w:r>
      <w:r w:rsidR="00EE48EE">
        <w:tab/>
      </w:r>
      <w:r w:rsidR="00D93DC9">
        <w:t>return on the market as a whole</w:t>
      </w:r>
    </w:p>
    <w:p w14:paraId="086DF87E" w14:textId="77777777" w:rsidR="00EE48EE" w:rsidRDefault="00BD560E" w:rsidP="00EE48EE">
      <w:pPr>
        <w:pStyle w:val="Quote"/>
        <w:tabs>
          <w:tab w:val="left" w:pos="2880"/>
          <w:tab w:val="left" w:pos="3150"/>
        </w:tabs>
        <w:ind w:left="3154" w:hanging="634"/>
        <w:jc w:val="left"/>
      </w:pPr>
      <w:r>
        <w:t>β</w:t>
      </w:r>
      <w:r w:rsidR="00EE48EE">
        <w:tab/>
        <w:t>=</w:t>
      </w:r>
      <w:r w:rsidR="00EE48EE">
        <w:tab/>
      </w:r>
      <w:r>
        <w:t>systematic risk (i.e., change in a security’s return relative to that of the market)</w:t>
      </w:r>
    </w:p>
    <w:p w14:paraId="7DE2AAD9" w14:textId="79B83ED0" w:rsidR="00D93DC9" w:rsidRDefault="00290C67" w:rsidP="00304E0B">
      <w:pPr>
        <w:pStyle w:val="answer"/>
        <w:ind w:firstLine="0"/>
      </w:pPr>
      <w:r>
        <w:t xml:space="preserve">This is the seminal </w:t>
      </w:r>
      <w:proofErr w:type="spellStart"/>
      <w:r>
        <w:t>CAPM</w:t>
      </w:r>
      <w:proofErr w:type="spellEnd"/>
      <w:r>
        <w:t xml:space="preserve"> expression, which states that the return required by investors is made up of a risk-free component, R</w:t>
      </w:r>
      <w:r w:rsidRPr="00304E0B">
        <w:rPr>
          <w:vertAlign w:val="subscript"/>
        </w:rPr>
        <w:t>F</w:t>
      </w:r>
      <w:r>
        <w:t xml:space="preserve">, plus a risk premium determined by </w:t>
      </w:r>
      <w:r w:rsidR="00304E0B">
        <w:t>β × (R</w:t>
      </w:r>
      <w:r w:rsidR="00304E0B" w:rsidRPr="00304E0B">
        <w:rPr>
          <w:vertAlign w:val="subscript"/>
        </w:rPr>
        <w:t>M</w:t>
      </w:r>
      <w:r w:rsidR="00304E0B">
        <w:t xml:space="preserve"> – R</w:t>
      </w:r>
      <w:r w:rsidR="00304E0B" w:rsidRPr="00304E0B">
        <w:rPr>
          <w:vertAlign w:val="subscript"/>
        </w:rPr>
        <w:t>F</w:t>
      </w:r>
      <w:r w:rsidR="00304E0B">
        <w:t>)</w:t>
      </w:r>
      <w:r>
        <w:t>.</w:t>
      </w:r>
      <w:r w:rsidR="00766957">
        <w:t xml:space="preserve"> </w:t>
      </w:r>
      <w:r>
        <w:t xml:space="preserve">The bracketed expression </w:t>
      </w:r>
      <w:r w:rsidR="00304E0B">
        <w:t>(R</w:t>
      </w:r>
      <w:r w:rsidR="00304E0B" w:rsidRPr="00304E0B">
        <w:rPr>
          <w:vertAlign w:val="subscript"/>
        </w:rPr>
        <w:t>M</w:t>
      </w:r>
      <w:r w:rsidR="00304E0B">
        <w:t xml:space="preserve"> – R</w:t>
      </w:r>
      <w:r w:rsidR="00304E0B" w:rsidRPr="00304E0B">
        <w:rPr>
          <w:vertAlign w:val="subscript"/>
        </w:rPr>
        <w:t>F</w:t>
      </w:r>
      <w:r w:rsidR="00304E0B">
        <w:t>)</w:t>
      </w:r>
      <w:r>
        <w:t xml:space="preserve"> expression is known as the market risk premium (</w:t>
      </w:r>
      <w:proofErr w:type="spellStart"/>
      <w:r>
        <w:t>MRP</w:t>
      </w:r>
      <w:proofErr w:type="spellEnd"/>
      <w:r>
        <w:t>).</w:t>
      </w:r>
      <w:r w:rsidR="00766957">
        <w:t xml:space="preserve"> </w:t>
      </w:r>
      <w:r>
        <w:t xml:space="preserve">To derive the </w:t>
      </w:r>
      <w:proofErr w:type="spellStart"/>
      <w:r>
        <w:t>CAPM</w:t>
      </w:r>
      <w:proofErr w:type="spellEnd"/>
      <w:r>
        <w:t xml:space="preserve"> risk premium </w:t>
      </w:r>
      <w:r>
        <w:lastRenderedPageBreak/>
        <w:t>estimate, three quantities are required:</w:t>
      </w:r>
      <w:r w:rsidR="00BD560E">
        <w:t xml:space="preserve"> </w:t>
      </w:r>
      <w:r>
        <w:t>the risk-free rate (R</w:t>
      </w:r>
      <w:r w:rsidRPr="00304E0B">
        <w:rPr>
          <w:vertAlign w:val="subscript"/>
        </w:rPr>
        <w:t>F</w:t>
      </w:r>
      <w:r>
        <w:t>), beta (</w:t>
      </w:r>
      <w:r w:rsidR="00304E0B">
        <w:t>β</w:t>
      </w:r>
      <w:r>
        <w:t xml:space="preserve">), and the </w:t>
      </w:r>
      <w:proofErr w:type="spellStart"/>
      <w:r>
        <w:t>MRP</w:t>
      </w:r>
      <w:proofErr w:type="spellEnd"/>
      <w:r>
        <w:t xml:space="preserve">, </w:t>
      </w:r>
      <w:r w:rsidR="00BD560E">
        <w:t>(R</w:t>
      </w:r>
      <w:r w:rsidR="00BD560E" w:rsidRPr="00304E0B">
        <w:rPr>
          <w:vertAlign w:val="subscript"/>
        </w:rPr>
        <w:t>M</w:t>
      </w:r>
      <w:r w:rsidR="00BD560E">
        <w:t xml:space="preserve"> – R</w:t>
      </w:r>
      <w:r w:rsidR="00BD560E" w:rsidRPr="00304E0B">
        <w:rPr>
          <w:vertAlign w:val="subscript"/>
        </w:rPr>
        <w:t>F</w:t>
      </w:r>
      <w:r w:rsidR="00BD560E">
        <w:t>)</w:t>
      </w:r>
      <w:r>
        <w:t>.</w:t>
      </w:r>
    </w:p>
    <w:p w14:paraId="7BC1460F" w14:textId="3FC659EA" w:rsidR="00D93DC9" w:rsidRDefault="00290C67" w:rsidP="00304E0B">
      <w:pPr>
        <w:pStyle w:val="answer"/>
        <w:ind w:firstLine="0"/>
      </w:pPr>
      <w:r>
        <w:t>For the risk-free rate</w:t>
      </w:r>
      <w:r w:rsidR="00D93DC9">
        <w:t xml:space="preserve"> (R</w:t>
      </w:r>
      <w:r w:rsidR="00D93DC9" w:rsidRPr="00304E0B">
        <w:rPr>
          <w:vertAlign w:val="subscript"/>
        </w:rPr>
        <w:t>F</w:t>
      </w:r>
      <w:r w:rsidR="00D93DC9">
        <w:t>)</w:t>
      </w:r>
      <w:r w:rsidR="00FD13F5">
        <w:t>, I used 4.4</w:t>
      </w:r>
      <w:r>
        <w:t>%, based on forecast interest rates on long-term U.S. Treasury bonds.</w:t>
      </w:r>
    </w:p>
    <w:p w14:paraId="40A9979F" w14:textId="1ADDBCCA" w:rsidR="00D93DC9" w:rsidRDefault="00290C67" w:rsidP="00304E0B">
      <w:pPr>
        <w:pStyle w:val="answer"/>
        <w:ind w:firstLine="0"/>
      </w:pPr>
      <w:r>
        <w:t xml:space="preserve">For </w:t>
      </w:r>
      <w:r w:rsidR="00D93DC9">
        <w:t>beta (β)</w:t>
      </w:r>
      <w:r w:rsidR="00D32396">
        <w:t>, I used 0.70</w:t>
      </w:r>
      <w:r w:rsidR="00D93DC9">
        <w:t>,</w:t>
      </w:r>
      <w:r>
        <w:t xml:space="preserve"> based on Value Line estimates</w:t>
      </w:r>
      <w:r w:rsidR="00D93DC9">
        <w:t>.</w:t>
      </w:r>
    </w:p>
    <w:p w14:paraId="452A9770" w14:textId="70C7C20C" w:rsidR="00D93DC9" w:rsidRDefault="00D93DC9" w:rsidP="009B418D">
      <w:pPr>
        <w:pStyle w:val="answer"/>
        <w:ind w:firstLine="0"/>
      </w:pPr>
      <w:r>
        <w:t>F</w:t>
      </w:r>
      <w:r w:rsidR="00290C67">
        <w:t xml:space="preserve">or the </w:t>
      </w:r>
      <w:proofErr w:type="spellStart"/>
      <w:r w:rsidR="00290C67">
        <w:t>MRP</w:t>
      </w:r>
      <w:proofErr w:type="spellEnd"/>
      <w:r>
        <w:t xml:space="preserve"> ((R</w:t>
      </w:r>
      <w:r w:rsidRPr="00304E0B">
        <w:rPr>
          <w:vertAlign w:val="subscript"/>
        </w:rPr>
        <w:t>M</w:t>
      </w:r>
      <w:r>
        <w:t xml:space="preserve"> – R</w:t>
      </w:r>
      <w:r w:rsidRPr="00304E0B">
        <w:rPr>
          <w:vertAlign w:val="subscript"/>
        </w:rPr>
        <w:t>F</w:t>
      </w:r>
      <w:r>
        <w:t>))</w:t>
      </w:r>
      <w:r w:rsidR="00D32396">
        <w:t>, I used 7.0</w:t>
      </w:r>
      <w:r w:rsidR="00290C67">
        <w:t>%</w:t>
      </w:r>
      <w:r>
        <w:t>,</w:t>
      </w:r>
      <w:r w:rsidR="00290C67">
        <w:t xml:space="preserve"> based on historical </w:t>
      </w:r>
      <w:r w:rsidR="009B418D">
        <w:t>risk premium studies</w:t>
      </w:r>
      <w:r w:rsidR="00290C67">
        <w:t>.</w:t>
      </w:r>
    </w:p>
    <w:p w14:paraId="0E007404" w14:textId="77777777" w:rsidR="00290C67" w:rsidRDefault="00290C67" w:rsidP="00304E0B">
      <w:pPr>
        <w:pStyle w:val="answer"/>
        <w:ind w:firstLine="0"/>
      </w:pPr>
      <w:r>
        <w:t xml:space="preserve">These inputs to the </w:t>
      </w:r>
      <w:proofErr w:type="spellStart"/>
      <w:r>
        <w:t>CAPM</w:t>
      </w:r>
      <w:proofErr w:type="spellEnd"/>
      <w:r>
        <w:t xml:space="preserve"> are explained below.</w:t>
      </w:r>
    </w:p>
    <w:p w14:paraId="426F6624" w14:textId="1688B29F" w:rsidR="00290C67" w:rsidRDefault="00290C67" w:rsidP="00BF05CC">
      <w:pPr>
        <w:pStyle w:val="question"/>
      </w:pPr>
      <w:r>
        <w:t>Q.</w:t>
      </w:r>
      <w:r>
        <w:tab/>
        <w:t>How did you arrive at you</w:t>
      </w:r>
      <w:r w:rsidR="00FD13F5">
        <w:t>r risk-free rate estimate of 4.4</w:t>
      </w:r>
      <w:r>
        <w:t xml:space="preserve">% in your </w:t>
      </w:r>
      <w:proofErr w:type="spellStart"/>
      <w:r>
        <w:t>CAPM</w:t>
      </w:r>
      <w:proofErr w:type="spellEnd"/>
      <w:r>
        <w:t xml:space="preserve"> and risk premium analyses?</w:t>
      </w:r>
    </w:p>
    <w:p w14:paraId="46AE3EC1" w14:textId="2894A2DA" w:rsidR="00290C67" w:rsidRDefault="00290C67" w:rsidP="00304E0B">
      <w:pPr>
        <w:pStyle w:val="answer"/>
      </w:pPr>
      <w:r>
        <w:t>A.</w:t>
      </w:r>
      <w:r>
        <w:tab/>
        <w:t xml:space="preserve">To implement the </w:t>
      </w:r>
      <w:proofErr w:type="spellStart"/>
      <w:r>
        <w:t>CAPM</w:t>
      </w:r>
      <w:proofErr w:type="spellEnd"/>
      <w:r>
        <w:t xml:space="preserve"> and Risk Premium methods, an estimate of the risk-free return is required as a benchmark.</w:t>
      </w:r>
      <w:r w:rsidR="00BD560E">
        <w:t xml:space="preserve"> </w:t>
      </w:r>
      <w:r>
        <w:t xml:space="preserve">I relied on noted economic forecasts which call for a rising trend in interest rates in response to the recovering economy, renewed inflation, and record high federal deficits. Value Line, Global Insight, </w:t>
      </w:r>
      <w:r w:rsidR="00283F27">
        <w:t xml:space="preserve">the Congressional </w:t>
      </w:r>
      <w:r w:rsidR="009B418D">
        <w:t>Bud</w:t>
      </w:r>
      <w:r w:rsidR="00283F27">
        <w:t xml:space="preserve">get Office, Blue Chip Forecast, </w:t>
      </w:r>
      <w:r>
        <w:t xml:space="preserve">the </w:t>
      </w:r>
      <w:r w:rsidR="009B418D">
        <w:t xml:space="preserve">U.S. Energy Information Administration, </w:t>
      </w:r>
      <w:r w:rsidR="00283F27">
        <w:t xml:space="preserve">and </w:t>
      </w:r>
      <w:r w:rsidR="009B418D">
        <w:t xml:space="preserve">the U.S. Bureau of Labor Statistics </w:t>
      </w:r>
      <w:r>
        <w:t>all project higher long-term Treasury bond rates in the future.</w:t>
      </w:r>
    </w:p>
    <w:p w14:paraId="25AA5D7D" w14:textId="77777777" w:rsidR="00290C67" w:rsidRDefault="00290C67" w:rsidP="00BF05CC">
      <w:pPr>
        <w:pStyle w:val="question"/>
      </w:pPr>
      <w:r>
        <w:t>Q.</w:t>
      </w:r>
      <w:r>
        <w:tab/>
        <w:t>Why did you rely on long-term bonds instead of short-term bonds?</w:t>
      </w:r>
    </w:p>
    <w:p w14:paraId="13D1430E" w14:textId="774788E9" w:rsidR="00304E0B" w:rsidRDefault="00290C67" w:rsidP="00304E0B">
      <w:pPr>
        <w:pStyle w:val="answer"/>
      </w:pPr>
      <w:r>
        <w:t>A.</w:t>
      </w:r>
      <w:r>
        <w:tab/>
        <w:t xml:space="preserve">The appropriate proxy for the risk-free rate in the </w:t>
      </w:r>
      <w:proofErr w:type="spellStart"/>
      <w:r>
        <w:t>CAPM</w:t>
      </w:r>
      <w:proofErr w:type="spellEnd"/>
      <w:r>
        <w:t xml:space="preserve"> is the return on the longest</w:t>
      </w:r>
      <w:r w:rsidR="00FD13F5">
        <w:t>-</w:t>
      </w:r>
      <w:r>
        <w:t>term Treasury bond possible.</w:t>
      </w:r>
      <w:r w:rsidR="00BD560E">
        <w:t xml:space="preserve"> </w:t>
      </w:r>
      <w:r>
        <w:t>This is because common stocks are very long-term instruments more akin to very long-term bonds rather than to short-term Treasury bills or intermediate-term Treasury notes.</w:t>
      </w:r>
      <w:r w:rsidR="00BD560E">
        <w:t xml:space="preserve"> </w:t>
      </w:r>
      <w:r>
        <w:t xml:space="preserve">In a risk premium model, </w:t>
      </w:r>
      <w:r>
        <w:lastRenderedPageBreak/>
        <w:t>the ideal estimate for the risk-free rate has a term to maturity equal to the security being analyzed.</w:t>
      </w:r>
      <w:r w:rsidR="00BD560E">
        <w:t xml:space="preserve"> </w:t>
      </w:r>
      <w:r>
        <w:t xml:space="preserve">Since common stock is a very long-term investment because the cash flows to investors in the form of dividends last indefinitely, the yield on the longest-term possible government bonds, that is the yield on 30-year Treasury bonds, is the best measure of the risk-free rate for use in the </w:t>
      </w:r>
      <w:proofErr w:type="spellStart"/>
      <w:r>
        <w:t>CAPM</w:t>
      </w:r>
      <w:proofErr w:type="spellEnd"/>
      <w:r>
        <w:t>.</w:t>
      </w:r>
      <w:r w:rsidR="00BD560E">
        <w:t xml:space="preserve"> </w:t>
      </w:r>
      <w:r>
        <w:t>The expected common stock return is based on very long-term cash flows, regardless of an individual</w:t>
      </w:r>
      <w:r w:rsidR="00BD560E">
        <w:t>’</w:t>
      </w:r>
      <w:r>
        <w:t>s holding time period.</w:t>
      </w:r>
      <w:r w:rsidR="00BD560E">
        <w:t xml:space="preserve"> </w:t>
      </w:r>
      <w:r>
        <w:t>Moreover, utility asset investments generally have very long-term useful lives and should correspondingly be matched with very long-term maturity financing instruments.</w:t>
      </w:r>
    </w:p>
    <w:p w14:paraId="5E061DDE" w14:textId="7F633A4C" w:rsidR="00304E0B" w:rsidRDefault="00290C67" w:rsidP="00304E0B">
      <w:pPr>
        <w:pStyle w:val="answer"/>
        <w:ind w:firstLine="0"/>
      </w:pPr>
      <w:r>
        <w:t>While long-term Treasury bonds are potentially subject to interest rate risk, this is only true if the bonds are sold prior to maturity.</w:t>
      </w:r>
      <w:r w:rsidR="00BD560E">
        <w:t xml:space="preserve"> </w:t>
      </w:r>
      <w:r>
        <w:t>A substantial fraction of bond market participants, usually institutional investors with long-term liabilities (e.g.,</w:t>
      </w:r>
      <w:r w:rsidR="00D93DC9">
        <w:t> </w:t>
      </w:r>
      <w:r>
        <w:t>pension funds and insurance companies), in fact hold bonds until they mature, and therefore are not subject to interest rate risk.</w:t>
      </w:r>
      <w:r w:rsidR="00BD560E">
        <w:t xml:space="preserve"> </w:t>
      </w:r>
      <w:r>
        <w:t>Moreover, institutional bondholders neutralize the impact of interest rate changes by matching the maturity of a bond portfolio with the investment planning period, or by engaging in hedging transactions in the financial futures markets.</w:t>
      </w:r>
      <w:r w:rsidR="00BD560E">
        <w:t xml:space="preserve"> </w:t>
      </w:r>
      <w:r>
        <w:t>The merits and mechanics of such immunization strategies are well documented by both academicians and practitioners.</w:t>
      </w:r>
    </w:p>
    <w:p w14:paraId="2BB4A6D1" w14:textId="77777777" w:rsidR="00304E0B" w:rsidRDefault="00290C67" w:rsidP="00304E0B">
      <w:pPr>
        <w:pStyle w:val="answer"/>
        <w:ind w:firstLine="0"/>
      </w:pPr>
      <w:r>
        <w:t>Another reason for utilizing the longest maturity Treasury bond possible is that common equity has an infinite life span, and the inflation expectations embodied in its market-required rate of return will therefore be equal to the inflation rate anticipated to prevail over the very long term.</w:t>
      </w:r>
      <w:r w:rsidR="00BD560E">
        <w:t xml:space="preserve"> </w:t>
      </w:r>
      <w:r>
        <w:t xml:space="preserve">The same expectation should be </w:t>
      </w:r>
      <w:r>
        <w:lastRenderedPageBreak/>
        <w:t xml:space="preserve">embodied in the risk-free rate used in applying the </w:t>
      </w:r>
      <w:proofErr w:type="spellStart"/>
      <w:r>
        <w:t>CAPM</w:t>
      </w:r>
      <w:proofErr w:type="spellEnd"/>
      <w:r>
        <w:t xml:space="preserve"> model.</w:t>
      </w:r>
      <w:r w:rsidR="00BD560E">
        <w:t xml:space="preserve"> </w:t>
      </w:r>
      <w:r>
        <w:t>It stands to reason that the yields on 30-year Treasury bonds will more closely incorporate within their yields the inflation expectations that influence the prices of common stocks than do short-term Treasury bills or intermediate-term U.S. Treasury notes.</w:t>
      </w:r>
    </w:p>
    <w:p w14:paraId="4C70593F" w14:textId="091351BD" w:rsidR="00290C67" w:rsidRDefault="00290C67" w:rsidP="00304E0B">
      <w:pPr>
        <w:pStyle w:val="answer"/>
        <w:ind w:firstLine="0"/>
      </w:pPr>
      <w:r>
        <w:t xml:space="preserve">Among U.S. Treasury securities, 30-year Treasury bonds have the longest term to maturity and the yields on such securities should be used as proxies for the risk-free rate in applying the </w:t>
      </w:r>
      <w:proofErr w:type="spellStart"/>
      <w:r>
        <w:t>CAPM</w:t>
      </w:r>
      <w:proofErr w:type="spellEnd"/>
      <w:r>
        <w:t>.</w:t>
      </w:r>
      <w:r w:rsidR="00BD560E">
        <w:t xml:space="preserve"> </w:t>
      </w:r>
      <w:r>
        <w:t xml:space="preserve">Therefore, I have relied on the yield on 30-year Treasury bonds in implementing the </w:t>
      </w:r>
      <w:proofErr w:type="spellStart"/>
      <w:r>
        <w:t>CAPM</w:t>
      </w:r>
      <w:proofErr w:type="spellEnd"/>
      <w:r>
        <w:t xml:space="preserve"> and risk premium methods.</w:t>
      </w:r>
    </w:p>
    <w:p w14:paraId="0D1C9E01" w14:textId="77777777" w:rsidR="00290C67" w:rsidRDefault="00290C67" w:rsidP="00BF05CC">
      <w:pPr>
        <w:pStyle w:val="question"/>
      </w:pPr>
      <w:r>
        <w:t>Q.</w:t>
      </w:r>
      <w:r>
        <w:tab/>
        <w:t xml:space="preserve">Are there other reasons why you reject short-term interest rates as proxies for the risk-free rate in implementing the </w:t>
      </w:r>
      <w:proofErr w:type="spellStart"/>
      <w:r>
        <w:t>CAPM</w:t>
      </w:r>
      <w:proofErr w:type="spellEnd"/>
      <w:r>
        <w:t>?</w:t>
      </w:r>
    </w:p>
    <w:p w14:paraId="1DE65738" w14:textId="77777777" w:rsidR="00304E0B" w:rsidRDefault="00290C67" w:rsidP="00304E0B">
      <w:pPr>
        <w:pStyle w:val="answer"/>
      </w:pPr>
      <w:r>
        <w:t>A.</w:t>
      </w:r>
      <w:r>
        <w:tab/>
        <w:t>Yes.</w:t>
      </w:r>
      <w:r w:rsidR="00BD560E">
        <w:t xml:space="preserve"> </w:t>
      </w:r>
      <w:r>
        <w:t>Short-term rates are volatile, fluctuate widely, and are subject to more random disturbances than are long-term rates.</w:t>
      </w:r>
      <w:r w:rsidR="00BD560E">
        <w:t xml:space="preserve"> </w:t>
      </w:r>
      <w:r>
        <w:t>Short-term rates are largely administered rates.</w:t>
      </w:r>
      <w:r w:rsidR="00BD560E">
        <w:t xml:space="preserve"> </w:t>
      </w:r>
      <w:r>
        <w:t>For example, Treasury bills are used by the Federal Reserve as a policy vehicle to stimulate the economy and to control the money supply, and are used by foreign governments, companies, and individuals as a temporary safe-house for money.</w:t>
      </w:r>
    </w:p>
    <w:p w14:paraId="28ACC46E" w14:textId="77777777" w:rsidR="00304E0B" w:rsidRDefault="00290C67" w:rsidP="00304E0B">
      <w:pPr>
        <w:pStyle w:val="answer"/>
        <w:ind w:firstLine="0"/>
      </w:pPr>
      <w:r>
        <w:t>As a practical matter, it makes no sense to match the return on common stock to the yield on 90-day Treasury Bills.</w:t>
      </w:r>
      <w:r w:rsidR="00BD560E">
        <w:t xml:space="preserve"> </w:t>
      </w:r>
      <w:r>
        <w:t>This is because short-term rates, such as the yield on 90-day Treasury Bills, fluctuate widely, leading to volatile and unreliable equity return estimates.</w:t>
      </w:r>
      <w:r w:rsidR="00BD560E">
        <w:t xml:space="preserve"> </w:t>
      </w:r>
      <w:r>
        <w:t>Moreover, yields on 90-day Treasury Bills typically do not match the equity investor</w:t>
      </w:r>
      <w:r w:rsidR="00BD560E">
        <w:t>’</w:t>
      </w:r>
      <w:r>
        <w:t>s planning horizon.</w:t>
      </w:r>
      <w:r w:rsidR="00BD560E">
        <w:t xml:space="preserve"> </w:t>
      </w:r>
      <w:r>
        <w:t>Equity investors generally have an investment horizon far in excess of 90 days.</w:t>
      </w:r>
    </w:p>
    <w:p w14:paraId="06F87593" w14:textId="77777777" w:rsidR="00290C67" w:rsidRDefault="00290C67" w:rsidP="00304E0B">
      <w:pPr>
        <w:pStyle w:val="answer"/>
        <w:ind w:firstLine="0"/>
      </w:pPr>
      <w:r>
        <w:lastRenderedPageBreak/>
        <w:t>As a conceptual matter, short-term Treasury Bill yields reflect the impact of factors different from those influencing the yields on long-term securities such as common stock.</w:t>
      </w:r>
      <w:r w:rsidR="00BD560E">
        <w:t xml:space="preserve"> </w:t>
      </w:r>
      <w:r>
        <w:t>For example, the premium for expected inflation embedded into 90-day Treasury Bills is likely to be far different than the inflationary premium embedded into long-term securities yields.</w:t>
      </w:r>
      <w:r w:rsidR="00BD560E">
        <w:t xml:space="preserve"> </w:t>
      </w:r>
      <w:r>
        <w:t>On grounds of stability and consistency, the yields on long-term Treasury bonds match more closely with common stock returns.</w:t>
      </w:r>
    </w:p>
    <w:p w14:paraId="04C33211" w14:textId="77777777" w:rsidR="00290C67" w:rsidRDefault="00290C67" w:rsidP="00BF05CC">
      <w:pPr>
        <w:pStyle w:val="question"/>
      </w:pPr>
      <w:r>
        <w:t>Q.</w:t>
      </w:r>
      <w:r>
        <w:tab/>
        <w:t xml:space="preserve">What is your estimate of the risk-free rate in applying the </w:t>
      </w:r>
      <w:proofErr w:type="spellStart"/>
      <w:r>
        <w:t>CAPM</w:t>
      </w:r>
      <w:proofErr w:type="spellEnd"/>
      <w:r>
        <w:t>?</w:t>
      </w:r>
    </w:p>
    <w:p w14:paraId="4F64695A" w14:textId="498A1944" w:rsidR="00290C67" w:rsidRDefault="00290C67" w:rsidP="00304E0B">
      <w:pPr>
        <w:pStyle w:val="answer"/>
      </w:pPr>
      <w:r>
        <w:t>A.</w:t>
      </w:r>
      <w:r>
        <w:tab/>
        <w:t>All the noted interest rate forecasts that I am aware of point to significantly higher interest rates over the next several years.</w:t>
      </w:r>
      <w:r w:rsidR="00BD560E">
        <w:t xml:space="preserve"> </w:t>
      </w:r>
      <w:r w:rsidR="005B1412">
        <w:t xml:space="preserve">Table 2 </w:t>
      </w:r>
      <w:r>
        <w:t xml:space="preserve">below reports the forecast yields on 30-year US Treasury bonds from </w:t>
      </w:r>
      <w:r w:rsidR="00FD13F5">
        <w:t xml:space="preserve">the Congressional Budget Office, U.S. Department of Labor, U.S. Energy Information Administration, </w:t>
      </w:r>
      <w:proofErr w:type="spellStart"/>
      <w:r w:rsidR="00FD13F5">
        <w:t>IHS</w:t>
      </w:r>
      <w:proofErr w:type="spellEnd"/>
      <w:r w:rsidR="00FD13F5">
        <w:t xml:space="preserve"> (</w:t>
      </w:r>
      <w:r>
        <w:t>Global Insight</w:t>
      </w:r>
      <w:r w:rsidR="00FD13F5">
        <w:t>)</w:t>
      </w:r>
      <w:r>
        <w:t xml:space="preserve"> and Value Line</w:t>
      </w:r>
      <w:r w:rsidR="00283F27">
        <w:rPr>
          <w:rStyle w:val="FootnoteReference"/>
        </w:rPr>
        <w:footnoteReference w:id="6"/>
      </w:r>
      <w:r>
        <w:t>.</w:t>
      </w:r>
    </w:p>
    <w:p w14:paraId="5A2A7DDB" w14:textId="77777777" w:rsidR="0065195E" w:rsidRPr="0065195E" w:rsidRDefault="0065195E" w:rsidP="00911668">
      <w:pPr>
        <w:keepNext/>
        <w:keepLines/>
        <w:spacing w:after="120"/>
        <w:ind w:left="1627" w:right="1627"/>
        <w:jc w:val="center"/>
        <w:rPr>
          <w:b/>
        </w:rPr>
      </w:pPr>
      <w:r w:rsidRPr="0065195E">
        <w:rPr>
          <w:b/>
        </w:rPr>
        <w:lastRenderedPageBreak/>
        <w:t>Table 2.</w:t>
      </w:r>
      <w:r w:rsidR="00BD560E">
        <w:rPr>
          <w:b/>
        </w:rPr>
        <w:t xml:space="preserve"> </w:t>
      </w:r>
      <w:r w:rsidRPr="0065195E">
        <w:rPr>
          <w:b/>
        </w:rPr>
        <w:t>Forecast Yields on</w:t>
      </w:r>
      <w:r w:rsidR="00911668">
        <w:rPr>
          <w:b/>
        </w:rPr>
        <w:br/>
      </w:r>
      <w:r w:rsidRPr="0065195E">
        <w:rPr>
          <w:b/>
        </w:rPr>
        <w:t>30-year U.S. Treasury Bonds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190"/>
      </w:tblGrid>
      <w:tr w:rsidR="0065195E" w14:paraId="6DAD638F" w14:textId="77777777" w:rsidTr="00100704">
        <w:trPr>
          <w:jc w:val="center"/>
        </w:trPr>
        <w:tc>
          <w:tcPr>
            <w:tcW w:w="4284" w:type="dxa"/>
            <w:tcBorders>
              <w:bottom w:val="single" w:sz="4" w:space="0" w:color="auto"/>
            </w:tcBorders>
            <w:shd w:val="clear" w:color="auto" w:fill="auto"/>
            <w:vAlign w:val="bottom"/>
          </w:tcPr>
          <w:p w14:paraId="2B2B246F" w14:textId="77777777" w:rsidR="0065195E" w:rsidRPr="00B57D60" w:rsidRDefault="0065195E" w:rsidP="00E51F7B">
            <w:pPr>
              <w:keepNext/>
              <w:keepLines/>
              <w:spacing w:before="60" w:after="60" w:line="240" w:lineRule="auto"/>
              <w:ind w:firstLine="0"/>
              <w:jc w:val="center"/>
              <w:rPr>
                <w:b/>
              </w:rPr>
            </w:pPr>
            <w:r>
              <w:rPr>
                <w:b/>
              </w:rPr>
              <w:t>Source</w:t>
            </w:r>
          </w:p>
        </w:tc>
        <w:tc>
          <w:tcPr>
            <w:tcW w:w="2190" w:type="dxa"/>
            <w:tcBorders>
              <w:bottom w:val="single" w:sz="4" w:space="0" w:color="auto"/>
            </w:tcBorders>
            <w:shd w:val="clear" w:color="auto" w:fill="auto"/>
            <w:vAlign w:val="bottom"/>
          </w:tcPr>
          <w:p w14:paraId="3121830D" w14:textId="77777777" w:rsidR="0065195E" w:rsidRPr="0065195E" w:rsidRDefault="0065195E" w:rsidP="00E51F7B">
            <w:pPr>
              <w:keepNext/>
              <w:keepLines/>
              <w:spacing w:before="60" w:after="60" w:line="240" w:lineRule="auto"/>
              <w:ind w:firstLine="0"/>
              <w:jc w:val="center"/>
              <w:rPr>
                <w:b/>
              </w:rPr>
            </w:pPr>
            <w:r w:rsidRPr="0065195E">
              <w:rPr>
                <w:b/>
              </w:rPr>
              <w:t>U</w:t>
            </w:r>
            <w:r>
              <w:rPr>
                <w:b/>
              </w:rPr>
              <w:t>.</w:t>
            </w:r>
            <w:r w:rsidRPr="0065195E">
              <w:rPr>
                <w:b/>
              </w:rPr>
              <w:t>S</w:t>
            </w:r>
            <w:r>
              <w:rPr>
                <w:b/>
              </w:rPr>
              <w:t>.</w:t>
            </w:r>
            <w:r w:rsidRPr="0065195E">
              <w:rPr>
                <w:b/>
              </w:rPr>
              <w:t xml:space="preserve"> 30-Yr Treas</w:t>
            </w:r>
            <w:r>
              <w:rPr>
                <w:b/>
              </w:rPr>
              <w:t>.</w:t>
            </w:r>
            <w:r w:rsidRPr="0065195E">
              <w:rPr>
                <w:b/>
              </w:rPr>
              <w:br/>
              <w:t>L/T Yield Forecast</w:t>
            </w:r>
          </w:p>
        </w:tc>
      </w:tr>
      <w:tr w:rsidR="0065195E" w14:paraId="4008AD6A" w14:textId="77777777" w:rsidTr="00100704">
        <w:trPr>
          <w:jc w:val="center"/>
        </w:trPr>
        <w:tc>
          <w:tcPr>
            <w:tcW w:w="4284" w:type="dxa"/>
            <w:tcBorders>
              <w:top w:val="single" w:sz="4" w:space="0" w:color="auto"/>
            </w:tcBorders>
          </w:tcPr>
          <w:p w14:paraId="2FD15CFC" w14:textId="7776F9AC" w:rsidR="0065195E" w:rsidRDefault="0065195E" w:rsidP="0065195E">
            <w:pPr>
              <w:keepNext/>
              <w:keepLines/>
              <w:spacing w:before="60" w:after="60" w:line="240" w:lineRule="auto"/>
              <w:ind w:firstLine="0"/>
            </w:pPr>
            <w:r>
              <w:t>Congressional Budget Office</w:t>
            </w:r>
            <w:r w:rsidR="00511354">
              <w:rPr>
                <w:rStyle w:val="FootnoteReference"/>
              </w:rPr>
              <w:footnoteReference w:id="7"/>
            </w:r>
          </w:p>
        </w:tc>
        <w:tc>
          <w:tcPr>
            <w:tcW w:w="2190" w:type="dxa"/>
            <w:tcBorders>
              <w:top w:val="single" w:sz="4" w:space="0" w:color="auto"/>
            </w:tcBorders>
          </w:tcPr>
          <w:p w14:paraId="0DE908F1" w14:textId="66B20E5B" w:rsidR="0065195E" w:rsidRDefault="00511354" w:rsidP="0065195E">
            <w:pPr>
              <w:keepNext/>
              <w:keepLines/>
              <w:spacing w:before="60" w:after="60" w:line="240" w:lineRule="auto"/>
              <w:ind w:firstLine="0"/>
              <w:jc w:val="center"/>
            </w:pPr>
            <w:r>
              <w:t>4.6</w:t>
            </w:r>
            <w:r w:rsidR="0065195E">
              <w:t>%</w:t>
            </w:r>
          </w:p>
        </w:tc>
      </w:tr>
      <w:tr w:rsidR="0065195E" w14:paraId="3C76C14F" w14:textId="77777777" w:rsidTr="00100704">
        <w:trPr>
          <w:jc w:val="center"/>
        </w:trPr>
        <w:tc>
          <w:tcPr>
            <w:tcW w:w="4284" w:type="dxa"/>
          </w:tcPr>
          <w:p w14:paraId="27F18743" w14:textId="5A2B5C37" w:rsidR="0065195E" w:rsidRDefault="005767D7" w:rsidP="0065195E">
            <w:pPr>
              <w:keepNext/>
              <w:keepLines/>
              <w:spacing w:before="60" w:after="60" w:line="240" w:lineRule="auto"/>
              <w:ind w:firstLine="0"/>
            </w:pPr>
            <w:r>
              <w:t>U.S. Department of Labor</w:t>
            </w:r>
            <w:r>
              <w:rPr>
                <w:rStyle w:val="FootnoteReference"/>
              </w:rPr>
              <w:footnoteReference w:id="8"/>
            </w:r>
          </w:p>
        </w:tc>
        <w:tc>
          <w:tcPr>
            <w:tcW w:w="2190" w:type="dxa"/>
          </w:tcPr>
          <w:p w14:paraId="77DEE150" w14:textId="1874DDB2" w:rsidR="0065195E" w:rsidRDefault="005767D7" w:rsidP="0065195E">
            <w:pPr>
              <w:keepNext/>
              <w:keepLines/>
              <w:spacing w:before="60" w:after="60" w:line="240" w:lineRule="auto"/>
              <w:ind w:firstLine="0"/>
              <w:jc w:val="center"/>
            </w:pPr>
            <w:r>
              <w:t>4.8</w:t>
            </w:r>
            <w:r w:rsidR="0065195E">
              <w:t>%</w:t>
            </w:r>
          </w:p>
        </w:tc>
      </w:tr>
      <w:tr w:rsidR="0065195E" w14:paraId="205BDBE2" w14:textId="77777777" w:rsidTr="00100704">
        <w:trPr>
          <w:jc w:val="center"/>
        </w:trPr>
        <w:tc>
          <w:tcPr>
            <w:tcW w:w="4284" w:type="dxa"/>
          </w:tcPr>
          <w:p w14:paraId="32E2C84B" w14:textId="73833720" w:rsidR="0065195E" w:rsidRDefault="0065195E" w:rsidP="0065195E">
            <w:pPr>
              <w:keepNext/>
              <w:keepLines/>
              <w:spacing w:before="60" w:after="60" w:line="240" w:lineRule="auto"/>
              <w:ind w:firstLine="0"/>
            </w:pPr>
            <w:r>
              <w:t>U.S. Energy Information Administration</w:t>
            </w:r>
            <w:r w:rsidR="009B1790">
              <w:rPr>
                <w:rStyle w:val="FootnoteReference"/>
              </w:rPr>
              <w:footnoteReference w:id="9"/>
            </w:r>
          </w:p>
        </w:tc>
        <w:tc>
          <w:tcPr>
            <w:tcW w:w="2190" w:type="dxa"/>
          </w:tcPr>
          <w:p w14:paraId="412AC1DC" w14:textId="1FB3FF24" w:rsidR="0065195E" w:rsidRDefault="009B1790" w:rsidP="0065195E">
            <w:pPr>
              <w:keepNext/>
              <w:keepLines/>
              <w:spacing w:before="60" w:after="60" w:line="240" w:lineRule="auto"/>
              <w:ind w:firstLine="0"/>
              <w:jc w:val="center"/>
            </w:pPr>
            <w:r>
              <w:t>4.2</w:t>
            </w:r>
            <w:r w:rsidR="0065195E">
              <w:t>%</w:t>
            </w:r>
          </w:p>
        </w:tc>
      </w:tr>
      <w:tr w:rsidR="0065195E" w14:paraId="7A1B4A62" w14:textId="77777777" w:rsidTr="00100704">
        <w:trPr>
          <w:jc w:val="center"/>
        </w:trPr>
        <w:tc>
          <w:tcPr>
            <w:tcW w:w="4284" w:type="dxa"/>
          </w:tcPr>
          <w:p w14:paraId="7F0F2119" w14:textId="00D9C509" w:rsidR="0065195E" w:rsidRDefault="0065195E" w:rsidP="0065195E">
            <w:pPr>
              <w:keepNext/>
              <w:keepLines/>
              <w:spacing w:before="60" w:after="60" w:line="240" w:lineRule="auto"/>
              <w:ind w:firstLine="0"/>
            </w:pPr>
            <w:proofErr w:type="spellStart"/>
            <w:r>
              <w:t>IHS</w:t>
            </w:r>
            <w:proofErr w:type="spellEnd"/>
            <w:r>
              <w:t xml:space="preserve"> (Global Insight)</w:t>
            </w:r>
            <w:r w:rsidR="00D53533">
              <w:rPr>
                <w:rStyle w:val="FootnoteReference"/>
              </w:rPr>
              <w:footnoteReference w:id="10"/>
            </w:r>
          </w:p>
        </w:tc>
        <w:tc>
          <w:tcPr>
            <w:tcW w:w="2190" w:type="dxa"/>
          </w:tcPr>
          <w:p w14:paraId="0275BE89" w14:textId="49761F1E" w:rsidR="0065195E" w:rsidRDefault="00584AB5" w:rsidP="0065195E">
            <w:pPr>
              <w:keepNext/>
              <w:keepLines/>
              <w:spacing w:before="60" w:after="60" w:line="240" w:lineRule="auto"/>
              <w:ind w:firstLine="0"/>
              <w:jc w:val="center"/>
            </w:pPr>
            <w:r>
              <w:t>4.1</w:t>
            </w:r>
            <w:r w:rsidR="0065195E">
              <w:t>%</w:t>
            </w:r>
          </w:p>
        </w:tc>
      </w:tr>
      <w:tr w:rsidR="0065195E" w14:paraId="54698AFE" w14:textId="77777777" w:rsidTr="00100704">
        <w:trPr>
          <w:jc w:val="center"/>
        </w:trPr>
        <w:tc>
          <w:tcPr>
            <w:tcW w:w="4284" w:type="dxa"/>
            <w:tcBorders>
              <w:bottom w:val="single" w:sz="4" w:space="0" w:color="auto"/>
            </w:tcBorders>
          </w:tcPr>
          <w:p w14:paraId="04018FCA" w14:textId="1BCE8AE2" w:rsidR="0065195E" w:rsidRDefault="0065195E" w:rsidP="0065195E">
            <w:pPr>
              <w:keepNext/>
              <w:keepLines/>
              <w:spacing w:before="60" w:after="60" w:line="240" w:lineRule="auto"/>
              <w:ind w:firstLine="0"/>
            </w:pPr>
            <w:r>
              <w:t>Value Line Economic Forecast</w:t>
            </w:r>
            <w:r w:rsidR="00D53533">
              <w:rPr>
                <w:rStyle w:val="FootnoteReference"/>
              </w:rPr>
              <w:footnoteReference w:id="11"/>
            </w:r>
          </w:p>
        </w:tc>
        <w:tc>
          <w:tcPr>
            <w:tcW w:w="2190" w:type="dxa"/>
            <w:tcBorders>
              <w:bottom w:val="single" w:sz="4" w:space="0" w:color="auto"/>
            </w:tcBorders>
          </w:tcPr>
          <w:p w14:paraId="4AF5D7ED" w14:textId="43E027AD" w:rsidR="0065195E" w:rsidRDefault="00164DEF" w:rsidP="0065195E">
            <w:pPr>
              <w:keepNext/>
              <w:keepLines/>
              <w:spacing w:before="60" w:after="60" w:line="240" w:lineRule="auto"/>
              <w:ind w:firstLine="0"/>
              <w:jc w:val="center"/>
            </w:pPr>
            <w:r>
              <w:t>4.1</w:t>
            </w:r>
            <w:r w:rsidR="0065195E">
              <w:t>%</w:t>
            </w:r>
          </w:p>
        </w:tc>
      </w:tr>
      <w:tr w:rsidR="0065195E" w:rsidRPr="00100704" w14:paraId="6B5F9927" w14:textId="77777777" w:rsidTr="00100704">
        <w:trPr>
          <w:jc w:val="center"/>
        </w:trPr>
        <w:tc>
          <w:tcPr>
            <w:tcW w:w="4284" w:type="dxa"/>
            <w:tcBorders>
              <w:top w:val="single" w:sz="4" w:space="0" w:color="auto"/>
            </w:tcBorders>
          </w:tcPr>
          <w:p w14:paraId="700621B0" w14:textId="77777777" w:rsidR="0065195E" w:rsidRPr="00100704" w:rsidRDefault="0065195E" w:rsidP="00BD560E">
            <w:pPr>
              <w:spacing w:before="60" w:after="60" w:line="240" w:lineRule="auto"/>
              <w:ind w:firstLine="0"/>
              <w:rPr>
                <w:b/>
              </w:rPr>
            </w:pPr>
            <w:r w:rsidRPr="00100704">
              <w:rPr>
                <w:b/>
              </w:rPr>
              <w:t>AVERAGE</w:t>
            </w:r>
          </w:p>
        </w:tc>
        <w:tc>
          <w:tcPr>
            <w:tcW w:w="2190" w:type="dxa"/>
            <w:tcBorders>
              <w:top w:val="single" w:sz="4" w:space="0" w:color="auto"/>
            </w:tcBorders>
          </w:tcPr>
          <w:p w14:paraId="364760F6" w14:textId="188A2E7B" w:rsidR="0065195E" w:rsidRPr="00100704" w:rsidRDefault="00FD13F5" w:rsidP="00BD560E">
            <w:pPr>
              <w:spacing w:before="60" w:after="60" w:line="240" w:lineRule="auto"/>
              <w:ind w:firstLine="0"/>
              <w:jc w:val="center"/>
              <w:rPr>
                <w:b/>
              </w:rPr>
            </w:pPr>
            <w:r>
              <w:rPr>
                <w:b/>
              </w:rPr>
              <w:t>4.4</w:t>
            </w:r>
            <w:r w:rsidR="0065195E" w:rsidRPr="00100704">
              <w:rPr>
                <w:b/>
              </w:rPr>
              <w:t>%</w:t>
            </w:r>
          </w:p>
        </w:tc>
      </w:tr>
    </w:tbl>
    <w:p w14:paraId="4D835A90" w14:textId="77777777" w:rsidR="00290C67" w:rsidRDefault="00290C67" w:rsidP="0065195E">
      <w:pPr>
        <w:pStyle w:val="question"/>
        <w:spacing w:before="360"/>
      </w:pPr>
      <w:r>
        <w:t>Q.</w:t>
      </w:r>
      <w:r>
        <w:tab/>
        <w:t xml:space="preserve">Why did you ignore the current level of interest rates in developing your proxy for the risk-free rate in a </w:t>
      </w:r>
      <w:proofErr w:type="spellStart"/>
      <w:r>
        <w:t>CAPM</w:t>
      </w:r>
      <w:proofErr w:type="spellEnd"/>
      <w:r>
        <w:t xml:space="preserve"> analysis?</w:t>
      </w:r>
    </w:p>
    <w:p w14:paraId="433627A5" w14:textId="47F47588" w:rsidR="00290C67" w:rsidRDefault="00290C67" w:rsidP="0065195E">
      <w:pPr>
        <w:pStyle w:val="answer"/>
      </w:pPr>
      <w:r>
        <w:t>A.</w:t>
      </w:r>
      <w:r>
        <w:tab/>
        <w:t xml:space="preserve">The </w:t>
      </w:r>
      <w:proofErr w:type="spellStart"/>
      <w:r>
        <w:t>CAPM</w:t>
      </w:r>
      <w:proofErr w:type="spellEnd"/>
      <w:r>
        <w:t xml:space="preserve"> is a forward-looking model based on expectations of the future.</w:t>
      </w:r>
      <w:r w:rsidR="00BD560E">
        <w:t xml:space="preserve"> </w:t>
      </w:r>
      <w:r>
        <w:t>As a result, in order to produce a meaningful estimate of investors</w:t>
      </w:r>
      <w:r w:rsidR="00BD560E">
        <w:t>’</w:t>
      </w:r>
      <w:r>
        <w:t xml:space="preserve"> required rate of return, the </w:t>
      </w:r>
      <w:proofErr w:type="spellStart"/>
      <w:r>
        <w:t>CAPM</w:t>
      </w:r>
      <w:proofErr w:type="spellEnd"/>
      <w:r>
        <w:t xml:space="preserve"> must be applied using data that reflects the expectations of actual investors in the market.</w:t>
      </w:r>
      <w:r w:rsidR="00BD560E">
        <w:t xml:space="preserve"> </w:t>
      </w:r>
      <w:r>
        <w:t>While investors examine history as a guide to the future, it is the expectations of future events that influence security values and the cost of capital.</w:t>
      </w:r>
    </w:p>
    <w:p w14:paraId="0F9BBCE9" w14:textId="77777777" w:rsidR="00290C67" w:rsidRDefault="00290C67" w:rsidP="00BF05CC">
      <w:pPr>
        <w:pStyle w:val="question"/>
      </w:pPr>
      <w:r>
        <w:lastRenderedPageBreak/>
        <w:t>Q.</w:t>
      </w:r>
      <w:r>
        <w:tab/>
        <w:t xml:space="preserve">How did you select the beta for your </w:t>
      </w:r>
      <w:proofErr w:type="spellStart"/>
      <w:r>
        <w:t>CAPM</w:t>
      </w:r>
      <w:proofErr w:type="spellEnd"/>
      <w:r>
        <w:t xml:space="preserve"> analysis?</w:t>
      </w:r>
    </w:p>
    <w:p w14:paraId="64AAF38F" w14:textId="28346159" w:rsidR="0065195E" w:rsidRDefault="00290C67" w:rsidP="0065195E">
      <w:pPr>
        <w:pStyle w:val="answer"/>
      </w:pPr>
      <w:r>
        <w:t>A.</w:t>
      </w:r>
      <w:r>
        <w:tab/>
        <w:t xml:space="preserve">A major thrust of modern financial theory as embodied in the </w:t>
      </w:r>
      <w:proofErr w:type="spellStart"/>
      <w:r>
        <w:t>CAPM</w:t>
      </w:r>
      <w:proofErr w:type="spellEnd"/>
      <w:r>
        <w:t xml:space="preserve"> is that perfectly diversified investors can eliminate the company-specific component of risk, and that only market risk remains.</w:t>
      </w:r>
      <w:r w:rsidR="00BD560E">
        <w:t xml:space="preserve"> </w:t>
      </w:r>
      <w:r>
        <w:t xml:space="preserve">The latter is technically known as </w:t>
      </w:r>
      <w:r w:rsidR="00BD560E">
        <w:t>“</w:t>
      </w:r>
      <w:r>
        <w:t>beta</w:t>
      </w:r>
      <w:r w:rsidR="00BD560E">
        <w:t>”</w:t>
      </w:r>
      <w:r w:rsidR="007570DC">
        <w:t> </w:t>
      </w:r>
      <w:r>
        <w:t xml:space="preserve">(β), or </w:t>
      </w:r>
      <w:r w:rsidR="00BD560E">
        <w:t>“</w:t>
      </w:r>
      <w:r>
        <w:t>systematic risk</w:t>
      </w:r>
      <w:r w:rsidR="00BD560E">
        <w:t>”</w:t>
      </w:r>
      <w:r>
        <w:t>.</w:t>
      </w:r>
      <w:r w:rsidR="00BD560E">
        <w:t xml:space="preserve"> </w:t>
      </w:r>
      <w:r>
        <w:t>The beta coefficient measures change in a security</w:t>
      </w:r>
      <w:r w:rsidR="00BD560E">
        <w:t>’</w:t>
      </w:r>
      <w:r>
        <w:t>s return relative to that of the market.</w:t>
      </w:r>
      <w:r w:rsidR="00BD560E">
        <w:t xml:space="preserve"> </w:t>
      </w:r>
      <w:r>
        <w:t>The beta coefficient states the extent and direction of movement in the rate of return on a stock relative to the movement in the rate of return on the market as a whole.</w:t>
      </w:r>
      <w:r w:rsidR="00BD560E">
        <w:t xml:space="preserve"> </w:t>
      </w:r>
      <w:r>
        <w:t>It indicates the change in the rate of return on a stock associated with a one percentage point change in the rate of return on the market, and thus measures the degree to which a particular stock shares the risk of the market as a whole.</w:t>
      </w:r>
      <w:r w:rsidR="00BD560E">
        <w:t xml:space="preserve"> </w:t>
      </w:r>
      <w:r>
        <w:t>Modern financial theory has established that beta incorporates several economic characteristics of a corporation that are reflected in investors</w:t>
      </w:r>
      <w:r w:rsidR="00BD560E">
        <w:t>’</w:t>
      </w:r>
      <w:r>
        <w:t xml:space="preserve"> return requirements.</w:t>
      </w:r>
    </w:p>
    <w:p w14:paraId="0D4EA8A4" w14:textId="1000B0DB" w:rsidR="00290C67" w:rsidRDefault="00290C67" w:rsidP="0065195E">
      <w:pPr>
        <w:pStyle w:val="answer"/>
        <w:ind w:firstLine="0"/>
      </w:pPr>
      <w:r>
        <w:t>PSE is not publicly traded, and therefore, proxies must be used.</w:t>
      </w:r>
      <w:r w:rsidR="00BD560E">
        <w:t xml:space="preserve"> </w:t>
      </w:r>
      <w:r>
        <w:t xml:space="preserve">In the discussion of </w:t>
      </w:r>
      <w:proofErr w:type="spellStart"/>
      <w:r>
        <w:t>DCF</w:t>
      </w:r>
      <w:proofErr w:type="spellEnd"/>
      <w:r>
        <w:t xml:space="preserve"> estimates of the cost of common equity earlier, I examined a sample of investment-grade dividend-paying combination gas and electric utilities covered by Value Line that have at least 50% of their revenues from regulated electric utility operations.</w:t>
      </w:r>
      <w:r w:rsidR="00BD560E">
        <w:t xml:space="preserve"> </w:t>
      </w:r>
      <w:r>
        <w:t>The average beta for thi</w:t>
      </w:r>
      <w:r w:rsidR="00FD13F5">
        <w:t>s group is 0.70</w:t>
      </w:r>
      <w:r>
        <w:t>.</w:t>
      </w:r>
      <w:r w:rsidR="00BD560E">
        <w:t xml:space="preserve"> </w:t>
      </w:r>
      <w:r>
        <w:t xml:space="preserve">Please see Exhibit </w:t>
      </w:r>
      <w:r w:rsidR="007570DC">
        <w:t>No. ___(</w:t>
      </w:r>
      <w:r>
        <w:t>RAM-</w:t>
      </w:r>
      <w:r w:rsidR="006657BF">
        <w:t>7</w:t>
      </w:r>
      <w:r w:rsidR="007570DC">
        <w:t>)</w:t>
      </w:r>
      <w:r>
        <w:t xml:space="preserve"> for the beta estimates of </w:t>
      </w:r>
      <w:r w:rsidR="000952C3">
        <w:t>the proxy group for PSE</w:t>
      </w:r>
      <w:r>
        <w:t>.</w:t>
      </w:r>
      <w:r w:rsidR="00BD560E">
        <w:t xml:space="preserve"> </w:t>
      </w:r>
      <w:r>
        <w:t>Based on</w:t>
      </w:r>
      <w:r w:rsidR="00FD13F5">
        <w:t xml:space="preserve"> these results, I shall use 0.70</w:t>
      </w:r>
      <w:r>
        <w:t>, as an estimate for the beta applicable to PSE.</w:t>
      </w:r>
    </w:p>
    <w:p w14:paraId="1DA86071" w14:textId="77777777" w:rsidR="00290C67" w:rsidRDefault="00290C67" w:rsidP="00BF05CC">
      <w:pPr>
        <w:pStyle w:val="question"/>
      </w:pPr>
      <w:r>
        <w:lastRenderedPageBreak/>
        <w:t>Q.</w:t>
      </w:r>
      <w:r>
        <w:tab/>
        <w:t xml:space="preserve">What </w:t>
      </w:r>
      <w:proofErr w:type="spellStart"/>
      <w:r>
        <w:t>MRP</w:t>
      </w:r>
      <w:proofErr w:type="spellEnd"/>
      <w:r>
        <w:t xml:space="preserve"> did you use in your </w:t>
      </w:r>
      <w:proofErr w:type="spellStart"/>
      <w:r>
        <w:t>CAPM</w:t>
      </w:r>
      <w:proofErr w:type="spellEnd"/>
      <w:r>
        <w:t xml:space="preserve"> analysis?</w:t>
      </w:r>
    </w:p>
    <w:p w14:paraId="5F887FC1" w14:textId="01A543D0" w:rsidR="00290C67" w:rsidRDefault="0065195E" w:rsidP="00A70EB2">
      <w:pPr>
        <w:pStyle w:val="answer"/>
      </w:pPr>
      <w:r>
        <w:t>A.</w:t>
      </w:r>
      <w:r>
        <w:tab/>
      </w:r>
      <w:r w:rsidR="00290C67">
        <w:t xml:space="preserve">For the </w:t>
      </w:r>
      <w:proofErr w:type="spellStart"/>
      <w:r w:rsidR="00290C67">
        <w:t>MRP</w:t>
      </w:r>
      <w:proofErr w:type="spellEnd"/>
      <w:r w:rsidR="00290C67">
        <w:t xml:space="preserve">, I </w:t>
      </w:r>
      <w:r w:rsidR="00FD13F5">
        <w:t>used 7.0</w:t>
      </w:r>
      <w:r w:rsidR="00290C67">
        <w:t>%.</w:t>
      </w:r>
      <w:r w:rsidR="00BD560E">
        <w:t xml:space="preserve"> </w:t>
      </w:r>
      <w:r w:rsidR="00290C67">
        <w:t xml:space="preserve">This estimate was based on the results of </w:t>
      </w:r>
      <w:r w:rsidR="00CE1ACB">
        <w:t xml:space="preserve">historical </w:t>
      </w:r>
      <w:r w:rsidR="00290C67">
        <w:t xml:space="preserve">studies of long-term </w:t>
      </w:r>
      <w:r w:rsidR="00D227D8">
        <w:t xml:space="preserve">market </w:t>
      </w:r>
      <w:r w:rsidR="00290C67">
        <w:t>risk premiums.</w:t>
      </w:r>
    </w:p>
    <w:p w14:paraId="1299EB81" w14:textId="77777777" w:rsidR="00290C67" w:rsidRDefault="00290C67" w:rsidP="0065195E">
      <w:pPr>
        <w:pStyle w:val="question"/>
      </w:pPr>
      <w:r>
        <w:t>Q.</w:t>
      </w:r>
      <w:r>
        <w:tab/>
        <w:t xml:space="preserve">Can you describe the historical </w:t>
      </w:r>
      <w:proofErr w:type="spellStart"/>
      <w:r>
        <w:t>MRP</w:t>
      </w:r>
      <w:proofErr w:type="spellEnd"/>
      <w:r>
        <w:t xml:space="preserve"> study used in your </w:t>
      </w:r>
      <w:proofErr w:type="spellStart"/>
      <w:r>
        <w:t>CAPM</w:t>
      </w:r>
      <w:proofErr w:type="spellEnd"/>
      <w:r>
        <w:t xml:space="preserve"> analysis?</w:t>
      </w:r>
    </w:p>
    <w:p w14:paraId="35EC65EB" w14:textId="07CF0058" w:rsidR="00290C67" w:rsidRDefault="00290C67" w:rsidP="001849B4">
      <w:pPr>
        <w:pStyle w:val="answer"/>
      </w:pPr>
      <w:r>
        <w:t>A.</w:t>
      </w:r>
      <w:r>
        <w:tab/>
        <w:t>Yes.</w:t>
      </w:r>
      <w:r w:rsidR="00BD560E">
        <w:t xml:space="preserve"> </w:t>
      </w:r>
      <w:r>
        <w:t xml:space="preserve">The historical </w:t>
      </w:r>
      <w:proofErr w:type="spellStart"/>
      <w:r>
        <w:t>MRP</w:t>
      </w:r>
      <w:proofErr w:type="spellEnd"/>
      <w:r>
        <w:t xml:space="preserve"> estimate is based on the results obtained in </w:t>
      </w:r>
      <w:r w:rsidR="00867A2E">
        <w:t>Duff &amp; Phelps’</w:t>
      </w:r>
      <w:r>
        <w:t xml:space="preserve"> </w:t>
      </w:r>
      <w:r w:rsidR="00867A2E">
        <w:t>2016</w:t>
      </w:r>
      <w:r>
        <w:t xml:space="preserve"> </w:t>
      </w:r>
      <w:r w:rsidR="00867A2E">
        <w:t xml:space="preserve">Valuation Handbook (formerly published by Morningstar and </w:t>
      </w:r>
      <w:r w:rsidR="00FF150B">
        <w:t xml:space="preserve">earlier by </w:t>
      </w:r>
      <w:r w:rsidR="00867A2E">
        <w:t>Ibbotson Associates)</w:t>
      </w:r>
      <w:r>
        <w:t>, which compiles hist</w:t>
      </w:r>
      <w:r w:rsidR="00FD13F5">
        <w:t>orical returns from 1926 to 2015</w:t>
      </w:r>
      <w:r>
        <w:t>. This well-known study shows that a very broad market sample of common stocks outperformed long-term U.S. Government bonds by 6.0%.</w:t>
      </w:r>
      <w:r w:rsidR="00BD560E">
        <w:t xml:space="preserve"> </w:t>
      </w:r>
      <w:r>
        <w:t xml:space="preserve">The historical </w:t>
      </w:r>
      <w:proofErr w:type="spellStart"/>
      <w:r>
        <w:t>MRP</w:t>
      </w:r>
      <w:proofErr w:type="spellEnd"/>
      <w:r>
        <w:t xml:space="preserve"> over the income component of long-term Government bonds rather than over the total return is 7.0%.</w:t>
      </w:r>
      <w:r w:rsidR="00766957">
        <w:t xml:space="preserve"> </w:t>
      </w:r>
      <w:r w:rsidR="00867A2E">
        <w:t>T</w:t>
      </w:r>
      <w:r>
        <w:t xml:space="preserve">he historical </w:t>
      </w:r>
      <w:proofErr w:type="spellStart"/>
      <w:r>
        <w:t>MRP</w:t>
      </w:r>
      <w:proofErr w:type="spellEnd"/>
      <w:r>
        <w:t xml:space="preserve"> should be computed using the income component of bond returns because the intent, even using historical data, is to identify an expected </w:t>
      </w:r>
      <w:proofErr w:type="spellStart"/>
      <w:r>
        <w:t>MRP</w:t>
      </w:r>
      <w:proofErr w:type="spellEnd"/>
      <w:r>
        <w:t>.</w:t>
      </w:r>
      <w:r w:rsidR="00BD560E">
        <w:t xml:space="preserve"> </w:t>
      </w:r>
      <w:r w:rsidR="00867A2E">
        <w:t>T</w:t>
      </w:r>
      <w:r>
        <w:t>he income component of total bond return (i.e.,</w:t>
      </w:r>
      <w:r w:rsidR="00C714A7">
        <w:t> </w:t>
      </w:r>
      <w:r>
        <w:t>the coupon rate) is a far better estimate of expected return than the total return (i.e.,</w:t>
      </w:r>
      <w:r w:rsidR="00C714A7">
        <w:t> </w:t>
      </w:r>
      <w:r>
        <w:t>the coupon rate + capital gain), because both realized capital gains and realized losses are largely unanticipated by bond investors.</w:t>
      </w:r>
      <w:r w:rsidR="00BD560E">
        <w:t xml:space="preserve"> </w:t>
      </w:r>
      <w:r w:rsidR="00FD13F5">
        <w:t>The long-horizon (1926-2015</w:t>
      </w:r>
      <w:r>
        <w:t xml:space="preserve">) </w:t>
      </w:r>
      <w:proofErr w:type="spellStart"/>
      <w:r>
        <w:t>MRP</w:t>
      </w:r>
      <w:proofErr w:type="spellEnd"/>
      <w:r>
        <w:t xml:space="preserve"> (based on income returns, as required) is 7.0%.</w:t>
      </w:r>
    </w:p>
    <w:p w14:paraId="359ED645" w14:textId="2F94BDE4" w:rsidR="00D05C4B" w:rsidRDefault="00D05C4B" w:rsidP="00C714A7">
      <w:pPr>
        <w:pStyle w:val="answer"/>
        <w:ind w:firstLine="0"/>
      </w:pPr>
      <w:r>
        <w:t xml:space="preserve">As a check on my 7.0% </w:t>
      </w:r>
      <w:proofErr w:type="spellStart"/>
      <w:r>
        <w:t>MRP</w:t>
      </w:r>
      <w:proofErr w:type="spellEnd"/>
      <w:r>
        <w:t xml:space="preserve"> estimate, I examined the historical return on common stocks in real terms (inflation-adjusted) over the 1926-2015 period and added current inflat</w:t>
      </w:r>
      <w:r w:rsidR="00283F27">
        <w:t>ion expectations to arrive at a current</w:t>
      </w:r>
      <w:r>
        <w:t xml:space="preserve"> inflation-adjusted common stock return.</w:t>
      </w:r>
      <w:r w:rsidR="00766957">
        <w:t xml:space="preserve"> </w:t>
      </w:r>
      <w:r>
        <w:t xml:space="preserve">According to the Duff &amp; Phelps study, the average historical return on common stocks averaged 12.0% over the 1926-2015 period </w:t>
      </w:r>
      <w:r>
        <w:lastRenderedPageBreak/>
        <w:t>while inflation averaged 3.0% over the same period, implying a real return of 9.0% (12.0% - 3.0% = 9.0%).</w:t>
      </w:r>
      <w:r w:rsidR="00766957">
        <w:t xml:space="preserve"> </w:t>
      </w:r>
      <w:r>
        <w:t>With current long-term inflation expectations of 2.0%</w:t>
      </w:r>
      <w:r w:rsidR="00C714A7">
        <w:t>,</w:t>
      </w:r>
      <w:r>
        <w:rPr>
          <w:rStyle w:val="FootnoteReference"/>
        </w:rPr>
        <w:footnoteReference w:id="12"/>
      </w:r>
      <w:r>
        <w:t xml:space="preserve"> the inflation-adjusted return on common stock becomes 11.0% (9.0% + 2.0% = 11.0%).</w:t>
      </w:r>
      <w:r w:rsidR="00766957">
        <w:t xml:space="preserve"> </w:t>
      </w:r>
      <w:r w:rsidR="0061400F">
        <w:t xml:space="preserve">Given the current yield on 30-year U.S. Treasury bonds of 3.0%, the implied </w:t>
      </w:r>
      <w:proofErr w:type="spellStart"/>
      <w:r w:rsidR="0061400F">
        <w:t>MRP</w:t>
      </w:r>
      <w:proofErr w:type="spellEnd"/>
      <w:r w:rsidR="0061400F">
        <w:t xml:space="preserve"> is therefore 8.0% (11.0% - 3.0% = 8.0%).</w:t>
      </w:r>
      <w:r w:rsidR="00766957">
        <w:t xml:space="preserve"> </w:t>
      </w:r>
      <w:r w:rsidR="0061400F">
        <w:t xml:space="preserve">Using the forecast yield of 4.4%, the implied </w:t>
      </w:r>
      <w:proofErr w:type="spellStart"/>
      <w:r w:rsidR="0061400F">
        <w:t>MRP</w:t>
      </w:r>
      <w:proofErr w:type="spellEnd"/>
      <w:r w:rsidR="0061400F">
        <w:t xml:space="preserve"> is 6.6% (11.0% - 4.4% = 6.6%).</w:t>
      </w:r>
      <w:r w:rsidR="00766957">
        <w:t xml:space="preserve"> </w:t>
      </w:r>
      <w:r w:rsidR="0061400F">
        <w:t>The average of the two estimates is 7.3%</w:t>
      </w:r>
      <w:r w:rsidR="00F409A1">
        <w:t xml:space="preserve"> which is slightly higher than my 7.0% estimate</w:t>
      </w:r>
      <w:r w:rsidR="0061400F">
        <w:t>.</w:t>
      </w:r>
    </w:p>
    <w:p w14:paraId="490EA8BC" w14:textId="77777777" w:rsidR="00290C67" w:rsidRDefault="00290C67" w:rsidP="00BF05CC">
      <w:pPr>
        <w:pStyle w:val="question"/>
      </w:pPr>
      <w:r>
        <w:t>Q.</w:t>
      </w:r>
      <w:r>
        <w:tab/>
        <w:t>On what maturity bond does the Morningstar historical risk premium data rely?</w:t>
      </w:r>
    </w:p>
    <w:p w14:paraId="526C0F42" w14:textId="0B5CD234" w:rsidR="00290C67" w:rsidRDefault="00290C67" w:rsidP="0065195E">
      <w:pPr>
        <w:pStyle w:val="answer"/>
      </w:pPr>
      <w:r>
        <w:t>A.</w:t>
      </w:r>
      <w:r>
        <w:tab/>
        <w:t>Because 30-year bonds were not always traded or even available</w:t>
      </w:r>
      <w:r w:rsidR="001849B4">
        <w:t xml:space="preserve"> throughout the entire 1926-2015</w:t>
      </w:r>
      <w:r>
        <w:t xml:space="preserve"> period covered in the </w:t>
      </w:r>
      <w:r w:rsidR="001849B4">
        <w:t>Duff &amp; Phelps s</w:t>
      </w:r>
      <w:r>
        <w:t>tudy of historical returns, the latter study relied on bond return data based on 20-year Treasury bonds.</w:t>
      </w:r>
      <w:r w:rsidR="00BD560E">
        <w:t xml:space="preserve"> </w:t>
      </w:r>
      <w:r>
        <w:t>Given that the normal yield curve is virtually flat above maturities of 20 years over most of the p</w:t>
      </w:r>
      <w:r w:rsidR="001849B4">
        <w:t>eriod covered in the</w:t>
      </w:r>
      <w:r>
        <w:t xml:space="preserve"> study, the difference in yield is not material.</w:t>
      </w:r>
    </w:p>
    <w:p w14:paraId="16924473" w14:textId="77777777" w:rsidR="00290C67" w:rsidRDefault="00290C67" w:rsidP="00BF05CC">
      <w:pPr>
        <w:pStyle w:val="question"/>
      </w:pPr>
      <w:r>
        <w:t>Q.</w:t>
      </w:r>
      <w:r>
        <w:tab/>
        <w:t xml:space="preserve">Why did you use long time periods in arriving at your historical </w:t>
      </w:r>
      <w:proofErr w:type="spellStart"/>
      <w:r>
        <w:t>MRP</w:t>
      </w:r>
      <w:proofErr w:type="spellEnd"/>
      <w:r>
        <w:t xml:space="preserve"> estimate?</w:t>
      </w:r>
    </w:p>
    <w:p w14:paraId="0458B1B8" w14:textId="77777777" w:rsidR="0065195E" w:rsidRDefault="00290C67" w:rsidP="0065195E">
      <w:pPr>
        <w:pStyle w:val="answer"/>
      </w:pPr>
      <w:r>
        <w:t>A.</w:t>
      </w:r>
      <w:r>
        <w:tab/>
        <w:t xml:space="preserve">Because realized returns can be substantially different from prospective returns anticipated by investors when measured over short time periods, it is important to employ returns realized over long time periods rather than returns realized over more recent time periods when estimating the </w:t>
      </w:r>
      <w:proofErr w:type="spellStart"/>
      <w:r>
        <w:t>MRP</w:t>
      </w:r>
      <w:proofErr w:type="spellEnd"/>
      <w:r>
        <w:t xml:space="preserve"> with historical returns.</w:t>
      </w:r>
      <w:r w:rsidR="00BD560E">
        <w:t xml:space="preserve"> </w:t>
      </w:r>
      <w:r>
        <w:lastRenderedPageBreak/>
        <w:t>Therefore, a risk premium study should consider the longest possible period for which data are available.</w:t>
      </w:r>
      <w:r w:rsidR="00BD560E">
        <w:t xml:space="preserve"> </w:t>
      </w:r>
      <w:r>
        <w:t>Short-run periods during which investors earned a lower risk premium than they expected are offset by short-run periods during which investors earned a higher risk premium than they expected.</w:t>
      </w:r>
      <w:r w:rsidR="00BD560E">
        <w:t xml:space="preserve"> </w:t>
      </w:r>
      <w:r>
        <w:t>Only over long time periods will investor return expectations and realizations converge.</w:t>
      </w:r>
    </w:p>
    <w:p w14:paraId="59A68D53" w14:textId="77777777" w:rsidR="0065195E" w:rsidRDefault="00290C67" w:rsidP="0065195E">
      <w:pPr>
        <w:pStyle w:val="answer"/>
        <w:ind w:firstLine="0"/>
      </w:pPr>
      <w:r>
        <w:t>I have therefore ignored realized risk premiums measured over short time periods.</w:t>
      </w:r>
      <w:r w:rsidR="00BD560E">
        <w:t xml:space="preserve"> </w:t>
      </w:r>
      <w:r>
        <w:t>Instead, I relied on results over periods of enough length to smooth out short-term aberrations, and to encompass several business and interest rate cycles.</w:t>
      </w:r>
      <w:r w:rsidR="00BD560E">
        <w:t xml:space="preserve"> </w:t>
      </w:r>
      <w:r>
        <w:t xml:space="preserve">The use of the entire study period in estimating the appropriate </w:t>
      </w:r>
      <w:proofErr w:type="spellStart"/>
      <w:r>
        <w:t>MRP</w:t>
      </w:r>
      <w:proofErr w:type="spellEnd"/>
      <w:r>
        <w:t xml:space="preserve"> minimizes subjective judgment and encompasses many diverse regimes of inflation, interest rate cycles, and economic cycles.</w:t>
      </w:r>
    </w:p>
    <w:p w14:paraId="65888CCE" w14:textId="77777777" w:rsidR="00290C67" w:rsidRDefault="00290C67" w:rsidP="0065195E">
      <w:pPr>
        <w:pStyle w:val="answer"/>
        <w:ind w:firstLine="0"/>
      </w:pPr>
      <w:r>
        <w:t>To the extent that the estimated historical equity risk premium follows what is known in statistics as a random walk, one should expect the equity risk premium to remain at its historical mean.</w:t>
      </w:r>
      <w:r w:rsidR="00BD560E">
        <w:t xml:space="preserve"> </w:t>
      </w:r>
      <w:r>
        <w:t xml:space="preserve">Since I found no evidence that the </w:t>
      </w:r>
      <w:proofErr w:type="spellStart"/>
      <w:r>
        <w:t>MRP</w:t>
      </w:r>
      <w:proofErr w:type="spellEnd"/>
      <w:r>
        <w:t xml:space="preserve"> in common stocks has changed over time, at least prior to the onslaught of the financial crisis of 2008-2009 which has now partially subsided, that is, no significant serial correlation in the Morningstar study prior to that time, it is reasonable to assume that these quantities will remain stable in the future.</w:t>
      </w:r>
    </w:p>
    <w:p w14:paraId="428EAB01" w14:textId="77777777" w:rsidR="00290C67" w:rsidRDefault="00290C67" w:rsidP="00BF05CC">
      <w:pPr>
        <w:pStyle w:val="question"/>
      </w:pPr>
      <w:r>
        <w:lastRenderedPageBreak/>
        <w:t>Q.</w:t>
      </w:r>
      <w:r>
        <w:tab/>
        <w:t>Should studies of historical risk premiums rely on arithmetic average returns or geometric average returns?</w:t>
      </w:r>
    </w:p>
    <w:p w14:paraId="76431BFA" w14:textId="77777777" w:rsidR="00290C67" w:rsidRDefault="00290C67" w:rsidP="0065195E">
      <w:pPr>
        <w:pStyle w:val="answer"/>
      </w:pPr>
      <w:r>
        <w:t>A.</w:t>
      </w:r>
      <w:r>
        <w:tab/>
        <w:t>Whenever relying on historical risk premiums, only arithmetic average returns over long periods are appropriate for forecasting and estimating the cost of capital, and geo</w:t>
      </w:r>
      <w:r w:rsidR="00CF1144">
        <w:t>metric average returns are not.</w:t>
      </w:r>
      <w:r w:rsidR="00CF1144" w:rsidRPr="00CF1144">
        <w:rPr>
          <w:rFonts w:eastAsia="Times New Roman"/>
          <w:position w:val="6"/>
          <w:sz w:val="16"/>
          <w:szCs w:val="20"/>
        </w:rPr>
        <w:footnoteReference w:id="13"/>
      </w:r>
    </w:p>
    <w:p w14:paraId="07954521" w14:textId="77777777" w:rsidR="00290C67" w:rsidRDefault="00290C67" w:rsidP="00BF05CC">
      <w:pPr>
        <w:pStyle w:val="question"/>
      </w:pPr>
      <w:r>
        <w:t>Q.</w:t>
      </w:r>
      <w:r>
        <w:tab/>
        <w:t xml:space="preserve">Please explain how the issue of what is the proper </w:t>
      </w:r>
      <w:r w:rsidR="00BD560E">
        <w:t>“</w:t>
      </w:r>
      <w:r>
        <w:t>mean</w:t>
      </w:r>
      <w:r w:rsidR="00BD560E">
        <w:t>”</w:t>
      </w:r>
      <w:r>
        <w:t xml:space="preserve"> arises in the context of analyzing the cost of equity?</w:t>
      </w:r>
    </w:p>
    <w:p w14:paraId="0489A77B" w14:textId="77777777" w:rsidR="00290C67" w:rsidRDefault="0065195E" w:rsidP="0065195E">
      <w:pPr>
        <w:pStyle w:val="answer"/>
      </w:pPr>
      <w:r>
        <w:t>A.</w:t>
      </w:r>
      <w:r w:rsidR="00290C67">
        <w:tab/>
        <w:t>The issue arises in applying methods that derive estimates of a utility</w:t>
      </w:r>
      <w:r w:rsidR="00BD560E">
        <w:t>’</w:t>
      </w:r>
      <w:r w:rsidR="00290C67">
        <w:t>s cost of equity from historical relationships between bond yields and earned returns on equity for individual companies or portfolios of several companies. Those methods produce series of numbers representing the annual difference between bond yields and stock returns over long historical periods.</w:t>
      </w:r>
      <w:r w:rsidR="00BD560E">
        <w:t xml:space="preserve"> </w:t>
      </w:r>
      <w:r w:rsidR="00290C67">
        <w:t>The question is how to translate those series into a single number that can be added to a current bond yield to estimate the current cost of equity for a stock or a portfolio. Calculating geometric and arithmetic means are two ways of converting series of numbers to a single, representative figure.</w:t>
      </w:r>
    </w:p>
    <w:p w14:paraId="2FEADEC5" w14:textId="77777777" w:rsidR="00290C67" w:rsidRDefault="00290C67" w:rsidP="00BF05CC">
      <w:pPr>
        <w:pStyle w:val="question"/>
      </w:pPr>
      <w:r>
        <w:lastRenderedPageBreak/>
        <w:t>Q.</w:t>
      </w:r>
      <w:r>
        <w:tab/>
        <w:t xml:space="preserve">If both are </w:t>
      </w:r>
      <w:r w:rsidR="00BD560E">
        <w:t>“</w:t>
      </w:r>
      <w:r>
        <w:t>representative</w:t>
      </w:r>
      <w:r w:rsidR="00BD560E">
        <w:t>”</w:t>
      </w:r>
      <w:r>
        <w:t xml:space="preserve"> of the series, what is the difference between the two?</w:t>
      </w:r>
    </w:p>
    <w:p w14:paraId="6070F12C" w14:textId="77777777" w:rsidR="00290C67" w:rsidRDefault="0065195E" w:rsidP="0065195E">
      <w:pPr>
        <w:pStyle w:val="answer"/>
      </w:pPr>
      <w:r>
        <w:t>A.</w:t>
      </w:r>
      <w:r w:rsidR="00290C67">
        <w:tab/>
        <w:t>Each represents different information about the series.</w:t>
      </w:r>
      <w:r w:rsidR="00BD560E">
        <w:t xml:space="preserve"> </w:t>
      </w:r>
      <w:r w:rsidR="00290C67">
        <w:t>The geometric mean of a series of numbers is the value which, if compounded over the period examined, would have made the starting value to grow to the ending value.</w:t>
      </w:r>
      <w:r w:rsidR="00BD560E">
        <w:t xml:space="preserve"> </w:t>
      </w:r>
      <w:r w:rsidR="00290C67">
        <w:t>The arithmetic mean is simply the average of the numbers in the series.</w:t>
      </w:r>
      <w:r w:rsidR="00BD560E">
        <w:t xml:space="preserve"> </w:t>
      </w:r>
      <w:r w:rsidR="00290C67">
        <w:t>Where there is any annual variation (volatility) in a series of numbers, the arithmetic mean of the series, which reflects volatility, will always exceed the geometric mean, which ignores volatility.</w:t>
      </w:r>
      <w:r w:rsidR="00BD560E">
        <w:t xml:space="preserve"> </w:t>
      </w:r>
      <w:r w:rsidR="00290C67">
        <w:t>Because investors require higher expected returns to invest in a company whose earnings are volatile than one whose earnings are stable, the geometric mean is not useful in estimating the expected rate of return which investors require to make an investment.</w:t>
      </w:r>
    </w:p>
    <w:p w14:paraId="67E11B5E" w14:textId="77777777" w:rsidR="00290C67" w:rsidRDefault="00290C67" w:rsidP="00BF05CC">
      <w:pPr>
        <w:pStyle w:val="question"/>
      </w:pPr>
      <w:r>
        <w:t>Q.</w:t>
      </w:r>
      <w:r>
        <w:tab/>
        <w:t>Can you provide a numerical example to illustrate this difference between geometric and arithmetic means?</w:t>
      </w:r>
    </w:p>
    <w:p w14:paraId="41E3E50D" w14:textId="67258CBD" w:rsidR="00BB706D" w:rsidRDefault="00290C67" w:rsidP="00BB706D">
      <w:pPr>
        <w:pStyle w:val="answer"/>
      </w:pPr>
      <w:r>
        <w:t>A.</w:t>
      </w:r>
      <w:r>
        <w:tab/>
        <w:t>Yes.</w:t>
      </w:r>
      <w:r w:rsidR="00BD560E">
        <w:t xml:space="preserve"> </w:t>
      </w:r>
      <w:r w:rsidR="005B1412">
        <w:t xml:space="preserve">Table 3 below </w:t>
      </w:r>
      <w:r>
        <w:t>compares the geometric and arithmetic mean returns of a hypothetical Stock</w:t>
      </w:r>
      <w:r w:rsidR="007570DC">
        <w:t> </w:t>
      </w:r>
      <w:r>
        <w:t>A, whose yearly returns over a ten-year period are very volatile, with those of a hypothetical Stock</w:t>
      </w:r>
      <w:r w:rsidR="007570DC">
        <w:t> </w:t>
      </w:r>
      <w:r>
        <w:t>B, whose yearly returns are perfectly stable during that period.</w:t>
      </w:r>
      <w:r w:rsidR="00BD560E">
        <w:t xml:space="preserve"> </w:t>
      </w:r>
      <w:r>
        <w:t>Consistent with the point that geometric returns ignore volatility, the geometric mean returns for the two series are identical (11.6% in both cases), whereas the arithmetic mean return of the volatile stock (26.7%) is much higher than the arithmetic mean return of the stable stock (11.6%):</w:t>
      </w:r>
    </w:p>
    <w:p w14:paraId="5ED6FFE2" w14:textId="420C37AE" w:rsidR="00290C67" w:rsidRDefault="00290C67" w:rsidP="00BB706D">
      <w:pPr>
        <w:pStyle w:val="answer"/>
        <w:ind w:firstLine="0"/>
      </w:pPr>
      <w:r>
        <w:lastRenderedPageBreak/>
        <w:t>If relying on geometric means, investors would require the same expected return to invest in both of these stocks, even though the volatility of returns in Stock</w:t>
      </w:r>
      <w:r w:rsidR="007570DC">
        <w:t> </w:t>
      </w:r>
      <w:r>
        <w:t>A is very high while Stock</w:t>
      </w:r>
      <w:r w:rsidR="007570DC">
        <w:t> </w:t>
      </w:r>
      <w:r>
        <w:t>B exhibits perfectly stable returns. That is clearly contrary to the most basic financial theory, that is, the higher the risk the higher the expected return.</w:t>
      </w:r>
    </w:p>
    <w:p w14:paraId="79236AF9" w14:textId="77777777" w:rsidR="00290C67" w:rsidRPr="00BB706D" w:rsidRDefault="00BB706D" w:rsidP="00911668">
      <w:pPr>
        <w:keepNext/>
        <w:keepLines/>
        <w:spacing w:after="120"/>
        <w:ind w:left="1627" w:right="1627"/>
        <w:jc w:val="center"/>
        <w:rPr>
          <w:b/>
        </w:rPr>
      </w:pPr>
      <w:r w:rsidRPr="0065195E">
        <w:rPr>
          <w:b/>
        </w:rPr>
        <w:t xml:space="preserve">Table </w:t>
      </w:r>
      <w:r>
        <w:rPr>
          <w:b/>
        </w:rPr>
        <w:t>3</w:t>
      </w:r>
      <w:r w:rsidRPr="0065195E">
        <w:rPr>
          <w:b/>
        </w:rPr>
        <w:t>.</w:t>
      </w:r>
      <w:r w:rsidR="00BD560E">
        <w:rPr>
          <w:b/>
        </w:rPr>
        <w:t xml:space="preserve"> </w:t>
      </w:r>
      <w:r w:rsidR="00290C67" w:rsidRPr="00BB706D">
        <w:rPr>
          <w:b/>
        </w:rPr>
        <w:t>Arithmetic vs Geometric Mean Returns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266"/>
        <w:gridCol w:w="1266"/>
      </w:tblGrid>
      <w:tr w:rsidR="00BB706D" w:rsidRPr="00BB706D" w14:paraId="38DC8D6B" w14:textId="77777777" w:rsidTr="00E934CA">
        <w:trPr>
          <w:jc w:val="center"/>
        </w:trPr>
        <w:tc>
          <w:tcPr>
            <w:tcW w:w="2343" w:type="dxa"/>
            <w:tcBorders>
              <w:bottom w:val="single" w:sz="4" w:space="0" w:color="auto"/>
            </w:tcBorders>
          </w:tcPr>
          <w:p w14:paraId="5ECBC58C" w14:textId="77777777" w:rsidR="00BB706D" w:rsidRPr="00BB706D" w:rsidRDefault="00BB706D" w:rsidP="00BB706D">
            <w:pPr>
              <w:keepNext/>
              <w:keepLines/>
              <w:spacing w:before="60" w:after="60" w:line="240" w:lineRule="auto"/>
              <w:ind w:firstLine="0"/>
              <w:jc w:val="center"/>
              <w:rPr>
                <w:b/>
              </w:rPr>
            </w:pPr>
            <w:r w:rsidRPr="00BB706D">
              <w:rPr>
                <w:b/>
              </w:rPr>
              <w:t>Year</w:t>
            </w:r>
          </w:p>
        </w:tc>
        <w:tc>
          <w:tcPr>
            <w:tcW w:w="1266" w:type="dxa"/>
            <w:tcBorders>
              <w:bottom w:val="single" w:sz="4" w:space="0" w:color="auto"/>
            </w:tcBorders>
          </w:tcPr>
          <w:p w14:paraId="4A6665B3" w14:textId="77777777" w:rsidR="00BB706D" w:rsidRPr="00BB706D" w:rsidRDefault="00BB706D" w:rsidP="00BB706D">
            <w:pPr>
              <w:keepNext/>
              <w:keepLines/>
              <w:spacing w:before="60" w:after="60" w:line="240" w:lineRule="auto"/>
              <w:ind w:firstLine="0"/>
              <w:jc w:val="center"/>
              <w:rPr>
                <w:b/>
              </w:rPr>
            </w:pPr>
            <w:r w:rsidRPr="00BB706D">
              <w:rPr>
                <w:b/>
              </w:rPr>
              <w:t>Stock A</w:t>
            </w:r>
          </w:p>
        </w:tc>
        <w:tc>
          <w:tcPr>
            <w:tcW w:w="1266" w:type="dxa"/>
            <w:tcBorders>
              <w:bottom w:val="single" w:sz="4" w:space="0" w:color="auto"/>
            </w:tcBorders>
          </w:tcPr>
          <w:p w14:paraId="555855B3" w14:textId="77777777" w:rsidR="00BB706D" w:rsidRPr="00BB706D" w:rsidRDefault="00BB706D" w:rsidP="00BB706D">
            <w:pPr>
              <w:keepNext/>
              <w:keepLines/>
              <w:spacing w:before="60" w:after="60" w:line="240" w:lineRule="auto"/>
              <w:ind w:firstLine="0"/>
              <w:jc w:val="center"/>
              <w:rPr>
                <w:b/>
              </w:rPr>
            </w:pPr>
            <w:r w:rsidRPr="00BB706D">
              <w:rPr>
                <w:b/>
              </w:rPr>
              <w:t>Stock B</w:t>
            </w:r>
          </w:p>
        </w:tc>
      </w:tr>
      <w:tr w:rsidR="00BB706D" w14:paraId="1C73751D" w14:textId="77777777" w:rsidTr="00E934CA">
        <w:trPr>
          <w:jc w:val="center"/>
        </w:trPr>
        <w:tc>
          <w:tcPr>
            <w:tcW w:w="2343" w:type="dxa"/>
            <w:tcBorders>
              <w:top w:val="single" w:sz="4" w:space="0" w:color="auto"/>
            </w:tcBorders>
          </w:tcPr>
          <w:p w14:paraId="002A101A" w14:textId="77777777" w:rsidR="00BB706D" w:rsidRDefault="00BB706D" w:rsidP="00BB706D">
            <w:pPr>
              <w:keepNext/>
              <w:keepLines/>
              <w:spacing w:before="60" w:after="60" w:line="240" w:lineRule="auto"/>
              <w:ind w:firstLine="0"/>
              <w:jc w:val="center"/>
            </w:pPr>
            <w:r>
              <w:t>2006</w:t>
            </w:r>
          </w:p>
        </w:tc>
        <w:tc>
          <w:tcPr>
            <w:tcW w:w="1266" w:type="dxa"/>
            <w:tcBorders>
              <w:top w:val="single" w:sz="4" w:space="0" w:color="auto"/>
            </w:tcBorders>
          </w:tcPr>
          <w:p w14:paraId="68B85AD5" w14:textId="77777777" w:rsidR="00BB706D" w:rsidRDefault="00BB706D" w:rsidP="00BB706D">
            <w:pPr>
              <w:keepNext/>
              <w:keepLines/>
              <w:spacing w:before="60" w:after="60" w:line="240" w:lineRule="auto"/>
              <w:ind w:firstLine="0"/>
              <w:jc w:val="center"/>
            </w:pPr>
            <w:r>
              <w:t>50.0%</w:t>
            </w:r>
          </w:p>
        </w:tc>
        <w:tc>
          <w:tcPr>
            <w:tcW w:w="1266" w:type="dxa"/>
            <w:tcBorders>
              <w:top w:val="single" w:sz="4" w:space="0" w:color="auto"/>
            </w:tcBorders>
          </w:tcPr>
          <w:p w14:paraId="03818FBA" w14:textId="77777777" w:rsidR="00BB706D" w:rsidRDefault="00BB706D" w:rsidP="00BB706D">
            <w:pPr>
              <w:keepNext/>
              <w:keepLines/>
              <w:spacing w:before="60" w:after="60" w:line="240" w:lineRule="auto"/>
              <w:ind w:firstLine="0"/>
              <w:jc w:val="center"/>
            </w:pPr>
            <w:r>
              <w:t>11.6%</w:t>
            </w:r>
          </w:p>
        </w:tc>
      </w:tr>
      <w:tr w:rsidR="00BB706D" w14:paraId="6315711A" w14:textId="77777777" w:rsidTr="00E934CA">
        <w:trPr>
          <w:jc w:val="center"/>
        </w:trPr>
        <w:tc>
          <w:tcPr>
            <w:tcW w:w="2343" w:type="dxa"/>
          </w:tcPr>
          <w:p w14:paraId="1460A943" w14:textId="77777777" w:rsidR="00BB706D" w:rsidRDefault="00BB706D" w:rsidP="00BD560E">
            <w:pPr>
              <w:keepNext/>
              <w:keepLines/>
              <w:spacing w:before="60" w:after="60" w:line="240" w:lineRule="auto"/>
              <w:ind w:firstLine="0"/>
              <w:jc w:val="center"/>
            </w:pPr>
            <w:r>
              <w:t>2007</w:t>
            </w:r>
          </w:p>
        </w:tc>
        <w:tc>
          <w:tcPr>
            <w:tcW w:w="1266" w:type="dxa"/>
          </w:tcPr>
          <w:p w14:paraId="5B4A2D01" w14:textId="77777777" w:rsidR="00BB706D" w:rsidRDefault="00BB706D" w:rsidP="00BD560E">
            <w:pPr>
              <w:keepNext/>
              <w:keepLines/>
              <w:spacing w:before="60" w:after="60" w:line="240" w:lineRule="auto"/>
              <w:ind w:firstLine="0"/>
              <w:jc w:val="center"/>
            </w:pPr>
            <w:r>
              <w:t>54.7%</w:t>
            </w:r>
          </w:p>
        </w:tc>
        <w:tc>
          <w:tcPr>
            <w:tcW w:w="1266" w:type="dxa"/>
          </w:tcPr>
          <w:p w14:paraId="47AD6C02" w14:textId="77777777" w:rsidR="00BB706D" w:rsidRDefault="00BB706D" w:rsidP="00BD560E">
            <w:pPr>
              <w:keepNext/>
              <w:keepLines/>
              <w:spacing w:before="60" w:after="60" w:line="240" w:lineRule="auto"/>
              <w:ind w:firstLine="0"/>
              <w:jc w:val="center"/>
            </w:pPr>
            <w:r>
              <w:t>11.6%</w:t>
            </w:r>
          </w:p>
        </w:tc>
      </w:tr>
      <w:tr w:rsidR="00BB706D" w14:paraId="57F553A9" w14:textId="77777777" w:rsidTr="00E934CA">
        <w:trPr>
          <w:jc w:val="center"/>
        </w:trPr>
        <w:tc>
          <w:tcPr>
            <w:tcW w:w="2343" w:type="dxa"/>
          </w:tcPr>
          <w:p w14:paraId="48A0CD42" w14:textId="77777777" w:rsidR="00BB706D" w:rsidRDefault="00BB706D" w:rsidP="00BB706D">
            <w:pPr>
              <w:keepNext/>
              <w:keepLines/>
              <w:spacing w:before="60" w:after="60" w:line="240" w:lineRule="auto"/>
              <w:ind w:firstLine="0"/>
              <w:jc w:val="center"/>
            </w:pPr>
            <w:r>
              <w:t>2008</w:t>
            </w:r>
          </w:p>
        </w:tc>
        <w:tc>
          <w:tcPr>
            <w:tcW w:w="1266" w:type="dxa"/>
          </w:tcPr>
          <w:p w14:paraId="5BEF3C82" w14:textId="77777777" w:rsidR="00BB706D" w:rsidRDefault="00BB706D" w:rsidP="00BB706D">
            <w:pPr>
              <w:keepNext/>
              <w:keepLines/>
              <w:spacing w:before="60" w:after="60" w:line="240" w:lineRule="auto"/>
              <w:ind w:firstLine="0"/>
              <w:jc w:val="center"/>
            </w:pPr>
            <w:r>
              <w:t>98.5%</w:t>
            </w:r>
          </w:p>
        </w:tc>
        <w:tc>
          <w:tcPr>
            <w:tcW w:w="1266" w:type="dxa"/>
          </w:tcPr>
          <w:p w14:paraId="03F137C6" w14:textId="77777777" w:rsidR="00BB706D" w:rsidRDefault="00BB706D" w:rsidP="00BD560E">
            <w:pPr>
              <w:keepNext/>
              <w:keepLines/>
              <w:spacing w:before="60" w:after="60" w:line="240" w:lineRule="auto"/>
              <w:ind w:firstLine="0"/>
              <w:jc w:val="center"/>
            </w:pPr>
            <w:r>
              <w:t>11.6%</w:t>
            </w:r>
          </w:p>
        </w:tc>
      </w:tr>
      <w:tr w:rsidR="00BB706D" w14:paraId="137A1E45" w14:textId="77777777" w:rsidTr="00E934CA">
        <w:trPr>
          <w:jc w:val="center"/>
        </w:trPr>
        <w:tc>
          <w:tcPr>
            <w:tcW w:w="2343" w:type="dxa"/>
          </w:tcPr>
          <w:p w14:paraId="79976517" w14:textId="77777777" w:rsidR="00BB706D" w:rsidRDefault="00BB706D" w:rsidP="00BB706D">
            <w:pPr>
              <w:keepNext/>
              <w:keepLines/>
              <w:spacing w:before="60" w:after="60" w:line="240" w:lineRule="auto"/>
              <w:ind w:firstLine="0"/>
              <w:jc w:val="center"/>
            </w:pPr>
            <w:r>
              <w:t>2009</w:t>
            </w:r>
          </w:p>
        </w:tc>
        <w:tc>
          <w:tcPr>
            <w:tcW w:w="1266" w:type="dxa"/>
          </w:tcPr>
          <w:p w14:paraId="400E165F" w14:textId="77777777" w:rsidR="00BB706D" w:rsidRDefault="00BB706D" w:rsidP="00BB706D">
            <w:pPr>
              <w:keepNext/>
              <w:keepLines/>
              <w:spacing w:before="60" w:after="60" w:line="240" w:lineRule="auto"/>
              <w:ind w:firstLine="0"/>
              <w:jc w:val="center"/>
            </w:pPr>
            <w:r>
              <w:t>42.2%</w:t>
            </w:r>
          </w:p>
        </w:tc>
        <w:tc>
          <w:tcPr>
            <w:tcW w:w="1266" w:type="dxa"/>
          </w:tcPr>
          <w:p w14:paraId="777D0D74" w14:textId="77777777" w:rsidR="00BB706D" w:rsidRDefault="00BB706D" w:rsidP="00BD560E">
            <w:pPr>
              <w:keepNext/>
              <w:keepLines/>
              <w:spacing w:before="60" w:after="60" w:line="240" w:lineRule="auto"/>
              <w:ind w:firstLine="0"/>
              <w:jc w:val="center"/>
            </w:pPr>
            <w:r>
              <w:t>11.6%</w:t>
            </w:r>
          </w:p>
        </w:tc>
      </w:tr>
      <w:tr w:rsidR="00BB706D" w14:paraId="0185D8F0" w14:textId="77777777" w:rsidTr="00E934CA">
        <w:trPr>
          <w:jc w:val="center"/>
        </w:trPr>
        <w:tc>
          <w:tcPr>
            <w:tcW w:w="2343" w:type="dxa"/>
          </w:tcPr>
          <w:p w14:paraId="4EE7EB99" w14:textId="77777777" w:rsidR="00BB706D" w:rsidRDefault="00BB706D" w:rsidP="00BB706D">
            <w:pPr>
              <w:keepNext/>
              <w:keepLines/>
              <w:spacing w:before="60" w:after="60" w:line="240" w:lineRule="auto"/>
              <w:ind w:firstLine="0"/>
              <w:jc w:val="center"/>
            </w:pPr>
            <w:r>
              <w:t>2010</w:t>
            </w:r>
          </w:p>
        </w:tc>
        <w:tc>
          <w:tcPr>
            <w:tcW w:w="1266" w:type="dxa"/>
          </w:tcPr>
          <w:p w14:paraId="32461EB4" w14:textId="77777777" w:rsidR="00BB706D" w:rsidRDefault="00BB706D" w:rsidP="00BB706D">
            <w:pPr>
              <w:keepNext/>
              <w:keepLines/>
              <w:spacing w:before="60" w:after="60" w:line="240" w:lineRule="auto"/>
              <w:ind w:firstLine="0"/>
              <w:jc w:val="center"/>
            </w:pPr>
            <w:r>
              <w:t>32.3%</w:t>
            </w:r>
          </w:p>
        </w:tc>
        <w:tc>
          <w:tcPr>
            <w:tcW w:w="1266" w:type="dxa"/>
          </w:tcPr>
          <w:p w14:paraId="4714BC3A" w14:textId="77777777" w:rsidR="00BB706D" w:rsidRDefault="00BB706D" w:rsidP="00BD560E">
            <w:pPr>
              <w:keepNext/>
              <w:keepLines/>
              <w:spacing w:before="60" w:after="60" w:line="240" w:lineRule="auto"/>
              <w:ind w:firstLine="0"/>
              <w:jc w:val="center"/>
            </w:pPr>
            <w:r>
              <w:t>11.6%</w:t>
            </w:r>
          </w:p>
        </w:tc>
      </w:tr>
      <w:tr w:rsidR="00BB706D" w14:paraId="16607512" w14:textId="77777777" w:rsidTr="00E934CA">
        <w:trPr>
          <w:jc w:val="center"/>
        </w:trPr>
        <w:tc>
          <w:tcPr>
            <w:tcW w:w="2343" w:type="dxa"/>
          </w:tcPr>
          <w:p w14:paraId="06E016D4" w14:textId="77777777" w:rsidR="00BB706D" w:rsidRDefault="00BB706D" w:rsidP="00BB706D">
            <w:pPr>
              <w:keepNext/>
              <w:keepLines/>
              <w:spacing w:before="60" w:after="60" w:line="240" w:lineRule="auto"/>
              <w:ind w:firstLine="0"/>
              <w:jc w:val="center"/>
            </w:pPr>
            <w:r>
              <w:t>2011</w:t>
            </w:r>
          </w:p>
        </w:tc>
        <w:tc>
          <w:tcPr>
            <w:tcW w:w="1266" w:type="dxa"/>
          </w:tcPr>
          <w:p w14:paraId="5DD879DD" w14:textId="77777777" w:rsidR="00BB706D" w:rsidRDefault="00BB706D" w:rsidP="00BB706D">
            <w:pPr>
              <w:keepNext/>
              <w:keepLines/>
              <w:spacing w:before="60" w:after="60" w:line="240" w:lineRule="auto"/>
              <w:ind w:firstLine="0"/>
              <w:jc w:val="center"/>
            </w:pPr>
            <w:r>
              <w:t>39.2%</w:t>
            </w:r>
          </w:p>
        </w:tc>
        <w:tc>
          <w:tcPr>
            <w:tcW w:w="1266" w:type="dxa"/>
          </w:tcPr>
          <w:p w14:paraId="54C7F720" w14:textId="77777777" w:rsidR="00BB706D" w:rsidRDefault="00BB706D" w:rsidP="00BD560E">
            <w:pPr>
              <w:keepNext/>
              <w:keepLines/>
              <w:spacing w:before="60" w:after="60" w:line="240" w:lineRule="auto"/>
              <w:ind w:firstLine="0"/>
              <w:jc w:val="center"/>
            </w:pPr>
            <w:r>
              <w:t>11.6%</w:t>
            </w:r>
          </w:p>
        </w:tc>
      </w:tr>
      <w:tr w:rsidR="00E934CA" w14:paraId="3CFA4B53" w14:textId="77777777" w:rsidTr="00E934CA">
        <w:trPr>
          <w:jc w:val="center"/>
        </w:trPr>
        <w:tc>
          <w:tcPr>
            <w:tcW w:w="2343" w:type="dxa"/>
          </w:tcPr>
          <w:p w14:paraId="0D780357" w14:textId="77777777" w:rsidR="00E934CA" w:rsidRDefault="00E934CA" w:rsidP="00BD560E">
            <w:pPr>
              <w:keepNext/>
              <w:keepLines/>
              <w:spacing w:before="60" w:after="60" w:line="240" w:lineRule="auto"/>
              <w:ind w:firstLine="0"/>
              <w:jc w:val="center"/>
            </w:pPr>
            <w:r>
              <w:t>2012</w:t>
            </w:r>
          </w:p>
        </w:tc>
        <w:tc>
          <w:tcPr>
            <w:tcW w:w="1266" w:type="dxa"/>
          </w:tcPr>
          <w:p w14:paraId="5024E53D" w14:textId="77777777" w:rsidR="00E934CA" w:rsidRDefault="00E934CA" w:rsidP="00BD560E">
            <w:pPr>
              <w:keepNext/>
              <w:keepLines/>
              <w:spacing w:before="60" w:after="60" w:line="240" w:lineRule="auto"/>
              <w:ind w:firstLine="0"/>
              <w:jc w:val="center"/>
            </w:pPr>
            <w:r>
              <w:t>153.2%</w:t>
            </w:r>
          </w:p>
        </w:tc>
        <w:tc>
          <w:tcPr>
            <w:tcW w:w="1266" w:type="dxa"/>
          </w:tcPr>
          <w:p w14:paraId="327B3DB0" w14:textId="77777777" w:rsidR="00E934CA" w:rsidRDefault="00E934CA" w:rsidP="00BD560E">
            <w:pPr>
              <w:keepNext/>
              <w:keepLines/>
              <w:spacing w:before="60" w:after="60" w:line="240" w:lineRule="auto"/>
              <w:ind w:firstLine="0"/>
              <w:jc w:val="center"/>
            </w:pPr>
            <w:r>
              <w:t>11.6%</w:t>
            </w:r>
          </w:p>
        </w:tc>
      </w:tr>
      <w:tr w:rsidR="00E934CA" w14:paraId="7035B1AA" w14:textId="77777777" w:rsidTr="00E934CA">
        <w:trPr>
          <w:jc w:val="center"/>
        </w:trPr>
        <w:tc>
          <w:tcPr>
            <w:tcW w:w="2343" w:type="dxa"/>
          </w:tcPr>
          <w:p w14:paraId="69288671" w14:textId="77777777" w:rsidR="00E934CA" w:rsidRDefault="00E934CA" w:rsidP="00BD560E">
            <w:pPr>
              <w:keepNext/>
              <w:keepLines/>
              <w:spacing w:before="60" w:after="60" w:line="240" w:lineRule="auto"/>
              <w:ind w:firstLine="0"/>
              <w:jc w:val="center"/>
            </w:pPr>
            <w:r>
              <w:t>2013</w:t>
            </w:r>
          </w:p>
        </w:tc>
        <w:tc>
          <w:tcPr>
            <w:tcW w:w="1266" w:type="dxa"/>
          </w:tcPr>
          <w:p w14:paraId="52BA8E57" w14:textId="77777777" w:rsidR="00E934CA" w:rsidRDefault="00E934CA" w:rsidP="00BD560E">
            <w:pPr>
              <w:keepNext/>
              <w:keepLines/>
              <w:spacing w:before="60" w:after="60" w:line="240" w:lineRule="auto"/>
              <w:ind w:firstLine="0"/>
              <w:jc w:val="center"/>
            </w:pPr>
            <w:r>
              <w:t>-10.0%</w:t>
            </w:r>
          </w:p>
        </w:tc>
        <w:tc>
          <w:tcPr>
            <w:tcW w:w="1266" w:type="dxa"/>
          </w:tcPr>
          <w:p w14:paraId="59F39205" w14:textId="77777777" w:rsidR="00E934CA" w:rsidRDefault="00E934CA" w:rsidP="00BD560E">
            <w:pPr>
              <w:keepNext/>
              <w:keepLines/>
              <w:spacing w:before="60" w:after="60" w:line="240" w:lineRule="auto"/>
              <w:ind w:firstLine="0"/>
              <w:jc w:val="center"/>
            </w:pPr>
            <w:r>
              <w:t>11.6%</w:t>
            </w:r>
          </w:p>
        </w:tc>
      </w:tr>
      <w:tr w:rsidR="00E934CA" w14:paraId="1FBB3EC0" w14:textId="77777777" w:rsidTr="00E934CA">
        <w:trPr>
          <w:jc w:val="center"/>
        </w:trPr>
        <w:tc>
          <w:tcPr>
            <w:tcW w:w="2343" w:type="dxa"/>
          </w:tcPr>
          <w:p w14:paraId="56EDBD85" w14:textId="77777777" w:rsidR="00E934CA" w:rsidRDefault="00E934CA" w:rsidP="00BD560E">
            <w:pPr>
              <w:keepNext/>
              <w:keepLines/>
              <w:spacing w:before="60" w:after="60" w:line="240" w:lineRule="auto"/>
              <w:ind w:firstLine="0"/>
              <w:jc w:val="center"/>
            </w:pPr>
            <w:r>
              <w:t>2014</w:t>
            </w:r>
          </w:p>
        </w:tc>
        <w:tc>
          <w:tcPr>
            <w:tcW w:w="1266" w:type="dxa"/>
          </w:tcPr>
          <w:p w14:paraId="798C6D68" w14:textId="77777777" w:rsidR="00E934CA" w:rsidRDefault="00E934CA" w:rsidP="00BD560E">
            <w:pPr>
              <w:keepNext/>
              <w:keepLines/>
              <w:spacing w:before="60" w:after="60" w:line="240" w:lineRule="auto"/>
              <w:ind w:firstLine="0"/>
              <w:jc w:val="center"/>
            </w:pPr>
            <w:r>
              <w:t>38.9%</w:t>
            </w:r>
          </w:p>
        </w:tc>
        <w:tc>
          <w:tcPr>
            <w:tcW w:w="1266" w:type="dxa"/>
          </w:tcPr>
          <w:p w14:paraId="1B4E23AC" w14:textId="77777777" w:rsidR="00E934CA" w:rsidRDefault="00E934CA" w:rsidP="00BD560E">
            <w:pPr>
              <w:keepNext/>
              <w:keepLines/>
              <w:spacing w:before="60" w:after="60" w:line="240" w:lineRule="auto"/>
              <w:ind w:firstLine="0"/>
              <w:jc w:val="center"/>
            </w:pPr>
            <w:r>
              <w:t>11.6%</w:t>
            </w:r>
          </w:p>
        </w:tc>
      </w:tr>
      <w:tr w:rsidR="00E934CA" w14:paraId="4637ED4D" w14:textId="77777777" w:rsidTr="00E934CA">
        <w:trPr>
          <w:jc w:val="center"/>
        </w:trPr>
        <w:tc>
          <w:tcPr>
            <w:tcW w:w="2343" w:type="dxa"/>
            <w:tcBorders>
              <w:bottom w:val="single" w:sz="4" w:space="0" w:color="auto"/>
            </w:tcBorders>
          </w:tcPr>
          <w:p w14:paraId="6D63073E" w14:textId="77777777" w:rsidR="00E934CA" w:rsidRDefault="00E934CA" w:rsidP="00BD560E">
            <w:pPr>
              <w:keepNext/>
              <w:keepLines/>
              <w:spacing w:before="60" w:after="60" w:line="240" w:lineRule="auto"/>
              <w:ind w:firstLine="0"/>
              <w:jc w:val="center"/>
            </w:pPr>
            <w:r>
              <w:t>2015</w:t>
            </w:r>
          </w:p>
        </w:tc>
        <w:tc>
          <w:tcPr>
            <w:tcW w:w="1266" w:type="dxa"/>
            <w:tcBorders>
              <w:bottom w:val="single" w:sz="4" w:space="0" w:color="auto"/>
            </w:tcBorders>
          </w:tcPr>
          <w:p w14:paraId="0B19B7E8" w14:textId="77777777" w:rsidR="00E934CA" w:rsidRDefault="00E934CA" w:rsidP="00BD560E">
            <w:pPr>
              <w:keepNext/>
              <w:keepLines/>
              <w:spacing w:before="60" w:after="60" w:line="240" w:lineRule="auto"/>
              <w:ind w:firstLine="0"/>
              <w:jc w:val="center"/>
            </w:pPr>
            <w:r>
              <w:t>20.0%</w:t>
            </w:r>
          </w:p>
        </w:tc>
        <w:tc>
          <w:tcPr>
            <w:tcW w:w="1266" w:type="dxa"/>
            <w:tcBorders>
              <w:bottom w:val="single" w:sz="4" w:space="0" w:color="auto"/>
            </w:tcBorders>
          </w:tcPr>
          <w:p w14:paraId="74B105C9" w14:textId="77777777" w:rsidR="00E934CA" w:rsidRDefault="00E934CA" w:rsidP="00BD560E">
            <w:pPr>
              <w:keepNext/>
              <w:keepLines/>
              <w:spacing w:before="60" w:after="60" w:line="240" w:lineRule="auto"/>
              <w:ind w:firstLine="0"/>
              <w:jc w:val="center"/>
            </w:pPr>
            <w:r>
              <w:t>11.6%</w:t>
            </w:r>
          </w:p>
        </w:tc>
      </w:tr>
      <w:tr w:rsidR="00E934CA" w:rsidRPr="00E934CA" w14:paraId="6EC58CD7" w14:textId="77777777" w:rsidTr="00E934CA">
        <w:trPr>
          <w:jc w:val="center"/>
        </w:trPr>
        <w:tc>
          <w:tcPr>
            <w:tcW w:w="2343" w:type="dxa"/>
            <w:tcBorders>
              <w:top w:val="single" w:sz="4" w:space="0" w:color="auto"/>
            </w:tcBorders>
          </w:tcPr>
          <w:p w14:paraId="6A97716C" w14:textId="77777777" w:rsidR="00E934CA" w:rsidRPr="00E934CA" w:rsidRDefault="00E934CA" w:rsidP="00E934CA">
            <w:pPr>
              <w:keepNext/>
              <w:keepLines/>
              <w:spacing w:before="60" w:after="60" w:line="240" w:lineRule="auto"/>
              <w:ind w:firstLine="0"/>
              <w:rPr>
                <w:b/>
              </w:rPr>
            </w:pPr>
            <w:r w:rsidRPr="00E934CA">
              <w:rPr>
                <w:b/>
              </w:rPr>
              <w:t>Standard Deviation</w:t>
            </w:r>
          </w:p>
        </w:tc>
        <w:tc>
          <w:tcPr>
            <w:tcW w:w="1266" w:type="dxa"/>
            <w:tcBorders>
              <w:top w:val="single" w:sz="4" w:space="0" w:color="auto"/>
            </w:tcBorders>
          </w:tcPr>
          <w:p w14:paraId="4EE71CE4" w14:textId="77777777" w:rsidR="00E934CA" w:rsidRPr="00E934CA" w:rsidRDefault="00E934CA" w:rsidP="00E934CA">
            <w:pPr>
              <w:keepNext/>
              <w:keepLines/>
              <w:spacing w:before="60" w:after="60" w:line="240" w:lineRule="auto"/>
              <w:ind w:firstLine="0"/>
              <w:jc w:val="center"/>
              <w:rPr>
                <w:b/>
              </w:rPr>
            </w:pPr>
            <w:r w:rsidRPr="00E934CA">
              <w:rPr>
                <w:b/>
              </w:rPr>
              <w:t>64.9%</w:t>
            </w:r>
          </w:p>
        </w:tc>
        <w:tc>
          <w:tcPr>
            <w:tcW w:w="1266" w:type="dxa"/>
            <w:tcBorders>
              <w:top w:val="single" w:sz="4" w:space="0" w:color="auto"/>
            </w:tcBorders>
          </w:tcPr>
          <w:p w14:paraId="134C3CCF" w14:textId="77777777" w:rsidR="00E934CA" w:rsidRPr="00E934CA" w:rsidRDefault="00E934CA" w:rsidP="00E934CA">
            <w:pPr>
              <w:keepNext/>
              <w:keepLines/>
              <w:spacing w:before="60" w:after="60" w:line="240" w:lineRule="auto"/>
              <w:ind w:firstLine="0"/>
              <w:jc w:val="center"/>
              <w:rPr>
                <w:b/>
              </w:rPr>
            </w:pPr>
            <w:r w:rsidRPr="00E934CA">
              <w:rPr>
                <w:b/>
              </w:rPr>
              <w:t>0.0%</w:t>
            </w:r>
          </w:p>
        </w:tc>
      </w:tr>
      <w:tr w:rsidR="00E934CA" w:rsidRPr="00E934CA" w14:paraId="6CD9580B" w14:textId="77777777" w:rsidTr="00E934CA">
        <w:trPr>
          <w:jc w:val="center"/>
        </w:trPr>
        <w:tc>
          <w:tcPr>
            <w:tcW w:w="2343" w:type="dxa"/>
          </w:tcPr>
          <w:p w14:paraId="2BB9046D" w14:textId="77777777" w:rsidR="00E934CA" w:rsidRPr="00E934CA" w:rsidRDefault="00E934CA" w:rsidP="00E934CA">
            <w:pPr>
              <w:keepNext/>
              <w:keepLines/>
              <w:spacing w:before="60" w:after="60" w:line="240" w:lineRule="auto"/>
              <w:ind w:firstLine="0"/>
              <w:rPr>
                <w:b/>
              </w:rPr>
            </w:pPr>
            <w:r w:rsidRPr="00E934CA">
              <w:rPr>
                <w:b/>
              </w:rPr>
              <w:t>Arithmetic Mean</w:t>
            </w:r>
          </w:p>
        </w:tc>
        <w:tc>
          <w:tcPr>
            <w:tcW w:w="1266" w:type="dxa"/>
          </w:tcPr>
          <w:p w14:paraId="73EB87DC" w14:textId="77777777" w:rsidR="00E934CA" w:rsidRPr="00E934CA" w:rsidRDefault="00E934CA" w:rsidP="00E934CA">
            <w:pPr>
              <w:keepNext/>
              <w:keepLines/>
              <w:spacing w:before="60" w:after="60" w:line="240" w:lineRule="auto"/>
              <w:ind w:firstLine="0"/>
              <w:jc w:val="center"/>
              <w:rPr>
                <w:b/>
              </w:rPr>
            </w:pPr>
            <w:r w:rsidRPr="00E934CA">
              <w:rPr>
                <w:b/>
              </w:rPr>
              <w:t>26.7%</w:t>
            </w:r>
          </w:p>
        </w:tc>
        <w:tc>
          <w:tcPr>
            <w:tcW w:w="1266" w:type="dxa"/>
          </w:tcPr>
          <w:p w14:paraId="2DC800F4" w14:textId="77777777" w:rsidR="00E934CA" w:rsidRPr="00E934CA" w:rsidRDefault="00E934CA" w:rsidP="00E934CA">
            <w:pPr>
              <w:keepNext/>
              <w:keepLines/>
              <w:spacing w:before="60" w:after="60" w:line="240" w:lineRule="auto"/>
              <w:ind w:firstLine="0"/>
              <w:jc w:val="center"/>
              <w:rPr>
                <w:b/>
              </w:rPr>
            </w:pPr>
            <w:r w:rsidRPr="00E934CA">
              <w:rPr>
                <w:b/>
              </w:rPr>
              <w:t>11.6%</w:t>
            </w:r>
          </w:p>
        </w:tc>
      </w:tr>
      <w:tr w:rsidR="00E934CA" w:rsidRPr="00E934CA" w14:paraId="2DFCC558" w14:textId="77777777" w:rsidTr="00E934CA">
        <w:trPr>
          <w:jc w:val="center"/>
        </w:trPr>
        <w:tc>
          <w:tcPr>
            <w:tcW w:w="2343" w:type="dxa"/>
          </w:tcPr>
          <w:p w14:paraId="6913A22B" w14:textId="77777777" w:rsidR="00E934CA" w:rsidRPr="00E934CA" w:rsidRDefault="00E934CA" w:rsidP="00E934CA">
            <w:pPr>
              <w:widowControl w:val="0"/>
              <w:spacing w:before="60" w:after="60" w:line="240" w:lineRule="auto"/>
              <w:ind w:firstLine="0"/>
              <w:rPr>
                <w:b/>
              </w:rPr>
            </w:pPr>
            <w:r w:rsidRPr="00E934CA">
              <w:rPr>
                <w:b/>
              </w:rPr>
              <w:t>Geometric Mean</w:t>
            </w:r>
          </w:p>
        </w:tc>
        <w:tc>
          <w:tcPr>
            <w:tcW w:w="1266" w:type="dxa"/>
          </w:tcPr>
          <w:p w14:paraId="31413559" w14:textId="77777777" w:rsidR="00E934CA" w:rsidRPr="00E934CA" w:rsidRDefault="00E934CA" w:rsidP="00E934CA">
            <w:pPr>
              <w:widowControl w:val="0"/>
              <w:spacing w:before="60" w:after="60" w:line="240" w:lineRule="auto"/>
              <w:ind w:firstLine="0"/>
              <w:jc w:val="center"/>
              <w:rPr>
                <w:b/>
              </w:rPr>
            </w:pPr>
            <w:r w:rsidRPr="00E934CA">
              <w:rPr>
                <w:b/>
              </w:rPr>
              <w:t>11.6%</w:t>
            </w:r>
          </w:p>
        </w:tc>
        <w:tc>
          <w:tcPr>
            <w:tcW w:w="1266" w:type="dxa"/>
          </w:tcPr>
          <w:p w14:paraId="2DA85620" w14:textId="77777777" w:rsidR="00E934CA" w:rsidRPr="00E934CA" w:rsidRDefault="00E934CA" w:rsidP="00E934CA">
            <w:pPr>
              <w:widowControl w:val="0"/>
              <w:spacing w:before="60" w:after="60" w:line="240" w:lineRule="auto"/>
              <w:ind w:firstLine="0"/>
              <w:jc w:val="center"/>
              <w:rPr>
                <w:b/>
              </w:rPr>
            </w:pPr>
            <w:r w:rsidRPr="00E934CA">
              <w:rPr>
                <w:b/>
              </w:rPr>
              <w:t>11.6%</w:t>
            </w:r>
          </w:p>
        </w:tc>
      </w:tr>
    </w:tbl>
    <w:p w14:paraId="552B91E4" w14:textId="0C5471CF" w:rsidR="00290C67" w:rsidRDefault="00290C67" w:rsidP="00E934CA">
      <w:pPr>
        <w:pStyle w:val="answer"/>
        <w:spacing w:before="360"/>
        <w:ind w:firstLine="0"/>
      </w:pPr>
      <w:r>
        <w:t>Chapter</w:t>
      </w:r>
      <w:r w:rsidR="007570DC">
        <w:t> </w:t>
      </w:r>
      <w:r>
        <w:t>4</w:t>
      </w:r>
      <w:r w:rsidR="007570DC">
        <w:t>,</w:t>
      </w:r>
      <w:r>
        <w:t xml:space="preserve"> Appendix A</w:t>
      </w:r>
      <w:r w:rsidR="007570DC">
        <w:t>,</w:t>
      </w:r>
      <w:r>
        <w:t xml:space="preserve"> of my book</w:t>
      </w:r>
      <w:r w:rsidR="007570DC">
        <w:t>,</w:t>
      </w:r>
      <w:r>
        <w:t xml:space="preserve"> </w:t>
      </w:r>
      <w:r w:rsidRPr="000952C3">
        <w:rPr>
          <w:u w:val="single"/>
        </w:rPr>
        <w:t>The New Regulatory Finance</w:t>
      </w:r>
      <w:r w:rsidR="007570DC" w:rsidRPr="007570DC">
        <w:t>,</w:t>
      </w:r>
      <w:r>
        <w:t xml:space="preserve"> contains a detailed and rigorous discussion of the impropriety of using geometric averages in estimating the cost of capital.</w:t>
      </w:r>
      <w:r w:rsidR="00BD560E">
        <w:t xml:space="preserve"> </w:t>
      </w:r>
      <w:r>
        <w:t>Briefly, the disparity between the arithmetic average return and the geometric average return raises the question as to what purposes should these different return measures be used.</w:t>
      </w:r>
      <w:r w:rsidR="00BD560E">
        <w:t xml:space="preserve"> </w:t>
      </w:r>
      <w:r>
        <w:t>The answer is that the geometric average return should be used for measuring historical returns that are compounded over multiple time periods.</w:t>
      </w:r>
      <w:r w:rsidR="00BD560E">
        <w:t xml:space="preserve"> </w:t>
      </w:r>
      <w:r>
        <w:t xml:space="preserve">The arithmetic average return should be </w:t>
      </w:r>
      <w:r>
        <w:lastRenderedPageBreak/>
        <w:t>used for future-oriented analysis, where the use of expected values is appropriate.</w:t>
      </w:r>
      <w:r w:rsidR="00BD560E">
        <w:t xml:space="preserve"> </w:t>
      </w:r>
      <w:r>
        <w:t>It is inappropriate to average the arithmetic and geometric average return; they measure different quantities in different ways.</w:t>
      </w:r>
    </w:p>
    <w:p w14:paraId="48D2DDC9" w14:textId="23C6D108" w:rsidR="00290C67" w:rsidRDefault="00290C67" w:rsidP="00BF05CC">
      <w:pPr>
        <w:pStyle w:val="question"/>
      </w:pPr>
      <w:r>
        <w:t>Q.</w:t>
      </w:r>
      <w:r>
        <w:tab/>
        <w:t xml:space="preserve">Is your </w:t>
      </w:r>
      <w:proofErr w:type="spellStart"/>
      <w:r>
        <w:t>MRP</w:t>
      </w:r>
      <w:proofErr w:type="spellEnd"/>
      <w:r>
        <w:t xml:space="preserve"> estimate of 7.</w:t>
      </w:r>
      <w:r w:rsidR="00736E1E">
        <w:t>0</w:t>
      </w:r>
      <w:r>
        <w:t>% consistent with the academic literature on the subject?</w:t>
      </w:r>
    </w:p>
    <w:p w14:paraId="5C9330C6" w14:textId="77777777" w:rsidR="00290C67" w:rsidRDefault="00290C67" w:rsidP="00E934CA">
      <w:pPr>
        <w:pStyle w:val="answer"/>
      </w:pPr>
      <w:r>
        <w:t>A.</w:t>
      </w:r>
      <w:r>
        <w:tab/>
        <w:t>Yes, it is, although in the upper portion of the range.</w:t>
      </w:r>
      <w:r w:rsidR="00BD560E">
        <w:t xml:space="preserve"> </w:t>
      </w:r>
      <w:r>
        <w:t xml:space="preserve">In their authoritative corporate finance textbook, Professors </w:t>
      </w:r>
      <w:proofErr w:type="spellStart"/>
      <w:r>
        <w:t>Brealey</w:t>
      </w:r>
      <w:proofErr w:type="spellEnd"/>
      <w:r>
        <w:t>, Myers, and Allen</w:t>
      </w:r>
      <w:r w:rsidR="00CF1144" w:rsidRPr="00CF1144">
        <w:rPr>
          <w:rFonts w:eastAsia="Times New Roman"/>
          <w:position w:val="6"/>
          <w:sz w:val="16"/>
          <w:szCs w:val="20"/>
        </w:rPr>
        <w:footnoteReference w:id="14"/>
      </w:r>
      <w:r w:rsidR="00BD560E">
        <w:t xml:space="preserve"> </w:t>
      </w:r>
      <w:r>
        <w:t xml:space="preserve">conclude from their review of the fertile literature on the </w:t>
      </w:r>
      <w:proofErr w:type="spellStart"/>
      <w:r>
        <w:t>MRP</w:t>
      </w:r>
      <w:proofErr w:type="spellEnd"/>
      <w:r>
        <w:t xml:space="preserve"> that a range of 5% to 8% is reasonable for the </w:t>
      </w:r>
      <w:proofErr w:type="spellStart"/>
      <w:r>
        <w:t>MRP</w:t>
      </w:r>
      <w:proofErr w:type="spellEnd"/>
      <w:r>
        <w:t xml:space="preserve"> in the United States.</w:t>
      </w:r>
      <w:r w:rsidR="00BD560E">
        <w:t xml:space="preserve"> </w:t>
      </w:r>
      <w:r>
        <w:t xml:space="preserve">My own survey of the </w:t>
      </w:r>
      <w:proofErr w:type="spellStart"/>
      <w:r>
        <w:t>MRP</w:t>
      </w:r>
      <w:proofErr w:type="spellEnd"/>
      <w:r>
        <w:t xml:space="preserve"> literature, which appears in Chapter 5 of my latest textbook, </w:t>
      </w:r>
      <w:r w:rsidRPr="00EC7C27">
        <w:rPr>
          <w:u w:val="single"/>
        </w:rPr>
        <w:t>The New Regulatory Finance</w:t>
      </w:r>
      <w:r>
        <w:t>, is also quite consistent with this range.</w:t>
      </w:r>
    </w:p>
    <w:p w14:paraId="15C30415" w14:textId="77777777" w:rsidR="00290C67" w:rsidRDefault="00290C67" w:rsidP="00BF05CC">
      <w:pPr>
        <w:pStyle w:val="question"/>
      </w:pPr>
      <w:r>
        <w:t>Q.</w:t>
      </w:r>
      <w:r>
        <w:tab/>
        <w:t>What is your estimate of PSE</w:t>
      </w:r>
      <w:r w:rsidR="00BD560E">
        <w:t>’</w:t>
      </w:r>
      <w:r>
        <w:t xml:space="preserve">s cost of equity using the </w:t>
      </w:r>
      <w:proofErr w:type="spellStart"/>
      <w:r>
        <w:t>CAPM</w:t>
      </w:r>
      <w:proofErr w:type="spellEnd"/>
      <w:r>
        <w:t xml:space="preserve"> approach? </w:t>
      </w:r>
    </w:p>
    <w:p w14:paraId="75805F89" w14:textId="69C336A8" w:rsidR="00290C67" w:rsidRDefault="00290C67" w:rsidP="00E934CA">
      <w:pPr>
        <w:pStyle w:val="answer"/>
      </w:pPr>
      <w:r>
        <w:t>A.</w:t>
      </w:r>
      <w:r>
        <w:tab/>
        <w:t xml:space="preserve">Inserting those input values into the </w:t>
      </w:r>
      <w:proofErr w:type="spellStart"/>
      <w:r>
        <w:t>CAPM</w:t>
      </w:r>
      <w:proofErr w:type="spellEnd"/>
      <w:r>
        <w:t xml:space="preserve"> equation</w:t>
      </w:r>
      <w:r w:rsidR="00736E1E">
        <w:t xml:space="preserve">, namely a risk-free rate of 4.4%, a beta of 0.70, and a </w:t>
      </w:r>
      <w:proofErr w:type="spellStart"/>
      <w:r w:rsidR="00736E1E">
        <w:t>MRP</w:t>
      </w:r>
      <w:proofErr w:type="spellEnd"/>
      <w:r w:rsidR="00736E1E">
        <w:t xml:space="preserve"> of 7.0</w:t>
      </w:r>
      <w:r>
        <w:t xml:space="preserve">%, the </w:t>
      </w:r>
      <w:proofErr w:type="spellStart"/>
      <w:r>
        <w:t>CAPM</w:t>
      </w:r>
      <w:proofErr w:type="spellEnd"/>
      <w:r>
        <w:t xml:space="preserve"> estimate of t</w:t>
      </w:r>
      <w:r w:rsidR="00736E1E">
        <w:t>he cost of common equity is: 4.4</w:t>
      </w:r>
      <w:r>
        <w:t>%</w:t>
      </w:r>
      <w:r w:rsidR="006D1FD8">
        <w:t> </w:t>
      </w:r>
      <w:r>
        <w:t>+</w:t>
      </w:r>
      <w:r w:rsidR="006D1FD8">
        <w:t> </w:t>
      </w:r>
      <w:r w:rsidR="00736E1E">
        <w:t>0.70</w:t>
      </w:r>
      <w:r w:rsidR="006D1FD8">
        <w:t> × </w:t>
      </w:r>
      <w:r w:rsidR="00736E1E">
        <w:t>7.0</w:t>
      </w:r>
      <w:r>
        <w:t>%</w:t>
      </w:r>
      <w:r w:rsidR="006D1FD8">
        <w:t> </w:t>
      </w:r>
      <w:r>
        <w:t>=</w:t>
      </w:r>
      <w:r w:rsidR="00BE44C3">
        <w:t> 9.3</w:t>
      </w:r>
      <w:r w:rsidR="006D1FD8">
        <w:t>%.</w:t>
      </w:r>
    </w:p>
    <w:p w14:paraId="58DDF6AA" w14:textId="77777777" w:rsidR="00290C67" w:rsidRDefault="00290C67" w:rsidP="00BF05CC">
      <w:pPr>
        <w:pStyle w:val="question"/>
      </w:pPr>
      <w:r>
        <w:t>Q.</w:t>
      </w:r>
      <w:r>
        <w:tab/>
        <w:t xml:space="preserve">Can you describe your application of the empirical version of the </w:t>
      </w:r>
      <w:proofErr w:type="spellStart"/>
      <w:r>
        <w:t>CAPM</w:t>
      </w:r>
      <w:proofErr w:type="spellEnd"/>
      <w:r>
        <w:t>?</w:t>
      </w:r>
    </w:p>
    <w:p w14:paraId="564CC72D" w14:textId="30336A06" w:rsidR="00E934CA" w:rsidRDefault="00290C67" w:rsidP="00E934CA">
      <w:pPr>
        <w:pStyle w:val="answer"/>
      </w:pPr>
      <w:r>
        <w:t>A.</w:t>
      </w:r>
      <w:r>
        <w:tab/>
        <w:t xml:space="preserve">There have been countless empirical tests of the </w:t>
      </w:r>
      <w:proofErr w:type="spellStart"/>
      <w:r>
        <w:t>CAPM</w:t>
      </w:r>
      <w:proofErr w:type="spellEnd"/>
      <w:r>
        <w:t xml:space="preserve"> to determine to what extent security returns and betas are related in the manner predicted by the </w:t>
      </w:r>
      <w:proofErr w:type="spellStart"/>
      <w:r>
        <w:t>CAPM</w:t>
      </w:r>
      <w:proofErr w:type="spellEnd"/>
      <w:r>
        <w:t>.</w:t>
      </w:r>
      <w:r w:rsidR="00BD560E">
        <w:t xml:space="preserve"> </w:t>
      </w:r>
      <w:r>
        <w:t>This literature is summarized in Chapter</w:t>
      </w:r>
      <w:r w:rsidR="006D1FD8">
        <w:t> </w:t>
      </w:r>
      <w:r>
        <w:t xml:space="preserve">6 of my latest book, </w:t>
      </w:r>
      <w:r w:rsidRPr="000952C3">
        <w:rPr>
          <w:u w:val="single"/>
        </w:rPr>
        <w:t>The New Regulatory Finance</w:t>
      </w:r>
      <w:r>
        <w:t>.</w:t>
      </w:r>
      <w:r w:rsidR="00BD560E">
        <w:t xml:space="preserve"> </w:t>
      </w:r>
      <w:r>
        <w:t xml:space="preserve">The results of the tests support the idea that beta is related to </w:t>
      </w:r>
      <w:r>
        <w:lastRenderedPageBreak/>
        <w:t>security returns, that the risk-return tradeoff is positive, and that the relationship is linear.</w:t>
      </w:r>
      <w:r w:rsidR="00BD560E">
        <w:t xml:space="preserve"> </w:t>
      </w:r>
      <w:r>
        <w:t xml:space="preserve">The contradictory finding is that the risk-return tradeoff is not as steeply sloped as the predicted </w:t>
      </w:r>
      <w:proofErr w:type="spellStart"/>
      <w:r>
        <w:t>CAPM</w:t>
      </w:r>
      <w:proofErr w:type="spellEnd"/>
      <w:r>
        <w:t>.</w:t>
      </w:r>
      <w:r w:rsidR="00BD560E">
        <w:t xml:space="preserve"> </w:t>
      </w:r>
      <w:r>
        <w:t xml:space="preserve">That is, empirical research has long shown that low-beta securities earn returns somewhat higher than the </w:t>
      </w:r>
      <w:proofErr w:type="spellStart"/>
      <w:r>
        <w:t>CAPM</w:t>
      </w:r>
      <w:proofErr w:type="spellEnd"/>
      <w:r>
        <w:t xml:space="preserve"> would predict, and high-beta securities earn less than predicted.</w:t>
      </w:r>
    </w:p>
    <w:p w14:paraId="5A81E702" w14:textId="77777777" w:rsidR="00E934CA" w:rsidRDefault="00290C67" w:rsidP="00E934CA">
      <w:pPr>
        <w:pStyle w:val="answer"/>
        <w:ind w:firstLine="0"/>
      </w:pPr>
      <w:r>
        <w:t xml:space="preserve">A </w:t>
      </w:r>
      <w:proofErr w:type="spellStart"/>
      <w:r>
        <w:t>CAPM</w:t>
      </w:r>
      <w:proofErr w:type="spellEnd"/>
      <w:r>
        <w:t>-based estimate of cost of capital underestimates the return required from low-beta securities and overstates the return required from high-beta securities, based on the empirical evidence.</w:t>
      </w:r>
      <w:r w:rsidR="00BD560E">
        <w:t xml:space="preserve"> </w:t>
      </w:r>
      <w:r>
        <w:t>This is one of the most well-known results in finance, and it is displayed graphically below.</w:t>
      </w:r>
    </w:p>
    <w:p w14:paraId="44881384" w14:textId="77777777" w:rsidR="00515371" w:rsidRDefault="00515371" w:rsidP="00515371">
      <w:pPr>
        <w:pStyle w:val="answer"/>
        <w:ind w:firstLine="0"/>
      </w:pPr>
      <w:r w:rsidRPr="00BA4ECC">
        <w:rPr>
          <w:noProof/>
          <w:lang w:eastAsia="en-US"/>
        </w:rPr>
        <w:drawing>
          <wp:inline distT="0" distB="0" distL="0" distR="0" wp14:anchorId="767F6199" wp14:editId="0FD01103">
            <wp:extent cx="4607949" cy="3826350"/>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5087" cy="3823973"/>
                    </a:xfrm>
                    <a:prstGeom prst="rect">
                      <a:avLst/>
                    </a:prstGeom>
                    <a:noFill/>
                    <a:ln>
                      <a:noFill/>
                    </a:ln>
                  </pic:spPr>
                </pic:pic>
              </a:graphicData>
            </a:graphic>
          </wp:inline>
        </w:drawing>
      </w:r>
    </w:p>
    <w:p w14:paraId="336175FC" w14:textId="77777777" w:rsidR="00290C67" w:rsidRDefault="00290C67" w:rsidP="00E934CA">
      <w:pPr>
        <w:pStyle w:val="answer"/>
        <w:ind w:firstLine="0"/>
      </w:pPr>
      <w:r>
        <w:lastRenderedPageBreak/>
        <w:t xml:space="preserve">A number of variations on the original </w:t>
      </w:r>
      <w:proofErr w:type="spellStart"/>
      <w:r>
        <w:t>CAPM</w:t>
      </w:r>
      <w:proofErr w:type="spellEnd"/>
      <w:r>
        <w:t xml:space="preserve"> theory have been proposed to explain this finding.</w:t>
      </w:r>
      <w:r w:rsidR="00BD560E">
        <w:t xml:space="preserve"> </w:t>
      </w:r>
      <w:r>
        <w:t xml:space="preserve">The </w:t>
      </w:r>
      <w:proofErr w:type="spellStart"/>
      <w:r>
        <w:t>ECAPM</w:t>
      </w:r>
      <w:proofErr w:type="spellEnd"/>
      <w:r>
        <w:t xml:space="preserve"> makes use of these empirical findings.</w:t>
      </w:r>
      <w:r w:rsidR="00BD560E">
        <w:t xml:space="preserve"> </w:t>
      </w:r>
      <w:r>
        <w:t xml:space="preserve">The </w:t>
      </w:r>
      <w:proofErr w:type="spellStart"/>
      <w:r>
        <w:t>ECAPM</w:t>
      </w:r>
      <w:proofErr w:type="spellEnd"/>
      <w:r>
        <w:t xml:space="preserve"> estimates the cost of capital with the equation:</w:t>
      </w:r>
    </w:p>
    <w:p w14:paraId="3CF825E1" w14:textId="1B45AC1C" w:rsidR="00E934CA" w:rsidRDefault="004E3010" w:rsidP="00D77509">
      <w:pPr>
        <w:pStyle w:val="Quote"/>
        <w:ind w:left="720"/>
        <w:jc w:val="center"/>
      </w:pPr>
      <w:r>
        <w:t xml:space="preserve">K </w:t>
      </w:r>
      <w:r w:rsidR="00E934CA">
        <w:t>=</w:t>
      </w:r>
      <w:r>
        <w:t xml:space="preserve"> </w:t>
      </w:r>
      <w:r w:rsidR="00E934CA">
        <w:t>R</w:t>
      </w:r>
      <w:r w:rsidR="00E934CA" w:rsidRPr="004E3010">
        <w:rPr>
          <w:vertAlign w:val="subscript"/>
        </w:rPr>
        <w:t>F</w:t>
      </w:r>
      <w:r>
        <w:t xml:space="preserve"> </w:t>
      </w:r>
      <w:r w:rsidR="00E934CA">
        <w:t>+</w:t>
      </w:r>
      <w:r>
        <w:t xml:space="preserve"> </w:t>
      </w:r>
      <w:r w:rsidRPr="00BA4ECC">
        <w:rPr>
          <w:spacing w:val="74"/>
        </w:rPr>
        <w:sym w:font="Symbol" w:char="F061"/>
      </w:r>
      <w:r w:rsidR="00E934CA">
        <w:t xml:space="preserve">+ </w:t>
      </w:r>
      <w:r>
        <w:t xml:space="preserve">β × </w:t>
      </w:r>
      <w:r w:rsidR="00E934CA">
        <w:t>(</w:t>
      </w:r>
      <w:proofErr w:type="spellStart"/>
      <w:r w:rsidR="00E934CA">
        <w:t>MRP</w:t>
      </w:r>
      <w:proofErr w:type="spellEnd"/>
      <w:r>
        <w:t xml:space="preserve"> – </w:t>
      </w:r>
      <w:r w:rsidRPr="00BA4ECC">
        <w:rPr>
          <w:spacing w:val="74"/>
        </w:rPr>
        <w:sym w:font="Symbol" w:char="F061"/>
      </w:r>
      <w:r w:rsidR="00E934CA">
        <w:t>)</w:t>
      </w:r>
    </w:p>
    <w:p w14:paraId="16D200B5" w14:textId="77777777" w:rsidR="00515371" w:rsidRDefault="00E934CA" w:rsidP="00E934CA">
      <w:pPr>
        <w:pStyle w:val="Quote"/>
        <w:tabs>
          <w:tab w:val="left" w:pos="3150"/>
          <w:tab w:val="left" w:pos="3420"/>
        </w:tabs>
        <w:spacing w:after="0"/>
        <w:ind w:left="2520" w:hanging="1080"/>
        <w:jc w:val="left"/>
        <w:rPr>
          <w:spacing w:val="74"/>
        </w:rPr>
      </w:pPr>
      <w:r>
        <w:t>where:</w:t>
      </w:r>
      <w:r>
        <w:tab/>
      </w:r>
      <w:r w:rsidR="00E51F7B">
        <w:t>K</w:t>
      </w:r>
      <w:r w:rsidR="00E51F7B">
        <w:tab/>
        <w:t>=</w:t>
      </w:r>
      <w:r w:rsidR="00E51F7B">
        <w:tab/>
        <w:t xml:space="preserve">investors’ expected return on equity </w:t>
      </w:r>
    </w:p>
    <w:p w14:paraId="1171DCAC" w14:textId="77777777" w:rsidR="00E51F7B" w:rsidRDefault="00E51F7B" w:rsidP="00515371">
      <w:pPr>
        <w:pStyle w:val="Quote"/>
        <w:tabs>
          <w:tab w:val="left" w:pos="3150"/>
          <w:tab w:val="left" w:pos="3420"/>
        </w:tabs>
        <w:spacing w:after="0"/>
        <w:ind w:left="2520"/>
        <w:jc w:val="left"/>
        <w:rPr>
          <w:spacing w:val="74"/>
        </w:rPr>
      </w:pPr>
      <w:r>
        <w:t>R</w:t>
      </w:r>
      <w:r w:rsidRPr="00515371">
        <w:rPr>
          <w:vertAlign w:val="subscript"/>
        </w:rPr>
        <w:t>F</w:t>
      </w:r>
      <w:r>
        <w:tab/>
        <w:t>=</w:t>
      </w:r>
      <w:r>
        <w:tab/>
        <w:t>the risk-free rate</w:t>
      </w:r>
    </w:p>
    <w:p w14:paraId="582B7FCF" w14:textId="77777777" w:rsidR="00E934CA" w:rsidRDefault="00515371" w:rsidP="00515371">
      <w:pPr>
        <w:pStyle w:val="Quote"/>
        <w:tabs>
          <w:tab w:val="left" w:pos="3150"/>
          <w:tab w:val="left" w:pos="3420"/>
        </w:tabs>
        <w:spacing w:after="0"/>
        <w:ind w:left="2520"/>
        <w:jc w:val="left"/>
      </w:pPr>
      <w:r w:rsidRPr="00BA4ECC">
        <w:rPr>
          <w:spacing w:val="74"/>
        </w:rPr>
        <w:sym w:font="Symbol" w:char="F061"/>
      </w:r>
      <w:r w:rsidR="00E934CA">
        <w:tab/>
        <w:t>=</w:t>
      </w:r>
      <w:r w:rsidR="00E934CA">
        <w:tab/>
      </w:r>
      <w:r>
        <w:t xml:space="preserve">the </w:t>
      </w:r>
      <w:r w:rsidR="00BD560E">
        <w:t>“</w:t>
      </w:r>
      <w:r>
        <w:t>constant</w:t>
      </w:r>
      <w:r w:rsidR="00BD560E">
        <w:t>”</w:t>
      </w:r>
      <w:r>
        <w:t xml:space="preserve"> of the risk-return line</w:t>
      </w:r>
    </w:p>
    <w:p w14:paraId="17D3136D" w14:textId="77777777" w:rsidR="00515371" w:rsidRDefault="00E51F7B" w:rsidP="00E51F7B">
      <w:pPr>
        <w:pStyle w:val="Quote"/>
        <w:tabs>
          <w:tab w:val="left" w:pos="3150"/>
          <w:tab w:val="left" w:pos="3420"/>
        </w:tabs>
        <w:spacing w:after="0"/>
        <w:ind w:left="3420" w:hanging="900"/>
        <w:jc w:val="left"/>
      </w:pPr>
      <w:r>
        <w:t>β</w:t>
      </w:r>
      <w:r w:rsidR="00E934CA">
        <w:tab/>
        <w:t>=</w:t>
      </w:r>
      <w:r w:rsidR="00E934CA">
        <w:tab/>
      </w:r>
      <w:r>
        <w:t>systematic risk (i.e., change in a security’s return relative to that of the market)</w:t>
      </w:r>
    </w:p>
    <w:p w14:paraId="179CED4E" w14:textId="77777777" w:rsidR="00E934CA" w:rsidRPr="00204E73" w:rsidRDefault="00E51F7B" w:rsidP="00E934CA">
      <w:pPr>
        <w:pStyle w:val="Quote"/>
        <w:tabs>
          <w:tab w:val="left" w:pos="3150"/>
          <w:tab w:val="left" w:pos="3420"/>
        </w:tabs>
        <w:ind w:left="3154" w:hanging="634"/>
        <w:jc w:val="left"/>
        <w:rPr>
          <w:lang w:val="sv-SE"/>
        </w:rPr>
      </w:pPr>
      <w:r w:rsidRPr="00204E73">
        <w:rPr>
          <w:lang w:val="sv-SE"/>
        </w:rPr>
        <w:t>MRP</w:t>
      </w:r>
      <w:r w:rsidRPr="00204E73">
        <w:rPr>
          <w:lang w:val="sv-SE"/>
        </w:rPr>
        <w:tab/>
        <w:t>=</w:t>
      </w:r>
      <w:r w:rsidRPr="00204E73">
        <w:rPr>
          <w:lang w:val="sv-SE"/>
        </w:rPr>
        <w:tab/>
        <w:t>market risk premium (i.e., (R</w:t>
      </w:r>
      <w:r w:rsidRPr="00204E73">
        <w:rPr>
          <w:vertAlign w:val="subscript"/>
          <w:lang w:val="sv-SE"/>
        </w:rPr>
        <w:t>M</w:t>
      </w:r>
      <w:r w:rsidRPr="00204E73">
        <w:rPr>
          <w:lang w:val="sv-SE"/>
        </w:rPr>
        <w:t xml:space="preserve"> – R</w:t>
      </w:r>
      <w:r w:rsidRPr="00204E73">
        <w:rPr>
          <w:vertAlign w:val="subscript"/>
          <w:lang w:val="sv-SE"/>
        </w:rPr>
        <w:t>F</w:t>
      </w:r>
      <w:r w:rsidRPr="00204E73">
        <w:rPr>
          <w:lang w:val="sv-SE"/>
        </w:rPr>
        <w:t>)</w:t>
      </w:r>
    </w:p>
    <w:p w14:paraId="7A487F5B" w14:textId="77777777" w:rsidR="00290C67" w:rsidRDefault="00290C67" w:rsidP="000952C3">
      <w:pPr>
        <w:pStyle w:val="answer"/>
        <w:keepNext/>
        <w:ind w:firstLine="0"/>
      </w:pPr>
      <w:r>
        <w:t xml:space="preserve">Inserting the long-term risk-free rate as a proxy for the risk-free rate, an alpha in the range of 1% - 2%, and reasonable values of beta and the </w:t>
      </w:r>
      <w:proofErr w:type="spellStart"/>
      <w:r>
        <w:t>MRP</w:t>
      </w:r>
      <w:proofErr w:type="spellEnd"/>
      <w:r>
        <w:t xml:space="preserve"> in the above equation produces results that are indistinguishable from the following more tractable </w:t>
      </w:r>
      <w:proofErr w:type="spellStart"/>
      <w:r>
        <w:t>ECAPM</w:t>
      </w:r>
      <w:proofErr w:type="spellEnd"/>
      <w:r>
        <w:t xml:space="preserve"> expression:</w:t>
      </w:r>
    </w:p>
    <w:p w14:paraId="4A4AC4D6" w14:textId="5A8C4B08" w:rsidR="00290C67" w:rsidRDefault="00290C67" w:rsidP="00D77509">
      <w:pPr>
        <w:pStyle w:val="Quote"/>
        <w:ind w:left="720"/>
        <w:jc w:val="center"/>
      </w:pPr>
      <w:r>
        <w:t>K</w:t>
      </w:r>
      <w:r w:rsidR="00BD560E">
        <w:t xml:space="preserve"> </w:t>
      </w:r>
      <w:r>
        <w:t>=</w:t>
      </w:r>
      <w:r w:rsidR="00BD560E">
        <w:t xml:space="preserve"> </w:t>
      </w:r>
      <w:r>
        <w:t>R</w:t>
      </w:r>
      <w:r w:rsidRPr="00E51F7B">
        <w:rPr>
          <w:vertAlign w:val="subscript"/>
        </w:rPr>
        <w:t>F</w:t>
      </w:r>
      <w:r w:rsidR="00BD560E">
        <w:t xml:space="preserve"> </w:t>
      </w:r>
      <w:r>
        <w:t>+</w:t>
      </w:r>
      <w:r w:rsidR="00BD560E">
        <w:t xml:space="preserve"> </w:t>
      </w:r>
      <w:r>
        <w:t xml:space="preserve">0.25 </w:t>
      </w:r>
      <w:r w:rsidR="00E51F7B">
        <w:t xml:space="preserve">× </w:t>
      </w:r>
      <w:r>
        <w:t>(</w:t>
      </w:r>
      <w:r w:rsidR="00E51F7B">
        <w:t>R</w:t>
      </w:r>
      <w:r w:rsidR="00E51F7B" w:rsidRPr="00E51F7B">
        <w:rPr>
          <w:vertAlign w:val="subscript"/>
        </w:rPr>
        <w:t>M</w:t>
      </w:r>
      <w:r w:rsidR="00E51F7B">
        <w:t xml:space="preserve"> – R</w:t>
      </w:r>
      <w:r w:rsidR="00E51F7B" w:rsidRPr="00E51F7B">
        <w:rPr>
          <w:vertAlign w:val="subscript"/>
        </w:rPr>
        <w:t>F</w:t>
      </w:r>
      <w:r>
        <w:t>)</w:t>
      </w:r>
      <w:r w:rsidR="00BD560E">
        <w:t xml:space="preserve"> </w:t>
      </w:r>
      <w:r>
        <w:t>+</w:t>
      </w:r>
      <w:r w:rsidR="00BD560E">
        <w:t xml:space="preserve"> </w:t>
      </w:r>
      <w:r>
        <w:t>0.75</w:t>
      </w:r>
      <w:r w:rsidR="00E51F7B">
        <w:t xml:space="preserve"> × β</w:t>
      </w:r>
      <w:r>
        <w:t xml:space="preserve"> </w:t>
      </w:r>
      <w:r w:rsidR="00E51F7B">
        <w:t xml:space="preserve">× </w:t>
      </w:r>
      <w:r>
        <w:t>(</w:t>
      </w:r>
      <w:r w:rsidR="00E51F7B">
        <w:t>R</w:t>
      </w:r>
      <w:r w:rsidR="00E51F7B" w:rsidRPr="00E51F7B">
        <w:rPr>
          <w:vertAlign w:val="subscript"/>
        </w:rPr>
        <w:t>M</w:t>
      </w:r>
      <w:r w:rsidR="00E51F7B">
        <w:t xml:space="preserve"> – R</w:t>
      </w:r>
      <w:r w:rsidR="00E51F7B" w:rsidRPr="00E51F7B">
        <w:rPr>
          <w:vertAlign w:val="subscript"/>
        </w:rPr>
        <w:t>F</w:t>
      </w:r>
      <w:r>
        <w:t>)</w:t>
      </w:r>
    </w:p>
    <w:p w14:paraId="316E2C78" w14:textId="77777777" w:rsidR="00E51F7B" w:rsidRDefault="00290C67" w:rsidP="00E51F7B">
      <w:pPr>
        <w:pStyle w:val="answer"/>
        <w:ind w:firstLine="0"/>
      </w:pPr>
      <w:r>
        <w:t>An alpha range of 1% - 2% is somewhat lower than that estimated empirically.</w:t>
      </w:r>
      <w:r w:rsidR="00BD560E">
        <w:t xml:space="preserve"> </w:t>
      </w:r>
      <w:r>
        <w:t>The use of a lower value for alpha leads to a lower estimate of the cost of capital for low-beta stocks such as regulated utilities.</w:t>
      </w:r>
      <w:r w:rsidR="00BD560E">
        <w:t xml:space="preserve"> </w:t>
      </w:r>
      <w:r>
        <w:t xml:space="preserve">This is because the use of a long-term risk-free rate rather than a short-term risk-free rate already incorporates some of the desired effect of using the </w:t>
      </w:r>
      <w:proofErr w:type="spellStart"/>
      <w:r>
        <w:t>ECAPM</w:t>
      </w:r>
      <w:proofErr w:type="spellEnd"/>
      <w:r>
        <w:t>.</w:t>
      </w:r>
      <w:r w:rsidR="00BD560E">
        <w:t xml:space="preserve"> </w:t>
      </w:r>
      <w:r>
        <w:t xml:space="preserve">In other words, the long-term risk-free rate version of the </w:t>
      </w:r>
      <w:proofErr w:type="spellStart"/>
      <w:r>
        <w:t>CAPM</w:t>
      </w:r>
      <w:proofErr w:type="spellEnd"/>
      <w:r>
        <w:t xml:space="preserve"> has a higher intercept and a flatter slope than the short-term risk-free version which has been tested.</w:t>
      </w:r>
      <w:r w:rsidR="00BD560E">
        <w:t xml:space="preserve"> </w:t>
      </w:r>
      <w:r>
        <w:t xml:space="preserve">This is also because the use of adjusted betas rather than the use of raw betas also incorporates some of the </w:t>
      </w:r>
      <w:r>
        <w:lastRenderedPageBreak/>
        <w:t xml:space="preserve">desired effect of using the </w:t>
      </w:r>
      <w:proofErr w:type="spellStart"/>
      <w:r>
        <w:t>ECAPM</w:t>
      </w:r>
      <w:proofErr w:type="spellEnd"/>
      <w:r>
        <w:t>.</w:t>
      </w:r>
      <w:r w:rsidR="00CF1144" w:rsidRPr="00CF1144">
        <w:rPr>
          <w:rFonts w:eastAsia="Times New Roman"/>
          <w:spacing w:val="4"/>
          <w:position w:val="6"/>
          <w:sz w:val="16"/>
          <w:szCs w:val="20"/>
        </w:rPr>
        <w:footnoteReference w:id="15"/>
      </w:r>
      <w:r w:rsidR="00BD560E">
        <w:t xml:space="preserve"> </w:t>
      </w:r>
      <w:r>
        <w:t>Thus, it is reasonable to apply a conservative alpha adjustment.</w:t>
      </w:r>
    </w:p>
    <w:p w14:paraId="6AACD28E" w14:textId="430C2077" w:rsidR="006D1FD8" w:rsidRDefault="006D1FD8" w:rsidP="00E51F7B">
      <w:pPr>
        <w:pStyle w:val="answer"/>
        <w:ind w:firstLine="0"/>
      </w:pPr>
      <w:r>
        <w:t>Please see Exhibit No. ___(RAM-</w:t>
      </w:r>
      <w:r w:rsidR="00456C55">
        <w:t>8</w:t>
      </w:r>
      <w:r>
        <w:t xml:space="preserve">) for </w:t>
      </w:r>
      <w:r w:rsidR="00290C67">
        <w:t xml:space="preserve">a discussion of the </w:t>
      </w:r>
      <w:proofErr w:type="spellStart"/>
      <w:r w:rsidR="00290C67">
        <w:t>ECAPM</w:t>
      </w:r>
      <w:proofErr w:type="spellEnd"/>
      <w:r w:rsidR="00290C67">
        <w:t>, including its theoretical and empirical underpinnings.</w:t>
      </w:r>
    </w:p>
    <w:p w14:paraId="015EDA40" w14:textId="77777777" w:rsidR="00F0424B" w:rsidRDefault="00290C67" w:rsidP="00F0424B">
      <w:pPr>
        <w:pStyle w:val="answer"/>
        <w:ind w:firstLine="0"/>
      </w:pPr>
      <w:r>
        <w:t>In short, the following equation provides a viable approximation to the observed relationship between risk and return, and provides the following cost of equity capital estimate:</w:t>
      </w:r>
    </w:p>
    <w:p w14:paraId="11152464" w14:textId="339E148B" w:rsidR="00E51F7B" w:rsidRDefault="00E51F7B" w:rsidP="00F0424B">
      <w:pPr>
        <w:pStyle w:val="answer"/>
        <w:ind w:firstLine="0"/>
        <w:jc w:val="center"/>
      </w:pPr>
      <w:r>
        <w:t>K = R</w:t>
      </w:r>
      <w:r w:rsidRPr="00E51F7B">
        <w:rPr>
          <w:vertAlign w:val="subscript"/>
        </w:rPr>
        <w:t>F</w:t>
      </w:r>
      <w:r>
        <w:t xml:space="preserve"> + 0.25 × (R</w:t>
      </w:r>
      <w:r w:rsidRPr="00E51F7B">
        <w:rPr>
          <w:vertAlign w:val="subscript"/>
        </w:rPr>
        <w:t>M</w:t>
      </w:r>
      <w:r>
        <w:t xml:space="preserve"> – R</w:t>
      </w:r>
      <w:r w:rsidRPr="00E51F7B">
        <w:rPr>
          <w:vertAlign w:val="subscript"/>
        </w:rPr>
        <w:t>F</w:t>
      </w:r>
      <w:r>
        <w:t>) + 0.75 × β × (R</w:t>
      </w:r>
      <w:r w:rsidRPr="00E51F7B">
        <w:rPr>
          <w:vertAlign w:val="subscript"/>
        </w:rPr>
        <w:t>M</w:t>
      </w:r>
      <w:r>
        <w:t xml:space="preserve"> – R</w:t>
      </w:r>
      <w:r w:rsidRPr="00E51F7B">
        <w:rPr>
          <w:vertAlign w:val="subscript"/>
        </w:rPr>
        <w:t>F</w:t>
      </w:r>
      <w:r>
        <w:t>)</w:t>
      </w:r>
    </w:p>
    <w:p w14:paraId="7321BDCF" w14:textId="3ABCF521" w:rsidR="00290C67" w:rsidRDefault="00290C67" w:rsidP="00E51F7B">
      <w:pPr>
        <w:pStyle w:val="answer"/>
        <w:ind w:firstLine="0"/>
      </w:pPr>
      <w:r>
        <w:t xml:space="preserve">Inserting the risk-free rate </w:t>
      </w:r>
      <w:r w:rsidR="006D1FD8">
        <w:t>(R</w:t>
      </w:r>
      <w:r w:rsidR="006D1FD8" w:rsidRPr="000F5344">
        <w:rPr>
          <w:vertAlign w:val="subscript"/>
        </w:rPr>
        <w:t>F</w:t>
      </w:r>
      <w:r w:rsidR="00BE44C3">
        <w:t>) of 4.4</w:t>
      </w:r>
      <w:r w:rsidR="006D1FD8">
        <w:t>%,</w:t>
      </w:r>
      <w:r>
        <w:t xml:space="preserve"> a</w:t>
      </w:r>
      <w:r w:rsidR="006D1FD8">
        <w:t>n</w:t>
      </w:r>
      <w:r>
        <w:t xml:space="preserve"> </w:t>
      </w:r>
      <w:proofErr w:type="spellStart"/>
      <w:r>
        <w:t>MRP</w:t>
      </w:r>
      <w:proofErr w:type="spellEnd"/>
      <w:r>
        <w:t xml:space="preserve"> </w:t>
      </w:r>
      <w:r w:rsidR="006D1FD8">
        <w:t>((R</w:t>
      </w:r>
      <w:r w:rsidR="006D1FD8" w:rsidRPr="00E51F7B">
        <w:rPr>
          <w:vertAlign w:val="subscript"/>
        </w:rPr>
        <w:t>M</w:t>
      </w:r>
      <w:r w:rsidR="006D1FD8">
        <w:t xml:space="preserve"> – R</w:t>
      </w:r>
      <w:r w:rsidR="006D1FD8" w:rsidRPr="00E51F7B">
        <w:rPr>
          <w:vertAlign w:val="subscript"/>
        </w:rPr>
        <w:t>F</w:t>
      </w:r>
      <w:r w:rsidR="00F409A1">
        <w:t xml:space="preserve"> )</w:t>
      </w:r>
      <w:r w:rsidR="00BE44C3">
        <w:t xml:space="preserve"> of 7.0</w:t>
      </w:r>
      <w:r>
        <w:t>%</w:t>
      </w:r>
      <w:r w:rsidR="006D1FD8">
        <w:t xml:space="preserve">, </w:t>
      </w:r>
      <w:r>
        <w:t>and a beta</w:t>
      </w:r>
      <w:r w:rsidR="006D1FD8">
        <w:t> (β)</w:t>
      </w:r>
      <w:r w:rsidR="00BE44C3">
        <w:t xml:space="preserve"> of 0.70</w:t>
      </w:r>
      <w:r>
        <w:t xml:space="preserve"> in the above equation, t</w:t>
      </w:r>
      <w:r w:rsidR="00BE44C3">
        <w:t>he return on common equity is 9.8</w:t>
      </w:r>
      <w:r>
        <w:t>%.</w:t>
      </w:r>
    </w:p>
    <w:p w14:paraId="707BA8DB" w14:textId="77777777" w:rsidR="00290C67" w:rsidRDefault="00290C67" w:rsidP="00BF05CC">
      <w:pPr>
        <w:pStyle w:val="question"/>
      </w:pPr>
      <w:r>
        <w:t>Q.</w:t>
      </w:r>
      <w:r>
        <w:tab/>
        <w:t xml:space="preserve">Is the use of the </w:t>
      </w:r>
      <w:proofErr w:type="spellStart"/>
      <w:r>
        <w:t>ECAPM</w:t>
      </w:r>
      <w:proofErr w:type="spellEnd"/>
      <w:r>
        <w:t xml:space="preserve"> consistent with the use of adjusted betas?</w:t>
      </w:r>
    </w:p>
    <w:p w14:paraId="5309C0BC" w14:textId="547791E7" w:rsidR="00290C67" w:rsidRDefault="00290C67" w:rsidP="00E51F7B">
      <w:pPr>
        <w:pStyle w:val="answer"/>
      </w:pPr>
      <w:r>
        <w:t>A.</w:t>
      </w:r>
      <w:r>
        <w:tab/>
        <w:t>Yes, it is.</w:t>
      </w:r>
      <w:r w:rsidR="00BD560E">
        <w:t xml:space="preserve"> </w:t>
      </w:r>
      <w:r>
        <w:t xml:space="preserve">Some have argued that the use of the </w:t>
      </w:r>
      <w:proofErr w:type="spellStart"/>
      <w:r>
        <w:t>ECAPM</w:t>
      </w:r>
      <w:proofErr w:type="spellEnd"/>
      <w:r>
        <w:t xml:space="preserve"> is inconsistent with the use of adjusted betas, such as those supplied by Value Line, Bloomberg, and Morningstar.</w:t>
      </w:r>
      <w:r w:rsidR="00BD560E">
        <w:t xml:space="preserve"> </w:t>
      </w:r>
      <w:r>
        <w:t xml:space="preserve">This is because the reason for using the </w:t>
      </w:r>
      <w:proofErr w:type="spellStart"/>
      <w:r>
        <w:t>ECAPM</w:t>
      </w:r>
      <w:proofErr w:type="spellEnd"/>
      <w:r>
        <w:t xml:space="preserve"> is to allow for the tendency of betas to regress toward the mean value of 1.00 over time, and, since Value Line betas are already adjusted for such trend, an </w:t>
      </w:r>
      <w:proofErr w:type="spellStart"/>
      <w:r>
        <w:t>ECAPM</w:t>
      </w:r>
      <w:proofErr w:type="spellEnd"/>
      <w:r>
        <w:t xml:space="preserve"> analysis results in double-counting.</w:t>
      </w:r>
      <w:r w:rsidR="00BD560E">
        <w:t xml:space="preserve"> </w:t>
      </w:r>
      <w:r>
        <w:t>This argument is erroneous.</w:t>
      </w:r>
      <w:r w:rsidR="00BD560E">
        <w:t xml:space="preserve"> </w:t>
      </w:r>
      <w:r>
        <w:t xml:space="preserve">Fundamentally, the </w:t>
      </w:r>
      <w:proofErr w:type="spellStart"/>
      <w:r>
        <w:t>ECAPM</w:t>
      </w:r>
      <w:proofErr w:type="spellEnd"/>
      <w:r>
        <w:t xml:space="preserve"> is </w:t>
      </w:r>
      <w:r>
        <w:lastRenderedPageBreak/>
        <w:t>not an adjustment, increase or decrease in beta.</w:t>
      </w:r>
      <w:r w:rsidR="00BD560E">
        <w:t xml:space="preserve"> </w:t>
      </w:r>
      <w:r>
        <w:t xml:space="preserve">The observed return on high beta securities is actually lower than that produced by the </w:t>
      </w:r>
      <w:proofErr w:type="spellStart"/>
      <w:r>
        <w:t>CAPM</w:t>
      </w:r>
      <w:proofErr w:type="spellEnd"/>
      <w:r>
        <w:t xml:space="preserve"> estimate.</w:t>
      </w:r>
      <w:r w:rsidR="00BD560E">
        <w:t xml:space="preserve"> </w:t>
      </w:r>
      <w:r>
        <w:t xml:space="preserve">The </w:t>
      </w:r>
      <w:proofErr w:type="spellStart"/>
      <w:r>
        <w:t>ECAPM</w:t>
      </w:r>
      <w:proofErr w:type="spellEnd"/>
      <w:r>
        <w:t xml:space="preserve"> is a formal recognition that the observed risk-return tradeoff is flatter than predicted by the </w:t>
      </w:r>
      <w:proofErr w:type="spellStart"/>
      <w:r>
        <w:t>CAPM</w:t>
      </w:r>
      <w:proofErr w:type="spellEnd"/>
      <w:r>
        <w:t xml:space="preserve"> based on myriad empirical evidence.</w:t>
      </w:r>
      <w:r w:rsidR="00BD560E">
        <w:t xml:space="preserve"> </w:t>
      </w:r>
      <w:r>
        <w:t xml:space="preserve">The </w:t>
      </w:r>
      <w:proofErr w:type="spellStart"/>
      <w:r>
        <w:t>ECAPM</w:t>
      </w:r>
      <w:proofErr w:type="spellEnd"/>
      <w:r>
        <w:t xml:space="preserve"> and the use of adjusted betas comprise two separate features of asset pricing.</w:t>
      </w:r>
      <w:r w:rsidR="00BD560E">
        <w:t xml:space="preserve"> </w:t>
      </w:r>
      <w:r>
        <w:t>Even if a company</w:t>
      </w:r>
      <w:r w:rsidR="00BD560E">
        <w:t>’</w:t>
      </w:r>
      <w:r>
        <w:t xml:space="preserve">s beta is estimated accurately, the </w:t>
      </w:r>
      <w:proofErr w:type="spellStart"/>
      <w:r>
        <w:t>CAPM</w:t>
      </w:r>
      <w:proofErr w:type="spellEnd"/>
      <w:r>
        <w:t xml:space="preserve"> still understates the return for low-beta stocks.</w:t>
      </w:r>
      <w:r w:rsidR="00BD560E">
        <w:t xml:space="preserve"> </w:t>
      </w:r>
      <w:r>
        <w:t xml:space="preserve">Even if the </w:t>
      </w:r>
      <w:proofErr w:type="spellStart"/>
      <w:r>
        <w:t>ECAPM</w:t>
      </w:r>
      <w:proofErr w:type="spellEnd"/>
      <w:r>
        <w:t xml:space="preserve"> is used, the return for low-beta securities is understated if the betas are understated.</w:t>
      </w:r>
      <w:r w:rsidR="00BD560E">
        <w:t xml:space="preserve"> </w:t>
      </w:r>
      <w:r>
        <w:t xml:space="preserve">Referring back to the previous graph, the </w:t>
      </w:r>
      <w:proofErr w:type="spellStart"/>
      <w:r>
        <w:t>ECAPM</w:t>
      </w:r>
      <w:proofErr w:type="spellEnd"/>
      <w:r>
        <w:t xml:space="preserve"> is a return (vertical axis) adjustment and not a beta (horizontal axis) adjustment.</w:t>
      </w:r>
      <w:r w:rsidR="00BD560E">
        <w:t xml:space="preserve"> </w:t>
      </w:r>
      <w:r>
        <w:t>Both adjustments are necessary.</w:t>
      </w:r>
      <w:r w:rsidR="00BD560E">
        <w:t xml:space="preserve"> </w:t>
      </w:r>
      <w:r>
        <w:t>Moreover, the use of adjusted betas compensates for interest rate sensitivity of utility stocks no</w:t>
      </w:r>
      <w:r w:rsidR="00F0424B">
        <w:t>t captured by unadjusted betas.</w:t>
      </w:r>
    </w:p>
    <w:p w14:paraId="3833CAC8" w14:textId="77777777" w:rsidR="00290C67" w:rsidRDefault="00290C67" w:rsidP="00BF05CC">
      <w:pPr>
        <w:pStyle w:val="question"/>
      </w:pPr>
      <w:r>
        <w:t>Q.</w:t>
      </w:r>
      <w:r>
        <w:tab/>
        <w:t xml:space="preserve">Please summarize your </w:t>
      </w:r>
      <w:proofErr w:type="spellStart"/>
      <w:r>
        <w:t>CAPM</w:t>
      </w:r>
      <w:proofErr w:type="spellEnd"/>
      <w:r>
        <w:t xml:space="preserve"> estimates.</w:t>
      </w:r>
    </w:p>
    <w:p w14:paraId="35F7365F" w14:textId="59CB6A98" w:rsidR="00290C67" w:rsidRDefault="00290C67" w:rsidP="00E51F7B">
      <w:pPr>
        <w:pStyle w:val="answer"/>
      </w:pPr>
      <w:r>
        <w:t>A.</w:t>
      </w:r>
      <w:r>
        <w:tab/>
      </w:r>
      <w:r w:rsidR="005B1412">
        <w:t>Table 4</w:t>
      </w:r>
      <w:r>
        <w:t xml:space="preserve"> below summarizes the common equity estimates </w:t>
      </w:r>
      <w:r w:rsidR="00911668">
        <w:t xml:space="preserve">obtained from the </w:t>
      </w:r>
      <w:proofErr w:type="spellStart"/>
      <w:r w:rsidR="00911668">
        <w:t>CAPM</w:t>
      </w:r>
      <w:proofErr w:type="spellEnd"/>
      <w:r w:rsidR="00911668">
        <w:t xml:space="preserve"> studies.</w:t>
      </w:r>
    </w:p>
    <w:p w14:paraId="67ED9A93" w14:textId="77777777" w:rsidR="00100704" w:rsidRPr="00B57D60" w:rsidRDefault="00100704" w:rsidP="00911668">
      <w:pPr>
        <w:keepNext/>
        <w:keepLines/>
        <w:spacing w:after="120"/>
        <w:ind w:left="1627" w:right="1627"/>
        <w:jc w:val="center"/>
        <w:rPr>
          <w:b/>
        </w:rPr>
      </w:pPr>
      <w:r w:rsidRPr="00B57D60">
        <w:rPr>
          <w:b/>
        </w:rPr>
        <w:t xml:space="preserve">Table </w:t>
      </w:r>
      <w:r w:rsidR="00B91E54">
        <w:rPr>
          <w:b/>
        </w:rPr>
        <w:t>4</w:t>
      </w:r>
      <w:r w:rsidRPr="00B57D60">
        <w:rPr>
          <w:b/>
        </w:rPr>
        <w:t>.</w:t>
      </w:r>
      <w:r>
        <w:rPr>
          <w:b/>
        </w:rPr>
        <w:t xml:space="preserve"> </w:t>
      </w:r>
      <w:proofErr w:type="spellStart"/>
      <w:r>
        <w:rPr>
          <w:b/>
        </w:rPr>
        <w:t>CAPM</w:t>
      </w:r>
      <w:proofErr w:type="spellEnd"/>
      <w:r>
        <w:rPr>
          <w:b/>
        </w:rPr>
        <w:t xml:space="preserve"> </w:t>
      </w:r>
      <w:r w:rsidRPr="00B57D60">
        <w:rPr>
          <w:b/>
        </w:rPr>
        <w:t>Estimates for PSE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255"/>
      </w:tblGrid>
      <w:tr w:rsidR="00100704" w14:paraId="025A4B9C" w14:textId="77777777" w:rsidTr="00D93DC9">
        <w:trPr>
          <w:jc w:val="center"/>
        </w:trPr>
        <w:tc>
          <w:tcPr>
            <w:tcW w:w="4073" w:type="dxa"/>
            <w:tcBorders>
              <w:bottom w:val="single" w:sz="4" w:space="0" w:color="auto"/>
            </w:tcBorders>
            <w:shd w:val="clear" w:color="auto" w:fill="auto"/>
          </w:tcPr>
          <w:p w14:paraId="214FDEDC" w14:textId="77777777" w:rsidR="00100704" w:rsidRPr="00B57D60" w:rsidRDefault="00100704" w:rsidP="00D93DC9">
            <w:pPr>
              <w:spacing w:before="60" w:after="60" w:line="240" w:lineRule="auto"/>
              <w:ind w:firstLine="0"/>
              <w:jc w:val="center"/>
              <w:rPr>
                <w:b/>
              </w:rPr>
            </w:pPr>
            <w:proofErr w:type="spellStart"/>
            <w:r>
              <w:rPr>
                <w:b/>
              </w:rPr>
              <w:t>CAPM</w:t>
            </w:r>
            <w:proofErr w:type="spellEnd"/>
            <w:r>
              <w:rPr>
                <w:b/>
              </w:rPr>
              <w:t xml:space="preserve"> Method</w:t>
            </w:r>
          </w:p>
        </w:tc>
        <w:tc>
          <w:tcPr>
            <w:tcW w:w="1255" w:type="dxa"/>
            <w:tcBorders>
              <w:bottom w:val="single" w:sz="4" w:space="0" w:color="auto"/>
            </w:tcBorders>
            <w:shd w:val="clear" w:color="auto" w:fill="auto"/>
          </w:tcPr>
          <w:p w14:paraId="10254F27" w14:textId="77777777" w:rsidR="00100704" w:rsidRPr="00B57D60" w:rsidRDefault="00100704" w:rsidP="00D93DC9">
            <w:pPr>
              <w:spacing w:before="60" w:after="60" w:line="240" w:lineRule="auto"/>
              <w:ind w:firstLine="0"/>
              <w:jc w:val="center"/>
              <w:rPr>
                <w:b/>
              </w:rPr>
            </w:pPr>
            <w:r w:rsidRPr="00B57D60">
              <w:rPr>
                <w:b/>
              </w:rPr>
              <w:t>ROE</w:t>
            </w:r>
          </w:p>
        </w:tc>
      </w:tr>
      <w:tr w:rsidR="00100704" w14:paraId="7B72A6E7" w14:textId="77777777" w:rsidTr="00D93DC9">
        <w:trPr>
          <w:jc w:val="center"/>
        </w:trPr>
        <w:tc>
          <w:tcPr>
            <w:tcW w:w="4073" w:type="dxa"/>
            <w:tcBorders>
              <w:top w:val="single" w:sz="4" w:space="0" w:color="auto"/>
            </w:tcBorders>
          </w:tcPr>
          <w:p w14:paraId="5D135B3D" w14:textId="77777777" w:rsidR="00100704" w:rsidRDefault="00100704" w:rsidP="00D93DC9">
            <w:pPr>
              <w:spacing w:before="60" w:after="60" w:line="240" w:lineRule="auto"/>
              <w:ind w:firstLine="0"/>
            </w:pPr>
            <w:r>
              <w:t xml:space="preserve">Traditional </w:t>
            </w:r>
            <w:proofErr w:type="spellStart"/>
            <w:r>
              <w:t>CAPM</w:t>
            </w:r>
            <w:proofErr w:type="spellEnd"/>
          </w:p>
        </w:tc>
        <w:tc>
          <w:tcPr>
            <w:tcW w:w="1255" w:type="dxa"/>
            <w:tcBorders>
              <w:top w:val="single" w:sz="4" w:space="0" w:color="auto"/>
            </w:tcBorders>
          </w:tcPr>
          <w:p w14:paraId="4AA01C83" w14:textId="5F308052" w:rsidR="00100704" w:rsidRDefault="00BE44C3" w:rsidP="00F0424B">
            <w:pPr>
              <w:spacing w:before="60" w:after="60" w:line="240" w:lineRule="auto"/>
              <w:ind w:firstLine="0"/>
              <w:jc w:val="center"/>
            </w:pPr>
            <w:r>
              <w:t>9.3</w:t>
            </w:r>
            <w:r w:rsidR="00100704">
              <w:t>%</w:t>
            </w:r>
          </w:p>
        </w:tc>
      </w:tr>
      <w:tr w:rsidR="00100704" w14:paraId="62CF1F46" w14:textId="77777777" w:rsidTr="00D93DC9">
        <w:trPr>
          <w:jc w:val="center"/>
        </w:trPr>
        <w:tc>
          <w:tcPr>
            <w:tcW w:w="4073" w:type="dxa"/>
          </w:tcPr>
          <w:p w14:paraId="7879D989" w14:textId="77777777" w:rsidR="00100704" w:rsidRDefault="00100704" w:rsidP="00D93DC9">
            <w:pPr>
              <w:spacing w:before="60" w:after="60" w:line="240" w:lineRule="auto"/>
              <w:ind w:firstLine="0"/>
            </w:pPr>
            <w:r>
              <w:t xml:space="preserve">Empirical </w:t>
            </w:r>
            <w:proofErr w:type="spellStart"/>
            <w:r>
              <w:t>CAPM</w:t>
            </w:r>
            <w:proofErr w:type="spellEnd"/>
            <w:r>
              <w:t xml:space="preserve"> (</w:t>
            </w:r>
            <w:proofErr w:type="spellStart"/>
            <w:r>
              <w:t>ECAPM</w:t>
            </w:r>
            <w:proofErr w:type="spellEnd"/>
            <w:r>
              <w:t>)</w:t>
            </w:r>
          </w:p>
        </w:tc>
        <w:tc>
          <w:tcPr>
            <w:tcW w:w="1255" w:type="dxa"/>
          </w:tcPr>
          <w:p w14:paraId="759B5314" w14:textId="62B7A62D" w:rsidR="00100704" w:rsidRDefault="00BE44C3" w:rsidP="00100704">
            <w:pPr>
              <w:spacing w:before="60" w:after="60" w:line="240" w:lineRule="auto"/>
              <w:ind w:firstLine="0"/>
              <w:jc w:val="center"/>
            </w:pPr>
            <w:r>
              <w:t>9.8</w:t>
            </w:r>
            <w:r w:rsidR="00100704">
              <w:t>%</w:t>
            </w:r>
          </w:p>
        </w:tc>
      </w:tr>
    </w:tbl>
    <w:p w14:paraId="3EEFA7C2" w14:textId="77777777" w:rsidR="00290C67" w:rsidRDefault="00290C67" w:rsidP="000952C3">
      <w:pPr>
        <w:pStyle w:val="Heading2"/>
        <w:spacing w:before="360"/>
      </w:pPr>
      <w:bookmarkStart w:id="26" w:name="_Toc468636161"/>
      <w:bookmarkStart w:id="27" w:name="_Toc443553407"/>
      <w:r>
        <w:lastRenderedPageBreak/>
        <w:t>C.</w:t>
      </w:r>
      <w:r>
        <w:tab/>
        <w:t>Historical Risk Premium Estimates</w:t>
      </w:r>
      <w:bookmarkEnd w:id="26"/>
      <w:bookmarkEnd w:id="27"/>
    </w:p>
    <w:p w14:paraId="0B038377" w14:textId="05492357" w:rsidR="00290C67" w:rsidRDefault="00290C67" w:rsidP="00BF05CC">
      <w:pPr>
        <w:pStyle w:val="question"/>
      </w:pPr>
      <w:r>
        <w:t>Q.</w:t>
      </w:r>
      <w:r>
        <w:tab/>
        <w:t xml:space="preserve">Please describe your historical risk premium analysis of the utility industry using </w:t>
      </w:r>
      <w:r w:rsidR="00A53AFE">
        <w:t>T</w:t>
      </w:r>
      <w:r>
        <w:t>reasury bond yields.</w:t>
      </w:r>
    </w:p>
    <w:p w14:paraId="20D7125F" w14:textId="349D8AB9" w:rsidR="00100704" w:rsidRDefault="00290C67" w:rsidP="00100704">
      <w:pPr>
        <w:pStyle w:val="answer"/>
      </w:pPr>
      <w:r>
        <w:t>A.</w:t>
      </w:r>
      <w:r>
        <w:tab/>
        <w:t>A historical risk premium for the utility industry was estimated with an annual time series analysis applied to the utility industry as a whole over the 193</w:t>
      </w:r>
      <w:r w:rsidR="005C36B5">
        <w:t>1</w:t>
      </w:r>
      <w:r>
        <w:t>-2015 period, using Standard and Poor</w:t>
      </w:r>
      <w:r w:rsidR="00BD560E">
        <w:t>’</w:t>
      </w:r>
      <w:r>
        <w:t>s Utility Index (</w:t>
      </w:r>
      <w:r w:rsidR="00BD560E">
        <w:t>“</w:t>
      </w:r>
      <w:r>
        <w:t>S&amp;P Index</w:t>
      </w:r>
      <w:r w:rsidR="00BD560E">
        <w:t>”</w:t>
      </w:r>
      <w:r>
        <w:t>) as an industry proxy.</w:t>
      </w:r>
      <w:r w:rsidR="00BD560E">
        <w:t xml:space="preserve"> </w:t>
      </w:r>
      <w:r>
        <w:t>The risk premium was estimated by computing the actual realized return on equity capital for the S&amp;P Utility Index for each year, using the actual stock prices and dividends of the index, and then subtracting the long-term Treasury bond return for that year.</w:t>
      </w:r>
      <w:r w:rsidR="00A53AFE" w:rsidRPr="00A53AFE">
        <w:t xml:space="preserve"> </w:t>
      </w:r>
      <w:r w:rsidR="00A53AFE">
        <w:t>Please see Exhibit No. ___(RAM-</w:t>
      </w:r>
      <w:r w:rsidR="00456C55">
        <w:t>9</w:t>
      </w:r>
      <w:r w:rsidR="00A53AFE">
        <w:t>) for this analysis.</w:t>
      </w:r>
    </w:p>
    <w:p w14:paraId="75E88B71" w14:textId="7B2C7AC7" w:rsidR="00290C67" w:rsidRDefault="00290C67" w:rsidP="00100704">
      <w:pPr>
        <w:pStyle w:val="answer"/>
        <w:ind w:firstLine="0"/>
      </w:pPr>
      <w:r>
        <w:t xml:space="preserve">As shown on Exhibit </w:t>
      </w:r>
      <w:r w:rsidR="00A53AFE">
        <w:t>No. ___(</w:t>
      </w:r>
      <w:r>
        <w:t>RAM-</w:t>
      </w:r>
      <w:r w:rsidR="00456C55">
        <w:t>9</w:t>
      </w:r>
      <w:r w:rsidR="00A53AFE">
        <w:t>)</w:t>
      </w:r>
      <w:r>
        <w:t>, the average risk premium over the period was 5.5% over long-term Treasury bond yields and 6.1% over the income component of bond yields.</w:t>
      </w:r>
      <w:r w:rsidR="00BD560E">
        <w:t xml:space="preserve"> </w:t>
      </w:r>
      <w:r>
        <w:t>As discussed previously, the latter is the appropriate risk premium to use.</w:t>
      </w:r>
      <w:r w:rsidR="00BD560E">
        <w:t xml:space="preserve"> </w:t>
      </w:r>
      <w:r w:rsidR="0080752C">
        <w:t>Given the risk-free rate of 4.4</w:t>
      </w:r>
      <w:r>
        <w:t>%, and using the historical estimate of 6.1% for bond returns, t</w:t>
      </w:r>
      <w:r w:rsidR="0080752C">
        <w:t>he implied cost of equity is 4.4</w:t>
      </w:r>
      <w:r>
        <w:t>%</w:t>
      </w:r>
      <w:r w:rsidR="00A53AFE">
        <w:t> </w:t>
      </w:r>
      <w:r>
        <w:t>+</w:t>
      </w:r>
      <w:r w:rsidR="00A53AFE">
        <w:t> </w:t>
      </w:r>
      <w:r>
        <w:t>6.1%</w:t>
      </w:r>
      <w:r w:rsidR="00A53AFE">
        <w:t> </w:t>
      </w:r>
      <w:r>
        <w:t>=</w:t>
      </w:r>
      <w:r w:rsidR="00A53AFE">
        <w:t> </w:t>
      </w:r>
      <w:r w:rsidR="0080752C">
        <w:t>10.5</w:t>
      </w:r>
      <w:r>
        <w:t>%</w:t>
      </w:r>
    </w:p>
    <w:p w14:paraId="753A7272" w14:textId="77777777" w:rsidR="00290C67" w:rsidRDefault="00290C67" w:rsidP="00BF05CC">
      <w:pPr>
        <w:pStyle w:val="question"/>
      </w:pPr>
      <w:r>
        <w:t>Q.</w:t>
      </w:r>
      <w:r>
        <w:tab/>
        <w:t>Are you concerned about the realism of the assumptions that underlie the historical risk premium method?</w:t>
      </w:r>
    </w:p>
    <w:p w14:paraId="5E457E1E" w14:textId="77777777" w:rsidR="00290C67" w:rsidRDefault="00290C67" w:rsidP="00100704">
      <w:pPr>
        <w:pStyle w:val="answer"/>
      </w:pPr>
      <w:r>
        <w:t>A.</w:t>
      </w:r>
      <w:r>
        <w:tab/>
        <w:t xml:space="preserve">No, I am not, for they are no more restrictive than the assumptions that underlie the </w:t>
      </w:r>
      <w:proofErr w:type="spellStart"/>
      <w:r>
        <w:t>DCF</w:t>
      </w:r>
      <w:proofErr w:type="spellEnd"/>
      <w:r>
        <w:t xml:space="preserve"> model or the </w:t>
      </w:r>
      <w:proofErr w:type="spellStart"/>
      <w:r>
        <w:t>CAPM</w:t>
      </w:r>
      <w:proofErr w:type="spellEnd"/>
      <w:r>
        <w:t>.</w:t>
      </w:r>
      <w:r w:rsidR="00BD560E">
        <w:t xml:space="preserve"> </w:t>
      </w:r>
      <w:r>
        <w:t>While it is true that the method looks backward in time and assumes that the risk premium is constant over time, these assumptions are not necessarily restrictive.</w:t>
      </w:r>
      <w:r w:rsidR="00BD560E">
        <w:t xml:space="preserve"> </w:t>
      </w:r>
      <w:r>
        <w:t xml:space="preserve">By employing returns realized over long time </w:t>
      </w:r>
      <w:r>
        <w:lastRenderedPageBreak/>
        <w:t>periods rather than returns realized over more recent time periods, investor return expectations and realizations converge.</w:t>
      </w:r>
      <w:r w:rsidR="00BD560E">
        <w:t xml:space="preserve"> </w:t>
      </w:r>
      <w:r>
        <w:t>Realized returns can be substantially different from prospective returns anticipated by investors, especially when measured over short time periods.</w:t>
      </w:r>
      <w:r w:rsidR="00BD560E">
        <w:t xml:space="preserve"> </w:t>
      </w:r>
      <w:r>
        <w:t>By ensuring that the risk premium study encompasses the longest possible period for which data are available, short-run periods during which investors earned a lower risk premium than they expected are offset by short-run periods during which investors earned a higher risk premium than they expected.</w:t>
      </w:r>
      <w:r w:rsidR="00BD560E">
        <w:t xml:space="preserve"> </w:t>
      </w:r>
      <w:r>
        <w:t>Only over long time periods will investor return expectations and realizations converge, or else, investors would be reluctant to invest money.</w:t>
      </w:r>
    </w:p>
    <w:p w14:paraId="2B0424BC" w14:textId="77777777" w:rsidR="00290C67" w:rsidRDefault="00290C67" w:rsidP="00100704">
      <w:pPr>
        <w:pStyle w:val="Heading2"/>
      </w:pPr>
      <w:bookmarkStart w:id="28" w:name="_Toc468636162"/>
      <w:bookmarkStart w:id="29" w:name="_Toc443553408"/>
      <w:r>
        <w:t>D.</w:t>
      </w:r>
      <w:r>
        <w:tab/>
        <w:t>Allowed Risk Premium Estimates</w:t>
      </w:r>
      <w:bookmarkEnd w:id="28"/>
      <w:bookmarkEnd w:id="29"/>
    </w:p>
    <w:p w14:paraId="5901FFFC" w14:textId="77777777" w:rsidR="00290C67" w:rsidRDefault="00290C67" w:rsidP="00BF05CC">
      <w:pPr>
        <w:pStyle w:val="question"/>
      </w:pPr>
      <w:r>
        <w:t>Q.</w:t>
      </w:r>
      <w:r>
        <w:tab/>
        <w:t>Please describe your analysis of allowed risk premiums in the electric utility industry.</w:t>
      </w:r>
    </w:p>
    <w:p w14:paraId="3CC64F86" w14:textId="6FE2D901" w:rsidR="00A53AFE" w:rsidRDefault="00290C67" w:rsidP="00100704">
      <w:pPr>
        <w:pStyle w:val="answer"/>
      </w:pPr>
      <w:r>
        <w:t>A.</w:t>
      </w:r>
      <w:r>
        <w:tab/>
        <w:t>To estimate the electric utility industry</w:t>
      </w:r>
      <w:r w:rsidR="00BD560E">
        <w:t>’</w:t>
      </w:r>
      <w:r>
        <w:t xml:space="preserve">s cost of common equity, I also examined the historical risk premiums implied in the </w:t>
      </w:r>
      <w:proofErr w:type="spellStart"/>
      <w:r>
        <w:t>ROEs</w:t>
      </w:r>
      <w:proofErr w:type="spellEnd"/>
      <w:r>
        <w:t xml:space="preserve"> allowed by regulatory commissions for electric utilities over the 1986-2015 period for which data were available, relative to the contemporaneous level of the long-term Treasury bond yield.</w:t>
      </w:r>
      <w:r w:rsidR="00A53AFE" w:rsidRPr="00A53AFE">
        <w:t xml:space="preserve"> </w:t>
      </w:r>
      <w:r w:rsidR="00A53AFE">
        <w:t>Please see Exhibit No. ___(RAM-</w:t>
      </w:r>
      <w:r w:rsidR="00686C96">
        <w:t>1</w:t>
      </w:r>
      <w:r w:rsidR="00456C55">
        <w:t>0</w:t>
      </w:r>
      <w:r w:rsidR="00A53AFE">
        <w:t>) for this analysis.</w:t>
      </w:r>
    </w:p>
    <w:p w14:paraId="1EE58D84" w14:textId="0C917DB8" w:rsidR="00100704" w:rsidRDefault="00290C67" w:rsidP="000952C3">
      <w:pPr>
        <w:pStyle w:val="answer"/>
        <w:ind w:firstLine="0"/>
      </w:pPr>
      <w:r>
        <w:t>This variation of the risk premium approach is reasonable because allowed risk premiums are presumably based on the results of market-based methodologies (</w:t>
      </w:r>
      <w:proofErr w:type="spellStart"/>
      <w:r>
        <w:t>DCF</w:t>
      </w:r>
      <w:proofErr w:type="spellEnd"/>
      <w:r>
        <w:t xml:space="preserve">, </w:t>
      </w:r>
      <w:proofErr w:type="spellStart"/>
      <w:r w:rsidR="005B1412">
        <w:t>CAPM</w:t>
      </w:r>
      <w:proofErr w:type="spellEnd"/>
      <w:r w:rsidR="005B1412">
        <w:t xml:space="preserve">, </w:t>
      </w:r>
      <w:r>
        <w:t>Risk Premium, etc.) presented to regulators in rate hearings and on the actions of objective unbiased investors in a competitive marketplace.</w:t>
      </w:r>
      <w:r w:rsidR="00BD560E">
        <w:t xml:space="preserve"> </w:t>
      </w:r>
      <w:r>
        <w:lastRenderedPageBreak/>
        <w:t>Historical allowed ROE data are readily available over long periods on a quarterly basis from Regulat</w:t>
      </w:r>
      <w:r w:rsidR="00686C96">
        <w:t>ory Research Associates (now S&amp;P Global Market Intelligence) and easily verifiable from past</w:t>
      </w:r>
      <w:r>
        <w:t xml:space="preserve"> publications and past commission decision archives.</w:t>
      </w:r>
    </w:p>
    <w:p w14:paraId="6772BF84" w14:textId="77777777" w:rsidR="00100704" w:rsidRDefault="00290C67" w:rsidP="00100704">
      <w:pPr>
        <w:pStyle w:val="answer"/>
        <w:ind w:firstLine="0"/>
      </w:pPr>
      <w:r>
        <w:t>The average ROE spread over long-term Treasury yields was 5.6% over the entire 1986-2015 period for which data were available from SNL.</w:t>
      </w:r>
      <w:r w:rsidR="00BD560E">
        <w:t xml:space="preserve"> </w:t>
      </w:r>
      <w:r>
        <w:t>The graph below shows the year-by-year allowed risk premium.</w:t>
      </w:r>
      <w:r w:rsidR="00BD560E">
        <w:t xml:space="preserve"> </w:t>
      </w:r>
      <w:r>
        <w:t>The escalating trend of the risk premium in response to lower interest rates and rising competition is noteworthy.</w:t>
      </w:r>
    </w:p>
    <w:p w14:paraId="382A1E7E" w14:textId="77777777" w:rsidR="00100704" w:rsidRDefault="00100704" w:rsidP="00100704">
      <w:pPr>
        <w:pStyle w:val="answer"/>
        <w:ind w:firstLine="0"/>
      </w:pPr>
      <w:r>
        <w:rPr>
          <w:noProof/>
          <w:lang w:eastAsia="en-US"/>
        </w:rPr>
        <w:drawing>
          <wp:inline distT="0" distB="0" distL="0" distR="0" wp14:anchorId="3C295F41" wp14:editId="1A381F2D">
            <wp:extent cx="5076825" cy="3248025"/>
            <wp:effectExtent l="57150" t="0" r="47625" b="1047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D12543" w14:textId="77777777" w:rsidR="00F0424B" w:rsidRDefault="00290C67" w:rsidP="00F0424B">
      <w:pPr>
        <w:pStyle w:val="answer"/>
        <w:ind w:firstLine="0"/>
      </w:pPr>
      <w:r>
        <w:t>A careful review of these ROE decisions relative to interest rate trends reveals a narrowing of the risk premium in times of rising interest rates, and a widening of the premium as interest rates fall.</w:t>
      </w:r>
      <w:r w:rsidR="00BD560E">
        <w:t xml:space="preserve"> </w:t>
      </w:r>
      <w:r>
        <w:t>The following statistical relationship between the risk premium (R</w:t>
      </w:r>
      <w:r w:rsidRPr="00911668">
        <w:rPr>
          <w:vertAlign w:val="subscript"/>
        </w:rPr>
        <w:t>P</w:t>
      </w:r>
      <w:r>
        <w:t>) and interest rates (YIELD) emerges over the 1986-2015 period:</w:t>
      </w:r>
    </w:p>
    <w:p w14:paraId="3F290FC2" w14:textId="70EDB43C" w:rsidR="00290C67" w:rsidRDefault="00290C67" w:rsidP="00F0424B">
      <w:pPr>
        <w:pStyle w:val="answer"/>
        <w:ind w:firstLine="0"/>
        <w:jc w:val="center"/>
      </w:pPr>
      <w:r>
        <w:lastRenderedPageBreak/>
        <w:t>R</w:t>
      </w:r>
      <w:r w:rsidRPr="00911668">
        <w:rPr>
          <w:vertAlign w:val="subscript"/>
        </w:rPr>
        <w:t>P</w:t>
      </w:r>
      <w:r w:rsidR="00BD560E">
        <w:t xml:space="preserve"> </w:t>
      </w:r>
      <w:r>
        <w:t>=</w:t>
      </w:r>
      <w:r w:rsidR="00BD560E">
        <w:t xml:space="preserve"> </w:t>
      </w:r>
      <w:r>
        <w:t xml:space="preserve">8.6500 </w:t>
      </w:r>
      <w:r w:rsidR="005B1412">
        <w:t>–</w:t>
      </w:r>
      <w:r w:rsidR="00BD560E">
        <w:t xml:space="preserve"> </w:t>
      </w:r>
      <w:r>
        <w:t>0.5368 YIELD</w:t>
      </w:r>
      <w:r w:rsidR="00911668">
        <w:tab/>
      </w:r>
      <w:r>
        <w:t>R</w:t>
      </w:r>
      <w:r w:rsidRPr="00911668">
        <w:rPr>
          <w:vertAlign w:val="superscript"/>
        </w:rPr>
        <w:t>2</w:t>
      </w:r>
      <w:r>
        <w:t xml:space="preserve"> = 0.82</w:t>
      </w:r>
    </w:p>
    <w:p w14:paraId="254E611E" w14:textId="77777777" w:rsidR="00911668" w:rsidRDefault="00290C67" w:rsidP="00911668">
      <w:pPr>
        <w:pStyle w:val="answer"/>
        <w:ind w:firstLine="0"/>
      </w:pPr>
      <w:r>
        <w:t>The relationship is highly statistically significant</w:t>
      </w:r>
      <w:r w:rsidR="00CF1144" w:rsidRPr="00CF1144">
        <w:rPr>
          <w:rFonts w:eastAsia="Times New Roman"/>
          <w:position w:val="6"/>
          <w:sz w:val="16"/>
          <w:szCs w:val="20"/>
        </w:rPr>
        <w:footnoteReference w:id="16"/>
      </w:r>
      <w:r w:rsidR="00BD560E">
        <w:t xml:space="preserve"> </w:t>
      </w:r>
      <w:r>
        <w:t>as indicated by the very high R</w:t>
      </w:r>
      <w:r w:rsidRPr="00911668">
        <w:rPr>
          <w:vertAlign w:val="superscript"/>
        </w:rPr>
        <w:t>2</w:t>
      </w:r>
      <w:r>
        <w:t>.</w:t>
      </w:r>
      <w:r w:rsidR="00BD560E">
        <w:t xml:space="preserve"> </w:t>
      </w:r>
      <w:r>
        <w:t>The graph below shows a clear inverse relationship between the allowed risk premium and interest rates as revealed in past ROE decisions.</w:t>
      </w:r>
    </w:p>
    <w:p w14:paraId="4AF074FE" w14:textId="77777777" w:rsidR="00FF0471" w:rsidRDefault="00FF0471" w:rsidP="00911668">
      <w:pPr>
        <w:pStyle w:val="answer"/>
        <w:ind w:firstLine="0"/>
      </w:pPr>
      <w:r>
        <w:rPr>
          <w:noProof/>
          <w:lang w:eastAsia="en-US"/>
        </w:rPr>
        <w:drawing>
          <wp:inline distT="0" distB="0" distL="0" distR="0" wp14:anchorId="7610BDA9" wp14:editId="7B49050F">
            <wp:extent cx="4991100" cy="3533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C51DDA" w14:textId="3E76F542" w:rsidR="00290C67" w:rsidRDefault="00290C67" w:rsidP="00911668">
      <w:pPr>
        <w:pStyle w:val="answer"/>
        <w:ind w:firstLine="0"/>
      </w:pPr>
      <w:r>
        <w:t>Inserting the long</w:t>
      </w:r>
      <w:r w:rsidR="00686C96">
        <w:t>-term Treasury bond yield of 4.4</w:t>
      </w:r>
      <w:r>
        <w:t>% in the above equation suggests a risk</w:t>
      </w:r>
      <w:r w:rsidR="00686C96">
        <w:t xml:space="preserve"> premium estimate of 6.3</w:t>
      </w:r>
      <w:r>
        <w:t>%, implying a cost of equity of 10.7%.</w:t>
      </w:r>
    </w:p>
    <w:p w14:paraId="7616E50C" w14:textId="77777777" w:rsidR="00290C67" w:rsidRDefault="00290C67" w:rsidP="00BF05CC">
      <w:pPr>
        <w:pStyle w:val="question"/>
      </w:pPr>
      <w:r>
        <w:lastRenderedPageBreak/>
        <w:t>Q.</w:t>
      </w:r>
      <w:r>
        <w:tab/>
        <w:t>Do investors take into account allowed returns in formulating their return expectations?</w:t>
      </w:r>
    </w:p>
    <w:p w14:paraId="675DE7AE" w14:textId="77777777" w:rsidR="00290C67" w:rsidRDefault="00290C67" w:rsidP="00911668">
      <w:pPr>
        <w:pStyle w:val="answer"/>
      </w:pPr>
      <w:r>
        <w:t>A.</w:t>
      </w:r>
      <w:r>
        <w:tab/>
        <w:t>Yes, they do.</w:t>
      </w:r>
      <w:r w:rsidR="00BD560E">
        <w:t xml:space="preserve"> </w:t>
      </w:r>
      <w:r>
        <w:t>Investors do indeed take into account returns granted by various regulators in formulating their risk and return expectations, as evidenced by the availability of commercial publications disseminating such data, including Value Line and SNL (formerly Regulatory Research Associates).</w:t>
      </w:r>
      <w:r w:rsidR="00BD560E">
        <w:t xml:space="preserve"> </w:t>
      </w:r>
      <w:r>
        <w:t>Allowed returns, while certainly not a precise indication of a particular company</w:t>
      </w:r>
      <w:r w:rsidR="00BD560E">
        <w:t>’</w:t>
      </w:r>
      <w:r>
        <w:t>s cost of equity capital, are nevertheless important determinants of investor growth perceptions and investor expected returns.</w:t>
      </w:r>
    </w:p>
    <w:p w14:paraId="188DF4D3" w14:textId="77777777" w:rsidR="00290C67" w:rsidRDefault="00290C67" w:rsidP="00BF05CC">
      <w:pPr>
        <w:pStyle w:val="question"/>
      </w:pPr>
      <w:r>
        <w:t>Q.</w:t>
      </w:r>
      <w:r>
        <w:tab/>
        <w:t>Please summarize your risk premium estimates.</w:t>
      </w:r>
    </w:p>
    <w:p w14:paraId="18F60ABC" w14:textId="0C536F89" w:rsidR="00290C67" w:rsidRDefault="00290C67" w:rsidP="00911668">
      <w:pPr>
        <w:pStyle w:val="answer"/>
      </w:pPr>
      <w:r>
        <w:t>A.</w:t>
      </w:r>
      <w:r>
        <w:tab/>
      </w:r>
      <w:r w:rsidR="005B1412">
        <w:t>Table 5</w:t>
      </w:r>
      <w:r>
        <w:t xml:space="preserve"> below summarizes the ROE estimates obtained from the two risk premium studies. </w:t>
      </w:r>
    </w:p>
    <w:p w14:paraId="32069E19" w14:textId="20427F09" w:rsidR="00911668" w:rsidRPr="00B57D60" w:rsidRDefault="00911668" w:rsidP="00911668">
      <w:pPr>
        <w:keepNext/>
        <w:keepLines/>
        <w:spacing w:after="120"/>
        <w:ind w:left="1627" w:right="1627"/>
        <w:jc w:val="center"/>
        <w:rPr>
          <w:b/>
        </w:rPr>
      </w:pPr>
      <w:r w:rsidRPr="00B57D60">
        <w:rPr>
          <w:b/>
        </w:rPr>
        <w:t>Table</w:t>
      </w:r>
      <w:r w:rsidR="005B1412">
        <w:rPr>
          <w:b/>
        </w:rPr>
        <w:t> </w:t>
      </w:r>
      <w:r w:rsidR="00B91E54">
        <w:rPr>
          <w:b/>
        </w:rPr>
        <w:t>5</w:t>
      </w:r>
      <w:r w:rsidRPr="00B57D60">
        <w:rPr>
          <w:b/>
        </w:rPr>
        <w:t>.</w:t>
      </w:r>
      <w:r>
        <w:rPr>
          <w:b/>
        </w:rPr>
        <w:t xml:space="preserve"> Risk Premium </w:t>
      </w:r>
      <w:r w:rsidRPr="00B57D60">
        <w:rPr>
          <w:b/>
        </w:rPr>
        <w:t>Estimates for PSE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255"/>
      </w:tblGrid>
      <w:tr w:rsidR="00911668" w14:paraId="0290E11E" w14:textId="77777777" w:rsidTr="00D93DC9">
        <w:trPr>
          <w:jc w:val="center"/>
        </w:trPr>
        <w:tc>
          <w:tcPr>
            <w:tcW w:w="4073" w:type="dxa"/>
            <w:tcBorders>
              <w:bottom w:val="single" w:sz="4" w:space="0" w:color="auto"/>
            </w:tcBorders>
            <w:shd w:val="clear" w:color="auto" w:fill="auto"/>
          </w:tcPr>
          <w:p w14:paraId="42EBE9B7" w14:textId="77777777" w:rsidR="00911668" w:rsidRPr="00B57D60" w:rsidRDefault="00911668" w:rsidP="00911668">
            <w:pPr>
              <w:spacing w:before="60" w:after="60" w:line="240" w:lineRule="auto"/>
              <w:ind w:firstLine="0"/>
              <w:jc w:val="center"/>
              <w:rPr>
                <w:b/>
              </w:rPr>
            </w:pPr>
            <w:r>
              <w:rPr>
                <w:b/>
              </w:rPr>
              <w:t>Risk Premium Method</w:t>
            </w:r>
          </w:p>
        </w:tc>
        <w:tc>
          <w:tcPr>
            <w:tcW w:w="1255" w:type="dxa"/>
            <w:tcBorders>
              <w:bottom w:val="single" w:sz="4" w:space="0" w:color="auto"/>
            </w:tcBorders>
            <w:shd w:val="clear" w:color="auto" w:fill="auto"/>
          </w:tcPr>
          <w:p w14:paraId="6F71FA01" w14:textId="77777777" w:rsidR="00911668" w:rsidRPr="00B57D60" w:rsidRDefault="00911668" w:rsidP="00D93DC9">
            <w:pPr>
              <w:spacing w:before="60" w:after="60" w:line="240" w:lineRule="auto"/>
              <w:ind w:firstLine="0"/>
              <w:jc w:val="center"/>
              <w:rPr>
                <w:b/>
              </w:rPr>
            </w:pPr>
            <w:r w:rsidRPr="00B57D60">
              <w:rPr>
                <w:b/>
              </w:rPr>
              <w:t>ROE</w:t>
            </w:r>
          </w:p>
        </w:tc>
      </w:tr>
      <w:tr w:rsidR="00911668" w14:paraId="486865F6" w14:textId="77777777" w:rsidTr="00D93DC9">
        <w:trPr>
          <w:jc w:val="center"/>
        </w:trPr>
        <w:tc>
          <w:tcPr>
            <w:tcW w:w="4073" w:type="dxa"/>
            <w:tcBorders>
              <w:top w:val="single" w:sz="4" w:space="0" w:color="auto"/>
            </w:tcBorders>
          </w:tcPr>
          <w:p w14:paraId="0B18ECD5" w14:textId="77777777" w:rsidR="00911668" w:rsidRDefault="00911668" w:rsidP="00D93DC9">
            <w:pPr>
              <w:spacing w:before="60" w:after="60" w:line="240" w:lineRule="auto"/>
              <w:ind w:firstLine="0"/>
            </w:pPr>
            <w:r>
              <w:t>Historical Risk Premium Electric</w:t>
            </w:r>
          </w:p>
        </w:tc>
        <w:tc>
          <w:tcPr>
            <w:tcW w:w="1255" w:type="dxa"/>
            <w:tcBorders>
              <w:top w:val="single" w:sz="4" w:space="0" w:color="auto"/>
            </w:tcBorders>
          </w:tcPr>
          <w:p w14:paraId="56424BF2" w14:textId="2EFFD44C" w:rsidR="00911668" w:rsidRDefault="00686C96" w:rsidP="00911668">
            <w:pPr>
              <w:spacing w:before="60" w:after="60" w:line="240" w:lineRule="auto"/>
              <w:ind w:firstLine="0"/>
              <w:jc w:val="center"/>
            </w:pPr>
            <w:r>
              <w:t>10.5</w:t>
            </w:r>
            <w:r w:rsidR="00911668">
              <w:t>%</w:t>
            </w:r>
          </w:p>
        </w:tc>
      </w:tr>
      <w:tr w:rsidR="00911668" w14:paraId="63A76A93" w14:textId="77777777" w:rsidTr="00D93DC9">
        <w:trPr>
          <w:jc w:val="center"/>
        </w:trPr>
        <w:tc>
          <w:tcPr>
            <w:tcW w:w="4073" w:type="dxa"/>
          </w:tcPr>
          <w:p w14:paraId="681C5DDD" w14:textId="77777777" w:rsidR="00911668" w:rsidRDefault="00911668" w:rsidP="00D93DC9">
            <w:pPr>
              <w:spacing w:before="60" w:after="60" w:line="240" w:lineRule="auto"/>
              <w:ind w:firstLine="0"/>
            </w:pPr>
            <w:r>
              <w:t>Allowed Risk Premium</w:t>
            </w:r>
          </w:p>
        </w:tc>
        <w:tc>
          <w:tcPr>
            <w:tcW w:w="1255" w:type="dxa"/>
          </w:tcPr>
          <w:p w14:paraId="2349DCC6" w14:textId="5EC339CE" w:rsidR="00911668" w:rsidRDefault="00686C96" w:rsidP="00911668">
            <w:pPr>
              <w:spacing w:before="60" w:after="60" w:line="240" w:lineRule="auto"/>
              <w:ind w:firstLine="0"/>
              <w:jc w:val="center"/>
            </w:pPr>
            <w:r>
              <w:t>10.7</w:t>
            </w:r>
            <w:r w:rsidR="00911668">
              <w:t>%</w:t>
            </w:r>
          </w:p>
        </w:tc>
      </w:tr>
    </w:tbl>
    <w:p w14:paraId="28B070A8" w14:textId="77777777" w:rsidR="00290C67" w:rsidRDefault="00290C67" w:rsidP="00BF05CC">
      <w:pPr>
        <w:pStyle w:val="Heading1"/>
      </w:pPr>
      <w:bookmarkStart w:id="30" w:name="_Toc468636163"/>
      <w:bookmarkStart w:id="31" w:name="_Toc443553409"/>
      <w:r>
        <w:t>IV.</w:t>
      </w:r>
      <w:r>
        <w:tab/>
        <w:t>CONCLUSION</w:t>
      </w:r>
      <w:bookmarkEnd w:id="30"/>
      <w:bookmarkEnd w:id="31"/>
    </w:p>
    <w:p w14:paraId="13DE9C0D" w14:textId="77777777" w:rsidR="00290C67" w:rsidRDefault="00290C67" w:rsidP="00BF05CC">
      <w:pPr>
        <w:pStyle w:val="question"/>
      </w:pPr>
      <w:r>
        <w:t>Q.</w:t>
      </w:r>
      <w:r>
        <w:tab/>
        <w:t>Please summarize your results and recommendation.</w:t>
      </w:r>
      <w:r w:rsidR="00BD560E">
        <w:t xml:space="preserve"> </w:t>
      </w:r>
    </w:p>
    <w:p w14:paraId="5E1548FB" w14:textId="36F7DC33" w:rsidR="005B1412" w:rsidRDefault="00290C67" w:rsidP="00911668">
      <w:pPr>
        <w:pStyle w:val="answer"/>
      </w:pPr>
      <w:r>
        <w:t>A.</w:t>
      </w:r>
      <w:r>
        <w:tab/>
        <w:t>To arrive at my final recommendation, I performed</w:t>
      </w:r>
    </w:p>
    <w:p w14:paraId="719DB01B" w14:textId="77777777" w:rsidR="005B1412" w:rsidRDefault="005B1412" w:rsidP="005B1412">
      <w:pPr>
        <w:pStyle w:val="answer"/>
        <w:spacing w:before="0" w:after="280" w:line="240" w:lineRule="auto"/>
        <w:ind w:left="2160" w:right="720"/>
      </w:pPr>
      <w:r>
        <w:t>(i)</w:t>
      </w:r>
      <w:r>
        <w:tab/>
      </w:r>
      <w:r w:rsidR="00290C67">
        <w:t xml:space="preserve">a </w:t>
      </w:r>
      <w:proofErr w:type="spellStart"/>
      <w:r w:rsidR="00290C67">
        <w:t>DCF</w:t>
      </w:r>
      <w:proofErr w:type="spellEnd"/>
      <w:r w:rsidR="00290C67">
        <w:t xml:space="preserve"> analysis on a group of investment-grade dividend-paying combination gas and electric utilities using Value Line</w:t>
      </w:r>
      <w:r w:rsidR="00BD560E">
        <w:t>’</w:t>
      </w:r>
      <w:r w:rsidR="00290C67">
        <w:t>s growth forecasts</w:t>
      </w:r>
      <w:r>
        <w:t>;</w:t>
      </w:r>
    </w:p>
    <w:p w14:paraId="4979DD5D" w14:textId="301BFD59" w:rsidR="005B1412" w:rsidRDefault="005B1412" w:rsidP="005B1412">
      <w:pPr>
        <w:pStyle w:val="answer"/>
        <w:spacing w:before="0" w:after="280" w:line="240" w:lineRule="auto"/>
        <w:ind w:left="2160" w:right="720"/>
      </w:pPr>
      <w:r>
        <w:lastRenderedPageBreak/>
        <w:t>(ii)</w:t>
      </w:r>
      <w:r>
        <w:tab/>
        <w:t xml:space="preserve">a </w:t>
      </w:r>
      <w:proofErr w:type="spellStart"/>
      <w:r>
        <w:t>DCF</w:t>
      </w:r>
      <w:proofErr w:type="spellEnd"/>
      <w:r>
        <w:t xml:space="preserve"> analysis on a group of investment-grade dividend-paying combination gas and electric utilities using analysts’ growth forecasts;</w:t>
      </w:r>
    </w:p>
    <w:p w14:paraId="632E25A7" w14:textId="77777777" w:rsidR="005B1412" w:rsidRDefault="005B1412" w:rsidP="005B1412">
      <w:pPr>
        <w:pStyle w:val="answer"/>
        <w:spacing w:before="0" w:after="280" w:line="240" w:lineRule="auto"/>
        <w:ind w:left="2160" w:right="720"/>
      </w:pPr>
      <w:r>
        <w:t>(iii)</w:t>
      </w:r>
      <w:r>
        <w:tab/>
        <w:t xml:space="preserve">a traditional </w:t>
      </w:r>
      <w:proofErr w:type="spellStart"/>
      <w:r>
        <w:t>CAPM</w:t>
      </w:r>
      <w:proofErr w:type="spellEnd"/>
      <w:r>
        <w:t xml:space="preserve"> using current market data;</w:t>
      </w:r>
    </w:p>
    <w:p w14:paraId="7C6774F2" w14:textId="5428777F" w:rsidR="005B1412" w:rsidRDefault="005B1412" w:rsidP="005B1412">
      <w:pPr>
        <w:pStyle w:val="answer"/>
        <w:spacing w:before="0" w:after="280" w:line="240" w:lineRule="auto"/>
        <w:ind w:left="2160" w:right="720"/>
      </w:pPr>
      <w:r>
        <w:t>(iv)</w:t>
      </w:r>
      <w:r>
        <w:tab/>
        <w:t xml:space="preserve">an empirical approximation of the </w:t>
      </w:r>
      <w:proofErr w:type="spellStart"/>
      <w:r>
        <w:t>CAPM</w:t>
      </w:r>
      <w:proofErr w:type="spellEnd"/>
      <w:r>
        <w:t xml:space="preserve"> using current market data;</w:t>
      </w:r>
    </w:p>
    <w:p w14:paraId="27FE5CBB" w14:textId="2F7D18A2" w:rsidR="005B1412" w:rsidRDefault="005B1412" w:rsidP="005B1412">
      <w:pPr>
        <w:pStyle w:val="answer"/>
        <w:spacing w:before="0" w:after="280" w:line="240" w:lineRule="auto"/>
        <w:ind w:left="2160" w:right="720"/>
      </w:pPr>
      <w:r>
        <w:t>(v)</w:t>
      </w:r>
      <w:r>
        <w:tab/>
      </w:r>
      <w:r w:rsidR="00290C67">
        <w:t>historical risk premium data from electric utility industry aggregate data, using the current yield on long-term US Treasury bonds</w:t>
      </w:r>
      <w:r>
        <w:t>; and</w:t>
      </w:r>
    </w:p>
    <w:p w14:paraId="64382C4D" w14:textId="6D26BBFE" w:rsidR="005B1412" w:rsidRDefault="005B1412" w:rsidP="005B1412">
      <w:pPr>
        <w:pStyle w:val="answer"/>
        <w:spacing w:before="0" w:after="280" w:line="240" w:lineRule="auto"/>
        <w:ind w:left="2160" w:right="720"/>
      </w:pPr>
      <w:r>
        <w:t>(vi)</w:t>
      </w:r>
      <w:r>
        <w:tab/>
        <w:t xml:space="preserve">allowed risk premium data from electric utility industry aggregate data, using the current yield on long-term US Treasury bonds. </w:t>
      </w:r>
    </w:p>
    <w:p w14:paraId="5A0872EB" w14:textId="77777777" w:rsidR="00290C67" w:rsidRDefault="005B1412" w:rsidP="000F5344">
      <w:pPr>
        <w:pStyle w:val="answer"/>
        <w:keepNext/>
        <w:keepLines/>
        <w:ind w:firstLine="0"/>
      </w:pPr>
      <w:r>
        <w:t>Table 6</w:t>
      </w:r>
      <w:r w:rsidR="00290C67">
        <w:t xml:space="preserve"> below summarizes the ROE estimates for PSE.</w:t>
      </w:r>
    </w:p>
    <w:p w14:paraId="112D7F42" w14:textId="77777777" w:rsidR="00B91E54" w:rsidRPr="00B91E54" w:rsidRDefault="00B91E54" w:rsidP="005B1412">
      <w:pPr>
        <w:keepNext/>
        <w:keepLines/>
        <w:spacing w:after="120"/>
        <w:ind w:left="1627" w:right="1627"/>
        <w:jc w:val="center"/>
        <w:rPr>
          <w:b/>
        </w:rPr>
      </w:pPr>
      <w:r w:rsidRPr="00B91E54">
        <w:rPr>
          <w:b/>
        </w:rPr>
        <w:t>Table 6. Summary of ROE Estimates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956"/>
      </w:tblGrid>
      <w:tr w:rsidR="00B91E54" w14:paraId="7BEDBE9A" w14:textId="77777777" w:rsidTr="009E1369">
        <w:trPr>
          <w:jc w:val="center"/>
        </w:trPr>
        <w:tc>
          <w:tcPr>
            <w:tcW w:w="4509" w:type="dxa"/>
            <w:tcBorders>
              <w:bottom w:val="single" w:sz="4" w:space="0" w:color="auto"/>
            </w:tcBorders>
            <w:shd w:val="clear" w:color="auto" w:fill="auto"/>
          </w:tcPr>
          <w:p w14:paraId="1977D14F" w14:textId="77777777" w:rsidR="00B91E54" w:rsidRPr="00B57D60" w:rsidRDefault="00B91E54" w:rsidP="000F5344">
            <w:pPr>
              <w:keepNext/>
              <w:keepLines/>
              <w:spacing w:before="60" w:after="60" w:line="240" w:lineRule="auto"/>
              <w:ind w:firstLine="0"/>
              <w:jc w:val="center"/>
              <w:rPr>
                <w:b/>
              </w:rPr>
            </w:pPr>
            <w:r>
              <w:rPr>
                <w:b/>
              </w:rPr>
              <w:t>Study</w:t>
            </w:r>
          </w:p>
        </w:tc>
        <w:tc>
          <w:tcPr>
            <w:tcW w:w="956" w:type="dxa"/>
            <w:tcBorders>
              <w:bottom w:val="single" w:sz="4" w:space="0" w:color="auto"/>
            </w:tcBorders>
            <w:shd w:val="clear" w:color="auto" w:fill="auto"/>
          </w:tcPr>
          <w:p w14:paraId="24A57E5F" w14:textId="77777777" w:rsidR="00B91E54" w:rsidRPr="00B57D60" w:rsidRDefault="00B91E54" w:rsidP="000F5344">
            <w:pPr>
              <w:keepNext/>
              <w:keepLines/>
              <w:spacing w:before="60" w:after="60" w:line="240" w:lineRule="auto"/>
              <w:ind w:firstLine="0"/>
              <w:jc w:val="center"/>
              <w:rPr>
                <w:b/>
              </w:rPr>
            </w:pPr>
            <w:r w:rsidRPr="00B57D60">
              <w:rPr>
                <w:b/>
              </w:rPr>
              <w:t>ROE</w:t>
            </w:r>
          </w:p>
        </w:tc>
      </w:tr>
      <w:tr w:rsidR="00B91E54" w14:paraId="4ED158BB" w14:textId="77777777" w:rsidTr="009E1369">
        <w:trPr>
          <w:jc w:val="center"/>
        </w:trPr>
        <w:tc>
          <w:tcPr>
            <w:tcW w:w="4509" w:type="dxa"/>
            <w:tcBorders>
              <w:top w:val="single" w:sz="4" w:space="0" w:color="auto"/>
            </w:tcBorders>
          </w:tcPr>
          <w:p w14:paraId="6AB60DB5" w14:textId="2455D831" w:rsidR="00B91E54" w:rsidRDefault="009E1369" w:rsidP="000F5344">
            <w:pPr>
              <w:keepNext/>
              <w:keepLines/>
              <w:spacing w:before="60" w:after="60" w:line="240" w:lineRule="auto"/>
              <w:ind w:firstLine="0"/>
            </w:pPr>
            <w:proofErr w:type="spellStart"/>
            <w:r>
              <w:t>DCF</w:t>
            </w:r>
            <w:proofErr w:type="spellEnd"/>
            <w:r>
              <w:t xml:space="preserve"> - </w:t>
            </w:r>
            <w:r w:rsidR="00B91E54">
              <w:t>Electric Utilities Value Line Growth</w:t>
            </w:r>
          </w:p>
        </w:tc>
        <w:tc>
          <w:tcPr>
            <w:tcW w:w="956" w:type="dxa"/>
            <w:tcBorders>
              <w:top w:val="single" w:sz="4" w:space="0" w:color="auto"/>
            </w:tcBorders>
          </w:tcPr>
          <w:p w14:paraId="6538CB05" w14:textId="6ED61ADA" w:rsidR="00B91E54" w:rsidRDefault="008651DA" w:rsidP="000F5344">
            <w:pPr>
              <w:keepNext/>
              <w:keepLines/>
              <w:spacing w:before="60" w:after="60" w:line="240" w:lineRule="auto"/>
              <w:ind w:firstLine="0"/>
              <w:jc w:val="center"/>
            </w:pPr>
            <w:r>
              <w:t>9</w:t>
            </w:r>
            <w:r w:rsidR="00B91E54">
              <w:t>.</w:t>
            </w:r>
            <w:r>
              <w:t>8</w:t>
            </w:r>
            <w:r w:rsidR="00B91E54">
              <w:t>%</w:t>
            </w:r>
          </w:p>
        </w:tc>
      </w:tr>
      <w:tr w:rsidR="00B91E54" w14:paraId="634B8715" w14:textId="77777777" w:rsidTr="009E1369">
        <w:trPr>
          <w:jc w:val="center"/>
        </w:trPr>
        <w:tc>
          <w:tcPr>
            <w:tcW w:w="4509" w:type="dxa"/>
          </w:tcPr>
          <w:p w14:paraId="5045D693" w14:textId="73F58BD7" w:rsidR="00B91E54" w:rsidRDefault="009E1369" w:rsidP="000F5344">
            <w:pPr>
              <w:keepNext/>
              <w:keepLines/>
              <w:spacing w:before="60" w:after="60" w:line="240" w:lineRule="auto"/>
              <w:ind w:firstLine="0"/>
            </w:pPr>
            <w:proofErr w:type="spellStart"/>
            <w:r>
              <w:t>DCF</w:t>
            </w:r>
            <w:proofErr w:type="spellEnd"/>
            <w:r>
              <w:t xml:space="preserve"> - </w:t>
            </w:r>
            <w:r w:rsidR="00B91E54">
              <w:t>Electric Utilities Analysts Growth</w:t>
            </w:r>
          </w:p>
        </w:tc>
        <w:tc>
          <w:tcPr>
            <w:tcW w:w="956" w:type="dxa"/>
          </w:tcPr>
          <w:p w14:paraId="22459AAC" w14:textId="7C1B2EF0" w:rsidR="00B91E54" w:rsidRDefault="00B91E54" w:rsidP="000F5344">
            <w:pPr>
              <w:keepNext/>
              <w:keepLines/>
              <w:spacing w:before="60" w:after="60" w:line="240" w:lineRule="auto"/>
              <w:ind w:firstLine="0"/>
              <w:jc w:val="center"/>
            </w:pPr>
            <w:r>
              <w:t>9.</w:t>
            </w:r>
            <w:r w:rsidR="00352A0F">
              <w:t>4</w:t>
            </w:r>
            <w:r>
              <w:t>%</w:t>
            </w:r>
          </w:p>
        </w:tc>
      </w:tr>
      <w:tr w:rsidR="00B91E54" w14:paraId="60A9F0CE" w14:textId="77777777" w:rsidTr="009E1369">
        <w:trPr>
          <w:jc w:val="center"/>
        </w:trPr>
        <w:tc>
          <w:tcPr>
            <w:tcW w:w="4509" w:type="dxa"/>
          </w:tcPr>
          <w:p w14:paraId="638A1F39" w14:textId="77777777" w:rsidR="00B91E54" w:rsidRDefault="00B91E54" w:rsidP="000F5344">
            <w:pPr>
              <w:keepNext/>
              <w:keepLines/>
              <w:spacing w:before="60" w:after="60" w:line="240" w:lineRule="auto"/>
              <w:ind w:firstLine="0"/>
            </w:pPr>
            <w:r>
              <w:t xml:space="preserve">Traditional </w:t>
            </w:r>
            <w:proofErr w:type="spellStart"/>
            <w:r>
              <w:t>CAPM</w:t>
            </w:r>
            <w:proofErr w:type="spellEnd"/>
          </w:p>
        </w:tc>
        <w:tc>
          <w:tcPr>
            <w:tcW w:w="956" w:type="dxa"/>
          </w:tcPr>
          <w:p w14:paraId="44DCAB71" w14:textId="2EB5C1D8" w:rsidR="00B91E54" w:rsidRDefault="00352A0F" w:rsidP="000F5344">
            <w:pPr>
              <w:keepNext/>
              <w:keepLines/>
              <w:spacing w:before="60" w:after="60" w:line="240" w:lineRule="auto"/>
              <w:ind w:firstLine="0"/>
              <w:jc w:val="center"/>
            </w:pPr>
            <w:r>
              <w:t>9.3</w:t>
            </w:r>
            <w:r w:rsidR="00B91E54">
              <w:t>%</w:t>
            </w:r>
          </w:p>
        </w:tc>
      </w:tr>
      <w:tr w:rsidR="00B91E54" w14:paraId="500E2B2F" w14:textId="77777777" w:rsidTr="009E1369">
        <w:trPr>
          <w:jc w:val="center"/>
        </w:trPr>
        <w:tc>
          <w:tcPr>
            <w:tcW w:w="4509" w:type="dxa"/>
          </w:tcPr>
          <w:p w14:paraId="7287F81C" w14:textId="687EB8C5" w:rsidR="00B91E54" w:rsidRDefault="00B91E54" w:rsidP="000F5344">
            <w:pPr>
              <w:keepNext/>
              <w:keepLines/>
              <w:spacing w:before="60" w:after="60" w:line="240" w:lineRule="auto"/>
              <w:ind w:firstLine="0"/>
            </w:pPr>
            <w:r>
              <w:t xml:space="preserve">Empirical </w:t>
            </w:r>
            <w:proofErr w:type="spellStart"/>
            <w:r>
              <w:t>CAPM</w:t>
            </w:r>
            <w:proofErr w:type="spellEnd"/>
          </w:p>
        </w:tc>
        <w:tc>
          <w:tcPr>
            <w:tcW w:w="956" w:type="dxa"/>
          </w:tcPr>
          <w:p w14:paraId="65462BE0" w14:textId="4F851C7D" w:rsidR="00B91E54" w:rsidRDefault="00352A0F" w:rsidP="000F5344">
            <w:pPr>
              <w:keepNext/>
              <w:keepLines/>
              <w:spacing w:before="60" w:after="60" w:line="240" w:lineRule="auto"/>
              <w:ind w:firstLine="0"/>
              <w:jc w:val="center"/>
            </w:pPr>
            <w:r>
              <w:t>9.8</w:t>
            </w:r>
            <w:r w:rsidR="00B91E54">
              <w:t>%</w:t>
            </w:r>
          </w:p>
        </w:tc>
      </w:tr>
      <w:tr w:rsidR="00B91E54" w14:paraId="08ED3FE5" w14:textId="77777777" w:rsidTr="009E1369">
        <w:trPr>
          <w:jc w:val="center"/>
        </w:trPr>
        <w:tc>
          <w:tcPr>
            <w:tcW w:w="4509" w:type="dxa"/>
          </w:tcPr>
          <w:p w14:paraId="4A9B78C0" w14:textId="77777777" w:rsidR="00B91E54" w:rsidRDefault="00B91E54" w:rsidP="000F5344">
            <w:pPr>
              <w:keepNext/>
              <w:keepLines/>
              <w:spacing w:before="60" w:after="60" w:line="240" w:lineRule="auto"/>
              <w:ind w:firstLine="0"/>
            </w:pPr>
            <w:r>
              <w:t>Historical Risk Premium Electric</w:t>
            </w:r>
          </w:p>
        </w:tc>
        <w:tc>
          <w:tcPr>
            <w:tcW w:w="956" w:type="dxa"/>
          </w:tcPr>
          <w:p w14:paraId="49742CF3" w14:textId="4461D2BF" w:rsidR="00B91E54" w:rsidRDefault="00352A0F" w:rsidP="000F5344">
            <w:pPr>
              <w:keepNext/>
              <w:keepLines/>
              <w:spacing w:before="60" w:after="60" w:line="240" w:lineRule="auto"/>
              <w:ind w:firstLine="0"/>
              <w:jc w:val="center"/>
            </w:pPr>
            <w:r>
              <w:t>10.5</w:t>
            </w:r>
            <w:r w:rsidR="00B91E54">
              <w:t>%</w:t>
            </w:r>
          </w:p>
        </w:tc>
      </w:tr>
      <w:tr w:rsidR="00B91E54" w14:paraId="13BBFB95" w14:textId="77777777" w:rsidTr="009E1369">
        <w:trPr>
          <w:jc w:val="center"/>
        </w:trPr>
        <w:tc>
          <w:tcPr>
            <w:tcW w:w="4509" w:type="dxa"/>
            <w:tcBorders>
              <w:bottom w:val="single" w:sz="4" w:space="0" w:color="auto"/>
            </w:tcBorders>
          </w:tcPr>
          <w:p w14:paraId="10B8F0F6" w14:textId="77777777" w:rsidR="00B91E54" w:rsidRDefault="00B91E54" w:rsidP="000F5344">
            <w:pPr>
              <w:keepNext/>
              <w:keepLines/>
              <w:spacing w:before="60" w:after="60" w:line="240" w:lineRule="auto"/>
              <w:ind w:firstLine="0"/>
            </w:pPr>
            <w:r>
              <w:t>Allowed Risk Premium</w:t>
            </w:r>
          </w:p>
        </w:tc>
        <w:tc>
          <w:tcPr>
            <w:tcW w:w="956" w:type="dxa"/>
            <w:tcBorders>
              <w:bottom w:val="single" w:sz="4" w:space="0" w:color="auto"/>
            </w:tcBorders>
          </w:tcPr>
          <w:p w14:paraId="2200CCC2" w14:textId="0D2B58F8" w:rsidR="00B91E54" w:rsidRDefault="00352A0F" w:rsidP="000F5344">
            <w:pPr>
              <w:keepNext/>
              <w:keepLines/>
              <w:spacing w:before="60" w:after="60" w:line="240" w:lineRule="auto"/>
              <w:ind w:firstLine="0"/>
              <w:jc w:val="center"/>
            </w:pPr>
            <w:r>
              <w:t>10.7</w:t>
            </w:r>
            <w:r w:rsidR="00B91E54">
              <w:t>%</w:t>
            </w:r>
          </w:p>
        </w:tc>
      </w:tr>
      <w:tr w:rsidR="00B91E54" w14:paraId="156E6AB7" w14:textId="77777777" w:rsidTr="009E1369">
        <w:trPr>
          <w:jc w:val="center"/>
        </w:trPr>
        <w:tc>
          <w:tcPr>
            <w:tcW w:w="4509" w:type="dxa"/>
            <w:tcBorders>
              <w:top w:val="single" w:sz="4" w:space="0" w:color="auto"/>
            </w:tcBorders>
          </w:tcPr>
          <w:p w14:paraId="2DAF3316" w14:textId="77777777" w:rsidR="00B91E54" w:rsidRPr="00B91E54" w:rsidRDefault="00B91E54" w:rsidP="000F5344">
            <w:pPr>
              <w:keepNext/>
              <w:keepLines/>
              <w:spacing w:before="60" w:after="60" w:line="240" w:lineRule="auto"/>
              <w:ind w:firstLine="0"/>
              <w:rPr>
                <w:b/>
              </w:rPr>
            </w:pPr>
            <w:r w:rsidRPr="00B91E54">
              <w:rPr>
                <w:b/>
              </w:rPr>
              <w:t>Average</w:t>
            </w:r>
          </w:p>
        </w:tc>
        <w:tc>
          <w:tcPr>
            <w:tcW w:w="956" w:type="dxa"/>
            <w:tcBorders>
              <w:top w:val="single" w:sz="4" w:space="0" w:color="auto"/>
            </w:tcBorders>
          </w:tcPr>
          <w:p w14:paraId="3547900F" w14:textId="708789A8" w:rsidR="00B91E54" w:rsidRPr="00B91E54" w:rsidRDefault="00352A0F" w:rsidP="000F5344">
            <w:pPr>
              <w:keepNext/>
              <w:keepLines/>
              <w:spacing w:before="60" w:after="60" w:line="240" w:lineRule="auto"/>
              <w:ind w:firstLine="0"/>
              <w:jc w:val="center"/>
              <w:rPr>
                <w:b/>
              </w:rPr>
            </w:pPr>
            <w:r>
              <w:rPr>
                <w:b/>
              </w:rPr>
              <w:t>9</w:t>
            </w:r>
            <w:r w:rsidR="00B91E54" w:rsidRPr="00B91E54">
              <w:rPr>
                <w:b/>
              </w:rPr>
              <w:t>.</w:t>
            </w:r>
            <w:r>
              <w:rPr>
                <w:b/>
              </w:rPr>
              <w:t>9</w:t>
            </w:r>
            <w:r w:rsidR="00B91E54" w:rsidRPr="00B91E54">
              <w:rPr>
                <w:b/>
              </w:rPr>
              <w:t>%</w:t>
            </w:r>
          </w:p>
        </w:tc>
      </w:tr>
      <w:tr w:rsidR="00B91E54" w14:paraId="023F0DE7" w14:textId="77777777" w:rsidTr="009E1369">
        <w:trPr>
          <w:jc w:val="center"/>
        </w:trPr>
        <w:tc>
          <w:tcPr>
            <w:tcW w:w="4509" w:type="dxa"/>
          </w:tcPr>
          <w:p w14:paraId="4800AB19" w14:textId="77777777" w:rsidR="00B91E54" w:rsidRPr="00B91E54" w:rsidRDefault="00B91E54" w:rsidP="000F5344">
            <w:pPr>
              <w:keepNext/>
              <w:keepLines/>
              <w:spacing w:before="60" w:after="60" w:line="240" w:lineRule="auto"/>
              <w:ind w:firstLine="0"/>
              <w:rPr>
                <w:b/>
              </w:rPr>
            </w:pPr>
            <w:r w:rsidRPr="00B91E54">
              <w:rPr>
                <w:b/>
              </w:rPr>
              <w:t>Median</w:t>
            </w:r>
          </w:p>
        </w:tc>
        <w:tc>
          <w:tcPr>
            <w:tcW w:w="956" w:type="dxa"/>
          </w:tcPr>
          <w:p w14:paraId="5CB0B5E6" w14:textId="59F7DB1A" w:rsidR="00B91E54" w:rsidRPr="00B91E54" w:rsidRDefault="00352A0F" w:rsidP="000F5344">
            <w:pPr>
              <w:keepNext/>
              <w:keepLines/>
              <w:spacing w:before="60" w:after="60" w:line="240" w:lineRule="auto"/>
              <w:ind w:firstLine="0"/>
              <w:jc w:val="center"/>
              <w:rPr>
                <w:b/>
              </w:rPr>
            </w:pPr>
            <w:r>
              <w:rPr>
                <w:b/>
              </w:rPr>
              <w:t>9</w:t>
            </w:r>
            <w:r w:rsidR="00B91E54" w:rsidRPr="00B91E54">
              <w:rPr>
                <w:b/>
              </w:rPr>
              <w:t>.</w:t>
            </w:r>
            <w:r>
              <w:rPr>
                <w:b/>
              </w:rPr>
              <w:t>8</w:t>
            </w:r>
            <w:r w:rsidR="00B91E54" w:rsidRPr="00B91E54">
              <w:rPr>
                <w:b/>
              </w:rPr>
              <w:t>%</w:t>
            </w:r>
          </w:p>
        </w:tc>
      </w:tr>
      <w:tr w:rsidR="00B91E54" w14:paraId="4723CA69" w14:textId="77777777" w:rsidTr="009E1369">
        <w:trPr>
          <w:jc w:val="center"/>
        </w:trPr>
        <w:tc>
          <w:tcPr>
            <w:tcW w:w="4509" w:type="dxa"/>
          </w:tcPr>
          <w:p w14:paraId="4805061F" w14:textId="77777777" w:rsidR="00B91E54" w:rsidRPr="00B91E54" w:rsidRDefault="00B91E54" w:rsidP="00D93DC9">
            <w:pPr>
              <w:spacing w:before="60" w:after="60" w:line="240" w:lineRule="auto"/>
              <w:ind w:firstLine="0"/>
              <w:rPr>
                <w:b/>
              </w:rPr>
            </w:pPr>
            <w:r w:rsidRPr="00B91E54">
              <w:rPr>
                <w:b/>
              </w:rPr>
              <w:t>Truncated Mean</w:t>
            </w:r>
          </w:p>
        </w:tc>
        <w:tc>
          <w:tcPr>
            <w:tcW w:w="956" w:type="dxa"/>
          </w:tcPr>
          <w:p w14:paraId="03C8BDBE" w14:textId="35A534B7" w:rsidR="00B91E54" w:rsidRPr="00B91E54" w:rsidRDefault="00352A0F" w:rsidP="000F5344">
            <w:pPr>
              <w:spacing w:before="60" w:after="60" w:line="240" w:lineRule="auto"/>
              <w:ind w:firstLine="0"/>
              <w:jc w:val="center"/>
              <w:rPr>
                <w:b/>
              </w:rPr>
            </w:pPr>
            <w:r>
              <w:rPr>
                <w:b/>
              </w:rPr>
              <w:t>9</w:t>
            </w:r>
            <w:r w:rsidR="00B91E54" w:rsidRPr="00B91E54">
              <w:rPr>
                <w:b/>
              </w:rPr>
              <w:t>.</w:t>
            </w:r>
            <w:r>
              <w:rPr>
                <w:b/>
              </w:rPr>
              <w:t>9</w:t>
            </w:r>
            <w:r w:rsidR="00B91E54" w:rsidRPr="00B91E54">
              <w:rPr>
                <w:b/>
              </w:rPr>
              <w:t>%</w:t>
            </w:r>
          </w:p>
        </w:tc>
      </w:tr>
    </w:tbl>
    <w:p w14:paraId="4318F450" w14:textId="4D7C50D9" w:rsidR="00290C67" w:rsidRDefault="00352A0F" w:rsidP="00C10B3A">
      <w:pPr>
        <w:pStyle w:val="answer"/>
        <w:spacing w:before="360"/>
        <w:ind w:firstLine="0"/>
      </w:pPr>
      <w:r>
        <w:t>The average estimate is 9.9%, the median result is 9</w:t>
      </w:r>
      <w:r w:rsidR="00290C67">
        <w:t>.</w:t>
      </w:r>
      <w:r>
        <w:t>8</w:t>
      </w:r>
      <w:r w:rsidR="00290C67">
        <w:t>%, and truncated mean</w:t>
      </w:r>
      <w:r w:rsidR="00CF1144" w:rsidRPr="00CF1144">
        <w:rPr>
          <w:position w:val="6"/>
          <w:sz w:val="16"/>
          <w:szCs w:val="20"/>
        </w:rPr>
        <w:footnoteReference w:id="17"/>
      </w:r>
      <w:r w:rsidR="00BD560E">
        <w:t xml:space="preserve"> </w:t>
      </w:r>
      <w:r>
        <w:t>is 9.9</w:t>
      </w:r>
      <w:r w:rsidR="00290C67">
        <w:t>%.</w:t>
      </w:r>
      <w:r w:rsidR="00766957">
        <w:t xml:space="preserve"> </w:t>
      </w:r>
      <w:r w:rsidR="00C10B3A">
        <w:t>I</w:t>
      </w:r>
      <w:r>
        <w:t xml:space="preserve">n </w:t>
      </w:r>
      <w:r w:rsidR="00C10B3A">
        <w:t xml:space="preserve">light </w:t>
      </w:r>
      <w:r>
        <w:t xml:space="preserve">of those </w:t>
      </w:r>
      <w:r w:rsidR="00C10B3A">
        <w:t xml:space="preserve">central </w:t>
      </w:r>
      <w:r>
        <w:t xml:space="preserve">results, I view the 9.8% ROE requested by </w:t>
      </w:r>
      <w:r w:rsidR="00C714A7">
        <w:t xml:space="preserve">PSE </w:t>
      </w:r>
      <w:r>
        <w:t xml:space="preserve">as a </w:t>
      </w:r>
      <w:r w:rsidR="00C10B3A">
        <w:lastRenderedPageBreak/>
        <w:t xml:space="preserve">fair and reasonable estimate, although I consider this estimate very </w:t>
      </w:r>
      <w:r>
        <w:t xml:space="preserve">conservative </w:t>
      </w:r>
      <w:r w:rsidR="00C10B3A">
        <w:t>for reasons stated below.</w:t>
      </w:r>
    </w:p>
    <w:p w14:paraId="2F61768F" w14:textId="0AA2FCE4" w:rsidR="00290C67" w:rsidRDefault="00290C67" w:rsidP="00B91E54">
      <w:pPr>
        <w:pStyle w:val="answer"/>
        <w:ind w:firstLine="0"/>
      </w:pPr>
      <w:r>
        <w:t>I stress that no one individual method provides an exclusive foolproof formula for determining a fair return, but each method provides useful evidence so as to facilitate the exercise of an informed judgment.</w:t>
      </w:r>
      <w:r w:rsidR="00BD560E">
        <w:t xml:space="preserve"> </w:t>
      </w:r>
      <w:r>
        <w:t>Reliance on any single method or preset formula is hazardous when dealing with investor expectations.</w:t>
      </w:r>
      <w:r w:rsidR="00BD560E">
        <w:t xml:space="preserve"> </w:t>
      </w:r>
      <w:r>
        <w:t>Moreover, the advantage of using several different approaches is that the results of each one can be used to check the others.</w:t>
      </w:r>
      <w:r w:rsidR="00BD560E">
        <w:t xml:space="preserve"> </w:t>
      </w:r>
      <w:r>
        <w:t xml:space="preserve">Thus, the results shown in </w:t>
      </w:r>
      <w:r w:rsidR="002556AE">
        <w:t xml:space="preserve">Table 6 </w:t>
      </w:r>
      <w:r>
        <w:t>above must be viewed as a whole rather than each as a stand-alone.</w:t>
      </w:r>
      <w:r w:rsidR="00BD560E">
        <w:t xml:space="preserve"> </w:t>
      </w:r>
      <w:r>
        <w:t xml:space="preserve">It would be inappropriate to select any particular number from </w:t>
      </w:r>
      <w:r w:rsidR="002556AE">
        <w:t>T</w:t>
      </w:r>
      <w:r>
        <w:t>able</w:t>
      </w:r>
      <w:r w:rsidR="002556AE">
        <w:t> 6</w:t>
      </w:r>
      <w:r>
        <w:t xml:space="preserve"> and infer the cost of common equity from that number alone.</w:t>
      </w:r>
    </w:p>
    <w:p w14:paraId="490E0917" w14:textId="2A8C36EE" w:rsidR="00290C67" w:rsidRDefault="00290C67" w:rsidP="00BF05CC">
      <w:pPr>
        <w:pStyle w:val="question"/>
      </w:pPr>
      <w:r>
        <w:t>Q.</w:t>
      </w:r>
      <w:r w:rsidR="005B1412">
        <w:tab/>
      </w:r>
      <w:r>
        <w:t>Do your various cost of equity estimates for PSE include an allowance for flotation costs?</w:t>
      </w:r>
    </w:p>
    <w:p w14:paraId="3A7F9996" w14:textId="77777777" w:rsidR="00290C67" w:rsidRDefault="00290C67" w:rsidP="00B91E54">
      <w:pPr>
        <w:pStyle w:val="answer"/>
      </w:pPr>
      <w:r>
        <w:t>A.</w:t>
      </w:r>
      <w:r w:rsidR="00B91E54">
        <w:tab/>
      </w:r>
      <w:r>
        <w:t>No, they do not.</w:t>
      </w:r>
      <w:r w:rsidR="00BD560E">
        <w:t xml:space="preserve"> </w:t>
      </w:r>
      <w:r>
        <w:t>Although flotation cost adjustments are necessary for privately held subsidiary utilities, I am not advocating a flotation cost adjustment for PSE in this proceeding because of the unique ownership structure of PSE.</w:t>
      </w:r>
      <w:r w:rsidR="00BD560E">
        <w:t xml:space="preserve"> </w:t>
      </w:r>
      <w:r>
        <w:t>PSE</w:t>
      </w:r>
      <w:r w:rsidR="00BD560E">
        <w:t>’</w:t>
      </w:r>
      <w:r>
        <w:t>s ultimate parent, Puget Holdings LLC, is owned by infrastructure investors that are predominantly pension funds.</w:t>
      </w:r>
      <w:r w:rsidR="00BD560E">
        <w:t xml:space="preserve"> </w:t>
      </w:r>
      <w:r>
        <w:t>These pension funds do not issue equity to obtain funds and instead obtain funds from participants to a pension plan that must pay into such plan.</w:t>
      </w:r>
      <w:r w:rsidR="00BD560E">
        <w:t xml:space="preserve"> </w:t>
      </w:r>
      <w:r>
        <w:t>In obtaining funds, these pension plans do not incur the types of costs that are normally associated with the flotation cost allowance.</w:t>
      </w:r>
      <w:r w:rsidR="00BD560E">
        <w:t xml:space="preserve"> </w:t>
      </w:r>
      <w:r>
        <w:t>Additionally, it is my understanding that neither PSE nor any affiliate of PSE has any current plans to issue equity.</w:t>
      </w:r>
      <w:r w:rsidR="00BD560E">
        <w:t xml:space="preserve"> </w:t>
      </w:r>
      <w:r>
        <w:t xml:space="preserve">In other words, it is unlikely that any equity injected into </w:t>
      </w:r>
      <w:r>
        <w:lastRenderedPageBreak/>
        <w:t>PSE for the foreseeable future will be funded by any equity issuance by PSE or any affiliate entity.</w:t>
      </w:r>
      <w:r w:rsidR="00BD560E">
        <w:t xml:space="preserve"> </w:t>
      </w:r>
      <w:r>
        <w:t>For this reason, I do not advocate a flotation cost adjustment for PSE in this proceeding.</w:t>
      </w:r>
    </w:p>
    <w:p w14:paraId="04C65B39" w14:textId="1371CEB1" w:rsidR="00D16396" w:rsidRPr="00766957" w:rsidRDefault="00D16396" w:rsidP="00766957">
      <w:pPr>
        <w:pStyle w:val="question"/>
      </w:pPr>
      <w:r w:rsidRPr="00236F88">
        <w:t>Q.</w:t>
      </w:r>
      <w:r w:rsidRPr="00236F88">
        <w:tab/>
      </w:r>
      <w:r w:rsidR="00766957">
        <w:t>Please elaborate</w:t>
      </w:r>
      <w:r w:rsidR="00766957" w:rsidRPr="00236F88">
        <w:t xml:space="preserve"> </w:t>
      </w:r>
      <w:r w:rsidR="00766957">
        <w:t xml:space="preserve">on the statement </w:t>
      </w:r>
      <w:r w:rsidRPr="00236F88">
        <w:t xml:space="preserve">earlier in your testimony that </w:t>
      </w:r>
      <w:r w:rsidR="00766957">
        <w:t xml:space="preserve">PSE’s </w:t>
      </w:r>
      <w:r>
        <w:t xml:space="preserve">requested ROE of 9.8% is a </w:t>
      </w:r>
      <w:r w:rsidR="00766957">
        <w:t>“</w:t>
      </w:r>
      <w:r>
        <w:t>barebones</w:t>
      </w:r>
      <w:r w:rsidR="00766957">
        <w:t>”</w:t>
      </w:r>
      <w:r>
        <w:t xml:space="preserve"> estimate.</w:t>
      </w:r>
    </w:p>
    <w:p w14:paraId="48A64949" w14:textId="38EB4A6B" w:rsidR="00D16396" w:rsidRPr="00236F88" w:rsidRDefault="00766957" w:rsidP="00766957">
      <w:pPr>
        <w:pStyle w:val="answer"/>
        <w:spacing w:before="0" w:after="0"/>
      </w:pPr>
      <w:r>
        <w:t>A.</w:t>
      </w:r>
      <w:r>
        <w:tab/>
        <w:t xml:space="preserve">Yes. </w:t>
      </w:r>
      <w:r w:rsidR="00D16396" w:rsidRPr="00236F88">
        <w:t xml:space="preserve">I </w:t>
      </w:r>
      <w:r w:rsidR="00D16396">
        <w:t xml:space="preserve">consider </w:t>
      </w:r>
      <w:r>
        <w:t xml:space="preserve">PSE’s </w:t>
      </w:r>
      <w:r w:rsidR="00D16396">
        <w:t xml:space="preserve">requested ROE of 9.8% as </w:t>
      </w:r>
      <w:r>
        <w:t>“</w:t>
      </w:r>
      <w:r w:rsidR="00D16396">
        <w:t>barebones</w:t>
      </w:r>
      <w:r>
        <w:t>”</w:t>
      </w:r>
      <w:r w:rsidR="00D16396">
        <w:t xml:space="preserve"> for </w:t>
      </w:r>
      <w:r>
        <w:t xml:space="preserve">the following </w:t>
      </w:r>
      <w:r w:rsidR="00D16396">
        <w:t>three reasons: 1)</w:t>
      </w:r>
      <w:r>
        <w:t xml:space="preserve"> PSE’s </w:t>
      </w:r>
      <w:r w:rsidR="00D16396" w:rsidRPr="00236F88">
        <w:t xml:space="preserve">dependence on a huge capital spending program </w:t>
      </w:r>
      <w:r w:rsidR="00D16396">
        <w:t>relative its size, 2)</w:t>
      </w:r>
      <w:r>
        <w:t xml:space="preserve"> PSE’s </w:t>
      </w:r>
      <w:r w:rsidR="00D16396" w:rsidRPr="00236F88">
        <w:t>small size</w:t>
      </w:r>
      <w:r w:rsidR="00D16396">
        <w:t xml:space="preserve"> relative to the peer group, and 3)</w:t>
      </w:r>
      <w:r w:rsidRPr="00766957">
        <w:t xml:space="preserve"> </w:t>
      </w:r>
      <w:r>
        <w:t xml:space="preserve">PSE’s </w:t>
      </w:r>
      <w:r w:rsidR="00D16396">
        <w:t xml:space="preserve">slightly weaker common equity ratio compared to that of its peers. </w:t>
      </w:r>
    </w:p>
    <w:p w14:paraId="702C5661" w14:textId="0A9AE90F" w:rsidR="00D16396" w:rsidRPr="00766957" w:rsidRDefault="00D16396" w:rsidP="00766957">
      <w:pPr>
        <w:pStyle w:val="question"/>
      </w:pPr>
      <w:bookmarkStart w:id="32" w:name="_DV_M638"/>
      <w:bookmarkEnd w:id="32"/>
      <w:r w:rsidRPr="00236F88">
        <w:rPr>
          <w:w w:val="0"/>
        </w:rPr>
        <w:t>Q.</w:t>
      </w:r>
      <w:r w:rsidRPr="00236F88">
        <w:rPr>
          <w:w w:val="0"/>
        </w:rPr>
        <w:tab/>
        <w:t>Pleas</w:t>
      </w:r>
      <w:r>
        <w:rPr>
          <w:w w:val="0"/>
        </w:rPr>
        <w:t xml:space="preserve">e comment on </w:t>
      </w:r>
      <w:r w:rsidR="00766957">
        <w:rPr>
          <w:w w:val="0"/>
        </w:rPr>
        <w:t xml:space="preserve">PSE’s </w:t>
      </w:r>
      <w:r w:rsidRPr="00236F88">
        <w:rPr>
          <w:w w:val="0"/>
        </w:rPr>
        <w:t>small size and its effect on risk.</w:t>
      </w:r>
    </w:p>
    <w:p w14:paraId="6FFAB9CD" w14:textId="74EA3129" w:rsidR="00D16396" w:rsidRPr="00766957" w:rsidRDefault="00D16396" w:rsidP="00766957">
      <w:pPr>
        <w:pStyle w:val="answer"/>
        <w:spacing w:before="0" w:after="0"/>
      </w:pPr>
      <w:r w:rsidRPr="00D45B29">
        <w:rPr>
          <w:bCs/>
        </w:rPr>
        <w:t>A.</w:t>
      </w:r>
      <w:r w:rsidRPr="00D45B29">
        <w:rPr>
          <w:b/>
        </w:rPr>
        <w:tab/>
      </w:r>
      <w:r w:rsidRPr="00766957">
        <w:t xml:space="preserve">My second reason for considering the </w:t>
      </w:r>
      <w:r w:rsidR="00766957">
        <w:t xml:space="preserve">ROE of </w:t>
      </w:r>
      <w:r w:rsidRPr="00766957">
        <w:t xml:space="preserve">9.8% requested by </w:t>
      </w:r>
      <w:r w:rsidR="00766957">
        <w:t>PSE to be “</w:t>
      </w:r>
      <w:r w:rsidRPr="00766957">
        <w:t>barebones</w:t>
      </w:r>
      <w:r w:rsidR="00766957">
        <w:t>”</w:t>
      </w:r>
      <w:r w:rsidRPr="00766957">
        <w:t xml:space="preserve"> is because PSE possesses very small revenue and asset bases, both in absolute terms and relative to the other electric utilities in the peer</w:t>
      </w:r>
      <w:r w:rsidR="00766957">
        <w:t xml:space="preserve"> group. </w:t>
      </w:r>
      <w:r w:rsidRPr="00766957">
        <w:t>Investment risk increases as company size diminishes</w:t>
      </w:r>
      <w:r w:rsidR="00766957">
        <w:t xml:space="preserve">, all else remaining constant. </w:t>
      </w:r>
      <w:r w:rsidRPr="00766957">
        <w:t xml:space="preserve">The size phenomenon is well documented in the finance literature, and is fully discussed in Chapter 6 of my book </w:t>
      </w:r>
      <w:r w:rsidRPr="00766957">
        <w:rPr>
          <w:u w:val="single"/>
        </w:rPr>
        <w:t>The New Regulatory Finance</w:t>
      </w:r>
      <w:r w:rsidRPr="00766957">
        <w:t xml:space="preserve"> and is also fully discussed in the Duff &amp; Phelps 2016 Valuation Handbook (formerly Morningstar Valuation Yearbook)</w:t>
      </w:r>
      <w:r w:rsidR="00766957">
        <w:t xml:space="preserve">. </w:t>
      </w:r>
      <w:r w:rsidRPr="00766957">
        <w:t xml:space="preserve">Small companies have very different returns than large ones and on average </w:t>
      </w:r>
      <w:r w:rsidR="00766957">
        <w:t>those returns have been higher.</w:t>
      </w:r>
    </w:p>
    <w:p w14:paraId="00B6E357" w14:textId="7C5A0BA2" w:rsidR="00D16396" w:rsidRPr="00766957" w:rsidRDefault="00D16396" w:rsidP="00766957">
      <w:pPr>
        <w:pStyle w:val="question"/>
      </w:pPr>
      <w:r w:rsidRPr="00236F88">
        <w:rPr>
          <w:w w:val="0"/>
        </w:rPr>
        <w:t>Q.</w:t>
      </w:r>
      <w:r w:rsidRPr="00236F88">
        <w:rPr>
          <w:w w:val="0"/>
        </w:rPr>
        <w:tab/>
        <w:t>Pleas</w:t>
      </w:r>
      <w:r>
        <w:rPr>
          <w:w w:val="0"/>
        </w:rPr>
        <w:t xml:space="preserve">e comment on </w:t>
      </w:r>
      <w:r w:rsidR="00766957">
        <w:rPr>
          <w:w w:val="0"/>
        </w:rPr>
        <w:t xml:space="preserve">PSE’s </w:t>
      </w:r>
      <w:r>
        <w:rPr>
          <w:w w:val="0"/>
        </w:rPr>
        <w:t>common equity ratio compared to that of its peers.</w:t>
      </w:r>
    </w:p>
    <w:p w14:paraId="033C2972" w14:textId="039566F2" w:rsidR="00D16396" w:rsidRPr="00766957" w:rsidRDefault="00D16396" w:rsidP="00766957">
      <w:pPr>
        <w:pStyle w:val="answer"/>
        <w:spacing w:before="0" w:after="0"/>
      </w:pPr>
      <w:r w:rsidRPr="00D45B29">
        <w:rPr>
          <w:rFonts w:asciiTheme="majorBidi" w:hAnsiTheme="majorBidi" w:cstheme="majorBidi"/>
        </w:rPr>
        <w:t>A.</w:t>
      </w:r>
      <w:r w:rsidRPr="00D45B29">
        <w:rPr>
          <w:rFonts w:asciiTheme="majorBidi" w:hAnsiTheme="majorBidi" w:cstheme="majorBidi"/>
        </w:rPr>
        <w:tab/>
      </w:r>
      <w:r>
        <w:rPr>
          <w:rFonts w:asciiTheme="majorBidi" w:hAnsiTheme="majorBidi" w:cstheme="majorBidi"/>
        </w:rPr>
        <w:t>My third</w:t>
      </w:r>
      <w:r w:rsidRPr="00D45B29">
        <w:rPr>
          <w:rFonts w:asciiTheme="majorBidi" w:hAnsiTheme="majorBidi" w:cstheme="majorBidi"/>
        </w:rPr>
        <w:t xml:space="preserve"> reason for considering the </w:t>
      </w:r>
      <w:r w:rsidR="00766957">
        <w:rPr>
          <w:rFonts w:asciiTheme="majorBidi" w:hAnsiTheme="majorBidi" w:cstheme="majorBidi"/>
        </w:rPr>
        <w:t xml:space="preserve">ROE of </w:t>
      </w:r>
      <w:r w:rsidRPr="00D45B29">
        <w:rPr>
          <w:rFonts w:asciiTheme="majorBidi" w:hAnsiTheme="majorBidi" w:cstheme="majorBidi"/>
        </w:rPr>
        <w:t xml:space="preserve">9.8% requested by </w:t>
      </w:r>
      <w:r w:rsidR="00766957">
        <w:rPr>
          <w:rFonts w:asciiTheme="majorBidi" w:hAnsiTheme="majorBidi" w:cstheme="majorBidi"/>
        </w:rPr>
        <w:t xml:space="preserve">PSE </w:t>
      </w:r>
      <w:r w:rsidRPr="00D45B29">
        <w:rPr>
          <w:rFonts w:asciiTheme="majorBidi" w:hAnsiTheme="majorBidi" w:cstheme="majorBidi"/>
        </w:rPr>
        <w:t xml:space="preserve">as </w:t>
      </w:r>
      <w:r w:rsidR="00766957">
        <w:rPr>
          <w:rFonts w:asciiTheme="majorBidi" w:hAnsiTheme="majorBidi" w:cstheme="majorBidi"/>
        </w:rPr>
        <w:t>“</w:t>
      </w:r>
      <w:r w:rsidRPr="00D45B29">
        <w:rPr>
          <w:rFonts w:asciiTheme="majorBidi" w:hAnsiTheme="majorBidi" w:cstheme="majorBidi"/>
        </w:rPr>
        <w:t>barebones</w:t>
      </w:r>
      <w:r w:rsidR="00766957">
        <w:rPr>
          <w:rFonts w:asciiTheme="majorBidi" w:hAnsiTheme="majorBidi" w:cstheme="majorBidi"/>
        </w:rPr>
        <w:t>”</w:t>
      </w:r>
      <w:r w:rsidRPr="00D45B29">
        <w:rPr>
          <w:rFonts w:asciiTheme="majorBidi" w:hAnsiTheme="majorBidi" w:cstheme="majorBidi"/>
        </w:rPr>
        <w:t xml:space="preserve"> is because </w:t>
      </w:r>
      <w:r w:rsidR="00766957">
        <w:rPr>
          <w:rFonts w:asciiTheme="majorBidi" w:hAnsiTheme="majorBidi" w:cstheme="majorBidi"/>
        </w:rPr>
        <w:t xml:space="preserve">PSE’s </w:t>
      </w:r>
      <w:r>
        <w:rPr>
          <w:rFonts w:asciiTheme="majorBidi" w:hAnsiTheme="majorBidi" w:cstheme="majorBidi"/>
        </w:rPr>
        <w:t>common equity ratio of 48.5% is slightly w</w:t>
      </w:r>
      <w:r w:rsidR="00766957">
        <w:rPr>
          <w:rFonts w:asciiTheme="majorBidi" w:hAnsiTheme="majorBidi" w:cstheme="majorBidi"/>
        </w:rPr>
        <w:t xml:space="preserve">eaker </w:t>
      </w:r>
      <w:r w:rsidR="00766957">
        <w:rPr>
          <w:rFonts w:asciiTheme="majorBidi" w:hAnsiTheme="majorBidi" w:cstheme="majorBidi"/>
        </w:rPr>
        <w:lastRenderedPageBreak/>
        <w:t xml:space="preserve">than that of its peers. </w:t>
      </w:r>
      <w:r>
        <w:rPr>
          <w:rFonts w:asciiTheme="majorBidi" w:hAnsiTheme="majorBidi" w:cstheme="majorBidi"/>
        </w:rPr>
        <w:t>As shown on Exhibit</w:t>
      </w:r>
      <w:r w:rsidR="008B2CFE">
        <w:rPr>
          <w:rFonts w:asciiTheme="majorBidi" w:hAnsiTheme="majorBidi" w:cstheme="majorBidi"/>
        </w:rPr>
        <w:t xml:space="preserve"> No. </w:t>
      </w:r>
      <w:r>
        <w:rPr>
          <w:rFonts w:asciiTheme="majorBidi" w:hAnsiTheme="majorBidi" w:cstheme="majorBidi"/>
        </w:rPr>
        <w:t>___(RAM-1</w:t>
      </w:r>
      <w:r w:rsidR="00456C55">
        <w:rPr>
          <w:rFonts w:asciiTheme="majorBidi" w:hAnsiTheme="majorBidi" w:cstheme="majorBidi"/>
        </w:rPr>
        <w:t>1</w:t>
      </w:r>
      <w:r>
        <w:rPr>
          <w:rFonts w:asciiTheme="majorBidi" w:hAnsiTheme="majorBidi" w:cstheme="majorBidi"/>
        </w:rPr>
        <w:t>), the average common equity ratio for the peer group is 49.6% and the median common equity ratio is 50.6% compared to PSE’s 48.5%. In other words, PSE has a slightly weaker capital structure than that of its peers and more financial risk.</w:t>
      </w:r>
    </w:p>
    <w:p w14:paraId="4C33EE5A" w14:textId="283E0E83" w:rsidR="00290C67" w:rsidRDefault="00290C67" w:rsidP="00BF05CC">
      <w:pPr>
        <w:pStyle w:val="question"/>
      </w:pPr>
      <w:r>
        <w:t>Q.</w:t>
      </w:r>
      <w:r>
        <w:tab/>
        <w:t xml:space="preserve">Does this conclude your </w:t>
      </w:r>
      <w:r w:rsidR="005B1412">
        <w:t>pre</w:t>
      </w:r>
      <w:r w:rsidR="00C10B3A">
        <w:t>-</w:t>
      </w:r>
      <w:r w:rsidR="005B1412">
        <w:t xml:space="preserve">filed </w:t>
      </w:r>
      <w:r>
        <w:t>direct testimony?</w:t>
      </w:r>
    </w:p>
    <w:p w14:paraId="0B1AE419" w14:textId="7BC1D1AB" w:rsidR="00A53AFE" w:rsidRDefault="00290C67" w:rsidP="000F5344">
      <w:pPr>
        <w:pStyle w:val="answer"/>
      </w:pPr>
      <w:r>
        <w:t>A.</w:t>
      </w:r>
      <w:r>
        <w:tab/>
        <w:t>Yes, it does.</w:t>
      </w:r>
      <w:bookmarkStart w:id="33" w:name="_GoBack"/>
      <w:bookmarkEnd w:id="16"/>
      <w:bookmarkEnd w:id="17"/>
      <w:bookmarkEnd w:id="33"/>
    </w:p>
    <w:sectPr w:rsidR="00A53AFE" w:rsidSect="00FB09A7">
      <w:footerReference w:type="default" r:id="rId24"/>
      <w:footerReference w:type="first" r:id="rId25"/>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BC3F0" w14:textId="77777777" w:rsidR="007834C1" w:rsidRDefault="007834C1">
      <w:r>
        <w:separator/>
      </w:r>
    </w:p>
  </w:endnote>
  <w:endnote w:type="continuationSeparator" w:id="0">
    <w:p w14:paraId="3182A5E7" w14:textId="77777777" w:rsidR="007834C1" w:rsidRDefault="007834C1">
      <w:r>
        <w:continuationSeparator/>
      </w:r>
    </w:p>
  </w:endnote>
  <w:endnote w:type="continuationNotice" w:id="1">
    <w:p w14:paraId="717D19ED" w14:textId="77777777" w:rsidR="007834C1" w:rsidRDefault="00783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76D2" w14:textId="77777777" w:rsidR="00CD6D24" w:rsidRPr="009C14C3" w:rsidRDefault="00CD6D24">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F09D" w14:textId="77777777" w:rsidR="00CD6D24" w:rsidRPr="006A4EC4" w:rsidRDefault="00CD6D2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12EF8749" w14:textId="77777777" w:rsidR="00CD6D24" w:rsidRPr="006A4EC4" w:rsidRDefault="00CD6D24" w:rsidP="00E05C6E">
    <w:pPr>
      <w:pStyle w:val="Footer"/>
      <w:tabs>
        <w:tab w:val="clear" w:pos="4507"/>
        <w:tab w:val="clear" w:pos="9000"/>
        <w:tab w:val="right" w:pos="8640"/>
      </w:tabs>
      <w:spacing w:line="240" w:lineRule="auto"/>
      <w:ind w:right="0" w:hanging="4"/>
      <w:rPr>
        <w:sz w:val="10"/>
        <w:szCs w:val="10"/>
      </w:rPr>
    </w:pPr>
  </w:p>
  <w:p w14:paraId="0A25C39B" w14:textId="77777777" w:rsidR="00CD6D24" w:rsidRDefault="00CD6D24" w:rsidP="00E05C6E">
    <w:pPr>
      <w:pStyle w:val="Footer"/>
      <w:tabs>
        <w:tab w:val="clear" w:pos="4507"/>
        <w:tab w:val="clear" w:pos="9000"/>
        <w:tab w:val="right" w:pos="8640"/>
      </w:tabs>
      <w:ind w:hanging="4"/>
    </w:pPr>
    <w:proofErr w:type="spellStart"/>
    <w:r>
      <w:t>Prefiled</w:t>
    </w:r>
    <w:proofErr w:type="spellEnd"/>
    <w:r>
      <w:t xml:space="preserve"> Direct Testimony</w:t>
    </w:r>
    <w:r>
      <w:tab/>
      <w:t>Exhibit No. ___(RAM-1T)</w:t>
    </w:r>
  </w:p>
  <w:p w14:paraId="65CDBABE" w14:textId="5C707652" w:rsidR="00CD6D24" w:rsidRDefault="00CD6D24" w:rsidP="00F342FC">
    <w:pPr>
      <w:pStyle w:val="Footer"/>
      <w:tabs>
        <w:tab w:val="clear" w:pos="4507"/>
        <w:tab w:val="clear" w:pos="9000"/>
        <w:tab w:val="right" w:pos="8640"/>
      </w:tabs>
      <w:ind w:hanging="4"/>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671614">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671614">
      <w:rPr>
        <w:rStyle w:val="PageNumber"/>
        <w:noProof/>
      </w:rPr>
      <w:t>i</w:t>
    </w:r>
    <w:r>
      <w:rPr>
        <w:rStyle w:val="PageNumber"/>
      </w:rPr>
      <w:fldChar w:fldCharType="end"/>
    </w:r>
  </w:p>
  <w:p w14:paraId="2081F606" w14:textId="77777777" w:rsidR="00CD6D24" w:rsidRDefault="00CD6D24" w:rsidP="00F342FC">
    <w:pPr>
      <w:pStyle w:val="Footer"/>
      <w:tabs>
        <w:tab w:val="clear" w:pos="4507"/>
        <w:tab w:val="clear" w:pos="9000"/>
        <w:tab w:val="right" w:pos="8640"/>
      </w:tabs>
      <w:ind w:hanging="4"/>
    </w:pPr>
    <w:r>
      <w:t>Dr. Roger A. Morin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205A" w14:textId="77777777" w:rsidR="00CD6D24" w:rsidRDefault="00CD6D24"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B9B3" w14:textId="77777777" w:rsidR="00CD6D24" w:rsidRPr="006A4EC4" w:rsidRDefault="00CD6D2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861DB0C" w14:textId="77777777" w:rsidR="00CD6D24" w:rsidRPr="006A4EC4" w:rsidRDefault="00CD6D24" w:rsidP="00E05C6E">
    <w:pPr>
      <w:pStyle w:val="Footer"/>
      <w:tabs>
        <w:tab w:val="clear" w:pos="4507"/>
        <w:tab w:val="clear" w:pos="9000"/>
        <w:tab w:val="right" w:pos="8640"/>
      </w:tabs>
      <w:spacing w:line="240" w:lineRule="auto"/>
      <w:ind w:right="0"/>
      <w:rPr>
        <w:sz w:val="10"/>
        <w:szCs w:val="10"/>
      </w:rPr>
    </w:pPr>
  </w:p>
  <w:p w14:paraId="6D1D3F16" w14:textId="77777777" w:rsidR="00CD6D24" w:rsidRDefault="00CD6D2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___(RAM-1T)</w:t>
    </w:r>
  </w:p>
  <w:p w14:paraId="160A2622" w14:textId="6BA352EF" w:rsidR="00CD6D24" w:rsidRDefault="00CD6D24" w:rsidP="004611C3">
    <w:pPr>
      <w:pStyle w:val="Footer"/>
      <w:tabs>
        <w:tab w:val="clear" w:pos="4507"/>
        <w:tab w:val="clear" w:pos="9000"/>
        <w:tab w:val="right" w:pos="8640"/>
      </w:tabs>
      <w:ind w:hanging="4"/>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671614">
      <w:rPr>
        <w:rStyle w:val="PageNumber"/>
        <w:noProof/>
      </w:rPr>
      <w:t>58</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71614">
      <w:rPr>
        <w:rStyle w:val="PageNumber"/>
        <w:noProof/>
      </w:rPr>
      <w:t>58</w:t>
    </w:r>
    <w:r>
      <w:rPr>
        <w:rStyle w:val="PageNumber"/>
      </w:rPr>
      <w:fldChar w:fldCharType="end"/>
    </w:r>
  </w:p>
  <w:p w14:paraId="1E65927D" w14:textId="77777777" w:rsidR="00CD6D24" w:rsidRDefault="00CD6D24" w:rsidP="00052A92">
    <w:pPr>
      <w:pStyle w:val="Footer"/>
      <w:tabs>
        <w:tab w:val="clear" w:pos="4507"/>
        <w:tab w:val="clear" w:pos="9000"/>
        <w:tab w:val="right" w:pos="8640"/>
      </w:tabs>
      <w:ind w:hanging="4"/>
    </w:pPr>
    <w:r>
      <w:t>Dr. Roger A. Morin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4F0A" w14:textId="77777777" w:rsidR="00CD6D24" w:rsidRDefault="00CD6D24"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7F1FE" w14:textId="77777777" w:rsidR="007834C1" w:rsidRDefault="007834C1">
      <w:r>
        <w:separator/>
      </w:r>
    </w:p>
  </w:footnote>
  <w:footnote w:type="continuationSeparator" w:id="0">
    <w:p w14:paraId="30EE728C" w14:textId="77777777" w:rsidR="007834C1" w:rsidRDefault="007834C1">
      <w:r>
        <w:continuationSeparator/>
      </w:r>
    </w:p>
  </w:footnote>
  <w:footnote w:type="continuationNotice" w:id="1">
    <w:p w14:paraId="7C921A0F" w14:textId="77777777" w:rsidR="007834C1" w:rsidRDefault="007834C1"/>
  </w:footnote>
  <w:footnote w:id="2">
    <w:p w14:paraId="48300F4A" w14:textId="2AA509C0" w:rsidR="00CD6D24" w:rsidRPr="008F62F8" w:rsidRDefault="00CD6D24" w:rsidP="008F62F8">
      <w:pPr>
        <w:pStyle w:val="FootnoteText"/>
        <w:spacing w:before="60" w:after="60" w:line="240" w:lineRule="auto"/>
        <w:ind w:firstLine="360"/>
        <w:rPr>
          <w:sz w:val="24"/>
        </w:rPr>
      </w:pPr>
      <w:r w:rsidRPr="00EB5B5F">
        <w:rPr>
          <w:rStyle w:val="FootnoteReference"/>
          <w:sz w:val="20"/>
          <w:szCs w:val="20"/>
        </w:rPr>
        <w:footnoteRef/>
      </w:r>
      <w:r>
        <w:tab/>
      </w:r>
      <w:r w:rsidRPr="008F62F8">
        <w:rPr>
          <w:i/>
          <w:sz w:val="24"/>
        </w:rPr>
        <w:t>WUTC v. Puget Sound Energy, Inc.</w:t>
      </w:r>
      <w:r w:rsidRPr="008F62F8">
        <w:rPr>
          <w:sz w:val="24"/>
        </w:rPr>
        <w:t>, Dockets UE-111048 &amp; UG-111049 (consolidated), Order 08 (Rejecting Tariff Sheets; Authorizing and Requiring Compliance Filing) at ¶ 89 (May 7, 2012).</w:t>
      </w:r>
    </w:p>
  </w:footnote>
  <w:footnote w:id="3">
    <w:p w14:paraId="21AD588B" w14:textId="77777777" w:rsidR="00CD6D24" w:rsidRPr="008F62F8" w:rsidRDefault="00CD6D24" w:rsidP="008F62F8">
      <w:pPr>
        <w:pStyle w:val="FootnoteText"/>
        <w:keepNext/>
        <w:keepLines/>
        <w:spacing w:before="60" w:after="60" w:line="240" w:lineRule="auto"/>
        <w:ind w:firstLine="360"/>
        <w:rPr>
          <w:sz w:val="24"/>
        </w:rPr>
      </w:pPr>
      <w:r w:rsidRPr="002B4A9F">
        <w:rPr>
          <w:rStyle w:val="FootnoteReference"/>
          <w:sz w:val="20"/>
        </w:rPr>
        <w:footnoteRef/>
      </w:r>
      <w:r w:rsidRPr="00FF0471">
        <w:rPr>
          <w:sz w:val="20"/>
          <w:szCs w:val="20"/>
        </w:rPr>
        <w:tab/>
      </w:r>
      <w:r w:rsidRPr="008F62F8">
        <w:rPr>
          <w:sz w:val="24"/>
        </w:rPr>
        <w:t>If σ</w:t>
      </w:r>
      <w:r w:rsidRPr="008F62F8">
        <w:rPr>
          <w:sz w:val="24"/>
          <w:vertAlign w:val="subscript"/>
        </w:rPr>
        <w:t>i</w:t>
      </w:r>
      <w:r w:rsidRPr="008F62F8">
        <w:rPr>
          <w:sz w:val="24"/>
          <w:vertAlign w:val="superscript"/>
        </w:rPr>
        <w:t>2</w:t>
      </w:r>
      <w:r w:rsidRPr="008F62F8">
        <w:rPr>
          <w:sz w:val="24"/>
        </w:rPr>
        <w:t xml:space="preserve"> represents the average variance of the errors in a group of N companies, and </w:t>
      </w:r>
      <w:proofErr w:type="spellStart"/>
      <w:r w:rsidRPr="008F62F8">
        <w:rPr>
          <w:sz w:val="24"/>
        </w:rPr>
        <w:t>σ</w:t>
      </w:r>
      <w:r w:rsidRPr="008F62F8">
        <w:rPr>
          <w:sz w:val="24"/>
          <w:vertAlign w:val="subscript"/>
        </w:rPr>
        <w:t>ij</w:t>
      </w:r>
      <w:proofErr w:type="spellEnd"/>
      <w:r w:rsidRPr="008F62F8">
        <w:rPr>
          <w:sz w:val="24"/>
        </w:rPr>
        <w:t xml:space="preserve"> the average covariance between the errors, then the variance of the error for the group of N companies, σ</w:t>
      </w:r>
      <w:r w:rsidRPr="008F62F8">
        <w:rPr>
          <w:sz w:val="24"/>
          <w:vertAlign w:val="subscript"/>
        </w:rPr>
        <w:t>N</w:t>
      </w:r>
      <w:r w:rsidRPr="008F62F8">
        <w:rPr>
          <w:sz w:val="24"/>
          <w:vertAlign w:val="superscript"/>
        </w:rPr>
        <w:t>2</w:t>
      </w:r>
      <w:r w:rsidRPr="008F62F8">
        <w:rPr>
          <w:sz w:val="24"/>
        </w:rPr>
        <w:t xml:space="preserve"> is: </w:t>
      </w:r>
    </w:p>
    <w:p w14:paraId="122A8E96" w14:textId="77777777" w:rsidR="00CD6D24" w:rsidRPr="008F62F8" w:rsidRDefault="00CD6D24" w:rsidP="008F62F8">
      <w:pPr>
        <w:pStyle w:val="FootnoteText"/>
        <w:keepLines/>
        <w:spacing w:before="60" w:after="60" w:line="240" w:lineRule="auto"/>
        <w:ind w:firstLine="360"/>
        <w:jc w:val="center"/>
        <w:rPr>
          <w:sz w:val="24"/>
        </w:rPr>
      </w:pPr>
      <w:r w:rsidRPr="008F62F8">
        <w:rPr>
          <w:noProof/>
          <w:position w:val="-24"/>
          <w:sz w:val="24"/>
          <w:lang w:eastAsia="en-US"/>
        </w:rPr>
        <w:drawing>
          <wp:inline distT="0" distB="0" distL="0" distR="0" wp14:anchorId="40094FC1" wp14:editId="40456ADE">
            <wp:extent cx="1409700" cy="419100"/>
            <wp:effectExtent l="0" t="0" r="0"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14:paraId="05ACCBEA" w14:textId="77777777" w:rsidR="00CD6D24" w:rsidRPr="008F62F8" w:rsidRDefault="00CD6D24" w:rsidP="008F62F8">
      <w:pPr>
        <w:pStyle w:val="FootnoteText"/>
        <w:keepLines/>
        <w:spacing w:before="60" w:after="60" w:line="240" w:lineRule="auto"/>
        <w:ind w:firstLine="0"/>
        <w:rPr>
          <w:sz w:val="24"/>
        </w:rPr>
      </w:pPr>
      <w:r w:rsidRPr="008F62F8">
        <w:rPr>
          <w:sz w:val="24"/>
        </w:rPr>
        <w:t>If the errors are independent, the covariance between them (</w:t>
      </w:r>
      <w:proofErr w:type="spellStart"/>
      <w:r w:rsidRPr="008F62F8">
        <w:rPr>
          <w:sz w:val="24"/>
        </w:rPr>
        <w:t>σ</w:t>
      </w:r>
      <w:r w:rsidRPr="008F62F8">
        <w:rPr>
          <w:sz w:val="24"/>
          <w:vertAlign w:val="subscript"/>
        </w:rPr>
        <w:t>ij</w:t>
      </w:r>
      <w:proofErr w:type="spellEnd"/>
      <w:r w:rsidRPr="008F62F8">
        <w:rPr>
          <w:sz w:val="24"/>
        </w:rPr>
        <w:t xml:space="preserve">) is zero, and the variance of the error for the group is reduced to: </w:t>
      </w:r>
    </w:p>
    <w:p w14:paraId="5117850E" w14:textId="77777777" w:rsidR="00CD6D24" w:rsidRPr="008F62F8" w:rsidRDefault="00CD6D24" w:rsidP="008F62F8">
      <w:pPr>
        <w:pStyle w:val="FootnoteText"/>
        <w:keepLines/>
        <w:spacing w:before="60" w:after="60" w:line="240" w:lineRule="auto"/>
        <w:ind w:firstLine="360"/>
        <w:jc w:val="center"/>
        <w:rPr>
          <w:sz w:val="24"/>
        </w:rPr>
      </w:pPr>
      <w:r w:rsidRPr="008F62F8">
        <w:rPr>
          <w:noProof/>
          <w:position w:val="-24"/>
          <w:sz w:val="24"/>
          <w:lang w:eastAsia="en-US"/>
        </w:rPr>
        <w:drawing>
          <wp:inline distT="0" distB="0" distL="0" distR="0" wp14:anchorId="422192A0" wp14:editId="1D02E502">
            <wp:extent cx="609600" cy="400050"/>
            <wp:effectExtent l="0" t="0" r="0" b="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p>
    <w:p w14:paraId="0E585B02" w14:textId="77777777" w:rsidR="00CD6D24" w:rsidRPr="008F62F8" w:rsidRDefault="00CD6D24" w:rsidP="008F62F8">
      <w:pPr>
        <w:pStyle w:val="FootnoteText"/>
        <w:keepLines/>
        <w:spacing w:before="60" w:after="60" w:line="240" w:lineRule="auto"/>
        <w:ind w:firstLine="0"/>
        <w:rPr>
          <w:sz w:val="24"/>
        </w:rPr>
      </w:pPr>
      <w:r w:rsidRPr="008F62F8">
        <w:rPr>
          <w:sz w:val="24"/>
        </w:rPr>
        <w:t>As N gets progressively larger, the variance gets smaller and smaller.</w:t>
      </w:r>
    </w:p>
  </w:footnote>
  <w:footnote w:id="4">
    <w:p w14:paraId="6EA804EF" w14:textId="77777777" w:rsidR="00CD6D24" w:rsidRPr="008F62F8" w:rsidRDefault="00CD6D24" w:rsidP="008F62F8">
      <w:pPr>
        <w:pStyle w:val="FootnoteText"/>
        <w:keepNext/>
        <w:keepLines/>
        <w:pageBreakBefore/>
        <w:spacing w:beforeLines="60" w:before="144" w:afterLines="60" w:after="144" w:line="240" w:lineRule="auto"/>
        <w:ind w:firstLine="360"/>
        <w:rPr>
          <w:sz w:val="24"/>
        </w:rPr>
      </w:pPr>
      <w:r w:rsidRPr="008F62F8">
        <w:rPr>
          <w:rStyle w:val="FootnoteReference"/>
          <w:sz w:val="20"/>
          <w:szCs w:val="20"/>
        </w:rPr>
        <w:footnoteRef/>
      </w:r>
      <w:r w:rsidRPr="00FF0471">
        <w:rPr>
          <w:sz w:val="20"/>
          <w:szCs w:val="20"/>
        </w:rPr>
        <w:tab/>
      </w:r>
      <w:r w:rsidRPr="008F62F8">
        <w:rPr>
          <w:sz w:val="24"/>
        </w:rPr>
        <w:t>The Central Limit Theorem describes the characteristics of the distribution of values we would obtain if we were able to draw an infinite number of random samples of a given size from a given population and we calculated the mean of each sample.  The Central Limit Theorem asserts:</w:t>
      </w:r>
    </w:p>
    <w:p w14:paraId="3ED24148" w14:textId="77777777" w:rsidR="00CD6D24" w:rsidRPr="008F62F8" w:rsidRDefault="00CD6D24" w:rsidP="008F62F8">
      <w:pPr>
        <w:pStyle w:val="FootnoteText"/>
        <w:keepNext/>
        <w:keepLines/>
        <w:pageBreakBefore/>
        <w:spacing w:beforeLines="60" w:before="144" w:afterLines="60" w:after="144" w:line="240" w:lineRule="auto"/>
        <w:ind w:left="1440" w:right="540" w:hanging="540"/>
        <w:rPr>
          <w:sz w:val="24"/>
        </w:rPr>
      </w:pPr>
      <w:r w:rsidRPr="008F62F8">
        <w:rPr>
          <w:sz w:val="24"/>
        </w:rPr>
        <w:t>(1)</w:t>
      </w:r>
      <w:r w:rsidRPr="008F62F8">
        <w:rPr>
          <w:sz w:val="24"/>
        </w:rPr>
        <w:tab/>
        <w:t>The mean of the sampling distribution of means is equal to the mean of the population from which the samples were drawn.</w:t>
      </w:r>
    </w:p>
    <w:p w14:paraId="231F35C2" w14:textId="77777777" w:rsidR="00CD6D24" w:rsidRPr="008F62F8" w:rsidRDefault="00CD6D24" w:rsidP="008F62F8">
      <w:pPr>
        <w:pStyle w:val="FootnoteText"/>
        <w:keepNext/>
        <w:keepLines/>
        <w:spacing w:beforeLines="60" w:before="144" w:afterLines="60" w:after="144" w:line="240" w:lineRule="auto"/>
        <w:ind w:left="1440" w:right="547" w:hanging="540"/>
        <w:rPr>
          <w:sz w:val="24"/>
        </w:rPr>
      </w:pPr>
      <w:r w:rsidRPr="008F62F8">
        <w:rPr>
          <w:sz w:val="24"/>
        </w:rPr>
        <w:t>(2)</w:t>
      </w:r>
      <w:r w:rsidRPr="008F62F8">
        <w:rPr>
          <w:sz w:val="24"/>
        </w:rPr>
        <w:tab/>
        <w:t>The variance of the sampling distribution of means is equal to the variance of the population from which the samples were drawn divided by the size of the samples.</w:t>
      </w:r>
    </w:p>
    <w:p w14:paraId="7F5E1BB4" w14:textId="77777777" w:rsidR="00CD6D24" w:rsidRPr="008F62F8" w:rsidRDefault="00CD6D24" w:rsidP="008F62F8">
      <w:pPr>
        <w:pStyle w:val="FootnoteText"/>
        <w:keepLines/>
        <w:spacing w:beforeLines="60" w:before="144" w:afterLines="60" w:after="144" w:line="240" w:lineRule="auto"/>
        <w:ind w:left="1440" w:right="540" w:hanging="540"/>
        <w:rPr>
          <w:sz w:val="24"/>
        </w:rPr>
      </w:pPr>
      <w:r w:rsidRPr="008F62F8">
        <w:rPr>
          <w:sz w:val="24"/>
        </w:rPr>
        <w:t>(3)</w:t>
      </w:r>
      <w:r w:rsidRPr="008F62F8">
        <w:rPr>
          <w:sz w:val="24"/>
        </w:rPr>
        <w:tab/>
        <w:t>If the original population is distributed normally, the sampling distribution of means will also be normal.  If the original population is not normally distributed, the sampling distribution of means will increasingly approximate a normal distribution as sample size increases.</w:t>
      </w:r>
    </w:p>
  </w:footnote>
  <w:footnote w:id="5">
    <w:p w14:paraId="5859CC7D" w14:textId="77777777" w:rsidR="00CD6D24" w:rsidRPr="008F62F8" w:rsidRDefault="00CD6D24" w:rsidP="008F62F8">
      <w:pPr>
        <w:pStyle w:val="FootnoteText"/>
        <w:keepLines/>
        <w:tabs>
          <w:tab w:val="left" w:pos="720"/>
        </w:tabs>
        <w:spacing w:beforeLines="60" w:before="144" w:afterLines="60" w:after="144" w:line="240" w:lineRule="auto"/>
        <w:ind w:firstLine="360"/>
        <w:rPr>
          <w:sz w:val="24"/>
        </w:rPr>
      </w:pPr>
      <w:r w:rsidRPr="002B4A9F">
        <w:rPr>
          <w:rStyle w:val="FootnoteReference"/>
          <w:sz w:val="20"/>
        </w:rPr>
        <w:footnoteRef/>
      </w:r>
      <w:r w:rsidRPr="000A4B83">
        <w:rPr>
          <w:sz w:val="20"/>
          <w:szCs w:val="20"/>
        </w:rPr>
        <w:tab/>
      </w:r>
      <w:r w:rsidRPr="008F62F8">
        <w:rPr>
          <w:sz w:val="24"/>
        </w:rPr>
        <w:t>This is necessary in order to minimize the well-known thin trading bias in measuring beta.</w:t>
      </w:r>
    </w:p>
  </w:footnote>
  <w:footnote w:id="6">
    <w:p w14:paraId="51F82131" w14:textId="65FFE4D5" w:rsidR="00CD6D24" w:rsidRPr="008F62F8" w:rsidRDefault="00CD6D24" w:rsidP="008F62F8">
      <w:pPr>
        <w:pStyle w:val="FootnoteText"/>
        <w:spacing w:before="60" w:after="60" w:line="240" w:lineRule="auto"/>
        <w:ind w:firstLine="360"/>
        <w:rPr>
          <w:sz w:val="24"/>
        </w:rPr>
      </w:pPr>
      <w:r w:rsidRPr="008F62F8">
        <w:rPr>
          <w:rStyle w:val="FootnoteReference"/>
          <w:sz w:val="20"/>
          <w:szCs w:val="20"/>
        </w:rPr>
        <w:footnoteRef/>
      </w:r>
      <w:r>
        <w:tab/>
      </w:r>
      <w:r w:rsidRPr="008F62F8">
        <w:rPr>
          <w:sz w:val="24"/>
        </w:rPr>
        <w:t>When only forecasts of 10-year U.S. Treasury notes are available, 50 basis points were added to obtain the 30-year forecast, based on the historical spread between 30-year and 10-year U.S. Treasury bond yields.</w:t>
      </w:r>
    </w:p>
  </w:footnote>
  <w:footnote w:id="7">
    <w:p w14:paraId="2A552EE0" w14:textId="2C9917B9" w:rsidR="00CD6D24" w:rsidRDefault="00CD6D24" w:rsidP="008F62F8">
      <w:pPr>
        <w:pStyle w:val="FootnoteText"/>
        <w:spacing w:before="60" w:after="60" w:line="240" w:lineRule="auto"/>
        <w:ind w:firstLine="360"/>
      </w:pPr>
      <w:r w:rsidRPr="008F62F8">
        <w:rPr>
          <w:rStyle w:val="FootnoteReference"/>
          <w:sz w:val="20"/>
          <w:szCs w:val="20"/>
        </w:rPr>
        <w:footnoteRef/>
      </w:r>
      <w:r>
        <w:tab/>
      </w:r>
      <w:r w:rsidRPr="008F62F8">
        <w:rPr>
          <w:sz w:val="24"/>
        </w:rPr>
        <w:t>Congressional Budget Office, “The Budget and Economic Outlook 2016 to 2026,” Table E-1, January 2016.</w:t>
      </w:r>
    </w:p>
  </w:footnote>
  <w:footnote w:id="8">
    <w:p w14:paraId="4C7D8624" w14:textId="082FE62F" w:rsidR="00CD6D24" w:rsidRPr="00C714A7" w:rsidRDefault="00CD6D24" w:rsidP="008F62F8">
      <w:pPr>
        <w:pStyle w:val="FootnoteText"/>
        <w:spacing w:before="60" w:after="60" w:line="240" w:lineRule="auto"/>
        <w:ind w:firstLine="360"/>
        <w:rPr>
          <w:sz w:val="20"/>
          <w:szCs w:val="20"/>
        </w:rPr>
      </w:pPr>
      <w:r w:rsidRPr="008F62F8">
        <w:rPr>
          <w:rStyle w:val="FootnoteReference"/>
          <w:sz w:val="20"/>
          <w:szCs w:val="20"/>
        </w:rPr>
        <w:footnoteRef/>
      </w:r>
      <w:r>
        <w:tab/>
      </w:r>
      <w:r w:rsidRPr="008F62F8">
        <w:rPr>
          <w:sz w:val="24"/>
        </w:rPr>
        <w:t>U.S. Department of Labor, “The U.S. Economy to 2024.” Table 1, December 2015.</w:t>
      </w:r>
    </w:p>
  </w:footnote>
  <w:footnote w:id="9">
    <w:p w14:paraId="0BE6B90B" w14:textId="47C424C0" w:rsidR="00CD6D24" w:rsidRPr="008F62F8" w:rsidRDefault="00CD6D24" w:rsidP="008F62F8">
      <w:pPr>
        <w:pStyle w:val="FootnoteText"/>
        <w:spacing w:before="60" w:after="60" w:line="240" w:lineRule="auto"/>
        <w:ind w:firstLine="360"/>
        <w:rPr>
          <w:sz w:val="24"/>
        </w:rPr>
      </w:pPr>
      <w:r w:rsidRPr="008F62F8">
        <w:rPr>
          <w:rStyle w:val="FootnoteReference"/>
          <w:sz w:val="20"/>
          <w:szCs w:val="20"/>
        </w:rPr>
        <w:footnoteRef/>
      </w:r>
      <w:r>
        <w:tab/>
      </w:r>
      <w:r w:rsidRPr="008F62F8">
        <w:rPr>
          <w:sz w:val="24"/>
        </w:rPr>
        <w:t>U.S. Energy Information Administration, “ Annual Energy Outlook 2016,” Annual Projections A20.</w:t>
      </w:r>
    </w:p>
  </w:footnote>
  <w:footnote w:id="10">
    <w:p w14:paraId="3D688BC3" w14:textId="4AC2B4F0" w:rsidR="00CD6D24" w:rsidRPr="008F62F8" w:rsidRDefault="00CD6D24" w:rsidP="008F62F8">
      <w:pPr>
        <w:pStyle w:val="FootnoteText"/>
        <w:spacing w:before="60" w:after="60" w:line="240" w:lineRule="auto"/>
        <w:ind w:firstLine="360"/>
        <w:rPr>
          <w:sz w:val="24"/>
        </w:rPr>
      </w:pPr>
      <w:r w:rsidRPr="008F62F8">
        <w:rPr>
          <w:rStyle w:val="FootnoteReference"/>
          <w:sz w:val="20"/>
          <w:szCs w:val="20"/>
        </w:rPr>
        <w:footnoteRef/>
      </w:r>
      <w:r>
        <w:tab/>
      </w:r>
      <w:proofErr w:type="spellStart"/>
      <w:r w:rsidRPr="008F62F8">
        <w:rPr>
          <w:sz w:val="24"/>
        </w:rPr>
        <w:t>IHS</w:t>
      </w:r>
      <w:proofErr w:type="spellEnd"/>
      <w:r w:rsidRPr="008F62F8">
        <w:rPr>
          <w:sz w:val="24"/>
        </w:rPr>
        <w:t xml:space="preserve"> (Global Insight) Forecast 10/2016.</w:t>
      </w:r>
    </w:p>
  </w:footnote>
  <w:footnote w:id="11">
    <w:p w14:paraId="5DB2BD51" w14:textId="3D1B5933" w:rsidR="00CD6D24" w:rsidRPr="008F62F8" w:rsidRDefault="00CD6D24" w:rsidP="008F62F8">
      <w:pPr>
        <w:pStyle w:val="FootnoteText"/>
        <w:spacing w:before="60" w:after="60" w:line="240" w:lineRule="auto"/>
        <w:ind w:firstLine="360"/>
        <w:rPr>
          <w:sz w:val="24"/>
        </w:rPr>
      </w:pPr>
      <w:r w:rsidRPr="008F62F8">
        <w:rPr>
          <w:rStyle w:val="FootnoteReference"/>
          <w:sz w:val="20"/>
          <w:szCs w:val="20"/>
        </w:rPr>
        <w:footnoteRef/>
      </w:r>
      <w:r>
        <w:tab/>
      </w:r>
      <w:r w:rsidRPr="008F62F8">
        <w:rPr>
          <w:sz w:val="24"/>
        </w:rPr>
        <w:t>Value Line Investment Survey, “Value Line Forecast for the US Economy,” 12/2/2016.</w:t>
      </w:r>
    </w:p>
  </w:footnote>
  <w:footnote w:id="12">
    <w:p w14:paraId="0BC0F39B" w14:textId="60304468" w:rsidR="00CD6D24" w:rsidRPr="000E2468" w:rsidRDefault="00CD6D24" w:rsidP="008F62F8">
      <w:pPr>
        <w:pStyle w:val="FootnoteText"/>
        <w:spacing w:before="60" w:after="60" w:line="240" w:lineRule="auto"/>
        <w:ind w:firstLine="360"/>
        <w:rPr>
          <w:sz w:val="24"/>
        </w:rPr>
      </w:pPr>
      <w:r w:rsidRPr="008F62F8">
        <w:rPr>
          <w:rStyle w:val="FootnoteReference"/>
          <w:sz w:val="20"/>
          <w:szCs w:val="20"/>
        </w:rPr>
        <w:footnoteRef/>
      </w:r>
      <w:r>
        <w:tab/>
      </w:r>
      <w:r w:rsidRPr="000E2468">
        <w:rPr>
          <w:sz w:val="24"/>
        </w:rPr>
        <w:t>30-year U.S. Treasury bonds are currently trading at a 3.0% yield while 30-year inflation-adjusted bonds are trading at an approximate yield of 1.0% implying a long-term inflation rate expectation of 2.0%.</w:t>
      </w:r>
    </w:p>
  </w:footnote>
  <w:footnote w:id="13">
    <w:p w14:paraId="0806BA3F" w14:textId="77777777" w:rsidR="00CD6D24" w:rsidRPr="000E2468" w:rsidRDefault="00CD6D24" w:rsidP="008F62F8">
      <w:pPr>
        <w:keepLines/>
        <w:spacing w:before="60" w:after="60"/>
        <w:ind w:firstLine="360"/>
        <w:jc w:val="both"/>
      </w:pPr>
      <w:r w:rsidRPr="008A6419">
        <w:rPr>
          <w:rStyle w:val="FootnoteReference"/>
          <w:sz w:val="20"/>
        </w:rPr>
        <w:footnoteRef/>
      </w:r>
      <w:r>
        <w:rPr>
          <w:i/>
          <w:sz w:val="20"/>
        </w:rPr>
        <w:tab/>
      </w:r>
      <w:r w:rsidRPr="000E2468">
        <w:rPr>
          <w:i/>
        </w:rPr>
        <w:t>See</w:t>
      </w:r>
      <w:r w:rsidRPr="000E2468">
        <w:t xml:space="preserve"> Roger A. Morin, </w:t>
      </w:r>
      <w:r w:rsidRPr="000E2468">
        <w:rPr>
          <w:u w:val="single"/>
        </w:rPr>
        <w:t>Regulatory Finance: Utilities’ Cost of Capital</w:t>
      </w:r>
      <w:r w:rsidRPr="000E2468">
        <w:t xml:space="preserve">, Chapter 11 (1994); Roger A. Morin, </w:t>
      </w:r>
      <w:r w:rsidRPr="000E2468">
        <w:rPr>
          <w:u w:val="single"/>
        </w:rPr>
        <w:t>The New Regulatory Finance: Utilities’ Cost of Capital</w:t>
      </w:r>
      <w:r w:rsidRPr="000E2468">
        <w:t xml:space="preserve">, Chapter 4 (2006); Richard A </w:t>
      </w:r>
      <w:proofErr w:type="spellStart"/>
      <w:r w:rsidRPr="000E2468">
        <w:t>Brealey</w:t>
      </w:r>
      <w:proofErr w:type="spellEnd"/>
      <w:r w:rsidRPr="000E2468">
        <w:t xml:space="preserve">, </w:t>
      </w:r>
      <w:r w:rsidRPr="000E2468">
        <w:rPr>
          <w:i/>
        </w:rPr>
        <w:t>et al.</w:t>
      </w:r>
      <w:r w:rsidRPr="000E2468">
        <w:t xml:space="preserve">, </w:t>
      </w:r>
      <w:r w:rsidRPr="000E2468">
        <w:rPr>
          <w:u w:val="single"/>
        </w:rPr>
        <w:t>Principles of Corporate Finance</w:t>
      </w:r>
      <w:r w:rsidRPr="000E2468">
        <w:t xml:space="preserve"> (8th ed. 2006).</w:t>
      </w:r>
    </w:p>
  </w:footnote>
  <w:footnote w:id="14">
    <w:p w14:paraId="0523A668" w14:textId="77777777" w:rsidR="00CD6D24" w:rsidRPr="000E2468" w:rsidRDefault="00CD6D24" w:rsidP="008F62F8">
      <w:pPr>
        <w:keepLines/>
        <w:spacing w:before="60" w:after="60"/>
        <w:ind w:firstLine="360"/>
      </w:pPr>
      <w:r w:rsidRPr="00651A6B">
        <w:rPr>
          <w:rStyle w:val="FootnoteReference"/>
          <w:sz w:val="20"/>
        </w:rPr>
        <w:footnoteRef/>
      </w:r>
      <w:r w:rsidRPr="00651A6B">
        <w:rPr>
          <w:sz w:val="20"/>
        </w:rPr>
        <w:tab/>
      </w:r>
      <w:r w:rsidRPr="000E2468">
        <w:t xml:space="preserve">Richard A. </w:t>
      </w:r>
      <w:proofErr w:type="spellStart"/>
      <w:r w:rsidRPr="000E2468">
        <w:t>Brealey</w:t>
      </w:r>
      <w:proofErr w:type="spellEnd"/>
      <w:r w:rsidRPr="000E2468">
        <w:t xml:space="preserve">, Stewart C. Myers, and Paul Allen, </w:t>
      </w:r>
      <w:r w:rsidRPr="000E2468">
        <w:rPr>
          <w:u w:val="single"/>
        </w:rPr>
        <w:t>Principles of Corporate Finance</w:t>
      </w:r>
      <w:r w:rsidRPr="000E2468">
        <w:t>, 8</w:t>
      </w:r>
      <w:r w:rsidRPr="000E2468">
        <w:rPr>
          <w:vertAlign w:val="superscript"/>
        </w:rPr>
        <w:t>th</w:t>
      </w:r>
      <w:r w:rsidRPr="000E2468">
        <w:t xml:space="preserve"> Edition, Irwin McGraw-Hill, 2006.</w:t>
      </w:r>
    </w:p>
  </w:footnote>
  <w:footnote w:id="15">
    <w:p w14:paraId="43B39B01" w14:textId="77777777" w:rsidR="00CD6D24" w:rsidRPr="008F62F8" w:rsidRDefault="00CD6D24" w:rsidP="008F62F8">
      <w:pPr>
        <w:pStyle w:val="QuickA"/>
        <w:keepNext/>
        <w:keepLines/>
        <w:widowControl/>
        <w:numPr>
          <w:ilvl w:val="0"/>
          <w:numId w:val="0"/>
        </w:numPr>
        <w:tabs>
          <w:tab w:val="left" w:pos="-1440"/>
        </w:tabs>
        <w:spacing w:before="60" w:after="60"/>
        <w:ind w:firstLine="360"/>
        <w:jc w:val="both"/>
        <w:rPr>
          <w:spacing w:val="-2"/>
          <w:szCs w:val="24"/>
        </w:rPr>
      </w:pPr>
      <w:r w:rsidRPr="008F62F8">
        <w:rPr>
          <w:rStyle w:val="FootnoteReference"/>
          <w:sz w:val="18"/>
          <w:szCs w:val="18"/>
        </w:rPr>
        <w:footnoteRef/>
      </w:r>
      <w:r w:rsidRPr="00651A6B">
        <w:rPr>
          <w:sz w:val="20"/>
        </w:rPr>
        <w:tab/>
      </w:r>
      <w:r w:rsidRPr="008F62F8">
        <w:rPr>
          <w:spacing w:val="-2"/>
          <w:szCs w:val="24"/>
        </w:rPr>
        <w:t>The regression tendency of betas to converge to 1.0 over time is very well known and widely discussed in the financial literature.  As a result of this beta drift, several commercial beta producers adjust their forecasted betas toward 1.00 in an effort to improve their forecasts.  Value Line, Bloomberg, and Merrill Lynch betas are adjusted for their long-term tendency to regress toward 1.0 by giving approximately 66% -weight to the measured raw beta and approximately 33% weight to the prior value of 1.0 for each stock:</w:t>
      </w:r>
    </w:p>
    <w:p w14:paraId="5C4E4A2E" w14:textId="77777777" w:rsidR="00CD6D24" w:rsidRPr="008F62F8" w:rsidRDefault="00CD6D24" w:rsidP="008F62F8">
      <w:pPr>
        <w:keepLines/>
        <w:spacing w:before="60" w:after="60"/>
        <w:ind w:firstLine="360"/>
        <w:jc w:val="center"/>
      </w:pPr>
      <w:r w:rsidRPr="008F62F8">
        <w:t>β</w:t>
      </w:r>
      <w:r w:rsidRPr="008F62F8">
        <w:rPr>
          <w:vertAlign w:val="subscript"/>
        </w:rPr>
        <w:t>adjusted</w:t>
      </w:r>
      <w:r w:rsidRPr="008F62F8">
        <w:t xml:space="preserve"> = 0.33 + 0.66 β</w:t>
      </w:r>
      <w:r w:rsidRPr="008F62F8">
        <w:rPr>
          <w:vertAlign w:val="subscript"/>
        </w:rPr>
        <w:t>raw</w:t>
      </w:r>
    </w:p>
  </w:footnote>
  <w:footnote w:id="16">
    <w:p w14:paraId="4280B83A" w14:textId="77777777" w:rsidR="00CD6D24" w:rsidRPr="008F62F8" w:rsidRDefault="00CD6D24" w:rsidP="008F62F8">
      <w:pPr>
        <w:keepLines/>
        <w:spacing w:before="60" w:after="60"/>
        <w:ind w:firstLine="360"/>
        <w:jc w:val="both"/>
        <w:rPr>
          <w:b/>
        </w:rPr>
      </w:pPr>
      <w:r w:rsidRPr="0041567F">
        <w:rPr>
          <w:rStyle w:val="FootnoteReference"/>
          <w:sz w:val="20"/>
        </w:rPr>
        <w:footnoteRef/>
      </w:r>
      <w:r>
        <w:rPr>
          <w:sz w:val="20"/>
        </w:rPr>
        <w:tab/>
      </w:r>
      <w:r w:rsidRPr="008F62F8">
        <w:t>The coefficient of determination R</w:t>
      </w:r>
      <w:r w:rsidRPr="008F62F8">
        <w:rPr>
          <w:vertAlign w:val="superscript"/>
        </w:rPr>
        <w:t>2</w:t>
      </w:r>
      <w:r w:rsidRPr="008F62F8">
        <w:t>, sometimes called the “goodness of fit measure,” is a measure of the degree of explanatory power of a statistical relationship.  It is simply the ratio of the explained portion to the total sum of squares.  The higher R</w:t>
      </w:r>
      <w:r w:rsidRPr="008F62F8">
        <w:rPr>
          <w:vertAlign w:val="superscript"/>
        </w:rPr>
        <w:t>2</w:t>
      </w:r>
      <w:r w:rsidRPr="008F62F8">
        <w:t xml:space="preserve"> the higher is the degree of the overall fit of the estimated regression equation to the sample data.</w:t>
      </w:r>
    </w:p>
  </w:footnote>
  <w:footnote w:id="17">
    <w:p w14:paraId="5F286A07" w14:textId="77777777" w:rsidR="00CD6D24" w:rsidRDefault="00CD6D24" w:rsidP="008F62F8">
      <w:pPr>
        <w:pStyle w:val="FootnoteText"/>
        <w:keepLines/>
        <w:spacing w:before="60" w:after="60" w:line="240" w:lineRule="auto"/>
        <w:ind w:firstLine="360"/>
      </w:pPr>
      <w:r w:rsidRPr="008F62F8">
        <w:rPr>
          <w:rStyle w:val="FootnoteReference"/>
          <w:sz w:val="20"/>
          <w:szCs w:val="20"/>
        </w:rPr>
        <w:footnoteRef/>
      </w:r>
      <w:r w:rsidRPr="000A4B83">
        <w:rPr>
          <w:sz w:val="20"/>
          <w:szCs w:val="20"/>
        </w:rPr>
        <w:tab/>
      </w:r>
      <w:r w:rsidRPr="008F62F8">
        <w:rPr>
          <w:sz w:val="24"/>
        </w:rPr>
        <w:t>The truncated mean is obtained by removing the high and low results and computing the average of the remaining observations.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6A08" w14:textId="77777777" w:rsidR="00CD6D24" w:rsidRDefault="00CD6D24">
    <w:pPr>
      <w:pStyle w:val="Header"/>
    </w:pP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9F569" w14:textId="77777777" w:rsidR="00CD6D24" w:rsidRDefault="00CD6D24">
    <w:pPr>
      <w:pStyle w:val="Header"/>
    </w:pPr>
    <w:r>
      <w:rPr>
        <w:noProof/>
        <w:lang w:eastAsia="en-US"/>
      </w:rPr>
      <mc:AlternateContent>
        <mc:Choice Requires="wps">
          <w:drawing>
            <wp:anchor distT="0" distB="0" distL="114300" distR="114300" simplePos="0" relativeHeight="251657216" behindDoc="0" locked="0" layoutInCell="1" allowOverlap="1" wp14:anchorId="5CBE43FB" wp14:editId="0A42CACE">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bookmarkStart w:id="4" w:name="OLE_LINK2"/>
  <w:bookmarkStart w:id="5" w:name="_Hlk125911586"/>
  <w:p w14:paraId="3F175D37" w14:textId="77777777" w:rsidR="00CD6D24" w:rsidRDefault="00CD6D24">
    <w:pPr>
      <w:pStyle w:val="Header"/>
      <w:jc w:val="right"/>
    </w:pPr>
    <w:r>
      <w:rPr>
        <w:noProof/>
        <w:lang w:eastAsia="en-US"/>
      </w:rPr>
      <mc:AlternateContent>
        <mc:Choice Requires="wps">
          <w:drawing>
            <wp:anchor distT="0" distB="0" distL="114300" distR="114300" simplePos="0" relativeHeight="251658240" behindDoc="0" locked="0" layoutInCell="1" allowOverlap="1" wp14:anchorId="3115CF54" wp14:editId="2CBF95B8">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19C41D31"/>
    <w:multiLevelType w:val="hybridMultilevel"/>
    <w:tmpl w:val="153E5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C9A63E2"/>
    <w:multiLevelType w:val="hybridMultilevel"/>
    <w:tmpl w:val="FEB29476"/>
    <w:name w:val="Quick 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2">
    <w:nsid w:val="66D832C3"/>
    <w:multiLevelType w:val="hybridMultilevel"/>
    <w:tmpl w:val="2A765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4">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2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4"/>
  </w:num>
  <w:num w:numId="2">
    <w:abstractNumId w:val="11"/>
  </w:num>
  <w:num w:numId="3">
    <w:abstractNumId w:val="25"/>
  </w:num>
  <w:num w:numId="4">
    <w:abstractNumId w:val="16"/>
  </w:num>
  <w:num w:numId="5">
    <w:abstractNumId w:val="21"/>
  </w:num>
  <w:num w:numId="6">
    <w:abstractNumId w:val="23"/>
  </w:num>
  <w:num w:numId="7">
    <w:abstractNumId w:val="26"/>
  </w:num>
  <w:num w:numId="8">
    <w:abstractNumId w:val="17"/>
  </w:num>
  <w:num w:numId="9">
    <w:abstractNumId w:val="28"/>
  </w:num>
  <w:num w:numId="10">
    <w:abstractNumId w:val="19"/>
  </w:num>
  <w:num w:numId="11">
    <w:abstractNumId w:val="20"/>
  </w:num>
  <w:num w:numId="12">
    <w:abstractNumId w:val="13"/>
  </w:num>
  <w:num w:numId="13">
    <w:abstractNumId w:val="1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7"/>
  </w:num>
  <w:num w:numId="27">
    <w:abstractNumId w:val="18"/>
  </w:num>
  <w:num w:numId="28">
    <w:abstractNumId w:val="22"/>
  </w:num>
  <w:num w:numId="2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sv-S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45/134032629.1"/>
    <w:docVar w:name="MPDocIDTemplate" w:val="%c-|%m/|%n|.%v"/>
    <w:docVar w:name="MPDocIDTemplateDefault" w:val="%c-|%m/|%n|.%v"/>
    <w:docVar w:name="NewDocStampType" w:val="1"/>
  </w:docVars>
  <w:rsids>
    <w:rsidRoot w:val="0078036F"/>
    <w:rsid w:val="00000251"/>
    <w:rsid w:val="00000CE5"/>
    <w:rsid w:val="00000E10"/>
    <w:rsid w:val="0000176B"/>
    <w:rsid w:val="00001A4E"/>
    <w:rsid w:val="00001A95"/>
    <w:rsid w:val="0000267D"/>
    <w:rsid w:val="000038D1"/>
    <w:rsid w:val="00003993"/>
    <w:rsid w:val="000039FD"/>
    <w:rsid w:val="00003FC5"/>
    <w:rsid w:val="00004E7F"/>
    <w:rsid w:val="00004F3D"/>
    <w:rsid w:val="000055A7"/>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44A2"/>
    <w:rsid w:val="00025457"/>
    <w:rsid w:val="000266C2"/>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7012D"/>
    <w:rsid w:val="00071233"/>
    <w:rsid w:val="00073931"/>
    <w:rsid w:val="000742CA"/>
    <w:rsid w:val="0007430F"/>
    <w:rsid w:val="00074504"/>
    <w:rsid w:val="00074E1C"/>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51D6"/>
    <w:rsid w:val="0008729E"/>
    <w:rsid w:val="00087A30"/>
    <w:rsid w:val="000919AB"/>
    <w:rsid w:val="00092433"/>
    <w:rsid w:val="00092A7F"/>
    <w:rsid w:val="000952C3"/>
    <w:rsid w:val="00096020"/>
    <w:rsid w:val="000968F9"/>
    <w:rsid w:val="00096964"/>
    <w:rsid w:val="0009700A"/>
    <w:rsid w:val="000A0295"/>
    <w:rsid w:val="000A0F54"/>
    <w:rsid w:val="000A236A"/>
    <w:rsid w:val="000A24A9"/>
    <w:rsid w:val="000A40CA"/>
    <w:rsid w:val="000A41ED"/>
    <w:rsid w:val="000A4245"/>
    <w:rsid w:val="000A449F"/>
    <w:rsid w:val="000A4B83"/>
    <w:rsid w:val="000A576B"/>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241"/>
    <w:rsid w:val="000C6645"/>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468"/>
    <w:rsid w:val="000E2C75"/>
    <w:rsid w:val="000E39D3"/>
    <w:rsid w:val="000E3D14"/>
    <w:rsid w:val="000E58B7"/>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5344"/>
    <w:rsid w:val="000F594A"/>
    <w:rsid w:val="000F61F8"/>
    <w:rsid w:val="000F633F"/>
    <w:rsid w:val="000F67CD"/>
    <w:rsid w:val="000F6928"/>
    <w:rsid w:val="000F75A6"/>
    <w:rsid w:val="000F77AD"/>
    <w:rsid w:val="00100704"/>
    <w:rsid w:val="00101105"/>
    <w:rsid w:val="00101188"/>
    <w:rsid w:val="00101646"/>
    <w:rsid w:val="001019FC"/>
    <w:rsid w:val="00102133"/>
    <w:rsid w:val="00103510"/>
    <w:rsid w:val="00103580"/>
    <w:rsid w:val="0010496F"/>
    <w:rsid w:val="00106525"/>
    <w:rsid w:val="00106A57"/>
    <w:rsid w:val="00107774"/>
    <w:rsid w:val="00107E7F"/>
    <w:rsid w:val="001100D3"/>
    <w:rsid w:val="001109C4"/>
    <w:rsid w:val="00110F1D"/>
    <w:rsid w:val="00111758"/>
    <w:rsid w:val="00112095"/>
    <w:rsid w:val="0011298A"/>
    <w:rsid w:val="00113842"/>
    <w:rsid w:val="00114CF5"/>
    <w:rsid w:val="0011516D"/>
    <w:rsid w:val="001167E6"/>
    <w:rsid w:val="00116C39"/>
    <w:rsid w:val="00120E3E"/>
    <w:rsid w:val="00123215"/>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66DF"/>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225"/>
    <w:rsid w:val="00150EAC"/>
    <w:rsid w:val="00151924"/>
    <w:rsid w:val="00151E0A"/>
    <w:rsid w:val="0015301D"/>
    <w:rsid w:val="00153592"/>
    <w:rsid w:val="00154A96"/>
    <w:rsid w:val="00155F50"/>
    <w:rsid w:val="001560E5"/>
    <w:rsid w:val="00157D22"/>
    <w:rsid w:val="00157FE4"/>
    <w:rsid w:val="001617E1"/>
    <w:rsid w:val="0016296B"/>
    <w:rsid w:val="0016319C"/>
    <w:rsid w:val="001639D5"/>
    <w:rsid w:val="00163CFE"/>
    <w:rsid w:val="00164714"/>
    <w:rsid w:val="00164DEF"/>
    <w:rsid w:val="00164E5F"/>
    <w:rsid w:val="00165FC6"/>
    <w:rsid w:val="00166C21"/>
    <w:rsid w:val="00167586"/>
    <w:rsid w:val="0017017D"/>
    <w:rsid w:val="00170495"/>
    <w:rsid w:val="00170C69"/>
    <w:rsid w:val="00170C7F"/>
    <w:rsid w:val="00170D47"/>
    <w:rsid w:val="00171EB2"/>
    <w:rsid w:val="001722C5"/>
    <w:rsid w:val="00172EF7"/>
    <w:rsid w:val="00173384"/>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9B4"/>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065"/>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58B"/>
    <w:rsid w:val="001B26D6"/>
    <w:rsid w:val="001B2FC7"/>
    <w:rsid w:val="001B315D"/>
    <w:rsid w:val="001B3195"/>
    <w:rsid w:val="001B3FD1"/>
    <w:rsid w:val="001B4260"/>
    <w:rsid w:val="001B4D74"/>
    <w:rsid w:val="001B5729"/>
    <w:rsid w:val="001B577C"/>
    <w:rsid w:val="001B5AE3"/>
    <w:rsid w:val="001B682D"/>
    <w:rsid w:val="001B694F"/>
    <w:rsid w:val="001B75A9"/>
    <w:rsid w:val="001C098D"/>
    <w:rsid w:val="001C0A3F"/>
    <w:rsid w:val="001C13E3"/>
    <w:rsid w:val="001C2FA3"/>
    <w:rsid w:val="001C345F"/>
    <w:rsid w:val="001C3520"/>
    <w:rsid w:val="001C5BD4"/>
    <w:rsid w:val="001C7999"/>
    <w:rsid w:val="001D00D0"/>
    <w:rsid w:val="001D03F2"/>
    <w:rsid w:val="001D076A"/>
    <w:rsid w:val="001D100F"/>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495"/>
    <w:rsid w:val="001E080D"/>
    <w:rsid w:val="001E0D14"/>
    <w:rsid w:val="001E1F56"/>
    <w:rsid w:val="001E295C"/>
    <w:rsid w:val="001E35AB"/>
    <w:rsid w:val="001E3CDE"/>
    <w:rsid w:val="001E3E58"/>
    <w:rsid w:val="001E438E"/>
    <w:rsid w:val="001E445F"/>
    <w:rsid w:val="001E5156"/>
    <w:rsid w:val="001E51D2"/>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4E73"/>
    <w:rsid w:val="00205492"/>
    <w:rsid w:val="00205848"/>
    <w:rsid w:val="00205DE3"/>
    <w:rsid w:val="0020686F"/>
    <w:rsid w:val="00206CD3"/>
    <w:rsid w:val="00206D43"/>
    <w:rsid w:val="0020789D"/>
    <w:rsid w:val="0021006B"/>
    <w:rsid w:val="002110A4"/>
    <w:rsid w:val="00211F43"/>
    <w:rsid w:val="002136D4"/>
    <w:rsid w:val="0021384A"/>
    <w:rsid w:val="00214A34"/>
    <w:rsid w:val="0021620C"/>
    <w:rsid w:val="00217121"/>
    <w:rsid w:val="002174DC"/>
    <w:rsid w:val="00217503"/>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6C5"/>
    <w:rsid w:val="00232E91"/>
    <w:rsid w:val="00232EE1"/>
    <w:rsid w:val="002334E9"/>
    <w:rsid w:val="00234F15"/>
    <w:rsid w:val="00235A63"/>
    <w:rsid w:val="00236E52"/>
    <w:rsid w:val="002409B6"/>
    <w:rsid w:val="00241AC8"/>
    <w:rsid w:val="00241B0F"/>
    <w:rsid w:val="00242141"/>
    <w:rsid w:val="00242A09"/>
    <w:rsid w:val="002431F5"/>
    <w:rsid w:val="00243DD1"/>
    <w:rsid w:val="00245186"/>
    <w:rsid w:val="00247302"/>
    <w:rsid w:val="0025146D"/>
    <w:rsid w:val="00253225"/>
    <w:rsid w:val="00254B8A"/>
    <w:rsid w:val="002556AE"/>
    <w:rsid w:val="002558BD"/>
    <w:rsid w:val="00255921"/>
    <w:rsid w:val="00255958"/>
    <w:rsid w:val="002562A7"/>
    <w:rsid w:val="0025676F"/>
    <w:rsid w:val="00257F1F"/>
    <w:rsid w:val="00257FB9"/>
    <w:rsid w:val="0026052D"/>
    <w:rsid w:val="00261459"/>
    <w:rsid w:val="002616AE"/>
    <w:rsid w:val="00261B7B"/>
    <w:rsid w:val="002633A0"/>
    <w:rsid w:val="0026464D"/>
    <w:rsid w:val="00265163"/>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F59"/>
    <w:rsid w:val="00277FC3"/>
    <w:rsid w:val="00280C49"/>
    <w:rsid w:val="002813F1"/>
    <w:rsid w:val="00281C17"/>
    <w:rsid w:val="0028218B"/>
    <w:rsid w:val="0028232E"/>
    <w:rsid w:val="00283F27"/>
    <w:rsid w:val="00284220"/>
    <w:rsid w:val="0028507E"/>
    <w:rsid w:val="00285762"/>
    <w:rsid w:val="0028590E"/>
    <w:rsid w:val="00285997"/>
    <w:rsid w:val="00286569"/>
    <w:rsid w:val="00290C6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3EE8"/>
    <w:rsid w:val="002A4485"/>
    <w:rsid w:val="002A5398"/>
    <w:rsid w:val="002A6E1C"/>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1893"/>
    <w:rsid w:val="002C1A0F"/>
    <w:rsid w:val="002C295F"/>
    <w:rsid w:val="002C2E5D"/>
    <w:rsid w:val="002C4855"/>
    <w:rsid w:val="002C53AB"/>
    <w:rsid w:val="002C578A"/>
    <w:rsid w:val="002C65BE"/>
    <w:rsid w:val="002D05EF"/>
    <w:rsid w:val="002D116A"/>
    <w:rsid w:val="002D2450"/>
    <w:rsid w:val="002D2D1F"/>
    <w:rsid w:val="002D3053"/>
    <w:rsid w:val="002D3AA8"/>
    <w:rsid w:val="002D3DC9"/>
    <w:rsid w:val="002D4966"/>
    <w:rsid w:val="002D4EC6"/>
    <w:rsid w:val="002D519A"/>
    <w:rsid w:val="002D56FC"/>
    <w:rsid w:val="002D6F91"/>
    <w:rsid w:val="002D73D7"/>
    <w:rsid w:val="002D7C04"/>
    <w:rsid w:val="002E0307"/>
    <w:rsid w:val="002E14D9"/>
    <w:rsid w:val="002E170B"/>
    <w:rsid w:val="002E2A63"/>
    <w:rsid w:val="002E2BE2"/>
    <w:rsid w:val="002E357D"/>
    <w:rsid w:val="002E365A"/>
    <w:rsid w:val="002E4090"/>
    <w:rsid w:val="002E4864"/>
    <w:rsid w:val="002E5751"/>
    <w:rsid w:val="002E5E34"/>
    <w:rsid w:val="002E5E3B"/>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4E0B"/>
    <w:rsid w:val="00305931"/>
    <w:rsid w:val="0030599D"/>
    <w:rsid w:val="00305B0F"/>
    <w:rsid w:val="003113E0"/>
    <w:rsid w:val="00312C08"/>
    <w:rsid w:val="0031315B"/>
    <w:rsid w:val="0031357E"/>
    <w:rsid w:val="0031385F"/>
    <w:rsid w:val="00314725"/>
    <w:rsid w:val="003160AD"/>
    <w:rsid w:val="003173F8"/>
    <w:rsid w:val="003202DE"/>
    <w:rsid w:val="003205EC"/>
    <w:rsid w:val="0032084F"/>
    <w:rsid w:val="0032174D"/>
    <w:rsid w:val="003241C9"/>
    <w:rsid w:val="00324E94"/>
    <w:rsid w:val="003253CA"/>
    <w:rsid w:val="00325404"/>
    <w:rsid w:val="00326807"/>
    <w:rsid w:val="003271D9"/>
    <w:rsid w:val="00330241"/>
    <w:rsid w:val="00330537"/>
    <w:rsid w:val="00330F68"/>
    <w:rsid w:val="00331044"/>
    <w:rsid w:val="003314CE"/>
    <w:rsid w:val="00331D8A"/>
    <w:rsid w:val="00331FB7"/>
    <w:rsid w:val="00332A24"/>
    <w:rsid w:val="003342EB"/>
    <w:rsid w:val="0033531F"/>
    <w:rsid w:val="00335E31"/>
    <w:rsid w:val="00335E4D"/>
    <w:rsid w:val="003362AF"/>
    <w:rsid w:val="00336CCD"/>
    <w:rsid w:val="003378C4"/>
    <w:rsid w:val="00337C9B"/>
    <w:rsid w:val="00340995"/>
    <w:rsid w:val="00341244"/>
    <w:rsid w:val="003420DA"/>
    <w:rsid w:val="00342CB1"/>
    <w:rsid w:val="003437A3"/>
    <w:rsid w:val="0034381B"/>
    <w:rsid w:val="00343981"/>
    <w:rsid w:val="00346179"/>
    <w:rsid w:val="003477D1"/>
    <w:rsid w:val="00350C50"/>
    <w:rsid w:val="00350CB5"/>
    <w:rsid w:val="00350D37"/>
    <w:rsid w:val="00351317"/>
    <w:rsid w:val="00351918"/>
    <w:rsid w:val="00351A38"/>
    <w:rsid w:val="00352255"/>
    <w:rsid w:val="00352A0F"/>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6787F"/>
    <w:rsid w:val="00370D07"/>
    <w:rsid w:val="00371BAD"/>
    <w:rsid w:val="0037302C"/>
    <w:rsid w:val="00373D8A"/>
    <w:rsid w:val="00375958"/>
    <w:rsid w:val="0037609D"/>
    <w:rsid w:val="0037668D"/>
    <w:rsid w:val="00376776"/>
    <w:rsid w:val="00381A66"/>
    <w:rsid w:val="00381C45"/>
    <w:rsid w:val="00382B0E"/>
    <w:rsid w:val="00382CEE"/>
    <w:rsid w:val="003830F2"/>
    <w:rsid w:val="00385723"/>
    <w:rsid w:val="0038586F"/>
    <w:rsid w:val="00386AAB"/>
    <w:rsid w:val="0038716D"/>
    <w:rsid w:val="003876BC"/>
    <w:rsid w:val="00390542"/>
    <w:rsid w:val="00391252"/>
    <w:rsid w:val="0039225E"/>
    <w:rsid w:val="003943B8"/>
    <w:rsid w:val="00394402"/>
    <w:rsid w:val="003945E2"/>
    <w:rsid w:val="00394CDA"/>
    <w:rsid w:val="0039576C"/>
    <w:rsid w:val="00396982"/>
    <w:rsid w:val="00397629"/>
    <w:rsid w:val="00397FD3"/>
    <w:rsid w:val="003A23F1"/>
    <w:rsid w:val="003A355D"/>
    <w:rsid w:val="003A418F"/>
    <w:rsid w:val="003A4381"/>
    <w:rsid w:val="003A4EA7"/>
    <w:rsid w:val="003A53EC"/>
    <w:rsid w:val="003A56B0"/>
    <w:rsid w:val="003A6E01"/>
    <w:rsid w:val="003A765B"/>
    <w:rsid w:val="003B1157"/>
    <w:rsid w:val="003B159E"/>
    <w:rsid w:val="003B18F0"/>
    <w:rsid w:val="003B1D72"/>
    <w:rsid w:val="003B2BDB"/>
    <w:rsid w:val="003B351A"/>
    <w:rsid w:val="003B3A57"/>
    <w:rsid w:val="003B5653"/>
    <w:rsid w:val="003B7957"/>
    <w:rsid w:val="003B798F"/>
    <w:rsid w:val="003C2226"/>
    <w:rsid w:val="003C25CD"/>
    <w:rsid w:val="003C2CF0"/>
    <w:rsid w:val="003C2D21"/>
    <w:rsid w:val="003C3D6D"/>
    <w:rsid w:val="003C433F"/>
    <w:rsid w:val="003C64C6"/>
    <w:rsid w:val="003C67B3"/>
    <w:rsid w:val="003C7611"/>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4BB9"/>
    <w:rsid w:val="003E4FC4"/>
    <w:rsid w:val="003E6C70"/>
    <w:rsid w:val="003E6DCA"/>
    <w:rsid w:val="003F10B7"/>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08D"/>
    <w:rsid w:val="00435715"/>
    <w:rsid w:val="00435896"/>
    <w:rsid w:val="0043715C"/>
    <w:rsid w:val="0044020B"/>
    <w:rsid w:val="00440679"/>
    <w:rsid w:val="00441A6F"/>
    <w:rsid w:val="0044214A"/>
    <w:rsid w:val="00444224"/>
    <w:rsid w:val="0044478C"/>
    <w:rsid w:val="004447AE"/>
    <w:rsid w:val="004455C0"/>
    <w:rsid w:val="004458DE"/>
    <w:rsid w:val="00445C2C"/>
    <w:rsid w:val="00445EEB"/>
    <w:rsid w:val="00446C00"/>
    <w:rsid w:val="00446C51"/>
    <w:rsid w:val="00446ED3"/>
    <w:rsid w:val="00447225"/>
    <w:rsid w:val="00447E4C"/>
    <w:rsid w:val="0045014F"/>
    <w:rsid w:val="004503CA"/>
    <w:rsid w:val="00451133"/>
    <w:rsid w:val="00451A16"/>
    <w:rsid w:val="0045387C"/>
    <w:rsid w:val="0045524D"/>
    <w:rsid w:val="004552BF"/>
    <w:rsid w:val="004552FB"/>
    <w:rsid w:val="004561AF"/>
    <w:rsid w:val="00456C55"/>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800F2"/>
    <w:rsid w:val="0048099B"/>
    <w:rsid w:val="00480CCC"/>
    <w:rsid w:val="00481211"/>
    <w:rsid w:val="0048197D"/>
    <w:rsid w:val="004823C5"/>
    <w:rsid w:val="0048263E"/>
    <w:rsid w:val="00483B4B"/>
    <w:rsid w:val="0048477F"/>
    <w:rsid w:val="00484CFB"/>
    <w:rsid w:val="0048529D"/>
    <w:rsid w:val="004863BD"/>
    <w:rsid w:val="00486470"/>
    <w:rsid w:val="004908B1"/>
    <w:rsid w:val="00491987"/>
    <w:rsid w:val="00491B4F"/>
    <w:rsid w:val="0049291C"/>
    <w:rsid w:val="00493F2E"/>
    <w:rsid w:val="00495029"/>
    <w:rsid w:val="004956E5"/>
    <w:rsid w:val="00495A75"/>
    <w:rsid w:val="00495BD5"/>
    <w:rsid w:val="00495D3F"/>
    <w:rsid w:val="004965A4"/>
    <w:rsid w:val="00496D67"/>
    <w:rsid w:val="00497341"/>
    <w:rsid w:val="00497520"/>
    <w:rsid w:val="004A14EE"/>
    <w:rsid w:val="004A16B8"/>
    <w:rsid w:val="004A323F"/>
    <w:rsid w:val="004A36FA"/>
    <w:rsid w:val="004A381A"/>
    <w:rsid w:val="004A3B2A"/>
    <w:rsid w:val="004A4887"/>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1B71"/>
    <w:rsid w:val="004C2FB3"/>
    <w:rsid w:val="004C3752"/>
    <w:rsid w:val="004C4E67"/>
    <w:rsid w:val="004C5011"/>
    <w:rsid w:val="004C59FA"/>
    <w:rsid w:val="004C5EB9"/>
    <w:rsid w:val="004C6945"/>
    <w:rsid w:val="004C7318"/>
    <w:rsid w:val="004C763A"/>
    <w:rsid w:val="004C7D91"/>
    <w:rsid w:val="004D04AE"/>
    <w:rsid w:val="004D0C75"/>
    <w:rsid w:val="004D16CC"/>
    <w:rsid w:val="004D1976"/>
    <w:rsid w:val="004D24D9"/>
    <w:rsid w:val="004D3387"/>
    <w:rsid w:val="004D390B"/>
    <w:rsid w:val="004D45BC"/>
    <w:rsid w:val="004D4C36"/>
    <w:rsid w:val="004D5B3A"/>
    <w:rsid w:val="004D70EC"/>
    <w:rsid w:val="004D7940"/>
    <w:rsid w:val="004E011F"/>
    <w:rsid w:val="004E0730"/>
    <w:rsid w:val="004E0E6E"/>
    <w:rsid w:val="004E1FBC"/>
    <w:rsid w:val="004E2295"/>
    <w:rsid w:val="004E2AB3"/>
    <w:rsid w:val="004E2FFF"/>
    <w:rsid w:val="004E3010"/>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0969"/>
    <w:rsid w:val="004F107C"/>
    <w:rsid w:val="004F2CD5"/>
    <w:rsid w:val="004F345D"/>
    <w:rsid w:val="004F38E2"/>
    <w:rsid w:val="004F3B7C"/>
    <w:rsid w:val="004F4260"/>
    <w:rsid w:val="004F4D77"/>
    <w:rsid w:val="004F4F7B"/>
    <w:rsid w:val="004F6011"/>
    <w:rsid w:val="004F6A7C"/>
    <w:rsid w:val="00500034"/>
    <w:rsid w:val="00500381"/>
    <w:rsid w:val="0050105E"/>
    <w:rsid w:val="00502714"/>
    <w:rsid w:val="00503313"/>
    <w:rsid w:val="00503F67"/>
    <w:rsid w:val="0050455D"/>
    <w:rsid w:val="0050494C"/>
    <w:rsid w:val="00505238"/>
    <w:rsid w:val="00506FE6"/>
    <w:rsid w:val="00507616"/>
    <w:rsid w:val="00507861"/>
    <w:rsid w:val="00511354"/>
    <w:rsid w:val="00511424"/>
    <w:rsid w:val="00512496"/>
    <w:rsid w:val="00512CF1"/>
    <w:rsid w:val="005149B5"/>
    <w:rsid w:val="00514EB4"/>
    <w:rsid w:val="00515371"/>
    <w:rsid w:val="00515B5F"/>
    <w:rsid w:val="00516255"/>
    <w:rsid w:val="0051660A"/>
    <w:rsid w:val="00516634"/>
    <w:rsid w:val="005167F9"/>
    <w:rsid w:val="0051703C"/>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3327"/>
    <w:rsid w:val="00533963"/>
    <w:rsid w:val="005350DC"/>
    <w:rsid w:val="00535EE6"/>
    <w:rsid w:val="00536414"/>
    <w:rsid w:val="0053694B"/>
    <w:rsid w:val="00536E0D"/>
    <w:rsid w:val="00537044"/>
    <w:rsid w:val="00537741"/>
    <w:rsid w:val="00537774"/>
    <w:rsid w:val="005377A3"/>
    <w:rsid w:val="00537866"/>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7D7"/>
    <w:rsid w:val="00576D42"/>
    <w:rsid w:val="00576E16"/>
    <w:rsid w:val="00577014"/>
    <w:rsid w:val="005774CB"/>
    <w:rsid w:val="00581405"/>
    <w:rsid w:val="005819D4"/>
    <w:rsid w:val="00581AEF"/>
    <w:rsid w:val="00581CB4"/>
    <w:rsid w:val="00582496"/>
    <w:rsid w:val="0058333C"/>
    <w:rsid w:val="005833D6"/>
    <w:rsid w:val="005834FE"/>
    <w:rsid w:val="00583DEA"/>
    <w:rsid w:val="00584A5A"/>
    <w:rsid w:val="00584AB5"/>
    <w:rsid w:val="00585A28"/>
    <w:rsid w:val="00585D52"/>
    <w:rsid w:val="00586DEE"/>
    <w:rsid w:val="00586EE1"/>
    <w:rsid w:val="005877CB"/>
    <w:rsid w:val="00587EAC"/>
    <w:rsid w:val="00590110"/>
    <w:rsid w:val="00590950"/>
    <w:rsid w:val="00591618"/>
    <w:rsid w:val="00593AF0"/>
    <w:rsid w:val="00596115"/>
    <w:rsid w:val="00596646"/>
    <w:rsid w:val="00596906"/>
    <w:rsid w:val="0059697B"/>
    <w:rsid w:val="00596A3E"/>
    <w:rsid w:val="00596A99"/>
    <w:rsid w:val="005A118A"/>
    <w:rsid w:val="005A31F8"/>
    <w:rsid w:val="005A39C3"/>
    <w:rsid w:val="005A60B4"/>
    <w:rsid w:val="005A6EA2"/>
    <w:rsid w:val="005A7ABE"/>
    <w:rsid w:val="005B1412"/>
    <w:rsid w:val="005B144F"/>
    <w:rsid w:val="005B1D85"/>
    <w:rsid w:val="005B1DB7"/>
    <w:rsid w:val="005B20C8"/>
    <w:rsid w:val="005B21C9"/>
    <w:rsid w:val="005B24DE"/>
    <w:rsid w:val="005B35D6"/>
    <w:rsid w:val="005B53FD"/>
    <w:rsid w:val="005B5474"/>
    <w:rsid w:val="005B6D30"/>
    <w:rsid w:val="005B6ED7"/>
    <w:rsid w:val="005B75FD"/>
    <w:rsid w:val="005C009D"/>
    <w:rsid w:val="005C0946"/>
    <w:rsid w:val="005C1484"/>
    <w:rsid w:val="005C320B"/>
    <w:rsid w:val="005C354E"/>
    <w:rsid w:val="005C36B5"/>
    <w:rsid w:val="005C4415"/>
    <w:rsid w:val="005C5025"/>
    <w:rsid w:val="005C5787"/>
    <w:rsid w:val="005C5B5F"/>
    <w:rsid w:val="005C703E"/>
    <w:rsid w:val="005C7D47"/>
    <w:rsid w:val="005C7E22"/>
    <w:rsid w:val="005D0A01"/>
    <w:rsid w:val="005D0C5F"/>
    <w:rsid w:val="005D0EAE"/>
    <w:rsid w:val="005D0FAF"/>
    <w:rsid w:val="005D14A3"/>
    <w:rsid w:val="005D332E"/>
    <w:rsid w:val="005D3935"/>
    <w:rsid w:val="005D3D47"/>
    <w:rsid w:val="005D4AA5"/>
    <w:rsid w:val="005D4BBD"/>
    <w:rsid w:val="005D4E0C"/>
    <w:rsid w:val="005D51F2"/>
    <w:rsid w:val="005D5503"/>
    <w:rsid w:val="005D5BDF"/>
    <w:rsid w:val="005D6173"/>
    <w:rsid w:val="005D723C"/>
    <w:rsid w:val="005E0771"/>
    <w:rsid w:val="005E0B7E"/>
    <w:rsid w:val="005E11C3"/>
    <w:rsid w:val="005E1D26"/>
    <w:rsid w:val="005E2F32"/>
    <w:rsid w:val="005E469F"/>
    <w:rsid w:val="005E485D"/>
    <w:rsid w:val="005E4F1A"/>
    <w:rsid w:val="005E57CE"/>
    <w:rsid w:val="005E6D59"/>
    <w:rsid w:val="005E6DAA"/>
    <w:rsid w:val="005E77A7"/>
    <w:rsid w:val="005F014F"/>
    <w:rsid w:val="005F12D9"/>
    <w:rsid w:val="005F2010"/>
    <w:rsid w:val="005F2948"/>
    <w:rsid w:val="005F36D9"/>
    <w:rsid w:val="005F3CCB"/>
    <w:rsid w:val="005F49E6"/>
    <w:rsid w:val="005F523B"/>
    <w:rsid w:val="005F705E"/>
    <w:rsid w:val="005F7482"/>
    <w:rsid w:val="005F7616"/>
    <w:rsid w:val="005F7689"/>
    <w:rsid w:val="005F7BA7"/>
    <w:rsid w:val="005F7E46"/>
    <w:rsid w:val="0060139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328E"/>
    <w:rsid w:val="00613F42"/>
    <w:rsid w:val="0061400F"/>
    <w:rsid w:val="006140D5"/>
    <w:rsid w:val="0061448F"/>
    <w:rsid w:val="00614579"/>
    <w:rsid w:val="00614939"/>
    <w:rsid w:val="006163F6"/>
    <w:rsid w:val="006169D1"/>
    <w:rsid w:val="00616B03"/>
    <w:rsid w:val="00617458"/>
    <w:rsid w:val="00620061"/>
    <w:rsid w:val="00620654"/>
    <w:rsid w:val="006223CA"/>
    <w:rsid w:val="00622EB7"/>
    <w:rsid w:val="006233D0"/>
    <w:rsid w:val="006236FF"/>
    <w:rsid w:val="006242BA"/>
    <w:rsid w:val="0062448C"/>
    <w:rsid w:val="00625192"/>
    <w:rsid w:val="00625C51"/>
    <w:rsid w:val="006271CF"/>
    <w:rsid w:val="006275F3"/>
    <w:rsid w:val="00627755"/>
    <w:rsid w:val="00627B83"/>
    <w:rsid w:val="00630ADE"/>
    <w:rsid w:val="00630D55"/>
    <w:rsid w:val="0063171E"/>
    <w:rsid w:val="00631A23"/>
    <w:rsid w:val="0063276A"/>
    <w:rsid w:val="00632A2E"/>
    <w:rsid w:val="00632F7E"/>
    <w:rsid w:val="00634A4F"/>
    <w:rsid w:val="0063567D"/>
    <w:rsid w:val="0063582B"/>
    <w:rsid w:val="00635D2A"/>
    <w:rsid w:val="00635ECC"/>
    <w:rsid w:val="006369AF"/>
    <w:rsid w:val="0063795E"/>
    <w:rsid w:val="0064110E"/>
    <w:rsid w:val="00641F5B"/>
    <w:rsid w:val="00643260"/>
    <w:rsid w:val="00643AC4"/>
    <w:rsid w:val="00643E7B"/>
    <w:rsid w:val="006444E9"/>
    <w:rsid w:val="00645340"/>
    <w:rsid w:val="00645BF2"/>
    <w:rsid w:val="0064621E"/>
    <w:rsid w:val="006472CB"/>
    <w:rsid w:val="0064739F"/>
    <w:rsid w:val="0064762B"/>
    <w:rsid w:val="00647CFD"/>
    <w:rsid w:val="00650C4F"/>
    <w:rsid w:val="0065195E"/>
    <w:rsid w:val="006519F4"/>
    <w:rsid w:val="00651E78"/>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57BF"/>
    <w:rsid w:val="0066673C"/>
    <w:rsid w:val="00667822"/>
    <w:rsid w:val="00667E9A"/>
    <w:rsid w:val="00670C3C"/>
    <w:rsid w:val="00670EE1"/>
    <w:rsid w:val="00671614"/>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AF2"/>
    <w:rsid w:val="00682D1A"/>
    <w:rsid w:val="0068303E"/>
    <w:rsid w:val="00683FDC"/>
    <w:rsid w:val="006844D2"/>
    <w:rsid w:val="0068486A"/>
    <w:rsid w:val="006850F6"/>
    <w:rsid w:val="00685329"/>
    <w:rsid w:val="006854DE"/>
    <w:rsid w:val="00686128"/>
    <w:rsid w:val="006868CC"/>
    <w:rsid w:val="00686C96"/>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07"/>
    <w:rsid w:val="00695C44"/>
    <w:rsid w:val="00696F85"/>
    <w:rsid w:val="006A03D8"/>
    <w:rsid w:val="006A0EA1"/>
    <w:rsid w:val="006A0FC2"/>
    <w:rsid w:val="006A2687"/>
    <w:rsid w:val="006A271D"/>
    <w:rsid w:val="006A2945"/>
    <w:rsid w:val="006A298F"/>
    <w:rsid w:val="006A49A2"/>
    <w:rsid w:val="006A50D1"/>
    <w:rsid w:val="006A54DB"/>
    <w:rsid w:val="006A55D1"/>
    <w:rsid w:val="006A55E9"/>
    <w:rsid w:val="006A56F7"/>
    <w:rsid w:val="006A5BE3"/>
    <w:rsid w:val="006A615F"/>
    <w:rsid w:val="006A632B"/>
    <w:rsid w:val="006A64A4"/>
    <w:rsid w:val="006A7EE1"/>
    <w:rsid w:val="006B1D56"/>
    <w:rsid w:val="006B3AEA"/>
    <w:rsid w:val="006B505A"/>
    <w:rsid w:val="006B56CD"/>
    <w:rsid w:val="006B5B4D"/>
    <w:rsid w:val="006B63C3"/>
    <w:rsid w:val="006C0872"/>
    <w:rsid w:val="006C18F4"/>
    <w:rsid w:val="006C2106"/>
    <w:rsid w:val="006C274D"/>
    <w:rsid w:val="006C309A"/>
    <w:rsid w:val="006C30E6"/>
    <w:rsid w:val="006C328A"/>
    <w:rsid w:val="006C40EE"/>
    <w:rsid w:val="006C4D56"/>
    <w:rsid w:val="006C6825"/>
    <w:rsid w:val="006C78AE"/>
    <w:rsid w:val="006D079F"/>
    <w:rsid w:val="006D15EC"/>
    <w:rsid w:val="006D1FD8"/>
    <w:rsid w:val="006D2D70"/>
    <w:rsid w:val="006D31A5"/>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BAB"/>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2DA5"/>
    <w:rsid w:val="00713CD0"/>
    <w:rsid w:val="00714320"/>
    <w:rsid w:val="007148BD"/>
    <w:rsid w:val="0071502D"/>
    <w:rsid w:val="0071737D"/>
    <w:rsid w:val="00717D23"/>
    <w:rsid w:val="00717DB1"/>
    <w:rsid w:val="00717DD2"/>
    <w:rsid w:val="0072237A"/>
    <w:rsid w:val="00722910"/>
    <w:rsid w:val="0072299C"/>
    <w:rsid w:val="0072453D"/>
    <w:rsid w:val="00725723"/>
    <w:rsid w:val="00727A17"/>
    <w:rsid w:val="00727A29"/>
    <w:rsid w:val="00730460"/>
    <w:rsid w:val="00731446"/>
    <w:rsid w:val="00732CE8"/>
    <w:rsid w:val="00732F6C"/>
    <w:rsid w:val="0073356A"/>
    <w:rsid w:val="007336FC"/>
    <w:rsid w:val="00733AA8"/>
    <w:rsid w:val="00733B03"/>
    <w:rsid w:val="00733D18"/>
    <w:rsid w:val="007344B7"/>
    <w:rsid w:val="00734839"/>
    <w:rsid w:val="00734969"/>
    <w:rsid w:val="00735949"/>
    <w:rsid w:val="00736E1E"/>
    <w:rsid w:val="00740063"/>
    <w:rsid w:val="00740798"/>
    <w:rsid w:val="00740954"/>
    <w:rsid w:val="00741660"/>
    <w:rsid w:val="007419D3"/>
    <w:rsid w:val="007421FA"/>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0DC"/>
    <w:rsid w:val="00757719"/>
    <w:rsid w:val="00757A89"/>
    <w:rsid w:val="0076131A"/>
    <w:rsid w:val="00761A5B"/>
    <w:rsid w:val="00762FE3"/>
    <w:rsid w:val="00763F8B"/>
    <w:rsid w:val="0076529C"/>
    <w:rsid w:val="00766957"/>
    <w:rsid w:val="007705E9"/>
    <w:rsid w:val="007724FA"/>
    <w:rsid w:val="0077251F"/>
    <w:rsid w:val="007739A1"/>
    <w:rsid w:val="00774403"/>
    <w:rsid w:val="00775A40"/>
    <w:rsid w:val="00775E54"/>
    <w:rsid w:val="007762FD"/>
    <w:rsid w:val="0077672D"/>
    <w:rsid w:val="00777B5F"/>
    <w:rsid w:val="0078036F"/>
    <w:rsid w:val="00780AD1"/>
    <w:rsid w:val="00782EE1"/>
    <w:rsid w:val="007834C1"/>
    <w:rsid w:val="007836B4"/>
    <w:rsid w:val="00784407"/>
    <w:rsid w:val="00786616"/>
    <w:rsid w:val="0078664D"/>
    <w:rsid w:val="007870E7"/>
    <w:rsid w:val="00787D45"/>
    <w:rsid w:val="00787F4F"/>
    <w:rsid w:val="007904AC"/>
    <w:rsid w:val="00791D12"/>
    <w:rsid w:val="007923CE"/>
    <w:rsid w:val="00793F48"/>
    <w:rsid w:val="00794662"/>
    <w:rsid w:val="00795074"/>
    <w:rsid w:val="007955B9"/>
    <w:rsid w:val="007957E4"/>
    <w:rsid w:val="00796B16"/>
    <w:rsid w:val="007A0B38"/>
    <w:rsid w:val="007A0ED1"/>
    <w:rsid w:val="007A2C3A"/>
    <w:rsid w:val="007A3276"/>
    <w:rsid w:val="007A3DE8"/>
    <w:rsid w:val="007A60AB"/>
    <w:rsid w:val="007A7045"/>
    <w:rsid w:val="007B0C06"/>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7F74E0"/>
    <w:rsid w:val="00801EC0"/>
    <w:rsid w:val="00802D16"/>
    <w:rsid w:val="00804694"/>
    <w:rsid w:val="00805CD4"/>
    <w:rsid w:val="0080752C"/>
    <w:rsid w:val="008076A1"/>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FAA"/>
    <w:rsid w:val="00822483"/>
    <w:rsid w:val="00822BE8"/>
    <w:rsid w:val="00822E40"/>
    <w:rsid w:val="00822F90"/>
    <w:rsid w:val="008232F1"/>
    <w:rsid w:val="0082423E"/>
    <w:rsid w:val="008251B6"/>
    <w:rsid w:val="00825BE0"/>
    <w:rsid w:val="0082619D"/>
    <w:rsid w:val="0082650F"/>
    <w:rsid w:val="008269B1"/>
    <w:rsid w:val="00827FB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6B14"/>
    <w:rsid w:val="00857196"/>
    <w:rsid w:val="00860D7B"/>
    <w:rsid w:val="0086111A"/>
    <w:rsid w:val="008621FB"/>
    <w:rsid w:val="00862AA6"/>
    <w:rsid w:val="00863F56"/>
    <w:rsid w:val="00864AA2"/>
    <w:rsid w:val="00864BA6"/>
    <w:rsid w:val="008651DA"/>
    <w:rsid w:val="00866032"/>
    <w:rsid w:val="00866F7C"/>
    <w:rsid w:val="008675A5"/>
    <w:rsid w:val="00867A2E"/>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994"/>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2CFE"/>
    <w:rsid w:val="008B3D97"/>
    <w:rsid w:val="008B3E90"/>
    <w:rsid w:val="008B450C"/>
    <w:rsid w:val="008B79CD"/>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B0B"/>
    <w:rsid w:val="008E0EE3"/>
    <w:rsid w:val="008E2939"/>
    <w:rsid w:val="008E2C84"/>
    <w:rsid w:val="008E2CE3"/>
    <w:rsid w:val="008E3B23"/>
    <w:rsid w:val="008E4188"/>
    <w:rsid w:val="008E421D"/>
    <w:rsid w:val="008E49ED"/>
    <w:rsid w:val="008E5FC6"/>
    <w:rsid w:val="008E630E"/>
    <w:rsid w:val="008E641B"/>
    <w:rsid w:val="008E7A67"/>
    <w:rsid w:val="008F013C"/>
    <w:rsid w:val="008F0833"/>
    <w:rsid w:val="008F16ED"/>
    <w:rsid w:val="008F43AC"/>
    <w:rsid w:val="008F465E"/>
    <w:rsid w:val="008F4FD6"/>
    <w:rsid w:val="008F5422"/>
    <w:rsid w:val="008F5DC3"/>
    <w:rsid w:val="008F62F8"/>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668"/>
    <w:rsid w:val="00911897"/>
    <w:rsid w:val="00911BC0"/>
    <w:rsid w:val="00911D20"/>
    <w:rsid w:val="009131CD"/>
    <w:rsid w:val="00913741"/>
    <w:rsid w:val="00913B3B"/>
    <w:rsid w:val="00913D18"/>
    <w:rsid w:val="009154E0"/>
    <w:rsid w:val="00915A29"/>
    <w:rsid w:val="00915F37"/>
    <w:rsid w:val="009165D6"/>
    <w:rsid w:val="009169CD"/>
    <w:rsid w:val="00916B2B"/>
    <w:rsid w:val="00917B05"/>
    <w:rsid w:val="00917D0B"/>
    <w:rsid w:val="00920523"/>
    <w:rsid w:val="00920934"/>
    <w:rsid w:val="009209D2"/>
    <w:rsid w:val="00920EB6"/>
    <w:rsid w:val="0092176F"/>
    <w:rsid w:val="00922505"/>
    <w:rsid w:val="00922740"/>
    <w:rsid w:val="00922A1A"/>
    <w:rsid w:val="00923841"/>
    <w:rsid w:val="00924A4E"/>
    <w:rsid w:val="00925913"/>
    <w:rsid w:val="009259BB"/>
    <w:rsid w:val="00925D98"/>
    <w:rsid w:val="00926D65"/>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1F95"/>
    <w:rsid w:val="00942431"/>
    <w:rsid w:val="00942688"/>
    <w:rsid w:val="009432DA"/>
    <w:rsid w:val="0094366E"/>
    <w:rsid w:val="009437B3"/>
    <w:rsid w:val="00943E5E"/>
    <w:rsid w:val="00944001"/>
    <w:rsid w:val="00944E83"/>
    <w:rsid w:val="0094502F"/>
    <w:rsid w:val="0094570D"/>
    <w:rsid w:val="00947069"/>
    <w:rsid w:val="009478BC"/>
    <w:rsid w:val="00950038"/>
    <w:rsid w:val="00950A3D"/>
    <w:rsid w:val="00951BD4"/>
    <w:rsid w:val="009520A7"/>
    <w:rsid w:val="0095213C"/>
    <w:rsid w:val="00953914"/>
    <w:rsid w:val="00953B2D"/>
    <w:rsid w:val="00954349"/>
    <w:rsid w:val="009547F1"/>
    <w:rsid w:val="00954E25"/>
    <w:rsid w:val="0095511B"/>
    <w:rsid w:val="009555E1"/>
    <w:rsid w:val="009559F1"/>
    <w:rsid w:val="00956C46"/>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D13"/>
    <w:rsid w:val="009A107F"/>
    <w:rsid w:val="009A1CB1"/>
    <w:rsid w:val="009A2775"/>
    <w:rsid w:val="009A33E6"/>
    <w:rsid w:val="009A3E25"/>
    <w:rsid w:val="009A3F4F"/>
    <w:rsid w:val="009A4226"/>
    <w:rsid w:val="009A4FCB"/>
    <w:rsid w:val="009A5128"/>
    <w:rsid w:val="009A5E93"/>
    <w:rsid w:val="009A6A6C"/>
    <w:rsid w:val="009B0467"/>
    <w:rsid w:val="009B08BB"/>
    <w:rsid w:val="009B1227"/>
    <w:rsid w:val="009B1790"/>
    <w:rsid w:val="009B25E6"/>
    <w:rsid w:val="009B2954"/>
    <w:rsid w:val="009B418D"/>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3BDA"/>
    <w:rsid w:val="009D461A"/>
    <w:rsid w:val="009D502B"/>
    <w:rsid w:val="009D6749"/>
    <w:rsid w:val="009D6C45"/>
    <w:rsid w:val="009E058B"/>
    <w:rsid w:val="009E0C99"/>
    <w:rsid w:val="009E136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EE8"/>
    <w:rsid w:val="00A07A8F"/>
    <w:rsid w:val="00A11238"/>
    <w:rsid w:val="00A11A21"/>
    <w:rsid w:val="00A11AE5"/>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32343"/>
    <w:rsid w:val="00A32D04"/>
    <w:rsid w:val="00A32F15"/>
    <w:rsid w:val="00A342E7"/>
    <w:rsid w:val="00A36858"/>
    <w:rsid w:val="00A3787D"/>
    <w:rsid w:val="00A37BBA"/>
    <w:rsid w:val="00A42030"/>
    <w:rsid w:val="00A425D6"/>
    <w:rsid w:val="00A42EE0"/>
    <w:rsid w:val="00A439CB"/>
    <w:rsid w:val="00A4436B"/>
    <w:rsid w:val="00A451A9"/>
    <w:rsid w:val="00A45CA8"/>
    <w:rsid w:val="00A464DD"/>
    <w:rsid w:val="00A468B0"/>
    <w:rsid w:val="00A46EAE"/>
    <w:rsid w:val="00A47816"/>
    <w:rsid w:val="00A47A17"/>
    <w:rsid w:val="00A5127D"/>
    <w:rsid w:val="00A51332"/>
    <w:rsid w:val="00A515A0"/>
    <w:rsid w:val="00A51B9F"/>
    <w:rsid w:val="00A52F42"/>
    <w:rsid w:val="00A5326A"/>
    <w:rsid w:val="00A53AFE"/>
    <w:rsid w:val="00A54487"/>
    <w:rsid w:val="00A551B7"/>
    <w:rsid w:val="00A557A4"/>
    <w:rsid w:val="00A5606D"/>
    <w:rsid w:val="00A5658C"/>
    <w:rsid w:val="00A56703"/>
    <w:rsid w:val="00A56C7A"/>
    <w:rsid w:val="00A56CDD"/>
    <w:rsid w:val="00A5716C"/>
    <w:rsid w:val="00A60202"/>
    <w:rsid w:val="00A60434"/>
    <w:rsid w:val="00A6047B"/>
    <w:rsid w:val="00A611A2"/>
    <w:rsid w:val="00A6126A"/>
    <w:rsid w:val="00A612FA"/>
    <w:rsid w:val="00A619CF"/>
    <w:rsid w:val="00A61A25"/>
    <w:rsid w:val="00A623A1"/>
    <w:rsid w:val="00A644E9"/>
    <w:rsid w:val="00A647B6"/>
    <w:rsid w:val="00A64AF4"/>
    <w:rsid w:val="00A65356"/>
    <w:rsid w:val="00A65C02"/>
    <w:rsid w:val="00A65D7D"/>
    <w:rsid w:val="00A666F1"/>
    <w:rsid w:val="00A670EF"/>
    <w:rsid w:val="00A67F14"/>
    <w:rsid w:val="00A703C7"/>
    <w:rsid w:val="00A70EB2"/>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592"/>
    <w:rsid w:val="00A82EE7"/>
    <w:rsid w:val="00A84031"/>
    <w:rsid w:val="00A84133"/>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A7A65"/>
    <w:rsid w:val="00AB0162"/>
    <w:rsid w:val="00AB08F5"/>
    <w:rsid w:val="00AB0C68"/>
    <w:rsid w:val="00AB102B"/>
    <w:rsid w:val="00AB1484"/>
    <w:rsid w:val="00AB1AA5"/>
    <w:rsid w:val="00AB1C39"/>
    <w:rsid w:val="00AB309E"/>
    <w:rsid w:val="00AB3D48"/>
    <w:rsid w:val="00AB7694"/>
    <w:rsid w:val="00AB7A64"/>
    <w:rsid w:val="00AB7AA5"/>
    <w:rsid w:val="00AB7ABF"/>
    <w:rsid w:val="00AC07A9"/>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2F53"/>
    <w:rsid w:val="00AD3F7C"/>
    <w:rsid w:val="00AD3FB0"/>
    <w:rsid w:val="00AD4556"/>
    <w:rsid w:val="00AD5E3B"/>
    <w:rsid w:val="00AD66EC"/>
    <w:rsid w:val="00AE0D41"/>
    <w:rsid w:val="00AE16F1"/>
    <w:rsid w:val="00AE24DB"/>
    <w:rsid w:val="00AE4C13"/>
    <w:rsid w:val="00AE500B"/>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5EB6"/>
    <w:rsid w:val="00B16247"/>
    <w:rsid w:val="00B16305"/>
    <w:rsid w:val="00B16C54"/>
    <w:rsid w:val="00B16ED2"/>
    <w:rsid w:val="00B173BF"/>
    <w:rsid w:val="00B17B7D"/>
    <w:rsid w:val="00B205A3"/>
    <w:rsid w:val="00B22C68"/>
    <w:rsid w:val="00B23D41"/>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57D60"/>
    <w:rsid w:val="00B600DE"/>
    <w:rsid w:val="00B60690"/>
    <w:rsid w:val="00B61859"/>
    <w:rsid w:val="00B63B0D"/>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4DC6"/>
    <w:rsid w:val="00B76024"/>
    <w:rsid w:val="00B76F67"/>
    <w:rsid w:val="00B76FC2"/>
    <w:rsid w:val="00B77E20"/>
    <w:rsid w:val="00B77F44"/>
    <w:rsid w:val="00B802A8"/>
    <w:rsid w:val="00B82FF2"/>
    <w:rsid w:val="00B8411C"/>
    <w:rsid w:val="00B84CC8"/>
    <w:rsid w:val="00B85556"/>
    <w:rsid w:val="00B86D53"/>
    <w:rsid w:val="00B902E5"/>
    <w:rsid w:val="00B907AB"/>
    <w:rsid w:val="00B915B6"/>
    <w:rsid w:val="00B91E54"/>
    <w:rsid w:val="00B927F7"/>
    <w:rsid w:val="00B93039"/>
    <w:rsid w:val="00B94333"/>
    <w:rsid w:val="00B945F8"/>
    <w:rsid w:val="00B94618"/>
    <w:rsid w:val="00B95776"/>
    <w:rsid w:val="00B959AD"/>
    <w:rsid w:val="00B95CBD"/>
    <w:rsid w:val="00B97713"/>
    <w:rsid w:val="00BA06F3"/>
    <w:rsid w:val="00BA1401"/>
    <w:rsid w:val="00BA198A"/>
    <w:rsid w:val="00BA2BFA"/>
    <w:rsid w:val="00BA4131"/>
    <w:rsid w:val="00BA4748"/>
    <w:rsid w:val="00BA4B20"/>
    <w:rsid w:val="00BA5320"/>
    <w:rsid w:val="00BA654E"/>
    <w:rsid w:val="00BA7A55"/>
    <w:rsid w:val="00BB17DB"/>
    <w:rsid w:val="00BB277B"/>
    <w:rsid w:val="00BB2CA4"/>
    <w:rsid w:val="00BB2F6D"/>
    <w:rsid w:val="00BB3485"/>
    <w:rsid w:val="00BB3674"/>
    <w:rsid w:val="00BB38B7"/>
    <w:rsid w:val="00BB4FEA"/>
    <w:rsid w:val="00BB5AF2"/>
    <w:rsid w:val="00BB5DDE"/>
    <w:rsid w:val="00BB6427"/>
    <w:rsid w:val="00BB706D"/>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DDB"/>
    <w:rsid w:val="00BD5450"/>
    <w:rsid w:val="00BD560E"/>
    <w:rsid w:val="00BD5629"/>
    <w:rsid w:val="00BD650C"/>
    <w:rsid w:val="00BD6952"/>
    <w:rsid w:val="00BD6B27"/>
    <w:rsid w:val="00BE05D8"/>
    <w:rsid w:val="00BE0BA5"/>
    <w:rsid w:val="00BE1DCC"/>
    <w:rsid w:val="00BE29E8"/>
    <w:rsid w:val="00BE2E62"/>
    <w:rsid w:val="00BE327D"/>
    <w:rsid w:val="00BE40FB"/>
    <w:rsid w:val="00BE44C3"/>
    <w:rsid w:val="00BE47FF"/>
    <w:rsid w:val="00BE5D9C"/>
    <w:rsid w:val="00BE60D6"/>
    <w:rsid w:val="00BE6999"/>
    <w:rsid w:val="00BF05CC"/>
    <w:rsid w:val="00BF09DE"/>
    <w:rsid w:val="00BF0E8E"/>
    <w:rsid w:val="00BF1F96"/>
    <w:rsid w:val="00BF222B"/>
    <w:rsid w:val="00BF2731"/>
    <w:rsid w:val="00BF348A"/>
    <w:rsid w:val="00BF369C"/>
    <w:rsid w:val="00BF3FD5"/>
    <w:rsid w:val="00BF4280"/>
    <w:rsid w:val="00BF50EF"/>
    <w:rsid w:val="00BF5520"/>
    <w:rsid w:val="00BF57A5"/>
    <w:rsid w:val="00BF5A97"/>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0B3A"/>
    <w:rsid w:val="00C111CC"/>
    <w:rsid w:val="00C112A2"/>
    <w:rsid w:val="00C11CBF"/>
    <w:rsid w:val="00C1321D"/>
    <w:rsid w:val="00C13FAE"/>
    <w:rsid w:val="00C143F7"/>
    <w:rsid w:val="00C14597"/>
    <w:rsid w:val="00C14C52"/>
    <w:rsid w:val="00C15AFA"/>
    <w:rsid w:val="00C16D69"/>
    <w:rsid w:val="00C178EE"/>
    <w:rsid w:val="00C17AF2"/>
    <w:rsid w:val="00C2040E"/>
    <w:rsid w:val="00C20F04"/>
    <w:rsid w:val="00C212BE"/>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21DA"/>
    <w:rsid w:val="00C3225A"/>
    <w:rsid w:val="00C3487E"/>
    <w:rsid w:val="00C355C2"/>
    <w:rsid w:val="00C369EE"/>
    <w:rsid w:val="00C36A7A"/>
    <w:rsid w:val="00C403FA"/>
    <w:rsid w:val="00C4187C"/>
    <w:rsid w:val="00C42E00"/>
    <w:rsid w:val="00C4346C"/>
    <w:rsid w:val="00C440CD"/>
    <w:rsid w:val="00C45436"/>
    <w:rsid w:val="00C45E37"/>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34A"/>
    <w:rsid w:val="00C64CFF"/>
    <w:rsid w:val="00C65425"/>
    <w:rsid w:val="00C66D38"/>
    <w:rsid w:val="00C66E45"/>
    <w:rsid w:val="00C670F7"/>
    <w:rsid w:val="00C71457"/>
    <w:rsid w:val="00C714A7"/>
    <w:rsid w:val="00C72608"/>
    <w:rsid w:val="00C73136"/>
    <w:rsid w:val="00C744F5"/>
    <w:rsid w:val="00C7464B"/>
    <w:rsid w:val="00C7523F"/>
    <w:rsid w:val="00C75F99"/>
    <w:rsid w:val="00C764A9"/>
    <w:rsid w:val="00C7727B"/>
    <w:rsid w:val="00C804B4"/>
    <w:rsid w:val="00C806BF"/>
    <w:rsid w:val="00C806C6"/>
    <w:rsid w:val="00C80A69"/>
    <w:rsid w:val="00C80C60"/>
    <w:rsid w:val="00C815D3"/>
    <w:rsid w:val="00C81F24"/>
    <w:rsid w:val="00C81F4B"/>
    <w:rsid w:val="00C83CE2"/>
    <w:rsid w:val="00C849FF"/>
    <w:rsid w:val="00C851AC"/>
    <w:rsid w:val="00C858F2"/>
    <w:rsid w:val="00C85D59"/>
    <w:rsid w:val="00C86746"/>
    <w:rsid w:val="00C86B9C"/>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C0D"/>
    <w:rsid w:val="00CA1D98"/>
    <w:rsid w:val="00CA2388"/>
    <w:rsid w:val="00CA2A9A"/>
    <w:rsid w:val="00CA4013"/>
    <w:rsid w:val="00CA52A3"/>
    <w:rsid w:val="00CA5532"/>
    <w:rsid w:val="00CA58BF"/>
    <w:rsid w:val="00CA5ED2"/>
    <w:rsid w:val="00CA64E4"/>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C7A32"/>
    <w:rsid w:val="00CD2346"/>
    <w:rsid w:val="00CD3237"/>
    <w:rsid w:val="00CD3446"/>
    <w:rsid w:val="00CD5B0F"/>
    <w:rsid w:val="00CD6D24"/>
    <w:rsid w:val="00CD7BE9"/>
    <w:rsid w:val="00CE07DD"/>
    <w:rsid w:val="00CE0BA0"/>
    <w:rsid w:val="00CE1945"/>
    <w:rsid w:val="00CE1ACB"/>
    <w:rsid w:val="00CE5032"/>
    <w:rsid w:val="00CE758F"/>
    <w:rsid w:val="00CE7E18"/>
    <w:rsid w:val="00CF1144"/>
    <w:rsid w:val="00CF2359"/>
    <w:rsid w:val="00CF3258"/>
    <w:rsid w:val="00CF3690"/>
    <w:rsid w:val="00CF3F7A"/>
    <w:rsid w:val="00CF491D"/>
    <w:rsid w:val="00CF49A6"/>
    <w:rsid w:val="00CF4B2E"/>
    <w:rsid w:val="00CF4BFE"/>
    <w:rsid w:val="00CF4EC3"/>
    <w:rsid w:val="00CF6246"/>
    <w:rsid w:val="00CF69E5"/>
    <w:rsid w:val="00CF6D44"/>
    <w:rsid w:val="00CF7ECC"/>
    <w:rsid w:val="00D0037D"/>
    <w:rsid w:val="00D008F9"/>
    <w:rsid w:val="00D00C0E"/>
    <w:rsid w:val="00D0155A"/>
    <w:rsid w:val="00D01623"/>
    <w:rsid w:val="00D01BB0"/>
    <w:rsid w:val="00D01D16"/>
    <w:rsid w:val="00D0233D"/>
    <w:rsid w:val="00D02674"/>
    <w:rsid w:val="00D02ACA"/>
    <w:rsid w:val="00D03EF6"/>
    <w:rsid w:val="00D048E0"/>
    <w:rsid w:val="00D0496E"/>
    <w:rsid w:val="00D05C4B"/>
    <w:rsid w:val="00D06148"/>
    <w:rsid w:val="00D06E57"/>
    <w:rsid w:val="00D07C49"/>
    <w:rsid w:val="00D07D37"/>
    <w:rsid w:val="00D119B6"/>
    <w:rsid w:val="00D11CC8"/>
    <w:rsid w:val="00D125F8"/>
    <w:rsid w:val="00D12785"/>
    <w:rsid w:val="00D13A95"/>
    <w:rsid w:val="00D13BFF"/>
    <w:rsid w:val="00D14470"/>
    <w:rsid w:val="00D1519F"/>
    <w:rsid w:val="00D15B5D"/>
    <w:rsid w:val="00D16184"/>
    <w:rsid w:val="00D16396"/>
    <w:rsid w:val="00D16615"/>
    <w:rsid w:val="00D1713C"/>
    <w:rsid w:val="00D17147"/>
    <w:rsid w:val="00D176BC"/>
    <w:rsid w:val="00D200B3"/>
    <w:rsid w:val="00D20109"/>
    <w:rsid w:val="00D20245"/>
    <w:rsid w:val="00D215E6"/>
    <w:rsid w:val="00D21DC6"/>
    <w:rsid w:val="00D227D8"/>
    <w:rsid w:val="00D2343A"/>
    <w:rsid w:val="00D23832"/>
    <w:rsid w:val="00D24E0A"/>
    <w:rsid w:val="00D24E13"/>
    <w:rsid w:val="00D25260"/>
    <w:rsid w:val="00D262C8"/>
    <w:rsid w:val="00D26C5B"/>
    <w:rsid w:val="00D2731A"/>
    <w:rsid w:val="00D27DEA"/>
    <w:rsid w:val="00D30629"/>
    <w:rsid w:val="00D30CD9"/>
    <w:rsid w:val="00D30D90"/>
    <w:rsid w:val="00D3112A"/>
    <w:rsid w:val="00D31641"/>
    <w:rsid w:val="00D32396"/>
    <w:rsid w:val="00D33333"/>
    <w:rsid w:val="00D33B21"/>
    <w:rsid w:val="00D33BA7"/>
    <w:rsid w:val="00D33C63"/>
    <w:rsid w:val="00D34865"/>
    <w:rsid w:val="00D34D65"/>
    <w:rsid w:val="00D3651F"/>
    <w:rsid w:val="00D37533"/>
    <w:rsid w:val="00D40088"/>
    <w:rsid w:val="00D457F6"/>
    <w:rsid w:val="00D45908"/>
    <w:rsid w:val="00D46754"/>
    <w:rsid w:val="00D467E8"/>
    <w:rsid w:val="00D4684D"/>
    <w:rsid w:val="00D46BEB"/>
    <w:rsid w:val="00D47028"/>
    <w:rsid w:val="00D47336"/>
    <w:rsid w:val="00D50719"/>
    <w:rsid w:val="00D50A9D"/>
    <w:rsid w:val="00D50FF5"/>
    <w:rsid w:val="00D51995"/>
    <w:rsid w:val="00D51CF8"/>
    <w:rsid w:val="00D51EFF"/>
    <w:rsid w:val="00D52294"/>
    <w:rsid w:val="00D52DDF"/>
    <w:rsid w:val="00D532F8"/>
    <w:rsid w:val="00D53533"/>
    <w:rsid w:val="00D53BA7"/>
    <w:rsid w:val="00D53D7C"/>
    <w:rsid w:val="00D54655"/>
    <w:rsid w:val="00D573E1"/>
    <w:rsid w:val="00D57CED"/>
    <w:rsid w:val="00D60D1C"/>
    <w:rsid w:val="00D61431"/>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2D1"/>
    <w:rsid w:val="00D7363F"/>
    <w:rsid w:val="00D73F43"/>
    <w:rsid w:val="00D74CA7"/>
    <w:rsid w:val="00D75AE3"/>
    <w:rsid w:val="00D76F13"/>
    <w:rsid w:val="00D77509"/>
    <w:rsid w:val="00D80CBB"/>
    <w:rsid w:val="00D815C2"/>
    <w:rsid w:val="00D81ADC"/>
    <w:rsid w:val="00D81ADE"/>
    <w:rsid w:val="00D820A6"/>
    <w:rsid w:val="00D859E3"/>
    <w:rsid w:val="00D86BE3"/>
    <w:rsid w:val="00D87CA3"/>
    <w:rsid w:val="00D91596"/>
    <w:rsid w:val="00D91A89"/>
    <w:rsid w:val="00D91DF4"/>
    <w:rsid w:val="00D92541"/>
    <w:rsid w:val="00D926F3"/>
    <w:rsid w:val="00D93DC9"/>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1CF1"/>
    <w:rsid w:val="00DB2611"/>
    <w:rsid w:val="00DB3AFE"/>
    <w:rsid w:val="00DB425A"/>
    <w:rsid w:val="00DB5AD4"/>
    <w:rsid w:val="00DB6234"/>
    <w:rsid w:val="00DB6372"/>
    <w:rsid w:val="00DB6373"/>
    <w:rsid w:val="00DB69AC"/>
    <w:rsid w:val="00DB6BD1"/>
    <w:rsid w:val="00DB7EF1"/>
    <w:rsid w:val="00DB7EFB"/>
    <w:rsid w:val="00DC0933"/>
    <w:rsid w:val="00DC119D"/>
    <w:rsid w:val="00DC13B2"/>
    <w:rsid w:val="00DC2BCB"/>
    <w:rsid w:val="00DC4521"/>
    <w:rsid w:val="00DC5F10"/>
    <w:rsid w:val="00DC6565"/>
    <w:rsid w:val="00DC724A"/>
    <w:rsid w:val="00DD170F"/>
    <w:rsid w:val="00DD29F9"/>
    <w:rsid w:val="00DD2C69"/>
    <w:rsid w:val="00DD2D8E"/>
    <w:rsid w:val="00DD2DBB"/>
    <w:rsid w:val="00DD3602"/>
    <w:rsid w:val="00DD3D19"/>
    <w:rsid w:val="00DD3F6C"/>
    <w:rsid w:val="00DD4ACE"/>
    <w:rsid w:val="00DD5353"/>
    <w:rsid w:val="00DD5F36"/>
    <w:rsid w:val="00DD632E"/>
    <w:rsid w:val="00DD6B5D"/>
    <w:rsid w:val="00DD72CB"/>
    <w:rsid w:val="00DD7D0C"/>
    <w:rsid w:val="00DE0A9B"/>
    <w:rsid w:val="00DE1D0F"/>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B4B"/>
    <w:rsid w:val="00DF4E07"/>
    <w:rsid w:val="00DF6AFB"/>
    <w:rsid w:val="00DF6BA3"/>
    <w:rsid w:val="00DF7987"/>
    <w:rsid w:val="00DF79DB"/>
    <w:rsid w:val="00E004D9"/>
    <w:rsid w:val="00E00D7C"/>
    <w:rsid w:val="00E01672"/>
    <w:rsid w:val="00E025F7"/>
    <w:rsid w:val="00E02B34"/>
    <w:rsid w:val="00E03098"/>
    <w:rsid w:val="00E036A6"/>
    <w:rsid w:val="00E0374D"/>
    <w:rsid w:val="00E041EF"/>
    <w:rsid w:val="00E04BA1"/>
    <w:rsid w:val="00E05434"/>
    <w:rsid w:val="00E05BE2"/>
    <w:rsid w:val="00E05C6E"/>
    <w:rsid w:val="00E0710E"/>
    <w:rsid w:val="00E07937"/>
    <w:rsid w:val="00E100AD"/>
    <w:rsid w:val="00E1042E"/>
    <w:rsid w:val="00E10944"/>
    <w:rsid w:val="00E10A3F"/>
    <w:rsid w:val="00E11333"/>
    <w:rsid w:val="00E11746"/>
    <w:rsid w:val="00E117E4"/>
    <w:rsid w:val="00E119B4"/>
    <w:rsid w:val="00E11B41"/>
    <w:rsid w:val="00E15375"/>
    <w:rsid w:val="00E171A3"/>
    <w:rsid w:val="00E178D4"/>
    <w:rsid w:val="00E20CB4"/>
    <w:rsid w:val="00E222E7"/>
    <w:rsid w:val="00E22D5F"/>
    <w:rsid w:val="00E24EF9"/>
    <w:rsid w:val="00E25FD1"/>
    <w:rsid w:val="00E262B1"/>
    <w:rsid w:val="00E26D0E"/>
    <w:rsid w:val="00E31A25"/>
    <w:rsid w:val="00E31B0C"/>
    <w:rsid w:val="00E31C60"/>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1F7B"/>
    <w:rsid w:val="00E52627"/>
    <w:rsid w:val="00E52868"/>
    <w:rsid w:val="00E52925"/>
    <w:rsid w:val="00E53EF0"/>
    <w:rsid w:val="00E54164"/>
    <w:rsid w:val="00E541FB"/>
    <w:rsid w:val="00E54931"/>
    <w:rsid w:val="00E54A5C"/>
    <w:rsid w:val="00E54A8F"/>
    <w:rsid w:val="00E55DB7"/>
    <w:rsid w:val="00E5673A"/>
    <w:rsid w:val="00E57C7F"/>
    <w:rsid w:val="00E604BA"/>
    <w:rsid w:val="00E609CA"/>
    <w:rsid w:val="00E613B7"/>
    <w:rsid w:val="00E61CB1"/>
    <w:rsid w:val="00E6300A"/>
    <w:rsid w:val="00E6361C"/>
    <w:rsid w:val="00E63A66"/>
    <w:rsid w:val="00E65108"/>
    <w:rsid w:val="00E718B1"/>
    <w:rsid w:val="00E71BCD"/>
    <w:rsid w:val="00E7201F"/>
    <w:rsid w:val="00E7319E"/>
    <w:rsid w:val="00E74C18"/>
    <w:rsid w:val="00E750D9"/>
    <w:rsid w:val="00E75229"/>
    <w:rsid w:val="00E768DE"/>
    <w:rsid w:val="00E779EF"/>
    <w:rsid w:val="00E77BCC"/>
    <w:rsid w:val="00E81E18"/>
    <w:rsid w:val="00E8322D"/>
    <w:rsid w:val="00E83A37"/>
    <w:rsid w:val="00E84762"/>
    <w:rsid w:val="00E84930"/>
    <w:rsid w:val="00E84C2A"/>
    <w:rsid w:val="00E85033"/>
    <w:rsid w:val="00E857C5"/>
    <w:rsid w:val="00E85904"/>
    <w:rsid w:val="00E8590D"/>
    <w:rsid w:val="00E85BBA"/>
    <w:rsid w:val="00E874D5"/>
    <w:rsid w:val="00E902C9"/>
    <w:rsid w:val="00E90969"/>
    <w:rsid w:val="00E90DB4"/>
    <w:rsid w:val="00E91D8C"/>
    <w:rsid w:val="00E92083"/>
    <w:rsid w:val="00E93024"/>
    <w:rsid w:val="00E934CA"/>
    <w:rsid w:val="00E9445B"/>
    <w:rsid w:val="00E96040"/>
    <w:rsid w:val="00E974BA"/>
    <w:rsid w:val="00E97FB2"/>
    <w:rsid w:val="00EA02BF"/>
    <w:rsid w:val="00EA07B4"/>
    <w:rsid w:val="00EA0FE4"/>
    <w:rsid w:val="00EA1543"/>
    <w:rsid w:val="00EA1616"/>
    <w:rsid w:val="00EA173A"/>
    <w:rsid w:val="00EA1B4E"/>
    <w:rsid w:val="00EA1E84"/>
    <w:rsid w:val="00EA32AB"/>
    <w:rsid w:val="00EA4403"/>
    <w:rsid w:val="00EA6B87"/>
    <w:rsid w:val="00EA6D0E"/>
    <w:rsid w:val="00EB0520"/>
    <w:rsid w:val="00EB0629"/>
    <w:rsid w:val="00EB0781"/>
    <w:rsid w:val="00EB0E52"/>
    <w:rsid w:val="00EB2619"/>
    <w:rsid w:val="00EB3B70"/>
    <w:rsid w:val="00EB4F02"/>
    <w:rsid w:val="00EB5144"/>
    <w:rsid w:val="00EB5B5F"/>
    <w:rsid w:val="00EB5D26"/>
    <w:rsid w:val="00EB6619"/>
    <w:rsid w:val="00EB755B"/>
    <w:rsid w:val="00EC0E67"/>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C7C27"/>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4D9"/>
    <w:rsid w:val="00EE4554"/>
    <w:rsid w:val="00EE48EE"/>
    <w:rsid w:val="00EE4A33"/>
    <w:rsid w:val="00EE4E96"/>
    <w:rsid w:val="00EE4EC6"/>
    <w:rsid w:val="00EE5A04"/>
    <w:rsid w:val="00EE6A20"/>
    <w:rsid w:val="00EE7A11"/>
    <w:rsid w:val="00EF0994"/>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75A"/>
    <w:rsid w:val="00F01912"/>
    <w:rsid w:val="00F025BA"/>
    <w:rsid w:val="00F030EA"/>
    <w:rsid w:val="00F03298"/>
    <w:rsid w:val="00F0424B"/>
    <w:rsid w:val="00F04EF4"/>
    <w:rsid w:val="00F0557C"/>
    <w:rsid w:val="00F05AF7"/>
    <w:rsid w:val="00F06080"/>
    <w:rsid w:val="00F06A09"/>
    <w:rsid w:val="00F07711"/>
    <w:rsid w:val="00F07B5D"/>
    <w:rsid w:val="00F07BC2"/>
    <w:rsid w:val="00F10584"/>
    <w:rsid w:val="00F11E3E"/>
    <w:rsid w:val="00F12DC2"/>
    <w:rsid w:val="00F137B5"/>
    <w:rsid w:val="00F14E3F"/>
    <w:rsid w:val="00F1503A"/>
    <w:rsid w:val="00F15C3B"/>
    <w:rsid w:val="00F17BD1"/>
    <w:rsid w:val="00F17C5F"/>
    <w:rsid w:val="00F20332"/>
    <w:rsid w:val="00F2057A"/>
    <w:rsid w:val="00F20D77"/>
    <w:rsid w:val="00F2498E"/>
    <w:rsid w:val="00F24FA5"/>
    <w:rsid w:val="00F25621"/>
    <w:rsid w:val="00F26EE6"/>
    <w:rsid w:val="00F313A4"/>
    <w:rsid w:val="00F31F94"/>
    <w:rsid w:val="00F33A05"/>
    <w:rsid w:val="00F33A7D"/>
    <w:rsid w:val="00F33F98"/>
    <w:rsid w:val="00F342FC"/>
    <w:rsid w:val="00F35418"/>
    <w:rsid w:val="00F35B0D"/>
    <w:rsid w:val="00F35E85"/>
    <w:rsid w:val="00F402FF"/>
    <w:rsid w:val="00F409A1"/>
    <w:rsid w:val="00F40B1F"/>
    <w:rsid w:val="00F40CB5"/>
    <w:rsid w:val="00F415AC"/>
    <w:rsid w:val="00F41C32"/>
    <w:rsid w:val="00F427E5"/>
    <w:rsid w:val="00F43449"/>
    <w:rsid w:val="00F43C31"/>
    <w:rsid w:val="00F43C61"/>
    <w:rsid w:val="00F43DC9"/>
    <w:rsid w:val="00F4472B"/>
    <w:rsid w:val="00F45D8C"/>
    <w:rsid w:val="00F47FB5"/>
    <w:rsid w:val="00F5080B"/>
    <w:rsid w:val="00F50C67"/>
    <w:rsid w:val="00F50F97"/>
    <w:rsid w:val="00F521E0"/>
    <w:rsid w:val="00F54227"/>
    <w:rsid w:val="00F60CAB"/>
    <w:rsid w:val="00F6162F"/>
    <w:rsid w:val="00F63E20"/>
    <w:rsid w:val="00F63EF7"/>
    <w:rsid w:val="00F640E8"/>
    <w:rsid w:val="00F64D88"/>
    <w:rsid w:val="00F651FD"/>
    <w:rsid w:val="00F65587"/>
    <w:rsid w:val="00F65C1D"/>
    <w:rsid w:val="00F676BD"/>
    <w:rsid w:val="00F70C61"/>
    <w:rsid w:val="00F70D6C"/>
    <w:rsid w:val="00F70F9B"/>
    <w:rsid w:val="00F710F5"/>
    <w:rsid w:val="00F71768"/>
    <w:rsid w:val="00F71D7D"/>
    <w:rsid w:val="00F72CA7"/>
    <w:rsid w:val="00F73342"/>
    <w:rsid w:val="00F74663"/>
    <w:rsid w:val="00F746A0"/>
    <w:rsid w:val="00F74DF3"/>
    <w:rsid w:val="00F75225"/>
    <w:rsid w:val="00F769D6"/>
    <w:rsid w:val="00F77D7B"/>
    <w:rsid w:val="00F77F36"/>
    <w:rsid w:val="00F800A1"/>
    <w:rsid w:val="00F823A7"/>
    <w:rsid w:val="00F839DF"/>
    <w:rsid w:val="00F842F5"/>
    <w:rsid w:val="00F8440A"/>
    <w:rsid w:val="00F85B49"/>
    <w:rsid w:val="00F8648F"/>
    <w:rsid w:val="00F86AD6"/>
    <w:rsid w:val="00F86F04"/>
    <w:rsid w:val="00F92FD8"/>
    <w:rsid w:val="00F933BB"/>
    <w:rsid w:val="00F93438"/>
    <w:rsid w:val="00F942CC"/>
    <w:rsid w:val="00F944C0"/>
    <w:rsid w:val="00F9670B"/>
    <w:rsid w:val="00F96C4D"/>
    <w:rsid w:val="00F96C84"/>
    <w:rsid w:val="00F9761F"/>
    <w:rsid w:val="00F978BD"/>
    <w:rsid w:val="00FA046B"/>
    <w:rsid w:val="00FA11F5"/>
    <w:rsid w:val="00FA1E54"/>
    <w:rsid w:val="00FA20E8"/>
    <w:rsid w:val="00FA22D8"/>
    <w:rsid w:val="00FA2FF5"/>
    <w:rsid w:val="00FA3FDD"/>
    <w:rsid w:val="00FA49A9"/>
    <w:rsid w:val="00FA5F9C"/>
    <w:rsid w:val="00FA6A0A"/>
    <w:rsid w:val="00FB0274"/>
    <w:rsid w:val="00FB09A7"/>
    <w:rsid w:val="00FB0C14"/>
    <w:rsid w:val="00FB1469"/>
    <w:rsid w:val="00FB1C38"/>
    <w:rsid w:val="00FB2501"/>
    <w:rsid w:val="00FB3B21"/>
    <w:rsid w:val="00FB68D0"/>
    <w:rsid w:val="00FB7685"/>
    <w:rsid w:val="00FB77B7"/>
    <w:rsid w:val="00FB7A5F"/>
    <w:rsid w:val="00FB7CB3"/>
    <w:rsid w:val="00FC0E62"/>
    <w:rsid w:val="00FC16B1"/>
    <w:rsid w:val="00FC256A"/>
    <w:rsid w:val="00FC268C"/>
    <w:rsid w:val="00FC26CA"/>
    <w:rsid w:val="00FC2F9E"/>
    <w:rsid w:val="00FC4AEF"/>
    <w:rsid w:val="00FC4B2C"/>
    <w:rsid w:val="00FC50A5"/>
    <w:rsid w:val="00FC63D3"/>
    <w:rsid w:val="00FC6557"/>
    <w:rsid w:val="00FC6852"/>
    <w:rsid w:val="00FC6F8D"/>
    <w:rsid w:val="00FC7234"/>
    <w:rsid w:val="00FC7599"/>
    <w:rsid w:val="00FC7A2F"/>
    <w:rsid w:val="00FC7F62"/>
    <w:rsid w:val="00FC7FB4"/>
    <w:rsid w:val="00FD018A"/>
    <w:rsid w:val="00FD0263"/>
    <w:rsid w:val="00FD0663"/>
    <w:rsid w:val="00FD0D65"/>
    <w:rsid w:val="00FD13F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5213"/>
    <w:rsid w:val="00FE59D8"/>
    <w:rsid w:val="00FE6160"/>
    <w:rsid w:val="00FE6599"/>
    <w:rsid w:val="00FF01D1"/>
    <w:rsid w:val="00FF021B"/>
    <w:rsid w:val="00FF0471"/>
    <w:rsid w:val="00FF0B18"/>
    <w:rsid w:val="00FF0F3E"/>
    <w:rsid w:val="00FF1063"/>
    <w:rsid w:val="00FF150B"/>
    <w:rsid w:val="00FF175B"/>
    <w:rsid w:val="00FF1D0E"/>
    <w:rsid w:val="00FF2345"/>
    <w:rsid w:val="00FF2D56"/>
    <w:rsid w:val="00FF2E31"/>
    <w:rsid w:val="00FF2E92"/>
    <w:rsid w:val="00FF32E7"/>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D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4908B1"/>
    <w:pPr>
      <w:keepNext/>
      <w:spacing w:before="120"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BF05CC"/>
    <w:pPr>
      <w:spacing w:after="280"/>
      <w:ind w:left="2160" w:right="720" w:hanging="72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B1CF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4908B1"/>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4908B1"/>
    <w:pPr>
      <w:keepNext/>
      <w:spacing w:before="120"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BF05CC"/>
    <w:pPr>
      <w:spacing w:after="280"/>
      <w:ind w:left="2160" w:right="720" w:hanging="72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B1CF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4908B1"/>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899251596">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21264284">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3.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chart" Target="charts/chart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kuzmj\Desktop\2017.01.06%20DRAFT%20RAM-01T_Chart%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profmorin\Documents\123\Puget%20Sound%202016\Morin%20Exhibits%20PSE%20Jan%20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profmorin\Documents\123\Puget%20Sound%202016\Morin%20Exhibits%20PSE%20Jan%20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cat>
            <c:numRef>
              <c:f>'05.07.2012-01.04.17'!$A$2:$A$1167</c:f>
              <c:numCache>
                <c:formatCode>m/d/yyyy</c:formatCode>
                <c:ptCount val="1166"/>
                <c:pt idx="0">
                  <c:v>41036</c:v>
                </c:pt>
                <c:pt idx="1">
                  <c:v>41037</c:v>
                </c:pt>
                <c:pt idx="2">
                  <c:v>41038</c:v>
                </c:pt>
                <c:pt idx="3">
                  <c:v>41039</c:v>
                </c:pt>
                <c:pt idx="4">
                  <c:v>41040</c:v>
                </c:pt>
                <c:pt idx="5">
                  <c:v>41043</c:v>
                </c:pt>
                <c:pt idx="6">
                  <c:v>41044</c:v>
                </c:pt>
                <c:pt idx="7">
                  <c:v>41045</c:v>
                </c:pt>
                <c:pt idx="8">
                  <c:v>41046</c:v>
                </c:pt>
                <c:pt idx="9">
                  <c:v>41047</c:v>
                </c:pt>
                <c:pt idx="10">
                  <c:v>41050</c:v>
                </c:pt>
                <c:pt idx="11">
                  <c:v>41051</c:v>
                </c:pt>
                <c:pt idx="12">
                  <c:v>41052</c:v>
                </c:pt>
                <c:pt idx="13">
                  <c:v>41053</c:v>
                </c:pt>
                <c:pt idx="14">
                  <c:v>41054</c:v>
                </c:pt>
                <c:pt idx="15">
                  <c:v>41058</c:v>
                </c:pt>
                <c:pt idx="16">
                  <c:v>41059</c:v>
                </c:pt>
                <c:pt idx="17">
                  <c:v>41060</c:v>
                </c:pt>
                <c:pt idx="18">
                  <c:v>41061</c:v>
                </c:pt>
                <c:pt idx="19">
                  <c:v>41064</c:v>
                </c:pt>
                <c:pt idx="20">
                  <c:v>41065</c:v>
                </c:pt>
                <c:pt idx="21">
                  <c:v>41066</c:v>
                </c:pt>
                <c:pt idx="22">
                  <c:v>41067</c:v>
                </c:pt>
                <c:pt idx="23">
                  <c:v>41068</c:v>
                </c:pt>
                <c:pt idx="24">
                  <c:v>41071</c:v>
                </c:pt>
                <c:pt idx="25">
                  <c:v>41072</c:v>
                </c:pt>
                <c:pt idx="26">
                  <c:v>41073</c:v>
                </c:pt>
                <c:pt idx="27">
                  <c:v>41074</c:v>
                </c:pt>
                <c:pt idx="28">
                  <c:v>41075</c:v>
                </c:pt>
                <c:pt idx="29">
                  <c:v>41078</c:v>
                </c:pt>
                <c:pt idx="30">
                  <c:v>41079</c:v>
                </c:pt>
                <c:pt idx="31">
                  <c:v>41080</c:v>
                </c:pt>
                <c:pt idx="32">
                  <c:v>41081</c:v>
                </c:pt>
                <c:pt idx="33">
                  <c:v>41082</c:v>
                </c:pt>
                <c:pt idx="34">
                  <c:v>41085</c:v>
                </c:pt>
                <c:pt idx="35">
                  <c:v>41086</c:v>
                </c:pt>
                <c:pt idx="36">
                  <c:v>41087</c:v>
                </c:pt>
                <c:pt idx="37">
                  <c:v>41088</c:v>
                </c:pt>
                <c:pt idx="38">
                  <c:v>41089</c:v>
                </c:pt>
                <c:pt idx="39">
                  <c:v>41092</c:v>
                </c:pt>
                <c:pt idx="40">
                  <c:v>41093</c:v>
                </c:pt>
                <c:pt idx="41">
                  <c:v>41095</c:v>
                </c:pt>
                <c:pt idx="42">
                  <c:v>41096</c:v>
                </c:pt>
                <c:pt idx="43">
                  <c:v>41099</c:v>
                </c:pt>
                <c:pt idx="44">
                  <c:v>41100</c:v>
                </c:pt>
                <c:pt idx="45">
                  <c:v>41101</c:v>
                </c:pt>
                <c:pt idx="46">
                  <c:v>41102</c:v>
                </c:pt>
                <c:pt idx="47">
                  <c:v>41103</c:v>
                </c:pt>
                <c:pt idx="48">
                  <c:v>41106</c:v>
                </c:pt>
                <c:pt idx="49">
                  <c:v>41107</c:v>
                </c:pt>
                <c:pt idx="50">
                  <c:v>41108</c:v>
                </c:pt>
                <c:pt idx="51">
                  <c:v>41109</c:v>
                </c:pt>
                <c:pt idx="52">
                  <c:v>41110</c:v>
                </c:pt>
                <c:pt idx="53">
                  <c:v>41113</c:v>
                </c:pt>
                <c:pt idx="54">
                  <c:v>41114</c:v>
                </c:pt>
                <c:pt idx="55">
                  <c:v>41115</c:v>
                </c:pt>
                <c:pt idx="56">
                  <c:v>41116</c:v>
                </c:pt>
                <c:pt idx="57">
                  <c:v>41117</c:v>
                </c:pt>
                <c:pt idx="58">
                  <c:v>41120</c:v>
                </c:pt>
                <c:pt idx="59">
                  <c:v>41121</c:v>
                </c:pt>
                <c:pt idx="60">
                  <c:v>41122</c:v>
                </c:pt>
                <c:pt idx="61">
                  <c:v>41123</c:v>
                </c:pt>
                <c:pt idx="62">
                  <c:v>41124</c:v>
                </c:pt>
                <c:pt idx="63">
                  <c:v>41127</c:v>
                </c:pt>
                <c:pt idx="64">
                  <c:v>41128</c:v>
                </c:pt>
                <c:pt idx="65">
                  <c:v>41129</c:v>
                </c:pt>
                <c:pt idx="66">
                  <c:v>41130</c:v>
                </c:pt>
                <c:pt idx="67">
                  <c:v>41131</c:v>
                </c:pt>
                <c:pt idx="68">
                  <c:v>41134</c:v>
                </c:pt>
                <c:pt idx="69">
                  <c:v>41135</c:v>
                </c:pt>
                <c:pt idx="70">
                  <c:v>41136</c:v>
                </c:pt>
                <c:pt idx="71">
                  <c:v>41137</c:v>
                </c:pt>
                <c:pt idx="72">
                  <c:v>41138</c:v>
                </c:pt>
                <c:pt idx="73">
                  <c:v>41141</c:v>
                </c:pt>
                <c:pt idx="74">
                  <c:v>41142</c:v>
                </c:pt>
                <c:pt idx="75">
                  <c:v>41143</c:v>
                </c:pt>
                <c:pt idx="76">
                  <c:v>41144</c:v>
                </c:pt>
                <c:pt idx="77">
                  <c:v>41145</c:v>
                </c:pt>
                <c:pt idx="78">
                  <c:v>41148</c:v>
                </c:pt>
                <c:pt idx="79">
                  <c:v>41149</c:v>
                </c:pt>
                <c:pt idx="80">
                  <c:v>41150</c:v>
                </c:pt>
                <c:pt idx="81">
                  <c:v>41151</c:v>
                </c:pt>
                <c:pt idx="82">
                  <c:v>41152</c:v>
                </c:pt>
                <c:pt idx="83">
                  <c:v>41156</c:v>
                </c:pt>
                <c:pt idx="84">
                  <c:v>41157</c:v>
                </c:pt>
                <c:pt idx="85">
                  <c:v>41158</c:v>
                </c:pt>
                <c:pt idx="86">
                  <c:v>41159</c:v>
                </c:pt>
                <c:pt idx="87">
                  <c:v>41162</c:v>
                </c:pt>
                <c:pt idx="88">
                  <c:v>41163</c:v>
                </c:pt>
                <c:pt idx="89">
                  <c:v>41164</c:v>
                </c:pt>
                <c:pt idx="90">
                  <c:v>41165</c:v>
                </c:pt>
                <c:pt idx="91">
                  <c:v>41166</c:v>
                </c:pt>
                <c:pt idx="92">
                  <c:v>41169</c:v>
                </c:pt>
                <c:pt idx="93">
                  <c:v>41170</c:v>
                </c:pt>
                <c:pt idx="94">
                  <c:v>41171</c:v>
                </c:pt>
                <c:pt idx="95">
                  <c:v>41172</c:v>
                </c:pt>
                <c:pt idx="96">
                  <c:v>41173</c:v>
                </c:pt>
                <c:pt idx="97">
                  <c:v>41176</c:v>
                </c:pt>
                <c:pt idx="98">
                  <c:v>41177</c:v>
                </c:pt>
                <c:pt idx="99">
                  <c:v>41178</c:v>
                </c:pt>
                <c:pt idx="100">
                  <c:v>41179</c:v>
                </c:pt>
                <c:pt idx="101">
                  <c:v>41180</c:v>
                </c:pt>
                <c:pt idx="102">
                  <c:v>41183</c:v>
                </c:pt>
                <c:pt idx="103">
                  <c:v>41184</c:v>
                </c:pt>
                <c:pt idx="104">
                  <c:v>41185</c:v>
                </c:pt>
                <c:pt idx="105">
                  <c:v>41186</c:v>
                </c:pt>
                <c:pt idx="106">
                  <c:v>41187</c:v>
                </c:pt>
                <c:pt idx="107">
                  <c:v>41191</c:v>
                </c:pt>
                <c:pt idx="108">
                  <c:v>41192</c:v>
                </c:pt>
                <c:pt idx="109">
                  <c:v>41193</c:v>
                </c:pt>
                <c:pt idx="110">
                  <c:v>41194</c:v>
                </c:pt>
                <c:pt idx="111">
                  <c:v>41197</c:v>
                </c:pt>
                <c:pt idx="112">
                  <c:v>41198</c:v>
                </c:pt>
                <c:pt idx="113">
                  <c:v>41199</c:v>
                </c:pt>
                <c:pt idx="114">
                  <c:v>41200</c:v>
                </c:pt>
                <c:pt idx="115">
                  <c:v>41201</c:v>
                </c:pt>
                <c:pt idx="116">
                  <c:v>41204</c:v>
                </c:pt>
                <c:pt idx="117">
                  <c:v>41205</c:v>
                </c:pt>
                <c:pt idx="118">
                  <c:v>41206</c:v>
                </c:pt>
                <c:pt idx="119">
                  <c:v>41207</c:v>
                </c:pt>
                <c:pt idx="120">
                  <c:v>41208</c:v>
                </c:pt>
                <c:pt idx="121">
                  <c:v>41211</c:v>
                </c:pt>
                <c:pt idx="122">
                  <c:v>41213</c:v>
                </c:pt>
                <c:pt idx="123">
                  <c:v>41214</c:v>
                </c:pt>
                <c:pt idx="124">
                  <c:v>41215</c:v>
                </c:pt>
                <c:pt idx="125">
                  <c:v>41218</c:v>
                </c:pt>
                <c:pt idx="126">
                  <c:v>41219</c:v>
                </c:pt>
                <c:pt idx="127">
                  <c:v>41220</c:v>
                </c:pt>
                <c:pt idx="128">
                  <c:v>41221</c:v>
                </c:pt>
                <c:pt idx="129">
                  <c:v>41222</c:v>
                </c:pt>
                <c:pt idx="130">
                  <c:v>41226</c:v>
                </c:pt>
                <c:pt idx="131">
                  <c:v>41227</c:v>
                </c:pt>
                <c:pt idx="132">
                  <c:v>41228</c:v>
                </c:pt>
                <c:pt idx="133">
                  <c:v>41229</c:v>
                </c:pt>
                <c:pt idx="134">
                  <c:v>41232</c:v>
                </c:pt>
                <c:pt idx="135">
                  <c:v>41233</c:v>
                </c:pt>
                <c:pt idx="136">
                  <c:v>41234</c:v>
                </c:pt>
                <c:pt idx="137">
                  <c:v>41236</c:v>
                </c:pt>
                <c:pt idx="138">
                  <c:v>41239</c:v>
                </c:pt>
                <c:pt idx="139">
                  <c:v>41240</c:v>
                </c:pt>
                <c:pt idx="140">
                  <c:v>41241</c:v>
                </c:pt>
                <c:pt idx="141">
                  <c:v>41242</c:v>
                </c:pt>
                <c:pt idx="142">
                  <c:v>41243</c:v>
                </c:pt>
                <c:pt idx="143">
                  <c:v>41246</c:v>
                </c:pt>
                <c:pt idx="144">
                  <c:v>41247</c:v>
                </c:pt>
                <c:pt idx="145">
                  <c:v>41248</c:v>
                </c:pt>
                <c:pt idx="146">
                  <c:v>41249</c:v>
                </c:pt>
                <c:pt idx="147">
                  <c:v>41250</c:v>
                </c:pt>
                <c:pt idx="148">
                  <c:v>41253</c:v>
                </c:pt>
                <c:pt idx="149">
                  <c:v>41254</c:v>
                </c:pt>
                <c:pt idx="150">
                  <c:v>41255</c:v>
                </c:pt>
                <c:pt idx="151">
                  <c:v>41256</c:v>
                </c:pt>
                <c:pt idx="152">
                  <c:v>41257</c:v>
                </c:pt>
                <c:pt idx="153">
                  <c:v>41260</c:v>
                </c:pt>
                <c:pt idx="154">
                  <c:v>41261</c:v>
                </c:pt>
                <c:pt idx="155">
                  <c:v>41262</c:v>
                </c:pt>
                <c:pt idx="156">
                  <c:v>41263</c:v>
                </c:pt>
                <c:pt idx="157">
                  <c:v>41264</c:v>
                </c:pt>
                <c:pt idx="158">
                  <c:v>41267</c:v>
                </c:pt>
                <c:pt idx="159">
                  <c:v>41269</c:v>
                </c:pt>
                <c:pt idx="160">
                  <c:v>41270</c:v>
                </c:pt>
                <c:pt idx="161">
                  <c:v>41271</c:v>
                </c:pt>
                <c:pt idx="162">
                  <c:v>41274</c:v>
                </c:pt>
                <c:pt idx="163">
                  <c:v>41276</c:v>
                </c:pt>
                <c:pt idx="164">
                  <c:v>41277</c:v>
                </c:pt>
                <c:pt idx="165">
                  <c:v>41278</c:v>
                </c:pt>
                <c:pt idx="166">
                  <c:v>41281</c:v>
                </c:pt>
                <c:pt idx="167">
                  <c:v>41282</c:v>
                </c:pt>
                <c:pt idx="168">
                  <c:v>41283</c:v>
                </c:pt>
                <c:pt idx="169">
                  <c:v>41284</c:v>
                </c:pt>
                <c:pt idx="170">
                  <c:v>41285</c:v>
                </c:pt>
                <c:pt idx="171">
                  <c:v>41288</c:v>
                </c:pt>
                <c:pt idx="172">
                  <c:v>41289</c:v>
                </c:pt>
                <c:pt idx="173">
                  <c:v>41290</c:v>
                </c:pt>
                <c:pt idx="174">
                  <c:v>41291</c:v>
                </c:pt>
                <c:pt idx="175">
                  <c:v>41292</c:v>
                </c:pt>
                <c:pt idx="176">
                  <c:v>41296</c:v>
                </c:pt>
                <c:pt idx="177">
                  <c:v>41297</c:v>
                </c:pt>
                <c:pt idx="178">
                  <c:v>41298</c:v>
                </c:pt>
                <c:pt idx="179">
                  <c:v>41299</c:v>
                </c:pt>
                <c:pt idx="180">
                  <c:v>41302</c:v>
                </c:pt>
                <c:pt idx="181">
                  <c:v>41303</c:v>
                </c:pt>
                <c:pt idx="182">
                  <c:v>41304</c:v>
                </c:pt>
                <c:pt idx="183">
                  <c:v>41305</c:v>
                </c:pt>
                <c:pt idx="184">
                  <c:v>41306</c:v>
                </c:pt>
                <c:pt idx="185">
                  <c:v>41309</c:v>
                </c:pt>
                <c:pt idx="186">
                  <c:v>41310</c:v>
                </c:pt>
                <c:pt idx="187">
                  <c:v>41311</c:v>
                </c:pt>
                <c:pt idx="188">
                  <c:v>41312</c:v>
                </c:pt>
                <c:pt idx="189">
                  <c:v>41313</c:v>
                </c:pt>
                <c:pt idx="190">
                  <c:v>41316</c:v>
                </c:pt>
                <c:pt idx="191">
                  <c:v>41317</c:v>
                </c:pt>
                <c:pt idx="192">
                  <c:v>41318</c:v>
                </c:pt>
                <c:pt idx="193">
                  <c:v>41319</c:v>
                </c:pt>
                <c:pt idx="194">
                  <c:v>41320</c:v>
                </c:pt>
                <c:pt idx="195">
                  <c:v>41324</c:v>
                </c:pt>
                <c:pt idx="196">
                  <c:v>41325</c:v>
                </c:pt>
                <c:pt idx="197">
                  <c:v>41326</c:v>
                </c:pt>
                <c:pt idx="198">
                  <c:v>41327</c:v>
                </c:pt>
                <c:pt idx="199">
                  <c:v>41330</c:v>
                </c:pt>
                <c:pt idx="200">
                  <c:v>41331</c:v>
                </c:pt>
                <c:pt idx="201">
                  <c:v>41332</c:v>
                </c:pt>
                <c:pt idx="202">
                  <c:v>41333</c:v>
                </c:pt>
                <c:pt idx="203">
                  <c:v>41334</c:v>
                </c:pt>
                <c:pt idx="204">
                  <c:v>41337</c:v>
                </c:pt>
                <c:pt idx="205">
                  <c:v>41338</c:v>
                </c:pt>
                <c:pt idx="206">
                  <c:v>41339</c:v>
                </c:pt>
                <c:pt idx="207">
                  <c:v>41340</c:v>
                </c:pt>
                <c:pt idx="208">
                  <c:v>41341</c:v>
                </c:pt>
                <c:pt idx="209">
                  <c:v>41344</c:v>
                </c:pt>
                <c:pt idx="210">
                  <c:v>41345</c:v>
                </c:pt>
                <c:pt idx="211">
                  <c:v>41346</c:v>
                </c:pt>
                <c:pt idx="212">
                  <c:v>41347</c:v>
                </c:pt>
                <c:pt idx="213">
                  <c:v>41348</c:v>
                </c:pt>
                <c:pt idx="214">
                  <c:v>41351</c:v>
                </c:pt>
                <c:pt idx="215">
                  <c:v>41352</c:v>
                </c:pt>
                <c:pt idx="216">
                  <c:v>41353</c:v>
                </c:pt>
                <c:pt idx="217">
                  <c:v>41354</c:v>
                </c:pt>
                <c:pt idx="218">
                  <c:v>41355</c:v>
                </c:pt>
                <c:pt idx="219">
                  <c:v>41358</c:v>
                </c:pt>
                <c:pt idx="220">
                  <c:v>41359</c:v>
                </c:pt>
                <c:pt idx="221">
                  <c:v>41360</c:v>
                </c:pt>
                <c:pt idx="222">
                  <c:v>41361</c:v>
                </c:pt>
                <c:pt idx="223">
                  <c:v>41365</c:v>
                </c:pt>
                <c:pt idx="224">
                  <c:v>41366</c:v>
                </c:pt>
                <c:pt idx="225">
                  <c:v>41367</c:v>
                </c:pt>
                <c:pt idx="226">
                  <c:v>41368</c:v>
                </c:pt>
                <c:pt idx="227">
                  <c:v>41369</c:v>
                </c:pt>
                <c:pt idx="228">
                  <c:v>41372</c:v>
                </c:pt>
                <c:pt idx="229">
                  <c:v>41373</c:v>
                </c:pt>
                <c:pt idx="230">
                  <c:v>41374</c:v>
                </c:pt>
                <c:pt idx="231">
                  <c:v>41375</c:v>
                </c:pt>
                <c:pt idx="232">
                  <c:v>41376</c:v>
                </c:pt>
                <c:pt idx="233">
                  <c:v>41379</c:v>
                </c:pt>
                <c:pt idx="234">
                  <c:v>41380</c:v>
                </c:pt>
                <c:pt idx="235">
                  <c:v>41381</c:v>
                </c:pt>
                <c:pt idx="236">
                  <c:v>41382</c:v>
                </c:pt>
                <c:pt idx="237">
                  <c:v>41383</c:v>
                </c:pt>
                <c:pt idx="238">
                  <c:v>41386</c:v>
                </c:pt>
                <c:pt idx="239">
                  <c:v>41387</c:v>
                </c:pt>
                <c:pt idx="240">
                  <c:v>41388</c:v>
                </c:pt>
                <c:pt idx="241">
                  <c:v>41389</c:v>
                </c:pt>
                <c:pt idx="242">
                  <c:v>41390</c:v>
                </c:pt>
                <c:pt idx="243">
                  <c:v>41393</c:v>
                </c:pt>
                <c:pt idx="244">
                  <c:v>41394</c:v>
                </c:pt>
                <c:pt idx="245">
                  <c:v>41395</c:v>
                </c:pt>
                <c:pt idx="246">
                  <c:v>41396</c:v>
                </c:pt>
                <c:pt idx="247">
                  <c:v>41397</c:v>
                </c:pt>
                <c:pt idx="248">
                  <c:v>41400</c:v>
                </c:pt>
                <c:pt idx="249">
                  <c:v>41401</c:v>
                </c:pt>
                <c:pt idx="250">
                  <c:v>41402</c:v>
                </c:pt>
                <c:pt idx="251">
                  <c:v>41403</c:v>
                </c:pt>
                <c:pt idx="252">
                  <c:v>41404</c:v>
                </c:pt>
                <c:pt idx="253">
                  <c:v>41407</c:v>
                </c:pt>
                <c:pt idx="254">
                  <c:v>41408</c:v>
                </c:pt>
                <c:pt idx="255">
                  <c:v>41409</c:v>
                </c:pt>
                <c:pt idx="256">
                  <c:v>41410</c:v>
                </c:pt>
                <c:pt idx="257">
                  <c:v>41411</c:v>
                </c:pt>
                <c:pt idx="258">
                  <c:v>41414</c:v>
                </c:pt>
                <c:pt idx="259">
                  <c:v>41415</c:v>
                </c:pt>
                <c:pt idx="260">
                  <c:v>41416</c:v>
                </c:pt>
                <c:pt idx="261">
                  <c:v>41417</c:v>
                </c:pt>
                <c:pt idx="262">
                  <c:v>41418</c:v>
                </c:pt>
                <c:pt idx="263">
                  <c:v>41422</c:v>
                </c:pt>
                <c:pt idx="264">
                  <c:v>41423</c:v>
                </c:pt>
                <c:pt idx="265">
                  <c:v>41424</c:v>
                </c:pt>
                <c:pt idx="266">
                  <c:v>41425</c:v>
                </c:pt>
                <c:pt idx="267">
                  <c:v>41428</c:v>
                </c:pt>
                <c:pt idx="268">
                  <c:v>41429</c:v>
                </c:pt>
                <c:pt idx="269">
                  <c:v>41430</c:v>
                </c:pt>
                <c:pt idx="270">
                  <c:v>41431</c:v>
                </c:pt>
                <c:pt idx="271">
                  <c:v>41432</c:v>
                </c:pt>
                <c:pt idx="272">
                  <c:v>41435</c:v>
                </c:pt>
                <c:pt idx="273">
                  <c:v>41436</c:v>
                </c:pt>
                <c:pt idx="274">
                  <c:v>41437</c:v>
                </c:pt>
                <c:pt idx="275">
                  <c:v>41438</c:v>
                </c:pt>
                <c:pt idx="276">
                  <c:v>41439</c:v>
                </c:pt>
                <c:pt idx="277">
                  <c:v>41442</c:v>
                </c:pt>
                <c:pt idx="278">
                  <c:v>41443</c:v>
                </c:pt>
                <c:pt idx="279">
                  <c:v>41444</c:v>
                </c:pt>
                <c:pt idx="280">
                  <c:v>41445</c:v>
                </c:pt>
                <c:pt idx="281">
                  <c:v>41446</c:v>
                </c:pt>
                <c:pt idx="282">
                  <c:v>41449</c:v>
                </c:pt>
                <c:pt idx="283">
                  <c:v>41450</c:v>
                </c:pt>
                <c:pt idx="284">
                  <c:v>41451</c:v>
                </c:pt>
                <c:pt idx="285">
                  <c:v>41452</c:v>
                </c:pt>
                <c:pt idx="286">
                  <c:v>41453</c:v>
                </c:pt>
                <c:pt idx="287">
                  <c:v>41456</c:v>
                </c:pt>
                <c:pt idx="288">
                  <c:v>41457</c:v>
                </c:pt>
                <c:pt idx="289">
                  <c:v>41458</c:v>
                </c:pt>
                <c:pt idx="290">
                  <c:v>41460</c:v>
                </c:pt>
                <c:pt idx="291">
                  <c:v>41463</c:v>
                </c:pt>
                <c:pt idx="292">
                  <c:v>41464</c:v>
                </c:pt>
                <c:pt idx="293">
                  <c:v>41465</c:v>
                </c:pt>
                <c:pt idx="294">
                  <c:v>41466</c:v>
                </c:pt>
                <c:pt idx="295">
                  <c:v>41467</c:v>
                </c:pt>
                <c:pt idx="296">
                  <c:v>41470</c:v>
                </c:pt>
                <c:pt idx="297">
                  <c:v>41471</c:v>
                </c:pt>
                <c:pt idx="298">
                  <c:v>41472</c:v>
                </c:pt>
                <c:pt idx="299">
                  <c:v>41473</c:v>
                </c:pt>
                <c:pt idx="300">
                  <c:v>41474</c:v>
                </c:pt>
                <c:pt idx="301">
                  <c:v>41477</c:v>
                </c:pt>
                <c:pt idx="302">
                  <c:v>41478</c:v>
                </c:pt>
                <c:pt idx="303">
                  <c:v>41479</c:v>
                </c:pt>
                <c:pt idx="304">
                  <c:v>41480</c:v>
                </c:pt>
                <c:pt idx="305">
                  <c:v>41481</c:v>
                </c:pt>
                <c:pt idx="306">
                  <c:v>41484</c:v>
                </c:pt>
                <c:pt idx="307">
                  <c:v>41485</c:v>
                </c:pt>
                <c:pt idx="308">
                  <c:v>41486</c:v>
                </c:pt>
                <c:pt idx="309">
                  <c:v>41487</c:v>
                </c:pt>
                <c:pt idx="310">
                  <c:v>41488</c:v>
                </c:pt>
                <c:pt idx="311">
                  <c:v>41491</c:v>
                </c:pt>
                <c:pt idx="312">
                  <c:v>41492</c:v>
                </c:pt>
                <c:pt idx="313">
                  <c:v>41493</c:v>
                </c:pt>
                <c:pt idx="314">
                  <c:v>41494</c:v>
                </c:pt>
                <c:pt idx="315">
                  <c:v>41495</c:v>
                </c:pt>
                <c:pt idx="316">
                  <c:v>41498</c:v>
                </c:pt>
                <c:pt idx="317">
                  <c:v>41499</c:v>
                </c:pt>
                <c:pt idx="318">
                  <c:v>41500</c:v>
                </c:pt>
                <c:pt idx="319">
                  <c:v>41501</c:v>
                </c:pt>
                <c:pt idx="320">
                  <c:v>41502</c:v>
                </c:pt>
                <c:pt idx="321">
                  <c:v>41505</c:v>
                </c:pt>
                <c:pt idx="322">
                  <c:v>41506</c:v>
                </c:pt>
                <c:pt idx="323">
                  <c:v>41507</c:v>
                </c:pt>
                <c:pt idx="324">
                  <c:v>41508</c:v>
                </c:pt>
                <c:pt idx="325">
                  <c:v>41509</c:v>
                </c:pt>
                <c:pt idx="326">
                  <c:v>41512</c:v>
                </c:pt>
                <c:pt idx="327">
                  <c:v>41513</c:v>
                </c:pt>
                <c:pt idx="328">
                  <c:v>41514</c:v>
                </c:pt>
                <c:pt idx="329">
                  <c:v>41515</c:v>
                </c:pt>
                <c:pt idx="330">
                  <c:v>41516</c:v>
                </c:pt>
                <c:pt idx="331">
                  <c:v>41520</c:v>
                </c:pt>
                <c:pt idx="332">
                  <c:v>41521</c:v>
                </c:pt>
                <c:pt idx="333">
                  <c:v>41522</c:v>
                </c:pt>
                <c:pt idx="334">
                  <c:v>41523</c:v>
                </c:pt>
                <c:pt idx="335">
                  <c:v>41526</c:v>
                </c:pt>
                <c:pt idx="336">
                  <c:v>41527</c:v>
                </c:pt>
                <c:pt idx="337">
                  <c:v>41528</c:v>
                </c:pt>
                <c:pt idx="338">
                  <c:v>41529</c:v>
                </c:pt>
                <c:pt idx="339">
                  <c:v>41530</c:v>
                </c:pt>
                <c:pt idx="340">
                  <c:v>41533</c:v>
                </c:pt>
                <c:pt idx="341">
                  <c:v>41534</c:v>
                </c:pt>
                <c:pt idx="342">
                  <c:v>41535</c:v>
                </c:pt>
                <c:pt idx="343">
                  <c:v>41536</c:v>
                </c:pt>
                <c:pt idx="344">
                  <c:v>41537</c:v>
                </c:pt>
                <c:pt idx="345">
                  <c:v>41540</c:v>
                </c:pt>
                <c:pt idx="346">
                  <c:v>41541</c:v>
                </c:pt>
                <c:pt idx="347">
                  <c:v>41542</c:v>
                </c:pt>
                <c:pt idx="348">
                  <c:v>41543</c:v>
                </c:pt>
                <c:pt idx="349">
                  <c:v>41544</c:v>
                </c:pt>
                <c:pt idx="350">
                  <c:v>41547</c:v>
                </c:pt>
                <c:pt idx="351">
                  <c:v>41548</c:v>
                </c:pt>
                <c:pt idx="352">
                  <c:v>41549</c:v>
                </c:pt>
                <c:pt idx="353">
                  <c:v>41550</c:v>
                </c:pt>
                <c:pt idx="354">
                  <c:v>41551</c:v>
                </c:pt>
                <c:pt idx="355">
                  <c:v>41554</c:v>
                </c:pt>
                <c:pt idx="356">
                  <c:v>41555</c:v>
                </c:pt>
                <c:pt idx="357">
                  <c:v>41556</c:v>
                </c:pt>
                <c:pt idx="358">
                  <c:v>41557</c:v>
                </c:pt>
                <c:pt idx="359">
                  <c:v>41558</c:v>
                </c:pt>
                <c:pt idx="360">
                  <c:v>41562</c:v>
                </c:pt>
                <c:pt idx="361">
                  <c:v>41563</c:v>
                </c:pt>
                <c:pt idx="362">
                  <c:v>41564</c:v>
                </c:pt>
                <c:pt idx="363">
                  <c:v>41565</c:v>
                </c:pt>
                <c:pt idx="364">
                  <c:v>41568</c:v>
                </c:pt>
                <c:pt idx="365">
                  <c:v>41569</c:v>
                </c:pt>
                <c:pt idx="366">
                  <c:v>41570</c:v>
                </c:pt>
                <c:pt idx="367">
                  <c:v>41571</c:v>
                </c:pt>
                <c:pt idx="368">
                  <c:v>41572</c:v>
                </c:pt>
                <c:pt idx="369">
                  <c:v>41575</c:v>
                </c:pt>
                <c:pt idx="370">
                  <c:v>41576</c:v>
                </c:pt>
                <c:pt idx="371">
                  <c:v>41577</c:v>
                </c:pt>
                <c:pt idx="372">
                  <c:v>41578</c:v>
                </c:pt>
                <c:pt idx="373">
                  <c:v>41579</c:v>
                </c:pt>
                <c:pt idx="374">
                  <c:v>41582</c:v>
                </c:pt>
                <c:pt idx="375">
                  <c:v>41583</c:v>
                </c:pt>
                <c:pt idx="376">
                  <c:v>41584</c:v>
                </c:pt>
                <c:pt idx="377">
                  <c:v>41585</c:v>
                </c:pt>
                <c:pt idx="378">
                  <c:v>41586</c:v>
                </c:pt>
                <c:pt idx="379">
                  <c:v>41590</c:v>
                </c:pt>
                <c:pt idx="380">
                  <c:v>41591</c:v>
                </c:pt>
                <c:pt idx="381">
                  <c:v>41592</c:v>
                </c:pt>
                <c:pt idx="382">
                  <c:v>41593</c:v>
                </c:pt>
                <c:pt idx="383">
                  <c:v>41596</c:v>
                </c:pt>
                <c:pt idx="384">
                  <c:v>41597</c:v>
                </c:pt>
                <c:pt idx="385">
                  <c:v>41598</c:v>
                </c:pt>
                <c:pt idx="386">
                  <c:v>41599</c:v>
                </c:pt>
                <c:pt idx="387">
                  <c:v>41600</c:v>
                </c:pt>
                <c:pt idx="388">
                  <c:v>41603</c:v>
                </c:pt>
                <c:pt idx="389">
                  <c:v>41604</c:v>
                </c:pt>
                <c:pt idx="390">
                  <c:v>41605</c:v>
                </c:pt>
                <c:pt idx="391">
                  <c:v>41607</c:v>
                </c:pt>
                <c:pt idx="392">
                  <c:v>41610</c:v>
                </c:pt>
                <c:pt idx="393">
                  <c:v>41611</c:v>
                </c:pt>
                <c:pt idx="394">
                  <c:v>41612</c:v>
                </c:pt>
                <c:pt idx="395">
                  <c:v>41613</c:v>
                </c:pt>
                <c:pt idx="396">
                  <c:v>41614</c:v>
                </c:pt>
                <c:pt idx="397">
                  <c:v>41617</c:v>
                </c:pt>
                <c:pt idx="398">
                  <c:v>41618</c:v>
                </c:pt>
                <c:pt idx="399">
                  <c:v>41619</c:v>
                </c:pt>
                <c:pt idx="400">
                  <c:v>41620</c:v>
                </c:pt>
                <c:pt idx="401">
                  <c:v>41621</c:v>
                </c:pt>
                <c:pt idx="402">
                  <c:v>41624</c:v>
                </c:pt>
                <c:pt idx="403">
                  <c:v>41625</c:v>
                </c:pt>
                <c:pt idx="404">
                  <c:v>41626</c:v>
                </c:pt>
                <c:pt idx="405">
                  <c:v>41627</c:v>
                </c:pt>
                <c:pt idx="406">
                  <c:v>41628</c:v>
                </c:pt>
                <c:pt idx="407">
                  <c:v>41631</c:v>
                </c:pt>
                <c:pt idx="408">
                  <c:v>41632</c:v>
                </c:pt>
                <c:pt idx="409">
                  <c:v>41634</c:v>
                </c:pt>
                <c:pt idx="410">
                  <c:v>41635</c:v>
                </c:pt>
                <c:pt idx="411">
                  <c:v>41638</c:v>
                </c:pt>
                <c:pt idx="412">
                  <c:v>41639</c:v>
                </c:pt>
                <c:pt idx="413">
                  <c:v>41641</c:v>
                </c:pt>
                <c:pt idx="414">
                  <c:v>41642</c:v>
                </c:pt>
                <c:pt idx="415">
                  <c:v>41645</c:v>
                </c:pt>
                <c:pt idx="416">
                  <c:v>41646</c:v>
                </c:pt>
                <c:pt idx="417">
                  <c:v>41647</c:v>
                </c:pt>
                <c:pt idx="418">
                  <c:v>41648</c:v>
                </c:pt>
                <c:pt idx="419">
                  <c:v>41649</c:v>
                </c:pt>
                <c:pt idx="420">
                  <c:v>41652</c:v>
                </c:pt>
                <c:pt idx="421">
                  <c:v>41653</c:v>
                </c:pt>
                <c:pt idx="422">
                  <c:v>41654</c:v>
                </c:pt>
                <c:pt idx="423">
                  <c:v>41655</c:v>
                </c:pt>
                <c:pt idx="424">
                  <c:v>41656</c:v>
                </c:pt>
                <c:pt idx="425">
                  <c:v>41660</c:v>
                </c:pt>
                <c:pt idx="426">
                  <c:v>41661</c:v>
                </c:pt>
                <c:pt idx="427">
                  <c:v>41662</c:v>
                </c:pt>
                <c:pt idx="428">
                  <c:v>41663</c:v>
                </c:pt>
                <c:pt idx="429">
                  <c:v>41666</c:v>
                </c:pt>
                <c:pt idx="430">
                  <c:v>41667</c:v>
                </c:pt>
                <c:pt idx="431">
                  <c:v>41668</c:v>
                </c:pt>
                <c:pt idx="432">
                  <c:v>41669</c:v>
                </c:pt>
                <c:pt idx="433">
                  <c:v>41670</c:v>
                </c:pt>
                <c:pt idx="434">
                  <c:v>41673</c:v>
                </c:pt>
                <c:pt idx="435">
                  <c:v>41674</c:v>
                </c:pt>
                <c:pt idx="436">
                  <c:v>41675</c:v>
                </c:pt>
                <c:pt idx="437">
                  <c:v>41676</c:v>
                </c:pt>
                <c:pt idx="438">
                  <c:v>41677</c:v>
                </c:pt>
                <c:pt idx="439">
                  <c:v>41680</c:v>
                </c:pt>
                <c:pt idx="440">
                  <c:v>41681</c:v>
                </c:pt>
                <c:pt idx="441">
                  <c:v>41682</c:v>
                </c:pt>
                <c:pt idx="442">
                  <c:v>41683</c:v>
                </c:pt>
                <c:pt idx="443">
                  <c:v>41684</c:v>
                </c:pt>
                <c:pt idx="444">
                  <c:v>41688</c:v>
                </c:pt>
                <c:pt idx="445">
                  <c:v>41689</c:v>
                </c:pt>
                <c:pt idx="446">
                  <c:v>41690</c:v>
                </c:pt>
                <c:pt idx="447">
                  <c:v>41691</c:v>
                </c:pt>
                <c:pt idx="448">
                  <c:v>41694</c:v>
                </c:pt>
                <c:pt idx="449">
                  <c:v>41695</c:v>
                </c:pt>
                <c:pt idx="450">
                  <c:v>41696</c:v>
                </c:pt>
                <c:pt idx="451">
                  <c:v>41697</c:v>
                </c:pt>
                <c:pt idx="452">
                  <c:v>41698</c:v>
                </c:pt>
                <c:pt idx="453">
                  <c:v>41701</c:v>
                </c:pt>
                <c:pt idx="454">
                  <c:v>41702</c:v>
                </c:pt>
                <c:pt idx="455">
                  <c:v>41703</c:v>
                </c:pt>
                <c:pt idx="456">
                  <c:v>41704</c:v>
                </c:pt>
                <c:pt idx="457">
                  <c:v>41705</c:v>
                </c:pt>
                <c:pt idx="458">
                  <c:v>41708</c:v>
                </c:pt>
                <c:pt idx="459">
                  <c:v>41709</c:v>
                </c:pt>
                <c:pt idx="460">
                  <c:v>41710</c:v>
                </c:pt>
                <c:pt idx="461">
                  <c:v>41711</c:v>
                </c:pt>
                <c:pt idx="462">
                  <c:v>41712</c:v>
                </c:pt>
                <c:pt idx="463">
                  <c:v>41715</c:v>
                </c:pt>
                <c:pt idx="464">
                  <c:v>41716</c:v>
                </c:pt>
                <c:pt idx="465">
                  <c:v>41717</c:v>
                </c:pt>
                <c:pt idx="466">
                  <c:v>41718</c:v>
                </c:pt>
                <c:pt idx="467">
                  <c:v>41719</c:v>
                </c:pt>
                <c:pt idx="468">
                  <c:v>41722</c:v>
                </c:pt>
                <c:pt idx="469">
                  <c:v>41723</c:v>
                </c:pt>
                <c:pt idx="470">
                  <c:v>41724</c:v>
                </c:pt>
                <c:pt idx="471">
                  <c:v>41725</c:v>
                </c:pt>
                <c:pt idx="472">
                  <c:v>41726</c:v>
                </c:pt>
                <c:pt idx="473">
                  <c:v>41729</c:v>
                </c:pt>
                <c:pt idx="474">
                  <c:v>41730</c:v>
                </c:pt>
                <c:pt idx="475">
                  <c:v>41731</c:v>
                </c:pt>
                <c:pt idx="476">
                  <c:v>41732</c:v>
                </c:pt>
                <c:pt idx="477">
                  <c:v>41733</c:v>
                </c:pt>
                <c:pt idx="478">
                  <c:v>41736</c:v>
                </c:pt>
                <c:pt idx="479">
                  <c:v>41737</c:v>
                </c:pt>
                <c:pt idx="480">
                  <c:v>41738</c:v>
                </c:pt>
                <c:pt idx="481">
                  <c:v>41739</c:v>
                </c:pt>
                <c:pt idx="482">
                  <c:v>41740</c:v>
                </c:pt>
                <c:pt idx="483">
                  <c:v>41743</c:v>
                </c:pt>
                <c:pt idx="484">
                  <c:v>41744</c:v>
                </c:pt>
                <c:pt idx="485">
                  <c:v>41745</c:v>
                </c:pt>
                <c:pt idx="486">
                  <c:v>41746</c:v>
                </c:pt>
                <c:pt idx="487">
                  <c:v>41750</c:v>
                </c:pt>
                <c:pt idx="488">
                  <c:v>41751</c:v>
                </c:pt>
                <c:pt idx="489">
                  <c:v>41752</c:v>
                </c:pt>
                <c:pt idx="490">
                  <c:v>41753</c:v>
                </c:pt>
                <c:pt idx="491">
                  <c:v>41754</c:v>
                </c:pt>
                <c:pt idx="492">
                  <c:v>41757</c:v>
                </c:pt>
                <c:pt idx="493">
                  <c:v>41758</c:v>
                </c:pt>
                <c:pt idx="494">
                  <c:v>41759</c:v>
                </c:pt>
                <c:pt idx="495">
                  <c:v>41760</c:v>
                </c:pt>
                <c:pt idx="496">
                  <c:v>41761</c:v>
                </c:pt>
                <c:pt idx="497">
                  <c:v>41764</c:v>
                </c:pt>
                <c:pt idx="498">
                  <c:v>41765</c:v>
                </c:pt>
                <c:pt idx="499">
                  <c:v>41766</c:v>
                </c:pt>
                <c:pt idx="500">
                  <c:v>41767</c:v>
                </c:pt>
                <c:pt idx="501">
                  <c:v>41768</c:v>
                </c:pt>
                <c:pt idx="502">
                  <c:v>41771</c:v>
                </c:pt>
                <c:pt idx="503">
                  <c:v>41772</c:v>
                </c:pt>
                <c:pt idx="504">
                  <c:v>41773</c:v>
                </c:pt>
                <c:pt idx="505">
                  <c:v>41774</c:v>
                </c:pt>
                <c:pt idx="506">
                  <c:v>41775</c:v>
                </c:pt>
                <c:pt idx="507">
                  <c:v>41778</c:v>
                </c:pt>
                <c:pt idx="508">
                  <c:v>41779</c:v>
                </c:pt>
                <c:pt idx="509">
                  <c:v>41780</c:v>
                </c:pt>
                <c:pt idx="510">
                  <c:v>41781</c:v>
                </c:pt>
                <c:pt idx="511">
                  <c:v>41782</c:v>
                </c:pt>
                <c:pt idx="512">
                  <c:v>41786</c:v>
                </c:pt>
                <c:pt idx="513">
                  <c:v>41787</c:v>
                </c:pt>
                <c:pt idx="514">
                  <c:v>41788</c:v>
                </c:pt>
                <c:pt idx="515">
                  <c:v>41789</c:v>
                </c:pt>
                <c:pt idx="516">
                  <c:v>41792</c:v>
                </c:pt>
                <c:pt idx="517">
                  <c:v>41793</c:v>
                </c:pt>
                <c:pt idx="518">
                  <c:v>41794</c:v>
                </c:pt>
                <c:pt idx="519">
                  <c:v>41795</c:v>
                </c:pt>
                <c:pt idx="520">
                  <c:v>41796</c:v>
                </c:pt>
                <c:pt idx="521">
                  <c:v>41799</c:v>
                </c:pt>
                <c:pt idx="522">
                  <c:v>41800</c:v>
                </c:pt>
                <c:pt idx="523">
                  <c:v>41801</c:v>
                </c:pt>
                <c:pt idx="524">
                  <c:v>41802</c:v>
                </c:pt>
                <c:pt idx="525">
                  <c:v>41803</c:v>
                </c:pt>
                <c:pt idx="526">
                  <c:v>41806</c:v>
                </c:pt>
                <c:pt idx="527">
                  <c:v>41807</c:v>
                </c:pt>
                <c:pt idx="528">
                  <c:v>41808</c:v>
                </c:pt>
                <c:pt idx="529">
                  <c:v>41809</c:v>
                </c:pt>
                <c:pt idx="530">
                  <c:v>41810</c:v>
                </c:pt>
                <c:pt idx="531">
                  <c:v>41813</c:v>
                </c:pt>
                <c:pt idx="532">
                  <c:v>41814</c:v>
                </c:pt>
                <c:pt idx="533">
                  <c:v>41815</c:v>
                </c:pt>
                <c:pt idx="534">
                  <c:v>41816</c:v>
                </c:pt>
                <c:pt idx="535">
                  <c:v>41817</c:v>
                </c:pt>
                <c:pt idx="536">
                  <c:v>41820</c:v>
                </c:pt>
                <c:pt idx="537">
                  <c:v>41821</c:v>
                </c:pt>
                <c:pt idx="538">
                  <c:v>41822</c:v>
                </c:pt>
                <c:pt idx="539">
                  <c:v>41823</c:v>
                </c:pt>
                <c:pt idx="540">
                  <c:v>41827</c:v>
                </c:pt>
                <c:pt idx="541">
                  <c:v>41828</c:v>
                </c:pt>
                <c:pt idx="542">
                  <c:v>41829</c:v>
                </c:pt>
                <c:pt idx="543">
                  <c:v>41830</c:v>
                </c:pt>
                <c:pt idx="544">
                  <c:v>41831</c:v>
                </c:pt>
                <c:pt idx="545">
                  <c:v>41834</c:v>
                </c:pt>
                <c:pt idx="546">
                  <c:v>41835</c:v>
                </c:pt>
                <c:pt idx="547">
                  <c:v>41836</c:v>
                </c:pt>
                <c:pt idx="548">
                  <c:v>41837</c:v>
                </c:pt>
                <c:pt idx="549">
                  <c:v>41838</c:v>
                </c:pt>
                <c:pt idx="550">
                  <c:v>41841</c:v>
                </c:pt>
                <c:pt idx="551">
                  <c:v>41842</c:v>
                </c:pt>
                <c:pt idx="552">
                  <c:v>41843</c:v>
                </c:pt>
                <c:pt idx="553">
                  <c:v>41844</c:v>
                </c:pt>
                <c:pt idx="554">
                  <c:v>41845</c:v>
                </c:pt>
                <c:pt idx="555">
                  <c:v>41848</c:v>
                </c:pt>
                <c:pt idx="556">
                  <c:v>41849</c:v>
                </c:pt>
                <c:pt idx="557">
                  <c:v>41850</c:v>
                </c:pt>
                <c:pt idx="558">
                  <c:v>41851</c:v>
                </c:pt>
                <c:pt idx="559">
                  <c:v>41852</c:v>
                </c:pt>
                <c:pt idx="560">
                  <c:v>41855</c:v>
                </c:pt>
                <c:pt idx="561">
                  <c:v>41856</c:v>
                </c:pt>
                <c:pt idx="562">
                  <c:v>41857</c:v>
                </c:pt>
                <c:pt idx="563">
                  <c:v>41858</c:v>
                </c:pt>
                <c:pt idx="564">
                  <c:v>41859</c:v>
                </c:pt>
                <c:pt idx="565">
                  <c:v>41862</c:v>
                </c:pt>
                <c:pt idx="566">
                  <c:v>41863</c:v>
                </c:pt>
                <c:pt idx="567">
                  <c:v>41864</c:v>
                </c:pt>
                <c:pt idx="568">
                  <c:v>41865</c:v>
                </c:pt>
                <c:pt idx="569">
                  <c:v>41866</c:v>
                </c:pt>
                <c:pt idx="570">
                  <c:v>41869</c:v>
                </c:pt>
                <c:pt idx="571">
                  <c:v>41870</c:v>
                </c:pt>
                <c:pt idx="572">
                  <c:v>41871</c:v>
                </c:pt>
                <c:pt idx="573">
                  <c:v>41872</c:v>
                </c:pt>
                <c:pt idx="574">
                  <c:v>41873</c:v>
                </c:pt>
                <c:pt idx="575">
                  <c:v>41876</c:v>
                </c:pt>
                <c:pt idx="576">
                  <c:v>41877</c:v>
                </c:pt>
                <c:pt idx="577">
                  <c:v>41878</c:v>
                </c:pt>
                <c:pt idx="578">
                  <c:v>41879</c:v>
                </c:pt>
                <c:pt idx="579">
                  <c:v>41880</c:v>
                </c:pt>
                <c:pt idx="580">
                  <c:v>41884</c:v>
                </c:pt>
                <c:pt idx="581">
                  <c:v>41885</c:v>
                </c:pt>
                <c:pt idx="582">
                  <c:v>41886</c:v>
                </c:pt>
                <c:pt idx="583">
                  <c:v>41887</c:v>
                </c:pt>
                <c:pt idx="584">
                  <c:v>41890</c:v>
                </c:pt>
                <c:pt idx="585">
                  <c:v>41891</c:v>
                </c:pt>
                <c:pt idx="586">
                  <c:v>41892</c:v>
                </c:pt>
                <c:pt idx="587">
                  <c:v>41893</c:v>
                </c:pt>
                <c:pt idx="588">
                  <c:v>41894</c:v>
                </c:pt>
                <c:pt idx="589">
                  <c:v>41897</c:v>
                </c:pt>
                <c:pt idx="590">
                  <c:v>41898</c:v>
                </c:pt>
                <c:pt idx="591">
                  <c:v>41899</c:v>
                </c:pt>
                <c:pt idx="592">
                  <c:v>41900</c:v>
                </c:pt>
                <c:pt idx="593">
                  <c:v>41901</c:v>
                </c:pt>
                <c:pt idx="594">
                  <c:v>41904</c:v>
                </c:pt>
                <c:pt idx="595">
                  <c:v>41905</c:v>
                </c:pt>
                <c:pt idx="596">
                  <c:v>41906</c:v>
                </c:pt>
                <c:pt idx="597">
                  <c:v>41907</c:v>
                </c:pt>
                <c:pt idx="598">
                  <c:v>41908</c:v>
                </c:pt>
                <c:pt idx="599">
                  <c:v>41911</c:v>
                </c:pt>
                <c:pt idx="600">
                  <c:v>41912</c:v>
                </c:pt>
                <c:pt idx="601">
                  <c:v>41913</c:v>
                </c:pt>
                <c:pt idx="602">
                  <c:v>41914</c:v>
                </c:pt>
                <c:pt idx="603">
                  <c:v>41915</c:v>
                </c:pt>
                <c:pt idx="604">
                  <c:v>41918</c:v>
                </c:pt>
                <c:pt idx="605">
                  <c:v>41919</c:v>
                </c:pt>
                <c:pt idx="606">
                  <c:v>41920</c:v>
                </c:pt>
                <c:pt idx="607">
                  <c:v>41921</c:v>
                </c:pt>
                <c:pt idx="608">
                  <c:v>41922</c:v>
                </c:pt>
                <c:pt idx="609">
                  <c:v>41926</c:v>
                </c:pt>
                <c:pt idx="610">
                  <c:v>41927</c:v>
                </c:pt>
                <c:pt idx="611">
                  <c:v>41928</c:v>
                </c:pt>
                <c:pt idx="612">
                  <c:v>41929</c:v>
                </c:pt>
                <c:pt idx="613">
                  <c:v>41932</c:v>
                </c:pt>
                <c:pt idx="614">
                  <c:v>41933</c:v>
                </c:pt>
                <c:pt idx="615">
                  <c:v>41934</c:v>
                </c:pt>
                <c:pt idx="616">
                  <c:v>41935</c:v>
                </c:pt>
                <c:pt idx="617">
                  <c:v>41936</c:v>
                </c:pt>
                <c:pt idx="618">
                  <c:v>41939</c:v>
                </c:pt>
                <c:pt idx="619">
                  <c:v>41940</c:v>
                </c:pt>
                <c:pt idx="620">
                  <c:v>41941</c:v>
                </c:pt>
                <c:pt idx="621">
                  <c:v>41942</c:v>
                </c:pt>
                <c:pt idx="622">
                  <c:v>41943</c:v>
                </c:pt>
                <c:pt idx="623">
                  <c:v>41946</c:v>
                </c:pt>
                <c:pt idx="624">
                  <c:v>41947</c:v>
                </c:pt>
                <c:pt idx="625">
                  <c:v>41948</c:v>
                </c:pt>
                <c:pt idx="626">
                  <c:v>41949</c:v>
                </c:pt>
                <c:pt idx="627">
                  <c:v>41950</c:v>
                </c:pt>
                <c:pt idx="628">
                  <c:v>41953</c:v>
                </c:pt>
                <c:pt idx="629">
                  <c:v>41955</c:v>
                </c:pt>
                <c:pt idx="630">
                  <c:v>41956</c:v>
                </c:pt>
                <c:pt idx="631">
                  <c:v>41957</c:v>
                </c:pt>
                <c:pt idx="632">
                  <c:v>41960</c:v>
                </c:pt>
                <c:pt idx="633">
                  <c:v>41961</c:v>
                </c:pt>
                <c:pt idx="634">
                  <c:v>41962</c:v>
                </c:pt>
                <c:pt idx="635">
                  <c:v>41963</c:v>
                </c:pt>
                <c:pt idx="636">
                  <c:v>41964</c:v>
                </c:pt>
                <c:pt idx="637">
                  <c:v>41967</c:v>
                </c:pt>
                <c:pt idx="638">
                  <c:v>41968</c:v>
                </c:pt>
                <c:pt idx="639">
                  <c:v>41969</c:v>
                </c:pt>
                <c:pt idx="640">
                  <c:v>41971</c:v>
                </c:pt>
                <c:pt idx="641">
                  <c:v>41974</c:v>
                </c:pt>
                <c:pt idx="642">
                  <c:v>41975</c:v>
                </c:pt>
                <c:pt idx="643">
                  <c:v>41976</c:v>
                </c:pt>
                <c:pt idx="644">
                  <c:v>41977</c:v>
                </c:pt>
                <c:pt idx="645">
                  <c:v>41978</c:v>
                </c:pt>
                <c:pt idx="646">
                  <c:v>41981</c:v>
                </c:pt>
                <c:pt idx="647">
                  <c:v>41982</c:v>
                </c:pt>
                <c:pt idx="648">
                  <c:v>41983</c:v>
                </c:pt>
                <c:pt idx="649">
                  <c:v>41984</c:v>
                </c:pt>
                <c:pt idx="650">
                  <c:v>41985</c:v>
                </c:pt>
                <c:pt idx="651">
                  <c:v>41988</c:v>
                </c:pt>
                <c:pt idx="652">
                  <c:v>41989</c:v>
                </c:pt>
                <c:pt idx="653">
                  <c:v>41990</c:v>
                </c:pt>
                <c:pt idx="654">
                  <c:v>41991</c:v>
                </c:pt>
                <c:pt idx="655">
                  <c:v>41992</c:v>
                </c:pt>
                <c:pt idx="656">
                  <c:v>41995</c:v>
                </c:pt>
                <c:pt idx="657">
                  <c:v>41996</c:v>
                </c:pt>
                <c:pt idx="658">
                  <c:v>41997</c:v>
                </c:pt>
                <c:pt idx="659">
                  <c:v>41999</c:v>
                </c:pt>
                <c:pt idx="660">
                  <c:v>42002</c:v>
                </c:pt>
                <c:pt idx="661">
                  <c:v>42003</c:v>
                </c:pt>
                <c:pt idx="662">
                  <c:v>42004</c:v>
                </c:pt>
                <c:pt idx="663">
                  <c:v>42006</c:v>
                </c:pt>
                <c:pt idx="664">
                  <c:v>42009</c:v>
                </c:pt>
                <c:pt idx="665">
                  <c:v>42010</c:v>
                </c:pt>
                <c:pt idx="666">
                  <c:v>42011</c:v>
                </c:pt>
                <c:pt idx="667">
                  <c:v>42012</c:v>
                </c:pt>
                <c:pt idx="668">
                  <c:v>42013</c:v>
                </c:pt>
                <c:pt idx="669">
                  <c:v>42016</c:v>
                </c:pt>
                <c:pt idx="670">
                  <c:v>42017</c:v>
                </c:pt>
                <c:pt idx="671">
                  <c:v>42018</c:v>
                </c:pt>
                <c:pt idx="672">
                  <c:v>42019</c:v>
                </c:pt>
                <c:pt idx="673">
                  <c:v>42020</c:v>
                </c:pt>
                <c:pt idx="674">
                  <c:v>42024</c:v>
                </c:pt>
                <c:pt idx="675">
                  <c:v>42025</c:v>
                </c:pt>
                <c:pt idx="676">
                  <c:v>42026</c:v>
                </c:pt>
                <c:pt idx="677">
                  <c:v>42027</c:v>
                </c:pt>
                <c:pt idx="678">
                  <c:v>42030</c:v>
                </c:pt>
                <c:pt idx="679">
                  <c:v>42031</c:v>
                </c:pt>
                <c:pt idx="680">
                  <c:v>42032</c:v>
                </c:pt>
                <c:pt idx="681">
                  <c:v>42033</c:v>
                </c:pt>
                <c:pt idx="682">
                  <c:v>42034</c:v>
                </c:pt>
                <c:pt idx="683">
                  <c:v>42037</c:v>
                </c:pt>
                <c:pt idx="684">
                  <c:v>42038</c:v>
                </c:pt>
                <c:pt idx="685">
                  <c:v>42039</c:v>
                </c:pt>
                <c:pt idx="686">
                  <c:v>42040</c:v>
                </c:pt>
                <c:pt idx="687">
                  <c:v>42041</c:v>
                </c:pt>
                <c:pt idx="688">
                  <c:v>42044</c:v>
                </c:pt>
                <c:pt idx="689">
                  <c:v>42045</c:v>
                </c:pt>
                <c:pt idx="690">
                  <c:v>42046</c:v>
                </c:pt>
                <c:pt idx="691">
                  <c:v>42047</c:v>
                </c:pt>
                <c:pt idx="692">
                  <c:v>42048</c:v>
                </c:pt>
                <c:pt idx="693">
                  <c:v>42052</c:v>
                </c:pt>
                <c:pt idx="694">
                  <c:v>42053</c:v>
                </c:pt>
                <c:pt idx="695">
                  <c:v>42054</c:v>
                </c:pt>
                <c:pt idx="696">
                  <c:v>42055</c:v>
                </c:pt>
                <c:pt idx="697">
                  <c:v>42058</c:v>
                </c:pt>
                <c:pt idx="698">
                  <c:v>42059</c:v>
                </c:pt>
                <c:pt idx="699">
                  <c:v>42060</c:v>
                </c:pt>
                <c:pt idx="700">
                  <c:v>42061</c:v>
                </c:pt>
                <c:pt idx="701">
                  <c:v>42062</c:v>
                </c:pt>
                <c:pt idx="702">
                  <c:v>42065</c:v>
                </c:pt>
                <c:pt idx="703">
                  <c:v>42066</c:v>
                </c:pt>
                <c:pt idx="704">
                  <c:v>42067</c:v>
                </c:pt>
                <c:pt idx="705">
                  <c:v>42068</c:v>
                </c:pt>
                <c:pt idx="706">
                  <c:v>42069</c:v>
                </c:pt>
                <c:pt idx="707">
                  <c:v>42072</c:v>
                </c:pt>
                <c:pt idx="708">
                  <c:v>42073</c:v>
                </c:pt>
                <c:pt idx="709">
                  <c:v>42074</c:v>
                </c:pt>
                <c:pt idx="710">
                  <c:v>42075</c:v>
                </c:pt>
                <c:pt idx="711">
                  <c:v>42076</c:v>
                </c:pt>
                <c:pt idx="712">
                  <c:v>42079</c:v>
                </c:pt>
                <c:pt idx="713">
                  <c:v>42080</c:v>
                </c:pt>
                <c:pt idx="714">
                  <c:v>42081</c:v>
                </c:pt>
                <c:pt idx="715">
                  <c:v>42082</c:v>
                </c:pt>
                <c:pt idx="716">
                  <c:v>42083</c:v>
                </c:pt>
                <c:pt idx="717">
                  <c:v>42086</c:v>
                </c:pt>
                <c:pt idx="718">
                  <c:v>42087</c:v>
                </c:pt>
                <c:pt idx="719">
                  <c:v>42088</c:v>
                </c:pt>
                <c:pt idx="720">
                  <c:v>42089</c:v>
                </c:pt>
                <c:pt idx="721">
                  <c:v>42090</c:v>
                </c:pt>
                <c:pt idx="722">
                  <c:v>42093</c:v>
                </c:pt>
                <c:pt idx="723">
                  <c:v>42094</c:v>
                </c:pt>
                <c:pt idx="724">
                  <c:v>42095</c:v>
                </c:pt>
                <c:pt idx="725">
                  <c:v>42096</c:v>
                </c:pt>
                <c:pt idx="726">
                  <c:v>42097</c:v>
                </c:pt>
                <c:pt idx="727">
                  <c:v>42100</c:v>
                </c:pt>
                <c:pt idx="728">
                  <c:v>42101</c:v>
                </c:pt>
                <c:pt idx="729">
                  <c:v>42102</c:v>
                </c:pt>
                <c:pt idx="730">
                  <c:v>42103</c:v>
                </c:pt>
                <c:pt idx="731">
                  <c:v>42104</c:v>
                </c:pt>
                <c:pt idx="732">
                  <c:v>42107</c:v>
                </c:pt>
                <c:pt idx="733">
                  <c:v>42108</c:v>
                </c:pt>
                <c:pt idx="734">
                  <c:v>42109</c:v>
                </c:pt>
                <c:pt idx="735">
                  <c:v>42110</c:v>
                </c:pt>
                <c:pt idx="736">
                  <c:v>42111</c:v>
                </c:pt>
                <c:pt idx="737">
                  <c:v>42114</c:v>
                </c:pt>
                <c:pt idx="738">
                  <c:v>42115</c:v>
                </c:pt>
                <c:pt idx="739">
                  <c:v>42116</c:v>
                </c:pt>
                <c:pt idx="740">
                  <c:v>42117</c:v>
                </c:pt>
                <c:pt idx="741">
                  <c:v>42118</c:v>
                </c:pt>
                <c:pt idx="742">
                  <c:v>42121</c:v>
                </c:pt>
                <c:pt idx="743">
                  <c:v>42122</c:v>
                </c:pt>
                <c:pt idx="744">
                  <c:v>42123</c:v>
                </c:pt>
                <c:pt idx="745">
                  <c:v>42124</c:v>
                </c:pt>
                <c:pt idx="746">
                  <c:v>42125</c:v>
                </c:pt>
                <c:pt idx="747">
                  <c:v>42128</c:v>
                </c:pt>
                <c:pt idx="748">
                  <c:v>42129</c:v>
                </c:pt>
                <c:pt idx="749">
                  <c:v>42130</c:v>
                </c:pt>
                <c:pt idx="750">
                  <c:v>42131</c:v>
                </c:pt>
                <c:pt idx="751">
                  <c:v>42132</c:v>
                </c:pt>
                <c:pt idx="752">
                  <c:v>42135</c:v>
                </c:pt>
                <c:pt idx="753">
                  <c:v>42136</c:v>
                </c:pt>
                <c:pt idx="754">
                  <c:v>42137</c:v>
                </c:pt>
                <c:pt idx="755">
                  <c:v>42138</c:v>
                </c:pt>
                <c:pt idx="756">
                  <c:v>42139</c:v>
                </c:pt>
                <c:pt idx="757">
                  <c:v>42142</c:v>
                </c:pt>
                <c:pt idx="758">
                  <c:v>42143</c:v>
                </c:pt>
                <c:pt idx="759">
                  <c:v>42144</c:v>
                </c:pt>
                <c:pt idx="760">
                  <c:v>42145</c:v>
                </c:pt>
                <c:pt idx="761">
                  <c:v>42146</c:v>
                </c:pt>
                <c:pt idx="762">
                  <c:v>42150</c:v>
                </c:pt>
                <c:pt idx="763">
                  <c:v>42151</c:v>
                </c:pt>
                <c:pt idx="764">
                  <c:v>42152</c:v>
                </c:pt>
                <c:pt idx="765">
                  <c:v>42153</c:v>
                </c:pt>
                <c:pt idx="766">
                  <c:v>42156</c:v>
                </c:pt>
                <c:pt idx="767">
                  <c:v>42157</c:v>
                </c:pt>
                <c:pt idx="768">
                  <c:v>42158</c:v>
                </c:pt>
                <c:pt idx="769">
                  <c:v>42159</c:v>
                </c:pt>
                <c:pt idx="770">
                  <c:v>42160</c:v>
                </c:pt>
                <c:pt idx="771">
                  <c:v>42163</c:v>
                </c:pt>
                <c:pt idx="772">
                  <c:v>42164</c:v>
                </c:pt>
                <c:pt idx="773">
                  <c:v>42165</c:v>
                </c:pt>
                <c:pt idx="774">
                  <c:v>42166</c:v>
                </c:pt>
                <c:pt idx="775">
                  <c:v>42167</c:v>
                </c:pt>
                <c:pt idx="776">
                  <c:v>42170</c:v>
                </c:pt>
                <c:pt idx="777">
                  <c:v>42171</c:v>
                </c:pt>
                <c:pt idx="778">
                  <c:v>42172</c:v>
                </c:pt>
                <c:pt idx="779">
                  <c:v>42173</c:v>
                </c:pt>
                <c:pt idx="780">
                  <c:v>42174</c:v>
                </c:pt>
                <c:pt idx="781">
                  <c:v>42177</c:v>
                </c:pt>
                <c:pt idx="782">
                  <c:v>42178</c:v>
                </c:pt>
                <c:pt idx="783">
                  <c:v>42179</c:v>
                </c:pt>
                <c:pt idx="784">
                  <c:v>42180</c:v>
                </c:pt>
                <c:pt idx="785">
                  <c:v>42181</c:v>
                </c:pt>
                <c:pt idx="786">
                  <c:v>42184</c:v>
                </c:pt>
                <c:pt idx="787">
                  <c:v>42185</c:v>
                </c:pt>
                <c:pt idx="788">
                  <c:v>42186</c:v>
                </c:pt>
                <c:pt idx="789">
                  <c:v>42187</c:v>
                </c:pt>
                <c:pt idx="790">
                  <c:v>42191</c:v>
                </c:pt>
                <c:pt idx="791">
                  <c:v>42192</c:v>
                </c:pt>
                <c:pt idx="792">
                  <c:v>42193</c:v>
                </c:pt>
                <c:pt idx="793">
                  <c:v>42194</c:v>
                </c:pt>
                <c:pt idx="794">
                  <c:v>42195</c:v>
                </c:pt>
                <c:pt idx="795">
                  <c:v>42198</c:v>
                </c:pt>
                <c:pt idx="796">
                  <c:v>42199</c:v>
                </c:pt>
                <c:pt idx="797">
                  <c:v>42200</c:v>
                </c:pt>
                <c:pt idx="798">
                  <c:v>42201</c:v>
                </c:pt>
                <c:pt idx="799">
                  <c:v>42202</c:v>
                </c:pt>
                <c:pt idx="800">
                  <c:v>42205</c:v>
                </c:pt>
                <c:pt idx="801">
                  <c:v>42206</c:v>
                </c:pt>
                <c:pt idx="802">
                  <c:v>42207</c:v>
                </c:pt>
                <c:pt idx="803">
                  <c:v>42208</c:v>
                </c:pt>
                <c:pt idx="804">
                  <c:v>42209</c:v>
                </c:pt>
                <c:pt idx="805">
                  <c:v>42212</c:v>
                </c:pt>
                <c:pt idx="806">
                  <c:v>42213</c:v>
                </c:pt>
                <c:pt idx="807">
                  <c:v>42214</c:v>
                </c:pt>
                <c:pt idx="808">
                  <c:v>42215</c:v>
                </c:pt>
                <c:pt idx="809">
                  <c:v>42216</c:v>
                </c:pt>
                <c:pt idx="810">
                  <c:v>42219</c:v>
                </c:pt>
                <c:pt idx="811">
                  <c:v>42220</c:v>
                </c:pt>
                <c:pt idx="812">
                  <c:v>42221</c:v>
                </c:pt>
                <c:pt idx="813">
                  <c:v>42222</c:v>
                </c:pt>
                <c:pt idx="814">
                  <c:v>42223</c:v>
                </c:pt>
                <c:pt idx="815">
                  <c:v>42226</c:v>
                </c:pt>
                <c:pt idx="816">
                  <c:v>42227</c:v>
                </c:pt>
                <c:pt idx="817">
                  <c:v>42228</c:v>
                </c:pt>
                <c:pt idx="818">
                  <c:v>42229</c:v>
                </c:pt>
                <c:pt idx="819">
                  <c:v>42230</c:v>
                </c:pt>
                <c:pt idx="820">
                  <c:v>42233</c:v>
                </c:pt>
                <c:pt idx="821">
                  <c:v>42234</c:v>
                </c:pt>
                <c:pt idx="822">
                  <c:v>42235</c:v>
                </c:pt>
                <c:pt idx="823">
                  <c:v>42236</c:v>
                </c:pt>
                <c:pt idx="824">
                  <c:v>42237</c:v>
                </c:pt>
                <c:pt idx="825">
                  <c:v>42240</c:v>
                </c:pt>
                <c:pt idx="826">
                  <c:v>42241</c:v>
                </c:pt>
                <c:pt idx="827">
                  <c:v>42242</c:v>
                </c:pt>
                <c:pt idx="828">
                  <c:v>42243</c:v>
                </c:pt>
                <c:pt idx="829">
                  <c:v>42244</c:v>
                </c:pt>
                <c:pt idx="830">
                  <c:v>42247</c:v>
                </c:pt>
                <c:pt idx="831">
                  <c:v>42248</c:v>
                </c:pt>
                <c:pt idx="832">
                  <c:v>42249</c:v>
                </c:pt>
                <c:pt idx="833">
                  <c:v>42250</c:v>
                </c:pt>
                <c:pt idx="834">
                  <c:v>42251</c:v>
                </c:pt>
                <c:pt idx="835">
                  <c:v>42255</c:v>
                </c:pt>
                <c:pt idx="836">
                  <c:v>42256</c:v>
                </c:pt>
                <c:pt idx="837">
                  <c:v>42257</c:v>
                </c:pt>
                <c:pt idx="838">
                  <c:v>42258</c:v>
                </c:pt>
                <c:pt idx="839">
                  <c:v>42261</c:v>
                </c:pt>
                <c:pt idx="840">
                  <c:v>42262</c:v>
                </c:pt>
                <c:pt idx="841">
                  <c:v>42263</c:v>
                </c:pt>
                <c:pt idx="842">
                  <c:v>42264</c:v>
                </c:pt>
                <c:pt idx="843">
                  <c:v>42265</c:v>
                </c:pt>
                <c:pt idx="844">
                  <c:v>42268</c:v>
                </c:pt>
                <c:pt idx="845">
                  <c:v>42269</c:v>
                </c:pt>
                <c:pt idx="846">
                  <c:v>42270</c:v>
                </c:pt>
                <c:pt idx="847">
                  <c:v>42271</c:v>
                </c:pt>
                <c:pt idx="848">
                  <c:v>42272</c:v>
                </c:pt>
                <c:pt idx="849">
                  <c:v>42275</c:v>
                </c:pt>
                <c:pt idx="850">
                  <c:v>42276</c:v>
                </c:pt>
                <c:pt idx="851">
                  <c:v>42277</c:v>
                </c:pt>
                <c:pt idx="852">
                  <c:v>42278</c:v>
                </c:pt>
                <c:pt idx="853">
                  <c:v>42279</c:v>
                </c:pt>
                <c:pt idx="854">
                  <c:v>42282</c:v>
                </c:pt>
                <c:pt idx="855">
                  <c:v>42283</c:v>
                </c:pt>
                <c:pt idx="856">
                  <c:v>42284</c:v>
                </c:pt>
                <c:pt idx="857">
                  <c:v>42285</c:v>
                </c:pt>
                <c:pt idx="858">
                  <c:v>42286</c:v>
                </c:pt>
                <c:pt idx="859">
                  <c:v>42290</c:v>
                </c:pt>
                <c:pt idx="860">
                  <c:v>42291</c:v>
                </c:pt>
                <c:pt idx="861">
                  <c:v>42292</c:v>
                </c:pt>
                <c:pt idx="862">
                  <c:v>42293</c:v>
                </c:pt>
                <c:pt idx="863">
                  <c:v>42296</c:v>
                </c:pt>
                <c:pt idx="864">
                  <c:v>42297</c:v>
                </c:pt>
                <c:pt idx="865">
                  <c:v>42298</c:v>
                </c:pt>
                <c:pt idx="866">
                  <c:v>42299</c:v>
                </c:pt>
                <c:pt idx="867">
                  <c:v>42300</c:v>
                </c:pt>
                <c:pt idx="868">
                  <c:v>42303</c:v>
                </c:pt>
                <c:pt idx="869">
                  <c:v>42304</c:v>
                </c:pt>
                <c:pt idx="870">
                  <c:v>42305</c:v>
                </c:pt>
                <c:pt idx="871">
                  <c:v>42306</c:v>
                </c:pt>
                <c:pt idx="872">
                  <c:v>42307</c:v>
                </c:pt>
                <c:pt idx="873">
                  <c:v>42310</c:v>
                </c:pt>
                <c:pt idx="874">
                  <c:v>42311</c:v>
                </c:pt>
                <c:pt idx="875">
                  <c:v>42312</c:v>
                </c:pt>
                <c:pt idx="876">
                  <c:v>42313</c:v>
                </c:pt>
                <c:pt idx="877">
                  <c:v>42314</c:v>
                </c:pt>
                <c:pt idx="878">
                  <c:v>42317</c:v>
                </c:pt>
                <c:pt idx="879">
                  <c:v>42318</c:v>
                </c:pt>
                <c:pt idx="880">
                  <c:v>42320</c:v>
                </c:pt>
                <c:pt idx="881">
                  <c:v>42321</c:v>
                </c:pt>
                <c:pt idx="882">
                  <c:v>42324</c:v>
                </c:pt>
                <c:pt idx="883">
                  <c:v>42325</c:v>
                </c:pt>
                <c:pt idx="884">
                  <c:v>42326</c:v>
                </c:pt>
                <c:pt idx="885">
                  <c:v>42327</c:v>
                </c:pt>
                <c:pt idx="886">
                  <c:v>42328</c:v>
                </c:pt>
                <c:pt idx="887">
                  <c:v>42331</c:v>
                </c:pt>
                <c:pt idx="888">
                  <c:v>42332</c:v>
                </c:pt>
                <c:pt idx="889">
                  <c:v>42333</c:v>
                </c:pt>
                <c:pt idx="890">
                  <c:v>42335</c:v>
                </c:pt>
                <c:pt idx="891">
                  <c:v>42338</c:v>
                </c:pt>
                <c:pt idx="892">
                  <c:v>42339</c:v>
                </c:pt>
                <c:pt idx="893">
                  <c:v>42340</c:v>
                </c:pt>
                <c:pt idx="894">
                  <c:v>42341</c:v>
                </c:pt>
                <c:pt idx="895">
                  <c:v>42342</c:v>
                </c:pt>
                <c:pt idx="896">
                  <c:v>42345</c:v>
                </c:pt>
                <c:pt idx="897">
                  <c:v>42346</c:v>
                </c:pt>
                <c:pt idx="898">
                  <c:v>42347</c:v>
                </c:pt>
                <c:pt idx="899">
                  <c:v>42348</c:v>
                </c:pt>
                <c:pt idx="900">
                  <c:v>42349</c:v>
                </c:pt>
                <c:pt idx="901">
                  <c:v>42352</c:v>
                </c:pt>
                <c:pt idx="902">
                  <c:v>42353</c:v>
                </c:pt>
                <c:pt idx="903">
                  <c:v>42354</c:v>
                </c:pt>
                <c:pt idx="904">
                  <c:v>42355</c:v>
                </c:pt>
                <c:pt idx="905">
                  <c:v>42356</c:v>
                </c:pt>
                <c:pt idx="906">
                  <c:v>42359</c:v>
                </c:pt>
                <c:pt idx="907">
                  <c:v>42360</c:v>
                </c:pt>
                <c:pt idx="908">
                  <c:v>42361</c:v>
                </c:pt>
                <c:pt idx="909">
                  <c:v>42362</c:v>
                </c:pt>
                <c:pt idx="910">
                  <c:v>42366</c:v>
                </c:pt>
                <c:pt idx="911">
                  <c:v>42367</c:v>
                </c:pt>
                <c:pt idx="912">
                  <c:v>42368</c:v>
                </c:pt>
                <c:pt idx="913">
                  <c:v>42369</c:v>
                </c:pt>
                <c:pt idx="914">
                  <c:v>42373</c:v>
                </c:pt>
                <c:pt idx="915">
                  <c:v>42374</c:v>
                </c:pt>
                <c:pt idx="916">
                  <c:v>42375</c:v>
                </c:pt>
                <c:pt idx="917">
                  <c:v>42376</c:v>
                </c:pt>
                <c:pt idx="918">
                  <c:v>42377</c:v>
                </c:pt>
                <c:pt idx="919">
                  <c:v>42380</c:v>
                </c:pt>
                <c:pt idx="920">
                  <c:v>42381</c:v>
                </c:pt>
                <c:pt idx="921">
                  <c:v>42382</c:v>
                </c:pt>
                <c:pt idx="922">
                  <c:v>42383</c:v>
                </c:pt>
                <c:pt idx="923">
                  <c:v>42384</c:v>
                </c:pt>
                <c:pt idx="924">
                  <c:v>42388</c:v>
                </c:pt>
                <c:pt idx="925">
                  <c:v>42389</c:v>
                </c:pt>
                <c:pt idx="926">
                  <c:v>42390</c:v>
                </c:pt>
                <c:pt idx="927">
                  <c:v>42391</c:v>
                </c:pt>
                <c:pt idx="928">
                  <c:v>42394</c:v>
                </c:pt>
                <c:pt idx="929">
                  <c:v>42395</c:v>
                </c:pt>
                <c:pt idx="930">
                  <c:v>42396</c:v>
                </c:pt>
                <c:pt idx="931">
                  <c:v>42397</c:v>
                </c:pt>
                <c:pt idx="932">
                  <c:v>42398</c:v>
                </c:pt>
                <c:pt idx="933">
                  <c:v>42401</c:v>
                </c:pt>
                <c:pt idx="934">
                  <c:v>42402</c:v>
                </c:pt>
                <c:pt idx="935">
                  <c:v>42403</c:v>
                </c:pt>
                <c:pt idx="936">
                  <c:v>42404</c:v>
                </c:pt>
                <c:pt idx="937">
                  <c:v>42405</c:v>
                </c:pt>
                <c:pt idx="938">
                  <c:v>42408</c:v>
                </c:pt>
                <c:pt idx="939">
                  <c:v>42409</c:v>
                </c:pt>
                <c:pt idx="940">
                  <c:v>42410</c:v>
                </c:pt>
                <c:pt idx="941">
                  <c:v>42411</c:v>
                </c:pt>
                <c:pt idx="942">
                  <c:v>42412</c:v>
                </c:pt>
                <c:pt idx="943">
                  <c:v>42416</c:v>
                </c:pt>
                <c:pt idx="944">
                  <c:v>42417</c:v>
                </c:pt>
                <c:pt idx="945">
                  <c:v>42418</c:v>
                </c:pt>
                <c:pt idx="946">
                  <c:v>42419</c:v>
                </c:pt>
                <c:pt idx="947">
                  <c:v>42422</c:v>
                </c:pt>
                <c:pt idx="948">
                  <c:v>42423</c:v>
                </c:pt>
                <c:pt idx="949">
                  <c:v>42424</c:v>
                </c:pt>
                <c:pt idx="950">
                  <c:v>42425</c:v>
                </c:pt>
                <c:pt idx="951">
                  <c:v>42426</c:v>
                </c:pt>
                <c:pt idx="952">
                  <c:v>42429</c:v>
                </c:pt>
                <c:pt idx="953">
                  <c:v>42430</c:v>
                </c:pt>
                <c:pt idx="954">
                  <c:v>42431</c:v>
                </c:pt>
                <c:pt idx="955">
                  <c:v>42432</c:v>
                </c:pt>
                <c:pt idx="956">
                  <c:v>42433</c:v>
                </c:pt>
                <c:pt idx="957">
                  <c:v>42436</c:v>
                </c:pt>
                <c:pt idx="958">
                  <c:v>42437</c:v>
                </c:pt>
                <c:pt idx="959">
                  <c:v>42438</c:v>
                </c:pt>
                <c:pt idx="960">
                  <c:v>42439</c:v>
                </c:pt>
                <c:pt idx="961">
                  <c:v>42440</c:v>
                </c:pt>
                <c:pt idx="962">
                  <c:v>42443</c:v>
                </c:pt>
                <c:pt idx="963">
                  <c:v>42444</c:v>
                </c:pt>
                <c:pt idx="964">
                  <c:v>42445</c:v>
                </c:pt>
                <c:pt idx="965">
                  <c:v>42446</c:v>
                </c:pt>
                <c:pt idx="966">
                  <c:v>42447</c:v>
                </c:pt>
                <c:pt idx="967">
                  <c:v>42450</c:v>
                </c:pt>
                <c:pt idx="968">
                  <c:v>42451</c:v>
                </c:pt>
                <c:pt idx="969">
                  <c:v>42452</c:v>
                </c:pt>
                <c:pt idx="970">
                  <c:v>42453</c:v>
                </c:pt>
                <c:pt idx="971">
                  <c:v>42457</c:v>
                </c:pt>
                <c:pt idx="972">
                  <c:v>42458</c:v>
                </c:pt>
                <c:pt idx="973">
                  <c:v>42459</c:v>
                </c:pt>
                <c:pt idx="974">
                  <c:v>42460</c:v>
                </c:pt>
                <c:pt idx="975">
                  <c:v>42461</c:v>
                </c:pt>
                <c:pt idx="976">
                  <c:v>42464</c:v>
                </c:pt>
                <c:pt idx="977">
                  <c:v>42465</c:v>
                </c:pt>
                <c:pt idx="978">
                  <c:v>42466</c:v>
                </c:pt>
                <c:pt idx="979">
                  <c:v>42467</c:v>
                </c:pt>
                <c:pt idx="980">
                  <c:v>42468</c:v>
                </c:pt>
                <c:pt idx="981">
                  <c:v>42471</c:v>
                </c:pt>
                <c:pt idx="982">
                  <c:v>42472</c:v>
                </c:pt>
                <c:pt idx="983">
                  <c:v>42473</c:v>
                </c:pt>
                <c:pt idx="984">
                  <c:v>42474</c:v>
                </c:pt>
                <c:pt idx="985">
                  <c:v>42475</c:v>
                </c:pt>
                <c:pt idx="986">
                  <c:v>42478</c:v>
                </c:pt>
                <c:pt idx="987">
                  <c:v>42479</c:v>
                </c:pt>
                <c:pt idx="988">
                  <c:v>42480</c:v>
                </c:pt>
                <c:pt idx="989">
                  <c:v>42481</c:v>
                </c:pt>
                <c:pt idx="990">
                  <c:v>42482</c:v>
                </c:pt>
                <c:pt idx="991">
                  <c:v>42485</c:v>
                </c:pt>
                <c:pt idx="992">
                  <c:v>42486</c:v>
                </c:pt>
                <c:pt idx="993">
                  <c:v>42487</c:v>
                </c:pt>
                <c:pt idx="994">
                  <c:v>42488</c:v>
                </c:pt>
                <c:pt idx="995">
                  <c:v>42489</c:v>
                </c:pt>
                <c:pt idx="996">
                  <c:v>42492</c:v>
                </c:pt>
                <c:pt idx="997">
                  <c:v>42493</c:v>
                </c:pt>
                <c:pt idx="998">
                  <c:v>42494</c:v>
                </c:pt>
                <c:pt idx="999">
                  <c:v>42495</c:v>
                </c:pt>
                <c:pt idx="1000">
                  <c:v>42496</c:v>
                </c:pt>
                <c:pt idx="1001">
                  <c:v>42499</c:v>
                </c:pt>
                <c:pt idx="1002">
                  <c:v>42500</c:v>
                </c:pt>
                <c:pt idx="1003">
                  <c:v>42501</c:v>
                </c:pt>
                <c:pt idx="1004">
                  <c:v>42502</c:v>
                </c:pt>
                <c:pt idx="1005">
                  <c:v>42503</c:v>
                </c:pt>
                <c:pt idx="1006">
                  <c:v>42506</c:v>
                </c:pt>
                <c:pt idx="1007">
                  <c:v>42507</c:v>
                </c:pt>
                <c:pt idx="1008">
                  <c:v>42508</c:v>
                </c:pt>
                <c:pt idx="1009">
                  <c:v>42509</c:v>
                </c:pt>
                <c:pt idx="1010">
                  <c:v>42510</c:v>
                </c:pt>
                <c:pt idx="1011">
                  <c:v>42513</c:v>
                </c:pt>
                <c:pt idx="1012">
                  <c:v>42514</c:v>
                </c:pt>
                <c:pt idx="1013">
                  <c:v>42515</c:v>
                </c:pt>
                <c:pt idx="1014">
                  <c:v>42516</c:v>
                </c:pt>
                <c:pt idx="1015">
                  <c:v>42517</c:v>
                </c:pt>
                <c:pt idx="1016">
                  <c:v>42521</c:v>
                </c:pt>
                <c:pt idx="1017">
                  <c:v>42522</c:v>
                </c:pt>
                <c:pt idx="1018">
                  <c:v>42523</c:v>
                </c:pt>
                <c:pt idx="1019">
                  <c:v>42524</c:v>
                </c:pt>
                <c:pt idx="1020">
                  <c:v>42527</c:v>
                </c:pt>
                <c:pt idx="1021">
                  <c:v>42528</c:v>
                </c:pt>
                <c:pt idx="1022">
                  <c:v>42529</c:v>
                </c:pt>
                <c:pt idx="1023">
                  <c:v>42530</c:v>
                </c:pt>
                <c:pt idx="1024">
                  <c:v>42531</c:v>
                </c:pt>
                <c:pt idx="1025">
                  <c:v>42534</c:v>
                </c:pt>
                <c:pt idx="1026">
                  <c:v>42535</c:v>
                </c:pt>
                <c:pt idx="1027">
                  <c:v>42536</c:v>
                </c:pt>
                <c:pt idx="1028">
                  <c:v>42537</c:v>
                </c:pt>
                <c:pt idx="1029">
                  <c:v>42538</c:v>
                </c:pt>
                <c:pt idx="1030">
                  <c:v>42541</c:v>
                </c:pt>
                <c:pt idx="1031">
                  <c:v>42542</c:v>
                </c:pt>
                <c:pt idx="1032">
                  <c:v>42543</c:v>
                </c:pt>
                <c:pt idx="1033">
                  <c:v>42544</c:v>
                </c:pt>
                <c:pt idx="1034">
                  <c:v>42545</c:v>
                </c:pt>
                <c:pt idx="1035">
                  <c:v>42548</c:v>
                </c:pt>
                <c:pt idx="1036">
                  <c:v>42549</c:v>
                </c:pt>
                <c:pt idx="1037">
                  <c:v>42550</c:v>
                </c:pt>
                <c:pt idx="1038">
                  <c:v>42551</c:v>
                </c:pt>
                <c:pt idx="1039">
                  <c:v>42552</c:v>
                </c:pt>
                <c:pt idx="1040">
                  <c:v>42556</c:v>
                </c:pt>
                <c:pt idx="1041">
                  <c:v>42557</c:v>
                </c:pt>
                <c:pt idx="1042">
                  <c:v>42558</c:v>
                </c:pt>
                <c:pt idx="1043">
                  <c:v>42559</c:v>
                </c:pt>
                <c:pt idx="1044">
                  <c:v>42562</c:v>
                </c:pt>
                <c:pt idx="1045">
                  <c:v>42563</c:v>
                </c:pt>
                <c:pt idx="1046">
                  <c:v>42564</c:v>
                </c:pt>
                <c:pt idx="1047">
                  <c:v>42565</c:v>
                </c:pt>
                <c:pt idx="1048">
                  <c:v>42566</c:v>
                </c:pt>
                <c:pt idx="1049">
                  <c:v>42569</c:v>
                </c:pt>
                <c:pt idx="1050">
                  <c:v>42570</c:v>
                </c:pt>
                <c:pt idx="1051">
                  <c:v>42571</c:v>
                </c:pt>
                <c:pt idx="1052">
                  <c:v>42572</c:v>
                </c:pt>
                <c:pt idx="1053">
                  <c:v>42573</c:v>
                </c:pt>
                <c:pt idx="1054">
                  <c:v>42576</c:v>
                </c:pt>
                <c:pt idx="1055">
                  <c:v>42577</c:v>
                </c:pt>
                <c:pt idx="1056">
                  <c:v>42578</c:v>
                </c:pt>
                <c:pt idx="1057">
                  <c:v>42579</c:v>
                </c:pt>
                <c:pt idx="1058">
                  <c:v>42580</c:v>
                </c:pt>
                <c:pt idx="1059">
                  <c:v>42583</c:v>
                </c:pt>
                <c:pt idx="1060">
                  <c:v>42584</c:v>
                </c:pt>
                <c:pt idx="1061">
                  <c:v>42585</c:v>
                </c:pt>
                <c:pt idx="1062">
                  <c:v>42586</c:v>
                </c:pt>
                <c:pt idx="1063">
                  <c:v>42587</c:v>
                </c:pt>
                <c:pt idx="1064">
                  <c:v>42590</c:v>
                </c:pt>
                <c:pt idx="1065">
                  <c:v>42591</c:v>
                </c:pt>
                <c:pt idx="1066">
                  <c:v>42592</c:v>
                </c:pt>
                <c:pt idx="1067">
                  <c:v>42593</c:v>
                </c:pt>
                <c:pt idx="1068">
                  <c:v>42594</c:v>
                </c:pt>
                <c:pt idx="1069">
                  <c:v>42597</c:v>
                </c:pt>
                <c:pt idx="1070">
                  <c:v>42598</c:v>
                </c:pt>
                <c:pt idx="1071">
                  <c:v>42599</c:v>
                </c:pt>
                <c:pt idx="1072">
                  <c:v>42600</c:v>
                </c:pt>
                <c:pt idx="1073">
                  <c:v>42601</c:v>
                </c:pt>
                <c:pt idx="1074">
                  <c:v>42604</c:v>
                </c:pt>
                <c:pt idx="1075">
                  <c:v>42605</c:v>
                </c:pt>
                <c:pt idx="1076">
                  <c:v>42606</c:v>
                </c:pt>
                <c:pt idx="1077">
                  <c:v>42607</c:v>
                </c:pt>
                <c:pt idx="1078">
                  <c:v>42608</c:v>
                </c:pt>
                <c:pt idx="1079">
                  <c:v>42611</c:v>
                </c:pt>
                <c:pt idx="1080">
                  <c:v>42612</c:v>
                </c:pt>
                <c:pt idx="1081">
                  <c:v>42613</c:v>
                </c:pt>
                <c:pt idx="1082">
                  <c:v>42614</c:v>
                </c:pt>
                <c:pt idx="1083">
                  <c:v>42615</c:v>
                </c:pt>
                <c:pt idx="1084">
                  <c:v>42619</c:v>
                </c:pt>
                <c:pt idx="1085">
                  <c:v>42620</c:v>
                </c:pt>
                <c:pt idx="1086">
                  <c:v>42621</c:v>
                </c:pt>
                <c:pt idx="1087">
                  <c:v>42622</c:v>
                </c:pt>
                <c:pt idx="1088">
                  <c:v>42625</c:v>
                </c:pt>
                <c:pt idx="1089">
                  <c:v>42626</c:v>
                </c:pt>
                <c:pt idx="1090">
                  <c:v>42627</c:v>
                </c:pt>
                <c:pt idx="1091">
                  <c:v>42628</c:v>
                </c:pt>
                <c:pt idx="1092">
                  <c:v>42629</c:v>
                </c:pt>
                <c:pt idx="1093">
                  <c:v>42632</c:v>
                </c:pt>
                <c:pt idx="1094">
                  <c:v>42633</c:v>
                </c:pt>
                <c:pt idx="1095">
                  <c:v>42634</c:v>
                </c:pt>
                <c:pt idx="1096">
                  <c:v>42635</c:v>
                </c:pt>
                <c:pt idx="1097">
                  <c:v>42636</c:v>
                </c:pt>
                <c:pt idx="1098">
                  <c:v>42639</c:v>
                </c:pt>
                <c:pt idx="1099">
                  <c:v>42640</c:v>
                </c:pt>
                <c:pt idx="1100">
                  <c:v>42641</c:v>
                </c:pt>
                <c:pt idx="1101">
                  <c:v>42642</c:v>
                </c:pt>
                <c:pt idx="1102">
                  <c:v>42643</c:v>
                </c:pt>
                <c:pt idx="1103">
                  <c:v>42646</c:v>
                </c:pt>
                <c:pt idx="1104">
                  <c:v>42647</c:v>
                </c:pt>
                <c:pt idx="1105">
                  <c:v>42648</c:v>
                </c:pt>
                <c:pt idx="1106">
                  <c:v>42649</c:v>
                </c:pt>
                <c:pt idx="1107">
                  <c:v>42650</c:v>
                </c:pt>
                <c:pt idx="1108">
                  <c:v>42654</c:v>
                </c:pt>
                <c:pt idx="1109">
                  <c:v>42655</c:v>
                </c:pt>
                <c:pt idx="1110">
                  <c:v>42656</c:v>
                </c:pt>
                <c:pt idx="1111">
                  <c:v>42657</c:v>
                </c:pt>
                <c:pt idx="1112">
                  <c:v>42660</c:v>
                </c:pt>
                <c:pt idx="1113">
                  <c:v>42661</c:v>
                </c:pt>
                <c:pt idx="1114">
                  <c:v>42662</c:v>
                </c:pt>
                <c:pt idx="1115">
                  <c:v>42663</c:v>
                </c:pt>
                <c:pt idx="1116">
                  <c:v>42664</c:v>
                </c:pt>
                <c:pt idx="1117">
                  <c:v>42667</c:v>
                </c:pt>
                <c:pt idx="1118">
                  <c:v>42668</c:v>
                </c:pt>
                <c:pt idx="1119">
                  <c:v>42669</c:v>
                </c:pt>
                <c:pt idx="1120">
                  <c:v>42670</c:v>
                </c:pt>
                <c:pt idx="1121">
                  <c:v>42671</c:v>
                </c:pt>
                <c:pt idx="1122">
                  <c:v>42674</c:v>
                </c:pt>
                <c:pt idx="1123">
                  <c:v>42675</c:v>
                </c:pt>
                <c:pt idx="1124">
                  <c:v>42676</c:v>
                </c:pt>
                <c:pt idx="1125">
                  <c:v>42677</c:v>
                </c:pt>
                <c:pt idx="1126">
                  <c:v>42678</c:v>
                </c:pt>
                <c:pt idx="1127">
                  <c:v>42681</c:v>
                </c:pt>
                <c:pt idx="1128">
                  <c:v>42682</c:v>
                </c:pt>
                <c:pt idx="1129">
                  <c:v>42683</c:v>
                </c:pt>
                <c:pt idx="1130">
                  <c:v>42684</c:v>
                </c:pt>
                <c:pt idx="1131">
                  <c:v>42688</c:v>
                </c:pt>
                <c:pt idx="1132">
                  <c:v>42689</c:v>
                </c:pt>
                <c:pt idx="1133">
                  <c:v>42690</c:v>
                </c:pt>
                <c:pt idx="1134">
                  <c:v>42691</c:v>
                </c:pt>
                <c:pt idx="1135">
                  <c:v>42692</c:v>
                </c:pt>
                <c:pt idx="1136">
                  <c:v>42695</c:v>
                </c:pt>
                <c:pt idx="1137">
                  <c:v>42696</c:v>
                </c:pt>
                <c:pt idx="1138">
                  <c:v>42697</c:v>
                </c:pt>
                <c:pt idx="1139">
                  <c:v>42699</c:v>
                </c:pt>
                <c:pt idx="1140">
                  <c:v>42702</c:v>
                </c:pt>
                <c:pt idx="1141">
                  <c:v>42703</c:v>
                </c:pt>
                <c:pt idx="1142">
                  <c:v>42704</c:v>
                </c:pt>
                <c:pt idx="1143">
                  <c:v>42705</c:v>
                </c:pt>
                <c:pt idx="1144">
                  <c:v>42706</c:v>
                </c:pt>
                <c:pt idx="1145">
                  <c:v>42709</c:v>
                </c:pt>
                <c:pt idx="1146">
                  <c:v>42710</c:v>
                </c:pt>
                <c:pt idx="1147">
                  <c:v>42711</c:v>
                </c:pt>
                <c:pt idx="1148">
                  <c:v>42712</c:v>
                </c:pt>
                <c:pt idx="1149">
                  <c:v>42713</c:v>
                </c:pt>
                <c:pt idx="1150">
                  <c:v>42716</c:v>
                </c:pt>
                <c:pt idx="1151">
                  <c:v>42717</c:v>
                </c:pt>
                <c:pt idx="1152">
                  <c:v>42718</c:v>
                </c:pt>
                <c:pt idx="1153">
                  <c:v>42719</c:v>
                </c:pt>
                <c:pt idx="1154">
                  <c:v>42720</c:v>
                </c:pt>
                <c:pt idx="1155">
                  <c:v>42723</c:v>
                </c:pt>
                <c:pt idx="1156">
                  <c:v>42724</c:v>
                </c:pt>
                <c:pt idx="1157">
                  <c:v>42725</c:v>
                </c:pt>
                <c:pt idx="1158">
                  <c:v>42726</c:v>
                </c:pt>
                <c:pt idx="1159">
                  <c:v>42727</c:v>
                </c:pt>
                <c:pt idx="1160">
                  <c:v>42731</c:v>
                </c:pt>
                <c:pt idx="1161">
                  <c:v>42732</c:v>
                </c:pt>
                <c:pt idx="1162">
                  <c:v>42733</c:v>
                </c:pt>
                <c:pt idx="1163">
                  <c:v>42734</c:v>
                </c:pt>
                <c:pt idx="1164">
                  <c:v>42738</c:v>
                </c:pt>
                <c:pt idx="1165">
                  <c:v>42739</c:v>
                </c:pt>
              </c:numCache>
            </c:numRef>
          </c:cat>
          <c:val>
            <c:numRef>
              <c:f>'05.07.2012-01.04.17'!$B$2:$B$1167</c:f>
              <c:numCache>
                <c:formatCode>0.00%</c:formatCode>
                <c:ptCount val="1166"/>
                <c:pt idx="0">
                  <c:v>3.0699999999999998E-2</c:v>
                </c:pt>
                <c:pt idx="1">
                  <c:v>3.0299999999999997E-2</c:v>
                </c:pt>
                <c:pt idx="2">
                  <c:v>3.0299999999999997E-2</c:v>
                </c:pt>
                <c:pt idx="3">
                  <c:v>3.0699999999999998E-2</c:v>
                </c:pt>
                <c:pt idx="4">
                  <c:v>3.0200000000000001E-2</c:v>
                </c:pt>
                <c:pt idx="5">
                  <c:v>2.9500000000000002E-2</c:v>
                </c:pt>
                <c:pt idx="6">
                  <c:v>2.9100000000000001E-2</c:v>
                </c:pt>
                <c:pt idx="7">
                  <c:v>2.8999999999999998E-2</c:v>
                </c:pt>
                <c:pt idx="8">
                  <c:v>2.7999999999999997E-2</c:v>
                </c:pt>
                <c:pt idx="9">
                  <c:v>2.7999999999999997E-2</c:v>
                </c:pt>
                <c:pt idx="10">
                  <c:v>2.7999999999999997E-2</c:v>
                </c:pt>
                <c:pt idx="11">
                  <c:v>2.8799999999999999E-2</c:v>
                </c:pt>
                <c:pt idx="12">
                  <c:v>2.81E-2</c:v>
                </c:pt>
                <c:pt idx="13">
                  <c:v>2.86E-2</c:v>
                </c:pt>
                <c:pt idx="14">
                  <c:v>2.8500000000000001E-2</c:v>
                </c:pt>
                <c:pt idx="15">
                  <c:v>2.8500000000000001E-2</c:v>
                </c:pt>
                <c:pt idx="16">
                  <c:v>2.7200000000000002E-2</c:v>
                </c:pt>
                <c:pt idx="17">
                  <c:v>2.6699999999999998E-2</c:v>
                </c:pt>
                <c:pt idx="18">
                  <c:v>2.53E-2</c:v>
                </c:pt>
                <c:pt idx="19">
                  <c:v>2.5600000000000001E-2</c:v>
                </c:pt>
                <c:pt idx="20">
                  <c:v>2.63E-2</c:v>
                </c:pt>
                <c:pt idx="21">
                  <c:v>2.7300000000000001E-2</c:v>
                </c:pt>
                <c:pt idx="22">
                  <c:v>2.75E-2</c:v>
                </c:pt>
                <c:pt idx="23">
                  <c:v>2.7699999999999999E-2</c:v>
                </c:pt>
                <c:pt idx="24">
                  <c:v>2.7099999999999999E-2</c:v>
                </c:pt>
                <c:pt idx="25">
                  <c:v>2.7699999999999999E-2</c:v>
                </c:pt>
                <c:pt idx="26">
                  <c:v>2.7000000000000003E-2</c:v>
                </c:pt>
                <c:pt idx="27">
                  <c:v>2.7300000000000001E-2</c:v>
                </c:pt>
                <c:pt idx="28">
                  <c:v>2.7000000000000003E-2</c:v>
                </c:pt>
                <c:pt idx="29">
                  <c:v>2.6699999999999998E-2</c:v>
                </c:pt>
                <c:pt idx="30">
                  <c:v>2.7300000000000001E-2</c:v>
                </c:pt>
                <c:pt idx="31">
                  <c:v>2.7200000000000002E-2</c:v>
                </c:pt>
                <c:pt idx="32">
                  <c:v>2.6800000000000001E-2</c:v>
                </c:pt>
                <c:pt idx="33">
                  <c:v>2.75E-2</c:v>
                </c:pt>
                <c:pt idx="34">
                  <c:v>2.69E-2</c:v>
                </c:pt>
                <c:pt idx="35">
                  <c:v>2.7099999999999999E-2</c:v>
                </c:pt>
                <c:pt idx="36">
                  <c:v>2.7000000000000003E-2</c:v>
                </c:pt>
                <c:pt idx="37">
                  <c:v>2.6699999999999998E-2</c:v>
                </c:pt>
                <c:pt idx="38">
                  <c:v>2.76E-2</c:v>
                </c:pt>
                <c:pt idx="39">
                  <c:v>2.69E-2</c:v>
                </c:pt>
                <c:pt idx="40">
                  <c:v>2.7400000000000001E-2</c:v>
                </c:pt>
                <c:pt idx="41">
                  <c:v>2.7200000000000002E-2</c:v>
                </c:pt>
                <c:pt idx="42">
                  <c:v>2.6600000000000002E-2</c:v>
                </c:pt>
                <c:pt idx="43">
                  <c:v>2.6200000000000001E-2</c:v>
                </c:pt>
                <c:pt idx="44">
                  <c:v>2.6000000000000002E-2</c:v>
                </c:pt>
                <c:pt idx="45">
                  <c:v>2.6000000000000002E-2</c:v>
                </c:pt>
                <c:pt idx="46">
                  <c:v>2.5699999999999997E-2</c:v>
                </c:pt>
                <c:pt idx="47">
                  <c:v>2.58E-2</c:v>
                </c:pt>
                <c:pt idx="48">
                  <c:v>2.5600000000000001E-2</c:v>
                </c:pt>
                <c:pt idx="49">
                  <c:v>2.5899999999999999E-2</c:v>
                </c:pt>
                <c:pt idx="50">
                  <c:v>2.5899999999999999E-2</c:v>
                </c:pt>
                <c:pt idx="51">
                  <c:v>2.6099999999999998E-2</c:v>
                </c:pt>
                <c:pt idx="52">
                  <c:v>2.5499999999999998E-2</c:v>
                </c:pt>
                <c:pt idx="53">
                  <c:v>2.52E-2</c:v>
                </c:pt>
                <c:pt idx="54">
                  <c:v>2.4700000000000003E-2</c:v>
                </c:pt>
                <c:pt idx="55">
                  <c:v>2.46E-2</c:v>
                </c:pt>
                <c:pt idx="56">
                  <c:v>2.4900000000000002E-2</c:v>
                </c:pt>
                <c:pt idx="57">
                  <c:v>2.63E-2</c:v>
                </c:pt>
                <c:pt idx="58">
                  <c:v>2.58E-2</c:v>
                </c:pt>
                <c:pt idx="59">
                  <c:v>2.5600000000000001E-2</c:v>
                </c:pt>
                <c:pt idx="60">
                  <c:v>2.6000000000000002E-2</c:v>
                </c:pt>
                <c:pt idx="61">
                  <c:v>2.5499999999999998E-2</c:v>
                </c:pt>
                <c:pt idx="62">
                  <c:v>2.6499999999999999E-2</c:v>
                </c:pt>
                <c:pt idx="63">
                  <c:v>2.6499999999999999E-2</c:v>
                </c:pt>
                <c:pt idx="64">
                  <c:v>2.7200000000000002E-2</c:v>
                </c:pt>
                <c:pt idx="65">
                  <c:v>2.75E-2</c:v>
                </c:pt>
                <c:pt idx="66">
                  <c:v>2.7799999999999998E-2</c:v>
                </c:pt>
                <c:pt idx="67">
                  <c:v>2.7400000000000001E-2</c:v>
                </c:pt>
                <c:pt idx="68">
                  <c:v>2.7400000000000001E-2</c:v>
                </c:pt>
                <c:pt idx="69">
                  <c:v>2.8199999999999999E-2</c:v>
                </c:pt>
                <c:pt idx="70">
                  <c:v>2.8999999999999998E-2</c:v>
                </c:pt>
                <c:pt idx="71">
                  <c:v>2.9600000000000001E-2</c:v>
                </c:pt>
                <c:pt idx="72">
                  <c:v>2.9300000000000003E-2</c:v>
                </c:pt>
                <c:pt idx="73">
                  <c:v>2.9300000000000003E-2</c:v>
                </c:pt>
                <c:pt idx="74">
                  <c:v>2.8999999999999998E-2</c:v>
                </c:pt>
                <c:pt idx="75">
                  <c:v>2.8199999999999999E-2</c:v>
                </c:pt>
                <c:pt idx="76">
                  <c:v>2.7900000000000001E-2</c:v>
                </c:pt>
                <c:pt idx="77">
                  <c:v>2.7900000000000001E-2</c:v>
                </c:pt>
                <c:pt idx="78">
                  <c:v>2.76E-2</c:v>
                </c:pt>
                <c:pt idx="79">
                  <c:v>2.75E-2</c:v>
                </c:pt>
                <c:pt idx="80">
                  <c:v>2.7699999999999999E-2</c:v>
                </c:pt>
                <c:pt idx="81">
                  <c:v>2.75E-2</c:v>
                </c:pt>
                <c:pt idx="82">
                  <c:v>2.6800000000000001E-2</c:v>
                </c:pt>
                <c:pt idx="83">
                  <c:v>2.69E-2</c:v>
                </c:pt>
                <c:pt idx="84">
                  <c:v>2.7000000000000003E-2</c:v>
                </c:pt>
                <c:pt idx="85">
                  <c:v>2.7999999999999997E-2</c:v>
                </c:pt>
                <c:pt idx="86">
                  <c:v>2.81E-2</c:v>
                </c:pt>
                <c:pt idx="87">
                  <c:v>2.8300000000000002E-2</c:v>
                </c:pt>
                <c:pt idx="88">
                  <c:v>2.8399999999999998E-2</c:v>
                </c:pt>
                <c:pt idx="89">
                  <c:v>2.92E-2</c:v>
                </c:pt>
                <c:pt idx="90">
                  <c:v>2.9500000000000002E-2</c:v>
                </c:pt>
                <c:pt idx="91">
                  <c:v>3.0899999999999997E-2</c:v>
                </c:pt>
                <c:pt idx="92">
                  <c:v>3.0299999999999997E-2</c:v>
                </c:pt>
                <c:pt idx="93">
                  <c:v>0.03</c:v>
                </c:pt>
                <c:pt idx="94">
                  <c:v>2.9700000000000001E-2</c:v>
                </c:pt>
                <c:pt idx="95">
                  <c:v>2.9600000000000001E-2</c:v>
                </c:pt>
                <c:pt idx="96">
                  <c:v>2.9500000000000002E-2</c:v>
                </c:pt>
                <c:pt idx="97">
                  <c:v>2.9100000000000001E-2</c:v>
                </c:pt>
                <c:pt idx="98">
                  <c:v>2.86E-2</c:v>
                </c:pt>
                <c:pt idx="99">
                  <c:v>2.7900000000000001E-2</c:v>
                </c:pt>
                <c:pt idx="100">
                  <c:v>2.8300000000000002E-2</c:v>
                </c:pt>
                <c:pt idx="101">
                  <c:v>2.8199999999999999E-2</c:v>
                </c:pt>
                <c:pt idx="102">
                  <c:v>2.81E-2</c:v>
                </c:pt>
                <c:pt idx="103">
                  <c:v>2.81E-2</c:v>
                </c:pt>
                <c:pt idx="104">
                  <c:v>2.8199999999999999E-2</c:v>
                </c:pt>
                <c:pt idx="105">
                  <c:v>2.8900000000000002E-2</c:v>
                </c:pt>
                <c:pt idx="106">
                  <c:v>2.9600000000000001E-2</c:v>
                </c:pt>
                <c:pt idx="107">
                  <c:v>2.9300000000000003E-2</c:v>
                </c:pt>
                <c:pt idx="108">
                  <c:v>2.8900000000000002E-2</c:v>
                </c:pt>
                <c:pt idx="109">
                  <c:v>2.86E-2</c:v>
                </c:pt>
                <c:pt idx="110">
                  <c:v>2.8300000000000002E-2</c:v>
                </c:pt>
                <c:pt idx="111">
                  <c:v>2.8500000000000001E-2</c:v>
                </c:pt>
                <c:pt idx="112">
                  <c:v>2.9100000000000001E-2</c:v>
                </c:pt>
                <c:pt idx="113">
                  <c:v>2.98E-2</c:v>
                </c:pt>
                <c:pt idx="114">
                  <c:v>3.0200000000000001E-2</c:v>
                </c:pt>
                <c:pt idx="115">
                  <c:v>2.9399999999999999E-2</c:v>
                </c:pt>
                <c:pt idx="116">
                  <c:v>2.9500000000000002E-2</c:v>
                </c:pt>
                <c:pt idx="117">
                  <c:v>2.9100000000000001E-2</c:v>
                </c:pt>
                <c:pt idx="118">
                  <c:v>2.9300000000000003E-2</c:v>
                </c:pt>
                <c:pt idx="119">
                  <c:v>2.98E-2</c:v>
                </c:pt>
                <c:pt idx="120">
                  <c:v>2.92E-2</c:v>
                </c:pt>
                <c:pt idx="121">
                  <c:v>2.87E-2</c:v>
                </c:pt>
                <c:pt idx="122">
                  <c:v>2.8500000000000001E-2</c:v>
                </c:pt>
                <c:pt idx="123">
                  <c:v>2.8900000000000002E-2</c:v>
                </c:pt>
                <c:pt idx="124">
                  <c:v>2.9100000000000001E-2</c:v>
                </c:pt>
                <c:pt idx="125">
                  <c:v>2.8799999999999999E-2</c:v>
                </c:pt>
                <c:pt idx="126">
                  <c:v>2.92E-2</c:v>
                </c:pt>
                <c:pt idx="127">
                  <c:v>2.8300000000000002E-2</c:v>
                </c:pt>
                <c:pt idx="128">
                  <c:v>2.7699999999999999E-2</c:v>
                </c:pt>
                <c:pt idx="129">
                  <c:v>2.75E-2</c:v>
                </c:pt>
                <c:pt idx="130">
                  <c:v>2.7200000000000002E-2</c:v>
                </c:pt>
                <c:pt idx="131">
                  <c:v>2.7300000000000001E-2</c:v>
                </c:pt>
                <c:pt idx="132">
                  <c:v>2.7200000000000002E-2</c:v>
                </c:pt>
                <c:pt idx="133">
                  <c:v>2.7300000000000001E-2</c:v>
                </c:pt>
                <c:pt idx="134">
                  <c:v>2.76E-2</c:v>
                </c:pt>
                <c:pt idx="135">
                  <c:v>2.8199999999999999E-2</c:v>
                </c:pt>
                <c:pt idx="136">
                  <c:v>2.8300000000000002E-2</c:v>
                </c:pt>
                <c:pt idx="137">
                  <c:v>2.8300000000000002E-2</c:v>
                </c:pt>
                <c:pt idx="138">
                  <c:v>2.7999999999999997E-2</c:v>
                </c:pt>
                <c:pt idx="139">
                  <c:v>2.7900000000000001E-2</c:v>
                </c:pt>
                <c:pt idx="140">
                  <c:v>2.7900000000000001E-2</c:v>
                </c:pt>
                <c:pt idx="141">
                  <c:v>2.7900000000000001E-2</c:v>
                </c:pt>
                <c:pt idx="142">
                  <c:v>2.81E-2</c:v>
                </c:pt>
                <c:pt idx="143">
                  <c:v>2.7999999999999997E-2</c:v>
                </c:pt>
                <c:pt idx="144">
                  <c:v>2.7799999999999998E-2</c:v>
                </c:pt>
                <c:pt idx="145">
                  <c:v>2.7799999999999998E-2</c:v>
                </c:pt>
                <c:pt idx="146">
                  <c:v>2.76E-2</c:v>
                </c:pt>
                <c:pt idx="147">
                  <c:v>2.81E-2</c:v>
                </c:pt>
                <c:pt idx="148">
                  <c:v>2.7999999999999997E-2</c:v>
                </c:pt>
                <c:pt idx="149">
                  <c:v>2.8300000000000002E-2</c:v>
                </c:pt>
                <c:pt idx="150">
                  <c:v>2.8999999999999998E-2</c:v>
                </c:pt>
                <c:pt idx="151">
                  <c:v>2.8999999999999998E-2</c:v>
                </c:pt>
                <c:pt idx="152">
                  <c:v>2.87E-2</c:v>
                </c:pt>
                <c:pt idx="153">
                  <c:v>2.9399999999999999E-2</c:v>
                </c:pt>
                <c:pt idx="154">
                  <c:v>0.03</c:v>
                </c:pt>
                <c:pt idx="155">
                  <c:v>2.9900000000000003E-2</c:v>
                </c:pt>
                <c:pt idx="156">
                  <c:v>2.98E-2</c:v>
                </c:pt>
                <c:pt idx="157">
                  <c:v>2.9300000000000003E-2</c:v>
                </c:pt>
                <c:pt idx="158">
                  <c:v>2.9399999999999999E-2</c:v>
                </c:pt>
                <c:pt idx="159">
                  <c:v>2.9399999999999999E-2</c:v>
                </c:pt>
                <c:pt idx="160">
                  <c:v>2.8900000000000002E-2</c:v>
                </c:pt>
                <c:pt idx="161">
                  <c:v>2.8799999999999999E-2</c:v>
                </c:pt>
                <c:pt idx="162">
                  <c:v>2.9500000000000002E-2</c:v>
                </c:pt>
                <c:pt idx="163">
                  <c:v>3.04E-2</c:v>
                </c:pt>
                <c:pt idx="164">
                  <c:v>3.1200000000000002E-2</c:v>
                </c:pt>
                <c:pt idx="165">
                  <c:v>3.1E-2</c:v>
                </c:pt>
                <c:pt idx="166">
                  <c:v>3.1E-2</c:v>
                </c:pt>
                <c:pt idx="167">
                  <c:v>3.0600000000000002E-2</c:v>
                </c:pt>
                <c:pt idx="168">
                  <c:v>3.0600000000000002E-2</c:v>
                </c:pt>
                <c:pt idx="169">
                  <c:v>3.0800000000000001E-2</c:v>
                </c:pt>
                <c:pt idx="170">
                  <c:v>3.0499999999999999E-2</c:v>
                </c:pt>
                <c:pt idx="171">
                  <c:v>3.0499999999999999E-2</c:v>
                </c:pt>
                <c:pt idx="172">
                  <c:v>3.0200000000000001E-2</c:v>
                </c:pt>
                <c:pt idx="173">
                  <c:v>3.0099999999999998E-2</c:v>
                </c:pt>
                <c:pt idx="174">
                  <c:v>3.0600000000000002E-2</c:v>
                </c:pt>
                <c:pt idx="175">
                  <c:v>3.0299999999999997E-2</c:v>
                </c:pt>
                <c:pt idx="176">
                  <c:v>3.0200000000000001E-2</c:v>
                </c:pt>
                <c:pt idx="177">
                  <c:v>3.0200000000000001E-2</c:v>
                </c:pt>
                <c:pt idx="178">
                  <c:v>3.04E-2</c:v>
                </c:pt>
                <c:pt idx="179">
                  <c:v>3.1400000000000004E-2</c:v>
                </c:pt>
                <c:pt idx="180">
                  <c:v>3.15E-2</c:v>
                </c:pt>
                <c:pt idx="181">
                  <c:v>3.1800000000000002E-2</c:v>
                </c:pt>
                <c:pt idx="182">
                  <c:v>3.1899999999999998E-2</c:v>
                </c:pt>
                <c:pt idx="183">
                  <c:v>3.1699999999999999E-2</c:v>
                </c:pt>
                <c:pt idx="184">
                  <c:v>3.2099999999999997E-2</c:v>
                </c:pt>
                <c:pt idx="185">
                  <c:v>3.1699999999999999E-2</c:v>
                </c:pt>
                <c:pt idx="186">
                  <c:v>3.2099999999999997E-2</c:v>
                </c:pt>
                <c:pt idx="187">
                  <c:v>3.1800000000000002E-2</c:v>
                </c:pt>
                <c:pt idx="188">
                  <c:v>3.1699999999999999E-2</c:v>
                </c:pt>
                <c:pt idx="189">
                  <c:v>3.1699999999999999E-2</c:v>
                </c:pt>
                <c:pt idx="190">
                  <c:v>3.1600000000000003E-2</c:v>
                </c:pt>
                <c:pt idx="191">
                  <c:v>3.1899999999999998E-2</c:v>
                </c:pt>
                <c:pt idx="192">
                  <c:v>3.2300000000000002E-2</c:v>
                </c:pt>
                <c:pt idx="193">
                  <c:v>3.1699999999999999E-2</c:v>
                </c:pt>
                <c:pt idx="194">
                  <c:v>3.1800000000000002E-2</c:v>
                </c:pt>
                <c:pt idx="195">
                  <c:v>3.2099999999999997E-2</c:v>
                </c:pt>
                <c:pt idx="196">
                  <c:v>3.2000000000000001E-2</c:v>
                </c:pt>
                <c:pt idx="197">
                  <c:v>3.1699999999999999E-2</c:v>
                </c:pt>
                <c:pt idx="198">
                  <c:v>3.15E-2</c:v>
                </c:pt>
                <c:pt idx="199">
                  <c:v>3.0800000000000001E-2</c:v>
                </c:pt>
                <c:pt idx="200">
                  <c:v>3.0800000000000001E-2</c:v>
                </c:pt>
                <c:pt idx="201">
                  <c:v>3.1099999999999999E-2</c:v>
                </c:pt>
                <c:pt idx="202">
                  <c:v>3.1E-2</c:v>
                </c:pt>
                <c:pt idx="203">
                  <c:v>3.0600000000000002E-2</c:v>
                </c:pt>
                <c:pt idx="204">
                  <c:v>3.0800000000000001E-2</c:v>
                </c:pt>
                <c:pt idx="205">
                  <c:v>3.1E-2</c:v>
                </c:pt>
                <c:pt idx="206">
                  <c:v>3.15E-2</c:v>
                </c:pt>
                <c:pt idx="207">
                  <c:v>3.2000000000000001E-2</c:v>
                </c:pt>
                <c:pt idx="208">
                  <c:v>3.2500000000000001E-2</c:v>
                </c:pt>
                <c:pt idx="209">
                  <c:v>3.2599999999999997E-2</c:v>
                </c:pt>
                <c:pt idx="210">
                  <c:v>3.2199999999999999E-2</c:v>
                </c:pt>
                <c:pt idx="211">
                  <c:v>3.2199999999999999E-2</c:v>
                </c:pt>
                <c:pt idx="212">
                  <c:v>3.2500000000000001E-2</c:v>
                </c:pt>
                <c:pt idx="213">
                  <c:v>3.2199999999999999E-2</c:v>
                </c:pt>
                <c:pt idx="214">
                  <c:v>3.1800000000000002E-2</c:v>
                </c:pt>
                <c:pt idx="215">
                  <c:v>3.1300000000000001E-2</c:v>
                </c:pt>
                <c:pt idx="216">
                  <c:v>3.1899999999999998E-2</c:v>
                </c:pt>
                <c:pt idx="217">
                  <c:v>3.15E-2</c:v>
                </c:pt>
                <c:pt idx="218">
                  <c:v>3.1300000000000001E-2</c:v>
                </c:pt>
                <c:pt idx="219">
                  <c:v>3.1400000000000004E-2</c:v>
                </c:pt>
                <c:pt idx="220">
                  <c:v>3.1300000000000001E-2</c:v>
                </c:pt>
                <c:pt idx="221">
                  <c:v>3.0899999999999997E-2</c:v>
                </c:pt>
                <c:pt idx="222">
                  <c:v>3.1E-2</c:v>
                </c:pt>
                <c:pt idx="223">
                  <c:v>3.0800000000000001E-2</c:v>
                </c:pt>
                <c:pt idx="224">
                  <c:v>3.1E-2</c:v>
                </c:pt>
                <c:pt idx="225">
                  <c:v>3.0499999999999999E-2</c:v>
                </c:pt>
                <c:pt idx="226">
                  <c:v>2.9900000000000003E-2</c:v>
                </c:pt>
                <c:pt idx="227">
                  <c:v>2.87E-2</c:v>
                </c:pt>
                <c:pt idx="228">
                  <c:v>2.9100000000000001E-2</c:v>
                </c:pt>
                <c:pt idx="229">
                  <c:v>2.9399999999999999E-2</c:v>
                </c:pt>
                <c:pt idx="230">
                  <c:v>3.0099999999999998E-2</c:v>
                </c:pt>
                <c:pt idx="231">
                  <c:v>3.0099999999999998E-2</c:v>
                </c:pt>
                <c:pt idx="232">
                  <c:v>2.92E-2</c:v>
                </c:pt>
                <c:pt idx="233">
                  <c:v>2.8799999999999999E-2</c:v>
                </c:pt>
                <c:pt idx="234">
                  <c:v>2.9100000000000001E-2</c:v>
                </c:pt>
                <c:pt idx="235">
                  <c:v>2.8900000000000002E-2</c:v>
                </c:pt>
                <c:pt idx="236">
                  <c:v>2.87E-2</c:v>
                </c:pt>
                <c:pt idx="237">
                  <c:v>2.8799999999999999E-2</c:v>
                </c:pt>
                <c:pt idx="238">
                  <c:v>2.8799999999999999E-2</c:v>
                </c:pt>
                <c:pt idx="239">
                  <c:v>2.8999999999999998E-2</c:v>
                </c:pt>
                <c:pt idx="240">
                  <c:v>2.8900000000000002E-2</c:v>
                </c:pt>
                <c:pt idx="241">
                  <c:v>2.9100000000000001E-2</c:v>
                </c:pt>
                <c:pt idx="242">
                  <c:v>2.87E-2</c:v>
                </c:pt>
                <c:pt idx="243">
                  <c:v>2.8799999999999999E-2</c:v>
                </c:pt>
                <c:pt idx="244">
                  <c:v>2.8799999999999999E-2</c:v>
                </c:pt>
                <c:pt idx="245">
                  <c:v>2.8300000000000002E-2</c:v>
                </c:pt>
                <c:pt idx="246">
                  <c:v>2.8199999999999999E-2</c:v>
                </c:pt>
                <c:pt idx="247">
                  <c:v>2.9600000000000001E-2</c:v>
                </c:pt>
                <c:pt idx="248">
                  <c:v>2.98E-2</c:v>
                </c:pt>
                <c:pt idx="249">
                  <c:v>0.03</c:v>
                </c:pt>
                <c:pt idx="250">
                  <c:v>2.9900000000000003E-2</c:v>
                </c:pt>
                <c:pt idx="251">
                  <c:v>3.0099999999999998E-2</c:v>
                </c:pt>
                <c:pt idx="252">
                  <c:v>3.1E-2</c:v>
                </c:pt>
                <c:pt idx="253">
                  <c:v>3.1300000000000001E-2</c:v>
                </c:pt>
                <c:pt idx="254">
                  <c:v>3.1699999999999999E-2</c:v>
                </c:pt>
                <c:pt idx="255">
                  <c:v>3.1600000000000003E-2</c:v>
                </c:pt>
                <c:pt idx="256">
                  <c:v>3.0899999999999997E-2</c:v>
                </c:pt>
                <c:pt idx="257">
                  <c:v>3.1699999999999999E-2</c:v>
                </c:pt>
                <c:pt idx="258">
                  <c:v>3.1800000000000002E-2</c:v>
                </c:pt>
                <c:pt idx="259">
                  <c:v>3.1400000000000004E-2</c:v>
                </c:pt>
                <c:pt idx="260">
                  <c:v>3.2099999999999997E-2</c:v>
                </c:pt>
                <c:pt idx="261">
                  <c:v>3.2000000000000001E-2</c:v>
                </c:pt>
                <c:pt idx="262">
                  <c:v>3.1800000000000002E-2</c:v>
                </c:pt>
                <c:pt idx="263">
                  <c:v>3.3099999999999997E-2</c:v>
                </c:pt>
                <c:pt idx="264">
                  <c:v>3.27E-2</c:v>
                </c:pt>
                <c:pt idx="265">
                  <c:v>3.2799999999999996E-2</c:v>
                </c:pt>
                <c:pt idx="266">
                  <c:v>3.3000000000000002E-2</c:v>
                </c:pt>
                <c:pt idx="267">
                  <c:v>3.27E-2</c:v>
                </c:pt>
                <c:pt idx="268">
                  <c:v>3.3000000000000002E-2</c:v>
                </c:pt>
                <c:pt idx="269">
                  <c:v>3.2500000000000001E-2</c:v>
                </c:pt>
                <c:pt idx="270">
                  <c:v>3.2300000000000002E-2</c:v>
                </c:pt>
                <c:pt idx="271">
                  <c:v>3.3300000000000003E-2</c:v>
                </c:pt>
                <c:pt idx="272">
                  <c:v>3.3599999999999998E-2</c:v>
                </c:pt>
                <c:pt idx="273">
                  <c:v>3.3300000000000003E-2</c:v>
                </c:pt>
                <c:pt idx="274">
                  <c:v>3.3700000000000001E-2</c:v>
                </c:pt>
                <c:pt idx="275">
                  <c:v>3.3300000000000003E-2</c:v>
                </c:pt>
                <c:pt idx="276">
                  <c:v>3.2799999999999996E-2</c:v>
                </c:pt>
                <c:pt idx="277">
                  <c:v>3.3500000000000002E-2</c:v>
                </c:pt>
                <c:pt idx="278">
                  <c:v>3.3399999999999999E-2</c:v>
                </c:pt>
                <c:pt idx="279">
                  <c:v>3.4099999999999998E-2</c:v>
                </c:pt>
                <c:pt idx="280">
                  <c:v>3.49E-2</c:v>
                </c:pt>
                <c:pt idx="281">
                  <c:v>3.56E-2</c:v>
                </c:pt>
                <c:pt idx="282">
                  <c:v>3.56E-2</c:v>
                </c:pt>
                <c:pt idx="283">
                  <c:v>3.6000000000000004E-2</c:v>
                </c:pt>
                <c:pt idx="284">
                  <c:v>3.5799999999999998E-2</c:v>
                </c:pt>
                <c:pt idx="285">
                  <c:v>3.5400000000000001E-2</c:v>
                </c:pt>
                <c:pt idx="286">
                  <c:v>3.5200000000000002E-2</c:v>
                </c:pt>
                <c:pt idx="287">
                  <c:v>3.4799999999999998E-2</c:v>
                </c:pt>
                <c:pt idx="288">
                  <c:v>3.4700000000000002E-2</c:v>
                </c:pt>
                <c:pt idx="289">
                  <c:v>3.49E-2</c:v>
                </c:pt>
                <c:pt idx="290">
                  <c:v>3.6799999999999999E-2</c:v>
                </c:pt>
                <c:pt idx="291">
                  <c:v>3.6299999999999999E-2</c:v>
                </c:pt>
                <c:pt idx="292">
                  <c:v>3.6400000000000002E-2</c:v>
                </c:pt>
                <c:pt idx="293">
                  <c:v>3.6799999999999999E-2</c:v>
                </c:pt>
                <c:pt idx="294">
                  <c:v>3.6400000000000002E-2</c:v>
                </c:pt>
                <c:pt idx="295">
                  <c:v>3.6400000000000002E-2</c:v>
                </c:pt>
                <c:pt idx="296">
                  <c:v>3.61E-2</c:v>
                </c:pt>
                <c:pt idx="297">
                  <c:v>3.5799999999999998E-2</c:v>
                </c:pt>
                <c:pt idx="298">
                  <c:v>3.5699999999999996E-2</c:v>
                </c:pt>
                <c:pt idx="299">
                  <c:v>3.6299999999999999E-2</c:v>
                </c:pt>
                <c:pt idx="300">
                  <c:v>3.56E-2</c:v>
                </c:pt>
                <c:pt idx="301">
                  <c:v>3.5499999999999997E-2</c:v>
                </c:pt>
                <c:pt idx="302">
                  <c:v>3.5799999999999998E-2</c:v>
                </c:pt>
                <c:pt idx="303">
                  <c:v>3.6499999999999998E-2</c:v>
                </c:pt>
                <c:pt idx="304">
                  <c:v>3.6499999999999998E-2</c:v>
                </c:pt>
                <c:pt idx="305">
                  <c:v>3.61E-2</c:v>
                </c:pt>
                <c:pt idx="306">
                  <c:v>3.6600000000000001E-2</c:v>
                </c:pt>
                <c:pt idx="307">
                  <c:v>3.6699999999999997E-2</c:v>
                </c:pt>
                <c:pt idx="308">
                  <c:v>3.6400000000000002E-2</c:v>
                </c:pt>
                <c:pt idx="309">
                  <c:v>3.7699999999999997E-2</c:v>
                </c:pt>
                <c:pt idx="310">
                  <c:v>3.6900000000000002E-2</c:v>
                </c:pt>
                <c:pt idx="311">
                  <c:v>3.73E-2</c:v>
                </c:pt>
                <c:pt idx="312">
                  <c:v>3.73E-2</c:v>
                </c:pt>
                <c:pt idx="313">
                  <c:v>3.6799999999999999E-2</c:v>
                </c:pt>
                <c:pt idx="314">
                  <c:v>3.6499999999999998E-2</c:v>
                </c:pt>
                <c:pt idx="315">
                  <c:v>3.6299999999999999E-2</c:v>
                </c:pt>
                <c:pt idx="316">
                  <c:v>3.6699999999999997E-2</c:v>
                </c:pt>
                <c:pt idx="317">
                  <c:v>3.7499999999999999E-2</c:v>
                </c:pt>
                <c:pt idx="318">
                  <c:v>3.7499999999999999E-2</c:v>
                </c:pt>
                <c:pt idx="319">
                  <c:v>3.8100000000000002E-2</c:v>
                </c:pt>
                <c:pt idx="320">
                  <c:v>3.8599999999999995E-2</c:v>
                </c:pt>
                <c:pt idx="321">
                  <c:v>3.8900000000000004E-2</c:v>
                </c:pt>
                <c:pt idx="322">
                  <c:v>3.8599999999999995E-2</c:v>
                </c:pt>
                <c:pt idx="323">
                  <c:v>3.9E-2</c:v>
                </c:pt>
                <c:pt idx="324">
                  <c:v>3.8800000000000001E-2</c:v>
                </c:pt>
                <c:pt idx="325">
                  <c:v>3.7999999999999999E-2</c:v>
                </c:pt>
                <c:pt idx="326">
                  <c:v>3.7699999999999997E-2</c:v>
                </c:pt>
                <c:pt idx="327">
                  <c:v>3.7000000000000005E-2</c:v>
                </c:pt>
                <c:pt idx="328">
                  <c:v>3.7499999999999999E-2</c:v>
                </c:pt>
                <c:pt idx="329">
                  <c:v>3.7000000000000005E-2</c:v>
                </c:pt>
                <c:pt idx="330">
                  <c:v>3.7000000000000005E-2</c:v>
                </c:pt>
                <c:pt idx="331">
                  <c:v>3.7900000000000003E-2</c:v>
                </c:pt>
                <c:pt idx="332">
                  <c:v>3.7999999999999999E-2</c:v>
                </c:pt>
                <c:pt idx="333">
                  <c:v>3.8800000000000001E-2</c:v>
                </c:pt>
                <c:pt idx="334">
                  <c:v>3.8699999999999998E-2</c:v>
                </c:pt>
                <c:pt idx="335">
                  <c:v>3.8399999999999997E-2</c:v>
                </c:pt>
                <c:pt idx="336">
                  <c:v>3.8800000000000001E-2</c:v>
                </c:pt>
                <c:pt idx="337">
                  <c:v>3.85E-2</c:v>
                </c:pt>
                <c:pt idx="338">
                  <c:v>3.85E-2</c:v>
                </c:pt>
                <c:pt idx="339">
                  <c:v>3.8399999999999997E-2</c:v>
                </c:pt>
                <c:pt idx="340">
                  <c:v>3.8699999999999998E-2</c:v>
                </c:pt>
                <c:pt idx="341">
                  <c:v>3.8399999999999997E-2</c:v>
                </c:pt>
                <c:pt idx="342">
                  <c:v>3.7499999999999999E-2</c:v>
                </c:pt>
                <c:pt idx="343">
                  <c:v>3.7999999999999999E-2</c:v>
                </c:pt>
                <c:pt idx="344">
                  <c:v>3.7699999999999997E-2</c:v>
                </c:pt>
                <c:pt idx="345">
                  <c:v>3.73E-2</c:v>
                </c:pt>
                <c:pt idx="346">
                  <c:v>3.6699999999999997E-2</c:v>
                </c:pt>
                <c:pt idx="347">
                  <c:v>3.6499999999999998E-2</c:v>
                </c:pt>
                <c:pt idx="348">
                  <c:v>3.6900000000000002E-2</c:v>
                </c:pt>
                <c:pt idx="349">
                  <c:v>3.6799999999999999E-2</c:v>
                </c:pt>
                <c:pt idx="350">
                  <c:v>3.6900000000000002E-2</c:v>
                </c:pt>
                <c:pt idx="351">
                  <c:v>3.7200000000000004E-2</c:v>
                </c:pt>
                <c:pt idx="352">
                  <c:v>3.7000000000000005E-2</c:v>
                </c:pt>
                <c:pt idx="353">
                  <c:v>3.7100000000000001E-2</c:v>
                </c:pt>
                <c:pt idx="354">
                  <c:v>3.73E-2</c:v>
                </c:pt>
                <c:pt idx="355">
                  <c:v>3.7000000000000005E-2</c:v>
                </c:pt>
                <c:pt idx="356">
                  <c:v>3.7000000000000005E-2</c:v>
                </c:pt>
                <c:pt idx="357">
                  <c:v>3.73E-2</c:v>
                </c:pt>
                <c:pt idx="358">
                  <c:v>3.7499999999999999E-2</c:v>
                </c:pt>
                <c:pt idx="359">
                  <c:v>3.7400000000000003E-2</c:v>
                </c:pt>
                <c:pt idx="360">
                  <c:v>3.78E-2</c:v>
                </c:pt>
                <c:pt idx="361">
                  <c:v>3.7200000000000004E-2</c:v>
                </c:pt>
                <c:pt idx="362">
                  <c:v>3.6600000000000001E-2</c:v>
                </c:pt>
                <c:pt idx="363">
                  <c:v>3.6499999999999998E-2</c:v>
                </c:pt>
                <c:pt idx="364">
                  <c:v>3.6799999999999999E-2</c:v>
                </c:pt>
                <c:pt idx="365">
                  <c:v>3.61E-2</c:v>
                </c:pt>
                <c:pt idx="366">
                  <c:v>3.5900000000000001E-2</c:v>
                </c:pt>
                <c:pt idx="367">
                  <c:v>3.61E-2</c:v>
                </c:pt>
                <c:pt idx="368">
                  <c:v>3.6000000000000004E-2</c:v>
                </c:pt>
                <c:pt idx="369">
                  <c:v>3.61E-2</c:v>
                </c:pt>
                <c:pt idx="370">
                  <c:v>3.6200000000000003E-2</c:v>
                </c:pt>
                <c:pt idx="371">
                  <c:v>3.6299999999999999E-2</c:v>
                </c:pt>
                <c:pt idx="372">
                  <c:v>3.6299999999999999E-2</c:v>
                </c:pt>
                <c:pt idx="373">
                  <c:v>3.6900000000000002E-2</c:v>
                </c:pt>
                <c:pt idx="374">
                  <c:v>3.7000000000000005E-2</c:v>
                </c:pt>
                <c:pt idx="375">
                  <c:v>3.7599999999999995E-2</c:v>
                </c:pt>
                <c:pt idx="376">
                  <c:v>3.7699999999999997E-2</c:v>
                </c:pt>
                <c:pt idx="377">
                  <c:v>3.7100000000000001E-2</c:v>
                </c:pt>
                <c:pt idx="378">
                  <c:v>3.8399999999999997E-2</c:v>
                </c:pt>
                <c:pt idx="379">
                  <c:v>3.8599999999999995E-2</c:v>
                </c:pt>
                <c:pt idx="380">
                  <c:v>3.8300000000000001E-2</c:v>
                </c:pt>
                <c:pt idx="381">
                  <c:v>3.7900000000000003E-2</c:v>
                </c:pt>
                <c:pt idx="382">
                  <c:v>3.7999999999999999E-2</c:v>
                </c:pt>
                <c:pt idx="383">
                  <c:v>3.7599999999999995E-2</c:v>
                </c:pt>
                <c:pt idx="384">
                  <c:v>3.7999999999999999E-2</c:v>
                </c:pt>
                <c:pt idx="385">
                  <c:v>3.9E-2</c:v>
                </c:pt>
                <c:pt idx="386">
                  <c:v>3.8900000000000004E-2</c:v>
                </c:pt>
                <c:pt idx="387">
                  <c:v>3.8399999999999997E-2</c:v>
                </c:pt>
                <c:pt idx="388">
                  <c:v>3.8300000000000001E-2</c:v>
                </c:pt>
                <c:pt idx="389">
                  <c:v>3.7999999999999999E-2</c:v>
                </c:pt>
                <c:pt idx="390">
                  <c:v>3.8100000000000002E-2</c:v>
                </c:pt>
                <c:pt idx="391">
                  <c:v>3.8199999999999998E-2</c:v>
                </c:pt>
                <c:pt idx="392">
                  <c:v>3.8599999999999995E-2</c:v>
                </c:pt>
                <c:pt idx="393">
                  <c:v>3.8399999999999997E-2</c:v>
                </c:pt>
                <c:pt idx="394">
                  <c:v>3.9E-2</c:v>
                </c:pt>
                <c:pt idx="395">
                  <c:v>3.9199999999999999E-2</c:v>
                </c:pt>
                <c:pt idx="396">
                  <c:v>3.9E-2</c:v>
                </c:pt>
                <c:pt idx="397">
                  <c:v>3.8800000000000001E-2</c:v>
                </c:pt>
                <c:pt idx="398">
                  <c:v>3.8300000000000001E-2</c:v>
                </c:pt>
                <c:pt idx="399">
                  <c:v>3.8699999999999998E-2</c:v>
                </c:pt>
                <c:pt idx="400">
                  <c:v>3.9100000000000003E-2</c:v>
                </c:pt>
                <c:pt idx="401">
                  <c:v>3.8800000000000001E-2</c:v>
                </c:pt>
                <c:pt idx="402">
                  <c:v>3.9E-2</c:v>
                </c:pt>
                <c:pt idx="403">
                  <c:v>3.8800000000000001E-2</c:v>
                </c:pt>
                <c:pt idx="404">
                  <c:v>3.9E-2</c:v>
                </c:pt>
                <c:pt idx="405">
                  <c:v>3.9100000000000003E-2</c:v>
                </c:pt>
                <c:pt idx="406">
                  <c:v>3.8199999999999998E-2</c:v>
                </c:pt>
                <c:pt idx="407">
                  <c:v>3.85E-2</c:v>
                </c:pt>
                <c:pt idx="408">
                  <c:v>3.9E-2</c:v>
                </c:pt>
                <c:pt idx="409">
                  <c:v>3.9199999999999999E-2</c:v>
                </c:pt>
                <c:pt idx="410">
                  <c:v>3.9399999999999998E-2</c:v>
                </c:pt>
                <c:pt idx="411">
                  <c:v>3.9E-2</c:v>
                </c:pt>
                <c:pt idx="412">
                  <c:v>3.9599999999999996E-2</c:v>
                </c:pt>
                <c:pt idx="413">
                  <c:v>3.9199999999999999E-2</c:v>
                </c:pt>
                <c:pt idx="414">
                  <c:v>3.9300000000000002E-2</c:v>
                </c:pt>
                <c:pt idx="415">
                  <c:v>3.9E-2</c:v>
                </c:pt>
                <c:pt idx="416">
                  <c:v>3.8800000000000001E-2</c:v>
                </c:pt>
                <c:pt idx="417">
                  <c:v>3.9E-2</c:v>
                </c:pt>
                <c:pt idx="418">
                  <c:v>3.8800000000000001E-2</c:v>
                </c:pt>
                <c:pt idx="419">
                  <c:v>3.7999999999999999E-2</c:v>
                </c:pt>
                <c:pt idx="420">
                  <c:v>3.7699999999999997E-2</c:v>
                </c:pt>
                <c:pt idx="421">
                  <c:v>3.7999999999999999E-2</c:v>
                </c:pt>
                <c:pt idx="422">
                  <c:v>3.8100000000000002E-2</c:v>
                </c:pt>
                <c:pt idx="423">
                  <c:v>3.7699999999999997E-2</c:v>
                </c:pt>
                <c:pt idx="424">
                  <c:v>3.7499999999999999E-2</c:v>
                </c:pt>
                <c:pt idx="425">
                  <c:v>3.7400000000000003E-2</c:v>
                </c:pt>
                <c:pt idx="426">
                  <c:v>3.7499999999999999E-2</c:v>
                </c:pt>
                <c:pt idx="427">
                  <c:v>3.6799999999999999E-2</c:v>
                </c:pt>
                <c:pt idx="428">
                  <c:v>3.6400000000000002E-2</c:v>
                </c:pt>
                <c:pt idx="429">
                  <c:v>3.6699999999999997E-2</c:v>
                </c:pt>
                <c:pt idx="430">
                  <c:v>3.6799999999999999E-2</c:v>
                </c:pt>
                <c:pt idx="431">
                  <c:v>3.6200000000000003E-2</c:v>
                </c:pt>
                <c:pt idx="432">
                  <c:v>3.6499999999999998E-2</c:v>
                </c:pt>
                <c:pt idx="433">
                  <c:v>3.61E-2</c:v>
                </c:pt>
                <c:pt idx="434">
                  <c:v>3.5499999999999997E-2</c:v>
                </c:pt>
                <c:pt idx="435">
                  <c:v>3.5900000000000001E-2</c:v>
                </c:pt>
                <c:pt idx="436">
                  <c:v>3.6600000000000001E-2</c:v>
                </c:pt>
                <c:pt idx="437">
                  <c:v>3.6699999999999997E-2</c:v>
                </c:pt>
                <c:pt idx="438">
                  <c:v>3.6699999999999997E-2</c:v>
                </c:pt>
                <c:pt idx="439">
                  <c:v>3.6600000000000001E-2</c:v>
                </c:pt>
                <c:pt idx="440">
                  <c:v>3.6900000000000002E-2</c:v>
                </c:pt>
                <c:pt idx="441">
                  <c:v>3.7200000000000004E-2</c:v>
                </c:pt>
                <c:pt idx="442">
                  <c:v>3.7000000000000005E-2</c:v>
                </c:pt>
                <c:pt idx="443">
                  <c:v>3.6900000000000002E-2</c:v>
                </c:pt>
                <c:pt idx="444">
                  <c:v>3.6799999999999999E-2</c:v>
                </c:pt>
                <c:pt idx="445">
                  <c:v>3.7100000000000001E-2</c:v>
                </c:pt>
                <c:pt idx="446">
                  <c:v>3.73E-2</c:v>
                </c:pt>
                <c:pt idx="447">
                  <c:v>3.6900000000000002E-2</c:v>
                </c:pt>
                <c:pt idx="448">
                  <c:v>3.7000000000000005E-2</c:v>
                </c:pt>
                <c:pt idx="449">
                  <c:v>3.6600000000000001E-2</c:v>
                </c:pt>
                <c:pt idx="450">
                  <c:v>3.6299999999999999E-2</c:v>
                </c:pt>
                <c:pt idx="451">
                  <c:v>3.6000000000000004E-2</c:v>
                </c:pt>
                <c:pt idx="452">
                  <c:v>3.5900000000000001E-2</c:v>
                </c:pt>
                <c:pt idx="453">
                  <c:v>3.5499999999999997E-2</c:v>
                </c:pt>
                <c:pt idx="454">
                  <c:v>3.6400000000000002E-2</c:v>
                </c:pt>
                <c:pt idx="455">
                  <c:v>3.6400000000000002E-2</c:v>
                </c:pt>
                <c:pt idx="456">
                  <c:v>3.6799999999999999E-2</c:v>
                </c:pt>
                <c:pt idx="457">
                  <c:v>3.7200000000000004E-2</c:v>
                </c:pt>
                <c:pt idx="458">
                  <c:v>3.73E-2</c:v>
                </c:pt>
                <c:pt idx="459">
                  <c:v>3.7000000000000005E-2</c:v>
                </c:pt>
                <c:pt idx="460">
                  <c:v>3.6600000000000001E-2</c:v>
                </c:pt>
                <c:pt idx="461">
                  <c:v>3.6000000000000004E-2</c:v>
                </c:pt>
                <c:pt idx="462">
                  <c:v>3.5900000000000001E-2</c:v>
                </c:pt>
                <c:pt idx="463">
                  <c:v>3.6299999999999999E-2</c:v>
                </c:pt>
                <c:pt idx="464">
                  <c:v>3.6200000000000003E-2</c:v>
                </c:pt>
                <c:pt idx="465">
                  <c:v>3.6600000000000001E-2</c:v>
                </c:pt>
                <c:pt idx="466">
                  <c:v>3.6699999999999997E-2</c:v>
                </c:pt>
                <c:pt idx="467">
                  <c:v>3.61E-2</c:v>
                </c:pt>
                <c:pt idx="468">
                  <c:v>3.5699999999999996E-2</c:v>
                </c:pt>
                <c:pt idx="469">
                  <c:v>3.5900000000000001E-2</c:v>
                </c:pt>
                <c:pt idx="470">
                  <c:v>3.5499999999999997E-2</c:v>
                </c:pt>
                <c:pt idx="471">
                  <c:v>3.5200000000000002E-2</c:v>
                </c:pt>
                <c:pt idx="472">
                  <c:v>3.5499999999999997E-2</c:v>
                </c:pt>
                <c:pt idx="473">
                  <c:v>3.56E-2</c:v>
                </c:pt>
                <c:pt idx="474">
                  <c:v>3.6000000000000004E-2</c:v>
                </c:pt>
                <c:pt idx="475">
                  <c:v>3.6499999999999998E-2</c:v>
                </c:pt>
                <c:pt idx="476">
                  <c:v>3.6200000000000003E-2</c:v>
                </c:pt>
                <c:pt idx="477">
                  <c:v>3.5900000000000001E-2</c:v>
                </c:pt>
                <c:pt idx="478">
                  <c:v>3.56E-2</c:v>
                </c:pt>
                <c:pt idx="479">
                  <c:v>3.5400000000000001E-2</c:v>
                </c:pt>
                <c:pt idx="480">
                  <c:v>3.5699999999999996E-2</c:v>
                </c:pt>
                <c:pt idx="481">
                  <c:v>3.5200000000000002E-2</c:v>
                </c:pt>
                <c:pt idx="482">
                  <c:v>3.4799999999999998E-2</c:v>
                </c:pt>
                <c:pt idx="483">
                  <c:v>3.4799999999999998E-2</c:v>
                </c:pt>
                <c:pt idx="484">
                  <c:v>3.4599999999999999E-2</c:v>
                </c:pt>
                <c:pt idx="485">
                  <c:v>3.4500000000000003E-2</c:v>
                </c:pt>
                <c:pt idx="486">
                  <c:v>3.5200000000000002E-2</c:v>
                </c:pt>
                <c:pt idx="487">
                  <c:v>3.5200000000000002E-2</c:v>
                </c:pt>
                <c:pt idx="488">
                  <c:v>3.5000000000000003E-2</c:v>
                </c:pt>
                <c:pt idx="489">
                  <c:v>3.4700000000000002E-2</c:v>
                </c:pt>
                <c:pt idx="490">
                  <c:v>3.4599999999999999E-2</c:v>
                </c:pt>
                <c:pt idx="491">
                  <c:v>3.4500000000000003E-2</c:v>
                </c:pt>
                <c:pt idx="492">
                  <c:v>3.4700000000000002E-2</c:v>
                </c:pt>
                <c:pt idx="493">
                  <c:v>3.49E-2</c:v>
                </c:pt>
                <c:pt idx="494">
                  <c:v>3.4700000000000002E-2</c:v>
                </c:pt>
                <c:pt idx="495">
                  <c:v>3.4099999999999998E-2</c:v>
                </c:pt>
                <c:pt idx="496">
                  <c:v>3.3700000000000001E-2</c:v>
                </c:pt>
                <c:pt idx="497">
                  <c:v>3.4099999999999998E-2</c:v>
                </c:pt>
                <c:pt idx="498">
                  <c:v>3.3799999999999997E-2</c:v>
                </c:pt>
                <c:pt idx="499">
                  <c:v>3.4000000000000002E-2</c:v>
                </c:pt>
                <c:pt idx="500">
                  <c:v>3.4500000000000003E-2</c:v>
                </c:pt>
                <c:pt idx="501">
                  <c:v>3.4700000000000002E-2</c:v>
                </c:pt>
                <c:pt idx="502">
                  <c:v>3.49E-2</c:v>
                </c:pt>
                <c:pt idx="503">
                  <c:v>3.4500000000000003E-2</c:v>
                </c:pt>
                <c:pt idx="504">
                  <c:v>3.3700000000000001E-2</c:v>
                </c:pt>
                <c:pt idx="505">
                  <c:v>3.3300000000000003E-2</c:v>
                </c:pt>
                <c:pt idx="506">
                  <c:v>3.3399999999999999E-2</c:v>
                </c:pt>
                <c:pt idx="507">
                  <c:v>3.39E-2</c:v>
                </c:pt>
                <c:pt idx="508">
                  <c:v>3.3799999999999997E-2</c:v>
                </c:pt>
                <c:pt idx="509">
                  <c:v>3.4200000000000001E-2</c:v>
                </c:pt>
                <c:pt idx="510">
                  <c:v>3.4300000000000004E-2</c:v>
                </c:pt>
                <c:pt idx="511">
                  <c:v>3.4000000000000002E-2</c:v>
                </c:pt>
                <c:pt idx="512">
                  <c:v>3.3700000000000001E-2</c:v>
                </c:pt>
                <c:pt idx="513">
                  <c:v>3.2899999999999999E-2</c:v>
                </c:pt>
                <c:pt idx="514">
                  <c:v>3.3099999999999997E-2</c:v>
                </c:pt>
                <c:pt idx="515">
                  <c:v>3.3300000000000003E-2</c:v>
                </c:pt>
                <c:pt idx="516">
                  <c:v>3.3799999999999997E-2</c:v>
                </c:pt>
                <c:pt idx="517">
                  <c:v>3.4300000000000004E-2</c:v>
                </c:pt>
                <c:pt idx="518">
                  <c:v>3.4500000000000003E-2</c:v>
                </c:pt>
                <c:pt idx="519">
                  <c:v>3.44E-2</c:v>
                </c:pt>
                <c:pt idx="520">
                  <c:v>3.44E-2</c:v>
                </c:pt>
                <c:pt idx="521">
                  <c:v>3.4500000000000003E-2</c:v>
                </c:pt>
                <c:pt idx="522">
                  <c:v>3.4700000000000002E-2</c:v>
                </c:pt>
                <c:pt idx="523">
                  <c:v>3.4700000000000002E-2</c:v>
                </c:pt>
                <c:pt idx="524">
                  <c:v>3.4099999999999998E-2</c:v>
                </c:pt>
                <c:pt idx="525">
                  <c:v>3.4099999999999998E-2</c:v>
                </c:pt>
                <c:pt idx="526">
                  <c:v>3.4000000000000002E-2</c:v>
                </c:pt>
                <c:pt idx="527">
                  <c:v>3.44E-2</c:v>
                </c:pt>
                <c:pt idx="528">
                  <c:v>3.4300000000000004E-2</c:v>
                </c:pt>
                <c:pt idx="529">
                  <c:v>3.4700000000000002E-2</c:v>
                </c:pt>
                <c:pt idx="530">
                  <c:v>3.44E-2</c:v>
                </c:pt>
                <c:pt idx="531">
                  <c:v>3.4500000000000003E-2</c:v>
                </c:pt>
                <c:pt idx="532">
                  <c:v>3.4099999999999998E-2</c:v>
                </c:pt>
                <c:pt idx="533">
                  <c:v>3.3799999999999997E-2</c:v>
                </c:pt>
                <c:pt idx="534">
                  <c:v>3.3500000000000002E-2</c:v>
                </c:pt>
                <c:pt idx="535">
                  <c:v>3.3599999999999998E-2</c:v>
                </c:pt>
                <c:pt idx="536">
                  <c:v>3.3399999999999999E-2</c:v>
                </c:pt>
                <c:pt idx="537">
                  <c:v>3.4000000000000002E-2</c:v>
                </c:pt>
                <c:pt idx="538">
                  <c:v>3.4599999999999999E-2</c:v>
                </c:pt>
                <c:pt idx="539">
                  <c:v>3.4700000000000002E-2</c:v>
                </c:pt>
                <c:pt idx="540">
                  <c:v>3.44E-2</c:v>
                </c:pt>
                <c:pt idx="541">
                  <c:v>3.3799999999999997E-2</c:v>
                </c:pt>
                <c:pt idx="542">
                  <c:v>3.3700000000000001E-2</c:v>
                </c:pt>
                <c:pt idx="543">
                  <c:v>3.3799999999999997E-2</c:v>
                </c:pt>
                <c:pt idx="544">
                  <c:v>3.3399999999999999E-2</c:v>
                </c:pt>
                <c:pt idx="545">
                  <c:v>3.3599999999999998E-2</c:v>
                </c:pt>
                <c:pt idx="546">
                  <c:v>3.3700000000000001E-2</c:v>
                </c:pt>
                <c:pt idx="547">
                  <c:v>3.3500000000000002E-2</c:v>
                </c:pt>
                <c:pt idx="548">
                  <c:v>3.27E-2</c:v>
                </c:pt>
                <c:pt idx="549">
                  <c:v>3.2899999999999999E-2</c:v>
                </c:pt>
                <c:pt idx="550">
                  <c:v>3.2599999999999997E-2</c:v>
                </c:pt>
                <c:pt idx="551">
                  <c:v>3.2500000000000001E-2</c:v>
                </c:pt>
                <c:pt idx="552">
                  <c:v>3.2599999999999997E-2</c:v>
                </c:pt>
                <c:pt idx="553">
                  <c:v>3.3000000000000002E-2</c:v>
                </c:pt>
                <c:pt idx="554">
                  <c:v>3.2400000000000005E-2</c:v>
                </c:pt>
                <c:pt idx="555">
                  <c:v>3.2599999999999997E-2</c:v>
                </c:pt>
                <c:pt idx="556">
                  <c:v>3.2199999999999999E-2</c:v>
                </c:pt>
                <c:pt idx="557">
                  <c:v>3.3099999999999997E-2</c:v>
                </c:pt>
                <c:pt idx="558">
                  <c:v>3.32E-2</c:v>
                </c:pt>
                <c:pt idx="559">
                  <c:v>3.2899999999999999E-2</c:v>
                </c:pt>
                <c:pt idx="560">
                  <c:v>3.3000000000000002E-2</c:v>
                </c:pt>
                <c:pt idx="561">
                  <c:v>3.2799999999999996E-2</c:v>
                </c:pt>
                <c:pt idx="562">
                  <c:v>3.27E-2</c:v>
                </c:pt>
                <c:pt idx="563">
                  <c:v>3.2300000000000002E-2</c:v>
                </c:pt>
                <c:pt idx="564">
                  <c:v>3.2300000000000002E-2</c:v>
                </c:pt>
                <c:pt idx="565">
                  <c:v>3.2400000000000005E-2</c:v>
                </c:pt>
                <c:pt idx="566">
                  <c:v>3.27E-2</c:v>
                </c:pt>
                <c:pt idx="567">
                  <c:v>3.2400000000000005E-2</c:v>
                </c:pt>
                <c:pt idx="568">
                  <c:v>3.2000000000000001E-2</c:v>
                </c:pt>
                <c:pt idx="569">
                  <c:v>3.1300000000000001E-2</c:v>
                </c:pt>
                <c:pt idx="570">
                  <c:v>3.2000000000000001E-2</c:v>
                </c:pt>
                <c:pt idx="571">
                  <c:v>3.2099999999999997E-2</c:v>
                </c:pt>
                <c:pt idx="572">
                  <c:v>3.2199999999999999E-2</c:v>
                </c:pt>
                <c:pt idx="573">
                  <c:v>3.1899999999999998E-2</c:v>
                </c:pt>
                <c:pt idx="574">
                  <c:v>3.1600000000000003E-2</c:v>
                </c:pt>
                <c:pt idx="575">
                  <c:v>3.1300000000000001E-2</c:v>
                </c:pt>
                <c:pt idx="576">
                  <c:v>3.15E-2</c:v>
                </c:pt>
                <c:pt idx="577">
                  <c:v>3.1099999999999999E-2</c:v>
                </c:pt>
                <c:pt idx="578">
                  <c:v>3.0800000000000001E-2</c:v>
                </c:pt>
                <c:pt idx="579">
                  <c:v>3.0899999999999997E-2</c:v>
                </c:pt>
                <c:pt idx="580">
                  <c:v>3.1699999999999999E-2</c:v>
                </c:pt>
                <c:pt idx="581">
                  <c:v>3.15E-2</c:v>
                </c:pt>
                <c:pt idx="582">
                  <c:v>3.2099999999999997E-2</c:v>
                </c:pt>
                <c:pt idx="583">
                  <c:v>3.2300000000000002E-2</c:v>
                </c:pt>
                <c:pt idx="584">
                  <c:v>3.2300000000000002E-2</c:v>
                </c:pt>
                <c:pt idx="585">
                  <c:v>3.2300000000000002E-2</c:v>
                </c:pt>
                <c:pt idx="586">
                  <c:v>3.2599999999999997E-2</c:v>
                </c:pt>
                <c:pt idx="587">
                  <c:v>3.27E-2</c:v>
                </c:pt>
                <c:pt idx="588">
                  <c:v>3.3500000000000002E-2</c:v>
                </c:pt>
                <c:pt idx="589">
                  <c:v>3.3399999999999999E-2</c:v>
                </c:pt>
                <c:pt idx="590">
                  <c:v>3.3599999999999998E-2</c:v>
                </c:pt>
                <c:pt idx="591">
                  <c:v>3.3700000000000001E-2</c:v>
                </c:pt>
                <c:pt idx="592">
                  <c:v>3.3599999999999998E-2</c:v>
                </c:pt>
                <c:pt idx="593">
                  <c:v>3.2899999999999999E-2</c:v>
                </c:pt>
                <c:pt idx="594">
                  <c:v>3.2799999999999996E-2</c:v>
                </c:pt>
                <c:pt idx="595">
                  <c:v>3.2500000000000001E-2</c:v>
                </c:pt>
                <c:pt idx="596">
                  <c:v>3.2799999999999996E-2</c:v>
                </c:pt>
                <c:pt idx="597">
                  <c:v>3.2199999999999999E-2</c:v>
                </c:pt>
                <c:pt idx="598">
                  <c:v>3.2199999999999999E-2</c:v>
                </c:pt>
                <c:pt idx="599">
                  <c:v>3.1800000000000002E-2</c:v>
                </c:pt>
                <c:pt idx="600">
                  <c:v>3.2099999999999997E-2</c:v>
                </c:pt>
                <c:pt idx="601">
                  <c:v>3.1200000000000002E-2</c:v>
                </c:pt>
                <c:pt idx="602">
                  <c:v>3.15E-2</c:v>
                </c:pt>
                <c:pt idx="603">
                  <c:v>3.1300000000000001E-2</c:v>
                </c:pt>
                <c:pt idx="604">
                  <c:v>3.1200000000000002E-2</c:v>
                </c:pt>
                <c:pt idx="605">
                  <c:v>3.0600000000000002E-2</c:v>
                </c:pt>
                <c:pt idx="606">
                  <c:v>3.0699999999999998E-2</c:v>
                </c:pt>
                <c:pt idx="607">
                  <c:v>3.0699999999999998E-2</c:v>
                </c:pt>
                <c:pt idx="608">
                  <c:v>3.0299999999999997E-2</c:v>
                </c:pt>
                <c:pt idx="609">
                  <c:v>2.9500000000000002E-2</c:v>
                </c:pt>
                <c:pt idx="610">
                  <c:v>2.92E-2</c:v>
                </c:pt>
                <c:pt idx="611">
                  <c:v>2.9399999999999999E-2</c:v>
                </c:pt>
                <c:pt idx="612">
                  <c:v>2.98E-2</c:v>
                </c:pt>
                <c:pt idx="613">
                  <c:v>2.9600000000000001E-2</c:v>
                </c:pt>
                <c:pt idx="614">
                  <c:v>0.03</c:v>
                </c:pt>
                <c:pt idx="615">
                  <c:v>3.0099999999999998E-2</c:v>
                </c:pt>
                <c:pt idx="616">
                  <c:v>3.0499999999999999E-2</c:v>
                </c:pt>
                <c:pt idx="617">
                  <c:v>3.0499999999999999E-2</c:v>
                </c:pt>
                <c:pt idx="618">
                  <c:v>3.04E-2</c:v>
                </c:pt>
                <c:pt idx="619">
                  <c:v>3.0600000000000002E-2</c:v>
                </c:pt>
                <c:pt idx="620">
                  <c:v>3.0600000000000002E-2</c:v>
                </c:pt>
                <c:pt idx="621">
                  <c:v>3.04E-2</c:v>
                </c:pt>
                <c:pt idx="622">
                  <c:v>3.0699999999999998E-2</c:v>
                </c:pt>
                <c:pt idx="623">
                  <c:v>3.0699999999999998E-2</c:v>
                </c:pt>
                <c:pt idx="624">
                  <c:v>3.0499999999999999E-2</c:v>
                </c:pt>
                <c:pt idx="625">
                  <c:v>3.0600000000000002E-2</c:v>
                </c:pt>
                <c:pt idx="626">
                  <c:v>3.0899999999999997E-2</c:v>
                </c:pt>
                <c:pt idx="627">
                  <c:v>3.04E-2</c:v>
                </c:pt>
                <c:pt idx="628">
                  <c:v>3.0899999999999997E-2</c:v>
                </c:pt>
                <c:pt idx="629">
                  <c:v>3.0899999999999997E-2</c:v>
                </c:pt>
                <c:pt idx="630">
                  <c:v>3.0800000000000001E-2</c:v>
                </c:pt>
                <c:pt idx="631">
                  <c:v>3.04E-2</c:v>
                </c:pt>
                <c:pt idx="632">
                  <c:v>3.0600000000000002E-2</c:v>
                </c:pt>
                <c:pt idx="633">
                  <c:v>3.0499999999999999E-2</c:v>
                </c:pt>
                <c:pt idx="634">
                  <c:v>3.0800000000000001E-2</c:v>
                </c:pt>
                <c:pt idx="635">
                  <c:v>3.0499999999999999E-2</c:v>
                </c:pt>
                <c:pt idx="636">
                  <c:v>3.0200000000000001E-2</c:v>
                </c:pt>
                <c:pt idx="637">
                  <c:v>3.0099999999999998E-2</c:v>
                </c:pt>
                <c:pt idx="638">
                  <c:v>2.9700000000000001E-2</c:v>
                </c:pt>
                <c:pt idx="639">
                  <c:v>2.9500000000000002E-2</c:v>
                </c:pt>
                <c:pt idx="640">
                  <c:v>2.8900000000000002E-2</c:v>
                </c:pt>
                <c:pt idx="641">
                  <c:v>2.9500000000000002E-2</c:v>
                </c:pt>
                <c:pt idx="642">
                  <c:v>0.03</c:v>
                </c:pt>
                <c:pt idx="643">
                  <c:v>2.9900000000000003E-2</c:v>
                </c:pt>
                <c:pt idx="644">
                  <c:v>2.9399999999999999E-2</c:v>
                </c:pt>
                <c:pt idx="645">
                  <c:v>2.9700000000000001E-2</c:v>
                </c:pt>
                <c:pt idx="646">
                  <c:v>2.8999999999999998E-2</c:v>
                </c:pt>
                <c:pt idx="647">
                  <c:v>2.87E-2</c:v>
                </c:pt>
                <c:pt idx="648">
                  <c:v>2.8300000000000002E-2</c:v>
                </c:pt>
                <c:pt idx="649">
                  <c:v>2.8399999999999998E-2</c:v>
                </c:pt>
                <c:pt idx="650">
                  <c:v>2.75E-2</c:v>
                </c:pt>
                <c:pt idx="651">
                  <c:v>2.7400000000000001E-2</c:v>
                </c:pt>
                <c:pt idx="652">
                  <c:v>2.69E-2</c:v>
                </c:pt>
                <c:pt idx="653">
                  <c:v>2.7400000000000001E-2</c:v>
                </c:pt>
                <c:pt idx="654">
                  <c:v>2.8199999999999999E-2</c:v>
                </c:pt>
                <c:pt idx="655">
                  <c:v>2.7699999999999999E-2</c:v>
                </c:pt>
                <c:pt idx="656">
                  <c:v>2.75E-2</c:v>
                </c:pt>
                <c:pt idx="657">
                  <c:v>2.8500000000000001E-2</c:v>
                </c:pt>
                <c:pt idx="658">
                  <c:v>2.8300000000000002E-2</c:v>
                </c:pt>
                <c:pt idx="659">
                  <c:v>2.81E-2</c:v>
                </c:pt>
                <c:pt idx="660">
                  <c:v>2.7799999999999998E-2</c:v>
                </c:pt>
                <c:pt idx="661">
                  <c:v>2.76E-2</c:v>
                </c:pt>
                <c:pt idx="662">
                  <c:v>2.75E-2</c:v>
                </c:pt>
                <c:pt idx="663">
                  <c:v>2.69E-2</c:v>
                </c:pt>
                <c:pt idx="664">
                  <c:v>2.6000000000000002E-2</c:v>
                </c:pt>
                <c:pt idx="665">
                  <c:v>2.52E-2</c:v>
                </c:pt>
                <c:pt idx="666">
                  <c:v>2.52E-2</c:v>
                </c:pt>
                <c:pt idx="667">
                  <c:v>2.5899999999999999E-2</c:v>
                </c:pt>
                <c:pt idx="668">
                  <c:v>2.5499999999999998E-2</c:v>
                </c:pt>
                <c:pt idx="669">
                  <c:v>2.4900000000000002E-2</c:v>
                </c:pt>
                <c:pt idx="670">
                  <c:v>2.4900000000000002E-2</c:v>
                </c:pt>
                <c:pt idx="671">
                  <c:v>2.4700000000000003E-2</c:v>
                </c:pt>
                <c:pt idx="672">
                  <c:v>2.4E-2</c:v>
                </c:pt>
                <c:pt idx="673">
                  <c:v>2.4399999999999998E-2</c:v>
                </c:pt>
                <c:pt idx="674">
                  <c:v>2.3900000000000001E-2</c:v>
                </c:pt>
                <c:pt idx="675">
                  <c:v>2.4399999999999998E-2</c:v>
                </c:pt>
                <c:pt idx="676">
                  <c:v>2.46E-2</c:v>
                </c:pt>
                <c:pt idx="677">
                  <c:v>2.3799999999999998E-2</c:v>
                </c:pt>
                <c:pt idx="678">
                  <c:v>2.4E-2</c:v>
                </c:pt>
                <c:pt idx="679">
                  <c:v>2.4E-2</c:v>
                </c:pt>
                <c:pt idx="680">
                  <c:v>2.29E-2</c:v>
                </c:pt>
                <c:pt idx="681">
                  <c:v>2.3300000000000001E-2</c:v>
                </c:pt>
                <c:pt idx="682">
                  <c:v>2.2499999999999999E-2</c:v>
                </c:pt>
                <c:pt idx="683">
                  <c:v>2.2499999999999999E-2</c:v>
                </c:pt>
                <c:pt idx="684">
                  <c:v>2.3700000000000002E-2</c:v>
                </c:pt>
                <c:pt idx="685">
                  <c:v>2.3900000000000001E-2</c:v>
                </c:pt>
                <c:pt idx="686">
                  <c:v>2.4199999999999999E-2</c:v>
                </c:pt>
                <c:pt idx="687">
                  <c:v>2.5099999999999997E-2</c:v>
                </c:pt>
                <c:pt idx="688">
                  <c:v>2.52E-2</c:v>
                </c:pt>
                <c:pt idx="689">
                  <c:v>2.58E-2</c:v>
                </c:pt>
                <c:pt idx="690">
                  <c:v>2.5699999999999997E-2</c:v>
                </c:pt>
                <c:pt idx="691">
                  <c:v>2.58E-2</c:v>
                </c:pt>
                <c:pt idx="692">
                  <c:v>2.63E-2</c:v>
                </c:pt>
                <c:pt idx="693">
                  <c:v>2.7300000000000001E-2</c:v>
                </c:pt>
                <c:pt idx="694">
                  <c:v>2.7000000000000003E-2</c:v>
                </c:pt>
                <c:pt idx="695">
                  <c:v>2.7300000000000001E-2</c:v>
                </c:pt>
                <c:pt idx="696">
                  <c:v>2.7300000000000001E-2</c:v>
                </c:pt>
                <c:pt idx="697">
                  <c:v>2.6600000000000002E-2</c:v>
                </c:pt>
                <c:pt idx="698">
                  <c:v>2.6000000000000002E-2</c:v>
                </c:pt>
                <c:pt idx="699">
                  <c:v>2.5600000000000001E-2</c:v>
                </c:pt>
                <c:pt idx="700">
                  <c:v>2.63E-2</c:v>
                </c:pt>
                <c:pt idx="701">
                  <c:v>2.6000000000000002E-2</c:v>
                </c:pt>
                <c:pt idx="702">
                  <c:v>2.6800000000000001E-2</c:v>
                </c:pt>
                <c:pt idx="703">
                  <c:v>2.7099999999999999E-2</c:v>
                </c:pt>
                <c:pt idx="704">
                  <c:v>2.7200000000000002E-2</c:v>
                </c:pt>
                <c:pt idx="705">
                  <c:v>2.7099999999999999E-2</c:v>
                </c:pt>
                <c:pt idx="706">
                  <c:v>2.8300000000000002E-2</c:v>
                </c:pt>
                <c:pt idx="707">
                  <c:v>2.7999999999999997E-2</c:v>
                </c:pt>
                <c:pt idx="708">
                  <c:v>2.7300000000000001E-2</c:v>
                </c:pt>
                <c:pt idx="709">
                  <c:v>2.69E-2</c:v>
                </c:pt>
                <c:pt idx="710">
                  <c:v>2.69E-2</c:v>
                </c:pt>
                <c:pt idx="711">
                  <c:v>2.7000000000000003E-2</c:v>
                </c:pt>
                <c:pt idx="712">
                  <c:v>2.6699999999999998E-2</c:v>
                </c:pt>
                <c:pt idx="713">
                  <c:v>2.6099999999999998E-2</c:v>
                </c:pt>
                <c:pt idx="714">
                  <c:v>2.5099999999999997E-2</c:v>
                </c:pt>
                <c:pt idx="715">
                  <c:v>2.5399999999999999E-2</c:v>
                </c:pt>
                <c:pt idx="716">
                  <c:v>2.5000000000000001E-2</c:v>
                </c:pt>
                <c:pt idx="717">
                  <c:v>2.5099999999999997E-2</c:v>
                </c:pt>
                <c:pt idx="718">
                  <c:v>2.46E-2</c:v>
                </c:pt>
                <c:pt idx="719">
                  <c:v>2.5000000000000001E-2</c:v>
                </c:pt>
                <c:pt idx="720">
                  <c:v>2.6000000000000002E-2</c:v>
                </c:pt>
                <c:pt idx="721">
                  <c:v>2.53E-2</c:v>
                </c:pt>
                <c:pt idx="722">
                  <c:v>2.5499999999999998E-2</c:v>
                </c:pt>
                <c:pt idx="723">
                  <c:v>2.5399999999999999E-2</c:v>
                </c:pt>
                <c:pt idx="724">
                  <c:v>2.4700000000000003E-2</c:v>
                </c:pt>
                <c:pt idx="725">
                  <c:v>2.53E-2</c:v>
                </c:pt>
                <c:pt idx="726">
                  <c:v>2.4900000000000002E-2</c:v>
                </c:pt>
                <c:pt idx="727">
                  <c:v>2.5699999999999997E-2</c:v>
                </c:pt>
                <c:pt idx="728">
                  <c:v>2.52E-2</c:v>
                </c:pt>
                <c:pt idx="729">
                  <c:v>2.53E-2</c:v>
                </c:pt>
                <c:pt idx="730">
                  <c:v>2.6099999999999998E-2</c:v>
                </c:pt>
                <c:pt idx="731">
                  <c:v>2.58E-2</c:v>
                </c:pt>
                <c:pt idx="732">
                  <c:v>2.58E-2</c:v>
                </c:pt>
                <c:pt idx="733">
                  <c:v>2.5399999999999999E-2</c:v>
                </c:pt>
                <c:pt idx="734">
                  <c:v>2.5499999999999998E-2</c:v>
                </c:pt>
                <c:pt idx="735">
                  <c:v>2.5600000000000001E-2</c:v>
                </c:pt>
                <c:pt idx="736">
                  <c:v>2.5099999999999997E-2</c:v>
                </c:pt>
                <c:pt idx="737">
                  <c:v>2.5600000000000001E-2</c:v>
                </c:pt>
                <c:pt idx="738">
                  <c:v>2.58E-2</c:v>
                </c:pt>
                <c:pt idx="739">
                  <c:v>2.6600000000000002E-2</c:v>
                </c:pt>
                <c:pt idx="740">
                  <c:v>2.63E-2</c:v>
                </c:pt>
                <c:pt idx="741">
                  <c:v>2.6200000000000001E-2</c:v>
                </c:pt>
                <c:pt idx="742">
                  <c:v>2.6099999999999998E-2</c:v>
                </c:pt>
                <c:pt idx="743">
                  <c:v>2.6800000000000001E-2</c:v>
                </c:pt>
                <c:pt idx="744">
                  <c:v>2.76E-2</c:v>
                </c:pt>
                <c:pt idx="745">
                  <c:v>2.75E-2</c:v>
                </c:pt>
                <c:pt idx="746">
                  <c:v>2.8199999999999999E-2</c:v>
                </c:pt>
                <c:pt idx="747">
                  <c:v>2.8799999999999999E-2</c:v>
                </c:pt>
                <c:pt idx="748">
                  <c:v>2.8999999999999998E-2</c:v>
                </c:pt>
                <c:pt idx="749">
                  <c:v>2.98E-2</c:v>
                </c:pt>
                <c:pt idx="750">
                  <c:v>2.8999999999999998E-2</c:v>
                </c:pt>
                <c:pt idx="751">
                  <c:v>2.8999999999999998E-2</c:v>
                </c:pt>
                <c:pt idx="752">
                  <c:v>3.0299999999999997E-2</c:v>
                </c:pt>
                <c:pt idx="753">
                  <c:v>3.0200000000000001E-2</c:v>
                </c:pt>
                <c:pt idx="754">
                  <c:v>3.0699999999999998E-2</c:v>
                </c:pt>
                <c:pt idx="755">
                  <c:v>3.0299999999999997E-2</c:v>
                </c:pt>
                <c:pt idx="756">
                  <c:v>2.9300000000000003E-2</c:v>
                </c:pt>
                <c:pt idx="757">
                  <c:v>3.0200000000000001E-2</c:v>
                </c:pt>
                <c:pt idx="758">
                  <c:v>3.0499999999999999E-2</c:v>
                </c:pt>
                <c:pt idx="759">
                  <c:v>3.0600000000000002E-2</c:v>
                </c:pt>
                <c:pt idx="760">
                  <c:v>2.98E-2</c:v>
                </c:pt>
                <c:pt idx="761">
                  <c:v>2.9900000000000003E-2</c:v>
                </c:pt>
                <c:pt idx="762">
                  <c:v>2.8900000000000002E-2</c:v>
                </c:pt>
                <c:pt idx="763">
                  <c:v>2.8799999999999999E-2</c:v>
                </c:pt>
                <c:pt idx="764">
                  <c:v>2.8900000000000002E-2</c:v>
                </c:pt>
                <c:pt idx="765">
                  <c:v>2.8799999999999999E-2</c:v>
                </c:pt>
                <c:pt idx="766">
                  <c:v>2.9399999999999999E-2</c:v>
                </c:pt>
                <c:pt idx="767">
                  <c:v>3.0200000000000001E-2</c:v>
                </c:pt>
                <c:pt idx="768">
                  <c:v>3.1099999999999999E-2</c:v>
                </c:pt>
                <c:pt idx="769">
                  <c:v>3.0299999999999997E-2</c:v>
                </c:pt>
                <c:pt idx="770">
                  <c:v>3.1099999999999999E-2</c:v>
                </c:pt>
                <c:pt idx="771">
                  <c:v>3.1099999999999999E-2</c:v>
                </c:pt>
                <c:pt idx="772">
                  <c:v>3.15E-2</c:v>
                </c:pt>
                <c:pt idx="773">
                  <c:v>3.2199999999999999E-2</c:v>
                </c:pt>
                <c:pt idx="774">
                  <c:v>3.1099999999999999E-2</c:v>
                </c:pt>
                <c:pt idx="775">
                  <c:v>3.1E-2</c:v>
                </c:pt>
                <c:pt idx="776">
                  <c:v>3.0899999999999997E-2</c:v>
                </c:pt>
                <c:pt idx="777">
                  <c:v>3.0600000000000002E-2</c:v>
                </c:pt>
                <c:pt idx="778">
                  <c:v>3.0899999999999997E-2</c:v>
                </c:pt>
                <c:pt idx="779">
                  <c:v>3.1400000000000004E-2</c:v>
                </c:pt>
                <c:pt idx="780">
                  <c:v>3.0499999999999999E-2</c:v>
                </c:pt>
                <c:pt idx="781">
                  <c:v>3.1600000000000003E-2</c:v>
                </c:pt>
                <c:pt idx="782">
                  <c:v>3.2000000000000001E-2</c:v>
                </c:pt>
                <c:pt idx="783">
                  <c:v>3.1600000000000003E-2</c:v>
                </c:pt>
                <c:pt idx="784">
                  <c:v>3.1600000000000003E-2</c:v>
                </c:pt>
                <c:pt idx="785">
                  <c:v>3.2500000000000001E-2</c:v>
                </c:pt>
                <c:pt idx="786">
                  <c:v>3.0899999999999997E-2</c:v>
                </c:pt>
                <c:pt idx="787">
                  <c:v>3.1099999999999999E-2</c:v>
                </c:pt>
                <c:pt idx="788">
                  <c:v>3.2000000000000001E-2</c:v>
                </c:pt>
                <c:pt idx="789">
                  <c:v>3.1899999999999998E-2</c:v>
                </c:pt>
                <c:pt idx="790">
                  <c:v>3.0800000000000001E-2</c:v>
                </c:pt>
                <c:pt idx="791">
                  <c:v>3.04E-2</c:v>
                </c:pt>
                <c:pt idx="792">
                  <c:v>2.9900000000000003E-2</c:v>
                </c:pt>
                <c:pt idx="793">
                  <c:v>3.1099999999999999E-2</c:v>
                </c:pt>
                <c:pt idx="794">
                  <c:v>3.2000000000000001E-2</c:v>
                </c:pt>
                <c:pt idx="795">
                  <c:v>3.2099999999999997E-2</c:v>
                </c:pt>
                <c:pt idx="796">
                  <c:v>3.2000000000000001E-2</c:v>
                </c:pt>
                <c:pt idx="797">
                  <c:v>3.1300000000000001E-2</c:v>
                </c:pt>
                <c:pt idx="798">
                  <c:v>3.1099999999999999E-2</c:v>
                </c:pt>
                <c:pt idx="799">
                  <c:v>3.0800000000000001E-2</c:v>
                </c:pt>
                <c:pt idx="800">
                  <c:v>3.1E-2</c:v>
                </c:pt>
                <c:pt idx="801">
                  <c:v>3.0800000000000001E-2</c:v>
                </c:pt>
                <c:pt idx="802">
                  <c:v>3.04E-2</c:v>
                </c:pt>
                <c:pt idx="803">
                  <c:v>2.98E-2</c:v>
                </c:pt>
                <c:pt idx="804">
                  <c:v>2.9600000000000001E-2</c:v>
                </c:pt>
                <c:pt idx="805">
                  <c:v>2.9300000000000003E-2</c:v>
                </c:pt>
                <c:pt idx="806">
                  <c:v>2.9600000000000001E-2</c:v>
                </c:pt>
                <c:pt idx="807">
                  <c:v>2.9900000000000003E-2</c:v>
                </c:pt>
                <c:pt idx="808">
                  <c:v>2.9600000000000001E-2</c:v>
                </c:pt>
                <c:pt idx="809">
                  <c:v>2.92E-2</c:v>
                </c:pt>
                <c:pt idx="810">
                  <c:v>2.86E-2</c:v>
                </c:pt>
                <c:pt idx="811">
                  <c:v>2.8999999999999998E-2</c:v>
                </c:pt>
                <c:pt idx="812">
                  <c:v>2.9399999999999999E-2</c:v>
                </c:pt>
                <c:pt idx="813">
                  <c:v>2.8999999999999998E-2</c:v>
                </c:pt>
                <c:pt idx="814">
                  <c:v>2.8300000000000002E-2</c:v>
                </c:pt>
                <c:pt idx="815">
                  <c:v>2.8900000000000002E-2</c:v>
                </c:pt>
                <c:pt idx="816">
                  <c:v>2.81E-2</c:v>
                </c:pt>
                <c:pt idx="817">
                  <c:v>2.8399999999999998E-2</c:v>
                </c:pt>
                <c:pt idx="818">
                  <c:v>2.86E-2</c:v>
                </c:pt>
                <c:pt idx="819">
                  <c:v>2.8399999999999998E-2</c:v>
                </c:pt>
                <c:pt idx="820">
                  <c:v>2.81E-2</c:v>
                </c:pt>
                <c:pt idx="821">
                  <c:v>2.87E-2</c:v>
                </c:pt>
                <c:pt idx="822">
                  <c:v>2.81E-2</c:v>
                </c:pt>
                <c:pt idx="823">
                  <c:v>2.76E-2</c:v>
                </c:pt>
                <c:pt idx="824">
                  <c:v>2.7400000000000001E-2</c:v>
                </c:pt>
                <c:pt idx="825">
                  <c:v>2.7300000000000001E-2</c:v>
                </c:pt>
                <c:pt idx="826">
                  <c:v>2.8399999999999998E-2</c:v>
                </c:pt>
                <c:pt idx="827">
                  <c:v>2.9399999999999999E-2</c:v>
                </c:pt>
                <c:pt idx="828">
                  <c:v>2.9300000000000003E-2</c:v>
                </c:pt>
                <c:pt idx="829">
                  <c:v>2.92E-2</c:v>
                </c:pt>
                <c:pt idx="830">
                  <c:v>2.9500000000000002E-2</c:v>
                </c:pt>
                <c:pt idx="831">
                  <c:v>2.9300000000000003E-2</c:v>
                </c:pt>
                <c:pt idx="832">
                  <c:v>2.9700000000000001E-2</c:v>
                </c:pt>
                <c:pt idx="833">
                  <c:v>2.9500000000000002E-2</c:v>
                </c:pt>
                <c:pt idx="834">
                  <c:v>2.8900000000000002E-2</c:v>
                </c:pt>
                <c:pt idx="835">
                  <c:v>2.9700000000000001E-2</c:v>
                </c:pt>
                <c:pt idx="836">
                  <c:v>2.9600000000000001E-2</c:v>
                </c:pt>
                <c:pt idx="837">
                  <c:v>2.98E-2</c:v>
                </c:pt>
                <c:pt idx="838">
                  <c:v>2.9500000000000002E-2</c:v>
                </c:pt>
                <c:pt idx="839">
                  <c:v>2.9500000000000002E-2</c:v>
                </c:pt>
                <c:pt idx="840">
                  <c:v>3.0600000000000002E-2</c:v>
                </c:pt>
                <c:pt idx="841">
                  <c:v>3.0800000000000001E-2</c:v>
                </c:pt>
                <c:pt idx="842">
                  <c:v>3.0200000000000001E-2</c:v>
                </c:pt>
                <c:pt idx="843">
                  <c:v>2.9300000000000003E-2</c:v>
                </c:pt>
                <c:pt idx="844">
                  <c:v>3.0200000000000001E-2</c:v>
                </c:pt>
                <c:pt idx="845">
                  <c:v>2.9399999999999999E-2</c:v>
                </c:pt>
                <c:pt idx="846">
                  <c:v>2.9500000000000002E-2</c:v>
                </c:pt>
                <c:pt idx="847">
                  <c:v>2.9100000000000001E-2</c:v>
                </c:pt>
                <c:pt idx="848">
                  <c:v>2.9600000000000001E-2</c:v>
                </c:pt>
                <c:pt idx="849">
                  <c:v>2.87E-2</c:v>
                </c:pt>
                <c:pt idx="850">
                  <c:v>2.8500000000000001E-2</c:v>
                </c:pt>
                <c:pt idx="851">
                  <c:v>2.87E-2</c:v>
                </c:pt>
                <c:pt idx="852">
                  <c:v>2.8500000000000001E-2</c:v>
                </c:pt>
                <c:pt idx="853">
                  <c:v>2.8199999999999999E-2</c:v>
                </c:pt>
                <c:pt idx="854">
                  <c:v>2.8999999999999998E-2</c:v>
                </c:pt>
                <c:pt idx="855">
                  <c:v>2.8799999999999999E-2</c:v>
                </c:pt>
                <c:pt idx="856">
                  <c:v>2.8900000000000002E-2</c:v>
                </c:pt>
                <c:pt idx="857">
                  <c:v>2.9600000000000001E-2</c:v>
                </c:pt>
                <c:pt idx="858">
                  <c:v>2.9399999999999999E-2</c:v>
                </c:pt>
                <c:pt idx="859">
                  <c:v>2.8900000000000002E-2</c:v>
                </c:pt>
                <c:pt idx="860">
                  <c:v>2.8399999999999998E-2</c:v>
                </c:pt>
                <c:pt idx="861">
                  <c:v>2.87E-2</c:v>
                </c:pt>
                <c:pt idx="862">
                  <c:v>2.87E-2</c:v>
                </c:pt>
                <c:pt idx="863">
                  <c:v>2.8900000000000002E-2</c:v>
                </c:pt>
                <c:pt idx="864">
                  <c:v>2.92E-2</c:v>
                </c:pt>
                <c:pt idx="865">
                  <c:v>2.87E-2</c:v>
                </c:pt>
                <c:pt idx="866">
                  <c:v>2.87E-2</c:v>
                </c:pt>
                <c:pt idx="867">
                  <c:v>2.8999999999999998E-2</c:v>
                </c:pt>
                <c:pt idx="868">
                  <c:v>2.87E-2</c:v>
                </c:pt>
                <c:pt idx="869">
                  <c:v>2.86E-2</c:v>
                </c:pt>
                <c:pt idx="870">
                  <c:v>2.87E-2</c:v>
                </c:pt>
                <c:pt idx="871">
                  <c:v>2.9600000000000001E-2</c:v>
                </c:pt>
                <c:pt idx="872">
                  <c:v>2.9300000000000003E-2</c:v>
                </c:pt>
                <c:pt idx="873">
                  <c:v>2.9500000000000002E-2</c:v>
                </c:pt>
                <c:pt idx="874">
                  <c:v>0.03</c:v>
                </c:pt>
                <c:pt idx="875">
                  <c:v>0.03</c:v>
                </c:pt>
                <c:pt idx="876">
                  <c:v>3.0099999999999998E-2</c:v>
                </c:pt>
                <c:pt idx="877">
                  <c:v>3.0899999999999997E-2</c:v>
                </c:pt>
                <c:pt idx="878">
                  <c:v>3.1200000000000002E-2</c:v>
                </c:pt>
                <c:pt idx="879">
                  <c:v>3.1E-2</c:v>
                </c:pt>
                <c:pt idx="880">
                  <c:v>3.0899999999999997E-2</c:v>
                </c:pt>
                <c:pt idx="881">
                  <c:v>3.0600000000000002E-2</c:v>
                </c:pt>
                <c:pt idx="882">
                  <c:v>3.0699999999999998E-2</c:v>
                </c:pt>
                <c:pt idx="883">
                  <c:v>3.04E-2</c:v>
                </c:pt>
                <c:pt idx="884">
                  <c:v>3.04E-2</c:v>
                </c:pt>
                <c:pt idx="885">
                  <c:v>0.03</c:v>
                </c:pt>
                <c:pt idx="886">
                  <c:v>3.0200000000000001E-2</c:v>
                </c:pt>
                <c:pt idx="887">
                  <c:v>0.03</c:v>
                </c:pt>
                <c:pt idx="888">
                  <c:v>0.03</c:v>
                </c:pt>
                <c:pt idx="889">
                  <c:v>0.03</c:v>
                </c:pt>
                <c:pt idx="890">
                  <c:v>0.03</c:v>
                </c:pt>
                <c:pt idx="891">
                  <c:v>2.98E-2</c:v>
                </c:pt>
                <c:pt idx="892">
                  <c:v>2.9100000000000001E-2</c:v>
                </c:pt>
                <c:pt idx="893">
                  <c:v>2.9100000000000001E-2</c:v>
                </c:pt>
                <c:pt idx="894">
                  <c:v>3.0699999999999998E-2</c:v>
                </c:pt>
                <c:pt idx="895">
                  <c:v>3.0099999999999998E-2</c:v>
                </c:pt>
                <c:pt idx="896">
                  <c:v>2.9500000000000002E-2</c:v>
                </c:pt>
                <c:pt idx="897">
                  <c:v>2.9700000000000001E-2</c:v>
                </c:pt>
                <c:pt idx="898">
                  <c:v>2.9700000000000001E-2</c:v>
                </c:pt>
                <c:pt idx="899">
                  <c:v>2.98E-2</c:v>
                </c:pt>
                <c:pt idx="900">
                  <c:v>2.87E-2</c:v>
                </c:pt>
                <c:pt idx="901">
                  <c:v>2.9600000000000001E-2</c:v>
                </c:pt>
                <c:pt idx="902">
                  <c:v>0.03</c:v>
                </c:pt>
                <c:pt idx="903">
                  <c:v>3.0200000000000001E-2</c:v>
                </c:pt>
                <c:pt idx="904">
                  <c:v>2.9399999999999999E-2</c:v>
                </c:pt>
                <c:pt idx="905">
                  <c:v>2.8999999999999998E-2</c:v>
                </c:pt>
                <c:pt idx="906">
                  <c:v>2.92E-2</c:v>
                </c:pt>
                <c:pt idx="907">
                  <c:v>2.9600000000000001E-2</c:v>
                </c:pt>
                <c:pt idx="908">
                  <c:v>0.03</c:v>
                </c:pt>
                <c:pt idx="909">
                  <c:v>2.9600000000000001E-2</c:v>
                </c:pt>
                <c:pt idx="910">
                  <c:v>2.9500000000000002E-2</c:v>
                </c:pt>
                <c:pt idx="911">
                  <c:v>3.04E-2</c:v>
                </c:pt>
                <c:pt idx="912">
                  <c:v>3.04E-2</c:v>
                </c:pt>
                <c:pt idx="913">
                  <c:v>3.0099999999999998E-2</c:v>
                </c:pt>
                <c:pt idx="914">
                  <c:v>2.98E-2</c:v>
                </c:pt>
                <c:pt idx="915">
                  <c:v>3.0099999999999998E-2</c:v>
                </c:pt>
                <c:pt idx="916">
                  <c:v>2.9399999999999999E-2</c:v>
                </c:pt>
                <c:pt idx="917">
                  <c:v>2.92E-2</c:v>
                </c:pt>
                <c:pt idx="918">
                  <c:v>2.9100000000000001E-2</c:v>
                </c:pt>
                <c:pt idx="919">
                  <c:v>2.9600000000000001E-2</c:v>
                </c:pt>
                <c:pt idx="920">
                  <c:v>2.8900000000000002E-2</c:v>
                </c:pt>
                <c:pt idx="921">
                  <c:v>2.8500000000000001E-2</c:v>
                </c:pt>
                <c:pt idx="922">
                  <c:v>2.8999999999999998E-2</c:v>
                </c:pt>
                <c:pt idx="923">
                  <c:v>2.81E-2</c:v>
                </c:pt>
                <c:pt idx="924">
                  <c:v>2.8199999999999999E-2</c:v>
                </c:pt>
                <c:pt idx="925">
                  <c:v>2.7699999999999999E-2</c:v>
                </c:pt>
                <c:pt idx="926">
                  <c:v>2.7900000000000001E-2</c:v>
                </c:pt>
                <c:pt idx="927">
                  <c:v>2.8300000000000002E-2</c:v>
                </c:pt>
                <c:pt idx="928">
                  <c:v>2.7999999999999997E-2</c:v>
                </c:pt>
                <c:pt idx="929">
                  <c:v>2.7900000000000001E-2</c:v>
                </c:pt>
                <c:pt idx="930">
                  <c:v>2.7999999999999997E-2</c:v>
                </c:pt>
                <c:pt idx="931">
                  <c:v>2.7900000000000001E-2</c:v>
                </c:pt>
                <c:pt idx="932">
                  <c:v>2.75E-2</c:v>
                </c:pt>
                <c:pt idx="933">
                  <c:v>2.7699999999999999E-2</c:v>
                </c:pt>
                <c:pt idx="934">
                  <c:v>2.6699999999999998E-2</c:v>
                </c:pt>
                <c:pt idx="935">
                  <c:v>2.7000000000000003E-2</c:v>
                </c:pt>
                <c:pt idx="936">
                  <c:v>2.7000000000000003E-2</c:v>
                </c:pt>
                <c:pt idx="937">
                  <c:v>2.6800000000000001E-2</c:v>
                </c:pt>
                <c:pt idx="938">
                  <c:v>2.5600000000000001E-2</c:v>
                </c:pt>
                <c:pt idx="939">
                  <c:v>2.5499999999999998E-2</c:v>
                </c:pt>
                <c:pt idx="940">
                  <c:v>2.53E-2</c:v>
                </c:pt>
                <c:pt idx="941">
                  <c:v>2.5000000000000001E-2</c:v>
                </c:pt>
                <c:pt idx="942">
                  <c:v>2.6000000000000002E-2</c:v>
                </c:pt>
                <c:pt idx="943">
                  <c:v>2.64E-2</c:v>
                </c:pt>
                <c:pt idx="944">
                  <c:v>2.6800000000000001E-2</c:v>
                </c:pt>
                <c:pt idx="945">
                  <c:v>2.6200000000000001E-2</c:v>
                </c:pt>
                <c:pt idx="946">
                  <c:v>2.6099999999999998E-2</c:v>
                </c:pt>
                <c:pt idx="947">
                  <c:v>2.6200000000000001E-2</c:v>
                </c:pt>
                <c:pt idx="948">
                  <c:v>2.6000000000000002E-2</c:v>
                </c:pt>
                <c:pt idx="949">
                  <c:v>2.6099999999999998E-2</c:v>
                </c:pt>
                <c:pt idx="950">
                  <c:v>2.58E-2</c:v>
                </c:pt>
                <c:pt idx="951">
                  <c:v>2.63E-2</c:v>
                </c:pt>
                <c:pt idx="952">
                  <c:v>2.6099999999999998E-2</c:v>
                </c:pt>
                <c:pt idx="953">
                  <c:v>2.7000000000000003E-2</c:v>
                </c:pt>
                <c:pt idx="954">
                  <c:v>2.69E-2</c:v>
                </c:pt>
                <c:pt idx="955">
                  <c:v>2.6499999999999999E-2</c:v>
                </c:pt>
                <c:pt idx="956">
                  <c:v>2.7000000000000003E-2</c:v>
                </c:pt>
                <c:pt idx="957">
                  <c:v>2.7099999999999999E-2</c:v>
                </c:pt>
                <c:pt idx="958">
                  <c:v>2.63E-2</c:v>
                </c:pt>
                <c:pt idx="959">
                  <c:v>2.6800000000000001E-2</c:v>
                </c:pt>
                <c:pt idx="960">
                  <c:v>2.7000000000000003E-2</c:v>
                </c:pt>
                <c:pt idx="961">
                  <c:v>2.75E-2</c:v>
                </c:pt>
                <c:pt idx="962">
                  <c:v>2.7400000000000001E-2</c:v>
                </c:pt>
                <c:pt idx="963">
                  <c:v>2.7300000000000001E-2</c:v>
                </c:pt>
                <c:pt idx="964">
                  <c:v>2.7300000000000001E-2</c:v>
                </c:pt>
                <c:pt idx="965">
                  <c:v>2.69E-2</c:v>
                </c:pt>
                <c:pt idx="966">
                  <c:v>2.6800000000000001E-2</c:v>
                </c:pt>
                <c:pt idx="967">
                  <c:v>2.7200000000000002E-2</c:v>
                </c:pt>
                <c:pt idx="968">
                  <c:v>2.7200000000000002E-2</c:v>
                </c:pt>
                <c:pt idx="969">
                  <c:v>2.6499999999999999E-2</c:v>
                </c:pt>
                <c:pt idx="970">
                  <c:v>2.6699999999999998E-2</c:v>
                </c:pt>
                <c:pt idx="971">
                  <c:v>2.6600000000000002E-2</c:v>
                </c:pt>
                <c:pt idx="972">
                  <c:v>2.6000000000000002E-2</c:v>
                </c:pt>
                <c:pt idx="973">
                  <c:v>2.6499999999999999E-2</c:v>
                </c:pt>
                <c:pt idx="974">
                  <c:v>2.6099999999999998E-2</c:v>
                </c:pt>
                <c:pt idx="975">
                  <c:v>2.6200000000000001E-2</c:v>
                </c:pt>
                <c:pt idx="976">
                  <c:v>2.6000000000000002E-2</c:v>
                </c:pt>
                <c:pt idx="977">
                  <c:v>2.5399999999999999E-2</c:v>
                </c:pt>
                <c:pt idx="978">
                  <c:v>2.58E-2</c:v>
                </c:pt>
                <c:pt idx="979">
                  <c:v>2.52E-2</c:v>
                </c:pt>
                <c:pt idx="980">
                  <c:v>2.5499999999999998E-2</c:v>
                </c:pt>
                <c:pt idx="981">
                  <c:v>2.5600000000000001E-2</c:v>
                </c:pt>
                <c:pt idx="982">
                  <c:v>2.6099999999999998E-2</c:v>
                </c:pt>
                <c:pt idx="983">
                  <c:v>2.58E-2</c:v>
                </c:pt>
                <c:pt idx="984">
                  <c:v>2.6099999999999998E-2</c:v>
                </c:pt>
                <c:pt idx="985">
                  <c:v>2.5600000000000001E-2</c:v>
                </c:pt>
                <c:pt idx="986">
                  <c:v>2.58E-2</c:v>
                </c:pt>
                <c:pt idx="987">
                  <c:v>2.6000000000000002E-2</c:v>
                </c:pt>
                <c:pt idx="988">
                  <c:v>2.6600000000000002E-2</c:v>
                </c:pt>
                <c:pt idx="989">
                  <c:v>2.69E-2</c:v>
                </c:pt>
                <c:pt idx="990">
                  <c:v>2.7000000000000003E-2</c:v>
                </c:pt>
                <c:pt idx="991">
                  <c:v>2.7200000000000002E-2</c:v>
                </c:pt>
                <c:pt idx="992">
                  <c:v>2.76E-2</c:v>
                </c:pt>
                <c:pt idx="993">
                  <c:v>2.7099999999999999E-2</c:v>
                </c:pt>
                <c:pt idx="994">
                  <c:v>2.6800000000000001E-2</c:v>
                </c:pt>
                <c:pt idx="995">
                  <c:v>2.6600000000000002E-2</c:v>
                </c:pt>
                <c:pt idx="996">
                  <c:v>2.7099999999999999E-2</c:v>
                </c:pt>
                <c:pt idx="997">
                  <c:v>2.6600000000000002E-2</c:v>
                </c:pt>
                <c:pt idx="998">
                  <c:v>2.64E-2</c:v>
                </c:pt>
                <c:pt idx="999">
                  <c:v>2.6000000000000002E-2</c:v>
                </c:pt>
                <c:pt idx="1000">
                  <c:v>2.6200000000000001E-2</c:v>
                </c:pt>
                <c:pt idx="1001">
                  <c:v>2.6099999999999998E-2</c:v>
                </c:pt>
                <c:pt idx="1002">
                  <c:v>2.6099999999999998E-2</c:v>
                </c:pt>
                <c:pt idx="1003">
                  <c:v>2.58E-2</c:v>
                </c:pt>
                <c:pt idx="1004">
                  <c:v>2.6000000000000002E-2</c:v>
                </c:pt>
                <c:pt idx="1005">
                  <c:v>2.5499999999999998E-2</c:v>
                </c:pt>
                <c:pt idx="1006">
                  <c:v>2.5899999999999999E-2</c:v>
                </c:pt>
                <c:pt idx="1007">
                  <c:v>2.5899999999999999E-2</c:v>
                </c:pt>
                <c:pt idx="1008">
                  <c:v>2.6699999999999998E-2</c:v>
                </c:pt>
                <c:pt idx="1009">
                  <c:v>2.64E-2</c:v>
                </c:pt>
                <c:pt idx="1010">
                  <c:v>2.63E-2</c:v>
                </c:pt>
                <c:pt idx="1011">
                  <c:v>2.63E-2</c:v>
                </c:pt>
                <c:pt idx="1012">
                  <c:v>2.6499999999999999E-2</c:v>
                </c:pt>
                <c:pt idx="1013">
                  <c:v>2.6699999999999998E-2</c:v>
                </c:pt>
                <c:pt idx="1014">
                  <c:v>2.64E-2</c:v>
                </c:pt>
                <c:pt idx="1015">
                  <c:v>2.6499999999999999E-2</c:v>
                </c:pt>
                <c:pt idx="1016">
                  <c:v>2.64E-2</c:v>
                </c:pt>
                <c:pt idx="1017">
                  <c:v>2.63E-2</c:v>
                </c:pt>
                <c:pt idx="1018">
                  <c:v>2.58E-2</c:v>
                </c:pt>
                <c:pt idx="1019">
                  <c:v>2.52E-2</c:v>
                </c:pt>
                <c:pt idx="1020">
                  <c:v>2.5499999999999998E-2</c:v>
                </c:pt>
                <c:pt idx="1021">
                  <c:v>2.5399999999999999E-2</c:v>
                </c:pt>
                <c:pt idx="1022">
                  <c:v>2.5099999999999997E-2</c:v>
                </c:pt>
                <c:pt idx="1023">
                  <c:v>2.4799999999999999E-2</c:v>
                </c:pt>
                <c:pt idx="1024">
                  <c:v>2.4399999999999998E-2</c:v>
                </c:pt>
                <c:pt idx="1025">
                  <c:v>2.4300000000000002E-2</c:v>
                </c:pt>
                <c:pt idx="1026">
                  <c:v>2.4300000000000002E-2</c:v>
                </c:pt>
                <c:pt idx="1027">
                  <c:v>2.4300000000000002E-2</c:v>
                </c:pt>
                <c:pt idx="1028">
                  <c:v>2.3900000000000001E-2</c:v>
                </c:pt>
                <c:pt idx="1029">
                  <c:v>2.4300000000000002E-2</c:v>
                </c:pt>
                <c:pt idx="1030">
                  <c:v>2.4700000000000003E-2</c:v>
                </c:pt>
                <c:pt idx="1031">
                  <c:v>2.5000000000000001E-2</c:v>
                </c:pt>
                <c:pt idx="1032">
                  <c:v>2.5000000000000001E-2</c:v>
                </c:pt>
                <c:pt idx="1033">
                  <c:v>2.5499999999999998E-2</c:v>
                </c:pt>
                <c:pt idx="1034">
                  <c:v>2.4199999999999999E-2</c:v>
                </c:pt>
                <c:pt idx="1035">
                  <c:v>2.2799999999999997E-2</c:v>
                </c:pt>
                <c:pt idx="1036">
                  <c:v>2.2700000000000001E-2</c:v>
                </c:pt>
                <c:pt idx="1037">
                  <c:v>2.3E-2</c:v>
                </c:pt>
                <c:pt idx="1038">
                  <c:v>2.3E-2</c:v>
                </c:pt>
                <c:pt idx="1039">
                  <c:v>2.2400000000000003E-2</c:v>
                </c:pt>
                <c:pt idx="1040">
                  <c:v>2.1400000000000002E-2</c:v>
                </c:pt>
                <c:pt idx="1041">
                  <c:v>2.1400000000000002E-2</c:v>
                </c:pt>
                <c:pt idx="1042">
                  <c:v>2.1400000000000002E-2</c:v>
                </c:pt>
                <c:pt idx="1043">
                  <c:v>2.1099999999999997E-2</c:v>
                </c:pt>
                <c:pt idx="1044">
                  <c:v>2.1400000000000002E-2</c:v>
                </c:pt>
                <c:pt idx="1045">
                  <c:v>2.2400000000000003E-2</c:v>
                </c:pt>
                <c:pt idx="1046">
                  <c:v>2.18E-2</c:v>
                </c:pt>
                <c:pt idx="1047">
                  <c:v>2.2499999999999999E-2</c:v>
                </c:pt>
                <c:pt idx="1048">
                  <c:v>2.3E-2</c:v>
                </c:pt>
                <c:pt idx="1049">
                  <c:v>2.3E-2</c:v>
                </c:pt>
                <c:pt idx="1050">
                  <c:v>2.2700000000000001E-2</c:v>
                </c:pt>
                <c:pt idx="1051">
                  <c:v>2.3E-2</c:v>
                </c:pt>
                <c:pt idx="1052">
                  <c:v>2.29E-2</c:v>
                </c:pt>
                <c:pt idx="1053">
                  <c:v>2.29E-2</c:v>
                </c:pt>
                <c:pt idx="1054">
                  <c:v>2.29E-2</c:v>
                </c:pt>
                <c:pt idx="1055">
                  <c:v>2.2799999999999997E-2</c:v>
                </c:pt>
                <c:pt idx="1056">
                  <c:v>2.23E-2</c:v>
                </c:pt>
                <c:pt idx="1057">
                  <c:v>2.23E-2</c:v>
                </c:pt>
                <c:pt idx="1058">
                  <c:v>2.18E-2</c:v>
                </c:pt>
                <c:pt idx="1059">
                  <c:v>2.2400000000000003E-2</c:v>
                </c:pt>
                <c:pt idx="1060">
                  <c:v>2.29E-2</c:v>
                </c:pt>
                <c:pt idx="1061">
                  <c:v>2.29E-2</c:v>
                </c:pt>
                <c:pt idx="1062">
                  <c:v>2.2499999999999999E-2</c:v>
                </c:pt>
                <c:pt idx="1063">
                  <c:v>2.3199999999999998E-2</c:v>
                </c:pt>
                <c:pt idx="1064">
                  <c:v>2.3E-2</c:v>
                </c:pt>
                <c:pt idx="1065">
                  <c:v>2.2499999999999999E-2</c:v>
                </c:pt>
                <c:pt idx="1066">
                  <c:v>2.23E-2</c:v>
                </c:pt>
                <c:pt idx="1067">
                  <c:v>2.2799999999999997E-2</c:v>
                </c:pt>
                <c:pt idx="1068">
                  <c:v>2.23E-2</c:v>
                </c:pt>
                <c:pt idx="1069">
                  <c:v>2.2700000000000001E-2</c:v>
                </c:pt>
                <c:pt idx="1070">
                  <c:v>2.29E-2</c:v>
                </c:pt>
                <c:pt idx="1071">
                  <c:v>2.2700000000000001E-2</c:v>
                </c:pt>
                <c:pt idx="1072">
                  <c:v>2.2599999999999999E-2</c:v>
                </c:pt>
                <c:pt idx="1073">
                  <c:v>2.29E-2</c:v>
                </c:pt>
                <c:pt idx="1074">
                  <c:v>2.2400000000000003E-2</c:v>
                </c:pt>
                <c:pt idx="1075">
                  <c:v>2.2400000000000003E-2</c:v>
                </c:pt>
                <c:pt idx="1076">
                  <c:v>2.2400000000000003E-2</c:v>
                </c:pt>
                <c:pt idx="1077">
                  <c:v>2.2700000000000001E-2</c:v>
                </c:pt>
                <c:pt idx="1078">
                  <c:v>2.29E-2</c:v>
                </c:pt>
                <c:pt idx="1079">
                  <c:v>2.2200000000000001E-2</c:v>
                </c:pt>
                <c:pt idx="1080">
                  <c:v>2.23E-2</c:v>
                </c:pt>
                <c:pt idx="1081">
                  <c:v>2.23E-2</c:v>
                </c:pt>
                <c:pt idx="1082">
                  <c:v>2.23E-2</c:v>
                </c:pt>
                <c:pt idx="1083">
                  <c:v>2.2799999999999997E-2</c:v>
                </c:pt>
                <c:pt idx="1084">
                  <c:v>2.2400000000000003E-2</c:v>
                </c:pt>
                <c:pt idx="1085">
                  <c:v>2.23E-2</c:v>
                </c:pt>
                <c:pt idx="1086">
                  <c:v>2.3199999999999998E-2</c:v>
                </c:pt>
                <c:pt idx="1087">
                  <c:v>2.3900000000000001E-2</c:v>
                </c:pt>
                <c:pt idx="1088">
                  <c:v>2.4E-2</c:v>
                </c:pt>
                <c:pt idx="1089">
                  <c:v>2.4700000000000003E-2</c:v>
                </c:pt>
                <c:pt idx="1090">
                  <c:v>2.4399999999999998E-2</c:v>
                </c:pt>
                <c:pt idx="1091">
                  <c:v>2.4799999999999999E-2</c:v>
                </c:pt>
                <c:pt idx="1092">
                  <c:v>2.4399999999999998E-2</c:v>
                </c:pt>
                <c:pt idx="1093">
                  <c:v>2.4500000000000001E-2</c:v>
                </c:pt>
                <c:pt idx="1094">
                  <c:v>2.4300000000000002E-2</c:v>
                </c:pt>
                <c:pt idx="1095">
                  <c:v>2.3900000000000001E-2</c:v>
                </c:pt>
                <c:pt idx="1096">
                  <c:v>2.3399999999999997E-2</c:v>
                </c:pt>
                <c:pt idx="1097">
                  <c:v>2.3399999999999997E-2</c:v>
                </c:pt>
                <c:pt idx="1098">
                  <c:v>2.3199999999999998E-2</c:v>
                </c:pt>
                <c:pt idx="1099">
                  <c:v>2.2799999999999997E-2</c:v>
                </c:pt>
                <c:pt idx="1100">
                  <c:v>2.29E-2</c:v>
                </c:pt>
                <c:pt idx="1101">
                  <c:v>2.2799999999999997E-2</c:v>
                </c:pt>
                <c:pt idx="1102">
                  <c:v>2.3199999999999998E-2</c:v>
                </c:pt>
                <c:pt idx="1103">
                  <c:v>2.3399999999999997E-2</c:v>
                </c:pt>
                <c:pt idx="1104">
                  <c:v>2.4E-2</c:v>
                </c:pt>
                <c:pt idx="1105">
                  <c:v>2.4399999999999998E-2</c:v>
                </c:pt>
                <c:pt idx="1106">
                  <c:v>2.46E-2</c:v>
                </c:pt>
                <c:pt idx="1107">
                  <c:v>2.46E-2</c:v>
                </c:pt>
                <c:pt idx="1108">
                  <c:v>2.5000000000000001E-2</c:v>
                </c:pt>
                <c:pt idx="1109">
                  <c:v>2.5099999999999997E-2</c:v>
                </c:pt>
                <c:pt idx="1110">
                  <c:v>2.4799999999999999E-2</c:v>
                </c:pt>
                <c:pt idx="1111">
                  <c:v>2.5499999999999998E-2</c:v>
                </c:pt>
                <c:pt idx="1112">
                  <c:v>2.52E-2</c:v>
                </c:pt>
                <c:pt idx="1113">
                  <c:v>2.5099999999999997E-2</c:v>
                </c:pt>
                <c:pt idx="1114">
                  <c:v>2.5099999999999997E-2</c:v>
                </c:pt>
                <c:pt idx="1115">
                  <c:v>2.5000000000000001E-2</c:v>
                </c:pt>
                <c:pt idx="1116">
                  <c:v>2.4799999999999999E-2</c:v>
                </c:pt>
                <c:pt idx="1117">
                  <c:v>2.52E-2</c:v>
                </c:pt>
                <c:pt idx="1118">
                  <c:v>2.5000000000000001E-2</c:v>
                </c:pt>
                <c:pt idx="1119">
                  <c:v>2.53E-2</c:v>
                </c:pt>
                <c:pt idx="1120">
                  <c:v>2.6000000000000002E-2</c:v>
                </c:pt>
                <c:pt idx="1121">
                  <c:v>2.6200000000000001E-2</c:v>
                </c:pt>
                <c:pt idx="1122">
                  <c:v>2.58E-2</c:v>
                </c:pt>
                <c:pt idx="1123">
                  <c:v>2.58E-2</c:v>
                </c:pt>
                <c:pt idx="1124">
                  <c:v>2.5600000000000001E-2</c:v>
                </c:pt>
                <c:pt idx="1125">
                  <c:v>2.6000000000000002E-2</c:v>
                </c:pt>
                <c:pt idx="1126">
                  <c:v>2.5600000000000001E-2</c:v>
                </c:pt>
                <c:pt idx="1127">
                  <c:v>2.6000000000000002E-2</c:v>
                </c:pt>
                <c:pt idx="1128">
                  <c:v>2.63E-2</c:v>
                </c:pt>
                <c:pt idx="1129">
                  <c:v>2.8799999999999999E-2</c:v>
                </c:pt>
                <c:pt idx="1130">
                  <c:v>2.9399999999999999E-2</c:v>
                </c:pt>
                <c:pt idx="1131">
                  <c:v>2.9900000000000003E-2</c:v>
                </c:pt>
                <c:pt idx="1132">
                  <c:v>2.9700000000000001E-2</c:v>
                </c:pt>
                <c:pt idx="1133">
                  <c:v>2.92E-2</c:v>
                </c:pt>
                <c:pt idx="1134">
                  <c:v>3.0099999999999998E-2</c:v>
                </c:pt>
                <c:pt idx="1135">
                  <c:v>3.0099999999999998E-2</c:v>
                </c:pt>
                <c:pt idx="1136">
                  <c:v>0.03</c:v>
                </c:pt>
                <c:pt idx="1137">
                  <c:v>0.03</c:v>
                </c:pt>
                <c:pt idx="1138">
                  <c:v>3.0200000000000001E-2</c:v>
                </c:pt>
                <c:pt idx="1139">
                  <c:v>3.0099999999999998E-2</c:v>
                </c:pt>
                <c:pt idx="1140">
                  <c:v>2.9900000000000003E-2</c:v>
                </c:pt>
                <c:pt idx="1141">
                  <c:v>2.9500000000000002E-2</c:v>
                </c:pt>
                <c:pt idx="1142">
                  <c:v>3.0200000000000001E-2</c:v>
                </c:pt>
                <c:pt idx="1143">
                  <c:v>3.1E-2</c:v>
                </c:pt>
                <c:pt idx="1144">
                  <c:v>3.0800000000000001E-2</c:v>
                </c:pt>
                <c:pt idx="1145">
                  <c:v>3.0499999999999999E-2</c:v>
                </c:pt>
                <c:pt idx="1146">
                  <c:v>3.0800000000000001E-2</c:v>
                </c:pt>
                <c:pt idx="1147">
                  <c:v>3.0200000000000001E-2</c:v>
                </c:pt>
                <c:pt idx="1148">
                  <c:v>3.1E-2</c:v>
                </c:pt>
                <c:pt idx="1149">
                  <c:v>3.1600000000000003E-2</c:v>
                </c:pt>
                <c:pt idx="1150">
                  <c:v>3.1600000000000003E-2</c:v>
                </c:pt>
                <c:pt idx="1151">
                  <c:v>3.1399999999999997E-2</c:v>
                </c:pt>
                <c:pt idx="1152">
                  <c:v>3.1399999999999997E-2</c:v>
                </c:pt>
                <c:pt idx="1153">
                  <c:v>3.1600000000000003E-2</c:v>
                </c:pt>
                <c:pt idx="1154">
                  <c:v>3.1899999999999998E-2</c:v>
                </c:pt>
                <c:pt idx="1155">
                  <c:v>3.1199999999999999E-2</c:v>
                </c:pt>
                <c:pt idx="1156">
                  <c:v>3.15E-2</c:v>
                </c:pt>
                <c:pt idx="1157">
                  <c:v>3.1199999999999999E-2</c:v>
                </c:pt>
                <c:pt idx="1158">
                  <c:v>3.1199999999999999E-2</c:v>
                </c:pt>
                <c:pt idx="1159">
                  <c:v>3.1199999999999999E-2</c:v>
                </c:pt>
                <c:pt idx="1160">
                  <c:v>3.1399999999999997E-2</c:v>
                </c:pt>
                <c:pt idx="1161">
                  <c:v>3.09E-2</c:v>
                </c:pt>
                <c:pt idx="1162">
                  <c:v>3.0800000000000001E-2</c:v>
                </c:pt>
                <c:pt idx="1163">
                  <c:v>3.0599999999999999E-2</c:v>
                </c:pt>
                <c:pt idx="1164">
                  <c:v>3.04E-2</c:v>
                </c:pt>
                <c:pt idx="1165">
                  <c:v>3.0499999999999999E-2</c:v>
                </c:pt>
              </c:numCache>
            </c:numRef>
          </c:val>
          <c:smooth val="0"/>
        </c:ser>
        <c:dLbls>
          <c:showLegendKey val="0"/>
          <c:showVal val="0"/>
          <c:showCatName val="0"/>
          <c:showSerName val="0"/>
          <c:showPercent val="0"/>
          <c:showBubbleSize val="0"/>
        </c:dLbls>
        <c:marker val="1"/>
        <c:smooth val="0"/>
        <c:axId val="244503680"/>
        <c:axId val="244505216"/>
      </c:lineChart>
      <c:dateAx>
        <c:axId val="244503680"/>
        <c:scaling>
          <c:orientation val="minMax"/>
          <c:max val="42712"/>
          <c:min val="41036"/>
        </c:scaling>
        <c:delete val="0"/>
        <c:axPos val="b"/>
        <c:numFmt formatCode="m/d/yyyy" sourceLinked="1"/>
        <c:majorTickMark val="in"/>
        <c:minorTickMark val="in"/>
        <c:tickLblPos val="nextTo"/>
        <c:txPr>
          <a:bodyPr rot="3180000"/>
          <a:lstStyle/>
          <a:p>
            <a:pPr>
              <a:defRPr/>
            </a:pPr>
            <a:endParaRPr lang="en-US"/>
          </a:p>
        </c:txPr>
        <c:crossAx val="244505216"/>
        <c:crosses val="autoZero"/>
        <c:auto val="1"/>
        <c:lblOffset val="100"/>
        <c:baseTimeUnit val="days"/>
        <c:majorUnit val="3"/>
        <c:majorTimeUnit val="months"/>
        <c:minorUnit val="3"/>
        <c:minorTimeUnit val="months"/>
      </c:dateAx>
      <c:valAx>
        <c:axId val="244505216"/>
        <c:scaling>
          <c:orientation val="minMax"/>
          <c:max val="4.0000000000000008E-2"/>
          <c:min val="2.0000000000000004E-2"/>
        </c:scaling>
        <c:delete val="0"/>
        <c:axPos val="l"/>
        <c:majorGridlines/>
        <c:numFmt formatCode="0.00%" sourceLinked="1"/>
        <c:majorTickMark val="in"/>
        <c:minorTickMark val="in"/>
        <c:tickLblPos val="nextTo"/>
        <c:spPr>
          <a:ln w="9525">
            <a:noFill/>
          </a:ln>
        </c:spPr>
        <c:crossAx val="24450368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US" b="1">
                <a:latin typeface="Times New Roman" panose="02020603050405020304" pitchFamily="18" charset="0"/>
                <a:cs typeface="Times New Roman" panose="02020603050405020304" pitchFamily="18" charset="0"/>
              </a:rPr>
              <a:t>Allowed Risk Premium 1986-2015</a:t>
            </a:r>
          </a:p>
        </c:rich>
      </c:tx>
      <c:overlay val="0"/>
      <c:spPr>
        <a:noFill/>
        <a:ln w="25400">
          <a:noFill/>
        </a:ln>
      </c:spPr>
    </c:title>
    <c:autoTitleDeleted val="0"/>
    <c:plotArea>
      <c:layout/>
      <c:lineChart>
        <c:grouping val="standard"/>
        <c:varyColors val="0"/>
        <c:ser>
          <c:idx val="0"/>
          <c:order val="0"/>
          <c:spPr>
            <a:ln w="28575">
              <a:solidFill>
                <a:schemeClr val="accent2"/>
              </a:solidFill>
            </a:ln>
          </c:spPr>
          <c:marker>
            <c:spPr>
              <a:solidFill>
                <a:srgbClr val="4F81BD"/>
              </a:solidFill>
              <a:ln w="3175">
                <a:solidFill>
                  <a:srgbClr val="666699"/>
                </a:solidFill>
                <a:prstDash val="solid"/>
              </a:ln>
            </c:spPr>
          </c:marker>
          <c:trendline>
            <c:spPr>
              <a:ln w="3175">
                <a:solidFill>
                  <a:srgbClr val="000000"/>
                </a:solidFill>
                <a:prstDash val="solid"/>
              </a:ln>
            </c:spPr>
            <c:trendlineType val="linear"/>
            <c:dispRSqr val="0"/>
            <c:dispEq val="0"/>
          </c:trendline>
          <c:cat>
            <c:strRef>
              <c:f>[1]Gas!$D$11:$D$40</c:f>
              <c:strCache>
                <c:ptCount val="30"/>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strCache>
            </c:strRef>
          </c:cat>
          <c:val>
            <c:numRef>
              <c:f>[1]Gas!$G$11:$G$40</c:f>
              <c:numCache>
                <c:formatCode>General</c:formatCode>
                <c:ptCount val="30"/>
                <c:pt idx="0">
                  <c:v>4.8500000000000001E-2</c:v>
                </c:pt>
                <c:pt idx="1">
                  <c:v>3.6499999999999998E-2</c:v>
                </c:pt>
                <c:pt idx="2">
                  <c:v>3.6999999999999998E-2</c:v>
                </c:pt>
                <c:pt idx="3">
                  <c:v>4.8099999999999997E-2</c:v>
                </c:pt>
                <c:pt idx="4">
                  <c:v>4.2299999999999997E-2</c:v>
                </c:pt>
                <c:pt idx="5">
                  <c:v>5.16E-2</c:v>
                </c:pt>
                <c:pt idx="6">
                  <c:v>4.7500000000000001E-2</c:v>
                </c:pt>
                <c:pt idx="7">
                  <c:v>4.8099999999999997E-2</c:v>
                </c:pt>
                <c:pt idx="8">
                  <c:v>3.3599999999999998E-2</c:v>
                </c:pt>
                <c:pt idx="9">
                  <c:v>5.3999999999999999E-2</c:v>
                </c:pt>
                <c:pt idx="10">
                  <c:v>4.4600000000000001E-2</c:v>
                </c:pt>
                <c:pt idx="11">
                  <c:v>5.2699999999999997E-2</c:v>
                </c:pt>
                <c:pt idx="12">
                  <c:v>6.0900000000000003E-2</c:v>
                </c:pt>
                <c:pt idx="13">
                  <c:v>3.8399999999999997E-2</c:v>
                </c:pt>
                <c:pt idx="14">
                  <c:v>5.8099999999999999E-2</c:v>
                </c:pt>
                <c:pt idx="15">
                  <c:v>5.1999999999999998E-2</c:v>
                </c:pt>
                <c:pt idx="16">
                  <c:v>6.1899999999999997E-2</c:v>
                </c:pt>
                <c:pt idx="17">
                  <c:v>5.8799999999999998E-2</c:v>
                </c:pt>
                <c:pt idx="18">
                  <c:v>5.7500000000000002E-2</c:v>
                </c:pt>
                <c:pt idx="19">
                  <c:v>5.8500000000000003E-2</c:v>
                </c:pt>
                <c:pt idx="20">
                  <c:v>5.5199999999999999E-2</c:v>
                </c:pt>
                <c:pt idx="21">
                  <c:v>5.74E-2</c:v>
                </c:pt>
                <c:pt idx="22">
                  <c:v>7.3400000000000007E-2</c:v>
                </c:pt>
                <c:pt idx="23">
                  <c:v>5.6099999999999997E-2</c:v>
                </c:pt>
                <c:pt idx="24">
                  <c:v>5.9400000000000001E-2</c:v>
                </c:pt>
                <c:pt idx="25">
                  <c:v>7.4399999999999994E-2</c:v>
                </c:pt>
                <c:pt idx="26">
                  <c:v>7.5300000000000006E-2</c:v>
                </c:pt>
                <c:pt idx="27">
                  <c:v>5.9799999999999999E-2</c:v>
                </c:pt>
                <c:pt idx="28">
                  <c:v>7.3800000000000004E-2</c:v>
                </c:pt>
                <c:pt idx="29">
                  <c:v>6.7299999999999999E-2</c:v>
                </c:pt>
              </c:numCache>
            </c:numRef>
          </c:val>
          <c:smooth val="0"/>
        </c:ser>
        <c:dLbls>
          <c:showLegendKey val="0"/>
          <c:showVal val="0"/>
          <c:showCatName val="0"/>
          <c:showSerName val="0"/>
          <c:showPercent val="0"/>
          <c:showBubbleSize val="0"/>
        </c:dLbls>
        <c:marker val="1"/>
        <c:smooth val="0"/>
        <c:axId val="244517888"/>
        <c:axId val="244540160"/>
      </c:lineChart>
      <c:catAx>
        <c:axId val="244517888"/>
        <c:scaling>
          <c:orientation val="minMax"/>
        </c:scaling>
        <c:delete val="0"/>
        <c:axPos val="b"/>
        <c:numFmt formatCode="0.0%" sourceLinked="0"/>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244540160"/>
        <c:crosses val="autoZero"/>
        <c:auto val="1"/>
        <c:lblAlgn val="ctr"/>
        <c:lblOffset val="100"/>
        <c:tickLblSkip val="2"/>
        <c:noMultiLvlLbl val="0"/>
      </c:catAx>
      <c:valAx>
        <c:axId val="244540160"/>
        <c:scaling>
          <c:orientation val="minMax"/>
          <c:max val="0.09"/>
          <c:min val="0.02"/>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244517888"/>
        <c:crosses val="autoZero"/>
        <c:crossBetween val="between"/>
      </c:valAx>
      <c:spPr>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noFill/>
    <a:ln w="9525" cap="flat" cmpd="sng" algn="ctr">
      <a:noFill/>
      <a:prstDash val="solid"/>
    </a:ln>
    <a:effectLst>
      <a:outerShdw blurRad="50800" dist="50800" dir="5400000" algn="ctr" rotWithShape="0">
        <a:schemeClr val="bg1"/>
      </a:outerShdw>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b="1">
                <a:latin typeface="Times New Roman" panose="02020603050405020304" pitchFamily="18" charset="0"/>
                <a:cs typeface="Times New Roman" panose="02020603050405020304" pitchFamily="18" charset="0"/>
              </a:rPr>
              <a:t>Risk Premium vs Treasury Bond Yields 1986-2015</a:t>
            </a:r>
          </a:p>
        </c:rich>
      </c:tx>
      <c:overlay val="0"/>
      <c:spPr>
        <a:noFill/>
        <a:ln w="25400">
          <a:noFill/>
        </a:ln>
      </c:spPr>
    </c:title>
    <c:autoTitleDeleted val="0"/>
    <c:plotArea>
      <c:layout/>
      <c:scatterChart>
        <c:scatterStyle val="lineMarker"/>
        <c:varyColors val="0"/>
        <c:ser>
          <c:idx val="0"/>
          <c:order val="0"/>
          <c:spPr>
            <a:ln w="47625">
              <a:noFill/>
            </a:ln>
          </c:spPr>
          <c:marker>
            <c:spPr>
              <a:gradFill rotWithShape="0">
                <a:gsLst>
                  <a:gs pos="0">
                    <a:srgbClr val="9BC1FF"/>
                  </a:gs>
                  <a:gs pos="100000">
                    <a:srgbClr val="3F80CD"/>
                  </a:gs>
                </a:gsLst>
                <a:lin ang="5400000"/>
              </a:gradFill>
              <a:ln>
                <a:solidFill>
                  <a:srgbClr val="666699"/>
                </a:solidFill>
                <a:prstDash val="solid"/>
              </a:ln>
              <a:effectLst>
                <a:outerShdw dist="35921" dir="2700000" algn="br">
                  <a:srgbClr val="000000"/>
                </a:outerShdw>
              </a:effectLst>
            </c:spPr>
          </c:marker>
          <c:trendline>
            <c:spPr>
              <a:ln w="12700"/>
            </c:spPr>
            <c:trendlineType val="linear"/>
            <c:dispRSqr val="1"/>
            <c:dispEq val="1"/>
            <c:trendlineLbl>
              <c:layout>
                <c:manualLayout>
                  <c:x val="-0.309276712548336"/>
                  <c:y val="-8.7199100112485897E-2"/>
                </c:manualLayout>
              </c:layout>
              <c:tx>
                <c:rich>
                  <a:bodyPr/>
                  <a:lstStyle/>
                  <a:p>
                    <a:pPr>
                      <a:defRPr sz="1000" b="0" i="0" u="none" strike="noStrike" baseline="0">
                        <a:solidFill>
                          <a:srgbClr val="000000"/>
                        </a:solidFill>
                        <a:latin typeface="Calibri"/>
                        <a:ea typeface="Calibri"/>
                        <a:cs typeface="Calibri"/>
                      </a:defRPr>
                    </a:pPr>
                    <a:r>
                      <a:rPr lang="en-US" baseline="0"/>
                      <a:t>y = -0.5368x + 0.0865
R² = 0.8205</a:t>
                    </a:r>
                    <a:endParaRPr lang="en-US">
                      <a:latin typeface="Times New Roman" panose="02020603050405020304" pitchFamily="18" charset="0"/>
                      <a:cs typeface="Times New Roman" panose="02020603050405020304" pitchFamily="18" charset="0"/>
                    </a:endParaRPr>
                  </a:p>
                </c:rich>
              </c:tx>
              <c:numFmt formatCode="General" sourceLinked="0"/>
              <c:spPr>
                <a:noFill/>
                <a:ln w="25400">
                  <a:noFill/>
                </a:ln>
              </c:spPr>
            </c:trendlineLbl>
          </c:trendline>
          <c:xVal>
            <c:numRef>
              <c:f>[1]Electric!$D$11:$D$40</c:f>
              <c:numCache>
                <c:formatCode>0.00%</c:formatCode>
                <c:ptCount val="30"/>
                <c:pt idx="0">
                  <c:v>7.8899999999999998E-2</c:v>
                </c:pt>
                <c:pt idx="1">
                  <c:v>9.1999999999999998E-2</c:v>
                </c:pt>
                <c:pt idx="2">
                  <c:v>9.1800000000000007E-2</c:v>
                </c:pt>
                <c:pt idx="3">
                  <c:v>8.1600000000000006E-2</c:v>
                </c:pt>
                <c:pt idx="4">
                  <c:v>8.4400000000000003E-2</c:v>
                </c:pt>
                <c:pt idx="5">
                  <c:v>7.2999999999999995E-2</c:v>
                </c:pt>
                <c:pt idx="6">
                  <c:v>7.2599999999999998E-2</c:v>
                </c:pt>
                <c:pt idx="7">
                  <c:v>6.54E-2</c:v>
                </c:pt>
                <c:pt idx="8">
                  <c:v>7.9899999999999999E-2</c:v>
                </c:pt>
                <c:pt idx="9">
                  <c:v>6.0299999999999999E-2</c:v>
                </c:pt>
                <c:pt idx="10">
                  <c:v>6.7299999999999999E-2</c:v>
                </c:pt>
                <c:pt idx="11">
                  <c:v>6.0199999999999997E-2</c:v>
                </c:pt>
                <c:pt idx="12">
                  <c:v>5.4199999999999998E-2</c:v>
                </c:pt>
                <c:pt idx="13">
                  <c:v>6.8199999999999997E-2</c:v>
                </c:pt>
                <c:pt idx="14">
                  <c:v>5.5800000000000002E-2</c:v>
                </c:pt>
                <c:pt idx="15">
                  <c:v>5.7500000000000002E-2</c:v>
                </c:pt>
                <c:pt idx="16">
                  <c:v>4.8399999999999999E-2</c:v>
                </c:pt>
                <c:pt idx="17">
                  <c:v>5.11E-2</c:v>
                </c:pt>
                <c:pt idx="18">
                  <c:v>4.8399999999999999E-2</c:v>
                </c:pt>
                <c:pt idx="19">
                  <c:v>4.6100000000000002E-2</c:v>
                </c:pt>
                <c:pt idx="20">
                  <c:v>4.9099999999999998E-2</c:v>
                </c:pt>
                <c:pt idx="21">
                  <c:v>4.4999999999999998E-2</c:v>
                </c:pt>
                <c:pt idx="22">
                  <c:v>3.0300000000000001E-2</c:v>
                </c:pt>
                <c:pt idx="23">
                  <c:v>4.58E-2</c:v>
                </c:pt>
                <c:pt idx="24">
                  <c:v>4.1399999999999999E-2</c:v>
                </c:pt>
                <c:pt idx="25">
                  <c:v>2.4799999999999999E-2</c:v>
                </c:pt>
                <c:pt idx="26">
                  <c:v>2.41E-2</c:v>
                </c:pt>
                <c:pt idx="27">
                  <c:v>3.6999999999999998E-2</c:v>
                </c:pt>
                <c:pt idx="28">
                  <c:v>2.4E-2</c:v>
                </c:pt>
                <c:pt idx="29">
                  <c:v>2.7199999999999998E-2</c:v>
                </c:pt>
              </c:numCache>
            </c:numRef>
          </c:xVal>
          <c:yVal>
            <c:numRef>
              <c:f>[1]Electric!$F$11:$F$40</c:f>
              <c:numCache>
                <c:formatCode>0.0%</c:formatCode>
                <c:ptCount val="30"/>
                <c:pt idx="0">
                  <c:v>6.0400000000000002E-2</c:v>
                </c:pt>
                <c:pt idx="1">
                  <c:v>3.7900000000000003E-2</c:v>
                </c:pt>
                <c:pt idx="2">
                  <c:v>3.61E-2</c:v>
                </c:pt>
                <c:pt idx="3">
                  <c:v>4.8099999999999997E-2</c:v>
                </c:pt>
                <c:pt idx="4">
                  <c:v>4.2599999999999999E-2</c:v>
                </c:pt>
                <c:pt idx="5">
                  <c:v>5.2499999999999998E-2</c:v>
                </c:pt>
                <c:pt idx="6">
                  <c:v>4.8300000000000003E-2</c:v>
                </c:pt>
                <c:pt idx="7">
                  <c:v>4.87E-2</c:v>
                </c:pt>
                <c:pt idx="8">
                  <c:v>3.3500000000000002E-2</c:v>
                </c:pt>
                <c:pt idx="9">
                  <c:v>5.5199999999999999E-2</c:v>
                </c:pt>
                <c:pt idx="10">
                  <c:v>4.6600000000000003E-2</c:v>
                </c:pt>
                <c:pt idx="11">
                  <c:v>5.3800000000000001E-2</c:v>
                </c:pt>
                <c:pt idx="12">
                  <c:v>6.2399999999999997E-2</c:v>
                </c:pt>
                <c:pt idx="13">
                  <c:v>3.95E-2</c:v>
                </c:pt>
                <c:pt idx="14">
                  <c:v>5.8500000000000003E-2</c:v>
                </c:pt>
                <c:pt idx="15">
                  <c:v>5.3400000000000003E-2</c:v>
                </c:pt>
                <c:pt idx="16">
                  <c:v>6.3200000000000006E-2</c:v>
                </c:pt>
                <c:pt idx="17">
                  <c:v>5.8599999999999999E-2</c:v>
                </c:pt>
                <c:pt idx="18">
                  <c:v>5.91E-2</c:v>
                </c:pt>
                <c:pt idx="19">
                  <c:v>5.9299999999999999E-2</c:v>
                </c:pt>
                <c:pt idx="20">
                  <c:v>5.45E-2</c:v>
                </c:pt>
                <c:pt idx="21">
                  <c:v>5.8599999999999999E-2</c:v>
                </c:pt>
                <c:pt idx="22">
                  <c:v>7.4300000000000005E-2</c:v>
                </c:pt>
                <c:pt idx="23">
                  <c:v>5.8999999999999997E-2</c:v>
                </c:pt>
                <c:pt idx="24">
                  <c:v>6.2E-2</c:v>
                </c:pt>
                <c:pt idx="25">
                  <c:v>7.8100000000000003E-2</c:v>
                </c:pt>
                <c:pt idx="26">
                  <c:v>7.7600000000000002E-2</c:v>
                </c:pt>
                <c:pt idx="27">
                  <c:v>6.3299999999999995E-2</c:v>
                </c:pt>
                <c:pt idx="28">
                  <c:v>7.51E-2</c:v>
                </c:pt>
                <c:pt idx="29">
                  <c:v>7.1300000000000002E-2</c:v>
                </c:pt>
              </c:numCache>
            </c:numRef>
          </c:yVal>
          <c:smooth val="0"/>
        </c:ser>
        <c:dLbls>
          <c:showLegendKey val="0"/>
          <c:showVal val="0"/>
          <c:showCatName val="0"/>
          <c:showSerName val="0"/>
          <c:showPercent val="0"/>
          <c:showBubbleSize val="0"/>
        </c:dLbls>
        <c:axId val="244568832"/>
        <c:axId val="244570752"/>
      </c:scatterChart>
      <c:valAx>
        <c:axId val="244568832"/>
        <c:scaling>
          <c:orientation val="minMax"/>
          <c:min val="0.02"/>
        </c:scaling>
        <c:delete val="0"/>
        <c:axPos val="b"/>
        <c:title>
          <c:tx>
            <c:rich>
              <a:bodyPr/>
              <a:lstStyle/>
              <a:p>
                <a:pPr>
                  <a:defRPr/>
                </a:pPr>
                <a:r>
                  <a:rPr lang="en-US">
                    <a:latin typeface="Times New Roman" panose="02020603050405020304" pitchFamily="18" charset="0"/>
                    <a:cs typeface="Times New Roman" panose="02020603050405020304" pitchFamily="18" charset="0"/>
                  </a:rPr>
                  <a:t>Interest Rates</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244570752"/>
        <c:crosses val="autoZero"/>
        <c:crossBetween val="midCat"/>
      </c:valAx>
      <c:valAx>
        <c:axId val="244570752"/>
        <c:scaling>
          <c:orientation val="minMax"/>
          <c:min val="0.03"/>
        </c:scaling>
        <c:delete val="0"/>
        <c:axPos val="l"/>
        <c:majorGridlines>
          <c:spPr>
            <a:ln w="3175">
              <a:solidFill>
                <a:srgbClr val="808080"/>
              </a:solidFill>
              <a:prstDash val="solid"/>
            </a:ln>
          </c:spPr>
        </c:majorGridlines>
        <c:title>
          <c:tx>
            <c:rich>
              <a:bodyPr/>
              <a:lstStyle/>
              <a:p>
                <a:pPr>
                  <a:defRPr/>
                </a:pPr>
                <a:r>
                  <a:rPr lang="en-US">
                    <a:latin typeface="Times New Roman" panose="02020603050405020304" pitchFamily="18" charset="0"/>
                    <a:cs typeface="Times New Roman" panose="02020603050405020304" pitchFamily="18" charset="0"/>
                  </a:rPr>
                  <a:t>Risk Premium</a:t>
                </a:r>
              </a:p>
            </c:rich>
          </c:tx>
          <c:overlay val="0"/>
          <c:spPr>
            <a:noFill/>
            <a:ln w="25400">
              <a:noFill/>
            </a:ln>
          </c:spPr>
        </c:title>
        <c:numFmt formatCode="0.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244568832"/>
        <c:crosses val="autoZero"/>
        <c:crossBetween val="midCat"/>
      </c:valAx>
      <c:spPr>
        <a:solidFill>
          <a:schemeClr val="accent5">
            <a:lumMod val="60000"/>
            <a:lumOff val="40000"/>
          </a:schemeClr>
        </a:soli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plotArea>
    <c:plotVisOnly val="1"/>
    <c:dispBlanksAs val="gap"/>
    <c:showDLblsOverMax val="0"/>
  </c:chart>
  <c:spPr>
    <a:noFill/>
    <a:ln w="9525" cap="flat" cmpd="sng" algn="ctr">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504-B992-4035-9702-B2C6B64CCC40}">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D144EB81-26DA-42D0-879D-B7BCB1143AAD}"/>
</file>

<file path=customXml/itemProps3.xml><?xml version="1.0" encoding="utf-8"?>
<ds:datastoreItem xmlns:ds="http://schemas.openxmlformats.org/officeDocument/2006/customXml" ds:itemID="{2D015D2B-CF7F-4C13-AD3A-99BC4F933A23}">
  <ds:schemaRefs>
    <ds:schemaRef ds:uri="http://schemas.microsoft.com/sharepoint/v3/contenttype/forms"/>
  </ds:schemaRefs>
</ds:datastoreItem>
</file>

<file path=customXml/itemProps4.xml><?xml version="1.0" encoding="utf-8"?>
<ds:datastoreItem xmlns:ds="http://schemas.openxmlformats.org/officeDocument/2006/customXml" ds:itemID="{B0B81466-367C-4BFE-BD8A-F46EBCB7F2A1}">
  <ds:schemaRefs>
    <ds:schemaRef ds:uri="http://schemas.microsoft.com/office/2006/metadata/longProperties"/>
  </ds:schemaRefs>
</ds:datastoreItem>
</file>

<file path=customXml/itemProps5.xml><?xml version="1.0" encoding="utf-8"?>
<ds:datastoreItem xmlns:ds="http://schemas.openxmlformats.org/officeDocument/2006/customXml" ds:itemID="{3B3679AF-CFED-4D2E-9A7A-B62974B0C181}"/>
</file>

<file path=customXml/itemProps6.xml><?xml version="1.0" encoding="utf-8"?>
<ds:datastoreItem xmlns:ds="http://schemas.openxmlformats.org/officeDocument/2006/customXml" ds:itemID="{97498688-5ED4-4337-904D-C86B256F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11924</Words>
  <Characters>67969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79734</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14</cp:revision>
  <cp:lastPrinted>2017-01-09T18:04:00Z</cp:lastPrinted>
  <dcterms:created xsi:type="dcterms:W3CDTF">2016-12-20T22:40:00Z</dcterms:created>
  <dcterms:modified xsi:type="dcterms:W3CDTF">2017-01-09T18:05:00Z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