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1956C6" w:rsidRPr="00F24E01" w14:paraId="3BEAEA80" w14:textId="77777777" w:rsidTr="009C4E60">
        <w:trPr>
          <w:trHeight w:val="63"/>
        </w:trPr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F" w14:textId="4B386537" w:rsidR="001956C6" w:rsidRPr="00A67E69" w:rsidRDefault="009C4E60" w:rsidP="00B36246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WASTE CONTROL, INC. WITNESSES</w:t>
            </w:r>
          </w:p>
        </w:tc>
      </w:tr>
      <w:tr w:rsidR="001956C6" w:rsidRPr="00F24E01" w14:paraId="3BEAEA8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81" w14:textId="32F6DD63" w:rsidR="001956C6" w:rsidRPr="003855C3" w:rsidRDefault="004767D9" w:rsidP="004767D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LAYNE DEMAS, EXPERT WITNESS</w:t>
            </w:r>
          </w:p>
        </w:tc>
      </w:tr>
      <w:tr w:rsidR="00407D3B" w:rsidRPr="00F24E01" w14:paraId="3BEAEA88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3" w14:textId="6ACFB22B" w:rsidR="00407D3B" w:rsidRPr="00F24E01" w:rsidRDefault="004767D9" w:rsidP="00550637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LD-2T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BEAEA84" w14:textId="6F166114" w:rsidR="00407D3B" w:rsidRPr="003855C3" w:rsidRDefault="004767D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Layne Demas, for Waste Control, Inc. 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5" w14:textId="77777777" w:rsidR="00407D3B" w:rsidRPr="00F24E01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EAEA86" w14:textId="77777777" w:rsidR="00407D3B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BEAEA87" w14:textId="68C665C4" w:rsidR="00407D3B" w:rsidRDefault="004767D9" w:rsidP="00C62C5E"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 xml:space="preserve">Supplemental Testimony of Layne Demas, November 7, 2014. </w:t>
            </w:r>
          </w:p>
        </w:tc>
      </w:tr>
      <w:tr w:rsidR="00D2561D" w:rsidRPr="00F24E01" w14:paraId="5D107E99" w14:textId="77777777" w:rsidTr="00D2561D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2CB51DD" w14:textId="2129AC1F" w:rsidR="00D2561D" w:rsidRDefault="00D2561D" w:rsidP="00D2561D">
            <w:pPr>
              <w:spacing w:line="264" w:lineRule="exact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D2561D" w:rsidRPr="00F24E01" w14:paraId="15C61CE4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CD5A253" w14:textId="10FA768C" w:rsidR="00D2561D" w:rsidRDefault="00D2561D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AC135D4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3ABA2B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04C748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35DEFD3" w14:textId="77777777" w:rsidR="00D2561D" w:rsidRDefault="00D2561D" w:rsidP="00582A7E">
            <w:pPr>
              <w:spacing w:after="58"/>
              <w:rPr>
                <w:b/>
                <w:bCs/>
              </w:rPr>
            </w:pPr>
          </w:p>
        </w:tc>
      </w:tr>
      <w:tr w:rsidR="00D2561D" w:rsidRPr="00F24E01" w14:paraId="00DE37AF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C4F02E2" w14:textId="77777777" w:rsidR="00D2561D" w:rsidRDefault="00D2561D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2E90D0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B764704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8F3AEC" w14:textId="77777777"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8D43ABC" w14:textId="77777777" w:rsidR="00D2561D" w:rsidRDefault="00D2561D" w:rsidP="00582A7E">
            <w:pPr>
              <w:spacing w:after="58"/>
              <w:rPr>
                <w:b/>
                <w:bCs/>
              </w:rPr>
            </w:pPr>
          </w:p>
        </w:tc>
      </w:tr>
      <w:tr w:rsidR="00D2561D" w:rsidRPr="00F24E01" w14:paraId="050AC3B8" w14:textId="77777777" w:rsidTr="00D2561D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07BD524B" w14:textId="3A79B5E6" w:rsidR="00D2561D" w:rsidRDefault="004767D9" w:rsidP="00D2561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JACQUELINE DAVIS, ACCOUNTING WITNESS</w:t>
            </w:r>
          </w:p>
        </w:tc>
      </w:tr>
      <w:tr w:rsidR="00D2561D" w:rsidRPr="00F24E01" w14:paraId="016F86B9" w14:textId="77777777" w:rsidTr="003528BD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030D5D" w14:textId="4D328484" w:rsidR="00D2561D" w:rsidRPr="003528BD" w:rsidRDefault="004767D9" w:rsidP="00550637">
            <w:pPr>
              <w:spacing w:line="264" w:lineRule="exact"/>
              <w:rPr>
                <w:b/>
                <w:bCs/>
              </w:rPr>
            </w:pPr>
            <w:r w:rsidRPr="003528BD">
              <w:rPr>
                <w:b/>
                <w:bCs/>
              </w:rPr>
              <w:t>JD-50T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246002" w14:textId="77777777" w:rsidR="00D2561D" w:rsidRPr="003528BD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F84018B" w14:textId="77777777" w:rsidR="00D2561D" w:rsidRPr="003528BD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3C2303" w14:textId="77777777" w:rsidR="00D2561D" w:rsidRPr="003528BD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C180B1F" w14:textId="302F13C2" w:rsidR="00D2561D" w:rsidRPr="003528BD" w:rsidRDefault="004767D9" w:rsidP="00D2561D">
            <w:pPr>
              <w:spacing w:after="58"/>
              <w:rPr>
                <w:b/>
                <w:bCs/>
              </w:rPr>
            </w:pPr>
            <w:r w:rsidRPr="003528BD">
              <w:rPr>
                <w:b/>
                <w:bCs/>
              </w:rPr>
              <w:t>Supplemental Testimony of Jacqueline Davis, November 7, 2014.</w:t>
            </w:r>
          </w:p>
        </w:tc>
      </w:tr>
      <w:tr w:rsidR="001956C6" w:rsidRPr="00F24E01" w14:paraId="3BEAEAA8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A7" w14:textId="77777777" w:rsidR="001956C6" w:rsidRPr="007C14FE" w:rsidRDefault="001956C6" w:rsidP="007C14FE">
            <w:pPr>
              <w:spacing w:after="58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977C07" w:rsidRPr="00F24E01" w14:paraId="73DB912A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FD3AD9" w14:textId="77777777" w:rsidR="00977C07" w:rsidRPr="007B26E2" w:rsidRDefault="00977C0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75F96" w14:textId="77777777" w:rsidR="00977C07" w:rsidRPr="007B26E2" w:rsidRDefault="00977C0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AF126" w14:textId="77777777" w:rsidR="00977C07" w:rsidRPr="007B26E2" w:rsidRDefault="00977C0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1ECF6" w14:textId="77777777" w:rsidR="00977C07" w:rsidRPr="007B26E2" w:rsidRDefault="00977C07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1C6F03" w14:textId="77777777" w:rsidR="00977C07" w:rsidRPr="007B26E2" w:rsidRDefault="00977C07" w:rsidP="00AC164C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3BEAEAA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A9" w14:textId="73B20F1B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AA" w14:textId="77777777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AB" w14:textId="77777777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AC" w14:textId="77777777"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AD" w14:textId="77777777" w:rsidR="001956C6" w:rsidRPr="007B26E2" w:rsidRDefault="001956C6" w:rsidP="00AC164C">
            <w:pPr>
              <w:spacing w:after="58"/>
              <w:rPr>
                <w:b/>
                <w:bCs/>
              </w:rPr>
            </w:pPr>
          </w:p>
        </w:tc>
      </w:tr>
      <w:tr w:rsidR="001956C6" w:rsidRPr="00F24E01" w14:paraId="3BEAEAB6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B5" w14:textId="3F757F53" w:rsidR="001956C6" w:rsidRPr="00F71A62" w:rsidRDefault="004767D9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JOE WILLIS, OFFICER OF WASTE CONTROL</w:t>
            </w:r>
          </w:p>
        </w:tc>
      </w:tr>
      <w:tr w:rsidR="004767D9" w:rsidRPr="00F24E01" w14:paraId="3BEAEABE" w14:textId="77777777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B7" w14:textId="096F849A" w:rsidR="004767D9" w:rsidRPr="0032396D" w:rsidRDefault="004767D9" w:rsidP="004767D9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F24E01">
              <w:tab/>
            </w:r>
            <w:r>
              <w:rPr>
                <w:b/>
              </w:rPr>
              <w:t>JW-8T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BEAEAB8" w14:textId="1E3C2E3E" w:rsidR="004767D9" w:rsidRPr="00F71A62" w:rsidRDefault="003528B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Joe Willis, for Waste Control</w:t>
            </w:r>
          </w:p>
          <w:p w14:paraId="3BEAEAB9" w14:textId="77777777" w:rsidR="004767D9" w:rsidRPr="00F24E01" w:rsidRDefault="004767D9">
            <w:pPr>
              <w:spacing w:after="58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BA" w14:textId="77777777" w:rsidR="004767D9" w:rsidRPr="00F24E01" w:rsidRDefault="004767D9">
            <w:pPr>
              <w:spacing w:line="264" w:lineRule="exact"/>
              <w:rPr>
                <w:bCs/>
              </w:rPr>
            </w:pPr>
          </w:p>
          <w:p w14:paraId="3BEAEABB" w14:textId="77777777" w:rsidR="004767D9" w:rsidRPr="00F24E01" w:rsidRDefault="004767D9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BC" w14:textId="77777777" w:rsidR="004767D9" w:rsidRPr="00F24E01" w:rsidRDefault="004767D9" w:rsidP="00C3579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BD" w14:textId="35E553CA" w:rsidR="004767D9" w:rsidRPr="00F71A62" w:rsidRDefault="003528BD" w:rsidP="00C62C5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Supplemental Testimony of Joe Willis, November 7, 2014.</w:t>
            </w:r>
            <w:r w:rsidR="004767D9">
              <w:rPr>
                <w:b/>
                <w:bCs/>
              </w:rPr>
              <w:t xml:space="preserve">  </w:t>
            </w:r>
          </w:p>
        </w:tc>
      </w:tr>
      <w:tr w:rsidR="001956C6" w:rsidRPr="00F24E01" w14:paraId="3BEAEAC7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C6" w14:textId="77777777"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2CD77D1D" w:rsidR="001956C6" w:rsidRPr="00582A7E" w:rsidRDefault="00A706B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JW-       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77777777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37D1FC76" w:rsidR="001956C6" w:rsidRPr="00775A29" w:rsidRDefault="003528BD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RCW 81.16.030</w:t>
            </w:r>
            <w:r w:rsidR="006E1050">
              <w:rPr>
                <w:b/>
                <w:bCs/>
              </w:rPr>
              <w:t xml:space="preserve"> (certified true and correct copy)</w:t>
            </w:r>
          </w:p>
        </w:tc>
      </w:tr>
      <w:tr w:rsidR="001956C6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0D578284" w:rsidR="001956C6" w:rsidRPr="00582A7E" w:rsidRDefault="003528BD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JW-</w:t>
            </w:r>
            <w:r w:rsidR="00A706BA">
              <w:rPr>
                <w:b/>
              </w:rPr>
              <w:t xml:space="preserve">       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7777777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0DCF087F" w:rsidR="001956C6" w:rsidRPr="00775A29" w:rsidRDefault="003528BD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WAC 480-70-066</w:t>
            </w:r>
            <w:r w:rsidR="006E1050">
              <w:rPr>
                <w:b/>
                <w:bCs/>
              </w:rPr>
              <w:t xml:space="preserve"> (certified true and correct copy)</w:t>
            </w:r>
          </w:p>
        </w:tc>
      </w:tr>
      <w:tr w:rsidR="008B3F3B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0EF48307" w:rsidR="008B3F3B" w:rsidRDefault="003528BD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JW-</w:t>
            </w:r>
            <w:r w:rsidR="00A706BA">
              <w:rPr>
                <w:b/>
              </w:rPr>
              <w:t xml:space="preserve">       CX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77777777"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54EB03CF" w:rsidR="008B3F3B" w:rsidRPr="00775A29" w:rsidRDefault="003528BD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Uniform System of Accounts for Class A and B Solid Waste Collection Companies Operating Under Certificates of Public Convenience and Necessity in the State of Washington as Prescribed by the Washington Utilities and Transportation Commission</w:t>
            </w:r>
            <w:r w:rsidR="006E1050">
              <w:rPr>
                <w:b/>
                <w:bCs/>
              </w:rPr>
              <w:t xml:space="preserve"> (certified true and correct copy)</w:t>
            </w:r>
          </w:p>
        </w:tc>
      </w:tr>
      <w:tr w:rsidR="008B3F3B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7777777" w:rsidR="008B3F3B" w:rsidRDefault="008B3F3B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77777777"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77777777" w:rsidR="008B3F3B" w:rsidRPr="00775A29" w:rsidRDefault="008B3F3B" w:rsidP="003D1651">
            <w:pPr>
              <w:spacing w:after="58"/>
              <w:rPr>
                <w:b/>
                <w:bCs/>
              </w:rPr>
            </w:pPr>
          </w:p>
        </w:tc>
      </w:tr>
    </w:tbl>
    <w:p w14:paraId="184733A5" w14:textId="02F8794D" w:rsidR="00D90896" w:rsidRDefault="00D90896"/>
    <w:sectPr w:rsidR="00D90896">
      <w:headerReference w:type="default" r:id="rId10"/>
      <w:footerReference w:type="default" r:id="rId11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9C97A" w14:textId="77777777" w:rsidR="00D47185" w:rsidRDefault="00D47185">
      <w:r>
        <w:separator/>
      </w:r>
    </w:p>
  </w:endnote>
  <w:endnote w:type="continuationSeparator" w:id="0">
    <w:p w14:paraId="48E8E65E" w14:textId="77777777" w:rsidR="00D47185" w:rsidRDefault="00D4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F0C9" w14:textId="77777777" w:rsidR="004767D9" w:rsidRDefault="004767D9">
    <w:pPr>
      <w:spacing w:line="240" w:lineRule="exact"/>
    </w:pPr>
  </w:p>
  <w:p w14:paraId="3BEAF0CA" w14:textId="77777777" w:rsidR="004767D9" w:rsidRPr="00F24E01" w:rsidRDefault="004767D9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A706BA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A706B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AB790" w14:textId="77777777" w:rsidR="00D47185" w:rsidRDefault="00D47185">
      <w:r>
        <w:separator/>
      </w:r>
    </w:p>
  </w:footnote>
  <w:footnote w:type="continuationSeparator" w:id="0">
    <w:p w14:paraId="4E7049AB" w14:textId="77777777" w:rsidR="00D47185" w:rsidRDefault="00D4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F0C7" w14:textId="2CF8C634" w:rsidR="004767D9" w:rsidRPr="00F24E01" w:rsidRDefault="003528BD">
    <w:pPr>
      <w:pStyle w:val="Header"/>
      <w:jc w:val="center"/>
      <w:rPr>
        <w:sz w:val="32"/>
      </w:rPr>
    </w:pPr>
    <w:r>
      <w:rPr>
        <w:sz w:val="32"/>
      </w:rPr>
      <w:t xml:space="preserve">CROSS EXAMINATION </w:t>
    </w:r>
    <w:r w:rsidR="004767D9" w:rsidRPr="00F24E01">
      <w:rPr>
        <w:sz w:val="32"/>
      </w:rPr>
      <w:t>EXHIBIT LIST</w:t>
    </w:r>
  </w:p>
  <w:p w14:paraId="3BEAF0C8" w14:textId="39EBCB9F" w:rsidR="004767D9" w:rsidRPr="00F24E01" w:rsidRDefault="004767D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Pr="00F24E01">
      <w:t xml:space="preserve">Docket </w:t>
    </w:r>
    <w:r>
      <w:t>UE-140</w:t>
    </w:r>
    <w:r w:rsidR="003528BD">
      <w:t>560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7967"/>
    <w:rsid w:val="00117FB5"/>
    <w:rsid w:val="00122066"/>
    <w:rsid w:val="00126E65"/>
    <w:rsid w:val="00127590"/>
    <w:rsid w:val="00127D1D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87776"/>
    <w:rsid w:val="001924C8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C6E4C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28BD"/>
    <w:rsid w:val="00354C59"/>
    <w:rsid w:val="00357F2F"/>
    <w:rsid w:val="00362CF1"/>
    <w:rsid w:val="003654DA"/>
    <w:rsid w:val="00370A65"/>
    <w:rsid w:val="0037189C"/>
    <w:rsid w:val="00373668"/>
    <w:rsid w:val="0038054F"/>
    <w:rsid w:val="00380834"/>
    <w:rsid w:val="003855C3"/>
    <w:rsid w:val="00387623"/>
    <w:rsid w:val="003A41A7"/>
    <w:rsid w:val="003A52F2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767D9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D7B"/>
    <w:rsid w:val="004E5886"/>
    <w:rsid w:val="004E625A"/>
    <w:rsid w:val="004E63A4"/>
    <w:rsid w:val="004F15AC"/>
    <w:rsid w:val="004F69E9"/>
    <w:rsid w:val="004F7136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6444A"/>
    <w:rsid w:val="005707BA"/>
    <w:rsid w:val="00570BB5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B25A6"/>
    <w:rsid w:val="005B7EDA"/>
    <w:rsid w:val="005C0DEE"/>
    <w:rsid w:val="005C2254"/>
    <w:rsid w:val="005C2270"/>
    <w:rsid w:val="005D2B43"/>
    <w:rsid w:val="005E1F2B"/>
    <w:rsid w:val="005E2154"/>
    <w:rsid w:val="005E6400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050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2BA5"/>
    <w:rsid w:val="00775A29"/>
    <w:rsid w:val="00780456"/>
    <w:rsid w:val="00781E30"/>
    <w:rsid w:val="007823B8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77C07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B5E17"/>
    <w:rsid w:val="009C04B7"/>
    <w:rsid w:val="009C1ED5"/>
    <w:rsid w:val="009C4E60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7E69"/>
    <w:rsid w:val="00A706BA"/>
    <w:rsid w:val="00A707BE"/>
    <w:rsid w:val="00A7098F"/>
    <w:rsid w:val="00A709EF"/>
    <w:rsid w:val="00A76769"/>
    <w:rsid w:val="00A80579"/>
    <w:rsid w:val="00A835A1"/>
    <w:rsid w:val="00A86A48"/>
    <w:rsid w:val="00A93BB7"/>
    <w:rsid w:val="00A9464A"/>
    <w:rsid w:val="00A96D93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41239"/>
    <w:rsid w:val="00D41C48"/>
    <w:rsid w:val="00D45D43"/>
    <w:rsid w:val="00D47185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90896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21A5"/>
    <w:rsid w:val="00EB58C7"/>
    <w:rsid w:val="00EB6FCF"/>
    <w:rsid w:val="00EC06B6"/>
    <w:rsid w:val="00EC0D08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EAEA66"/>
  <w15:docId w15:val="{5478C260-0D96-44E0-BBB8-710E170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2015-03-10T22:45:36+00:00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2AA786-18F9-4742-9D44-F808901877AE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1C2FAF8C-2F48-41EB-BA55-B676783B5078}"/>
</file>

<file path=customXml/itemProps5.xml><?xml version="1.0" encoding="utf-8"?>
<ds:datastoreItem xmlns:ds="http://schemas.openxmlformats.org/officeDocument/2006/customXml" ds:itemID="{AC4E6FA3-00FD-463E-9767-BFD5710A62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5</cp:revision>
  <cp:lastPrinted>2015-03-10T21:50:00Z</cp:lastPrinted>
  <dcterms:created xsi:type="dcterms:W3CDTF">2015-03-10T15:56:00Z</dcterms:created>
  <dcterms:modified xsi:type="dcterms:W3CDTF">2015-03-10T21:50:00Z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