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FE" w:rsidRPr="009048E8" w:rsidRDefault="008C23FE" w:rsidP="00E80D65">
      <w:pPr>
        <w:pStyle w:val="Title"/>
        <w:tabs>
          <w:tab w:val="left" w:pos="1710"/>
          <w:tab w:val="center" w:pos="4320"/>
        </w:tabs>
        <w:spacing w:line="288" w:lineRule="auto"/>
        <w:rPr>
          <w:rFonts w:ascii="Times New Roman" w:hAnsi="Times New Roman"/>
          <w:sz w:val="25"/>
          <w:szCs w:val="25"/>
        </w:rPr>
      </w:pPr>
      <w:bookmarkStart w:id="0" w:name="_GoBack"/>
      <w:bookmarkEnd w:id="0"/>
      <w:r w:rsidRPr="009048E8">
        <w:rPr>
          <w:rFonts w:ascii="Times New Roman" w:hAnsi="Times New Roman"/>
          <w:sz w:val="25"/>
          <w:szCs w:val="25"/>
        </w:rPr>
        <w:t>BEFORE THE WASHINGTON</w:t>
      </w:r>
    </w:p>
    <w:p w:rsidR="008C23FE" w:rsidRPr="009048E8" w:rsidRDefault="008C23FE" w:rsidP="008C23FE">
      <w:pPr>
        <w:spacing w:line="288" w:lineRule="auto"/>
        <w:jc w:val="center"/>
        <w:rPr>
          <w:b/>
          <w:sz w:val="25"/>
          <w:szCs w:val="25"/>
        </w:rPr>
      </w:pPr>
      <w:r w:rsidRPr="009048E8">
        <w:rPr>
          <w:b/>
          <w:sz w:val="25"/>
          <w:szCs w:val="25"/>
        </w:rPr>
        <w:t>UTILITIES AND TRANSPORTATION COMMISSION</w:t>
      </w:r>
    </w:p>
    <w:p w:rsidR="008C23FE" w:rsidRPr="009048E8" w:rsidRDefault="008C23FE" w:rsidP="008C23FE">
      <w:pPr>
        <w:spacing w:line="288" w:lineRule="auto"/>
        <w:jc w:val="center"/>
        <w:rPr>
          <w:sz w:val="25"/>
          <w:szCs w:val="25"/>
        </w:rPr>
      </w:pPr>
    </w:p>
    <w:tbl>
      <w:tblPr>
        <w:tblW w:w="0" w:type="auto"/>
        <w:tblLook w:val="01E0" w:firstRow="1" w:lastRow="1" w:firstColumn="1" w:lastColumn="1" w:noHBand="0" w:noVBand="0"/>
      </w:tblPr>
      <w:tblGrid>
        <w:gridCol w:w="4248"/>
        <w:gridCol w:w="300"/>
        <w:gridCol w:w="4073"/>
      </w:tblGrid>
      <w:tr w:rsidR="008C23FE" w:rsidRPr="009048E8" w:rsidTr="005F3544">
        <w:tc>
          <w:tcPr>
            <w:tcW w:w="4248" w:type="dxa"/>
          </w:tcPr>
          <w:p w:rsidR="008C23FE" w:rsidRPr="009048E8" w:rsidRDefault="008C23FE" w:rsidP="005F3544">
            <w:pPr>
              <w:spacing w:line="288" w:lineRule="auto"/>
              <w:rPr>
                <w:sz w:val="25"/>
                <w:szCs w:val="25"/>
              </w:rPr>
            </w:pPr>
            <w:r w:rsidRPr="009048E8">
              <w:rPr>
                <w:sz w:val="25"/>
                <w:szCs w:val="25"/>
              </w:rPr>
              <w:t>WASHINGTON UTILITIES AND TRANSPORTATION COMMISSION,</w:t>
            </w:r>
          </w:p>
          <w:p w:rsidR="00FD1384" w:rsidRPr="009048E8" w:rsidRDefault="00FD1384" w:rsidP="005F3544">
            <w:pPr>
              <w:spacing w:line="288" w:lineRule="auto"/>
              <w:rPr>
                <w:sz w:val="25"/>
                <w:szCs w:val="25"/>
              </w:rPr>
            </w:pPr>
          </w:p>
          <w:p w:rsidR="008C23FE" w:rsidRPr="009048E8" w:rsidRDefault="008C23FE" w:rsidP="005F3544">
            <w:pPr>
              <w:tabs>
                <w:tab w:val="left" w:pos="2145"/>
              </w:tabs>
              <w:spacing w:line="288" w:lineRule="auto"/>
              <w:rPr>
                <w:sz w:val="25"/>
                <w:szCs w:val="25"/>
              </w:rPr>
            </w:pPr>
            <w:r w:rsidRPr="009048E8">
              <w:rPr>
                <w:sz w:val="25"/>
                <w:szCs w:val="25"/>
              </w:rPr>
              <w:tab/>
              <w:t>Complainant,</w:t>
            </w:r>
          </w:p>
          <w:p w:rsidR="008C23FE" w:rsidRPr="009048E8" w:rsidRDefault="008C23FE" w:rsidP="005F3544">
            <w:pPr>
              <w:tabs>
                <w:tab w:val="left" w:pos="2145"/>
              </w:tabs>
              <w:spacing w:line="288" w:lineRule="auto"/>
              <w:rPr>
                <w:sz w:val="25"/>
                <w:szCs w:val="25"/>
              </w:rPr>
            </w:pPr>
          </w:p>
          <w:p w:rsidR="008C23FE" w:rsidRPr="009048E8" w:rsidRDefault="008C23FE" w:rsidP="005F3544">
            <w:pPr>
              <w:tabs>
                <w:tab w:val="left" w:pos="2145"/>
              </w:tabs>
              <w:spacing w:line="288" w:lineRule="auto"/>
              <w:rPr>
                <w:sz w:val="25"/>
                <w:szCs w:val="25"/>
              </w:rPr>
            </w:pPr>
            <w:r w:rsidRPr="009048E8">
              <w:rPr>
                <w:sz w:val="25"/>
                <w:szCs w:val="25"/>
              </w:rPr>
              <w:t>v.</w:t>
            </w:r>
          </w:p>
          <w:p w:rsidR="00FD1384" w:rsidRPr="009048E8" w:rsidRDefault="00FD1384" w:rsidP="005F3544">
            <w:pPr>
              <w:tabs>
                <w:tab w:val="left" w:pos="2145"/>
              </w:tabs>
              <w:spacing w:line="288" w:lineRule="auto"/>
              <w:rPr>
                <w:sz w:val="25"/>
                <w:szCs w:val="25"/>
              </w:rPr>
            </w:pPr>
          </w:p>
          <w:p w:rsidR="008C23FE" w:rsidRPr="009048E8" w:rsidRDefault="008C23FE" w:rsidP="005F3544">
            <w:pPr>
              <w:tabs>
                <w:tab w:val="left" w:pos="2145"/>
              </w:tabs>
              <w:spacing w:line="288" w:lineRule="auto"/>
              <w:rPr>
                <w:sz w:val="25"/>
                <w:szCs w:val="25"/>
              </w:rPr>
            </w:pPr>
            <w:r w:rsidRPr="009048E8">
              <w:rPr>
                <w:sz w:val="25"/>
                <w:szCs w:val="25"/>
              </w:rPr>
              <w:t>PACIFICORP D/B/A PACIFIC POWER &amp; LIGHT COMPANY,</w:t>
            </w:r>
          </w:p>
          <w:p w:rsidR="008C23FE" w:rsidRPr="009048E8" w:rsidRDefault="008C23FE" w:rsidP="005F3544">
            <w:pPr>
              <w:tabs>
                <w:tab w:val="left" w:pos="2145"/>
              </w:tabs>
              <w:spacing w:line="288" w:lineRule="auto"/>
              <w:rPr>
                <w:sz w:val="25"/>
                <w:szCs w:val="25"/>
              </w:rPr>
            </w:pPr>
          </w:p>
          <w:p w:rsidR="008C23FE" w:rsidRDefault="008C23FE" w:rsidP="005F3544">
            <w:pPr>
              <w:tabs>
                <w:tab w:val="left" w:pos="2145"/>
              </w:tabs>
              <w:spacing w:line="288" w:lineRule="auto"/>
              <w:rPr>
                <w:sz w:val="25"/>
                <w:szCs w:val="25"/>
              </w:rPr>
            </w:pPr>
            <w:r w:rsidRPr="009048E8">
              <w:rPr>
                <w:sz w:val="25"/>
                <w:szCs w:val="25"/>
              </w:rPr>
              <w:tab/>
              <w:t>Respondent.</w:t>
            </w:r>
          </w:p>
          <w:p w:rsidR="00E80D65" w:rsidRDefault="00E80D65" w:rsidP="005F3544">
            <w:pPr>
              <w:tabs>
                <w:tab w:val="left" w:pos="2145"/>
              </w:tabs>
              <w:spacing w:line="288" w:lineRule="auto"/>
              <w:rPr>
                <w:sz w:val="25"/>
                <w:szCs w:val="25"/>
              </w:rPr>
            </w:pPr>
          </w:p>
          <w:p w:rsidR="00E80D65" w:rsidRPr="009048E8" w:rsidRDefault="00E80D65" w:rsidP="005F3544">
            <w:pPr>
              <w:tabs>
                <w:tab w:val="left" w:pos="2145"/>
              </w:tabs>
              <w:spacing w:line="288" w:lineRule="auto"/>
              <w:rPr>
                <w:sz w:val="25"/>
                <w:szCs w:val="25"/>
              </w:rPr>
            </w:pPr>
          </w:p>
          <w:p w:rsidR="008C23FE" w:rsidRPr="009048E8" w:rsidRDefault="008C23FE" w:rsidP="005F3544">
            <w:pPr>
              <w:spacing w:line="288" w:lineRule="auto"/>
              <w:rPr>
                <w:sz w:val="25"/>
                <w:szCs w:val="25"/>
              </w:rPr>
            </w:pPr>
            <w:r w:rsidRPr="009048E8">
              <w:rPr>
                <w:sz w:val="25"/>
                <w:szCs w:val="25"/>
              </w:rPr>
              <w:t xml:space="preserve">. . . . . . . . . . . . . . . . . . . . . . . . . . . . . </w:t>
            </w:r>
            <w:r>
              <w:rPr>
                <w:sz w:val="25"/>
                <w:szCs w:val="25"/>
              </w:rPr>
              <w:t xml:space="preserve">. . . </w:t>
            </w:r>
          </w:p>
        </w:tc>
        <w:tc>
          <w:tcPr>
            <w:tcW w:w="300" w:type="dxa"/>
          </w:tcPr>
          <w:p w:rsidR="008C23FE" w:rsidRPr="002D5159" w:rsidRDefault="008C23FE" w:rsidP="005F3544">
            <w:pPr>
              <w:pStyle w:val="BodyText"/>
              <w:spacing w:line="288" w:lineRule="auto"/>
              <w:ind w:left="-198"/>
              <w:rPr>
                <w:rFonts w:ascii="Times New Roman" w:hAnsi="Times New Roman"/>
                <w:sz w:val="25"/>
                <w:szCs w:val="25"/>
              </w:rPr>
            </w:pPr>
            <w:r w:rsidRPr="002D5159">
              <w:rPr>
                <w:rFonts w:ascii="Times New Roman" w:hAnsi="Times New Roman"/>
                <w:sz w:val="25"/>
                <w:szCs w:val="25"/>
              </w:rP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r w:rsidRPr="002D5159">
              <w:rPr>
                <w:rFonts w:ascii="Times New Roman" w:hAnsi="Times New Roman"/>
                <w:sz w:val="25"/>
                <w:szCs w:val="25"/>
              </w:rPr>
              <w:br/>
              <w:t>)</w:t>
            </w:r>
          </w:p>
          <w:p w:rsidR="008C23FE" w:rsidRPr="002D5159" w:rsidRDefault="008C23FE" w:rsidP="005F3544">
            <w:pPr>
              <w:pStyle w:val="BodyText"/>
              <w:spacing w:line="288" w:lineRule="auto"/>
              <w:ind w:left="-198"/>
              <w:rPr>
                <w:rFonts w:ascii="Times New Roman" w:hAnsi="Times New Roman"/>
                <w:sz w:val="25"/>
                <w:szCs w:val="25"/>
              </w:rPr>
            </w:pPr>
            <w:r w:rsidRPr="002D5159">
              <w:rPr>
                <w:rFonts w:ascii="Times New Roman" w:hAnsi="Times New Roman"/>
                <w:sz w:val="25"/>
                <w:szCs w:val="25"/>
              </w:rPr>
              <w:t>)</w:t>
            </w:r>
          </w:p>
          <w:p w:rsidR="00FD1384" w:rsidRDefault="00FD1384" w:rsidP="005F3544">
            <w:pPr>
              <w:pStyle w:val="BodyText"/>
              <w:spacing w:line="288" w:lineRule="auto"/>
              <w:ind w:left="-198"/>
              <w:rPr>
                <w:rFonts w:ascii="Times New Roman" w:hAnsi="Times New Roman"/>
                <w:sz w:val="25"/>
                <w:szCs w:val="25"/>
              </w:rPr>
            </w:pPr>
            <w:r>
              <w:rPr>
                <w:rFonts w:ascii="Times New Roman" w:hAnsi="Times New Roman"/>
                <w:sz w:val="25"/>
                <w:szCs w:val="25"/>
              </w:rPr>
              <w:t>)</w:t>
            </w:r>
          </w:p>
          <w:p w:rsidR="00FD1384" w:rsidRDefault="00FD1384" w:rsidP="005F3544">
            <w:pPr>
              <w:pStyle w:val="BodyText"/>
              <w:spacing w:line="288" w:lineRule="auto"/>
              <w:ind w:left="-198"/>
              <w:rPr>
                <w:rFonts w:ascii="Times New Roman" w:hAnsi="Times New Roman"/>
                <w:sz w:val="25"/>
                <w:szCs w:val="25"/>
              </w:rPr>
            </w:pPr>
            <w:r>
              <w:rPr>
                <w:rFonts w:ascii="Times New Roman" w:hAnsi="Times New Roman"/>
                <w:sz w:val="25"/>
                <w:szCs w:val="25"/>
              </w:rPr>
              <w:t>)</w:t>
            </w:r>
          </w:p>
          <w:p w:rsidR="008C23FE" w:rsidRPr="002D5159" w:rsidRDefault="008C23FE" w:rsidP="005F3544">
            <w:pPr>
              <w:pStyle w:val="BodyText"/>
              <w:spacing w:line="288" w:lineRule="auto"/>
              <w:ind w:left="-198"/>
              <w:rPr>
                <w:rFonts w:ascii="Times New Roman" w:hAnsi="Times New Roman"/>
                <w:i/>
                <w:sz w:val="25"/>
                <w:szCs w:val="25"/>
              </w:rPr>
            </w:pPr>
            <w:r w:rsidRPr="002D5159">
              <w:rPr>
                <w:rFonts w:ascii="Times New Roman" w:hAnsi="Times New Roman"/>
                <w:sz w:val="25"/>
                <w:szCs w:val="25"/>
              </w:rPr>
              <w:t>)</w:t>
            </w:r>
          </w:p>
        </w:tc>
        <w:tc>
          <w:tcPr>
            <w:tcW w:w="4073" w:type="dxa"/>
          </w:tcPr>
          <w:p w:rsidR="008C23FE" w:rsidRDefault="008C23FE" w:rsidP="005F3544">
            <w:pPr>
              <w:spacing w:line="288" w:lineRule="auto"/>
              <w:ind w:left="42"/>
              <w:rPr>
                <w:sz w:val="25"/>
                <w:szCs w:val="25"/>
              </w:rPr>
            </w:pPr>
            <w:r w:rsidRPr="009048E8">
              <w:rPr>
                <w:sz w:val="25"/>
                <w:szCs w:val="25"/>
              </w:rPr>
              <w:t>DOCKET UE-</w:t>
            </w:r>
            <w:r w:rsidR="005F3544">
              <w:rPr>
                <w:sz w:val="25"/>
                <w:szCs w:val="25"/>
              </w:rPr>
              <w:t>111190</w:t>
            </w:r>
          </w:p>
          <w:p w:rsidR="00FD1384" w:rsidRPr="009048E8" w:rsidRDefault="00FD1384" w:rsidP="005F3544">
            <w:pPr>
              <w:spacing w:line="288" w:lineRule="auto"/>
              <w:ind w:left="42"/>
              <w:rPr>
                <w:sz w:val="25"/>
                <w:szCs w:val="25"/>
              </w:rPr>
            </w:pPr>
          </w:p>
          <w:p w:rsidR="008C23FE" w:rsidRPr="009048E8" w:rsidRDefault="008C23FE" w:rsidP="005F3544">
            <w:pPr>
              <w:spacing w:line="288" w:lineRule="auto"/>
              <w:ind w:left="42"/>
              <w:rPr>
                <w:sz w:val="25"/>
                <w:szCs w:val="25"/>
              </w:rPr>
            </w:pPr>
            <w:r w:rsidRPr="009048E8">
              <w:rPr>
                <w:sz w:val="25"/>
                <w:szCs w:val="25"/>
              </w:rPr>
              <w:t>ORDER 0</w:t>
            </w:r>
            <w:r w:rsidR="00067761">
              <w:rPr>
                <w:sz w:val="25"/>
                <w:szCs w:val="25"/>
              </w:rPr>
              <w:t>7</w:t>
            </w:r>
          </w:p>
          <w:p w:rsidR="008C23FE" w:rsidRDefault="008C23FE" w:rsidP="005F3544">
            <w:pPr>
              <w:spacing w:line="288" w:lineRule="auto"/>
              <w:ind w:left="42"/>
              <w:rPr>
                <w:sz w:val="25"/>
                <w:szCs w:val="25"/>
              </w:rPr>
            </w:pPr>
          </w:p>
          <w:p w:rsidR="008C23FE" w:rsidRPr="009048E8" w:rsidRDefault="008C23FE" w:rsidP="00FD1384">
            <w:pPr>
              <w:spacing w:line="288" w:lineRule="auto"/>
              <w:ind w:left="42"/>
              <w:rPr>
                <w:sz w:val="25"/>
                <w:szCs w:val="25"/>
              </w:rPr>
            </w:pPr>
            <w:r>
              <w:rPr>
                <w:sz w:val="25"/>
                <w:szCs w:val="25"/>
              </w:rPr>
              <w:t>FINAL ORDER APPROVING AND ADOPTING SETTLEMENT</w:t>
            </w:r>
            <w:r w:rsidR="00690406">
              <w:rPr>
                <w:sz w:val="25"/>
                <w:szCs w:val="25"/>
              </w:rPr>
              <w:t>; DE</w:t>
            </w:r>
            <w:r w:rsidR="00FD1384">
              <w:rPr>
                <w:sz w:val="25"/>
                <w:szCs w:val="25"/>
              </w:rPr>
              <w:t>NYING, WITHOUT PREJUDICE, THE REQUEST FOR COMMISSION PARTICIPATION IN WORKSHOP</w:t>
            </w:r>
            <w:r w:rsidR="00690406">
              <w:rPr>
                <w:sz w:val="25"/>
                <w:szCs w:val="25"/>
              </w:rPr>
              <w:t>; AND EXTENDING DEADLINE FOR WCA INTER-JURISDICTIONAL REVIEW FILING</w:t>
            </w:r>
          </w:p>
        </w:tc>
      </w:tr>
    </w:tbl>
    <w:p w:rsidR="008C23FE" w:rsidRDefault="008C23FE" w:rsidP="008C23FE">
      <w:pPr>
        <w:spacing w:line="288" w:lineRule="auto"/>
        <w:rPr>
          <w:sz w:val="25"/>
          <w:szCs w:val="25"/>
        </w:rPr>
      </w:pPr>
    </w:p>
    <w:p w:rsidR="008C23FE" w:rsidRPr="009048E8" w:rsidRDefault="008C23FE" w:rsidP="008C23FE">
      <w:pPr>
        <w:spacing w:line="288" w:lineRule="auto"/>
        <w:rPr>
          <w:sz w:val="25"/>
          <w:szCs w:val="25"/>
        </w:rPr>
      </w:pPr>
    </w:p>
    <w:p w:rsidR="008C23FE" w:rsidRDefault="008C23FE" w:rsidP="0042312A">
      <w:pPr>
        <w:spacing w:line="288" w:lineRule="auto"/>
        <w:rPr>
          <w:i/>
          <w:sz w:val="25"/>
          <w:szCs w:val="25"/>
        </w:rPr>
      </w:pPr>
      <w:r w:rsidRPr="00C34B05">
        <w:rPr>
          <w:b/>
          <w:bCs/>
          <w:i/>
          <w:sz w:val="25"/>
          <w:szCs w:val="25"/>
        </w:rPr>
        <w:t>Synopsis</w:t>
      </w:r>
      <w:r>
        <w:rPr>
          <w:b/>
          <w:bCs/>
          <w:i/>
          <w:sz w:val="25"/>
          <w:szCs w:val="25"/>
        </w:rPr>
        <w:t>.</w:t>
      </w:r>
      <w:r w:rsidR="00AD67EA">
        <w:rPr>
          <w:b/>
          <w:bCs/>
          <w:i/>
          <w:sz w:val="25"/>
          <w:szCs w:val="25"/>
        </w:rPr>
        <w:t xml:space="preserve"> </w:t>
      </w:r>
      <w:r>
        <w:rPr>
          <w:i/>
          <w:sz w:val="25"/>
          <w:szCs w:val="25"/>
        </w:rPr>
        <w:t xml:space="preserve">The Commission approves and adopts a Settlement filed by </w:t>
      </w:r>
      <w:r w:rsidR="0042312A">
        <w:rPr>
          <w:i/>
          <w:sz w:val="25"/>
          <w:szCs w:val="25"/>
        </w:rPr>
        <w:t xml:space="preserve">all </w:t>
      </w:r>
      <w:r>
        <w:rPr>
          <w:i/>
          <w:sz w:val="25"/>
          <w:szCs w:val="25"/>
        </w:rPr>
        <w:t>parties to this general rate case that, among other things, establishes the rates customers will pay on a prospective basis beginning J</w:t>
      </w:r>
      <w:r w:rsidR="00BF77C0">
        <w:rPr>
          <w:i/>
          <w:sz w:val="25"/>
          <w:szCs w:val="25"/>
        </w:rPr>
        <w:t>une 1, 2012</w:t>
      </w:r>
      <w:r>
        <w:rPr>
          <w:i/>
          <w:sz w:val="25"/>
          <w:szCs w:val="25"/>
        </w:rPr>
        <w:t>, for electric service provided by PacifiCorp to customers in Washington</w:t>
      </w:r>
      <w:r w:rsidRPr="00533074">
        <w:rPr>
          <w:i/>
          <w:sz w:val="25"/>
          <w:szCs w:val="25"/>
        </w:rPr>
        <w:t xml:space="preserve">. </w:t>
      </w:r>
      <w:r>
        <w:rPr>
          <w:i/>
          <w:sz w:val="25"/>
          <w:szCs w:val="25"/>
        </w:rPr>
        <w:t xml:space="preserve"> The Commission finds reasonable the parties’ agreed </w:t>
      </w:r>
      <w:r w:rsidRPr="005164C9">
        <w:rPr>
          <w:i/>
          <w:sz w:val="25"/>
          <w:szCs w:val="25"/>
        </w:rPr>
        <w:t>$</w:t>
      </w:r>
      <w:r w:rsidR="00BF77C0">
        <w:rPr>
          <w:i/>
          <w:sz w:val="25"/>
          <w:szCs w:val="25"/>
        </w:rPr>
        <w:t>4</w:t>
      </w:r>
      <w:r>
        <w:rPr>
          <w:i/>
          <w:sz w:val="25"/>
          <w:szCs w:val="25"/>
        </w:rPr>
        <w:t>.5</w:t>
      </w:r>
      <w:r w:rsidRPr="005164C9">
        <w:rPr>
          <w:i/>
          <w:color w:val="000000"/>
          <w:sz w:val="25"/>
          <w:szCs w:val="25"/>
        </w:rPr>
        <w:t xml:space="preserve"> million (</w:t>
      </w:r>
      <w:r w:rsidR="00BF77C0">
        <w:rPr>
          <w:i/>
          <w:color w:val="000000"/>
          <w:sz w:val="25"/>
          <w:szCs w:val="25"/>
        </w:rPr>
        <w:t>1.5</w:t>
      </w:r>
      <w:r w:rsidRPr="005164C9">
        <w:rPr>
          <w:i/>
          <w:color w:val="000000"/>
          <w:sz w:val="25"/>
          <w:szCs w:val="25"/>
        </w:rPr>
        <w:t xml:space="preserve"> percent)</w:t>
      </w:r>
      <w:r>
        <w:rPr>
          <w:i/>
          <w:color w:val="000000"/>
          <w:sz w:val="25"/>
          <w:szCs w:val="25"/>
        </w:rPr>
        <w:t xml:space="preserve"> increase in </w:t>
      </w:r>
      <w:r w:rsidRPr="00533074">
        <w:rPr>
          <w:i/>
          <w:sz w:val="25"/>
          <w:szCs w:val="25"/>
        </w:rPr>
        <w:t>the Company’s electric revenue requirement</w:t>
      </w:r>
      <w:r>
        <w:rPr>
          <w:i/>
          <w:sz w:val="25"/>
          <w:szCs w:val="25"/>
        </w:rPr>
        <w:t>.</w:t>
      </w:r>
    </w:p>
    <w:p w:rsidR="00690406" w:rsidRDefault="00690406" w:rsidP="0042312A">
      <w:pPr>
        <w:spacing w:line="288" w:lineRule="auto"/>
        <w:rPr>
          <w:i/>
          <w:sz w:val="25"/>
          <w:szCs w:val="25"/>
        </w:rPr>
      </w:pPr>
    </w:p>
    <w:p w:rsidR="00690406" w:rsidRPr="00C34B05" w:rsidRDefault="00690406" w:rsidP="0042312A">
      <w:pPr>
        <w:spacing w:line="288" w:lineRule="auto"/>
        <w:rPr>
          <w:bCs/>
          <w:sz w:val="25"/>
          <w:szCs w:val="25"/>
        </w:rPr>
      </w:pPr>
      <w:r>
        <w:rPr>
          <w:i/>
          <w:sz w:val="25"/>
          <w:szCs w:val="25"/>
        </w:rPr>
        <w:t>We de</w:t>
      </w:r>
      <w:r w:rsidR="00FD1384">
        <w:rPr>
          <w:i/>
          <w:sz w:val="25"/>
          <w:szCs w:val="25"/>
        </w:rPr>
        <w:t>ny</w:t>
      </w:r>
      <w:r>
        <w:rPr>
          <w:i/>
          <w:sz w:val="25"/>
          <w:szCs w:val="25"/>
        </w:rPr>
        <w:t>, without prejudice, the request for Commission participation in an April 5, 2012, workshop on the West Control Area Inter-jurisdictional allocation methodology and extend the deadline to January 31, 2013, for submitting a review filing.</w:t>
      </w:r>
    </w:p>
    <w:p w:rsidR="008C23FE" w:rsidRPr="00BC7155" w:rsidRDefault="008C23FE" w:rsidP="008C23FE">
      <w:pPr>
        <w:pStyle w:val="NoSpacing"/>
        <w:spacing w:line="288" w:lineRule="auto"/>
        <w:rPr>
          <w:sz w:val="25"/>
          <w:szCs w:val="25"/>
        </w:rPr>
      </w:pPr>
    </w:p>
    <w:p w:rsidR="008C23FE" w:rsidRPr="00BC7155" w:rsidRDefault="00D65CA9" w:rsidP="008C23FE">
      <w:pPr>
        <w:pStyle w:val="NoSpacing"/>
        <w:spacing w:line="288" w:lineRule="auto"/>
        <w:jc w:val="center"/>
        <w:rPr>
          <w:b/>
          <w:sz w:val="25"/>
          <w:szCs w:val="25"/>
          <w:u w:val="single"/>
        </w:rPr>
      </w:pPr>
      <w:bookmarkStart w:id="1" w:name="_Toc155670886"/>
      <w:r>
        <w:rPr>
          <w:b/>
          <w:sz w:val="25"/>
          <w:szCs w:val="25"/>
          <w:u w:val="single"/>
        </w:rPr>
        <w:t>SUMMARY</w:t>
      </w:r>
      <w:bookmarkEnd w:id="1"/>
    </w:p>
    <w:p w:rsidR="008C23FE" w:rsidRPr="00BC7155" w:rsidRDefault="008C23FE" w:rsidP="008C23FE">
      <w:pPr>
        <w:pStyle w:val="NoSpacing"/>
        <w:spacing w:line="288" w:lineRule="auto"/>
        <w:rPr>
          <w:sz w:val="25"/>
          <w:szCs w:val="25"/>
        </w:rPr>
      </w:pPr>
    </w:p>
    <w:p w:rsidR="008C23FE" w:rsidRDefault="008C23FE" w:rsidP="008C23FE">
      <w:pPr>
        <w:numPr>
          <w:ilvl w:val="0"/>
          <w:numId w:val="6"/>
        </w:numPr>
        <w:tabs>
          <w:tab w:val="num" w:pos="0"/>
        </w:tabs>
        <w:spacing w:line="288" w:lineRule="auto"/>
        <w:ind w:left="0"/>
        <w:rPr>
          <w:sz w:val="25"/>
          <w:szCs w:val="25"/>
        </w:rPr>
      </w:pPr>
      <w:r w:rsidRPr="00C34B05">
        <w:rPr>
          <w:b/>
          <w:sz w:val="25"/>
          <w:szCs w:val="25"/>
        </w:rPr>
        <w:t>PROCEEDING</w:t>
      </w:r>
      <w:r>
        <w:rPr>
          <w:b/>
          <w:sz w:val="25"/>
          <w:szCs w:val="25"/>
        </w:rPr>
        <w:t>.</w:t>
      </w:r>
      <w:r w:rsidR="00E80D65">
        <w:rPr>
          <w:b/>
          <w:sz w:val="25"/>
          <w:szCs w:val="25"/>
        </w:rPr>
        <w:t xml:space="preserve">  </w:t>
      </w:r>
      <w:r w:rsidR="0042312A" w:rsidRPr="005A623E">
        <w:rPr>
          <w:sz w:val="25"/>
          <w:szCs w:val="25"/>
        </w:rPr>
        <w:t xml:space="preserve">On July 1, 2011, PacifiCorp d/b/a Pacific Power &amp; Light Company (PacifiCorp or Company) filed with the Washington Utilities and Transportation Commission (Commission) revisions to its currently effective Tariff WN U-74 with a stated effective date of July 31, 2011.  The tariffs </w:t>
      </w:r>
      <w:r w:rsidR="004D64B0">
        <w:rPr>
          <w:sz w:val="25"/>
          <w:szCs w:val="25"/>
        </w:rPr>
        <w:t>were</w:t>
      </w:r>
      <w:r w:rsidR="0042312A" w:rsidRPr="005A623E">
        <w:rPr>
          <w:sz w:val="25"/>
          <w:szCs w:val="25"/>
        </w:rPr>
        <w:t xml:space="preserve"> designed to increase rates for electric service in Washington by $12.9 million or approximately 4.3 percent. </w:t>
      </w:r>
      <w:r w:rsidR="00E80D65">
        <w:rPr>
          <w:sz w:val="25"/>
          <w:szCs w:val="25"/>
        </w:rPr>
        <w:t xml:space="preserve"> </w:t>
      </w:r>
      <w:r w:rsidR="00F549D3">
        <w:rPr>
          <w:sz w:val="25"/>
          <w:szCs w:val="25"/>
        </w:rPr>
        <w:t xml:space="preserve">The </w:t>
      </w:r>
      <w:r w:rsidR="00F549D3">
        <w:rPr>
          <w:sz w:val="25"/>
          <w:szCs w:val="25"/>
        </w:rPr>
        <w:lastRenderedPageBreak/>
        <w:t xml:space="preserve">Company’s direct testimony accompanied its filing, as required by law.  </w:t>
      </w:r>
      <w:r w:rsidR="0042312A" w:rsidRPr="005A623E">
        <w:rPr>
          <w:sz w:val="25"/>
          <w:szCs w:val="25"/>
        </w:rPr>
        <w:t>The Commission suspended operation of the tariffs by Order 01, entered on July 28, 2011, and set this matter for hearing.  Under RCW 80.04.130, the suspension date is May 31, 2012.</w:t>
      </w:r>
      <w:r w:rsidR="0042312A" w:rsidRPr="005A623E">
        <w:rPr>
          <w:rStyle w:val="FootnoteReference"/>
          <w:sz w:val="25"/>
          <w:szCs w:val="25"/>
        </w:rPr>
        <w:footnoteReference w:id="1"/>
      </w:r>
    </w:p>
    <w:p w:rsidR="00F61ED1" w:rsidRPr="005A623E" w:rsidRDefault="00F61ED1" w:rsidP="006F4B18">
      <w:pPr>
        <w:pStyle w:val="NoSpacing"/>
        <w:spacing w:line="288" w:lineRule="auto"/>
        <w:ind w:left="-720"/>
        <w:rPr>
          <w:sz w:val="25"/>
          <w:szCs w:val="25"/>
        </w:rPr>
      </w:pPr>
    </w:p>
    <w:p w:rsidR="006F4B18" w:rsidRDefault="008C23FE" w:rsidP="008C23FE">
      <w:pPr>
        <w:numPr>
          <w:ilvl w:val="0"/>
          <w:numId w:val="6"/>
        </w:numPr>
        <w:tabs>
          <w:tab w:val="num" w:pos="0"/>
        </w:tabs>
        <w:spacing w:line="288" w:lineRule="auto"/>
        <w:ind w:left="0"/>
        <w:rPr>
          <w:sz w:val="25"/>
          <w:szCs w:val="25"/>
        </w:rPr>
      </w:pPr>
      <w:r w:rsidRPr="006F4B18">
        <w:rPr>
          <w:sz w:val="25"/>
          <w:szCs w:val="25"/>
        </w:rPr>
        <w:t xml:space="preserve">The Commission convened a prehearing conference at </w:t>
      </w:r>
      <w:r w:rsidRPr="006F4B18">
        <w:rPr>
          <w:bCs/>
          <w:sz w:val="25"/>
          <w:szCs w:val="25"/>
        </w:rPr>
        <w:t>Olympia</w:t>
      </w:r>
      <w:r w:rsidRPr="006F4B18">
        <w:rPr>
          <w:sz w:val="25"/>
          <w:szCs w:val="25"/>
        </w:rPr>
        <w:t xml:space="preserve">, Washington on </w:t>
      </w:r>
      <w:r w:rsidR="006F4B18" w:rsidRPr="006F4B18">
        <w:rPr>
          <w:sz w:val="25"/>
          <w:szCs w:val="25"/>
        </w:rPr>
        <w:t xml:space="preserve">August </w:t>
      </w:r>
      <w:r w:rsidRPr="006F4B18">
        <w:rPr>
          <w:sz w:val="25"/>
          <w:szCs w:val="25"/>
        </w:rPr>
        <w:t>23, 20</w:t>
      </w:r>
      <w:r w:rsidR="006F4B18" w:rsidRPr="006F4B18">
        <w:rPr>
          <w:sz w:val="25"/>
          <w:szCs w:val="25"/>
        </w:rPr>
        <w:t>11</w:t>
      </w:r>
      <w:r w:rsidRPr="006F4B18">
        <w:rPr>
          <w:b/>
          <w:bCs/>
          <w:sz w:val="25"/>
          <w:szCs w:val="25"/>
        </w:rPr>
        <w:t>,</w:t>
      </w:r>
      <w:r w:rsidRPr="006F4B18">
        <w:rPr>
          <w:sz w:val="25"/>
          <w:szCs w:val="25"/>
        </w:rPr>
        <w:t xml:space="preserve"> before Administrative Law Judge Patricia Clark.  </w:t>
      </w:r>
      <w:r w:rsidR="006F4B18" w:rsidRPr="006F4B18">
        <w:rPr>
          <w:sz w:val="25"/>
          <w:szCs w:val="25"/>
        </w:rPr>
        <w:t>By Order 04, entered in this matter on August 31, 2011, the Commission established a procedural schedule for this proceeding</w:t>
      </w:r>
      <w:r w:rsidR="00D77BF1">
        <w:rPr>
          <w:sz w:val="25"/>
          <w:szCs w:val="25"/>
        </w:rPr>
        <w:t xml:space="preserve"> including deadlines for submitting prefiled testimony and exhibits</w:t>
      </w:r>
      <w:r w:rsidR="006F4B18" w:rsidRPr="006F4B18">
        <w:rPr>
          <w:sz w:val="25"/>
          <w:szCs w:val="25"/>
        </w:rPr>
        <w:t xml:space="preserve">.  </w:t>
      </w:r>
      <w:r w:rsidR="006F4B18" w:rsidRPr="005A623E">
        <w:rPr>
          <w:sz w:val="25"/>
          <w:szCs w:val="25"/>
        </w:rPr>
        <w:t>On January 6, 2012, the Commission’s regulatory staff (Commission Staff or Staff),</w:t>
      </w:r>
      <w:r w:rsidR="006F4B18" w:rsidRPr="005A623E">
        <w:rPr>
          <w:rStyle w:val="FootnoteReference"/>
          <w:sz w:val="25"/>
          <w:szCs w:val="25"/>
        </w:rPr>
        <w:footnoteReference w:id="2"/>
      </w:r>
      <w:r w:rsidR="006F4B18" w:rsidRPr="005A623E">
        <w:rPr>
          <w:sz w:val="25"/>
          <w:szCs w:val="25"/>
        </w:rPr>
        <w:t xml:space="preserve"> the Public Counsel Section of the Office of the Attorney General (Public Counsel), the Industrial Customers of Northwest Utilities (ICNU), and The Energy Project </w:t>
      </w:r>
      <w:r w:rsidR="003F1054">
        <w:rPr>
          <w:sz w:val="25"/>
          <w:szCs w:val="25"/>
        </w:rPr>
        <w:t xml:space="preserve">timely </w:t>
      </w:r>
      <w:r w:rsidR="006F4B18" w:rsidRPr="005A623E">
        <w:rPr>
          <w:sz w:val="25"/>
          <w:szCs w:val="25"/>
        </w:rPr>
        <w:t>filed their respective responsive testimony</w:t>
      </w:r>
      <w:r w:rsidR="0080256A">
        <w:rPr>
          <w:sz w:val="25"/>
          <w:szCs w:val="25"/>
        </w:rPr>
        <w:t>.</w:t>
      </w:r>
    </w:p>
    <w:p w:rsidR="007873AE" w:rsidRDefault="007873AE" w:rsidP="007873AE">
      <w:pPr>
        <w:spacing w:line="288" w:lineRule="auto"/>
        <w:ind w:left="-720"/>
        <w:rPr>
          <w:sz w:val="25"/>
          <w:szCs w:val="25"/>
        </w:rPr>
      </w:pPr>
    </w:p>
    <w:p w:rsidR="007873AE" w:rsidRDefault="007873AE" w:rsidP="007873AE">
      <w:pPr>
        <w:pStyle w:val="NoSpacing"/>
        <w:numPr>
          <w:ilvl w:val="0"/>
          <w:numId w:val="6"/>
        </w:numPr>
        <w:tabs>
          <w:tab w:val="clear" w:pos="720"/>
          <w:tab w:val="num" w:pos="0"/>
        </w:tabs>
        <w:spacing w:line="288" w:lineRule="auto"/>
        <w:ind w:left="0"/>
        <w:rPr>
          <w:sz w:val="25"/>
          <w:szCs w:val="25"/>
        </w:rPr>
      </w:pPr>
      <w:r w:rsidRPr="005A623E">
        <w:rPr>
          <w:sz w:val="25"/>
          <w:szCs w:val="25"/>
        </w:rPr>
        <w:t>The Commission provided members of the public an opportunity to submit written comments throughout the proceeding.  In addition, the Commission held public comment hearings in Walla Walla, Washington, on January 24, 2012, and in Yakima, Washington, on January 25, 2012.  During the public comment hearings, 12 customers in Walla Walla and 15 customers in Yakima presented testimony in opposition to the proposed rate increase.  In addition, the Commission received 9</w:t>
      </w:r>
      <w:r w:rsidR="00EE3E23">
        <w:rPr>
          <w:sz w:val="25"/>
          <w:szCs w:val="25"/>
        </w:rPr>
        <w:t>0</w:t>
      </w:r>
      <w:r w:rsidRPr="005A623E">
        <w:rPr>
          <w:sz w:val="25"/>
          <w:szCs w:val="25"/>
        </w:rPr>
        <w:t xml:space="preserve"> written comments, 8</w:t>
      </w:r>
      <w:r w:rsidR="00EE3E23">
        <w:rPr>
          <w:sz w:val="25"/>
          <w:szCs w:val="25"/>
        </w:rPr>
        <w:t>5</w:t>
      </w:r>
      <w:r w:rsidRPr="005A623E">
        <w:rPr>
          <w:sz w:val="25"/>
          <w:szCs w:val="25"/>
        </w:rPr>
        <w:t xml:space="preserve"> of which oppose the proposed rate increase.</w:t>
      </w:r>
      <w:r w:rsidR="00234606">
        <w:rPr>
          <w:rStyle w:val="FootnoteReference"/>
          <w:sz w:val="25"/>
          <w:szCs w:val="25"/>
        </w:rPr>
        <w:footnoteReference w:id="3"/>
      </w:r>
    </w:p>
    <w:p w:rsidR="00475B48" w:rsidRPr="005A623E" w:rsidRDefault="00475B48" w:rsidP="008A0A9E">
      <w:pPr>
        <w:pStyle w:val="EndnoteText"/>
      </w:pPr>
    </w:p>
    <w:p w:rsidR="008C23FE" w:rsidRDefault="00475B48" w:rsidP="008C23FE">
      <w:pPr>
        <w:numPr>
          <w:ilvl w:val="0"/>
          <w:numId w:val="6"/>
        </w:numPr>
        <w:tabs>
          <w:tab w:val="num" w:pos="0"/>
        </w:tabs>
        <w:spacing w:line="288" w:lineRule="auto"/>
        <w:ind w:left="0"/>
        <w:rPr>
          <w:sz w:val="25"/>
          <w:szCs w:val="25"/>
        </w:rPr>
      </w:pPr>
      <w:r w:rsidRPr="005A623E">
        <w:rPr>
          <w:sz w:val="25"/>
          <w:szCs w:val="25"/>
        </w:rPr>
        <w:t>On February 3, 2012, the Commission Staff</w:t>
      </w:r>
      <w:r w:rsidRPr="005A623E">
        <w:rPr>
          <w:rStyle w:val="FootnoteReference"/>
          <w:sz w:val="25"/>
          <w:szCs w:val="25"/>
        </w:rPr>
        <w:footnoteReference w:id="4"/>
      </w:r>
      <w:r w:rsidRPr="005A623E">
        <w:rPr>
          <w:sz w:val="25"/>
          <w:szCs w:val="25"/>
        </w:rPr>
        <w:t xml:space="preserve"> filed a letter notifying the Commission that the parties to this proceeding had reached a settlement in principle resolving all disputed issues.  The parties proposed filing a settlement and testimony in support thereof no later than February 21, 2012.  The parties requested that the hearing in this matter be continued to convene on March 7, 2012, and that the remainder of the procedural scheduled be suspended.  By Order 06 entered February 6, 2012, the Commission granted the request.</w:t>
      </w:r>
    </w:p>
    <w:p w:rsidR="003F1054" w:rsidRDefault="003F1054" w:rsidP="003F1054">
      <w:pPr>
        <w:spacing w:line="288" w:lineRule="auto"/>
        <w:ind w:left="-720"/>
        <w:rPr>
          <w:sz w:val="25"/>
          <w:szCs w:val="25"/>
        </w:rPr>
      </w:pPr>
    </w:p>
    <w:p w:rsidR="003F1054" w:rsidRDefault="003F1054" w:rsidP="003F1054">
      <w:pPr>
        <w:pStyle w:val="NoSpacing"/>
        <w:numPr>
          <w:ilvl w:val="0"/>
          <w:numId w:val="6"/>
        </w:numPr>
        <w:tabs>
          <w:tab w:val="clear" w:pos="720"/>
          <w:tab w:val="num" w:pos="0"/>
        </w:tabs>
        <w:spacing w:line="288" w:lineRule="auto"/>
        <w:ind w:left="0"/>
        <w:rPr>
          <w:sz w:val="25"/>
          <w:szCs w:val="25"/>
        </w:rPr>
      </w:pPr>
      <w:r w:rsidRPr="005A623E">
        <w:rPr>
          <w:sz w:val="25"/>
          <w:szCs w:val="25"/>
        </w:rPr>
        <w:t xml:space="preserve">On February 21, 2012, the parties to this proceeding filed a Settlement </w:t>
      </w:r>
      <w:r>
        <w:rPr>
          <w:sz w:val="25"/>
          <w:szCs w:val="25"/>
        </w:rPr>
        <w:t>Stipulation</w:t>
      </w:r>
      <w:r w:rsidRPr="005A623E">
        <w:rPr>
          <w:sz w:val="25"/>
          <w:szCs w:val="25"/>
        </w:rPr>
        <w:t xml:space="preserve"> (Settlement) resolving all disputed issues in this case.</w:t>
      </w:r>
      <w:r w:rsidR="002F747D">
        <w:rPr>
          <w:rStyle w:val="FootnoteReference"/>
          <w:sz w:val="25"/>
          <w:szCs w:val="25"/>
        </w:rPr>
        <w:footnoteReference w:id="5"/>
      </w:r>
      <w:r w:rsidRPr="005A623E">
        <w:rPr>
          <w:sz w:val="25"/>
          <w:szCs w:val="25"/>
        </w:rPr>
        <w:t xml:space="preserve">  The parties filed joint testimony in support of the Settlement’s terms and conditions on the same date.</w:t>
      </w:r>
    </w:p>
    <w:p w:rsidR="00D83AC1" w:rsidRDefault="00D83AC1" w:rsidP="00D83AC1">
      <w:pPr>
        <w:pStyle w:val="ListParagraph"/>
        <w:rPr>
          <w:sz w:val="25"/>
          <w:szCs w:val="25"/>
        </w:rPr>
      </w:pPr>
    </w:p>
    <w:p w:rsidR="003F1054" w:rsidRPr="006F4B18" w:rsidRDefault="00D83AC1" w:rsidP="008C23FE">
      <w:pPr>
        <w:numPr>
          <w:ilvl w:val="0"/>
          <w:numId w:val="6"/>
        </w:numPr>
        <w:tabs>
          <w:tab w:val="num" w:pos="0"/>
        </w:tabs>
        <w:spacing w:line="288" w:lineRule="auto"/>
        <w:ind w:left="0"/>
        <w:rPr>
          <w:sz w:val="25"/>
          <w:szCs w:val="25"/>
        </w:rPr>
      </w:pPr>
      <w:r w:rsidRPr="005A623E">
        <w:rPr>
          <w:sz w:val="25"/>
          <w:szCs w:val="25"/>
        </w:rPr>
        <w:t>On March 7, 2012, the Commission conducted a settlement hearing in Olympia, Washington.  Chairman Jeffrey D. Goltz, Commissioner Patrick J. Oshie, and Commissioner Philip B. Jones were assisted at the bench by presiding Administrative Law Judge Patricia Clark.</w:t>
      </w:r>
      <w:r w:rsidR="001A0C02">
        <w:rPr>
          <w:sz w:val="25"/>
          <w:szCs w:val="25"/>
        </w:rPr>
        <w:t xml:space="preserve"> </w:t>
      </w:r>
      <w:r w:rsidR="008C7E2B" w:rsidRPr="005A623E">
        <w:rPr>
          <w:sz w:val="25"/>
          <w:szCs w:val="25"/>
        </w:rPr>
        <w:t>During the hearing, the parties presented five witnesses in support of the Settlement.  PacifiCorp presented the testimony of R. Bryce Dalley, Director, Regulatory Affairs and Revenue Requirement.  The Commission Staff presented the testimony of Michael D. Foisy, Regulatory Analyst.  Public Counsel presented the testimony of Lea Daeschel, Regulatory Analyst.  ICNU presented the testimony of Donald W. Schoenbeck, consultant.  The Energy Project presented the testimony of Charles Eberdt, Director.</w:t>
      </w:r>
      <w:r w:rsidR="008C7E2B">
        <w:rPr>
          <w:sz w:val="25"/>
          <w:szCs w:val="25"/>
        </w:rPr>
        <w:t xml:space="preserve">  </w:t>
      </w:r>
    </w:p>
    <w:p w:rsidR="008C23FE" w:rsidRDefault="008C23FE" w:rsidP="008C23FE">
      <w:pPr>
        <w:spacing w:line="288" w:lineRule="auto"/>
        <w:rPr>
          <w:sz w:val="25"/>
          <w:szCs w:val="25"/>
        </w:rPr>
      </w:pPr>
    </w:p>
    <w:p w:rsidR="008C23FE" w:rsidRPr="00AF5CE3" w:rsidRDefault="008C23FE" w:rsidP="008C23FE">
      <w:pPr>
        <w:numPr>
          <w:ilvl w:val="0"/>
          <w:numId w:val="6"/>
        </w:numPr>
        <w:tabs>
          <w:tab w:val="num" w:pos="0"/>
        </w:tabs>
        <w:spacing w:line="288" w:lineRule="auto"/>
        <w:ind w:left="0"/>
        <w:rPr>
          <w:sz w:val="25"/>
          <w:szCs w:val="25"/>
        </w:rPr>
      </w:pPr>
      <w:r w:rsidRPr="00AF5CE3">
        <w:rPr>
          <w:b/>
          <w:bCs/>
          <w:sz w:val="25"/>
          <w:szCs w:val="25"/>
        </w:rPr>
        <w:t>PARTY REPRESENTATIVES</w:t>
      </w:r>
      <w:r>
        <w:rPr>
          <w:b/>
          <w:bCs/>
          <w:sz w:val="25"/>
          <w:szCs w:val="25"/>
        </w:rPr>
        <w:t>.</w:t>
      </w:r>
      <w:r w:rsidR="00C50A0B">
        <w:rPr>
          <w:b/>
          <w:bCs/>
          <w:sz w:val="25"/>
          <w:szCs w:val="25"/>
        </w:rPr>
        <w:t xml:space="preserve"> </w:t>
      </w:r>
      <w:r w:rsidR="00E80D65">
        <w:rPr>
          <w:b/>
          <w:bCs/>
          <w:sz w:val="25"/>
          <w:szCs w:val="25"/>
        </w:rPr>
        <w:t xml:space="preserve"> </w:t>
      </w:r>
      <w:r w:rsidR="006F782F" w:rsidRPr="005A623E">
        <w:rPr>
          <w:sz w:val="25"/>
          <w:szCs w:val="25"/>
        </w:rPr>
        <w:t>Katherine McDowell, McDowell, Rackner &amp; Gibson, PC</w:t>
      </w:r>
      <w:r w:rsidR="0080256A">
        <w:rPr>
          <w:sz w:val="25"/>
          <w:szCs w:val="25"/>
        </w:rPr>
        <w:t>,</w:t>
      </w:r>
      <w:r w:rsidR="006F782F" w:rsidRPr="005A623E">
        <w:rPr>
          <w:sz w:val="25"/>
          <w:szCs w:val="25"/>
        </w:rPr>
        <w:t xml:space="preserve"> Portland, Oregon, represents PacifiCorp.  Simon ffitch, Senior Assistant Attorney General, Seattle, Washington, represents Public Counsel.  Melinda J. Davison</w:t>
      </w:r>
      <w:r w:rsidR="006F782F">
        <w:rPr>
          <w:sz w:val="25"/>
          <w:szCs w:val="25"/>
        </w:rPr>
        <w:t xml:space="preserve"> and Irion Sanger</w:t>
      </w:r>
      <w:r w:rsidR="006F782F" w:rsidRPr="005A623E">
        <w:rPr>
          <w:sz w:val="25"/>
          <w:szCs w:val="25"/>
        </w:rPr>
        <w:t xml:space="preserve">, Davison Van Cleve, PC, Portland, Oregon, represent </w:t>
      </w:r>
      <w:r w:rsidR="006F782F" w:rsidRPr="005A623E">
        <w:rPr>
          <w:sz w:val="25"/>
          <w:szCs w:val="25"/>
        </w:rPr>
        <w:lastRenderedPageBreak/>
        <w:t>ICNU.  Brad M. Purdy, attorney, Boise, Idaho, represents The Energy Project.  Greg Trautman, Assistant Attorney General, Olympia, Washington, represents Commission Staff.</w:t>
      </w:r>
      <w:r w:rsidR="006F782F" w:rsidRPr="005A623E">
        <w:rPr>
          <w:rStyle w:val="FootnoteReference"/>
          <w:sz w:val="25"/>
          <w:szCs w:val="25"/>
        </w:rPr>
        <w:footnoteReference w:id="6"/>
      </w:r>
    </w:p>
    <w:p w:rsidR="008C23FE" w:rsidRPr="002D5159" w:rsidRDefault="008C23FE" w:rsidP="008C23FE">
      <w:pPr>
        <w:spacing w:line="288" w:lineRule="auto"/>
        <w:rPr>
          <w:bCs/>
          <w:sz w:val="25"/>
          <w:szCs w:val="25"/>
        </w:rPr>
      </w:pPr>
    </w:p>
    <w:p w:rsidR="008C23FE" w:rsidRPr="00777334" w:rsidRDefault="008C23FE" w:rsidP="008C23FE">
      <w:pPr>
        <w:numPr>
          <w:ilvl w:val="0"/>
          <w:numId w:val="6"/>
        </w:numPr>
        <w:tabs>
          <w:tab w:val="num" w:pos="0"/>
        </w:tabs>
        <w:spacing w:line="288" w:lineRule="auto"/>
        <w:ind w:left="0"/>
        <w:rPr>
          <w:sz w:val="25"/>
          <w:szCs w:val="25"/>
        </w:rPr>
      </w:pPr>
      <w:r w:rsidRPr="00777334">
        <w:rPr>
          <w:b/>
          <w:sz w:val="25"/>
          <w:szCs w:val="25"/>
        </w:rPr>
        <w:t>COMMISSION</w:t>
      </w:r>
      <w:r w:rsidR="001A0C02">
        <w:rPr>
          <w:b/>
          <w:sz w:val="25"/>
          <w:szCs w:val="25"/>
        </w:rPr>
        <w:t xml:space="preserve"> </w:t>
      </w:r>
      <w:r w:rsidRPr="00C34B05">
        <w:rPr>
          <w:b/>
          <w:bCs/>
          <w:sz w:val="25"/>
          <w:szCs w:val="25"/>
        </w:rPr>
        <w:t>DETERMINATIONS</w:t>
      </w:r>
      <w:r>
        <w:rPr>
          <w:b/>
          <w:bCs/>
          <w:sz w:val="25"/>
          <w:szCs w:val="25"/>
        </w:rPr>
        <w:t>.</w:t>
      </w:r>
      <w:r w:rsidR="00E80D65">
        <w:rPr>
          <w:b/>
          <w:bCs/>
          <w:sz w:val="25"/>
          <w:szCs w:val="25"/>
        </w:rPr>
        <w:t xml:space="preserve">  </w:t>
      </w:r>
      <w:r w:rsidRPr="00853D1D">
        <w:t>The</w:t>
      </w:r>
      <w:r w:rsidRPr="00FF6C2B">
        <w:rPr>
          <w:sz w:val="25"/>
          <w:szCs w:val="25"/>
        </w:rPr>
        <w:t xml:space="preserve"> Commission finds on the basis of the evidence presented that P</w:t>
      </w:r>
      <w:r>
        <w:rPr>
          <w:sz w:val="25"/>
          <w:szCs w:val="25"/>
        </w:rPr>
        <w:t>acifiCorp</w:t>
      </w:r>
      <w:r w:rsidRPr="00FF6C2B">
        <w:rPr>
          <w:sz w:val="25"/>
          <w:szCs w:val="25"/>
        </w:rPr>
        <w:t xml:space="preserve"> requires rate relief, and determines that the </w:t>
      </w:r>
      <w:r>
        <w:rPr>
          <w:sz w:val="25"/>
          <w:szCs w:val="25"/>
        </w:rPr>
        <w:t>S</w:t>
      </w:r>
      <w:r w:rsidRPr="00FF6C2B">
        <w:rPr>
          <w:sz w:val="25"/>
          <w:szCs w:val="25"/>
        </w:rPr>
        <w:t>ettlement result</w:t>
      </w:r>
      <w:r>
        <w:rPr>
          <w:sz w:val="25"/>
          <w:szCs w:val="25"/>
        </w:rPr>
        <w:t>s</w:t>
      </w:r>
      <w:r w:rsidRPr="00FF6C2B">
        <w:rPr>
          <w:sz w:val="25"/>
          <w:szCs w:val="25"/>
        </w:rPr>
        <w:t xml:space="preserve"> in rates that are fair, just, reasonable and sufficient.  The Commission accordingly approves and adopts the </w:t>
      </w:r>
      <w:r>
        <w:rPr>
          <w:sz w:val="25"/>
          <w:szCs w:val="25"/>
        </w:rPr>
        <w:t>S</w:t>
      </w:r>
      <w:r w:rsidRPr="00FF6C2B">
        <w:rPr>
          <w:sz w:val="25"/>
          <w:szCs w:val="25"/>
        </w:rPr>
        <w:t>ettlement</w:t>
      </w:r>
      <w:r w:rsidR="00C50A0B">
        <w:rPr>
          <w:sz w:val="25"/>
          <w:szCs w:val="25"/>
        </w:rPr>
        <w:t xml:space="preserve"> </w:t>
      </w:r>
      <w:r w:rsidRPr="00FF6C2B">
        <w:rPr>
          <w:sz w:val="25"/>
          <w:szCs w:val="25"/>
        </w:rPr>
        <w:t>in full resolution of the issues in this proceeding.</w:t>
      </w:r>
      <w:r w:rsidR="00690406">
        <w:rPr>
          <w:sz w:val="25"/>
          <w:szCs w:val="25"/>
        </w:rPr>
        <w:t xml:space="preserve">  The Commission de</w:t>
      </w:r>
      <w:r w:rsidR="00FD1384">
        <w:rPr>
          <w:sz w:val="25"/>
          <w:szCs w:val="25"/>
        </w:rPr>
        <w:t>nies</w:t>
      </w:r>
      <w:r w:rsidR="00690406">
        <w:rPr>
          <w:sz w:val="25"/>
          <w:szCs w:val="25"/>
        </w:rPr>
        <w:t>, without prejudice, the request to participate in an April 5, 2012, workshop on the West Control Area Inter-jurisdictional allocation methodology and extend</w:t>
      </w:r>
      <w:r w:rsidR="00FD1384">
        <w:rPr>
          <w:sz w:val="25"/>
          <w:szCs w:val="25"/>
        </w:rPr>
        <w:t>s</w:t>
      </w:r>
      <w:r w:rsidR="00690406">
        <w:rPr>
          <w:sz w:val="25"/>
          <w:szCs w:val="25"/>
        </w:rPr>
        <w:t xml:space="preserve"> the deadline for submitting a review filing on that methodology from June 2012 to January 31, 2013.</w:t>
      </w:r>
    </w:p>
    <w:p w:rsidR="008C23FE" w:rsidRPr="00A44DFE" w:rsidRDefault="008C23FE" w:rsidP="008C23FE">
      <w:pPr>
        <w:pStyle w:val="NoSpacing"/>
        <w:spacing w:line="288" w:lineRule="auto"/>
        <w:rPr>
          <w:sz w:val="25"/>
          <w:szCs w:val="25"/>
        </w:rPr>
      </w:pPr>
    </w:p>
    <w:p w:rsidR="008C23FE" w:rsidRDefault="008C23FE" w:rsidP="008C23FE">
      <w:pPr>
        <w:pStyle w:val="NoSpacing"/>
        <w:spacing w:line="288" w:lineRule="auto"/>
        <w:jc w:val="center"/>
        <w:rPr>
          <w:b/>
          <w:sz w:val="25"/>
          <w:szCs w:val="25"/>
          <w:u w:val="single"/>
        </w:rPr>
      </w:pPr>
      <w:bookmarkStart w:id="2" w:name="_Toc155670887"/>
      <w:r w:rsidRPr="00A44DFE">
        <w:rPr>
          <w:b/>
          <w:sz w:val="25"/>
          <w:szCs w:val="25"/>
          <w:u w:val="single"/>
        </w:rPr>
        <w:t>MEMORANDUM</w:t>
      </w:r>
      <w:bookmarkEnd w:id="2"/>
    </w:p>
    <w:p w:rsidR="008C23FE" w:rsidRPr="00A44DFE" w:rsidRDefault="008C23FE" w:rsidP="008C23FE">
      <w:pPr>
        <w:pStyle w:val="NoSpacing"/>
        <w:spacing w:line="288" w:lineRule="auto"/>
        <w:jc w:val="center"/>
        <w:rPr>
          <w:sz w:val="25"/>
          <w:szCs w:val="25"/>
        </w:rPr>
      </w:pPr>
    </w:p>
    <w:p w:rsidR="008C23FE" w:rsidRPr="00A44DFE" w:rsidRDefault="00D65CA9" w:rsidP="008C23FE">
      <w:pPr>
        <w:pStyle w:val="NoSpacing"/>
        <w:numPr>
          <w:ilvl w:val="0"/>
          <w:numId w:val="16"/>
        </w:numPr>
        <w:tabs>
          <w:tab w:val="left" w:pos="360"/>
        </w:tabs>
        <w:spacing w:line="288" w:lineRule="auto"/>
        <w:ind w:left="0" w:firstLine="0"/>
        <w:rPr>
          <w:b/>
          <w:sz w:val="25"/>
          <w:szCs w:val="25"/>
        </w:rPr>
      </w:pPr>
      <w:bookmarkStart w:id="3" w:name="_Toc155670888"/>
      <w:r>
        <w:rPr>
          <w:b/>
          <w:sz w:val="25"/>
          <w:szCs w:val="25"/>
        </w:rPr>
        <w:t>Background and Procedural History</w:t>
      </w:r>
      <w:bookmarkEnd w:id="3"/>
    </w:p>
    <w:p w:rsidR="008C23FE" w:rsidRPr="00C34B05" w:rsidRDefault="008C23FE" w:rsidP="008C23FE">
      <w:pPr>
        <w:spacing w:line="288" w:lineRule="auto"/>
        <w:rPr>
          <w:sz w:val="25"/>
          <w:szCs w:val="25"/>
        </w:rPr>
      </w:pPr>
    </w:p>
    <w:p w:rsidR="008C23FE" w:rsidRDefault="007B3B68" w:rsidP="008C23FE">
      <w:pPr>
        <w:numPr>
          <w:ilvl w:val="0"/>
          <w:numId w:val="6"/>
        </w:numPr>
        <w:tabs>
          <w:tab w:val="num" w:pos="0"/>
        </w:tabs>
        <w:spacing w:line="288" w:lineRule="auto"/>
        <w:ind w:left="0"/>
        <w:rPr>
          <w:sz w:val="25"/>
          <w:szCs w:val="25"/>
        </w:rPr>
      </w:pPr>
      <w:r w:rsidRPr="005A623E">
        <w:rPr>
          <w:sz w:val="25"/>
          <w:szCs w:val="25"/>
        </w:rPr>
        <w:t>PacifiCorp filed tariffs on July 1, 2011, designed to increase electric rates by $12.9 million (4.3 percent on average).</w:t>
      </w:r>
      <w:r w:rsidRPr="005A623E">
        <w:rPr>
          <w:rStyle w:val="FootnoteReference"/>
          <w:sz w:val="25"/>
          <w:szCs w:val="25"/>
        </w:rPr>
        <w:footnoteReference w:id="7"/>
      </w:r>
      <w:r w:rsidRPr="005A623E">
        <w:rPr>
          <w:sz w:val="25"/>
          <w:szCs w:val="25"/>
        </w:rPr>
        <w:t xml:space="preserve">  According to the Company, it is currently earning a return on equity (ROE) of 4.6 percent on an unadjusted basis and 7.6 percent on a normalized basis</w:t>
      </w:r>
      <w:r w:rsidR="004D64B0">
        <w:rPr>
          <w:sz w:val="25"/>
          <w:szCs w:val="25"/>
        </w:rPr>
        <w:t>,</w:t>
      </w:r>
      <w:r w:rsidRPr="005A623E">
        <w:rPr>
          <w:sz w:val="25"/>
          <w:szCs w:val="25"/>
        </w:rPr>
        <w:t xml:space="preserve"> an ROE less than the 9.8 percent ROE authorized by the Commission in its most recent rate case.</w:t>
      </w:r>
      <w:r w:rsidRPr="005A623E">
        <w:rPr>
          <w:rStyle w:val="FootnoteReference"/>
          <w:sz w:val="25"/>
          <w:szCs w:val="25"/>
        </w:rPr>
        <w:footnoteReference w:id="8"/>
      </w:r>
      <w:r w:rsidRPr="005A623E">
        <w:rPr>
          <w:sz w:val="25"/>
          <w:szCs w:val="25"/>
        </w:rPr>
        <w:t xml:space="preserve">  The Company’s rate increase is based on an historic test year for the 12 months ending December 31, 2010.  The Company’s net power costs are based on </w:t>
      </w:r>
      <w:r w:rsidRPr="005A623E">
        <w:rPr>
          <w:i/>
          <w:sz w:val="25"/>
          <w:szCs w:val="25"/>
        </w:rPr>
        <w:t xml:space="preserve">pro forma </w:t>
      </w:r>
      <w:r w:rsidRPr="005A623E">
        <w:rPr>
          <w:sz w:val="25"/>
          <w:szCs w:val="25"/>
        </w:rPr>
        <w:t xml:space="preserve">net power costs for the 12-month period ending May 31, 2013, which is tied to the rate effective period and adjusted to match test year load using the Commission approved production factor.  PacifiCorp calculates its results of operations and requested revenue adjustments based on the Western Control </w:t>
      </w:r>
      <w:r w:rsidRPr="005A623E">
        <w:rPr>
          <w:sz w:val="25"/>
          <w:szCs w:val="25"/>
        </w:rPr>
        <w:lastRenderedPageBreak/>
        <w:t xml:space="preserve">Area (WCA) allocation methodology previously approved by the Commission. </w:t>
      </w:r>
      <w:r w:rsidR="00EF019D">
        <w:rPr>
          <w:sz w:val="25"/>
          <w:szCs w:val="25"/>
        </w:rPr>
        <w:t>Among other elements, t</w:t>
      </w:r>
      <w:r w:rsidR="008C23FE" w:rsidRPr="00236666">
        <w:rPr>
          <w:sz w:val="25"/>
          <w:szCs w:val="25"/>
        </w:rPr>
        <w:t>he Company’s as-filed request include</w:t>
      </w:r>
      <w:r w:rsidR="008D0DF4">
        <w:rPr>
          <w:sz w:val="25"/>
          <w:szCs w:val="25"/>
        </w:rPr>
        <w:t>s</w:t>
      </w:r>
      <w:r w:rsidR="008C23FE" w:rsidRPr="00236666">
        <w:rPr>
          <w:sz w:val="25"/>
          <w:szCs w:val="25"/>
        </w:rPr>
        <w:t>:</w:t>
      </w:r>
    </w:p>
    <w:p w:rsidR="008C23FE" w:rsidRPr="00236666" w:rsidRDefault="008C23FE" w:rsidP="008C23FE">
      <w:pPr>
        <w:spacing w:line="288" w:lineRule="auto"/>
        <w:rPr>
          <w:sz w:val="25"/>
          <w:szCs w:val="25"/>
        </w:rPr>
      </w:pPr>
    </w:p>
    <w:p w:rsidR="008C23FE" w:rsidRPr="004A74DE" w:rsidRDefault="008C23FE" w:rsidP="008C23FE">
      <w:pPr>
        <w:pStyle w:val="ListParagraph"/>
        <w:numPr>
          <w:ilvl w:val="0"/>
          <w:numId w:val="8"/>
        </w:numPr>
        <w:spacing w:after="120" w:line="288" w:lineRule="auto"/>
        <w:ind w:left="1080"/>
        <w:rPr>
          <w:sz w:val="25"/>
          <w:szCs w:val="25"/>
        </w:rPr>
      </w:pPr>
      <w:r w:rsidRPr="004A74DE">
        <w:rPr>
          <w:sz w:val="25"/>
          <w:szCs w:val="25"/>
        </w:rPr>
        <w:t>A</w:t>
      </w:r>
      <w:r w:rsidR="005E102B">
        <w:rPr>
          <w:sz w:val="25"/>
          <w:szCs w:val="25"/>
        </w:rPr>
        <w:t xml:space="preserve"> revenue requirement increase of approximately $5 million attributable to increased net power costs</w:t>
      </w:r>
      <w:r w:rsidR="005327A2">
        <w:rPr>
          <w:sz w:val="25"/>
          <w:szCs w:val="25"/>
        </w:rPr>
        <w:t>.</w:t>
      </w:r>
      <w:r w:rsidR="005E102B">
        <w:rPr>
          <w:rStyle w:val="FootnoteReference"/>
          <w:sz w:val="25"/>
          <w:szCs w:val="25"/>
        </w:rPr>
        <w:footnoteReference w:id="9"/>
      </w:r>
    </w:p>
    <w:p w:rsidR="008C23FE" w:rsidRPr="004A74DE" w:rsidRDefault="008C23FE" w:rsidP="008C23FE">
      <w:pPr>
        <w:pStyle w:val="ListParagraph"/>
        <w:numPr>
          <w:ilvl w:val="0"/>
          <w:numId w:val="8"/>
        </w:numPr>
        <w:spacing w:after="120" w:line="288" w:lineRule="auto"/>
        <w:ind w:left="1080"/>
        <w:rPr>
          <w:sz w:val="25"/>
          <w:szCs w:val="25"/>
        </w:rPr>
      </w:pPr>
      <w:r w:rsidRPr="004A74DE">
        <w:rPr>
          <w:sz w:val="25"/>
          <w:szCs w:val="25"/>
        </w:rPr>
        <w:t>A r</w:t>
      </w:r>
      <w:r w:rsidR="005E102B">
        <w:rPr>
          <w:sz w:val="25"/>
          <w:szCs w:val="25"/>
        </w:rPr>
        <w:t>evenue requirement increase of approximately $2.3 million due to system investments</w:t>
      </w:r>
      <w:r w:rsidR="005327A2">
        <w:rPr>
          <w:sz w:val="25"/>
          <w:szCs w:val="25"/>
        </w:rPr>
        <w:t>.</w:t>
      </w:r>
      <w:r w:rsidR="005E102B">
        <w:rPr>
          <w:rStyle w:val="FootnoteReference"/>
          <w:sz w:val="25"/>
          <w:szCs w:val="25"/>
        </w:rPr>
        <w:footnoteReference w:id="10"/>
      </w:r>
    </w:p>
    <w:p w:rsidR="008C23FE" w:rsidRPr="004A74DE" w:rsidRDefault="008C23FE" w:rsidP="008C23FE">
      <w:pPr>
        <w:pStyle w:val="ListParagraph"/>
        <w:numPr>
          <w:ilvl w:val="0"/>
          <w:numId w:val="8"/>
        </w:numPr>
        <w:spacing w:after="120" w:line="288" w:lineRule="auto"/>
        <w:ind w:left="1080"/>
        <w:rPr>
          <w:sz w:val="25"/>
          <w:szCs w:val="25"/>
        </w:rPr>
      </w:pPr>
      <w:r w:rsidRPr="004A74DE">
        <w:rPr>
          <w:sz w:val="25"/>
          <w:szCs w:val="25"/>
        </w:rPr>
        <w:t xml:space="preserve">A </w:t>
      </w:r>
      <w:r w:rsidR="005E102B">
        <w:rPr>
          <w:sz w:val="25"/>
          <w:szCs w:val="25"/>
        </w:rPr>
        <w:t>revenue decrease of approximately $4.7 million caused by the economic downturn, increases in demand-side management, a wetter and cooler irrigation season, and expiration of an ancillary services contract.</w:t>
      </w:r>
      <w:r w:rsidR="005E102B">
        <w:rPr>
          <w:rStyle w:val="FootnoteReference"/>
          <w:sz w:val="25"/>
          <w:szCs w:val="25"/>
        </w:rPr>
        <w:footnoteReference w:id="11"/>
      </w:r>
    </w:p>
    <w:p w:rsidR="008C23FE" w:rsidRDefault="008C23FE" w:rsidP="008C23FE">
      <w:pPr>
        <w:pStyle w:val="Heading2"/>
        <w:tabs>
          <w:tab w:val="left" w:pos="360"/>
        </w:tabs>
        <w:spacing w:line="288" w:lineRule="auto"/>
        <w:jc w:val="left"/>
        <w:rPr>
          <w:b/>
          <w:sz w:val="25"/>
          <w:szCs w:val="25"/>
          <w:u w:val="none"/>
        </w:rPr>
      </w:pPr>
      <w:bookmarkStart w:id="4" w:name="_Toc155670889"/>
      <w:r w:rsidRPr="00C34B05">
        <w:rPr>
          <w:b/>
          <w:sz w:val="25"/>
          <w:szCs w:val="25"/>
          <w:u w:val="none"/>
        </w:rPr>
        <w:t>II.</w:t>
      </w:r>
      <w:bookmarkEnd w:id="4"/>
      <w:r>
        <w:rPr>
          <w:b/>
          <w:sz w:val="25"/>
          <w:szCs w:val="25"/>
          <w:u w:val="none"/>
        </w:rPr>
        <w:tab/>
        <w:t xml:space="preserve">Settlement </w:t>
      </w:r>
    </w:p>
    <w:p w:rsidR="008C23FE" w:rsidRDefault="008C23FE" w:rsidP="008C23FE">
      <w:pPr>
        <w:spacing w:line="288" w:lineRule="auto"/>
      </w:pPr>
    </w:p>
    <w:p w:rsidR="008C23FE" w:rsidRPr="00E262F6" w:rsidRDefault="008C23FE" w:rsidP="008C23FE">
      <w:pPr>
        <w:numPr>
          <w:ilvl w:val="0"/>
          <w:numId w:val="6"/>
        </w:numPr>
        <w:tabs>
          <w:tab w:val="num" w:pos="0"/>
        </w:tabs>
        <w:spacing w:line="288" w:lineRule="auto"/>
        <w:ind w:left="0"/>
        <w:rPr>
          <w:sz w:val="25"/>
          <w:szCs w:val="25"/>
        </w:rPr>
      </w:pPr>
      <w:r w:rsidRPr="00E262F6">
        <w:rPr>
          <w:sz w:val="25"/>
          <w:szCs w:val="25"/>
        </w:rPr>
        <w:t xml:space="preserve">We summarize in this section the </w:t>
      </w:r>
      <w:r>
        <w:rPr>
          <w:sz w:val="25"/>
          <w:szCs w:val="25"/>
        </w:rPr>
        <w:t>parties’</w:t>
      </w:r>
      <w:r w:rsidR="00C50A0B">
        <w:rPr>
          <w:sz w:val="25"/>
          <w:szCs w:val="25"/>
        </w:rPr>
        <w:t xml:space="preserve"> </w:t>
      </w:r>
      <w:r>
        <w:rPr>
          <w:sz w:val="25"/>
          <w:szCs w:val="25"/>
        </w:rPr>
        <w:t>S</w:t>
      </w:r>
      <w:r w:rsidRPr="00E262F6">
        <w:rPr>
          <w:sz w:val="25"/>
          <w:szCs w:val="25"/>
        </w:rPr>
        <w:t>ettlement</w:t>
      </w:r>
      <w:r>
        <w:rPr>
          <w:sz w:val="25"/>
          <w:szCs w:val="25"/>
        </w:rPr>
        <w:t>, which is attached to this Order</w:t>
      </w:r>
      <w:r w:rsidRPr="00E262F6">
        <w:rPr>
          <w:sz w:val="25"/>
          <w:szCs w:val="25"/>
        </w:rPr>
        <w:t xml:space="preserve">.  </w:t>
      </w:r>
      <w:r>
        <w:rPr>
          <w:sz w:val="25"/>
          <w:szCs w:val="25"/>
        </w:rPr>
        <w:t xml:space="preserve">If </w:t>
      </w:r>
      <w:r w:rsidRPr="00E262F6">
        <w:rPr>
          <w:sz w:val="25"/>
          <w:szCs w:val="25"/>
        </w:rPr>
        <w:t>any i</w:t>
      </w:r>
      <w:r>
        <w:rPr>
          <w:sz w:val="25"/>
          <w:szCs w:val="25"/>
        </w:rPr>
        <w:t>nconsistency between our summary</w:t>
      </w:r>
      <w:r w:rsidRPr="00E262F6">
        <w:rPr>
          <w:sz w:val="25"/>
          <w:szCs w:val="25"/>
        </w:rPr>
        <w:t xml:space="preserve"> here and the </w:t>
      </w:r>
      <w:r>
        <w:rPr>
          <w:sz w:val="25"/>
          <w:szCs w:val="25"/>
        </w:rPr>
        <w:t>S</w:t>
      </w:r>
      <w:r w:rsidRPr="00E262F6">
        <w:rPr>
          <w:sz w:val="25"/>
          <w:szCs w:val="25"/>
        </w:rPr>
        <w:t xml:space="preserve">ettlement </w:t>
      </w:r>
      <w:r>
        <w:rPr>
          <w:sz w:val="25"/>
          <w:szCs w:val="25"/>
        </w:rPr>
        <w:t>is perceived</w:t>
      </w:r>
      <w:r w:rsidRPr="00E262F6">
        <w:rPr>
          <w:sz w:val="25"/>
          <w:szCs w:val="25"/>
        </w:rPr>
        <w:t xml:space="preserve">, the express terms of the </w:t>
      </w:r>
      <w:r>
        <w:rPr>
          <w:sz w:val="25"/>
          <w:szCs w:val="25"/>
        </w:rPr>
        <w:t>S</w:t>
      </w:r>
      <w:r w:rsidRPr="00E262F6">
        <w:rPr>
          <w:sz w:val="25"/>
          <w:szCs w:val="25"/>
        </w:rPr>
        <w:t>ettlement control.</w:t>
      </w:r>
    </w:p>
    <w:p w:rsidR="008C23FE" w:rsidRDefault="008C23FE" w:rsidP="008C23FE">
      <w:pPr>
        <w:pStyle w:val="Heading2"/>
        <w:numPr>
          <w:ilvl w:val="0"/>
          <w:numId w:val="12"/>
        </w:numPr>
        <w:tabs>
          <w:tab w:val="left" w:pos="720"/>
        </w:tabs>
        <w:spacing w:before="240" w:after="60" w:line="288" w:lineRule="auto"/>
        <w:ind w:left="720"/>
        <w:jc w:val="left"/>
        <w:rPr>
          <w:b/>
          <w:sz w:val="25"/>
          <w:szCs w:val="25"/>
          <w:u w:val="none"/>
        </w:rPr>
      </w:pPr>
      <w:bookmarkStart w:id="5" w:name="_Toc208982431"/>
      <w:r w:rsidRPr="00013546">
        <w:rPr>
          <w:b/>
          <w:sz w:val="25"/>
          <w:szCs w:val="25"/>
          <w:u w:val="none"/>
        </w:rPr>
        <w:t>R</w:t>
      </w:r>
      <w:r w:rsidR="00013546" w:rsidRPr="00013546">
        <w:rPr>
          <w:b/>
          <w:sz w:val="25"/>
          <w:szCs w:val="25"/>
          <w:u w:val="none"/>
        </w:rPr>
        <w:t>ate Increase and Rate Effective Date</w:t>
      </w:r>
      <w:bookmarkEnd w:id="5"/>
    </w:p>
    <w:p w:rsidR="0080256A" w:rsidRPr="0080256A" w:rsidRDefault="0080256A" w:rsidP="0080256A"/>
    <w:p w:rsidR="008D0DF4" w:rsidRPr="005A623E" w:rsidRDefault="008D0DF4" w:rsidP="008D0DF4">
      <w:pPr>
        <w:pStyle w:val="NoSpacing"/>
        <w:numPr>
          <w:ilvl w:val="0"/>
          <w:numId w:val="6"/>
        </w:numPr>
        <w:tabs>
          <w:tab w:val="clear" w:pos="720"/>
          <w:tab w:val="num" w:pos="0"/>
        </w:tabs>
        <w:spacing w:line="288" w:lineRule="auto"/>
        <w:ind w:left="0"/>
        <w:rPr>
          <w:sz w:val="25"/>
          <w:szCs w:val="25"/>
        </w:rPr>
      </w:pPr>
      <w:r w:rsidRPr="005A623E">
        <w:rPr>
          <w:sz w:val="25"/>
          <w:szCs w:val="25"/>
        </w:rPr>
        <w:t>The parties propose that the Commission allow PacifiCorp to implement rates intended to increase its annual revenues from Washington customers by $4.5 million or 1.5 percent.</w:t>
      </w:r>
      <w:r w:rsidRPr="005A623E">
        <w:rPr>
          <w:rStyle w:val="FootnoteReference"/>
          <w:sz w:val="25"/>
          <w:szCs w:val="25"/>
        </w:rPr>
        <w:footnoteReference w:id="12"/>
      </w:r>
      <w:r w:rsidRPr="005A623E">
        <w:rPr>
          <w:sz w:val="25"/>
          <w:szCs w:val="25"/>
        </w:rPr>
        <w:t xml:space="preserve">  The parties agree that the effective date of the proposed rates will be no earlier than June 1, 2012.</w:t>
      </w:r>
      <w:r w:rsidRPr="005A623E">
        <w:rPr>
          <w:rStyle w:val="FootnoteReference"/>
          <w:sz w:val="25"/>
          <w:szCs w:val="25"/>
        </w:rPr>
        <w:footnoteReference w:id="13"/>
      </w:r>
      <w:r w:rsidRPr="005A623E">
        <w:rPr>
          <w:sz w:val="25"/>
          <w:szCs w:val="25"/>
        </w:rPr>
        <w:t xml:space="preserve">  The effective date is concurrent with the end of the suspension period, May 31, 2012.</w:t>
      </w:r>
      <w:r w:rsidRPr="005A623E">
        <w:rPr>
          <w:rStyle w:val="FootnoteReference"/>
          <w:sz w:val="25"/>
          <w:szCs w:val="25"/>
        </w:rPr>
        <w:footnoteReference w:id="14"/>
      </w:r>
    </w:p>
    <w:p w:rsidR="008C23FE" w:rsidRDefault="008C23FE" w:rsidP="008C23FE">
      <w:pPr>
        <w:spacing w:line="288" w:lineRule="auto"/>
        <w:ind w:left="-720"/>
        <w:rPr>
          <w:sz w:val="25"/>
          <w:szCs w:val="25"/>
        </w:rPr>
      </w:pPr>
    </w:p>
    <w:p w:rsidR="008C23FE" w:rsidRDefault="00116C7F" w:rsidP="008C23FE">
      <w:pPr>
        <w:numPr>
          <w:ilvl w:val="0"/>
          <w:numId w:val="6"/>
        </w:numPr>
        <w:tabs>
          <w:tab w:val="num" w:pos="0"/>
        </w:tabs>
        <w:spacing w:line="288" w:lineRule="auto"/>
        <w:ind w:left="0"/>
        <w:rPr>
          <w:sz w:val="25"/>
          <w:szCs w:val="25"/>
        </w:rPr>
      </w:pPr>
      <w:r w:rsidRPr="005A623E">
        <w:rPr>
          <w:sz w:val="25"/>
          <w:szCs w:val="25"/>
        </w:rPr>
        <w:lastRenderedPageBreak/>
        <w:t>Among the agreed-upon specific adjustments</w:t>
      </w:r>
      <w:r w:rsidR="00C50A0B">
        <w:rPr>
          <w:sz w:val="25"/>
          <w:szCs w:val="25"/>
        </w:rPr>
        <w:t xml:space="preserve"> to the revenue requirement initially proposed by the Company</w:t>
      </w:r>
      <w:r w:rsidRPr="005A623E">
        <w:rPr>
          <w:sz w:val="25"/>
          <w:szCs w:val="25"/>
        </w:rPr>
        <w:t>, the Settlement contains two updates and one adjustment described as a “correction.”  The specific adjustments include five general categories the parties describe as: Net Power Cost</w:t>
      </w:r>
      <w:r w:rsidR="00A125D2">
        <w:rPr>
          <w:sz w:val="25"/>
          <w:szCs w:val="25"/>
        </w:rPr>
        <w:t xml:space="preserve"> Expense</w:t>
      </w:r>
      <w:r w:rsidRPr="005A623E">
        <w:rPr>
          <w:sz w:val="25"/>
          <w:szCs w:val="25"/>
        </w:rPr>
        <w:t xml:space="preserve"> Legal Expense, Self-Insurance, Administration and General Expense, and Miscellaneous Rate Base.</w:t>
      </w:r>
      <w:r w:rsidRPr="005A623E">
        <w:rPr>
          <w:rStyle w:val="FootnoteReference"/>
          <w:sz w:val="25"/>
          <w:szCs w:val="25"/>
        </w:rPr>
        <w:footnoteReference w:id="15"/>
      </w:r>
      <w:r w:rsidRPr="005A623E">
        <w:rPr>
          <w:sz w:val="25"/>
          <w:szCs w:val="25"/>
        </w:rPr>
        <w:t xml:space="preserve">  An additional non-specific adjustment (e.g., “black box”) reduces the Company’s proposed revenue requirement by an additional $1.2 million.</w:t>
      </w:r>
      <w:r w:rsidRPr="005A623E">
        <w:rPr>
          <w:rStyle w:val="FootnoteReference"/>
          <w:sz w:val="25"/>
          <w:szCs w:val="25"/>
        </w:rPr>
        <w:footnoteReference w:id="16"/>
      </w:r>
    </w:p>
    <w:p w:rsidR="008C23FE" w:rsidRDefault="008C23FE" w:rsidP="008C23FE">
      <w:pPr>
        <w:spacing w:line="288" w:lineRule="auto"/>
        <w:ind w:left="-720"/>
        <w:rPr>
          <w:sz w:val="25"/>
          <w:szCs w:val="25"/>
        </w:rPr>
      </w:pPr>
    </w:p>
    <w:p w:rsidR="00D16429" w:rsidRPr="005A623E" w:rsidRDefault="00D16429" w:rsidP="00D16429">
      <w:pPr>
        <w:pStyle w:val="NoSpacing"/>
        <w:numPr>
          <w:ilvl w:val="0"/>
          <w:numId w:val="6"/>
        </w:numPr>
        <w:tabs>
          <w:tab w:val="clear" w:pos="720"/>
          <w:tab w:val="num" w:pos="0"/>
        </w:tabs>
        <w:spacing w:line="288" w:lineRule="auto"/>
        <w:ind w:left="0"/>
        <w:rPr>
          <w:sz w:val="25"/>
          <w:szCs w:val="25"/>
        </w:rPr>
      </w:pPr>
      <w:r w:rsidRPr="005A623E">
        <w:rPr>
          <w:sz w:val="25"/>
          <w:szCs w:val="25"/>
        </w:rPr>
        <w:t>The parties note that although certain adjustments were specifically addressed, they caution that those adjustments are accepted as part of a comprehensive settlement.  As such, all adjustments should be “viewed in the broader context of the total settlement stipulation.”  The parties have also included an agreement that the “costs and revenues will not be subject to further updates under this stipulation.”</w:t>
      </w:r>
      <w:r w:rsidRPr="005A623E">
        <w:rPr>
          <w:rStyle w:val="FootnoteReference"/>
          <w:sz w:val="25"/>
          <w:szCs w:val="25"/>
        </w:rPr>
        <w:footnoteReference w:id="17"/>
      </w:r>
    </w:p>
    <w:p w:rsidR="008C23FE" w:rsidRPr="00F71E5A" w:rsidRDefault="00D16429" w:rsidP="008C23FE">
      <w:pPr>
        <w:pStyle w:val="Heading2"/>
        <w:numPr>
          <w:ilvl w:val="0"/>
          <w:numId w:val="12"/>
        </w:numPr>
        <w:tabs>
          <w:tab w:val="left" w:pos="720"/>
        </w:tabs>
        <w:spacing w:before="240" w:after="60" w:line="288" w:lineRule="auto"/>
        <w:ind w:left="720"/>
        <w:jc w:val="left"/>
        <w:rPr>
          <w:b/>
          <w:sz w:val="25"/>
          <w:szCs w:val="25"/>
          <w:u w:val="none"/>
        </w:rPr>
      </w:pPr>
      <w:bookmarkStart w:id="6" w:name="_Toc208982432"/>
      <w:r w:rsidRPr="00F71E5A">
        <w:rPr>
          <w:b/>
          <w:sz w:val="25"/>
          <w:szCs w:val="25"/>
          <w:u w:val="none"/>
        </w:rPr>
        <w:t>R</w:t>
      </w:r>
      <w:r w:rsidR="00F71E5A" w:rsidRPr="00F71E5A">
        <w:rPr>
          <w:b/>
          <w:sz w:val="25"/>
          <w:szCs w:val="25"/>
          <w:u w:val="none"/>
        </w:rPr>
        <w:t>enewable Energy Credit (R</w:t>
      </w:r>
      <w:r w:rsidRPr="00F71E5A">
        <w:rPr>
          <w:b/>
          <w:sz w:val="25"/>
          <w:szCs w:val="25"/>
          <w:u w:val="none"/>
        </w:rPr>
        <w:t>EC</w:t>
      </w:r>
      <w:r w:rsidR="00F71E5A" w:rsidRPr="00F71E5A">
        <w:rPr>
          <w:b/>
          <w:sz w:val="25"/>
          <w:szCs w:val="25"/>
          <w:u w:val="none"/>
        </w:rPr>
        <w:t>)</w:t>
      </w:r>
      <w:r w:rsidRPr="00F71E5A">
        <w:rPr>
          <w:b/>
          <w:sz w:val="25"/>
          <w:szCs w:val="25"/>
          <w:u w:val="none"/>
        </w:rPr>
        <w:t xml:space="preserve"> Revenues</w:t>
      </w:r>
      <w:bookmarkEnd w:id="6"/>
    </w:p>
    <w:p w:rsidR="008C23FE" w:rsidRPr="002D5159" w:rsidRDefault="008C23FE" w:rsidP="008C23FE">
      <w:pPr>
        <w:pStyle w:val="ListParagraph"/>
        <w:spacing w:line="288" w:lineRule="auto"/>
        <w:ind w:left="0"/>
        <w:rPr>
          <w:sz w:val="25"/>
          <w:szCs w:val="25"/>
        </w:rPr>
      </w:pPr>
    </w:p>
    <w:p w:rsidR="008C23FE" w:rsidRDefault="00F71E5A" w:rsidP="008C23FE">
      <w:pPr>
        <w:numPr>
          <w:ilvl w:val="0"/>
          <w:numId w:val="6"/>
        </w:numPr>
        <w:tabs>
          <w:tab w:val="num" w:pos="0"/>
        </w:tabs>
        <w:spacing w:line="288" w:lineRule="auto"/>
        <w:ind w:left="0"/>
        <w:rPr>
          <w:sz w:val="25"/>
          <w:szCs w:val="25"/>
        </w:rPr>
      </w:pPr>
      <w:r w:rsidRPr="005A623E">
        <w:rPr>
          <w:sz w:val="25"/>
          <w:szCs w:val="25"/>
        </w:rPr>
        <w:t>The Settlement does not contain REC revenues.</w:t>
      </w:r>
      <w:r w:rsidRPr="005A623E">
        <w:rPr>
          <w:rStyle w:val="FootnoteReference"/>
          <w:sz w:val="25"/>
          <w:szCs w:val="25"/>
        </w:rPr>
        <w:footnoteReference w:id="18"/>
      </w:r>
      <w:r w:rsidR="00E80D65">
        <w:rPr>
          <w:sz w:val="25"/>
          <w:szCs w:val="25"/>
        </w:rPr>
        <w:t xml:space="preserve">  </w:t>
      </w:r>
      <w:r w:rsidRPr="005A623E">
        <w:rPr>
          <w:sz w:val="25"/>
          <w:szCs w:val="25"/>
        </w:rPr>
        <w:t>The parties recognize that the Commission is considering the appropriate ratemaking treatment for the Company’s REC revenues for periods after January 1, 2009, including 2010 REC revenues, in Phase II of Docket UE-100749.</w:t>
      </w:r>
      <w:r w:rsidRPr="005A623E">
        <w:rPr>
          <w:rStyle w:val="FootnoteReference"/>
          <w:sz w:val="25"/>
          <w:szCs w:val="25"/>
        </w:rPr>
        <w:footnoteReference w:id="19"/>
      </w:r>
      <w:r w:rsidRPr="005A623E">
        <w:rPr>
          <w:sz w:val="25"/>
          <w:szCs w:val="25"/>
        </w:rPr>
        <w:t xml:space="preserve">  All parties reserve the right to seek reconsideration, clarification, or judicial review of that issue in</w:t>
      </w:r>
      <w:r w:rsidR="004D64B0">
        <w:rPr>
          <w:sz w:val="25"/>
          <w:szCs w:val="25"/>
        </w:rPr>
        <w:t xml:space="preserve"> that</w:t>
      </w:r>
      <w:r w:rsidRPr="005A623E">
        <w:rPr>
          <w:sz w:val="25"/>
          <w:szCs w:val="25"/>
        </w:rPr>
        <w:t xml:space="preserve"> docket.</w:t>
      </w:r>
      <w:r w:rsidRPr="005A623E">
        <w:rPr>
          <w:rStyle w:val="FootnoteReference"/>
          <w:sz w:val="25"/>
          <w:szCs w:val="25"/>
        </w:rPr>
        <w:footnoteReference w:id="20"/>
      </w:r>
    </w:p>
    <w:p w:rsidR="005327A2" w:rsidRDefault="005327A2">
      <w:pPr>
        <w:rPr>
          <w:sz w:val="25"/>
          <w:szCs w:val="25"/>
        </w:rPr>
      </w:pPr>
      <w:r>
        <w:rPr>
          <w:sz w:val="25"/>
          <w:szCs w:val="25"/>
        </w:rPr>
        <w:br w:type="page"/>
      </w:r>
    </w:p>
    <w:p w:rsidR="0080256A" w:rsidRDefault="0080256A" w:rsidP="0080256A">
      <w:pPr>
        <w:spacing w:line="288" w:lineRule="auto"/>
        <w:rPr>
          <w:sz w:val="25"/>
          <w:szCs w:val="25"/>
        </w:rPr>
      </w:pPr>
    </w:p>
    <w:p w:rsidR="008C23FE" w:rsidRPr="00747ECE" w:rsidRDefault="008C23FE" w:rsidP="008C23FE">
      <w:pPr>
        <w:pStyle w:val="NoSpacing"/>
        <w:numPr>
          <w:ilvl w:val="0"/>
          <w:numId w:val="12"/>
        </w:numPr>
        <w:spacing w:line="288" w:lineRule="auto"/>
        <w:ind w:left="720"/>
        <w:rPr>
          <w:b/>
          <w:sz w:val="25"/>
          <w:szCs w:val="25"/>
        </w:rPr>
      </w:pPr>
      <w:bookmarkStart w:id="7" w:name="_Toc208982433"/>
      <w:r w:rsidRPr="00747ECE">
        <w:rPr>
          <w:b/>
          <w:sz w:val="25"/>
          <w:szCs w:val="25"/>
        </w:rPr>
        <w:t>Rate Spread and R</w:t>
      </w:r>
      <w:r w:rsidR="00F71E5A" w:rsidRPr="00747ECE">
        <w:rPr>
          <w:b/>
          <w:sz w:val="25"/>
          <w:szCs w:val="25"/>
        </w:rPr>
        <w:t>ate Design</w:t>
      </w:r>
      <w:bookmarkEnd w:id="7"/>
    </w:p>
    <w:p w:rsidR="008C23FE" w:rsidRPr="004152A1" w:rsidRDefault="008C23FE" w:rsidP="008C23FE">
      <w:pPr>
        <w:pStyle w:val="NoSpacing"/>
        <w:spacing w:line="288" w:lineRule="auto"/>
        <w:rPr>
          <w:sz w:val="25"/>
          <w:szCs w:val="25"/>
        </w:rPr>
      </w:pPr>
    </w:p>
    <w:p w:rsidR="00747ECE" w:rsidRDefault="00C257C7" w:rsidP="008C23FE">
      <w:pPr>
        <w:numPr>
          <w:ilvl w:val="0"/>
          <w:numId w:val="6"/>
        </w:numPr>
        <w:tabs>
          <w:tab w:val="num" w:pos="0"/>
        </w:tabs>
        <w:spacing w:line="288" w:lineRule="auto"/>
        <w:ind w:left="0"/>
        <w:rPr>
          <w:sz w:val="25"/>
          <w:szCs w:val="25"/>
        </w:rPr>
      </w:pPr>
      <w:r>
        <w:rPr>
          <w:sz w:val="25"/>
          <w:szCs w:val="25"/>
        </w:rPr>
        <w:t>The parties agree that the</w:t>
      </w:r>
      <w:r w:rsidR="00747ECE" w:rsidRPr="00747ECE">
        <w:rPr>
          <w:sz w:val="25"/>
          <w:szCs w:val="25"/>
        </w:rPr>
        <w:t xml:space="preserve"> rate increase will be spread to all rate schedules on an equal percentage of revenue basis with the exception of street lighting, which will receive no rate increase.</w:t>
      </w:r>
      <w:r w:rsidR="00747ECE" w:rsidRPr="00747ECE">
        <w:rPr>
          <w:sz w:val="25"/>
          <w:szCs w:val="25"/>
          <w:vertAlign w:val="superscript"/>
        </w:rPr>
        <w:footnoteReference w:id="21"/>
      </w:r>
      <w:r w:rsidR="00747ECE" w:rsidRPr="00747ECE">
        <w:rPr>
          <w:sz w:val="25"/>
          <w:szCs w:val="25"/>
        </w:rPr>
        <w:t xml:space="preserve">  The Settlement’s approach is generally consistent with the Company’s initial request for rate relief.</w:t>
      </w:r>
      <w:r w:rsidR="00747ECE" w:rsidRPr="00747ECE">
        <w:rPr>
          <w:sz w:val="25"/>
          <w:szCs w:val="25"/>
          <w:vertAlign w:val="superscript"/>
        </w:rPr>
        <w:footnoteReference w:id="22"/>
      </w:r>
      <w:r w:rsidR="00747ECE" w:rsidRPr="00747ECE">
        <w:rPr>
          <w:sz w:val="25"/>
          <w:szCs w:val="25"/>
        </w:rPr>
        <w:t xml:space="preserve">  In its initial request, PacifiCorp proposed to spread any revenue requirement change to all rate schedules on an equal percentage basis except street lighting customers</w:t>
      </w:r>
      <w:r>
        <w:rPr>
          <w:sz w:val="25"/>
          <w:szCs w:val="25"/>
        </w:rPr>
        <w:t>, who</w:t>
      </w:r>
      <w:r w:rsidR="00747ECE" w:rsidRPr="00747ECE">
        <w:rPr>
          <w:sz w:val="25"/>
          <w:szCs w:val="25"/>
        </w:rPr>
        <w:t xml:space="preserve"> would have received approximately one-fourth of the proposed overall average percentage increase.</w:t>
      </w:r>
      <w:r w:rsidR="00747ECE" w:rsidRPr="00747ECE">
        <w:rPr>
          <w:sz w:val="25"/>
          <w:szCs w:val="25"/>
          <w:vertAlign w:val="superscript"/>
        </w:rPr>
        <w:footnoteReference w:id="23"/>
      </w:r>
      <w:r w:rsidR="006871F8">
        <w:rPr>
          <w:sz w:val="25"/>
          <w:szCs w:val="25"/>
        </w:rPr>
        <w:t xml:space="preserve">  The revised tariff sheets necessary to </w:t>
      </w:r>
      <w:r w:rsidR="00F45C15">
        <w:rPr>
          <w:sz w:val="25"/>
          <w:szCs w:val="25"/>
        </w:rPr>
        <w:t>implement</w:t>
      </w:r>
      <w:r w:rsidR="006871F8">
        <w:rPr>
          <w:sz w:val="25"/>
          <w:szCs w:val="25"/>
        </w:rPr>
        <w:t xml:space="preserve"> this rate change effective June 1, 2012, are attached as Appendix C to the Settlement.</w:t>
      </w:r>
    </w:p>
    <w:p w:rsidR="006871F8" w:rsidRDefault="006871F8" w:rsidP="006871F8">
      <w:pPr>
        <w:spacing w:line="288" w:lineRule="auto"/>
        <w:ind w:left="-720"/>
        <w:rPr>
          <w:sz w:val="25"/>
          <w:szCs w:val="25"/>
        </w:rPr>
      </w:pPr>
    </w:p>
    <w:p w:rsidR="006871F8" w:rsidRDefault="0056799B" w:rsidP="006871F8">
      <w:pPr>
        <w:pStyle w:val="NoSpacing"/>
        <w:numPr>
          <w:ilvl w:val="0"/>
          <w:numId w:val="6"/>
        </w:numPr>
        <w:tabs>
          <w:tab w:val="clear" w:pos="720"/>
          <w:tab w:val="num" w:pos="0"/>
        </w:tabs>
        <w:spacing w:line="288" w:lineRule="auto"/>
        <w:ind w:left="0"/>
        <w:rPr>
          <w:sz w:val="25"/>
          <w:szCs w:val="25"/>
        </w:rPr>
      </w:pPr>
      <w:r>
        <w:rPr>
          <w:sz w:val="25"/>
          <w:szCs w:val="25"/>
        </w:rPr>
        <w:t>The p</w:t>
      </w:r>
      <w:r w:rsidR="006871F8" w:rsidRPr="005A623E">
        <w:rPr>
          <w:sz w:val="25"/>
          <w:szCs w:val="25"/>
        </w:rPr>
        <w:t xml:space="preserve">arties </w:t>
      </w:r>
      <w:r>
        <w:rPr>
          <w:sz w:val="25"/>
          <w:szCs w:val="25"/>
        </w:rPr>
        <w:t xml:space="preserve">also </w:t>
      </w:r>
      <w:r w:rsidR="006871F8" w:rsidRPr="005A623E">
        <w:rPr>
          <w:sz w:val="25"/>
          <w:szCs w:val="25"/>
        </w:rPr>
        <w:t>agree to accept the Company’s initial rate design proposal to apply an equal percentage increase to all billing elements except the residential basic charge.</w:t>
      </w:r>
      <w:r w:rsidR="006871F8" w:rsidRPr="005A623E">
        <w:rPr>
          <w:rStyle w:val="FootnoteReference"/>
          <w:sz w:val="25"/>
          <w:szCs w:val="25"/>
        </w:rPr>
        <w:footnoteReference w:id="24"/>
      </w:r>
      <w:r w:rsidR="006871F8" w:rsidRPr="005A623E">
        <w:rPr>
          <w:sz w:val="25"/>
          <w:szCs w:val="25"/>
        </w:rPr>
        <w:t xml:space="preserve">  In its initial request for rate relief, the Company proposed to increase the residential basic charge from $6.00 to $6.25 per month.</w:t>
      </w:r>
      <w:r w:rsidR="006871F8" w:rsidRPr="005A623E">
        <w:rPr>
          <w:rStyle w:val="FootnoteReference"/>
          <w:sz w:val="25"/>
          <w:szCs w:val="25"/>
        </w:rPr>
        <w:footnoteReference w:id="25"/>
      </w:r>
      <w:r w:rsidR="00E80D65">
        <w:rPr>
          <w:sz w:val="25"/>
          <w:szCs w:val="25"/>
        </w:rPr>
        <w:t xml:space="preserve">  </w:t>
      </w:r>
      <w:r>
        <w:rPr>
          <w:sz w:val="25"/>
          <w:szCs w:val="25"/>
        </w:rPr>
        <w:t>In the Settlement, t</w:t>
      </w:r>
      <w:r w:rsidR="006871F8" w:rsidRPr="005A623E">
        <w:rPr>
          <w:sz w:val="25"/>
          <w:szCs w:val="25"/>
        </w:rPr>
        <w:t>he parties agree that the residential basic charge should remain at $6.00 per month.</w:t>
      </w:r>
      <w:r w:rsidR="006871F8" w:rsidRPr="005A623E">
        <w:rPr>
          <w:rStyle w:val="FootnoteReference"/>
          <w:sz w:val="25"/>
          <w:szCs w:val="25"/>
        </w:rPr>
        <w:footnoteReference w:id="26"/>
      </w:r>
    </w:p>
    <w:p w:rsidR="005327A2" w:rsidRDefault="005327A2">
      <w:pPr>
        <w:rPr>
          <w:sz w:val="25"/>
          <w:szCs w:val="25"/>
        </w:rPr>
      </w:pPr>
      <w:r>
        <w:rPr>
          <w:sz w:val="25"/>
          <w:szCs w:val="25"/>
        </w:rPr>
        <w:br w:type="page"/>
      </w:r>
    </w:p>
    <w:p w:rsidR="005327A2" w:rsidRDefault="005327A2" w:rsidP="005327A2">
      <w:pPr>
        <w:pStyle w:val="ListParagraph"/>
        <w:rPr>
          <w:sz w:val="25"/>
          <w:szCs w:val="25"/>
        </w:rPr>
      </w:pPr>
    </w:p>
    <w:p w:rsidR="008C23FE" w:rsidRPr="0056799B" w:rsidRDefault="0056799B" w:rsidP="008C23FE">
      <w:pPr>
        <w:pStyle w:val="Heading2"/>
        <w:numPr>
          <w:ilvl w:val="0"/>
          <w:numId w:val="12"/>
        </w:numPr>
        <w:tabs>
          <w:tab w:val="left" w:pos="720"/>
        </w:tabs>
        <w:spacing w:before="240" w:after="60" w:line="288" w:lineRule="auto"/>
        <w:ind w:left="720"/>
        <w:jc w:val="left"/>
        <w:rPr>
          <w:b/>
          <w:sz w:val="25"/>
          <w:szCs w:val="25"/>
          <w:u w:val="none"/>
        </w:rPr>
      </w:pPr>
      <w:bookmarkStart w:id="8" w:name="_Toc208982434"/>
      <w:r w:rsidRPr="0056799B">
        <w:rPr>
          <w:b/>
          <w:sz w:val="25"/>
          <w:szCs w:val="25"/>
          <w:u w:val="none"/>
        </w:rPr>
        <w:t>Low Income Bill Assistance (LIBA)</w:t>
      </w:r>
      <w:bookmarkEnd w:id="8"/>
    </w:p>
    <w:p w:rsidR="008C23FE" w:rsidRPr="00236666" w:rsidRDefault="008C23FE" w:rsidP="008C23FE">
      <w:pPr>
        <w:pStyle w:val="ListParagraph"/>
        <w:spacing w:line="288" w:lineRule="auto"/>
        <w:ind w:left="0"/>
        <w:rPr>
          <w:b/>
          <w:sz w:val="25"/>
          <w:szCs w:val="25"/>
        </w:rPr>
      </w:pPr>
    </w:p>
    <w:p w:rsidR="00A83311" w:rsidRDefault="00A83311" w:rsidP="00A83311">
      <w:pPr>
        <w:pStyle w:val="ListParagraph"/>
        <w:numPr>
          <w:ilvl w:val="0"/>
          <w:numId w:val="6"/>
        </w:numPr>
        <w:tabs>
          <w:tab w:val="clear" w:pos="720"/>
          <w:tab w:val="num" w:pos="0"/>
        </w:tabs>
        <w:spacing w:after="200" w:line="288" w:lineRule="auto"/>
        <w:ind w:left="0"/>
        <w:rPr>
          <w:sz w:val="25"/>
          <w:szCs w:val="25"/>
        </w:rPr>
      </w:pPr>
      <w:r>
        <w:rPr>
          <w:sz w:val="25"/>
          <w:szCs w:val="25"/>
        </w:rPr>
        <w:t xml:space="preserve">The parties </w:t>
      </w:r>
      <w:r w:rsidRPr="00A83311">
        <w:rPr>
          <w:sz w:val="25"/>
          <w:szCs w:val="25"/>
        </w:rPr>
        <w:t>agree to a gradual increase in LIBA over five years (Five-Year Plan)</w:t>
      </w:r>
      <w:r w:rsidRPr="00A83311">
        <w:rPr>
          <w:sz w:val="25"/>
          <w:szCs w:val="25"/>
          <w:vertAlign w:val="superscript"/>
        </w:rPr>
        <w:footnoteReference w:id="27"/>
      </w:r>
      <w:r w:rsidRPr="00A83311">
        <w:rPr>
          <w:sz w:val="25"/>
          <w:szCs w:val="25"/>
        </w:rPr>
        <w:t xml:space="preserve"> and concur that the Plan resolves all issues related to low-income bill assistance during its term.</w:t>
      </w:r>
      <w:r w:rsidRPr="00A83311">
        <w:rPr>
          <w:sz w:val="25"/>
          <w:szCs w:val="25"/>
          <w:vertAlign w:val="superscript"/>
        </w:rPr>
        <w:footnoteReference w:id="28"/>
      </w:r>
      <w:r w:rsidRPr="00A83311">
        <w:rPr>
          <w:sz w:val="25"/>
          <w:szCs w:val="25"/>
        </w:rPr>
        <w:t xml:space="preserve">  The Settlement cites four key elements to the Five-year Plan.</w:t>
      </w:r>
      <w:r w:rsidRPr="00A83311">
        <w:rPr>
          <w:sz w:val="25"/>
          <w:szCs w:val="25"/>
          <w:vertAlign w:val="superscript"/>
        </w:rPr>
        <w:footnoteReference w:id="29"/>
      </w:r>
    </w:p>
    <w:p w:rsidR="00A83311" w:rsidRPr="005A623E" w:rsidRDefault="00A83311" w:rsidP="00A83311">
      <w:pPr>
        <w:pStyle w:val="ListParagraph"/>
        <w:numPr>
          <w:ilvl w:val="1"/>
          <w:numId w:val="6"/>
        </w:numPr>
        <w:spacing w:after="200" w:line="288" w:lineRule="auto"/>
        <w:rPr>
          <w:sz w:val="25"/>
          <w:szCs w:val="25"/>
        </w:rPr>
      </w:pPr>
      <w:r w:rsidRPr="005A623E">
        <w:rPr>
          <w:sz w:val="25"/>
          <w:szCs w:val="25"/>
        </w:rPr>
        <w:t xml:space="preserve">Beginning in 2012, 10 percent of  clients will be certified </w:t>
      </w:r>
      <w:r w:rsidR="00C257C7">
        <w:rPr>
          <w:sz w:val="25"/>
          <w:szCs w:val="25"/>
        </w:rPr>
        <w:t xml:space="preserve">as eligible </w:t>
      </w:r>
      <w:r w:rsidRPr="005A623E">
        <w:rPr>
          <w:sz w:val="25"/>
          <w:szCs w:val="25"/>
        </w:rPr>
        <w:t xml:space="preserve">for a two-year period with the percent certified rising to 25 percent </w:t>
      </w:r>
      <w:r w:rsidR="00C257C7">
        <w:rPr>
          <w:sz w:val="25"/>
          <w:szCs w:val="25"/>
        </w:rPr>
        <w:t xml:space="preserve">of clients </w:t>
      </w:r>
      <w:r w:rsidRPr="005A623E">
        <w:rPr>
          <w:sz w:val="25"/>
          <w:szCs w:val="25"/>
        </w:rPr>
        <w:t>in 2015.  Up to 40 percent of participants will be in some phase of two-year certification by 2016.</w:t>
      </w:r>
    </w:p>
    <w:p w:rsidR="00A83311" w:rsidRPr="005A623E" w:rsidRDefault="00A83311" w:rsidP="00A83311">
      <w:pPr>
        <w:pStyle w:val="ListParagraph"/>
        <w:numPr>
          <w:ilvl w:val="1"/>
          <w:numId w:val="6"/>
        </w:numPr>
        <w:spacing w:after="200" w:line="288" w:lineRule="auto"/>
        <w:rPr>
          <w:sz w:val="25"/>
          <w:szCs w:val="25"/>
        </w:rPr>
      </w:pPr>
      <w:r w:rsidRPr="005A623E">
        <w:rPr>
          <w:sz w:val="25"/>
          <w:szCs w:val="25"/>
        </w:rPr>
        <w:t>Agency funding for certifying each client will grow to $65.00, and will increase by $2.50 annually through 2016 to $75.00 per certification.</w:t>
      </w:r>
    </w:p>
    <w:p w:rsidR="00A83311" w:rsidRPr="005A623E" w:rsidRDefault="00A83311" w:rsidP="00A83311">
      <w:pPr>
        <w:pStyle w:val="ListParagraph"/>
        <w:numPr>
          <w:ilvl w:val="1"/>
          <w:numId w:val="6"/>
        </w:numPr>
        <w:spacing w:after="200" w:line="288" w:lineRule="auto"/>
        <w:rPr>
          <w:sz w:val="25"/>
          <w:szCs w:val="25"/>
        </w:rPr>
      </w:pPr>
      <w:r w:rsidRPr="005A623E">
        <w:rPr>
          <w:sz w:val="25"/>
          <w:szCs w:val="25"/>
        </w:rPr>
        <w:t xml:space="preserve">Benefits to each participating customer will grow by an average of 10 percent, with additional increases of two times the percentage increase of </w:t>
      </w:r>
      <w:r w:rsidR="002550EE">
        <w:rPr>
          <w:sz w:val="25"/>
          <w:szCs w:val="25"/>
        </w:rPr>
        <w:t xml:space="preserve">any </w:t>
      </w:r>
      <w:r w:rsidRPr="005A623E">
        <w:rPr>
          <w:sz w:val="25"/>
          <w:szCs w:val="25"/>
        </w:rPr>
        <w:t>future residential general rate increases between 2013 and 2016.</w:t>
      </w:r>
    </w:p>
    <w:p w:rsidR="008C23FE" w:rsidRDefault="00A83311" w:rsidP="00A83311">
      <w:pPr>
        <w:numPr>
          <w:ilvl w:val="1"/>
          <w:numId w:val="6"/>
        </w:numPr>
        <w:spacing w:line="288" w:lineRule="auto"/>
        <w:rPr>
          <w:sz w:val="25"/>
          <w:szCs w:val="25"/>
        </w:rPr>
      </w:pPr>
      <w:r w:rsidRPr="005A623E">
        <w:rPr>
          <w:sz w:val="25"/>
          <w:szCs w:val="25"/>
        </w:rPr>
        <w:t xml:space="preserve">The Schedule 91 residential surcharge, which funds the LIBA program, will increase from $0.55 to $0.63 per month, and the Company will file for an increase (absent a general rate case filing) annually, around May 1, to reflect the increased funding requirements </w:t>
      </w:r>
      <w:r w:rsidR="00154E58">
        <w:rPr>
          <w:sz w:val="25"/>
          <w:szCs w:val="25"/>
        </w:rPr>
        <w:t xml:space="preserve">described </w:t>
      </w:r>
      <w:r w:rsidRPr="005A623E">
        <w:rPr>
          <w:sz w:val="25"/>
          <w:szCs w:val="25"/>
        </w:rPr>
        <w:t xml:space="preserve">above.  The Schedule 91 surcharge increases will be applied on an equal percentage basis to all rate schedules.  The </w:t>
      </w:r>
      <w:r w:rsidR="00154E58">
        <w:rPr>
          <w:sz w:val="25"/>
          <w:szCs w:val="25"/>
        </w:rPr>
        <w:t>p</w:t>
      </w:r>
      <w:r w:rsidRPr="005A623E">
        <w:rPr>
          <w:sz w:val="25"/>
          <w:szCs w:val="25"/>
        </w:rPr>
        <w:t xml:space="preserve">arties agree to support the Company’s annual May 1 Schedule 91 filings </w:t>
      </w:r>
      <w:r w:rsidR="00E63C57">
        <w:rPr>
          <w:sz w:val="25"/>
          <w:szCs w:val="25"/>
        </w:rPr>
        <w:t xml:space="preserve">and that such filings </w:t>
      </w:r>
      <w:r w:rsidR="002550EE">
        <w:rPr>
          <w:sz w:val="25"/>
          <w:szCs w:val="25"/>
        </w:rPr>
        <w:t>will be limited in scope to implementing the Five-Year LIBA Plan.</w:t>
      </w:r>
      <w:r>
        <w:rPr>
          <w:rStyle w:val="FootnoteReference"/>
          <w:sz w:val="25"/>
          <w:szCs w:val="25"/>
        </w:rPr>
        <w:footnoteReference w:id="30"/>
      </w:r>
    </w:p>
    <w:p w:rsidR="008C23FE" w:rsidRDefault="008C23FE" w:rsidP="008C23FE">
      <w:pPr>
        <w:spacing w:line="288" w:lineRule="auto"/>
        <w:ind w:left="-720"/>
        <w:rPr>
          <w:sz w:val="25"/>
          <w:szCs w:val="25"/>
        </w:rPr>
      </w:pPr>
    </w:p>
    <w:p w:rsidR="005714DC" w:rsidRPr="005A623E" w:rsidRDefault="005714DC" w:rsidP="005714DC">
      <w:pPr>
        <w:pStyle w:val="NoSpacing"/>
        <w:numPr>
          <w:ilvl w:val="0"/>
          <w:numId w:val="6"/>
        </w:numPr>
        <w:tabs>
          <w:tab w:val="clear" w:pos="720"/>
          <w:tab w:val="num" w:pos="0"/>
        </w:tabs>
        <w:spacing w:line="288" w:lineRule="auto"/>
        <w:ind w:left="0"/>
        <w:rPr>
          <w:sz w:val="25"/>
          <w:szCs w:val="25"/>
        </w:rPr>
      </w:pPr>
      <w:r w:rsidRPr="005A623E">
        <w:rPr>
          <w:sz w:val="25"/>
          <w:szCs w:val="25"/>
        </w:rPr>
        <w:t xml:space="preserve">In Schedule 17, the tariff sheet for </w:t>
      </w:r>
      <w:r w:rsidR="00154E58">
        <w:rPr>
          <w:sz w:val="25"/>
          <w:szCs w:val="25"/>
        </w:rPr>
        <w:t xml:space="preserve">recipients of </w:t>
      </w:r>
      <w:r w:rsidRPr="005A623E">
        <w:rPr>
          <w:sz w:val="25"/>
          <w:szCs w:val="25"/>
        </w:rPr>
        <w:t>the LIBA program, the parties propose an available average discount per customer of $289 with an available discount of $373 for customers whose incomes are 0-75 percent of the Federal Poverty Level.</w:t>
      </w:r>
      <w:r w:rsidRPr="005A623E">
        <w:rPr>
          <w:rStyle w:val="FootnoteReference"/>
          <w:sz w:val="25"/>
          <w:szCs w:val="25"/>
        </w:rPr>
        <w:footnoteReference w:id="31"/>
      </w:r>
      <w:r w:rsidRPr="005A623E">
        <w:rPr>
          <w:sz w:val="25"/>
          <w:szCs w:val="25"/>
        </w:rPr>
        <w:t xml:space="preserve">  </w:t>
      </w:r>
      <w:r w:rsidR="00E63C57">
        <w:rPr>
          <w:sz w:val="25"/>
          <w:szCs w:val="25"/>
        </w:rPr>
        <w:t>Schedule 17</w:t>
      </w:r>
      <w:r w:rsidRPr="005A623E">
        <w:rPr>
          <w:sz w:val="25"/>
          <w:szCs w:val="25"/>
        </w:rPr>
        <w:t xml:space="preserve"> is revised to </w:t>
      </w:r>
      <w:r w:rsidR="00154E58">
        <w:rPr>
          <w:sz w:val="25"/>
          <w:szCs w:val="25"/>
        </w:rPr>
        <w:t>state</w:t>
      </w:r>
      <w:r w:rsidRPr="005A623E">
        <w:rPr>
          <w:sz w:val="25"/>
          <w:szCs w:val="25"/>
        </w:rPr>
        <w:t xml:space="preserve"> that a maximum 4</w:t>
      </w:r>
      <w:r w:rsidR="00154E58">
        <w:rPr>
          <w:sz w:val="25"/>
          <w:szCs w:val="25"/>
        </w:rPr>
        <w:t>,</w:t>
      </w:r>
      <w:r w:rsidRPr="005A623E">
        <w:rPr>
          <w:sz w:val="25"/>
          <w:szCs w:val="25"/>
        </w:rPr>
        <w:t xml:space="preserve">720 customers will be </w:t>
      </w:r>
      <w:r w:rsidRPr="005A623E">
        <w:rPr>
          <w:i/>
          <w:sz w:val="25"/>
          <w:szCs w:val="25"/>
        </w:rPr>
        <w:t>certified</w:t>
      </w:r>
      <w:r w:rsidRPr="005A623E">
        <w:rPr>
          <w:sz w:val="25"/>
          <w:szCs w:val="25"/>
        </w:rPr>
        <w:t xml:space="preserve"> in a given year, but the tariff does not limit  the number of customers who will be allowed to </w:t>
      </w:r>
      <w:r w:rsidRPr="005A623E">
        <w:rPr>
          <w:i/>
          <w:sz w:val="25"/>
          <w:szCs w:val="25"/>
        </w:rPr>
        <w:t>participate</w:t>
      </w:r>
      <w:r w:rsidRPr="005A623E">
        <w:rPr>
          <w:sz w:val="25"/>
          <w:szCs w:val="25"/>
        </w:rPr>
        <w:t xml:space="preserve"> in the program in a given year.</w:t>
      </w:r>
    </w:p>
    <w:p w:rsidR="008C23FE" w:rsidRPr="005714DC" w:rsidRDefault="005714DC" w:rsidP="008C23FE">
      <w:pPr>
        <w:pStyle w:val="Heading2"/>
        <w:numPr>
          <w:ilvl w:val="0"/>
          <w:numId w:val="12"/>
        </w:numPr>
        <w:tabs>
          <w:tab w:val="left" w:pos="720"/>
        </w:tabs>
        <w:spacing w:before="240" w:after="60" w:line="288" w:lineRule="auto"/>
        <w:ind w:left="720"/>
        <w:jc w:val="left"/>
        <w:rPr>
          <w:b/>
          <w:sz w:val="25"/>
          <w:szCs w:val="25"/>
          <w:u w:val="none"/>
        </w:rPr>
      </w:pPr>
      <w:bookmarkStart w:id="9" w:name="_Toc208982436"/>
      <w:r w:rsidRPr="005714DC">
        <w:rPr>
          <w:b/>
          <w:sz w:val="25"/>
          <w:szCs w:val="25"/>
          <w:u w:val="none"/>
        </w:rPr>
        <w:t>Stay-out Provision and Post-settlement Collaborative Process</w:t>
      </w:r>
      <w:bookmarkEnd w:id="9"/>
    </w:p>
    <w:p w:rsidR="008C23FE" w:rsidRPr="002D5159" w:rsidRDefault="008C23FE" w:rsidP="008C23FE">
      <w:pPr>
        <w:pStyle w:val="ListParagraph"/>
        <w:spacing w:line="288" w:lineRule="auto"/>
        <w:ind w:left="0"/>
        <w:rPr>
          <w:sz w:val="25"/>
          <w:szCs w:val="25"/>
        </w:rPr>
      </w:pPr>
    </w:p>
    <w:p w:rsidR="001035E4" w:rsidRDefault="001035E4" w:rsidP="001035E4">
      <w:pPr>
        <w:pStyle w:val="NoSpacing"/>
        <w:numPr>
          <w:ilvl w:val="0"/>
          <w:numId w:val="6"/>
        </w:numPr>
        <w:tabs>
          <w:tab w:val="clear" w:pos="720"/>
          <w:tab w:val="num" w:pos="0"/>
        </w:tabs>
        <w:spacing w:line="288" w:lineRule="auto"/>
        <w:ind w:left="0"/>
        <w:rPr>
          <w:sz w:val="25"/>
          <w:szCs w:val="25"/>
        </w:rPr>
      </w:pPr>
      <w:r w:rsidRPr="005A623E">
        <w:rPr>
          <w:sz w:val="25"/>
          <w:szCs w:val="25"/>
        </w:rPr>
        <w:t>The Company agrees that it will not file a general rate case before January 1, 2013.</w:t>
      </w:r>
      <w:r w:rsidRPr="005A623E">
        <w:rPr>
          <w:rStyle w:val="FootnoteReference"/>
          <w:sz w:val="25"/>
          <w:szCs w:val="25"/>
        </w:rPr>
        <w:footnoteReference w:id="32"/>
      </w:r>
      <w:r w:rsidR="00A2291B">
        <w:rPr>
          <w:sz w:val="25"/>
          <w:szCs w:val="25"/>
        </w:rPr>
        <w:t xml:space="preserve"> </w:t>
      </w:r>
      <w:r w:rsidR="000B13AD">
        <w:rPr>
          <w:sz w:val="25"/>
          <w:szCs w:val="25"/>
        </w:rPr>
        <w:t>This agreement to not file for rate relief for a set period of time is commonly referred to as a “stay-out provision.”  Fo</w:t>
      </w:r>
      <w:r w:rsidRPr="005A623E">
        <w:rPr>
          <w:sz w:val="25"/>
          <w:szCs w:val="25"/>
        </w:rPr>
        <w:t>r Staff, Public Counsel, and ICNU, the “stay out” provision is a key reason for these parties support</w:t>
      </w:r>
      <w:r w:rsidR="00154E58">
        <w:rPr>
          <w:sz w:val="25"/>
          <w:szCs w:val="25"/>
        </w:rPr>
        <w:t>ing</w:t>
      </w:r>
      <w:r w:rsidRPr="005A623E">
        <w:rPr>
          <w:sz w:val="25"/>
          <w:szCs w:val="25"/>
        </w:rPr>
        <w:t xml:space="preserve"> the agreed-upon 1.</w:t>
      </w:r>
      <w:r>
        <w:rPr>
          <w:sz w:val="25"/>
          <w:szCs w:val="25"/>
        </w:rPr>
        <w:t>5</w:t>
      </w:r>
      <w:r w:rsidRPr="005A623E">
        <w:rPr>
          <w:sz w:val="25"/>
          <w:szCs w:val="25"/>
        </w:rPr>
        <w:t xml:space="preserve"> percent increase to revenue requirement.</w:t>
      </w:r>
      <w:r w:rsidRPr="005A623E">
        <w:rPr>
          <w:rStyle w:val="FootnoteReference"/>
          <w:sz w:val="25"/>
          <w:szCs w:val="25"/>
        </w:rPr>
        <w:footnoteReference w:id="33"/>
      </w:r>
      <w:r w:rsidRPr="005A623E">
        <w:rPr>
          <w:sz w:val="25"/>
          <w:szCs w:val="25"/>
        </w:rPr>
        <w:t xml:space="preserve">  Staff believes this provision is in the public interest because it ensures </w:t>
      </w:r>
      <w:r w:rsidRPr="005A623E">
        <w:rPr>
          <w:bCs/>
          <w:sz w:val="25"/>
          <w:szCs w:val="25"/>
        </w:rPr>
        <w:t>there will be no new general rate increase for a period of at least seven months.</w:t>
      </w:r>
      <w:r w:rsidRPr="005A623E">
        <w:rPr>
          <w:rStyle w:val="FootnoteReference"/>
          <w:bCs/>
          <w:sz w:val="25"/>
          <w:szCs w:val="25"/>
        </w:rPr>
        <w:footnoteReference w:id="34"/>
      </w:r>
      <w:r w:rsidRPr="005A623E">
        <w:rPr>
          <w:bCs/>
          <w:sz w:val="25"/>
          <w:szCs w:val="25"/>
        </w:rPr>
        <w:t xml:space="preserve">  Public Counsel </w:t>
      </w:r>
      <w:r w:rsidR="00154E58">
        <w:rPr>
          <w:bCs/>
          <w:sz w:val="25"/>
          <w:szCs w:val="25"/>
        </w:rPr>
        <w:t>considers</w:t>
      </w:r>
      <w:r w:rsidRPr="005A623E">
        <w:rPr>
          <w:bCs/>
          <w:sz w:val="25"/>
          <w:szCs w:val="25"/>
        </w:rPr>
        <w:t xml:space="preserve"> it a key component of the Settlement because it allows for approximately seven months of rate stability for customers, a valuable respite in the current economic climate and a reprieve from continuing rate hikes.</w:t>
      </w:r>
      <w:r w:rsidRPr="005A623E">
        <w:rPr>
          <w:rStyle w:val="FootnoteReference"/>
          <w:bCs/>
          <w:sz w:val="25"/>
          <w:szCs w:val="25"/>
        </w:rPr>
        <w:footnoteReference w:id="35"/>
      </w:r>
      <w:r w:rsidRPr="005A623E">
        <w:rPr>
          <w:bCs/>
          <w:sz w:val="25"/>
          <w:szCs w:val="25"/>
        </w:rPr>
        <w:t xml:space="preserve">  ICNU </w:t>
      </w:r>
      <w:r w:rsidR="00154E58">
        <w:rPr>
          <w:bCs/>
          <w:sz w:val="25"/>
          <w:szCs w:val="25"/>
        </w:rPr>
        <w:t>deems</w:t>
      </w:r>
      <w:r w:rsidR="00A2291B">
        <w:rPr>
          <w:bCs/>
          <w:sz w:val="25"/>
          <w:szCs w:val="25"/>
        </w:rPr>
        <w:t xml:space="preserve"> </w:t>
      </w:r>
      <w:r w:rsidRPr="005A623E">
        <w:rPr>
          <w:sz w:val="25"/>
          <w:szCs w:val="25"/>
        </w:rPr>
        <w:t>the Company’s commitment to a “stay out” provision to be of critical importance to its members.</w:t>
      </w:r>
      <w:r w:rsidRPr="005A623E">
        <w:rPr>
          <w:rStyle w:val="FootnoteReference"/>
          <w:sz w:val="25"/>
          <w:szCs w:val="25"/>
        </w:rPr>
        <w:footnoteReference w:id="36"/>
      </w:r>
    </w:p>
    <w:p w:rsidR="001035E4" w:rsidRDefault="001035E4" w:rsidP="001035E4">
      <w:pPr>
        <w:pStyle w:val="NoSpacing"/>
        <w:spacing w:line="288" w:lineRule="auto"/>
        <w:ind w:left="-720"/>
        <w:rPr>
          <w:sz w:val="25"/>
          <w:szCs w:val="25"/>
        </w:rPr>
      </w:pPr>
    </w:p>
    <w:p w:rsidR="001035E4" w:rsidRDefault="001035E4" w:rsidP="001035E4">
      <w:pPr>
        <w:pStyle w:val="NoSpacing"/>
        <w:numPr>
          <w:ilvl w:val="0"/>
          <w:numId w:val="6"/>
        </w:numPr>
        <w:tabs>
          <w:tab w:val="clear" w:pos="720"/>
          <w:tab w:val="num" w:pos="0"/>
        </w:tabs>
        <w:spacing w:line="288" w:lineRule="auto"/>
        <w:ind w:left="0"/>
        <w:rPr>
          <w:sz w:val="25"/>
          <w:szCs w:val="25"/>
        </w:rPr>
      </w:pPr>
      <w:r w:rsidRPr="005A623E">
        <w:rPr>
          <w:sz w:val="25"/>
          <w:szCs w:val="25"/>
        </w:rPr>
        <w:lastRenderedPageBreak/>
        <w:t xml:space="preserve">In </w:t>
      </w:r>
      <w:r w:rsidR="007154AB">
        <w:rPr>
          <w:sz w:val="25"/>
          <w:szCs w:val="25"/>
        </w:rPr>
        <w:t>exchange</w:t>
      </w:r>
      <w:r w:rsidRPr="005A623E">
        <w:rPr>
          <w:sz w:val="25"/>
          <w:szCs w:val="25"/>
        </w:rPr>
        <w:t xml:space="preserve"> for the Company’s agreement to not file a general rate case before January 1, 2013, the other parties agree to engage in a collaborative process to review a number of topics.</w:t>
      </w:r>
      <w:r w:rsidRPr="005A623E">
        <w:rPr>
          <w:rStyle w:val="FootnoteReference"/>
          <w:sz w:val="25"/>
          <w:szCs w:val="25"/>
        </w:rPr>
        <w:footnoteReference w:id="37"/>
      </w:r>
      <w:r w:rsidRPr="005A623E">
        <w:rPr>
          <w:sz w:val="25"/>
          <w:szCs w:val="25"/>
        </w:rPr>
        <w:t xml:space="preserve">  To allow the results to be incorporated into the Company’s next general rate case filing, all parties agree to work cooperatively to ensure that this process is substantively complete by November 1, 2012.  The process does not require the</w:t>
      </w:r>
      <w:r w:rsidR="00154E58">
        <w:rPr>
          <w:sz w:val="25"/>
          <w:szCs w:val="25"/>
        </w:rPr>
        <w:t xml:space="preserve"> parties</w:t>
      </w:r>
      <w:r w:rsidRPr="005A623E">
        <w:rPr>
          <w:sz w:val="25"/>
          <w:szCs w:val="25"/>
        </w:rPr>
        <w:t xml:space="preserve"> to reach agreement and </w:t>
      </w:r>
      <w:r w:rsidR="00154E58">
        <w:rPr>
          <w:sz w:val="25"/>
          <w:szCs w:val="25"/>
        </w:rPr>
        <w:t xml:space="preserve">they </w:t>
      </w:r>
      <w:r w:rsidRPr="005A623E">
        <w:rPr>
          <w:sz w:val="25"/>
          <w:szCs w:val="25"/>
        </w:rPr>
        <w:t>acknowledge that there may be issues that ultimately require Commission resolution.  They jointly commit that within 30 days of the issuance of a Commission order approving the proposed Settlement, they will establish milestones to meet the November 1, 2012, completion date.  Finally, the parties agree that the Company may raise its concerns to the Commission and may request appointment of an administrative law judge to facilitate the collaborative process if the agreed-to milestones are not met or the collaborative process ceases.  The collaborative process will:</w:t>
      </w:r>
    </w:p>
    <w:p w:rsidR="007154AB" w:rsidRPr="005A623E" w:rsidRDefault="007154AB" w:rsidP="007154AB">
      <w:pPr>
        <w:pStyle w:val="NoSpacing"/>
        <w:spacing w:line="288" w:lineRule="auto"/>
        <w:ind w:left="-720"/>
        <w:rPr>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Consider methods to streamline the regulatory process</w:t>
      </w:r>
      <w:r w:rsidR="007154AB">
        <w:rPr>
          <w:rFonts w:ascii="Times New Roman" w:hAnsi="Times New Roman"/>
          <w:sz w:val="25"/>
          <w:szCs w:val="25"/>
        </w:rPr>
        <w:t>.</w:t>
      </w:r>
    </w:p>
    <w:p w:rsidR="001035E4" w:rsidRPr="001035E4" w:rsidRDefault="001035E4" w:rsidP="001035E4">
      <w:pPr>
        <w:pStyle w:val="BodyText"/>
        <w:tabs>
          <w:tab w:val="left" w:pos="720"/>
        </w:tabs>
        <w:spacing w:line="288" w:lineRule="auto"/>
        <w:ind w:left="1440"/>
        <w:rPr>
          <w:rFonts w:ascii="Times New Roman" w:hAnsi="Times New Roman"/>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Evaluate options for an equitable and balanced power cost adjustment mechanism</w:t>
      </w:r>
      <w:r w:rsidR="007154AB">
        <w:rPr>
          <w:rFonts w:ascii="Times New Roman" w:hAnsi="Times New Roman"/>
          <w:sz w:val="25"/>
          <w:szCs w:val="25"/>
        </w:rPr>
        <w:t>.</w:t>
      </w:r>
    </w:p>
    <w:p w:rsidR="001035E4" w:rsidRPr="001035E4" w:rsidRDefault="001035E4" w:rsidP="001035E4">
      <w:pPr>
        <w:pStyle w:val="BodyText"/>
        <w:tabs>
          <w:tab w:val="left" w:pos="720"/>
        </w:tabs>
        <w:spacing w:line="288" w:lineRule="auto"/>
        <w:ind w:left="1440"/>
        <w:rPr>
          <w:rFonts w:ascii="Times New Roman" w:hAnsi="Times New Roman"/>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Evaluate the WCA inter-jurisdictional allocation methodology and consider alternative options</w:t>
      </w:r>
      <w:r w:rsidR="007154AB">
        <w:rPr>
          <w:rFonts w:ascii="Times New Roman" w:hAnsi="Times New Roman"/>
          <w:sz w:val="25"/>
          <w:szCs w:val="25"/>
        </w:rPr>
        <w:t>.</w:t>
      </w:r>
    </w:p>
    <w:p w:rsidR="001035E4" w:rsidRPr="001035E4" w:rsidRDefault="001035E4" w:rsidP="001035E4">
      <w:pPr>
        <w:pStyle w:val="BodyText"/>
        <w:tabs>
          <w:tab w:val="left" w:pos="720"/>
        </w:tabs>
        <w:spacing w:line="288" w:lineRule="auto"/>
        <w:ind w:left="1440"/>
        <w:rPr>
          <w:rFonts w:ascii="Times New Roman" w:hAnsi="Times New Roman"/>
          <w:sz w:val="25"/>
          <w:szCs w:val="25"/>
        </w:rPr>
      </w:pPr>
    </w:p>
    <w:p w:rsidR="001035E4" w:rsidRDefault="001035E4" w:rsidP="001035E4">
      <w:pPr>
        <w:pStyle w:val="BodyText"/>
        <w:numPr>
          <w:ilvl w:val="0"/>
          <w:numId w:val="28"/>
        </w:numPr>
        <w:spacing w:line="288" w:lineRule="auto"/>
        <w:jc w:val="left"/>
        <w:rPr>
          <w:rFonts w:ascii="Times New Roman" w:hAnsi="Times New Roman"/>
          <w:sz w:val="25"/>
          <w:szCs w:val="25"/>
        </w:rPr>
      </w:pPr>
      <w:r w:rsidRPr="007154AB">
        <w:rPr>
          <w:rFonts w:ascii="Times New Roman" w:hAnsi="Times New Roman"/>
          <w:sz w:val="25"/>
          <w:szCs w:val="25"/>
        </w:rPr>
        <w:t>Consider alternative test period conventions</w:t>
      </w:r>
      <w:r w:rsidR="007154AB" w:rsidRPr="007154AB">
        <w:rPr>
          <w:rFonts w:ascii="Times New Roman" w:hAnsi="Times New Roman"/>
          <w:sz w:val="25"/>
          <w:szCs w:val="25"/>
        </w:rPr>
        <w:t>.</w:t>
      </w:r>
    </w:p>
    <w:p w:rsidR="007154AB" w:rsidRDefault="007154AB" w:rsidP="007154AB">
      <w:pPr>
        <w:pStyle w:val="ListParagraph"/>
        <w:rPr>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Consider alternatives to the application of the production factor</w:t>
      </w:r>
      <w:r w:rsidR="007154AB">
        <w:rPr>
          <w:rFonts w:ascii="Times New Roman" w:hAnsi="Times New Roman"/>
          <w:sz w:val="25"/>
          <w:szCs w:val="25"/>
        </w:rPr>
        <w:t>.</w:t>
      </w:r>
    </w:p>
    <w:p w:rsidR="001035E4" w:rsidRPr="001035E4" w:rsidRDefault="001035E4" w:rsidP="001035E4">
      <w:pPr>
        <w:pStyle w:val="BodyText"/>
        <w:tabs>
          <w:tab w:val="left" w:pos="720"/>
        </w:tabs>
        <w:spacing w:line="288" w:lineRule="auto"/>
        <w:ind w:left="1440"/>
        <w:rPr>
          <w:rFonts w:ascii="Times New Roman" w:hAnsi="Times New Roman"/>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Consider the content of and approach to attrition studies</w:t>
      </w:r>
      <w:r w:rsidR="007154AB">
        <w:rPr>
          <w:rFonts w:ascii="Times New Roman" w:hAnsi="Times New Roman"/>
          <w:sz w:val="25"/>
          <w:szCs w:val="25"/>
        </w:rPr>
        <w:t>.</w:t>
      </w:r>
    </w:p>
    <w:p w:rsidR="001035E4" w:rsidRPr="001035E4" w:rsidRDefault="001035E4" w:rsidP="001035E4">
      <w:pPr>
        <w:pStyle w:val="BodyText"/>
        <w:tabs>
          <w:tab w:val="left" w:pos="720"/>
        </w:tabs>
        <w:spacing w:line="288" w:lineRule="auto"/>
        <w:ind w:left="1440"/>
        <w:rPr>
          <w:rFonts w:ascii="Times New Roman" w:hAnsi="Times New Roman"/>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Evaluate the AURORA power cost dispatch model</w:t>
      </w:r>
      <w:r w:rsidR="00F96D99">
        <w:rPr>
          <w:rStyle w:val="FootnoteReference"/>
          <w:rFonts w:ascii="Times New Roman" w:hAnsi="Times New Roman"/>
          <w:sz w:val="25"/>
          <w:szCs w:val="25"/>
        </w:rPr>
        <w:footnoteReference w:id="38"/>
      </w:r>
      <w:r w:rsidRPr="001035E4">
        <w:rPr>
          <w:rFonts w:ascii="Times New Roman" w:hAnsi="Times New Roman"/>
          <w:sz w:val="25"/>
          <w:szCs w:val="25"/>
        </w:rPr>
        <w:t xml:space="preserve"> for use in PacifiCorp’s future Washington general rate cases or other net power </w:t>
      </w:r>
      <w:r w:rsidRPr="001035E4">
        <w:rPr>
          <w:rFonts w:ascii="Times New Roman" w:hAnsi="Times New Roman"/>
          <w:sz w:val="25"/>
          <w:szCs w:val="25"/>
        </w:rPr>
        <w:lastRenderedPageBreak/>
        <w:t>cost filings where the Company currently relies upon the GRID</w:t>
      </w:r>
      <w:r w:rsidR="007154AB">
        <w:rPr>
          <w:rStyle w:val="FootnoteReference"/>
          <w:rFonts w:ascii="Times New Roman" w:hAnsi="Times New Roman"/>
          <w:sz w:val="25"/>
          <w:szCs w:val="25"/>
        </w:rPr>
        <w:footnoteReference w:id="39"/>
      </w:r>
      <w:r w:rsidRPr="001035E4">
        <w:rPr>
          <w:rFonts w:ascii="Times New Roman" w:hAnsi="Times New Roman"/>
          <w:sz w:val="25"/>
          <w:szCs w:val="25"/>
        </w:rPr>
        <w:t xml:space="preserve"> power cost dispatch model</w:t>
      </w:r>
      <w:r w:rsidR="00173871">
        <w:rPr>
          <w:rFonts w:ascii="Times New Roman" w:hAnsi="Times New Roman"/>
          <w:sz w:val="25"/>
          <w:szCs w:val="25"/>
        </w:rPr>
        <w:t>.</w:t>
      </w:r>
    </w:p>
    <w:p w:rsidR="001035E4" w:rsidRPr="001035E4" w:rsidRDefault="001035E4" w:rsidP="001035E4">
      <w:pPr>
        <w:pStyle w:val="BodyText"/>
        <w:spacing w:line="288" w:lineRule="auto"/>
        <w:ind w:left="1440"/>
        <w:rPr>
          <w:rFonts w:ascii="Times New Roman" w:hAnsi="Times New Roman"/>
          <w:sz w:val="25"/>
          <w:szCs w:val="25"/>
        </w:rPr>
      </w:pPr>
    </w:p>
    <w:p w:rsidR="001035E4" w:rsidRPr="001035E4" w:rsidRDefault="001035E4" w:rsidP="001035E4">
      <w:pPr>
        <w:pStyle w:val="BodyText"/>
        <w:numPr>
          <w:ilvl w:val="0"/>
          <w:numId w:val="28"/>
        </w:numPr>
        <w:spacing w:line="288" w:lineRule="auto"/>
        <w:jc w:val="left"/>
        <w:rPr>
          <w:rFonts w:ascii="Times New Roman" w:hAnsi="Times New Roman"/>
          <w:sz w:val="25"/>
          <w:szCs w:val="25"/>
        </w:rPr>
      </w:pPr>
      <w:r w:rsidRPr="001035E4">
        <w:rPr>
          <w:rFonts w:ascii="Times New Roman" w:hAnsi="Times New Roman"/>
          <w:sz w:val="25"/>
          <w:szCs w:val="25"/>
        </w:rPr>
        <w:t xml:space="preserve">If necessary, review the Company’s approach to modeling market caps for potential alternate approaches or modeling refinements.  </w:t>
      </w:r>
    </w:p>
    <w:p w:rsidR="001035E4" w:rsidRPr="001035E4" w:rsidRDefault="001035E4" w:rsidP="001035E4">
      <w:pPr>
        <w:pStyle w:val="NoSpacing"/>
        <w:spacing w:line="288" w:lineRule="auto"/>
        <w:ind w:left="-720"/>
        <w:rPr>
          <w:sz w:val="25"/>
          <w:szCs w:val="25"/>
        </w:rPr>
      </w:pPr>
    </w:p>
    <w:p w:rsidR="006832A7" w:rsidRPr="005A623E" w:rsidRDefault="006832A7" w:rsidP="006832A7">
      <w:pPr>
        <w:pStyle w:val="Default"/>
        <w:numPr>
          <w:ilvl w:val="0"/>
          <w:numId w:val="6"/>
        </w:numPr>
        <w:tabs>
          <w:tab w:val="clear" w:pos="720"/>
          <w:tab w:val="num" w:pos="0"/>
        </w:tabs>
        <w:spacing w:line="288" w:lineRule="auto"/>
        <w:ind w:left="0"/>
        <w:rPr>
          <w:rFonts w:ascii="Times New Roman" w:hAnsi="Times New Roman"/>
          <w:sz w:val="25"/>
          <w:szCs w:val="25"/>
        </w:rPr>
      </w:pPr>
      <w:r>
        <w:rPr>
          <w:rFonts w:ascii="Times New Roman" w:hAnsi="Times New Roman"/>
          <w:bCs/>
          <w:color w:val="auto"/>
          <w:sz w:val="25"/>
          <w:szCs w:val="25"/>
        </w:rPr>
        <w:t>S</w:t>
      </w:r>
      <w:r w:rsidRPr="005A623E">
        <w:rPr>
          <w:rFonts w:ascii="Times New Roman" w:hAnsi="Times New Roman"/>
          <w:bCs/>
          <w:color w:val="auto"/>
          <w:sz w:val="25"/>
          <w:szCs w:val="25"/>
        </w:rPr>
        <w:t xml:space="preserve">taff believes this provision of the Settlement is in the public interest because the collaboration offers the </w:t>
      </w:r>
      <w:r w:rsidR="00173871">
        <w:rPr>
          <w:rFonts w:ascii="Times New Roman" w:hAnsi="Times New Roman"/>
          <w:bCs/>
          <w:color w:val="auto"/>
          <w:sz w:val="25"/>
          <w:szCs w:val="25"/>
        </w:rPr>
        <w:t xml:space="preserve">parties the </w:t>
      </w:r>
      <w:r w:rsidRPr="005A623E">
        <w:rPr>
          <w:rFonts w:ascii="Times New Roman" w:hAnsi="Times New Roman"/>
          <w:bCs/>
          <w:color w:val="auto"/>
          <w:sz w:val="25"/>
          <w:szCs w:val="25"/>
        </w:rPr>
        <w:t>opportunity to address and resolve several issues, many of which concern power costs.</w:t>
      </w:r>
      <w:r w:rsidRPr="005A623E">
        <w:rPr>
          <w:rStyle w:val="FootnoteReference"/>
          <w:rFonts w:ascii="Times New Roman" w:hAnsi="Times New Roman"/>
          <w:bCs/>
          <w:color w:val="auto"/>
          <w:sz w:val="25"/>
          <w:szCs w:val="25"/>
        </w:rPr>
        <w:footnoteReference w:id="40"/>
      </w:r>
      <w:r w:rsidR="00E80D65">
        <w:rPr>
          <w:rFonts w:ascii="Times New Roman" w:hAnsi="Times New Roman"/>
          <w:bCs/>
          <w:color w:val="auto"/>
          <w:sz w:val="25"/>
          <w:szCs w:val="25"/>
        </w:rPr>
        <w:t xml:space="preserve">  </w:t>
      </w:r>
      <w:r w:rsidR="00173871">
        <w:rPr>
          <w:rFonts w:ascii="Times New Roman" w:hAnsi="Times New Roman"/>
          <w:bCs/>
          <w:color w:val="auto"/>
          <w:sz w:val="25"/>
          <w:szCs w:val="25"/>
        </w:rPr>
        <w:t>T</w:t>
      </w:r>
      <w:r w:rsidRPr="005A623E">
        <w:rPr>
          <w:rFonts w:ascii="Times New Roman" w:hAnsi="Times New Roman"/>
          <w:bCs/>
          <w:color w:val="auto"/>
          <w:sz w:val="25"/>
          <w:szCs w:val="25"/>
        </w:rPr>
        <w:t xml:space="preserve">he parties state that the Company </w:t>
      </w:r>
      <w:r w:rsidRPr="005A623E">
        <w:rPr>
          <w:rFonts w:ascii="Times New Roman" w:hAnsi="Times New Roman"/>
          <w:sz w:val="25"/>
          <w:szCs w:val="25"/>
        </w:rPr>
        <w:t>agreed to a seven month rate case stay-out period in order to undertake a collaborative process focusing on important policy issues prior to the Company’s next general rate case filing.  The Company is hopeful that this process will allow for resolution of some of the topics and</w:t>
      </w:r>
      <w:r w:rsidR="00A2291B">
        <w:rPr>
          <w:rFonts w:ascii="Times New Roman" w:hAnsi="Times New Roman"/>
          <w:sz w:val="25"/>
          <w:szCs w:val="25"/>
        </w:rPr>
        <w:t xml:space="preserve"> </w:t>
      </w:r>
      <w:r w:rsidRPr="005A623E">
        <w:rPr>
          <w:rFonts w:ascii="Times New Roman" w:hAnsi="Times New Roman"/>
          <w:sz w:val="25"/>
          <w:szCs w:val="25"/>
        </w:rPr>
        <w:t>mitigate the need for litigation.</w:t>
      </w:r>
      <w:r w:rsidRPr="005A623E">
        <w:rPr>
          <w:rStyle w:val="FootnoteReference"/>
          <w:rFonts w:ascii="Times New Roman" w:hAnsi="Times New Roman"/>
          <w:sz w:val="25"/>
          <w:szCs w:val="25"/>
        </w:rPr>
        <w:footnoteReference w:id="41"/>
      </w:r>
    </w:p>
    <w:p w:rsidR="008C23FE" w:rsidRDefault="008C23FE" w:rsidP="008C23FE">
      <w:pPr>
        <w:spacing w:line="288" w:lineRule="auto"/>
        <w:rPr>
          <w:sz w:val="25"/>
          <w:szCs w:val="25"/>
        </w:rPr>
      </w:pPr>
    </w:p>
    <w:p w:rsidR="008C23FE" w:rsidRPr="008E1EFF" w:rsidRDefault="006832A7" w:rsidP="006832A7">
      <w:pPr>
        <w:pStyle w:val="Heading2"/>
        <w:tabs>
          <w:tab w:val="left" w:pos="720"/>
        </w:tabs>
        <w:spacing w:before="240" w:after="60" w:line="288" w:lineRule="auto"/>
        <w:ind w:left="720" w:hanging="360"/>
        <w:jc w:val="left"/>
        <w:rPr>
          <w:b/>
          <w:sz w:val="25"/>
          <w:szCs w:val="25"/>
        </w:rPr>
      </w:pPr>
      <w:bookmarkStart w:id="10" w:name="_Toc208982439"/>
      <w:r>
        <w:rPr>
          <w:b/>
          <w:sz w:val="25"/>
          <w:szCs w:val="25"/>
          <w:u w:val="none"/>
        </w:rPr>
        <w:t>F</w:t>
      </w:r>
      <w:r w:rsidR="008C23FE">
        <w:rPr>
          <w:b/>
          <w:sz w:val="25"/>
          <w:szCs w:val="25"/>
          <w:u w:val="none"/>
        </w:rPr>
        <w:t>.</w:t>
      </w:r>
      <w:r w:rsidR="008C23FE">
        <w:rPr>
          <w:b/>
          <w:sz w:val="25"/>
          <w:szCs w:val="25"/>
          <w:u w:val="none"/>
        </w:rPr>
        <w:tab/>
      </w:r>
      <w:r w:rsidR="00673359">
        <w:rPr>
          <w:b/>
          <w:sz w:val="25"/>
          <w:szCs w:val="25"/>
          <w:u w:val="none"/>
        </w:rPr>
        <w:t>Exte</w:t>
      </w:r>
      <w:r w:rsidR="00AF06EB">
        <w:rPr>
          <w:b/>
          <w:sz w:val="25"/>
          <w:szCs w:val="25"/>
          <w:u w:val="none"/>
        </w:rPr>
        <w:t xml:space="preserve">nsion of </w:t>
      </w:r>
      <w:r>
        <w:rPr>
          <w:b/>
          <w:sz w:val="25"/>
          <w:szCs w:val="25"/>
          <w:u w:val="none"/>
        </w:rPr>
        <w:t>West Control Area (WCA) Inter-jurisdictional Allocation Methodology Review</w:t>
      </w:r>
      <w:bookmarkEnd w:id="10"/>
    </w:p>
    <w:p w:rsidR="008C23FE" w:rsidRPr="00DD49B6" w:rsidRDefault="008C23FE" w:rsidP="008C23FE">
      <w:pPr>
        <w:spacing w:line="288" w:lineRule="auto"/>
      </w:pPr>
    </w:p>
    <w:p w:rsidR="00673359" w:rsidRDefault="00673359" w:rsidP="00673359">
      <w:pPr>
        <w:pStyle w:val="BodyText"/>
        <w:numPr>
          <w:ilvl w:val="0"/>
          <w:numId w:val="6"/>
        </w:numPr>
        <w:tabs>
          <w:tab w:val="clear" w:pos="720"/>
          <w:tab w:val="num" w:pos="0"/>
        </w:tabs>
        <w:spacing w:line="288" w:lineRule="auto"/>
        <w:ind w:left="0"/>
        <w:jc w:val="left"/>
        <w:rPr>
          <w:rFonts w:ascii="Times New Roman" w:hAnsi="Times New Roman"/>
          <w:sz w:val="25"/>
          <w:szCs w:val="25"/>
        </w:rPr>
      </w:pPr>
      <w:r w:rsidRPr="00673359">
        <w:rPr>
          <w:rFonts w:ascii="Times New Roman" w:hAnsi="Times New Roman"/>
          <w:sz w:val="25"/>
          <w:szCs w:val="25"/>
        </w:rPr>
        <w:t xml:space="preserve">The collaborative process described in the Settlement is designed to include “evaluation of the West Control Area inter-jurisdictional allocation methodology and to consider alternative options.”  The </w:t>
      </w:r>
      <w:r w:rsidR="00173871">
        <w:rPr>
          <w:rFonts w:ascii="Times New Roman" w:hAnsi="Times New Roman"/>
          <w:sz w:val="25"/>
          <w:szCs w:val="25"/>
        </w:rPr>
        <w:t>p</w:t>
      </w:r>
      <w:r w:rsidRPr="00673359">
        <w:rPr>
          <w:rFonts w:ascii="Times New Roman" w:hAnsi="Times New Roman"/>
          <w:sz w:val="25"/>
          <w:szCs w:val="25"/>
        </w:rPr>
        <w:t>arties observe that the Commission required a review of the W</w:t>
      </w:r>
      <w:r w:rsidR="00173871">
        <w:rPr>
          <w:rFonts w:ascii="Times New Roman" w:hAnsi="Times New Roman"/>
          <w:sz w:val="25"/>
          <w:szCs w:val="25"/>
        </w:rPr>
        <w:t>CA</w:t>
      </w:r>
      <w:r w:rsidRPr="00673359">
        <w:rPr>
          <w:rFonts w:ascii="Times New Roman" w:hAnsi="Times New Roman"/>
          <w:sz w:val="25"/>
          <w:szCs w:val="25"/>
        </w:rPr>
        <w:t xml:space="preserve"> inter-jurisdictional allocation methodology after five years</w:t>
      </w:r>
      <w:r w:rsidR="00031BB6">
        <w:rPr>
          <w:rStyle w:val="FootnoteReference"/>
          <w:rFonts w:ascii="Times New Roman" w:hAnsi="Times New Roman"/>
          <w:sz w:val="25"/>
          <w:szCs w:val="25"/>
        </w:rPr>
        <w:footnoteReference w:id="42"/>
      </w:r>
      <w:r w:rsidRPr="00673359">
        <w:rPr>
          <w:rFonts w:ascii="Times New Roman" w:hAnsi="Times New Roman"/>
          <w:sz w:val="25"/>
          <w:szCs w:val="25"/>
        </w:rPr>
        <w:t xml:space="preserve"> and that this review </w:t>
      </w:r>
      <w:r w:rsidR="009444A9">
        <w:rPr>
          <w:rFonts w:ascii="Times New Roman" w:hAnsi="Times New Roman"/>
          <w:sz w:val="25"/>
          <w:szCs w:val="25"/>
        </w:rPr>
        <w:t>i</w:t>
      </w:r>
      <w:r w:rsidRPr="00673359">
        <w:rPr>
          <w:rFonts w:ascii="Times New Roman" w:hAnsi="Times New Roman"/>
          <w:sz w:val="25"/>
          <w:szCs w:val="25"/>
        </w:rPr>
        <w:t>s due in approximately June 2012.</w:t>
      </w:r>
      <w:r w:rsidRPr="00673359">
        <w:rPr>
          <w:rStyle w:val="FootnoteReference"/>
          <w:rFonts w:ascii="Times New Roman" w:hAnsi="Times New Roman"/>
          <w:sz w:val="25"/>
          <w:szCs w:val="25"/>
        </w:rPr>
        <w:footnoteReference w:id="43"/>
      </w:r>
      <w:r w:rsidRPr="00673359">
        <w:rPr>
          <w:rFonts w:ascii="Times New Roman" w:hAnsi="Times New Roman"/>
          <w:sz w:val="25"/>
          <w:szCs w:val="25"/>
        </w:rPr>
        <w:t xml:space="preserve">  They jointly request that, to </w:t>
      </w:r>
      <w:r w:rsidRPr="00673359">
        <w:rPr>
          <w:rFonts w:ascii="Times New Roman" w:hAnsi="Times New Roman"/>
          <w:sz w:val="25"/>
          <w:szCs w:val="25"/>
        </w:rPr>
        <w:lastRenderedPageBreak/>
        <w:t>allow for completion of the collaborative process, the Commission explicitly extend the date on which the review filing is due until January 2013.</w:t>
      </w:r>
      <w:r w:rsidRPr="00673359">
        <w:rPr>
          <w:rStyle w:val="FootnoteReference"/>
          <w:rFonts w:ascii="Times New Roman" w:hAnsi="Times New Roman"/>
          <w:sz w:val="25"/>
          <w:szCs w:val="25"/>
        </w:rPr>
        <w:footnoteReference w:id="44"/>
      </w:r>
    </w:p>
    <w:p w:rsidR="008C23FE" w:rsidRDefault="00673359" w:rsidP="00AF06EB">
      <w:pPr>
        <w:pStyle w:val="BodyText"/>
        <w:numPr>
          <w:ilvl w:val="0"/>
          <w:numId w:val="6"/>
        </w:numPr>
        <w:tabs>
          <w:tab w:val="clear" w:pos="720"/>
          <w:tab w:val="num" w:pos="0"/>
        </w:tabs>
        <w:spacing w:before="240" w:after="60" w:line="288" w:lineRule="auto"/>
        <w:ind w:left="0"/>
        <w:jc w:val="left"/>
        <w:rPr>
          <w:sz w:val="25"/>
          <w:szCs w:val="25"/>
        </w:rPr>
      </w:pPr>
      <w:r w:rsidRPr="00AF06EB">
        <w:rPr>
          <w:rFonts w:ascii="Times New Roman" w:hAnsi="Times New Roman"/>
          <w:sz w:val="25"/>
          <w:szCs w:val="25"/>
        </w:rPr>
        <w:t xml:space="preserve">Staff supports this request, </w:t>
      </w:r>
      <w:r w:rsidRPr="00AF06EB">
        <w:rPr>
          <w:rFonts w:ascii="Times New Roman" w:hAnsi="Times New Roman"/>
          <w:bCs/>
          <w:sz w:val="25"/>
          <w:szCs w:val="25"/>
        </w:rPr>
        <w:t>expecting to take an active role during the stay-out period to work with all parties to review, and if necessary, improve upon the WCA inter-jurisdictional allocation methodology.</w:t>
      </w:r>
      <w:r w:rsidRPr="00673359">
        <w:rPr>
          <w:rStyle w:val="FootnoteReference"/>
          <w:rFonts w:ascii="Times New Roman" w:hAnsi="Times New Roman"/>
          <w:bCs/>
          <w:sz w:val="25"/>
          <w:szCs w:val="25"/>
        </w:rPr>
        <w:footnoteReference w:id="45"/>
      </w:r>
    </w:p>
    <w:p w:rsidR="008C23FE" w:rsidRPr="00AF06EB" w:rsidRDefault="00AF06EB" w:rsidP="00AF06EB">
      <w:pPr>
        <w:pStyle w:val="Heading2"/>
        <w:tabs>
          <w:tab w:val="left" w:pos="720"/>
        </w:tabs>
        <w:spacing w:before="240" w:after="60" w:line="288" w:lineRule="auto"/>
        <w:ind w:firstLine="360"/>
        <w:jc w:val="left"/>
        <w:rPr>
          <w:b/>
          <w:sz w:val="25"/>
          <w:szCs w:val="25"/>
          <w:u w:val="none"/>
        </w:rPr>
      </w:pPr>
      <w:r>
        <w:rPr>
          <w:b/>
          <w:sz w:val="25"/>
          <w:szCs w:val="25"/>
          <w:u w:val="none"/>
        </w:rPr>
        <w:t xml:space="preserve">G. </w:t>
      </w:r>
      <w:r w:rsidRPr="00AF06EB">
        <w:rPr>
          <w:b/>
          <w:sz w:val="25"/>
          <w:szCs w:val="25"/>
          <w:u w:val="none"/>
        </w:rPr>
        <w:t>Executive Compensation Report</w:t>
      </w:r>
    </w:p>
    <w:p w:rsidR="008C23FE" w:rsidRPr="005474D2" w:rsidRDefault="008C23FE" w:rsidP="008C23FE">
      <w:pPr>
        <w:spacing w:line="288" w:lineRule="auto"/>
        <w:rPr>
          <w:sz w:val="25"/>
          <w:szCs w:val="25"/>
          <w:u w:val="single"/>
        </w:rPr>
      </w:pPr>
    </w:p>
    <w:p w:rsidR="00AF06EB" w:rsidRDefault="00AF06EB" w:rsidP="00AF06EB">
      <w:pPr>
        <w:pStyle w:val="ListParagraph"/>
        <w:numPr>
          <w:ilvl w:val="0"/>
          <w:numId w:val="6"/>
        </w:numPr>
        <w:tabs>
          <w:tab w:val="clear" w:pos="720"/>
          <w:tab w:val="num" w:pos="0"/>
        </w:tabs>
        <w:spacing w:line="288" w:lineRule="auto"/>
        <w:ind w:left="0"/>
        <w:rPr>
          <w:sz w:val="25"/>
          <w:szCs w:val="25"/>
        </w:rPr>
      </w:pPr>
      <w:r w:rsidRPr="00AF06EB">
        <w:rPr>
          <w:sz w:val="25"/>
          <w:szCs w:val="25"/>
        </w:rPr>
        <w:t>As part of the Settlement, PacifiCorp</w:t>
      </w:r>
      <w:r w:rsidR="009444A9">
        <w:rPr>
          <w:sz w:val="25"/>
          <w:szCs w:val="25"/>
        </w:rPr>
        <w:t xml:space="preserve"> agrees</w:t>
      </w:r>
      <w:r w:rsidRPr="00AF06EB">
        <w:rPr>
          <w:sz w:val="25"/>
          <w:szCs w:val="25"/>
        </w:rPr>
        <w:t xml:space="preserve"> to work with Public Counsel, and other parties if requested, to develop a report on executive compensation practices and accounting.  According to the settlement, the report would include, at a minimum, three major elements</w:t>
      </w:r>
      <w:r w:rsidR="0083607D">
        <w:rPr>
          <w:sz w:val="25"/>
          <w:szCs w:val="25"/>
        </w:rPr>
        <w:t>:</w:t>
      </w:r>
      <w:r w:rsidRPr="005A623E">
        <w:rPr>
          <w:rStyle w:val="FootnoteReference"/>
          <w:sz w:val="25"/>
          <w:szCs w:val="25"/>
        </w:rPr>
        <w:footnoteReference w:id="46"/>
      </w:r>
    </w:p>
    <w:p w:rsidR="00CB7C64" w:rsidRPr="00CB7C64" w:rsidRDefault="00CB7C64" w:rsidP="00CB7C64">
      <w:pPr>
        <w:tabs>
          <w:tab w:val="num" w:pos="0"/>
        </w:tabs>
        <w:spacing w:line="288" w:lineRule="auto"/>
        <w:ind w:left="-720"/>
        <w:rPr>
          <w:sz w:val="25"/>
          <w:szCs w:val="25"/>
        </w:rPr>
      </w:pPr>
    </w:p>
    <w:p w:rsidR="00967E27" w:rsidRPr="005A623E" w:rsidRDefault="0083607D" w:rsidP="00967E27">
      <w:pPr>
        <w:numPr>
          <w:ilvl w:val="0"/>
          <w:numId w:val="29"/>
        </w:numPr>
        <w:spacing w:after="200" w:line="288" w:lineRule="auto"/>
        <w:rPr>
          <w:sz w:val="25"/>
          <w:szCs w:val="25"/>
        </w:rPr>
      </w:pPr>
      <w:r>
        <w:rPr>
          <w:sz w:val="25"/>
          <w:szCs w:val="25"/>
        </w:rPr>
        <w:t>A</w:t>
      </w:r>
      <w:r w:rsidR="00967E27" w:rsidRPr="005A623E">
        <w:rPr>
          <w:sz w:val="25"/>
          <w:szCs w:val="25"/>
        </w:rPr>
        <w:t xml:space="preserve"> description of current executive compensation </w:t>
      </w:r>
      <w:r>
        <w:rPr>
          <w:sz w:val="25"/>
          <w:szCs w:val="25"/>
        </w:rPr>
        <w:t>segregated by</w:t>
      </w:r>
      <w:r w:rsidR="00967E27" w:rsidRPr="005A623E">
        <w:rPr>
          <w:sz w:val="25"/>
          <w:szCs w:val="25"/>
        </w:rPr>
        <w:t xml:space="preserve"> base salary, non-equity incentive pay</w:t>
      </w:r>
      <w:r>
        <w:rPr>
          <w:sz w:val="25"/>
          <w:szCs w:val="25"/>
        </w:rPr>
        <w:t>,</w:t>
      </w:r>
      <w:r w:rsidR="00967E27" w:rsidRPr="005A623E">
        <w:rPr>
          <w:sz w:val="25"/>
          <w:szCs w:val="25"/>
        </w:rPr>
        <w:t xml:space="preserve"> and incentive pay</w:t>
      </w:r>
      <w:r>
        <w:rPr>
          <w:sz w:val="25"/>
          <w:szCs w:val="25"/>
        </w:rPr>
        <w:t xml:space="preserve"> components</w:t>
      </w:r>
      <w:r w:rsidR="00967E27" w:rsidRPr="005A623E">
        <w:rPr>
          <w:sz w:val="25"/>
          <w:szCs w:val="25"/>
        </w:rPr>
        <w:t xml:space="preserve">.  </w:t>
      </w:r>
      <w:r>
        <w:rPr>
          <w:sz w:val="25"/>
          <w:szCs w:val="25"/>
        </w:rPr>
        <w:t>This</w:t>
      </w:r>
      <w:r w:rsidR="00967E27" w:rsidRPr="005A623E">
        <w:rPr>
          <w:sz w:val="25"/>
          <w:szCs w:val="25"/>
        </w:rPr>
        <w:t xml:space="preserve"> part of the report would</w:t>
      </w:r>
      <w:r>
        <w:rPr>
          <w:sz w:val="25"/>
          <w:szCs w:val="25"/>
        </w:rPr>
        <w:t xml:space="preserve"> d</w:t>
      </w:r>
      <w:r w:rsidR="00967E27" w:rsidRPr="005A623E">
        <w:rPr>
          <w:sz w:val="25"/>
          <w:szCs w:val="25"/>
        </w:rPr>
        <w:t>escri</w:t>
      </w:r>
      <w:r>
        <w:rPr>
          <w:sz w:val="25"/>
          <w:szCs w:val="25"/>
        </w:rPr>
        <w:t>be</w:t>
      </w:r>
      <w:r w:rsidR="00967E27" w:rsidRPr="005A623E">
        <w:rPr>
          <w:sz w:val="25"/>
          <w:szCs w:val="25"/>
        </w:rPr>
        <w:t xml:space="preserve"> which compensation components are included in rates and which are not.</w:t>
      </w:r>
      <w:r w:rsidR="00967E27" w:rsidRPr="005A623E">
        <w:rPr>
          <w:rStyle w:val="FootnoteReference"/>
          <w:sz w:val="25"/>
          <w:szCs w:val="25"/>
        </w:rPr>
        <w:footnoteReference w:id="47"/>
      </w:r>
    </w:p>
    <w:p w:rsidR="00967E27" w:rsidRPr="005A623E" w:rsidRDefault="0083607D" w:rsidP="00967E27">
      <w:pPr>
        <w:numPr>
          <w:ilvl w:val="0"/>
          <w:numId w:val="29"/>
        </w:numPr>
        <w:spacing w:after="200" w:line="288" w:lineRule="auto"/>
        <w:rPr>
          <w:sz w:val="25"/>
          <w:szCs w:val="25"/>
        </w:rPr>
      </w:pPr>
      <w:r>
        <w:rPr>
          <w:sz w:val="25"/>
          <w:szCs w:val="25"/>
        </w:rPr>
        <w:t>A</w:t>
      </w:r>
      <w:r w:rsidR="00967E27" w:rsidRPr="005A623E">
        <w:rPr>
          <w:sz w:val="25"/>
          <w:szCs w:val="25"/>
        </w:rPr>
        <w:t xml:space="preserve"> description of how </w:t>
      </w:r>
      <w:r>
        <w:rPr>
          <w:sz w:val="25"/>
          <w:szCs w:val="25"/>
        </w:rPr>
        <w:t xml:space="preserve">the Company sets levels of </w:t>
      </w:r>
      <w:r w:rsidR="00967E27" w:rsidRPr="005A623E">
        <w:rPr>
          <w:sz w:val="25"/>
          <w:szCs w:val="25"/>
        </w:rPr>
        <w:t xml:space="preserve">executive compensation.  The </w:t>
      </w:r>
      <w:r>
        <w:rPr>
          <w:sz w:val="25"/>
          <w:szCs w:val="25"/>
        </w:rPr>
        <w:t>description should include discussion of the basis for selecting “ostensibly comparable utilities” that were surveyed and the results of that survey.</w:t>
      </w:r>
      <w:r w:rsidR="00A2291B">
        <w:rPr>
          <w:sz w:val="25"/>
          <w:szCs w:val="25"/>
        </w:rPr>
        <w:t xml:space="preserve"> The Company is required to state whether executive compensation paid by any Pacific Northwest investor-owned utility, or publicly owned utilities </w:t>
      </w:r>
      <w:r w:rsidR="00A65C9D">
        <w:rPr>
          <w:sz w:val="25"/>
          <w:szCs w:val="25"/>
        </w:rPr>
        <w:t xml:space="preserve"> was</w:t>
      </w:r>
      <w:r w:rsidR="00A2291B">
        <w:rPr>
          <w:sz w:val="25"/>
          <w:szCs w:val="25"/>
        </w:rPr>
        <w:t xml:space="preserve"> considered and, if not, why not.</w:t>
      </w:r>
      <w:r>
        <w:rPr>
          <w:rStyle w:val="FootnoteReference"/>
          <w:sz w:val="25"/>
          <w:szCs w:val="25"/>
        </w:rPr>
        <w:footnoteReference w:id="48"/>
      </w:r>
    </w:p>
    <w:p w:rsidR="00967E27" w:rsidRDefault="0083607D" w:rsidP="00967E27">
      <w:pPr>
        <w:numPr>
          <w:ilvl w:val="0"/>
          <w:numId w:val="29"/>
        </w:numPr>
        <w:spacing w:line="288" w:lineRule="auto"/>
        <w:rPr>
          <w:sz w:val="25"/>
          <w:szCs w:val="25"/>
        </w:rPr>
      </w:pPr>
      <w:r>
        <w:rPr>
          <w:sz w:val="25"/>
          <w:szCs w:val="25"/>
        </w:rPr>
        <w:lastRenderedPageBreak/>
        <w:t>A</w:t>
      </w:r>
      <w:r w:rsidR="00967E27" w:rsidRPr="005A623E">
        <w:rPr>
          <w:sz w:val="25"/>
          <w:szCs w:val="25"/>
        </w:rPr>
        <w:t xml:space="preserve"> discussion of PacifiCorp’s perspective on the appropriateness of recovery in rates of the existing levels of executive compensation.</w:t>
      </w:r>
      <w:r w:rsidR="00967E27" w:rsidRPr="005A623E">
        <w:rPr>
          <w:rStyle w:val="FootnoteReference"/>
          <w:sz w:val="25"/>
          <w:szCs w:val="25"/>
        </w:rPr>
        <w:footnoteReference w:id="49"/>
      </w:r>
    </w:p>
    <w:p w:rsidR="008C23FE" w:rsidRDefault="008C23FE" w:rsidP="008C23FE">
      <w:pPr>
        <w:spacing w:line="288" w:lineRule="auto"/>
        <w:rPr>
          <w:sz w:val="25"/>
          <w:szCs w:val="25"/>
        </w:rPr>
      </w:pPr>
    </w:p>
    <w:p w:rsidR="00CB7C64" w:rsidRDefault="00CB7C64" w:rsidP="00CB7C64">
      <w:pPr>
        <w:pStyle w:val="NoSpacing"/>
        <w:numPr>
          <w:ilvl w:val="0"/>
          <w:numId w:val="6"/>
        </w:numPr>
        <w:tabs>
          <w:tab w:val="clear" w:pos="720"/>
          <w:tab w:val="num" w:pos="0"/>
        </w:tabs>
        <w:spacing w:line="288" w:lineRule="auto"/>
        <w:ind w:left="0"/>
        <w:rPr>
          <w:sz w:val="25"/>
          <w:szCs w:val="25"/>
        </w:rPr>
      </w:pPr>
      <w:r w:rsidRPr="005A623E">
        <w:rPr>
          <w:sz w:val="25"/>
          <w:szCs w:val="25"/>
        </w:rPr>
        <w:t xml:space="preserve">The </w:t>
      </w:r>
      <w:r w:rsidR="006D2B71">
        <w:rPr>
          <w:sz w:val="25"/>
          <w:szCs w:val="25"/>
        </w:rPr>
        <w:t xml:space="preserve">Company </w:t>
      </w:r>
      <w:r w:rsidRPr="005A623E">
        <w:rPr>
          <w:sz w:val="25"/>
          <w:szCs w:val="25"/>
        </w:rPr>
        <w:t>will provide</w:t>
      </w:r>
      <w:r w:rsidR="00A2291B">
        <w:rPr>
          <w:sz w:val="25"/>
          <w:szCs w:val="25"/>
        </w:rPr>
        <w:t xml:space="preserve"> </w:t>
      </w:r>
      <w:r w:rsidRPr="005A623E">
        <w:rPr>
          <w:sz w:val="25"/>
          <w:szCs w:val="25"/>
        </w:rPr>
        <w:t xml:space="preserve">the parties </w:t>
      </w:r>
      <w:r w:rsidR="006D2B71">
        <w:rPr>
          <w:sz w:val="25"/>
          <w:szCs w:val="25"/>
        </w:rPr>
        <w:t xml:space="preserve">with the report </w:t>
      </w:r>
      <w:r w:rsidRPr="005A623E">
        <w:rPr>
          <w:sz w:val="25"/>
          <w:szCs w:val="25"/>
        </w:rPr>
        <w:t xml:space="preserve">no later than 30 days prior to filing its next general rate case.  The parties </w:t>
      </w:r>
      <w:r w:rsidR="006D2B71">
        <w:rPr>
          <w:sz w:val="25"/>
          <w:szCs w:val="25"/>
        </w:rPr>
        <w:t>will</w:t>
      </w:r>
      <w:r w:rsidRPr="005A623E">
        <w:rPr>
          <w:sz w:val="25"/>
          <w:szCs w:val="25"/>
        </w:rPr>
        <w:t xml:space="preserve"> enter into a standard Confidentiality Agreement if the report includes any confidential employee information.</w:t>
      </w:r>
      <w:r w:rsidRPr="005A623E">
        <w:rPr>
          <w:rStyle w:val="FootnoteReference"/>
          <w:sz w:val="25"/>
          <w:szCs w:val="25"/>
        </w:rPr>
        <w:footnoteReference w:id="50"/>
      </w:r>
    </w:p>
    <w:p w:rsidR="00CB7C64" w:rsidRPr="005A623E" w:rsidRDefault="00CB7C64" w:rsidP="00CB7C64">
      <w:pPr>
        <w:pStyle w:val="NoSpacing"/>
        <w:spacing w:line="288" w:lineRule="auto"/>
        <w:ind w:left="-720"/>
        <w:rPr>
          <w:sz w:val="25"/>
          <w:szCs w:val="25"/>
        </w:rPr>
      </w:pPr>
    </w:p>
    <w:p w:rsidR="00CB7C64" w:rsidRPr="006A6FE8" w:rsidRDefault="00CB7C64" w:rsidP="008C23FE">
      <w:pPr>
        <w:numPr>
          <w:ilvl w:val="0"/>
          <w:numId w:val="6"/>
        </w:numPr>
        <w:tabs>
          <w:tab w:val="num" w:pos="0"/>
        </w:tabs>
        <w:spacing w:line="288" w:lineRule="auto"/>
        <w:ind w:left="0"/>
      </w:pPr>
      <w:r>
        <w:rPr>
          <w:sz w:val="25"/>
          <w:szCs w:val="25"/>
        </w:rPr>
        <w:t>P</w:t>
      </w:r>
      <w:r w:rsidRPr="005A623E">
        <w:rPr>
          <w:sz w:val="25"/>
          <w:szCs w:val="25"/>
        </w:rPr>
        <w:t xml:space="preserve">ublic Counsel believes the report is particularly important because it has concerns with PacifiCorp’s overall level of executive compensation and the allocation of this compensation </w:t>
      </w:r>
      <w:r w:rsidR="006D2B71">
        <w:rPr>
          <w:sz w:val="25"/>
          <w:szCs w:val="25"/>
        </w:rPr>
        <w:t>between utili</w:t>
      </w:r>
      <w:r w:rsidRPr="005A623E">
        <w:rPr>
          <w:sz w:val="25"/>
          <w:szCs w:val="25"/>
        </w:rPr>
        <w:t>ty and non-utility operations.</w:t>
      </w:r>
      <w:r w:rsidRPr="005A623E">
        <w:rPr>
          <w:rStyle w:val="FootnoteReference"/>
          <w:sz w:val="25"/>
          <w:szCs w:val="25"/>
        </w:rPr>
        <w:footnoteReference w:id="51"/>
      </w:r>
      <w:r w:rsidRPr="005A623E">
        <w:rPr>
          <w:sz w:val="25"/>
          <w:szCs w:val="25"/>
        </w:rPr>
        <w:t xml:space="preserve">  The requirements in the Settlement </w:t>
      </w:r>
      <w:r w:rsidR="006D2B71">
        <w:rPr>
          <w:sz w:val="25"/>
          <w:szCs w:val="25"/>
        </w:rPr>
        <w:t>mi</w:t>
      </w:r>
      <w:r w:rsidRPr="005A623E">
        <w:rPr>
          <w:sz w:val="25"/>
          <w:szCs w:val="25"/>
        </w:rPr>
        <w:t xml:space="preserve">rror those ordered by the Commission </w:t>
      </w:r>
      <w:r w:rsidR="00B723A5">
        <w:rPr>
          <w:sz w:val="25"/>
          <w:szCs w:val="25"/>
        </w:rPr>
        <w:t>in another recent proceeding.</w:t>
      </w:r>
      <w:r w:rsidRPr="005A623E">
        <w:rPr>
          <w:rStyle w:val="FootnoteReference"/>
          <w:sz w:val="25"/>
          <w:szCs w:val="25"/>
        </w:rPr>
        <w:footnoteReference w:id="52"/>
      </w:r>
    </w:p>
    <w:p w:rsidR="006A6FE8" w:rsidRPr="00C22DF2" w:rsidRDefault="006A6FE8" w:rsidP="006A6FE8">
      <w:pPr>
        <w:spacing w:line="288" w:lineRule="auto"/>
        <w:ind w:left="-720"/>
      </w:pPr>
    </w:p>
    <w:p w:rsidR="008C23FE" w:rsidRDefault="008C23FE" w:rsidP="008C23FE">
      <w:pPr>
        <w:pStyle w:val="Heading2"/>
        <w:tabs>
          <w:tab w:val="left" w:pos="360"/>
        </w:tabs>
        <w:spacing w:line="288" w:lineRule="auto"/>
        <w:jc w:val="left"/>
        <w:rPr>
          <w:b/>
          <w:sz w:val="25"/>
          <w:szCs w:val="25"/>
          <w:u w:val="none"/>
        </w:rPr>
      </w:pPr>
      <w:r>
        <w:rPr>
          <w:b/>
          <w:sz w:val="25"/>
          <w:szCs w:val="25"/>
          <w:u w:val="none"/>
        </w:rPr>
        <w:t>III.</w:t>
      </w:r>
      <w:r>
        <w:rPr>
          <w:b/>
          <w:sz w:val="25"/>
          <w:szCs w:val="25"/>
          <w:u w:val="none"/>
        </w:rPr>
        <w:tab/>
      </w:r>
      <w:r w:rsidR="00F23EA9">
        <w:rPr>
          <w:b/>
          <w:sz w:val="25"/>
          <w:szCs w:val="25"/>
          <w:u w:val="none"/>
        </w:rPr>
        <w:t xml:space="preserve"> </w:t>
      </w:r>
      <w:r w:rsidRPr="00C34B05">
        <w:rPr>
          <w:b/>
          <w:sz w:val="25"/>
          <w:szCs w:val="25"/>
          <w:u w:val="none"/>
        </w:rPr>
        <w:t>Discussion and Decision</w:t>
      </w:r>
    </w:p>
    <w:p w:rsidR="008C23FE" w:rsidRPr="00F446D1" w:rsidRDefault="008C23FE" w:rsidP="008C23FE">
      <w:pPr>
        <w:pStyle w:val="Heading2"/>
        <w:tabs>
          <w:tab w:val="left" w:pos="720"/>
        </w:tabs>
        <w:spacing w:before="240" w:after="60" w:line="288" w:lineRule="auto"/>
        <w:ind w:left="360"/>
        <w:jc w:val="left"/>
        <w:rPr>
          <w:b/>
          <w:sz w:val="25"/>
          <w:szCs w:val="25"/>
        </w:rPr>
      </w:pPr>
      <w:r w:rsidRPr="004152A1">
        <w:rPr>
          <w:b/>
          <w:sz w:val="25"/>
          <w:szCs w:val="25"/>
          <w:u w:val="none"/>
        </w:rPr>
        <w:t>A.</w:t>
      </w:r>
      <w:r w:rsidRPr="004152A1">
        <w:rPr>
          <w:b/>
          <w:sz w:val="25"/>
          <w:szCs w:val="25"/>
          <w:u w:val="none"/>
        </w:rPr>
        <w:tab/>
      </w:r>
      <w:r w:rsidRPr="00F96D99">
        <w:rPr>
          <w:b/>
          <w:sz w:val="25"/>
          <w:szCs w:val="25"/>
          <w:u w:val="none"/>
        </w:rPr>
        <w:t>Criteria for Approval of Settlements</w:t>
      </w:r>
    </w:p>
    <w:p w:rsidR="008C23FE" w:rsidRPr="009F395B" w:rsidRDefault="008C23FE" w:rsidP="008C23FE">
      <w:pPr>
        <w:spacing w:line="288" w:lineRule="auto"/>
        <w:rPr>
          <w:sz w:val="25"/>
          <w:szCs w:val="25"/>
        </w:rPr>
      </w:pPr>
    </w:p>
    <w:p w:rsidR="008C23FE" w:rsidRPr="00236666" w:rsidRDefault="008C23FE" w:rsidP="008C23FE">
      <w:pPr>
        <w:numPr>
          <w:ilvl w:val="0"/>
          <w:numId w:val="6"/>
        </w:numPr>
        <w:tabs>
          <w:tab w:val="num" w:pos="0"/>
        </w:tabs>
        <w:spacing w:line="288" w:lineRule="auto"/>
        <w:ind w:left="0"/>
        <w:rPr>
          <w:color w:val="000000"/>
          <w:sz w:val="25"/>
          <w:szCs w:val="25"/>
        </w:rPr>
      </w:pPr>
      <w:r w:rsidRPr="00236666">
        <w:rPr>
          <w:color w:val="000000"/>
          <w:sz w:val="25"/>
          <w:szCs w:val="25"/>
        </w:rPr>
        <w:t xml:space="preserve">WAC 480-07-750(1) states in part: </w:t>
      </w:r>
      <w:r>
        <w:rPr>
          <w:color w:val="000000"/>
          <w:sz w:val="25"/>
          <w:szCs w:val="25"/>
        </w:rPr>
        <w:t>“</w:t>
      </w:r>
      <w:r w:rsidRPr="00236666">
        <w:rPr>
          <w:color w:val="000000"/>
          <w:sz w:val="25"/>
          <w:szCs w:val="25"/>
        </w:rPr>
        <w:t>The commission will approve settlements when doing so is lawful, the settlement terms are supported by an appropriate record, and when the result is consistent with the public interest in light of all the information available to the commission.</w:t>
      </w:r>
      <w:r>
        <w:rPr>
          <w:color w:val="000000"/>
          <w:sz w:val="25"/>
          <w:szCs w:val="25"/>
        </w:rPr>
        <w:t>”</w:t>
      </w:r>
    </w:p>
    <w:p w:rsidR="008C23FE" w:rsidRPr="00236666" w:rsidRDefault="008C23FE" w:rsidP="008C23FE">
      <w:pPr>
        <w:autoSpaceDE w:val="0"/>
        <w:autoSpaceDN w:val="0"/>
        <w:adjustRightInd w:val="0"/>
        <w:spacing w:line="288" w:lineRule="auto"/>
        <w:rPr>
          <w:color w:val="000000"/>
          <w:sz w:val="25"/>
          <w:szCs w:val="25"/>
        </w:rPr>
      </w:pPr>
    </w:p>
    <w:p w:rsidR="008C23FE" w:rsidRDefault="008C23FE" w:rsidP="008C23FE">
      <w:pPr>
        <w:numPr>
          <w:ilvl w:val="0"/>
          <w:numId w:val="6"/>
        </w:numPr>
        <w:tabs>
          <w:tab w:val="num" w:pos="0"/>
        </w:tabs>
        <w:spacing w:line="288" w:lineRule="auto"/>
        <w:ind w:left="0"/>
        <w:rPr>
          <w:color w:val="000000"/>
          <w:sz w:val="25"/>
          <w:szCs w:val="25"/>
        </w:rPr>
      </w:pPr>
      <w:r w:rsidRPr="00265425">
        <w:rPr>
          <w:sz w:val="25"/>
          <w:szCs w:val="25"/>
        </w:rPr>
        <w:t>Thus</w:t>
      </w:r>
      <w:r w:rsidRPr="00236666">
        <w:rPr>
          <w:color w:val="000000"/>
          <w:sz w:val="25"/>
          <w:szCs w:val="25"/>
        </w:rPr>
        <w:t xml:space="preserve">, the Commission considers the individual components of the Settlement under a three-part inquiry. We ask: </w:t>
      </w:r>
    </w:p>
    <w:p w:rsidR="008C23FE" w:rsidRDefault="008C23FE" w:rsidP="008C23FE">
      <w:pPr>
        <w:pStyle w:val="ListParagraph"/>
        <w:spacing w:line="288" w:lineRule="auto"/>
        <w:rPr>
          <w:color w:val="000000"/>
          <w:sz w:val="25"/>
          <w:szCs w:val="25"/>
        </w:rPr>
      </w:pPr>
    </w:p>
    <w:p w:rsidR="008C23FE" w:rsidRPr="00236666" w:rsidRDefault="008C23FE" w:rsidP="008C23FE">
      <w:pPr>
        <w:pStyle w:val="ListParagraph"/>
        <w:numPr>
          <w:ilvl w:val="0"/>
          <w:numId w:val="8"/>
        </w:numPr>
        <w:spacing w:after="120" w:line="288" w:lineRule="auto"/>
        <w:ind w:left="1080"/>
        <w:rPr>
          <w:color w:val="000000"/>
          <w:sz w:val="25"/>
          <w:szCs w:val="25"/>
        </w:rPr>
      </w:pPr>
      <w:r w:rsidRPr="00236666">
        <w:rPr>
          <w:color w:val="000000"/>
          <w:sz w:val="25"/>
          <w:szCs w:val="25"/>
        </w:rPr>
        <w:t xml:space="preserve">Whether any aspect of the proposal is contrary to law. </w:t>
      </w:r>
    </w:p>
    <w:p w:rsidR="008C23FE" w:rsidRPr="00236666" w:rsidRDefault="008C23FE" w:rsidP="008C23FE">
      <w:pPr>
        <w:pStyle w:val="ListParagraph"/>
        <w:numPr>
          <w:ilvl w:val="0"/>
          <w:numId w:val="8"/>
        </w:numPr>
        <w:spacing w:after="120" w:line="288" w:lineRule="auto"/>
        <w:ind w:left="1080"/>
        <w:rPr>
          <w:color w:val="000000"/>
          <w:sz w:val="25"/>
          <w:szCs w:val="25"/>
        </w:rPr>
      </w:pPr>
      <w:r w:rsidRPr="00236666">
        <w:rPr>
          <w:color w:val="000000"/>
          <w:sz w:val="25"/>
          <w:szCs w:val="25"/>
        </w:rPr>
        <w:t xml:space="preserve">Whether any aspect of the proposal offends public policy. </w:t>
      </w:r>
    </w:p>
    <w:p w:rsidR="008C23FE" w:rsidRPr="00236666" w:rsidRDefault="008C23FE" w:rsidP="008C23FE">
      <w:pPr>
        <w:pStyle w:val="ListParagraph"/>
        <w:numPr>
          <w:ilvl w:val="0"/>
          <w:numId w:val="8"/>
        </w:numPr>
        <w:spacing w:after="120" w:line="288" w:lineRule="auto"/>
        <w:ind w:left="1080"/>
        <w:rPr>
          <w:color w:val="000000"/>
          <w:sz w:val="25"/>
          <w:szCs w:val="25"/>
        </w:rPr>
      </w:pPr>
      <w:r w:rsidRPr="00236666">
        <w:rPr>
          <w:color w:val="000000"/>
          <w:sz w:val="25"/>
          <w:szCs w:val="25"/>
        </w:rPr>
        <w:lastRenderedPageBreak/>
        <w:t xml:space="preserve">Whether the evidence supports the proposed elements of the Settlement Agreement as a reasonable resolution of the issue(s) at hand. </w:t>
      </w:r>
    </w:p>
    <w:p w:rsidR="002776EA" w:rsidRPr="00236666" w:rsidRDefault="002776EA" w:rsidP="008C23FE">
      <w:pPr>
        <w:autoSpaceDE w:val="0"/>
        <w:autoSpaceDN w:val="0"/>
        <w:adjustRightInd w:val="0"/>
        <w:spacing w:line="288" w:lineRule="auto"/>
        <w:rPr>
          <w:color w:val="000000"/>
          <w:sz w:val="25"/>
          <w:szCs w:val="25"/>
        </w:rPr>
      </w:pPr>
    </w:p>
    <w:p w:rsidR="008C23FE" w:rsidRDefault="008C23FE" w:rsidP="008C23FE">
      <w:pPr>
        <w:numPr>
          <w:ilvl w:val="0"/>
          <w:numId w:val="6"/>
        </w:numPr>
        <w:tabs>
          <w:tab w:val="num" w:pos="0"/>
        </w:tabs>
        <w:spacing w:line="288" w:lineRule="auto"/>
        <w:ind w:left="0"/>
        <w:rPr>
          <w:color w:val="000000"/>
          <w:sz w:val="25"/>
          <w:szCs w:val="25"/>
        </w:rPr>
      </w:pPr>
      <w:r w:rsidRPr="00236666">
        <w:rPr>
          <w:color w:val="000000"/>
          <w:sz w:val="25"/>
          <w:szCs w:val="25"/>
        </w:rPr>
        <w:t xml:space="preserve">The Commission must determine one of three possible results: </w:t>
      </w:r>
    </w:p>
    <w:p w:rsidR="008C23FE" w:rsidRPr="00236666" w:rsidRDefault="008C23FE" w:rsidP="008C23FE">
      <w:pPr>
        <w:spacing w:line="288" w:lineRule="auto"/>
        <w:rPr>
          <w:color w:val="000000"/>
          <w:sz w:val="25"/>
          <w:szCs w:val="25"/>
        </w:rPr>
      </w:pPr>
    </w:p>
    <w:p w:rsidR="008C23FE" w:rsidRPr="00236666" w:rsidRDefault="008C23FE" w:rsidP="008C23FE">
      <w:pPr>
        <w:pStyle w:val="ListParagraph"/>
        <w:numPr>
          <w:ilvl w:val="0"/>
          <w:numId w:val="8"/>
        </w:numPr>
        <w:spacing w:after="120" w:line="288" w:lineRule="auto"/>
        <w:ind w:left="1080"/>
        <w:rPr>
          <w:color w:val="000000"/>
          <w:sz w:val="25"/>
          <w:szCs w:val="25"/>
        </w:rPr>
      </w:pPr>
      <w:r w:rsidRPr="004A74DE">
        <w:rPr>
          <w:sz w:val="25"/>
          <w:szCs w:val="25"/>
        </w:rPr>
        <w:t>Approve</w:t>
      </w:r>
      <w:r w:rsidRPr="00236666">
        <w:rPr>
          <w:color w:val="000000"/>
          <w:sz w:val="25"/>
          <w:szCs w:val="25"/>
        </w:rPr>
        <w:t xml:space="preserve"> the proposed settlement without condition. </w:t>
      </w:r>
    </w:p>
    <w:p w:rsidR="008C23FE" w:rsidRPr="00236666" w:rsidRDefault="008C23FE" w:rsidP="008C23FE">
      <w:pPr>
        <w:pStyle w:val="ListParagraph"/>
        <w:numPr>
          <w:ilvl w:val="0"/>
          <w:numId w:val="8"/>
        </w:numPr>
        <w:spacing w:after="120" w:line="288" w:lineRule="auto"/>
        <w:ind w:left="1080"/>
        <w:rPr>
          <w:color w:val="000000"/>
          <w:sz w:val="25"/>
          <w:szCs w:val="25"/>
        </w:rPr>
      </w:pPr>
      <w:r w:rsidRPr="004A74DE">
        <w:rPr>
          <w:sz w:val="25"/>
          <w:szCs w:val="25"/>
        </w:rPr>
        <w:t>Approve</w:t>
      </w:r>
      <w:r w:rsidRPr="00236666">
        <w:rPr>
          <w:color w:val="000000"/>
          <w:sz w:val="25"/>
          <w:szCs w:val="25"/>
        </w:rPr>
        <w:t xml:space="preserve"> the proposed settlement subject to condition(s). </w:t>
      </w:r>
    </w:p>
    <w:p w:rsidR="008C23FE" w:rsidRPr="00236666" w:rsidRDefault="008C23FE" w:rsidP="008C23FE">
      <w:pPr>
        <w:pStyle w:val="ListParagraph"/>
        <w:numPr>
          <w:ilvl w:val="0"/>
          <w:numId w:val="8"/>
        </w:numPr>
        <w:spacing w:after="120" w:line="288" w:lineRule="auto"/>
        <w:ind w:left="1080"/>
        <w:rPr>
          <w:color w:val="000000"/>
          <w:sz w:val="25"/>
          <w:szCs w:val="25"/>
        </w:rPr>
      </w:pPr>
      <w:r w:rsidRPr="004A74DE">
        <w:rPr>
          <w:sz w:val="25"/>
          <w:szCs w:val="25"/>
        </w:rPr>
        <w:t>Reject</w:t>
      </w:r>
      <w:r w:rsidRPr="00236666">
        <w:rPr>
          <w:color w:val="000000"/>
          <w:sz w:val="25"/>
          <w:szCs w:val="25"/>
        </w:rPr>
        <w:t xml:space="preserve"> the proposed settlement.</w:t>
      </w:r>
    </w:p>
    <w:p w:rsidR="008C23FE" w:rsidRDefault="008C23FE" w:rsidP="008C23FE">
      <w:pPr>
        <w:spacing w:line="288" w:lineRule="auto"/>
        <w:rPr>
          <w:sz w:val="25"/>
          <w:szCs w:val="25"/>
        </w:rPr>
      </w:pPr>
    </w:p>
    <w:p w:rsidR="00FF51F7" w:rsidRDefault="00D65CA9" w:rsidP="009B3E36">
      <w:pPr>
        <w:numPr>
          <w:ilvl w:val="0"/>
          <w:numId w:val="6"/>
        </w:numPr>
        <w:tabs>
          <w:tab w:val="num" w:pos="0"/>
        </w:tabs>
        <w:spacing w:line="288" w:lineRule="auto"/>
        <w:ind w:left="0"/>
        <w:rPr>
          <w:sz w:val="25"/>
          <w:szCs w:val="25"/>
        </w:rPr>
      </w:pPr>
      <w:r w:rsidRPr="004073EF">
        <w:rPr>
          <w:sz w:val="25"/>
          <w:szCs w:val="25"/>
        </w:rPr>
        <w:t xml:space="preserve">In this proceeding, we have opposition to </w:t>
      </w:r>
      <w:r w:rsidRPr="00204704">
        <w:rPr>
          <w:i/>
          <w:sz w:val="25"/>
          <w:szCs w:val="25"/>
        </w:rPr>
        <w:t>any</w:t>
      </w:r>
      <w:r w:rsidRPr="004073EF">
        <w:rPr>
          <w:sz w:val="25"/>
          <w:szCs w:val="25"/>
        </w:rPr>
        <w:t xml:space="preserve"> rate increase expressed in both oral and written comments</w:t>
      </w:r>
      <w:r w:rsidR="00E73F85">
        <w:rPr>
          <w:sz w:val="25"/>
          <w:szCs w:val="25"/>
        </w:rPr>
        <w:t xml:space="preserve"> by</w:t>
      </w:r>
      <w:r w:rsidR="00F1466C" w:rsidRPr="004073EF">
        <w:rPr>
          <w:sz w:val="25"/>
          <w:szCs w:val="25"/>
        </w:rPr>
        <w:t xml:space="preserve"> </w:t>
      </w:r>
      <w:r w:rsidR="00F23EA9">
        <w:rPr>
          <w:sz w:val="25"/>
          <w:szCs w:val="25"/>
        </w:rPr>
        <w:t xml:space="preserve">a number of </w:t>
      </w:r>
      <w:r w:rsidR="00F1466C" w:rsidRPr="004073EF">
        <w:rPr>
          <w:sz w:val="25"/>
          <w:szCs w:val="25"/>
        </w:rPr>
        <w:t>PacifiCorp’s ratepayers</w:t>
      </w:r>
      <w:r w:rsidR="00697BB6">
        <w:rPr>
          <w:sz w:val="25"/>
          <w:szCs w:val="25"/>
        </w:rPr>
        <w:t>.</w:t>
      </w:r>
      <w:r w:rsidR="00697BB6" w:rsidDel="00697BB6">
        <w:rPr>
          <w:sz w:val="25"/>
          <w:szCs w:val="25"/>
        </w:rPr>
        <w:t xml:space="preserve"> </w:t>
      </w:r>
      <w:r w:rsidR="00697BB6">
        <w:rPr>
          <w:sz w:val="25"/>
          <w:szCs w:val="25"/>
        </w:rPr>
        <w:t xml:space="preserve">  In summary, the comments emphasize the economic burden to ratepayers of any rate increase and note that PacifiCorp has had almost annual rate increases for the past several years.</w:t>
      </w:r>
    </w:p>
    <w:p w:rsidR="00697BB6" w:rsidRDefault="00697BB6" w:rsidP="009B3E36">
      <w:pPr>
        <w:spacing w:line="288" w:lineRule="auto"/>
        <w:ind w:left="-720"/>
        <w:rPr>
          <w:sz w:val="25"/>
          <w:szCs w:val="25"/>
        </w:rPr>
      </w:pPr>
    </w:p>
    <w:p w:rsidR="004073EF" w:rsidRDefault="0025268A" w:rsidP="008C23FE">
      <w:pPr>
        <w:numPr>
          <w:ilvl w:val="0"/>
          <w:numId w:val="6"/>
        </w:numPr>
        <w:tabs>
          <w:tab w:val="num" w:pos="0"/>
        </w:tabs>
        <w:spacing w:line="288" w:lineRule="auto"/>
        <w:ind w:left="0"/>
        <w:rPr>
          <w:sz w:val="25"/>
          <w:szCs w:val="25"/>
        </w:rPr>
      </w:pPr>
      <w:r>
        <w:rPr>
          <w:sz w:val="25"/>
          <w:szCs w:val="25"/>
        </w:rPr>
        <w:t>We are not deaf to these concerns.  T</w:t>
      </w:r>
      <w:r w:rsidR="00F1466C" w:rsidRPr="004073EF">
        <w:rPr>
          <w:sz w:val="25"/>
          <w:szCs w:val="25"/>
        </w:rPr>
        <w:t>hese are difficult economic times and we recognize that rate increases, even those of a relatively small magnitude, do affect residential, business, and agricultural customers.</w:t>
      </w:r>
      <w:r w:rsidR="004073EF" w:rsidRPr="004073EF">
        <w:rPr>
          <w:sz w:val="25"/>
          <w:szCs w:val="25"/>
        </w:rPr>
        <w:t xml:space="preserve">  We are also cognizant that</w:t>
      </w:r>
      <w:r w:rsidR="004D64B0">
        <w:rPr>
          <w:sz w:val="25"/>
          <w:szCs w:val="25"/>
        </w:rPr>
        <w:t>,</w:t>
      </w:r>
      <w:r w:rsidR="004073EF" w:rsidRPr="004073EF">
        <w:rPr>
          <w:sz w:val="25"/>
          <w:szCs w:val="25"/>
        </w:rPr>
        <w:t xml:space="preserve"> </w:t>
      </w:r>
      <w:r w:rsidR="009E0EEF">
        <w:rPr>
          <w:sz w:val="25"/>
          <w:szCs w:val="25"/>
        </w:rPr>
        <w:t>while this proposed rate increase is comparatively small</w:t>
      </w:r>
      <w:r w:rsidR="006A6FE8">
        <w:rPr>
          <w:sz w:val="25"/>
          <w:szCs w:val="25"/>
        </w:rPr>
        <w:t xml:space="preserve">, </w:t>
      </w:r>
      <w:r w:rsidR="004073EF" w:rsidRPr="004073EF">
        <w:rPr>
          <w:sz w:val="25"/>
          <w:szCs w:val="25"/>
        </w:rPr>
        <w:t>PacifiCorp has requested almost annual rate increases for several consecutive years.</w:t>
      </w:r>
    </w:p>
    <w:p w:rsidR="004073EF" w:rsidRDefault="004073EF" w:rsidP="004073EF">
      <w:pPr>
        <w:pStyle w:val="ListParagraph"/>
        <w:rPr>
          <w:sz w:val="25"/>
          <w:szCs w:val="25"/>
        </w:rPr>
      </w:pPr>
    </w:p>
    <w:p w:rsidR="008C23FE" w:rsidRPr="004073EF" w:rsidRDefault="00F1466C" w:rsidP="008C23FE">
      <w:pPr>
        <w:numPr>
          <w:ilvl w:val="0"/>
          <w:numId w:val="6"/>
        </w:numPr>
        <w:tabs>
          <w:tab w:val="num" w:pos="0"/>
        </w:tabs>
        <w:spacing w:line="288" w:lineRule="auto"/>
        <w:ind w:left="0"/>
        <w:rPr>
          <w:sz w:val="25"/>
          <w:szCs w:val="25"/>
        </w:rPr>
      </w:pPr>
      <w:r w:rsidRPr="004073EF">
        <w:rPr>
          <w:sz w:val="25"/>
          <w:szCs w:val="25"/>
        </w:rPr>
        <w:t xml:space="preserve">These </w:t>
      </w:r>
      <w:r w:rsidR="00013546" w:rsidRPr="004073EF">
        <w:rPr>
          <w:sz w:val="25"/>
          <w:szCs w:val="25"/>
        </w:rPr>
        <w:t xml:space="preserve">challenging times force us to make tough decisions and remind us that we render decisions </w:t>
      </w:r>
      <w:r w:rsidR="0025268A">
        <w:rPr>
          <w:sz w:val="25"/>
          <w:szCs w:val="25"/>
        </w:rPr>
        <w:t>within the</w:t>
      </w:r>
      <w:r w:rsidRPr="004073EF">
        <w:rPr>
          <w:sz w:val="25"/>
          <w:szCs w:val="25"/>
        </w:rPr>
        <w:t xml:space="preserve"> relatively narrow spectrum</w:t>
      </w:r>
      <w:r w:rsidR="0025268A">
        <w:rPr>
          <w:sz w:val="25"/>
          <w:szCs w:val="25"/>
        </w:rPr>
        <w:t xml:space="preserve"> of </w:t>
      </w:r>
      <w:r w:rsidR="00204704">
        <w:rPr>
          <w:sz w:val="25"/>
          <w:szCs w:val="25"/>
        </w:rPr>
        <w:t xml:space="preserve">following </w:t>
      </w:r>
      <w:r w:rsidR="0025268A">
        <w:rPr>
          <w:sz w:val="25"/>
          <w:szCs w:val="25"/>
        </w:rPr>
        <w:t xml:space="preserve">applicable </w:t>
      </w:r>
      <w:r w:rsidR="008C23FE" w:rsidRPr="004073EF">
        <w:rPr>
          <w:sz w:val="25"/>
          <w:szCs w:val="25"/>
        </w:rPr>
        <w:t>law</w:t>
      </w:r>
      <w:r w:rsidR="00204704">
        <w:rPr>
          <w:sz w:val="25"/>
          <w:szCs w:val="25"/>
        </w:rPr>
        <w:t xml:space="preserve"> and</w:t>
      </w:r>
      <w:r w:rsidR="008C23FE" w:rsidRPr="004073EF">
        <w:rPr>
          <w:sz w:val="25"/>
          <w:szCs w:val="25"/>
        </w:rPr>
        <w:t xml:space="preserve"> policy and </w:t>
      </w:r>
      <w:r w:rsidR="00204704">
        <w:rPr>
          <w:sz w:val="25"/>
          <w:szCs w:val="25"/>
        </w:rPr>
        <w:t xml:space="preserve">making decisions based on the </w:t>
      </w:r>
      <w:r w:rsidR="008C23FE" w:rsidRPr="004073EF">
        <w:rPr>
          <w:sz w:val="25"/>
          <w:szCs w:val="25"/>
        </w:rPr>
        <w:t>factual record before us.  The Commission’s mission is essentially one of determining an appropriate balance between the needs of the public to have safe and reliable electric service at reasonable rates and the financial ability of the utility to provide such services.  Thus, the results of our orders in proceedings such as this must be to establish rates that are, in the words of our governing statutes, “fair, just, reasonable and sufficient.”</w:t>
      </w:r>
      <w:r w:rsidR="008C23FE">
        <w:rPr>
          <w:rStyle w:val="FootnoteReference"/>
          <w:sz w:val="25"/>
          <w:szCs w:val="25"/>
        </w:rPr>
        <w:footnoteReference w:id="53"/>
      </w:r>
      <w:r w:rsidR="008C23FE" w:rsidRPr="004073EF">
        <w:rPr>
          <w:sz w:val="25"/>
          <w:szCs w:val="25"/>
        </w:rPr>
        <w:t xml:space="preserve">  This means rates that are fair to customers and to the Company’s shareholders</w:t>
      </w:r>
      <w:r w:rsidR="00D820E0">
        <w:rPr>
          <w:sz w:val="25"/>
          <w:szCs w:val="25"/>
        </w:rPr>
        <w:t>,</w:t>
      </w:r>
      <w:r w:rsidR="008C23FE" w:rsidRPr="004073EF">
        <w:rPr>
          <w:sz w:val="25"/>
          <w:szCs w:val="25"/>
        </w:rPr>
        <w:t xml:space="preserve"> just in the sense of being based solely on the record developed following principles of due process of law</w:t>
      </w:r>
      <w:r w:rsidR="00D820E0">
        <w:rPr>
          <w:sz w:val="25"/>
          <w:szCs w:val="25"/>
        </w:rPr>
        <w:t>,</w:t>
      </w:r>
      <w:r w:rsidR="008C23FE" w:rsidRPr="004073EF">
        <w:rPr>
          <w:sz w:val="25"/>
          <w:szCs w:val="25"/>
        </w:rPr>
        <w:t xml:space="preserve"> reasonable in light of the range of possible outcome</w:t>
      </w:r>
      <w:r w:rsidR="00D820E0">
        <w:rPr>
          <w:sz w:val="25"/>
          <w:szCs w:val="25"/>
        </w:rPr>
        <w:t xml:space="preserve">s supported by the evidence </w:t>
      </w:r>
      <w:r w:rsidR="00D820E0">
        <w:rPr>
          <w:sz w:val="25"/>
          <w:szCs w:val="25"/>
        </w:rPr>
        <w:lastRenderedPageBreak/>
        <w:t>and, sufficient</w:t>
      </w:r>
      <w:r w:rsidR="008C23FE" w:rsidRPr="004073EF">
        <w:rPr>
          <w:sz w:val="25"/>
          <w:szCs w:val="25"/>
        </w:rPr>
        <w:t xml:space="preserve"> to meet the needs of the Company to cover its expenses and attract necessary capital on reasonable terms.</w:t>
      </w:r>
      <w:r w:rsidR="009E0EEF">
        <w:rPr>
          <w:sz w:val="25"/>
          <w:szCs w:val="25"/>
        </w:rPr>
        <w:t xml:space="preserve">  Simply put, our statutory mandate requires us to balance the needs of both ratepayers and utilit</w:t>
      </w:r>
      <w:r w:rsidR="00204704">
        <w:rPr>
          <w:sz w:val="25"/>
          <w:szCs w:val="25"/>
        </w:rPr>
        <w:t>ies</w:t>
      </w:r>
      <w:r w:rsidR="009E0EEF">
        <w:rPr>
          <w:sz w:val="25"/>
          <w:szCs w:val="25"/>
        </w:rPr>
        <w:t xml:space="preserve">. </w:t>
      </w:r>
    </w:p>
    <w:p w:rsidR="008C23FE" w:rsidRDefault="008C23FE" w:rsidP="008C23FE">
      <w:pPr>
        <w:spacing w:line="288" w:lineRule="auto"/>
        <w:rPr>
          <w:sz w:val="25"/>
          <w:szCs w:val="25"/>
        </w:rPr>
      </w:pPr>
    </w:p>
    <w:p w:rsidR="000E1D26" w:rsidRDefault="004D64B0" w:rsidP="008C23FE">
      <w:pPr>
        <w:numPr>
          <w:ilvl w:val="0"/>
          <w:numId w:val="6"/>
        </w:numPr>
        <w:tabs>
          <w:tab w:val="num" w:pos="0"/>
        </w:tabs>
        <w:spacing w:line="288" w:lineRule="auto"/>
        <w:ind w:left="0"/>
        <w:rPr>
          <w:sz w:val="25"/>
          <w:szCs w:val="25"/>
        </w:rPr>
      </w:pPr>
      <w:r>
        <w:rPr>
          <w:sz w:val="25"/>
          <w:szCs w:val="25"/>
        </w:rPr>
        <w:t>We</w:t>
      </w:r>
      <w:r w:rsidR="0025268A">
        <w:rPr>
          <w:sz w:val="25"/>
          <w:szCs w:val="25"/>
        </w:rPr>
        <w:t xml:space="preserve"> </w:t>
      </w:r>
      <w:r w:rsidR="00635DA4">
        <w:rPr>
          <w:sz w:val="25"/>
          <w:szCs w:val="25"/>
        </w:rPr>
        <w:t xml:space="preserve">emphasize that what we have before us is not solely a request by PacifiCorp </w:t>
      </w:r>
      <w:r w:rsidR="000E1D26">
        <w:rPr>
          <w:sz w:val="25"/>
          <w:szCs w:val="25"/>
        </w:rPr>
        <w:t>to</w:t>
      </w:r>
      <w:r w:rsidR="00635DA4">
        <w:rPr>
          <w:sz w:val="25"/>
          <w:szCs w:val="25"/>
        </w:rPr>
        <w:t xml:space="preserve"> increase rates for electric service.  Before us is a request for increased rates supported by all parties to this case including Commission Staff which considers both utility and ratepayer interests,</w:t>
      </w:r>
      <w:r w:rsidR="000E1D26">
        <w:rPr>
          <w:sz w:val="25"/>
          <w:szCs w:val="25"/>
        </w:rPr>
        <w:t xml:space="preserve"> Public Counsel which primarily considers the interests of residential</w:t>
      </w:r>
      <w:r w:rsidR="00014446">
        <w:rPr>
          <w:sz w:val="25"/>
          <w:szCs w:val="25"/>
        </w:rPr>
        <w:t xml:space="preserve"> and small business </w:t>
      </w:r>
      <w:r w:rsidR="000E1D26">
        <w:rPr>
          <w:sz w:val="25"/>
          <w:szCs w:val="25"/>
        </w:rPr>
        <w:t xml:space="preserve"> ratepayers, ICNU which represents the interests of industrial customers such as, Boise Cascade, and The Energy Project which focuses on the needs of low-income residential ratepayers.  These parties come to us in concert requesting that we approve a Settlement that would increase rates for electric service by 1.5 percent.  </w:t>
      </w:r>
    </w:p>
    <w:p w:rsidR="005327A2" w:rsidRDefault="005327A2" w:rsidP="00204704">
      <w:pPr>
        <w:pStyle w:val="ListParagraph"/>
        <w:rPr>
          <w:sz w:val="25"/>
          <w:szCs w:val="25"/>
        </w:rPr>
      </w:pPr>
    </w:p>
    <w:p w:rsidR="00D15E89" w:rsidRPr="00D15E89" w:rsidRDefault="00D15E89" w:rsidP="00D15E89">
      <w:pPr>
        <w:spacing w:line="288" w:lineRule="auto"/>
        <w:ind w:left="360"/>
        <w:rPr>
          <w:sz w:val="25"/>
          <w:szCs w:val="25"/>
        </w:rPr>
      </w:pPr>
      <w:r>
        <w:rPr>
          <w:b/>
          <w:sz w:val="25"/>
          <w:szCs w:val="25"/>
        </w:rPr>
        <w:t>B. Settlement</w:t>
      </w:r>
    </w:p>
    <w:p w:rsidR="00D15E89" w:rsidRDefault="00D15E89" w:rsidP="00D15E89">
      <w:pPr>
        <w:pStyle w:val="ListParagraph"/>
        <w:rPr>
          <w:sz w:val="25"/>
          <w:szCs w:val="25"/>
        </w:rPr>
      </w:pPr>
    </w:p>
    <w:p w:rsidR="00204704" w:rsidRDefault="00440E0F" w:rsidP="008C23FE">
      <w:pPr>
        <w:numPr>
          <w:ilvl w:val="0"/>
          <w:numId w:val="6"/>
        </w:numPr>
        <w:tabs>
          <w:tab w:val="num" w:pos="0"/>
        </w:tabs>
        <w:spacing w:line="288" w:lineRule="auto"/>
        <w:ind w:left="0"/>
        <w:rPr>
          <w:sz w:val="25"/>
          <w:szCs w:val="25"/>
        </w:rPr>
      </w:pPr>
      <w:r>
        <w:rPr>
          <w:sz w:val="25"/>
          <w:szCs w:val="25"/>
        </w:rPr>
        <w:t>During the settlement hearing, each party</w:t>
      </w:r>
      <w:r w:rsidR="00650A9A">
        <w:rPr>
          <w:sz w:val="25"/>
          <w:szCs w:val="25"/>
        </w:rPr>
        <w:t>, including the Company,</w:t>
      </w:r>
      <w:r>
        <w:rPr>
          <w:sz w:val="25"/>
          <w:szCs w:val="25"/>
        </w:rPr>
        <w:t xml:space="preserve"> affirmed that our statutory standard requires that we establish rates that are fair, just, reasonable and sufficient, and that adopting the Settlement will satisfy that statutory obligation.</w:t>
      </w:r>
      <w:r>
        <w:rPr>
          <w:rStyle w:val="FootnoteReference"/>
          <w:sz w:val="25"/>
          <w:szCs w:val="25"/>
        </w:rPr>
        <w:footnoteReference w:id="54"/>
      </w:r>
      <w:r w:rsidR="00C3512F">
        <w:rPr>
          <w:sz w:val="25"/>
          <w:szCs w:val="25"/>
        </w:rPr>
        <w:t xml:space="preserve">  </w:t>
      </w:r>
      <w:r w:rsidR="00204704">
        <w:rPr>
          <w:sz w:val="25"/>
          <w:szCs w:val="25"/>
        </w:rPr>
        <w:t xml:space="preserve">In general, and as discussed below, we find the Settlement terms proposed by the parties to be consistent with law and policy, and to resolve reasonably the issues in this proceeding.  The parties made compromises relative to their respective litigation positions to arrive at end results that </w:t>
      </w:r>
      <w:r w:rsidR="00CE3B59">
        <w:rPr>
          <w:sz w:val="25"/>
          <w:szCs w:val="25"/>
        </w:rPr>
        <w:t>they a</w:t>
      </w:r>
      <w:r w:rsidR="00EE39D8">
        <w:rPr>
          <w:sz w:val="25"/>
          <w:szCs w:val="25"/>
        </w:rPr>
        <w:t>ssert</w:t>
      </w:r>
      <w:r w:rsidR="00CE3B59">
        <w:rPr>
          <w:sz w:val="25"/>
          <w:szCs w:val="25"/>
        </w:rPr>
        <w:t xml:space="preserve"> </w:t>
      </w:r>
      <w:r w:rsidR="00204704">
        <w:rPr>
          <w:sz w:val="25"/>
          <w:szCs w:val="25"/>
        </w:rPr>
        <w:t xml:space="preserve">are fair, just and within an acceptable range of possible outcomes supported </w:t>
      </w:r>
      <w:r>
        <w:rPr>
          <w:sz w:val="25"/>
          <w:szCs w:val="25"/>
        </w:rPr>
        <w:t xml:space="preserve">by the evidence in the record.  </w:t>
      </w:r>
      <w:r w:rsidR="00CE3B59">
        <w:rPr>
          <w:sz w:val="25"/>
          <w:szCs w:val="25"/>
        </w:rPr>
        <w:t>The Company affirms that this result is sufficient.</w:t>
      </w:r>
      <w:r w:rsidR="0091333C">
        <w:rPr>
          <w:rStyle w:val="FootnoteReference"/>
          <w:sz w:val="25"/>
          <w:szCs w:val="25"/>
        </w:rPr>
        <w:footnoteReference w:id="55"/>
      </w:r>
      <w:r w:rsidR="00CE3B59">
        <w:rPr>
          <w:sz w:val="25"/>
          <w:szCs w:val="25"/>
        </w:rPr>
        <w:t xml:space="preserve">  </w:t>
      </w:r>
      <w:r w:rsidR="00204704">
        <w:rPr>
          <w:sz w:val="25"/>
          <w:szCs w:val="25"/>
        </w:rPr>
        <w:t>We will now consider the individual elements of the Settlement in light of our statutory mandate and the record in this case.</w:t>
      </w:r>
    </w:p>
    <w:p w:rsidR="008C23FE" w:rsidRDefault="00D15E89" w:rsidP="008C23FE">
      <w:pPr>
        <w:pStyle w:val="Heading2"/>
        <w:tabs>
          <w:tab w:val="left" w:pos="720"/>
        </w:tabs>
        <w:spacing w:before="240" w:after="60" w:line="288" w:lineRule="auto"/>
        <w:ind w:left="720" w:hanging="360"/>
        <w:jc w:val="left"/>
        <w:rPr>
          <w:b/>
          <w:sz w:val="25"/>
          <w:szCs w:val="25"/>
        </w:rPr>
      </w:pPr>
      <w:r>
        <w:rPr>
          <w:b/>
          <w:sz w:val="25"/>
          <w:szCs w:val="25"/>
          <w:u w:val="none"/>
        </w:rPr>
        <w:lastRenderedPageBreak/>
        <w:t>C.</w:t>
      </w:r>
      <w:r w:rsidR="008C23FE" w:rsidRPr="004152A1">
        <w:rPr>
          <w:b/>
          <w:sz w:val="25"/>
          <w:szCs w:val="25"/>
          <w:u w:val="none"/>
        </w:rPr>
        <w:tab/>
      </w:r>
      <w:r w:rsidR="006A6FE8">
        <w:rPr>
          <w:b/>
          <w:sz w:val="25"/>
          <w:szCs w:val="25"/>
          <w:u w:val="none"/>
        </w:rPr>
        <w:t>Rate Increase and Rate Effective Date</w:t>
      </w:r>
    </w:p>
    <w:p w:rsidR="008C23FE" w:rsidRDefault="008C23FE" w:rsidP="008C23FE">
      <w:pPr>
        <w:pStyle w:val="ListParagraph"/>
        <w:ind w:left="0"/>
        <w:rPr>
          <w:sz w:val="25"/>
          <w:szCs w:val="25"/>
        </w:rPr>
      </w:pPr>
    </w:p>
    <w:p w:rsidR="008C30C7" w:rsidRPr="008C30C7" w:rsidRDefault="008C23FE" w:rsidP="00204704">
      <w:pPr>
        <w:numPr>
          <w:ilvl w:val="0"/>
          <w:numId w:val="6"/>
        </w:numPr>
        <w:tabs>
          <w:tab w:val="num" w:pos="0"/>
        </w:tabs>
        <w:spacing w:line="288" w:lineRule="auto"/>
        <w:ind w:left="0"/>
        <w:rPr>
          <w:i/>
          <w:sz w:val="25"/>
          <w:szCs w:val="25"/>
        </w:rPr>
      </w:pPr>
      <w:r w:rsidRPr="008C30C7">
        <w:rPr>
          <w:sz w:val="25"/>
          <w:szCs w:val="25"/>
        </w:rPr>
        <w:t xml:space="preserve">We turn </w:t>
      </w:r>
      <w:r w:rsidR="00204704" w:rsidRPr="008C30C7">
        <w:rPr>
          <w:sz w:val="25"/>
          <w:szCs w:val="25"/>
        </w:rPr>
        <w:t xml:space="preserve">first </w:t>
      </w:r>
      <w:r w:rsidRPr="008C30C7">
        <w:rPr>
          <w:sz w:val="25"/>
          <w:szCs w:val="25"/>
        </w:rPr>
        <w:t>to the Settlement terms that cover revenue requirement</w:t>
      </w:r>
      <w:r w:rsidR="00204704" w:rsidRPr="008C30C7">
        <w:rPr>
          <w:sz w:val="25"/>
          <w:szCs w:val="25"/>
        </w:rPr>
        <w:t xml:space="preserve"> and rate effective date.  </w:t>
      </w:r>
      <w:r w:rsidR="00F3181C" w:rsidRPr="008C30C7">
        <w:rPr>
          <w:sz w:val="25"/>
          <w:szCs w:val="25"/>
        </w:rPr>
        <w:t>The parties recommend that the Commission allow PacifiCorp to implement rates designed to increase its annual revenues from Washington customers by $4.5 million or 1.5 percent.</w:t>
      </w:r>
      <w:r w:rsidR="00F3181C">
        <w:rPr>
          <w:rStyle w:val="FootnoteReference"/>
          <w:sz w:val="25"/>
          <w:szCs w:val="25"/>
        </w:rPr>
        <w:footnoteReference w:id="56"/>
      </w:r>
      <w:r w:rsidR="00F3181C" w:rsidRPr="008C30C7">
        <w:rPr>
          <w:sz w:val="25"/>
          <w:szCs w:val="25"/>
        </w:rPr>
        <w:t xml:space="preserve">  To derive this level of revenue requirement increase, the parties agree to</w:t>
      </w:r>
      <w:r w:rsidR="006A7DBA">
        <w:rPr>
          <w:sz w:val="25"/>
          <w:szCs w:val="25"/>
        </w:rPr>
        <w:t xml:space="preserve"> </w:t>
      </w:r>
      <w:r w:rsidR="00982B23" w:rsidRPr="008C30C7">
        <w:rPr>
          <w:sz w:val="25"/>
          <w:szCs w:val="25"/>
        </w:rPr>
        <w:t>s</w:t>
      </w:r>
      <w:r w:rsidR="00F3181C" w:rsidRPr="008C30C7">
        <w:rPr>
          <w:sz w:val="25"/>
          <w:szCs w:val="25"/>
        </w:rPr>
        <w:t xml:space="preserve">pecific adjustments </w:t>
      </w:r>
      <w:r w:rsidR="00982B23" w:rsidRPr="008C30C7">
        <w:rPr>
          <w:sz w:val="25"/>
          <w:szCs w:val="25"/>
        </w:rPr>
        <w:t>that reduce costs the Company will recover from ratepayers, such a</w:t>
      </w:r>
      <w:r w:rsidR="00D15E89" w:rsidRPr="008C30C7">
        <w:rPr>
          <w:sz w:val="25"/>
          <w:szCs w:val="25"/>
        </w:rPr>
        <w:t>s</w:t>
      </w:r>
      <w:r w:rsidR="00982B23" w:rsidRPr="008C30C7">
        <w:rPr>
          <w:sz w:val="25"/>
          <w:szCs w:val="25"/>
        </w:rPr>
        <w:t xml:space="preserve"> net power costs</w:t>
      </w:r>
      <w:r w:rsidR="008C30C7" w:rsidRPr="008C30C7">
        <w:rPr>
          <w:sz w:val="25"/>
          <w:szCs w:val="25"/>
        </w:rPr>
        <w:t>,</w:t>
      </w:r>
      <w:r w:rsidR="00982B23" w:rsidRPr="008C30C7">
        <w:rPr>
          <w:sz w:val="25"/>
          <w:szCs w:val="25"/>
        </w:rPr>
        <w:t xml:space="preserve"> and increase the amount of revenue the Company will receive from other sources</w:t>
      </w:r>
      <w:r w:rsidR="008C30C7" w:rsidRPr="008C30C7">
        <w:rPr>
          <w:sz w:val="25"/>
          <w:szCs w:val="25"/>
        </w:rPr>
        <w:t>,</w:t>
      </w:r>
      <w:r w:rsidR="00982B23" w:rsidRPr="008C30C7">
        <w:rPr>
          <w:sz w:val="25"/>
          <w:szCs w:val="25"/>
        </w:rPr>
        <w:t xml:space="preserve"> such as ancillary services contracts.</w:t>
      </w:r>
      <w:r w:rsidR="00726E84">
        <w:rPr>
          <w:rStyle w:val="FootnoteReference"/>
          <w:sz w:val="25"/>
          <w:szCs w:val="25"/>
        </w:rPr>
        <w:footnoteReference w:id="57"/>
      </w:r>
      <w:r w:rsidR="00982B23" w:rsidRPr="008C30C7">
        <w:rPr>
          <w:sz w:val="25"/>
          <w:szCs w:val="25"/>
        </w:rPr>
        <w:t xml:space="preserve">  The cost reduction adjustments range in magnitude from approximately $2.9 million</w:t>
      </w:r>
      <w:r w:rsidR="00982B23">
        <w:rPr>
          <w:rStyle w:val="FootnoteReference"/>
          <w:sz w:val="25"/>
          <w:szCs w:val="25"/>
        </w:rPr>
        <w:footnoteReference w:id="58"/>
      </w:r>
      <w:r w:rsidR="00982B23" w:rsidRPr="008C30C7">
        <w:rPr>
          <w:sz w:val="25"/>
          <w:szCs w:val="25"/>
        </w:rPr>
        <w:t xml:space="preserve"> to $1,268.</w:t>
      </w:r>
      <w:r w:rsidR="00982B23">
        <w:rPr>
          <w:rStyle w:val="FootnoteReference"/>
          <w:sz w:val="25"/>
          <w:szCs w:val="25"/>
        </w:rPr>
        <w:footnoteReference w:id="59"/>
      </w:r>
      <w:r w:rsidR="008C30C7" w:rsidRPr="008C30C7">
        <w:rPr>
          <w:sz w:val="25"/>
          <w:szCs w:val="25"/>
        </w:rPr>
        <w:t xml:space="preserve"> The parties also agree to a non-specific adjustment that reduces the Company’s as-filed revenue requirement by an additional $1.2 million</w:t>
      </w:r>
      <w:r w:rsidR="008C30C7">
        <w:rPr>
          <w:sz w:val="25"/>
          <w:szCs w:val="25"/>
        </w:rPr>
        <w:t>.</w:t>
      </w:r>
      <w:r w:rsidR="008C30C7">
        <w:rPr>
          <w:rStyle w:val="FootnoteReference"/>
          <w:sz w:val="25"/>
          <w:szCs w:val="25"/>
        </w:rPr>
        <w:footnoteReference w:id="60"/>
      </w:r>
    </w:p>
    <w:p w:rsidR="008C30C7" w:rsidRPr="008C30C7" w:rsidRDefault="008C30C7" w:rsidP="008C30C7">
      <w:pPr>
        <w:spacing w:line="288" w:lineRule="auto"/>
        <w:ind w:left="-720"/>
        <w:rPr>
          <w:i/>
          <w:sz w:val="25"/>
          <w:szCs w:val="25"/>
        </w:rPr>
      </w:pPr>
    </w:p>
    <w:p w:rsidR="00F3181C" w:rsidRPr="007A7E2F" w:rsidRDefault="00A125D2" w:rsidP="00204704">
      <w:pPr>
        <w:numPr>
          <w:ilvl w:val="0"/>
          <w:numId w:val="6"/>
        </w:numPr>
        <w:tabs>
          <w:tab w:val="num" w:pos="0"/>
        </w:tabs>
        <w:spacing w:line="288" w:lineRule="auto"/>
        <w:ind w:left="0"/>
        <w:rPr>
          <w:i/>
          <w:sz w:val="25"/>
          <w:szCs w:val="25"/>
        </w:rPr>
      </w:pPr>
      <w:r w:rsidRPr="007A7E2F">
        <w:rPr>
          <w:sz w:val="25"/>
          <w:szCs w:val="25"/>
        </w:rPr>
        <w:t>As the parties requested, we view the revenue requirement adjustments in the conte</w:t>
      </w:r>
      <w:r w:rsidR="00CB5062">
        <w:rPr>
          <w:sz w:val="25"/>
          <w:szCs w:val="25"/>
        </w:rPr>
        <w:t>x</w:t>
      </w:r>
      <w:r w:rsidRPr="007A7E2F">
        <w:rPr>
          <w:sz w:val="25"/>
          <w:szCs w:val="25"/>
        </w:rPr>
        <w:t>t of the total Settlement.  This viewpoint recognizes that settlements, by their very nature, represent compromise</w:t>
      </w:r>
      <w:r w:rsidR="00CB5062">
        <w:rPr>
          <w:sz w:val="25"/>
          <w:szCs w:val="25"/>
        </w:rPr>
        <w:t>s</w:t>
      </w:r>
      <w:r w:rsidRPr="007A7E2F">
        <w:rPr>
          <w:sz w:val="25"/>
          <w:szCs w:val="25"/>
        </w:rPr>
        <w:t xml:space="preserve">.  Our analysis focuses on whether the adjustments, in totality, will result in fair, just, reasonable and sufficient rates.  This analysis is limited by the fact that we have no detail on the non-specific adjustment that results in a $1.2 million reduction to revenue requirement.  </w:t>
      </w:r>
      <w:r w:rsidR="008B3947">
        <w:rPr>
          <w:sz w:val="25"/>
          <w:szCs w:val="25"/>
        </w:rPr>
        <w:t>However, w</w:t>
      </w:r>
      <w:r w:rsidRPr="007A7E2F">
        <w:rPr>
          <w:sz w:val="25"/>
          <w:szCs w:val="25"/>
        </w:rPr>
        <w:t xml:space="preserve">e gain confidence that the overall revenue requirement is reasonable based on two factors.  First, the Company’s as-filed case was designed to increase electric rates by $12.9 million, or 4.3 percent.  In comparison, the Settlement will increase electric rates </w:t>
      </w:r>
      <w:r w:rsidR="0049065B" w:rsidRPr="007A7E2F">
        <w:rPr>
          <w:sz w:val="25"/>
          <w:szCs w:val="25"/>
        </w:rPr>
        <w:t xml:space="preserve">by $4.5 million, or 1.5 percent.  This is a significant reduction from the initial request and one that demonstrates that all parties worked hard to come up with a result that </w:t>
      </w:r>
      <w:r w:rsidR="00122CA1" w:rsidRPr="007A7E2F">
        <w:rPr>
          <w:sz w:val="25"/>
          <w:szCs w:val="25"/>
        </w:rPr>
        <w:t>considers</w:t>
      </w:r>
      <w:r w:rsidR="0049065B" w:rsidRPr="007A7E2F">
        <w:rPr>
          <w:sz w:val="25"/>
          <w:szCs w:val="25"/>
        </w:rPr>
        <w:t xml:space="preserve"> both utility and ratepayer interests.  Second, </w:t>
      </w:r>
      <w:r w:rsidR="007A7E2F" w:rsidRPr="007A7E2F">
        <w:rPr>
          <w:sz w:val="25"/>
          <w:szCs w:val="25"/>
        </w:rPr>
        <w:t xml:space="preserve">earlier in this decision </w:t>
      </w:r>
      <w:r w:rsidR="0049065B" w:rsidRPr="007A7E2F">
        <w:rPr>
          <w:sz w:val="25"/>
          <w:szCs w:val="25"/>
        </w:rPr>
        <w:t xml:space="preserve">we mentioned the range </w:t>
      </w:r>
      <w:r w:rsidR="0049065B" w:rsidRPr="007A7E2F">
        <w:rPr>
          <w:sz w:val="25"/>
          <w:szCs w:val="25"/>
        </w:rPr>
        <w:lastRenderedPageBreak/>
        <w:t xml:space="preserve">of cost reductions </w:t>
      </w:r>
      <w:r w:rsidR="007A7E2F" w:rsidRPr="007A7E2F">
        <w:rPr>
          <w:sz w:val="25"/>
          <w:szCs w:val="25"/>
        </w:rPr>
        <w:t>agreed upon by the parties.  To reiterate, the</w:t>
      </w:r>
      <w:r w:rsidR="008E2566">
        <w:rPr>
          <w:sz w:val="25"/>
          <w:szCs w:val="25"/>
        </w:rPr>
        <w:t xml:space="preserve"> reductions</w:t>
      </w:r>
      <w:r w:rsidR="007A7E2F" w:rsidRPr="007A7E2F">
        <w:rPr>
          <w:sz w:val="25"/>
          <w:szCs w:val="25"/>
        </w:rPr>
        <w:t xml:space="preserve"> range from $2.9 million</w:t>
      </w:r>
      <w:r w:rsidR="00E96B9D">
        <w:rPr>
          <w:sz w:val="25"/>
          <w:szCs w:val="25"/>
        </w:rPr>
        <w:t>,</w:t>
      </w:r>
      <w:r w:rsidR="007A7E2F" w:rsidRPr="007A7E2F">
        <w:rPr>
          <w:sz w:val="25"/>
          <w:szCs w:val="25"/>
        </w:rPr>
        <w:t xml:space="preserve"> as the result of a net power cost update</w:t>
      </w:r>
      <w:r w:rsidR="00E96B9D">
        <w:rPr>
          <w:sz w:val="25"/>
          <w:szCs w:val="25"/>
        </w:rPr>
        <w:t>,</w:t>
      </w:r>
      <w:r w:rsidR="007A7E2F" w:rsidRPr="007A7E2F">
        <w:rPr>
          <w:sz w:val="25"/>
          <w:szCs w:val="25"/>
        </w:rPr>
        <w:t xml:space="preserve"> to $1,268 in </w:t>
      </w:r>
      <w:r w:rsidR="008B3947">
        <w:rPr>
          <w:sz w:val="25"/>
          <w:szCs w:val="25"/>
        </w:rPr>
        <w:t xml:space="preserve">removed </w:t>
      </w:r>
      <w:r w:rsidR="007A7E2F" w:rsidRPr="007A7E2F">
        <w:rPr>
          <w:sz w:val="25"/>
          <w:szCs w:val="25"/>
        </w:rPr>
        <w:t xml:space="preserve">advertising costs.  </w:t>
      </w:r>
      <w:r w:rsidR="004135E2">
        <w:rPr>
          <w:sz w:val="25"/>
          <w:szCs w:val="25"/>
        </w:rPr>
        <w:t>While the latter is minimal in context of the overall revenue requirement, it is nonetheless important because it demonstra</w:t>
      </w:r>
      <w:r w:rsidR="00344E45">
        <w:rPr>
          <w:sz w:val="25"/>
          <w:szCs w:val="25"/>
        </w:rPr>
        <w:t xml:space="preserve">tes the thoroughness with which the parties examined the Company’s costs. </w:t>
      </w:r>
      <w:r w:rsidR="007A7E2F" w:rsidRPr="007A7E2F">
        <w:rPr>
          <w:sz w:val="25"/>
          <w:szCs w:val="25"/>
        </w:rPr>
        <w:t xml:space="preserve"> </w:t>
      </w:r>
      <w:r w:rsidR="00344E45">
        <w:rPr>
          <w:sz w:val="25"/>
          <w:szCs w:val="25"/>
        </w:rPr>
        <w:t>The</w:t>
      </w:r>
      <w:r w:rsidR="007A7E2F" w:rsidRPr="007A7E2F">
        <w:rPr>
          <w:sz w:val="25"/>
          <w:szCs w:val="25"/>
        </w:rPr>
        <w:t xml:space="preserve"> </w:t>
      </w:r>
      <w:r w:rsidR="0049065B" w:rsidRPr="007A7E2F">
        <w:rPr>
          <w:sz w:val="25"/>
          <w:szCs w:val="25"/>
        </w:rPr>
        <w:t xml:space="preserve">range </w:t>
      </w:r>
      <w:r w:rsidR="00344E45">
        <w:rPr>
          <w:sz w:val="25"/>
          <w:szCs w:val="25"/>
        </w:rPr>
        <w:t>in magnitude of the</w:t>
      </w:r>
      <w:r w:rsidR="007A7E2F" w:rsidRPr="007A7E2F">
        <w:rPr>
          <w:sz w:val="25"/>
          <w:szCs w:val="25"/>
        </w:rPr>
        <w:t xml:space="preserve"> cost reductions </w:t>
      </w:r>
      <w:r w:rsidR="00344E45">
        <w:rPr>
          <w:sz w:val="25"/>
          <w:szCs w:val="25"/>
        </w:rPr>
        <w:t xml:space="preserve">agreed to by the parties helps </w:t>
      </w:r>
      <w:r w:rsidR="008B3947">
        <w:rPr>
          <w:sz w:val="25"/>
          <w:szCs w:val="25"/>
        </w:rPr>
        <w:t>assure</w:t>
      </w:r>
      <w:r w:rsidR="0049065B" w:rsidRPr="007A7E2F">
        <w:rPr>
          <w:sz w:val="25"/>
          <w:szCs w:val="25"/>
        </w:rPr>
        <w:t xml:space="preserve"> us that </w:t>
      </w:r>
      <w:r w:rsidR="00344E45">
        <w:rPr>
          <w:sz w:val="25"/>
          <w:szCs w:val="25"/>
        </w:rPr>
        <w:t xml:space="preserve">costs the Company seeks to recover from Washington rate payers have been closely scrutinized and </w:t>
      </w:r>
      <w:r w:rsidR="00E96B9D">
        <w:rPr>
          <w:sz w:val="25"/>
          <w:szCs w:val="25"/>
        </w:rPr>
        <w:t>reflect</w:t>
      </w:r>
      <w:r w:rsidR="00B46E3A">
        <w:rPr>
          <w:sz w:val="25"/>
          <w:szCs w:val="25"/>
        </w:rPr>
        <w:t xml:space="preserve"> recent power cost reductions,</w:t>
      </w:r>
      <w:r w:rsidR="007A7E2F" w:rsidRPr="007A7E2F">
        <w:rPr>
          <w:sz w:val="25"/>
          <w:szCs w:val="25"/>
        </w:rPr>
        <w:t xml:space="preserve"> proper allocat</w:t>
      </w:r>
      <w:r w:rsidR="00E96B9D">
        <w:rPr>
          <w:sz w:val="25"/>
          <w:szCs w:val="25"/>
        </w:rPr>
        <w:t>ion</w:t>
      </w:r>
      <w:r w:rsidR="007A7E2F" w:rsidRPr="007A7E2F">
        <w:rPr>
          <w:sz w:val="25"/>
          <w:szCs w:val="25"/>
        </w:rPr>
        <w:t xml:space="preserve"> to this jurisdiction</w:t>
      </w:r>
      <w:r w:rsidR="00B46E3A">
        <w:rPr>
          <w:sz w:val="25"/>
          <w:szCs w:val="25"/>
        </w:rPr>
        <w:t>,</w:t>
      </w:r>
      <w:r w:rsidR="007A7E2F" w:rsidRPr="007A7E2F">
        <w:rPr>
          <w:sz w:val="25"/>
          <w:szCs w:val="25"/>
        </w:rPr>
        <w:t xml:space="preserve"> and </w:t>
      </w:r>
      <w:r w:rsidR="00B46E3A">
        <w:rPr>
          <w:sz w:val="25"/>
          <w:szCs w:val="25"/>
        </w:rPr>
        <w:t>inclu</w:t>
      </w:r>
      <w:r w:rsidR="00E96B9D">
        <w:rPr>
          <w:sz w:val="25"/>
          <w:szCs w:val="25"/>
        </w:rPr>
        <w:t>sion of</w:t>
      </w:r>
      <w:r w:rsidR="00B46E3A">
        <w:rPr>
          <w:sz w:val="25"/>
          <w:szCs w:val="25"/>
        </w:rPr>
        <w:t xml:space="preserve"> </w:t>
      </w:r>
      <w:r w:rsidR="007A7E2F" w:rsidRPr="007A7E2F">
        <w:rPr>
          <w:sz w:val="25"/>
          <w:szCs w:val="25"/>
        </w:rPr>
        <w:t>cost saving measures</w:t>
      </w:r>
      <w:r w:rsidR="00E96B9D">
        <w:rPr>
          <w:sz w:val="25"/>
          <w:szCs w:val="25"/>
        </w:rPr>
        <w:t>,</w:t>
      </w:r>
      <w:r w:rsidR="007A7E2F" w:rsidRPr="007A7E2F">
        <w:rPr>
          <w:sz w:val="25"/>
          <w:szCs w:val="25"/>
        </w:rPr>
        <w:t xml:space="preserve"> no matter </w:t>
      </w:r>
      <w:r w:rsidR="00E96B9D">
        <w:rPr>
          <w:sz w:val="25"/>
          <w:szCs w:val="25"/>
        </w:rPr>
        <w:t xml:space="preserve">their magnitude. </w:t>
      </w:r>
      <w:r w:rsidR="007A7E2F" w:rsidRPr="007A7E2F">
        <w:rPr>
          <w:sz w:val="25"/>
          <w:szCs w:val="25"/>
        </w:rPr>
        <w:t xml:space="preserve"> The Settlement terms reflect this analysis which, after review, we believe </w:t>
      </w:r>
      <w:r w:rsidR="008E2566">
        <w:rPr>
          <w:sz w:val="25"/>
          <w:szCs w:val="25"/>
        </w:rPr>
        <w:t>achieves</w:t>
      </w:r>
      <w:r w:rsidR="007A7E2F" w:rsidRPr="007A7E2F">
        <w:rPr>
          <w:sz w:val="25"/>
          <w:szCs w:val="25"/>
        </w:rPr>
        <w:t xml:space="preserve"> a balanced and just result </w:t>
      </w:r>
      <w:r w:rsidR="008E2566">
        <w:rPr>
          <w:sz w:val="25"/>
          <w:szCs w:val="25"/>
        </w:rPr>
        <w:t>for</w:t>
      </w:r>
      <w:r w:rsidR="007A7E2F" w:rsidRPr="007A7E2F">
        <w:rPr>
          <w:sz w:val="25"/>
          <w:szCs w:val="25"/>
        </w:rPr>
        <w:t xml:space="preserve"> both the utility and ratepayers.</w:t>
      </w:r>
    </w:p>
    <w:p w:rsidR="00204704" w:rsidRPr="00F3181C" w:rsidRDefault="00204704" w:rsidP="005327A2">
      <w:pPr>
        <w:tabs>
          <w:tab w:val="left" w:pos="0"/>
          <w:tab w:val="num" w:pos="1440"/>
        </w:tabs>
        <w:spacing w:line="288" w:lineRule="auto"/>
        <w:rPr>
          <w:sz w:val="25"/>
          <w:szCs w:val="25"/>
        </w:rPr>
      </w:pPr>
    </w:p>
    <w:p w:rsidR="008C23FE" w:rsidRPr="00865FAC" w:rsidRDefault="00B46E3A" w:rsidP="008C23FE">
      <w:pPr>
        <w:numPr>
          <w:ilvl w:val="0"/>
          <w:numId w:val="6"/>
        </w:numPr>
        <w:tabs>
          <w:tab w:val="num" w:pos="0"/>
        </w:tabs>
        <w:spacing w:line="288" w:lineRule="auto"/>
        <w:ind w:left="0"/>
        <w:rPr>
          <w:sz w:val="25"/>
          <w:szCs w:val="25"/>
        </w:rPr>
      </w:pPr>
      <w:r>
        <w:rPr>
          <w:sz w:val="25"/>
          <w:szCs w:val="25"/>
        </w:rPr>
        <w:t>The parties propose that new rates take effect on  June 1, 2012, or the end of the current suspension period.  We believe that this date re</w:t>
      </w:r>
      <w:r w:rsidR="008B3947">
        <w:rPr>
          <w:sz w:val="25"/>
          <w:szCs w:val="25"/>
        </w:rPr>
        <w:t>flects the efforts of the parties to mitigate the impact of any rate increase</w:t>
      </w:r>
      <w:r>
        <w:rPr>
          <w:sz w:val="25"/>
          <w:szCs w:val="25"/>
        </w:rPr>
        <w:t xml:space="preserve">.  </w:t>
      </w:r>
      <w:r w:rsidR="00A65C9D">
        <w:rPr>
          <w:sz w:val="25"/>
          <w:szCs w:val="25"/>
        </w:rPr>
        <w:t>S</w:t>
      </w:r>
      <w:r>
        <w:rPr>
          <w:sz w:val="25"/>
          <w:szCs w:val="25"/>
        </w:rPr>
        <w:t>ettlement</w:t>
      </w:r>
      <w:r w:rsidR="00A65C9D">
        <w:rPr>
          <w:sz w:val="25"/>
          <w:szCs w:val="25"/>
        </w:rPr>
        <w:t>s</w:t>
      </w:r>
      <w:r>
        <w:rPr>
          <w:sz w:val="25"/>
          <w:szCs w:val="25"/>
        </w:rPr>
        <w:t xml:space="preserve">, such as this one, that include </w:t>
      </w:r>
      <w:r w:rsidR="008B3947">
        <w:rPr>
          <w:sz w:val="25"/>
          <w:szCs w:val="25"/>
        </w:rPr>
        <w:t xml:space="preserve">a </w:t>
      </w:r>
      <w:r>
        <w:rPr>
          <w:sz w:val="25"/>
          <w:szCs w:val="25"/>
        </w:rPr>
        <w:t>significant reduction from the revenue requirement initially sought by the utility could</w:t>
      </w:r>
      <w:r w:rsidR="008B3947">
        <w:rPr>
          <w:sz w:val="25"/>
          <w:szCs w:val="25"/>
        </w:rPr>
        <w:t xml:space="preserve"> have </w:t>
      </w:r>
      <w:r>
        <w:rPr>
          <w:sz w:val="25"/>
          <w:szCs w:val="25"/>
        </w:rPr>
        <w:t>include</w:t>
      </w:r>
      <w:r w:rsidR="008B3947">
        <w:rPr>
          <w:sz w:val="25"/>
          <w:szCs w:val="25"/>
        </w:rPr>
        <w:t>d</w:t>
      </w:r>
      <w:r>
        <w:rPr>
          <w:sz w:val="25"/>
          <w:szCs w:val="25"/>
        </w:rPr>
        <w:t xml:space="preserve"> an earlier rate effective date.  </w:t>
      </w:r>
      <w:r w:rsidR="00A65C9D">
        <w:rPr>
          <w:sz w:val="25"/>
          <w:szCs w:val="25"/>
        </w:rPr>
        <w:t>When this happens</w:t>
      </w:r>
      <w:r>
        <w:rPr>
          <w:sz w:val="25"/>
          <w:szCs w:val="25"/>
        </w:rPr>
        <w:t xml:space="preserve">, any savings </w:t>
      </w:r>
      <w:r w:rsidR="00A65C9D">
        <w:rPr>
          <w:sz w:val="25"/>
          <w:szCs w:val="25"/>
        </w:rPr>
        <w:t xml:space="preserve"> are</w:t>
      </w:r>
      <w:r>
        <w:rPr>
          <w:sz w:val="25"/>
          <w:szCs w:val="25"/>
        </w:rPr>
        <w:t xml:space="preserve"> at least partially offset by having</w:t>
      </w:r>
      <w:r w:rsidR="008B3947">
        <w:rPr>
          <w:sz w:val="25"/>
          <w:szCs w:val="25"/>
        </w:rPr>
        <w:t xml:space="preserve"> the higher rates take effect on an earlier date.  That did not occur in this case.  Particularly in light of the public comments we received opposing any rate increase, this is a reasonable result.</w:t>
      </w:r>
    </w:p>
    <w:p w:rsidR="005327A2" w:rsidRDefault="005327A2" w:rsidP="008C23FE">
      <w:pPr>
        <w:spacing w:line="288" w:lineRule="auto"/>
        <w:ind w:left="-720"/>
        <w:rPr>
          <w:sz w:val="25"/>
          <w:szCs w:val="25"/>
        </w:rPr>
      </w:pPr>
    </w:p>
    <w:p w:rsidR="008C23FE" w:rsidRDefault="00D15E89" w:rsidP="006A6FE8">
      <w:pPr>
        <w:tabs>
          <w:tab w:val="left" w:pos="720"/>
        </w:tabs>
        <w:spacing w:line="288" w:lineRule="auto"/>
        <w:ind w:left="720" w:hanging="360"/>
        <w:rPr>
          <w:b/>
          <w:sz w:val="25"/>
          <w:szCs w:val="25"/>
        </w:rPr>
      </w:pPr>
      <w:r>
        <w:rPr>
          <w:b/>
          <w:sz w:val="25"/>
          <w:szCs w:val="25"/>
        </w:rPr>
        <w:t>D</w:t>
      </w:r>
      <w:r w:rsidR="008C23FE">
        <w:rPr>
          <w:b/>
          <w:sz w:val="25"/>
          <w:szCs w:val="25"/>
        </w:rPr>
        <w:t>.</w:t>
      </w:r>
      <w:r w:rsidR="008C23FE">
        <w:rPr>
          <w:b/>
          <w:sz w:val="25"/>
          <w:szCs w:val="25"/>
        </w:rPr>
        <w:tab/>
      </w:r>
      <w:r w:rsidR="006A6FE8">
        <w:rPr>
          <w:b/>
          <w:sz w:val="25"/>
          <w:szCs w:val="25"/>
        </w:rPr>
        <w:t>REC Revenues</w:t>
      </w:r>
    </w:p>
    <w:p w:rsidR="006A6FE8" w:rsidRDefault="006A6FE8" w:rsidP="006A6FE8">
      <w:pPr>
        <w:tabs>
          <w:tab w:val="left" w:pos="720"/>
        </w:tabs>
        <w:spacing w:line="288" w:lineRule="auto"/>
        <w:ind w:left="720" w:hanging="360"/>
        <w:rPr>
          <w:b/>
          <w:sz w:val="25"/>
          <w:szCs w:val="25"/>
        </w:rPr>
      </w:pPr>
    </w:p>
    <w:p w:rsidR="008C23FE" w:rsidRDefault="008C23FE" w:rsidP="008C23FE">
      <w:pPr>
        <w:numPr>
          <w:ilvl w:val="0"/>
          <w:numId w:val="6"/>
        </w:numPr>
        <w:tabs>
          <w:tab w:val="num" w:pos="0"/>
        </w:tabs>
        <w:spacing w:line="288" w:lineRule="auto"/>
        <w:ind w:left="0"/>
        <w:rPr>
          <w:sz w:val="25"/>
          <w:szCs w:val="25"/>
        </w:rPr>
      </w:pPr>
      <w:r w:rsidRPr="00727532">
        <w:rPr>
          <w:sz w:val="25"/>
          <w:szCs w:val="25"/>
        </w:rPr>
        <w:t xml:space="preserve">All </w:t>
      </w:r>
      <w:r w:rsidR="00A7433C">
        <w:rPr>
          <w:sz w:val="25"/>
          <w:szCs w:val="25"/>
        </w:rPr>
        <w:t>parties agree that REC revenues should not be included in the Settlement because the Commission is considering the appropriate ratemaking treatment for those revenues for periods after January 1, 2009, in a separate proceeding.</w:t>
      </w:r>
      <w:r w:rsidR="00A7433C">
        <w:rPr>
          <w:rStyle w:val="FootnoteReference"/>
          <w:sz w:val="25"/>
          <w:szCs w:val="25"/>
        </w:rPr>
        <w:footnoteReference w:id="61"/>
      </w:r>
      <w:r w:rsidR="00A7433C">
        <w:rPr>
          <w:sz w:val="25"/>
          <w:szCs w:val="25"/>
        </w:rPr>
        <w:t xml:space="preserve">  We conclude that it was reasonable for the parties to exclude these revenues and reserve the right to seek reconsideration, clarification, or judicial review after we have rendered our decision in Phase II of last year’s general rate case.</w:t>
      </w:r>
    </w:p>
    <w:p w:rsidR="005F72C1" w:rsidRDefault="005F72C1">
      <w:pPr>
        <w:rPr>
          <w:sz w:val="25"/>
          <w:szCs w:val="25"/>
        </w:rPr>
      </w:pPr>
      <w:r>
        <w:rPr>
          <w:sz w:val="25"/>
          <w:szCs w:val="25"/>
        </w:rPr>
        <w:br w:type="page"/>
      </w:r>
    </w:p>
    <w:p w:rsidR="00A7433C" w:rsidRPr="00727532" w:rsidRDefault="00A7433C" w:rsidP="00A7433C">
      <w:pPr>
        <w:spacing w:line="288" w:lineRule="auto"/>
        <w:ind w:left="-720"/>
        <w:rPr>
          <w:sz w:val="25"/>
          <w:szCs w:val="25"/>
        </w:rPr>
      </w:pPr>
    </w:p>
    <w:p w:rsidR="008C23FE" w:rsidRDefault="00D15E89" w:rsidP="008C23FE">
      <w:pPr>
        <w:tabs>
          <w:tab w:val="left" w:pos="720"/>
        </w:tabs>
        <w:spacing w:line="288" w:lineRule="auto"/>
        <w:ind w:left="720" w:hanging="360"/>
        <w:rPr>
          <w:b/>
          <w:sz w:val="25"/>
          <w:szCs w:val="25"/>
        </w:rPr>
      </w:pPr>
      <w:r>
        <w:rPr>
          <w:b/>
          <w:sz w:val="25"/>
          <w:szCs w:val="25"/>
        </w:rPr>
        <w:t>E.</w:t>
      </w:r>
      <w:r w:rsidR="008C23FE">
        <w:rPr>
          <w:b/>
          <w:sz w:val="25"/>
          <w:szCs w:val="25"/>
        </w:rPr>
        <w:tab/>
      </w:r>
      <w:r w:rsidR="008C23FE" w:rsidRPr="00D15E89">
        <w:rPr>
          <w:b/>
          <w:sz w:val="25"/>
          <w:szCs w:val="25"/>
        </w:rPr>
        <w:t>R</w:t>
      </w:r>
      <w:r w:rsidRPr="00D15E89">
        <w:rPr>
          <w:b/>
          <w:sz w:val="25"/>
          <w:szCs w:val="25"/>
        </w:rPr>
        <w:t>ate Spread and Rate Design</w:t>
      </w:r>
    </w:p>
    <w:p w:rsidR="008C23FE" w:rsidRDefault="008C23FE" w:rsidP="008C23FE">
      <w:pPr>
        <w:spacing w:line="288" w:lineRule="auto"/>
        <w:ind w:left="1440" w:hanging="1440"/>
        <w:rPr>
          <w:b/>
          <w:sz w:val="25"/>
          <w:szCs w:val="25"/>
        </w:rPr>
      </w:pPr>
    </w:p>
    <w:p w:rsidR="00A7433C" w:rsidRDefault="00A7433C" w:rsidP="00727532">
      <w:pPr>
        <w:numPr>
          <w:ilvl w:val="0"/>
          <w:numId w:val="6"/>
        </w:numPr>
        <w:tabs>
          <w:tab w:val="num" w:pos="0"/>
        </w:tabs>
        <w:spacing w:line="288" w:lineRule="auto"/>
        <w:ind w:left="0"/>
        <w:rPr>
          <w:sz w:val="25"/>
          <w:szCs w:val="25"/>
        </w:rPr>
      </w:pPr>
      <w:r>
        <w:rPr>
          <w:sz w:val="25"/>
          <w:szCs w:val="25"/>
        </w:rPr>
        <w:t>According to the Settlement’s terms, the rate increase will be spread equally to all rate schedules except street lighting which will receive no rate increase</w:t>
      </w:r>
      <w:r w:rsidR="00FE79E8">
        <w:rPr>
          <w:sz w:val="25"/>
          <w:szCs w:val="25"/>
        </w:rPr>
        <w:t xml:space="preserve"> and t</w:t>
      </w:r>
      <w:r>
        <w:rPr>
          <w:sz w:val="25"/>
          <w:szCs w:val="25"/>
        </w:rPr>
        <w:t xml:space="preserve">he residential basic charge will remain at $6.00 per month.  We conclude that this is a reasonable approach to recover the revenue requirement in this proceeding.  As we noted in </w:t>
      </w:r>
      <w:r w:rsidR="00FE79E8">
        <w:rPr>
          <w:sz w:val="25"/>
          <w:szCs w:val="25"/>
        </w:rPr>
        <w:t xml:space="preserve">a </w:t>
      </w:r>
      <w:r>
        <w:rPr>
          <w:sz w:val="25"/>
          <w:szCs w:val="25"/>
        </w:rPr>
        <w:t>previous order</w:t>
      </w:r>
      <w:r w:rsidR="006C26EF">
        <w:rPr>
          <w:sz w:val="25"/>
          <w:szCs w:val="25"/>
        </w:rPr>
        <w:t>,</w:t>
      </w:r>
      <w:r>
        <w:rPr>
          <w:rStyle w:val="FootnoteReference"/>
          <w:sz w:val="25"/>
          <w:szCs w:val="25"/>
        </w:rPr>
        <w:footnoteReference w:id="62"/>
      </w:r>
      <w:r w:rsidR="006C26EF">
        <w:rPr>
          <w:sz w:val="25"/>
          <w:szCs w:val="25"/>
        </w:rPr>
        <w:t xml:space="preserve"> when establishing an appropriate rate spread and rate design we consider not only the cost burden a customer class imposes on a utility but also the principles of rate stability and gradualism.  Especially in light of the difficult economic environment in PacifiCorp’s service territory in Washington, we should maintain the current rate spread and rate design.  This rate configuration imposes an equal burden on all customer classes, except street lighting, and maintains the residential basic charge at its present level.  </w:t>
      </w:r>
      <w:r w:rsidR="00FE79E8">
        <w:rPr>
          <w:sz w:val="25"/>
          <w:szCs w:val="25"/>
        </w:rPr>
        <w:t xml:space="preserve">We conclude that even a small deviation from that rate structure in the current economic environment could be adverse to customers and that the principle of rate stability supports maintaining the </w:t>
      </w:r>
      <w:r w:rsidR="00FE79E8">
        <w:rPr>
          <w:i/>
          <w:sz w:val="25"/>
          <w:szCs w:val="25"/>
        </w:rPr>
        <w:t xml:space="preserve">status </w:t>
      </w:r>
      <w:r w:rsidR="00FE79E8" w:rsidRPr="00FE79E8">
        <w:rPr>
          <w:sz w:val="25"/>
          <w:szCs w:val="25"/>
        </w:rPr>
        <w:t>quo</w:t>
      </w:r>
      <w:r w:rsidR="00FE79E8">
        <w:rPr>
          <w:sz w:val="25"/>
          <w:szCs w:val="25"/>
        </w:rPr>
        <w:t>.</w:t>
      </w:r>
    </w:p>
    <w:p w:rsidR="006C26EF" w:rsidRPr="00FE79E8" w:rsidRDefault="006C26EF" w:rsidP="00FE79E8">
      <w:pPr>
        <w:spacing w:line="288" w:lineRule="auto"/>
        <w:rPr>
          <w:sz w:val="25"/>
          <w:szCs w:val="25"/>
        </w:rPr>
      </w:pPr>
    </w:p>
    <w:p w:rsidR="008C23FE" w:rsidRPr="004152A1" w:rsidRDefault="00D15E89" w:rsidP="008C23FE">
      <w:pPr>
        <w:tabs>
          <w:tab w:val="num" w:pos="360"/>
          <w:tab w:val="left" w:pos="720"/>
        </w:tabs>
        <w:spacing w:line="288" w:lineRule="auto"/>
        <w:ind w:left="720" w:hanging="360"/>
        <w:rPr>
          <w:sz w:val="25"/>
          <w:szCs w:val="25"/>
          <w:u w:val="single"/>
        </w:rPr>
      </w:pPr>
      <w:r>
        <w:rPr>
          <w:b/>
          <w:sz w:val="25"/>
          <w:szCs w:val="25"/>
        </w:rPr>
        <w:t>F.</w:t>
      </w:r>
      <w:r w:rsidR="008C23FE">
        <w:rPr>
          <w:b/>
          <w:sz w:val="25"/>
          <w:szCs w:val="25"/>
        </w:rPr>
        <w:tab/>
      </w:r>
      <w:r>
        <w:rPr>
          <w:b/>
          <w:sz w:val="25"/>
          <w:szCs w:val="25"/>
        </w:rPr>
        <w:t>Low Income Bill Assistance (LIBA)</w:t>
      </w:r>
    </w:p>
    <w:p w:rsidR="008C23FE" w:rsidRPr="004152A1" w:rsidRDefault="008C23FE" w:rsidP="008C23FE">
      <w:pPr>
        <w:spacing w:line="288" w:lineRule="auto"/>
        <w:ind w:left="-1440"/>
        <w:rPr>
          <w:sz w:val="25"/>
          <w:szCs w:val="25"/>
          <w:u w:val="single"/>
        </w:rPr>
      </w:pPr>
    </w:p>
    <w:p w:rsidR="00A66E86" w:rsidRDefault="008C23FE" w:rsidP="008C23FE">
      <w:pPr>
        <w:numPr>
          <w:ilvl w:val="0"/>
          <w:numId w:val="6"/>
        </w:numPr>
        <w:tabs>
          <w:tab w:val="num" w:pos="0"/>
        </w:tabs>
        <w:spacing w:line="288" w:lineRule="auto"/>
        <w:ind w:left="0"/>
        <w:rPr>
          <w:sz w:val="25"/>
          <w:szCs w:val="25"/>
        </w:rPr>
      </w:pPr>
      <w:r>
        <w:rPr>
          <w:sz w:val="25"/>
          <w:szCs w:val="25"/>
        </w:rPr>
        <w:t>T</w:t>
      </w:r>
      <w:r w:rsidRPr="00F45277">
        <w:rPr>
          <w:sz w:val="25"/>
          <w:szCs w:val="25"/>
        </w:rPr>
        <w:t xml:space="preserve">he Settlement provides </w:t>
      </w:r>
      <w:r w:rsidR="00A66E86">
        <w:rPr>
          <w:sz w:val="25"/>
          <w:szCs w:val="25"/>
        </w:rPr>
        <w:t xml:space="preserve">for significant changes to the LIBA program.  Under the proposed Five-Year Plan, eligible clients will gradually transition to a two-year certification process, agency funding for certification will increase, benefits to individual participants will increase, and the residential surcharge funding the LIBA program will increase. </w:t>
      </w:r>
    </w:p>
    <w:p w:rsidR="00A66E86" w:rsidRDefault="00A66E86" w:rsidP="002D1761">
      <w:pPr>
        <w:spacing w:line="288" w:lineRule="auto"/>
        <w:ind w:left="-720"/>
        <w:rPr>
          <w:sz w:val="25"/>
          <w:szCs w:val="25"/>
        </w:rPr>
      </w:pPr>
    </w:p>
    <w:p w:rsidR="00EB15D7" w:rsidRDefault="00A66E86" w:rsidP="008C23FE">
      <w:pPr>
        <w:numPr>
          <w:ilvl w:val="0"/>
          <w:numId w:val="6"/>
        </w:numPr>
        <w:tabs>
          <w:tab w:val="num" w:pos="0"/>
        </w:tabs>
        <w:spacing w:line="288" w:lineRule="auto"/>
        <w:ind w:left="0"/>
        <w:rPr>
          <w:sz w:val="25"/>
          <w:szCs w:val="25"/>
        </w:rPr>
      </w:pPr>
      <w:r>
        <w:rPr>
          <w:sz w:val="25"/>
          <w:szCs w:val="25"/>
        </w:rPr>
        <w:t>In last year’s general rate proceeding, we declined to address certain disputed issues such as the allocation of the LIBA surcharge collection, the interval for eligibility certification, and the level of administrative fees because we were “not convinced that these are appropriate matters for resolution by the Commission through the adjudicative process.”</w:t>
      </w:r>
      <w:r>
        <w:rPr>
          <w:rStyle w:val="FootnoteReference"/>
          <w:sz w:val="25"/>
          <w:szCs w:val="25"/>
        </w:rPr>
        <w:footnoteReference w:id="63"/>
      </w:r>
      <w:r w:rsidR="005F72C1">
        <w:rPr>
          <w:sz w:val="25"/>
          <w:szCs w:val="25"/>
        </w:rPr>
        <w:t xml:space="preserve">  </w:t>
      </w:r>
      <w:r w:rsidR="007E3312">
        <w:rPr>
          <w:sz w:val="25"/>
          <w:szCs w:val="25"/>
        </w:rPr>
        <w:t xml:space="preserve">We concluded that these issues would be more effectively resolved through a collaborative process that included PacifiCorp, The Energy </w:t>
      </w:r>
      <w:r w:rsidR="007E3312">
        <w:rPr>
          <w:sz w:val="25"/>
          <w:szCs w:val="25"/>
        </w:rPr>
        <w:lastRenderedPageBreak/>
        <w:t>Project, Staff, and the agencies that administer the program.</w:t>
      </w:r>
      <w:r w:rsidR="007E3312">
        <w:rPr>
          <w:rStyle w:val="FootnoteReference"/>
          <w:sz w:val="25"/>
          <w:szCs w:val="25"/>
        </w:rPr>
        <w:footnoteReference w:id="64"/>
      </w:r>
      <w:r w:rsidR="00EB15D7">
        <w:rPr>
          <w:sz w:val="25"/>
          <w:szCs w:val="25"/>
        </w:rPr>
        <w:t xml:space="preserve">  We recognized the importance of these issues and required staff to report to us the results of the collaborative process within six months of the date of the Order, or by September 25, 2011.</w:t>
      </w:r>
    </w:p>
    <w:p w:rsidR="00EB15D7" w:rsidRDefault="00EB15D7" w:rsidP="00EB15D7">
      <w:pPr>
        <w:pStyle w:val="ListParagraph"/>
        <w:rPr>
          <w:sz w:val="25"/>
          <w:szCs w:val="25"/>
        </w:rPr>
      </w:pPr>
    </w:p>
    <w:p w:rsidR="0097015A" w:rsidRDefault="00EB15D7" w:rsidP="008C23FE">
      <w:pPr>
        <w:numPr>
          <w:ilvl w:val="0"/>
          <w:numId w:val="6"/>
        </w:numPr>
        <w:tabs>
          <w:tab w:val="num" w:pos="0"/>
        </w:tabs>
        <w:spacing w:line="288" w:lineRule="auto"/>
        <w:ind w:left="0"/>
        <w:rPr>
          <w:sz w:val="25"/>
          <w:szCs w:val="25"/>
        </w:rPr>
      </w:pPr>
      <w:r>
        <w:rPr>
          <w:sz w:val="25"/>
          <w:szCs w:val="25"/>
        </w:rPr>
        <w:t xml:space="preserve">We commend the parties for resolving these issues through </w:t>
      </w:r>
      <w:r w:rsidR="00624FA1">
        <w:rPr>
          <w:sz w:val="25"/>
          <w:szCs w:val="25"/>
        </w:rPr>
        <w:t xml:space="preserve">a non-adjudicative </w:t>
      </w:r>
      <w:r>
        <w:rPr>
          <w:sz w:val="25"/>
          <w:szCs w:val="25"/>
        </w:rPr>
        <w:t>process.</w:t>
      </w:r>
      <w:r w:rsidR="00624FA1">
        <w:rPr>
          <w:sz w:val="25"/>
          <w:szCs w:val="25"/>
        </w:rPr>
        <w:t xml:space="preserve"> </w:t>
      </w:r>
      <w:r w:rsidR="005F72C1">
        <w:rPr>
          <w:sz w:val="25"/>
          <w:szCs w:val="25"/>
        </w:rPr>
        <w:t xml:space="preserve"> </w:t>
      </w:r>
      <w:r w:rsidR="00624FA1">
        <w:rPr>
          <w:sz w:val="25"/>
          <w:szCs w:val="25"/>
        </w:rPr>
        <w:t xml:space="preserve">While many customers are adversely affected by an increase in their electricity rates, we recognize that the customers eligible for the LIBA program are the most dramatically affected by a rate increase and </w:t>
      </w:r>
      <w:r w:rsidR="00B40F07">
        <w:rPr>
          <w:sz w:val="25"/>
          <w:szCs w:val="25"/>
        </w:rPr>
        <w:t>are</w:t>
      </w:r>
      <w:r w:rsidR="00624FA1">
        <w:rPr>
          <w:sz w:val="25"/>
          <w:szCs w:val="25"/>
        </w:rPr>
        <w:t xml:space="preserve"> the least </w:t>
      </w:r>
      <w:r w:rsidR="00B40F07">
        <w:rPr>
          <w:sz w:val="25"/>
          <w:szCs w:val="25"/>
        </w:rPr>
        <w:t>capable of absorbing any rate increase in their monthly income.  Accordingly, changes to the LIBA Program that reduce the administrative burden of annual certification and increase benefits should provide welcome respite to participating customers.  Conversely, the increase to the Schedule 91 residential surcharge, eight cents per month, imposes a minimal burden on the customers funding the progr</w:t>
      </w:r>
      <w:r w:rsidR="0097015A">
        <w:rPr>
          <w:sz w:val="25"/>
          <w:szCs w:val="25"/>
        </w:rPr>
        <w:t>am.</w:t>
      </w:r>
    </w:p>
    <w:p w:rsidR="0097015A" w:rsidRDefault="0097015A" w:rsidP="0097015A">
      <w:pPr>
        <w:pStyle w:val="ListParagraph"/>
        <w:rPr>
          <w:sz w:val="25"/>
          <w:szCs w:val="25"/>
        </w:rPr>
      </w:pPr>
    </w:p>
    <w:p w:rsidR="008C23FE" w:rsidRDefault="0097015A" w:rsidP="008C23FE">
      <w:pPr>
        <w:numPr>
          <w:ilvl w:val="0"/>
          <w:numId w:val="6"/>
        </w:numPr>
        <w:tabs>
          <w:tab w:val="num" w:pos="0"/>
        </w:tabs>
        <w:spacing w:line="288" w:lineRule="auto"/>
        <w:ind w:left="0"/>
        <w:rPr>
          <w:sz w:val="25"/>
          <w:szCs w:val="25"/>
        </w:rPr>
      </w:pPr>
      <w:r>
        <w:rPr>
          <w:sz w:val="25"/>
          <w:szCs w:val="25"/>
        </w:rPr>
        <w:t>The Five-Year Plan also recognizes th</w:t>
      </w:r>
      <w:r w:rsidR="000478F1">
        <w:rPr>
          <w:sz w:val="25"/>
          <w:szCs w:val="25"/>
        </w:rPr>
        <w:t>at the agencies that administer the program are experiencing increasing costs associated with the certification process.  Accordingly, the Five-Year Plan gradually increases the agency funding for client certification.</w:t>
      </w:r>
    </w:p>
    <w:p w:rsidR="00C779A5" w:rsidRDefault="00C779A5" w:rsidP="00C6329C">
      <w:pPr>
        <w:pStyle w:val="ListParagraph"/>
        <w:rPr>
          <w:sz w:val="25"/>
          <w:szCs w:val="25"/>
        </w:rPr>
      </w:pPr>
    </w:p>
    <w:p w:rsidR="00C779A5" w:rsidRDefault="00C779A5" w:rsidP="008C23FE">
      <w:pPr>
        <w:numPr>
          <w:ilvl w:val="0"/>
          <w:numId w:val="6"/>
        </w:numPr>
        <w:tabs>
          <w:tab w:val="num" w:pos="0"/>
        </w:tabs>
        <w:spacing w:line="288" w:lineRule="auto"/>
        <w:ind w:left="0"/>
        <w:rPr>
          <w:sz w:val="25"/>
          <w:szCs w:val="25"/>
        </w:rPr>
      </w:pPr>
      <w:r>
        <w:rPr>
          <w:sz w:val="25"/>
          <w:szCs w:val="25"/>
        </w:rPr>
        <w:t xml:space="preserve">In sum, we find that the low income bill assistance provisions of the Settlement are important, and we welcome this result crafted by the parties.  They certainly further the public interest, particularly as these difficult economic times continue. </w:t>
      </w:r>
    </w:p>
    <w:p w:rsidR="005327A2" w:rsidRPr="00F45277" w:rsidRDefault="005327A2" w:rsidP="008C23FE">
      <w:pPr>
        <w:spacing w:line="288" w:lineRule="auto"/>
        <w:ind w:left="-720"/>
        <w:rPr>
          <w:sz w:val="25"/>
          <w:szCs w:val="25"/>
        </w:rPr>
      </w:pPr>
    </w:p>
    <w:p w:rsidR="008C23FE" w:rsidRPr="00E37DFE" w:rsidRDefault="00D15E89" w:rsidP="008C23FE">
      <w:pPr>
        <w:tabs>
          <w:tab w:val="num" w:pos="360"/>
          <w:tab w:val="left" w:pos="720"/>
        </w:tabs>
        <w:spacing w:line="288" w:lineRule="auto"/>
        <w:ind w:left="720" w:hanging="360"/>
        <w:rPr>
          <w:b/>
          <w:sz w:val="25"/>
          <w:szCs w:val="25"/>
        </w:rPr>
      </w:pPr>
      <w:r>
        <w:rPr>
          <w:b/>
          <w:sz w:val="25"/>
          <w:szCs w:val="25"/>
        </w:rPr>
        <w:t>G.</w:t>
      </w:r>
      <w:r>
        <w:rPr>
          <w:b/>
          <w:sz w:val="25"/>
          <w:szCs w:val="25"/>
        </w:rPr>
        <w:tab/>
        <w:t>Stay-out Provision and Post-settlement Collaborative Process</w:t>
      </w:r>
    </w:p>
    <w:p w:rsidR="008C23FE" w:rsidRPr="00E37DFE" w:rsidRDefault="008C23FE" w:rsidP="008C23FE">
      <w:pPr>
        <w:spacing w:line="288" w:lineRule="auto"/>
        <w:ind w:left="720"/>
        <w:rPr>
          <w:b/>
          <w:sz w:val="25"/>
          <w:szCs w:val="25"/>
        </w:rPr>
      </w:pPr>
    </w:p>
    <w:p w:rsidR="008C23FE" w:rsidRDefault="008C23FE" w:rsidP="00727532">
      <w:pPr>
        <w:numPr>
          <w:ilvl w:val="0"/>
          <w:numId w:val="6"/>
        </w:numPr>
        <w:tabs>
          <w:tab w:val="num" w:pos="0"/>
        </w:tabs>
        <w:spacing w:line="288" w:lineRule="auto"/>
        <w:ind w:left="0"/>
        <w:rPr>
          <w:sz w:val="25"/>
          <w:szCs w:val="25"/>
        </w:rPr>
      </w:pPr>
      <w:r w:rsidRPr="00F45277">
        <w:rPr>
          <w:sz w:val="25"/>
          <w:szCs w:val="25"/>
        </w:rPr>
        <w:t xml:space="preserve">The </w:t>
      </w:r>
      <w:r w:rsidR="000B13AD">
        <w:rPr>
          <w:sz w:val="25"/>
          <w:szCs w:val="25"/>
        </w:rPr>
        <w:t xml:space="preserve">Company agrees that it will not file a request for general rate relief before January 1, 2013.  We construe this component of the Settlement as providing significant benefit to ratepayers.  One of the recurring concerns expressed by ratepayers is PacifiCorp’s almost annual requests for rate increases in recent years.  Under this provision, ratepayers would be assured that </w:t>
      </w:r>
      <w:r w:rsidR="004918A2">
        <w:rPr>
          <w:sz w:val="25"/>
          <w:szCs w:val="25"/>
        </w:rPr>
        <w:t xml:space="preserve">the Company </w:t>
      </w:r>
      <w:r w:rsidR="000B13AD">
        <w:rPr>
          <w:sz w:val="25"/>
          <w:szCs w:val="25"/>
        </w:rPr>
        <w:t xml:space="preserve">would not </w:t>
      </w:r>
      <w:r w:rsidR="004918A2">
        <w:rPr>
          <w:sz w:val="25"/>
          <w:szCs w:val="25"/>
        </w:rPr>
        <w:t>file a</w:t>
      </w:r>
      <w:r w:rsidR="000B13AD">
        <w:rPr>
          <w:sz w:val="25"/>
          <w:szCs w:val="25"/>
        </w:rPr>
        <w:t xml:space="preserve"> request for rate relief for a</w:t>
      </w:r>
      <w:r w:rsidR="004918A2">
        <w:rPr>
          <w:sz w:val="25"/>
          <w:szCs w:val="25"/>
        </w:rPr>
        <w:t xml:space="preserve"> minimum of </w:t>
      </w:r>
      <w:r w:rsidR="000B13AD">
        <w:rPr>
          <w:sz w:val="25"/>
          <w:szCs w:val="25"/>
        </w:rPr>
        <w:t>7 months</w:t>
      </w:r>
      <w:r w:rsidR="00C6329C">
        <w:rPr>
          <w:sz w:val="25"/>
          <w:szCs w:val="25"/>
        </w:rPr>
        <w:t>.</w:t>
      </w:r>
      <w:r w:rsidR="004918A2">
        <w:rPr>
          <w:sz w:val="25"/>
          <w:szCs w:val="25"/>
        </w:rPr>
        <w:t xml:space="preserve"> </w:t>
      </w:r>
      <w:r w:rsidR="005F72C1">
        <w:rPr>
          <w:sz w:val="25"/>
          <w:szCs w:val="25"/>
        </w:rPr>
        <w:t xml:space="preserve"> </w:t>
      </w:r>
      <w:r w:rsidR="004918A2">
        <w:rPr>
          <w:sz w:val="25"/>
          <w:szCs w:val="25"/>
        </w:rPr>
        <w:t xml:space="preserve">While ratepayers and others may well prefer a longer period of time in between requests for rate relief, we recognize that this stay-out provision represents a significant concession on behalf of the </w:t>
      </w:r>
      <w:r w:rsidR="004918A2">
        <w:rPr>
          <w:sz w:val="25"/>
          <w:szCs w:val="25"/>
        </w:rPr>
        <w:lastRenderedPageBreak/>
        <w:t>Company.  For example, in the last settlement proceeding in which we considered a stay-out provision for PacifiCorp, that period was approximately one month.</w:t>
      </w:r>
      <w:r w:rsidR="004918A2">
        <w:rPr>
          <w:rStyle w:val="FootnoteReference"/>
          <w:sz w:val="25"/>
          <w:szCs w:val="25"/>
        </w:rPr>
        <w:footnoteReference w:id="65"/>
      </w:r>
      <w:r w:rsidR="004918A2">
        <w:rPr>
          <w:sz w:val="25"/>
          <w:szCs w:val="25"/>
        </w:rPr>
        <w:t xml:space="preserve">  The stay-out provision in this agreement represents a significant improvement over the previous </w:t>
      </w:r>
      <w:r w:rsidR="004918A2">
        <w:rPr>
          <w:i/>
          <w:sz w:val="25"/>
          <w:szCs w:val="25"/>
        </w:rPr>
        <w:t xml:space="preserve">de minimis </w:t>
      </w:r>
      <w:r w:rsidR="002474B6">
        <w:rPr>
          <w:sz w:val="25"/>
          <w:szCs w:val="25"/>
        </w:rPr>
        <w:t>hiatus.</w:t>
      </w:r>
    </w:p>
    <w:p w:rsidR="004918A2" w:rsidRDefault="004918A2" w:rsidP="00AA0120">
      <w:pPr>
        <w:spacing w:line="288" w:lineRule="auto"/>
        <w:ind w:left="-720"/>
        <w:rPr>
          <w:sz w:val="25"/>
          <w:szCs w:val="25"/>
        </w:rPr>
      </w:pPr>
    </w:p>
    <w:p w:rsidR="00C779A5" w:rsidRDefault="0091333C" w:rsidP="00727532">
      <w:pPr>
        <w:numPr>
          <w:ilvl w:val="0"/>
          <w:numId w:val="6"/>
        </w:numPr>
        <w:tabs>
          <w:tab w:val="num" w:pos="0"/>
        </w:tabs>
        <w:spacing w:line="288" w:lineRule="auto"/>
        <w:ind w:left="0"/>
        <w:rPr>
          <w:sz w:val="25"/>
          <w:szCs w:val="25"/>
        </w:rPr>
      </w:pPr>
      <w:r>
        <w:rPr>
          <w:sz w:val="25"/>
          <w:szCs w:val="25"/>
        </w:rPr>
        <w:t xml:space="preserve">As part of the overall Settlement, </w:t>
      </w:r>
      <w:r w:rsidR="00235DE9">
        <w:rPr>
          <w:sz w:val="25"/>
          <w:szCs w:val="25"/>
        </w:rPr>
        <w:t xml:space="preserve"> the parties agree to engage in a</w:t>
      </w:r>
      <w:r w:rsidR="004918A2">
        <w:rPr>
          <w:sz w:val="25"/>
          <w:szCs w:val="25"/>
        </w:rPr>
        <w:t xml:space="preserve"> collaborative process on a variety of topics</w:t>
      </w:r>
      <w:r w:rsidR="00235DE9">
        <w:rPr>
          <w:sz w:val="25"/>
          <w:szCs w:val="25"/>
        </w:rPr>
        <w:t xml:space="preserve">.  </w:t>
      </w:r>
      <w:r w:rsidR="00C779A5">
        <w:rPr>
          <w:sz w:val="25"/>
          <w:szCs w:val="25"/>
        </w:rPr>
        <w:t xml:space="preserve">We understand that many of these issues are very important to the Company.  Indeed, counsel for the Company expressed gratitude to all the parties for including </w:t>
      </w:r>
    </w:p>
    <w:p w:rsidR="00C779A5" w:rsidRDefault="00C779A5" w:rsidP="00C779A5"/>
    <w:p w:rsidR="00C779A5" w:rsidRPr="00F23EA9" w:rsidRDefault="00C779A5" w:rsidP="00C779A5">
      <w:pPr>
        <w:ind w:left="720"/>
        <w:rPr>
          <w:rFonts w:eastAsia="Calibri"/>
          <w:sz w:val="25"/>
          <w:szCs w:val="25"/>
        </w:rPr>
      </w:pPr>
      <w:r w:rsidRPr="00F23EA9">
        <w:rPr>
          <w:rFonts w:eastAsia="Calibri"/>
          <w:sz w:val="25"/>
          <w:szCs w:val="25"/>
        </w:rPr>
        <w:t>[I]t allows time for a collaborative process to work on the set of very important policy issues; issues which are difficult to move forward while a rate case is pending. On this latter point, we want to specifically express our appreciation to the parties for their willingness to commit resources to the collaborative process.  Working together, we hope to make real progress on the policy issues listed in Paragraph 28 of the stipulation, with the goal of breaking the annual rate case cycle and making future rate cases less complex and litigious.</w:t>
      </w:r>
      <w:r w:rsidRPr="00F23EA9">
        <w:rPr>
          <w:rStyle w:val="FootnoteReference"/>
          <w:rFonts w:eastAsia="Calibri"/>
          <w:sz w:val="25"/>
          <w:szCs w:val="25"/>
        </w:rPr>
        <w:footnoteReference w:id="66"/>
      </w:r>
    </w:p>
    <w:p w:rsidR="00C779A5" w:rsidRDefault="00C779A5" w:rsidP="005F72C1">
      <w:pPr>
        <w:spacing w:line="288" w:lineRule="auto"/>
        <w:ind w:left="-720"/>
        <w:rPr>
          <w:sz w:val="25"/>
          <w:szCs w:val="25"/>
        </w:rPr>
      </w:pPr>
    </w:p>
    <w:p w:rsidR="00AA0120" w:rsidRDefault="00C779A5" w:rsidP="00727532">
      <w:pPr>
        <w:numPr>
          <w:ilvl w:val="0"/>
          <w:numId w:val="6"/>
        </w:numPr>
        <w:tabs>
          <w:tab w:val="num" w:pos="0"/>
        </w:tabs>
        <w:spacing w:line="288" w:lineRule="auto"/>
        <w:ind w:left="0"/>
        <w:rPr>
          <w:sz w:val="25"/>
          <w:szCs w:val="25"/>
        </w:rPr>
      </w:pPr>
      <w:r>
        <w:rPr>
          <w:sz w:val="25"/>
          <w:szCs w:val="25"/>
        </w:rPr>
        <w:t xml:space="preserve">We </w:t>
      </w:r>
      <w:r w:rsidR="00235DE9">
        <w:rPr>
          <w:sz w:val="25"/>
          <w:szCs w:val="25"/>
        </w:rPr>
        <w:t>will not</w:t>
      </w:r>
      <w:r>
        <w:rPr>
          <w:sz w:val="25"/>
          <w:szCs w:val="25"/>
        </w:rPr>
        <w:t xml:space="preserve">, at this time, </w:t>
      </w:r>
      <w:r w:rsidR="00235DE9">
        <w:rPr>
          <w:sz w:val="25"/>
          <w:szCs w:val="25"/>
        </w:rPr>
        <w:t>individually address those topics, save one</w:t>
      </w:r>
      <w:r w:rsidR="0091333C">
        <w:rPr>
          <w:sz w:val="25"/>
          <w:szCs w:val="25"/>
        </w:rPr>
        <w:t xml:space="preserve"> described below.  However, we </w:t>
      </w:r>
      <w:r w:rsidR="00AA0120">
        <w:rPr>
          <w:sz w:val="25"/>
          <w:szCs w:val="25"/>
        </w:rPr>
        <w:t xml:space="preserve">applaud the parties’ efforts to address issues outside of the adjudicatory process.  We believe that the collaborative process will afford all affected parties the opportunity to fully explore options unburdened by the procedural constraints of a litigated proceeding and in a more open and non-confrontational environment.  </w:t>
      </w:r>
      <w:r w:rsidR="0091333C">
        <w:rPr>
          <w:sz w:val="25"/>
          <w:szCs w:val="25"/>
        </w:rPr>
        <w:t xml:space="preserve">These are significant issues, and we look forward to hearing of the results. </w:t>
      </w:r>
      <w:r w:rsidR="005F72C1">
        <w:rPr>
          <w:sz w:val="25"/>
          <w:szCs w:val="25"/>
        </w:rPr>
        <w:t xml:space="preserve"> </w:t>
      </w:r>
      <w:r w:rsidR="00AA0120">
        <w:rPr>
          <w:sz w:val="25"/>
          <w:szCs w:val="25"/>
        </w:rPr>
        <w:t>As noted in the Settlement, if these efforts stall or fail, the parties may request an Administrative Law Judge to facilitate the process</w:t>
      </w:r>
      <w:r w:rsidR="0091333C">
        <w:rPr>
          <w:sz w:val="25"/>
          <w:szCs w:val="25"/>
        </w:rPr>
        <w:t>, and we would respond favorably to such a request.</w:t>
      </w:r>
    </w:p>
    <w:p w:rsidR="005327A2" w:rsidRDefault="005327A2">
      <w:pPr>
        <w:rPr>
          <w:sz w:val="25"/>
          <w:szCs w:val="25"/>
        </w:rPr>
      </w:pPr>
      <w:r>
        <w:rPr>
          <w:sz w:val="25"/>
          <w:szCs w:val="25"/>
        </w:rPr>
        <w:br w:type="page"/>
      </w:r>
    </w:p>
    <w:p w:rsidR="00AA0120" w:rsidRDefault="00AA0120" w:rsidP="00AA0120">
      <w:pPr>
        <w:pStyle w:val="ListParagraph"/>
        <w:rPr>
          <w:sz w:val="25"/>
          <w:szCs w:val="25"/>
        </w:rPr>
      </w:pPr>
    </w:p>
    <w:p w:rsidR="00727532" w:rsidRDefault="00AA0120" w:rsidP="00727532">
      <w:pPr>
        <w:numPr>
          <w:ilvl w:val="0"/>
          <w:numId w:val="6"/>
        </w:numPr>
        <w:tabs>
          <w:tab w:val="num" w:pos="0"/>
        </w:tabs>
        <w:spacing w:line="288" w:lineRule="auto"/>
        <w:ind w:left="0"/>
        <w:rPr>
          <w:sz w:val="25"/>
          <w:szCs w:val="25"/>
        </w:rPr>
      </w:pPr>
      <w:r>
        <w:rPr>
          <w:sz w:val="25"/>
          <w:szCs w:val="25"/>
        </w:rPr>
        <w:t xml:space="preserve">We address one topic scheduled for the collaborative process, the WCA inter-jurisdictional allocation review, because the parties have an outstanding request for Commission participation at a workshop scheduled for April 5, 2012.  Specifically, the parties request Commission guidance on the intent, scope, and content of the WCA review and report.  </w:t>
      </w:r>
    </w:p>
    <w:p w:rsidR="00AA0120" w:rsidRDefault="00AA0120" w:rsidP="00AA0120">
      <w:pPr>
        <w:pStyle w:val="ListParagraph"/>
        <w:rPr>
          <w:sz w:val="25"/>
          <w:szCs w:val="25"/>
        </w:rPr>
      </w:pPr>
    </w:p>
    <w:p w:rsidR="00AA0120" w:rsidRPr="0007172E" w:rsidRDefault="00E6568C" w:rsidP="00727532">
      <w:pPr>
        <w:numPr>
          <w:ilvl w:val="0"/>
          <w:numId w:val="6"/>
        </w:numPr>
        <w:tabs>
          <w:tab w:val="num" w:pos="0"/>
        </w:tabs>
        <w:spacing w:line="288" w:lineRule="auto"/>
        <w:ind w:left="0"/>
        <w:rPr>
          <w:sz w:val="25"/>
          <w:szCs w:val="25"/>
        </w:rPr>
      </w:pPr>
      <w:r w:rsidRPr="0007172E">
        <w:rPr>
          <w:sz w:val="25"/>
          <w:szCs w:val="25"/>
        </w:rPr>
        <w:t>In Docket UE-061546, we approved PacifiCorp’s request to adopt the WCA inter-jurisdictional allocation methodology, with two revisions proposed by Commission Staff.</w:t>
      </w:r>
      <w:r>
        <w:rPr>
          <w:rStyle w:val="FootnoteReference"/>
          <w:sz w:val="25"/>
          <w:szCs w:val="25"/>
        </w:rPr>
        <w:footnoteReference w:id="67"/>
      </w:r>
      <w:r w:rsidRPr="0007172E">
        <w:rPr>
          <w:sz w:val="25"/>
          <w:szCs w:val="25"/>
        </w:rPr>
        <w:t xml:space="preserve">  We also approved PacifiCorp’s recommended five-year trial period.</w:t>
      </w:r>
      <w:r>
        <w:rPr>
          <w:rStyle w:val="FootnoteReference"/>
          <w:sz w:val="25"/>
          <w:szCs w:val="25"/>
        </w:rPr>
        <w:footnoteReference w:id="68"/>
      </w:r>
      <w:r w:rsidRPr="0007172E">
        <w:rPr>
          <w:sz w:val="25"/>
          <w:szCs w:val="25"/>
        </w:rPr>
        <w:t xml:space="preserve">  The five-year review that is the subject of the workshop scheduled for April 5, 2012, is the review that was contemplated at the end of the trial period.  Accordingly, we believe that PacifiCorp and Staff’s request for Commission participation is premature.  At this juncture, we are not in a position to offer guidance</w:t>
      </w:r>
      <w:r w:rsidR="0007172E" w:rsidRPr="0007172E">
        <w:rPr>
          <w:sz w:val="25"/>
          <w:szCs w:val="25"/>
        </w:rPr>
        <w:t xml:space="preserve">.  What we foresee the parties exploring at this time is an evaluation of the methodology proposed by PacifiCorp five years ago </w:t>
      </w:r>
      <w:r w:rsidR="00690406">
        <w:rPr>
          <w:sz w:val="25"/>
          <w:szCs w:val="25"/>
        </w:rPr>
        <w:t xml:space="preserve">including </w:t>
      </w:r>
      <w:r w:rsidR="0007172E" w:rsidRPr="0007172E">
        <w:rPr>
          <w:sz w:val="25"/>
          <w:szCs w:val="25"/>
        </w:rPr>
        <w:t xml:space="preserve">an evaluation of the pros and cons on the continued use, modification, or substitution of that methodology in future proceedings.  </w:t>
      </w:r>
      <w:r w:rsidR="0007172E">
        <w:rPr>
          <w:sz w:val="25"/>
          <w:szCs w:val="25"/>
        </w:rPr>
        <w:t xml:space="preserve">The best guidance for that effort is probably the parties’ review of the record in </w:t>
      </w:r>
      <w:r w:rsidR="00690406">
        <w:rPr>
          <w:sz w:val="25"/>
          <w:szCs w:val="25"/>
        </w:rPr>
        <w:t xml:space="preserve">the </w:t>
      </w:r>
      <w:r w:rsidR="0007172E">
        <w:rPr>
          <w:sz w:val="25"/>
          <w:szCs w:val="25"/>
        </w:rPr>
        <w:t xml:space="preserve">docket which initiated the use of this methodology and its five-year trial period.  </w:t>
      </w:r>
      <w:r w:rsidR="0007172E" w:rsidRPr="0007172E">
        <w:rPr>
          <w:sz w:val="25"/>
          <w:szCs w:val="25"/>
        </w:rPr>
        <w:t>While we will not participate in the upcoming April 5, 2012, workshop, we remain open to future requests for guidance should the need arise</w:t>
      </w:r>
      <w:r w:rsidR="00690406">
        <w:rPr>
          <w:sz w:val="25"/>
          <w:szCs w:val="25"/>
        </w:rPr>
        <w:t xml:space="preserve"> and our guidance may take some form other than participation in a workshop</w:t>
      </w:r>
      <w:r w:rsidR="0007172E" w:rsidRPr="0007172E">
        <w:rPr>
          <w:sz w:val="25"/>
          <w:szCs w:val="25"/>
        </w:rPr>
        <w:t xml:space="preserve">.  </w:t>
      </w:r>
    </w:p>
    <w:p w:rsidR="00D15E89" w:rsidRDefault="00D15E89" w:rsidP="00D15E89">
      <w:pPr>
        <w:pStyle w:val="ListParagraph"/>
        <w:rPr>
          <w:sz w:val="25"/>
          <w:szCs w:val="25"/>
        </w:rPr>
      </w:pPr>
    </w:p>
    <w:p w:rsidR="00D15E89" w:rsidRDefault="00D15E89" w:rsidP="00727532">
      <w:pPr>
        <w:tabs>
          <w:tab w:val="num" w:pos="720"/>
        </w:tabs>
        <w:spacing w:line="288" w:lineRule="auto"/>
        <w:ind w:left="360"/>
        <w:rPr>
          <w:b/>
          <w:sz w:val="25"/>
          <w:szCs w:val="25"/>
        </w:rPr>
      </w:pPr>
      <w:r w:rsidRPr="00D15E89">
        <w:rPr>
          <w:b/>
          <w:sz w:val="25"/>
          <w:szCs w:val="25"/>
        </w:rPr>
        <w:t>H.  Extension of WCA Inter-jurisdictional Allocation Methodology Review</w:t>
      </w:r>
    </w:p>
    <w:p w:rsidR="00D15E89" w:rsidRDefault="00D15E89" w:rsidP="00D15E89">
      <w:pPr>
        <w:pStyle w:val="ListParagraph"/>
        <w:rPr>
          <w:b/>
          <w:sz w:val="25"/>
          <w:szCs w:val="25"/>
        </w:rPr>
      </w:pPr>
    </w:p>
    <w:p w:rsidR="00D15E89" w:rsidRPr="009F538A" w:rsidRDefault="00D15E89" w:rsidP="0007172E">
      <w:pPr>
        <w:numPr>
          <w:ilvl w:val="0"/>
          <w:numId w:val="6"/>
        </w:numPr>
        <w:tabs>
          <w:tab w:val="clear" w:pos="720"/>
          <w:tab w:val="left" w:pos="0"/>
          <w:tab w:val="num" w:pos="360"/>
        </w:tabs>
        <w:spacing w:line="288" w:lineRule="auto"/>
        <w:ind w:left="0"/>
        <w:rPr>
          <w:b/>
          <w:sz w:val="25"/>
          <w:szCs w:val="25"/>
        </w:rPr>
      </w:pPr>
      <w:r>
        <w:rPr>
          <w:sz w:val="25"/>
          <w:szCs w:val="25"/>
        </w:rPr>
        <w:t xml:space="preserve">The </w:t>
      </w:r>
      <w:r w:rsidR="0007172E">
        <w:rPr>
          <w:sz w:val="25"/>
          <w:szCs w:val="25"/>
        </w:rPr>
        <w:t xml:space="preserve">parties request that the deadline for concluding the five-year review of the WCA inter-jurisdictional methodology be extended from June 2012 to January 2013.  This request is reasonable and we extend the deadline for submitting the review filing until January </w:t>
      </w:r>
      <w:r w:rsidR="00D646D2">
        <w:rPr>
          <w:sz w:val="25"/>
          <w:szCs w:val="25"/>
        </w:rPr>
        <w:t>31, 2013.  We recognize that the parties have undertaken an ambitious list of topics for the collaborative process and extending the deadline for this filing will allow them to take full advantage of that process.</w:t>
      </w:r>
    </w:p>
    <w:p w:rsidR="009F538A" w:rsidRDefault="009F538A" w:rsidP="00D646D2">
      <w:pPr>
        <w:tabs>
          <w:tab w:val="num" w:pos="720"/>
        </w:tabs>
        <w:spacing w:line="288" w:lineRule="auto"/>
        <w:ind w:left="360"/>
        <w:rPr>
          <w:b/>
          <w:sz w:val="25"/>
          <w:szCs w:val="25"/>
        </w:rPr>
      </w:pPr>
    </w:p>
    <w:p w:rsidR="009F538A" w:rsidRPr="00474578" w:rsidRDefault="009F538A" w:rsidP="00474578">
      <w:pPr>
        <w:pStyle w:val="ListParagraph"/>
        <w:numPr>
          <w:ilvl w:val="0"/>
          <w:numId w:val="31"/>
        </w:numPr>
        <w:tabs>
          <w:tab w:val="num" w:pos="720"/>
        </w:tabs>
        <w:spacing w:line="288" w:lineRule="auto"/>
        <w:rPr>
          <w:b/>
          <w:sz w:val="25"/>
          <w:szCs w:val="25"/>
        </w:rPr>
      </w:pPr>
      <w:r w:rsidRPr="00474578">
        <w:rPr>
          <w:b/>
          <w:sz w:val="25"/>
          <w:szCs w:val="25"/>
        </w:rPr>
        <w:lastRenderedPageBreak/>
        <w:t>Executive Compensation Report</w:t>
      </w:r>
    </w:p>
    <w:p w:rsidR="00474578" w:rsidRPr="00474578" w:rsidRDefault="00474578" w:rsidP="00474578">
      <w:pPr>
        <w:tabs>
          <w:tab w:val="num" w:pos="720"/>
        </w:tabs>
        <w:spacing w:line="288" w:lineRule="auto"/>
        <w:ind w:left="360"/>
        <w:rPr>
          <w:b/>
          <w:sz w:val="25"/>
          <w:szCs w:val="25"/>
        </w:rPr>
      </w:pPr>
    </w:p>
    <w:p w:rsidR="009F538A" w:rsidRPr="00D15E89" w:rsidRDefault="00474578" w:rsidP="00D646D2">
      <w:pPr>
        <w:numPr>
          <w:ilvl w:val="0"/>
          <w:numId w:val="6"/>
        </w:numPr>
        <w:tabs>
          <w:tab w:val="clear" w:pos="720"/>
          <w:tab w:val="left" w:pos="0"/>
          <w:tab w:val="num" w:pos="360"/>
        </w:tabs>
        <w:spacing w:line="288" w:lineRule="auto"/>
        <w:ind w:left="0"/>
        <w:rPr>
          <w:b/>
          <w:sz w:val="25"/>
          <w:szCs w:val="25"/>
        </w:rPr>
      </w:pPr>
      <w:r>
        <w:rPr>
          <w:sz w:val="25"/>
          <w:szCs w:val="25"/>
        </w:rPr>
        <w:t xml:space="preserve">PacifiCorp agrees to work with Public Counsel, and other parties if requested, to develop a report on executive compensation practices and accounting.  The report will be provided to the parties no later than 30 days prior to the Company filing its next request for general rate relief.  Two topics, (1) the appropriate level of executive compensation, and (2) the allocation of the costs associated with that compensation between ratepayers and shareholders, have arisen in recent rate cases involving all major electric utilities in Washington.  We conclude that gathering more information on this subject in advance of an adjudicatory proceeding would facilitate its review and would enhance the record in the next rate case. </w:t>
      </w:r>
    </w:p>
    <w:p w:rsidR="00D15E89" w:rsidRDefault="00D15E89" w:rsidP="00D15E89">
      <w:pPr>
        <w:pStyle w:val="ListParagraph"/>
        <w:rPr>
          <w:b/>
          <w:sz w:val="25"/>
          <w:szCs w:val="25"/>
        </w:rPr>
      </w:pPr>
    </w:p>
    <w:p w:rsidR="008C23FE" w:rsidRPr="00727532" w:rsidRDefault="00727532" w:rsidP="00727532">
      <w:pPr>
        <w:tabs>
          <w:tab w:val="num" w:pos="720"/>
        </w:tabs>
        <w:spacing w:line="288" w:lineRule="auto"/>
        <w:ind w:left="360"/>
        <w:rPr>
          <w:b/>
          <w:sz w:val="25"/>
          <w:szCs w:val="25"/>
        </w:rPr>
      </w:pPr>
      <w:r>
        <w:rPr>
          <w:b/>
          <w:sz w:val="25"/>
          <w:szCs w:val="25"/>
        </w:rPr>
        <w:t>J</w:t>
      </w:r>
      <w:r w:rsidR="008C23FE" w:rsidRPr="00D15E89">
        <w:rPr>
          <w:b/>
          <w:sz w:val="25"/>
          <w:szCs w:val="25"/>
        </w:rPr>
        <w:t>.</w:t>
      </w:r>
      <w:r w:rsidR="008C23FE" w:rsidRPr="00D15E89">
        <w:rPr>
          <w:b/>
          <w:sz w:val="25"/>
          <w:szCs w:val="25"/>
        </w:rPr>
        <w:tab/>
      </w:r>
      <w:r w:rsidR="008C23FE" w:rsidRPr="00727532">
        <w:rPr>
          <w:b/>
          <w:sz w:val="25"/>
          <w:szCs w:val="25"/>
        </w:rPr>
        <w:t>Conclusion</w:t>
      </w:r>
    </w:p>
    <w:p w:rsidR="008C23FE" w:rsidRPr="00E37DFE" w:rsidRDefault="008C23FE" w:rsidP="008C23FE">
      <w:pPr>
        <w:spacing w:line="288" w:lineRule="auto"/>
        <w:ind w:left="720"/>
        <w:rPr>
          <w:b/>
          <w:sz w:val="25"/>
          <w:szCs w:val="25"/>
        </w:rPr>
      </w:pPr>
    </w:p>
    <w:p w:rsidR="008C23FE" w:rsidRDefault="008C23FE" w:rsidP="008C23FE">
      <w:pPr>
        <w:numPr>
          <w:ilvl w:val="0"/>
          <w:numId w:val="6"/>
        </w:numPr>
        <w:tabs>
          <w:tab w:val="num" w:pos="0"/>
        </w:tabs>
        <w:spacing w:line="288" w:lineRule="auto"/>
        <w:ind w:left="0"/>
        <w:rPr>
          <w:sz w:val="25"/>
          <w:szCs w:val="25"/>
        </w:rPr>
      </w:pPr>
      <w:r>
        <w:rPr>
          <w:sz w:val="25"/>
          <w:szCs w:val="25"/>
        </w:rPr>
        <w:t>In summary, a</w:t>
      </w:r>
      <w:r w:rsidRPr="003B3FFC">
        <w:rPr>
          <w:sz w:val="25"/>
          <w:szCs w:val="25"/>
        </w:rPr>
        <w:t xml:space="preserve">ll parties to this proceeding support the </w:t>
      </w:r>
      <w:r>
        <w:rPr>
          <w:sz w:val="25"/>
          <w:szCs w:val="25"/>
        </w:rPr>
        <w:t>S</w:t>
      </w:r>
      <w:r w:rsidRPr="003B3FFC">
        <w:rPr>
          <w:sz w:val="25"/>
          <w:szCs w:val="25"/>
        </w:rPr>
        <w:t xml:space="preserve">ettlement because it produces rates </w:t>
      </w:r>
      <w:r w:rsidR="00474578">
        <w:rPr>
          <w:sz w:val="25"/>
          <w:szCs w:val="25"/>
        </w:rPr>
        <w:t xml:space="preserve">that are just, fair, reasonable, and sufficient.  We conclude that the Settlement is lawful, consistent with public policy, and supported by the evidence in the record.  </w:t>
      </w:r>
      <w:r w:rsidR="00CC4437">
        <w:rPr>
          <w:sz w:val="25"/>
          <w:szCs w:val="25"/>
        </w:rPr>
        <w:t xml:space="preserve">Considering all the information available in the record, we find and conclude that our approval and adoption of the Settlement is in the public interest. </w:t>
      </w:r>
    </w:p>
    <w:p w:rsidR="00FD1384" w:rsidRDefault="00FD1384" w:rsidP="00FD1384">
      <w:pPr>
        <w:spacing w:line="288" w:lineRule="auto"/>
        <w:ind w:left="-720"/>
        <w:rPr>
          <w:sz w:val="25"/>
          <w:szCs w:val="25"/>
        </w:rPr>
      </w:pPr>
    </w:p>
    <w:p w:rsidR="00FD1384" w:rsidRPr="003B3FFC" w:rsidRDefault="00FD1384" w:rsidP="008C23FE">
      <w:pPr>
        <w:numPr>
          <w:ilvl w:val="0"/>
          <w:numId w:val="6"/>
        </w:numPr>
        <w:tabs>
          <w:tab w:val="num" w:pos="0"/>
        </w:tabs>
        <w:spacing w:line="288" w:lineRule="auto"/>
        <w:ind w:left="0"/>
        <w:rPr>
          <w:sz w:val="25"/>
          <w:szCs w:val="25"/>
        </w:rPr>
      </w:pPr>
      <w:r>
        <w:rPr>
          <w:sz w:val="25"/>
          <w:szCs w:val="25"/>
        </w:rPr>
        <w:t>We deny, without prejudice, the request for Commission participation at the April 5, 2012, workshop regarding the WCA Inter-jurisdictional allocation methodology.  We grant the parties’ request to extend the deadline for submitting a review filing.  That deadline is extended from June 2012 to January 31, 2013.</w:t>
      </w:r>
    </w:p>
    <w:p w:rsidR="008C23FE" w:rsidRPr="00ED0E34" w:rsidRDefault="008C23FE" w:rsidP="008C23FE">
      <w:pPr>
        <w:pStyle w:val="Heading1"/>
        <w:spacing w:line="288" w:lineRule="auto"/>
        <w:jc w:val="center"/>
        <w:rPr>
          <w:rFonts w:ascii="Times New Roman Bold" w:hAnsi="Times New Roman Bold" w:cs="Times New Roman"/>
          <w:color w:val="auto"/>
          <w:sz w:val="25"/>
          <w:szCs w:val="25"/>
          <w:u w:val="single"/>
        </w:rPr>
      </w:pPr>
      <w:bookmarkStart w:id="11" w:name="_Toc155670924"/>
      <w:r w:rsidRPr="00ED0E34">
        <w:rPr>
          <w:rFonts w:ascii="Times New Roman Bold" w:hAnsi="Times New Roman Bold" w:cs="Times New Roman"/>
          <w:color w:val="auto"/>
          <w:sz w:val="25"/>
          <w:szCs w:val="25"/>
          <w:u w:val="single"/>
        </w:rPr>
        <w:t>FINDINGS OF FACT</w:t>
      </w:r>
      <w:bookmarkEnd w:id="11"/>
    </w:p>
    <w:p w:rsidR="008C23FE" w:rsidRPr="00C34B05" w:rsidRDefault="008C23FE" w:rsidP="008C23FE">
      <w:pPr>
        <w:spacing w:line="288" w:lineRule="auto"/>
        <w:rPr>
          <w:sz w:val="25"/>
          <w:szCs w:val="25"/>
        </w:rPr>
      </w:pPr>
    </w:p>
    <w:p w:rsidR="008C23FE" w:rsidRPr="00C34B05" w:rsidRDefault="008C23FE" w:rsidP="008C23FE">
      <w:pPr>
        <w:numPr>
          <w:ilvl w:val="0"/>
          <w:numId w:val="6"/>
        </w:numPr>
        <w:tabs>
          <w:tab w:val="num" w:pos="0"/>
        </w:tabs>
        <w:spacing w:line="288" w:lineRule="auto"/>
        <w:ind w:left="0"/>
        <w:rPr>
          <w:color w:val="000000"/>
          <w:sz w:val="25"/>
          <w:szCs w:val="25"/>
        </w:rPr>
      </w:pPr>
      <w:r w:rsidRPr="00C34B05">
        <w:rPr>
          <w:sz w:val="25"/>
          <w:szCs w:val="25"/>
        </w:rPr>
        <w:t>Having discussed above in detail the evidence received in this proceeding concerning all material matters</w:t>
      </w:r>
      <w:r w:rsidR="002474B6">
        <w:rPr>
          <w:sz w:val="25"/>
          <w:szCs w:val="25"/>
        </w:rPr>
        <w:t xml:space="preserve"> </w:t>
      </w:r>
      <w:r w:rsidRPr="00C34B05">
        <w:rPr>
          <w:sz w:val="25"/>
          <w:szCs w:val="25"/>
        </w:rPr>
        <w:t>the Commission now makes and enters the following summary of those facts, incorporating by reference pertinent portions of the preceding detailed findings:</w:t>
      </w:r>
    </w:p>
    <w:p w:rsidR="008C23FE" w:rsidRDefault="008C23FE" w:rsidP="008C23FE">
      <w:pPr>
        <w:spacing w:line="288" w:lineRule="auto"/>
        <w:rPr>
          <w:color w:val="000000"/>
          <w:sz w:val="25"/>
          <w:szCs w:val="25"/>
        </w:rPr>
      </w:pPr>
    </w:p>
    <w:p w:rsidR="003E50BC" w:rsidRPr="00C34B05" w:rsidRDefault="003E50BC" w:rsidP="008C23FE">
      <w:pPr>
        <w:spacing w:line="288" w:lineRule="auto"/>
        <w:rPr>
          <w:color w:val="000000"/>
          <w:sz w:val="25"/>
          <w:szCs w:val="25"/>
        </w:rPr>
      </w:pPr>
    </w:p>
    <w:p w:rsidR="008C23FE" w:rsidRPr="00C34B05" w:rsidRDefault="008C23FE" w:rsidP="008C23FE">
      <w:pPr>
        <w:numPr>
          <w:ilvl w:val="0"/>
          <w:numId w:val="6"/>
        </w:numPr>
        <w:tabs>
          <w:tab w:val="num" w:pos="0"/>
        </w:tabs>
        <w:spacing w:line="288" w:lineRule="auto"/>
        <w:ind w:hanging="1440"/>
        <w:rPr>
          <w:bCs/>
          <w:color w:val="000000"/>
          <w:sz w:val="25"/>
          <w:szCs w:val="25"/>
        </w:rPr>
      </w:pPr>
      <w:r w:rsidRPr="00C34B05">
        <w:rPr>
          <w:sz w:val="25"/>
          <w:szCs w:val="25"/>
        </w:rPr>
        <w:lastRenderedPageBreak/>
        <w:t>(1)</w:t>
      </w:r>
      <w:r w:rsidRPr="00C34B05">
        <w:rPr>
          <w:sz w:val="25"/>
          <w:szCs w:val="25"/>
        </w:rPr>
        <w:tab/>
        <w:t>The Washington Utilities and Transportation Commission is an agency of the State of Washington, vested by statute with authority to regulate rates, rules, regulations, practices, and accounts of public service companies, including electrical companies</w:t>
      </w:r>
      <w:r w:rsidRPr="00C34B05">
        <w:rPr>
          <w:i/>
          <w:iCs/>
          <w:sz w:val="25"/>
          <w:szCs w:val="25"/>
        </w:rPr>
        <w:t>.</w:t>
      </w:r>
    </w:p>
    <w:p w:rsidR="008C23FE" w:rsidRPr="00C34B05" w:rsidRDefault="008C23FE" w:rsidP="008C23FE">
      <w:pPr>
        <w:spacing w:line="288" w:lineRule="auto"/>
        <w:rPr>
          <w:bCs/>
          <w:color w:val="000000"/>
          <w:sz w:val="25"/>
          <w:szCs w:val="25"/>
        </w:rPr>
      </w:pPr>
    </w:p>
    <w:p w:rsidR="008C23FE" w:rsidRPr="00C34B05" w:rsidRDefault="008C23FE" w:rsidP="008C23FE">
      <w:pPr>
        <w:numPr>
          <w:ilvl w:val="0"/>
          <w:numId w:val="6"/>
        </w:numPr>
        <w:tabs>
          <w:tab w:val="num" w:pos="0"/>
        </w:tabs>
        <w:spacing w:line="288" w:lineRule="auto"/>
        <w:ind w:hanging="1440"/>
        <w:rPr>
          <w:bCs/>
          <w:color w:val="000000"/>
          <w:sz w:val="25"/>
          <w:szCs w:val="25"/>
        </w:rPr>
      </w:pPr>
      <w:r w:rsidRPr="00C34B05">
        <w:rPr>
          <w:sz w:val="25"/>
          <w:szCs w:val="25"/>
        </w:rPr>
        <w:t>(</w:t>
      </w:r>
      <w:r w:rsidRPr="00C34B05">
        <w:rPr>
          <w:bCs/>
          <w:color w:val="000000"/>
          <w:sz w:val="25"/>
          <w:szCs w:val="25"/>
        </w:rPr>
        <w:t>2)</w:t>
      </w:r>
      <w:r w:rsidRPr="00C34B05">
        <w:rPr>
          <w:bCs/>
          <w:color w:val="000000"/>
          <w:sz w:val="25"/>
          <w:szCs w:val="25"/>
        </w:rPr>
        <w:tab/>
      </w:r>
      <w:r>
        <w:rPr>
          <w:color w:val="000000"/>
          <w:sz w:val="25"/>
          <w:szCs w:val="25"/>
        </w:rPr>
        <w:t>PacifiCorp</w:t>
      </w:r>
      <w:r w:rsidRPr="00C34B05">
        <w:rPr>
          <w:sz w:val="25"/>
          <w:szCs w:val="25"/>
        </w:rPr>
        <w:t xml:space="preserve"> is a “public service company” and an “electrical company” as those terms are defined in RCW 80.04.010 and as those terms otherwise are used in Title 80 RCW.  </w:t>
      </w:r>
      <w:r>
        <w:rPr>
          <w:sz w:val="25"/>
          <w:szCs w:val="25"/>
        </w:rPr>
        <w:t>PacifiCorp</w:t>
      </w:r>
      <w:r w:rsidRPr="00C34B05">
        <w:rPr>
          <w:sz w:val="25"/>
          <w:szCs w:val="25"/>
        </w:rPr>
        <w:t xml:space="preserve"> is engaged in Washington State in the business of supplying utility services and commodities to the public for compensation.</w:t>
      </w:r>
    </w:p>
    <w:p w:rsidR="008C23FE" w:rsidRPr="00C34B05" w:rsidRDefault="008C23FE" w:rsidP="008C23FE">
      <w:pPr>
        <w:spacing w:line="288" w:lineRule="auto"/>
        <w:rPr>
          <w:bCs/>
          <w:color w:val="000000"/>
          <w:sz w:val="25"/>
          <w:szCs w:val="25"/>
        </w:rPr>
      </w:pPr>
    </w:p>
    <w:p w:rsidR="008C23FE" w:rsidRPr="00E95855" w:rsidRDefault="008C23FE" w:rsidP="008C23FE">
      <w:pPr>
        <w:numPr>
          <w:ilvl w:val="0"/>
          <w:numId w:val="6"/>
        </w:numPr>
        <w:tabs>
          <w:tab w:val="num" w:pos="0"/>
        </w:tabs>
        <w:spacing w:line="288" w:lineRule="auto"/>
        <w:ind w:hanging="1440"/>
        <w:rPr>
          <w:sz w:val="25"/>
          <w:szCs w:val="25"/>
        </w:rPr>
      </w:pPr>
      <w:r>
        <w:t>(3)</w:t>
      </w:r>
      <w:r>
        <w:tab/>
      </w:r>
      <w:r w:rsidRPr="00E95855">
        <w:rPr>
          <w:sz w:val="25"/>
          <w:szCs w:val="25"/>
        </w:rPr>
        <w:t xml:space="preserve">The parties </w:t>
      </w:r>
      <w:r>
        <w:rPr>
          <w:sz w:val="25"/>
          <w:szCs w:val="25"/>
        </w:rPr>
        <w:t>propose to resolve</w:t>
      </w:r>
      <w:r w:rsidRPr="00E95855">
        <w:rPr>
          <w:sz w:val="25"/>
          <w:szCs w:val="25"/>
        </w:rPr>
        <w:t xml:space="preserve"> the issues in this proceeding via</w:t>
      </w:r>
      <w:r>
        <w:rPr>
          <w:sz w:val="25"/>
          <w:szCs w:val="25"/>
        </w:rPr>
        <w:t xml:space="preserve"> the Commission’s approval and adoption of</w:t>
      </w:r>
      <w:r w:rsidR="002474B6">
        <w:rPr>
          <w:sz w:val="25"/>
          <w:szCs w:val="25"/>
        </w:rPr>
        <w:t xml:space="preserve"> </w:t>
      </w:r>
      <w:r>
        <w:rPr>
          <w:sz w:val="25"/>
          <w:szCs w:val="25"/>
        </w:rPr>
        <w:t xml:space="preserve">their Settlement filed on </w:t>
      </w:r>
      <w:r w:rsidR="00C00B47">
        <w:rPr>
          <w:sz w:val="25"/>
          <w:szCs w:val="25"/>
        </w:rPr>
        <w:t>February 21, 2012</w:t>
      </w:r>
      <w:r>
        <w:rPr>
          <w:sz w:val="25"/>
          <w:szCs w:val="25"/>
        </w:rPr>
        <w:t>, which is attached to, and made a part of, this Order.</w:t>
      </w:r>
    </w:p>
    <w:p w:rsidR="008C23FE" w:rsidRPr="00D74A2D" w:rsidRDefault="008C23FE" w:rsidP="008C23FE">
      <w:pPr>
        <w:pStyle w:val="FindingsConclusions"/>
        <w:numPr>
          <w:ilvl w:val="0"/>
          <w:numId w:val="0"/>
        </w:numPr>
        <w:spacing w:line="288" w:lineRule="auto"/>
        <w:rPr>
          <w:sz w:val="25"/>
          <w:szCs w:val="25"/>
        </w:rPr>
      </w:pPr>
    </w:p>
    <w:p w:rsidR="008C23FE" w:rsidRPr="00D74A2D" w:rsidRDefault="008C23FE" w:rsidP="008C23FE">
      <w:pPr>
        <w:numPr>
          <w:ilvl w:val="0"/>
          <w:numId w:val="6"/>
        </w:numPr>
        <w:tabs>
          <w:tab w:val="num" w:pos="0"/>
        </w:tabs>
        <w:spacing w:line="288" w:lineRule="auto"/>
        <w:ind w:hanging="1440"/>
        <w:rPr>
          <w:sz w:val="25"/>
          <w:szCs w:val="25"/>
        </w:rPr>
      </w:pPr>
      <w:r>
        <w:rPr>
          <w:sz w:val="25"/>
          <w:szCs w:val="25"/>
        </w:rPr>
        <w:t>(4)</w:t>
      </w:r>
      <w:r>
        <w:rPr>
          <w:sz w:val="25"/>
          <w:szCs w:val="25"/>
        </w:rPr>
        <w:tab/>
      </w:r>
      <w:r w:rsidRPr="00D74A2D">
        <w:rPr>
          <w:sz w:val="25"/>
          <w:szCs w:val="25"/>
        </w:rPr>
        <w:t>The existing rates for electric service</w:t>
      </w:r>
      <w:r w:rsidR="002474B6">
        <w:rPr>
          <w:sz w:val="25"/>
          <w:szCs w:val="25"/>
        </w:rPr>
        <w:t xml:space="preserve"> </w:t>
      </w:r>
      <w:r w:rsidRPr="00D74A2D">
        <w:rPr>
          <w:sz w:val="25"/>
          <w:szCs w:val="25"/>
        </w:rPr>
        <w:t xml:space="preserve">provided in Washington by </w:t>
      </w:r>
      <w:r>
        <w:rPr>
          <w:color w:val="000000"/>
          <w:sz w:val="25"/>
          <w:szCs w:val="25"/>
        </w:rPr>
        <w:t>PacifiCorp</w:t>
      </w:r>
      <w:r w:rsidRPr="00D74A2D">
        <w:rPr>
          <w:sz w:val="25"/>
          <w:szCs w:val="25"/>
        </w:rPr>
        <w:t xml:space="preserve"> are insufficient to yield reasonable compensation for the service</w:t>
      </w:r>
      <w:r>
        <w:rPr>
          <w:sz w:val="25"/>
          <w:szCs w:val="25"/>
        </w:rPr>
        <w:t>s</w:t>
      </w:r>
      <w:r w:rsidRPr="00D74A2D">
        <w:rPr>
          <w:sz w:val="25"/>
          <w:szCs w:val="25"/>
        </w:rPr>
        <w:t xml:space="preserve"> rendered.  </w:t>
      </w:r>
      <w:r>
        <w:rPr>
          <w:color w:val="000000"/>
          <w:sz w:val="25"/>
          <w:szCs w:val="25"/>
        </w:rPr>
        <w:t>PacifiCorp</w:t>
      </w:r>
      <w:r w:rsidRPr="00D74A2D">
        <w:rPr>
          <w:sz w:val="25"/>
          <w:szCs w:val="25"/>
        </w:rPr>
        <w:t xml:space="preserve"> requires prospective relief with</w:t>
      </w:r>
      <w:r w:rsidR="002474B6">
        <w:rPr>
          <w:sz w:val="25"/>
          <w:szCs w:val="25"/>
        </w:rPr>
        <w:t xml:space="preserve"> </w:t>
      </w:r>
      <w:r w:rsidRPr="00D74A2D">
        <w:rPr>
          <w:sz w:val="25"/>
          <w:szCs w:val="25"/>
        </w:rPr>
        <w:t>respect to the rates it charges for electric service provided in Washington.</w:t>
      </w:r>
    </w:p>
    <w:p w:rsidR="008C23FE" w:rsidRPr="00D74A2D" w:rsidRDefault="008C23FE" w:rsidP="008C23FE">
      <w:pPr>
        <w:pStyle w:val="FindingsConclusions"/>
        <w:numPr>
          <w:ilvl w:val="0"/>
          <w:numId w:val="0"/>
        </w:numPr>
        <w:spacing w:line="288" w:lineRule="auto"/>
        <w:rPr>
          <w:sz w:val="25"/>
          <w:szCs w:val="25"/>
        </w:rPr>
      </w:pPr>
    </w:p>
    <w:p w:rsidR="008C23FE" w:rsidRDefault="008C23FE" w:rsidP="008C23FE">
      <w:pPr>
        <w:numPr>
          <w:ilvl w:val="0"/>
          <w:numId w:val="6"/>
        </w:numPr>
        <w:tabs>
          <w:tab w:val="num" w:pos="0"/>
        </w:tabs>
        <w:spacing w:line="288" w:lineRule="auto"/>
        <w:ind w:hanging="1440"/>
        <w:rPr>
          <w:sz w:val="25"/>
          <w:szCs w:val="25"/>
        </w:rPr>
      </w:pPr>
      <w:r>
        <w:rPr>
          <w:sz w:val="25"/>
          <w:szCs w:val="25"/>
        </w:rPr>
        <w:t>(5)</w:t>
      </w:r>
      <w:r>
        <w:rPr>
          <w:sz w:val="25"/>
          <w:szCs w:val="25"/>
        </w:rPr>
        <w:tab/>
      </w:r>
      <w:r w:rsidRPr="00D74A2D">
        <w:rPr>
          <w:sz w:val="25"/>
          <w:szCs w:val="25"/>
        </w:rPr>
        <w:t xml:space="preserve">The rates, terms, and conditions of service that result from adoption of the </w:t>
      </w:r>
      <w:r w:rsidRPr="00E21F02">
        <w:rPr>
          <w:color w:val="000000"/>
          <w:sz w:val="25"/>
          <w:szCs w:val="25"/>
        </w:rPr>
        <w:t>Settlement</w:t>
      </w:r>
      <w:r w:rsidRPr="00D74A2D">
        <w:rPr>
          <w:sz w:val="25"/>
          <w:szCs w:val="25"/>
        </w:rPr>
        <w:t xml:space="preserve"> that </w:t>
      </w:r>
      <w:r>
        <w:rPr>
          <w:sz w:val="25"/>
          <w:szCs w:val="25"/>
        </w:rPr>
        <w:t xml:space="preserve">is </w:t>
      </w:r>
      <w:r w:rsidRPr="00D74A2D">
        <w:rPr>
          <w:sz w:val="25"/>
          <w:szCs w:val="25"/>
        </w:rPr>
        <w:t xml:space="preserve">attached to this Order </w:t>
      </w:r>
      <w:r>
        <w:rPr>
          <w:sz w:val="25"/>
          <w:szCs w:val="25"/>
        </w:rPr>
        <w:t xml:space="preserve">results in rates for </w:t>
      </w:r>
      <w:r>
        <w:rPr>
          <w:color w:val="000000"/>
          <w:sz w:val="25"/>
          <w:szCs w:val="25"/>
        </w:rPr>
        <w:t>PacifiCorp</w:t>
      </w:r>
      <w:r>
        <w:rPr>
          <w:sz w:val="25"/>
          <w:szCs w:val="25"/>
        </w:rPr>
        <w:t xml:space="preserve"> that</w:t>
      </w:r>
      <w:r w:rsidRPr="00D74A2D">
        <w:rPr>
          <w:sz w:val="25"/>
          <w:szCs w:val="25"/>
        </w:rPr>
        <w:t xml:space="preserve"> are fair, just, reasonable, and sufficient.</w:t>
      </w:r>
    </w:p>
    <w:p w:rsidR="008C23FE" w:rsidRDefault="008C23FE" w:rsidP="008C23FE">
      <w:pPr>
        <w:pStyle w:val="ListParagraph"/>
        <w:rPr>
          <w:sz w:val="25"/>
          <w:szCs w:val="25"/>
        </w:rPr>
      </w:pPr>
    </w:p>
    <w:p w:rsidR="008C23FE" w:rsidRPr="00C00B47" w:rsidRDefault="008C23FE" w:rsidP="008C23FE">
      <w:pPr>
        <w:numPr>
          <w:ilvl w:val="0"/>
          <w:numId w:val="6"/>
        </w:numPr>
        <w:tabs>
          <w:tab w:val="num" w:pos="0"/>
        </w:tabs>
        <w:spacing w:line="288" w:lineRule="auto"/>
        <w:ind w:hanging="1440"/>
        <w:rPr>
          <w:sz w:val="25"/>
          <w:szCs w:val="25"/>
        </w:rPr>
      </w:pPr>
      <w:r w:rsidRPr="00C00B47">
        <w:rPr>
          <w:sz w:val="25"/>
          <w:szCs w:val="25"/>
        </w:rPr>
        <w:t>(6)</w:t>
      </w:r>
      <w:r w:rsidRPr="00C00B47">
        <w:rPr>
          <w:sz w:val="25"/>
          <w:szCs w:val="25"/>
        </w:rPr>
        <w:tab/>
      </w:r>
      <w:r w:rsidR="00C00B47">
        <w:rPr>
          <w:sz w:val="25"/>
          <w:szCs w:val="25"/>
        </w:rPr>
        <w:t>T</w:t>
      </w:r>
      <w:r w:rsidRPr="00C00B47">
        <w:rPr>
          <w:sz w:val="25"/>
          <w:szCs w:val="25"/>
        </w:rPr>
        <w:t>he rates, terms, and conditions of service that result from adoption of the Settlement Stipulation are neither unduly preferential nor discriminatory.</w:t>
      </w:r>
    </w:p>
    <w:p w:rsidR="008C23FE" w:rsidRPr="00D74A2D" w:rsidRDefault="008C23FE" w:rsidP="008C23FE">
      <w:pPr>
        <w:spacing w:line="288" w:lineRule="auto"/>
        <w:rPr>
          <w:sz w:val="25"/>
          <w:szCs w:val="25"/>
        </w:rPr>
      </w:pPr>
    </w:p>
    <w:p w:rsidR="008C23FE" w:rsidRDefault="008C23FE" w:rsidP="008C23FE">
      <w:pPr>
        <w:numPr>
          <w:ilvl w:val="0"/>
          <w:numId w:val="6"/>
        </w:numPr>
        <w:tabs>
          <w:tab w:val="num" w:pos="0"/>
        </w:tabs>
        <w:spacing w:line="288" w:lineRule="auto"/>
        <w:ind w:hanging="1440"/>
        <w:rPr>
          <w:sz w:val="25"/>
          <w:szCs w:val="25"/>
        </w:rPr>
      </w:pPr>
      <w:r>
        <w:rPr>
          <w:sz w:val="25"/>
          <w:szCs w:val="25"/>
        </w:rPr>
        <w:t>(</w:t>
      </w:r>
      <w:r w:rsidR="00C00B47">
        <w:rPr>
          <w:sz w:val="25"/>
          <w:szCs w:val="25"/>
        </w:rPr>
        <w:t>7</w:t>
      </w:r>
      <w:r>
        <w:rPr>
          <w:sz w:val="25"/>
          <w:szCs w:val="25"/>
        </w:rPr>
        <w:t>)</w:t>
      </w:r>
      <w:r>
        <w:rPr>
          <w:sz w:val="25"/>
          <w:szCs w:val="25"/>
        </w:rPr>
        <w:tab/>
        <w:t>The Commission’s approval and adoption of t</w:t>
      </w:r>
      <w:r w:rsidRPr="00D74A2D">
        <w:rPr>
          <w:sz w:val="25"/>
          <w:szCs w:val="25"/>
        </w:rPr>
        <w:t xml:space="preserve">he </w:t>
      </w:r>
      <w:r>
        <w:rPr>
          <w:sz w:val="25"/>
          <w:szCs w:val="25"/>
        </w:rPr>
        <w:t>S</w:t>
      </w:r>
      <w:r w:rsidRPr="00D74A2D">
        <w:rPr>
          <w:sz w:val="25"/>
          <w:szCs w:val="25"/>
        </w:rPr>
        <w:t xml:space="preserve">ettlement </w:t>
      </w:r>
      <w:r>
        <w:rPr>
          <w:sz w:val="25"/>
          <w:szCs w:val="25"/>
        </w:rPr>
        <w:t>S</w:t>
      </w:r>
      <w:r w:rsidRPr="00D74A2D">
        <w:rPr>
          <w:sz w:val="25"/>
          <w:szCs w:val="25"/>
        </w:rPr>
        <w:t>tipulation</w:t>
      </w:r>
      <w:r>
        <w:rPr>
          <w:sz w:val="25"/>
          <w:szCs w:val="25"/>
        </w:rPr>
        <w:t xml:space="preserve"> attached to, and </w:t>
      </w:r>
      <w:r w:rsidRPr="00D74A2D">
        <w:rPr>
          <w:sz w:val="25"/>
          <w:szCs w:val="25"/>
        </w:rPr>
        <w:t>discussed in</w:t>
      </w:r>
      <w:r>
        <w:rPr>
          <w:sz w:val="25"/>
          <w:szCs w:val="25"/>
        </w:rPr>
        <w:t>,</w:t>
      </w:r>
      <w:r w:rsidRPr="00D74A2D">
        <w:rPr>
          <w:sz w:val="25"/>
          <w:szCs w:val="25"/>
        </w:rPr>
        <w:t xml:space="preserve"> the </w:t>
      </w:r>
      <w:r w:rsidRPr="00E21F02">
        <w:rPr>
          <w:color w:val="000000"/>
          <w:sz w:val="25"/>
          <w:szCs w:val="25"/>
        </w:rPr>
        <w:t>body</w:t>
      </w:r>
      <w:r w:rsidRPr="00D74A2D">
        <w:rPr>
          <w:sz w:val="25"/>
          <w:szCs w:val="25"/>
        </w:rPr>
        <w:t xml:space="preserve"> of this Order </w:t>
      </w:r>
      <w:r>
        <w:rPr>
          <w:sz w:val="25"/>
          <w:szCs w:val="25"/>
        </w:rPr>
        <w:t>are</w:t>
      </w:r>
      <w:r w:rsidRPr="00D74A2D">
        <w:rPr>
          <w:sz w:val="25"/>
          <w:szCs w:val="25"/>
        </w:rPr>
        <w:t xml:space="preserve"> in the public interest.</w:t>
      </w:r>
    </w:p>
    <w:p w:rsidR="00A54463" w:rsidRDefault="00A54463" w:rsidP="00A54463">
      <w:pPr>
        <w:pStyle w:val="ListParagraph"/>
        <w:rPr>
          <w:sz w:val="25"/>
          <w:szCs w:val="25"/>
        </w:rPr>
      </w:pPr>
    </w:p>
    <w:p w:rsidR="00A54463" w:rsidRDefault="00A54463">
      <w:pPr>
        <w:rPr>
          <w:sz w:val="25"/>
          <w:szCs w:val="25"/>
        </w:rPr>
      </w:pPr>
      <w:r>
        <w:rPr>
          <w:sz w:val="25"/>
          <w:szCs w:val="25"/>
        </w:rPr>
        <w:br w:type="page"/>
      </w:r>
    </w:p>
    <w:p w:rsidR="00A54463" w:rsidRDefault="00A54463" w:rsidP="00A54463">
      <w:pPr>
        <w:spacing w:line="288" w:lineRule="auto"/>
        <w:rPr>
          <w:sz w:val="25"/>
          <w:szCs w:val="25"/>
        </w:rPr>
      </w:pPr>
    </w:p>
    <w:p w:rsidR="008C23FE" w:rsidRPr="00ED0E34" w:rsidRDefault="008C23FE" w:rsidP="008C23FE">
      <w:pPr>
        <w:pStyle w:val="Heading1"/>
        <w:spacing w:line="288" w:lineRule="auto"/>
        <w:jc w:val="center"/>
        <w:rPr>
          <w:rFonts w:ascii="Times New Roman Bold" w:hAnsi="Times New Roman Bold" w:cs="Times New Roman"/>
          <w:color w:val="auto"/>
          <w:sz w:val="25"/>
          <w:szCs w:val="25"/>
        </w:rPr>
      </w:pPr>
      <w:bookmarkStart w:id="12" w:name="_Toc155670925"/>
      <w:r w:rsidRPr="00ED0E34">
        <w:rPr>
          <w:rFonts w:ascii="Times New Roman Bold" w:hAnsi="Times New Roman Bold" w:cs="Times New Roman"/>
          <w:color w:val="auto"/>
          <w:sz w:val="25"/>
          <w:szCs w:val="25"/>
          <w:u w:val="single"/>
        </w:rPr>
        <w:t>CONCLUSIONS OF LAW</w:t>
      </w:r>
      <w:bookmarkEnd w:id="12"/>
    </w:p>
    <w:p w:rsidR="008C23FE" w:rsidRPr="008E1EFF" w:rsidRDefault="008C23FE" w:rsidP="008C23FE">
      <w:pPr>
        <w:tabs>
          <w:tab w:val="num" w:pos="1080"/>
        </w:tabs>
        <w:spacing w:line="288" w:lineRule="auto"/>
        <w:rPr>
          <w:sz w:val="25"/>
          <w:szCs w:val="25"/>
        </w:rPr>
      </w:pPr>
    </w:p>
    <w:p w:rsidR="008C23FE" w:rsidRPr="00C34B05" w:rsidRDefault="008C23FE" w:rsidP="008C23FE">
      <w:pPr>
        <w:numPr>
          <w:ilvl w:val="0"/>
          <w:numId w:val="6"/>
        </w:numPr>
        <w:tabs>
          <w:tab w:val="num" w:pos="0"/>
        </w:tabs>
        <w:spacing w:line="288" w:lineRule="auto"/>
        <w:ind w:left="0"/>
        <w:rPr>
          <w:b/>
          <w:sz w:val="25"/>
          <w:szCs w:val="25"/>
        </w:rPr>
      </w:pPr>
      <w:r w:rsidRPr="00C34B05">
        <w:rPr>
          <w:color w:val="000000"/>
          <w:sz w:val="25"/>
          <w:szCs w:val="25"/>
        </w:rPr>
        <w:t>Having</w:t>
      </w:r>
      <w:r w:rsidRPr="00C34B05">
        <w:rPr>
          <w:sz w:val="25"/>
          <w:szCs w:val="25"/>
        </w:rPr>
        <w:t xml:space="preserve"> discussed above all matters material to this decision, and having stated </w:t>
      </w:r>
      <w:r>
        <w:rPr>
          <w:sz w:val="25"/>
          <w:szCs w:val="25"/>
        </w:rPr>
        <w:t xml:space="preserve">its </w:t>
      </w:r>
      <w:r w:rsidRPr="00C34B05">
        <w:rPr>
          <w:sz w:val="25"/>
          <w:szCs w:val="25"/>
        </w:rPr>
        <w:t>findings</w:t>
      </w:r>
      <w:r>
        <w:rPr>
          <w:sz w:val="25"/>
          <w:szCs w:val="25"/>
        </w:rPr>
        <w:t>,</w:t>
      </w:r>
      <w:r w:rsidRPr="00C34B05">
        <w:rPr>
          <w:sz w:val="25"/>
          <w:szCs w:val="25"/>
        </w:rPr>
        <w:t xml:space="preserve"> the Commission now makes the following summary conclusions of law, incorporating by reference pertinent portions of the preceding detailed conclusions:</w:t>
      </w:r>
    </w:p>
    <w:p w:rsidR="008C23FE" w:rsidRPr="008E1EFF" w:rsidRDefault="008C23FE" w:rsidP="008C2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sz w:val="25"/>
          <w:szCs w:val="25"/>
        </w:rPr>
      </w:pPr>
    </w:p>
    <w:p w:rsidR="008C23FE" w:rsidRPr="00C34B05" w:rsidRDefault="008C23FE" w:rsidP="008C23FE">
      <w:pPr>
        <w:numPr>
          <w:ilvl w:val="0"/>
          <w:numId w:val="6"/>
        </w:numPr>
        <w:tabs>
          <w:tab w:val="num" w:pos="0"/>
        </w:tabs>
        <w:spacing w:line="288" w:lineRule="auto"/>
        <w:ind w:hanging="1440"/>
        <w:rPr>
          <w:color w:val="000000"/>
          <w:sz w:val="25"/>
          <w:szCs w:val="25"/>
        </w:rPr>
      </w:pPr>
      <w:r w:rsidRPr="00C34B05">
        <w:rPr>
          <w:sz w:val="25"/>
          <w:szCs w:val="25"/>
        </w:rPr>
        <w:t>(1)</w:t>
      </w:r>
      <w:r w:rsidRPr="00C34B05">
        <w:rPr>
          <w:sz w:val="25"/>
          <w:szCs w:val="25"/>
        </w:rPr>
        <w:tab/>
        <w:t xml:space="preserve">The Washington Utilities and Transportation Commission has jurisdiction over the </w:t>
      </w:r>
      <w:r w:rsidRPr="00C34B05">
        <w:rPr>
          <w:color w:val="000000"/>
          <w:sz w:val="25"/>
          <w:szCs w:val="25"/>
        </w:rPr>
        <w:t>subject</w:t>
      </w:r>
      <w:r w:rsidRPr="00C34B05">
        <w:rPr>
          <w:sz w:val="25"/>
          <w:szCs w:val="25"/>
        </w:rPr>
        <w:t xml:space="preserve"> matter of, and parties to, these proceedings.</w:t>
      </w:r>
      <w:r w:rsidR="002474B6">
        <w:rPr>
          <w:sz w:val="25"/>
          <w:szCs w:val="25"/>
        </w:rPr>
        <w:t xml:space="preserve"> </w:t>
      </w:r>
      <w:r w:rsidR="005F72C1">
        <w:rPr>
          <w:sz w:val="25"/>
          <w:szCs w:val="25"/>
        </w:rPr>
        <w:t xml:space="preserve"> </w:t>
      </w:r>
      <w:r w:rsidRPr="005327A2">
        <w:rPr>
          <w:sz w:val="25"/>
          <w:szCs w:val="25"/>
        </w:rPr>
        <w:t>Title 80 RCW</w:t>
      </w:r>
      <w:r>
        <w:rPr>
          <w:i/>
          <w:sz w:val="25"/>
          <w:szCs w:val="25"/>
        </w:rPr>
        <w:t>.</w:t>
      </w:r>
    </w:p>
    <w:p w:rsidR="008C23FE" w:rsidRPr="00C34B05" w:rsidRDefault="008C23FE" w:rsidP="008C23FE">
      <w:pPr>
        <w:spacing w:line="288" w:lineRule="auto"/>
        <w:rPr>
          <w:color w:val="000000"/>
          <w:sz w:val="25"/>
          <w:szCs w:val="25"/>
        </w:rPr>
      </w:pPr>
    </w:p>
    <w:p w:rsidR="008C23FE" w:rsidRPr="00C34B05" w:rsidRDefault="008C23FE" w:rsidP="008C23FE">
      <w:pPr>
        <w:numPr>
          <w:ilvl w:val="0"/>
          <w:numId w:val="6"/>
        </w:numPr>
        <w:tabs>
          <w:tab w:val="num" w:pos="0"/>
        </w:tabs>
        <w:spacing w:line="288" w:lineRule="auto"/>
        <w:ind w:hanging="1440"/>
        <w:rPr>
          <w:color w:val="000000"/>
          <w:sz w:val="25"/>
          <w:szCs w:val="25"/>
        </w:rPr>
      </w:pPr>
      <w:r w:rsidRPr="00C34B05">
        <w:rPr>
          <w:sz w:val="25"/>
          <w:szCs w:val="25"/>
        </w:rPr>
        <w:t>(</w:t>
      </w:r>
      <w:r w:rsidRPr="00C34B05">
        <w:rPr>
          <w:color w:val="000000"/>
          <w:sz w:val="25"/>
          <w:szCs w:val="25"/>
        </w:rPr>
        <w:t>2)</w:t>
      </w:r>
      <w:r w:rsidRPr="00C34B05">
        <w:rPr>
          <w:color w:val="000000"/>
          <w:sz w:val="25"/>
          <w:szCs w:val="25"/>
        </w:rPr>
        <w:tab/>
        <w:t>T</w:t>
      </w:r>
      <w:r w:rsidRPr="00C34B05">
        <w:rPr>
          <w:sz w:val="25"/>
          <w:szCs w:val="25"/>
        </w:rPr>
        <w:t xml:space="preserve">he rates proposed by tariff revisions filed by </w:t>
      </w:r>
      <w:r>
        <w:rPr>
          <w:color w:val="000000"/>
          <w:sz w:val="25"/>
          <w:szCs w:val="25"/>
        </w:rPr>
        <w:t>PacifiCorp</w:t>
      </w:r>
      <w:r w:rsidRPr="00C34B05">
        <w:rPr>
          <w:sz w:val="25"/>
          <w:szCs w:val="25"/>
        </w:rPr>
        <w:t xml:space="preserve"> on </w:t>
      </w:r>
      <w:r w:rsidR="00C00B47">
        <w:rPr>
          <w:sz w:val="25"/>
          <w:szCs w:val="25"/>
        </w:rPr>
        <w:t>July 1, 2011</w:t>
      </w:r>
      <w:r w:rsidRPr="00C34B05">
        <w:rPr>
          <w:sz w:val="25"/>
          <w:szCs w:val="25"/>
        </w:rPr>
        <w:t>, and suspended by prior Co</w:t>
      </w:r>
      <w:r w:rsidRPr="00C34B05">
        <w:rPr>
          <w:color w:val="000000"/>
          <w:sz w:val="25"/>
          <w:szCs w:val="25"/>
        </w:rPr>
        <w:t>m</w:t>
      </w:r>
      <w:r w:rsidRPr="00C34B05">
        <w:rPr>
          <w:sz w:val="25"/>
          <w:szCs w:val="25"/>
        </w:rPr>
        <w:t>mission order, were not shown to be fair, just or reasonable and should be rejected.</w:t>
      </w:r>
      <w:r w:rsidR="00F01E82">
        <w:rPr>
          <w:sz w:val="25"/>
          <w:szCs w:val="25"/>
        </w:rPr>
        <w:t xml:space="preserve"> </w:t>
      </w:r>
      <w:r w:rsidR="005F72C1">
        <w:rPr>
          <w:sz w:val="25"/>
          <w:szCs w:val="25"/>
        </w:rPr>
        <w:t xml:space="preserve"> </w:t>
      </w:r>
      <w:r w:rsidRPr="005327A2">
        <w:rPr>
          <w:sz w:val="25"/>
          <w:szCs w:val="25"/>
        </w:rPr>
        <w:t>RCW 80.28.010</w:t>
      </w:r>
      <w:r>
        <w:rPr>
          <w:i/>
          <w:sz w:val="25"/>
          <w:szCs w:val="25"/>
        </w:rPr>
        <w:t>.</w:t>
      </w:r>
    </w:p>
    <w:p w:rsidR="008C23FE" w:rsidRPr="00C34B05" w:rsidRDefault="008C23FE" w:rsidP="008C23FE">
      <w:pPr>
        <w:spacing w:line="288" w:lineRule="auto"/>
        <w:rPr>
          <w:color w:val="000000"/>
          <w:sz w:val="25"/>
          <w:szCs w:val="25"/>
        </w:rPr>
      </w:pPr>
    </w:p>
    <w:p w:rsidR="008C23FE" w:rsidRPr="005327A2" w:rsidRDefault="008C23FE" w:rsidP="008C23FE">
      <w:pPr>
        <w:numPr>
          <w:ilvl w:val="0"/>
          <w:numId w:val="6"/>
        </w:numPr>
        <w:tabs>
          <w:tab w:val="num" w:pos="0"/>
        </w:tabs>
        <w:spacing w:line="288" w:lineRule="auto"/>
        <w:ind w:hanging="1440"/>
        <w:rPr>
          <w:color w:val="000000"/>
          <w:sz w:val="25"/>
          <w:szCs w:val="25"/>
        </w:rPr>
      </w:pPr>
      <w:r w:rsidRPr="00C34B05">
        <w:rPr>
          <w:sz w:val="25"/>
          <w:szCs w:val="25"/>
        </w:rPr>
        <w:t>(3)</w:t>
      </w:r>
      <w:r w:rsidRPr="00C34B05">
        <w:rPr>
          <w:sz w:val="25"/>
          <w:szCs w:val="25"/>
        </w:rPr>
        <w:tab/>
      </w:r>
      <w:r>
        <w:rPr>
          <w:color w:val="000000"/>
          <w:sz w:val="25"/>
          <w:szCs w:val="25"/>
        </w:rPr>
        <w:t>PacifiCorp</w:t>
      </w:r>
      <w:r w:rsidRPr="00C34B05">
        <w:rPr>
          <w:color w:val="000000"/>
          <w:sz w:val="25"/>
          <w:szCs w:val="25"/>
        </w:rPr>
        <w:t>’s</w:t>
      </w:r>
      <w:r w:rsidRPr="00C34B05">
        <w:rPr>
          <w:sz w:val="25"/>
          <w:szCs w:val="25"/>
        </w:rPr>
        <w:t xml:space="preserve"> existing rates for electric service provided in Washington are insufficient to yield reasonable compensation for the service rendered.</w:t>
      </w:r>
      <w:r w:rsidR="00F01E82">
        <w:rPr>
          <w:sz w:val="25"/>
          <w:szCs w:val="25"/>
        </w:rPr>
        <w:t xml:space="preserve"> </w:t>
      </w:r>
      <w:r w:rsidR="005F72C1">
        <w:rPr>
          <w:sz w:val="25"/>
          <w:szCs w:val="25"/>
        </w:rPr>
        <w:t xml:space="preserve"> </w:t>
      </w:r>
      <w:r w:rsidRPr="005327A2">
        <w:rPr>
          <w:sz w:val="25"/>
          <w:szCs w:val="25"/>
        </w:rPr>
        <w:t>RCW 80.28.010; RCW 80.28.020.</w:t>
      </w:r>
    </w:p>
    <w:p w:rsidR="008C23FE" w:rsidRPr="00C34B05" w:rsidRDefault="008C23FE" w:rsidP="008C23FE">
      <w:pPr>
        <w:spacing w:line="288" w:lineRule="auto"/>
        <w:rPr>
          <w:color w:val="000000"/>
          <w:sz w:val="25"/>
          <w:szCs w:val="25"/>
        </w:rPr>
      </w:pPr>
    </w:p>
    <w:p w:rsidR="008C23FE" w:rsidRPr="005327A2" w:rsidRDefault="008C23FE" w:rsidP="008C23FE">
      <w:pPr>
        <w:numPr>
          <w:ilvl w:val="0"/>
          <w:numId w:val="6"/>
        </w:numPr>
        <w:tabs>
          <w:tab w:val="num" w:pos="0"/>
        </w:tabs>
        <w:spacing w:line="288" w:lineRule="auto"/>
        <w:ind w:hanging="1440"/>
        <w:rPr>
          <w:color w:val="000000"/>
          <w:sz w:val="25"/>
          <w:szCs w:val="25"/>
        </w:rPr>
      </w:pPr>
      <w:r w:rsidRPr="00C34B05">
        <w:rPr>
          <w:sz w:val="25"/>
          <w:szCs w:val="25"/>
        </w:rPr>
        <w:t>(4)</w:t>
      </w:r>
      <w:r w:rsidRPr="00C34B05">
        <w:rPr>
          <w:sz w:val="25"/>
          <w:szCs w:val="25"/>
        </w:rPr>
        <w:tab/>
      </w:r>
      <w:r w:rsidRPr="00E21F02">
        <w:rPr>
          <w:sz w:val="25"/>
          <w:szCs w:val="25"/>
        </w:rPr>
        <w:t>PacifiCorp</w:t>
      </w:r>
      <w:r w:rsidRPr="00C34B05">
        <w:rPr>
          <w:sz w:val="25"/>
          <w:szCs w:val="25"/>
        </w:rPr>
        <w:t xml:space="preserve"> requires relief with respect to the rates it charges for electric service provided in Washington.</w:t>
      </w:r>
      <w:r w:rsidR="00F01E82">
        <w:rPr>
          <w:sz w:val="25"/>
          <w:szCs w:val="25"/>
        </w:rPr>
        <w:t xml:space="preserve"> </w:t>
      </w:r>
      <w:r w:rsidR="005F72C1">
        <w:rPr>
          <w:sz w:val="25"/>
          <w:szCs w:val="25"/>
        </w:rPr>
        <w:t xml:space="preserve"> </w:t>
      </w:r>
      <w:r w:rsidRPr="005327A2">
        <w:rPr>
          <w:sz w:val="25"/>
          <w:szCs w:val="25"/>
        </w:rPr>
        <w:t>RCW 80.01.040; RCW 80.28.060.</w:t>
      </w:r>
    </w:p>
    <w:p w:rsidR="008C23FE" w:rsidRPr="00C34B05" w:rsidRDefault="008C23FE" w:rsidP="008C23FE">
      <w:pPr>
        <w:spacing w:line="288" w:lineRule="auto"/>
        <w:rPr>
          <w:color w:val="000000"/>
          <w:sz w:val="25"/>
          <w:szCs w:val="25"/>
        </w:rPr>
      </w:pPr>
    </w:p>
    <w:p w:rsidR="008C23FE" w:rsidRDefault="008C23FE" w:rsidP="008C23FE">
      <w:pPr>
        <w:numPr>
          <w:ilvl w:val="0"/>
          <w:numId w:val="6"/>
        </w:numPr>
        <w:tabs>
          <w:tab w:val="num" w:pos="0"/>
        </w:tabs>
        <w:spacing w:line="288" w:lineRule="auto"/>
        <w:ind w:hanging="1440"/>
        <w:rPr>
          <w:sz w:val="25"/>
          <w:szCs w:val="25"/>
        </w:rPr>
      </w:pPr>
      <w:r w:rsidRPr="00C34B05">
        <w:rPr>
          <w:sz w:val="25"/>
          <w:szCs w:val="25"/>
        </w:rPr>
        <w:t>(5)</w:t>
      </w:r>
      <w:r w:rsidRPr="00C34B05">
        <w:rPr>
          <w:sz w:val="25"/>
          <w:szCs w:val="25"/>
        </w:rPr>
        <w:tab/>
      </w:r>
      <w:r w:rsidRPr="00E21F02">
        <w:rPr>
          <w:sz w:val="25"/>
          <w:szCs w:val="25"/>
        </w:rPr>
        <w:t>The</w:t>
      </w:r>
      <w:r w:rsidRPr="00C34B05">
        <w:rPr>
          <w:sz w:val="25"/>
          <w:szCs w:val="25"/>
        </w:rPr>
        <w:t xml:space="preserve"> Commission determine</w:t>
      </w:r>
      <w:r>
        <w:rPr>
          <w:sz w:val="25"/>
          <w:szCs w:val="25"/>
        </w:rPr>
        <w:t xml:space="preserve">s that the rates resulting from adoption of the Settlement filed by </w:t>
      </w:r>
      <w:r w:rsidR="00C00B47">
        <w:rPr>
          <w:sz w:val="25"/>
          <w:szCs w:val="25"/>
        </w:rPr>
        <w:t>all</w:t>
      </w:r>
      <w:r>
        <w:rPr>
          <w:sz w:val="25"/>
          <w:szCs w:val="25"/>
        </w:rPr>
        <w:t xml:space="preserve"> parties to this proceeding are</w:t>
      </w:r>
      <w:r w:rsidRPr="00C34B05">
        <w:rPr>
          <w:sz w:val="25"/>
          <w:szCs w:val="25"/>
        </w:rPr>
        <w:t xml:space="preserve"> fair, just, reasonable, and sufficient rates</w:t>
      </w:r>
      <w:r>
        <w:rPr>
          <w:sz w:val="25"/>
          <w:szCs w:val="25"/>
        </w:rPr>
        <w:t xml:space="preserve"> that are</w:t>
      </w:r>
      <w:r w:rsidRPr="00C34B05">
        <w:rPr>
          <w:sz w:val="25"/>
          <w:szCs w:val="25"/>
        </w:rPr>
        <w:t xml:space="preserve"> to be observed and in force under </w:t>
      </w:r>
      <w:r>
        <w:rPr>
          <w:color w:val="000000"/>
          <w:sz w:val="25"/>
          <w:szCs w:val="25"/>
        </w:rPr>
        <w:t>PacifiCorp</w:t>
      </w:r>
      <w:r w:rsidRPr="00C34B05">
        <w:rPr>
          <w:sz w:val="25"/>
          <w:szCs w:val="25"/>
        </w:rPr>
        <w:t xml:space="preserve">’s tariffs </w:t>
      </w:r>
      <w:r>
        <w:rPr>
          <w:sz w:val="25"/>
          <w:szCs w:val="25"/>
        </w:rPr>
        <w:t>prospectively from an effective date of J</w:t>
      </w:r>
      <w:r w:rsidR="00C00B47">
        <w:rPr>
          <w:sz w:val="25"/>
          <w:szCs w:val="25"/>
        </w:rPr>
        <w:t>une 1, 2012</w:t>
      </w:r>
      <w:r>
        <w:rPr>
          <w:sz w:val="25"/>
          <w:szCs w:val="25"/>
        </w:rPr>
        <w:t xml:space="preserve">, for electric </w:t>
      </w:r>
      <w:r w:rsidRPr="00C34B05">
        <w:rPr>
          <w:sz w:val="25"/>
          <w:szCs w:val="25"/>
        </w:rPr>
        <w:t xml:space="preserve">service </w:t>
      </w:r>
      <w:r>
        <w:rPr>
          <w:sz w:val="25"/>
          <w:szCs w:val="25"/>
        </w:rPr>
        <w:t>the Company provides</w:t>
      </w:r>
      <w:r w:rsidRPr="00C34B05">
        <w:rPr>
          <w:sz w:val="25"/>
          <w:szCs w:val="25"/>
        </w:rPr>
        <w:t xml:space="preserve"> to customers in Washington.</w:t>
      </w:r>
      <w:r w:rsidR="00F01E82">
        <w:rPr>
          <w:sz w:val="25"/>
          <w:szCs w:val="25"/>
        </w:rPr>
        <w:t xml:space="preserve"> </w:t>
      </w:r>
      <w:r w:rsidR="005F72C1">
        <w:rPr>
          <w:sz w:val="25"/>
          <w:szCs w:val="25"/>
        </w:rPr>
        <w:t xml:space="preserve"> </w:t>
      </w:r>
      <w:r w:rsidRPr="005327A2">
        <w:rPr>
          <w:sz w:val="25"/>
          <w:szCs w:val="25"/>
        </w:rPr>
        <w:t>RCW 80.28.020.</w:t>
      </w:r>
    </w:p>
    <w:p w:rsidR="008C23FE" w:rsidRDefault="008C23FE" w:rsidP="008C23FE">
      <w:pPr>
        <w:pStyle w:val="ListParagraph"/>
        <w:rPr>
          <w:sz w:val="25"/>
          <w:szCs w:val="25"/>
        </w:rPr>
      </w:pPr>
    </w:p>
    <w:p w:rsidR="008C23FE" w:rsidRPr="00C00B47" w:rsidRDefault="008C23FE" w:rsidP="008C23FE">
      <w:pPr>
        <w:numPr>
          <w:ilvl w:val="0"/>
          <w:numId w:val="6"/>
        </w:numPr>
        <w:tabs>
          <w:tab w:val="num" w:pos="0"/>
        </w:tabs>
        <w:spacing w:line="288" w:lineRule="auto"/>
        <w:ind w:hanging="1440"/>
        <w:rPr>
          <w:b/>
          <w:bCs/>
          <w:sz w:val="25"/>
          <w:szCs w:val="25"/>
          <w:u w:val="single"/>
        </w:rPr>
      </w:pPr>
      <w:r w:rsidRPr="00C00B47">
        <w:rPr>
          <w:sz w:val="25"/>
          <w:szCs w:val="25"/>
        </w:rPr>
        <w:t>(6)</w:t>
      </w:r>
      <w:r w:rsidRPr="00C00B47">
        <w:rPr>
          <w:sz w:val="25"/>
          <w:szCs w:val="25"/>
        </w:rPr>
        <w:tab/>
      </w:r>
      <w:r w:rsidRPr="00C00B47">
        <w:rPr>
          <w:color w:val="000000"/>
          <w:sz w:val="25"/>
          <w:szCs w:val="25"/>
        </w:rPr>
        <w:t>PacifiCorp</w:t>
      </w:r>
      <w:r w:rsidRPr="00C00B47">
        <w:rPr>
          <w:sz w:val="25"/>
          <w:szCs w:val="25"/>
        </w:rPr>
        <w:t xml:space="preserve"> should be authorized to recover its revenue deficiency of $</w:t>
      </w:r>
      <w:r w:rsidR="00C00B47">
        <w:rPr>
          <w:sz w:val="25"/>
          <w:szCs w:val="25"/>
        </w:rPr>
        <w:t>4.5</w:t>
      </w:r>
      <w:r w:rsidRPr="00C00B47">
        <w:rPr>
          <w:sz w:val="25"/>
          <w:szCs w:val="25"/>
        </w:rPr>
        <w:t xml:space="preserve"> million for electric service, consistent with the terms of this Order and Settlement</w:t>
      </w:r>
      <w:r w:rsidR="006503B2">
        <w:rPr>
          <w:sz w:val="25"/>
          <w:szCs w:val="25"/>
        </w:rPr>
        <w:t>.</w:t>
      </w:r>
    </w:p>
    <w:p w:rsidR="008C23FE" w:rsidRPr="008E1EFF" w:rsidRDefault="008C23FE" w:rsidP="008C23FE">
      <w:pPr>
        <w:spacing w:line="288" w:lineRule="auto"/>
        <w:rPr>
          <w:bCs/>
          <w:sz w:val="25"/>
          <w:szCs w:val="25"/>
          <w:u w:val="single"/>
        </w:rPr>
      </w:pPr>
    </w:p>
    <w:p w:rsidR="008C23FE" w:rsidRPr="00782F9D" w:rsidRDefault="008C23FE" w:rsidP="008C23FE">
      <w:pPr>
        <w:numPr>
          <w:ilvl w:val="0"/>
          <w:numId w:val="6"/>
        </w:numPr>
        <w:tabs>
          <w:tab w:val="num" w:pos="0"/>
        </w:tabs>
        <w:spacing w:line="288" w:lineRule="auto"/>
        <w:ind w:hanging="1440"/>
        <w:rPr>
          <w:bCs/>
          <w:sz w:val="25"/>
          <w:szCs w:val="25"/>
          <w:u w:val="single"/>
        </w:rPr>
      </w:pPr>
      <w:r w:rsidRPr="00A53ECD">
        <w:rPr>
          <w:sz w:val="25"/>
          <w:szCs w:val="25"/>
        </w:rPr>
        <w:t>(</w:t>
      </w:r>
      <w:r w:rsidR="00C00B47">
        <w:rPr>
          <w:sz w:val="25"/>
          <w:szCs w:val="25"/>
        </w:rPr>
        <w:t>7</w:t>
      </w:r>
      <w:r w:rsidRPr="00A53ECD">
        <w:rPr>
          <w:sz w:val="25"/>
          <w:szCs w:val="25"/>
        </w:rPr>
        <w:t>)</w:t>
      </w:r>
      <w:r w:rsidRPr="00A53ECD">
        <w:rPr>
          <w:sz w:val="25"/>
          <w:szCs w:val="25"/>
        </w:rPr>
        <w:tab/>
      </w:r>
      <w:r>
        <w:rPr>
          <w:sz w:val="25"/>
          <w:szCs w:val="25"/>
        </w:rPr>
        <w:t xml:space="preserve">The Settlement attached to this Order as </w:t>
      </w:r>
      <w:r w:rsidR="006503B2">
        <w:rPr>
          <w:sz w:val="25"/>
          <w:szCs w:val="25"/>
        </w:rPr>
        <w:t xml:space="preserve">an </w:t>
      </w:r>
      <w:r>
        <w:rPr>
          <w:sz w:val="25"/>
          <w:szCs w:val="25"/>
        </w:rPr>
        <w:t>Appendix</w:t>
      </w:r>
      <w:r w:rsidR="002474B6">
        <w:rPr>
          <w:sz w:val="25"/>
          <w:szCs w:val="25"/>
        </w:rPr>
        <w:t xml:space="preserve"> </w:t>
      </w:r>
      <w:r>
        <w:rPr>
          <w:sz w:val="25"/>
          <w:szCs w:val="25"/>
        </w:rPr>
        <w:t>and incorporated by prior reference, should be approved and adopted.</w:t>
      </w:r>
    </w:p>
    <w:p w:rsidR="008C23FE" w:rsidRDefault="008C23FE" w:rsidP="008C23FE">
      <w:pPr>
        <w:pStyle w:val="ListParagraph"/>
        <w:rPr>
          <w:sz w:val="25"/>
          <w:szCs w:val="25"/>
        </w:rPr>
      </w:pPr>
    </w:p>
    <w:p w:rsidR="008C23FE" w:rsidRPr="00782F9D" w:rsidRDefault="008C23FE" w:rsidP="008C23FE">
      <w:pPr>
        <w:numPr>
          <w:ilvl w:val="0"/>
          <w:numId w:val="6"/>
        </w:numPr>
        <w:tabs>
          <w:tab w:val="num" w:pos="0"/>
        </w:tabs>
        <w:spacing w:line="288" w:lineRule="auto"/>
        <w:ind w:hanging="1440"/>
        <w:rPr>
          <w:bCs/>
          <w:sz w:val="25"/>
          <w:szCs w:val="25"/>
          <w:u w:val="single"/>
        </w:rPr>
      </w:pPr>
      <w:r>
        <w:rPr>
          <w:sz w:val="25"/>
          <w:szCs w:val="25"/>
        </w:rPr>
        <w:t>(</w:t>
      </w:r>
      <w:r w:rsidR="00C00B47">
        <w:rPr>
          <w:sz w:val="25"/>
          <w:szCs w:val="25"/>
        </w:rPr>
        <w:t>8</w:t>
      </w:r>
      <w:r>
        <w:rPr>
          <w:sz w:val="25"/>
          <w:szCs w:val="25"/>
        </w:rPr>
        <w:t>)</w:t>
      </w:r>
      <w:r>
        <w:rPr>
          <w:sz w:val="25"/>
          <w:szCs w:val="25"/>
        </w:rPr>
        <w:tab/>
        <w:t xml:space="preserve">The rates, terms, and conditions of service that will result from this Order are neither unduly preferential nor discriminatory.  </w:t>
      </w:r>
      <w:r w:rsidRPr="005327A2">
        <w:rPr>
          <w:sz w:val="25"/>
          <w:szCs w:val="25"/>
        </w:rPr>
        <w:t>RCW 80.28.020</w:t>
      </w:r>
      <w:r>
        <w:rPr>
          <w:i/>
          <w:sz w:val="25"/>
          <w:szCs w:val="25"/>
        </w:rPr>
        <w:t>.</w:t>
      </w:r>
    </w:p>
    <w:p w:rsidR="008C23FE" w:rsidRDefault="008C23FE" w:rsidP="008C23FE">
      <w:pPr>
        <w:pStyle w:val="ListParagraph"/>
        <w:rPr>
          <w:sz w:val="25"/>
          <w:szCs w:val="25"/>
        </w:rPr>
      </w:pPr>
    </w:p>
    <w:p w:rsidR="008C23FE" w:rsidRPr="00782F9D" w:rsidRDefault="008C23FE" w:rsidP="008C23FE">
      <w:pPr>
        <w:numPr>
          <w:ilvl w:val="0"/>
          <w:numId w:val="6"/>
        </w:numPr>
        <w:tabs>
          <w:tab w:val="num" w:pos="0"/>
        </w:tabs>
        <w:spacing w:line="288" w:lineRule="auto"/>
        <w:ind w:hanging="1440"/>
        <w:rPr>
          <w:bCs/>
          <w:sz w:val="25"/>
          <w:szCs w:val="25"/>
          <w:u w:val="single"/>
        </w:rPr>
      </w:pPr>
      <w:r>
        <w:rPr>
          <w:sz w:val="25"/>
          <w:szCs w:val="25"/>
        </w:rPr>
        <w:t>(</w:t>
      </w:r>
      <w:r w:rsidR="00C00B47">
        <w:rPr>
          <w:sz w:val="25"/>
          <w:szCs w:val="25"/>
        </w:rPr>
        <w:t>9</w:t>
      </w:r>
      <w:r>
        <w:rPr>
          <w:sz w:val="25"/>
          <w:szCs w:val="25"/>
        </w:rPr>
        <w:t>)</w:t>
      </w:r>
      <w:r>
        <w:rPr>
          <w:sz w:val="25"/>
          <w:szCs w:val="25"/>
        </w:rPr>
        <w:tab/>
        <w:t xml:space="preserve">The rates, terms, and conditions of service that will result from this Order are fair, just, reasonable, and sufficient. </w:t>
      </w:r>
      <w:r w:rsidR="005F72C1">
        <w:rPr>
          <w:sz w:val="25"/>
          <w:szCs w:val="25"/>
        </w:rPr>
        <w:t xml:space="preserve"> </w:t>
      </w:r>
      <w:r w:rsidRPr="005327A2">
        <w:rPr>
          <w:sz w:val="25"/>
          <w:szCs w:val="25"/>
        </w:rPr>
        <w:t>RCW 80.28.010; RCW 80.28.020</w:t>
      </w:r>
      <w:r>
        <w:rPr>
          <w:i/>
          <w:sz w:val="25"/>
          <w:szCs w:val="25"/>
        </w:rPr>
        <w:t>.</w:t>
      </w:r>
    </w:p>
    <w:p w:rsidR="008C23FE" w:rsidRDefault="008C23FE" w:rsidP="008C23FE">
      <w:pPr>
        <w:pStyle w:val="ListParagraph"/>
        <w:rPr>
          <w:sz w:val="25"/>
          <w:szCs w:val="25"/>
        </w:rPr>
      </w:pPr>
    </w:p>
    <w:p w:rsidR="008C23FE" w:rsidRPr="008E1EFF" w:rsidRDefault="008C23FE" w:rsidP="008C23FE">
      <w:pPr>
        <w:numPr>
          <w:ilvl w:val="0"/>
          <w:numId w:val="6"/>
        </w:numPr>
        <w:tabs>
          <w:tab w:val="num" w:pos="0"/>
        </w:tabs>
        <w:spacing w:line="288" w:lineRule="auto"/>
        <w:ind w:hanging="1440"/>
        <w:rPr>
          <w:bCs/>
          <w:sz w:val="25"/>
          <w:szCs w:val="25"/>
          <w:u w:val="single"/>
        </w:rPr>
      </w:pPr>
      <w:r>
        <w:rPr>
          <w:sz w:val="25"/>
          <w:szCs w:val="25"/>
        </w:rPr>
        <w:t>(1</w:t>
      </w:r>
      <w:r w:rsidR="00C00B47">
        <w:rPr>
          <w:sz w:val="25"/>
          <w:szCs w:val="25"/>
        </w:rPr>
        <w:t>0</w:t>
      </w:r>
      <w:r>
        <w:rPr>
          <w:sz w:val="25"/>
          <w:szCs w:val="25"/>
        </w:rPr>
        <w:t>)</w:t>
      </w:r>
      <w:r>
        <w:rPr>
          <w:sz w:val="25"/>
          <w:szCs w:val="25"/>
        </w:rPr>
        <w:tab/>
      </w:r>
      <w:r w:rsidRPr="00527E86">
        <w:rPr>
          <w:sz w:val="25"/>
          <w:szCs w:val="25"/>
        </w:rPr>
        <w:t xml:space="preserve">The Commission Secretary should be authorized to accept by letter, with copies to all parties to this proceeding, </w:t>
      </w:r>
      <w:r>
        <w:rPr>
          <w:sz w:val="25"/>
          <w:szCs w:val="25"/>
        </w:rPr>
        <w:t>the revised tariff sheets attached to the Settlement.</w:t>
      </w:r>
    </w:p>
    <w:p w:rsidR="008C23FE" w:rsidRPr="008E1EFF" w:rsidRDefault="008C23FE" w:rsidP="008C23FE">
      <w:pPr>
        <w:spacing w:line="288" w:lineRule="auto"/>
        <w:rPr>
          <w:rStyle w:val="RCWSLText"/>
          <w:rFonts w:ascii="Times New Roman" w:eastAsia="SimSun" w:hAnsi="Times New Roman"/>
          <w:bCs/>
          <w:sz w:val="25"/>
          <w:szCs w:val="25"/>
          <w:u w:val="single"/>
        </w:rPr>
      </w:pPr>
    </w:p>
    <w:p w:rsidR="008C23FE" w:rsidRPr="00152347" w:rsidRDefault="008C23FE" w:rsidP="008C23FE">
      <w:pPr>
        <w:numPr>
          <w:ilvl w:val="0"/>
          <w:numId w:val="6"/>
        </w:numPr>
        <w:tabs>
          <w:tab w:val="num" w:pos="0"/>
        </w:tabs>
        <w:spacing w:line="288" w:lineRule="auto"/>
        <w:ind w:hanging="1440"/>
        <w:rPr>
          <w:rStyle w:val="RCWSLText"/>
          <w:rFonts w:ascii="Times New Roman" w:eastAsia="SimSun" w:hAnsi="Times New Roman"/>
          <w:b/>
          <w:bCs/>
          <w:sz w:val="25"/>
          <w:szCs w:val="25"/>
          <w:u w:val="single"/>
        </w:rPr>
      </w:pPr>
      <w:r w:rsidRPr="00527E86">
        <w:rPr>
          <w:sz w:val="25"/>
          <w:szCs w:val="25"/>
        </w:rPr>
        <w:t>(</w:t>
      </w:r>
      <w:r>
        <w:rPr>
          <w:sz w:val="25"/>
          <w:szCs w:val="25"/>
        </w:rPr>
        <w:t>1</w:t>
      </w:r>
      <w:r w:rsidR="00C00B47">
        <w:rPr>
          <w:sz w:val="25"/>
          <w:szCs w:val="25"/>
        </w:rPr>
        <w:t>1</w:t>
      </w:r>
      <w:r w:rsidRPr="00527E86">
        <w:rPr>
          <w:sz w:val="25"/>
          <w:szCs w:val="25"/>
        </w:rPr>
        <w:t>)</w:t>
      </w:r>
      <w:r w:rsidRPr="00527E86">
        <w:rPr>
          <w:sz w:val="25"/>
          <w:szCs w:val="25"/>
        </w:rPr>
        <w:tab/>
        <w:t>The Commission should retain jurisdiction over the subject matters and the parties to this proceeding to effectuate the terms of this Order.</w:t>
      </w:r>
    </w:p>
    <w:p w:rsidR="008C23FE" w:rsidRPr="00ED0E34" w:rsidRDefault="008C23FE" w:rsidP="008C23FE">
      <w:pPr>
        <w:pStyle w:val="Heading1"/>
        <w:spacing w:line="288" w:lineRule="auto"/>
        <w:jc w:val="center"/>
        <w:rPr>
          <w:rFonts w:ascii="Times New Roman Bold" w:hAnsi="Times New Roman Bold" w:cs="Times New Roman"/>
          <w:color w:val="auto"/>
          <w:sz w:val="25"/>
          <w:szCs w:val="25"/>
          <w:u w:val="single"/>
        </w:rPr>
      </w:pPr>
      <w:bookmarkStart w:id="13" w:name="_Toc155670926"/>
      <w:r w:rsidRPr="00ED0E34">
        <w:rPr>
          <w:rFonts w:ascii="Times New Roman Bold" w:hAnsi="Times New Roman Bold" w:cs="Times New Roman"/>
          <w:color w:val="auto"/>
          <w:sz w:val="25"/>
          <w:szCs w:val="25"/>
          <w:u w:val="single"/>
        </w:rPr>
        <w:t>ORDER</w:t>
      </w:r>
      <w:bookmarkEnd w:id="13"/>
    </w:p>
    <w:p w:rsidR="008C23FE" w:rsidRPr="00C34B05" w:rsidRDefault="008C23FE" w:rsidP="008C2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sz w:val="25"/>
          <w:szCs w:val="25"/>
        </w:rPr>
      </w:pPr>
    </w:p>
    <w:p w:rsidR="008C23FE" w:rsidRPr="00C34B05" w:rsidRDefault="008C23FE" w:rsidP="008C2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r w:rsidRPr="00C34B05">
        <w:rPr>
          <w:sz w:val="25"/>
          <w:szCs w:val="25"/>
        </w:rPr>
        <w:t>THE COMMISSION ORDERS THAT:</w:t>
      </w:r>
    </w:p>
    <w:p w:rsidR="008C23FE" w:rsidRPr="00C34B05" w:rsidRDefault="008C23FE" w:rsidP="008C2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rsidR="008C23FE" w:rsidRPr="00527E86" w:rsidRDefault="008C23FE" w:rsidP="008C23FE">
      <w:pPr>
        <w:numPr>
          <w:ilvl w:val="0"/>
          <w:numId w:val="6"/>
        </w:numPr>
        <w:tabs>
          <w:tab w:val="num" w:pos="0"/>
        </w:tabs>
        <w:spacing w:line="288" w:lineRule="auto"/>
        <w:ind w:hanging="1440"/>
        <w:rPr>
          <w:bCs/>
          <w:color w:val="000000"/>
          <w:sz w:val="25"/>
          <w:szCs w:val="25"/>
        </w:rPr>
      </w:pPr>
      <w:r w:rsidRPr="00C34B05">
        <w:rPr>
          <w:sz w:val="25"/>
          <w:szCs w:val="25"/>
        </w:rPr>
        <w:t>(1)</w:t>
      </w:r>
      <w:r w:rsidRPr="00C34B05">
        <w:rPr>
          <w:sz w:val="25"/>
          <w:szCs w:val="25"/>
        </w:rPr>
        <w:tab/>
        <w:t xml:space="preserve">The proposed tariff revisions </w:t>
      </w:r>
      <w:r>
        <w:rPr>
          <w:color w:val="000000"/>
          <w:sz w:val="25"/>
          <w:szCs w:val="25"/>
        </w:rPr>
        <w:t>PacifiCorp</w:t>
      </w:r>
      <w:r w:rsidRPr="00C34B05">
        <w:rPr>
          <w:sz w:val="25"/>
          <w:szCs w:val="25"/>
        </w:rPr>
        <w:t xml:space="preserve"> filed on </w:t>
      </w:r>
      <w:r w:rsidR="00ED0E34">
        <w:rPr>
          <w:sz w:val="25"/>
          <w:szCs w:val="25"/>
        </w:rPr>
        <w:t>July 1, 2011</w:t>
      </w:r>
      <w:r w:rsidRPr="00C34B05">
        <w:rPr>
          <w:sz w:val="25"/>
          <w:szCs w:val="25"/>
        </w:rPr>
        <w:t>, which were suspended by prior Commission order, are rejected.</w:t>
      </w:r>
    </w:p>
    <w:p w:rsidR="008C23FE" w:rsidRPr="00527E86" w:rsidRDefault="008C23FE" w:rsidP="008C23FE">
      <w:pPr>
        <w:spacing w:line="288" w:lineRule="auto"/>
        <w:rPr>
          <w:bCs/>
          <w:color w:val="000000"/>
          <w:sz w:val="25"/>
          <w:szCs w:val="25"/>
        </w:rPr>
      </w:pPr>
    </w:p>
    <w:p w:rsidR="008C23FE" w:rsidRPr="00527E86" w:rsidRDefault="008C23FE" w:rsidP="008C23FE">
      <w:pPr>
        <w:numPr>
          <w:ilvl w:val="0"/>
          <w:numId w:val="6"/>
        </w:numPr>
        <w:tabs>
          <w:tab w:val="num" w:pos="0"/>
        </w:tabs>
        <w:spacing w:line="288" w:lineRule="auto"/>
        <w:ind w:hanging="1440"/>
        <w:rPr>
          <w:bCs/>
          <w:color w:val="000000"/>
          <w:sz w:val="25"/>
          <w:szCs w:val="25"/>
        </w:rPr>
      </w:pPr>
      <w:r w:rsidRPr="00527E86">
        <w:rPr>
          <w:sz w:val="25"/>
          <w:szCs w:val="25"/>
        </w:rPr>
        <w:t>(2)</w:t>
      </w:r>
      <w:r w:rsidRPr="00527E86">
        <w:rPr>
          <w:sz w:val="25"/>
          <w:szCs w:val="25"/>
        </w:rPr>
        <w:tab/>
        <w:t xml:space="preserve">The </w:t>
      </w:r>
      <w:r>
        <w:rPr>
          <w:sz w:val="25"/>
          <w:szCs w:val="25"/>
        </w:rPr>
        <w:t>S</w:t>
      </w:r>
      <w:r w:rsidRPr="00527E86">
        <w:rPr>
          <w:sz w:val="25"/>
          <w:szCs w:val="25"/>
        </w:rPr>
        <w:t xml:space="preserve">ettlement attached and incorporated into this Order by prior reference, </w:t>
      </w:r>
      <w:r w:rsidR="00ED0E34">
        <w:rPr>
          <w:sz w:val="25"/>
          <w:szCs w:val="25"/>
        </w:rPr>
        <w:t>is</w:t>
      </w:r>
      <w:r w:rsidRPr="00527E86">
        <w:rPr>
          <w:sz w:val="25"/>
          <w:szCs w:val="25"/>
        </w:rPr>
        <w:t xml:space="preserve"> approved and adopted.</w:t>
      </w:r>
    </w:p>
    <w:p w:rsidR="008C23FE" w:rsidRPr="00527E86" w:rsidRDefault="008C23FE" w:rsidP="008C23FE">
      <w:pPr>
        <w:spacing w:line="288" w:lineRule="auto"/>
        <w:rPr>
          <w:sz w:val="25"/>
          <w:szCs w:val="25"/>
        </w:rPr>
      </w:pPr>
    </w:p>
    <w:p w:rsidR="008C23FE" w:rsidRPr="00F155F4" w:rsidRDefault="008C23FE" w:rsidP="008C23FE">
      <w:pPr>
        <w:numPr>
          <w:ilvl w:val="0"/>
          <w:numId w:val="6"/>
        </w:numPr>
        <w:tabs>
          <w:tab w:val="num" w:pos="0"/>
        </w:tabs>
        <w:spacing w:line="288" w:lineRule="auto"/>
        <w:ind w:hanging="1440"/>
        <w:rPr>
          <w:bCs/>
          <w:color w:val="000000"/>
          <w:sz w:val="25"/>
          <w:szCs w:val="25"/>
        </w:rPr>
      </w:pPr>
      <w:r w:rsidRPr="00F155F4">
        <w:rPr>
          <w:sz w:val="25"/>
          <w:szCs w:val="25"/>
        </w:rPr>
        <w:t>(3)</w:t>
      </w:r>
      <w:r w:rsidRPr="00F155F4">
        <w:rPr>
          <w:sz w:val="25"/>
          <w:szCs w:val="25"/>
        </w:rPr>
        <w:tab/>
        <w:t>The Commission Secretary is authorized to accept by letter, with copies to all parties to this proceeding, the revised tariff sheets attached to the Settlement.</w:t>
      </w:r>
    </w:p>
    <w:p w:rsidR="008C23FE" w:rsidRPr="00C34B05" w:rsidRDefault="008C23FE" w:rsidP="008C23FE">
      <w:pPr>
        <w:spacing w:line="288" w:lineRule="auto"/>
        <w:rPr>
          <w:bCs/>
          <w:color w:val="000000"/>
          <w:sz w:val="25"/>
          <w:szCs w:val="25"/>
        </w:rPr>
      </w:pPr>
    </w:p>
    <w:p w:rsidR="008C23FE" w:rsidRPr="00C00B47" w:rsidRDefault="008C23FE" w:rsidP="008C23FE">
      <w:pPr>
        <w:numPr>
          <w:ilvl w:val="0"/>
          <w:numId w:val="6"/>
        </w:numPr>
        <w:tabs>
          <w:tab w:val="num" w:pos="0"/>
        </w:tabs>
        <w:spacing w:line="288" w:lineRule="auto"/>
        <w:ind w:hanging="1440"/>
        <w:rPr>
          <w:bCs/>
          <w:color w:val="000000"/>
          <w:sz w:val="25"/>
          <w:szCs w:val="25"/>
        </w:rPr>
      </w:pPr>
      <w:r w:rsidRPr="00C34B05">
        <w:rPr>
          <w:sz w:val="25"/>
          <w:szCs w:val="25"/>
        </w:rPr>
        <w:t>(</w:t>
      </w:r>
      <w:r>
        <w:rPr>
          <w:sz w:val="25"/>
          <w:szCs w:val="25"/>
        </w:rPr>
        <w:t>4</w:t>
      </w:r>
      <w:r w:rsidRPr="00C34B05">
        <w:rPr>
          <w:sz w:val="25"/>
          <w:szCs w:val="25"/>
        </w:rPr>
        <w:t>)</w:t>
      </w:r>
      <w:r w:rsidRPr="00C34B05">
        <w:rPr>
          <w:sz w:val="25"/>
          <w:szCs w:val="25"/>
        </w:rPr>
        <w:tab/>
      </w:r>
      <w:r w:rsidRPr="00C34B05">
        <w:rPr>
          <w:color w:val="000000"/>
          <w:sz w:val="25"/>
          <w:szCs w:val="25"/>
        </w:rPr>
        <w:t>The</w:t>
      </w:r>
      <w:r w:rsidRPr="00C34B05">
        <w:rPr>
          <w:sz w:val="25"/>
          <w:szCs w:val="25"/>
        </w:rPr>
        <w:t xml:space="preserve"> Commission retains jurisdiction to effectuate the terms of this Order.</w:t>
      </w:r>
    </w:p>
    <w:p w:rsidR="00C00B47" w:rsidRDefault="00C00B47" w:rsidP="00C00B47">
      <w:pPr>
        <w:pStyle w:val="ListParagraph"/>
        <w:rPr>
          <w:bCs/>
          <w:color w:val="000000"/>
          <w:sz w:val="25"/>
          <w:szCs w:val="25"/>
        </w:rPr>
      </w:pPr>
    </w:p>
    <w:p w:rsidR="00C00B47" w:rsidRDefault="00C00B47" w:rsidP="008C23FE">
      <w:pPr>
        <w:numPr>
          <w:ilvl w:val="0"/>
          <w:numId w:val="6"/>
        </w:numPr>
        <w:tabs>
          <w:tab w:val="num" w:pos="0"/>
        </w:tabs>
        <w:spacing w:line="288" w:lineRule="auto"/>
        <w:ind w:hanging="1440"/>
        <w:rPr>
          <w:bCs/>
          <w:color w:val="000000"/>
          <w:sz w:val="25"/>
          <w:szCs w:val="25"/>
        </w:rPr>
      </w:pPr>
      <w:r>
        <w:rPr>
          <w:bCs/>
          <w:color w:val="000000"/>
          <w:sz w:val="25"/>
          <w:szCs w:val="25"/>
        </w:rPr>
        <w:t>(5)</w:t>
      </w:r>
      <w:r>
        <w:rPr>
          <w:bCs/>
          <w:color w:val="000000"/>
          <w:sz w:val="25"/>
          <w:szCs w:val="25"/>
        </w:rPr>
        <w:tab/>
        <w:t>The request for Commission participation at an April 5, 2012, workshop to address the review of the West Control Area Inter-jurisdictional allocation methodology is denied, without prejudice.</w:t>
      </w:r>
    </w:p>
    <w:p w:rsidR="00A54463" w:rsidRDefault="00A54463">
      <w:pPr>
        <w:rPr>
          <w:bCs/>
          <w:color w:val="000000"/>
          <w:sz w:val="25"/>
          <w:szCs w:val="25"/>
        </w:rPr>
      </w:pPr>
      <w:r>
        <w:rPr>
          <w:bCs/>
          <w:color w:val="000000"/>
          <w:sz w:val="25"/>
          <w:szCs w:val="25"/>
        </w:rPr>
        <w:br w:type="page"/>
      </w:r>
    </w:p>
    <w:p w:rsidR="003E50BC" w:rsidRDefault="003E50BC" w:rsidP="00C00B47">
      <w:pPr>
        <w:pStyle w:val="ListParagraph"/>
        <w:rPr>
          <w:bCs/>
          <w:color w:val="000000"/>
          <w:sz w:val="25"/>
          <w:szCs w:val="25"/>
        </w:rPr>
      </w:pPr>
    </w:p>
    <w:p w:rsidR="00C00B47" w:rsidRPr="00C34B05" w:rsidRDefault="00C00B47" w:rsidP="008C23FE">
      <w:pPr>
        <w:numPr>
          <w:ilvl w:val="0"/>
          <w:numId w:val="6"/>
        </w:numPr>
        <w:tabs>
          <w:tab w:val="num" w:pos="0"/>
        </w:tabs>
        <w:spacing w:line="288" w:lineRule="auto"/>
        <w:ind w:hanging="1440"/>
        <w:rPr>
          <w:bCs/>
          <w:color w:val="000000"/>
          <w:sz w:val="25"/>
          <w:szCs w:val="25"/>
        </w:rPr>
      </w:pPr>
      <w:r>
        <w:rPr>
          <w:bCs/>
          <w:color w:val="000000"/>
          <w:sz w:val="25"/>
          <w:szCs w:val="25"/>
        </w:rPr>
        <w:t>(6)</w:t>
      </w:r>
      <w:r>
        <w:rPr>
          <w:bCs/>
          <w:color w:val="000000"/>
          <w:sz w:val="25"/>
          <w:szCs w:val="25"/>
        </w:rPr>
        <w:tab/>
        <w:t>The deadline for submitting a review filing on the West Control Area Inter-jurisdictional allocation methodology is extended to January 31, 2013.</w:t>
      </w:r>
    </w:p>
    <w:p w:rsidR="008C23FE" w:rsidRPr="00C34B05" w:rsidRDefault="008C23FE" w:rsidP="008C23FE">
      <w:pPr>
        <w:spacing w:line="288" w:lineRule="auto"/>
        <w:rPr>
          <w:color w:val="000000"/>
          <w:sz w:val="25"/>
          <w:szCs w:val="25"/>
        </w:rPr>
      </w:pPr>
    </w:p>
    <w:p w:rsidR="008C23FE" w:rsidRPr="00C34B05" w:rsidRDefault="008C23FE" w:rsidP="008C23FE">
      <w:pPr>
        <w:spacing w:line="288" w:lineRule="auto"/>
        <w:rPr>
          <w:sz w:val="25"/>
          <w:szCs w:val="25"/>
        </w:rPr>
      </w:pPr>
      <w:r w:rsidRPr="00C34B05">
        <w:rPr>
          <w:sz w:val="25"/>
          <w:szCs w:val="25"/>
        </w:rPr>
        <w:t xml:space="preserve">Dated at Olympia, Washington, and effective </w:t>
      </w:r>
      <w:r w:rsidR="00ED0E34">
        <w:rPr>
          <w:sz w:val="25"/>
          <w:szCs w:val="25"/>
        </w:rPr>
        <w:t xml:space="preserve">March </w:t>
      </w:r>
      <w:r w:rsidR="00A54463">
        <w:rPr>
          <w:sz w:val="25"/>
          <w:szCs w:val="25"/>
        </w:rPr>
        <w:t>30</w:t>
      </w:r>
      <w:r>
        <w:rPr>
          <w:sz w:val="25"/>
          <w:szCs w:val="25"/>
        </w:rPr>
        <w:t>, 20</w:t>
      </w:r>
      <w:r w:rsidR="00ED0E34">
        <w:rPr>
          <w:sz w:val="25"/>
          <w:szCs w:val="25"/>
        </w:rPr>
        <w:t>12</w:t>
      </w:r>
      <w:r w:rsidRPr="00C34B05">
        <w:rPr>
          <w:sz w:val="25"/>
          <w:szCs w:val="25"/>
        </w:rPr>
        <w:t>.</w:t>
      </w:r>
    </w:p>
    <w:p w:rsidR="008C23FE" w:rsidRPr="00C34B05" w:rsidRDefault="008C23FE" w:rsidP="008C23FE">
      <w:pPr>
        <w:pStyle w:val="Header"/>
        <w:tabs>
          <w:tab w:val="clear" w:pos="4320"/>
          <w:tab w:val="clear" w:pos="8640"/>
        </w:tabs>
        <w:spacing w:line="288" w:lineRule="auto"/>
        <w:rPr>
          <w:sz w:val="25"/>
          <w:szCs w:val="25"/>
        </w:rPr>
      </w:pPr>
    </w:p>
    <w:p w:rsidR="008C23FE" w:rsidRPr="00C34B05" w:rsidRDefault="008C23FE" w:rsidP="008C23FE">
      <w:pPr>
        <w:spacing w:line="288" w:lineRule="auto"/>
        <w:jc w:val="center"/>
        <w:rPr>
          <w:sz w:val="25"/>
          <w:szCs w:val="25"/>
        </w:rPr>
      </w:pPr>
      <w:r w:rsidRPr="00C34B05">
        <w:rPr>
          <w:sz w:val="25"/>
          <w:szCs w:val="25"/>
        </w:rPr>
        <w:t>WASHINGTON UTILITIES AND TRANSPORTATION COMMISSION</w:t>
      </w: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r w:rsidRPr="00C34B05">
        <w:rPr>
          <w:sz w:val="25"/>
          <w:szCs w:val="25"/>
        </w:rPr>
        <w:tab/>
      </w:r>
      <w:r w:rsidRPr="00C34B05">
        <w:rPr>
          <w:sz w:val="25"/>
          <w:szCs w:val="25"/>
        </w:rPr>
        <w:tab/>
      </w:r>
      <w:r w:rsidRPr="00C34B05">
        <w:rPr>
          <w:sz w:val="25"/>
          <w:szCs w:val="25"/>
        </w:rPr>
        <w:tab/>
      </w:r>
      <w:r w:rsidRPr="00C34B05">
        <w:rPr>
          <w:sz w:val="25"/>
          <w:szCs w:val="25"/>
        </w:rPr>
        <w:tab/>
      </w:r>
      <w:r w:rsidRPr="00C34B05">
        <w:rPr>
          <w:sz w:val="25"/>
          <w:szCs w:val="25"/>
        </w:rPr>
        <w:tab/>
      </w:r>
      <w:r>
        <w:rPr>
          <w:sz w:val="25"/>
          <w:szCs w:val="25"/>
        </w:rPr>
        <w:t>JEFFREY D. GOLTZ</w:t>
      </w:r>
      <w:r w:rsidRPr="00C34B05">
        <w:rPr>
          <w:sz w:val="25"/>
          <w:szCs w:val="25"/>
        </w:rPr>
        <w:t>, Chairman</w:t>
      </w: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r w:rsidRPr="00C34B05">
        <w:rPr>
          <w:sz w:val="25"/>
          <w:szCs w:val="25"/>
        </w:rPr>
        <w:tab/>
      </w:r>
      <w:r w:rsidRPr="00C34B05">
        <w:rPr>
          <w:sz w:val="25"/>
          <w:szCs w:val="25"/>
        </w:rPr>
        <w:tab/>
      </w:r>
      <w:r w:rsidRPr="00C34B05">
        <w:rPr>
          <w:sz w:val="25"/>
          <w:szCs w:val="25"/>
        </w:rPr>
        <w:tab/>
      </w:r>
      <w:r w:rsidRPr="00C34B05">
        <w:rPr>
          <w:sz w:val="25"/>
          <w:szCs w:val="25"/>
        </w:rPr>
        <w:tab/>
      </w:r>
      <w:r w:rsidRPr="00C34B05">
        <w:rPr>
          <w:sz w:val="25"/>
          <w:szCs w:val="25"/>
        </w:rPr>
        <w:tab/>
        <w:t>PATRICK J. OSHIE, Commissioner</w:t>
      </w: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p>
    <w:p w:rsidR="008C23FE" w:rsidRPr="00C34B05" w:rsidRDefault="008C23FE" w:rsidP="008C23FE">
      <w:pPr>
        <w:spacing w:line="288" w:lineRule="auto"/>
        <w:rPr>
          <w:sz w:val="25"/>
          <w:szCs w:val="25"/>
        </w:rPr>
      </w:pPr>
      <w:r w:rsidRPr="00C34B05">
        <w:rPr>
          <w:sz w:val="25"/>
          <w:szCs w:val="25"/>
        </w:rPr>
        <w:tab/>
      </w:r>
      <w:r w:rsidRPr="00C34B05">
        <w:rPr>
          <w:sz w:val="25"/>
          <w:szCs w:val="25"/>
        </w:rPr>
        <w:tab/>
      </w:r>
      <w:r w:rsidRPr="00C34B05">
        <w:rPr>
          <w:sz w:val="25"/>
          <w:szCs w:val="25"/>
        </w:rPr>
        <w:tab/>
      </w:r>
      <w:r w:rsidRPr="00C34B05">
        <w:rPr>
          <w:sz w:val="25"/>
          <w:szCs w:val="25"/>
        </w:rPr>
        <w:tab/>
      </w:r>
      <w:r w:rsidRPr="00C34B05">
        <w:rPr>
          <w:sz w:val="25"/>
          <w:szCs w:val="25"/>
        </w:rPr>
        <w:tab/>
        <w:t>PHILIP B. JONES, Commissioner</w:t>
      </w:r>
    </w:p>
    <w:p w:rsidR="008C23FE" w:rsidRDefault="008C23FE" w:rsidP="008C23FE">
      <w:pPr>
        <w:spacing w:line="288" w:lineRule="auto"/>
        <w:rPr>
          <w:sz w:val="25"/>
          <w:szCs w:val="25"/>
        </w:rPr>
      </w:pPr>
    </w:p>
    <w:p w:rsidR="00FD1384" w:rsidRDefault="00FD1384" w:rsidP="008C23FE">
      <w:pPr>
        <w:spacing w:line="288" w:lineRule="auto"/>
        <w:rPr>
          <w:sz w:val="25"/>
          <w:szCs w:val="25"/>
        </w:rPr>
      </w:pPr>
    </w:p>
    <w:p w:rsidR="008C23FE" w:rsidRDefault="008C23FE" w:rsidP="008C23FE">
      <w:pPr>
        <w:pStyle w:val="BodyText"/>
        <w:spacing w:line="288" w:lineRule="auto"/>
        <w:jc w:val="left"/>
        <w:rPr>
          <w:rFonts w:ascii="Times New Roman" w:hAnsi="Times New Roman"/>
          <w:b/>
          <w:sz w:val="25"/>
          <w:szCs w:val="25"/>
        </w:rPr>
      </w:pPr>
      <w:r w:rsidRPr="00DE31B5">
        <w:rPr>
          <w:rFonts w:ascii="Times New Roman" w:hAnsi="Times New Roman"/>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8C23FE" w:rsidRDefault="008C23FE" w:rsidP="008C23FE">
      <w:pPr>
        <w:pStyle w:val="BodyText"/>
        <w:spacing w:line="288" w:lineRule="auto"/>
        <w:jc w:val="left"/>
        <w:rPr>
          <w:b/>
          <w:sz w:val="25"/>
          <w:szCs w:val="25"/>
        </w:rPr>
      </w:pPr>
      <w:r>
        <w:rPr>
          <w:rFonts w:ascii="Times New Roman" w:hAnsi="Times New Roman"/>
          <w:b/>
          <w:sz w:val="25"/>
          <w:szCs w:val="25"/>
        </w:rPr>
        <w:br w:type="page"/>
      </w: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Default="008C23FE" w:rsidP="008C23FE">
      <w:pPr>
        <w:spacing w:line="288" w:lineRule="auto"/>
        <w:rPr>
          <w:b/>
          <w:sz w:val="25"/>
          <w:szCs w:val="25"/>
        </w:rPr>
      </w:pPr>
    </w:p>
    <w:p w:rsidR="008C23FE" w:rsidRPr="00073D91" w:rsidRDefault="008C23FE" w:rsidP="008C23FE">
      <w:pPr>
        <w:spacing w:line="288" w:lineRule="auto"/>
        <w:jc w:val="center"/>
        <w:rPr>
          <w:b/>
          <w:sz w:val="76"/>
          <w:szCs w:val="76"/>
        </w:rPr>
      </w:pPr>
      <w:r w:rsidRPr="00073D91">
        <w:rPr>
          <w:b/>
          <w:sz w:val="76"/>
          <w:szCs w:val="76"/>
        </w:rPr>
        <w:t>Docket UE-</w:t>
      </w:r>
      <w:r w:rsidR="00067761">
        <w:rPr>
          <w:b/>
          <w:sz w:val="76"/>
          <w:szCs w:val="76"/>
        </w:rPr>
        <w:t>11119</w:t>
      </w:r>
      <w:r w:rsidRPr="00073D91">
        <w:rPr>
          <w:b/>
          <w:sz w:val="76"/>
          <w:szCs w:val="76"/>
        </w:rPr>
        <w:t>0</w:t>
      </w:r>
    </w:p>
    <w:p w:rsidR="007B3B68" w:rsidRDefault="008C23FE" w:rsidP="00FD1384">
      <w:pPr>
        <w:spacing w:line="288" w:lineRule="auto"/>
        <w:jc w:val="center"/>
        <w:rPr>
          <w:b/>
          <w:sz w:val="76"/>
          <w:szCs w:val="76"/>
        </w:rPr>
      </w:pPr>
      <w:r w:rsidRPr="00073D91">
        <w:rPr>
          <w:b/>
          <w:sz w:val="76"/>
          <w:szCs w:val="76"/>
        </w:rPr>
        <w:t xml:space="preserve">Settlement </w:t>
      </w:r>
    </w:p>
    <w:sectPr w:rsidR="007B3B68" w:rsidSect="005F3544">
      <w:headerReference w:type="default" r:id="rId9"/>
      <w:headerReference w:type="first" r:id="rId10"/>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9C" w:rsidRDefault="00C6329C" w:rsidP="008C23FE">
      <w:r>
        <w:separator/>
      </w:r>
    </w:p>
  </w:endnote>
  <w:endnote w:type="continuationSeparator" w:id="0">
    <w:p w:rsidR="00C6329C" w:rsidRDefault="00C6329C" w:rsidP="008C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9C" w:rsidRDefault="00C6329C" w:rsidP="008C23FE">
      <w:r>
        <w:separator/>
      </w:r>
    </w:p>
  </w:footnote>
  <w:footnote w:type="continuationSeparator" w:id="0">
    <w:p w:rsidR="00C6329C" w:rsidRDefault="00C6329C" w:rsidP="008C23FE">
      <w:r>
        <w:continuationSeparator/>
      </w:r>
    </w:p>
  </w:footnote>
  <w:footnote w:id="1">
    <w:p w:rsidR="00C6329C" w:rsidRPr="0042312A" w:rsidRDefault="00C6329C" w:rsidP="0042312A">
      <w:pPr>
        <w:pStyle w:val="FootnoteText"/>
        <w:spacing w:after="240"/>
        <w:rPr>
          <w:sz w:val="22"/>
          <w:szCs w:val="22"/>
        </w:rPr>
      </w:pPr>
      <w:r w:rsidRPr="008C13CA">
        <w:rPr>
          <w:rStyle w:val="FootnoteReference"/>
          <w:szCs w:val="22"/>
        </w:rPr>
        <w:footnoteRef/>
      </w:r>
      <w:r w:rsidRPr="0042312A">
        <w:rPr>
          <w:sz w:val="22"/>
          <w:szCs w:val="22"/>
        </w:rPr>
        <w:t xml:space="preserve"> The suspension date is the date on which the revised tariff sheets become effective as a matter of law absent affirmative waiver by the company or entry prior to the suspension date of a Commission final order accepting or rejecting the as-filed tariff pages.  If the Commission rejects the as-filed tariff pages, it may leave the company’s existing rates unchanged or may order a filing by the company to effect new rates that comply with the Commission’s determinations in its final order.</w:t>
      </w:r>
    </w:p>
  </w:footnote>
  <w:footnote w:id="2">
    <w:p w:rsidR="00C6329C" w:rsidRPr="005A623E" w:rsidRDefault="00C6329C" w:rsidP="006F4B18">
      <w:pPr>
        <w:pStyle w:val="NoSpacing"/>
        <w:rPr>
          <w:sz w:val="22"/>
          <w:szCs w:val="22"/>
        </w:rPr>
      </w:pPr>
      <w:r w:rsidRPr="005A623E">
        <w:rPr>
          <w:rStyle w:val="FootnoteReference"/>
          <w:sz w:val="22"/>
          <w:szCs w:val="22"/>
        </w:rPr>
        <w:footnoteRef/>
      </w:r>
      <w:r w:rsidRPr="005A623E">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5A623E">
        <w:rPr>
          <w:i/>
          <w:sz w:val="22"/>
          <w:szCs w:val="22"/>
        </w:rPr>
        <w:t xml:space="preserve">See </w:t>
      </w:r>
      <w:r w:rsidRPr="005A623E">
        <w:rPr>
          <w:sz w:val="22"/>
          <w:szCs w:val="22"/>
        </w:rPr>
        <w:t>RCW 34.05.455.</w:t>
      </w:r>
    </w:p>
    <w:p w:rsidR="00C6329C" w:rsidRPr="008C13CA" w:rsidRDefault="00C6329C" w:rsidP="006F4B18">
      <w:pPr>
        <w:pStyle w:val="NoSpacing"/>
      </w:pPr>
    </w:p>
  </w:footnote>
  <w:footnote w:id="3">
    <w:p w:rsidR="00C6329C" w:rsidRDefault="00C6329C">
      <w:pPr>
        <w:pStyle w:val="FootnoteText"/>
        <w:rPr>
          <w:sz w:val="22"/>
          <w:szCs w:val="22"/>
        </w:rPr>
      </w:pPr>
      <w:r w:rsidRPr="00234606">
        <w:rPr>
          <w:rStyle w:val="FootnoteReference"/>
          <w:sz w:val="22"/>
          <w:szCs w:val="22"/>
        </w:rPr>
        <w:footnoteRef/>
      </w:r>
      <w:r>
        <w:rPr>
          <w:sz w:val="22"/>
          <w:szCs w:val="22"/>
        </w:rPr>
        <w:t xml:space="preserve">The public comment exhibit, Exh. No. 3, was filed on March 14, 2012, after the evidentiary hearing in this matter had concluded.  Accordingly, the Commission admits Exh. No. 3 with this reference.  Any party opposing its admission should file an objection within three business days of the date of this Order. </w:t>
      </w:r>
    </w:p>
    <w:p w:rsidR="00C6329C" w:rsidRPr="00234606" w:rsidRDefault="00C6329C">
      <w:pPr>
        <w:pStyle w:val="FootnoteText"/>
        <w:rPr>
          <w:sz w:val="22"/>
          <w:szCs w:val="22"/>
        </w:rPr>
      </w:pPr>
    </w:p>
  </w:footnote>
  <w:footnote w:id="4">
    <w:p w:rsidR="00C6329C" w:rsidRPr="00A5747B" w:rsidRDefault="00C6329C" w:rsidP="00475B48">
      <w:pPr>
        <w:pStyle w:val="FootnoteText"/>
        <w:spacing w:after="240"/>
        <w:rPr>
          <w:szCs w:val="22"/>
        </w:rPr>
      </w:pPr>
      <w:r w:rsidRPr="005E102B">
        <w:rPr>
          <w:rStyle w:val="FootnoteReference"/>
          <w:sz w:val="22"/>
          <w:szCs w:val="22"/>
        </w:rPr>
        <w:footnoteRef/>
      </w:r>
      <w:r w:rsidRPr="005E102B">
        <w:rPr>
          <w:sz w:val="22"/>
          <w:szCs w:val="22"/>
        </w:rPr>
        <w:t xml:space="preserve"> The Commission Staff stated that it was authorized to represent that the remainder of the parties concur with the request.</w:t>
      </w:r>
    </w:p>
  </w:footnote>
  <w:footnote w:id="5">
    <w:p w:rsidR="00C6329C" w:rsidRDefault="00C6329C">
      <w:pPr>
        <w:pStyle w:val="FootnoteText"/>
        <w:rPr>
          <w:sz w:val="22"/>
          <w:szCs w:val="22"/>
        </w:rPr>
      </w:pPr>
      <w:r w:rsidRPr="002F747D">
        <w:rPr>
          <w:rStyle w:val="FootnoteReference"/>
          <w:sz w:val="22"/>
          <w:szCs w:val="22"/>
        </w:rPr>
        <w:footnoteRef/>
      </w:r>
      <w:r>
        <w:rPr>
          <w:sz w:val="22"/>
          <w:szCs w:val="22"/>
        </w:rPr>
        <w:t>Attached to the Settlement are three sets of documents:  (1) “Appendix A” includes the stipulated revenue requirement adjustments, (2) “Appendix B” is the results of rate spread by class, and (3) “Appendix C” includes the revised tariff sheets.  We refer to this body of documents collectively as the “Settlement.”</w:t>
      </w:r>
    </w:p>
    <w:p w:rsidR="00C6329C" w:rsidRPr="002F747D" w:rsidRDefault="00C6329C">
      <w:pPr>
        <w:pStyle w:val="FootnoteText"/>
        <w:rPr>
          <w:sz w:val="22"/>
          <w:szCs w:val="22"/>
        </w:rPr>
      </w:pPr>
    </w:p>
  </w:footnote>
  <w:footnote w:id="6">
    <w:p w:rsidR="00C6329C" w:rsidRPr="00754416" w:rsidRDefault="00C6329C" w:rsidP="00F45C15">
      <w:pPr>
        <w:pStyle w:val="FootnoteText"/>
        <w:spacing w:after="240"/>
        <w:rPr>
          <w:szCs w:val="22"/>
        </w:rPr>
      </w:pPr>
      <w:r w:rsidRPr="00CE498C">
        <w:rPr>
          <w:rStyle w:val="FootnoteReference"/>
          <w:sz w:val="22"/>
          <w:szCs w:val="22"/>
        </w:rPr>
        <w:footnoteRef/>
      </w:r>
      <w:r w:rsidRPr="00CE498C">
        <w:rPr>
          <w:sz w:val="22"/>
          <w:szCs w:val="22"/>
        </w:rPr>
        <w:t xml:space="preserve"> The International Brotherhood of Electrical Workers, Local 125, was also granted intervention in this case, but is not represented by counsel, did not actively participate in this case, and is not a signatory to the Settlement.</w:t>
      </w:r>
    </w:p>
  </w:footnote>
  <w:footnote w:id="7">
    <w:p w:rsidR="00C6329C" w:rsidRPr="005E102B" w:rsidRDefault="00C6329C" w:rsidP="007B3B68">
      <w:pPr>
        <w:pStyle w:val="FootnoteText"/>
        <w:spacing w:after="240"/>
        <w:rPr>
          <w:sz w:val="22"/>
          <w:szCs w:val="22"/>
        </w:rPr>
      </w:pPr>
      <w:r w:rsidRPr="005E102B">
        <w:rPr>
          <w:rStyle w:val="FootnoteReference"/>
          <w:sz w:val="22"/>
          <w:szCs w:val="22"/>
        </w:rPr>
        <w:footnoteRef/>
      </w:r>
      <w:r w:rsidRPr="005E102B">
        <w:rPr>
          <w:sz w:val="22"/>
          <w:szCs w:val="22"/>
        </w:rPr>
        <w:t xml:space="preserve"> PacifiCorp’s last general rate case was decided by Order 06 entered March 25, 2011, in Docket UE-100749.  In that Order, the Commission approved a $38 million increase in electric rates.</w:t>
      </w:r>
    </w:p>
  </w:footnote>
  <w:footnote w:id="8">
    <w:p w:rsidR="00C6329C" w:rsidRPr="005E102B" w:rsidRDefault="00C6329C" w:rsidP="007B3B68">
      <w:pPr>
        <w:pStyle w:val="FootnoteText"/>
        <w:rPr>
          <w:sz w:val="22"/>
          <w:szCs w:val="22"/>
        </w:rPr>
      </w:pPr>
      <w:r w:rsidRPr="005E102B">
        <w:rPr>
          <w:rStyle w:val="FootnoteReference"/>
          <w:sz w:val="22"/>
          <w:szCs w:val="22"/>
        </w:rPr>
        <w:footnoteRef/>
      </w:r>
      <w:r w:rsidRPr="005E102B">
        <w:rPr>
          <w:sz w:val="22"/>
          <w:szCs w:val="22"/>
        </w:rPr>
        <w:t xml:space="preserve"> Kelly, ALK-1T, at 2:12 – 16, </w:t>
      </w:r>
      <w:r w:rsidRPr="005E102B">
        <w:rPr>
          <w:i/>
          <w:sz w:val="22"/>
          <w:szCs w:val="22"/>
        </w:rPr>
        <w:t xml:space="preserve">WUTC v. PacifiCorp, </w:t>
      </w:r>
      <w:r w:rsidRPr="005E102B">
        <w:rPr>
          <w:sz w:val="22"/>
          <w:szCs w:val="22"/>
        </w:rPr>
        <w:t>Docket UE-100749, Order 06 (March 25, 2011).</w:t>
      </w:r>
    </w:p>
    <w:p w:rsidR="00C6329C" w:rsidRPr="00596661" w:rsidRDefault="00C6329C" w:rsidP="007B3B68">
      <w:pPr>
        <w:pStyle w:val="FootnoteText"/>
        <w:rPr>
          <w:szCs w:val="22"/>
        </w:rPr>
      </w:pPr>
    </w:p>
  </w:footnote>
  <w:footnote w:id="9">
    <w:p w:rsidR="00C6329C" w:rsidRDefault="00C6329C">
      <w:pPr>
        <w:pStyle w:val="FootnoteText"/>
        <w:rPr>
          <w:sz w:val="22"/>
          <w:szCs w:val="22"/>
        </w:rPr>
      </w:pPr>
      <w:r w:rsidRPr="005E102B">
        <w:rPr>
          <w:rStyle w:val="FootnoteReference"/>
          <w:sz w:val="22"/>
          <w:szCs w:val="22"/>
        </w:rPr>
        <w:footnoteRef/>
      </w:r>
      <w:r w:rsidR="00E80D65">
        <w:rPr>
          <w:sz w:val="22"/>
          <w:szCs w:val="22"/>
        </w:rPr>
        <w:t xml:space="preserve"> </w:t>
      </w:r>
      <w:r>
        <w:rPr>
          <w:sz w:val="22"/>
          <w:szCs w:val="22"/>
        </w:rPr>
        <w:t>Kelly, ALK-1T, at 3:16.</w:t>
      </w:r>
    </w:p>
    <w:p w:rsidR="00C6329C" w:rsidRPr="005E102B" w:rsidRDefault="00C6329C">
      <w:pPr>
        <w:pStyle w:val="FootnoteText"/>
        <w:rPr>
          <w:sz w:val="22"/>
          <w:szCs w:val="22"/>
        </w:rPr>
      </w:pPr>
    </w:p>
  </w:footnote>
  <w:footnote w:id="10">
    <w:p w:rsidR="00C6329C" w:rsidRDefault="00C6329C">
      <w:pPr>
        <w:pStyle w:val="FootnoteText"/>
        <w:rPr>
          <w:sz w:val="22"/>
          <w:szCs w:val="22"/>
        </w:rPr>
      </w:pPr>
      <w:r w:rsidRPr="005E102B">
        <w:rPr>
          <w:rStyle w:val="FootnoteReference"/>
          <w:sz w:val="22"/>
          <w:szCs w:val="22"/>
        </w:rPr>
        <w:footnoteRef/>
      </w:r>
      <w:r w:rsidR="00E80D65">
        <w:rPr>
          <w:i/>
          <w:sz w:val="22"/>
          <w:szCs w:val="22"/>
        </w:rPr>
        <w:t xml:space="preserve"> </w:t>
      </w:r>
      <w:r>
        <w:rPr>
          <w:i/>
          <w:sz w:val="22"/>
          <w:szCs w:val="22"/>
        </w:rPr>
        <w:t xml:space="preserve">Id. </w:t>
      </w:r>
      <w:r>
        <w:rPr>
          <w:sz w:val="22"/>
          <w:szCs w:val="22"/>
        </w:rPr>
        <w:t>at 5:7.</w:t>
      </w:r>
    </w:p>
    <w:p w:rsidR="00C6329C" w:rsidRPr="005E102B" w:rsidRDefault="00C6329C">
      <w:pPr>
        <w:pStyle w:val="FootnoteText"/>
        <w:rPr>
          <w:sz w:val="22"/>
          <w:szCs w:val="22"/>
        </w:rPr>
      </w:pPr>
    </w:p>
  </w:footnote>
  <w:footnote w:id="11">
    <w:p w:rsidR="00C6329C" w:rsidRDefault="00C6329C">
      <w:pPr>
        <w:pStyle w:val="FootnoteText"/>
        <w:rPr>
          <w:sz w:val="22"/>
          <w:szCs w:val="22"/>
        </w:rPr>
      </w:pPr>
      <w:r w:rsidRPr="005E102B">
        <w:rPr>
          <w:rStyle w:val="FootnoteReference"/>
          <w:sz w:val="22"/>
          <w:szCs w:val="22"/>
        </w:rPr>
        <w:footnoteRef/>
      </w:r>
      <w:r w:rsidR="00E80D65">
        <w:rPr>
          <w:i/>
          <w:sz w:val="22"/>
          <w:szCs w:val="22"/>
        </w:rPr>
        <w:t xml:space="preserve"> </w:t>
      </w:r>
      <w:r>
        <w:rPr>
          <w:i/>
          <w:sz w:val="22"/>
          <w:szCs w:val="22"/>
        </w:rPr>
        <w:t xml:space="preserve">Id. </w:t>
      </w:r>
      <w:r>
        <w:rPr>
          <w:sz w:val="22"/>
          <w:szCs w:val="22"/>
        </w:rPr>
        <w:t>at 5:15 – 23.</w:t>
      </w:r>
    </w:p>
    <w:p w:rsidR="00C6329C" w:rsidRPr="00D16429" w:rsidRDefault="00C6329C">
      <w:pPr>
        <w:pStyle w:val="FootnoteText"/>
        <w:rPr>
          <w:sz w:val="22"/>
          <w:szCs w:val="22"/>
        </w:rPr>
      </w:pPr>
      <w:r w:rsidRPr="00D16429">
        <w:rPr>
          <w:sz w:val="22"/>
          <w:szCs w:val="22"/>
        </w:rPr>
        <w:t xml:space="preserve">. </w:t>
      </w:r>
    </w:p>
  </w:footnote>
  <w:footnote w:id="12">
    <w:p w:rsidR="00C6329C" w:rsidRDefault="00C6329C" w:rsidP="008D0DF4">
      <w:pPr>
        <w:pStyle w:val="FootnoteText"/>
        <w:rPr>
          <w:sz w:val="22"/>
          <w:szCs w:val="22"/>
        </w:rPr>
      </w:pPr>
      <w:r w:rsidRPr="00D16429">
        <w:rPr>
          <w:rStyle w:val="FootnoteReference"/>
          <w:sz w:val="22"/>
          <w:szCs w:val="22"/>
        </w:rPr>
        <w:footnoteRef/>
      </w:r>
      <w:r w:rsidRPr="00D16429">
        <w:rPr>
          <w:sz w:val="22"/>
          <w:szCs w:val="22"/>
        </w:rPr>
        <w:t xml:space="preserve"> Joint Testimony, Exh. No. JT-1T, at 5:15-18.</w:t>
      </w:r>
    </w:p>
    <w:p w:rsidR="00C6329C" w:rsidRPr="00D16429" w:rsidRDefault="00C6329C" w:rsidP="008D0DF4">
      <w:pPr>
        <w:pStyle w:val="FootnoteText"/>
        <w:rPr>
          <w:sz w:val="22"/>
          <w:szCs w:val="22"/>
        </w:rPr>
      </w:pPr>
    </w:p>
  </w:footnote>
  <w:footnote w:id="13">
    <w:p w:rsidR="00C6329C" w:rsidRDefault="00C6329C" w:rsidP="008D0DF4">
      <w:pPr>
        <w:pStyle w:val="FootnoteText"/>
        <w:rPr>
          <w:sz w:val="22"/>
          <w:szCs w:val="22"/>
        </w:rPr>
      </w:pPr>
      <w:r w:rsidRPr="00D16429">
        <w:rPr>
          <w:rStyle w:val="FootnoteReference"/>
          <w:sz w:val="22"/>
          <w:szCs w:val="22"/>
        </w:rPr>
        <w:footnoteRef/>
      </w:r>
      <w:r w:rsidR="00E80D65">
        <w:rPr>
          <w:i/>
          <w:sz w:val="22"/>
          <w:szCs w:val="22"/>
        </w:rPr>
        <w:t xml:space="preserve"> </w:t>
      </w:r>
      <w:r w:rsidRPr="00D16429">
        <w:rPr>
          <w:i/>
          <w:sz w:val="22"/>
          <w:szCs w:val="22"/>
        </w:rPr>
        <w:t>Id.</w:t>
      </w:r>
      <w:r w:rsidRPr="00D16429">
        <w:rPr>
          <w:sz w:val="22"/>
          <w:szCs w:val="22"/>
        </w:rPr>
        <w:t xml:space="preserve"> at 5:19-20.</w:t>
      </w:r>
    </w:p>
    <w:p w:rsidR="00C6329C" w:rsidRPr="00D16429" w:rsidRDefault="00C6329C" w:rsidP="008D0DF4">
      <w:pPr>
        <w:pStyle w:val="FootnoteText"/>
        <w:rPr>
          <w:sz w:val="22"/>
          <w:szCs w:val="22"/>
        </w:rPr>
      </w:pPr>
    </w:p>
  </w:footnote>
  <w:footnote w:id="14">
    <w:p w:rsidR="00C6329C" w:rsidRPr="00D16429" w:rsidRDefault="00C6329C" w:rsidP="008D0DF4">
      <w:pPr>
        <w:pStyle w:val="FootnoteText"/>
        <w:rPr>
          <w:sz w:val="22"/>
          <w:szCs w:val="22"/>
        </w:rPr>
      </w:pPr>
      <w:r w:rsidRPr="00D16429">
        <w:rPr>
          <w:rStyle w:val="FootnoteReference"/>
          <w:sz w:val="22"/>
          <w:szCs w:val="22"/>
        </w:rPr>
        <w:footnoteRef/>
      </w:r>
      <w:r w:rsidR="00E80D65">
        <w:rPr>
          <w:i/>
          <w:sz w:val="22"/>
          <w:szCs w:val="22"/>
        </w:rPr>
        <w:t xml:space="preserve"> </w:t>
      </w:r>
      <w:r w:rsidRPr="00D16429">
        <w:rPr>
          <w:i/>
          <w:sz w:val="22"/>
          <w:szCs w:val="22"/>
        </w:rPr>
        <w:t>Id.</w:t>
      </w:r>
      <w:r w:rsidRPr="00D16429">
        <w:rPr>
          <w:sz w:val="22"/>
          <w:szCs w:val="22"/>
        </w:rPr>
        <w:t xml:space="preserve"> at 20:11-15.</w:t>
      </w:r>
    </w:p>
  </w:footnote>
  <w:footnote w:id="15">
    <w:p w:rsidR="00C6329C" w:rsidRDefault="00C6329C" w:rsidP="00116C7F">
      <w:pPr>
        <w:pStyle w:val="FootnoteText"/>
        <w:rPr>
          <w:sz w:val="22"/>
          <w:szCs w:val="22"/>
        </w:rPr>
      </w:pPr>
      <w:r w:rsidRPr="00D16429">
        <w:rPr>
          <w:rStyle w:val="FootnoteReference"/>
          <w:sz w:val="22"/>
          <w:szCs w:val="22"/>
        </w:rPr>
        <w:footnoteRef/>
      </w:r>
      <w:r w:rsidR="00E80D65">
        <w:rPr>
          <w:i/>
          <w:sz w:val="22"/>
          <w:szCs w:val="22"/>
        </w:rPr>
        <w:t xml:space="preserve"> </w:t>
      </w:r>
      <w:r w:rsidRPr="00D16429">
        <w:rPr>
          <w:i/>
          <w:sz w:val="22"/>
          <w:szCs w:val="22"/>
        </w:rPr>
        <w:t>Id.</w:t>
      </w:r>
      <w:r w:rsidRPr="00D16429">
        <w:rPr>
          <w:sz w:val="22"/>
          <w:szCs w:val="22"/>
        </w:rPr>
        <w:t xml:space="preserve"> at 6:9-19.</w:t>
      </w:r>
    </w:p>
    <w:p w:rsidR="00C6329C" w:rsidRPr="00D16429" w:rsidRDefault="00C6329C" w:rsidP="00116C7F">
      <w:pPr>
        <w:pStyle w:val="FootnoteText"/>
        <w:rPr>
          <w:sz w:val="22"/>
          <w:szCs w:val="22"/>
        </w:rPr>
      </w:pPr>
    </w:p>
  </w:footnote>
  <w:footnote w:id="16">
    <w:p w:rsidR="00C6329C" w:rsidRDefault="00C6329C" w:rsidP="00116C7F">
      <w:pPr>
        <w:pStyle w:val="FootnoteText"/>
        <w:rPr>
          <w:sz w:val="22"/>
          <w:szCs w:val="22"/>
        </w:rPr>
      </w:pPr>
      <w:r w:rsidRPr="00D16429">
        <w:rPr>
          <w:rStyle w:val="FootnoteReference"/>
          <w:sz w:val="22"/>
          <w:szCs w:val="22"/>
        </w:rPr>
        <w:footnoteRef/>
      </w:r>
      <w:r w:rsidR="00E80D65">
        <w:rPr>
          <w:i/>
          <w:sz w:val="22"/>
          <w:szCs w:val="22"/>
        </w:rPr>
        <w:t xml:space="preserve"> </w:t>
      </w:r>
      <w:r w:rsidRPr="00D16429">
        <w:rPr>
          <w:i/>
          <w:sz w:val="22"/>
          <w:szCs w:val="22"/>
        </w:rPr>
        <w:t>Id.</w:t>
      </w:r>
      <w:r w:rsidRPr="00D16429">
        <w:rPr>
          <w:sz w:val="22"/>
          <w:szCs w:val="22"/>
        </w:rPr>
        <w:t xml:space="preserve"> at 7:1-5.</w:t>
      </w:r>
    </w:p>
    <w:p w:rsidR="00C6329C" w:rsidRPr="00D16429" w:rsidRDefault="00C6329C" w:rsidP="00116C7F">
      <w:pPr>
        <w:pStyle w:val="FootnoteText"/>
        <w:rPr>
          <w:sz w:val="22"/>
          <w:szCs w:val="22"/>
        </w:rPr>
      </w:pPr>
    </w:p>
  </w:footnote>
  <w:footnote w:id="17">
    <w:p w:rsidR="00C6329C" w:rsidRDefault="00C6329C" w:rsidP="00D16429">
      <w:pPr>
        <w:pStyle w:val="FootnoteText"/>
        <w:rPr>
          <w:sz w:val="22"/>
          <w:szCs w:val="22"/>
        </w:rPr>
      </w:pPr>
      <w:r w:rsidRPr="00D16429">
        <w:rPr>
          <w:rStyle w:val="FootnoteReference"/>
          <w:sz w:val="22"/>
          <w:szCs w:val="22"/>
        </w:rPr>
        <w:footnoteRef/>
      </w:r>
      <w:r w:rsidRPr="00D16429">
        <w:rPr>
          <w:sz w:val="22"/>
          <w:szCs w:val="22"/>
        </w:rPr>
        <w:t xml:space="preserve"> Settlement, Exh. No. 2 ¶ 10; Joint Testimony, Exh. No. JT-1T, at 6:1-8. </w:t>
      </w:r>
    </w:p>
    <w:p w:rsidR="00C6329C" w:rsidRPr="00D16429" w:rsidRDefault="00C6329C" w:rsidP="00D16429">
      <w:pPr>
        <w:pStyle w:val="FootnoteText"/>
        <w:rPr>
          <w:sz w:val="22"/>
          <w:szCs w:val="22"/>
        </w:rPr>
      </w:pPr>
    </w:p>
  </w:footnote>
  <w:footnote w:id="18">
    <w:p w:rsidR="00C6329C" w:rsidRPr="008C13CA" w:rsidRDefault="00C6329C" w:rsidP="00F71E5A">
      <w:pPr>
        <w:pStyle w:val="Subtitle"/>
        <w:ind w:left="0"/>
      </w:pPr>
      <w:r w:rsidRPr="008C13CA">
        <w:rPr>
          <w:rStyle w:val="FootnoteReference"/>
          <w:szCs w:val="22"/>
        </w:rPr>
        <w:footnoteRef/>
      </w:r>
      <w:r w:rsidR="00E80D65">
        <w:rPr>
          <w:i/>
          <w:lang w:val="en-US"/>
        </w:rPr>
        <w:t xml:space="preserve"> </w:t>
      </w:r>
      <w:r>
        <w:rPr>
          <w:i/>
        </w:rPr>
        <w:t>Id.</w:t>
      </w:r>
      <w:r w:rsidRPr="008C13CA">
        <w:t xml:space="preserve"> ¶ 30.</w:t>
      </w:r>
    </w:p>
  </w:footnote>
  <w:footnote w:id="19">
    <w:p w:rsidR="00C6329C" w:rsidRPr="0056799B" w:rsidRDefault="00C6329C" w:rsidP="00F71E5A">
      <w:pPr>
        <w:pStyle w:val="FootnoteText"/>
        <w:rPr>
          <w:i/>
          <w:sz w:val="22"/>
          <w:szCs w:val="22"/>
        </w:rPr>
      </w:pPr>
      <w:r w:rsidRPr="0056799B">
        <w:rPr>
          <w:rStyle w:val="FootnoteReference"/>
          <w:sz w:val="22"/>
          <w:szCs w:val="22"/>
        </w:rPr>
        <w:footnoteRef/>
      </w:r>
      <w:r w:rsidR="00E80D65">
        <w:rPr>
          <w:i/>
          <w:sz w:val="22"/>
          <w:szCs w:val="22"/>
        </w:rPr>
        <w:t xml:space="preserve"> </w:t>
      </w:r>
      <w:r w:rsidRPr="0056799B">
        <w:rPr>
          <w:i/>
          <w:sz w:val="22"/>
          <w:szCs w:val="22"/>
        </w:rPr>
        <w:t>Id.</w:t>
      </w:r>
    </w:p>
    <w:p w:rsidR="00C6329C" w:rsidRPr="0056799B" w:rsidRDefault="00C6329C" w:rsidP="00F71E5A">
      <w:pPr>
        <w:pStyle w:val="FootnoteText"/>
        <w:rPr>
          <w:sz w:val="22"/>
          <w:szCs w:val="22"/>
        </w:rPr>
      </w:pPr>
    </w:p>
  </w:footnote>
  <w:footnote w:id="20">
    <w:p w:rsidR="00C6329C" w:rsidRPr="0056799B" w:rsidRDefault="00C6329C" w:rsidP="00F71E5A">
      <w:pPr>
        <w:pStyle w:val="FootnoteText"/>
        <w:rPr>
          <w:sz w:val="22"/>
          <w:szCs w:val="22"/>
        </w:rPr>
      </w:pPr>
      <w:r w:rsidRPr="0056799B">
        <w:rPr>
          <w:rStyle w:val="FootnoteReference"/>
          <w:sz w:val="22"/>
          <w:szCs w:val="22"/>
        </w:rPr>
        <w:footnoteRef/>
      </w:r>
      <w:r w:rsidR="00E80D65">
        <w:rPr>
          <w:i/>
          <w:sz w:val="22"/>
          <w:szCs w:val="22"/>
        </w:rPr>
        <w:t xml:space="preserve"> </w:t>
      </w:r>
      <w:r w:rsidRPr="0056799B">
        <w:rPr>
          <w:i/>
          <w:sz w:val="22"/>
          <w:szCs w:val="22"/>
        </w:rPr>
        <w:t>Id.</w:t>
      </w:r>
      <w:r w:rsidRPr="0056799B">
        <w:rPr>
          <w:sz w:val="22"/>
          <w:szCs w:val="22"/>
        </w:rPr>
        <w:t>; Joint Testimony, Exh. No. JT-1T, at 12:15 – 24.</w:t>
      </w:r>
    </w:p>
    <w:p w:rsidR="00C6329C" w:rsidRPr="0056799B" w:rsidRDefault="00C6329C" w:rsidP="00F71E5A">
      <w:pPr>
        <w:pStyle w:val="FootnoteText"/>
        <w:rPr>
          <w:sz w:val="22"/>
          <w:szCs w:val="22"/>
        </w:rPr>
      </w:pPr>
    </w:p>
  </w:footnote>
  <w:footnote w:id="21">
    <w:p w:rsidR="00C6329C" w:rsidRDefault="00C6329C" w:rsidP="00747ECE">
      <w:pPr>
        <w:pStyle w:val="FootnoteText"/>
        <w:rPr>
          <w:sz w:val="22"/>
          <w:szCs w:val="22"/>
        </w:rPr>
      </w:pPr>
      <w:r w:rsidRPr="0056799B">
        <w:rPr>
          <w:rStyle w:val="FootnoteReference"/>
          <w:sz w:val="22"/>
          <w:szCs w:val="22"/>
        </w:rPr>
        <w:footnoteRef/>
      </w:r>
      <w:r w:rsidRPr="0056799B">
        <w:rPr>
          <w:sz w:val="22"/>
          <w:szCs w:val="22"/>
        </w:rPr>
        <w:t xml:space="preserve"> Settlement, Exh. No. 2 ¶ 23; Joint Testimony, Exh. No. JT-1T, at 8:1 – 2.</w:t>
      </w:r>
    </w:p>
    <w:p w:rsidR="00C6329C" w:rsidRPr="0056799B" w:rsidRDefault="00C6329C" w:rsidP="00747ECE">
      <w:pPr>
        <w:pStyle w:val="FootnoteText"/>
        <w:rPr>
          <w:sz w:val="22"/>
          <w:szCs w:val="22"/>
        </w:rPr>
      </w:pPr>
    </w:p>
  </w:footnote>
  <w:footnote w:id="22">
    <w:p w:rsidR="00C6329C" w:rsidRPr="0056799B" w:rsidRDefault="00C6329C" w:rsidP="00747ECE">
      <w:pPr>
        <w:pStyle w:val="FootnoteText"/>
        <w:rPr>
          <w:sz w:val="22"/>
          <w:szCs w:val="22"/>
        </w:rPr>
      </w:pPr>
      <w:r w:rsidRPr="0056799B">
        <w:rPr>
          <w:rStyle w:val="FootnoteReference"/>
          <w:sz w:val="22"/>
          <w:szCs w:val="22"/>
        </w:rPr>
        <w:footnoteRef/>
      </w:r>
      <w:r w:rsidRPr="0056799B">
        <w:rPr>
          <w:sz w:val="22"/>
          <w:szCs w:val="22"/>
        </w:rPr>
        <w:t xml:space="preserve"> Griffith, Exh. No. WRG-1T, at 2:20 - 22.</w:t>
      </w:r>
    </w:p>
    <w:p w:rsidR="00C6329C" w:rsidRPr="0056799B" w:rsidRDefault="00C6329C" w:rsidP="00747ECE">
      <w:pPr>
        <w:pStyle w:val="FootnoteText"/>
        <w:rPr>
          <w:sz w:val="22"/>
          <w:szCs w:val="22"/>
        </w:rPr>
      </w:pPr>
    </w:p>
  </w:footnote>
  <w:footnote w:id="23">
    <w:p w:rsidR="00C6329C" w:rsidRPr="0056799B" w:rsidRDefault="00C6329C" w:rsidP="00747ECE">
      <w:pPr>
        <w:pStyle w:val="FootnoteText"/>
        <w:rPr>
          <w:sz w:val="22"/>
          <w:szCs w:val="22"/>
        </w:rPr>
      </w:pPr>
      <w:r w:rsidRPr="0056799B">
        <w:rPr>
          <w:rStyle w:val="FootnoteReference"/>
          <w:sz w:val="22"/>
          <w:szCs w:val="22"/>
        </w:rPr>
        <w:footnoteRef/>
      </w:r>
      <w:r w:rsidR="00E80D65">
        <w:rPr>
          <w:i/>
          <w:sz w:val="22"/>
          <w:szCs w:val="22"/>
        </w:rPr>
        <w:t xml:space="preserve"> </w:t>
      </w:r>
      <w:r w:rsidRPr="0056799B">
        <w:rPr>
          <w:i/>
          <w:sz w:val="22"/>
          <w:szCs w:val="22"/>
        </w:rPr>
        <w:t xml:space="preserve">Id. </w:t>
      </w:r>
      <w:r w:rsidRPr="0056799B">
        <w:rPr>
          <w:sz w:val="22"/>
          <w:szCs w:val="22"/>
        </w:rPr>
        <w:t>at 2:20 to 3:5.</w:t>
      </w:r>
    </w:p>
  </w:footnote>
  <w:footnote w:id="24">
    <w:p w:rsidR="00C6329C" w:rsidRPr="0056799B" w:rsidRDefault="00C6329C" w:rsidP="006871F8">
      <w:pPr>
        <w:pStyle w:val="FootnoteText"/>
        <w:rPr>
          <w:sz w:val="22"/>
          <w:szCs w:val="22"/>
        </w:rPr>
      </w:pPr>
    </w:p>
    <w:p w:rsidR="00C6329C" w:rsidRPr="0056799B" w:rsidRDefault="00C6329C" w:rsidP="006871F8">
      <w:pPr>
        <w:pStyle w:val="FootnoteText"/>
        <w:rPr>
          <w:sz w:val="22"/>
          <w:szCs w:val="22"/>
        </w:rPr>
      </w:pPr>
      <w:r w:rsidRPr="0056799B">
        <w:rPr>
          <w:rStyle w:val="FootnoteReference"/>
          <w:sz w:val="22"/>
          <w:szCs w:val="22"/>
        </w:rPr>
        <w:footnoteRef/>
      </w:r>
      <w:r w:rsidRPr="0056799B">
        <w:rPr>
          <w:sz w:val="22"/>
          <w:szCs w:val="22"/>
        </w:rPr>
        <w:t xml:space="preserve"> Settlement, Exh. No. 2 ¶ 24; Joint Testimony, Exh. No. JT-1T, at 8:6 – 9.</w:t>
      </w:r>
    </w:p>
    <w:p w:rsidR="00C6329C" w:rsidRPr="0056799B" w:rsidRDefault="00C6329C" w:rsidP="006871F8">
      <w:pPr>
        <w:pStyle w:val="FootnoteText"/>
        <w:rPr>
          <w:sz w:val="22"/>
          <w:szCs w:val="22"/>
        </w:rPr>
      </w:pPr>
    </w:p>
  </w:footnote>
  <w:footnote w:id="25">
    <w:p w:rsidR="00C6329C" w:rsidRPr="0056799B" w:rsidRDefault="00C6329C" w:rsidP="006871F8">
      <w:pPr>
        <w:pStyle w:val="FootnoteText"/>
        <w:rPr>
          <w:sz w:val="22"/>
          <w:szCs w:val="22"/>
        </w:rPr>
      </w:pPr>
      <w:r w:rsidRPr="0056799B">
        <w:rPr>
          <w:rStyle w:val="FootnoteReference"/>
          <w:sz w:val="22"/>
          <w:szCs w:val="22"/>
        </w:rPr>
        <w:footnoteRef/>
      </w:r>
      <w:r w:rsidRPr="0056799B">
        <w:rPr>
          <w:sz w:val="22"/>
          <w:szCs w:val="22"/>
        </w:rPr>
        <w:t xml:space="preserve"> Griffith, Exh. No. WRG-1T, at 4:6 – 7.</w:t>
      </w:r>
    </w:p>
    <w:p w:rsidR="00C6329C" w:rsidRPr="0056799B" w:rsidRDefault="00C6329C" w:rsidP="006871F8">
      <w:pPr>
        <w:pStyle w:val="FootnoteText"/>
        <w:rPr>
          <w:sz w:val="22"/>
          <w:szCs w:val="22"/>
        </w:rPr>
      </w:pPr>
    </w:p>
  </w:footnote>
  <w:footnote w:id="26">
    <w:p w:rsidR="00C6329C" w:rsidRPr="0056799B" w:rsidRDefault="00C6329C" w:rsidP="006871F8">
      <w:pPr>
        <w:pStyle w:val="FootnoteText"/>
        <w:rPr>
          <w:sz w:val="22"/>
          <w:szCs w:val="22"/>
        </w:rPr>
      </w:pPr>
      <w:r w:rsidRPr="0056799B">
        <w:rPr>
          <w:rStyle w:val="FootnoteReference"/>
          <w:sz w:val="22"/>
          <w:szCs w:val="22"/>
        </w:rPr>
        <w:footnoteRef/>
      </w:r>
      <w:r w:rsidRPr="0056799B">
        <w:rPr>
          <w:sz w:val="22"/>
          <w:szCs w:val="22"/>
        </w:rPr>
        <w:t xml:space="preserve"> Settlement, Exh. No. 2 ¶ 24; Joint Testimony, Exh. No. JT-1T, at 8:9.</w:t>
      </w:r>
    </w:p>
    <w:p w:rsidR="00C6329C" w:rsidRPr="00154E58" w:rsidRDefault="00C6329C" w:rsidP="006871F8">
      <w:pPr>
        <w:pStyle w:val="FootnoteText"/>
        <w:rPr>
          <w:sz w:val="22"/>
          <w:szCs w:val="22"/>
        </w:rPr>
      </w:pPr>
    </w:p>
  </w:footnote>
  <w:footnote w:id="27">
    <w:p w:rsidR="00C6329C" w:rsidRPr="00A5747B" w:rsidRDefault="00C6329C" w:rsidP="00A83311">
      <w:pPr>
        <w:pStyle w:val="FootnoteText"/>
        <w:spacing w:after="240"/>
        <w:rPr>
          <w:szCs w:val="22"/>
        </w:rPr>
      </w:pPr>
      <w:r w:rsidRPr="00154E58">
        <w:rPr>
          <w:rStyle w:val="FootnoteReference"/>
          <w:sz w:val="22"/>
          <w:szCs w:val="22"/>
        </w:rPr>
        <w:footnoteRef/>
      </w:r>
      <w:r w:rsidRPr="00154E58">
        <w:rPr>
          <w:sz w:val="22"/>
          <w:szCs w:val="22"/>
        </w:rPr>
        <w:t xml:space="preserve"> Changes to the Low-Income Bill Assistance Program are described in the testimony of Staff witness Deborah J. Reynolds and The Energy Project witness Charles Eberdt.  </w:t>
      </w:r>
      <w:r w:rsidRPr="00154E58">
        <w:rPr>
          <w:i/>
          <w:sz w:val="22"/>
          <w:szCs w:val="22"/>
        </w:rPr>
        <w:t>See</w:t>
      </w:r>
      <w:r w:rsidRPr="00154E58">
        <w:rPr>
          <w:sz w:val="22"/>
          <w:szCs w:val="22"/>
        </w:rPr>
        <w:t xml:space="preserve"> Reynolds, Exh. No. DJR-1T, at 13-19; Reynolds, Exh. No DJR-3; Eberdt, Exh. No. CME-1T; and Eberdt, Exh. No. CME-3.</w:t>
      </w:r>
    </w:p>
  </w:footnote>
  <w:footnote w:id="28">
    <w:p w:rsidR="00C6329C" w:rsidRPr="00154E58" w:rsidRDefault="00C6329C" w:rsidP="00A83311">
      <w:pPr>
        <w:pStyle w:val="FootnoteText"/>
        <w:rPr>
          <w:sz w:val="22"/>
          <w:szCs w:val="22"/>
        </w:rPr>
      </w:pPr>
      <w:r w:rsidRPr="00154E58">
        <w:rPr>
          <w:rStyle w:val="FootnoteReference"/>
          <w:sz w:val="22"/>
          <w:szCs w:val="22"/>
        </w:rPr>
        <w:footnoteRef/>
      </w:r>
      <w:r w:rsidRPr="00154E58">
        <w:rPr>
          <w:sz w:val="22"/>
          <w:szCs w:val="22"/>
        </w:rPr>
        <w:t xml:space="preserve"> Settlement, Exh. No. 2 ¶ 26.</w:t>
      </w:r>
    </w:p>
    <w:p w:rsidR="00C6329C" w:rsidRPr="008C13CA" w:rsidRDefault="00C6329C" w:rsidP="00A83311">
      <w:pPr>
        <w:pStyle w:val="FootnoteText"/>
        <w:rPr>
          <w:szCs w:val="22"/>
        </w:rPr>
      </w:pPr>
    </w:p>
  </w:footnote>
  <w:footnote w:id="29">
    <w:p w:rsidR="00C6329C" w:rsidRDefault="00C6329C" w:rsidP="00A83311">
      <w:pPr>
        <w:pStyle w:val="FootnoteText"/>
        <w:rPr>
          <w:sz w:val="22"/>
          <w:szCs w:val="22"/>
        </w:rPr>
      </w:pPr>
      <w:r w:rsidRPr="00154E58">
        <w:rPr>
          <w:rStyle w:val="FootnoteReference"/>
          <w:sz w:val="22"/>
          <w:szCs w:val="22"/>
        </w:rPr>
        <w:footnoteRef/>
      </w:r>
      <w:r w:rsidR="00E80D65">
        <w:rPr>
          <w:i/>
          <w:sz w:val="22"/>
          <w:szCs w:val="22"/>
        </w:rPr>
        <w:t xml:space="preserve"> </w:t>
      </w:r>
      <w:r w:rsidRPr="00154E58">
        <w:rPr>
          <w:i/>
          <w:sz w:val="22"/>
          <w:szCs w:val="22"/>
        </w:rPr>
        <w:t>Id.</w:t>
      </w:r>
      <w:r w:rsidRPr="00154E58">
        <w:rPr>
          <w:sz w:val="22"/>
          <w:szCs w:val="22"/>
        </w:rPr>
        <w:t xml:space="preserve"> ¶ 25.</w:t>
      </w:r>
    </w:p>
    <w:p w:rsidR="00C6329C" w:rsidRPr="00154E58" w:rsidRDefault="00C6329C" w:rsidP="00A83311">
      <w:pPr>
        <w:pStyle w:val="FootnoteText"/>
        <w:rPr>
          <w:sz w:val="22"/>
          <w:szCs w:val="22"/>
        </w:rPr>
      </w:pPr>
    </w:p>
  </w:footnote>
  <w:footnote w:id="30">
    <w:p w:rsidR="00C6329C" w:rsidRDefault="00C6329C">
      <w:pPr>
        <w:pStyle w:val="FootnoteText"/>
        <w:rPr>
          <w:sz w:val="22"/>
          <w:szCs w:val="22"/>
        </w:rPr>
      </w:pPr>
      <w:r w:rsidRPr="00A83311">
        <w:rPr>
          <w:rStyle w:val="FootnoteReference"/>
          <w:sz w:val="22"/>
          <w:szCs w:val="22"/>
        </w:rPr>
        <w:footnoteRef/>
      </w:r>
      <w:r w:rsidR="00E80D65">
        <w:rPr>
          <w:sz w:val="22"/>
          <w:szCs w:val="22"/>
        </w:rPr>
        <w:t xml:space="preserve"> </w:t>
      </w:r>
      <w:r>
        <w:rPr>
          <w:sz w:val="22"/>
          <w:szCs w:val="22"/>
        </w:rPr>
        <w:t>Appendix B of the Settlement sets forth the rates associated with the Five-Year Plan.</w:t>
      </w:r>
    </w:p>
    <w:p w:rsidR="00C6329C" w:rsidRPr="00A83311" w:rsidRDefault="00C6329C">
      <w:pPr>
        <w:pStyle w:val="FootnoteText"/>
        <w:rPr>
          <w:sz w:val="22"/>
          <w:szCs w:val="22"/>
        </w:rPr>
      </w:pPr>
    </w:p>
  </w:footnote>
  <w:footnote w:id="31">
    <w:p w:rsidR="00C6329C" w:rsidRDefault="00C6329C" w:rsidP="005714DC">
      <w:pPr>
        <w:pStyle w:val="FootnoteText"/>
        <w:rPr>
          <w:sz w:val="22"/>
          <w:szCs w:val="22"/>
        </w:rPr>
      </w:pPr>
      <w:r w:rsidRPr="005714DC">
        <w:rPr>
          <w:rStyle w:val="FootnoteReference"/>
          <w:sz w:val="22"/>
          <w:szCs w:val="22"/>
        </w:rPr>
        <w:footnoteRef/>
      </w:r>
      <w:r w:rsidR="00E80D65">
        <w:rPr>
          <w:i/>
          <w:sz w:val="22"/>
          <w:szCs w:val="22"/>
        </w:rPr>
        <w:t xml:space="preserve"> </w:t>
      </w:r>
      <w:r w:rsidRPr="00154E58">
        <w:rPr>
          <w:i/>
          <w:sz w:val="22"/>
          <w:szCs w:val="22"/>
        </w:rPr>
        <w:t>See “</w:t>
      </w:r>
      <w:r w:rsidRPr="005714DC">
        <w:rPr>
          <w:sz w:val="22"/>
          <w:szCs w:val="22"/>
        </w:rPr>
        <w:t>Low Income Credits” sheet in Appendix B.</w:t>
      </w:r>
    </w:p>
    <w:p w:rsidR="00C6329C" w:rsidRPr="005714DC" w:rsidRDefault="00C6329C" w:rsidP="005714DC">
      <w:pPr>
        <w:pStyle w:val="FootnoteText"/>
        <w:rPr>
          <w:sz w:val="22"/>
          <w:szCs w:val="22"/>
        </w:rPr>
      </w:pPr>
    </w:p>
  </w:footnote>
  <w:footnote w:id="32">
    <w:p w:rsidR="00C6329C" w:rsidRPr="001035E4" w:rsidRDefault="00C6329C" w:rsidP="001035E4">
      <w:pPr>
        <w:pStyle w:val="BodyText"/>
        <w:tabs>
          <w:tab w:val="left" w:pos="720"/>
        </w:tabs>
        <w:jc w:val="left"/>
        <w:rPr>
          <w:rFonts w:ascii="Times New Roman" w:hAnsi="Times New Roman"/>
          <w:sz w:val="22"/>
          <w:szCs w:val="22"/>
        </w:rPr>
      </w:pPr>
      <w:r w:rsidRPr="001035E4">
        <w:rPr>
          <w:rStyle w:val="FootnoteReference"/>
          <w:rFonts w:ascii="Times New Roman" w:hAnsi="Times New Roman"/>
          <w:sz w:val="22"/>
          <w:szCs w:val="22"/>
        </w:rPr>
        <w:footnoteRef/>
      </w:r>
      <w:r w:rsidR="00E80D65">
        <w:rPr>
          <w:rFonts w:ascii="Times New Roman" w:hAnsi="Times New Roman"/>
          <w:sz w:val="22"/>
          <w:szCs w:val="22"/>
        </w:rPr>
        <w:t xml:space="preserve"> </w:t>
      </w:r>
      <w:r w:rsidRPr="001035E4">
        <w:rPr>
          <w:rFonts w:ascii="Times New Roman" w:hAnsi="Times New Roman"/>
          <w:sz w:val="22"/>
          <w:szCs w:val="22"/>
        </w:rPr>
        <w:t>Settlement, Exh. No. 2 ¶ 27.  This provision does not preclude the Company from filing requests for deferred accounting or other accounting petitions before January 1, 2013.  If such filings are made by the Company, the other parties are free to take any position they deem appropriate, including opposition to such requests.</w:t>
      </w:r>
    </w:p>
    <w:p w:rsidR="00C6329C" w:rsidRPr="00BE69FA" w:rsidRDefault="00C6329C" w:rsidP="001035E4">
      <w:pPr>
        <w:pStyle w:val="BodyText"/>
        <w:tabs>
          <w:tab w:val="left" w:pos="720"/>
        </w:tabs>
        <w:rPr>
          <w:sz w:val="22"/>
          <w:szCs w:val="22"/>
        </w:rPr>
      </w:pPr>
    </w:p>
  </w:footnote>
  <w:footnote w:id="33">
    <w:p w:rsidR="00C6329C" w:rsidRDefault="00C6329C" w:rsidP="001035E4">
      <w:pPr>
        <w:pStyle w:val="FootnoteText"/>
        <w:rPr>
          <w:szCs w:val="22"/>
        </w:rPr>
      </w:pPr>
      <w:r w:rsidRPr="00154E58">
        <w:rPr>
          <w:rStyle w:val="FootnoteReference"/>
          <w:sz w:val="22"/>
          <w:szCs w:val="22"/>
        </w:rPr>
        <w:footnoteRef/>
      </w:r>
      <w:r w:rsidRPr="00154E58">
        <w:rPr>
          <w:sz w:val="22"/>
          <w:szCs w:val="22"/>
        </w:rPr>
        <w:t xml:space="preserve"> Joint Testimony, Exh. No. JT-1T, at 19:15-20:7, 23:15-19</w:t>
      </w:r>
      <w:r w:rsidRPr="008C13CA">
        <w:rPr>
          <w:szCs w:val="22"/>
        </w:rPr>
        <w:t>.</w:t>
      </w:r>
    </w:p>
    <w:p w:rsidR="00C6329C" w:rsidRPr="009D7839" w:rsidRDefault="00C6329C" w:rsidP="001035E4">
      <w:pPr>
        <w:pStyle w:val="FootnoteText"/>
        <w:rPr>
          <w:szCs w:val="22"/>
        </w:rPr>
      </w:pPr>
    </w:p>
  </w:footnote>
  <w:footnote w:id="34">
    <w:p w:rsidR="00C6329C" w:rsidRDefault="00C6329C" w:rsidP="001035E4">
      <w:pPr>
        <w:pStyle w:val="FootnoteText"/>
        <w:rPr>
          <w:sz w:val="22"/>
          <w:szCs w:val="22"/>
        </w:rPr>
      </w:pPr>
      <w:r w:rsidRPr="00154E58">
        <w:rPr>
          <w:rStyle w:val="FootnoteReference"/>
          <w:sz w:val="22"/>
          <w:szCs w:val="22"/>
        </w:rPr>
        <w:footnoteRef/>
      </w:r>
      <w:r w:rsidR="00E80D65">
        <w:rPr>
          <w:i/>
          <w:sz w:val="22"/>
          <w:szCs w:val="22"/>
        </w:rPr>
        <w:t xml:space="preserve"> </w:t>
      </w:r>
      <w:r w:rsidRPr="00154E58">
        <w:rPr>
          <w:i/>
          <w:sz w:val="22"/>
          <w:szCs w:val="22"/>
        </w:rPr>
        <w:t xml:space="preserve">Id. </w:t>
      </w:r>
      <w:r w:rsidRPr="00154E58">
        <w:rPr>
          <w:sz w:val="22"/>
          <w:szCs w:val="22"/>
        </w:rPr>
        <w:t>at 14:19-22.</w:t>
      </w:r>
    </w:p>
    <w:p w:rsidR="00C6329C" w:rsidRPr="00154E58" w:rsidRDefault="00C6329C" w:rsidP="001035E4">
      <w:pPr>
        <w:pStyle w:val="FootnoteText"/>
        <w:rPr>
          <w:sz w:val="22"/>
          <w:szCs w:val="22"/>
        </w:rPr>
      </w:pPr>
    </w:p>
  </w:footnote>
  <w:footnote w:id="35">
    <w:p w:rsidR="00C6329C" w:rsidRDefault="00C6329C" w:rsidP="001035E4">
      <w:pPr>
        <w:pStyle w:val="FootnoteText"/>
        <w:rPr>
          <w:sz w:val="22"/>
          <w:szCs w:val="22"/>
        </w:rPr>
      </w:pPr>
      <w:r w:rsidRPr="00154E58">
        <w:rPr>
          <w:rStyle w:val="FootnoteReference"/>
          <w:sz w:val="22"/>
          <w:szCs w:val="22"/>
        </w:rPr>
        <w:footnoteRef/>
      </w:r>
      <w:r w:rsidR="00E80D65">
        <w:rPr>
          <w:i/>
          <w:sz w:val="22"/>
          <w:szCs w:val="22"/>
        </w:rPr>
        <w:t xml:space="preserve"> </w:t>
      </w:r>
      <w:r w:rsidRPr="00154E58">
        <w:rPr>
          <w:i/>
          <w:sz w:val="22"/>
          <w:szCs w:val="22"/>
        </w:rPr>
        <w:t>Id.</w:t>
      </w:r>
      <w:r w:rsidRPr="00154E58">
        <w:rPr>
          <w:sz w:val="22"/>
          <w:szCs w:val="22"/>
        </w:rPr>
        <w:t xml:space="preserve"> at 20:11-22.</w:t>
      </w:r>
    </w:p>
    <w:p w:rsidR="00C6329C" w:rsidRPr="00154E58" w:rsidRDefault="00C6329C" w:rsidP="001035E4">
      <w:pPr>
        <w:pStyle w:val="FootnoteText"/>
        <w:rPr>
          <w:sz w:val="22"/>
          <w:szCs w:val="22"/>
        </w:rPr>
      </w:pPr>
    </w:p>
  </w:footnote>
  <w:footnote w:id="36">
    <w:p w:rsidR="00C6329C" w:rsidRDefault="00C6329C" w:rsidP="001035E4">
      <w:pPr>
        <w:pStyle w:val="FootnoteText"/>
        <w:rPr>
          <w:sz w:val="22"/>
          <w:szCs w:val="22"/>
        </w:rPr>
      </w:pPr>
      <w:r w:rsidRPr="00154E58">
        <w:rPr>
          <w:rStyle w:val="FootnoteReference"/>
          <w:sz w:val="22"/>
          <w:szCs w:val="22"/>
        </w:rPr>
        <w:footnoteRef/>
      </w:r>
      <w:r w:rsidR="00E80D65">
        <w:rPr>
          <w:i/>
          <w:sz w:val="22"/>
          <w:szCs w:val="22"/>
        </w:rPr>
        <w:t xml:space="preserve"> </w:t>
      </w:r>
      <w:r w:rsidRPr="00154E58">
        <w:rPr>
          <w:i/>
          <w:sz w:val="22"/>
          <w:szCs w:val="22"/>
        </w:rPr>
        <w:t>Id.</w:t>
      </w:r>
      <w:r w:rsidRPr="00154E58">
        <w:rPr>
          <w:sz w:val="22"/>
          <w:szCs w:val="22"/>
        </w:rPr>
        <w:t xml:space="preserve"> at 23:17-24:9.</w:t>
      </w:r>
    </w:p>
    <w:p w:rsidR="00C6329C" w:rsidRPr="00154E58" w:rsidRDefault="00C6329C" w:rsidP="001035E4">
      <w:pPr>
        <w:pStyle w:val="FootnoteText"/>
        <w:rPr>
          <w:sz w:val="22"/>
          <w:szCs w:val="22"/>
        </w:rPr>
      </w:pPr>
    </w:p>
  </w:footnote>
  <w:footnote w:id="37">
    <w:p w:rsidR="00C6329C" w:rsidRDefault="00C6329C" w:rsidP="001035E4">
      <w:pPr>
        <w:pStyle w:val="FootnoteText"/>
        <w:rPr>
          <w:sz w:val="22"/>
          <w:szCs w:val="22"/>
        </w:rPr>
      </w:pPr>
      <w:r w:rsidRPr="00154E58">
        <w:rPr>
          <w:rStyle w:val="FootnoteReference"/>
          <w:sz w:val="22"/>
          <w:szCs w:val="22"/>
        </w:rPr>
        <w:footnoteRef/>
      </w:r>
      <w:r w:rsidRPr="00154E58">
        <w:rPr>
          <w:sz w:val="22"/>
          <w:szCs w:val="22"/>
        </w:rPr>
        <w:t xml:space="preserve"> Settlement, Exh. No. 2 ¶ 28.</w:t>
      </w:r>
    </w:p>
    <w:p w:rsidR="00C6329C" w:rsidRPr="00154E58" w:rsidRDefault="00C6329C" w:rsidP="001035E4">
      <w:pPr>
        <w:pStyle w:val="FootnoteText"/>
        <w:rPr>
          <w:sz w:val="22"/>
          <w:szCs w:val="22"/>
        </w:rPr>
      </w:pPr>
    </w:p>
  </w:footnote>
  <w:footnote w:id="38">
    <w:p w:rsidR="00C6329C" w:rsidRDefault="00C6329C">
      <w:pPr>
        <w:pStyle w:val="FootnoteText"/>
        <w:rPr>
          <w:sz w:val="22"/>
          <w:szCs w:val="22"/>
        </w:rPr>
      </w:pPr>
      <w:r w:rsidRPr="00854825">
        <w:rPr>
          <w:rStyle w:val="FootnoteReference"/>
          <w:sz w:val="22"/>
          <w:szCs w:val="22"/>
        </w:rPr>
        <w:footnoteRef/>
      </w:r>
      <w:r w:rsidRPr="00854825">
        <w:rPr>
          <w:sz w:val="22"/>
          <w:szCs w:val="22"/>
        </w:rPr>
        <w:t xml:space="preserve"> AURORA is </w:t>
      </w:r>
      <w:r>
        <w:rPr>
          <w:sz w:val="22"/>
          <w:szCs w:val="22"/>
        </w:rPr>
        <w:t>a power cost dispatch model used by other utilities in Washington including Puget Sound Energy and Avista Corp.</w:t>
      </w:r>
    </w:p>
    <w:p w:rsidR="00C6329C" w:rsidRPr="00854825" w:rsidRDefault="00C6329C">
      <w:pPr>
        <w:pStyle w:val="FootnoteText"/>
        <w:rPr>
          <w:sz w:val="22"/>
          <w:szCs w:val="22"/>
        </w:rPr>
      </w:pPr>
    </w:p>
  </w:footnote>
  <w:footnote w:id="39">
    <w:p w:rsidR="00C6329C" w:rsidRDefault="00C6329C">
      <w:pPr>
        <w:pStyle w:val="FootnoteText"/>
        <w:rPr>
          <w:sz w:val="22"/>
          <w:szCs w:val="22"/>
        </w:rPr>
      </w:pPr>
      <w:r w:rsidRPr="007154AB">
        <w:rPr>
          <w:rStyle w:val="FootnoteReference"/>
          <w:sz w:val="22"/>
          <w:szCs w:val="22"/>
        </w:rPr>
        <w:footnoteRef/>
      </w:r>
      <w:r w:rsidR="00E80D65">
        <w:rPr>
          <w:sz w:val="22"/>
          <w:szCs w:val="22"/>
        </w:rPr>
        <w:t xml:space="preserve"> </w:t>
      </w:r>
      <w:r>
        <w:rPr>
          <w:sz w:val="22"/>
          <w:szCs w:val="22"/>
        </w:rPr>
        <w:t>The Company currently uses the Generation And Regulation Initiatives Decision or “GRID” tools power cost dispatch model.</w:t>
      </w:r>
    </w:p>
    <w:p w:rsidR="00C6329C" w:rsidRPr="007154AB" w:rsidRDefault="00C6329C">
      <w:pPr>
        <w:pStyle w:val="FootnoteText"/>
        <w:rPr>
          <w:sz w:val="22"/>
          <w:szCs w:val="22"/>
        </w:rPr>
      </w:pPr>
    </w:p>
  </w:footnote>
  <w:footnote w:id="40">
    <w:p w:rsidR="00C6329C" w:rsidRDefault="00C6329C" w:rsidP="006832A7">
      <w:pPr>
        <w:pStyle w:val="FootnoteText"/>
        <w:rPr>
          <w:sz w:val="22"/>
          <w:szCs w:val="22"/>
        </w:rPr>
      </w:pPr>
      <w:r w:rsidRPr="00154E58">
        <w:rPr>
          <w:rStyle w:val="FootnoteReference"/>
          <w:sz w:val="22"/>
          <w:szCs w:val="22"/>
        </w:rPr>
        <w:footnoteRef/>
      </w:r>
      <w:r w:rsidRPr="00154E58">
        <w:rPr>
          <w:sz w:val="22"/>
          <w:szCs w:val="22"/>
        </w:rPr>
        <w:t xml:space="preserve"> Joint Testimony, Exh. JT-1T, at 17:14-16.</w:t>
      </w:r>
    </w:p>
    <w:p w:rsidR="00C6329C" w:rsidRPr="00154E58" w:rsidRDefault="00C6329C" w:rsidP="006832A7">
      <w:pPr>
        <w:pStyle w:val="FootnoteText"/>
        <w:rPr>
          <w:sz w:val="22"/>
          <w:szCs w:val="22"/>
        </w:rPr>
      </w:pPr>
    </w:p>
  </w:footnote>
  <w:footnote w:id="41">
    <w:p w:rsidR="00C6329C" w:rsidRDefault="00C6329C" w:rsidP="006832A7">
      <w:pPr>
        <w:pStyle w:val="FootnoteText"/>
        <w:rPr>
          <w:sz w:val="22"/>
          <w:szCs w:val="22"/>
        </w:rPr>
      </w:pPr>
      <w:r w:rsidRPr="00154E58">
        <w:rPr>
          <w:rStyle w:val="FootnoteReference"/>
          <w:sz w:val="22"/>
          <w:szCs w:val="22"/>
        </w:rPr>
        <w:footnoteRef/>
      </w:r>
      <w:r w:rsidR="00E80D65">
        <w:rPr>
          <w:i/>
          <w:sz w:val="22"/>
          <w:szCs w:val="22"/>
        </w:rPr>
        <w:t xml:space="preserve"> </w:t>
      </w:r>
      <w:r w:rsidRPr="00154E58">
        <w:rPr>
          <w:i/>
          <w:sz w:val="22"/>
          <w:szCs w:val="22"/>
        </w:rPr>
        <w:t>Id.</w:t>
      </w:r>
      <w:r w:rsidRPr="00154E58">
        <w:rPr>
          <w:sz w:val="22"/>
          <w:szCs w:val="22"/>
        </w:rPr>
        <w:t xml:space="preserve"> at 25:11-17.</w:t>
      </w:r>
    </w:p>
    <w:p w:rsidR="00C6329C" w:rsidRPr="00154E58" w:rsidRDefault="00C6329C" w:rsidP="006832A7">
      <w:pPr>
        <w:pStyle w:val="FootnoteText"/>
        <w:rPr>
          <w:sz w:val="22"/>
          <w:szCs w:val="22"/>
        </w:rPr>
      </w:pPr>
    </w:p>
  </w:footnote>
  <w:footnote w:id="42">
    <w:p w:rsidR="00C6329C" w:rsidRDefault="00C6329C">
      <w:pPr>
        <w:pStyle w:val="FootnoteText"/>
        <w:rPr>
          <w:sz w:val="22"/>
          <w:szCs w:val="22"/>
        </w:rPr>
      </w:pPr>
      <w:r w:rsidRPr="00031BB6">
        <w:rPr>
          <w:rStyle w:val="FootnoteReference"/>
          <w:sz w:val="22"/>
          <w:szCs w:val="22"/>
        </w:rPr>
        <w:footnoteRef/>
      </w:r>
      <w:r w:rsidR="00E80D65">
        <w:rPr>
          <w:i/>
          <w:sz w:val="22"/>
          <w:szCs w:val="22"/>
        </w:rPr>
        <w:t xml:space="preserve"> </w:t>
      </w:r>
      <w:r>
        <w:rPr>
          <w:i/>
          <w:sz w:val="22"/>
          <w:szCs w:val="22"/>
        </w:rPr>
        <w:t xml:space="preserve">WUTC v. PacifiCorp, </w:t>
      </w:r>
      <w:r>
        <w:rPr>
          <w:sz w:val="22"/>
          <w:szCs w:val="22"/>
        </w:rPr>
        <w:t>Docket UE-060817, Order 08 ¶ 43 (June 21, 2007).</w:t>
      </w:r>
    </w:p>
    <w:p w:rsidR="00C6329C" w:rsidRPr="00031BB6" w:rsidRDefault="00C6329C">
      <w:pPr>
        <w:pStyle w:val="FootnoteText"/>
        <w:rPr>
          <w:sz w:val="22"/>
          <w:szCs w:val="22"/>
        </w:rPr>
      </w:pPr>
    </w:p>
  </w:footnote>
  <w:footnote w:id="43">
    <w:p w:rsidR="00C6329C" w:rsidRDefault="00C6329C" w:rsidP="00673359">
      <w:pPr>
        <w:pStyle w:val="FootnoteText"/>
        <w:rPr>
          <w:sz w:val="22"/>
          <w:szCs w:val="22"/>
        </w:rPr>
      </w:pPr>
      <w:r w:rsidRPr="00154E58">
        <w:rPr>
          <w:rStyle w:val="FootnoteReference"/>
          <w:sz w:val="22"/>
          <w:szCs w:val="22"/>
        </w:rPr>
        <w:footnoteRef/>
      </w:r>
      <w:r w:rsidRPr="00154E58">
        <w:rPr>
          <w:sz w:val="22"/>
          <w:szCs w:val="22"/>
        </w:rPr>
        <w:t xml:space="preserve"> Settlement, Exh. No. 2 ¶ 29</w:t>
      </w:r>
      <w:r>
        <w:rPr>
          <w:sz w:val="22"/>
          <w:szCs w:val="22"/>
        </w:rPr>
        <w:t xml:space="preserve">; </w:t>
      </w:r>
      <w:r>
        <w:rPr>
          <w:i/>
          <w:sz w:val="22"/>
          <w:szCs w:val="22"/>
        </w:rPr>
        <w:t xml:space="preserve">WUTC v. PacifiCorp, </w:t>
      </w:r>
      <w:r>
        <w:rPr>
          <w:sz w:val="22"/>
          <w:szCs w:val="22"/>
        </w:rPr>
        <w:t>Docket UE-100749, Order 06 (March 25, 2011).</w:t>
      </w:r>
    </w:p>
    <w:p w:rsidR="00C6329C" w:rsidRPr="00154E58" w:rsidRDefault="00C6329C" w:rsidP="00673359">
      <w:pPr>
        <w:pStyle w:val="FootnoteText"/>
        <w:rPr>
          <w:sz w:val="22"/>
          <w:szCs w:val="22"/>
        </w:rPr>
      </w:pPr>
    </w:p>
  </w:footnote>
  <w:footnote w:id="44">
    <w:p w:rsidR="00C6329C" w:rsidRDefault="00C6329C" w:rsidP="00673359">
      <w:pPr>
        <w:pStyle w:val="FootnoteText"/>
        <w:rPr>
          <w:sz w:val="22"/>
          <w:szCs w:val="22"/>
        </w:rPr>
      </w:pPr>
      <w:r w:rsidRPr="00154E58">
        <w:rPr>
          <w:rStyle w:val="FootnoteReference"/>
          <w:sz w:val="22"/>
          <w:szCs w:val="22"/>
        </w:rPr>
        <w:footnoteRef/>
      </w:r>
      <w:r w:rsidR="00E80D65">
        <w:rPr>
          <w:i/>
          <w:sz w:val="22"/>
          <w:szCs w:val="22"/>
        </w:rPr>
        <w:t xml:space="preserve"> </w:t>
      </w:r>
      <w:r w:rsidRPr="00154E58">
        <w:rPr>
          <w:i/>
          <w:sz w:val="22"/>
          <w:szCs w:val="22"/>
        </w:rPr>
        <w:t>Id.</w:t>
      </w:r>
      <w:r w:rsidRPr="00154E58">
        <w:rPr>
          <w:sz w:val="22"/>
          <w:szCs w:val="22"/>
        </w:rPr>
        <w:t>; Joint Testimony, Exh. No. JT-1T, at 26:17-19.</w:t>
      </w:r>
    </w:p>
    <w:p w:rsidR="00C6329C" w:rsidRPr="00154E58" w:rsidRDefault="00C6329C" w:rsidP="00673359">
      <w:pPr>
        <w:pStyle w:val="FootnoteText"/>
        <w:rPr>
          <w:sz w:val="22"/>
          <w:szCs w:val="22"/>
        </w:rPr>
      </w:pPr>
    </w:p>
  </w:footnote>
  <w:footnote w:id="45">
    <w:p w:rsidR="00C6329C" w:rsidRDefault="00C6329C" w:rsidP="00673359">
      <w:pPr>
        <w:pStyle w:val="FootnoteText"/>
        <w:rPr>
          <w:sz w:val="22"/>
          <w:szCs w:val="22"/>
        </w:rPr>
      </w:pPr>
      <w:r w:rsidRPr="00154E58">
        <w:rPr>
          <w:rStyle w:val="FootnoteReference"/>
          <w:sz w:val="22"/>
          <w:szCs w:val="22"/>
        </w:rPr>
        <w:footnoteRef/>
      </w:r>
      <w:r w:rsidRPr="00154E58">
        <w:rPr>
          <w:sz w:val="22"/>
          <w:szCs w:val="22"/>
        </w:rPr>
        <w:t xml:space="preserve"> Joint Testimony, Exh. No. JT-1T, at 17:17-21.</w:t>
      </w:r>
    </w:p>
    <w:p w:rsidR="00C6329C" w:rsidRPr="00154E58" w:rsidRDefault="00C6329C" w:rsidP="00673359">
      <w:pPr>
        <w:pStyle w:val="FootnoteText"/>
        <w:rPr>
          <w:sz w:val="22"/>
          <w:szCs w:val="22"/>
        </w:rPr>
      </w:pPr>
    </w:p>
  </w:footnote>
  <w:footnote w:id="46">
    <w:p w:rsidR="00C6329C" w:rsidRDefault="00C6329C" w:rsidP="00AF06EB">
      <w:pPr>
        <w:pStyle w:val="FootnoteText"/>
        <w:rPr>
          <w:sz w:val="22"/>
          <w:szCs w:val="22"/>
        </w:rPr>
      </w:pPr>
      <w:r w:rsidRPr="00154E58">
        <w:rPr>
          <w:rStyle w:val="FootnoteReference"/>
          <w:sz w:val="22"/>
          <w:szCs w:val="22"/>
        </w:rPr>
        <w:footnoteRef/>
      </w:r>
      <w:r w:rsidRPr="00154E58">
        <w:rPr>
          <w:sz w:val="22"/>
          <w:szCs w:val="22"/>
        </w:rPr>
        <w:t xml:space="preserve"> Settlement, Exh. No. 2 ¶ 32.</w:t>
      </w:r>
    </w:p>
    <w:p w:rsidR="00C6329C" w:rsidRPr="00154E58" w:rsidRDefault="00C6329C" w:rsidP="00AF06EB">
      <w:pPr>
        <w:pStyle w:val="FootnoteText"/>
        <w:rPr>
          <w:sz w:val="22"/>
          <w:szCs w:val="22"/>
        </w:rPr>
      </w:pPr>
    </w:p>
  </w:footnote>
  <w:footnote w:id="47">
    <w:p w:rsidR="00C6329C" w:rsidRDefault="00C6329C" w:rsidP="00967E27">
      <w:pPr>
        <w:pStyle w:val="FootnoteText"/>
        <w:rPr>
          <w:i/>
          <w:sz w:val="22"/>
          <w:szCs w:val="22"/>
        </w:rPr>
      </w:pPr>
      <w:r w:rsidRPr="00154E58">
        <w:rPr>
          <w:rStyle w:val="FootnoteReference"/>
          <w:sz w:val="22"/>
          <w:szCs w:val="22"/>
        </w:rPr>
        <w:footnoteRef/>
      </w:r>
      <w:r w:rsidR="00E80D65">
        <w:rPr>
          <w:i/>
          <w:sz w:val="22"/>
          <w:szCs w:val="22"/>
        </w:rPr>
        <w:t xml:space="preserve"> </w:t>
      </w:r>
      <w:r w:rsidRPr="00154E58">
        <w:rPr>
          <w:i/>
          <w:sz w:val="22"/>
          <w:szCs w:val="22"/>
        </w:rPr>
        <w:t>Id.</w:t>
      </w:r>
    </w:p>
    <w:p w:rsidR="00C6329C" w:rsidRPr="00154E58" w:rsidRDefault="00C6329C" w:rsidP="00967E27">
      <w:pPr>
        <w:pStyle w:val="FootnoteText"/>
        <w:rPr>
          <w:sz w:val="22"/>
          <w:szCs w:val="22"/>
        </w:rPr>
      </w:pPr>
    </w:p>
  </w:footnote>
  <w:footnote w:id="48">
    <w:p w:rsidR="00C6329C" w:rsidRDefault="00C6329C">
      <w:pPr>
        <w:pStyle w:val="FootnoteText"/>
        <w:rPr>
          <w:i/>
          <w:sz w:val="22"/>
          <w:szCs w:val="22"/>
        </w:rPr>
      </w:pPr>
      <w:r w:rsidRPr="0083607D">
        <w:rPr>
          <w:rStyle w:val="FootnoteReference"/>
          <w:sz w:val="22"/>
          <w:szCs w:val="22"/>
        </w:rPr>
        <w:footnoteRef/>
      </w:r>
      <w:r w:rsidR="00E80D65">
        <w:rPr>
          <w:i/>
          <w:sz w:val="22"/>
          <w:szCs w:val="22"/>
        </w:rPr>
        <w:t xml:space="preserve"> </w:t>
      </w:r>
      <w:r>
        <w:rPr>
          <w:i/>
          <w:sz w:val="22"/>
          <w:szCs w:val="22"/>
        </w:rPr>
        <w:t xml:space="preserve">Id. </w:t>
      </w:r>
    </w:p>
    <w:p w:rsidR="00C6329C" w:rsidRPr="0083607D" w:rsidRDefault="00C6329C">
      <w:pPr>
        <w:pStyle w:val="FootnoteText"/>
        <w:rPr>
          <w:i/>
          <w:sz w:val="22"/>
          <w:szCs w:val="22"/>
        </w:rPr>
      </w:pPr>
    </w:p>
  </w:footnote>
  <w:footnote w:id="49">
    <w:p w:rsidR="00C6329C" w:rsidRDefault="00C6329C" w:rsidP="00967E27">
      <w:pPr>
        <w:pStyle w:val="FootnoteText"/>
        <w:rPr>
          <w:i/>
          <w:sz w:val="22"/>
          <w:szCs w:val="22"/>
        </w:rPr>
      </w:pPr>
      <w:r w:rsidRPr="0083607D">
        <w:rPr>
          <w:rStyle w:val="FootnoteReference"/>
          <w:sz w:val="22"/>
          <w:szCs w:val="22"/>
        </w:rPr>
        <w:footnoteRef/>
      </w:r>
      <w:r w:rsidR="00E80D65">
        <w:rPr>
          <w:i/>
          <w:sz w:val="22"/>
          <w:szCs w:val="22"/>
        </w:rPr>
        <w:t xml:space="preserve"> </w:t>
      </w:r>
      <w:r w:rsidRPr="0083607D">
        <w:rPr>
          <w:i/>
          <w:sz w:val="22"/>
          <w:szCs w:val="22"/>
        </w:rPr>
        <w:t>Id.</w:t>
      </w:r>
    </w:p>
    <w:p w:rsidR="00C6329C" w:rsidRPr="008C13CA" w:rsidRDefault="00C6329C" w:rsidP="00967E27">
      <w:pPr>
        <w:pStyle w:val="FootnoteText"/>
      </w:pPr>
    </w:p>
  </w:footnote>
  <w:footnote w:id="50">
    <w:p w:rsidR="00C6329C" w:rsidRPr="00596661" w:rsidRDefault="00C6329C" w:rsidP="00CB7C64">
      <w:pPr>
        <w:pStyle w:val="Subtitle"/>
        <w:ind w:left="0"/>
        <w:rPr>
          <w:szCs w:val="22"/>
        </w:rPr>
      </w:pPr>
      <w:r w:rsidRPr="00596661">
        <w:rPr>
          <w:rStyle w:val="FootnoteReference"/>
          <w:szCs w:val="22"/>
        </w:rPr>
        <w:footnoteRef/>
      </w:r>
      <w:r w:rsidR="00E80D65">
        <w:rPr>
          <w:i/>
          <w:szCs w:val="22"/>
          <w:lang w:val="en-US"/>
        </w:rPr>
        <w:t xml:space="preserve"> </w:t>
      </w:r>
      <w:r>
        <w:rPr>
          <w:i/>
          <w:szCs w:val="22"/>
        </w:rPr>
        <w:t>Id.</w:t>
      </w:r>
      <w:r w:rsidRPr="00596661">
        <w:rPr>
          <w:szCs w:val="22"/>
        </w:rPr>
        <w:t xml:space="preserve"> ¶33</w:t>
      </w:r>
      <w:r>
        <w:rPr>
          <w:szCs w:val="22"/>
        </w:rPr>
        <w:t>.</w:t>
      </w:r>
    </w:p>
  </w:footnote>
  <w:footnote w:id="51">
    <w:p w:rsidR="00C6329C" w:rsidRPr="00ED3112" w:rsidRDefault="00C6329C" w:rsidP="00CB7C64">
      <w:pPr>
        <w:pStyle w:val="Subtitle"/>
        <w:ind w:left="0"/>
        <w:rPr>
          <w:szCs w:val="22"/>
        </w:rPr>
      </w:pPr>
      <w:r w:rsidRPr="00596661">
        <w:rPr>
          <w:rStyle w:val="FootnoteReference"/>
          <w:szCs w:val="22"/>
        </w:rPr>
        <w:footnoteRef/>
      </w:r>
      <w:r w:rsidR="00E80D65">
        <w:rPr>
          <w:szCs w:val="22"/>
          <w:lang w:val="en-US"/>
        </w:rPr>
        <w:t xml:space="preserve"> </w:t>
      </w:r>
      <w:r>
        <w:rPr>
          <w:szCs w:val="22"/>
        </w:rPr>
        <w:t>Joint</w:t>
      </w:r>
      <w:r w:rsidR="00E80D65">
        <w:rPr>
          <w:szCs w:val="22"/>
          <w:lang w:val="en-US"/>
        </w:rPr>
        <w:t xml:space="preserve"> </w:t>
      </w:r>
      <w:r w:rsidRPr="00ED3112">
        <w:rPr>
          <w:szCs w:val="22"/>
        </w:rPr>
        <w:t>Testimony, Exh. No. JT-1T, at 22:1</w:t>
      </w:r>
      <w:r>
        <w:rPr>
          <w:szCs w:val="22"/>
        </w:rPr>
        <w:t>4</w:t>
      </w:r>
      <w:r w:rsidRPr="00ED3112">
        <w:rPr>
          <w:szCs w:val="22"/>
        </w:rPr>
        <w:t>-2</w:t>
      </w:r>
      <w:r>
        <w:rPr>
          <w:szCs w:val="22"/>
        </w:rPr>
        <w:t>0</w:t>
      </w:r>
      <w:r w:rsidRPr="00ED3112">
        <w:rPr>
          <w:szCs w:val="22"/>
        </w:rPr>
        <w:t>.</w:t>
      </w:r>
    </w:p>
  </w:footnote>
  <w:footnote w:id="52">
    <w:p w:rsidR="00C6329C" w:rsidRPr="00B723A5" w:rsidRDefault="00C6329C" w:rsidP="00CB7C64">
      <w:pPr>
        <w:pStyle w:val="FootnoteText"/>
        <w:rPr>
          <w:sz w:val="22"/>
          <w:szCs w:val="22"/>
        </w:rPr>
      </w:pPr>
      <w:r w:rsidRPr="00B723A5">
        <w:rPr>
          <w:rStyle w:val="FootnoteReference"/>
          <w:sz w:val="22"/>
          <w:szCs w:val="22"/>
        </w:rPr>
        <w:footnoteRef/>
      </w:r>
      <w:r w:rsidR="00E80D65">
        <w:rPr>
          <w:i/>
          <w:sz w:val="22"/>
          <w:szCs w:val="22"/>
        </w:rPr>
        <w:t xml:space="preserve"> </w:t>
      </w:r>
      <w:r w:rsidRPr="00B723A5">
        <w:rPr>
          <w:i/>
          <w:sz w:val="22"/>
          <w:szCs w:val="22"/>
        </w:rPr>
        <w:t>Id.</w:t>
      </w:r>
      <w:r w:rsidRPr="00B723A5">
        <w:rPr>
          <w:sz w:val="22"/>
          <w:szCs w:val="22"/>
        </w:rPr>
        <w:t xml:space="preserve"> at 22:16-18; </w:t>
      </w:r>
      <w:r w:rsidRPr="00B723A5">
        <w:rPr>
          <w:i/>
          <w:sz w:val="22"/>
          <w:szCs w:val="22"/>
        </w:rPr>
        <w:t xml:space="preserve">WUTC v. Avista, </w:t>
      </w:r>
      <w:r w:rsidRPr="00B723A5">
        <w:rPr>
          <w:sz w:val="22"/>
          <w:szCs w:val="22"/>
        </w:rPr>
        <w:t>Dockets UE-110876/UG-110877 (consolidated), Order 06, ¶¶ 38-44 (December 16, 2011).</w:t>
      </w:r>
    </w:p>
    <w:p w:rsidR="00C6329C" w:rsidRPr="005535DC" w:rsidRDefault="00C6329C" w:rsidP="00CB7C64">
      <w:pPr>
        <w:pStyle w:val="FootnoteText"/>
        <w:rPr>
          <w:szCs w:val="22"/>
        </w:rPr>
      </w:pPr>
    </w:p>
  </w:footnote>
  <w:footnote w:id="53">
    <w:p w:rsidR="00C6329C" w:rsidRPr="00D16429" w:rsidRDefault="00C6329C" w:rsidP="008C23FE">
      <w:pPr>
        <w:pStyle w:val="NoSpacing"/>
        <w:rPr>
          <w:sz w:val="22"/>
          <w:szCs w:val="22"/>
        </w:rPr>
      </w:pPr>
      <w:r w:rsidRPr="00D16429">
        <w:rPr>
          <w:rStyle w:val="FootnoteReference"/>
          <w:sz w:val="22"/>
          <w:szCs w:val="22"/>
        </w:rPr>
        <w:footnoteRef/>
      </w:r>
      <w:r w:rsidRPr="00D16429">
        <w:rPr>
          <w:sz w:val="22"/>
          <w:szCs w:val="22"/>
        </w:rPr>
        <w:t xml:space="preserve"> RCW 80.28.010(1) and 80.28.020.</w:t>
      </w:r>
    </w:p>
    <w:p w:rsidR="00C6329C" w:rsidRPr="00D230B9" w:rsidRDefault="00C6329C" w:rsidP="008C23FE">
      <w:pPr>
        <w:pStyle w:val="FootnoteText"/>
        <w:rPr>
          <w:sz w:val="22"/>
          <w:szCs w:val="22"/>
        </w:rPr>
      </w:pPr>
    </w:p>
  </w:footnote>
  <w:footnote w:id="54">
    <w:p w:rsidR="00C6329C" w:rsidRDefault="00C6329C" w:rsidP="00440E0F">
      <w:pPr>
        <w:pStyle w:val="FootnoteText"/>
        <w:rPr>
          <w:sz w:val="22"/>
          <w:szCs w:val="22"/>
        </w:rPr>
      </w:pPr>
      <w:r w:rsidRPr="00440E0F">
        <w:rPr>
          <w:rStyle w:val="FootnoteReference"/>
          <w:sz w:val="22"/>
          <w:szCs w:val="22"/>
        </w:rPr>
        <w:footnoteRef/>
      </w:r>
      <w:r>
        <w:rPr>
          <w:sz w:val="22"/>
          <w:szCs w:val="22"/>
        </w:rPr>
        <w:t xml:space="preserve"> TR. 155:10 – 24.</w:t>
      </w:r>
    </w:p>
    <w:p w:rsidR="00C6329C" w:rsidRPr="00440E0F" w:rsidRDefault="00C6329C" w:rsidP="00440E0F">
      <w:pPr>
        <w:pStyle w:val="FootnoteText"/>
        <w:rPr>
          <w:sz w:val="22"/>
          <w:szCs w:val="22"/>
        </w:rPr>
      </w:pPr>
    </w:p>
  </w:footnote>
  <w:footnote w:id="55">
    <w:p w:rsidR="00C6329C" w:rsidRPr="00F23EA9" w:rsidRDefault="00C6329C" w:rsidP="0091333C">
      <w:pPr>
        <w:rPr>
          <w:sz w:val="22"/>
          <w:szCs w:val="22"/>
        </w:rPr>
      </w:pPr>
      <w:r w:rsidRPr="00F23EA9">
        <w:rPr>
          <w:rStyle w:val="FootnoteReference"/>
          <w:sz w:val="22"/>
          <w:szCs w:val="22"/>
        </w:rPr>
        <w:footnoteRef/>
      </w:r>
      <w:r w:rsidRPr="00F23EA9">
        <w:rPr>
          <w:sz w:val="22"/>
          <w:szCs w:val="22"/>
        </w:rPr>
        <w:t xml:space="preserve"> At the hearing the following exchange took place:   </w:t>
      </w:r>
    </w:p>
    <w:p w:rsidR="00C6329C" w:rsidRPr="00F23EA9" w:rsidRDefault="00C6329C" w:rsidP="0091333C">
      <w:pPr>
        <w:ind w:left="720"/>
        <w:rPr>
          <w:rFonts w:eastAsia="Calibri"/>
          <w:sz w:val="22"/>
          <w:szCs w:val="22"/>
        </w:rPr>
      </w:pPr>
      <w:r w:rsidRPr="00F23EA9">
        <w:rPr>
          <w:rFonts w:eastAsia="Calibri"/>
          <w:sz w:val="22"/>
          <w:szCs w:val="22"/>
        </w:rPr>
        <w:t>Q (Goltz)</w:t>
      </w:r>
      <w:r w:rsidRPr="00F23EA9">
        <w:rPr>
          <w:rFonts w:eastAsia="Calibri"/>
          <w:sz w:val="22"/>
          <w:szCs w:val="22"/>
        </w:rPr>
        <w:tab/>
        <w:t>I just want to make sure that everybody agrees that the statutory standard that we are charged with applying, that the rates be fair, just, reasonable and sufficient, that if we approve this settlement, we will have satisfied our statutory obligations.  Is that your understanding, Mr. Dalley?</w:t>
      </w:r>
    </w:p>
    <w:p w:rsidR="00C6329C" w:rsidRPr="00F23EA9" w:rsidRDefault="00C6329C" w:rsidP="0091333C">
      <w:pPr>
        <w:ind w:left="720"/>
        <w:rPr>
          <w:rFonts w:eastAsia="Calibri"/>
          <w:sz w:val="22"/>
          <w:szCs w:val="22"/>
        </w:rPr>
      </w:pPr>
      <w:r w:rsidRPr="00F23EA9">
        <w:rPr>
          <w:rFonts w:eastAsia="Calibri"/>
          <w:sz w:val="22"/>
          <w:szCs w:val="22"/>
        </w:rPr>
        <w:t>A (Dalley)</w:t>
      </w:r>
      <w:r w:rsidRPr="00F23EA9">
        <w:rPr>
          <w:rFonts w:eastAsia="Calibri"/>
          <w:sz w:val="22"/>
          <w:szCs w:val="22"/>
        </w:rPr>
        <w:tab/>
        <w:t xml:space="preserve">Yes it is.  </w:t>
      </w:r>
    </w:p>
    <w:p w:rsidR="00C6329C" w:rsidRPr="00F23EA9" w:rsidRDefault="00C6329C" w:rsidP="0091333C">
      <w:pPr>
        <w:ind w:left="720"/>
        <w:rPr>
          <w:rFonts w:eastAsia="Calibri"/>
          <w:sz w:val="22"/>
          <w:szCs w:val="22"/>
        </w:rPr>
      </w:pPr>
    </w:p>
    <w:p w:rsidR="00C6329C" w:rsidRPr="00F23EA9" w:rsidRDefault="00C6329C" w:rsidP="0091333C">
      <w:pPr>
        <w:rPr>
          <w:rFonts w:eastAsia="Calibri"/>
          <w:sz w:val="22"/>
          <w:szCs w:val="22"/>
        </w:rPr>
      </w:pPr>
      <w:r w:rsidRPr="00F23EA9">
        <w:rPr>
          <w:rFonts w:eastAsia="Calibri"/>
          <w:sz w:val="22"/>
          <w:szCs w:val="22"/>
        </w:rPr>
        <w:t>T</w:t>
      </w:r>
      <w:r w:rsidR="00C3512F" w:rsidRPr="00F23EA9">
        <w:rPr>
          <w:rFonts w:eastAsia="Calibri"/>
          <w:sz w:val="22"/>
          <w:szCs w:val="22"/>
        </w:rPr>
        <w:t>R</w:t>
      </w:r>
      <w:r w:rsidRPr="00F23EA9">
        <w:rPr>
          <w:rFonts w:eastAsia="Calibri"/>
          <w:sz w:val="22"/>
          <w:szCs w:val="22"/>
        </w:rPr>
        <w:t>. 104.</w:t>
      </w:r>
    </w:p>
    <w:p w:rsidR="00C6329C" w:rsidRDefault="00C6329C">
      <w:pPr>
        <w:pStyle w:val="FootnoteText"/>
      </w:pPr>
    </w:p>
    <w:p w:rsidR="00C6329C" w:rsidRDefault="00C6329C">
      <w:pPr>
        <w:pStyle w:val="FootnoteText"/>
      </w:pPr>
    </w:p>
  </w:footnote>
  <w:footnote w:id="56">
    <w:p w:rsidR="00C6329C" w:rsidRDefault="00C6329C">
      <w:pPr>
        <w:pStyle w:val="FootnoteText"/>
        <w:rPr>
          <w:sz w:val="22"/>
          <w:szCs w:val="22"/>
        </w:rPr>
      </w:pPr>
      <w:r w:rsidRPr="00F3181C">
        <w:rPr>
          <w:rStyle w:val="FootnoteReference"/>
          <w:sz w:val="22"/>
          <w:szCs w:val="22"/>
        </w:rPr>
        <w:footnoteRef/>
      </w:r>
      <w:r w:rsidR="005F72C1">
        <w:rPr>
          <w:sz w:val="22"/>
          <w:szCs w:val="22"/>
        </w:rPr>
        <w:t xml:space="preserve"> </w:t>
      </w:r>
      <w:r>
        <w:rPr>
          <w:sz w:val="22"/>
          <w:szCs w:val="22"/>
        </w:rPr>
        <w:t>Joint Testimony, Exh. No. JT-1T, at 5:15 – 18.</w:t>
      </w:r>
    </w:p>
    <w:p w:rsidR="00C6329C" w:rsidRPr="00F3181C" w:rsidRDefault="00C6329C">
      <w:pPr>
        <w:pStyle w:val="FootnoteText"/>
        <w:rPr>
          <w:sz w:val="22"/>
          <w:szCs w:val="22"/>
        </w:rPr>
      </w:pPr>
    </w:p>
  </w:footnote>
  <w:footnote w:id="57">
    <w:p w:rsidR="00C6329C" w:rsidRDefault="00C6329C">
      <w:pPr>
        <w:pStyle w:val="FootnoteText"/>
        <w:rPr>
          <w:sz w:val="22"/>
          <w:szCs w:val="22"/>
        </w:rPr>
      </w:pPr>
      <w:r w:rsidRPr="00726E84">
        <w:rPr>
          <w:rStyle w:val="FootnoteReference"/>
          <w:sz w:val="22"/>
          <w:szCs w:val="22"/>
        </w:rPr>
        <w:footnoteRef/>
      </w:r>
      <w:r w:rsidR="005F72C1">
        <w:rPr>
          <w:sz w:val="22"/>
          <w:szCs w:val="22"/>
        </w:rPr>
        <w:t xml:space="preserve"> </w:t>
      </w:r>
      <w:r>
        <w:rPr>
          <w:sz w:val="22"/>
          <w:szCs w:val="22"/>
        </w:rPr>
        <w:t>The parties define two adjustments as “updates” and one adjustment as a “correction.” Settlement, Exh. No. 2 ¶¶ 11 - 13.</w:t>
      </w:r>
    </w:p>
    <w:p w:rsidR="00C6329C" w:rsidRPr="00726E84" w:rsidRDefault="00C6329C">
      <w:pPr>
        <w:pStyle w:val="FootnoteText"/>
        <w:rPr>
          <w:sz w:val="22"/>
          <w:szCs w:val="22"/>
        </w:rPr>
      </w:pPr>
    </w:p>
  </w:footnote>
  <w:footnote w:id="58">
    <w:p w:rsidR="00C6329C" w:rsidRDefault="00C6329C">
      <w:pPr>
        <w:pStyle w:val="FootnoteText"/>
        <w:rPr>
          <w:sz w:val="22"/>
          <w:szCs w:val="22"/>
        </w:rPr>
      </w:pPr>
      <w:r w:rsidRPr="00982B23">
        <w:rPr>
          <w:rStyle w:val="FootnoteReference"/>
          <w:sz w:val="22"/>
          <w:szCs w:val="22"/>
        </w:rPr>
        <w:footnoteRef/>
      </w:r>
      <w:r>
        <w:rPr>
          <w:sz w:val="22"/>
          <w:szCs w:val="22"/>
        </w:rPr>
        <w:t xml:space="preserve"> Settlement, Exh. No. 2 ¶ 18, citing the parties agreed reduction to net power costs.</w:t>
      </w:r>
    </w:p>
    <w:p w:rsidR="00C6329C" w:rsidRPr="00982B23" w:rsidRDefault="00C6329C">
      <w:pPr>
        <w:pStyle w:val="FootnoteText"/>
        <w:rPr>
          <w:sz w:val="22"/>
          <w:szCs w:val="22"/>
        </w:rPr>
      </w:pPr>
    </w:p>
  </w:footnote>
  <w:footnote w:id="59">
    <w:p w:rsidR="00C6329C" w:rsidRDefault="00C6329C">
      <w:pPr>
        <w:pStyle w:val="FootnoteText"/>
        <w:rPr>
          <w:sz w:val="22"/>
          <w:szCs w:val="22"/>
        </w:rPr>
      </w:pPr>
      <w:r w:rsidRPr="00982B23">
        <w:rPr>
          <w:rStyle w:val="FootnoteReference"/>
          <w:sz w:val="22"/>
          <w:szCs w:val="22"/>
        </w:rPr>
        <w:footnoteRef/>
      </w:r>
      <w:r w:rsidR="005F72C1">
        <w:rPr>
          <w:i/>
          <w:sz w:val="22"/>
          <w:szCs w:val="22"/>
        </w:rPr>
        <w:t xml:space="preserve"> </w:t>
      </w:r>
      <w:r>
        <w:rPr>
          <w:i/>
          <w:sz w:val="22"/>
          <w:szCs w:val="22"/>
        </w:rPr>
        <w:t xml:space="preserve">Id. </w:t>
      </w:r>
      <w:r>
        <w:rPr>
          <w:sz w:val="22"/>
          <w:szCs w:val="22"/>
        </w:rPr>
        <w:t>¶ 16, citing the parties’ agreement to reduce advertising costs.</w:t>
      </w:r>
    </w:p>
    <w:p w:rsidR="00C6329C" w:rsidRPr="008C30C7" w:rsidRDefault="00C6329C">
      <w:pPr>
        <w:pStyle w:val="FootnoteText"/>
        <w:rPr>
          <w:sz w:val="22"/>
          <w:szCs w:val="22"/>
        </w:rPr>
      </w:pPr>
    </w:p>
  </w:footnote>
  <w:footnote w:id="60">
    <w:p w:rsidR="00C6329C" w:rsidRDefault="00C6329C">
      <w:pPr>
        <w:pStyle w:val="FootnoteText"/>
        <w:rPr>
          <w:sz w:val="22"/>
          <w:szCs w:val="22"/>
        </w:rPr>
      </w:pPr>
      <w:r w:rsidRPr="008C30C7">
        <w:rPr>
          <w:rStyle w:val="FootnoteReference"/>
          <w:sz w:val="22"/>
          <w:szCs w:val="22"/>
        </w:rPr>
        <w:footnoteRef/>
      </w:r>
      <w:r w:rsidR="005F72C1">
        <w:rPr>
          <w:sz w:val="22"/>
          <w:szCs w:val="22"/>
        </w:rPr>
        <w:t xml:space="preserve"> </w:t>
      </w:r>
      <w:r>
        <w:rPr>
          <w:sz w:val="22"/>
          <w:szCs w:val="22"/>
        </w:rPr>
        <w:t>Joint Testimony, Exh. No. JT-1T at 7:1 – 5.</w:t>
      </w:r>
    </w:p>
    <w:p w:rsidR="00C6329C" w:rsidRPr="008C30C7" w:rsidRDefault="00C6329C">
      <w:pPr>
        <w:pStyle w:val="FootnoteText"/>
        <w:rPr>
          <w:sz w:val="22"/>
          <w:szCs w:val="22"/>
        </w:rPr>
      </w:pPr>
    </w:p>
  </w:footnote>
  <w:footnote w:id="61">
    <w:p w:rsidR="00C6329C" w:rsidRDefault="00C6329C">
      <w:pPr>
        <w:pStyle w:val="FootnoteText"/>
        <w:rPr>
          <w:sz w:val="22"/>
          <w:szCs w:val="22"/>
        </w:rPr>
      </w:pPr>
      <w:r w:rsidRPr="00A7433C">
        <w:rPr>
          <w:rStyle w:val="FootnoteReference"/>
          <w:sz w:val="22"/>
          <w:szCs w:val="22"/>
        </w:rPr>
        <w:footnoteRef/>
      </w:r>
      <w:r w:rsidR="005F72C1">
        <w:rPr>
          <w:i/>
          <w:sz w:val="22"/>
          <w:szCs w:val="22"/>
        </w:rPr>
        <w:t xml:space="preserve"> </w:t>
      </w:r>
      <w:r>
        <w:rPr>
          <w:i/>
          <w:sz w:val="22"/>
          <w:szCs w:val="22"/>
        </w:rPr>
        <w:t>WUTC v. PacifiCorp</w:t>
      </w:r>
      <w:r>
        <w:rPr>
          <w:sz w:val="22"/>
          <w:szCs w:val="22"/>
        </w:rPr>
        <w:t>, Docket UE-100749, Order 06 (March 25, 2011).</w:t>
      </w:r>
    </w:p>
    <w:p w:rsidR="00C6329C" w:rsidRPr="00A7433C" w:rsidRDefault="00C6329C">
      <w:pPr>
        <w:pStyle w:val="FootnoteText"/>
        <w:rPr>
          <w:sz w:val="22"/>
          <w:szCs w:val="22"/>
        </w:rPr>
      </w:pPr>
    </w:p>
  </w:footnote>
  <w:footnote w:id="62">
    <w:p w:rsidR="00C6329C" w:rsidRDefault="00C6329C">
      <w:pPr>
        <w:pStyle w:val="FootnoteText"/>
        <w:rPr>
          <w:sz w:val="22"/>
          <w:szCs w:val="22"/>
        </w:rPr>
      </w:pPr>
      <w:r w:rsidRPr="00A7433C">
        <w:rPr>
          <w:rStyle w:val="FootnoteReference"/>
          <w:sz w:val="22"/>
          <w:szCs w:val="22"/>
        </w:rPr>
        <w:footnoteRef/>
      </w:r>
      <w:r w:rsidR="005F72C1">
        <w:rPr>
          <w:i/>
          <w:sz w:val="22"/>
          <w:szCs w:val="22"/>
        </w:rPr>
        <w:t xml:space="preserve"> </w:t>
      </w:r>
      <w:r>
        <w:rPr>
          <w:i/>
          <w:sz w:val="22"/>
          <w:szCs w:val="22"/>
        </w:rPr>
        <w:t xml:space="preserve">Id. </w:t>
      </w:r>
      <w:r w:rsidRPr="006C26EF">
        <w:rPr>
          <w:sz w:val="22"/>
          <w:szCs w:val="22"/>
        </w:rPr>
        <w:t xml:space="preserve">¶¶ </w:t>
      </w:r>
      <w:r>
        <w:rPr>
          <w:sz w:val="22"/>
          <w:szCs w:val="22"/>
        </w:rPr>
        <w:t>316 – 17.</w:t>
      </w:r>
    </w:p>
    <w:p w:rsidR="00C6329C" w:rsidRPr="006C26EF" w:rsidRDefault="00C6329C">
      <w:pPr>
        <w:pStyle w:val="FootnoteText"/>
        <w:rPr>
          <w:b/>
          <w:i/>
          <w:sz w:val="22"/>
          <w:szCs w:val="22"/>
        </w:rPr>
      </w:pPr>
    </w:p>
  </w:footnote>
  <w:footnote w:id="63">
    <w:p w:rsidR="00C6329C" w:rsidRDefault="00C6329C">
      <w:pPr>
        <w:pStyle w:val="FootnoteText"/>
        <w:rPr>
          <w:sz w:val="22"/>
          <w:szCs w:val="22"/>
        </w:rPr>
      </w:pPr>
      <w:r w:rsidRPr="00A66E86">
        <w:rPr>
          <w:rStyle w:val="FootnoteReference"/>
          <w:sz w:val="22"/>
          <w:szCs w:val="22"/>
        </w:rPr>
        <w:footnoteRef/>
      </w:r>
      <w:r w:rsidR="005F72C1">
        <w:rPr>
          <w:i/>
          <w:sz w:val="22"/>
          <w:szCs w:val="22"/>
        </w:rPr>
        <w:t xml:space="preserve"> </w:t>
      </w:r>
      <w:r>
        <w:rPr>
          <w:i/>
          <w:sz w:val="22"/>
          <w:szCs w:val="22"/>
        </w:rPr>
        <w:t xml:space="preserve">Id. </w:t>
      </w:r>
      <w:r>
        <w:rPr>
          <w:sz w:val="22"/>
          <w:szCs w:val="22"/>
        </w:rPr>
        <w:t>¶ 356.</w:t>
      </w:r>
    </w:p>
    <w:p w:rsidR="00C6329C" w:rsidRPr="00A66E86" w:rsidRDefault="00C6329C">
      <w:pPr>
        <w:pStyle w:val="FootnoteText"/>
        <w:rPr>
          <w:sz w:val="22"/>
          <w:szCs w:val="22"/>
        </w:rPr>
      </w:pPr>
    </w:p>
  </w:footnote>
  <w:footnote w:id="64">
    <w:p w:rsidR="00C6329C" w:rsidRDefault="00C6329C">
      <w:pPr>
        <w:pStyle w:val="FootnoteText"/>
        <w:rPr>
          <w:sz w:val="22"/>
          <w:szCs w:val="22"/>
        </w:rPr>
      </w:pPr>
      <w:r w:rsidRPr="007E3312">
        <w:rPr>
          <w:rStyle w:val="FootnoteReference"/>
          <w:sz w:val="22"/>
          <w:szCs w:val="22"/>
        </w:rPr>
        <w:footnoteRef/>
      </w:r>
      <w:r w:rsidR="005F72C1">
        <w:rPr>
          <w:i/>
          <w:sz w:val="22"/>
          <w:szCs w:val="22"/>
        </w:rPr>
        <w:t xml:space="preserve"> </w:t>
      </w:r>
      <w:r>
        <w:rPr>
          <w:i/>
          <w:sz w:val="22"/>
          <w:szCs w:val="22"/>
        </w:rPr>
        <w:t xml:space="preserve">Id. </w:t>
      </w:r>
      <w:r>
        <w:rPr>
          <w:sz w:val="22"/>
          <w:szCs w:val="22"/>
        </w:rPr>
        <w:t>¶ 357.</w:t>
      </w:r>
    </w:p>
    <w:p w:rsidR="00C6329C" w:rsidRPr="007E3312" w:rsidRDefault="00C6329C">
      <w:pPr>
        <w:pStyle w:val="FootnoteText"/>
        <w:rPr>
          <w:sz w:val="22"/>
          <w:szCs w:val="22"/>
        </w:rPr>
      </w:pPr>
    </w:p>
  </w:footnote>
  <w:footnote w:id="65">
    <w:p w:rsidR="00C6329C" w:rsidRDefault="00C6329C">
      <w:pPr>
        <w:pStyle w:val="FootnoteText"/>
        <w:rPr>
          <w:sz w:val="22"/>
          <w:szCs w:val="22"/>
        </w:rPr>
      </w:pPr>
      <w:r w:rsidRPr="004918A2">
        <w:rPr>
          <w:rStyle w:val="FootnoteReference"/>
          <w:sz w:val="22"/>
          <w:szCs w:val="22"/>
        </w:rPr>
        <w:footnoteRef/>
      </w:r>
      <w:r w:rsidR="005F72C1">
        <w:rPr>
          <w:i/>
          <w:sz w:val="22"/>
          <w:szCs w:val="22"/>
        </w:rPr>
        <w:t xml:space="preserve"> </w:t>
      </w:r>
      <w:r>
        <w:rPr>
          <w:i/>
          <w:sz w:val="22"/>
          <w:szCs w:val="22"/>
        </w:rPr>
        <w:t xml:space="preserve">WUTC v. PacifiCorp, </w:t>
      </w:r>
      <w:r>
        <w:rPr>
          <w:sz w:val="22"/>
          <w:szCs w:val="22"/>
        </w:rPr>
        <w:t>Docket UE-090205, Order 09 (December 16, 2009).  We entered our Final Order on December 16, 2009, and the stay-out provision provided that the Company could not file for rate relief until after January 11, 2010.  That date coincided with the expiration of the statutory suspension period in that case.</w:t>
      </w:r>
    </w:p>
    <w:p w:rsidR="00C6329C" w:rsidRPr="004918A2" w:rsidRDefault="00C6329C">
      <w:pPr>
        <w:pStyle w:val="FootnoteText"/>
        <w:rPr>
          <w:sz w:val="22"/>
          <w:szCs w:val="22"/>
        </w:rPr>
      </w:pPr>
    </w:p>
  </w:footnote>
  <w:footnote w:id="66">
    <w:p w:rsidR="00C6329C" w:rsidRPr="009B3E36" w:rsidRDefault="00C6329C" w:rsidP="00C779A5">
      <w:pPr>
        <w:rPr>
          <w:rFonts w:eastAsia="Calibri"/>
          <w:sz w:val="22"/>
          <w:szCs w:val="22"/>
        </w:rPr>
      </w:pPr>
      <w:r w:rsidRPr="009B3E36">
        <w:rPr>
          <w:rStyle w:val="FootnoteReference"/>
          <w:sz w:val="22"/>
          <w:szCs w:val="22"/>
        </w:rPr>
        <w:footnoteRef/>
      </w:r>
      <w:r w:rsidRPr="009B3E36">
        <w:rPr>
          <w:sz w:val="22"/>
          <w:szCs w:val="22"/>
        </w:rPr>
        <w:t xml:space="preserve"> </w:t>
      </w:r>
      <w:r>
        <w:rPr>
          <w:sz w:val="22"/>
          <w:szCs w:val="22"/>
        </w:rPr>
        <w:t>TR.</w:t>
      </w:r>
      <w:r w:rsidRPr="009B3E36">
        <w:rPr>
          <w:rFonts w:eastAsia="Calibri"/>
          <w:sz w:val="22"/>
          <w:szCs w:val="22"/>
        </w:rPr>
        <w:t xml:space="preserve"> 67.</w:t>
      </w:r>
    </w:p>
    <w:p w:rsidR="00C6329C" w:rsidRDefault="00C6329C">
      <w:pPr>
        <w:pStyle w:val="FootnoteText"/>
      </w:pPr>
    </w:p>
  </w:footnote>
  <w:footnote w:id="67">
    <w:p w:rsidR="00C6329C" w:rsidRDefault="00C6329C">
      <w:pPr>
        <w:pStyle w:val="FootnoteText"/>
        <w:rPr>
          <w:sz w:val="22"/>
          <w:szCs w:val="22"/>
        </w:rPr>
      </w:pPr>
      <w:r w:rsidRPr="00E6568C">
        <w:rPr>
          <w:rStyle w:val="FootnoteReference"/>
          <w:sz w:val="22"/>
          <w:szCs w:val="22"/>
        </w:rPr>
        <w:footnoteRef/>
      </w:r>
      <w:r w:rsidR="005F72C1">
        <w:rPr>
          <w:i/>
          <w:sz w:val="22"/>
          <w:szCs w:val="22"/>
        </w:rPr>
        <w:t xml:space="preserve"> </w:t>
      </w:r>
      <w:r>
        <w:rPr>
          <w:i/>
          <w:sz w:val="22"/>
          <w:szCs w:val="22"/>
        </w:rPr>
        <w:t xml:space="preserve">WUTC v. PacifiCorp, </w:t>
      </w:r>
      <w:r>
        <w:rPr>
          <w:sz w:val="22"/>
          <w:szCs w:val="22"/>
        </w:rPr>
        <w:t>Docket UE-061546/</w:t>
      </w:r>
      <w:r>
        <w:rPr>
          <w:i/>
          <w:sz w:val="22"/>
          <w:szCs w:val="22"/>
        </w:rPr>
        <w:t>Petition of PacifiCorp for an Accounting Order</w:t>
      </w:r>
      <w:r>
        <w:rPr>
          <w:sz w:val="22"/>
          <w:szCs w:val="22"/>
        </w:rPr>
        <w:t>, Docket UE060817 (</w:t>
      </w:r>
      <w:r>
        <w:rPr>
          <w:i/>
          <w:sz w:val="22"/>
          <w:szCs w:val="22"/>
        </w:rPr>
        <w:t xml:space="preserve">consolidated) </w:t>
      </w:r>
      <w:r>
        <w:rPr>
          <w:sz w:val="22"/>
          <w:szCs w:val="22"/>
        </w:rPr>
        <w:t>Order 08 ¶ 43 (June 21, 2007).</w:t>
      </w:r>
    </w:p>
    <w:p w:rsidR="00C6329C" w:rsidRPr="00E6568C" w:rsidRDefault="00C6329C">
      <w:pPr>
        <w:pStyle w:val="FootnoteText"/>
        <w:rPr>
          <w:sz w:val="22"/>
          <w:szCs w:val="22"/>
        </w:rPr>
      </w:pPr>
    </w:p>
  </w:footnote>
  <w:footnote w:id="68">
    <w:p w:rsidR="00C6329C" w:rsidRPr="00E6568C" w:rsidRDefault="00C6329C">
      <w:pPr>
        <w:pStyle w:val="FootnoteText"/>
        <w:rPr>
          <w:i/>
          <w:sz w:val="22"/>
          <w:szCs w:val="22"/>
        </w:rPr>
      </w:pPr>
      <w:r w:rsidRPr="00E6568C">
        <w:rPr>
          <w:rStyle w:val="FootnoteReference"/>
          <w:sz w:val="22"/>
          <w:szCs w:val="22"/>
        </w:rPr>
        <w:footnoteRef/>
      </w:r>
      <w:r w:rsidR="005F72C1">
        <w:rPr>
          <w:i/>
          <w:sz w:val="22"/>
          <w:szCs w:val="22"/>
        </w:rPr>
        <w:t xml:space="preserve"> </w:t>
      </w:r>
      <w:r>
        <w:rPr>
          <w:i/>
          <w:sz w:val="22"/>
          <w:szCs w:val="22"/>
        </w:rPr>
        <w:t xml:space="preserve">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9C" w:rsidRPr="003F2878" w:rsidRDefault="00C6329C" w:rsidP="005F3544">
    <w:pPr>
      <w:pStyle w:val="Header"/>
      <w:tabs>
        <w:tab w:val="clear" w:pos="8640"/>
        <w:tab w:val="right" w:pos="8460"/>
      </w:tabs>
      <w:rPr>
        <w:rStyle w:val="PageNumber"/>
        <w:b/>
        <w:sz w:val="20"/>
        <w:szCs w:val="20"/>
      </w:rPr>
    </w:pPr>
    <w:r>
      <w:rPr>
        <w:b/>
        <w:sz w:val="20"/>
        <w:szCs w:val="20"/>
      </w:rPr>
      <w:t>DOCKETUE-111190</w:t>
    </w:r>
    <w:r>
      <w:rPr>
        <w:b/>
        <w:sz w:val="20"/>
        <w:szCs w:val="20"/>
      </w:rPr>
      <w:tab/>
    </w:r>
    <w:r>
      <w:rPr>
        <w:b/>
        <w:sz w:val="20"/>
        <w:szCs w:val="20"/>
      </w:rPr>
      <w:tab/>
    </w:r>
    <w:r w:rsidRPr="003F2878">
      <w:rPr>
        <w:b/>
        <w:sz w:val="20"/>
        <w:szCs w:val="20"/>
      </w:rPr>
      <w:t xml:space="preserve"> 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sidR="00EE4B22">
      <w:rPr>
        <w:rStyle w:val="PageNumber"/>
        <w:b/>
        <w:noProof/>
        <w:sz w:val="20"/>
        <w:szCs w:val="20"/>
      </w:rPr>
      <w:t>2</w:t>
    </w:r>
    <w:r w:rsidRPr="003F2878">
      <w:rPr>
        <w:rStyle w:val="PageNumber"/>
        <w:b/>
        <w:sz w:val="20"/>
        <w:szCs w:val="20"/>
      </w:rPr>
      <w:fldChar w:fldCharType="end"/>
    </w:r>
  </w:p>
  <w:p w:rsidR="00C6329C" w:rsidRPr="003F2878" w:rsidRDefault="00C6329C">
    <w:pPr>
      <w:pStyle w:val="Header"/>
      <w:rPr>
        <w:rStyle w:val="PageNumber"/>
        <w:b/>
        <w:bCs/>
        <w:sz w:val="20"/>
        <w:szCs w:val="20"/>
      </w:rPr>
    </w:pPr>
    <w:r>
      <w:rPr>
        <w:rStyle w:val="PageNumber"/>
        <w:b/>
        <w:sz w:val="20"/>
        <w:szCs w:val="20"/>
      </w:rPr>
      <w:t>ORDER07</w:t>
    </w:r>
  </w:p>
  <w:p w:rsidR="00C6329C" w:rsidRDefault="00C6329C">
    <w:pPr>
      <w:pStyle w:val="Header"/>
      <w:rPr>
        <w:sz w:val="20"/>
        <w:szCs w:val="20"/>
      </w:rPr>
    </w:pPr>
  </w:p>
  <w:p w:rsidR="00C6329C" w:rsidRPr="00F94149" w:rsidRDefault="00C6329C">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9C" w:rsidRPr="00845D54" w:rsidRDefault="00C6329C" w:rsidP="005F3544">
    <w:pPr>
      <w:pStyle w:val="Header"/>
      <w:tabs>
        <w:tab w:val="clear" w:pos="8640"/>
        <w:tab w:val="right" w:pos="8460"/>
      </w:tabs>
      <w:rPr>
        <w:b/>
        <w:sz w:val="20"/>
        <w:szCs w:val="20"/>
      </w:rPr>
    </w:pPr>
    <w:r>
      <w:rPr>
        <w:b/>
        <w:sz w:val="20"/>
        <w:szCs w:val="20"/>
      </w:rPr>
      <w:tab/>
    </w:r>
    <w:r>
      <w:rPr>
        <w:b/>
        <w:sz w:val="20"/>
        <w:szCs w:val="20"/>
      </w:rPr>
      <w:tab/>
    </w:r>
    <w:r w:rsidR="008B55CE">
      <w:rPr>
        <w:b/>
        <w:sz w:val="20"/>
        <w:szCs w:val="20"/>
      </w:rPr>
      <w:t>[Service Date March 30,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D21"/>
    <w:multiLevelType w:val="hybridMultilevel"/>
    <w:tmpl w:val="C9289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43681"/>
    <w:multiLevelType w:val="hybridMultilevel"/>
    <w:tmpl w:val="D5D25896"/>
    <w:lvl w:ilvl="0" w:tplc="4D8C7C7A">
      <w:start w:val="9"/>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E97D94"/>
    <w:multiLevelType w:val="hybridMultilevel"/>
    <w:tmpl w:val="BC8C012A"/>
    <w:lvl w:ilvl="0" w:tplc="04090001">
      <w:start w:val="1"/>
      <w:numFmt w:val="bullet"/>
      <w:lvlText w:val=""/>
      <w:lvlJc w:val="left"/>
      <w:pPr>
        <w:ind w:left="-150" w:hanging="57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0A4248BA"/>
    <w:multiLevelType w:val="hybridMultilevel"/>
    <w:tmpl w:val="13D6715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13060"/>
    <w:multiLevelType w:val="hybridMultilevel"/>
    <w:tmpl w:val="FFD2B61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712D9"/>
    <w:multiLevelType w:val="hybridMultilevel"/>
    <w:tmpl w:val="A3F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7D1AE9"/>
    <w:multiLevelType w:val="hybridMultilevel"/>
    <w:tmpl w:val="E54E63BC"/>
    <w:lvl w:ilvl="0" w:tplc="AF4EBB70">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A4233"/>
    <w:multiLevelType w:val="hybridMultilevel"/>
    <w:tmpl w:val="DB98F698"/>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0409000F">
      <w:start w:val="1"/>
      <w:numFmt w:val="decimal"/>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203B3"/>
    <w:multiLevelType w:val="hybridMultilevel"/>
    <w:tmpl w:val="0B807012"/>
    <w:lvl w:ilvl="0" w:tplc="D2C8B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2F5148"/>
    <w:multiLevelType w:val="hybridMultilevel"/>
    <w:tmpl w:val="EB2A6D9A"/>
    <w:lvl w:ilvl="0" w:tplc="B3A0AB68">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B16F73"/>
    <w:multiLevelType w:val="hybridMultilevel"/>
    <w:tmpl w:val="CB9CA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C583D"/>
    <w:multiLevelType w:val="hybridMultilevel"/>
    <w:tmpl w:val="C23AD104"/>
    <w:lvl w:ilvl="0" w:tplc="D620005A">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D94978"/>
    <w:multiLevelType w:val="hybridMultilevel"/>
    <w:tmpl w:val="E68AEC9A"/>
    <w:lvl w:ilvl="0" w:tplc="4420E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1778B"/>
    <w:multiLevelType w:val="hybridMultilevel"/>
    <w:tmpl w:val="1D6ADB10"/>
    <w:lvl w:ilvl="0" w:tplc="82C653B0">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3AB492F"/>
    <w:multiLevelType w:val="hybridMultilevel"/>
    <w:tmpl w:val="B18240E8"/>
    <w:lvl w:ilvl="0" w:tplc="4444389E">
      <w:start w:val="1"/>
      <w:numFmt w:val="bullet"/>
      <w:lvlText w:val=""/>
      <w:lvlJc w:val="left"/>
      <w:pPr>
        <w:tabs>
          <w:tab w:val="num" w:pos="1440"/>
        </w:tabs>
        <w:ind w:left="1440" w:hanging="720"/>
      </w:pPr>
      <w:rPr>
        <w:rFonts w:ascii="Symbol" w:hAnsi="Symbol" w:hint="default"/>
        <w:b w:val="0"/>
        <w:i w:val="0"/>
        <w:sz w:val="22"/>
        <w:szCs w:val="22"/>
      </w:rPr>
    </w:lvl>
    <w:lvl w:ilvl="1" w:tplc="0409000F">
      <w:start w:val="1"/>
      <w:numFmt w:val="decimal"/>
      <w:lvlText w:val="%2."/>
      <w:lvlJc w:val="left"/>
      <w:pPr>
        <w:tabs>
          <w:tab w:val="num" w:pos="2160"/>
        </w:tabs>
        <w:ind w:left="2160" w:hanging="360"/>
      </w:pPr>
      <w:rPr>
        <w:rFonts w:hint="default"/>
      </w:rPr>
    </w:lvl>
    <w:lvl w:ilvl="2" w:tplc="5C6644E2">
      <w:start w:val="1"/>
      <w:numFmt w:val="decimal"/>
      <w:lvlText w:val="%3."/>
      <w:lvlJc w:val="left"/>
      <w:pPr>
        <w:tabs>
          <w:tab w:val="num" w:pos="3060"/>
        </w:tabs>
        <w:ind w:left="3060" w:hanging="360"/>
      </w:pPr>
      <w:rPr>
        <w:rFonts w:hint="default"/>
      </w:rPr>
    </w:lvl>
    <w:lvl w:ilvl="3" w:tplc="FC1C7BD2">
      <w:start w:val="1"/>
      <w:numFmt w:val="low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52F03DA2">
      <w:start w:val="3"/>
      <w:numFmt w:val="decimal"/>
      <w:lvlText w:val="(%6)"/>
      <w:lvlJc w:val="left"/>
      <w:pPr>
        <w:tabs>
          <w:tab w:val="num" w:pos="5580"/>
        </w:tabs>
        <w:ind w:left="5580" w:hanging="72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79851F9"/>
    <w:multiLevelType w:val="hybridMultilevel"/>
    <w:tmpl w:val="63DC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A1009"/>
    <w:multiLevelType w:val="hybridMultilevel"/>
    <w:tmpl w:val="012C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26BC4"/>
    <w:multiLevelType w:val="hybridMultilevel"/>
    <w:tmpl w:val="AA6A4B9C"/>
    <w:lvl w:ilvl="0" w:tplc="B3A0AB68">
      <w:start w:val="1"/>
      <w:numFmt w:val="decimal"/>
      <w:lvlText w:val="(%1)"/>
      <w:lvlJc w:val="left"/>
      <w:pPr>
        <w:ind w:left="720" w:hanging="360"/>
      </w:pPr>
      <w:rPr>
        <w:rFonts w:hint="default"/>
        <w:color w:val="auto"/>
      </w:rPr>
    </w:lvl>
    <w:lvl w:ilvl="1" w:tplc="B3A0AB68">
      <w:start w:val="1"/>
      <w:numFmt w:val="decimal"/>
      <w:lvlText w:val="(%2)"/>
      <w:lvlJc w:val="left"/>
      <w:pPr>
        <w:ind w:left="1440" w:hanging="360"/>
      </w:pPr>
      <w:rPr>
        <w:rFonts w:hint="default"/>
        <w:color w:val="auto"/>
      </w:rPr>
    </w:lvl>
    <w:lvl w:ilvl="2" w:tplc="4FD407D2">
      <w:start w:val="1"/>
      <w:numFmt w:val="decimal"/>
      <w:lvlText w:val="%3."/>
      <w:lvlJc w:val="left"/>
      <w:pPr>
        <w:ind w:left="2340" w:hanging="360"/>
      </w:pPr>
      <w:rPr>
        <w:rFonts w:hint="default"/>
        <w:u w:val="none"/>
      </w:rPr>
    </w:lvl>
    <w:lvl w:ilvl="3" w:tplc="F7F2B55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F0F75"/>
    <w:multiLevelType w:val="hybridMultilevel"/>
    <w:tmpl w:val="5F92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F40873"/>
    <w:multiLevelType w:val="hybridMultilevel"/>
    <w:tmpl w:val="60CA9516"/>
    <w:lvl w:ilvl="0" w:tplc="4444389E">
      <w:start w:val="1"/>
      <w:numFmt w:val="bullet"/>
      <w:lvlText w:val=""/>
      <w:lvlJc w:val="left"/>
      <w:pPr>
        <w:tabs>
          <w:tab w:val="num" w:pos="1440"/>
        </w:tabs>
        <w:ind w:left="1440" w:hanging="720"/>
      </w:pPr>
      <w:rPr>
        <w:rFonts w:ascii="Symbol" w:hAnsi="Symbol" w:hint="default"/>
        <w:b w:val="0"/>
        <w:i w:val="0"/>
        <w:sz w:val="22"/>
        <w:szCs w:val="22"/>
      </w:rPr>
    </w:lvl>
    <w:lvl w:ilvl="1" w:tplc="0409000F">
      <w:start w:val="1"/>
      <w:numFmt w:val="decimal"/>
      <w:lvlText w:val="%2."/>
      <w:lvlJc w:val="left"/>
      <w:pPr>
        <w:tabs>
          <w:tab w:val="num" w:pos="2160"/>
        </w:tabs>
        <w:ind w:left="2160" w:hanging="360"/>
      </w:pPr>
      <w:rPr>
        <w:rFonts w:hint="default"/>
      </w:rPr>
    </w:lvl>
    <w:lvl w:ilvl="2" w:tplc="5C6644E2">
      <w:start w:val="1"/>
      <w:numFmt w:val="decimal"/>
      <w:lvlText w:val="%3."/>
      <w:lvlJc w:val="left"/>
      <w:pPr>
        <w:tabs>
          <w:tab w:val="num" w:pos="3060"/>
        </w:tabs>
        <w:ind w:left="3060" w:hanging="360"/>
      </w:pPr>
      <w:rPr>
        <w:rFonts w:hint="default"/>
      </w:rPr>
    </w:lvl>
    <w:lvl w:ilvl="3" w:tplc="FC1C7BD2">
      <w:start w:val="1"/>
      <w:numFmt w:val="low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52F03DA2">
      <w:start w:val="3"/>
      <w:numFmt w:val="decimal"/>
      <w:lvlText w:val="(%6)"/>
      <w:lvlJc w:val="left"/>
      <w:pPr>
        <w:tabs>
          <w:tab w:val="num" w:pos="5580"/>
        </w:tabs>
        <w:ind w:left="5580" w:hanging="72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6324E7D"/>
    <w:multiLevelType w:val="hybridMultilevel"/>
    <w:tmpl w:val="A246F1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BF731A"/>
    <w:multiLevelType w:val="hybridMultilevel"/>
    <w:tmpl w:val="DEF61F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C3338C"/>
    <w:multiLevelType w:val="hybridMultilevel"/>
    <w:tmpl w:val="99945AB0"/>
    <w:lvl w:ilvl="0" w:tplc="253615A8">
      <w:start w:val="1"/>
      <w:numFmt w:val="upperLetter"/>
      <w:lvlText w:val="%1."/>
      <w:lvlJc w:val="left"/>
      <w:pPr>
        <w:ind w:left="1080" w:hanging="360"/>
      </w:pPr>
      <w:rPr>
        <w:rFonts w:hint="default"/>
      </w:rPr>
    </w:lvl>
    <w:lvl w:ilvl="1" w:tplc="8286E3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6F6D10"/>
    <w:multiLevelType w:val="hybridMultilevel"/>
    <w:tmpl w:val="96C485A2"/>
    <w:lvl w:ilvl="0" w:tplc="7EC49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E804265"/>
    <w:multiLevelType w:val="hybridMultilevel"/>
    <w:tmpl w:val="1974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29"/>
  </w:num>
  <w:num w:numId="4">
    <w:abstractNumId w:val="7"/>
  </w:num>
  <w:num w:numId="5">
    <w:abstractNumId w:val="11"/>
  </w:num>
  <w:num w:numId="6">
    <w:abstractNumId w:val="9"/>
  </w:num>
  <w:num w:numId="7">
    <w:abstractNumId w:val="28"/>
  </w:num>
  <w:num w:numId="8">
    <w:abstractNumId w:val="25"/>
  </w:num>
  <w:num w:numId="9">
    <w:abstractNumId w:val="8"/>
  </w:num>
  <w:num w:numId="10">
    <w:abstractNumId w:val="6"/>
  </w:num>
  <w:num w:numId="11">
    <w:abstractNumId w:val="16"/>
  </w:num>
  <w:num w:numId="12">
    <w:abstractNumId w:val="14"/>
  </w:num>
  <w:num w:numId="13">
    <w:abstractNumId w:val="0"/>
  </w:num>
  <w:num w:numId="14">
    <w:abstractNumId w:val="24"/>
  </w:num>
  <w:num w:numId="15">
    <w:abstractNumId w:val="1"/>
  </w:num>
  <w:num w:numId="16">
    <w:abstractNumId w:val="5"/>
  </w:num>
  <w:num w:numId="17">
    <w:abstractNumId w:val="4"/>
  </w:num>
  <w:num w:numId="18">
    <w:abstractNumId w:val="21"/>
  </w:num>
  <w:num w:numId="19">
    <w:abstractNumId w:val="19"/>
  </w:num>
  <w:num w:numId="20">
    <w:abstractNumId w:val="13"/>
  </w:num>
  <w:num w:numId="21">
    <w:abstractNumId w:val="26"/>
  </w:num>
  <w:num w:numId="22">
    <w:abstractNumId w:val="30"/>
  </w:num>
  <w:num w:numId="23">
    <w:abstractNumId w:val="3"/>
  </w:num>
  <w:num w:numId="24">
    <w:abstractNumId w:val="20"/>
  </w:num>
  <w:num w:numId="25">
    <w:abstractNumId w:val="12"/>
  </w:num>
  <w:num w:numId="26">
    <w:abstractNumId w:val="18"/>
  </w:num>
  <w:num w:numId="27">
    <w:abstractNumId w:val="15"/>
  </w:num>
  <w:num w:numId="28">
    <w:abstractNumId w:val="23"/>
  </w:num>
  <w:num w:numId="29">
    <w:abstractNumId w:val="17"/>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FE"/>
    <w:rsid w:val="000078BA"/>
    <w:rsid w:val="00013546"/>
    <w:rsid w:val="00014446"/>
    <w:rsid w:val="00031BB6"/>
    <w:rsid w:val="000478F1"/>
    <w:rsid w:val="00054954"/>
    <w:rsid w:val="00067761"/>
    <w:rsid w:val="0007172E"/>
    <w:rsid w:val="00077056"/>
    <w:rsid w:val="000B13AD"/>
    <w:rsid w:val="000B4E92"/>
    <w:rsid w:val="000E1D26"/>
    <w:rsid w:val="000E640C"/>
    <w:rsid w:val="001035E4"/>
    <w:rsid w:val="00106C69"/>
    <w:rsid w:val="00116C7F"/>
    <w:rsid w:val="00121EA2"/>
    <w:rsid w:val="00122CA1"/>
    <w:rsid w:val="00154E58"/>
    <w:rsid w:val="00173871"/>
    <w:rsid w:val="001A0C02"/>
    <w:rsid w:val="001C5AB1"/>
    <w:rsid w:val="001E1D7A"/>
    <w:rsid w:val="00204704"/>
    <w:rsid w:val="00234606"/>
    <w:rsid w:val="00235DE9"/>
    <w:rsid w:val="00244F80"/>
    <w:rsid w:val="002474B6"/>
    <w:rsid w:val="0025268A"/>
    <w:rsid w:val="002550EE"/>
    <w:rsid w:val="002776EA"/>
    <w:rsid w:val="002C039A"/>
    <w:rsid w:val="002D1761"/>
    <w:rsid w:val="002E644C"/>
    <w:rsid w:val="002F2150"/>
    <w:rsid w:val="002F475F"/>
    <w:rsid w:val="002F747D"/>
    <w:rsid w:val="00324DE6"/>
    <w:rsid w:val="00344E45"/>
    <w:rsid w:val="00363829"/>
    <w:rsid w:val="003A443E"/>
    <w:rsid w:val="003D29DD"/>
    <w:rsid w:val="003E037D"/>
    <w:rsid w:val="003E50BC"/>
    <w:rsid w:val="003F1054"/>
    <w:rsid w:val="004073EF"/>
    <w:rsid w:val="00410EF4"/>
    <w:rsid w:val="004135E2"/>
    <w:rsid w:val="00415825"/>
    <w:rsid w:val="0042312A"/>
    <w:rsid w:val="00430B6D"/>
    <w:rsid w:val="00440E0F"/>
    <w:rsid w:val="00474578"/>
    <w:rsid w:val="00475B48"/>
    <w:rsid w:val="0049065B"/>
    <w:rsid w:val="004918A2"/>
    <w:rsid w:val="00496502"/>
    <w:rsid w:val="004A447B"/>
    <w:rsid w:val="004D64B0"/>
    <w:rsid w:val="005327A2"/>
    <w:rsid w:val="00552600"/>
    <w:rsid w:val="0056799B"/>
    <w:rsid w:val="005714DC"/>
    <w:rsid w:val="005A3246"/>
    <w:rsid w:val="005A6C74"/>
    <w:rsid w:val="005D0C9C"/>
    <w:rsid w:val="005E102B"/>
    <w:rsid w:val="005F3544"/>
    <w:rsid w:val="005F72C1"/>
    <w:rsid w:val="00624FA1"/>
    <w:rsid w:val="00635DA4"/>
    <w:rsid w:val="006438D8"/>
    <w:rsid w:val="006503B2"/>
    <w:rsid w:val="00650A9A"/>
    <w:rsid w:val="006678D3"/>
    <w:rsid w:val="00672F7B"/>
    <w:rsid w:val="00673359"/>
    <w:rsid w:val="006832A7"/>
    <w:rsid w:val="006871F8"/>
    <w:rsid w:val="00690406"/>
    <w:rsid w:val="00697BB6"/>
    <w:rsid w:val="006A41EE"/>
    <w:rsid w:val="006A6FE8"/>
    <w:rsid w:val="006A7DBA"/>
    <w:rsid w:val="006C26EF"/>
    <w:rsid w:val="006D2B71"/>
    <w:rsid w:val="006F4B18"/>
    <w:rsid w:val="006F782F"/>
    <w:rsid w:val="007154AB"/>
    <w:rsid w:val="00726E84"/>
    <w:rsid w:val="00727532"/>
    <w:rsid w:val="00732E66"/>
    <w:rsid w:val="007401D6"/>
    <w:rsid w:val="00742FA7"/>
    <w:rsid w:val="00747ECE"/>
    <w:rsid w:val="007873AE"/>
    <w:rsid w:val="007A127A"/>
    <w:rsid w:val="007A7E2F"/>
    <w:rsid w:val="007B163B"/>
    <w:rsid w:val="007B3B68"/>
    <w:rsid w:val="007E3312"/>
    <w:rsid w:val="0080256A"/>
    <w:rsid w:val="0083607D"/>
    <w:rsid w:val="00854825"/>
    <w:rsid w:val="00865FAC"/>
    <w:rsid w:val="00882D4B"/>
    <w:rsid w:val="008A0A9E"/>
    <w:rsid w:val="008B3947"/>
    <w:rsid w:val="008B39E8"/>
    <w:rsid w:val="008B55CE"/>
    <w:rsid w:val="008C23FE"/>
    <w:rsid w:val="008C30C7"/>
    <w:rsid w:val="008C7E2B"/>
    <w:rsid w:val="008D0DF4"/>
    <w:rsid w:val="008E2566"/>
    <w:rsid w:val="0091333C"/>
    <w:rsid w:val="009248FA"/>
    <w:rsid w:val="009444A9"/>
    <w:rsid w:val="00967E27"/>
    <w:rsid w:val="0097015A"/>
    <w:rsid w:val="00982B23"/>
    <w:rsid w:val="00983D52"/>
    <w:rsid w:val="009B3E36"/>
    <w:rsid w:val="009E0EEF"/>
    <w:rsid w:val="009F538A"/>
    <w:rsid w:val="00A125D2"/>
    <w:rsid w:val="00A2291B"/>
    <w:rsid w:val="00A54463"/>
    <w:rsid w:val="00A555B5"/>
    <w:rsid w:val="00A65C9D"/>
    <w:rsid w:val="00A66E86"/>
    <w:rsid w:val="00A7433C"/>
    <w:rsid w:val="00A83311"/>
    <w:rsid w:val="00A84C2A"/>
    <w:rsid w:val="00AA0120"/>
    <w:rsid w:val="00AD3312"/>
    <w:rsid w:val="00AD67EA"/>
    <w:rsid w:val="00AD7297"/>
    <w:rsid w:val="00AE273E"/>
    <w:rsid w:val="00AF06EB"/>
    <w:rsid w:val="00B004B0"/>
    <w:rsid w:val="00B13041"/>
    <w:rsid w:val="00B40F07"/>
    <w:rsid w:val="00B46E3A"/>
    <w:rsid w:val="00B723A5"/>
    <w:rsid w:val="00B93CED"/>
    <w:rsid w:val="00BF448A"/>
    <w:rsid w:val="00BF77C0"/>
    <w:rsid w:val="00C00B47"/>
    <w:rsid w:val="00C257C7"/>
    <w:rsid w:val="00C3512F"/>
    <w:rsid w:val="00C50A0B"/>
    <w:rsid w:val="00C6329C"/>
    <w:rsid w:val="00C635A8"/>
    <w:rsid w:val="00C779A5"/>
    <w:rsid w:val="00CB5062"/>
    <w:rsid w:val="00CB7C64"/>
    <w:rsid w:val="00CC4437"/>
    <w:rsid w:val="00CE3B59"/>
    <w:rsid w:val="00CE498C"/>
    <w:rsid w:val="00D15E89"/>
    <w:rsid w:val="00D16429"/>
    <w:rsid w:val="00D469C1"/>
    <w:rsid w:val="00D646D2"/>
    <w:rsid w:val="00D65CA9"/>
    <w:rsid w:val="00D77BF1"/>
    <w:rsid w:val="00D820E0"/>
    <w:rsid w:val="00D83AC1"/>
    <w:rsid w:val="00DA1B86"/>
    <w:rsid w:val="00DB3260"/>
    <w:rsid w:val="00DD2A47"/>
    <w:rsid w:val="00E2655E"/>
    <w:rsid w:val="00E63C57"/>
    <w:rsid w:val="00E6568C"/>
    <w:rsid w:val="00E73F85"/>
    <w:rsid w:val="00E80D65"/>
    <w:rsid w:val="00E96B9D"/>
    <w:rsid w:val="00EB0D78"/>
    <w:rsid w:val="00EB15D7"/>
    <w:rsid w:val="00EC06D1"/>
    <w:rsid w:val="00ED0E34"/>
    <w:rsid w:val="00ED131F"/>
    <w:rsid w:val="00EE39D8"/>
    <w:rsid w:val="00EE3E23"/>
    <w:rsid w:val="00EE4B22"/>
    <w:rsid w:val="00EE549C"/>
    <w:rsid w:val="00EF019D"/>
    <w:rsid w:val="00EF20C5"/>
    <w:rsid w:val="00F01E82"/>
    <w:rsid w:val="00F1466C"/>
    <w:rsid w:val="00F21B68"/>
    <w:rsid w:val="00F23EA9"/>
    <w:rsid w:val="00F3181C"/>
    <w:rsid w:val="00F45C15"/>
    <w:rsid w:val="00F549D3"/>
    <w:rsid w:val="00F61ED1"/>
    <w:rsid w:val="00F71E5A"/>
    <w:rsid w:val="00F96D99"/>
    <w:rsid w:val="00FA1E30"/>
    <w:rsid w:val="00FD1384"/>
    <w:rsid w:val="00FE79E8"/>
    <w:rsid w:val="00FF5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9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C23FE"/>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C23FE"/>
    <w:rPr>
      <w:rFonts w:ascii="Times New Roman" w:eastAsia="Times New Roman" w:hAnsi="Times New Roman" w:cs="Times New Roman"/>
      <w:sz w:val="24"/>
      <w:szCs w:val="24"/>
      <w:u w:val="single"/>
    </w:rPr>
  </w:style>
  <w:style w:type="paragraph" w:styleId="Header">
    <w:name w:val="header"/>
    <w:basedOn w:val="Normal"/>
    <w:link w:val="HeaderChar"/>
    <w:rsid w:val="008C23FE"/>
    <w:pPr>
      <w:tabs>
        <w:tab w:val="center" w:pos="4320"/>
        <w:tab w:val="right" w:pos="8640"/>
      </w:tabs>
    </w:pPr>
  </w:style>
  <w:style w:type="character" w:customStyle="1" w:styleId="HeaderChar">
    <w:name w:val="Header Char"/>
    <w:basedOn w:val="DefaultParagraphFont"/>
    <w:link w:val="Header"/>
    <w:rsid w:val="008C23FE"/>
    <w:rPr>
      <w:rFonts w:ascii="Times New Roman" w:eastAsia="Times New Roman" w:hAnsi="Times New Roman" w:cs="Times New Roman"/>
      <w:sz w:val="24"/>
      <w:szCs w:val="24"/>
    </w:rPr>
  </w:style>
  <w:style w:type="paragraph" w:styleId="Footer">
    <w:name w:val="footer"/>
    <w:basedOn w:val="Normal"/>
    <w:link w:val="FooterChar"/>
    <w:rsid w:val="008C23FE"/>
    <w:pPr>
      <w:tabs>
        <w:tab w:val="center" w:pos="4320"/>
        <w:tab w:val="right" w:pos="8640"/>
      </w:tabs>
    </w:pPr>
  </w:style>
  <w:style w:type="character" w:customStyle="1" w:styleId="FooterChar">
    <w:name w:val="Footer Char"/>
    <w:basedOn w:val="DefaultParagraphFont"/>
    <w:link w:val="Footer"/>
    <w:rsid w:val="008C23FE"/>
    <w:rPr>
      <w:rFonts w:ascii="Times New Roman" w:eastAsia="Times New Roman" w:hAnsi="Times New Roman" w:cs="Times New Roman"/>
      <w:sz w:val="24"/>
      <w:szCs w:val="24"/>
    </w:rPr>
  </w:style>
  <w:style w:type="paragraph" w:styleId="BodyText">
    <w:name w:val="Body Text"/>
    <w:basedOn w:val="Normal"/>
    <w:link w:val="BodyTextChar"/>
    <w:rsid w:val="008C23FE"/>
    <w:pPr>
      <w:jc w:val="center"/>
    </w:pPr>
    <w:rPr>
      <w:rFonts w:ascii="Palatino Linotype" w:hAnsi="Palatino Linotype"/>
    </w:rPr>
  </w:style>
  <w:style w:type="character" w:customStyle="1" w:styleId="BodyTextChar">
    <w:name w:val="Body Text Char"/>
    <w:basedOn w:val="DefaultParagraphFont"/>
    <w:link w:val="BodyText"/>
    <w:rsid w:val="008C23FE"/>
    <w:rPr>
      <w:rFonts w:ascii="Palatino Linotype" w:eastAsia="Times New Roman" w:hAnsi="Palatino Linotype" w:cs="Times New Roman"/>
      <w:sz w:val="24"/>
      <w:szCs w:val="24"/>
    </w:rPr>
  </w:style>
  <w:style w:type="character" w:styleId="PageNumber">
    <w:name w:val="page number"/>
    <w:basedOn w:val="DefaultParagraphFont"/>
    <w:rsid w:val="008C23FE"/>
  </w:style>
  <w:style w:type="paragraph" w:styleId="Title">
    <w:name w:val="Title"/>
    <w:basedOn w:val="Normal"/>
    <w:link w:val="TitleChar"/>
    <w:qFormat/>
    <w:rsid w:val="008C23FE"/>
    <w:pPr>
      <w:jc w:val="center"/>
    </w:pPr>
    <w:rPr>
      <w:rFonts w:ascii="Palatino Linotype" w:hAnsi="Palatino Linotype"/>
      <w:b/>
    </w:rPr>
  </w:style>
  <w:style w:type="character" w:customStyle="1" w:styleId="TitleChar">
    <w:name w:val="Title Char"/>
    <w:basedOn w:val="DefaultParagraphFont"/>
    <w:link w:val="Title"/>
    <w:rsid w:val="008C23FE"/>
    <w:rPr>
      <w:rFonts w:ascii="Palatino Linotype" w:eastAsia="Times New Roman" w:hAnsi="Palatino Linotype" w:cs="Times New Roman"/>
      <w:b/>
      <w:sz w:val="24"/>
      <w:szCs w:val="24"/>
    </w:rPr>
  </w:style>
  <w:style w:type="paragraph" w:styleId="BalloonText">
    <w:name w:val="Balloon Text"/>
    <w:basedOn w:val="Normal"/>
    <w:link w:val="BalloonTextChar"/>
    <w:semiHidden/>
    <w:rsid w:val="008C23FE"/>
    <w:rPr>
      <w:rFonts w:ascii="Tahoma" w:hAnsi="Tahoma" w:cs="Tahoma"/>
      <w:sz w:val="16"/>
      <w:szCs w:val="16"/>
    </w:rPr>
  </w:style>
  <w:style w:type="character" w:customStyle="1" w:styleId="BalloonTextChar">
    <w:name w:val="Balloon Text Char"/>
    <w:basedOn w:val="DefaultParagraphFont"/>
    <w:link w:val="BalloonText"/>
    <w:semiHidden/>
    <w:rsid w:val="008C23FE"/>
    <w:rPr>
      <w:rFonts w:ascii="Tahoma" w:eastAsia="Times New Roman"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C23FE"/>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C23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23FE"/>
    <w:rPr>
      <w:vertAlign w:val="superscript"/>
    </w:rPr>
  </w:style>
  <w:style w:type="paragraph" w:customStyle="1" w:styleId="plain">
    <w:name w:val="plain"/>
    <w:basedOn w:val="Normal"/>
    <w:rsid w:val="008C23FE"/>
    <w:pPr>
      <w:spacing w:line="240" w:lineRule="atLeast"/>
    </w:pPr>
    <w:rPr>
      <w:sz w:val="26"/>
      <w:szCs w:val="20"/>
    </w:rPr>
  </w:style>
  <w:style w:type="paragraph" w:customStyle="1" w:styleId="FindingsConclusions">
    <w:name w:val="Findings &amp; Conclusions"/>
    <w:basedOn w:val="Normal"/>
    <w:rsid w:val="008C23FE"/>
    <w:pPr>
      <w:numPr>
        <w:numId w:val="4"/>
      </w:numPr>
      <w:ind w:left="720" w:hanging="1800"/>
    </w:pPr>
  </w:style>
  <w:style w:type="character" w:customStyle="1" w:styleId="RCWSLText">
    <w:name w:val="RCWSLText"/>
    <w:basedOn w:val="DefaultParagraphFont"/>
    <w:rsid w:val="008C23FE"/>
    <w:rPr>
      <w:rFonts w:ascii="Courier New" w:hAnsi="Courier New" w:cs="Courier New"/>
      <w:sz w:val="24"/>
      <w:szCs w:val="24"/>
      <w:lang w:val="en-US"/>
    </w:rPr>
  </w:style>
  <w:style w:type="paragraph" w:styleId="ListParagraph">
    <w:name w:val="List Paragraph"/>
    <w:basedOn w:val="Normal"/>
    <w:uiPriority w:val="34"/>
    <w:qFormat/>
    <w:rsid w:val="008C23FE"/>
    <w:pPr>
      <w:ind w:left="720"/>
    </w:pPr>
  </w:style>
  <w:style w:type="character" w:styleId="CommentReference">
    <w:name w:val="annotation reference"/>
    <w:basedOn w:val="DefaultParagraphFont"/>
    <w:rsid w:val="008C23FE"/>
    <w:rPr>
      <w:sz w:val="16"/>
      <w:szCs w:val="16"/>
    </w:rPr>
  </w:style>
  <w:style w:type="paragraph" w:styleId="CommentText">
    <w:name w:val="annotation text"/>
    <w:basedOn w:val="Normal"/>
    <w:link w:val="CommentTextChar"/>
    <w:rsid w:val="008C23FE"/>
    <w:rPr>
      <w:sz w:val="20"/>
      <w:szCs w:val="20"/>
    </w:rPr>
  </w:style>
  <w:style w:type="character" w:customStyle="1" w:styleId="CommentTextChar">
    <w:name w:val="Comment Text Char"/>
    <w:basedOn w:val="DefaultParagraphFont"/>
    <w:link w:val="CommentText"/>
    <w:rsid w:val="008C23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C23FE"/>
    <w:rPr>
      <w:b/>
      <w:bCs/>
    </w:rPr>
  </w:style>
  <w:style w:type="character" w:customStyle="1" w:styleId="CommentSubjectChar">
    <w:name w:val="Comment Subject Char"/>
    <w:basedOn w:val="CommentTextChar"/>
    <w:link w:val="CommentSubject"/>
    <w:rsid w:val="008C23FE"/>
    <w:rPr>
      <w:rFonts w:ascii="Times New Roman" w:eastAsia="Times New Roman" w:hAnsi="Times New Roman" w:cs="Times New Roman"/>
      <w:b/>
      <w:bCs/>
      <w:sz w:val="20"/>
      <w:szCs w:val="20"/>
    </w:rPr>
  </w:style>
  <w:style w:type="paragraph" w:styleId="NoSpacing">
    <w:name w:val="No Spacing"/>
    <w:uiPriority w:val="1"/>
    <w:qFormat/>
    <w:rsid w:val="008C23FE"/>
    <w:rPr>
      <w:rFonts w:ascii="Times New Roman" w:eastAsia="Times New Roman" w:hAnsi="Times New Roman" w:cs="Times New Roman"/>
      <w:sz w:val="24"/>
      <w:szCs w:val="24"/>
    </w:rPr>
  </w:style>
  <w:style w:type="paragraph" w:styleId="Revision">
    <w:name w:val="Revision"/>
    <w:hidden/>
    <w:uiPriority w:val="99"/>
    <w:semiHidden/>
    <w:rsid w:val="008C23FE"/>
    <w:rPr>
      <w:rFonts w:ascii="Times New Roman" w:eastAsia="Times New Roman" w:hAnsi="Times New Roman" w:cs="Times New Roman"/>
      <w:sz w:val="24"/>
      <w:szCs w:val="24"/>
    </w:rPr>
  </w:style>
  <w:style w:type="paragraph" w:customStyle="1" w:styleId="answer">
    <w:name w:val="answer"/>
    <w:basedOn w:val="Normal"/>
    <w:link w:val="answerChar"/>
    <w:rsid w:val="00067761"/>
    <w:pPr>
      <w:spacing w:before="120" w:after="120" w:line="480" w:lineRule="auto"/>
      <w:ind w:left="720" w:hanging="720"/>
    </w:pPr>
    <w:rPr>
      <w:rFonts w:eastAsia="SimSun"/>
      <w:sz w:val="20"/>
      <w:lang w:val="x-none" w:eastAsia="zh-CN"/>
    </w:rPr>
  </w:style>
  <w:style w:type="character" w:customStyle="1" w:styleId="answerChar">
    <w:name w:val="answer Char"/>
    <w:link w:val="answer"/>
    <w:rsid w:val="00067761"/>
    <w:rPr>
      <w:rFonts w:ascii="Times New Roman" w:eastAsia="SimSun" w:hAnsi="Times New Roman" w:cs="Times New Roman"/>
      <w:sz w:val="20"/>
      <w:szCs w:val="24"/>
      <w:lang w:val="x-none" w:eastAsia="zh-CN"/>
    </w:rPr>
  </w:style>
  <w:style w:type="paragraph" w:styleId="Subtitle">
    <w:name w:val="Subtitle"/>
    <w:aliases w:val="Footnote"/>
    <w:basedOn w:val="FootnoteText"/>
    <w:next w:val="Normal"/>
    <w:link w:val="SubtitleChar"/>
    <w:uiPriority w:val="11"/>
    <w:qFormat/>
    <w:rsid w:val="00067761"/>
    <w:pPr>
      <w:spacing w:line="480" w:lineRule="auto"/>
      <w:ind w:left="360"/>
    </w:pPr>
    <w:rPr>
      <w:rFonts w:eastAsia="Calibri"/>
      <w:sz w:val="22"/>
      <w:lang w:val="x-none" w:eastAsia="x-none"/>
    </w:rPr>
  </w:style>
  <w:style w:type="character" w:customStyle="1" w:styleId="SubtitleChar">
    <w:name w:val="Subtitle Char"/>
    <w:aliases w:val="Footnote Char"/>
    <w:basedOn w:val="DefaultParagraphFont"/>
    <w:link w:val="Subtitle"/>
    <w:uiPriority w:val="11"/>
    <w:rsid w:val="00067761"/>
    <w:rPr>
      <w:rFonts w:ascii="Times New Roman" w:eastAsia="Calibri" w:hAnsi="Times New Roman" w:cs="Times New Roman"/>
      <w:szCs w:val="20"/>
      <w:lang w:val="x-none" w:eastAsia="x-none"/>
    </w:rPr>
  </w:style>
  <w:style w:type="paragraph" w:customStyle="1" w:styleId="Default">
    <w:name w:val="Default"/>
    <w:rsid w:val="00067761"/>
    <w:rPr>
      <w:rFonts w:ascii="Garamond" w:eastAsia="Times New Roman" w:hAnsi="Garamond" w:cs="Times New Roman"/>
      <w:snapToGrid w:val="0"/>
      <w:color w:val="000000"/>
      <w:sz w:val="24"/>
      <w:szCs w:val="20"/>
    </w:rPr>
  </w:style>
  <w:style w:type="paragraph" w:styleId="EndnoteText">
    <w:name w:val="endnote text"/>
    <w:basedOn w:val="Normal"/>
    <w:link w:val="EndnoteTextChar"/>
    <w:uiPriority w:val="99"/>
    <w:unhideWhenUsed/>
    <w:rsid w:val="008A0A9E"/>
    <w:rPr>
      <w:sz w:val="22"/>
      <w:szCs w:val="20"/>
    </w:rPr>
  </w:style>
  <w:style w:type="character" w:customStyle="1" w:styleId="EndnoteTextChar">
    <w:name w:val="Endnote Text Char"/>
    <w:basedOn w:val="DefaultParagraphFont"/>
    <w:link w:val="EndnoteText"/>
    <w:uiPriority w:val="99"/>
    <w:rsid w:val="008A0A9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9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C23FE"/>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C23FE"/>
    <w:rPr>
      <w:rFonts w:ascii="Times New Roman" w:eastAsia="Times New Roman" w:hAnsi="Times New Roman" w:cs="Times New Roman"/>
      <w:sz w:val="24"/>
      <w:szCs w:val="24"/>
      <w:u w:val="single"/>
    </w:rPr>
  </w:style>
  <w:style w:type="paragraph" w:styleId="Header">
    <w:name w:val="header"/>
    <w:basedOn w:val="Normal"/>
    <w:link w:val="HeaderChar"/>
    <w:rsid w:val="008C23FE"/>
    <w:pPr>
      <w:tabs>
        <w:tab w:val="center" w:pos="4320"/>
        <w:tab w:val="right" w:pos="8640"/>
      </w:tabs>
    </w:pPr>
  </w:style>
  <w:style w:type="character" w:customStyle="1" w:styleId="HeaderChar">
    <w:name w:val="Header Char"/>
    <w:basedOn w:val="DefaultParagraphFont"/>
    <w:link w:val="Header"/>
    <w:rsid w:val="008C23FE"/>
    <w:rPr>
      <w:rFonts w:ascii="Times New Roman" w:eastAsia="Times New Roman" w:hAnsi="Times New Roman" w:cs="Times New Roman"/>
      <w:sz w:val="24"/>
      <w:szCs w:val="24"/>
    </w:rPr>
  </w:style>
  <w:style w:type="paragraph" w:styleId="Footer">
    <w:name w:val="footer"/>
    <w:basedOn w:val="Normal"/>
    <w:link w:val="FooterChar"/>
    <w:rsid w:val="008C23FE"/>
    <w:pPr>
      <w:tabs>
        <w:tab w:val="center" w:pos="4320"/>
        <w:tab w:val="right" w:pos="8640"/>
      </w:tabs>
    </w:pPr>
  </w:style>
  <w:style w:type="character" w:customStyle="1" w:styleId="FooterChar">
    <w:name w:val="Footer Char"/>
    <w:basedOn w:val="DefaultParagraphFont"/>
    <w:link w:val="Footer"/>
    <w:rsid w:val="008C23FE"/>
    <w:rPr>
      <w:rFonts w:ascii="Times New Roman" w:eastAsia="Times New Roman" w:hAnsi="Times New Roman" w:cs="Times New Roman"/>
      <w:sz w:val="24"/>
      <w:szCs w:val="24"/>
    </w:rPr>
  </w:style>
  <w:style w:type="paragraph" w:styleId="BodyText">
    <w:name w:val="Body Text"/>
    <w:basedOn w:val="Normal"/>
    <w:link w:val="BodyTextChar"/>
    <w:rsid w:val="008C23FE"/>
    <w:pPr>
      <w:jc w:val="center"/>
    </w:pPr>
    <w:rPr>
      <w:rFonts w:ascii="Palatino Linotype" w:hAnsi="Palatino Linotype"/>
    </w:rPr>
  </w:style>
  <w:style w:type="character" w:customStyle="1" w:styleId="BodyTextChar">
    <w:name w:val="Body Text Char"/>
    <w:basedOn w:val="DefaultParagraphFont"/>
    <w:link w:val="BodyText"/>
    <w:rsid w:val="008C23FE"/>
    <w:rPr>
      <w:rFonts w:ascii="Palatino Linotype" w:eastAsia="Times New Roman" w:hAnsi="Palatino Linotype" w:cs="Times New Roman"/>
      <w:sz w:val="24"/>
      <w:szCs w:val="24"/>
    </w:rPr>
  </w:style>
  <w:style w:type="character" w:styleId="PageNumber">
    <w:name w:val="page number"/>
    <w:basedOn w:val="DefaultParagraphFont"/>
    <w:rsid w:val="008C23FE"/>
  </w:style>
  <w:style w:type="paragraph" w:styleId="Title">
    <w:name w:val="Title"/>
    <w:basedOn w:val="Normal"/>
    <w:link w:val="TitleChar"/>
    <w:qFormat/>
    <w:rsid w:val="008C23FE"/>
    <w:pPr>
      <w:jc w:val="center"/>
    </w:pPr>
    <w:rPr>
      <w:rFonts w:ascii="Palatino Linotype" w:hAnsi="Palatino Linotype"/>
      <w:b/>
    </w:rPr>
  </w:style>
  <w:style w:type="character" w:customStyle="1" w:styleId="TitleChar">
    <w:name w:val="Title Char"/>
    <w:basedOn w:val="DefaultParagraphFont"/>
    <w:link w:val="Title"/>
    <w:rsid w:val="008C23FE"/>
    <w:rPr>
      <w:rFonts w:ascii="Palatino Linotype" w:eastAsia="Times New Roman" w:hAnsi="Palatino Linotype" w:cs="Times New Roman"/>
      <w:b/>
      <w:sz w:val="24"/>
      <w:szCs w:val="24"/>
    </w:rPr>
  </w:style>
  <w:style w:type="paragraph" w:styleId="BalloonText">
    <w:name w:val="Balloon Text"/>
    <w:basedOn w:val="Normal"/>
    <w:link w:val="BalloonTextChar"/>
    <w:semiHidden/>
    <w:rsid w:val="008C23FE"/>
    <w:rPr>
      <w:rFonts w:ascii="Tahoma" w:hAnsi="Tahoma" w:cs="Tahoma"/>
      <w:sz w:val="16"/>
      <w:szCs w:val="16"/>
    </w:rPr>
  </w:style>
  <w:style w:type="character" w:customStyle="1" w:styleId="BalloonTextChar">
    <w:name w:val="Balloon Text Char"/>
    <w:basedOn w:val="DefaultParagraphFont"/>
    <w:link w:val="BalloonText"/>
    <w:semiHidden/>
    <w:rsid w:val="008C23FE"/>
    <w:rPr>
      <w:rFonts w:ascii="Tahoma" w:eastAsia="Times New Roman"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C23FE"/>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C23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23FE"/>
    <w:rPr>
      <w:vertAlign w:val="superscript"/>
    </w:rPr>
  </w:style>
  <w:style w:type="paragraph" w:customStyle="1" w:styleId="plain">
    <w:name w:val="plain"/>
    <w:basedOn w:val="Normal"/>
    <w:rsid w:val="008C23FE"/>
    <w:pPr>
      <w:spacing w:line="240" w:lineRule="atLeast"/>
    </w:pPr>
    <w:rPr>
      <w:sz w:val="26"/>
      <w:szCs w:val="20"/>
    </w:rPr>
  </w:style>
  <w:style w:type="paragraph" w:customStyle="1" w:styleId="FindingsConclusions">
    <w:name w:val="Findings &amp; Conclusions"/>
    <w:basedOn w:val="Normal"/>
    <w:rsid w:val="008C23FE"/>
    <w:pPr>
      <w:numPr>
        <w:numId w:val="4"/>
      </w:numPr>
      <w:ind w:left="720" w:hanging="1800"/>
    </w:pPr>
  </w:style>
  <w:style w:type="character" w:customStyle="1" w:styleId="RCWSLText">
    <w:name w:val="RCWSLText"/>
    <w:basedOn w:val="DefaultParagraphFont"/>
    <w:rsid w:val="008C23FE"/>
    <w:rPr>
      <w:rFonts w:ascii="Courier New" w:hAnsi="Courier New" w:cs="Courier New"/>
      <w:sz w:val="24"/>
      <w:szCs w:val="24"/>
      <w:lang w:val="en-US"/>
    </w:rPr>
  </w:style>
  <w:style w:type="paragraph" w:styleId="ListParagraph">
    <w:name w:val="List Paragraph"/>
    <w:basedOn w:val="Normal"/>
    <w:uiPriority w:val="34"/>
    <w:qFormat/>
    <w:rsid w:val="008C23FE"/>
    <w:pPr>
      <w:ind w:left="720"/>
    </w:pPr>
  </w:style>
  <w:style w:type="character" w:styleId="CommentReference">
    <w:name w:val="annotation reference"/>
    <w:basedOn w:val="DefaultParagraphFont"/>
    <w:rsid w:val="008C23FE"/>
    <w:rPr>
      <w:sz w:val="16"/>
      <w:szCs w:val="16"/>
    </w:rPr>
  </w:style>
  <w:style w:type="paragraph" w:styleId="CommentText">
    <w:name w:val="annotation text"/>
    <w:basedOn w:val="Normal"/>
    <w:link w:val="CommentTextChar"/>
    <w:rsid w:val="008C23FE"/>
    <w:rPr>
      <w:sz w:val="20"/>
      <w:szCs w:val="20"/>
    </w:rPr>
  </w:style>
  <w:style w:type="character" w:customStyle="1" w:styleId="CommentTextChar">
    <w:name w:val="Comment Text Char"/>
    <w:basedOn w:val="DefaultParagraphFont"/>
    <w:link w:val="CommentText"/>
    <w:rsid w:val="008C23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C23FE"/>
    <w:rPr>
      <w:b/>
      <w:bCs/>
    </w:rPr>
  </w:style>
  <w:style w:type="character" w:customStyle="1" w:styleId="CommentSubjectChar">
    <w:name w:val="Comment Subject Char"/>
    <w:basedOn w:val="CommentTextChar"/>
    <w:link w:val="CommentSubject"/>
    <w:rsid w:val="008C23FE"/>
    <w:rPr>
      <w:rFonts w:ascii="Times New Roman" w:eastAsia="Times New Roman" w:hAnsi="Times New Roman" w:cs="Times New Roman"/>
      <w:b/>
      <w:bCs/>
      <w:sz w:val="20"/>
      <w:szCs w:val="20"/>
    </w:rPr>
  </w:style>
  <w:style w:type="paragraph" w:styleId="NoSpacing">
    <w:name w:val="No Spacing"/>
    <w:uiPriority w:val="1"/>
    <w:qFormat/>
    <w:rsid w:val="008C23FE"/>
    <w:rPr>
      <w:rFonts w:ascii="Times New Roman" w:eastAsia="Times New Roman" w:hAnsi="Times New Roman" w:cs="Times New Roman"/>
      <w:sz w:val="24"/>
      <w:szCs w:val="24"/>
    </w:rPr>
  </w:style>
  <w:style w:type="paragraph" w:styleId="Revision">
    <w:name w:val="Revision"/>
    <w:hidden/>
    <w:uiPriority w:val="99"/>
    <w:semiHidden/>
    <w:rsid w:val="008C23FE"/>
    <w:rPr>
      <w:rFonts w:ascii="Times New Roman" w:eastAsia="Times New Roman" w:hAnsi="Times New Roman" w:cs="Times New Roman"/>
      <w:sz w:val="24"/>
      <w:szCs w:val="24"/>
    </w:rPr>
  </w:style>
  <w:style w:type="paragraph" w:customStyle="1" w:styleId="answer">
    <w:name w:val="answer"/>
    <w:basedOn w:val="Normal"/>
    <w:link w:val="answerChar"/>
    <w:rsid w:val="00067761"/>
    <w:pPr>
      <w:spacing w:before="120" w:after="120" w:line="480" w:lineRule="auto"/>
      <w:ind w:left="720" w:hanging="720"/>
    </w:pPr>
    <w:rPr>
      <w:rFonts w:eastAsia="SimSun"/>
      <w:sz w:val="20"/>
      <w:lang w:val="x-none" w:eastAsia="zh-CN"/>
    </w:rPr>
  </w:style>
  <w:style w:type="character" w:customStyle="1" w:styleId="answerChar">
    <w:name w:val="answer Char"/>
    <w:link w:val="answer"/>
    <w:rsid w:val="00067761"/>
    <w:rPr>
      <w:rFonts w:ascii="Times New Roman" w:eastAsia="SimSun" w:hAnsi="Times New Roman" w:cs="Times New Roman"/>
      <w:sz w:val="20"/>
      <w:szCs w:val="24"/>
      <w:lang w:val="x-none" w:eastAsia="zh-CN"/>
    </w:rPr>
  </w:style>
  <w:style w:type="paragraph" w:styleId="Subtitle">
    <w:name w:val="Subtitle"/>
    <w:aliases w:val="Footnote"/>
    <w:basedOn w:val="FootnoteText"/>
    <w:next w:val="Normal"/>
    <w:link w:val="SubtitleChar"/>
    <w:uiPriority w:val="11"/>
    <w:qFormat/>
    <w:rsid w:val="00067761"/>
    <w:pPr>
      <w:spacing w:line="480" w:lineRule="auto"/>
      <w:ind w:left="360"/>
    </w:pPr>
    <w:rPr>
      <w:rFonts w:eastAsia="Calibri"/>
      <w:sz w:val="22"/>
      <w:lang w:val="x-none" w:eastAsia="x-none"/>
    </w:rPr>
  </w:style>
  <w:style w:type="character" w:customStyle="1" w:styleId="SubtitleChar">
    <w:name w:val="Subtitle Char"/>
    <w:aliases w:val="Footnote Char"/>
    <w:basedOn w:val="DefaultParagraphFont"/>
    <w:link w:val="Subtitle"/>
    <w:uiPriority w:val="11"/>
    <w:rsid w:val="00067761"/>
    <w:rPr>
      <w:rFonts w:ascii="Times New Roman" w:eastAsia="Calibri" w:hAnsi="Times New Roman" w:cs="Times New Roman"/>
      <w:szCs w:val="20"/>
      <w:lang w:val="x-none" w:eastAsia="x-none"/>
    </w:rPr>
  </w:style>
  <w:style w:type="paragraph" w:customStyle="1" w:styleId="Default">
    <w:name w:val="Default"/>
    <w:rsid w:val="00067761"/>
    <w:rPr>
      <w:rFonts w:ascii="Garamond" w:eastAsia="Times New Roman" w:hAnsi="Garamond" w:cs="Times New Roman"/>
      <w:snapToGrid w:val="0"/>
      <w:color w:val="000000"/>
      <w:sz w:val="24"/>
      <w:szCs w:val="20"/>
    </w:rPr>
  </w:style>
  <w:style w:type="paragraph" w:styleId="EndnoteText">
    <w:name w:val="endnote text"/>
    <w:basedOn w:val="Normal"/>
    <w:link w:val="EndnoteTextChar"/>
    <w:uiPriority w:val="99"/>
    <w:unhideWhenUsed/>
    <w:rsid w:val="008A0A9E"/>
    <w:rPr>
      <w:sz w:val="22"/>
      <w:szCs w:val="20"/>
    </w:rPr>
  </w:style>
  <w:style w:type="character" w:customStyle="1" w:styleId="EndnoteTextChar">
    <w:name w:val="Endnote Text Char"/>
    <w:basedOn w:val="DefaultParagraphFont"/>
    <w:link w:val="EndnoteText"/>
    <w:uiPriority w:val="99"/>
    <w:rsid w:val="008A0A9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5978">
      <w:bodyDiv w:val="1"/>
      <w:marLeft w:val="0"/>
      <w:marRight w:val="0"/>
      <w:marTop w:val="0"/>
      <w:marBottom w:val="0"/>
      <w:divBdr>
        <w:top w:val="none" w:sz="0" w:space="0" w:color="auto"/>
        <w:left w:val="none" w:sz="0" w:space="0" w:color="auto"/>
        <w:bottom w:val="none" w:sz="0" w:space="0" w:color="auto"/>
        <w:right w:val="none" w:sz="0" w:space="0" w:color="auto"/>
      </w:divBdr>
    </w:div>
    <w:div w:id="18139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2012-03-30T07:00:00+00:00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140B7B-20A4-40AE-8284-0DBFB14667F9}"/>
</file>

<file path=customXml/itemProps2.xml><?xml version="1.0" encoding="utf-8"?>
<ds:datastoreItem xmlns:ds="http://schemas.openxmlformats.org/officeDocument/2006/customXml" ds:itemID="{1013CEAD-D881-4EEE-B823-CF1E100D870E}"/>
</file>

<file path=customXml/itemProps3.xml><?xml version="1.0" encoding="utf-8"?>
<ds:datastoreItem xmlns:ds="http://schemas.openxmlformats.org/officeDocument/2006/customXml" ds:itemID="{D1A8CCDB-51C1-4C2C-89FA-9A55BD8CCAC8}"/>
</file>

<file path=customXml/itemProps4.xml><?xml version="1.0" encoding="utf-8"?>
<ds:datastoreItem xmlns:ds="http://schemas.openxmlformats.org/officeDocument/2006/customXml" ds:itemID="{DB80F345-0353-4E78-8A40-06949DCF4BB1}"/>
</file>

<file path=customXml/itemProps5.xml><?xml version="1.0" encoding="utf-8"?>
<ds:datastoreItem xmlns:ds="http://schemas.openxmlformats.org/officeDocument/2006/customXml" ds:itemID="{C06238A9-7A99-4892-9A83-9EDAAA1D82D1}"/>
</file>

<file path=docProps/app.xml><?xml version="1.0" encoding="utf-8"?>
<Properties xmlns="http://schemas.openxmlformats.org/officeDocument/2006/extended-properties" xmlns:vt="http://schemas.openxmlformats.org/officeDocument/2006/docPropsVTypes">
  <Template>Normal.dotm</Template>
  <TotalTime>0</TotalTime>
  <Pages>27</Pages>
  <Words>6203</Words>
  <Characters>35361</Characters>
  <Application>Microsoft Office Word</Application>
  <DocSecurity>0</DocSecurity>
  <Lines>294</Lines>
  <Paragraphs>82</Paragraphs>
  <ScaleCrop>false</ScaleCrop>
  <Company/>
  <LinksUpToDate>false</LinksUpToDate>
  <CharactersWithSpaces>41482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2012-03-30T20:18:00Z</dcterms:created>
  <dcterms:modified xsi:type="dcterms:W3CDTF">2012-03-30T20:18:00Z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