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jpeg" ContentType="image/jpeg"/>
  <Default Extension="emf" ContentType="image/x-emf"/>
  <Default Extension="xml" ContentType="application/xml"/>
  <Override PartName="/word/document.xml" ContentType="application/vnd.openxmlformats-officedocument.wordprocessingml.document.main+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8.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1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21" w:rsidRDefault="000A75FE" w:rsidP="00C72FAA">
      <w:pPr>
        <w:pStyle w:val="NoSpacing"/>
        <w:rPr>
          <w:rFonts w:ascii="Times New Roman" w:hAnsi="Times New Roman"/>
          <w:sz w:val="72"/>
          <w:szCs w:val="72"/>
        </w:rPr>
      </w:pPr>
      <w:r w:rsidRPr="000A75FE">
        <w:rPr>
          <w:rFonts w:ascii="Times New Roman" w:hAnsi="Times New Roman"/>
          <w:noProof/>
        </w:rPr>
        <w:pict>
          <v:rect id="Rectangle 3" o:spid="_x0000_s1026" style="position:absolute;margin-left:0;margin-top:0;width:640.9pt;height:63.55pt;z-index:251701760;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" o:allowincell="f" fillcolor="#8db3e2" strokecolor="#8db3e2">
            <w10:wrap anchorx="page" anchory="page"/>
          </v:rect>
        </w:pict>
      </w:r>
      <w:r w:rsidRPr="000A75FE">
        <w:rPr>
          <w:rFonts w:ascii="Times New Roman" w:hAnsi="Times New Roman"/>
          <w:noProof/>
        </w:rPr>
        <w:pict>
          <v:rect id="Rectangle 6" o:spid="_x0000_s1029" style="position:absolute;margin-left:32.25pt;margin-top:-19.05pt;width:7.15pt;height:830.65pt;z-index:25170483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" o:allowincell="f" strokecolor="#31849b">
            <w10:wrap anchorx="page" anchory="page"/>
          </v:rect>
        </w:pict>
      </w:r>
      <w:r w:rsidRPr="000A75FE">
        <w:rPr>
          <w:rFonts w:ascii="Times New Roman" w:hAnsi="Times New Roman"/>
          <w:noProof/>
        </w:rPr>
        <w:pict>
          <v:rect id="Rectangle 5" o:spid="_x0000_s1028" style="position:absolute;margin-left:572.25pt;margin-top:-19.05pt;width:7.15pt;height:830.65pt;z-index:25170380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" o:allowincell="f" strokecolor="#31849b">
            <w10:wrap anchorx="page" anchory="page"/>
          </v:rect>
        </w:pict>
      </w:r>
      <w:r w:rsidRPr="000A75FE">
        <w:rPr>
          <w:rFonts w:ascii="Times New Roman" w:hAnsi="Times New Roman"/>
          <w:noProof/>
        </w:rPr>
        <w:pict>
          <v:rect id="Rectangle 4" o:spid="_x0000_s1027" style="position:absolute;margin-left:-14.55pt;margin-top:.75pt;width:641.65pt;height:63.55pt;z-index:251702784;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" o:allowincell="f" fillcolor="#8db3e2" strokecolor="#31849b">
            <w10:wrap anchorx="page" anchory="page"/>
          </v:rect>
        </w:pict>
      </w:r>
      <w:r w:rsidR="0052024B" w:rsidRPr="0026790D">
        <w:rPr>
          <w:rFonts w:ascii="Times New Roman" w:hAnsi="Times New Roman"/>
          <w:sz w:val="72"/>
          <w:szCs w:val="72"/>
        </w:rPr>
        <w:t xml:space="preserve">Demand-side Management </w:t>
      </w:r>
    </w:p>
    <w:p w:rsidR="004332A4" w:rsidRPr="0026790D" w:rsidRDefault="00D761BE" w:rsidP="00C72FAA">
      <w:pPr>
        <w:pStyle w:val="NoSpacing"/>
        <w:rPr>
          <w:rFonts w:ascii="Times New Roman" w:hAnsi="Times New Roman"/>
          <w:sz w:val="72"/>
          <w:szCs w:val="72"/>
        </w:rPr>
      </w:pPr>
      <w:r w:rsidRPr="0026790D">
        <w:rPr>
          <w:rFonts w:ascii="Times New Roman" w:hAnsi="Times New Roman"/>
          <w:sz w:val="72"/>
          <w:szCs w:val="72"/>
        </w:rPr>
        <w:t>2012</w:t>
      </w:r>
      <w:r w:rsidR="0026790D" w:rsidRPr="0026790D">
        <w:rPr>
          <w:rFonts w:ascii="Times New Roman" w:hAnsi="Times New Roman"/>
          <w:sz w:val="72"/>
          <w:szCs w:val="72"/>
        </w:rPr>
        <w:t>-</w:t>
      </w:r>
      <w:r w:rsidRPr="0026790D">
        <w:rPr>
          <w:rFonts w:ascii="Times New Roman" w:hAnsi="Times New Roman"/>
          <w:sz w:val="72"/>
          <w:szCs w:val="72"/>
        </w:rPr>
        <w:t xml:space="preserve">2013 </w:t>
      </w:r>
      <w:r w:rsidR="0052024B" w:rsidRPr="0026790D">
        <w:rPr>
          <w:rFonts w:ascii="Times New Roman" w:hAnsi="Times New Roman"/>
          <w:sz w:val="72"/>
          <w:szCs w:val="72"/>
        </w:rPr>
        <w:t>Business Plan</w:t>
      </w:r>
      <w:r w:rsidR="00111C21">
        <w:rPr>
          <w:rFonts w:ascii="Times New Roman" w:hAnsi="Times New Roman"/>
          <w:sz w:val="72"/>
          <w:szCs w:val="72"/>
        </w:rPr>
        <w:t xml:space="preserve"> </w:t>
      </w:r>
      <w:r w:rsidR="0026790D">
        <w:rPr>
          <w:rFonts w:ascii="Times New Roman" w:hAnsi="Times New Roman"/>
          <w:sz w:val="72"/>
          <w:szCs w:val="72"/>
        </w:rPr>
        <w:t>-</w:t>
      </w:r>
      <w:r w:rsidR="00111C21">
        <w:rPr>
          <w:rFonts w:ascii="Times New Roman" w:hAnsi="Times New Roman"/>
          <w:sz w:val="72"/>
          <w:szCs w:val="72"/>
        </w:rPr>
        <w:t xml:space="preserve"> </w:t>
      </w:r>
      <w:r w:rsidRPr="0026790D">
        <w:rPr>
          <w:rFonts w:ascii="Times New Roman" w:hAnsi="Times New Roman"/>
          <w:sz w:val="72"/>
          <w:szCs w:val="72"/>
        </w:rPr>
        <w:t>Washington</w:t>
      </w:r>
    </w:p>
    <w:p w:rsidR="00D761BE" w:rsidRDefault="00D761BE" w:rsidP="00C72FAA">
      <w:pPr>
        <w:pStyle w:val="NoSpacing"/>
        <w:rPr>
          <w:rFonts w:ascii="Times New Roman" w:hAnsi="Times New Roman"/>
          <w:sz w:val="44"/>
          <w:szCs w:val="44"/>
        </w:rPr>
      </w:pPr>
    </w:p>
    <w:p w:rsidR="00017EA4" w:rsidRDefault="000200D5" w:rsidP="00C72FAA">
      <w:pPr>
        <w:pStyle w:val="NoSpacing"/>
        <w:rPr>
          <w:rFonts w:ascii="Times New Roman" w:hAnsi="Times New Roman"/>
          <w:sz w:val="48"/>
          <w:szCs w:val="48"/>
        </w:rPr>
      </w:pPr>
      <w:r>
        <w:rPr>
          <w:rFonts w:ascii="Times New Roman" w:hAnsi="Times New Roman"/>
          <w:sz w:val="48"/>
          <w:szCs w:val="48"/>
        </w:rPr>
        <w:t>Revision 1</w:t>
      </w:r>
    </w:p>
    <w:p w:rsidR="00B017DE" w:rsidRPr="00D761BE" w:rsidRDefault="000D1384" w:rsidP="00C72FAA">
      <w:pPr>
        <w:pStyle w:val="NoSpacing"/>
        <w:rPr>
          <w:rFonts w:ascii="Times New Roman" w:hAnsi="Times New Roman"/>
          <w:sz w:val="48"/>
          <w:szCs w:val="48"/>
        </w:rPr>
      </w:pPr>
      <w:r>
        <w:rPr>
          <w:rFonts w:ascii="Times New Roman" w:hAnsi="Times New Roman"/>
          <w:sz w:val="48"/>
          <w:szCs w:val="48"/>
        </w:rPr>
        <w:t>June</w:t>
      </w:r>
      <w:r w:rsidR="00692D4F">
        <w:rPr>
          <w:rFonts w:ascii="Times New Roman" w:hAnsi="Times New Roman"/>
          <w:sz w:val="48"/>
          <w:szCs w:val="48"/>
        </w:rPr>
        <w:t xml:space="preserve"> </w:t>
      </w:r>
      <w:r w:rsidR="004A7A9D">
        <w:rPr>
          <w:rFonts w:ascii="Times New Roman" w:hAnsi="Times New Roman"/>
          <w:sz w:val="48"/>
          <w:szCs w:val="48"/>
        </w:rPr>
        <w:t>4</w:t>
      </w:r>
      <w:r w:rsidR="00CF78DB" w:rsidRPr="00D761BE">
        <w:rPr>
          <w:rFonts w:ascii="Times New Roman" w:hAnsi="Times New Roman"/>
          <w:sz w:val="48"/>
          <w:szCs w:val="48"/>
        </w:rPr>
        <w:t xml:space="preserve">, </w:t>
      </w:r>
      <w:r w:rsidR="00517748" w:rsidRPr="00D761BE">
        <w:rPr>
          <w:rFonts w:ascii="Times New Roman" w:hAnsi="Times New Roman"/>
          <w:sz w:val="48"/>
          <w:szCs w:val="48"/>
        </w:rPr>
        <w:t>201</w:t>
      </w:r>
      <w:r w:rsidR="0052435D" w:rsidRPr="00D761BE">
        <w:rPr>
          <w:rFonts w:ascii="Times New Roman" w:hAnsi="Times New Roman"/>
          <w:sz w:val="48"/>
          <w:szCs w:val="48"/>
        </w:rPr>
        <w:t>2</w:t>
      </w:r>
    </w:p>
    <w:p w:rsidR="00B017DE" w:rsidRPr="00111D82" w:rsidRDefault="00B017DE" w:rsidP="00C72FAA">
      <w:pPr>
        <w:pStyle w:val="NoSpacing"/>
        <w:rPr>
          <w:rFonts w:ascii="Times New Roman" w:hAnsi="Times New Roman"/>
          <w:sz w:val="44"/>
          <w:szCs w:val="44"/>
        </w:rPr>
      </w:pPr>
    </w:p>
    <w:p w:rsidR="00C72FAA" w:rsidRPr="00111D82" w:rsidRDefault="00C72FAA" w:rsidP="00C72FAA">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A75FE">
      <w:pPr>
        <w:pStyle w:val="NoSpacing"/>
        <w:rPr>
          <w:rFonts w:ascii="Times New Roman" w:hAnsi="Times New Roman"/>
          <w:sz w:val="36"/>
          <w:szCs w:val="36"/>
        </w:rPr>
      </w:pPr>
      <w:r>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4.7pt;margin-top:6.2pt;width:358.6pt;height:241.5pt;z-index:-251605504" fillcolor="#0c9">
            <v:fill o:detectmouseclick="t"/>
            <v:imagedata r:id="rId8" o:title=""/>
          </v:shape>
          <o:OLEObject Type="Embed" ProgID="Unknown" ShapeID="_x0000_s1034" DrawAspect="Content" ObjectID="_1400328620" r:id="rId9"/>
        </w:pict>
      </w: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Pr="00111D82" w:rsidRDefault="000048F7">
      <w:pPr>
        <w:pStyle w:val="NoSpacing"/>
        <w:rPr>
          <w:rFonts w:ascii="Times New Roman" w:hAnsi="Times New Roman"/>
          <w:sz w:val="36"/>
          <w:szCs w:val="36"/>
        </w:rPr>
      </w:pPr>
    </w:p>
    <w:p w:rsidR="000048F7" w:rsidRDefault="000048F7">
      <w:pPr>
        <w:pStyle w:val="NoSpacing"/>
        <w:rPr>
          <w:rFonts w:ascii="Times New Roman" w:hAnsi="Times New Roman"/>
          <w:sz w:val="36"/>
          <w:szCs w:val="36"/>
        </w:rPr>
      </w:pPr>
    </w:p>
    <w:p w:rsidR="00391DFB" w:rsidRPr="00111D82" w:rsidRDefault="00391DFB">
      <w:pPr>
        <w:pStyle w:val="NoSpacing"/>
        <w:rPr>
          <w:rFonts w:ascii="Times New Roman" w:hAnsi="Times New Roman"/>
          <w:sz w:val="36"/>
          <w:szCs w:val="36"/>
        </w:rPr>
      </w:pPr>
    </w:p>
    <w:p w:rsidR="00C975A1" w:rsidRDefault="00C975A1">
      <w:pPr>
        <w:pStyle w:val="NoSpacing"/>
        <w:rPr>
          <w:rFonts w:ascii="Times New Roman" w:hAnsi="Times New Roman"/>
          <w:sz w:val="36"/>
          <w:szCs w:val="36"/>
        </w:rPr>
      </w:pPr>
    </w:p>
    <w:p w:rsidR="00C975A1" w:rsidRPr="00111D82" w:rsidRDefault="00C975A1">
      <w:pPr>
        <w:pStyle w:val="NoSpacing"/>
        <w:rPr>
          <w:rFonts w:ascii="Times New Roman" w:hAnsi="Times New Roman"/>
          <w:sz w:val="36"/>
          <w:szCs w:val="36"/>
        </w:rPr>
      </w:pPr>
    </w:p>
    <w:p w:rsidR="00C975A1" w:rsidRPr="00111D82" w:rsidRDefault="00C975A1">
      <w:pPr>
        <w:pStyle w:val="NoSpacing"/>
        <w:rPr>
          <w:rFonts w:ascii="Times New Roman" w:hAnsi="Times New Roman"/>
          <w:sz w:val="36"/>
          <w:szCs w:val="36"/>
        </w:rPr>
      </w:pPr>
    </w:p>
    <w:p w:rsidR="000048F7" w:rsidRPr="00111D82" w:rsidRDefault="000048F7" w:rsidP="00A41F46">
      <w:pPr>
        <w:pStyle w:val="NoSpacing"/>
        <w:jc w:val="right"/>
        <w:rPr>
          <w:rFonts w:ascii="Times New Roman" w:hAnsi="Times New Roman"/>
          <w:sz w:val="18"/>
          <w:szCs w:val="18"/>
        </w:rPr>
      </w:pPr>
    </w:p>
    <w:p w:rsidR="0006488C" w:rsidRPr="00111D82" w:rsidRDefault="002240E7" w:rsidP="00B24EAE">
      <w:pPr>
        <w:pStyle w:val="NoSpacing"/>
        <w:jc w:val="right"/>
        <w:rPr>
          <w:rFonts w:ascii="Times New Roman" w:hAnsi="Times New Roman"/>
        </w:rPr>
      </w:pPr>
      <w:r w:rsidRPr="00111D82">
        <w:rPr>
          <w:rFonts w:ascii="Times New Roman" w:hAnsi="Times New Roman"/>
          <w:noProof/>
        </w:rPr>
        <w:lastRenderedPageBreak/>
        <w:drawing>
          <wp:inline distT="0" distB="0" distL="0" distR="0">
            <wp:extent cx="2374900" cy="381000"/>
            <wp:effectExtent l="19050" t="0" r="6350" b="0"/>
            <wp:docPr id="1" name="Picture 3" descr="http://idoc.pacificorp.us/File/File6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oc.pacificorp.us/File/File63898.jpg"/>
                    <pic:cNvPicPr>
                      <a:picLocks noChangeAspect="1" noChangeArrowheads="1"/>
                    </pic:cNvPicPr>
                  </pic:nvPicPr>
                  <pic:blipFill>
                    <a:blip r:embed="rId10" cstate="print"/>
                    <a:srcRect/>
                    <a:stretch>
                      <a:fillRect/>
                    </a:stretch>
                  </pic:blipFill>
                  <pic:spPr bwMode="auto">
                    <a:xfrm>
                      <a:off x="0" y="0"/>
                      <a:ext cx="2374900" cy="381000"/>
                    </a:xfrm>
                    <a:prstGeom prst="rect">
                      <a:avLst/>
                    </a:prstGeom>
                    <a:noFill/>
                    <a:ln w="9525">
                      <a:noFill/>
                      <a:miter lim="800000"/>
                      <a:headEnd/>
                      <a:tailEnd/>
                    </a:ln>
                  </pic:spPr>
                </pic:pic>
              </a:graphicData>
            </a:graphic>
          </wp:inline>
        </w:drawing>
      </w:r>
    </w:p>
    <w:p w:rsidR="00B24EAE" w:rsidRPr="00111D82" w:rsidRDefault="00B24EAE" w:rsidP="00B24EAE">
      <w:pPr>
        <w:pStyle w:val="NoSpacing"/>
        <w:jc w:val="right"/>
        <w:rPr>
          <w:rFonts w:ascii="Times New Roman" w:hAnsi="Times New Roman"/>
        </w:rPr>
      </w:pPr>
    </w:p>
    <w:p w:rsidR="00B24EAE" w:rsidRPr="00111D82" w:rsidRDefault="00B24EAE" w:rsidP="00B24EAE">
      <w:pPr>
        <w:pStyle w:val="NoSpacing"/>
        <w:jc w:val="right"/>
        <w:rPr>
          <w:rFonts w:ascii="Times New Roman" w:hAnsi="Times New Roman"/>
        </w:rPr>
      </w:pPr>
    </w:p>
    <w:sdt>
      <w:sdtPr>
        <w:rPr>
          <w:rFonts w:ascii="Calibri" w:eastAsia="Calibri" w:hAnsi="Calibri"/>
          <w:b w:val="0"/>
          <w:bCs w:val="0"/>
          <w:sz w:val="22"/>
          <w:szCs w:val="22"/>
          <w:u w:val="none"/>
        </w:rPr>
        <w:id w:val="97418392"/>
        <w:docPartObj>
          <w:docPartGallery w:val="Table of Contents"/>
          <w:docPartUnique/>
        </w:docPartObj>
      </w:sdtPr>
      <w:sdtEndPr>
        <w:rPr>
          <w:rFonts w:eastAsia="Times New Roman"/>
        </w:rPr>
      </w:sdtEndPr>
      <w:sdtContent>
        <w:p w:rsidR="00D848F6" w:rsidRPr="00111D82" w:rsidRDefault="00D848F6" w:rsidP="00D848F6">
          <w:pPr>
            <w:pStyle w:val="TOCHeading"/>
            <w:jc w:val="center"/>
          </w:pPr>
          <w:r w:rsidRPr="00111D82">
            <w:t>Table of Contents</w:t>
          </w:r>
        </w:p>
        <w:p w:rsidR="00D628A0" w:rsidRDefault="000A75FE">
          <w:pPr>
            <w:pStyle w:val="TOC1"/>
            <w:tabs>
              <w:tab w:val="right" w:leader="dot" w:pos="9710"/>
            </w:tabs>
            <w:rPr>
              <w:rFonts w:asciiTheme="minorHAnsi" w:eastAsiaTheme="minorEastAsia" w:hAnsiTheme="minorHAnsi" w:cstheme="minorBidi"/>
              <w:noProof/>
            </w:rPr>
          </w:pPr>
          <w:r w:rsidRPr="00111D82">
            <w:rPr>
              <w:rFonts w:ascii="Times New Roman" w:hAnsi="Times New Roman"/>
            </w:rPr>
            <w:fldChar w:fldCharType="begin"/>
          </w:r>
          <w:r w:rsidR="00D848F6" w:rsidRPr="00111D82">
            <w:rPr>
              <w:rFonts w:ascii="Times New Roman" w:hAnsi="Times New Roman"/>
            </w:rPr>
            <w:instrText xml:space="preserve"> TOC \o "1-3" \h \z \u </w:instrText>
          </w:r>
          <w:r w:rsidRPr="00111D82">
            <w:rPr>
              <w:rFonts w:ascii="Times New Roman" w:hAnsi="Times New Roman"/>
            </w:rPr>
            <w:fldChar w:fldCharType="separate"/>
          </w:r>
          <w:hyperlink w:anchor="_Toc326296725" w:history="1">
            <w:r w:rsidR="00D628A0" w:rsidRPr="005A5066">
              <w:rPr>
                <w:rStyle w:val="Hyperlink"/>
                <w:noProof/>
              </w:rPr>
              <w:t>Executive Summary</w:t>
            </w:r>
            <w:r w:rsidR="00D628A0">
              <w:rPr>
                <w:noProof/>
                <w:webHidden/>
              </w:rPr>
              <w:tab/>
            </w:r>
            <w:r>
              <w:rPr>
                <w:noProof/>
                <w:webHidden/>
              </w:rPr>
              <w:fldChar w:fldCharType="begin"/>
            </w:r>
            <w:r w:rsidR="00D628A0">
              <w:rPr>
                <w:noProof/>
                <w:webHidden/>
              </w:rPr>
              <w:instrText xml:space="preserve"> PAGEREF _Toc326296725 \h </w:instrText>
            </w:r>
            <w:r>
              <w:rPr>
                <w:noProof/>
                <w:webHidden/>
              </w:rPr>
            </w:r>
            <w:r>
              <w:rPr>
                <w:noProof/>
                <w:webHidden/>
              </w:rPr>
              <w:fldChar w:fldCharType="separate"/>
            </w:r>
            <w:r w:rsidR="00D628A0">
              <w:rPr>
                <w:noProof/>
                <w:webHidden/>
              </w:rPr>
              <w:t>3</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26" w:history="1">
            <w:r w:rsidR="00D628A0" w:rsidRPr="005A5066">
              <w:rPr>
                <w:rStyle w:val="Hyperlink"/>
                <w:noProof/>
              </w:rPr>
              <w:t>2012-2013 Budget and Savings by Program</w:t>
            </w:r>
            <w:r w:rsidR="00D628A0">
              <w:rPr>
                <w:noProof/>
                <w:webHidden/>
              </w:rPr>
              <w:tab/>
            </w:r>
            <w:r>
              <w:rPr>
                <w:noProof/>
                <w:webHidden/>
              </w:rPr>
              <w:fldChar w:fldCharType="begin"/>
            </w:r>
            <w:r w:rsidR="00D628A0">
              <w:rPr>
                <w:noProof/>
                <w:webHidden/>
              </w:rPr>
              <w:instrText xml:space="preserve"> PAGEREF _Toc326296726 \h </w:instrText>
            </w:r>
            <w:r>
              <w:rPr>
                <w:noProof/>
                <w:webHidden/>
              </w:rPr>
            </w:r>
            <w:r>
              <w:rPr>
                <w:noProof/>
                <w:webHidden/>
              </w:rPr>
              <w:fldChar w:fldCharType="separate"/>
            </w:r>
            <w:r w:rsidR="00D628A0">
              <w:rPr>
                <w:noProof/>
                <w:webHidden/>
              </w:rPr>
              <w:t>4</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27" w:history="1">
            <w:r w:rsidR="00D628A0" w:rsidRPr="005A5066">
              <w:rPr>
                <w:rStyle w:val="Hyperlink"/>
                <w:noProof/>
              </w:rPr>
              <w:t>Residential Program Details</w:t>
            </w:r>
            <w:r w:rsidR="00D628A0">
              <w:rPr>
                <w:noProof/>
                <w:webHidden/>
              </w:rPr>
              <w:tab/>
            </w:r>
            <w:r>
              <w:rPr>
                <w:noProof/>
                <w:webHidden/>
              </w:rPr>
              <w:fldChar w:fldCharType="begin"/>
            </w:r>
            <w:r w:rsidR="00D628A0">
              <w:rPr>
                <w:noProof/>
                <w:webHidden/>
              </w:rPr>
              <w:instrText xml:space="preserve"> PAGEREF _Toc326296727 \h </w:instrText>
            </w:r>
            <w:r>
              <w:rPr>
                <w:noProof/>
                <w:webHidden/>
              </w:rPr>
            </w:r>
            <w:r>
              <w:rPr>
                <w:noProof/>
                <w:webHidden/>
              </w:rPr>
              <w:fldChar w:fldCharType="separate"/>
            </w:r>
            <w:r w:rsidR="00D628A0">
              <w:rPr>
                <w:noProof/>
                <w:webHidden/>
              </w:rPr>
              <w:t>6</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28" w:history="1">
            <w:r w:rsidR="00D628A0" w:rsidRPr="005A5066">
              <w:rPr>
                <w:rStyle w:val="Hyperlink"/>
                <w:noProof/>
              </w:rPr>
              <w:t>Refrigerator Recycling (Schedule 107)</w:t>
            </w:r>
            <w:r w:rsidR="00D628A0">
              <w:rPr>
                <w:noProof/>
                <w:webHidden/>
              </w:rPr>
              <w:tab/>
            </w:r>
            <w:r>
              <w:rPr>
                <w:noProof/>
                <w:webHidden/>
              </w:rPr>
              <w:fldChar w:fldCharType="begin"/>
            </w:r>
            <w:r w:rsidR="00D628A0">
              <w:rPr>
                <w:noProof/>
                <w:webHidden/>
              </w:rPr>
              <w:instrText xml:space="preserve"> PAGEREF _Toc326296728 \h </w:instrText>
            </w:r>
            <w:r>
              <w:rPr>
                <w:noProof/>
                <w:webHidden/>
              </w:rPr>
            </w:r>
            <w:r>
              <w:rPr>
                <w:noProof/>
                <w:webHidden/>
              </w:rPr>
              <w:fldChar w:fldCharType="separate"/>
            </w:r>
            <w:r w:rsidR="00D628A0">
              <w:rPr>
                <w:noProof/>
                <w:webHidden/>
              </w:rPr>
              <w:t>6</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29" w:history="1">
            <w:r w:rsidR="00D628A0" w:rsidRPr="005A5066">
              <w:rPr>
                <w:rStyle w:val="Hyperlink"/>
                <w:noProof/>
              </w:rPr>
              <w:t>Home Energy Savings (Schedule 118)</w:t>
            </w:r>
            <w:r w:rsidR="00D628A0">
              <w:rPr>
                <w:noProof/>
                <w:webHidden/>
              </w:rPr>
              <w:tab/>
            </w:r>
            <w:r>
              <w:rPr>
                <w:noProof/>
                <w:webHidden/>
              </w:rPr>
              <w:fldChar w:fldCharType="begin"/>
            </w:r>
            <w:r w:rsidR="00D628A0">
              <w:rPr>
                <w:noProof/>
                <w:webHidden/>
              </w:rPr>
              <w:instrText xml:space="preserve"> PAGEREF _Toc326296729 \h </w:instrText>
            </w:r>
            <w:r>
              <w:rPr>
                <w:noProof/>
                <w:webHidden/>
              </w:rPr>
            </w:r>
            <w:r>
              <w:rPr>
                <w:noProof/>
                <w:webHidden/>
              </w:rPr>
              <w:fldChar w:fldCharType="separate"/>
            </w:r>
            <w:r w:rsidR="00D628A0">
              <w:rPr>
                <w:noProof/>
                <w:webHidden/>
              </w:rPr>
              <w:t>9</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0" w:history="1">
            <w:r w:rsidR="00D628A0" w:rsidRPr="005A5066">
              <w:rPr>
                <w:rStyle w:val="Hyperlink"/>
                <w:noProof/>
              </w:rPr>
              <w:t>Home Energy Reports</w:t>
            </w:r>
            <w:r w:rsidR="00D628A0">
              <w:rPr>
                <w:noProof/>
                <w:webHidden/>
              </w:rPr>
              <w:tab/>
            </w:r>
            <w:r>
              <w:rPr>
                <w:noProof/>
                <w:webHidden/>
              </w:rPr>
              <w:fldChar w:fldCharType="begin"/>
            </w:r>
            <w:r w:rsidR="00D628A0">
              <w:rPr>
                <w:noProof/>
                <w:webHidden/>
              </w:rPr>
              <w:instrText xml:space="preserve"> PAGEREF _Toc326296730 \h </w:instrText>
            </w:r>
            <w:r>
              <w:rPr>
                <w:noProof/>
                <w:webHidden/>
              </w:rPr>
            </w:r>
            <w:r>
              <w:rPr>
                <w:noProof/>
                <w:webHidden/>
              </w:rPr>
              <w:fldChar w:fldCharType="separate"/>
            </w:r>
            <w:r w:rsidR="00D628A0">
              <w:rPr>
                <w:noProof/>
                <w:webHidden/>
              </w:rPr>
              <w:t>18</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31" w:history="1">
            <w:r w:rsidR="00D628A0" w:rsidRPr="005A5066">
              <w:rPr>
                <w:rStyle w:val="Hyperlink"/>
                <w:noProof/>
              </w:rPr>
              <w:t>Low Income Residential Program Details</w:t>
            </w:r>
            <w:r w:rsidR="00D628A0">
              <w:rPr>
                <w:noProof/>
                <w:webHidden/>
              </w:rPr>
              <w:tab/>
            </w:r>
            <w:r>
              <w:rPr>
                <w:noProof/>
                <w:webHidden/>
              </w:rPr>
              <w:fldChar w:fldCharType="begin"/>
            </w:r>
            <w:r w:rsidR="00D628A0">
              <w:rPr>
                <w:noProof/>
                <w:webHidden/>
              </w:rPr>
              <w:instrText xml:space="preserve"> PAGEREF _Toc326296731 \h </w:instrText>
            </w:r>
            <w:r>
              <w:rPr>
                <w:noProof/>
                <w:webHidden/>
              </w:rPr>
            </w:r>
            <w:r>
              <w:rPr>
                <w:noProof/>
                <w:webHidden/>
              </w:rPr>
              <w:fldChar w:fldCharType="separate"/>
            </w:r>
            <w:r w:rsidR="00D628A0">
              <w:rPr>
                <w:noProof/>
                <w:webHidden/>
              </w:rPr>
              <w:t>19</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2" w:history="1">
            <w:r w:rsidR="00D628A0" w:rsidRPr="005A5066">
              <w:rPr>
                <w:rStyle w:val="Hyperlink"/>
                <w:noProof/>
              </w:rPr>
              <w:t>Low Income Weatherization (Schedule 114)</w:t>
            </w:r>
            <w:r w:rsidR="00D628A0">
              <w:rPr>
                <w:noProof/>
                <w:webHidden/>
              </w:rPr>
              <w:tab/>
            </w:r>
            <w:r>
              <w:rPr>
                <w:noProof/>
                <w:webHidden/>
              </w:rPr>
              <w:fldChar w:fldCharType="begin"/>
            </w:r>
            <w:r w:rsidR="00D628A0">
              <w:rPr>
                <w:noProof/>
                <w:webHidden/>
              </w:rPr>
              <w:instrText xml:space="preserve"> PAGEREF _Toc326296732 \h </w:instrText>
            </w:r>
            <w:r>
              <w:rPr>
                <w:noProof/>
                <w:webHidden/>
              </w:rPr>
            </w:r>
            <w:r>
              <w:rPr>
                <w:noProof/>
                <w:webHidden/>
              </w:rPr>
              <w:fldChar w:fldCharType="separate"/>
            </w:r>
            <w:r w:rsidR="00D628A0">
              <w:rPr>
                <w:noProof/>
                <w:webHidden/>
              </w:rPr>
              <w:t>19</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33" w:history="1">
            <w:r w:rsidR="00D628A0" w:rsidRPr="005A5066">
              <w:rPr>
                <w:rStyle w:val="Hyperlink"/>
                <w:noProof/>
              </w:rPr>
              <w:t>Non-Residential Program Details</w:t>
            </w:r>
            <w:r w:rsidR="00D628A0">
              <w:rPr>
                <w:noProof/>
                <w:webHidden/>
              </w:rPr>
              <w:tab/>
            </w:r>
            <w:r>
              <w:rPr>
                <w:noProof/>
                <w:webHidden/>
              </w:rPr>
              <w:fldChar w:fldCharType="begin"/>
            </w:r>
            <w:r w:rsidR="00D628A0">
              <w:rPr>
                <w:noProof/>
                <w:webHidden/>
              </w:rPr>
              <w:instrText xml:space="preserve"> PAGEREF _Toc326296733 \h </w:instrText>
            </w:r>
            <w:r>
              <w:rPr>
                <w:noProof/>
                <w:webHidden/>
              </w:rPr>
            </w:r>
            <w:r>
              <w:rPr>
                <w:noProof/>
                <w:webHidden/>
              </w:rPr>
              <w:fldChar w:fldCharType="separate"/>
            </w:r>
            <w:r w:rsidR="00D628A0">
              <w:rPr>
                <w:noProof/>
                <w:webHidden/>
              </w:rPr>
              <w:t>25</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4" w:history="1">
            <w:r w:rsidR="00D628A0" w:rsidRPr="005A5066">
              <w:rPr>
                <w:rStyle w:val="Hyperlink"/>
                <w:noProof/>
              </w:rPr>
              <w:t>FinAnswer Express (Schedule 115)</w:t>
            </w:r>
            <w:r w:rsidR="00D628A0">
              <w:rPr>
                <w:noProof/>
                <w:webHidden/>
              </w:rPr>
              <w:tab/>
            </w:r>
            <w:r>
              <w:rPr>
                <w:noProof/>
                <w:webHidden/>
              </w:rPr>
              <w:fldChar w:fldCharType="begin"/>
            </w:r>
            <w:r w:rsidR="00D628A0">
              <w:rPr>
                <w:noProof/>
                <w:webHidden/>
              </w:rPr>
              <w:instrText xml:space="preserve"> PAGEREF _Toc326296734 \h </w:instrText>
            </w:r>
            <w:r>
              <w:rPr>
                <w:noProof/>
                <w:webHidden/>
              </w:rPr>
            </w:r>
            <w:r>
              <w:rPr>
                <w:noProof/>
                <w:webHidden/>
              </w:rPr>
              <w:fldChar w:fldCharType="separate"/>
            </w:r>
            <w:r w:rsidR="00D628A0">
              <w:rPr>
                <w:noProof/>
                <w:webHidden/>
              </w:rPr>
              <w:t>25</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5" w:history="1">
            <w:r w:rsidR="00D628A0" w:rsidRPr="005A5066">
              <w:rPr>
                <w:rStyle w:val="Hyperlink"/>
                <w:noProof/>
              </w:rPr>
              <w:t>Energy FinAnswer (Schedule 125)</w:t>
            </w:r>
            <w:r w:rsidR="00D628A0">
              <w:rPr>
                <w:noProof/>
                <w:webHidden/>
              </w:rPr>
              <w:tab/>
            </w:r>
            <w:r>
              <w:rPr>
                <w:noProof/>
                <w:webHidden/>
              </w:rPr>
              <w:fldChar w:fldCharType="begin"/>
            </w:r>
            <w:r w:rsidR="00D628A0">
              <w:rPr>
                <w:noProof/>
                <w:webHidden/>
              </w:rPr>
              <w:instrText xml:space="preserve"> PAGEREF _Toc326296735 \h </w:instrText>
            </w:r>
            <w:r>
              <w:rPr>
                <w:noProof/>
                <w:webHidden/>
              </w:rPr>
            </w:r>
            <w:r>
              <w:rPr>
                <w:noProof/>
                <w:webHidden/>
              </w:rPr>
              <w:fldChar w:fldCharType="separate"/>
            </w:r>
            <w:r w:rsidR="00D628A0">
              <w:rPr>
                <w:noProof/>
                <w:webHidden/>
              </w:rPr>
              <w:t>53</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36" w:history="1">
            <w:r w:rsidR="00D628A0" w:rsidRPr="005A5066">
              <w:rPr>
                <w:rStyle w:val="Hyperlink"/>
                <w:noProof/>
              </w:rPr>
              <w:t>Other Program Details and Sources of Conservation</w:t>
            </w:r>
            <w:r w:rsidR="00D628A0">
              <w:rPr>
                <w:noProof/>
                <w:webHidden/>
              </w:rPr>
              <w:tab/>
            </w:r>
            <w:r>
              <w:rPr>
                <w:noProof/>
                <w:webHidden/>
              </w:rPr>
              <w:fldChar w:fldCharType="begin"/>
            </w:r>
            <w:r w:rsidR="00D628A0">
              <w:rPr>
                <w:noProof/>
                <w:webHidden/>
              </w:rPr>
              <w:instrText xml:space="preserve"> PAGEREF _Toc326296736 \h </w:instrText>
            </w:r>
            <w:r>
              <w:rPr>
                <w:noProof/>
                <w:webHidden/>
              </w:rPr>
            </w:r>
            <w:r>
              <w:rPr>
                <w:noProof/>
                <w:webHidden/>
              </w:rPr>
              <w:fldChar w:fldCharType="separate"/>
            </w:r>
            <w:r w:rsidR="00D628A0">
              <w:rPr>
                <w:noProof/>
                <w:webHidden/>
              </w:rPr>
              <w:t>62</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7" w:history="1">
            <w:r w:rsidR="00D628A0" w:rsidRPr="005A5066">
              <w:rPr>
                <w:rStyle w:val="Hyperlink"/>
                <w:noProof/>
              </w:rPr>
              <w:t>Energy Education in Schools (Schedule 113)</w:t>
            </w:r>
            <w:r w:rsidR="00D628A0">
              <w:rPr>
                <w:noProof/>
                <w:webHidden/>
              </w:rPr>
              <w:tab/>
            </w:r>
            <w:r>
              <w:rPr>
                <w:noProof/>
                <w:webHidden/>
              </w:rPr>
              <w:fldChar w:fldCharType="begin"/>
            </w:r>
            <w:r w:rsidR="00D628A0">
              <w:rPr>
                <w:noProof/>
                <w:webHidden/>
              </w:rPr>
              <w:instrText xml:space="preserve"> PAGEREF _Toc326296737 \h </w:instrText>
            </w:r>
            <w:r>
              <w:rPr>
                <w:noProof/>
                <w:webHidden/>
              </w:rPr>
            </w:r>
            <w:r>
              <w:rPr>
                <w:noProof/>
                <w:webHidden/>
              </w:rPr>
              <w:fldChar w:fldCharType="separate"/>
            </w:r>
            <w:r w:rsidR="00D628A0">
              <w:rPr>
                <w:noProof/>
                <w:webHidden/>
              </w:rPr>
              <w:t>62</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8" w:history="1">
            <w:r w:rsidR="00D628A0" w:rsidRPr="005A5066">
              <w:rPr>
                <w:rStyle w:val="Hyperlink"/>
                <w:noProof/>
              </w:rPr>
              <w:t>Northwest Energy Efficiency Alliance</w:t>
            </w:r>
            <w:r w:rsidR="00D628A0">
              <w:rPr>
                <w:noProof/>
                <w:webHidden/>
              </w:rPr>
              <w:tab/>
            </w:r>
            <w:r>
              <w:rPr>
                <w:noProof/>
                <w:webHidden/>
              </w:rPr>
              <w:fldChar w:fldCharType="begin"/>
            </w:r>
            <w:r w:rsidR="00D628A0">
              <w:rPr>
                <w:noProof/>
                <w:webHidden/>
              </w:rPr>
              <w:instrText xml:space="preserve"> PAGEREF _Toc326296738 \h </w:instrText>
            </w:r>
            <w:r>
              <w:rPr>
                <w:noProof/>
                <w:webHidden/>
              </w:rPr>
            </w:r>
            <w:r>
              <w:rPr>
                <w:noProof/>
                <w:webHidden/>
              </w:rPr>
              <w:fldChar w:fldCharType="separate"/>
            </w:r>
            <w:r w:rsidR="00D628A0">
              <w:rPr>
                <w:noProof/>
                <w:webHidden/>
              </w:rPr>
              <w:t>63</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39" w:history="1">
            <w:r w:rsidR="00D628A0" w:rsidRPr="005A5066">
              <w:rPr>
                <w:rStyle w:val="Hyperlink"/>
                <w:noProof/>
              </w:rPr>
              <w:t>Distribution Efficiency</w:t>
            </w:r>
            <w:r w:rsidR="00D628A0">
              <w:rPr>
                <w:noProof/>
                <w:webHidden/>
              </w:rPr>
              <w:tab/>
            </w:r>
            <w:r>
              <w:rPr>
                <w:noProof/>
                <w:webHidden/>
              </w:rPr>
              <w:fldChar w:fldCharType="begin"/>
            </w:r>
            <w:r w:rsidR="00D628A0">
              <w:rPr>
                <w:noProof/>
                <w:webHidden/>
              </w:rPr>
              <w:instrText xml:space="preserve"> PAGEREF _Toc326296739 \h </w:instrText>
            </w:r>
            <w:r>
              <w:rPr>
                <w:noProof/>
                <w:webHidden/>
              </w:rPr>
            </w:r>
            <w:r>
              <w:rPr>
                <w:noProof/>
                <w:webHidden/>
              </w:rPr>
              <w:fldChar w:fldCharType="separate"/>
            </w:r>
            <w:r w:rsidR="00D628A0">
              <w:rPr>
                <w:noProof/>
                <w:webHidden/>
              </w:rPr>
              <w:t>65</w:t>
            </w:r>
            <w:r>
              <w:rPr>
                <w:noProof/>
                <w:webHidden/>
              </w:rPr>
              <w:fldChar w:fldCharType="end"/>
            </w:r>
          </w:hyperlink>
        </w:p>
        <w:p w:rsidR="00D628A0" w:rsidRDefault="000A75FE">
          <w:pPr>
            <w:pStyle w:val="TOC2"/>
            <w:tabs>
              <w:tab w:val="right" w:leader="dot" w:pos="9710"/>
            </w:tabs>
            <w:rPr>
              <w:rFonts w:asciiTheme="minorHAnsi" w:eastAsiaTheme="minorEastAsia" w:hAnsiTheme="minorHAnsi" w:cstheme="minorBidi"/>
              <w:noProof/>
            </w:rPr>
          </w:pPr>
          <w:hyperlink w:anchor="_Toc326296740" w:history="1">
            <w:r w:rsidR="00D628A0" w:rsidRPr="005A5066">
              <w:rPr>
                <w:rStyle w:val="Hyperlink"/>
                <w:noProof/>
              </w:rPr>
              <w:t>Production Efficiency</w:t>
            </w:r>
            <w:r w:rsidR="00D628A0">
              <w:rPr>
                <w:noProof/>
                <w:webHidden/>
              </w:rPr>
              <w:tab/>
            </w:r>
            <w:r>
              <w:rPr>
                <w:noProof/>
                <w:webHidden/>
              </w:rPr>
              <w:fldChar w:fldCharType="begin"/>
            </w:r>
            <w:r w:rsidR="00D628A0">
              <w:rPr>
                <w:noProof/>
                <w:webHidden/>
              </w:rPr>
              <w:instrText xml:space="preserve"> PAGEREF _Toc326296740 \h </w:instrText>
            </w:r>
            <w:r>
              <w:rPr>
                <w:noProof/>
                <w:webHidden/>
              </w:rPr>
            </w:r>
            <w:r>
              <w:rPr>
                <w:noProof/>
                <w:webHidden/>
              </w:rPr>
              <w:fldChar w:fldCharType="separate"/>
            </w:r>
            <w:r w:rsidR="00D628A0">
              <w:rPr>
                <w:noProof/>
                <w:webHidden/>
              </w:rPr>
              <w:t>67</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41" w:history="1">
            <w:r w:rsidR="00D628A0" w:rsidRPr="005A5066">
              <w:rPr>
                <w:rStyle w:val="Hyperlink"/>
                <w:noProof/>
              </w:rPr>
              <w:t>Customer Outreach and Communications</w:t>
            </w:r>
            <w:r w:rsidR="00D628A0">
              <w:rPr>
                <w:noProof/>
                <w:webHidden/>
              </w:rPr>
              <w:tab/>
            </w:r>
            <w:r>
              <w:rPr>
                <w:noProof/>
                <w:webHidden/>
              </w:rPr>
              <w:fldChar w:fldCharType="begin"/>
            </w:r>
            <w:r w:rsidR="00D628A0">
              <w:rPr>
                <w:noProof/>
                <w:webHidden/>
              </w:rPr>
              <w:instrText xml:space="preserve"> PAGEREF _Toc326296741 \h </w:instrText>
            </w:r>
            <w:r>
              <w:rPr>
                <w:noProof/>
                <w:webHidden/>
              </w:rPr>
            </w:r>
            <w:r>
              <w:rPr>
                <w:noProof/>
                <w:webHidden/>
              </w:rPr>
              <w:fldChar w:fldCharType="separate"/>
            </w:r>
            <w:r w:rsidR="00D628A0">
              <w:rPr>
                <w:noProof/>
                <w:webHidden/>
              </w:rPr>
              <w:t>68</w:t>
            </w:r>
            <w:r>
              <w:rPr>
                <w:noProof/>
                <w:webHidden/>
              </w:rPr>
              <w:fldChar w:fldCharType="end"/>
            </w:r>
          </w:hyperlink>
        </w:p>
        <w:p w:rsidR="00D628A0" w:rsidRDefault="000A75FE">
          <w:pPr>
            <w:pStyle w:val="TOC1"/>
            <w:tabs>
              <w:tab w:val="right" w:leader="dot" w:pos="9710"/>
            </w:tabs>
            <w:rPr>
              <w:rFonts w:asciiTheme="minorHAnsi" w:eastAsiaTheme="minorEastAsia" w:hAnsiTheme="minorHAnsi" w:cstheme="minorBidi"/>
              <w:noProof/>
            </w:rPr>
          </w:pPr>
          <w:hyperlink w:anchor="_Toc326296742" w:history="1">
            <w:r w:rsidR="00D628A0" w:rsidRPr="005A5066">
              <w:rPr>
                <w:rStyle w:val="Hyperlink"/>
                <w:noProof/>
              </w:rPr>
              <w:t>Cost Effectiveness</w:t>
            </w:r>
            <w:r w:rsidR="00D628A0">
              <w:rPr>
                <w:noProof/>
                <w:webHidden/>
              </w:rPr>
              <w:tab/>
            </w:r>
            <w:r>
              <w:rPr>
                <w:noProof/>
                <w:webHidden/>
              </w:rPr>
              <w:fldChar w:fldCharType="begin"/>
            </w:r>
            <w:r w:rsidR="00D628A0">
              <w:rPr>
                <w:noProof/>
                <w:webHidden/>
              </w:rPr>
              <w:instrText xml:space="preserve"> PAGEREF _Toc326296742 \h </w:instrText>
            </w:r>
            <w:r>
              <w:rPr>
                <w:noProof/>
                <w:webHidden/>
              </w:rPr>
            </w:r>
            <w:r>
              <w:rPr>
                <w:noProof/>
                <w:webHidden/>
              </w:rPr>
              <w:fldChar w:fldCharType="separate"/>
            </w:r>
            <w:r w:rsidR="00D628A0">
              <w:rPr>
                <w:noProof/>
                <w:webHidden/>
              </w:rPr>
              <w:t>70</w:t>
            </w:r>
            <w:r>
              <w:rPr>
                <w:noProof/>
                <w:webHidden/>
              </w:rPr>
              <w:fldChar w:fldCharType="end"/>
            </w:r>
          </w:hyperlink>
        </w:p>
        <w:p w:rsidR="004021E1" w:rsidRPr="00111D82" w:rsidRDefault="000A75FE" w:rsidP="00CF5862">
          <w:pPr>
            <w:pStyle w:val="TOC1"/>
            <w:tabs>
              <w:tab w:val="right" w:leader="dot" w:pos="9710"/>
            </w:tabs>
            <w:rPr>
              <w:rFonts w:ascii="Times New Roman" w:hAnsi="Times New Roman"/>
            </w:rPr>
          </w:pPr>
          <w:r w:rsidRPr="00111D82">
            <w:rPr>
              <w:rFonts w:ascii="Times New Roman" w:hAnsi="Times New Roman"/>
            </w:rPr>
            <w:fldChar w:fldCharType="end"/>
          </w:r>
        </w:p>
      </w:sdtContent>
    </w:sdt>
    <w:p w:rsidR="00B32124" w:rsidRPr="00111D82" w:rsidRDefault="00B32124">
      <w:pPr>
        <w:rPr>
          <w:rFonts w:ascii="Times New Roman" w:hAnsi="Times New Roman"/>
          <w:b/>
          <w:sz w:val="24"/>
          <w:szCs w:val="24"/>
        </w:rPr>
      </w:pPr>
      <w:r w:rsidRPr="00111D82">
        <w:rPr>
          <w:rFonts w:ascii="Times New Roman" w:hAnsi="Times New Roman"/>
          <w:b/>
          <w:sz w:val="24"/>
          <w:szCs w:val="24"/>
        </w:rPr>
        <w:br w:type="page"/>
      </w:r>
    </w:p>
    <w:p w:rsidR="00722821" w:rsidRPr="00111D82" w:rsidRDefault="00517748" w:rsidP="00477652">
      <w:pPr>
        <w:pStyle w:val="Heading1"/>
        <w:spacing w:before="100" w:beforeAutospacing="1" w:after="100" w:afterAutospacing="1"/>
        <w:jc w:val="both"/>
      </w:pPr>
      <w:bookmarkStart w:id="0" w:name="_Toc326296725"/>
      <w:r w:rsidRPr="00111D82">
        <w:lastRenderedPageBreak/>
        <w:t>Executive Summary</w:t>
      </w:r>
      <w:bookmarkEnd w:id="0"/>
    </w:p>
    <w:p w:rsidR="00613158" w:rsidRDefault="00613158" w:rsidP="00477652">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As required by Order 02 of Docket UE-100170, dated July 29, 2010, PacifiCorp (the “Company”) </w:t>
      </w:r>
      <w:r>
        <w:rPr>
          <w:rFonts w:ascii="Times New Roman" w:hAnsi="Times New Roman"/>
          <w:sz w:val="24"/>
          <w:szCs w:val="24"/>
        </w:rPr>
        <w:t>filed</w:t>
      </w:r>
      <w:r w:rsidRPr="00111D82">
        <w:rPr>
          <w:rFonts w:ascii="Times New Roman" w:hAnsi="Times New Roman"/>
          <w:sz w:val="24"/>
          <w:szCs w:val="24"/>
        </w:rPr>
        <w:t xml:space="preserve"> with the Washington Utilities and Transportation Commission (the “Commission”) a Biennial Conservation Plan including revised program details and program tariffs, including information related to distribution efficiency initiatives (“DEI”) and production efficiency potential in non-hydro generation facilities, together with identification of its 2012-2021 achievable conservation potential, </w:t>
      </w:r>
      <w:r>
        <w:rPr>
          <w:rFonts w:ascii="Times New Roman" w:hAnsi="Times New Roman"/>
          <w:sz w:val="24"/>
          <w:szCs w:val="24"/>
        </w:rPr>
        <w:t>on</w:t>
      </w:r>
      <w:r w:rsidRPr="00111D82">
        <w:rPr>
          <w:rFonts w:ascii="Times New Roman" w:hAnsi="Times New Roman"/>
          <w:sz w:val="24"/>
          <w:szCs w:val="24"/>
        </w:rPr>
        <w:t xml:space="preserve"> January</w:t>
      </w:r>
      <w:r w:rsidR="00A04369">
        <w:rPr>
          <w:rFonts w:ascii="Times New Roman" w:hAnsi="Times New Roman"/>
          <w:sz w:val="24"/>
          <w:szCs w:val="24"/>
        </w:rPr>
        <w:t xml:space="preserve"> </w:t>
      </w:r>
      <w:r w:rsidRPr="00111D82">
        <w:rPr>
          <w:rFonts w:ascii="Times New Roman" w:hAnsi="Times New Roman"/>
          <w:sz w:val="24"/>
          <w:szCs w:val="24"/>
        </w:rPr>
        <w:t xml:space="preserve">31, 2012. In compliance with the Commission’s direction to include revised program details and program tariffs as part of the Company’s Biennial Conservation Plan, the Company </w:t>
      </w:r>
      <w:r w:rsidR="00FF07B8">
        <w:rPr>
          <w:rFonts w:ascii="Times New Roman" w:hAnsi="Times New Roman"/>
          <w:sz w:val="24"/>
          <w:szCs w:val="24"/>
        </w:rPr>
        <w:t>is providing this update to the</w:t>
      </w:r>
      <w:r w:rsidR="00345723">
        <w:rPr>
          <w:rFonts w:ascii="Times New Roman" w:hAnsi="Times New Roman"/>
          <w:sz w:val="24"/>
          <w:szCs w:val="24"/>
        </w:rPr>
        <w:t xml:space="preserve"> </w:t>
      </w:r>
      <w:r w:rsidRPr="00111D82">
        <w:rPr>
          <w:rFonts w:ascii="Times New Roman" w:hAnsi="Times New Roman"/>
          <w:sz w:val="24"/>
          <w:szCs w:val="24"/>
        </w:rPr>
        <w:t>Demand-side Management Business Plan (the “Business Plan”), for years 2012-2013</w:t>
      </w:r>
      <w:r>
        <w:rPr>
          <w:rFonts w:ascii="Times New Roman" w:hAnsi="Times New Roman"/>
          <w:sz w:val="24"/>
          <w:szCs w:val="24"/>
        </w:rPr>
        <w:t>.</w:t>
      </w:r>
    </w:p>
    <w:p w:rsidR="00613158" w:rsidRDefault="001A2D97" w:rsidP="00477652">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The Company’s Biennial Conservation Plan for 2012-2021 was approved by the Commission at open meeting on April 12, 2012, Order 01 of Docket UE-111880. It </w:t>
      </w:r>
      <w:r w:rsidR="00613158">
        <w:rPr>
          <w:rFonts w:ascii="Times New Roman" w:hAnsi="Times New Roman"/>
          <w:sz w:val="24"/>
          <w:szCs w:val="24"/>
        </w:rPr>
        <w:t>directs the Company to maintain its conservation tariffs, with program descriptions, on file with the Commission. Program details about specific measures, incentives, and eligibility requirements must be filed as tariff attachments or as revisions to the Company’s DSM Business Plan. Since the filing of the Business Plan on January 31, 2012, the Company has implemented changes to the FinAnswer Express and Home Energy Savings programs, introduc</w:t>
      </w:r>
      <w:r w:rsidR="00CF5862">
        <w:rPr>
          <w:rFonts w:ascii="Times New Roman" w:hAnsi="Times New Roman"/>
          <w:sz w:val="24"/>
          <w:szCs w:val="24"/>
        </w:rPr>
        <w:t>ed</w:t>
      </w:r>
      <w:r w:rsidR="00613158">
        <w:rPr>
          <w:rFonts w:ascii="Times New Roman" w:hAnsi="Times New Roman"/>
          <w:sz w:val="24"/>
          <w:szCs w:val="24"/>
        </w:rPr>
        <w:t xml:space="preserve"> a </w:t>
      </w:r>
      <w:r w:rsidR="00CF5862">
        <w:rPr>
          <w:rFonts w:ascii="Times New Roman" w:hAnsi="Times New Roman"/>
          <w:sz w:val="24"/>
          <w:szCs w:val="24"/>
        </w:rPr>
        <w:t xml:space="preserve">Home Energy Reports </w:t>
      </w:r>
      <w:r w:rsidR="00613158">
        <w:rPr>
          <w:rFonts w:ascii="Times New Roman" w:hAnsi="Times New Roman"/>
          <w:sz w:val="24"/>
          <w:szCs w:val="24"/>
        </w:rPr>
        <w:t xml:space="preserve">program, and </w:t>
      </w:r>
      <w:r w:rsidR="003076DD">
        <w:rPr>
          <w:rFonts w:ascii="Times New Roman" w:hAnsi="Times New Roman"/>
          <w:sz w:val="24"/>
          <w:szCs w:val="24"/>
        </w:rPr>
        <w:t xml:space="preserve">will </w:t>
      </w:r>
      <w:r w:rsidR="00613158">
        <w:rPr>
          <w:rFonts w:ascii="Times New Roman" w:hAnsi="Times New Roman"/>
          <w:sz w:val="24"/>
          <w:szCs w:val="24"/>
        </w:rPr>
        <w:t>discontinu</w:t>
      </w:r>
      <w:r w:rsidR="00CF5862">
        <w:rPr>
          <w:rFonts w:ascii="Times New Roman" w:hAnsi="Times New Roman"/>
          <w:sz w:val="24"/>
          <w:szCs w:val="24"/>
        </w:rPr>
        <w:t>e</w:t>
      </w:r>
      <w:r w:rsidR="00613158">
        <w:rPr>
          <w:rFonts w:ascii="Times New Roman" w:hAnsi="Times New Roman"/>
          <w:sz w:val="24"/>
          <w:szCs w:val="24"/>
        </w:rPr>
        <w:t xml:space="preserve"> </w:t>
      </w:r>
      <w:r w:rsidR="00CF5862">
        <w:rPr>
          <w:rFonts w:ascii="Times New Roman" w:hAnsi="Times New Roman"/>
          <w:sz w:val="24"/>
          <w:szCs w:val="24"/>
        </w:rPr>
        <w:t>Schedule 113</w:t>
      </w:r>
      <w:r w:rsidR="00345723">
        <w:rPr>
          <w:rFonts w:ascii="Times New Roman" w:hAnsi="Times New Roman"/>
          <w:sz w:val="24"/>
          <w:szCs w:val="24"/>
        </w:rPr>
        <w:t>,</w:t>
      </w:r>
      <w:r w:rsidR="00CF5862">
        <w:rPr>
          <w:rFonts w:ascii="Times New Roman" w:hAnsi="Times New Roman"/>
          <w:sz w:val="24"/>
          <w:szCs w:val="24"/>
        </w:rPr>
        <w:t xml:space="preserve"> t</w:t>
      </w:r>
      <w:r w:rsidR="00613158">
        <w:rPr>
          <w:rFonts w:ascii="Times New Roman" w:hAnsi="Times New Roman"/>
          <w:sz w:val="24"/>
          <w:szCs w:val="24"/>
        </w:rPr>
        <w:t>he Energy Education in Schools program</w:t>
      </w:r>
      <w:r w:rsidR="00345723">
        <w:rPr>
          <w:rFonts w:ascii="Times New Roman" w:hAnsi="Times New Roman"/>
          <w:sz w:val="24"/>
          <w:szCs w:val="24"/>
        </w:rPr>
        <w:t>, at the end of</w:t>
      </w:r>
      <w:r w:rsidR="00613158">
        <w:rPr>
          <w:rFonts w:ascii="Times New Roman" w:hAnsi="Times New Roman"/>
          <w:sz w:val="24"/>
          <w:szCs w:val="24"/>
        </w:rPr>
        <w:t xml:space="preserve"> the 2011-12 school year</w:t>
      </w:r>
      <w:r w:rsidR="00613158" w:rsidRPr="00111D82">
        <w:rPr>
          <w:rFonts w:ascii="Times New Roman" w:hAnsi="Times New Roman"/>
          <w:sz w:val="24"/>
          <w:szCs w:val="24"/>
        </w:rPr>
        <w:t>.</w:t>
      </w:r>
      <w:r>
        <w:rPr>
          <w:rFonts w:ascii="Times New Roman" w:hAnsi="Times New Roman"/>
          <w:sz w:val="24"/>
          <w:szCs w:val="24"/>
        </w:rPr>
        <w:t xml:space="preserve"> In </w:t>
      </w:r>
      <w:r w:rsidR="00933993">
        <w:rPr>
          <w:rFonts w:ascii="Times New Roman" w:hAnsi="Times New Roman"/>
          <w:sz w:val="24"/>
          <w:szCs w:val="24"/>
        </w:rPr>
        <w:t>addition, Order 01 changed the C</w:t>
      </w:r>
      <w:r>
        <w:rPr>
          <w:rFonts w:ascii="Times New Roman" w:hAnsi="Times New Roman"/>
          <w:sz w:val="24"/>
          <w:szCs w:val="24"/>
        </w:rPr>
        <w:t xml:space="preserve">ompany’s authorization for the collection of distribution and production efficiency initiative </w:t>
      </w:r>
      <w:r w:rsidR="00932C67">
        <w:rPr>
          <w:rFonts w:ascii="Times New Roman" w:hAnsi="Times New Roman"/>
          <w:sz w:val="24"/>
          <w:szCs w:val="24"/>
        </w:rPr>
        <w:t xml:space="preserve">study </w:t>
      </w:r>
      <w:r>
        <w:rPr>
          <w:rFonts w:ascii="Times New Roman" w:hAnsi="Times New Roman"/>
          <w:sz w:val="24"/>
          <w:szCs w:val="24"/>
        </w:rPr>
        <w:t xml:space="preserve">costs through </w:t>
      </w:r>
      <w:r w:rsidR="00932C67">
        <w:rPr>
          <w:rFonts w:ascii="Times New Roman" w:hAnsi="Times New Roman"/>
          <w:sz w:val="24"/>
          <w:szCs w:val="24"/>
        </w:rPr>
        <w:t xml:space="preserve">Schedule 191, </w:t>
      </w:r>
      <w:r w:rsidR="00B672F3">
        <w:rPr>
          <w:rFonts w:ascii="Times New Roman" w:hAnsi="Times New Roman"/>
          <w:sz w:val="24"/>
          <w:szCs w:val="24"/>
        </w:rPr>
        <w:t>beyond</w:t>
      </w:r>
      <w:r w:rsidR="00932C67">
        <w:rPr>
          <w:rFonts w:ascii="Times New Roman" w:hAnsi="Times New Roman"/>
          <w:sz w:val="24"/>
          <w:szCs w:val="24"/>
        </w:rPr>
        <w:t xml:space="preserve"> </w:t>
      </w:r>
      <w:r>
        <w:rPr>
          <w:rFonts w:ascii="Times New Roman" w:hAnsi="Times New Roman"/>
          <w:sz w:val="24"/>
          <w:szCs w:val="24"/>
        </w:rPr>
        <w:t>201</w:t>
      </w:r>
      <w:r w:rsidR="00B672F3">
        <w:rPr>
          <w:rFonts w:ascii="Times New Roman" w:hAnsi="Times New Roman"/>
          <w:sz w:val="24"/>
          <w:szCs w:val="24"/>
        </w:rPr>
        <w:t>3</w:t>
      </w:r>
      <w:r w:rsidR="00477652">
        <w:rPr>
          <w:rFonts w:ascii="Times New Roman" w:hAnsi="Times New Roman"/>
          <w:sz w:val="24"/>
          <w:szCs w:val="24"/>
        </w:rPr>
        <w:t>.</w:t>
      </w:r>
    </w:p>
    <w:p w:rsidR="00613158" w:rsidRPr="00111D82" w:rsidRDefault="00345723" w:rsidP="00477652">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update </w:t>
      </w:r>
      <w:r w:rsidR="00477652">
        <w:rPr>
          <w:rFonts w:ascii="Times New Roman" w:hAnsi="Times New Roman"/>
          <w:sz w:val="24"/>
          <w:szCs w:val="24"/>
        </w:rPr>
        <w:t>to</w:t>
      </w:r>
      <w:r>
        <w:rPr>
          <w:rFonts w:ascii="Times New Roman" w:hAnsi="Times New Roman"/>
          <w:sz w:val="24"/>
          <w:szCs w:val="24"/>
        </w:rPr>
        <w:t xml:space="preserve"> </w:t>
      </w:r>
      <w:r w:rsidR="00613158" w:rsidRPr="00111D82">
        <w:rPr>
          <w:rFonts w:ascii="Times New Roman" w:hAnsi="Times New Roman"/>
          <w:sz w:val="24"/>
          <w:szCs w:val="24"/>
        </w:rPr>
        <w:t>PacifiCorp’s Business Plan reflects updated savings</w:t>
      </w:r>
      <w:r w:rsidR="00477652">
        <w:rPr>
          <w:rFonts w:ascii="Times New Roman" w:hAnsi="Times New Roman"/>
          <w:sz w:val="24"/>
          <w:szCs w:val="24"/>
        </w:rPr>
        <w:t>,</w:t>
      </w:r>
      <w:r w:rsidR="00613158" w:rsidRPr="00111D82">
        <w:rPr>
          <w:rFonts w:ascii="Times New Roman" w:hAnsi="Times New Roman"/>
          <w:sz w:val="24"/>
          <w:szCs w:val="24"/>
        </w:rPr>
        <w:t xml:space="preserve"> projections and budgets by program </w:t>
      </w:r>
      <w:r w:rsidR="00613158">
        <w:rPr>
          <w:rFonts w:ascii="Times New Roman" w:hAnsi="Times New Roman"/>
          <w:sz w:val="24"/>
          <w:szCs w:val="24"/>
        </w:rPr>
        <w:t xml:space="preserve">or initiative </w:t>
      </w:r>
      <w:r w:rsidR="00613158" w:rsidRPr="00111D82">
        <w:rPr>
          <w:rFonts w:ascii="Times New Roman" w:hAnsi="Times New Roman"/>
          <w:sz w:val="24"/>
          <w:szCs w:val="24"/>
        </w:rPr>
        <w:t>for 2012 and 2013</w:t>
      </w:r>
      <w:r w:rsidR="00613158">
        <w:rPr>
          <w:rFonts w:ascii="Times New Roman" w:hAnsi="Times New Roman"/>
          <w:sz w:val="24"/>
          <w:szCs w:val="24"/>
        </w:rPr>
        <w:t xml:space="preserve">, as well as revised and or new program descriptions and eligibility requirements as required. </w:t>
      </w:r>
      <w:r w:rsidR="00613158" w:rsidRPr="00111D82">
        <w:rPr>
          <w:rFonts w:ascii="Times New Roman" w:hAnsi="Times New Roman"/>
          <w:sz w:val="24"/>
          <w:szCs w:val="24"/>
        </w:rPr>
        <w:t xml:space="preserve">PacifiCorp will </w:t>
      </w:r>
      <w:r w:rsidR="00613158">
        <w:rPr>
          <w:rFonts w:ascii="Times New Roman" w:hAnsi="Times New Roman"/>
          <w:sz w:val="24"/>
          <w:szCs w:val="24"/>
        </w:rPr>
        <w:t xml:space="preserve">continue to </w:t>
      </w:r>
      <w:r w:rsidR="00613158" w:rsidRPr="00111D82">
        <w:rPr>
          <w:rFonts w:ascii="Times New Roman" w:hAnsi="Times New Roman"/>
          <w:sz w:val="24"/>
          <w:szCs w:val="24"/>
        </w:rPr>
        <w:t>add, delete and/or modify programs</w:t>
      </w:r>
      <w:r w:rsidR="00613158">
        <w:rPr>
          <w:rFonts w:ascii="Times New Roman" w:hAnsi="Times New Roman"/>
          <w:sz w:val="24"/>
          <w:szCs w:val="24"/>
        </w:rPr>
        <w:t xml:space="preserve">, </w:t>
      </w:r>
      <w:r w:rsidR="00613158" w:rsidRPr="00111D82">
        <w:rPr>
          <w:rFonts w:ascii="Times New Roman" w:hAnsi="Times New Roman"/>
          <w:sz w:val="24"/>
          <w:szCs w:val="24"/>
        </w:rPr>
        <w:t>measures</w:t>
      </w:r>
      <w:r w:rsidR="00613158">
        <w:rPr>
          <w:rFonts w:ascii="Times New Roman" w:hAnsi="Times New Roman"/>
          <w:sz w:val="24"/>
          <w:szCs w:val="24"/>
        </w:rPr>
        <w:t>, initiatives or specific projects</w:t>
      </w:r>
      <w:r w:rsidR="00613158" w:rsidRPr="00111D82">
        <w:rPr>
          <w:rFonts w:ascii="Times New Roman" w:hAnsi="Times New Roman"/>
          <w:sz w:val="24"/>
          <w:szCs w:val="24"/>
        </w:rPr>
        <w:t xml:space="preserve"> described in this Business Plan going forward as appropriate and as circumstances </w:t>
      </w:r>
      <w:r w:rsidR="00613158">
        <w:rPr>
          <w:rFonts w:ascii="Times New Roman" w:hAnsi="Times New Roman"/>
          <w:sz w:val="24"/>
          <w:szCs w:val="24"/>
        </w:rPr>
        <w:t>warrant</w:t>
      </w:r>
      <w:r w:rsidR="00613158" w:rsidRPr="00111D82">
        <w:rPr>
          <w:rFonts w:ascii="Times New Roman" w:hAnsi="Times New Roman"/>
          <w:sz w:val="24"/>
          <w:szCs w:val="24"/>
        </w:rPr>
        <w:t>.</w:t>
      </w:r>
    </w:p>
    <w:p w:rsidR="00613158" w:rsidRPr="00111D82" w:rsidRDefault="00613158" w:rsidP="00477652">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The Business Plan </w:t>
      </w:r>
      <w:r w:rsidR="003076DD">
        <w:rPr>
          <w:rFonts w:ascii="Times New Roman" w:hAnsi="Times New Roman"/>
          <w:sz w:val="24"/>
          <w:szCs w:val="24"/>
        </w:rPr>
        <w:t>organizationally</w:t>
      </w:r>
      <w:r w:rsidRPr="00111D82">
        <w:rPr>
          <w:rFonts w:ascii="Times New Roman" w:hAnsi="Times New Roman"/>
          <w:sz w:val="24"/>
          <w:szCs w:val="24"/>
        </w:rPr>
        <w:t xml:space="preserve"> includes a section for each DSM program with the following information:</w:t>
      </w:r>
    </w:p>
    <w:p w:rsidR="00613158" w:rsidRPr="00111D82" w:rsidRDefault="00613158" w:rsidP="00ED2D31">
      <w:pPr>
        <w:pStyle w:val="ListParagraph"/>
        <w:numPr>
          <w:ilvl w:val="0"/>
          <w:numId w:val="4"/>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Program</w:t>
      </w:r>
      <w:r>
        <w:rPr>
          <w:rFonts w:ascii="Times New Roman" w:hAnsi="Times New Roman"/>
          <w:sz w:val="24"/>
          <w:szCs w:val="24"/>
        </w:rPr>
        <w:t>, initiative and/or project</w:t>
      </w:r>
      <w:r w:rsidRPr="00111D82">
        <w:rPr>
          <w:rFonts w:ascii="Times New Roman" w:hAnsi="Times New Roman"/>
          <w:sz w:val="24"/>
          <w:szCs w:val="24"/>
        </w:rPr>
        <w:t xml:space="preserve"> description</w:t>
      </w:r>
      <w:r>
        <w:rPr>
          <w:rFonts w:ascii="Times New Roman" w:hAnsi="Times New Roman"/>
          <w:sz w:val="24"/>
          <w:szCs w:val="24"/>
        </w:rPr>
        <w:t>s</w:t>
      </w:r>
    </w:p>
    <w:p w:rsidR="00613158" w:rsidRPr="00111D82" w:rsidRDefault="00613158" w:rsidP="00ED2D31">
      <w:pPr>
        <w:pStyle w:val="ListParagraph"/>
        <w:numPr>
          <w:ilvl w:val="0"/>
          <w:numId w:val="4"/>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Description of planned program changes</w:t>
      </w:r>
    </w:p>
    <w:p w:rsidR="00613158" w:rsidRPr="00111D82" w:rsidRDefault="00613158" w:rsidP="00ED2D31">
      <w:pPr>
        <w:pStyle w:val="ListParagraph"/>
        <w:numPr>
          <w:ilvl w:val="0"/>
          <w:numId w:val="4"/>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Program evaluation update</w:t>
      </w:r>
      <w:r w:rsidRPr="00111D82">
        <w:rPr>
          <w:rStyle w:val="FootnoteReference"/>
          <w:rFonts w:ascii="Times New Roman" w:hAnsi="Times New Roman"/>
          <w:sz w:val="24"/>
          <w:szCs w:val="24"/>
        </w:rPr>
        <w:footnoteReference w:id="1"/>
      </w:r>
    </w:p>
    <w:p w:rsidR="00D848F6" w:rsidRPr="00477652" w:rsidRDefault="00613158" w:rsidP="00ED2D31">
      <w:pPr>
        <w:pStyle w:val="ListParagraph"/>
        <w:numPr>
          <w:ilvl w:val="0"/>
          <w:numId w:val="4"/>
        </w:numPr>
        <w:spacing w:before="100" w:beforeAutospacing="1" w:after="100" w:afterAutospacing="1"/>
        <w:jc w:val="both"/>
        <w:rPr>
          <w:rFonts w:ascii="Times New Roman" w:hAnsi="Times New Roman"/>
          <w:sz w:val="24"/>
          <w:szCs w:val="24"/>
        </w:rPr>
      </w:pPr>
      <w:r w:rsidRPr="00477652">
        <w:rPr>
          <w:rFonts w:ascii="Times New Roman" w:hAnsi="Times New Roman"/>
          <w:sz w:val="24"/>
          <w:szCs w:val="24"/>
        </w:rPr>
        <w:t>Program details including specific measures, incentives, and eligibility requirements</w:t>
      </w:r>
      <w:r w:rsidR="00D848F6" w:rsidRPr="00477652">
        <w:rPr>
          <w:rFonts w:ascii="Times New Roman" w:hAnsi="Times New Roman"/>
          <w:sz w:val="24"/>
          <w:szCs w:val="24"/>
        </w:rPr>
        <w:br w:type="page"/>
      </w:r>
    </w:p>
    <w:p w:rsidR="00B2627B" w:rsidRPr="00111D82" w:rsidRDefault="00517748" w:rsidP="00477652">
      <w:pPr>
        <w:pStyle w:val="Heading1"/>
        <w:spacing w:before="100" w:beforeAutospacing="1" w:after="100" w:afterAutospacing="1"/>
        <w:jc w:val="both"/>
        <w:rPr>
          <w:sz w:val="24"/>
          <w:szCs w:val="24"/>
        </w:rPr>
      </w:pPr>
      <w:bookmarkStart w:id="1" w:name="_Toc326296726"/>
      <w:r w:rsidRPr="00111D82">
        <w:t>201</w:t>
      </w:r>
      <w:r w:rsidR="005D1DDC" w:rsidRPr="00111D82">
        <w:t>2</w:t>
      </w:r>
      <w:r w:rsidRPr="00111D82">
        <w:t>-201</w:t>
      </w:r>
      <w:r w:rsidR="005D1DDC" w:rsidRPr="00111D82">
        <w:t>3</w:t>
      </w:r>
      <w:r w:rsidRPr="00111D82">
        <w:t xml:space="preserve"> Budget and Savings by Program</w:t>
      </w:r>
      <w:bookmarkEnd w:id="1"/>
    </w:p>
    <w:p w:rsidR="00477652" w:rsidRDefault="00AE45D1" w:rsidP="00676608">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Table </w:t>
      </w:r>
      <w:r w:rsidR="00A92537" w:rsidRPr="00111D82">
        <w:rPr>
          <w:rFonts w:ascii="Times New Roman" w:hAnsi="Times New Roman"/>
          <w:sz w:val="24"/>
          <w:szCs w:val="24"/>
        </w:rPr>
        <w:t>1</w:t>
      </w:r>
      <w:r w:rsidR="003F207F" w:rsidRPr="00111D82">
        <w:rPr>
          <w:rFonts w:ascii="Times New Roman" w:hAnsi="Times New Roman"/>
          <w:sz w:val="24"/>
          <w:szCs w:val="24"/>
        </w:rPr>
        <w:t xml:space="preserve"> below provides the </w:t>
      </w:r>
      <w:r w:rsidR="00563806" w:rsidRPr="00111D82">
        <w:rPr>
          <w:rFonts w:ascii="Times New Roman" w:hAnsi="Times New Roman"/>
          <w:sz w:val="24"/>
          <w:szCs w:val="24"/>
        </w:rPr>
        <w:t>projected</w:t>
      </w:r>
      <w:r w:rsidR="003E36B4" w:rsidRPr="00111D82">
        <w:rPr>
          <w:rFonts w:ascii="Times New Roman" w:hAnsi="Times New Roman"/>
          <w:sz w:val="24"/>
          <w:szCs w:val="24"/>
        </w:rPr>
        <w:t xml:space="preserve"> </w:t>
      </w:r>
      <w:r w:rsidR="003F207F" w:rsidRPr="00111D82">
        <w:rPr>
          <w:rFonts w:ascii="Times New Roman" w:hAnsi="Times New Roman"/>
          <w:sz w:val="24"/>
          <w:szCs w:val="24"/>
        </w:rPr>
        <w:t>savings and expenditures by program</w:t>
      </w:r>
      <w:r w:rsidR="00F03FF0" w:rsidRPr="00111D82">
        <w:rPr>
          <w:rFonts w:ascii="Times New Roman" w:hAnsi="Times New Roman"/>
          <w:sz w:val="24"/>
          <w:szCs w:val="24"/>
        </w:rPr>
        <w:t xml:space="preserve">, initiative, and proposed program or activity </w:t>
      </w:r>
      <w:r w:rsidR="003F207F" w:rsidRPr="00111D82">
        <w:rPr>
          <w:rFonts w:ascii="Times New Roman" w:hAnsi="Times New Roman"/>
          <w:sz w:val="24"/>
          <w:szCs w:val="24"/>
        </w:rPr>
        <w:t xml:space="preserve">to achieve the </w:t>
      </w:r>
      <w:r w:rsidR="0052435D" w:rsidRPr="00887B3C">
        <w:rPr>
          <w:rFonts w:ascii="Times New Roman" w:hAnsi="Times New Roman"/>
          <w:b/>
          <w:sz w:val="24"/>
          <w:szCs w:val="24"/>
        </w:rPr>
        <w:t>8.7 to 9.</w:t>
      </w:r>
      <w:r w:rsidR="00887B3C" w:rsidRPr="00887B3C">
        <w:rPr>
          <w:rFonts w:ascii="Times New Roman" w:hAnsi="Times New Roman"/>
          <w:b/>
          <w:sz w:val="24"/>
          <w:szCs w:val="24"/>
        </w:rPr>
        <w:t>0</w:t>
      </w:r>
      <w:r w:rsidR="003F207F" w:rsidRPr="00887B3C">
        <w:rPr>
          <w:rFonts w:ascii="Times New Roman" w:hAnsi="Times New Roman"/>
          <w:b/>
          <w:sz w:val="24"/>
          <w:szCs w:val="24"/>
        </w:rPr>
        <w:t xml:space="preserve"> aMW</w:t>
      </w:r>
      <w:r w:rsidR="003F207F" w:rsidRPr="00111D82">
        <w:rPr>
          <w:rFonts w:ascii="Times New Roman" w:hAnsi="Times New Roman"/>
          <w:sz w:val="24"/>
          <w:szCs w:val="24"/>
        </w:rPr>
        <w:t xml:space="preserve"> biennial </w:t>
      </w:r>
      <w:proofErr w:type="gramStart"/>
      <w:r w:rsidR="003F207F" w:rsidRPr="00111D82">
        <w:rPr>
          <w:rFonts w:ascii="Times New Roman" w:hAnsi="Times New Roman"/>
          <w:sz w:val="24"/>
          <w:szCs w:val="24"/>
        </w:rPr>
        <w:t>target</w:t>
      </w:r>
      <w:proofErr w:type="gramEnd"/>
      <w:r w:rsidR="003F207F" w:rsidRPr="00111D82">
        <w:rPr>
          <w:rFonts w:ascii="Times New Roman" w:hAnsi="Times New Roman"/>
          <w:sz w:val="24"/>
          <w:szCs w:val="24"/>
        </w:rPr>
        <w:t xml:space="preserve"> for 201</w:t>
      </w:r>
      <w:r w:rsidR="005D1DDC" w:rsidRPr="00111D82">
        <w:rPr>
          <w:rFonts w:ascii="Times New Roman" w:hAnsi="Times New Roman"/>
          <w:sz w:val="24"/>
          <w:szCs w:val="24"/>
        </w:rPr>
        <w:t>2</w:t>
      </w:r>
      <w:r w:rsidR="003F207F" w:rsidRPr="00111D82">
        <w:rPr>
          <w:rFonts w:ascii="Times New Roman" w:hAnsi="Times New Roman"/>
          <w:sz w:val="24"/>
          <w:szCs w:val="24"/>
        </w:rPr>
        <w:t xml:space="preserve"> and 201</w:t>
      </w:r>
      <w:r w:rsidR="005D1DDC" w:rsidRPr="00111D82">
        <w:rPr>
          <w:rFonts w:ascii="Times New Roman" w:hAnsi="Times New Roman"/>
          <w:sz w:val="24"/>
          <w:szCs w:val="24"/>
        </w:rPr>
        <w:t xml:space="preserve">3 </w:t>
      </w:r>
      <w:r w:rsidR="000E3A9A" w:rsidRPr="00111D82">
        <w:rPr>
          <w:rFonts w:ascii="Times New Roman" w:hAnsi="Times New Roman"/>
          <w:sz w:val="24"/>
          <w:szCs w:val="24"/>
        </w:rPr>
        <w:t xml:space="preserve">described </w:t>
      </w:r>
      <w:r w:rsidR="005D1DDC" w:rsidRPr="00111D82">
        <w:rPr>
          <w:rFonts w:ascii="Times New Roman" w:hAnsi="Times New Roman"/>
          <w:sz w:val="24"/>
          <w:szCs w:val="24"/>
        </w:rPr>
        <w:t xml:space="preserve">in the </w:t>
      </w:r>
      <w:r w:rsidR="00626930" w:rsidRPr="00111D82">
        <w:rPr>
          <w:rFonts w:ascii="Times New Roman" w:hAnsi="Times New Roman"/>
          <w:sz w:val="24"/>
          <w:szCs w:val="24"/>
        </w:rPr>
        <w:t>C</w:t>
      </w:r>
      <w:r w:rsidR="005D1DDC" w:rsidRPr="00111D82">
        <w:rPr>
          <w:rFonts w:ascii="Times New Roman" w:hAnsi="Times New Roman"/>
          <w:sz w:val="24"/>
          <w:szCs w:val="24"/>
        </w:rPr>
        <w:t>ompany’s Biennial Conservation Plan</w:t>
      </w:r>
      <w:r w:rsidR="00563806" w:rsidRPr="00111D82">
        <w:rPr>
          <w:rFonts w:ascii="Times New Roman" w:hAnsi="Times New Roman"/>
          <w:sz w:val="24"/>
          <w:szCs w:val="24"/>
        </w:rPr>
        <w:t>,</w:t>
      </w:r>
      <w:r w:rsidR="005D1DDC" w:rsidRPr="00111D82">
        <w:rPr>
          <w:rFonts w:ascii="Times New Roman" w:hAnsi="Times New Roman"/>
          <w:sz w:val="24"/>
          <w:szCs w:val="24"/>
        </w:rPr>
        <w:t xml:space="preserve"> </w:t>
      </w:r>
      <w:r w:rsidR="000E3A9A" w:rsidRPr="00111D82">
        <w:rPr>
          <w:rFonts w:ascii="Times New Roman" w:hAnsi="Times New Roman"/>
          <w:sz w:val="24"/>
          <w:szCs w:val="24"/>
        </w:rPr>
        <w:t>dated</w:t>
      </w:r>
      <w:r w:rsidR="005D1DDC" w:rsidRPr="00111D82">
        <w:rPr>
          <w:rFonts w:ascii="Times New Roman" w:hAnsi="Times New Roman"/>
          <w:sz w:val="24"/>
          <w:szCs w:val="24"/>
        </w:rPr>
        <w:t xml:space="preserve"> </w:t>
      </w:r>
      <w:r w:rsidR="0052435D" w:rsidRPr="00111D82">
        <w:rPr>
          <w:rFonts w:ascii="Times New Roman" w:hAnsi="Times New Roman"/>
          <w:sz w:val="24"/>
          <w:szCs w:val="24"/>
        </w:rPr>
        <w:t>January</w:t>
      </w:r>
      <w:r w:rsidR="005D1DDC" w:rsidRPr="00111D82">
        <w:rPr>
          <w:rFonts w:ascii="Times New Roman" w:hAnsi="Times New Roman"/>
          <w:sz w:val="24"/>
          <w:szCs w:val="24"/>
        </w:rPr>
        <w:t xml:space="preserve"> </w:t>
      </w:r>
      <w:r w:rsidR="0052435D" w:rsidRPr="00111D82">
        <w:rPr>
          <w:rFonts w:ascii="Times New Roman" w:hAnsi="Times New Roman"/>
          <w:sz w:val="24"/>
          <w:szCs w:val="24"/>
        </w:rPr>
        <w:t>3</w:t>
      </w:r>
      <w:r w:rsidR="005D1DDC" w:rsidRPr="00111D82">
        <w:rPr>
          <w:rFonts w:ascii="Times New Roman" w:hAnsi="Times New Roman"/>
          <w:sz w:val="24"/>
          <w:szCs w:val="24"/>
        </w:rPr>
        <w:t>1, 201</w:t>
      </w:r>
      <w:r w:rsidR="0052435D" w:rsidRPr="00111D82">
        <w:rPr>
          <w:rFonts w:ascii="Times New Roman" w:hAnsi="Times New Roman"/>
          <w:sz w:val="24"/>
          <w:szCs w:val="24"/>
        </w:rPr>
        <w:t>2</w:t>
      </w:r>
      <w:r w:rsidR="005D1DDC" w:rsidRPr="00111D82">
        <w:rPr>
          <w:rFonts w:ascii="Times New Roman" w:hAnsi="Times New Roman"/>
          <w:sz w:val="24"/>
          <w:szCs w:val="24"/>
        </w:rPr>
        <w:t>.</w:t>
      </w:r>
      <w:r w:rsidR="00770C02" w:rsidRPr="00111D82">
        <w:rPr>
          <w:rFonts w:ascii="Times New Roman" w:hAnsi="Times New Roman"/>
          <w:sz w:val="24"/>
          <w:szCs w:val="24"/>
        </w:rPr>
        <w:t xml:space="preserve"> While 2012 and 2013 business plan calendar year forecasts </w:t>
      </w:r>
      <w:r w:rsidR="00563806" w:rsidRPr="00111D82">
        <w:rPr>
          <w:rFonts w:ascii="Times New Roman" w:hAnsi="Times New Roman"/>
          <w:sz w:val="24"/>
          <w:szCs w:val="24"/>
        </w:rPr>
        <w:t xml:space="preserve">(in Table 1) </w:t>
      </w:r>
      <w:r w:rsidR="00770C02" w:rsidRPr="00111D82">
        <w:rPr>
          <w:rFonts w:ascii="Times New Roman" w:hAnsi="Times New Roman"/>
          <w:sz w:val="24"/>
          <w:szCs w:val="24"/>
        </w:rPr>
        <w:t xml:space="preserve">are not in exact alignment with the 2012 and 2013 conservation forecasts for the same years, the total forecasted acquisitions over the biennial period represent </w:t>
      </w:r>
      <w:r w:rsidR="00613158">
        <w:rPr>
          <w:rFonts w:ascii="Times New Roman" w:hAnsi="Times New Roman"/>
          <w:sz w:val="24"/>
          <w:szCs w:val="24"/>
        </w:rPr>
        <w:t xml:space="preserve">resources equal to or greater than </w:t>
      </w:r>
      <w:r w:rsidR="00770C02" w:rsidRPr="00111D82">
        <w:rPr>
          <w:rFonts w:ascii="Times New Roman" w:hAnsi="Times New Roman"/>
          <w:sz w:val="24"/>
          <w:szCs w:val="24"/>
        </w:rPr>
        <w:t>the Company’s 201</w:t>
      </w:r>
      <w:r w:rsidR="00D431B0">
        <w:rPr>
          <w:rFonts w:ascii="Times New Roman" w:hAnsi="Times New Roman"/>
          <w:sz w:val="24"/>
          <w:szCs w:val="24"/>
        </w:rPr>
        <w:t xml:space="preserve">2-2013 biennial target </w:t>
      </w:r>
      <w:r w:rsidR="00887B3C">
        <w:rPr>
          <w:rFonts w:ascii="Times New Roman" w:hAnsi="Times New Roman"/>
          <w:sz w:val="24"/>
          <w:szCs w:val="24"/>
        </w:rPr>
        <w:t>savings</w:t>
      </w:r>
      <w:r w:rsidR="00770C02" w:rsidRPr="00111D82">
        <w:rPr>
          <w:rFonts w:ascii="Times New Roman" w:hAnsi="Times New Roman"/>
          <w:sz w:val="24"/>
          <w:szCs w:val="24"/>
        </w:rPr>
        <w:t>.</w:t>
      </w:r>
    </w:p>
    <w:p w:rsidR="00EF7874" w:rsidRPr="00111D82" w:rsidRDefault="00E41655" w:rsidP="00477652">
      <w:pPr>
        <w:spacing w:before="100" w:beforeAutospacing="1"/>
        <w:jc w:val="center"/>
        <w:rPr>
          <w:rFonts w:ascii="Times New Roman" w:hAnsi="Times New Roman"/>
          <w:b/>
          <w:sz w:val="24"/>
          <w:szCs w:val="24"/>
        </w:rPr>
      </w:pPr>
      <w:r w:rsidRPr="00111D82">
        <w:rPr>
          <w:rFonts w:ascii="Times New Roman" w:hAnsi="Times New Roman"/>
          <w:b/>
          <w:sz w:val="24"/>
          <w:szCs w:val="24"/>
        </w:rPr>
        <w:t xml:space="preserve">Table </w:t>
      </w:r>
      <w:r w:rsidR="00A92537" w:rsidRPr="00111D82">
        <w:rPr>
          <w:rFonts w:ascii="Times New Roman" w:hAnsi="Times New Roman"/>
          <w:b/>
          <w:sz w:val="24"/>
          <w:szCs w:val="24"/>
        </w:rPr>
        <w:t>1</w:t>
      </w:r>
    </w:p>
    <w:p w:rsidR="00D86B07" w:rsidRDefault="003F207F" w:rsidP="00676608">
      <w:pPr>
        <w:jc w:val="center"/>
        <w:rPr>
          <w:rFonts w:ascii="Times New Roman" w:hAnsi="Times New Roman"/>
          <w:b/>
          <w:sz w:val="24"/>
          <w:szCs w:val="24"/>
        </w:rPr>
      </w:pPr>
      <w:r w:rsidRPr="00111D82">
        <w:rPr>
          <w:rFonts w:ascii="Times New Roman" w:hAnsi="Times New Roman"/>
          <w:b/>
          <w:sz w:val="24"/>
          <w:szCs w:val="24"/>
        </w:rPr>
        <w:t>201</w:t>
      </w:r>
      <w:r w:rsidR="005D1DDC" w:rsidRPr="00111D82">
        <w:rPr>
          <w:rFonts w:ascii="Times New Roman" w:hAnsi="Times New Roman"/>
          <w:b/>
          <w:sz w:val="24"/>
          <w:szCs w:val="24"/>
        </w:rPr>
        <w:t>2</w:t>
      </w:r>
      <w:r w:rsidRPr="00111D82">
        <w:rPr>
          <w:rFonts w:ascii="Times New Roman" w:hAnsi="Times New Roman"/>
          <w:b/>
          <w:sz w:val="24"/>
          <w:szCs w:val="24"/>
        </w:rPr>
        <w:t xml:space="preserve"> – 201</w:t>
      </w:r>
      <w:r w:rsidR="005D1DDC" w:rsidRPr="00111D82">
        <w:rPr>
          <w:rFonts w:ascii="Times New Roman" w:hAnsi="Times New Roman"/>
          <w:b/>
          <w:sz w:val="24"/>
          <w:szCs w:val="24"/>
        </w:rPr>
        <w:t>3</w:t>
      </w:r>
      <w:r w:rsidRPr="00111D82">
        <w:rPr>
          <w:rFonts w:ascii="Times New Roman" w:hAnsi="Times New Roman"/>
          <w:b/>
          <w:sz w:val="24"/>
          <w:szCs w:val="24"/>
        </w:rPr>
        <w:t xml:space="preserve"> Biennial Target Savings and </w:t>
      </w:r>
      <w:r w:rsidR="00572734" w:rsidRPr="00111D82">
        <w:rPr>
          <w:rFonts w:ascii="Times New Roman" w:hAnsi="Times New Roman"/>
          <w:b/>
          <w:sz w:val="24"/>
          <w:szCs w:val="24"/>
        </w:rPr>
        <w:t>Budget Projections</w:t>
      </w:r>
      <w:r w:rsidR="00B2470B" w:rsidRPr="00111D82">
        <w:rPr>
          <w:rFonts w:ascii="Times New Roman" w:hAnsi="Times New Roman"/>
          <w:b/>
          <w:sz w:val="24"/>
          <w:szCs w:val="24"/>
        </w:rPr>
        <w:t xml:space="preserve"> </w:t>
      </w:r>
      <w:r w:rsidRPr="00111D82">
        <w:rPr>
          <w:rFonts w:ascii="Times New Roman" w:hAnsi="Times New Roman"/>
          <w:b/>
          <w:sz w:val="24"/>
          <w:szCs w:val="24"/>
        </w:rPr>
        <w:t>by Program</w:t>
      </w:r>
    </w:p>
    <w:p w:rsidR="00ED2D31" w:rsidRDefault="00B672F3" w:rsidP="00D63FB5">
      <w:pPr>
        <w:jc w:val="center"/>
        <w:rPr>
          <w:rFonts w:ascii="Times New Roman" w:hAnsi="Times New Roman"/>
          <w:b/>
          <w:sz w:val="24"/>
          <w:szCs w:val="24"/>
        </w:rPr>
      </w:pPr>
      <w:r w:rsidRPr="00B672F3">
        <w:rPr>
          <w:noProof/>
          <w:szCs w:val="24"/>
        </w:rPr>
        <w:drawing>
          <wp:inline distT="0" distB="0" distL="0" distR="0">
            <wp:extent cx="6296025" cy="5943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300630" cy="5947947"/>
                    </a:xfrm>
                    <a:prstGeom prst="rect">
                      <a:avLst/>
                    </a:prstGeom>
                    <a:noFill/>
                    <a:ln w="9525">
                      <a:noFill/>
                      <a:miter lim="800000"/>
                      <a:headEnd/>
                      <a:tailEnd/>
                    </a:ln>
                  </pic:spPr>
                </pic:pic>
              </a:graphicData>
            </a:graphic>
          </wp:inline>
        </w:drawing>
      </w:r>
    </w:p>
    <w:p w:rsidR="00ED2D31" w:rsidRDefault="00ED2D31">
      <w:pPr>
        <w:rPr>
          <w:rFonts w:ascii="Times New Roman" w:hAnsi="Times New Roman"/>
          <w:b/>
          <w:sz w:val="24"/>
          <w:szCs w:val="24"/>
        </w:rPr>
      </w:pPr>
      <w:r>
        <w:rPr>
          <w:rFonts w:ascii="Times New Roman" w:hAnsi="Times New Roman"/>
          <w:b/>
          <w:sz w:val="24"/>
          <w:szCs w:val="24"/>
        </w:rPr>
        <w:br w:type="page"/>
      </w:r>
    </w:p>
    <w:p w:rsidR="00722821" w:rsidRPr="00111D82" w:rsidRDefault="00477652" w:rsidP="00676608">
      <w:pPr>
        <w:spacing w:before="100" w:beforeAutospacing="1" w:after="100" w:afterAutospacing="1"/>
        <w:jc w:val="both"/>
        <w:rPr>
          <w:rFonts w:ascii="Times New Roman" w:hAnsi="Times New Roman"/>
          <w:b/>
          <w:sz w:val="20"/>
          <w:szCs w:val="20"/>
        </w:rPr>
      </w:pPr>
      <w:r>
        <w:rPr>
          <w:rFonts w:ascii="Times New Roman" w:hAnsi="Times New Roman"/>
          <w:b/>
          <w:sz w:val="20"/>
          <w:szCs w:val="20"/>
        </w:rPr>
        <w:t xml:space="preserve">Table </w:t>
      </w:r>
      <w:r w:rsidR="001D68F0" w:rsidRPr="00111D82">
        <w:rPr>
          <w:rFonts w:ascii="Times New Roman" w:hAnsi="Times New Roman"/>
          <w:b/>
          <w:sz w:val="20"/>
          <w:szCs w:val="20"/>
        </w:rPr>
        <w:t>Notes:</w:t>
      </w:r>
    </w:p>
    <w:p w:rsidR="00992C56" w:rsidRDefault="0003206F"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Low income forecasts for 2012 and 2013 are based on historic levels adjusted for the anticipated decrease in American Reinvestment and Recovery</w:t>
      </w:r>
      <w:r w:rsidR="001E12F0" w:rsidRPr="00111D82">
        <w:rPr>
          <w:rFonts w:ascii="Times New Roman" w:hAnsi="Times New Roman"/>
          <w:sz w:val="20"/>
          <w:szCs w:val="20"/>
        </w:rPr>
        <w:t xml:space="preserve"> Act of 2009 </w:t>
      </w:r>
      <w:r w:rsidRPr="00111D82">
        <w:rPr>
          <w:rFonts w:ascii="Times New Roman" w:hAnsi="Times New Roman"/>
          <w:sz w:val="20"/>
          <w:szCs w:val="20"/>
        </w:rPr>
        <w:t>funding. The Company maintains $1</w:t>
      </w:r>
      <w:r w:rsidR="00096CB3">
        <w:rPr>
          <w:rFonts w:ascii="Times New Roman" w:hAnsi="Times New Roman"/>
          <w:sz w:val="20"/>
          <w:szCs w:val="20"/>
        </w:rPr>
        <w:t xml:space="preserve"> million</w:t>
      </w:r>
      <w:r w:rsidRPr="00111D82">
        <w:rPr>
          <w:rFonts w:ascii="Times New Roman" w:hAnsi="Times New Roman"/>
          <w:sz w:val="20"/>
          <w:szCs w:val="20"/>
        </w:rPr>
        <w:t xml:space="preserve"> annually available for matching commitments.</w:t>
      </w:r>
    </w:p>
    <w:p w:rsidR="000576BD" w:rsidRPr="00111D82" w:rsidRDefault="000576BD" w:rsidP="00676608">
      <w:pPr>
        <w:pStyle w:val="ListParagraph"/>
        <w:ind w:left="360"/>
        <w:contextualSpacing w:val="0"/>
        <w:jc w:val="both"/>
        <w:rPr>
          <w:rFonts w:ascii="Times New Roman" w:hAnsi="Times New Roman"/>
          <w:sz w:val="20"/>
          <w:szCs w:val="20"/>
        </w:rPr>
      </w:pPr>
    </w:p>
    <w:p w:rsidR="000576BD" w:rsidRDefault="0003206F"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 xml:space="preserve">Refrigeration recycling </w:t>
      </w:r>
      <w:r w:rsidR="008C6FEC" w:rsidRPr="00111D82">
        <w:rPr>
          <w:rFonts w:ascii="Times New Roman" w:hAnsi="Times New Roman"/>
          <w:sz w:val="20"/>
          <w:szCs w:val="20"/>
        </w:rPr>
        <w:t xml:space="preserve">unit energy savings have been adjusted for the 2012 and 2013 reporting periods based on new </w:t>
      </w:r>
      <w:r w:rsidR="001D68F0" w:rsidRPr="00111D82">
        <w:rPr>
          <w:rFonts w:ascii="Times New Roman" w:hAnsi="Times New Roman"/>
          <w:sz w:val="20"/>
          <w:szCs w:val="20"/>
        </w:rPr>
        <w:t xml:space="preserve">information from the </w:t>
      </w:r>
      <w:r w:rsidR="0080053C" w:rsidRPr="00111D82">
        <w:rPr>
          <w:rFonts w:ascii="Times New Roman" w:hAnsi="Times New Roman"/>
          <w:sz w:val="20"/>
          <w:szCs w:val="20"/>
        </w:rPr>
        <w:t xml:space="preserve">program’s </w:t>
      </w:r>
      <w:r w:rsidR="001D68F0" w:rsidRPr="00111D82">
        <w:rPr>
          <w:rFonts w:ascii="Times New Roman" w:hAnsi="Times New Roman"/>
          <w:sz w:val="20"/>
          <w:szCs w:val="20"/>
        </w:rPr>
        <w:t>2009-2010 Washington impact evaluation</w:t>
      </w:r>
      <w:r w:rsidR="008C6FEC" w:rsidRPr="00111D82">
        <w:rPr>
          <w:rFonts w:ascii="Times New Roman" w:hAnsi="Times New Roman"/>
          <w:sz w:val="20"/>
          <w:szCs w:val="20"/>
        </w:rPr>
        <w:t xml:space="preserve">. The new </w:t>
      </w:r>
      <w:r w:rsidR="0080053C" w:rsidRPr="00111D82">
        <w:rPr>
          <w:rFonts w:ascii="Times New Roman" w:hAnsi="Times New Roman"/>
          <w:sz w:val="20"/>
          <w:szCs w:val="20"/>
        </w:rPr>
        <w:t xml:space="preserve">information </w:t>
      </w:r>
      <w:r w:rsidR="008C6FEC" w:rsidRPr="00111D82">
        <w:rPr>
          <w:rFonts w:ascii="Times New Roman" w:hAnsi="Times New Roman"/>
          <w:sz w:val="20"/>
          <w:szCs w:val="20"/>
        </w:rPr>
        <w:t xml:space="preserve">was </w:t>
      </w:r>
      <w:r w:rsidR="001D68F0" w:rsidRPr="00111D82">
        <w:rPr>
          <w:rFonts w:ascii="Times New Roman" w:hAnsi="Times New Roman"/>
          <w:sz w:val="20"/>
          <w:szCs w:val="20"/>
        </w:rPr>
        <w:t>incorporated into an RTF approved calculation to arrive at</w:t>
      </w:r>
      <w:r w:rsidR="008C6FEC" w:rsidRPr="00111D82">
        <w:rPr>
          <w:rFonts w:ascii="Times New Roman" w:hAnsi="Times New Roman"/>
          <w:sz w:val="20"/>
          <w:szCs w:val="20"/>
        </w:rPr>
        <w:t xml:space="preserve"> the revised </w:t>
      </w:r>
      <w:r w:rsidR="0080053C" w:rsidRPr="00111D82">
        <w:rPr>
          <w:rFonts w:ascii="Times New Roman" w:hAnsi="Times New Roman"/>
          <w:sz w:val="20"/>
          <w:szCs w:val="20"/>
        </w:rPr>
        <w:t xml:space="preserve">unit energy savings for each appliance type (refrigerators and freezers). </w:t>
      </w:r>
      <w:r w:rsidR="001D68F0" w:rsidRPr="00111D82">
        <w:rPr>
          <w:rFonts w:ascii="Times New Roman" w:hAnsi="Times New Roman"/>
          <w:sz w:val="20"/>
          <w:szCs w:val="20"/>
        </w:rPr>
        <w:t>The effect of th</w:t>
      </w:r>
      <w:r w:rsidR="0080053C" w:rsidRPr="00111D82">
        <w:rPr>
          <w:rFonts w:ascii="Times New Roman" w:hAnsi="Times New Roman"/>
          <w:sz w:val="20"/>
          <w:szCs w:val="20"/>
        </w:rPr>
        <w:t xml:space="preserve">is new information is </w:t>
      </w:r>
      <w:r w:rsidR="00CE37AE" w:rsidRPr="00111D82">
        <w:rPr>
          <w:rFonts w:ascii="Times New Roman" w:hAnsi="Times New Roman"/>
          <w:sz w:val="20"/>
          <w:szCs w:val="20"/>
        </w:rPr>
        <w:t xml:space="preserve">a </w:t>
      </w:r>
      <w:r w:rsidR="001D68F0" w:rsidRPr="00111D82">
        <w:rPr>
          <w:rFonts w:ascii="Times New Roman" w:hAnsi="Times New Roman"/>
          <w:sz w:val="20"/>
          <w:szCs w:val="20"/>
        </w:rPr>
        <w:t xml:space="preserve">downward adjustment in the </w:t>
      </w:r>
      <w:r w:rsidR="0080053C" w:rsidRPr="00111D82">
        <w:rPr>
          <w:rFonts w:ascii="Times New Roman" w:hAnsi="Times New Roman"/>
          <w:sz w:val="20"/>
          <w:szCs w:val="20"/>
        </w:rPr>
        <w:t xml:space="preserve">Company’s initial </w:t>
      </w:r>
      <w:r w:rsidR="001D68F0" w:rsidRPr="00111D82">
        <w:rPr>
          <w:rFonts w:ascii="Times New Roman" w:hAnsi="Times New Roman"/>
          <w:sz w:val="20"/>
          <w:szCs w:val="20"/>
        </w:rPr>
        <w:t>ten-year forecast.</w:t>
      </w:r>
      <w:r w:rsidR="00096CB3">
        <w:rPr>
          <w:rFonts w:ascii="Times New Roman" w:hAnsi="Times New Roman"/>
          <w:sz w:val="20"/>
          <w:szCs w:val="20"/>
        </w:rPr>
        <w:t xml:space="preserve"> </w:t>
      </w:r>
      <w:r w:rsidR="001D68F0" w:rsidRPr="00111D82">
        <w:rPr>
          <w:rFonts w:ascii="Times New Roman" w:hAnsi="Times New Roman"/>
          <w:sz w:val="20"/>
          <w:szCs w:val="20"/>
        </w:rPr>
        <w:t>Th</w:t>
      </w:r>
      <w:r w:rsidR="0080053C" w:rsidRPr="00111D82">
        <w:rPr>
          <w:rFonts w:ascii="Times New Roman" w:hAnsi="Times New Roman"/>
          <w:sz w:val="20"/>
          <w:szCs w:val="20"/>
        </w:rPr>
        <w:t>e</w:t>
      </w:r>
      <w:r w:rsidR="008C6FEC" w:rsidRPr="00111D82">
        <w:rPr>
          <w:rFonts w:ascii="Times New Roman" w:hAnsi="Times New Roman"/>
          <w:sz w:val="20"/>
          <w:szCs w:val="20"/>
        </w:rPr>
        <w:t xml:space="preserve"> adjustment is further explained in “Appendix 4, Additional Detail – Forecast Adjustments” to the </w:t>
      </w:r>
      <w:r w:rsidR="0080053C" w:rsidRPr="00111D82">
        <w:rPr>
          <w:rFonts w:ascii="Times New Roman" w:hAnsi="Times New Roman"/>
          <w:sz w:val="20"/>
          <w:szCs w:val="20"/>
        </w:rPr>
        <w:t>Compan</w:t>
      </w:r>
      <w:r w:rsidR="000576BD">
        <w:rPr>
          <w:rFonts w:ascii="Times New Roman" w:hAnsi="Times New Roman"/>
          <w:sz w:val="20"/>
          <w:szCs w:val="20"/>
        </w:rPr>
        <w:t>y’s Biennial Conservation Plan.</w:t>
      </w:r>
    </w:p>
    <w:p w:rsidR="000576BD" w:rsidRPr="000576BD" w:rsidRDefault="000576BD" w:rsidP="00676608">
      <w:pPr>
        <w:pStyle w:val="ListParagraph"/>
        <w:ind w:left="360"/>
        <w:jc w:val="both"/>
        <w:rPr>
          <w:rFonts w:ascii="Times New Roman" w:hAnsi="Times New Roman"/>
          <w:sz w:val="20"/>
          <w:szCs w:val="20"/>
        </w:rPr>
      </w:pPr>
    </w:p>
    <w:p w:rsidR="00722821" w:rsidRDefault="00B35334"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 xml:space="preserve">Compact fluorescent lighting in the Home Energy Savings program assumes </w:t>
      </w:r>
      <w:r w:rsidR="00183E21" w:rsidRPr="00111D82">
        <w:rPr>
          <w:rFonts w:ascii="Times New Roman" w:hAnsi="Times New Roman"/>
          <w:sz w:val="20"/>
          <w:szCs w:val="20"/>
        </w:rPr>
        <w:t xml:space="preserve">a </w:t>
      </w:r>
      <w:r w:rsidR="001077E3" w:rsidRPr="00111D82">
        <w:rPr>
          <w:rFonts w:ascii="Times New Roman" w:hAnsi="Times New Roman"/>
          <w:sz w:val="20"/>
          <w:szCs w:val="20"/>
        </w:rPr>
        <w:t xml:space="preserve">reduction </w:t>
      </w:r>
      <w:r w:rsidRPr="00111D82">
        <w:rPr>
          <w:rFonts w:ascii="Times New Roman" w:hAnsi="Times New Roman"/>
          <w:sz w:val="20"/>
          <w:szCs w:val="20"/>
        </w:rPr>
        <w:t>in burn hours consistent with RTF (reduc</w:t>
      </w:r>
      <w:r w:rsidR="00183E21" w:rsidRPr="00111D82">
        <w:rPr>
          <w:rFonts w:ascii="Times New Roman" w:hAnsi="Times New Roman"/>
          <w:sz w:val="20"/>
          <w:szCs w:val="20"/>
        </w:rPr>
        <w:t>ed</w:t>
      </w:r>
      <w:r w:rsidRPr="00111D82">
        <w:rPr>
          <w:rFonts w:ascii="Times New Roman" w:hAnsi="Times New Roman"/>
          <w:sz w:val="20"/>
          <w:szCs w:val="20"/>
        </w:rPr>
        <w:t xml:space="preserve"> from 2.3 hours to 1.9 hours) and </w:t>
      </w:r>
      <w:r w:rsidR="00183E21" w:rsidRPr="00111D82">
        <w:rPr>
          <w:rFonts w:ascii="Times New Roman" w:hAnsi="Times New Roman"/>
          <w:sz w:val="20"/>
          <w:szCs w:val="20"/>
        </w:rPr>
        <w:t xml:space="preserve">a </w:t>
      </w:r>
      <w:r w:rsidRPr="00111D82">
        <w:rPr>
          <w:rFonts w:ascii="Times New Roman" w:hAnsi="Times New Roman"/>
          <w:sz w:val="20"/>
          <w:szCs w:val="20"/>
        </w:rPr>
        <w:t xml:space="preserve">non-install factor of </w:t>
      </w:r>
      <w:r w:rsidR="00B82500">
        <w:rPr>
          <w:rFonts w:ascii="Times New Roman" w:hAnsi="Times New Roman"/>
          <w:sz w:val="20"/>
          <w:szCs w:val="20"/>
        </w:rPr>
        <w:t>36</w:t>
      </w:r>
      <w:r w:rsidRPr="00111D82">
        <w:rPr>
          <w:rFonts w:ascii="Times New Roman" w:hAnsi="Times New Roman"/>
          <w:sz w:val="20"/>
          <w:szCs w:val="20"/>
        </w:rPr>
        <w:t xml:space="preserve"> percent</w:t>
      </w:r>
      <w:r w:rsidR="00E45C01" w:rsidRPr="00111D82">
        <w:rPr>
          <w:rFonts w:ascii="Times New Roman" w:hAnsi="Times New Roman"/>
          <w:sz w:val="20"/>
          <w:szCs w:val="20"/>
        </w:rPr>
        <w:t xml:space="preserve"> </w:t>
      </w:r>
      <w:r w:rsidR="00B82500">
        <w:rPr>
          <w:rFonts w:ascii="Times New Roman" w:hAnsi="Times New Roman"/>
          <w:sz w:val="20"/>
          <w:szCs w:val="20"/>
        </w:rPr>
        <w:t>f</w:t>
      </w:r>
      <w:r w:rsidR="00E45C01" w:rsidRPr="00111D82">
        <w:rPr>
          <w:rFonts w:ascii="Times New Roman" w:hAnsi="Times New Roman"/>
          <w:sz w:val="20"/>
          <w:szCs w:val="20"/>
        </w:rPr>
        <w:t>or twisters, 20 percent for specialty bulbs</w:t>
      </w:r>
      <w:r w:rsidRPr="00111D82">
        <w:rPr>
          <w:rFonts w:ascii="Times New Roman" w:hAnsi="Times New Roman"/>
          <w:sz w:val="20"/>
          <w:szCs w:val="20"/>
        </w:rPr>
        <w:t>.</w:t>
      </w:r>
      <w:r w:rsidR="0004207E" w:rsidRPr="00111D82">
        <w:rPr>
          <w:rFonts w:ascii="Times New Roman" w:hAnsi="Times New Roman"/>
          <w:sz w:val="20"/>
          <w:szCs w:val="20"/>
        </w:rPr>
        <w:t xml:space="preserve"> In addition to these two adjustments, the Company has made an adjustment to reflect the interaction between efficient lighting and space conditioning equipment. The effect of this adjustment is an additional downward adjustment in the Company’s initial ten-year forecast, biennial target and program specific savings forecast provided September 15, 2011.</w:t>
      </w:r>
      <w:r w:rsidR="001818BF">
        <w:rPr>
          <w:rFonts w:ascii="Times New Roman" w:hAnsi="Times New Roman"/>
          <w:sz w:val="20"/>
          <w:szCs w:val="20"/>
        </w:rPr>
        <w:t xml:space="preserve"> </w:t>
      </w:r>
      <w:r w:rsidR="0004207E" w:rsidRPr="00111D82">
        <w:rPr>
          <w:rFonts w:ascii="Times New Roman" w:hAnsi="Times New Roman"/>
          <w:sz w:val="20"/>
          <w:szCs w:val="20"/>
        </w:rPr>
        <w:t>The adjustment is further explained in “Appendix 4, Additional Detail – Forecast Adjustments” to the Company’s Biennial Conservation Plan.</w:t>
      </w:r>
    </w:p>
    <w:p w:rsidR="000576BD" w:rsidRPr="000576BD" w:rsidRDefault="000576BD" w:rsidP="00676608">
      <w:pPr>
        <w:pStyle w:val="ListParagraph"/>
        <w:ind w:left="360"/>
        <w:jc w:val="both"/>
        <w:rPr>
          <w:rFonts w:ascii="Times New Roman" w:hAnsi="Times New Roman"/>
          <w:sz w:val="20"/>
          <w:szCs w:val="20"/>
        </w:rPr>
      </w:pPr>
    </w:p>
    <w:p w:rsidR="004B05A1" w:rsidRDefault="004B05A1" w:rsidP="00676608">
      <w:pPr>
        <w:pStyle w:val="ListParagraph"/>
        <w:numPr>
          <w:ilvl w:val="0"/>
          <w:numId w:val="7"/>
        </w:numPr>
        <w:ind w:left="360"/>
        <w:contextualSpacing w:val="0"/>
        <w:jc w:val="both"/>
        <w:rPr>
          <w:rFonts w:ascii="Times New Roman" w:hAnsi="Times New Roman"/>
          <w:sz w:val="20"/>
          <w:szCs w:val="20"/>
        </w:rPr>
      </w:pPr>
      <w:r>
        <w:rPr>
          <w:rFonts w:ascii="Times New Roman" w:hAnsi="Times New Roman"/>
          <w:sz w:val="20"/>
          <w:szCs w:val="20"/>
        </w:rPr>
        <w:t xml:space="preserve">Net savings are forecasted for the Home Energy Reports program to avoid double counting of </w:t>
      </w:r>
      <w:r w:rsidRPr="004B05A1">
        <w:rPr>
          <w:rFonts w:ascii="Times New Roman" w:hAnsi="Times New Roman"/>
          <w:sz w:val="20"/>
          <w:szCs w:val="20"/>
        </w:rPr>
        <w:t>savings attributed to other program</w:t>
      </w:r>
      <w:r>
        <w:rPr>
          <w:rFonts w:ascii="Times New Roman" w:hAnsi="Times New Roman"/>
          <w:sz w:val="20"/>
          <w:szCs w:val="20"/>
        </w:rPr>
        <w:t>s</w:t>
      </w:r>
      <w:r w:rsidRPr="004B05A1">
        <w:rPr>
          <w:rFonts w:ascii="Times New Roman" w:hAnsi="Times New Roman"/>
          <w:sz w:val="20"/>
          <w:szCs w:val="20"/>
        </w:rPr>
        <w:t>.</w:t>
      </w:r>
    </w:p>
    <w:p w:rsidR="004B05A1" w:rsidRPr="004B05A1" w:rsidRDefault="004B05A1" w:rsidP="00676608">
      <w:pPr>
        <w:pStyle w:val="ListParagraph"/>
        <w:ind w:left="360"/>
        <w:contextualSpacing w:val="0"/>
        <w:jc w:val="both"/>
        <w:rPr>
          <w:rFonts w:ascii="Times New Roman" w:hAnsi="Times New Roman"/>
          <w:sz w:val="20"/>
          <w:szCs w:val="20"/>
        </w:rPr>
      </w:pPr>
    </w:p>
    <w:p w:rsidR="00992C56" w:rsidRDefault="00C9386D"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N</w:t>
      </w:r>
      <w:r w:rsidR="004E4BE1" w:rsidRPr="00111D82">
        <w:rPr>
          <w:rFonts w:ascii="Times New Roman" w:hAnsi="Times New Roman"/>
          <w:sz w:val="20"/>
          <w:szCs w:val="20"/>
        </w:rPr>
        <w:t>o savings are forecasted to be tracked and reported from the Energy Education in School program</w:t>
      </w:r>
      <w:r w:rsidR="00932C67">
        <w:rPr>
          <w:rFonts w:ascii="Times New Roman" w:hAnsi="Times New Roman"/>
          <w:sz w:val="20"/>
          <w:szCs w:val="20"/>
        </w:rPr>
        <w:t xml:space="preserve"> this biennium. The program will be discontinued </w:t>
      </w:r>
      <w:r w:rsidR="000576BD">
        <w:rPr>
          <w:rFonts w:ascii="Times New Roman" w:hAnsi="Times New Roman"/>
          <w:sz w:val="20"/>
          <w:szCs w:val="20"/>
        </w:rPr>
        <w:t>and tariff will be cancelled after</w:t>
      </w:r>
      <w:r w:rsidR="00932C67">
        <w:rPr>
          <w:rFonts w:ascii="Times New Roman" w:hAnsi="Times New Roman"/>
          <w:sz w:val="20"/>
          <w:szCs w:val="20"/>
        </w:rPr>
        <w:t xml:space="preserve"> the 2011-12 school year</w:t>
      </w:r>
      <w:r w:rsidR="00872425">
        <w:rPr>
          <w:rFonts w:ascii="Times New Roman" w:hAnsi="Times New Roman"/>
          <w:sz w:val="20"/>
          <w:szCs w:val="20"/>
        </w:rPr>
        <w:t>.</w:t>
      </w:r>
    </w:p>
    <w:p w:rsidR="000576BD" w:rsidRPr="000576BD" w:rsidRDefault="000576BD" w:rsidP="00676608">
      <w:pPr>
        <w:pStyle w:val="ListParagraph"/>
        <w:ind w:left="360"/>
        <w:jc w:val="both"/>
        <w:rPr>
          <w:rFonts w:ascii="Times New Roman" w:hAnsi="Times New Roman"/>
          <w:sz w:val="20"/>
          <w:szCs w:val="20"/>
        </w:rPr>
      </w:pPr>
    </w:p>
    <w:p w:rsidR="00992C56" w:rsidRDefault="004E4BE1"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Northwest Energy Efficiency Alliance (“NEEA”) costs are based on Pacifi</w:t>
      </w:r>
      <w:r w:rsidR="004F1619" w:rsidRPr="00111D82">
        <w:rPr>
          <w:rFonts w:ascii="Times New Roman" w:hAnsi="Times New Roman"/>
          <w:sz w:val="20"/>
          <w:szCs w:val="20"/>
        </w:rPr>
        <w:t>Corp</w:t>
      </w:r>
      <w:r w:rsidRPr="00111D82">
        <w:rPr>
          <w:rFonts w:ascii="Times New Roman" w:hAnsi="Times New Roman"/>
          <w:sz w:val="20"/>
          <w:szCs w:val="20"/>
        </w:rPr>
        <w:t>’s percent of regional funding for the 2010-2014 funding cycle. Forecasted savings were provided by NEEA on September 1, 2011, and represent the expected changes in Washington efficiency baselines in the areas NEEA works</w:t>
      </w:r>
      <w:r w:rsidR="004F1619" w:rsidRPr="00111D82">
        <w:rPr>
          <w:rFonts w:ascii="Times New Roman" w:hAnsi="Times New Roman"/>
          <w:sz w:val="20"/>
          <w:szCs w:val="20"/>
        </w:rPr>
        <w:t>,</w:t>
      </w:r>
      <w:r w:rsidRPr="00111D82">
        <w:rPr>
          <w:rFonts w:ascii="Times New Roman" w:hAnsi="Times New Roman"/>
          <w:sz w:val="20"/>
          <w:szCs w:val="20"/>
        </w:rPr>
        <w:t xml:space="preserve"> i.e. lighting, consumer electronics, appliances, business IT, etc. less the portion of that change incented through utility programs. See Appendix 9</w:t>
      </w:r>
      <w:r w:rsidR="004F1619" w:rsidRPr="00111D82">
        <w:rPr>
          <w:rFonts w:ascii="Times New Roman" w:hAnsi="Times New Roman"/>
          <w:sz w:val="20"/>
          <w:szCs w:val="20"/>
        </w:rPr>
        <w:t xml:space="preserve"> to the Biennial Conservation Plan</w:t>
      </w:r>
      <w:r w:rsidRPr="00111D82">
        <w:rPr>
          <w:rFonts w:ascii="Times New Roman" w:hAnsi="Times New Roman"/>
          <w:sz w:val="20"/>
          <w:szCs w:val="20"/>
        </w:rPr>
        <w:t xml:space="preserve"> for more detail on NEEA’s forecast and savings calculation methodology. The Company discounted NEEA’s savings forecast by 15</w:t>
      </w:r>
      <w:r w:rsidR="00D012C4">
        <w:rPr>
          <w:rFonts w:ascii="Times New Roman" w:hAnsi="Times New Roman"/>
          <w:sz w:val="20"/>
          <w:szCs w:val="20"/>
        </w:rPr>
        <w:t>-</w:t>
      </w:r>
      <w:r w:rsidRPr="00111D82">
        <w:rPr>
          <w:rFonts w:ascii="Times New Roman" w:hAnsi="Times New Roman"/>
          <w:sz w:val="20"/>
          <w:szCs w:val="20"/>
        </w:rPr>
        <w:t>percent to account for forecasting uncertainties and NEEA’s evolving attribution methodology.</w:t>
      </w:r>
    </w:p>
    <w:p w:rsidR="000576BD" w:rsidRPr="000576BD" w:rsidRDefault="000576BD" w:rsidP="00676608">
      <w:pPr>
        <w:pStyle w:val="ListParagraph"/>
        <w:ind w:left="360"/>
        <w:jc w:val="both"/>
        <w:rPr>
          <w:rFonts w:ascii="Times New Roman" w:hAnsi="Times New Roman"/>
          <w:sz w:val="20"/>
          <w:szCs w:val="20"/>
        </w:rPr>
      </w:pPr>
    </w:p>
    <w:p w:rsidR="00992C56" w:rsidRDefault="00F85896"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For</w:t>
      </w:r>
      <w:r w:rsidR="00A857AD" w:rsidRPr="00111D82">
        <w:rPr>
          <w:rFonts w:ascii="Times New Roman" w:hAnsi="Times New Roman"/>
          <w:sz w:val="20"/>
          <w:szCs w:val="20"/>
        </w:rPr>
        <w:t xml:space="preserve"> more detail on the planned evaluations, see </w:t>
      </w:r>
      <w:r w:rsidR="00D13F29" w:rsidRPr="00111D82">
        <w:rPr>
          <w:rFonts w:ascii="Times New Roman" w:hAnsi="Times New Roman"/>
          <w:sz w:val="20"/>
          <w:szCs w:val="20"/>
        </w:rPr>
        <w:t>the</w:t>
      </w:r>
      <w:r w:rsidR="00A857AD" w:rsidRPr="00111D82">
        <w:rPr>
          <w:rFonts w:ascii="Times New Roman" w:hAnsi="Times New Roman"/>
          <w:sz w:val="20"/>
          <w:szCs w:val="20"/>
        </w:rPr>
        <w:t xml:space="preserve"> program detail sections in this Business Plan</w:t>
      </w:r>
      <w:r w:rsidR="00C70A2A" w:rsidRPr="00111D82">
        <w:rPr>
          <w:rFonts w:ascii="Times New Roman" w:hAnsi="Times New Roman"/>
          <w:sz w:val="20"/>
          <w:szCs w:val="20"/>
        </w:rPr>
        <w:t xml:space="preserve"> or Appendix 8</w:t>
      </w:r>
      <w:r w:rsidRPr="00111D82">
        <w:rPr>
          <w:rFonts w:ascii="Times New Roman" w:hAnsi="Times New Roman"/>
          <w:sz w:val="20"/>
          <w:szCs w:val="20"/>
        </w:rPr>
        <w:t xml:space="preserve"> to the Biennial Conservation Plan</w:t>
      </w:r>
      <w:r w:rsidR="00A857AD" w:rsidRPr="00111D82">
        <w:rPr>
          <w:rFonts w:ascii="Times New Roman" w:hAnsi="Times New Roman"/>
          <w:sz w:val="20"/>
          <w:szCs w:val="20"/>
        </w:rPr>
        <w:t>.</w:t>
      </w:r>
    </w:p>
    <w:p w:rsidR="000576BD" w:rsidRPr="000576BD" w:rsidRDefault="000576BD" w:rsidP="00676608">
      <w:pPr>
        <w:pStyle w:val="ListParagraph"/>
        <w:ind w:left="360"/>
        <w:jc w:val="both"/>
        <w:rPr>
          <w:rFonts w:ascii="Times New Roman" w:hAnsi="Times New Roman"/>
          <w:sz w:val="20"/>
          <w:szCs w:val="20"/>
        </w:rPr>
      </w:pPr>
    </w:p>
    <w:p w:rsidR="00992C56" w:rsidRDefault="0015749D"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Potential study update and analysis costs represent the costs necessary to prepare for the 2014-2023 ten-year conservation forecast and 2014-2015 biennial target. These costs are subject to change as new requirements become necessary.</w:t>
      </w:r>
    </w:p>
    <w:p w:rsidR="000576BD" w:rsidRPr="000576BD" w:rsidRDefault="000576BD" w:rsidP="00676608">
      <w:pPr>
        <w:pStyle w:val="ListParagraph"/>
        <w:ind w:left="360"/>
        <w:jc w:val="both"/>
        <w:rPr>
          <w:rFonts w:ascii="Times New Roman" w:hAnsi="Times New Roman"/>
          <w:sz w:val="20"/>
          <w:szCs w:val="20"/>
        </w:rPr>
      </w:pPr>
    </w:p>
    <w:p w:rsidR="000809AB" w:rsidRDefault="004E4BE1"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 xml:space="preserve">Measure data documentation costs </w:t>
      </w:r>
      <w:r w:rsidR="000257C2" w:rsidRPr="00111D82">
        <w:rPr>
          <w:rFonts w:ascii="Times New Roman" w:hAnsi="Times New Roman"/>
          <w:sz w:val="20"/>
          <w:szCs w:val="20"/>
        </w:rPr>
        <w:t>are placeholders while work continues to identi</w:t>
      </w:r>
      <w:r w:rsidR="000576BD">
        <w:rPr>
          <w:rFonts w:ascii="Times New Roman" w:hAnsi="Times New Roman"/>
          <w:sz w:val="20"/>
          <w:szCs w:val="20"/>
        </w:rPr>
        <w:t>fy final cost estimates.</w:t>
      </w:r>
    </w:p>
    <w:p w:rsidR="000576BD" w:rsidRPr="000576BD" w:rsidRDefault="000576BD" w:rsidP="00676608">
      <w:pPr>
        <w:pStyle w:val="ListParagraph"/>
        <w:ind w:left="360"/>
        <w:jc w:val="both"/>
        <w:rPr>
          <w:rFonts w:ascii="Times New Roman" w:hAnsi="Times New Roman"/>
          <w:sz w:val="20"/>
          <w:szCs w:val="20"/>
        </w:rPr>
      </w:pPr>
    </w:p>
    <w:p w:rsidR="000809AB" w:rsidRDefault="0015749D"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hAnsi="Times New Roman"/>
          <w:sz w:val="20"/>
          <w:szCs w:val="20"/>
        </w:rPr>
        <w:t>Resid</w:t>
      </w:r>
      <w:r w:rsidR="00F85896" w:rsidRPr="00111D82">
        <w:rPr>
          <w:rFonts w:ascii="Times New Roman" w:hAnsi="Times New Roman"/>
          <w:sz w:val="20"/>
          <w:szCs w:val="20"/>
        </w:rPr>
        <w:t>ual</w:t>
      </w:r>
      <w:r w:rsidRPr="00111D82">
        <w:rPr>
          <w:rFonts w:ascii="Times New Roman" w:hAnsi="Times New Roman"/>
          <w:sz w:val="20"/>
          <w:szCs w:val="20"/>
        </w:rPr>
        <w:t xml:space="preserve"> administration related to prior program expense represents the ongoing management of the conservation loans associated with legacy loan programs i.e. Energy FinAnswer, Home Comfort, etc.</w:t>
      </w:r>
    </w:p>
    <w:p w:rsidR="000576BD" w:rsidRPr="000576BD" w:rsidRDefault="000576BD" w:rsidP="00676608">
      <w:pPr>
        <w:pStyle w:val="ListParagraph"/>
        <w:ind w:left="360"/>
        <w:jc w:val="both"/>
        <w:rPr>
          <w:rFonts w:ascii="Times New Roman" w:hAnsi="Times New Roman"/>
          <w:sz w:val="20"/>
          <w:szCs w:val="20"/>
        </w:rPr>
      </w:pPr>
    </w:p>
    <w:p w:rsidR="00C727FB" w:rsidRPr="00111D82" w:rsidRDefault="00A92EA1" w:rsidP="00676608">
      <w:pPr>
        <w:pStyle w:val="ListParagraph"/>
        <w:numPr>
          <w:ilvl w:val="0"/>
          <w:numId w:val="7"/>
        </w:numPr>
        <w:ind w:left="360"/>
        <w:contextualSpacing w:val="0"/>
        <w:jc w:val="both"/>
        <w:rPr>
          <w:rFonts w:ascii="Times New Roman" w:hAnsi="Times New Roman"/>
          <w:sz w:val="20"/>
          <w:szCs w:val="20"/>
        </w:rPr>
      </w:pPr>
      <w:r w:rsidRPr="00111D82">
        <w:rPr>
          <w:rFonts w:ascii="Times New Roman" w:eastAsia="Times New Roman" w:hAnsi="Times New Roman"/>
          <w:sz w:val="20"/>
          <w:szCs w:val="20"/>
        </w:rPr>
        <w:t>The biennial target for distribution efficiency is presented within the Biennial Conservation Potential report is as a savings range rath</w:t>
      </w:r>
      <w:r w:rsidR="00AA5552">
        <w:rPr>
          <w:rFonts w:ascii="Times New Roman" w:eastAsia="Times New Roman" w:hAnsi="Times New Roman"/>
          <w:sz w:val="20"/>
          <w:szCs w:val="20"/>
        </w:rPr>
        <w:t>er than a fixed point estimate.</w:t>
      </w:r>
    </w:p>
    <w:p w:rsidR="002902B2" w:rsidRPr="00111D82" w:rsidRDefault="002902B2" w:rsidP="00C727FB">
      <w:pPr>
        <w:rPr>
          <w:rFonts w:eastAsia="Times New Roman"/>
        </w:rPr>
        <w:sectPr w:rsidR="002902B2" w:rsidRPr="00111D82" w:rsidSect="001B376C">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440" w:header="720" w:footer="720" w:gutter="0"/>
          <w:cols w:space="720"/>
          <w:docGrid w:linePitch="360"/>
        </w:sectPr>
      </w:pPr>
    </w:p>
    <w:p w:rsidR="00722821" w:rsidRPr="00111D82" w:rsidRDefault="00CD7669" w:rsidP="00D542AB">
      <w:pPr>
        <w:pStyle w:val="Heading1"/>
        <w:spacing w:before="100" w:beforeAutospacing="1" w:after="100" w:afterAutospacing="1"/>
        <w:jc w:val="both"/>
      </w:pPr>
      <w:bookmarkStart w:id="2" w:name="_Toc326296727"/>
      <w:r w:rsidRPr="00111D82">
        <w:t xml:space="preserve">Residential </w:t>
      </w:r>
      <w:r w:rsidR="00517748" w:rsidRPr="00111D82">
        <w:t>Program Details</w:t>
      </w:r>
      <w:bookmarkEnd w:id="2"/>
    </w:p>
    <w:p w:rsidR="00A018FE" w:rsidRPr="00111D82" w:rsidRDefault="00FA6E5B" w:rsidP="00D542AB">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The </w:t>
      </w:r>
      <w:r w:rsidR="00576581" w:rsidRPr="00111D82">
        <w:rPr>
          <w:rFonts w:ascii="Times New Roman" w:hAnsi="Times New Roman"/>
          <w:sz w:val="24"/>
          <w:szCs w:val="24"/>
        </w:rPr>
        <w:t>C</w:t>
      </w:r>
      <w:r w:rsidRPr="00111D82">
        <w:rPr>
          <w:rFonts w:ascii="Times New Roman" w:hAnsi="Times New Roman"/>
          <w:sz w:val="24"/>
          <w:szCs w:val="24"/>
        </w:rPr>
        <w:t>ompany’s r</w:t>
      </w:r>
      <w:r w:rsidR="00CD7669" w:rsidRPr="00111D82">
        <w:rPr>
          <w:rFonts w:ascii="Times New Roman" w:hAnsi="Times New Roman"/>
          <w:sz w:val="24"/>
          <w:szCs w:val="24"/>
        </w:rPr>
        <w:t>esidential program</w:t>
      </w:r>
      <w:r w:rsidRPr="00111D82">
        <w:rPr>
          <w:rFonts w:ascii="Times New Roman" w:hAnsi="Times New Roman"/>
          <w:sz w:val="24"/>
          <w:szCs w:val="24"/>
        </w:rPr>
        <w:t>s in Washington include Refrigerator Recycling</w:t>
      </w:r>
      <w:r w:rsidR="00CD7669" w:rsidRPr="00111D82">
        <w:rPr>
          <w:rFonts w:ascii="Times New Roman" w:hAnsi="Times New Roman"/>
          <w:sz w:val="24"/>
          <w:szCs w:val="24"/>
        </w:rPr>
        <w:t xml:space="preserve"> </w:t>
      </w:r>
      <w:r w:rsidR="00EF3BC0">
        <w:rPr>
          <w:rFonts w:ascii="Times New Roman" w:hAnsi="Times New Roman"/>
          <w:sz w:val="24"/>
          <w:szCs w:val="24"/>
        </w:rPr>
        <w:t>(Schedule 107),</w:t>
      </w:r>
      <w:r w:rsidRPr="00111D82">
        <w:rPr>
          <w:rFonts w:ascii="Times New Roman" w:hAnsi="Times New Roman"/>
          <w:sz w:val="24"/>
          <w:szCs w:val="24"/>
        </w:rPr>
        <w:t xml:space="preserve"> Home Energy Savings (Schedule 118</w:t>
      </w:r>
      <w:r w:rsidR="002E2139" w:rsidRPr="00111D82">
        <w:rPr>
          <w:rFonts w:ascii="Times New Roman" w:hAnsi="Times New Roman"/>
          <w:sz w:val="24"/>
          <w:szCs w:val="24"/>
        </w:rPr>
        <w:t>)</w:t>
      </w:r>
      <w:r w:rsidR="00EF3BC0">
        <w:rPr>
          <w:rFonts w:ascii="Times New Roman" w:hAnsi="Times New Roman"/>
          <w:sz w:val="24"/>
          <w:szCs w:val="24"/>
        </w:rPr>
        <w:t xml:space="preserve"> and more recently Home Energy Reports</w:t>
      </w:r>
      <w:r w:rsidR="002E2139" w:rsidRPr="00111D82">
        <w:rPr>
          <w:rFonts w:ascii="Times New Roman" w:hAnsi="Times New Roman"/>
          <w:sz w:val="24"/>
          <w:szCs w:val="24"/>
        </w:rPr>
        <w:t>.</w:t>
      </w:r>
    </w:p>
    <w:p w:rsidR="00722821" w:rsidRPr="00111D82" w:rsidRDefault="00D51773" w:rsidP="00D542AB">
      <w:pPr>
        <w:pStyle w:val="Heading2"/>
        <w:spacing w:before="100" w:beforeAutospacing="1" w:after="100" w:afterAutospacing="1"/>
        <w:jc w:val="both"/>
        <w:rPr>
          <w:szCs w:val="24"/>
        </w:rPr>
      </w:pPr>
      <w:bookmarkStart w:id="3" w:name="_Toc326296728"/>
      <w:r w:rsidRPr="00111D82">
        <w:rPr>
          <w:szCs w:val="24"/>
        </w:rPr>
        <w:t>Refrigerator Recycling (Schedule 107)</w:t>
      </w:r>
      <w:bookmarkEnd w:id="3"/>
    </w:p>
    <w:p w:rsidR="00F83805" w:rsidRPr="00111D82" w:rsidRDefault="00D542AB" w:rsidP="00D542AB">
      <w:pPr>
        <w:spacing w:before="100" w:beforeAutospacing="1"/>
        <w:jc w:val="both"/>
        <w:rPr>
          <w:rFonts w:ascii="Times New Roman" w:hAnsi="Times New Roman"/>
          <w:bCs/>
          <w:sz w:val="24"/>
          <w:szCs w:val="24"/>
          <w:u w:val="single"/>
        </w:rPr>
      </w:pPr>
      <w:r>
        <w:rPr>
          <w:rFonts w:ascii="Times New Roman" w:hAnsi="Times New Roman"/>
          <w:bCs/>
          <w:sz w:val="24"/>
          <w:szCs w:val="24"/>
          <w:u w:val="single"/>
        </w:rPr>
        <w:t>Years of Implementation</w:t>
      </w:r>
    </w:p>
    <w:p w:rsidR="00F83805" w:rsidRPr="00111D82" w:rsidRDefault="005A2C46" w:rsidP="00D542AB">
      <w:pPr>
        <w:spacing w:after="100" w:afterAutospacing="1"/>
        <w:jc w:val="both"/>
        <w:rPr>
          <w:rFonts w:ascii="Times New Roman" w:hAnsi="Times New Roman"/>
          <w:bCs/>
          <w:sz w:val="24"/>
          <w:szCs w:val="24"/>
        </w:rPr>
      </w:pPr>
      <w:r w:rsidRPr="00111D82">
        <w:rPr>
          <w:rFonts w:ascii="Times New Roman" w:hAnsi="Times New Roman"/>
          <w:sz w:val="24"/>
          <w:szCs w:val="24"/>
        </w:rPr>
        <w:t>Pacifi</w:t>
      </w:r>
      <w:r w:rsidR="003C7EC8" w:rsidRPr="00111D82">
        <w:rPr>
          <w:rFonts w:ascii="Times New Roman" w:hAnsi="Times New Roman"/>
          <w:sz w:val="24"/>
          <w:szCs w:val="24"/>
        </w:rPr>
        <w:t>Corp</w:t>
      </w:r>
      <w:r w:rsidRPr="00111D82">
        <w:rPr>
          <w:rFonts w:ascii="Times New Roman" w:hAnsi="Times New Roman"/>
          <w:sz w:val="24"/>
          <w:szCs w:val="24"/>
        </w:rPr>
        <w:t xml:space="preserve"> Electric Service Schedule No. 107 for the Residential Refrigerator Recycling Program was submitted under Advice Letter No. 05-004 on March 1, 2005. The </w:t>
      </w:r>
      <w:r w:rsidR="003C7EC8" w:rsidRPr="00111D82">
        <w:rPr>
          <w:rFonts w:ascii="Times New Roman" w:hAnsi="Times New Roman"/>
          <w:sz w:val="24"/>
          <w:szCs w:val="24"/>
        </w:rPr>
        <w:t xml:space="preserve">program was originally approved with an </w:t>
      </w:r>
      <w:r w:rsidR="00D542AB">
        <w:rPr>
          <w:rFonts w:ascii="Times New Roman" w:hAnsi="Times New Roman"/>
          <w:sz w:val="24"/>
          <w:szCs w:val="24"/>
        </w:rPr>
        <w:t>effective date April 1, 2005.</w:t>
      </w:r>
    </w:p>
    <w:p w:rsidR="00B2470B" w:rsidRPr="00111D82" w:rsidRDefault="00517748" w:rsidP="002534BA">
      <w:pPr>
        <w:spacing w:before="100" w:beforeAutospacing="1"/>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5A2C46" w:rsidRPr="00111D82" w:rsidRDefault="005A2C46" w:rsidP="002534BA">
      <w:pPr>
        <w:tabs>
          <w:tab w:val="left" w:pos="-1080"/>
        </w:tabs>
        <w:spacing w:after="100" w:afterAutospacing="1"/>
        <w:jc w:val="both"/>
        <w:rPr>
          <w:rFonts w:ascii="Times New Roman" w:hAnsi="Times New Roman"/>
          <w:sz w:val="24"/>
          <w:szCs w:val="24"/>
        </w:rPr>
      </w:pPr>
      <w:r w:rsidRPr="00111D82">
        <w:rPr>
          <w:rFonts w:ascii="Times New Roman" w:hAnsi="Times New Roman"/>
          <w:sz w:val="24"/>
          <w:szCs w:val="24"/>
        </w:rPr>
        <w:t xml:space="preserve">This program, operating as the See </w:t>
      </w:r>
      <w:r w:rsidR="009D545B" w:rsidRPr="00111D82">
        <w:rPr>
          <w:rFonts w:ascii="Times New Roman" w:hAnsi="Times New Roman"/>
          <w:sz w:val="24"/>
          <w:szCs w:val="24"/>
        </w:rPr>
        <w:t xml:space="preserve">ya later, refrigerator® </w:t>
      </w:r>
      <w:r w:rsidRPr="00111D82">
        <w:rPr>
          <w:rFonts w:ascii="Times New Roman" w:hAnsi="Times New Roman"/>
          <w:sz w:val="24"/>
          <w:szCs w:val="24"/>
        </w:rPr>
        <w:t>program, aims to decrease residential refrigeration loads by reducing the number of inefficient secondary and primary refrigerator and freezer models in operation. With this program, the Company offe</w:t>
      </w:r>
      <w:r w:rsidR="00D542AB">
        <w:rPr>
          <w:rFonts w:ascii="Times New Roman" w:hAnsi="Times New Roman"/>
          <w:sz w:val="24"/>
          <w:szCs w:val="24"/>
        </w:rPr>
        <w:t xml:space="preserve">rs all residential customers in </w:t>
      </w:r>
      <w:r w:rsidRPr="00111D82">
        <w:rPr>
          <w:rFonts w:ascii="Times New Roman" w:hAnsi="Times New Roman"/>
          <w:sz w:val="24"/>
          <w:szCs w:val="24"/>
        </w:rPr>
        <w:t>Washington the opportunity to receive an incentive (by check mailed within 30 days after collection</w:t>
      </w:r>
      <w:r w:rsidR="002E2139" w:rsidRPr="00111D82">
        <w:rPr>
          <w:rFonts w:ascii="Times New Roman" w:hAnsi="Times New Roman"/>
          <w:sz w:val="24"/>
          <w:szCs w:val="24"/>
        </w:rPr>
        <w:t xml:space="preserve"> of the unit to be recycled</w:t>
      </w:r>
      <w:r w:rsidRPr="00111D82">
        <w:rPr>
          <w:rFonts w:ascii="Times New Roman" w:hAnsi="Times New Roman"/>
          <w:sz w:val="24"/>
          <w:szCs w:val="24"/>
        </w:rPr>
        <w:t>) in exchange for turning in their old but working refrigerators and/or freezers for recycling. Each customer can recycle up to two units, refrigerators and/or freezers, per household. In addition, a kit with instant energy-saving measures is provided to each participating customer. Customers can schedule a free pick-up online at:</w:t>
      </w:r>
    </w:p>
    <w:p w:rsidR="005A2C46" w:rsidRPr="00111D82" w:rsidRDefault="000A75FE" w:rsidP="00D542AB">
      <w:pPr>
        <w:tabs>
          <w:tab w:val="left" w:pos="-1080"/>
        </w:tabs>
        <w:spacing w:before="100" w:beforeAutospacing="1" w:after="100" w:afterAutospacing="1"/>
        <w:jc w:val="both"/>
        <w:rPr>
          <w:rFonts w:ascii="Times New Roman" w:hAnsi="Times New Roman"/>
          <w:sz w:val="24"/>
          <w:szCs w:val="24"/>
        </w:rPr>
      </w:pPr>
      <w:hyperlink r:id="rId18" w:history="1">
        <w:r w:rsidR="005A2C46" w:rsidRPr="004D0519">
          <w:rPr>
            <w:rStyle w:val="Hyperlink"/>
            <w:rFonts w:ascii="Times New Roman" w:hAnsi="Times New Roman"/>
            <w:color w:val="3366FF"/>
            <w:sz w:val="24"/>
            <w:szCs w:val="24"/>
          </w:rPr>
          <w:t>http://www.pacificpower.net/res/sem/epi/washington/roa.html</w:t>
        </w:r>
      </w:hyperlink>
      <w:r w:rsidR="00D542AB">
        <w:rPr>
          <w:rFonts w:ascii="Times New Roman" w:hAnsi="Times New Roman"/>
          <w:sz w:val="24"/>
          <w:szCs w:val="24"/>
        </w:rPr>
        <w:t>.</w:t>
      </w:r>
    </w:p>
    <w:p w:rsidR="00722821" w:rsidRPr="00111D82" w:rsidRDefault="005A2C46" w:rsidP="00D542AB">
      <w:pPr>
        <w:spacing w:before="100" w:beforeAutospacing="1"/>
        <w:jc w:val="both"/>
        <w:rPr>
          <w:rFonts w:ascii="Times New Roman" w:hAnsi="Times New Roman"/>
          <w:sz w:val="24"/>
          <w:szCs w:val="24"/>
          <w:u w:val="single"/>
        </w:rPr>
      </w:pPr>
      <w:r w:rsidRPr="00111D82">
        <w:rPr>
          <w:rFonts w:ascii="Times New Roman" w:hAnsi="Times New Roman"/>
          <w:sz w:val="24"/>
          <w:szCs w:val="24"/>
          <w:u w:val="single"/>
        </w:rPr>
        <w:t>Planned Program Changes</w:t>
      </w:r>
    </w:p>
    <w:p w:rsidR="005A2C46" w:rsidRPr="00111D82" w:rsidRDefault="005A2C46" w:rsidP="00D542AB">
      <w:pPr>
        <w:spacing w:after="100" w:afterAutospacing="1"/>
        <w:jc w:val="both"/>
        <w:rPr>
          <w:rFonts w:ascii="Times New Roman" w:hAnsi="Times New Roman"/>
          <w:b/>
          <w:sz w:val="24"/>
          <w:szCs w:val="24"/>
          <w:u w:val="single"/>
        </w:rPr>
      </w:pPr>
      <w:r w:rsidRPr="00111D82">
        <w:rPr>
          <w:rFonts w:ascii="Times New Roman" w:hAnsi="Times New Roman"/>
          <w:sz w:val="24"/>
          <w:szCs w:val="24"/>
        </w:rPr>
        <w:t>Deemed values for refrigerator, freezer and kit savings have been updated for the 2012 and 2013 period based on the latest R</w:t>
      </w:r>
      <w:r w:rsidR="00626930" w:rsidRPr="00111D82">
        <w:rPr>
          <w:rFonts w:ascii="Times New Roman" w:hAnsi="Times New Roman"/>
          <w:sz w:val="24"/>
          <w:szCs w:val="24"/>
        </w:rPr>
        <w:t>egional Technical Forum (“RTF”)</w:t>
      </w:r>
      <w:r w:rsidRPr="00111D82">
        <w:rPr>
          <w:rFonts w:ascii="Times New Roman" w:hAnsi="Times New Roman"/>
          <w:sz w:val="24"/>
          <w:szCs w:val="24"/>
        </w:rPr>
        <w:t xml:space="preserve"> data</w:t>
      </w:r>
      <w:r w:rsidR="003B34F1" w:rsidRPr="00111D82">
        <w:rPr>
          <w:rFonts w:ascii="Times New Roman" w:hAnsi="Times New Roman"/>
          <w:sz w:val="24"/>
          <w:szCs w:val="24"/>
        </w:rPr>
        <w:t xml:space="preserve"> and 2009 and 2010 impact evaluation results</w:t>
      </w:r>
      <w:r w:rsidRPr="00111D82">
        <w:rPr>
          <w:rFonts w:ascii="Times New Roman" w:hAnsi="Times New Roman"/>
          <w:sz w:val="24"/>
          <w:szCs w:val="24"/>
        </w:rPr>
        <w:t xml:space="preserve">. </w:t>
      </w:r>
      <w:r w:rsidR="00626930" w:rsidRPr="00111D82">
        <w:rPr>
          <w:rFonts w:ascii="Times New Roman" w:hAnsi="Times New Roman"/>
          <w:sz w:val="24"/>
          <w:szCs w:val="24"/>
        </w:rPr>
        <w:t>Per unit r</w:t>
      </w:r>
      <w:r w:rsidRPr="00111D82">
        <w:rPr>
          <w:rFonts w:ascii="Times New Roman" w:hAnsi="Times New Roman"/>
          <w:sz w:val="24"/>
          <w:szCs w:val="24"/>
        </w:rPr>
        <w:t xml:space="preserve">efrigerator savings changed from 1,250 gross kWh to </w:t>
      </w:r>
      <w:r w:rsidR="00DE606C" w:rsidRPr="00111D82">
        <w:rPr>
          <w:rFonts w:ascii="Times New Roman" w:hAnsi="Times New Roman"/>
          <w:sz w:val="24"/>
          <w:szCs w:val="24"/>
        </w:rPr>
        <w:t>723</w:t>
      </w:r>
      <w:r w:rsidRPr="00111D82">
        <w:rPr>
          <w:rFonts w:ascii="Times New Roman" w:hAnsi="Times New Roman"/>
          <w:sz w:val="24"/>
          <w:szCs w:val="24"/>
        </w:rPr>
        <w:t xml:space="preserve"> gross kWh. Freezer savings also were lowered from 1,853 gross kWh </w:t>
      </w:r>
      <w:r w:rsidR="00626930" w:rsidRPr="00111D82">
        <w:rPr>
          <w:rFonts w:ascii="Times New Roman" w:hAnsi="Times New Roman"/>
          <w:sz w:val="24"/>
          <w:szCs w:val="24"/>
        </w:rPr>
        <w:t xml:space="preserve">per recycled freezer </w:t>
      </w:r>
      <w:r w:rsidRPr="00111D82">
        <w:rPr>
          <w:rFonts w:ascii="Times New Roman" w:hAnsi="Times New Roman"/>
          <w:sz w:val="24"/>
          <w:szCs w:val="24"/>
        </w:rPr>
        <w:t xml:space="preserve">to </w:t>
      </w:r>
      <w:r w:rsidR="00DE606C" w:rsidRPr="00111D82">
        <w:rPr>
          <w:rFonts w:ascii="Times New Roman" w:hAnsi="Times New Roman"/>
          <w:sz w:val="24"/>
          <w:szCs w:val="24"/>
        </w:rPr>
        <w:t>542</w:t>
      </w:r>
      <w:r w:rsidRPr="00111D82">
        <w:rPr>
          <w:rFonts w:ascii="Times New Roman" w:hAnsi="Times New Roman"/>
          <w:sz w:val="24"/>
          <w:szCs w:val="24"/>
        </w:rPr>
        <w:t xml:space="preserve"> gross kWh.</w:t>
      </w:r>
      <w:r w:rsidR="00626930" w:rsidRPr="00111D82">
        <w:rPr>
          <w:rFonts w:ascii="Times New Roman" w:hAnsi="Times New Roman"/>
          <w:sz w:val="24"/>
          <w:szCs w:val="24"/>
        </w:rPr>
        <w:t xml:space="preserve"> Relying on historical data of the ratio of refrigerators to freezers recycled</w:t>
      </w:r>
      <w:r w:rsidR="003C7EC8" w:rsidRPr="00111D82">
        <w:rPr>
          <w:rFonts w:ascii="Times New Roman" w:hAnsi="Times New Roman"/>
          <w:sz w:val="24"/>
          <w:szCs w:val="24"/>
        </w:rPr>
        <w:t>,</w:t>
      </w:r>
      <w:r w:rsidR="00626930" w:rsidRPr="00111D82">
        <w:rPr>
          <w:rFonts w:ascii="Times New Roman" w:hAnsi="Times New Roman"/>
          <w:sz w:val="24"/>
          <w:szCs w:val="24"/>
        </w:rPr>
        <w:t xml:space="preserve"> a weighted per unit deemed savings amount of </w:t>
      </w:r>
      <w:r w:rsidR="00DE606C" w:rsidRPr="00111D82">
        <w:rPr>
          <w:rFonts w:ascii="Times New Roman" w:hAnsi="Times New Roman"/>
          <w:sz w:val="24"/>
          <w:szCs w:val="24"/>
        </w:rPr>
        <w:t>687</w:t>
      </w:r>
      <w:r w:rsidR="00626930" w:rsidRPr="00111D82">
        <w:rPr>
          <w:rFonts w:ascii="Times New Roman" w:hAnsi="Times New Roman"/>
          <w:sz w:val="24"/>
          <w:szCs w:val="24"/>
        </w:rPr>
        <w:t xml:space="preserve"> kWh is assumed for all refrigerators or freezers </w:t>
      </w:r>
      <w:r w:rsidR="0033659D" w:rsidRPr="00111D82">
        <w:rPr>
          <w:rFonts w:ascii="Times New Roman" w:hAnsi="Times New Roman"/>
          <w:sz w:val="24"/>
          <w:szCs w:val="24"/>
        </w:rPr>
        <w:t xml:space="preserve">recycled through the program. </w:t>
      </w:r>
      <w:r w:rsidRPr="00111D82">
        <w:rPr>
          <w:rFonts w:ascii="Times New Roman" w:hAnsi="Times New Roman"/>
          <w:sz w:val="24"/>
          <w:szCs w:val="24"/>
        </w:rPr>
        <w:t xml:space="preserve">Using current RTF data for non-installation and operating hours, kit savings, which include two 13W CFLs, were lowered from 72 gross kWh </w:t>
      </w:r>
      <w:r w:rsidR="0033659D" w:rsidRPr="00111D82">
        <w:rPr>
          <w:rFonts w:ascii="Times New Roman" w:hAnsi="Times New Roman"/>
          <w:sz w:val="24"/>
          <w:szCs w:val="24"/>
        </w:rPr>
        <w:t xml:space="preserve">per kit to </w:t>
      </w:r>
      <w:r w:rsidRPr="00111D82">
        <w:rPr>
          <w:rFonts w:ascii="Times New Roman" w:hAnsi="Times New Roman"/>
          <w:sz w:val="24"/>
          <w:szCs w:val="24"/>
        </w:rPr>
        <w:t>23 gross kWh</w:t>
      </w:r>
      <w:r w:rsidR="00A01CAC" w:rsidRPr="00111D82">
        <w:rPr>
          <w:rFonts w:ascii="Times New Roman" w:hAnsi="Times New Roman"/>
          <w:sz w:val="24"/>
          <w:szCs w:val="24"/>
        </w:rPr>
        <w:t xml:space="preserve"> per kit</w:t>
      </w:r>
      <w:r w:rsidRPr="00111D82">
        <w:rPr>
          <w:rFonts w:ascii="Times New Roman" w:hAnsi="Times New Roman"/>
          <w:sz w:val="24"/>
          <w:szCs w:val="24"/>
        </w:rPr>
        <w:t>.</w:t>
      </w:r>
      <w:r w:rsidR="0033659D" w:rsidRPr="00111D82">
        <w:rPr>
          <w:rFonts w:ascii="Times New Roman" w:hAnsi="Times New Roman"/>
          <w:sz w:val="24"/>
          <w:szCs w:val="24"/>
        </w:rPr>
        <w:t xml:space="preserve"> The </w:t>
      </w:r>
      <w:r w:rsidR="003C7EC8" w:rsidRPr="00111D82">
        <w:rPr>
          <w:rFonts w:ascii="Times New Roman" w:hAnsi="Times New Roman"/>
          <w:sz w:val="24"/>
          <w:szCs w:val="24"/>
        </w:rPr>
        <w:t>Company</w:t>
      </w:r>
      <w:r w:rsidR="0033659D" w:rsidRPr="00111D82">
        <w:rPr>
          <w:rFonts w:ascii="Times New Roman" w:hAnsi="Times New Roman"/>
          <w:sz w:val="24"/>
          <w:szCs w:val="24"/>
        </w:rPr>
        <w:t xml:space="preserve"> is investigating adding low flow showerheads to kits distributed to homes with electric water heating</w:t>
      </w:r>
      <w:r w:rsidR="003C7EC8" w:rsidRPr="00111D82">
        <w:rPr>
          <w:rFonts w:ascii="Times New Roman" w:hAnsi="Times New Roman"/>
          <w:sz w:val="24"/>
          <w:szCs w:val="24"/>
        </w:rPr>
        <w:t>;</w:t>
      </w:r>
      <w:r w:rsidR="0033659D" w:rsidRPr="00111D82">
        <w:rPr>
          <w:rFonts w:ascii="Times New Roman" w:hAnsi="Times New Roman"/>
          <w:sz w:val="24"/>
          <w:szCs w:val="24"/>
        </w:rPr>
        <w:t xml:space="preserve"> savings from showerheads associated with this program are not reflected in the </w:t>
      </w:r>
      <w:r w:rsidR="002534BA">
        <w:rPr>
          <w:rFonts w:ascii="Times New Roman" w:hAnsi="Times New Roman"/>
          <w:sz w:val="24"/>
          <w:szCs w:val="24"/>
        </w:rPr>
        <w:t xml:space="preserve">Table 1 </w:t>
      </w:r>
      <w:r w:rsidR="0033659D" w:rsidRPr="00111D82">
        <w:rPr>
          <w:rFonts w:ascii="Times New Roman" w:hAnsi="Times New Roman"/>
          <w:sz w:val="24"/>
          <w:szCs w:val="24"/>
        </w:rPr>
        <w:t>savings assumptions.</w:t>
      </w:r>
    </w:p>
    <w:p w:rsidR="005A2C46" w:rsidRPr="00111D82" w:rsidRDefault="005A2C46" w:rsidP="00D542AB">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u w:val="single"/>
        </w:rPr>
        <w:t>Evaluation Update</w:t>
      </w:r>
    </w:p>
    <w:p w:rsidR="005A2C46" w:rsidRPr="00D542AB" w:rsidRDefault="00124DBD" w:rsidP="00D542AB">
      <w:pPr>
        <w:spacing w:before="100" w:beforeAutospacing="1"/>
        <w:rPr>
          <w:rFonts w:ascii="Times New Roman" w:hAnsi="Times New Roman"/>
          <w:b/>
          <w:i/>
          <w:sz w:val="20"/>
          <w:szCs w:val="20"/>
        </w:rPr>
      </w:pPr>
      <w:r w:rsidRPr="00D542AB">
        <w:rPr>
          <w:rFonts w:ascii="Times New Roman" w:hAnsi="Times New Roman"/>
          <w:b/>
          <w:i/>
          <w:sz w:val="20"/>
          <w:szCs w:val="20"/>
        </w:rPr>
        <w:t>Last Evaluation Report:</w:t>
      </w:r>
    </w:p>
    <w:tbl>
      <w:tblPr>
        <w:tblW w:w="0" w:type="auto"/>
        <w:tblLook w:val="04A0"/>
      </w:tblPr>
      <w:tblGrid>
        <w:gridCol w:w="3348"/>
        <w:gridCol w:w="2726"/>
        <w:gridCol w:w="2782"/>
      </w:tblGrid>
      <w:tr w:rsidR="005A2C46" w:rsidRPr="00D542AB" w:rsidTr="00D542AB">
        <w:trPr>
          <w:cantSplit/>
        </w:trPr>
        <w:tc>
          <w:tcPr>
            <w:tcW w:w="3348" w:type="dxa"/>
          </w:tcPr>
          <w:p w:rsidR="005A2C46" w:rsidRPr="00D542AB" w:rsidRDefault="00124DBD" w:rsidP="00D542AB">
            <w:pPr>
              <w:jc w:val="center"/>
              <w:rPr>
                <w:rFonts w:ascii="Times New Roman" w:hAnsi="Times New Roman"/>
                <w:b/>
                <w:sz w:val="20"/>
                <w:szCs w:val="20"/>
              </w:rPr>
            </w:pPr>
            <w:r w:rsidRPr="00D542AB">
              <w:rPr>
                <w:rFonts w:ascii="Times New Roman" w:hAnsi="Times New Roman"/>
                <w:b/>
                <w:sz w:val="20"/>
                <w:szCs w:val="20"/>
              </w:rPr>
              <w:t>Program Years</w:t>
            </w:r>
          </w:p>
        </w:tc>
        <w:tc>
          <w:tcPr>
            <w:tcW w:w="2726" w:type="dxa"/>
          </w:tcPr>
          <w:p w:rsidR="005A2C46" w:rsidRPr="00D542AB" w:rsidRDefault="00124DBD" w:rsidP="00D542AB">
            <w:pPr>
              <w:jc w:val="center"/>
              <w:rPr>
                <w:rFonts w:ascii="Times New Roman" w:hAnsi="Times New Roman"/>
                <w:b/>
                <w:sz w:val="20"/>
                <w:szCs w:val="20"/>
              </w:rPr>
            </w:pPr>
            <w:r w:rsidRPr="00D542AB">
              <w:rPr>
                <w:rFonts w:ascii="Times New Roman" w:hAnsi="Times New Roman"/>
                <w:b/>
                <w:sz w:val="20"/>
                <w:szCs w:val="20"/>
              </w:rPr>
              <w:t>Evaluation Report Date</w:t>
            </w:r>
          </w:p>
        </w:tc>
        <w:tc>
          <w:tcPr>
            <w:tcW w:w="2782" w:type="dxa"/>
          </w:tcPr>
          <w:p w:rsidR="005A2C46" w:rsidRPr="00D542AB" w:rsidRDefault="00124DBD" w:rsidP="00D542AB">
            <w:pPr>
              <w:jc w:val="center"/>
              <w:rPr>
                <w:rFonts w:ascii="Times New Roman" w:hAnsi="Times New Roman"/>
                <w:b/>
                <w:sz w:val="20"/>
                <w:szCs w:val="20"/>
              </w:rPr>
            </w:pPr>
            <w:r w:rsidRPr="00D542AB">
              <w:rPr>
                <w:rFonts w:ascii="Times New Roman" w:hAnsi="Times New Roman"/>
                <w:b/>
                <w:sz w:val="20"/>
                <w:szCs w:val="20"/>
              </w:rPr>
              <w:t>Completed by</w:t>
            </w:r>
          </w:p>
        </w:tc>
      </w:tr>
      <w:tr w:rsidR="0073652C" w:rsidRPr="00D542AB" w:rsidTr="00D542AB">
        <w:trPr>
          <w:cantSplit/>
        </w:trPr>
        <w:tc>
          <w:tcPr>
            <w:tcW w:w="3348" w:type="dxa"/>
          </w:tcPr>
          <w:p w:rsidR="0073652C" w:rsidRPr="00D542AB" w:rsidRDefault="00124DBD" w:rsidP="00D542AB">
            <w:pPr>
              <w:jc w:val="center"/>
              <w:rPr>
                <w:rFonts w:ascii="Times New Roman" w:hAnsi="Times New Roman"/>
                <w:sz w:val="20"/>
                <w:szCs w:val="20"/>
              </w:rPr>
            </w:pPr>
            <w:r w:rsidRPr="00D542AB">
              <w:rPr>
                <w:rFonts w:ascii="Times New Roman" w:hAnsi="Times New Roman"/>
                <w:sz w:val="20"/>
                <w:szCs w:val="20"/>
              </w:rPr>
              <w:t>2009-2010</w:t>
            </w:r>
          </w:p>
        </w:tc>
        <w:tc>
          <w:tcPr>
            <w:tcW w:w="2726" w:type="dxa"/>
          </w:tcPr>
          <w:p w:rsidR="0073652C" w:rsidRPr="00D542AB" w:rsidRDefault="00124DBD" w:rsidP="00D542AB">
            <w:pPr>
              <w:jc w:val="center"/>
              <w:rPr>
                <w:rFonts w:ascii="Times New Roman" w:hAnsi="Times New Roman"/>
                <w:sz w:val="20"/>
                <w:szCs w:val="20"/>
              </w:rPr>
            </w:pPr>
            <w:r w:rsidRPr="00D542AB">
              <w:rPr>
                <w:rFonts w:ascii="Times New Roman" w:hAnsi="Times New Roman"/>
                <w:sz w:val="20"/>
                <w:szCs w:val="20"/>
              </w:rPr>
              <w:t>January 6, 2012</w:t>
            </w:r>
          </w:p>
        </w:tc>
        <w:tc>
          <w:tcPr>
            <w:tcW w:w="2782" w:type="dxa"/>
          </w:tcPr>
          <w:p w:rsidR="0073652C" w:rsidRPr="00D542AB" w:rsidRDefault="00124DBD" w:rsidP="00D542AB">
            <w:pPr>
              <w:jc w:val="center"/>
              <w:rPr>
                <w:rFonts w:ascii="Times New Roman" w:hAnsi="Times New Roman"/>
                <w:sz w:val="20"/>
                <w:szCs w:val="20"/>
              </w:rPr>
            </w:pPr>
            <w:r w:rsidRPr="00D542AB">
              <w:rPr>
                <w:rFonts w:ascii="Times New Roman" w:hAnsi="Times New Roman"/>
                <w:sz w:val="20"/>
                <w:szCs w:val="20"/>
              </w:rPr>
              <w:t>The Cadmus Group</w:t>
            </w:r>
          </w:p>
        </w:tc>
      </w:tr>
    </w:tbl>
    <w:p w:rsidR="00C64F52" w:rsidRPr="00D542AB" w:rsidRDefault="00124DBD" w:rsidP="00D542AB">
      <w:pPr>
        <w:spacing w:before="100" w:beforeAutospacing="1"/>
        <w:rPr>
          <w:rFonts w:ascii="Times New Roman" w:hAnsi="Times New Roman"/>
          <w:b/>
          <w:i/>
          <w:sz w:val="20"/>
          <w:szCs w:val="20"/>
        </w:rPr>
      </w:pPr>
      <w:r w:rsidRPr="00D542AB">
        <w:rPr>
          <w:rFonts w:ascii="Times New Roman" w:hAnsi="Times New Roman"/>
          <w:b/>
          <w:i/>
          <w:sz w:val="20"/>
          <w:szCs w:val="20"/>
        </w:rPr>
        <w:t>Future Evaluation Report(s):</w:t>
      </w:r>
    </w:p>
    <w:tbl>
      <w:tblPr>
        <w:tblW w:w="0" w:type="auto"/>
        <w:tblLook w:val="04A0"/>
      </w:tblPr>
      <w:tblGrid>
        <w:gridCol w:w="3348"/>
        <w:gridCol w:w="2726"/>
        <w:gridCol w:w="2782"/>
      </w:tblGrid>
      <w:tr w:rsidR="00C64F52" w:rsidRPr="00D542AB" w:rsidTr="00D542AB">
        <w:trPr>
          <w:cantSplit/>
        </w:trPr>
        <w:tc>
          <w:tcPr>
            <w:tcW w:w="3348" w:type="dxa"/>
          </w:tcPr>
          <w:p w:rsidR="00C64F52" w:rsidRPr="00D542AB" w:rsidRDefault="00124DBD" w:rsidP="00D542AB">
            <w:pPr>
              <w:jc w:val="center"/>
              <w:rPr>
                <w:rFonts w:ascii="Times New Roman" w:hAnsi="Times New Roman"/>
                <w:b/>
                <w:sz w:val="20"/>
                <w:szCs w:val="20"/>
              </w:rPr>
            </w:pPr>
            <w:r w:rsidRPr="00D542AB">
              <w:rPr>
                <w:rFonts w:ascii="Times New Roman" w:hAnsi="Times New Roman"/>
                <w:b/>
                <w:sz w:val="20"/>
                <w:szCs w:val="20"/>
              </w:rPr>
              <w:t>Program Years</w:t>
            </w:r>
          </w:p>
        </w:tc>
        <w:tc>
          <w:tcPr>
            <w:tcW w:w="2726" w:type="dxa"/>
          </w:tcPr>
          <w:p w:rsidR="00C64F52" w:rsidRPr="00D542AB" w:rsidRDefault="00124DBD" w:rsidP="00D542AB">
            <w:pPr>
              <w:jc w:val="center"/>
              <w:rPr>
                <w:rFonts w:ascii="Times New Roman" w:hAnsi="Times New Roman"/>
                <w:b/>
                <w:sz w:val="20"/>
                <w:szCs w:val="20"/>
              </w:rPr>
            </w:pPr>
            <w:r w:rsidRPr="00D542AB">
              <w:rPr>
                <w:rFonts w:ascii="Times New Roman" w:hAnsi="Times New Roman"/>
                <w:b/>
                <w:sz w:val="20"/>
                <w:szCs w:val="20"/>
              </w:rPr>
              <w:t>Evaluation Report Date</w:t>
            </w:r>
          </w:p>
        </w:tc>
        <w:tc>
          <w:tcPr>
            <w:tcW w:w="2782" w:type="dxa"/>
          </w:tcPr>
          <w:p w:rsidR="00C64F52" w:rsidRPr="00D542AB" w:rsidRDefault="00124DBD" w:rsidP="00D542AB">
            <w:pPr>
              <w:jc w:val="center"/>
              <w:rPr>
                <w:rFonts w:ascii="Times New Roman" w:hAnsi="Times New Roman"/>
                <w:b/>
                <w:sz w:val="20"/>
                <w:szCs w:val="20"/>
              </w:rPr>
            </w:pPr>
            <w:r w:rsidRPr="00D542AB">
              <w:rPr>
                <w:rFonts w:ascii="Times New Roman" w:hAnsi="Times New Roman"/>
                <w:b/>
                <w:sz w:val="20"/>
                <w:szCs w:val="20"/>
              </w:rPr>
              <w:t>To be Completed by</w:t>
            </w:r>
          </w:p>
        </w:tc>
      </w:tr>
      <w:tr w:rsidR="0073652C" w:rsidRPr="00D542AB" w:rsidTr="00D542AB">
        <w:trPr>
          <w:cantSplit/>
        </w:trPr>
        <w:tc>
          <w:tcPr>
            <w:tcW w:w="3348" w:type="dxa"/>
          </w:tcPr>
          <w:p w:rsidR="0073652C" w:rsidRPr="00D542AB" w:rsidRDefault="00124DBD" w:rsidP="00D542AB">
            <w:pPr>
              <w:jc w:val="center"/>
              <w:rPr>
                <w:rFonts w:ascii="Times New Roman" w:hAnsi="Times New Roman"/>
                <w:sz w:val="20"/>
                <w:szCs w:val="20"/>
              </w:rPr>
            </w:pPr>
            <w:r w:rsidRPr="00D542AB">
              <w:rPr>
                <w:rFonts w:ascii="Times New Roman" w:hAnsi="Times New Roman"/>
                <w:sz w:val="20"/>
                <w:szCs w:val="20"/>
              </w:rPr>
              <w:t>2011-2012</w:t>
            </w:r>
          </w:p>
        </w:tc>
        <w:tc>
          <w:tcPr>
            <w:tcW w:w="2726" w:type="dxa"/>
          </w:tcPr>
          <w:p w:rsidR="0073652C" w:rsidRPr="00D542AB" w:rsidRDefault="00124DBD" w:rsidP="00D542AB">
            <w:pPr>
              <w:jc w:val="center"/>
              <w:rPr>
                <w:rFonts w:ascii="Times New Roman" w:hAnsi="Times New Roman"/>
                <w:sz w:val="20"/>
                <w:szCs w:val="20"/>
              </w:rPr>
            </w:pPr>
            <w:r w:rsidRPr="00D542AB">
              <w:rPr>
                <w:rFonts w:ascii="Times New Roman" w:hAnsi="Times New Roman"/>
                <w:sz w:val="20"/>
                <w:szCs w:val="20"/>
              </w:rPr>
              <w:t>By Year-end 2013</w:t>
            </w:r>
          </w:p>
        </w:tc>
        <w:tc>
          <w:tcPr>
            <w:tcW w:w="2782" w:type="dxa"/>
          </w:tcPr>
          <w:p w:rsidR="0073652C" w:rsidRPr="00D542AB" w:rsidRDefault="00124DBD" w:rsidP="00D542AB">
            <w:pPr>
              <w:jc w:val="center"/>
              <w:rPr>
                <w:rFonts w:ascii="Times New Roman" w:hAnsi="Times New Roman"/>
                <w:sz w:val="20"/>
                <w:szCs w:val="20"/>
              </w:rPr>
            </w:pPr>
            <w:r w:rsidRPr="00D542AB">
              <w:rPr>
                <w:rFonts w:ascii="Times New Roman" w:hAnsi="Times New Roman"/>
                <w:sz w:val="20"/>
                <w:szCs w:val="20"/>
              </w:rPr>
              <w:t>The Cadmus Group</w:t>
            </w:r>
          </w:p>
        </w:tc>
      </w:tr>
    </w:tbl>
    <w:p w:rsidR="00722821" w:rsidRPr="00111D82" w:rsidRDefault="005A2C46" w:rsidP="00D542AB">
      <w:pPr>
        <w:spacing w:before="100" w:beforeAutospacing="1"/>
        <w:jc w:val="both"/>
        <w:rPr>
          <w:rFonts w:ascii="Times New Roman" w:hAnsi="Times New Roman"/>
          <w:sz w:val="24"/>
          <w:szCs w:val="24"/>
          <w:u w:val="single"/>
        </w:rPr>
      </w:pPr>
      <w:r w:rsidRPr="00111D82">
        <w:rPr>
          <w:rFonts w:ascii="Times New Roman" w:hAnsi="Times New Roman"/>
          <w:sz w:val="24"/>
          <w:szCs w:val="24"/>
          <w:u w:val="single"/>
        </w:rPr>
        <w:t>Program Details</w:t>
      </w:r>
    </w:p>
    <w:p w:rsidR="002534BA" w:rsidRPr="00111D82" w:rsidRDefault="005A2C46" w:rsidP="002534BA">
      <w:pPr>
        <w:jc w:val="both"/>
        <w:rPr>
          <w:rFonts w:ascii="Times New Roman" w:hAnsi="Times New Roman"/>
          <w:sz w:val="24"/>
          <w:szCs w:val="24"/>
        </w:rPr>
        <w:sectPr w:rsidR="002534BA" w:rsidRPr="00111D82" w:rsidSect="001B376C">
          <w:headerReference w:type="default" r:id="rId19"/>
          <w:pgSz w:w="12240" w:h="15840" w:code="1"/>
          <w:pgMar w:top="1440" w:right="1080" w:bottom="1440" w:left="1440" w:header="720" w:footer="720" w:gutter="0"/>
          <w:cols w:space="720"/>
          <w:docGrid w:linePitch="360"/>
        </w:sectPr>
      </w:pPr>
      <w:r w:rsidRPr="00111D82">
        <w:rPr>
          <w:rFonts w:ascii="Times New Roman" w:hAnsi="Times New Roman"/>
          <w:sz w:val="24"/>
          <w:szCs w:val="24"/>
        </w:rPr>
        <w:t>Details for this program are contained in the program tariff. Any changes to the details included in the program tariff must be filed and approved by the Commissi</w:t>
      </w:r>
      <w:r w:rsidR="009C6DA0" w:rsidRPr="00111D82">
        <w:rPr>
          <w:rFonts w:ascii="Times New Roman" w:hAnsi="Times New Roman"/>
          <w:sz w:val="24"/>
          <w:szCs w:val="24"/>
        </w:rPr>
        <w:t>on prior to becoming effective</w:t>
      </w:r>
      <w:r w:rsidR="002534BA" w:rsidRPr="00111D82">
        <w:rPr>
          <w:rFonts w:ascii="Times New Roman" w:hAnsi="Times New Roman"/>
          <w:sz w:val="24"/>
          <w:szCs w:val="24"/>
        </w:rPr>
        <w:t>.</w:t>
      </w:r>
      <w:r w:rsidR="002534BA">
        <w:rPr>
          <w:rFonts w:ascii="Times New Roman" w:hAnsi="Times New Roman"/>
          <w:sz w:val="24"/>
          <w:szCs w:val="24"/>
        </w:rPr>
        <w:t xml:space="preserve"> </w:t>
      </w:r>
    </w:p>
    <w:p w:rsidR="00872CD0" w:rsidRPr="00AA1C36" w:rsidRDefault="000A75FE" w:rsidP="00872CD0">
      <w:pPr>
        <w:pStyle w:val="Header"/>
        <w:tabs>
          <w:tab w:val="clear" w:pos="4680"/>
          <w:tab w:val="right" w:pos="7200"/>
        </w:tabs>
        <w:ind w:right="2160"/>
        <w:rPr>
          <w:rFonts w:ascii="Arial" w:hAnsi="Arial" w:cs="Arial"/>
          <w:b/>
          <w:noProof/>
          <w:sz w:val="20"/>
          <w:szCs w:val="24"/>
        </w:rPr>
      </w:pPr>
      <w:r w:rsidRPr="000A75FE">
        <w:rPr>
          <w:rFonts w:ascii="Arial" w:hAnsi="Arial" w:cs="Arial"/>
          <w:noProof/>
          <w:sz w:val="16"/>
          <w:szCs w:val="20"/>
          <w:u w:val="single"/>
        </w:rPr>
        <w:pict>
          <v:shapetype id="_x0000_t32" coordsize="21600,21600" o:spt="32" o:oned="t" path="m,l21600,21600e" filled="f">
            <v:path arrowok="t" fillok="f" o:connecttype="none"/>
            <o:lock v:ext="edit" shapetype="t"/>
          </v:shapetype>
          <v:shape id="AutoShape 11" o:spid="_x0000_s1044" type="#_x0000_t32" style="position:absolute;margin-left:383.25pt;margin-top:-19.45pt;width:0;height:107.9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"/>
        </w:pict>
      </w:r>
      <w:r w:rsidR="00872CD0" w:rsidRPr="00124DBD">
        <w:rPr>
          <w:rFonts w:ascii="Arial" w:hAnsi="Arial" w:cs="Arial"/>
          <w:b/>
          <w:noProof/>
          <w:sz w:val="20"/>
          <w:szCs w:val="24"/>
        </w:rPr>
        <w:t>PACIFIC POWER &amp; LIGHT COMPANY</w:t>
      </w:r>
    </w:p>
    <w:p w:rsidR="00872CD0" w:rsidRPr="00AA1C36" w:rsidRDefault="00872CD0" w:rsidP="00872CD0">
      <w:pPr>
        <w:pStyle w:val="Header"/>
        <w:tabs>
          <w:tab w:val="clear" w:pos="4680"/>
          <w:tab w:val="clear" w:pos="9360"/>
        </w:tabs>
        <w:ind w:right="2160" w:firstLine="3600"/>
        <w:jc w:val="right"/>
        <w:rPr>
          <w:rFonts w:ascii="Arial" w:hAnsi="Arial" w:cs="Arial"/>
          <w:sz w:val="16"/>
        </w:rPr>
      </w:pPr>
      <w:r w:rsidRPr="00124DBD">
        <w:rPr>
          <w:rFonts w:ascii="Arial" w:hAnsi="Arial" w:cs="Arial"/>
          <w:sz w:val="16"/>
        </w:rPr>
        <w:t>WN U-75</w:t>
      </w:r>
    </w:p>
    <w:p w:rsidR="00872CD0" w:rsidRPr="00AA1C36" w:rsidRDefault="00872CD0" w:rsidP="00872CD0">
      <w:pPr>
        <w:pStyle w:val="Header"/>
        <w:tabs>
          <w:tab w:val="clear" w:pos="4680"/>
          <w:tab w:val="clear" w:pos="9360"/>
        </w:tabs>
        <w:ind w:right="2160" w:firstLine="3600"/>
        <w:jc w:val="right"/>
        <w:rPr>
          <w:rFonts w:ascii="Arial" w:hAnsi="Arial" w:cs="Arial"/>
          <w:sz w:val="16"/>
        </w:rPr>
      </w:pPr>
      <w:r w:rsidRPr="00124DBD">
        <w:rPr>
          <w:rFonts w:ascii="Arial" w:hAnsi="Arial" w:cs="Arial"/>
          <w:sz w:val="24"/>
          <w:szCs w:val="32"/>
        </w:rPr>
        <w:tab/>
      </w:r>
    </w:p>
    <w:p w:rsidR="00872CD0" w:rsidRPr="00AA1C36" w:rsidRDefault="00872CD0" w:rsidP="00872CD0">
      <w:pPr>
        <w:tabs>
          <w:tab w:val="left" w:pos="7200"/>
        </w:tabs>
        <w:ind w:right="2160"/>
        <w:jc w:val="right"/>
        <w:rPr>
          <w:rFonts w:ascii="Arial" w:hAnsi="Arial" w:cs="Arial"/>
          <w:sz w:val="16"/>
        </w:rPr>
      </w:pPr>
    </w:p>
    <w:p w:rsidR="00872CD0" w:rsidRPr="00AA1C36" w:rsidRDefault="00872CD0" w:rsidP="00872CD0">
      <w:pPr>
        <w:tabs>
          <w:tab w:val="left" w:pos="7200"/>
        </w:tabs>
        <w:ind w:right="2160"/>
        <w:jc w:val="right"/>
        <w:rPr>
          <w:rFonts w:ascii="Arial" w:hAnsi="Arial" w:cs="Arial"/>
          <w:sz w:val="16"/>
        </w:rPr>
      </w:pPr>
      <w:r w:rsidRPr="00124DBD">
        <w:rPr>
          <w:rFonts w:ascii="Arial" w:hAnsi="Arial" w:cs="Arial"/>
          <w:sz w:val="16"/>
        </w:rPr>
        <w:t>Original Sheet No. 107.1</w:t>
      </w:r>
    </w:p>
    <w:p w:rsidR="00872CD0" w:rsidRPr="00AA1C36" w:rsidRDefault="00872CD0" w:rsidP="00872CD0">
      <w:pPr>
        <w:rPr>
          <w:rFonts w:ascii="Arial" w:hAnsi="Arial" w:cs="Arial"/>
          <w:sz w:val="16"/>
        </w:rPr>
      </w:pPr>
      <w:r w:rsidRPr="00124DBD">
        <w:rPr>
          <w:rFonts w:ascii="Arial" w:hAnsi="Arial" w:cs="Arial"/>
          <w:sz w:val="16"/>
        </w:rPr>
        <w:tab/>
      </w:r>
    </w:p>
    <w:p w:rsidR="00872CD0" w:rsidRPr="00AA1C36" w:rsidRDefault="00872CD0" w:rsidP="00872CD0">
      <w:pPr>
        <w:tabs>
          <w:tab w:val="left" w:pos="7200"/>
        </w:tabs>
        <w:ind w:right="2160"/>
        <w:rPr>
          <w:rFonts w:ascii="Arial" w:hAnsi="Arial" w:cs="Arial"/>
          <w:b/>
          <w:sz w:val="20"/>
          <w:szCs w:val="24"/>
        </w:rPr>
      </w:pPr>
      <w:r w:rsidRPr="00124DBD">
        <w:rPr>
          <w:rFonts w:ascii="Arial" w:hAnsi="Arial" w:cs="Arial"/>
          <w:b/>
          <w:sz w:val="20"/>
          <w:szCs w:val="24"/>
        </w:rPr>
        <w:t>Schedule 107</w:t>
      </w:r>
    </w:p>
    <w:p w:rsidR="00872CD0" w:rsidRPr="00AA1C36" w:rsidRDefault="00872CD0" w:rsidP="00872CD0">
      <w:pPr>
        <w:pBdr>
          <w:bottom w:val="single" w:sz="12" w:space="1" w:color="auto"/>
        </w:pBdr>
        <w:rPr>
          <w:rFonts w:ascii="Arial" w:hAnsi="Arial" w:cs="Arial"/>
          <w:b/>
          <w:sz w:val="16"/>
        </w:rPr>
      </w:pPr>
      <w:r w:rsidRPr="00124DBD">
        <w:rPr>
          <w:rFonts w:ascii="Arial" w:hAnsi="Arial" w:cs="Arial"/>
          <w:b/>
          <w:sz w:val="16"/>
        </w:rPr>
        <w:t>RESIDENTIAL REFRIGERATOR RECYCLING PROGRAM – RESIDENTIAL</w:t>
      </w:r>
    </w:p>
    <w:p w:rsidR="00872CD0" w:rsidRPr="00AA1C36" w:rsidRDefault="00872CD0" w:rsidP="00872CD0">
      <w:pPr>
        <w:pBdr>
          <w:bottom w:val="single" w:sz="12" w:space="1" w:color="auto"/>
        </w:pBdr>
        <w:rPr>
          <w:rFonts w:ascii="Arial" w:hAnsi="Arial" w:cs="Arial"/>
          <w:b/>
          <w:sz w:val="16"/>
        </w:rPr>
      </w:pPr>
      <w:r w:rsidRPr="00124DBD">
        <w:rPr>
          <w:rFonts w:ascii="Arial" w:hAnsi="Arial" w:cs="Arial"/>
          <w:b/>
          <w:sz w:val="16"/>
        </w:rPr>
        <w:t xml:space="preserve">SERVICE OPTIONAL FOR QUALIFYING CUSTOMERS </w:t>
      </w:r>
    </w:p>
    <w:p w:rsidR="00872CD0" w:rsidRPr="00AA1C36" w:rsidRDefault="00872CD0" w:rsidP="00872CD0">
      <w:pPr>
        <w:tabs>
          <w:tab w:val="left" w:pos="1080"/>
          <w:tab w:val="left" w:pos="4500"/>
        </w:tabs>
        <w:jc w:val="both"/>
        <w:rPr>
          <w:rFonts w:ascii="Times New Roman" w:hAnsi="Times New Roman"/>
          <w:sz w:val="16"/>
          <w:u w:val="single"/>
        </w:rPr>
      </w:pPr>
    </w:p>
    <w:p w:rsidR="00872CD0" w:rsidRPr="00AA1C36" w:rsidRDefault="00872CD0" w:rsidP="00872CD0">
      <w:pPr>
        <w:tabs>
          <w:tab w:val="left" w:pos="1080"/>
          <w:tab w:val="left" w:pos="4500"/>
        </w:tabs>
        <w:jc w:val="both"/>
        <w:rPr>
          <w:rFonts w:ascii="Arial" w:hAnsi="Arial" w:cs="Arial"/>
          <w:sz w:val="20"/>
        </w:rPr>
      </w:pPr>
      <w:r w:rsidRPr="00AA1C36">
        <w:rPr>
          <w:rFonts w:ascii="Arial" w:hAnsi="Arial" w:cs="Arial"/>
          <w:sz w:val="20"/>
          <w:u w:val="single"/>
        </w:rPr>
        <w:t>PURPOSE</w:t>
      </w:r>
      <w:r w:rsidRPr="00AA1C36">
        <w:rPr>
          <w:rFonts w:ascii="Arial" w:hAnsi="Arial" w:cs="Arial"/>
          <w:sz w:val="20"/>
        </w:rPr>
        <w:t>:</w:t>
      </w:r>
      <w:r w:rsidRPr="00AA1C36">
        <w:rPr>
          <w:rFonts w:ascii="Arial" w:hAnsi="Arial" w:cs="Arial"/>
          <w:sz w:val="20"/>
        </w:rPr>
        <w:tab/>
      </w:r>
    </w:p>
    <w:p w:rsidR="00872CD0" w:rsidRPr="00AA1C36" w:rsidRDefault="00872CD0" w:rsidP="00872CD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AA1C36">
        <w:rPr>
          <w:rFonts w:ascii="Arial" w:hAnsi="Arial" w:cs="Arial"/>
          <w:sz w:val="20"/>
        </w:rPr>
        <w:tab/>
        <w:t xml:space="preserve">Service under this tariff is intended to decrease residential refrigeration loads through the removal and recycling of inefficient models. </w:t>
      </w:r>
    </w:p>
    <w:p w:rsidR="00872CD0" w:rsidRPr="00AA1C36" w:rsidRDefault="00872CD0" w:rsidP="00872CD0">
      <w:pPr>
        <w:tabs>
          <w:tab w:val="right" w:pos="432"/>
          <w:tab w:val="left" w:pos="720"/>
          <w:tab w:val="left" w:pos="1080"/>
          <w:tab w:val="left" w:pos="4500"/>
        </w:tabs>
        <w:jc w:val="both"/>
        <w:rPr>
          <w:rFonts w:ascii="Arial" w:hAnsi="Arial" w:cs="Arial"/>
          <w:sz w:val="20"/>
        </w:rPr>
      </w:pPr>
    </w:p>
    <w:p w:rsidR="00872CD0" w:rsidRPr="00AA1C36" w:rsidRDefault="00872CD0" w:rsidP="00872CD0">
      <w:pPr>
        <w:tabs>
          <w:tab w:val="right" w:pos="432"/>
          <w:tab w:val="left" w:pos="720"/>
          <w:tab w:val="left" w:pos="1080"/>
          <w:tab w:val="left" w:pos="4500"/>
        </w:tabs>
        <w:jc w:val="both"/>
        <w:rPr>
          <w:rFonts w:ascii="Arial" w:hAnsi="Arial" w:cs="Arial"/>
          <w:sz w:val="20"/>
        </w:rPr>
      </w:pPr>
      <w:r w:rsidRPr="00AA1C36">
        <w:rPr>
          <w:rFonts w:ascii="Arial" w:hAnsi="Arial" w:cs="Arial"/>
          <w:sz w:val="20"/>
          <w:u w:val="single"/>
        </w:rPr>
        <w:t>AVAILABLE</w:t>
      </w:r>
      <w:r w:rsidRPr="00AA1C36">
        <w:rPr>
          <w:rFonts w:ascii="Arial" w:hAnsi="Arial" w:cs="Arial"/>
          <w:sz w:val="20"/>
        </w:rPr>
        <w:t>:</w:t>
      </w:r>
    </w:p>
    <w:p w:rsidR="00872CD0" w:rsidRPr="00AA1C36" w:rsidRDefault="00872CD0" w:rsidP="00872CD0">
      <w:pPr>
        <w:tabs>
          <w:tab w:val="right" w:pos="432"/>
          <w:tab w:val="left" w:pos="720"/>
          <w:tab w:val="left" w:pos="1080"/>
          <w:tab w:val="left" w:pos="4500"/>
        </w:tabs>
        <w:jc w:val="both"/>
        <w:rPr>
          <w:rFonts w:ascii="Arial" w:hAnsi="Arial" w:cs="Arial"/>
          <w:sz w:val="20"/>
        </w:rPr>
      </w:pPr>
      <w:r w:rsidRPr="00AA1C36">
        <w:rPr>
          <w:rFonts w:ascii="Arial" w:hAnsi="Arial" w:cs="Arial"/>
          <w:sz w:val="20"/>
        </w:rPr>
        <w:tab/>
      </w:r>
      <w:r w:rsidRPr="00AA1C36">
        <w:rPr>
          <w:rFonts w:ascii="Arial" w:hAnsi="Arial" w:cs="Arial"/>
          <w:sz w:val="20"/>
        </w:rPr>
        <w:tab/>
        <w:t>In all territory served by Pacific Power (The Company) in the State of Washington.</w:t>
      </w:r>
    </w:p>
    <w:p w:rsidR="00872CD0" w:rsidRPr="00AA1C36" w:rsidRDefault="00872CD0" w:rsidP="00872CD0">
      <w:pPr>
        <w:tabs>
          <w:tab w:val="right" w:pos="432"/>
          <w:tab w:val="left" w:pos="720"/>
          <w:tab w:val="left" w:pos="1080"/>
          <w:tab w:val="left" w:pos="4500"/>
        </w:tabs>
        <w:jc w:val="both"/>
        <w:rPr>
          <w:rFonts w:ascii="Arial" w:hAnsi="Arial" w:cs="Arial"/>
          <w:sz w:val="20"/>
        </w:rPr>
      </w:pPr>
    </w:p>
    <w:p w:rsidR="00872CD0" w:rsidRPr="00AA1C36" w:rsidRDefault="00872CD0" w:rsidP="00872CD0">
      <w:pPr>
        <w:tabs>
          <w:tab w:val="right" w:pos="336"/>
          <w:tab w:val="left" w:pos="672"/>
          <w:tab w:val="left" w:pos="1080"/>
          <w:tab w:val="left" w:pos="4500"/>
        </w:tabs>
        <w:jc w:val="both"/>
        <w:rPr>
          <w:rFonts w:ascii="Arial" w:hAnsi="Arial" w:cs="Arial"/>
          <w:sz w:val="20"/>
        </w:rPr>
      </w:pPr>
      <w:r w:rsidRPr="00AA1C36">
        <w:rPr>
          <w:rFonts w:ascii="Arial" w:hAnsi="Arial" w:cs="Arial"/>
          <w:sz w:val="20"/>
          <w:u w:val="single"/>
        </w:rPr>
        <w:t>APPLICABLE</w:t>
      </w:r>
      <w:r w:rsidRPr="00AA1C36">
        <w:rPr>
          <w:rFonts w:ascii="Arial" w:hAnsi="Arial" w:cs="Arial"/>
          <w:sz w:val="20"/>
        </w:rPr>
        <w:t>:</w:t>
      </w:r>
      <w:r w:rsidRPr="00AA1C36">
        <w:rPr>
          <w:rFonts w:ascii="Arial" w:hAnsi="Arial" w:cs="Arial"/>
          <w:sz w:val="20"/>
        </w:rPr>
        <w:tab/>
      </w:r>
    </w:p>
    <w:p w:rsidR="00872CD0" w:rsidRPr="00AA1C36" w:rsidRDefault="00872CD0" w:rsidP="00872CD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AA1C36">
        <w:rPr>
          <w:rFonts w:ascii="Arial" w:hAnsi="Arial" w:cs="Arial"/>
          <w:sz w:val="20"/>
        </w:rPr>
        <w:tab/>
        <w:t xml:space="preserve">To residential customers and landlords with residential units in all service territory served by The Company in Washington. </w:t>
      </w:r>
    </w:p>
    <w:p w:rsidR="00872CD0" w:rsidRPr="00AA1C36" w:rsidRDefault="00872CD0" w:rsidP="00872CD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b/>
          <w:sz w:val="20"/>
        </w:rPr>
      </w:pPr>
    </w:p>
    <w:p w:rsidR="00872CD0" w:rsidRPr="00AA1C36" w:rsidRDefault="00872CD0" w:rsidP="00872CD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AA1C36">
        <w:rPr>
          <w:rFonts w:ascii="Arial" w:hAnsi="Arial" w:cs="Arial"/>
          <w:sz w:val="20"/>
          <w:u w:val="single"/>
        </w:rPr>
        <w:t>CUSTOMER PARTICIPATION</w:t>
      </w:r>
      <w:r w:rsidRPr="00AA1C36">
        <w:rPr>
          <w:rFonts w:ascii="Arial" w:hAnsi="Arial" w:cs="Arial"/>
          <w:sz w:val="20"/>
        </w:rPr>
        <w:t xml:space="preserve">: </w:t>
      </w:r>
    </w:p>
    <w:p w:rsidR="00872CD0" w:rsidRPr="00AA1C36" w:rsidRDefault="00872CD0" w:rsidP="00872CD0">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AA1C36">
        <w:rPr>
          <w:rFonts w:ascii="Arial" w:hAnsi="Arial" w:cs="Arial"/>
          <w:sz w:val="20"/>
        </w:rPr>
        <w:tab/>
        <w:t>Customer participation is voluntary and is initiated by contacting a specified toll-free number or website.</w:t>
      </w:r>
    </w:p>
    <w:p w:rsidR="00872CD0" w:rsidRPr="00AA1C36" w:rsidRDefault="00872CD0" w:rsidP="00872CD0">
      <w:pPr>
        <w:tabs>
          <w:tab w:val="left" w:pos="1080"/>
          <w:tab w:val="left" w:pos="4500"/>
        </w:tabs>
        <w:jc w:val="both"/>
        <w:rPr>
          <w:rFonts w:ascii="Arial" w:hAnsi="Arial" w:cs="Arial"/>
          <w:sz w:val="20"/>
          <w:u w:val="single"/>
        </w:rPr>
      </w:pPr>
    </w:p>
    <w:p w:rsidR="00872CD0" w:rsidRPr="00AA1C36" w:rsidRDefault="00872CD0" w:rsidP="00872CD0">
      <w:pPr>
        <w:tabs>
          <w:tab w:val="left" w:pos="1080"/>
          <w:tab w:val="left" w:pos="4500"/>
        </w:tabs>
        <w:jc w:val="both"/>
        <w:rPr>
          <w:rFonts w:ascii="Arial" w:hAnsi="Arial" w:cs="Arial"/>
          <w:sz w:val="20"/>
        </w:rPr>
      </w:pPr>
      <w:r w:rsidRPr="00AA1C36">
        <w:rPr>
          <w:rFonts w:ascii="Arial" w:hAnsi="Arial" w:cs="Arial"/>
          <w:sz w:val="20"/>
          <w:u w:val="single"/>
        </w:rPr>
        <w:t>DESCRIPTION</w:t>
      </w:r>
      <w:r w:rsidRPr="00AA1C36">
        <w:rPr>
          <w:rFonts w:ascii="Arial" w:hAnsi="Arial" w:cs="Arial"/>
          <w:sz w:val="20"/>
        </w:rPr>
        <w:t>:</w:t>
      </w:r>
      <w:r w:rsidRPr="00AA1C36">
        <w:rPr>
          <w:rFonts w:ascii="Arial" w:hAnsi="Arial" w:cs="Arial"/>
          <w:sz w:val="20"/>
        </w:rPr>
        <w:tab/>
      </w:r>
    </w:p>
    <w:p w:rsidR="00872CD0" w:rsidRDefault="00872CD0" w:rsidP="00872CD0">
      <w:pPr>
        <w:pStyle w:val="BodyText2"/>
        <w:tabs>
          <w:tab w:val="left" w:pos="720"/>
          <w:tab w:val="left" w:pos="1080"/>
        </w:tabs>
        <w:ind w:left="-90" w:firstLine="450"/>
        <w:jc w:val="both"/>
        <w:rPr>
          <w:rFonts w:ascii="Arial" w:hAnsi="Arial" w:cs="Arial"/>
          <w:sz w:val="20"/>
        </w:rPr>
      </w:pPr>
      <w:r w:rsidRPr="00AA1C36">
        <w:rPr>
          <w:rFonts w:ascii="Arial" w:hAnsi="Arial" w:cs="Arial"/>
          <w:sz w:val="20"/>
        </w:rPr>
        <w:tab/>
        <w:t>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will offer a packet with written energy efficiency information, and instant savings measures.</w:t>
      </w:r>
    </w:p>
    <w:p w:rsidR="00872CD0" w:rsidRPr="00AA1C36" w:rsidRDefault="00872CD0" w:rsidP="00872CD0">
      <w:pPr>
        <w:pStyle w:val="BodyText2"/>
        <w:tabs>
          <w:tab w:val="left" w:pos="720"/>
          <w:tab w:val="left" w:pos="1080"/>
        </w:tabs>
        <w:jc w:val="both"/>
        <w:rPr>
          <w:rFonts w:ascii="Arial" w:hAnsi="Arial" w:cs="Arial"/>
          <w:sz w:val="20"/>
          <w:u w:val="single"/>
        </w:rPr>
      </w:pPr>
    </w:p>
    <w:p w:rsidR="00872CD0" w:rsidRDefault="00872CD0" w:rsidP="00872CD0">
      <w:pPr>
        <w:pStyle w:val="BodyText2"/>
        <w:tabs>
          <w:tab w:val="left" w:pos="720"/>
          <w:tab w:val="left" w:pos="1080"/>
        </w:tabs>
        <w:ind w:left="0"/>
        <w:jc w:val="both"/>
        <w:rPr>
          <w:rFonts w:ascii="Arial" w:hAnsi="Arial" w:cs="Arial"/>
          <w:sz w:val="20"/>
        </w:rPr>
      </w:pPr>
      <w:r w:rsidRPr="00AA1C36">
        <w:rPr>
          <w:rFonts w:ascii="Arial" w:hAnsi="Arial" w:cs="Arial"/>
          <w:sz w:val="20"/>
          <w:u w:val="single"/>
        </w:rPr>
        <w:t>QUALIFYING EQUIPMENT</w:t>
      </w:r>
      <w:r w:rsidRPr="00AA1C36">
        <w:rPr>
          <w:rFonts w:ascii="Arial" w:hAnsi="Arial" w:cs="Arial"/>
          <w:sz w:val="20"/>
        </w:rPr>
        <w:t xml:space="preserve">: </w:t>
      </w:r>
    </w:p>
    <w:p w:rsidR="00872CD0" w:rsidRPr="00AA1C36" w:rsidRDefault="00872CD0" w:rsidP="00872CD0">
      <w:pPr>
        <w:pStyle w:val="BodyText2"/>
        <w:tabs>
          <w:tab w:val="left" w:pos="720"/>
          <w:tab w:val="left" w:pos="1080"/>
        </w:tabs>
        <w:jc w:val="both"/>
        <w:rPr>
          <w:rFonts w:ascii="Arial" w:hAnsi="Arial" w:cs="Arial"/>
          <w:sz w:val="20"/>
        </w:rPr>
      </w:pPr>
      <w:r w:rsidRPr="00AA1C36">
        <w:rPr>
          <w:rFonts w:ascii="Arial" w:hAnsi="Arial" w:cs="Arial"/>
          <w:sz w:val="20"/>
        </w:rPr>
        <w:tab/>
        <w:t>Working refrigerators and freezers that are a minimum of 10 cubic feet in size, utilizing inside measurements.</w:t>
      </w:r>
    </w:p>
    <w:p w:rsidR="00872CD0" w:rsidRPr="00AA1C36" w:rsidRDefault="00872CD0" w:rsidP="00872CD0">
      <w:pPr>
        <w:pStyle w:val="BodyText2"/>
        <w:tabs>
          <w:tab w:val="left" w:pos="720"/>
          <w:tab w:val="left" w:pos="1080"/>
        </w:tabs>
        <w:jc w:val="both"/>
        <w:rPr>
          <w:rFonts w:ascii="Arial" w:hAnsi="Arial" w:cs="Arial"/>
          <w:sz w:val="20"/>
        </w:rPr>
      </w:pPr>
      <w:r w:rsidRPr="00AA1C36">
        <w:rPr>
          <w:rFonts w:ascii="Arial" w:hAnsi="Arial" w:cs="Arial"/>
          <w:sz w:val="20"/>
        </w:rPr>
        <w:tab/>
      </w:r>
    </w:p>
    <w:p w:rsidR="00872CD0" w:rsidRDefault="00872CD0" w:rsidP="00872CD0">
      <w:pPr>
        <w:pStyle w:val="BodyText2"/>
        <w:tabs>
          <w:tab w:val="left" w:pos="720"/>
          <w:tab w:val="left" w:pos="1080"/>
        </w:tabs>
        <w:ind w:left="0"/>
        <w:jc w:val="both"/>
        <w:rPr>
          <w:rFonts w:ascii="Arial" w:hAnsi="Arial" w:cs="Arial"/>
          <w:sz w:val="20"/>
        </w:rPr>
      </w:pPr>
      <w:r w:rsidRPr="00AA1C36">
        <w:rPr>
          <w:rFonts w:ascii="Arial" w:hAnsi="Arial" w:cs="Arial"/>
          <w:sz w:val="20"/>
          <w:u w:val="single"/>
        </w:rPr>
        <w:t>PROVISIONS OF SERVICE</w:t>
      </w:r>
      <w:r w:rsidRPr="00AA1C36">
        <w:rPr>
          <w:rFonts w:ascii="Arial" w:hAnsi="Arial" w:cs="Arial"/>
          <w:sz w:val="20"/>
        </w:rPr>
        <w:t>:</w:t>
      </w:r>
    </w:p>
    <w:p w:rsidR="00872CD0" w:rsidRPr="00AA1C36" w:rsidRDefault="00872CD0" w:rsidP="00872CD0">
      <w:pPr>
        <w:ind w:firstLine="720"/>
        <w:jc w:val="both"/>
        <w:rPr>
          <w:rFonts w:ascii="Arial" w:hAnsi="Arial" w:cs="Arial"/>
          <w:sz w:val="20"/>
        </w:rPr>
      </w:pPr>
      <w:r w:rsidRPr="00AA1C36">
        <w:rPr>
          <w:rFonts w:ascii="Arial" w:hAnsi="Arial" w:cs="Arial"/>
          <w:sz w:val="20"/>
        </w:rPr>
        <w:t>Incentives will be available on a maximum of two appliances per qualifying household. Incentive checks will be mailed within 30 days of the appliance collection date.</w:t>
      </w:r>
    </w:p>
    <w:p w:rsidR="00872CD0" w:rsidRPr="00AA1C36" w:rsidRDefault="00872CD0" w:rsidP="00872CD0">
      <w:pPr>
        <w:jc w:val="both"/>
        <w:rPr>
          <w:rFonts w:ascii="Arial" w:hAnsi="Arial" w:cs="Arial"/>
          <w:sz w:val="20"/>
        </w:rPr>
      </w:pPr>
    </w:p>
    <w:p w:rsidR="00872CD0" w:rsidRDefault="00872CD0" w:rsidP="00872CD0">
      <w:pPr>
        <w:pStyle w:val="BodyText2"/>
        <w:tabs>
          <w:tab w:val="left" w:pos="720"/>
          <w:tab w:val="left" w:pos="1080"/>
        </w:tabs>
        <w:ind w:left="0" w:firstLine="360"/>
        <w:jc w:val="both"/>
        <w:rPr>
          <w:rFonts w:ascii="Arial" w:hAnsi="Arial" w:cs="Arial"/>
          <w:sz w:val="20"/>
        </w:rPr>
      </w:pPr>
      <w:r w:rsidRPr="00AA1C36">
        <w:rPr>
          <w:rFonts w:ascii="Arial" w:hAnsi="Arial" w:cs="Arial"/>
          <w:sz w:val="20"/>
        </w:rPr>
        <w:tab/>
        <w:t xml:space="preserve">Incentives are also available to landlords who own the appliances used in rental properties in The Company’s Washington service territory where their tenant is billed on a residential schedule. Landlords may receive incentives on a maximum of two appliances per unit.  </w:t>
      </w:r>
    </w:p>
    <w:p w:rsidR="00872CD0" w:rsidRDefault="00872CD0" w:rsidP="00872CD0">
      <w:pPr>
        <w:pStyle w:val="BodyText2"/>
        <w:tabs>
          <w:tab w:val="left" w:pos="720"/>
          <w:tab w:val="left" w:pos="1080"/>
        </w:tabs>
        <w:ind w:left="0" w:firstLine="360"/>
        <w:jc w:val="both"/>
        <w:rPr>
          <w:rFonts w:ascii="Arial" w:hAnsi="Arial" w:cs="Arial"/>
          <w:sz w:val="20"/>
        </w:rPr>
      </w:pPr>
    </w:p>
    <w:p w:rsidR="00872CD0" w:rsidRDefault="00872CD0" w:rsidP="00872CD0">
      <w:pPr>
        <w:pStyle w:val="BodyText2"/>
        <w:tabs>
          <w:tab w:val="left" w:pos="720"/>
          <w:tab w:val="left" w:pos="1080"/>
        </w:tabs>
        <w:ind w:left="0" w:firstLine="360"/>
        <w:jc w:val="both"/>
        <w:rPr>
          <w:rFonts w:ascii="Arial" w:hAnsi="Arial" w:cs="Arial"/>
          <w:sz w:val="20"/>
        </w:rPr>
      </w:pPr>
      <w:r w:rsidRPr="00AA1C36">
        <w:rPr>
          <w:rFonts w:ascii="Arial" w:hAnsi="Arial" w:cs="Arial"/>
          <w:sz w:val="20"/>
        </w:rPr>
        <w:tab/>
        <w:t>Company and/or Program Administrator may employ a variety of quality assurance techniques during the delivery of the program.  Verification or evaluation may include, but is not limited to, telephone survey, site visit, billing analysis, and pre- and post-installation of monitoring equipment as necessary to quantify actual energy savings.</w:t>
      </w:r>
    </w:p>
    <w:p w:rsidR="00872CD0" w:rsidRPr="00AA1C36" w:rsidRDefault="00872CD0" w:rsidP="00872CD0">
      <w:pPr>
        <w:pStyle w:val="BodyText2"/>
        <w:tabs>
          <w:tab w:val="left" w:pos="720"/>
          <w:tab w:val="left" w:pos="1080"/>
        </w:tabs>
        <w:jc w:val="both"/>
        <w:rPr>
          <w:rFonts w:ascii="Arial" w:hAnsi="Arial" w:cs="Arial"/>
          <w:sz w:val="20"/>
        </w:rPr>
      </w:pPr>
    </w:p>
    <w:p w:rsidR="00872CD0" w:rsidRPr="00AA1C36" w:rsidRDefault="00872CD0" w:rsidP="00872CD0">
      <w:pPr>
        <w:jc w:val="both"/>
        <w:rPr>
          <w:rFonts w:ascii="Arial" w:hAnsi="Arial" w:cs="Arial"/>
          <w:sz w:val="20"/>
        </w:rPr>
      </w:pPr>
      <w:r w:rsidRPr="00AA1C36">
        <w:rPr>
          <w:rFonts w:ascii="Arial" w:hAnsi="Arial" w:cs="Arial"/>
          <w:sz w:val="20"/>
          <w:u w:val="single"/>
        </w:rPr>
        <w:t xml:space="preserve">RULES </w:t>
      </w:r>
      <w:smartTag w:uri="urn:schemas-microsoft-com:office:smarttags" w:element="stockticker">
        <w:r w:rsidRPr="00AA1C36">
          <w:rPr>
            <w:rFonts w:ascii="Arial" w:hAnsi="Arial" w:cs="Arial"/>
            <w:sz w:val="20"/>
            <w:u w:val="single"/>
          </w:rPr>
          <w:t>AND</w:t>
        </w:r>
      </w:smartTag>
      <w:r w:rsidRPr="00AA1C36">
        <w:rPr>
          <w:rFonts w:ascii="Arial" w:hAnsi="Arial" w:cs="Arial"/>
          <w:sz w:val="20"/>
          <w:u w:val="single"/>
        </w:rPr>
        <w:t xml:space="preserve"> REGULATIONS</w:t>
      </w:r>
      <w:r w:rsidRPr="00AA1C36">
        <w:rPr>
          <w:rFonts w:ascii="Arial" w:hAnsi="Arial" w:cs="Arial"/>
          <w:sz w:val="20"/>
        </w:rPr>
        <w:t>:</w:t>
      </w:r>
    </w:p>
    <w:p w:rsidR="00872CD0" w:rsidRDefault="00872CD0" w:rsidP="00872CD0">
      <w:pPr>
        <w:pStyle w:val="BodyText2"/>
        <w:pBdr>
          <w:bottom w:val="single" w:sz="12" w:space="1" w:color="auto"/>
        </w:pBdr>
        <w:tabs>
          <w:tab w:val="left" w:pos="720"/>
          <w:tab w:val="left" w:pos="1080"/>
        </w:tabs>
        <w:ind w:left="0" w:firstLine="360"/>
        <w:rPr>
          <w:rFonts w:ascii="Arial" w:hAnsi="Arial" w:cs="Arial"/>
          <w:sz w:val="20"/>
        </w:rPr>
      </w:pPr>
      <w:r w:rsidRPr="00AA1C36">
        <w:rPr>
          <w:rFonts w:ascii="Arial" w:hAnsi="Arial" w:cs="Arial"/>
          <w:sz w:val="20"/>
        </w:rPr>
        <w:tab/>
        <w:t>Service under this Schedule is subject to the General Rules and Regulations contained in the tariff of which this Schedule is a part, and to those prescribed by regulatory authorities.</w:t>
      </w:r>
    </w:p>
    <w:p w:rsidR="00872CD0" w:rsidRDefault="00872CD0" w:rsidP="00872CD0">
      <w:pPr>
        <w:pStyle w:val="BodyText2"/>
        <w:tabs>
          <w:tab w:val="left" w:pos="720"/>
          <w:tab w:val="left" w:pos="1080"/>
        </w:tabs>
        <w:ind w:left="0" w:firstLine="360"/>
        <w:rPr>
          <w:rFonts w:ascii="Arial" w:hAnsi="Arial" w:cs="Arial"/>
          <w:sz w:val="20"/>
        </w:rPr>
      </w:pPr>
    </w:p>
    <w:p w:rsidR="00872CD0" w:rsidRPr="00AA1C36" w:rsidRDefault="00872CD0" w:rsidP="00872CD0">
      <w:pPr>
        <w:pStyle w:val="Footer"/>
        <w:tabs>
          <w:tab w:val="clear" w:pos="4680"/>
          <w:tab w:val="right" w:pos="9216"/>
        </w:tabs>
        <w:ind w:left="900" w:hanging="900"/>
        <w:rPr>
          <w:rFonts w:ascii="Arial" w:hAnsi="Arial" w:cs="Arial"/>
          <w:sz w:val="18"/>
        </w:rPr>
      </w:pPr>
      <w:r w:rsidRPr="00124DBD">
        <w:rPr>
          <w:rFonts w:ascii="Arial" w:hAnsi="Arial" w:cs="Arial"/>
          <w:b/>
          <w:sz w:val="18"/>
        </w:rPr>
        <w:t xml:space="preserve">Issued: </w:t>
      </w:r>
      <w:r w:rsidRPr="00124DBD">
        <w:rPr>
          <w:rFonts w:ascii="Arial" w:hAnsi="Arial" w:cs="Arial"/>
          <w:sz w:val="18"/>
        </w:rPr>
        <w:t>May 13, 2011</w:t>
      </w:r>
      <w:r w:rsidRPr="00124DBD">
        <w:rPr>
          <w:rFonts w:ascii="Arial" w:hAnsi="Arial" w:cs="Arial"/>
          <w:sz w:val="18"/>
        </w:rPr>
        <w:tab/>
      </w:r>
      <w:r w:rsidRPr="00124DBD">
        <w:rPr>
          <w:rFonts w:ascii="Arial" w:hAnsi="Arial" w:cs="Arial"/>
          <w:b/>
          <w:sz w:val="18"/>
        </w:rPr>
        <w:t>Effective:</w:t>
      </w:r>
      <w:r w:rsidRPr="00124DBD">
        <w:rPr>
          <w:rFonts w:ascii="Arial" w:hAnsi="Arial" w:cs="Arial"/>
          <w:sz w:val="18"/>
        </w:rPr>
        <w:t xml:space="preserve"> June 13, 2011</w:t>
      </w:r>
    </w:p>
    <w:p w:rsidR="00872CD0" w:rsidRPr="00AA1C36" w:rsidRDefault="00872CD0" w:rsidP="00872CD0">
      <w:pPr>
        <w:pStyle w:val="Footer"/>
        <w:tabs>
          <w:tab w:val="clear" w:pos="4680"/>
          <w:tab w:val="clear" w:pos="9360"/>
          <w:tab w:val="right" w:pos="9216"/>
        </w:tabs>
        <w:ind w:left="900" w:hanging="900"/>
        <w:rPr>
          <w:rFonts w:ascii="Arial" w:hAnsi="Arial" w:cs="Arial"/>
          <w:sz w:val="18"/>
        </w:rPr>
      </w:pPr>
      <w:r w:rsidRPr="00124DBD">
        <w:rPr>
          <w:rFonts w:ascii="Arial" w:hAnsi="Arial" w:cs="Arial"/>
          <w:b/>
          <w:sz w:val="18"/>
        </w:rPr>
        <w:t>Advice No.</w:t>
      </w:r>
      <w:r w:rsidRPr="00124DBD">
        <w:rPr>
          <w:rFonts w:ascii="Arial" w:hAnsi="Arial" w:cs="Arial"/>
          <w:sz w:val="18"/>
        </w:rPr>
        <w:t xml:space="preserve"> 11-01</w:t>
      </w:r>
    </w:p>
    <w:p w:rsidR="00872CD0" w:rsidRPr="00AA1C36" w:rsidRDefault="00872CD0" w:rsidP="00872CD0">
      <w:pPr>
        <w:pStyle w:val="Footer"/>
        <w:tabs>
          <w:tab w:val="clear" w:pos="4680"/>
          <w:tab w:val="clear" w:pos="9360"/>
          <w:tab w:val="right" w:pos="9216"/>
        </w:tabs>
        <w:ind w:left="900" w:hanging="900"/>
        <w:jc w:val="center"/>
        <w:rPr>
          <w:rFonts w:ascii="Arial" w:hAnsi="Arial" w:cs="Arial"/>
          <w:b/>
          <w:sz w:val="18"/>
        </w:rPr>
      </w:pPr>
      <w:r w:rsidRPr="00124DBD">
        <w:rPr>
          <w:rFonts w:ascii="Arial" w:hAnsi="Arial" w:cs="Arial"/>
          <w:b/>
          <w:sz w:val="18"/>
        </w:rPr>
        <w:t>Issued By Pacific Power &amp; Light Company</w:t>
      </w:r>
    </w:p>
    <w:p w:rsidR="00872CD0" w:rsidRPr="00AA1C36" w:rsidRDefault="00872CD0" w:rsidP="00872CD0">
      <w:pPr>
        <w:pStyle w:val="Footer"/>
        <w:tabs>
          <w:tab w:val="clear" w:pos="4680"/>
          <w:tab w:val="clear" w:pos="9360"/>
          <w:tab w:val="right" w:pos="9216"/>
        </w:tabs>
        <w:ind w:left="900" w:hanging="900"/>
        <w:jc w:val="center"/>
        <w:rPr>
          <w:rFonts w:ascii="Arial" w:hAnsi="Arial" w:cs="Arial"/>
          <w:sz w:val="18"/>
        </w:rPr>
      </w:pPr>
      <w:r>
        <w:rPr>
          <w:rFonts w:ascii="Arial" w:hAnsi="Arial" w:cs="Arial"/>
          <w:noProof/>
          <w:sz w:val="18"/>
        </w:rPr>
        <w:drawing>
          <wp:anchor distT="0" distB="0" distL="114300" distR="114300" simplePos="0" relativeHeight="25173145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4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27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72CD0" w:rsidRDefault="00872CD0" w:rsidP="00872CD0">
      <w:pPr>
        <w:pStyle w:val="Footer"/>
        <w:tabs>
          <w:tab w:val="clear" w:pos="4680"/>
          <w:tab w:val="clear" w:pos="9360"/>
          <w:tab w:val="right" w:pos="9216"/>
        </w:tabs>
        <w:ind w:left="900" w:hanging="900"/>
        <w:rPr>
          <w:rFonts w:ascii="Arial" w:hAnsi="Arial" w:cs="Arial"/>
          <w:sz w:val="18"/>
        </w:rPr>
        <w:sectPr w:rsidR="00872CD0" w:rsidSect="001B376C">
          <w:headerReference w:type="default" r:id="rId21"/>
          <w:footerReference w:type="default" r:id="rId22"/>
          <w:pgSz w:w="12240" w:h="15840" w:code="1"/>
          <w:pgMar w:top="1440" w:right="1080" w:bottom="1440" w:left="1440" w:header="720" w:footer="720" w:gutter="0"/>
          <w:cols w:space="720"/>
          <w:docGrid w:linePitch="360"/>
        </w:sectPr>
      </w:pPr>
      <w:r>
        <w:rPr>
          <w:rFonts w:ascii="Arial" w:hAnsi="Arial" w:cs="Arial"/>
          <w:noProof/>
          <w:sz w:val="18"/>
        </w:rPr>
        <w:drawing>
          <wp:anchor distT="0" distB="0" distL="114300" distR="114300" simplePos="0" relativeHeight="251734528"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43"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3350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4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3248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4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3043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2940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28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726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124DBD">
        <w:rPr>
          <w:rFonts w:ascii="Arial" w:hAnsi="Arial" w:cs="Arial"/>
          <w:sz w:val="18"/>
        </w:rPr>
        <w:t>By:  _________________________ Andrea L. Kelly</w:t>
      </w:r>
      <w:r w:rsidRPr="00124DBD">
        <w:rPr>
          <w:rFonts w:ascii="Arial" w:hAnsi="Arial" w:cs="Arial"/>
          <w:sz w:val="18"/>
        </w:rPr>
        <w:tab/>
      </w:r>
      <w:r w:rsidRPr="00124DBD">
        <w:rPr>
          <w:rFonts w:ascii="Arial" w:hAnsi="Arial" w:cs="Arial"/>
          <w:b/>
          <w:sz w:val="18"/>
        </w:rPr>
        <w:t>Title:</w:t>
      </w:r>
      <w:r w:rsidRPr="00124DBD">
        <w:rPr>
          <w:rFonts w:ascii="Arial" w:hAnsi="Arial" w:cs="Arial"/>
          <w:sz w:val="18"/>
        </w:rPr>
        <w:t xml:space="preserve">  Vice President, Regulation</w:t>
      </w:r>
    </w:p>
    <w:p w:rsidR="002534BA" w:rsidRPr="00111D82" w:rsidRDefault="002534BA" w:rsidP="00E31579">
      <w:pPr>
        <w:pStyle w:val="Heading2"/>
        <w:spacing w:before="100" w:beforeAutospacing="1" w:after="100" w:afterAutospacing="1"/>
        <w:jc w:val="both"/>
        <w:rPr>
          <w:szCs w:val="24"/>
        </w:rPr>
      </w:pPr>
      <w:bookmarkStart w:id="4" w:name="_Toc323553607"/>
      <w:bookmarkStart w:id="5" w:name="_Toc326296729"/>
      <w:r w:rsidRPr="00111D82">
        <w:rPr>
          <w:szCs w:val="24"/>
        </w:rPr>
        <w:t>Home Energy Savings (Schedule 118)</w:t>
      </w:r>
      <w:bookmarkEnd w:id="4"/>
      <w:bookmarkEnd w:id="5"/>
    </w:p>
    <w:p w:rsidR="00F83805" w:rsidRPr="00111D82" w:rsidRDefault="00E31579" w:rsidP="00E31579">
      <w:pPr>
        <w:spacing w:before="100" w:beforeAutospacing="1"/>
        <w:jc w:val="both"/>
        <w:rPr>
          <w:rFonts w:ascii="Times New Roman" w:hAnsi="Times New Roman"/>
          <w:bCs/>
          <w:sz w:val="24"/>
          <w:szCs w:val="24"/>
          <w:u w:val="single"/>
        </w:rPr>
      </w:pPr>
      <w:r>
        <w:rPr>
          <w:rFonts w:ascii="Times New Roman" w:hAnsi="Times New Roman"/>
          <w:bCs/>
          <w:sz w:val="24"/>
          <w:szCs w:val="24"/>
          <w:u w:val="single"/>
        </w:rPr>
        <w:t>Years of Implementation</w:t>
      </w:r>
    </w:p>
    <w:p w:rsidR="00F83805" w:rsidRPr="00111D82" w:rsidRDefault="005A2C46" w:rsidP="00E31579">
      <w:pPr>
        <w:spacing w:after="100" w:afterAutospacing="1"/>
        <w:jc w:val="both"/>
        <w:rPr>
          <w:rFonts w:ascii="Times New Roman" w:hAnsi="Times New Roman"/>
          <w:bCs/>
          <w:sz w:val="24"/>
          <w:szCs w:val="24"/>
          <w:u w:val="single"/>
        </w:rPr>
      </w:pPr>
      <w:r w:rsidRPr="00111D82">
        <w:rPr>
          <w:rFonts w:ascii="Times New Roman" w:hAnsi="Times New Roman"/>
          <w:sz w:val="24"/>
          <w:szCs w:val="24"/>
        </w:rPr>
        <w:t>Pacifi</w:t>
      </w:r>
      <w:r w:rsidR="003C7EC8" w:rsidRPr="00111D82">
        <w:rPr>
          <w:rFonts w:ascii="Times New Roman" w:hAnsi="Times New Roman"/>
          <w:sz w:val="24"/>
          <w:szCs w:val="24"/>
        </w:rPr>
        <w:t>Corp</w:t>
      </w:r>
      <w:r w:rsidRPr="00111D82">
        <w:rPr>
          <w:rFonts w:ascii="Times New Roman" w:hAnsi="Times New Roman"/>
          <w:sz w:val="24"/>
          <w:szCs w:val="24"/>
        </w:rPr>
        <w:t xml:space="preserve"> Electric Service Schedule No. 118 for the Home Energy Savings Program was submitted under Advice Letter No. 06-004 on August 11, 2006. The</w:t>
      </w:r>
      <w:r w:rsidR="003C7EC8" w:rsidRPr="00111D82">
        <w:rPr>
          <w:rFonts w:ascii="Times New Roman" w:hAnsi="Times New Roman"/>
          <w:sz w:val="24"/>
          <w:szCs w:val="24"/>
        </w:rPr>
        <w:t xml:space="preserve"> program was initially approved with an</w:t>
      </w:r>
      <w:r w:rsidRPr="00111D82">
        <w:rPr>
          <w:rFonts w:ascii="Times New Roman" w:hAnsi="Times New Roman"/>
          <w:sz w:val="24"/>
          <w:szCs w:val="24"/>
        </w:rPr>
        <w:t xml:space="preserve"> effective date </w:t>
      </w:r>
      <w:r w:rsidR="003C7EC8" w:rsidRPr="00111D82">
        <w:rPr>
          <w:rFonts w:ascii="Times New Roman" w:hAnsi="Times New Roman"/>
          <w:sz w:val="24"/>
          <w:szCs w:val="24"/>
        </w:rPr>
        <w:t>of</w:t>
      </w:r>
      <w:r w:rsidR="00E31579">
        <w:rPr>
          <w:rFonts w:ascii="Times New Roman" w:hAnsi="Times New Roman"/>
          <w:sz w:val="24"/>
          <w:szCs w:val="24"/>
        </w:rPr>
        <w:t xml:space="preserve"> September 14, 2006.</w:t>
      </w:r>
    </w:p>
    <w:p w:rsidR="00CD7669" w:rsidRPr="00111D82" w:rsidRDefault="00CD7669" w:rsidP="00E31579">
      <w:pPr>
        <w:spacing w:before="100" w:beforeAutospacing="1"/>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5A2C46" w:rsidRPr="00111D82" w:rsidRDefault="005A2C46" w:rsidP="00CF6F22">
      <w:pPr>
        <w:tabs>
          <w:tab w:val="left" w:pos="-1080"/>
        </w:tabs>
        <w:spacing w:after="100" w:afterAutospacing="1"/>
        <w:jc w:val="both"/>
        <w:rPr>
          <w:rFonts w:ascii="Times New Roman" w:hAnsi="Times New Roman"/>
          <w:sz w:val="24"/>
          <w:szCs w:val="24"/>
        </w:rPr>
      </w:pPr>
      <w:r w:rsidRPr="00111D82">
        <w:rPr>
          <w:rFonts w:ascii="Times New Roman" w:hAnsi="Times New Roman"/>
          <w:sz w:val="24"/>
          <w:szCs w:val="24"/>
        </w:rPr>
        <w:t xml:space="preserve">The program provides a broad framework to deliver incentives for more efficient products and services for Washington residential customers with a new or existing home, multi-family unit or manufactured home. </w:t>
      </w:r>
      <w:r w:rsidR="001A0FB8" w:rsidRPr="00111D82">
        <w:rPr>
          <w:rFonts w:ascii="Times New Roman" w:hAnsi="Times New Roman"/>
          <w:sz w:val="24"/>
          <w:szCs w:val="24"/>
        </w:rPr>
        <w:t>A</w:t>
      </w:r>
      <w:r w:rsidRPr="00111D82">
        <w:rPr>
          <w:rFonts w:ascii="Times New Roman" w:hAnsi="Times New Roman"/>
          <w:sz w:val="24"/>
          <w:szCs w:val="24"/>
        </w:rPr>
        <w:t xml:space="preserve"> third party administrator hired by the Company</w:t>
      </w:r>
      <w:r w:rsidR="001A0FB8" w:rsidRPr="00111D82">
        <w:rPr>
          <w:rFonts w:ascii="Times New Roman" w:hAnsi="Times New Roman"/>
          <w:sz w:val="24"/>
          <w:szCs w:val="24"/>
        </w:rPr>
        <w:t xml:space="preserve"> delivers the savings and incentives of the program</w:t>
      </w:r>
      <w:r w:rsidRPr="00111D82">
        <w:rPr>
          <w:rFonts w:ascii="Times New Roman" w:hAnsi="Times New Roman"/>
          <w:sz w:val="24"/>
          <w:szCs w:val="24"/>
        </w:rPr>
        <w:t>.</w:t>
      </w:r>
      <w:r w:rsidR="001A0FB8" w:rsidRPr="00111D82">
        <w:rPr>
          <w:rFonts w:ascii="Times New Roman" w:hAnsi="Times New Roman"/>
          <w:sz w:val="24"/>
          <w:szCs w:val="24"/>
        </w:rPr>
        <w:t xml:space="preserve"> Operating in tandem,</w:t>
      </w:r>
      <w:r w:rsidRPr="00111D82">
        <w:rPr>
          <w:rFonts w:ascii="Times New Roman" w:hAnsi="Times New Roman"/>
          <w:sz w:val="24"/>
          <w:szCs w:val="24"/>
        </w:rPr>
        <w:t xml:space="preserve"> Schedule 118 and the program </w:t>
      </w:r>
      <w:r w:rsidR="00791E06" w:rsidRPr="00111D82">
        <w:rPr>
          <w:rFonts w:ascii="Times New Roman" w:hAnsi="Times New Roman"/>
          <w:sz w:val="24"/>
          <w:szCs w:val="24"/>
        </w:rPr>
        <w:t>website (</w:t>
      </w:r>
      <w:hyperlink r:id="rId23" w:history="1">
        <w:r w:rsidRPr="004D0519">
          <w:rPr>
            <w:rStyle w:val="Hyperlink"/>
            <w:rFonts w:ascii="Times New Roman" w:hAnsi="Times New Roman"/>
            <w:color w:val="3366FF"/>
            <w:sz w:val="24"/>
            <w:szCs w:val="24"/>
          </w:rPr>
          <w:t>http://www.homeenergysavings.net</w:t>
        </w:r>
      </w:hyperlink>
      <w:r w:rsidR="001A0FB8" w:rsidRPr="00111D82">
        <w:t>)</w:t>
      </w:r>
      <w:r w:rsidRPr="00111D82">
        <w:rPr>
          <w:rFonts w:ascii="Times New Roman" w:hAnsi="Times New Roman"/>
          <w:sz w:val="24"/>
          <w:szCs w:val="24"/>
        </w:rPr>
        <w:t xml:space="preserve"> inform customers and contractors of the offerings and qualifications for incentives.</w:t>
      </w:r>
    </w:p>
    <w:p w:rsidR="00B922B3" w:rsidRPr="00111D82" w:rsidRDefault="005A2C46" w:rsidP="00E31579">
      <w:pPr>
        <w:tabs>
          <w:tab w:val="left" w:pos="-1080"/>
        </w:tabs>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Measures eligible for incentives include clothes washers, clothes washer recycling, refrigerators, water</w:t>
      </w:r>
      <w:r w:rsidR="005A7450">
        <w:rPr>
          <w:rFonts w:ascii="Times New Roman" w:hAnsi="Times New Roman"/>
          <w:sz w:val="24"/>
          <w:szCs w:val="24"/>
        </w:rPr>
        <w:t xml:space="preserve"> </w:t>
      </w:r>
      <w:r w:rsidRPr="00111D82">
        <w:rPr>
          <w:rFonts w:ascii="Times New Roman" w:hAnsi="Times New Roman"/>
          <w:sz w:val="24"/>
          <w:szCs w:val="24"/>
        </w:rPr>
        <w:t>heaters, dishwashers, lighting, heating and cooling equipment, insulation</w:t>
      </w:r>
      <w:r w:rsidR="00C77310">
        <w:rPr>
          <w:rFonts w:ascii="Times New Roman" w:hAnsi="Times New Roman"/>
          <w:sz w:val="24"/>
          <w:szCs w:val="24"/>
        </w:rPr>
        <w:t xml:space="preserve"> and </w:t>
      </w:r>
      <w:r w:rsidRPr="00111D82">
        <w:rPr>
          <w:rFonts w:ascii="Times New Roman" w:hAnsi="Times New Roman"/>
          <w:sz w:val="24"/>
          <w:szCs w:val="24"/>
        </w:rPr>
        <w:t>windows. In addition, the program includes a Builder Option Package as well as stand-alone measures for new homes.</w:t>
      </w:r>
      <w:r w:rsidR="006E3561">
        <w:rPr>
          <w:rFonts w:ascii="Times New Roman" w:hAnsi="Times New Roman"/>
          <w:sz w:val="24"/>
          <w:szCs w:val="24"/>
        </w:rPr>
        <w:t xml:space="preserve"> </w:t>
      </w:r>
      <w:r w:rsidR="006E3561" w:rsidRPr="00111D82">
        <w:rPr>
          <w:rFonts w:ascii="Times New Roman" w:hAnsi="Times New Roman"/>
          <w:sz w:val="24"/>
          <w:szCs w:val="24"/>
        </w:rPr>
        <w:t xml:space="preserve">Program changes </w:t>
      </w:r>
      <w:r w:rsidR="00C77310">
        <w:rPr>
          <w:rFonts w:ascii="Times New Roman" w:hAnsi="Times New Roman"/>
          <w:sz w:val="24"/>
          <w:szCs w:val="24"/>
        </w:rPr>
        <w:t>were</w:t>
      </w:r>
      <w:r w:rsidR="006E3561" w:rsidRPr="00111D82">
        <w:rPr>
          <w:rFonts w:ascii="Times New Roman" w:hAnsi="Times New Roman"/>
          <w:sz w:val="24"/>
          <w:szCs w:val="24"/>
        </w:rPr>
        <w:t xml:space="preserve"> made in </w:t>
      </w:r>
      <w:r w:rsidR="00C77310">
        <w:rPr>
          <w:rFonts w:ascii="Times New Roman" w:hAnsi="Times New Roman"/>
          <w:sz w:val="24"/>
          <w:szCs w:val="24"/>
        </w:rPr>
        <w:t xml:space="preserve">April </w:t>
      </w:r>
      <w:r w:rsidR="006E3561" w:rsidRPr="00111D82">
        <w:rPr>
          <w:rFonts w:ascii="Times New Roman" w:hAnsi="Times New Roman"/>
          <w:sz w:val="24"/>
          <w:szCs w:val="24"/>
        </w:rPr>
        <w:t>2012 to improve participation, comply with code and standard changes, align incentives with revised measure costs and savings estimates, and improve cost effectiveness.</w:t>
      </w:r>
      <w:r w:rsidR="00C77310">
        <w:rPr>
          <w:rFonts w:ascii="Times New Roman" w:hAnsi="Times New Roman"/>
          <w:sz w:val="24"/>
          <w:szCs w:val="24"/>
        </w:rPr>
        <w:t xml:space="preserve"> Program changes included adding new measures freezers, heat pump water heaters, portable evaporative coolers, LEDs, ductless heat pump</w:t>
      </w:r>
      <w:r w:rsidR="00696765">
        <w:rPr>
          <w:rFonts w:ascii="Times New Roman" w:hAnsi="Times New Roman"/>
          <w:sz w:val="24"/>
          <w:szCs w:val="24"/>
        </w:rPr>
        <w:t>s and duct sealing combined with duct insulation.</w:t>
      </w:r>
      <w:bookmarkStart w:id="6" w:name="_GoBack"/>
      <w:bookmarkEnd w:id="6"/>
      <w:r w:rsidR="004D1C5F">
        <w:rPr>
          <w:rFonts w:ascii="Times New Roman" w:hAnsi="Times New Roman"/>
          <w:sz w:val="24"/>
          <w:szCs w:val="24"/>
        </w:rPr>
        <w:t xml:space="preserve"> </w:t>
      </w:r>
      <w:r w:rsidR="004D1C5F" w:rsidRPr="004D1C5F">
        <w:rPr>
          <w:rFonts w:ascii="Times New Roman" w:hAnsi="Times New Roman"/>
          <w:sz w:val="24"/>
          <w:szCs w:val="24"/>
        </w:rPr>
        <w:t>Measures eliminated from the program include room air conditioner recycling, ceiling fans, central air conditioner sizing and central air conditioner tune-ups.</w:t>
      </w:r>
    </w:p>
    <w:p w:rsidR="00B922B3" w:rsidRPr="00111D82" w:rsidRDefault="005A2C46" w:rsidP="00CF6F22">
      <w:pPr>
        <w:tabs>
          <w:tab w:val="left" w:pos="-1080"/>
        </w:tabs>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Incentives are provided in two ways: post-purchase delivery to the customer for the majority of measures and through a manufacturer buy-down for CFLs</w:t>
      </w:r>
      <w:r w:rsidR="00696765">
        <w:rPr>
          <w:rFonts w:ascii="Times New Roman" w:hAnsi="Times New Roman"/>
          <w:sz w:val="24"/>
          <w:szCs w:val="24"/>
        </w:rPr>
        <w:t xml:space="preserve"> and LEDs</w:t>
      </w:r>
      <w:r w:rsidRPr="00111D82">
        <w:rPr>
          <w:rFonts w:ascii="Times New Roman" w:hAnsi="Times New Roman"/>
          <w:sz w:val="24"/>
          <w:szCs w:val="24"/>
        </w:rPr>
        <w:t>. Buy-downs result in lower retail prices for customers at the point of purchase as opposed to post-purchase incentives that customers must submit an application to receive.</w:t>
      </w:r>
    </w:p>
    <w:p w:rsidR="00B922B3" w:rsidRPr="00111D82" w:rsidRDefault="005A2C46" w:rsidP="005A7450">
      <w:pPr>
        <w:spacing w:before="100" w:beforeAutospacing="1" w:after="100" w:afterAutospacing="1"/>
        <w:jc w:val="both"/>
        <w:rPr>
          <w:rFonts w:ascii="Times New Roman" w:hAnsi="Times New Roman"/>
          <w:sz w:val="24"/>
          <w:szCs w:val="24"/>
          <w:u w:val="single"/>
        </w:rPr>
      </w:pPr>
      <w:r w:rsidRPr="00111D82">
        <w:rPr>
          <w:rFonts w:ascii="Times New Roman" w:hAnsi="Times New Roman"/>
          <w:sz w:val="24"/>
          <w:szCs w:val="24"/>
          <w:u w:val="single"/>
        </w:rPr>
        <w:t>Evaluation Update</w:t>
      </w:r>
    </w:p>
    <w:p w:rsidR="005A2C46" w:rsidRPr="00AA1C36" w:rsidRDefault="00124DBD" w:rsidP="005A2C46">
      <w:pPr>
        <w:rPr>
          <w:rFonts w:ascii="Times New Roman" w:hAnsi="Times New Roman"/>
          <w:b/>
          <w:i/>
          <w:sz w:val="20"/>
          <w:szCs w:val="24"/>
        </w:rPr>
      </w:pPr>
      <w:r w:rsidRPr="00124DBD">
        <w:rPr>
          <w:rFonts w:ascii="Times New Roman" w:hAnsi="Times New Roman"/>
          <w:b/>
          <w:i/>
          <w:sz w:val="20"/>
          <w:szCs w:val="24"/>
        </w:rPr>
        <w:t>Last Evaluation Report:</w:t>
      </w:r>
    </w:p>
    <w:tbl>
      <w:tblPr>
        <w:tblW w:w="0" w:type="auto"/>
        <w:tblLook w:val="04A0"/>
      </w:tblPr>
      <w:tblGrid>
        <w:gridCol w:w="3348"/>
        <w:gridCol w:w="2726"/>
        <w:gridCol w:w="2782"/>
      </w:tblGrid>
      <w:tr w:rsidR="005A2C46" w:rsidRPr="00AA1C36" w:rsidTr="00AA40D3">
        <w:tc>
          <w:tcPr>
            <w:tcW w:w="3348" w:type="dxa"/>
          </w:tcPr>
          <w:p w:rsidR="005A2C46" w:rsidRPr="00AA1C36" w:rsidRDefault="00124DBD" w:rsidP="00FE154F">
            <w:pPr>
              <w:spacing w:after="100" w:afterAutospacing="1"/>
              <w:jc w:val="center"/>
              <w:rPr>
                <w:rFonts w:ascii="Times New Roman" w:hAnsi="Times New Roman"/>
                <w:b/>
                <w:sz w:val="20"/>
                <w:szCs w:val="24"/>
              </w:rPr>
            </w:pPr>
            <w:r w:rsidRPr="00124DBD">
              <w:rPr>
                <w:rFonts w:ascii="Times New Roman" w:hAnsi="Times New Roman"/>
                <w:b/>
                <w:sz w:val="20"/>
                <w:szCs w:val="24"/>
              </w:rPr>
              <w:t>Program Years</w:t>
            </w:r>
          </w:p>
        </w:tc>
        <w:tc>
          <w:tcPr>
            <w:tcW w:w="2726" w:type="dxa"/>
          </w:tcPr>
          <w:p w:rsidR="005A2C46" w:rsidRPr="00AA1C36" w:rsidRDefault="00124DBD" w:rsidP="00FE154F">
            <w:pPr>
              <w:spacing w:after="100" w:afterAutospacing="1"/>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5A2C46" w:rsidRPr="00AA1C36" w:rsidRDefault="00124DBD" w:rsidP="00FE154F">
            <w:pPr>
              <w:spacing w:after="100" w:afterAutospacing="1"/>
              <w:jc w:val="center"/>
              <w:rPr>
                <w:rFonts w:ascii="Times New Roman" w:hAnsi="Times New Roman"/>
                <w:b/>
                <w:sz w:val="20"/>
                <w:szCs w:val="24"/>
              </w:rPr>
            </w:pPr>
            <w:r w:rsidRPr="00124DBD">
              <w:rPr>
                <w:rFonts w:ascii="Times New Roman" w:hAnsi="Times New Roman"/>
                <w:b/>
                <w:sz w:val="20"/>
                <w:szCs w:val="24"/>
              </w:rPr>
              <w:t>Completed by</w:t>
            </w:r>
          </w:p>
        </w:tc>
      </w:tr>
      <w:tr w:rsidR="00B27C90" w:rsidRPr="00AA1C36" w:rsidTr="00AA40D3">
        <w:tc>
          <w:tcPr>
            <w:tcW w:w="3348" w:type="dxa"/>
          </w:tcPr>
          <w:p w:rsidR="00B27C90" w:rsidRPr="00AA1C36" w:rsidRDefault="00124DBD" w:rsidP="00FE154F">
            <w:pPr>
              <w:spacing w:after="100" w:afterAutospacing="1"/>
              <w:jc w:val="center"/>
              <w:rPr>
                <w:rFonts w:ascii="Times New Roman" w:hAnsi="Times New Roman"/>
                <w:sz w:val="20"/>
                <w:szCs w:val="24"/>
              </w:rPr>
            </w:pPr>
            <w:r w:rsidRPr="00124DBD">
              <w:rPr>
                <w:rFonts w:ascii="Times New Roman" w:hAnsi="Times New Roman"/>
                <w:sz w:val="20"/>
                <w:szCs w:val="24"/>
              </w:rPr>
              <w:t>200</w:t>
            </w:r>
            <w:r w:rsidR="005A7450">
              <w:rPr>
                <w:rFonts w:ascii="Times New Roman" w:hAnsi="Times New Roman"/>
                <w:sz w:val="20"/>
                <w:szCs w:val="24"/>
              </w:rPr>
              <w:t>9</w:t>
            </w:r>
            <w:r w:rsidRPr="00124DBD">
              <w:rPr>
                <w:rFonts w:ascii="Times New Roman" w:hAnsi="Times New Roman"/>
                <w:sz w:val="20"/>
                <w:szCs w:val="24"/>
              </w:rPr>
              <w:t>-20</w:t>
            </w:r>
            <w:r w:rsidR="005A7450">
              <w:rPr>
                <w:rFonts w:ascii="Times New Roman" w:hAnsi="Times New Roman"/>
                <w:sz w:val="20"/>
                <w:szCs w:val="24"/>
              </w:rPr>
              <w:t>1</w:t>
            </w:r>
            <w:r w:rsidRPr="00124DBD">
              <w:rPr>
                <w:rFonts w:ascii="Times New Roman" w:hAnsi="Times New Roman"/>
                <w:sz w:val="20"/>
                <w:szCs w:val="24"/>
              </w:rPr>
              <w:t>0</w:t>
            </w:r>
          </w:p>
        </w:tc>
        <w:tc>
          <w:tcPr>
            <w:tcW w:w="2726" w:type="dxa"/>
          </w:tcPr>
          <w:p w:rsidR="00B27C90" w:rsidRPr="00AA1C36" w:rsidRDefault="005A7450" w:rsidP="00FE154F">
            <w:pPr>
              <w:spacing w:after="100" w:afterAutospacing="1"/>
              <w:jc w:val="center"/>
              <w:rPr>
                <w:rFonts w:ascii="Times New Roman" w:hAnsi="Times New Roman"/>
                <w:sz w:val="20"/>
                <w:szCs w:val="24"/>
              </w:rPr>
            </w:pPr>
            <w:r>
              <w:rPr>
                <w:rFonts w:ascii="Times New Roman" w:hAnsi="Times New Roman"/>
                <w:sz w:val="20"/>
                <w:szCs w:val="24"/>
              </w:rPr>
              <w:t>January 13</w:t>
            </w:r>
            <w:r w:rsidR="00124DBD" w:rsidRPr="00124DBD">
              <w:rPr>
                <w:rFonts w:ascii="Times New Roman" w:hAnsi="Times New Roman"/>
                <w:sz w:val="20"/>
                <w:szCs w:val="24"/>
              </w:rPr>
              <w:t>, 201</w:t>
            </w:r>
            <w:r>
              <w:rPr>
                <w:rFonts w:ascii="Times New Roman" w:hAnsi="Times New Roman"/>
                <w:sz w:val="20"/>
                <w:szCs w:val="24"/>
              </w:rPr>
              <w:t>2</w:t>
            </w:r>
          </w:p>
        </w:tc>
        <w:tc>
          <w:tcPr>
            <w:tcW w:w="2782" w:type="dxa"/>
          </w:tcPr>
          <w:p w:rsidR="00B27C90" w:rsidRPr="00AA1C36" w:rsidRDefault="00124DBD" w:rsidP="00FE154F">
            <w:pPr>
              <w:spacing w:after="100" w:afterAutospacing="1"/>
              <w:jc w:val="center"/>
              <w:rPr>
                <w:rFonts w:ascii="Times New Roman" w:hAnsi="Times New Roman"/>
                <w:sz w:val="20"/>
                <w:szCs w:val="24"/>
              </w:rPr>
            </w:pPr>
            <w:r w:rsidRPr="00124DBD">
              <w:rPr>
                <w:rFonts w:ascii="Times New Roman" w:hAnsi="Times New Roman"/>
                <w:sz w:val="20"/>
                <w:szCs w:val="24"/>
              </w:rPr>
              <w:t>The Cadmus Group</w:t>
            </w:r>
          </w:p>
        </w:tc>
      </w:tr>
    </w:tbl>
    <w:p w:rsidR="00AA40D3" w:rsidRPr="00AA1C36" w:rsidRDefault="00124DBD" w:rsidP="00FE154F">
      <w:pPr>
        <w:spacing w:before="100" w:beforeAutospacing="1"/>
        <w:rPr>
          <w:rFonts w:ascii="Times New Roman" w:hAnsi="Times New Roman"/>
          <w:b/>
          <w:i/>
          <w:sz w:val="20"/>
          <w:szCs w:val="24"/>
        </w:rPr>
      </w:pPr>
      <w:r w:rsidRPr="00124DBD">
        <w:rPr>
          <w:rFonts w:ascii="Times New Roman" w:hAnsi="Times New Roman"/>
          <w:b/>
          <w:i/>
          <w:sz w:val="20"/>
          <w:szCs w:val="24"/>
        </w:rPr>
        <w:t>Future Evaluation Report(s):</w:t>
      </w:r>
    </w:p>
    <w:tbl>
      <w:tblPr>
        <w:tblW w:w="0" w:type="auto"/>
        <w:tblLook w:val="04A0"/>
      </w:tblPr>
      <w:tblGrid>
        <w:gridCol w:w="3348"/>
        <w:gridCol w:w="2726"/>
        <w:gridCol w:w="2782"/>
      </w:tblGrid>
      <w:tr w:rsidR="00AA40D3" w:rsidRPr="00AA1C36" w:rsidTr="00AA40D3">
        <w:tc>
          <w:tcPr>
            <w:tcW w:w="3348" w:type="dxa"/>
          </w:tcPr>
          <w:p w:rsidR="00AA40D3" w:rsidRPr="00AA1C36" w:rsidRDefault="00124DBD" w:rsidP="005A7450">
            <w:pPr>
              <w:spacing w:after="100" w:afterAutospacing="1"/>
              <w:jc w:val="center"/>
              <w:rPr>
                <w:rFonts w:ascii="Times New Roman" w:hAnsi="Times New Roman"/>
                <w:b/>
                <w:sz w:val="20"/>
                <w:szCs w:val="24"/>
              </w:rPr>
            </w:pPr>
            <w:r w:rsidRPr="00124DBD">
              <w:rPr>
                <w:rFonts w:ascii="Times New Roman" w:hAnsi="Times New Roman"/>
                <w:b/>
                <w:sz w:val="20"/>
                <w:szCs w:val="24"/>
              </w:rPr>
              <w:t>Program Years</w:t>
            </w:r>
          </w:p>
        </w:tc>
        <w:tc>
          <w:tcPr>
            <w:tcW w:w="2726" w:type="dxa"/>
          </w:tcPr>
          <w:p w:rsidR="00AA40D3" w:rsidRPr="00AA1C36" w:rsidRDefault="00124DBD" w:rsidP="005A7450">
            <w:pPr>
              <w:spacing w:after="100" w:afterAutospacing="1"/>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AA40D3" w:rsidRPr="00AA1C36" w:rsidRDefault="00124DBD" w:rsidP="005A7450">
            <w:pPr>
              <w:spacing w:after="100" w:afterAutospacing="1"/>
              <w:jc w:val="center"/>
              <w:rPr>
                <w:rFonts w:ascii="Times New Roman" w:hAnsi="Times New Roman"/>
                <w:b/>
                <w:sz w:val="20"/>
                <w:szCs w:val="24"/>
              </w:rPr>
            </w:pPr>
            <w:r w:rsidRPr="00124DBD">
              <w:rPr>
                <w:rFonts w:ascii="Times New Roman" w:hAnsi="Times New Roman"/>
                <w:b/>
                <w:sz w:val="20"/>
                <w:szCs w:val="24"/>
              </w:rPr>
              <w:t>To be Completed by</w:t>
            </w:r>
          </w:p>
        </w:tc>
      </w:tr>
      <w:tr w:rsidR="00FA4C36" w:rsidRPr="00AA1C36" w:rsidTr="00FA4C36">
        <w:tc>
          <w:tcPr>
            <w:tcW w:w="3348" w:type="dxa"/>
          </w:tcPr>
          <w:p w:rsidR="00FA4C36" w:rsidRPr="00AA1C36" w:rsidRDefault="00124DBD" w:rsidP="005A7450">
            <w:pPr>
              <w:spacing w:after="100" w:afterAutospacing="1"/>
              <w:jc w:val="center"/>
              <w:rPr>
                <w:rFonts w:ascii="Times New Roman" w:hAnsi="Times New Roman"/>
                <w:sz w:val="20"/>
                <w:szCs w:val="24"/>
              </w:rPr>
            </w:pPr>
            <w:r w:rsidRPr="00124DBD">
              <w:rPr>
                <w:rFonts w:ascii="Times New Roman" w:hAnsi="Times New Roman"/>
                <w:sz w:val="20"/>
                <w:szCs w:val="24"/>
              </w:rPr>
              <w:t>2011-2012</w:t>
            </w:r>
          </w:p>
        </w:tc>
        <w:tc>
          <w:tcPr>
            <w:tcW w:w="2726" w:type="dxa"/>
          </w:tcPr>
          <w:p w:rsidR="00FA4C36" w:rsidRPr="00AA1C36" w:rsidRDefault="00124DBD" w:rsidP="005A7450">
            <w:pPr>
              <w:spacing w:after="100" w:afterAutospacing="1"/>
              <w:jc w:val="center"/>
              <w:rPr>
                <w:rFonts w:ascii="Times New Roman" w:hAnsi="Times New Roman"/>
                <w:sz w:val="20"/>
                <w:szCs w:val="24"/>
              </w:rPr>
            </w:pPr>
            <w:r w:rsidRPr="00124DBD">
              <w:rPr>
                <w:rFonts w:ascii="Times New Roman" w:hAnsi="Times New Roman"/>
                <w:sz w:val="20"/>
                <w:szCs w:val="24"/>
              </w:rPr>
              <w:t>By Year-end 2013</w:t>
            </w:r>
          </w:p>
        </w:tc>
        <w:tc>
          <w:tcPr>
            <w:tcW w:w="2782" w:type="dxa"/>
          </w:tcPr>
          <w:p w:rsidR="00FA4C36" w:rsidRPr="00AA1C36" w:rsidRDefault="00124DBD" w:rsidP="005A7450">
            <w:pPr>
              <w:spacing w:after="100" w:afterAutospacing="1"/>
              <w:jc w:val="center"/>
              <w:rPr>
                <w:rFonts w:ascii="Times New Roman" w:hAnsi="Times New Roman"/>
                <w:sz w:val="20"/>
                <w:szCs w:val="24"/>
              </w:rPr>
            </w:pPr>
            <w:r w:rsidRPr="00124DBD">
              <w:rPr>
                <w:rFonts w:ascii="Times New Roman" w:hAnsi="Times New Roman"/>
                <w:sz w:val="20"/>
                <w:szCs w:val="24"/>
              </w:rPr>
              <w:t>The Cadmus Group</w:t>
            </w:r>
          </w:p>
        </w:tc>
      </w:tr>
    </w:tbl>
    <w:p w:rsidR="005A2C46" w:rsidRPr="00111D82" w:rsidRDefault="005A2C46" w:rsidP="005A7450">
      <w:pPr>
        <w:spacing w:before="100" w:beforeAutospacing="1"/>
        <w:jc w:val="both"/>
        <w:rPr>
          <w:rFonts w:ascii="Times New Roman" w:hAnsi="Times New Roman"/>
          <w:sz w:val="24"/>
          <w:szCs w:val="24"/>
          <w:u w:val="single"/>
        </w:rPr>
      </w:pPr>
      <w:r w:rsidRPr="00111D82">
        <w:rPr>
          <w:rFonts w:ascii="Times New Roman" w:hAnsi="Times New Roman"/>
          <w:sz w:val="24"/>
          <w:szCs w:val="24"/>
          <w:u w:val="single"/>
        </w:rPr>
        <w:t>Program Details</w:t>
      </w:r>
    </w:p>
    <w:p w:rsidR="005A2C46" w:rsidRPr="00111D82" w:rsidRDefault="00476E47" w:rsidP="005A7450">
      <w:pPr>
        <w:spacing w:after="100" w:afterAutospacing="1"/>
        <w:jc w:val="both"/>
        <w:rPr>
          <w:rFonts w:ascii="Times New Roman" w:hAnsi="Times New Roman"/>
          <w:sz w:val="24"/>
          <w:szCs w:val="24"/>
        </w:rPr>
      </w:pPr>
      <w:r w:rsidRPr="00111D82">
        <w:rPr>
          <w:rFonts w:ascii="Times New Roman" w:hAnsi="Times New Roman"/>
          <w:sz w:val="24"/>
          <w:szCs w:val="24"/>
        </w:rPr>
        <w:t>General p</w:t>
      </w:r>
      <w:r w:rsidR="005A2C46" w:rsidRPr="00111D82">
        <w:rPr>
          <w:rFonts w:ascii="Times New Roman" w:hAnsi="Times New Roman"/>
          <w:sz w:val="24"/>
          <w:szCs w:val="24"/>
        </w:rPr>
        <w:t xml:space="preserve">rogram details are contained in the program </w:t>
      </w:r>
      <w:r w:rsidR="004E4BE1" w:rsidRPr="00111D82">
        <w:rPr>
          <w:rFonts w:ascii="Times New Roman" w:hAnsi="Times New Roman"/>
          <w:sz w:val="24"/>
          <w:szCs w:val="24"/>
        </w:rPr>
        <w:t>tariff;</w:t>
      </w:r>
      <w:r w:rsidRPr="00111D82">
        <w:rPr>
          <w:rFonts w:ascii="Times New Roman" w:hAnsi="Times New Roman"/>
          <w:sz w:val="24"/>
          <w:szCs w:val="24"/>
        </w:rPr>
        <w:t xml:space="preserve"> additional program detail is available on the program website</w:t>
      </w:r>
      <w:r w:rsidR="005A2C46" w:rsidRPr="00111D82">
        <w:rPr>
          <w:rFonts w:ascii="Times New Roman" w:hAnsi="Times New Roman"/>
          <w:sz w:val="24"/>
          <w:szCs w:val="24"/>
        </w:rPr>
        <w:t>. Any changes to the details included in the program tariff must be filed and approved by the Commission prior to becomin</w:t>
      </w:r>
      <w:r w:rsidR="005A7450">
        <w:rPr>
          <w:rFonts w:ascii="Times New Roman" w:hAnsi="Times New Roman"/>
          <w:sz w:val="24"/>
          <w:szCs w:val="24"/>
        </w:rPr>
        <w:t>g effective. In addition, measure level</w:t>
      </w:r>
      <w:r w:rsidR="005A2C46" w:rsidRPr="00111D82">
        <w:rPr>
          <w:rFonts w:ascii="Times New Roman" w:hAnsi="Times New Roman"/>
          <w:sz w:val="24"/>
          <w:szCs w:val="24"/>
        </w:rPr>
        <w:t xml:space="preserve"> program details </w:t>
      </w:r>
      <w:r w:rsidR="005A7450">
        <w:rPr>
          <w:rFonts w:ascii="Times New Roman" w:hAnsi="Times New Roman"/>
          <w:sz w:val="24"/>
          <w:szCs w:val="24"/>
        </w:rPr>
        <w:t xml:space="preserve">are </w:t>
      </w:r>
      <w:r w:rsidR="005A2C46" w:rsidRPr="00111D82">
        <w:rPr>
          <w:rFonts w:ascii="Times New Roman" w:hAnsi="Times New Roman"/>
          <w:sz w:val="24"/>
          <w:szCs w:val="24"/>
        </w:rPr>
        <w:t>managed outside of the program tar</w:t>
      </w:r>
      <w:r w:rsidR="005A7450">
        <w:rPr>
          <w:rFonts w:ascii="Times New Roman" w:hAnsi="Times New Roman"/>
          <w:sz w:val="24"/>
          <w:szCs w:val="24"/>
        </w:rPr>
        <w:t>iff. The program tariff and excerpt, provided below, fro</w:t>
      </w:r>
      <w:r w:rsidR="005A2C46" w:rsidRPr="00111D82">
        <w:rPr>
          <w:rFonts w:ascii="Times New Roman" w:hAnsi="Times New Roman"/>
          <w:sz w:val="24"/>
          <w:szCs w:val="24"/>
        </w:rPr>
        <w:t xml:space="preserve">m the </w:t>
      </w:r>
      <w:r w:rsidR="005A7450">
        <w:rPr>
          <w:rFonts w:ascii="Times New Roman" w:hAnsi="Times New Roman"/>
          <w:sz w:val="24"/>
          <w:szCs w:val="24"/>
        </w:rPr>
        <w:t>a</w:t>
      </w:r>
      <w:r w:rsidR="005A2C46" w:rsidRPr="00111D82">
        <w:rPr>
          <w:rFonts w:ascii="Times New Roman" w:hAnsi="Times New Roman"/>
          <w:sz w:val="24"/>
          <w:szCs w:val="24"/>
        </w:rPr>
        <w:t xml:space="preserve">dvice </w:t>
      </w:r>
      <w:r w:rsidR="005A7450">
        <w:rPr>
          <w:rFonts w:ascii="Times New Roman" w:hAnsi="Times New Roman"/>
          <w:sz w:val="24"/>
          <w:szCs w:val="24"/>
        </w:rPr>
        <w:t>l</w:t>
      </w:r>
      <w:r w:rsidR="005A2C46" w:rsidRPr="00111D82">
        <w:rPr>
          <w:rFonts w:ascii="Times New Roman" w:hAnsi="Times New Roman"/>
          <w:sz w:val="24"/>
          <w:szCs w:val="24"/>
        </w:rPr>
        <w:t xml:space="preserve">etter </w:t>
      </w:r>
      <w:r w:rsidR="005A7450">
        <w:rPr>
          <w:rFonts w:ascii="Times New Roman" w:hAnsi="Times New Roman"/>
          <w:sz w:val="24"/>
          <w:szCs w:val="24"/>
        </w:rPr>
        <w:t xml:space="preserve">in </w:t>
      </w:r>
      <w:r w:rsidR="005A2C46" w:rsidRPr="00111D82">
        <w:rPr>
          <w:rFonts w:ascii="Times New Roman" w:hAnsi="Times New Roman"/>
          <w:sz w:val="24"/>
          <w:szCs w:val="24"/>
        </w:rPr>
        <w:t>Docket UE-061297</w:t>
      </w:r>
      <w:r w:rsidR="008A26F5" w:rsidRPr="00111D82">
        <w:rPr>
          <w:rFonts w:ascii="Times New Roman" w:hAnsi="Times New Roman"/>
          <w:sz w:val="24"/>
          <w:szCs w:val="24"/>
        </w:rPr>
        <w:t>, filed August 11, 2006,</w:t>
      </w:r>
      <w:r w:rsidR="005A2C46" w:rsidRPr="00111D82">
        <w:rPr>
          <w:rFonts w:ascii="Times New Roman" w:hAnsi="Times New Roman"/>
          <w:sz w:val="24"/>
          <w:szCs w:val="24"/>
        </w:rPr>
        <w:t xml:space="preserve"> describe the information managed outside of the tariff and the process for </w:t>
      </w:r>
      <w:r w:rsidR="005A7450">
        <w:rPr>
          <w:rFonts w:ascii="Times New Roman" w:hAnsi="Times New Roman"/>
          <w:sz w:val="24"/>
          <w:szCs w:val="24"/>
        </w:rPr>
        <w:t xml:space="preserve">making program </w:t>
      </w:r>
      <w:r w:rsidR="005A2C46" w:rsidRPr="00111D82">
        <w:rPr>
          <w:rFonts w:ascii="Times New Roman" w:hAnsi="Times New Roman"/>
          <w:sz w:val="24"/>
          <w:szCs w:val="24"/>
        </w:rPr>
        <w:t>changes.</w:t>
      </w:r>
    </w:p>
    <w:p w:rsidR="005A2C46" w:rsidRPr="005A7450" w:rsidRDefault="00A468A6" w:rsidP="000F2169">
      <w:pPr>
        <w:spacing w:before="100" w:beforeAutospacing="1" w:after="100" w:afterAutospacing="1"/>
        <w:ind w:left="360" w:right="360"/>
        <w:jc w:val="both"/>
        <w:rPr>
          <w:rFonts w:ascii="Times New Roman" w:hAnsi="Times New Roman"/>
          <w:i/>
          <w:sz w:val="24"/>
          <w:szCs w:val="24"/>
        </w:rPr>
      </w:pPr>
      <w:r w:rsidRPr="005A7450">
        <w:rPr>
          <w:rFonts w:ascii="Times New Roman" w:hAnsi="Times New Roman"/>
          <w:i/>
          <w:sz w:val="24"/>
          <w:szCs w:val="24"/>
        </w:rPr>
        <w:t>The comprehensive nature of the program and changing equipment standards indicate a flexible and market-driven program delivery is required. The Company is proposing that Schedule 118 outline the basic program elements including customer eligibility, use of a program administrator for delivery, the seasonal nature of selected incentive offers, and that current incentive levels may change. Specific details such as incentive levels, eligible equipment specifications and dates for incentive availability would be managed by the program administrator using a dedicated program Web site with easy l</w:t>
      </w:r>
      <w:r w:rsidR="005A7450" w:rsidRPr="005A7450">
        <w:rPr>
          <w:rFonts w:ascii="Times New Roman" w:hAnsi="Times New Roman"/>
          <w:i/>
          <w:sz w:val="24"/>
          <w:szCs w:val="24"/>
        </w:rPr>
        <w:t>inks from the Company web site.</w:t>
      </w:r>
    </w:p>
    <w:p w:rsidR="005A7450" w:rsidRDefault="00A468A6" w:rsidP="000F2169">
      <w:pPr>
        <w:spacing w:before="100" w:beforeAutospacing="1" w:after="100" w:afterAutospacing="1"/>
        <w:ind w:left="360" w:right="360"/>
        <w:jc w:val="both"/>
        <w:rPr>
          <w:rFonts w:ascii="Times New Roman" w:hAnsi="Times New Roman"/>
          <w:sz w:val="24"/>
          <w:szCs w:val="24"/>
        </w:rPr>
      </w:pPr>
      <w:r w:rsidRPr="005A7450">
        <w:rPr>
          <w:rFonts w:ascii="Times New Roman" w:hAnsi="Times New Roman"/>
          <w:i/>
          <w:sz w:val="24"/>
          <w:szCs w:val="24"/>
        </w:rPr>
        <w:t>Changes in equipment eligibility or minimum efficiency levels would be driven by program and market data. The Company and program administrator will be assessing program performance on an on-going basis and proposing changes at least once per year. Changes may be proposed more frequently if there is compelling market feedback that changes need to occur ahead of the annual changes. Similar to the filing process, the Company would present information on proposed changes to its Advisory Group and seek comments prior to making changes. Changes in equipment specifications or incentive levels would be clearly posted on the Web site and emailed to the appropriate Commission staff person with a</w:t>
      </w:r>
      <w:r w:rsidR="005A7450" w:rsidRPr="005A7450">
        <w:rPr>
          <w:rFonts w:ascii="Times New Roman" w:hAnsi="Times New Roman"/>
          <w:i/>
          <w:sz w:val="24"/>
          <w:szCs w:val="24"/>
        </w:rPr>
        <w:t>t least 45 days advance notice.</w:t>
      </w:r>
    </w:p>
    <w:p w:rsidR="003C0DC7" w:rsidRDefault="005A2C46" w:rsidP="00E11189">
      <w:pPr>
        <w:spacing w:before="100" w:beforeAutospacing="1" w:after="100" w:afterAutospacing="1"/>
        <w:jc w:val="both"/>
        <w:rPr>
          <w:rFonts w:ascii="Times New Roman" w:hAnsi="Times New Roman"/>
          <w:b/>
          <w:bCs/>
          <w:sz w:val="24"/>
          <w:szCs w:val="24"/>
        </w:rPr>
      </w:pPr>
      <w:r w:rsidRPr="00111D82">
        <w:rPr>
          <w:rFonts w:ascii="Times New Roman" w:hAnsi="Times New Roman"/>
          <w:sz w:val="24"/>
          <w:szCs w:val="24"/>
        </w:rPr>
        <w:t xml:space="preserve">Program details, including specific measures, incentives, and eligibility requirements are posted on the Company’s website at </w:t>
      </w:r>
      <w:hyperlink r:id="rId24" w:history="1">
        <w:r w:rsidRPr="004D0519">
          <w:rPr>
            <w:rStyle w:val="Hyperlink"/>
            <w:rFonts w:ascii="Times New Roman" w:hAnsi="Times New Roman"/>
            <w:color w:val="3366FF"/>
            <w:sz w:val="24"/>
            <w:szCs w:val="24"/>
          </w:rPr>
          <w:t>www.pacificpower.net/wattsmart</w:t>
        </w:r>
      </w:hyperlink>
      <w:r w:rsidR="00CC6249" w:rsidRPr="00111D82">
        <w:rPr>
          <w:rFonts w:ascii="Times New Roman" w:hAnsi="Times New Roman"/>
        </w:rPr>
        <w:t>.</w:t>
      </w:r>
      <w:bookmarkStart w:id="7" w:name="lighting"/>
      <w:bookmarkStart w:id="8" w:name="appliances"/>
      <w:bookmarkStart w:id="9" w:name="recycling"/>
      <w:bookmarkStart w:id="10" w:name="heating"/>
      <w:bookmarkStart w:id="11" w:name="windows"/>
      <w:bookmarkStart w:id="12" w:name="homes"/>
      <w:bookmarkStart w:id="13" w:name="pd_a_2216736"/>
      <w:bookmarkEnd w:id="7"/>
      <w:bookmarkEnd w:id="8"/>
      <w:bookmarkEnd w:id="9"/>
      <w:bookmarkEnd w:id="10"/>
      <w:bookmarkEnd w:id="11"/>
      <w:bookmarkEnd w:id="12"/>
      <w:bookmarkEnd w:id="13"/>
      <w:r w:rsidR="00F72BEB">
        <w:rPr>
          <w:rFonts w:ascii="Times New Roman" w:hAnsi="Times New Roman"/>
        </w:rPr>
        <w:t xml:space="preserve"> </w:t>
      </w:r>
      <w:r w:rsidR="00F72BEB">
        <w:rPr>
          <w:rFonts w:ascii="Times New Roman" w:hAnsi="Times New Roman"/>
          <w:sz w:val="24"/>
          <w:szCs w:val="24"/>
        </w:rPr>
        <w:t>Program information from the tariff is as follows:</w:t>
      </w:r>
      <w:r w:rsidR="003C0DC7">
        <w:rPr>
          <w:rFonts w:ascii="Times New Roman" w:hAnsi="Times New Roman"/>
          <w:b/>
          <w:bCs/>
          <w:sz w:val="24"/>
          <w:szCs w:val="24"/>
        </w:rPr>
        <w:br w:type="page"/>
      </w:r>
    </w:p>
    <w:p w:rsidR="00E65620" w:rsidRPr="003C0DC7" w:rsidRDefault="00E65620" w:rsidP="00225252">
      <w:pPr>
        <w:tabs>
          <w:tab w:val="right" w:pos="480"/>
          <w:tab w:val="left" w:pos="720"/>
          <w:tab w:val="right" w:pos="5040"/>
        </w:tabs>
        <w:spacing w:after="100" w:afterAutospacing="1"/>
        <w:jc w:val="center"/>
        <w:rPr>
          <w:rFonts w:ascii="Times New Roman" w:hAnsi="Times New Roman"/>
          <w:sz w:val="24"/>
          <w:szCs w:val="20"/>
          <w:u w:val="single"/>
        </w:rPr>
      </w:pPr>
      <w:r w:rsidRPr="003C0DC7">
        <w:rPr>
          <w:rFonts w:ascii="Times New Roman" w:hAnsi="Times New Roman"/>
          <w:b/>
          <w:sz w:val="24"/>
          <w:szCs w:val="20"/>
        </w:rPr>
        <w:t>Washington Home Energy Savings</w:t>
      </w:r>
    </w:p>
    <w:p w:rsidR="00E65620" w:rsidRPr="003C0DC7" w:rsidRDefault="00E65620" w:rsidP="00225252">
      <w:pPr>
        <w:autoSpaceDE w:val="0"/>
        <w:autoSpaceDN w:val="0"/>
        <w:adjustRightInd w:val="0"/>
        <w:spacing w:before="100" w:beforeAutospacing="1" w:after="100" w:afterAutospacing="1"/>
        <w:jc w:val="both"/>
        <w:rPr>
          <w:rFonts w:ascii="Times New Roman" w:hAnsi="Times New Roman"/>
          <w:b/>
          <w:bCs/>
          <w:sz w:val="24"/>
          <w:szCs w:val="20"/>
        </w:rPr>
      </w:pPr>
      <w:r w:rsidRPr="000F2169">
        <w:rPr>
          <w:rFonts w:ascii="Times New Roman" w:hAnsi="Times New Roman"/>
          <w:bCs/>
          <w:sz w:val="24"/>
          <w:szCs w:val="20"/>
          <w:u w:val="single"/>
        </w:rPr>
        <w:t>Definitions</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 xml:space="preserve">British Thermal Unit (Btu): </w:t>
      </w:r>
      <w:r w:rsidRPr="003C0DC7">
        <w:rPr>
          <w:rFonts w:ascii="Times New Roman" w:hAnsi="Times New Roman"/>
          <w:bCs/>
          <w:sz w:val="24"/>
          <w:szCs w:val="20"/>
        </w:rPr>
        <w:t>It is approximately the amount of energy needed to heat 1 pound of water from 39</w:t>
      </w:r>
      <w:r w:rsidR="001D52DE" w:rsidRPr="003C0DC7">
        <w:rPr>
          <w:rFonts w:ascii="Times New Roman" w:hAnsi="Times New Roman"/>
          <w:bCs/>
          <w:sz w:val="24"/>
          <w:szCs w:val="20"/>
        </w:rPr>
        <w:t>°</w:t>
      </w:r>
      <w:r w:rsidRPr="003C0DC7">
        <w:rPr>
          <w:rFonts w:ascii="Times New Roman" w:hAnsi="Times New Roman"/>
          <w:bCs/>
          <w:sz w:val="24"/>
          <w:szCs w:val="20"/>
        </w:rPr>
        <w:t xml:space="preserve"> to 40° Fahrenheit.</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 xml:space="preserve">Compact Fluorescent Lamp (CFL): </w:t>
      </w:r>
      <w:r w:rsidRPr="003C0DC7">
        <w:rPr>
          <w:rFonts w:ascii="Times New Roman" w:hAnsi="Times New Roman"/>
          <w:bCs/>
          <w:sz w:val="24"/>
          <w:szCs w:val="20"/>
        </w:rPr>
        <w:t>Light bulbs that produce light much more efficiently than traditional incandescent light bulbs.</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Cubic Feet per Minute (CFM):</w:t>
      </w:r>
      <w:r w:rsidRPr="003C0DC7">
        <w:rPr>
          <w:rFonts w:ascii="Times New Roman" w:hAnsi="Times New Roman"/>
          <w:bCs/>
          <w:sz w:val="24"/>
          <w:szCs w:val="20"/>
        </w:rPr>
        <w:t xml:space="preserve"> A measurement of the velocity at which air flows into or out of a space.</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 xml:space="preserve">Customer: </w:t>
      </w:r>
      <w:r w:rsidRPr="003C0DC7">
        <w:rPr>
          <w:rFonts w:ascii="Times New Roman" w:hAnsi="Times New Roman"/>
          <w:bCs/>
          <w:sz w:val="24"/>
          <w:szCs w:val="20"/>
        </w:rPr>
        <w:t>Any party who has applied for, been accepted and receives service at the real property, or is the electricity user at the real property.</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Energy Efficiency Incentive:</w:t>
      </w:r>
      <w:r w:rsidRPr="003C0DC7">
        <w:rPr>
          <w:rFonts w:ascii="Times New Roman" w:hAnsi="Times New Roman"/>
          <w:bCs/>
          <w:sz w:val="24"/>
          <w:szCs w:val="20"/>
        </w:rPr>
        <w:t xml:space="preserve"> Payments of money made by Pacific Power to Owner or Customer for installation of an Energy Efficiency Measure pursuant to an approved Energy Efficiency Incentive Application.</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Energy Efficiency Measure (EEM):</w:t>
      </w:r>
      <w:r w:rsidRPr="003C0DC7">
        <w:rPr>
          <w:rFonts w:ascii="Times New Roman" w:hAnsi="Times New Roman"/>
          <w:bCs/>
          <w:sz w:val="24"/>
          <w:szCs w:val="20"/>
        </w:rPr>
        <w:t xml:space="preserve"> A permanently installed measure which can improve the efficiency of the Customer's electric energy use.</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Energy Factor (EF):</w:t>
      </w:r>
      <w:r w:rsidRPr="003C0DC7">
        <w:rPr>
          <w:rFonts w:ascii="Times New Roman" w:hAnsi="Times New Roman"/>
          <w:bCs/>
          <w:sz w:val="24"/>
          <w:szCs w:val="20"/>
        </w:rPr>
        <w:t xml:space="preserve"> Indicates a water heater's overall energy efficiency based on the amount of hot water produced per unit of fuel consumed over a typical day.  The higher the energy factor, the more efficient the water heater.</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 xml:space="preserve">Heating Seasonal Performance Factor (HSPF): </w:t>
      </w:r>
      <w:r w:rsidRPr="003C0DC7">
        <w:rPr>
          <w:rFonts w:ascii="Times New Roman" w:hAnsi="Times New Roman"/>
          <w:bCs/>
          <w:sz w:val="24"/>
          <w:szCs w:val="20"/>
        </w:rPr>
        <w:t>Is the efficiency of heat pumps measured by the ratio of Btu heat output over the heating season to watt-hours of electricity used. The higher the number, the greater the efficiency.</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Heating, Ventilation and Air Conditioning (HVAC):</w:t>
      </w:r>
      <w:r w:rsidRPr="003C0DC7">
        <w:rPr>
          <w:rFonts w:ascii="Times New Roman" w:hAnsi="Times New Roman"/>
          <w:bCs/>
          <w:sz w:val="24"/>
          <w:szCs w:val="20"/>
        </w:rPr>
        <w:t xml:space="preserve"> Refers to technology of indoor environmental comfort.</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 xml:space="preserve">Manual J: </w:t>
      </w:r>
      <w:r w:rsidRPr="003C0DC7">
        <w:rPr>
          <w:rFonts w:ascii="Times New Roman" w:hAnsi="Times New Roman"/>
          <w:bCs/>
          <w:sz w:val="24"/>
          <w:szCs w:val="20"/>
        </w:rPr>
        <w:t>Manual J, "Residential Load Calculation," published by the Air Conditioning Contractors of America (ACCA), is the recommended method for sizing heating and cooling systems for use in the United States</w:t>
      </w:r>
      <w:r w:rsidRPr="003C0DC7">
        <w:rPr>
          <w:rFonts w:ascii="Times New Roman" w:hAnsi="Times New Roman"/>
          <w:b/>
          <w:bCs/>
          <w:sz w:val="24"/>
          <w:szCs w:val="20"/>
        </w:rPr>
        <w:t>.</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Mid-Market:</w:t>
      </w:r>
      <w:r w:rsidRPr="003C0DC7">
        <w:rPr>
          <w:rFonts w:ascii="Times New Roman" w:hAnsi="Times New Roman"/>
          <w:bCs/>
          <w:sz w:val="24"/>
          <w:szCs w:val="20"/>
        </w:rPr>
        <w:t xml:space="preserve"> An approved third party (typically a contractor, retailer or manufacturer) who installs Energy Efficiency Measures at the real property or sells Energy Efficiency Measures to a Customer</w:t>
      </w:r>
      <w:r w:rsidR="00225252">
        <w:rPr>
          <w:rFonts w:ascii="Times New Roman" w:hAnsi="Times New Roman"/>
          <w:bCs/>
          <w:sz w:val="24"/>
          <w:szCs w:val="20"/>
        </w:rPr>
        <w:t>.</w:t>
      </w:r>
    </w:p>
    <w:p w:rsidR="00722821" w:rsidRPr="003C0DC7" w:rsidRDefault="009D545B" w:rsidP="00225252">
      <w:pPr>
        <w:spacing w:before="100" w:beforeAutospacing="1" w:after="100" w:afterAutospacing="1"/>
        <w:jc w:val="both"/>
        <w:rPr>
          <w:rFonts w:ascii="Times New Roman" w:hAnsi="Times New Roman"/>
          <w:bCs/>
          <w:sz w:val="24"/>
          <w:szCs w:val="20"/>
        </w:rPr>
      </w:pPr>
      <w:r w:rsidRPr="003C0DC7">
        <w:rPr>
          <w:rFonts w:ascii="Times New Roman" w:hAnsi="Times New Roman"/>
          <w:b/>
          <w:bCs/>
          <w:sz w:val="24"/>
          <w:szCs w:val="20"/>
        </w:rPr>
        <w:t>Modified Energy Factor (MEF):</w:t>
      </w:r>
      <w:r w:rsidRPr="003C0DC7">
        <w:rPr>
          <w:rFonts w:ascii="Times New Roman" w:hAnsi="Times New Roman"/>
          <w:bCs/>
          <w:sz w:val="24"/>
          <w:szCs w:val="20"/>
        </w:rPr>
        <w:t xml:space="preserve"> Measures energy consumption of the total laundry cycle (washing and drying). It indicates how many cubic feet of laundry can be washed and dried with one kWh of electricity; the higher the number, the greater the efficiency.</w:t>
      </w:r>
    </w:p>
    <w:p w:rsidR="00722821" w:rsidRPr="003C0DC7" w:rsidRDefault="009D545B" w:rsidP="00225252">
      <w:pPr>
        <w:spacing w:before="100" w:beforeAutospacing="1" w:after="100" w:afterAutospacing="1"/>
        <w:jc w:val="both"/>
        <w:rPr>
          <w:rFonts w:ascii="Times New Roman" w:hAnsi="Times New Roman"/>
          <w:bCs/>
          <w:sz w:val="24"/>
          <w:szCs w:val="20"/>
        </w:rPr>
      </w:pPr>
      <w:r w:rsidRPr="003C0DC7">
        <w:rPr>
          <w:rFonts w:ascii="Times New Roman" w:hAnsi="Times New Roman"/>
          <w:b/>
          <w:bCs/>
          <w:sz w:val="24"/>
          <w:szCs w:val="20"/>
        </w:rPr>
        <w:t xml:space="preserve">New Home: </w:t>
      </w:r>
      <w:r w:rsidRPr="003C0DC7">
        <w:rPr>
          <w:rFonts w:ascii="Times New Roman" w:hAnsi="Times New Roman"/>
          <w:bCs/>
          <w:sz w:val="24"/>
          <w:szCs w:val="20"/>
        </w:rPr>
        <w:t>A newly constructed residence.</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Owner:</w:t>
      </w:r>
      <w:r w:rsidRPr="003C0DC7">
        <w:rPr>
          <w:rFonts w:ascii="Times New Roman" w:hAnsi="Times New Roman"/>
          <w:bCs/>
          <w:sz w:val="24"/>
          <w:szCs w:val="20"/>
        </w:rPr>
        <w:t xml:space="preserve"> The person who has both legal and beneficial title to the real property, and is the mortgager under a duly recorded mortgage of real property, the trustor under a duly recorded deed of trust.</w:t>
      </w:r>
    </w:p>
    <w:p w:rsidR="00722821" w:rsidRPr="003C0DC7" w:rsidRDefault="009D545B" w:rsidP="00225252">
      <w:pPr>
        <w:spacing w:before="100" w:beforeAutospacing="1" w:after="100" w:afterAutospacing="1"/>
        <w:jc w:val="both"/>
        <w:rPr>
          <w:rFonts w:ascii="Times New Roman" w:hAnsi="Times New Roman"/>
          <w:b/>
          <w:bCs/>
          <w:sz w:val="24"/>
          <w:szCs w:val="20"/>
        </w:rPr>
      </w:pPr>
      <w:r w:rsidRPr="003C0DC7">
        <w:rPr>
          <w:rFonts w:ascii="Times New Roman" w:hAnsi="Times New Roman"/>
          <w:b/>
          <w:bCs/>
          <w:sz w:val="24"/>
          <w:szCs w:val="20"/>
        </w:rPr>
        <w:t xml:space="preserve">Prescriptive incentives: </w:t>
      </w:r>
      <w:r w:rsidRPr="003C0DC7">
        <w:rPr>
          <w:rFonts w:ascii="Times New Roman" w:hAnsi="Times New Roman"/>
          <w:bCs/>
          <w:sz w:val="24"/>
          <w:szCs w:val="20"/>
        </w:rPr>
        <w:t>Per unit incentives are listed in the program incentive tables for specific EEMs.  Incentives are subject to change.</w:t>
      </w:r>
    </w:p>
    <w:p w:rsidR="00722821" w:rsidRPr="003C0DC7" w:rsidRDefault="009D545B" w:rsidP="00225252">
      <w:pPr>
        <w:spacing w:before="100" w:beforeAutospacing="1" w:after="100" w:afterAutospacing="1"/>
        <w:jc w:val="both"/>
        <w:rPr>
          <w:rFonts w:ascii="Times New Roman" w:hAnsi="Times New Roman"/>
          <w:bCs/>
          <w:sz w:val="24"/>
          <w:szCs w:val="20"/>
        </w:rPr>
      </w:pPr>
      <w:r w:rsidRPr="003C0DC7">
        <w:rPr>
          <w:rFonts w:ascii="Times New Roman" w:hAnsi="Times New Roman"/>
          <w:b/>
          <w:bCs/>
          <w:sz w:val="24"/>
          <w:szCs w:val="20"/>
        </w:rPr>
        <w:t>R-Value:</w:t>
      </w:r>
      <w:r w:rsidRPr="003C0DC7">
        <w:rPr>
          <w:rFonts w:ascii="Times New Roman" w:hAnsi="Times New Roman"/>
          <w:bCs/>
          <w:sz w:val="24"/>
          <w:szCs w:val="20"/>
        </w:rPr>
        <w:t xml:space="preserve"> Indicates insulation’s resistance to heat flow.  The higher the R-value, the greater the insulating effectiveness.</w:t>
      </w:r>
    </w:p>
    <w:p w:rsidR="00722821" w:rsidRPr="003C0DC7" w:rsidRDefault="009D545B" w:rsidP="00225252">
      <w:pPr>
        <w:spacing w:before="100" w:beforeAutospacing="1" w:after="100" w:afterAutospacing="1"/>
        <w:jc w:val="both"/>
        <w:rPr>
          <w:rFonts w:ascii="Times New Roman" w:hAnsi="Times New Roman"/>
          <w:bCs/>
          <w:sz w:val="24"/>
          <w:szCs w:val="20"/>
        </w:rPr>
      </w:pPr>
      <w:r w:rsidRPr="003C0DC7">
        <w:rPr>
          <w:rFonts w:ascii="Times New Roman" w:hAnsi="Times New Roman"/>
          <w:b/>
          <w:bCs/>
          <w:sz w:val="24"/>
          <w:szCs w:val="20"/>
        </w:rPr>
        <w:t>Seasonal Energy Efficiency Ratio (SEER):</w:t>
      </w:r>
      <w:r w:rsidRPr="003C0DC7">
        <w:rPr>
          <w:rFonts w:ascii="Times New Roman" w:hAnsi="Times New Roman"/>
          <w:bCs/>
          <w:sz w:val="24"/>
          <w:szCs w:val="20"/>
        </w:rPr>
        <w:t xml:space="preserve"> Is the efficiency of air conditioners measured by the cooling output in Btu during a typical cooling-season divided by the total electric energy input in watt-hours during the same period. The higher the unit's SEER rating the more energy efficient it is.</w:t>
      </w:r>
    </w:p>
    <w:p w:rsidR="00722821" w:rsidRPr="003C0DC7" w:rsidRDefault="009D545B" w:rsidP="00225252">
      <w:pPr>
        <w:spacing w:before="100" w:beforeAutospacing="1" w:after="100" w:afterAutospacing="1"/>
        <w:jc w:val="both"/>
        <w:rPr>
          <w:rFonts w:ascii="Times New Roman" w:hAnsi="Times New Roman"/>
          <w:bCs/>
          <w:sz w:val="24"/>
          <w:szCs w:val="20"/>
        </w:rPr>
      </w:pPr>
      <w:r w:rsidRPr="003C0DC7">
        <w:rPr>
          <w:rFonts w:ascii="Times New Roman" w:hAnsi="Times New Roman"/>
          <w:b/>
          <w:bCs/>
          <w:sz w:val="24"/>
          <w:szCs w:val="20"/>
        </w:rPr>
        <w:t>Thermal Expansion Valve (TXV):</w:t>
      </w:r>
      <w:r w:rsidRPr="003C0DC7">
        <w:rPr>
          <w:rFonts w:ascii="Times New Roman" w:hAnsi="Times New Roman"/>
          <w:bCs/>
          <w:sz w:val="24"/>
          <w:szCs w:val="20"/>
        </w:rPr>
        <w:t xml:space="preserve"> Is a component in refrigeration and air conditioning systems that controls the amount of refrigerant flow into the evaporator thereby controlling the superheating at the outlet of the evaporator.</w:t>
      </w:r>
    </w:p>
    <w:p w:rsidR="00E65620" w:rsidRPr="000F2169" w:rsidRDefault="009D545B" w:rsidP="00225252">
      <w:pPr>
        <w:spacing w:before="100" w:beforeAutospacing="1" w:after="100" w:afterAutospacing="1"/>
        <w:jc w:val="both"/>
        <w:rPr>
          <w:rFonts w:ascii="Times New Roman" w:hAnsi="Times New Roman"/>
          <w:bCs/>
          <w:sz w:val="24"/>
          <w:szCs w:val="24"/>
        </w:rPr>
      </w:pPr>
      <w:r w:rsidRPr="003C0DC7">
        <w:rPr>
          <w:rFonts w:ascii="Times New Roman" w:hAnsi="Times New Roman"/>
          <w:b/>
          <w:bCs/>
          <w:sz w:val="24"/>
          <w:szCs w:val="20"/>
        </w:rPr>
        <w:t>U-Factor:</w:t>
      </w:r>
      <w:r w:rsidRPr="003C0DC7">
        <w:rPr>
          <w:rFonts w:ascii="Times New Roman" w:hAnsi="Times New Roman"/>
          <w:bCs/>
          <w:sz w:val="24"/>
          <w:szCs w:val="20"/>
        </w:rPr>
        <w:t xml:space="preserve"> Measures the rate of heat transfer and indicates how well the window insulates. U-factor values generally range from 0.25 to 1.25 and are measured in Btu/h·ft²·°F. The lower the U-factor, </w:t>
      </w:r>
      <w:r w:rsidRPr="000F2169">
        <w:rPr>
          <w:rFonts w:ascii="Times New Roman" w:hAnsi="Times New Roman"/>
          <w:bCs/>
          <w:sz w:val="24"/>
          <w:szCs w:val="24"/>
        </w:rPr>
        <w:t>the better the window insulates.</w:t>
      </w:r>
    </w:p>
    <w:p w:rsidR="00E65620" w:rsidRPr="000F2169" w:rsidRDefault="00124DBD" w:rsidP="00225252">
      <w:pPr>
        <w:autoSpaceDE w:val="0"/>
        <w:autoSpaceDN w:val="0"/>
        <w:adjustRightInd w:val="0"/>
        <w:spacing w:before="100" w:beforeAutospacing="1" w:after="100" w:afterAutospacing="1"/>
        <w:jc w:val="both"/>
        <w:rPr>
          <w:rFonts w:ascii="Times New Roman" w:hAnsi="Times New Roman"/>
          <w:bCs/>
          <w:sz w:val="24"/>
          <w:szCs w:val="24"/>
          <w:u w:val="single"/>
        </w:rPr>
      </w:pPr>
      <w:r w:rsidRPr="000F2169">
        <w:rPr>
          <w:rFonts w:ascii="Times New Roman" w:hAnsi="Times New Roman"/>
          <w:bCs/>
          <w:sz w:val="24"/>
          <w:szCs w:val="24"/>
          <w:u w:val="single"/>
        </w:rPr>
        <w:t>Incentives</w:t>
      </w:r>
    </w:p>
    <w:p w:rsidR="00C2429F" w:rsidRPr="000F2169" w:rsidRDefault="00124DBD" w:rsidP="00D353A8">
      <w:pPr>
        <w:jc w:val="center"/>
        <w:rPr>
          <w:rFonts w:ascii="Times New Roman" w:hAnsi="Times New Roman"/>
          <w:b/>
          <w:bCs/>
          <w:sz w:val="24"/>
          <w:szCs w:val="24"/>
        </w:rPr>
      </w:pPr>
      <w:r w:rsidRPr="000F2169">
        <w:rPr>
          <w:rFonts w:ascii="Times New Roman" w:hAnsi="Times New Roman"/>
          <w:b/>
          <w:bCs/>
          <w:sz w:val="24"/>
          <w:szCs w:val="24"/>
        </w:rPr>
        <w:t>Home Energy Savings Incentive Table</w:t>
      </w:r>
    </w:p>
    <w:tbl>
      <w:tblPr>
        <w:tblW w:w="9936" w:type="dxa"/>
        <w:tblLayout w:type="fixed"/>
        <w:tblLook w:val="04A0"/>
      </w:tblPr>
      <w:tblGrid>
        <w:gridCol w:w="1998"/>
        <w:gridCol w:w="4410"/>
        <w:gridCol w:w="1800"/>
        <w:gridCol w:w="1710"/>
        <w:gridCol w:w="18"/>
      </w:tblGrid>
      <w:tr w:rsidR="00C2429F" w:rsidRPr="00C2429F" w:rsidTr="00C2429F">
        <w:trPr>
          <w:trHeight w:val="510"/>
          <w:tblHeader/>
        </w:trPr>
        <w:tc>
          <w:tcPr>
            <w:tcW w:w="199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2429F" w:rsidRPr="00C2429F" w:rsidRDefault="00C2429F" w:rsidP="00C2429F">
            <w:pPr>
              <w:jc w:val="cente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Measure</w:t>
            </w:r>
          </w:p>
        </w:tc>
        <w:tc>
          <w:tcPr>
            <w:tcW w:w="4410" w:type="dxa"/>
            <w:tcBorders>
              <w:top w:val="single" w:sz="4" w:space="0" w:color="auto"/>
              <w:left w:val="nil"/>
              <w:bottom w:val="single" w:sz="4" w:space="0" w:color="auto"/>
              <w:right w:val="single" w:sz="4" w:space="0" w:color="auto"/>
            </w:tcBorders>
            <w:shd w:val="clear" w:color="000000" w:fill="BFBFBF"/>
            <w:vAlign w:val="center"/>
            <w:hideMark/>
          </w:tcPr>
          <w:p w:rsidR="00C2429F" w:rsidRPr="00C2429F" w:rsidRDefault="00C2429F" w:rsidP="00C2429F">
            <w:pPr>
              <w:jc w:val="cente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Qualifications</w:t>
            </w:r>
          </w:p>
        </w:tc>
        <w:tc>
          <w:tcPr>
            <w:tcW w:w="1800" w:type="dxa"/>
            <w:tcBorders>
              <w:top w:val="single" w:sz="4" w:space="0" w:color="auto"/>
              <w:left w:val="nil"/>
              <w:bottom w:val="single" w:sz="4" w:space="0" w:color="auto"/>
              <w:right w:val="single" w:sz="4" w:space="0" w:color="auto"/>
            </w:tcBorders>
            <w:shd w:val="clear" w:color="000000" w:fill="BFBFBF"/>
            <w:vAlign w:val="center"/>
            <w:hideMark/>
          </w:tcPr>
          <w:p w:rsidR="00C2429F" w:rsidRPr="00C2429F" w:rsidRDefault="00C2429F" w:rsidP="00C2429F">
            <w:pPr>
              <w:jc w:val="cente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Customer Incentive</w:t>
            </w:r>
          </w:p>
        </w:tc>
        <w:tc>
          <w:tcPr>
            <w:tcW w:w="1728" w:type="dxa"/>
            <w:gridSpan w:val="2"/>
            <w:tcBorders>
              <w:top w:val="single" w:sz="4" w:space="0" w:color="auto"/>
              <w:left w:val="nil"/>
              <w:bottom w:val="single" w:sz="4" w:space="0" w:color="auto"/>
              <w:right w:val="single" w:sz="4" w:space="0" w:color="auto"/>
            </w:tcBorders>
            <w:shd w:val="clear" w:color="000000" w:fill="BFBFBF"/>
            <w:vAlign w:val="center"/>
            <w:hideMark/>
          </w:tcPr>
          <w:p w:rsidR="00C2429F" w:rsidRPr="00C2429F" w:rsidRDefault="00C2429F" w:rsidP="00C2429F">
            <w:pPr>
              <w:jc w:val="cente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Mid-Market Incentive</w:t>
            </w:r>
          </w:p>
        </w:tc>
      </w:tr>
      <w:tr w:rsidR="00C2429F" w:rsidRPr="00C2429F" w:rsidTr="00C2429F">
        <w:trPr>
          <w:trHeight w:val="300"/>
        </w:trPr>
        <w:tc>
          <w:tcPr>
            <w:tcW w:w="1998" w:type="dxa"/>
            <w:tcBorders>
              <w:top w:val="nil"/>
              <w:left w:val="single" w:sz="4" w:space="0" w:color="auto"/>
              <w:bottom w:val="single" w:sz="4" w:space="0" w:color="auto"/>
              <w:right w:val="nil"/>
            </w:tcBorders>
            <w:shd w:val="clear" w:color="auto" w:fill="auto"/>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Appliances</w:t>
            </w:r>
          </w:p>
        </w:tc>
        <w:tc>
          <w:tcPr>
            <w:tcW w:w="4410" w:type="dxa"/>
            <w:tcBorders>
              <w:top w:val="nil"/>
              <w:left w:val="nil"/>
              <w:bottom w:val="single" w:sz="4" w:space="0" w:color="auto"/>
              <w:right w:val="nil"/>
            </w:tcBorders>
            <w:shd w:val="clear" w:color="auto" w:fill="auto"/>
            <w:vAlign w:val="center"/>
            <w:hideMark/>
          </w:tcPr>
          <w:p w:rsidR="00C2429F" w:rsidRPr="00C2429F" w:rsidRDefault="00C2429F" w:rsidP="00C2429F">
            <w:pPr>
              <w:jc w:val="cente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 </w:t>
            </w:r>
          </w:p>
        </w:tc>
        <w:tc>
          <w:tcPr>
            <w:tcW w:w="1800" w:type="dxa"/>
            <w:tcBorders>
              <w:top w:val="nil"/>
              <w:left w:val="nil"/>
              <w:bottom w:val="single" w:sz="4" w:space="0" w:color="auto"/>
              <w:right w:val="nil"/>
            </w:tcBorders>
            <w:shd w:val="clear" w:color="auto" w:fill="auto"/>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Clothes Washers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MEF ≥ 2.46 &amp; WF ≤ 4.0</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102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Clothes Washer Recycling</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Requires recycling documentation and requires customer to submit incentive application for a new qualified clothes washer</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 </w:t>
            </w:r>
          </w:p>
        </w:tc>
      </w:tr>
      <w:tr w:rsidR="00C2429F" w:rsidRPr="00C2429F" w:rsidTr="00C2429F">
        <w:trPr>
          <w:trHeight w:val="51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Dishwashers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CEE Tier 1 for standard models, Compact dishwasher models are not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Refrigerators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CEE Tier 2 and above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$35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51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Electric Water Heaters</w:t>
            </w:r>
          </w:p>
        </w:tc>
        <w:tc>
          <w:tcPr>
            <w:tcW w:w="4410" w:type="dxa"/>
            <w:tcBorders>
              <w:top w:val="nil"/>
              <w:left w:val="nil"/>
              <w:bottom w:val="nil"/>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40-49 gallon and ≥ EF 0.94; 50-65 gallon and ≥ EF 0.95; 66 gallon+ and ≥ EF 0.93</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$75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 </w:t>
            </w:r>
          </w:p>
        </w:tc>
      </w:tr>
      <w:tr w:rsidR="00C2429F" w:rsidRPr="00C2429F" w:rsidTr="00C2429F">
        <w:trPr>
          <w:trHeight w:val="51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Evaporative Coolers (permanently installed)</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Minimum 3,500 CFM, must be the primary cooling source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$150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$100 </w:t>
            </w:r>
          </w:p>
        </w:tc>
      </w:tr>
      <w:tr w:rsidR="00C2429F" w:rsidRPr="00C2429F" w:rsidTr="00C2429F">
        <w:trPr>
          <w:trHeight w:val="51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Evaporative Coolers (portable)</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Minimum 2,000 CFM</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$100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Room Air Conditioner</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Freezer</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Heat Pump Water Heater</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Northern Climate Specification tier</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$150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$100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Lighting</w:t>
            </w:r>
          </w:p>
        </w:tc>
        <w:tc>
          <w:tcPr>
            <w:tcW w:w="4410" w:type="dxa"/>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728" w:type="dxa"/>
            <w:gridSpan w:val="2"/>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r>
      <w:tr w:rsidR="00C2429F" w:rsidRPr="00C2429F" w:rsidTr="00C2429F">
        <w:trPr>
          <w:trHeight w:val="1275"/>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CFLs-General Purpose (Spiral)</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Maximum not-to-exceed price of $2.50 at selected retailers; Maximum incentive of $1.50 </w:t>
            </w:r>
          </w:p>
        </w:tc>
      </w:tr>
      <w:tr w:rsidR="00C2429F" w:rsidRPr="00C2429F" w:rsidTr="00C2429F">
        <w:trPr>
          <w:trHeight w:val="153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CFLs-Specialty</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Maximum not-to-exceed price of $6.00- $14.00 at selected retailers; Maximum incentive of $1.75-$3.50 </w:t>
            </w:r>
          </w:p>
        </w:tc>
      </w:tr>
      <w:tr w:rsidR="00C2429F" w:rsidRPr="00C2429F" w:rsidTr="00C2429F">
        <w:trPr>
          <w:trHeight w:val="765"/>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LED Bulbs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Maximum incentive of $14.00 for bulbs only</w:t>
            </w:r>
          </w:p>
        </w:tc>
      </w:tr>
      <w:tr w:rsidR="00C2429F" w:rsidRPr="00C2429F" w:rsidTr="00C2429F">
        <w:trPr>
          <w:trHeight w:val="765"/>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Fixtures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 including LED products; torchiere and portable products are not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*All bulb incentives are buy downs paid to manufacturers and retailers.</w:t>
            </w:r>
          </w:p>
        </w:tc>
        <w:tc>
          <w:tcPr>
            <w:tcW w:w="4410" w:type="dxa"/>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728" w:type="dxa"/>
            <w:gridSpan w:val="2"/>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r>
      <w:tr w:rsidR="00C2429F" w:rsidRPr="00C2429F" w:rsidTr="007356F4">
        <w:trPr>
          <w:trHeight w:val="300"/>
        </w:trPr>
        <w:tc>
          <w:tcPr>
            <w:tcW w:w="1998" w:type="dxa"/>
            <w:tcBorders>
              <w:top w:val="nil"/>
              <w:left w:val="single" w:sz="4" w:space="0" w:color="auto"/>
              <w:bottom w:val="single" w:sz="4" w:space="0" w:color="auto"/>
              <w:right w:val="nil"/>
            </w:tcBorders>
            <w:shd w:val="clear" w:color="auto" w:fill="auto"/>
            <w:noWrap/>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HVAC</w:t>
            </w:r>
          </w:p>
        </w:tc>
        <w:tc>
          <w:tcPr>
            <w:tcW w:w="4410" w:type="dxa"/>
            <w:tcBorders>
              <w:top w:val="nil"/>
              <w:left w:val="nil"/>
              <w:bottom w:val="single" w:sz="4" w:space="0" w:color="auto"/>
              <w:right w:val="nil"/>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800" w:type="dxa"/>
            <w:tcBorders>
              <w:top w:val="nil"/>
              <w:left w:val="nil"/>
              <w:bottom w:val="single" w:sz="4" w:space="0" w:color="auto"/>
              <w:right w:val="nil"/>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728" w:type="dxa"/>
            <w:gridSpan w:val="2"/>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r>
      <w:tr w:rsidR="007356F4" w:rsidRPr="00C2429F" w:rsidTr="007356F4">
        <w:trPr>
          <w:trHeight w:val="300"/>
        </w:trPr>
        <w:tc>
          <w:tcPr>
            <w:tcW w:w="99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6F4" w:rsidRPr="00C2429F" w:rsidRDefault="007356F4" w:rsidP="007356F4">
            <w:pPr>
              <w:rPr>
                <w:rFonts w:eastAsia="Times New Roman"/>
                <w:color w:val="000000"/>
                <w:sz w:val="20"/>
                <w:szCs w:val="20"/>
              </w:rPr>
            </w:pPr>
            <w:r w:rsidRPr="00C2429F">
              <w:rPr>
                <w:rFonts w:ascii="Times New Roman" w:eastAsia="Times New Roman" w:hAnsi="Times New Roman"/>
                <w:color w:val="000000"/>
                <w:sz w:val="20"/>
                <w:szCs w:val="20"/>
              </w:rPr>
              <w:t>All HVAC work must be completed by a Program Participating or Program Qualified Contractor.</w:t>
            </w:r>
          </w:p>
        </w:tc>
      </w:tr>
      <w:tr w:rsidR="00C2429F" w:rsidRPr="00C2429F" w:rsidTr="007356F4">
        <w:trPr>
          <w:trHeight w:val="76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CAC - 15+SEER/ 12.5+EER and TXV</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Equipment must be 15+ SEER and 12.5 EER and have a field-installed Thermal Expansion Valve (TXV).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$250 </w:t>
            </w:r>
          </w:p>
        </w:tc>
        <w:tc>
          <w:tcPr>
            <w:tcW w:w="1728" w:type="dxa"/>
            <w:gridSpan w:val="2"/>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 </w:t>
            </w:r>
          </w:p>
        </w:tc>
      </w:tr>
      <w:tr w:rsidR="00C2429F" w:rsidRPr="00C2429F" w:rsidTr="004E4704">
        <w:trPr>
          <w:trHeight w:val="1025"/>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CAC Best Practice Installation</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The equipment must be a minimum of 13 SEER and meet airflow and refrigerant requirements of 350 CFM/ton of airflow, and refrigerant charge within +/- 3 degrees of target subcooling</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$50</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$75</w:t>
            </w:r>
          </w:p>
        </w:tc>
      </w:tr>
      <w:tr w:rsidR="00C2429F" w:rsidRPr="00C2429F" w:rsidTr="004E4704">
        <w:trPr>
          <w:trHeight w:val="8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Heat Pump Tune-up</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Equipment must have airflow of 350 CFM/ton, and refrigerant charge within +/- 3 degrees sub cooling, or +/- 5 degrees super heat</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$100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 </w:t>
            </w:r>
          </w:p>
        </w:tc>
      </w:tr>
      <w:tr w:rsidR="00C2429F" w:rsidRPr="00C2429F" w:rsidTr="004E4704">
        <w:trPr>
          <w:trHeight w:val="170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Duct Sealing and Insulation</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Pre-existing insulation levels must be nonexistent, or R-2 or less. Minimum installation of R-8 to ducts in unconditioned space; both services must be performed at the same time with insulation installed after the ducts are sealed; homes must have a central air conditioner, heat pump or electric heating system serving 80 percent of the floor area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$100 for electrically cooled homes; $325 for electrically heated homes </w:t>
            </w:r>
          </w:p>
        </w:tc>
        <w:tc>
          <w:tcPr>
            <w:tcW w:w="1728" w:type="dxa"/>
            <w:gridSpan w:val="2"/>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 </w:t>
            </w:r>
          </w:p>
        </w:tc>
      </w:tr>
      <w:tr w:rsidR="00C2429F" w:rsidRPr="00C2429F" w:rsidTr="004E4704">
        <w:trPr>
          <w:trHeight w:val="1448"/>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Ductless Heat Pump (Single-head)</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heat pump must be 9+ HSPF. Unit must replace electric resistant heat or electric forced air. Single-head heat pump must employ an inverter driven outdoor compressor unit and a variable speed fan or indoor blower, and be fully ductless</w:t>
            </w:r>
            <w:r w:rsidRPr="00C2429F">
              <w:rPr>
                <w:rFonts w:ascii="Verdana" w:eastAsia="Times New Roman" w:hAnsi="Verdana"/>
                <w:color w:val="333333"/>
                <w:sz w:val="20"/>
                <w:szCs w:val="20"/>
              </w:rPr>
              <w:t xml:space="preserve"> </w:t>
            </w:r>
            <w:r w:rsidRPr="00C2429F">
              <w:rPr>
                <w:rFonts w:ascii="Times New Roman" w:eastAsia="Times New Roman" w:hAnsi="Times New Roman"/>
                <w:color w:val="000000"/>
                <w:sz w:val="20"/>
                <w:szCs w:val="20"/>
              </w:rPr>
              <w:t>for existing homes only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$750 </w:t>
            </w:r>
          </w:p>
        </w:tc>
        <w:tc>
          <w:tcPr>
            <w:tcW w:w="1728" w:type="dxa"/>
            <w:gridSpan w:val="2"/>
            <w:tcBorders>
              <w:top w:val="single" w:sz="4" w:space="0" w:color="auto"/>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 </w:t>
            </w:r>
          </w:p>
        </w:tc>
      </w:tr>
      <w:tr w:rsidR="00C2429F" w:rsidRPr="00C2429F" w:rsidTr="00C2429F">
        <w:trPr>
          <w:trHeight w:val="102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Heat Pump Upgrade</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For upgrade of existing heat pump to new high efficiency heat pump.  New heat pump must be 9.5+ HSPF and 16+ SEER with a Thermal Expansion Valve (TXV)</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 </w:t>
            </w:r>
          </w:p>
        </w:tc>
      </w:tr>
      <w:tr w:rsidR="00C2429F" w:rsidRPr="00C2429F" w:rsidTr="004E4704">
        <w:trPr>
          <w:trHeight w:val="1052"/>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Heat Pump Conversion</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For replacement of existing electric resistance or electric furnace with new high efficiency heat pump. New heat pump must be 9.5+ HSPF and 16+ SEER and have a Thermal Expansion Valve (TXV)</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$600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$50 </w:t>
            </w:r>
          </w:p>
        </w:tc>
      </w:tr>
      <w:tr w:rsidR="00C2429F" w:rsidRPr="00C2429F" w:rsidTr="004E4704">
        <w:trPr>
          <w:trHeight w:val="107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Heat Pump Best Practice Installation</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The equipment must be a minimum of 7.7 HSPF and meet airflow and refrigerant requirements of 350 CFM/ton of airflow, and refrigerant charge within +/- 3 degrees of target sub cooling</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$75</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$75</w:t>
            </w:r>
          </w:p>
        </w:tc>
      </w:tr>
      <w:tr w:rsidR="00C2429F" w:rsidRPr="00C2429F" w:rsidTr="00C2429F">
        <w:trPr>
          <w:trHeight w:val="300"/>
        </w:trPr>
        <w:tc>
          <w:tcPr>
            <w:tcW w:w="1998" w:type="dxa"/>
            <w:tcBorders>
              <w:top w:val="nil"/>
              <w:left w:val="single" w:sz="4" w:space="0" w:color="auto"/>
              <w:bottom w:val="single" w:sz="4" w:space="0" w:color="auto"/>
              <w:right w:val="nil"/>
            </w:tcBorders>
            <w:shd w:val="clear" w:color="auto" w:fill="auto"/>
            <w:noWrap/>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Weatherization</w:t>
            </w:r>
          </w:p>
        </w:tc>
        <w:tc>
          <w:tcPr>
            <w:tcW w:w="4410" w:type="dxa"/>
            <w:tcBorders>
              <w:top w:val="nil"/>
              <w:left w:val="nil"/>
              <w:bottom w:val="single" w:sz="4" w:space="0" w:color="auto"/>
              <w:right w:val="nil"/>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800" w:type="dxa"/>
            <w:tcBorders>
              <w:top w:val="nil"/>
              <w:left w:val="nil"/>
              <w:bottom w:val="single" w:sz="4" w:space="0" w:color="auto"/>
              <w:right w:val="nil"/>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728" w:type="dxa"/>
            <w:gridSpan w:val="2"/>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r>
      <w:tr w:rsidR="00C2429F" w:rsidRPr="00C2429F" w:rsidTr="00C2429F">
        <w:trPr>
          <w:gridAfter w:val="1"/>
          <w:wAfter w:w="18" w:type="dxa"/>
          <w:trHeight w:val="570"/>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For Insulation – Floor, homes must be heated with electric heating serving at least 80% of conditioned floor area in order to qualify.</w:t>
            </w:r>
          </w:p>
        </w:tc>
      </w:tr>
      <w:tr w:rsidR="00C2429F" w:rsidRPr="00C2429F" w:rsidTr="00C2429F">
        <w:trPr>
          <w:gridAfter w:val="1"/>
          <w:wAfter w:w="18" w:type="dxa"/>
          <w:trHeight w:val="570"/>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For Windows and Insulation – Attic and Wall, homes must have electric heating and/or ducted unitary air conditioning serving at least 80% of conditioned floor area in order to qualify.</w:t>
            </w:r>
          </w:p>
        </w:tc>
      </w:tr>
      <w:tr w:rsidR="00C2429F" w:rsidRPr="00C2429F" w:rsidTr="004E4704">
        <w:trPr>
          <w:trHeight w:val="1493"/>
        </w:trPr>
        <w:tc>
          <w:tcPr>
            <w:tcW w:w="1998" w:type="dxa"/>
            <w:tcBorders>
              <w:top w:val="nil"/>
              <w:left w:val="single" w:sz="4" w:space="0" w:color="auto"/>
              <w:bottom w:val="nil"/>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Insulation - Attic</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Pre-existing condition must be R-20 or less. Final insulation level must be at least R-49. Electrically cooled homes must have central air conditioning serving 80 percent of the conditioned floor area. See additional installation requirements on program website.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$0.15/sf. for electrically cooled home; $0.30/sf. for electrically heated home</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$0/sf.</w:t>
            </w:r>
          </w:p>
        </w:tc>
      </w:tr>
      <w:tr w:rsidR="00C2429F" w:rsidRPr="00C2429F" w:rsidTr="004E4704">
        <w:trPr>
          <w:trHeight w:val="107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Insulation - Floor</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Pre-existing condition must be R-18 or less. Final insulation level must be at least R-30.  Electrically heated home only. See additional installation requirements on program website.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$0.45/sf. for electrically heated home</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$0/sf.</w:t>
            </w:r>
          </w:p>
        </w:tc>
      </w:tr>
      <w:tr w:rsidR="00C2429F" w:rsidRPr="00C2429F" w:rsidTr="004E4704">
        <w:trPr>
          <w:trHeight w:val="89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Insulation - Wall</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Pre-existing condition must be R-10 or less. Install increment of R-11 or fill cavity.  See additional installation requirements on program website.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$0.35/sf.</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$0/sf.</w:t>
            </w:r>
          </w:p>
        </w:tc>
      </w:tr>
      <w:tr w:rsidR="00C2429F" w:rsidRPr="00C2429F" w:rsidTr="004E4704">
        <w:trPr>
          <w:trHeight w:val="143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Windows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Tier 1: U-factor of 0.30 or lower. Electrically heated home only; Tier 2: U-factor of 0.20 or lower with a SHGC of 0.35; See additional installation requirements on program website.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Tier 1: $0.75/sf.; Tier 2: $1.00/sf. for electrically cooled home, $2.50/sf. for electrically heated home</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$0/sf.</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C2429F" w:rsidRPr="00C2429F" w:rsidRDefault="00C2429F" w:rsidP="00C2429F">
            <w:pPr>
              <w:rPr>
                <w:rFonts w:ascii="Times New Roman" w:eastAsia="Times New Roman" w:hAnsi="Times New Roman"/>
                <w:b/>
                <w:bCs/>
                <w:color w:val="000000"/>
                <w:sz w:val="20"/>
                <w:szCs w:val="20"/>
              </w:rPr>
            </w:pPr>
            <w:r w:rsidRPr="00C2429F">
              <w:rPr>
                <w:rFonts w:ascii="Times New Roman" w:eastAsia="Times New Roman" w:hAnsi="Times New Roman"/>
                <w:b/>
                <w:bCs/>
                <w:color w:val="000000"/>
                <w:sz w:val="20"/>
                <w:szCs w:val="20"/>
              </w:rPr>
              <w:t>New Homes</w:t>
            </w:r>
          </w:p>
        </w:tc>
        <w:tc>
          <w:tcPr>
            <w:tcW w:w="4410" w:type="dxa"/>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c>
          <w:tcPr>
            <w:tcW w:w="1728" w:type="dxa"/>
            <w:gridSpan w:val="2"/>
            <w:tcBorders>
              <w:top w:val="nil"/>
              <w:left w:val="nil"/>
              <w:bottom w:val="single" w:sz="4" w:space="0" w:color="auto"/>
              <w:right w:val="single" w:sz="4" w:space="0" w:color="auto"/>
            </w:tcBorders>
            <w:shd w:val="clear" w:color="auto" w:fill="auto"/>
            <w:noWrap/>
            <w:vAlign w:val="bottom"/>
            <w:hideMark/>
          </w:tcPr>
          <w:p w:rsidR="00C2429F" w:rsidRPr="00C2429F" w:rsidRDefault="00C2429F" w:rsidP="00C2429F">
            <w:pPr>
              <w:rPr>
                <w:rFonts w:eastAsia="Times New Roman"/>
                <w:color w:val="000000"/>
                <w:sz w:val="20"/>
                <w:szCs w:val="20"/>
              </w:rPr>
            </w:pPr>
            <w:r w:rsidRPr="00C2429F">
              <w:rPr>
                <w:rFonts w:eastAsia="Times New Roman"/>
                <w:color w:val="000000"/>
                <w:sz w:val="20"/>
                <w:szCs w:val="20"/>
              </w:rPr>
              <w:t> </w:t>
            </w:r>
          </w:p>
        </w:tc>
      </w:tr>
      <w:tr w:rsidR="00C2429F" w:rsidRPr="00C2429F" w:rsidTr="00C2429F">
        <w:trPr>
          <w:gridAfter w:val="1"/>
          <w:wAfter w:w="18" w:type="dxa"/>
          <w:trHeight w:val="495"/>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For New Homes Insulation – Attic, homes must be heated with electric heating at least 80% of conditioned floor area in order to qualify.</w:t>
            </w:r>
          </w:p>
        </w:tc>
      </w:tr>
      <w:tr w:rsidR="00C2429F" w:rsidRPr="00C2429F" w:rsidTr="00C2429F">
        <w:trPr>
          <w:gridAfter w:val="1"/>
          <w:wAfter w:w="18" w:type="dxa"/>
          <w:trHeight w:val="525"/>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For New Homes Windows, homes must have electric heating and/or ducted unitary air conditioning serving at least 80% of conditioned floor area in order to qualify.</w:t>
            </w:r>
          </w:p>
        </w:tc>
      </w:tr>
      <w:tr w:rsidR="00C2429F" w:rsidRPr="00C2429F" w:rsidTr="00EF3BC0">
        <w:trPr>
          <w:trHeight w:val="1358"/>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ENERGY STAR Builder Option Package (BOP)</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All requirements of the heat pump path must be met to qualify for the Northwest ENERGY STAR Homes Washington Program certification. Verification is required and will be performed by a Northwest ENERGY STAR Homes verifier</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$1,000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51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Dishwashers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CEE Tier 1 for standard models, Compact models are not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30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Refrigerators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CEE Tier 2 and above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$35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51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Heat Pump Water Heater</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C2429F">
        <w:trPr>
          <w:trHeight w:val="765"/>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CFLs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ENERGY STAR qualified CFL bulbs installed in at least 80 percent of the available home’s light sockets</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EF3BC0">
        <w:trPr>
          <w:trHeight w:val="872"/>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Central Air Conditioner</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Equipment must be 18+ SEER and have a Thermal Expansion Valve (TXV). Must be installed by a participating and licensed HVAC contractor</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$275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EF3BC0">
        <w:trPr>
          <w:trHeight w:val="134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Heat Pump</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heat pump must be 9.5+ HSPF and 16+ SEER with a Thermal Expansion Valve (TXV). Must be installed by a participating and licensed HVAC contractor. See additional installation requirements on program website.</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$325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EF3BC0">
        <w:trPr>
          <w:trHeight w:val="62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Insulation - Attic</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Install R-60 or greater. Electrically heated home only</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$0.05/sf. for electrically heated home</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EF3BC0">
        <w:trPr>
          <w:trHeight w:val="1277"/>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Windows</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Install windows with a U-Factor of 0.20 or lower with a SHGC of 0.35</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$0.75/sf. for electrically cooled home; $1.00/sf. for electrically heated home</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r w:rsidR="00C2429F" w:rsidRPr="00C2429F" w:rsidTr="00EF3BC0">
        <w:trPr>
          <w:trHeight w:val="1070"/>
        </w:trPr>
        <w:tc>
          <w:tcPr>
            <w:tcW w:w="1998" w:type="dxa"/>
            <w:tcBorders>
              <w:top w:val="nil"/>
              <w:left w:val="single" w:sz="4" w:space="0" w:color="auto"/>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Homes Ductless Heat Pump (Multi-head)</w:t>
            </w:r>
          </w:p>
        </w:tc>
        <w:tc>
          <w:tcPr>
            <w:tcW w:w="441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New heat pump must be 9.5+ HSPF. Multi-head heat pump must employ an inverter driven outdoor compressor unit and a variable speed fan or indoor blower for new homes only</w:t>
            </w:r>
          </w:p>
        </w:tc>
        <w:tc>
          <w:tcPr>
            <w:tcW w:w="1800" w:type="dxa"/>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$800 </w:t>
            </w:r>
          </w:p>
        </w:tc>
        <w:tc>
          <w:tcPr>
            <w:tcW w:w="1728" w:type="dxa"/>
            <w:gridSpan w:val="2"/>
            <w:tcBorders>
              <w:top w:val="nil"/>
              <w:left w:val="nil"/>
              <w:bottom w:val="single" w:sz="4" w:space="0" w:color="auto"/>
              <w:right w:val="single" w:sz="4" w:space="0" w:color="auto"/>
            </w:tcBorders>
            <w:shd w:val="clear" w:color="auto" w:fill="auto"/>
            <w:vAlign w:val="center"/>
            <w:hideMark/>
          </w:tcPr>
          <w:p w:rsidR="00C2429F" w:rsidRPr="00C2429F" w:rsidRDefault="00C2429F" w:rsidP="00C2429F">
            <w:pPr>
              <w:rPr>
                <w:rFonts w:ascii="Times New Roman" w:eastAsia="Times New Roman" w:hAnsi="Times New Roman"/>
                <w:color w:val="000000"/>
                <w:sz w:val="20"/>
                <w:szCs w:val="20"/>
              </w:rPr>
            </w:pPr>
            <w:r w:rsidRPr="00C2429F">
              <w:rPr>
                <w:rFonts w:ascii="Times New Roman" w:eastAsia="Times New Roman" w:hAnsi="Times New Roman"/>
                <w:color w:val="000000"/>
                <w:sz w:val="20"/>
                <w:szCs w:val="20"/>
              </w:rPr>
              <w:t xml:space="preserve">$0 </w:t>
            </w:r>
          </w:p>
        </w:tc>
      </w:tr>
    </w:tbl>
    <w:p w:rsidR="009C6DA0" w:rsidRPr="00F72BEB" w:rsidRDefault="009C6DA0" w:rsidP="00CD7669">
      <w:pPr>
        <w:pStyle w:val="Heading1"/>
        <w:rPr>
          <w:sz w:val="20"/>
          <w:szCs w:val="20"/>
        </w:rPr>
        <w:sectPr w:rsidR="009C6DA0" w:rsidRPr="00F72BEB" w:rsidSect="001B376C">
          <w:headerReference w:type="default" r:id="rId25"/>
          <w:footerReference w:type="default" r:id="rId26"/>
          <w:pgSz w:w="12240" w:h="15840" w:code="1"/>
          <w:pgMar w:top="1440" w:right="1080" w:bottom="1440" w:left="1440" w:header="720" w:footer="720" w:gutter="0"/>
          <w:cols w:space="720"/>
          <w:docGrid w:linePitch="360"/>
        </w:sectPr>
      </w:pPr>
    </w:p>
    <w:p w:rsidR="008F6826" w:rsidRPr="003B639B" w:rsidRDefault="000A75FE" w:rsidP="008F6826">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7" o:spid="_x0000_s1030" type="#_x0000_t32" style="position:absolute;margin-left:384pt;margin-top:-19.45pt;width:0;height:114.7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3HHQIAADw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"/>
        </w:pict>
      </w:r>
      <w:r w:rsidRPr="000A75FE">
        <w:rPr>
          <w:rFonts w:ascii="Courier New" w:hAnsi="Courier New"/>
          <w:noProof/>
          <w:sz w:val="18"/>
          <w:szCs w:val="20"/>
        </w:rPr>
        <w:pict>
          <v:shape id="AutoShape 8" o:spid="_x0000_s1031" type="#_x0000_t32" style="position:absolute;margin-left:384pt;margin-top:-16.9pt;width:0;height:114.7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oJ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"/>
        </w:pict>
      </w:r>
      <w:r w:rsidR="008F6826">
        <w:rPr>
          <w:rFonts w:ascii="Arial" w:hAnsi="Arial" w:cs="Arial"/>
          <w:b/>
          <w:noProof/>
          <w:sz w:val="24"/>
          <w:szCs w:val="24"/>
        </w:rPr>
        <w:t>PACIFIC POWER &amp; LIGHT COMPANY</w:t>
      </w:r>
    </w:p>
    <w:p w:rsidR="008F6826" w:rsidRDefault="008F6826" w:rsidP="008F6826">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8F6826" w:rsidRPr="00CD01ED" w:rsidRDefault="008F6826" w:rsidP="008F6826">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8F6826" w:rsidRDefault="008F6826" w:rsidP="008F6826">
      <w:pPr>
        <w:tabs>
          <w:tab w:val="left" w:pos="7200"/>
        </w:tabs>
        <w:ind w:right="2160"/>
        <w:jc w:val="right"/>
        <w:rPr>
          <w:rFonts w:ascii="Arial" w:hAnsi="Arial" w:cs="Arial"/>
          <w:sz w:val="20"/>
        </w:rPr>
      </w:pPr>
    </w:p>
    <w:p w:rsidR="008F6826" w:rsidRDefault="008F6826" w:rsidP="008F6826">
      <w:pPr>
        <w:tabs>
          <w:tab w:val="left" w:pos="7200"/>
        </w:tabs>
        <w:ind w:right="2160"/>
        <w:jc w:val="right"/>
        <w:rPr>
          <w:rFonts w:ascii="Arial" w:hAnsi="Arial" w:cs="Arial"/>
          <w:sz w:val="20"/>
        </w:rPr>
      </w:pPr>
      <w:r>
        <w:rPr>
          <w:rFonts w:ascii="Arial" w:hAnsi="Arial" w:cs="Arial"/>
          <w:sz w:val="20"/>
        </w:rPr>
        <w:t>Original Sheet No. 118.1</w:t>
      </w:r>
    </w:p>
    <w:p w:rsidR="008F6826" w:rsidRDefault="008F6826" w:rsidP="008F6826">
      <w:pPr>
        <w:rPr>
          <w:rFonts w:ascii="Arial" w:hAnsi="Arial" w:cs="Arial"/>
          <w:sz w:val="20"/>
        </w:rPr>
      </w:pPr>
      <w:r>
        <w:rPr>
          <w:rFonts w:ascii="Arial" w:hAnsi="Arial" w:cs="Arial"/>
          <w:sz w:val="20"/>
        </w:rPr>
        <w:tab/>
      </w:r>
    </w:p>
    <w:p w:rsidR="008F6826" w:rsidRPr="00CF64E6" w:rsidRDefault="008F6826" w:rsidP="008F6826">
      <w:pPr>
        <w:tabs>
          <w:tab w:val="left" w:pos="7200"/>
        </w:tabs>
        <w:ind w:right="2160"/>
        <w:rPr>
          <w:rFonts w:ascii="Arial" w:hAnsi="Arial" w:cs="Arial"/>
          <w:b/>
          <w:sz w:val="24"/>
          <w:szCs w:val="24"/>
        </w:rPr>
      </w:pPr>
      <w:r>
        <w:rPr>
          <w:rFonts w:ascii="Arial" w:hAnsi="Arial" w:cs="Arial"/>
          <w:b/>
          <w:sz w:val="24"/>
          <w:szCs w:val="24"/>
        </w:rPr>
        <w:t>Schedule 118</w:t>
      </w:r>
    </w:p>
    <w:p w:rsidR="008F6826" w:rsidRPr="009B779C" w:rsidRDefault="008F6826" w:rsidP="008F6826">
      <w:pPr>
        <w:pBdr>
          <w:bottom w:val="single" w:sz="12" w:space="1" w:color="auto"/>
        </w:pBdr>
        <w:rPr>
          <w:rFonts w:ascii="Arial" w:hAnsi="Arial" w:cs="Arial"/>
          <w:b/>
          <w:sz w:val="20"/>
        </w:rPr>
      </w:pPr>
      <w:r>
        <w:rPr>
          <w:rFonts w:ascii="Arial" w:hAnsi="Arial" w:cs="Arial"/>
          <w:b/>
          <w:sz w:val="20"/>
        </w:rPr>
        <w:t>HOME ENERGY SAVINGS INCENTIVE PROGRAM</w:t>
      </w:r>
    </w:p>
    <w:p w:rsidR="008F6826" w:rsidRDefault="008F6826" w:rsidP="000E2872">
      <w:pPr>
        <w:pStyle w:val="BodyTextIndent"/>
        <w:spacing w:after="0"/>
        <w:ind w:left="0"/>
        <w:rPr>
          <w:rFonts w:ascii="Arial" w:hAnsi="Arial" w:cs="Arial"/>
          <w:sz w:val="20"/>
          <w:u w:val="single"/>
        </w:rPr>
      </w:pPr>
    </w:p>
    <w:p w:rsidR="000E2872" w:rsidRPr="008F6826" w:rsidRDefault="000E2872" w:rsidP="000E2872">
      <w:pPr>
        <w:pStyle w:val="BodyTextIndent"/>
        <w:spacing w:after="0"/>
        <w:ind w:left="0"/>
        <w:rPr>
          <w:rFonts w:ascii="Arial" w:hAnsi="Arial" w:cs="Arial"/>
          <w:sz w:val="20"/>
          <w:u w:val="single"/>
        </w:rPr>
      </w:pPr>
      <w:r w:rsidRPr="008F6826">
        <w:rPr>
          <w:rFonts w:ascii="Arial" w:hAnsi="Arial" w:cs="Arial"/>
          <w:sz w:val="20"/>
          <w:u w:val="single"/>
        </w:rPr>
        <w:t>PURPOSE:</w:t>
      </w:r>
    </w:p>
    <w:p w:rsidR="000E2872" w:rsidRPr="008F6826" w:rsidRDefault="000E2872" w:rsidP="000E2872">
      <w:pPr>
        <w:pStyle w:val="BodyTextIndent"/>
        <w:spacing w:after="0"/>
        <w:ind w:left="0" w:firstLine="720"/>
        <w:rPr>
          <w:rFonts w:ascii="Arial" w:hAnsi="Arial" w:cs="Arial"/>
          <w:sz w:val="20"/>
        </w:rPr>
      </w:pPr>
      <w:r w:rsidRPr="008F6826">
        <w:rPr>
          <w:rFonts w:ascii="Arial" w:hAnsi="Arial" w:cs="Arial"/>
          <w:sz w:val="20"/>
        </w:rPr>
        <w:t xml:space="preserve">Service under this tariff is intended to maximize the efficient utilization of the electricity requirements of new and existing loads in new and existing residences including manufactured housing and multi-family dwellings. </w:t>
      </w:r>
    </w:p>
    <w:p w:rsidR="000E2872" w:rsidRPr="008F6826" w:rsidRDefault="000E2872" w:rsidP="000E2872">
      <w:pPr>
        <w:pStyle w:val="BodyTextIndent"/>
        <w:spacing w:after="0"/>
        <w:ind w:left="0"/>
        <w:rPr>
          <w:rFonts w:ascii="Arial" w:hAnsi="Arial" w:cs="Arial"/>
          <w:sz w:val="20"/>
        </w:rPr>
      </w:pPr>
    </w:p>
    <w:p w:rsidR="000E2872" w:rsidRPr="008F6826" w:rsidRDefault="000E2872" w:rsidP="000E2872">
      <w:pPr>
        <w:pStyle w:val="BodyTextIndent"/>
        <w:spacing w:after="0"/>
        <w:ind w:left="0"/>
        <w:rPr>
          <w:rFonts w:ascii="Arial" w:hAnsi="Arial" w:cs="Arial"/>
          <w:sz w:val="20"/>
          <w:u w:val="single"/>
        </w:rPr>
      </w:pPr>
      <w:r w:rsidRPr="008F6826">
        <w:rPr>
          <w:rFonts w:ascii="Arial" w:hAnsi="Arial" w:cs="Arial"/>
          <w:sz w:val="20"/>
          <w:u w:val="single"/>
        </w:rPr>
        <w:t>APPLICABLE:</w:t>
      </w:r>
    </w:p>
    <w:p w:rsidR="000E2872" w:rsidRPr="008F6826" w:rsidRDefault="000E2872" w:rsidP="000E2872">
      <w:pPr>
        <w:pStyle w:val="BodyTextIndent"/>
        <w:spacing w:after="0"/>
        <w:ind w:left="0"/>
        <w:rPr>
          <w:rFonts w:ascii="Arial" w:hAnsi="Arial" w:cs="Arial"/>
          <w:sz w:val="20"/>
        </w:rPr>
      </w:pPr>
      <w:r w:rsidRPr="008F6826">
        <w:rPr>
          <w:rFonts w:ascii="Arial" w:hAnsi="Arial" w:cs="Arial"/>
          <w:sz w:val="20"/>
        </w:rPr>
        <w:tab/>
        <w:t xml:space="preserve">To new and existing residential customers in all territory served by the Company in the state of Washington billed on Schedules 16, 17 and 18.  Landlords who own rental properties served by the company in the state of Washington where the tenant is billed on Schedules 16, 17 and 18 also qualify for this program.   </w:t>
      </w:r>
    </w:p>
    <w:p w:rsidR="000E2872" w:rsidRPr="008F6826" w:rsidRDefault="000E2872" w:rsidP="000E2872">
      <w:pPr>
        <w:pStyle w:val="BodyTextIndent"/>
        <w:spacing w:after="0"/>
        <w:ind w:left="0"/>
        <w:rPr>
          <w:rFonts w:ascii="Arial" w:hAnsi="Arial" w:cs="Arial"/>
          <w:sz w:val="20"/>
        </w:rPr>
      </w:pPr>
    </w:p>
    <w:p w:rsidR="000E2872" w:rsidRPr="008F6826" w:rsidRDefault="000E2872" w:rsidP="000E2872">
      <w:pPr>
        <w:pStyle w:val="BodyTextIndent"/>
        <w:spacing w:after="0"/>
        <w:ind w:left="0"/>
        <w:rPr>
          <w:rFonts w:ascii="Arial" w:hAnsi="Arial" w:cs="Arial"/>
          <w:sz w:val="20"/>
          <w:u w:val="single"/>
        </w:rPr>
      </w:pPr>
      <w:r w:rsidRPr="008F6826">
        <w:rPr>
          <w:rFonts w:ascii="Arial" w:hAnsi="Arial" w:cs="Arial"/>
          <w:sz w:val="20"/>
          <w:u w:val="single"/>
        </w:rPr>
        <w:t>CUSTOMER PARTICIPATION:</w:t>
      </w:r>
    </w:p>
    <w:p w:rsidR="000E2872" w:rsidRPr="008F6826" w:rsidRDefault="000E2872" w:rsidP="000E2872">
      <w:pPr>
        <w:pStyle w:val="BodyTextIndent"/>
        <w:spacing w:after="0"/>
        <w:ind w:left="0"/>
        <w:rPr>
          <w:rFonts w:ascii="Arial" w:hAnsi="Arial" w:cs="Arial"/>
          <w:sz w:val="20"/>
        </w:rPr>
      </w:pPr>
      <w:r w:rsidRPr="008F6826">
        <w:rPr>
          <w:rFonts w:ascii="Arial" w:hAnsi="Arial" w:cs="Arial"/>
          <w:sz w:val="20"/>
        </w:rPr>
        <w:tab/>
        <w:t xml:space="preserve">Customer participation is voluntary and is initiated by following the participation procedures listed on the program web site. </w:t>
      </w:r>
    </w:p>
    <w:p w:rsidR="000E2872" w:rsidRPr="008F6826" w:rsidRDefault="000E2872" w:rsidP="000E2872">
      <w:pPr>
        <w:pStyle w:val="BodyTextIndent"/>
        <w:spacing w:after="0"/>
        <w:ind w:left="0"/>
        <w:rPr>
          <w:rFonts w:ascii="Arial" w:hAnsi="Arial" w:cs="Arial"/>
          <w:sz w:val="20"/>
        </w:rPr>
      </w:pPr>
      <w:r w:rsidRPr="008F6826">
        <w:rPr>
          <w:rFonts w:ascii="Arial" w:hAnsi="Arial" w:cs="Arial"/>
          <w:sz w:val="20"/>
        </w:rPr>
        <w:tab/>
      </w:r>
    </w:p>
    <w:p w:rsidR="000E2872" w:rsidRPr="008F6826" w:rsidRDefault="000E2872" w:rsidP="000E2872">
      <w:pPr>
        <w:pStyle w:val="BodyTextIndent"/>
        <w:spacing w:after="0"/>
        <w:ind w:left="0"/>
        <w:rPr>
          <w:rFonts w:ascii="Arial" w:hAnsi="Arial" w:cs="Arial"/>
          <w:sz w:val="20"/>
          <w:u w:val="single"/>
        </w:rPr>
      </w:pPr>
      <w:r w:rsidRPr="008F6826">
        <w:rPr>
          <w:rFonts w:ascii="Arial" w:hAnsi="Arial" w:cs="Arial"/>
          <w:sz w:val="20"/>
          <w:u w:val="single"/>
        </w:rPr>
        <w:t>DESCRIPTION:</w:t>
      </w:r>
    </w:p>
    <w:p w:rsidR="000E2872" w:rsidRPr="008F6826" w:rsidRDefault="000E2872" w:rsidP="000E2872">
      <w:pPr>
        <w:pStyle w:val="BodyTextIndent"/>
        <w:spacing w:after="0"/>
        <w:ind w:left="0"/>
        <w:rPr>
          <w:rFonts w:ascii="Arial" w:hAnsi="Arial" w:cs="Arial"/>
          <w:sz w:val="20"/>
        </w:rPr>
      </w:pPr>
      <w:r w:rsidRPr="008F6826">
        <w:rPr>
          <w:rFonts w:ascii="Arial" w:hAnsi="Arial" w:cs="Arial"/>
          <w:sz w:val="20"/>
        </w:rPr>
        <w:tab/>
        <w:t>On-going program</w:t>
      </w:r>
      <w:r w:rsidRPr="008F6826">
        <w:rPr>
          <w:rFonts w:ascii="Arial" w:hAnsi="Arial" w:cs="Arial"/>
          <w:b/>
          <w:sz w:val="20"/>
        </w:rPr>
        <w:t xml:space="preserve"> </w:t>
      </w:r>
      <w:r w:rsidRPr="008F6826">
        <w:rPr>
          <w:rFonts w:ascii="Arial" w:hAnsi="Arial" w:cs="Arial"/>
          <w:sz w:val="20"/>
        </w:rPr>
        <w:t xml:space="preserve">to deliver incentives for a variety of equipment and services intended for and located in residential dwellings.  Home Energy Savings Incentive Program will be delivered by the Program Administrator and periodic changes will be made to insure or enhance program cost effectiveness as defined by the Company.    </w:t>
      </w:r>
    </w:p>
    <w:p w:rsidR="000E2872" w:rsidRPr="008F6826" w:rsidRDefault="000E2872" w:rsidP="000E2872">
      <w:pPr>
        <w:pStyle w:val="BodyTextIndent"/>
        <w:spacing w:after="0"/>
        <w:ind w:left="0"/>
        <w:rPr>
          <w:rFonts w:ascii="Arial" w:hAnsi="Arial" w:cs="Arial"/>
          <w:b/>
          <w:sz w:val="20"/>
          <w:u w:val="single"/>
        </w:rPr>
      </w:pPr>
    </w:p>
    <w:p w:rsidR="000E2872" w:rsidRPr="008F6826" w:rsidRDefault="000E2872" w:rsidP="000E2872">
      <w:pPr>
        <w:pStyle w:val="BodyTextIndent"/>
        <w:spacing w:after="0"/>
        <w:ind w:left="0"/>
        <w:rPr>
          <w:rFonts w:ascii="Arial" w:hAnsi="Arial" w:cs="Arial"/>
          <w:sz w:val="20"/>
          <w:u w:val="single"/>
        </w:rPr>
      </w:pPr>
      <w:r w:rsidRPr="008F6826">
        <w:rPr>
          <w:rFonts w:ascii="Arial" w:hAnsi="Arial" w:cs="Arial"/>
          <w:sz w:val="20"/>
          <w:u w:val="single"/>
        </w:rPr>
        <w:t>QUALIFYING EQUIPMENT OR SERVICES:</w:t>
      </w:r>
    </w:p>
    <w:p w:rsidR="000E2872" w:rsidRPr="008F6826" w:rsidRDefault="000E2872" w:rsidP="000E2872">
      <w:pPr>
        <w:pStyle w:val="BodyTextIndent"/>
        <w:spacing w:after="0"/>
        <w:ind w:left="0" w:firstLine="720"/>
        <w:rPr>
          <w:rFonts w:ascii="Arial" w:hAnsi="Arial" w:cs="Arial"/>
          <w:sz w:val="20"/>
        </w:rPr>
      </w:pPr>
      <w:r w:rsidRPr="008F6826">
        <w:rPr>
          <w:rFonts w:ascii="Arial" w:hAnsi="Arial" w:cs="Arial"/>
          <w:sz w:val="20"/>
        </w:rPr>
        <w:t xml:space="preserve">Equipment or services for residential dwellings, which when correctly installed or performed, result in verifiable electric energy usage reductions where such usage is compared to the existing equipment or baseline equipment as determined by the Company.   </w:t>
      </w:r>
    </w:p>
    <w:p w:rsidR="000E2872" w:rsidRPr="008F6826" w:rsidRDefault="000E2872" w:rsidP="000E2872">
      <w:pPr>
        <w:pStyle w:val="BodyTextIndent"/>
        <w:spacing w:after="0"/>
        <w:ind w:left="0"/>
        <w:rPr>
          <w:rFonts w:ascii="Arial" w:hAnsi="Arial" w:cs="Arial"/>
          <w:sz w:val="20"/>
        </w:rPr>
      </w:pPr>
    </w:p>
    <w:p w:rsidR="000E2872" w:rsidRPr="008F6826" w:rsidRDefault="000E2872" w:rsidP="000E2872">
      <w:pPr>
        <w:pStyle w:val="BodyTextIndent"/>
        <w:spacing w:after="0"/>
        <w:ind w:left="0"/>
        <w:rPr>
          <w:rFonts w:ascii="Arial" w:hAnsi="Arial" w:cs="Arial"/>
          <w:b/>
          <w:sz w:val="20"/>
        </w:rPr>
      </w:pPr>
      <w:r w:rsidRPr="008F6826">
        <w:rPr>
          <w:rFonts w:ascii="Arial" w:hAnsi="Arial" w:cs="Arial"/>
          <w:sz w:val="20"/>
          <w:u w:val="single"/>
        </w:rPr>
        <w:t>PROGRAM ADMINISTRATOR:</w:t>
      </w:r>
      <w:r w:rsidRPr="008F6826">
        <w:rPr>
          <w:rFonts w:ascii="Arial" w:hAnsi="Arial" w:cs="Arial"/>
          <w:b/>
          <w:sz w:val="20"/>
        </w:rPr>
        <w:t xml:space="preserve"> </w:t>
      </w:r>
    </w:p>
    <w:p w:rsidR="000E2872" w:rsidRPr="008F6826" w:rsidRDefault="000E2872" w:rsidP="000E2872">
      <w:pPr>
        <w:pStyle w:val="BodyTextIndent"/>
        <w:spacing w:after="0"/>
        <w:ind w:left="0"/>
        <w:rPr>
          <w:rFonts w:ascii="Arial" w:hAnsi="Arial" w:cs="Arial"/>
          <w:sz w:val="20"/>
        </w:rPr>
      </w:pPr>
      <w:r w:rsidRPr="008F6826">
        <w:rPr>
          <w:rFonts w:ascii="Arial" w:hAnsi="Arial" w:cs="Arial"/>
          <w:sz w:val="20"/>
        </w:rPr>
        <w:tab/>
        <w:t xml:space="preserve">Qualified person or entity hired by the Company to administer this program.  </w:t>
      </w:r>
    </w:p>
    <w:p w:rsidR="000E2872" w:rsidRPr="008F6826" w:rsidRDefault="000E2872" w:rsidP="000E2872">
      <w:pPr>
        <w:pStyle w:val="BodyTextIndent"/>
        <w:spacing w:after="0"/>
        <w:ind w:left="720"/>
        <w:rPr>
          <w:rFonts w:ascii="Arial" w:hAnsi="Arial" w:cs="Arial"/>
          <w:sz w:val="20"/>
        </w:rPr>
      </w:pPr>
    </w:p>
    <w:p w:rsidR="000E2872" w:rsidRPr="008F6826" w:rsidRDefault="000E2872" w:rsidP="000E2872">
      <w:pPr>
        <w:pStyle w:val="BodyTextIndent"/>
        <w:spacing w:after="0"/>
        <w:ind w:left="0"/>
        <w:rPr>
          <w:rFonts w:ascii="Arial" w:hAnsi="Arial" w:cs="Arial"/>
          <w:b/>
          <w:sz w:val="20"/>
        </w:rPr>
      </w:pPr>
      <w:r w:rsidRPr="008F6826">
        <w:rPr>
          <w:rFonts w:ascii="Arial" w:hAnsi="Arial" w:cs="Arial"/>
          <w:sz w:val="20"/>
          <w:u w:val="single"/>
        </w:rPr>
        <w:t>PROVISIONS OF SERVICE</w:t>
      </w:r>
      <w:r w:rsidRPr="008F6826">
        <w:rPr>
          <w:rFonts w:ascii="Arial" w:hAnsi="Arial" w:cs="Arial"/>
          <w:b/>
          <w:sz w:val="20"/>
        </w:rPr>
        <w:t xml:space="preserve">: </w:t>
      </w:r>
    </w:p>
    <w:p w:rsidR="000E2872" w:rsidRPr="008F6826" w:rsidRDefault="000E2872" w:rsidP="00ED2D31">
      <w:pPr>
        <w:pStyle w:val="BodyTextIndent"/>
        <w:numPr>
          <w:ilvl w:val="0"/>
          <w:numId w:val="22"/>
        </w:numPr>
        <w:tabs>
          <w:tab w:val="clear" w:pos="720"/>
        </w:tabs>
        <w:spacing w:after="0"/>
        <w:ind w:hanging="720"/>
        <w:jc w:val="both"/>
        <w:rPr>
          <w:rFonts w:ascii="Arial" w:hAnsi="Arial" w:cs="Arial"/>
          <w:sz w:val="20"/>
        </w:rPr>
      </w:pPr>
      <w:r w:rsidRPr="008F6826">
        <w:rPr>
          <w:rFonts w:ascii="Arial" w:hAnsi="Arial" w:cs="Arial"/>
          <w:sz w:val="20"/>
        </w:rPr>
        <w:t xml:space="preserve">Qualifying Equipment or Services, incentive amounts, and participation procedures will be listed on the program Web site. </w:t>
      </w:r>
    </w:p>
    <w:p w:rsidR="000E2872" w:rsidRPr="008F6826" w:rsidRDefault="000E2872" w:rsidP="000E2872">
      <w:pPr>
        <w:pStyle w:val="BodyTextIndent"/>
        <w:spacing w:after="0"/>
        <w:ind w:left="720"/>
        <w:jc w:val="both"/>
        <w:rPr>
          <w:rFonts w:ascii="Arial" w:hAnsi="Arial" w:cs="Arial"/>
          <w:sz w:val="20"/>
        </w:rPr>
      </w:pPr>
    </w:p>
    <w:p w:rsidR="000E2872" w:rsidRPr="008F6826" w:rsidRDefault="000E2872" w:rsidP="00ED2D31">
      <w:pPr>
        <w:pStyle w:val="BodyTextIndent"/>
        <w:numPr>
          <w:ilvl w:val="0"/>
          <w:numId w:val="22"/>
        </w:numPr>
        <w:tabs>
          <w:tab w:val="clear" w:pos="720"/>
        </w:tabs>
        <w:spacing w:after="0"/>
        <w:ind w:hanging="720"/>
        <w:jc w:val="both"/>
        <w:rPr>
          <w:rFonts w:ascii="Arial" w:hAnsi="Arial" w:cs="Arial"/>
          <w:sz w:val="20"/>
        </w:rPr>
      </w:pPr>
      <w:r w:rsidRPr="008F6826">
        <w:rPr>
          <w:rFonts w:ascii="Arial" w:hAnsi="Arial" w:cs="Arial"/>
          <w:sz w:val="20"/>
        </w:rPr>
        <w:t xml:space="preserve">Incentive delivery may vary by technology and may include any or all of the following; post purchase mail-in, point-of-purchase buy-down, manufacturer buy-down or pre- purchase offer and approval. </w:t>
      </w:r>
    </w:p>
    <w:p w:rsidR="000E2872" w:rsidRPr="008F6826" w:rsidRDefault="000E2872" w:rsidP="000E2872">
      <w:pPr>
        <w:pStyle w:val="BodyTextIndent"/>
        <w:spacing w:after="0"/>
        <w:ind w:left="0"/>
        <w:jc w:val="both"/>
        <w:rPr>
          <w:rFonts w:ascii="Arial" w:hAnsi="Arial" w:cs="Arial"/>
          <w:sz w:val="20"/>
        </w:rPr>
      </w:pPr>
    </w:p>
    <w:p w:rsidR="000E2872" w:rsidRPr="008F6826" w:rsidRDefault="000E2872" w:rsidP="00ED2D31">
      <w:pPr>
        <w:pStyle w:val="BodyTextIndent"/>
        <w:numPr>
          <w:ilvl w:val="0"/>
          <w:numId w:val="22"/>
        </w:numPr>
        <w:spacing w:after="0"/>
        <w:ind w:hanging="720"/>
        <w:rPr>
          <w:rFonts w:ascii="Arial" w:hAnsi="Arial" w:cs="Arial"/>
          <w:sz w:val="20"/>
        </w:rPr>
      </w:pPr>
      <w:r w:rsidRPr="008F6826">
        <w:rPr>
          <w:rFonts w:ascii="Arial" w:hAnsi="Arial" w:cs="Arial"/>
          <w:sz w:val="20"/>
        </w:rPr>
        <w:t>Incentives may be offered for year-round or for selected time periods.</w:t>
      </w:r>
    </w:p>
    <w:p w:rsidR="000E2872" w:rsidRPr="008F6826" w:rsidRDefault="000E2872" w:rsidP="000E2872">
      <w:pPr>
        <w:pStyle w:val="BodyTextIndent"/>
        <w:spacing w:after="0"/>
        <w:ind w:hanging="720"/>
        <w:rPr>
          <w:rFonts w:ascii="Arial" w:hAnsi="Arial" w:cs="Arial"/>
          <w:sz w:val="20"/>
        </w:rPr>
      </w:pPr>
    </w:p>
    <w:p w:rsidR="0069608B" w:rsidRDefault="000E2872" w:rsidP="00ED2D31">
      <w:pPr>
        <w:pStyle w:val="BodyTextIndent"/>
        <w:numPr>
          <w:ilvl w:val="0"/>
          <w:numId w:val="22"/>
        </w:numPr>
        <w:tabs>
          <w:tab w:val="num" w:pos="1440"/>
        </w:tabs>
        <w:spacing w:after="0"/>
        <w:ind w:left="0" w:hanging="720"/>
        <w:jc w:val="both"/>
        <w:rPr>
          <w:rFonts w:ascii="Arial" w:hAnsi="Arial" w:cs="Arial"/>
          <w:sz w:val="20"/>
        </w:rPr>
      </w:pPr>
      <w:r w:rsidRPr="00AA1C36">
        <w:rPr>
          <w:rFonts w:ascii="Arial" w:hAnsi="Arial" w:cs="Arial"/>
          <w:sz w:val="20"/>
        </w:rPr>
        <w:t>Incentive offer availability, incentive levels and Qualifying Equipment or Services may be changed by the Program Administrator after consultation with the Company to reflect changing codes and standards, sales volumes, quality assurance data or to enhance program cost effectiveness.</w:t>
      </w:r>
    </w:p>
    <w:p w:rsidR="0069608B" w:rsidRDefault="00AA1C36">
      <w:pPr>
        <w:pStyle w:val="BodyTextIndent"/>
        <w:tabs>
          <w:tab w:val="num" w:pos="1440"/>
        </w:tabs>
        <w:spacing w:after="0"/>
        <w:ind w:left="0"/>
        <w:jc w:val="both"/>
        <w:rPr>
          <w:rFonts w:ascii="Arial" w:hAnsi="Arial" w:cs="Arial"/>
          <w:sz w:val="20"/>
        </w:rPr>
      </w:pPr>
      <w:r w:rsidRPr="00AA1C36">
        <w:rPr>
          <w:rFonts w:ascii="Arial" w:eastAsia="Calibri" w:hAnsi="Arial" w:cs="Arial"/>
          <w:sz w:val="20"/>
          <w:szCs w:val="22"/>
          <w:lang w:eastAsia="en-US"/>
        </w:rPr>
        <w:t>____________________________________________________________________________________</w:t>
      </w:r>
    </w:p>
    <w:p w:rsidR="008F6826" w:rsidRDefault="008F6826" w:rsidP="008F682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8F6826" w:rsidRDefault="008F6826" w:rsidP="008F682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8F6826" w:rsidRDefault="008F6826" w:rsidP="008F682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8F6826" w:rsidRDefault="0069608B" w:rsidP="008F682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594240"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901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F6826" w:rsidRPr="004043D5" w:rsidRDefault="0069608B" w:rsidP="008F6826">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597312"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9"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96288"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2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95264"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2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9321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921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911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5891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8F6826">
        <w:rPr>
          <w:rFonts w:ascii="Arial" w:hAnsi="Arial" w:cs="Arial"/>
          <w:sz w:val="20"/>
        </w:rPr>
        <w:t>By:  _________________________ Andrea L. Kelly</w:t>
      </w:r>
      <w:r w:rsidR="008F6826">
        <w:rPr>
          <w:rFonts w:ascii="Arial" w:hAnsi="Arial" w:cs="Arial"/>
          <w:sz w:val="20"/>
        </w:rPr>
        <w:tab/>
      </w:r>
      <w:r w:rsidR="008F6826">
        <w:rPr>
          <w:rFonts w:ascii="Arial" w:hAnsi="Arial" w:cs="Arial"/>
          <w:b/>
          <w:sz w:val="20"/>
        </w:rPr>
        <w:t>Title:</w:t>
      </w:r>
      <w:r w:rsidR="008F6826">
        <w:rPr>
          <w:rFonts w:ascii="Arial" w:hAnsi="Arial" w:cs="Arial"/>
          <w:sz w:val="20"/>
        </w:rPr>
        <w:t xml:space="preserve">  Vice President, Regulation</w:t>
      </w:r>
    </w:p>
    <w:p w:rsidR="008F6826" w:rsidRDefault="008F6826" w:rsidP="008F6826">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8F6826" w:rsidRPr="003B639B" w:rsidRDefault="000A75FE" w:rsidP="008F6826">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9" o:spid="_x0000_s1032" type="#_x0000_t32" style="position:absolute;margin-left:384pt;margin-top:-19.45pt;width:0;height:114.7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1/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"/>
        </w:pict>
      </w:r>
      <w:r w:rsidRPr="000A75FE">
        <w:rPr>
          <w:rFonts w:ascii="Courier New" w:hAnsi="Courier New"/>
          <w:noProof/>
          <w:sz w:val="18"/>
          <w:szCs w:val="20"/>
        </w:rPr>
        <w:pict>
          <v:shape id="AutoShape 10" o:spid="_x0000_s1033" type="#_x0000_t32" style="position:absolute;margin-left:384pt;margin-top:-16.9pt;width:0;height:114.7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1HgIAAD0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"/>
        </w:pict>
      </w:r>
      <w:r w:rsidR="008F6826">
        <w:rPr>
          <w:rFonts w:ascii="Arial" w:hAnsi="Arial" w:cs="Arial"/>
          <w:b/>
          <w:noProof/>
          <w:sz w:val="24"/>
          <w:szCs w:val="24"/>
        </w:rPr>
        <w:t>PACIFIC POWER &amp; LIGHT COMPANY</w:t>
      </w:r>
    </w:p>
    <w:p w:rsidR="008F6826" w:rsidRDefault="008F6826" w:rsidP="008F6826">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8F6826" w:rsidRPr="00CD01ED" w:rsidRDefault="008F6826" w:rsidP="008F6826">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8F6826" w:rsidRDefault="008F6826" w:rsidP="008F6826">
      <w:pPr>
        <w:tabs>
          <w:tab w:val="left" w:pos="7200"/>
        </w:tabs>
        <w:ind w:right="2160"/>
        <w:jc w:val="right"/>
        <w:rPr>
          <w:rFonts w:ascii="Arial" w:hAnsi="Arial" w:cs="Arial"/>
          <w:sz w:val="20"/>
        </w:rPr>
      </w:pPr>
    </w:p>
    <w:p w:rsidR="008F6826" w:rsidRDefault="008F6826" w:rsidP="008F6826">
      <w:pPr>
        <w:tabs>
          <w:tab w:val="left" w:pos="7200"/>
        </w:tabs>
        <w:ind w:right="2160"/>
        <w:jc w:val="right"/>
        <w:rPr>
          <w:rFonts w:ascii="Arial" w:hAnsi="Arial" w:cs="Arial"/>
          <w:sz w:val="20"/>
        </w:rPr>
      </w:pPr>
      <w:r>
        <w:rPr>
          <w:rFonts w:ascii="Arial" w:hAnsi="Arial" w:cs="Arial"/>
          <w:sz w:val="20"/>
        </w:rPr>
        <w:t>Original Sheet No. 118.2</w:t>
      </w:r>
    </w:p>
    <w:p w:rsidR="008F6826" w:rsidRDefault="008F6826" w:rsidP="008F6826">
      <w:pPr>
        <w:rPr>
          <w:rFonts w:ascii="Arial" w:hAnsi="Arial" w:cs="Arial"/>
          <w:sz w:val="20"/>
        </w:rPr>
      </w:pPr>
      <w:r>
        <w:rPr>
          <w:rFonts w:ascii="Arial" w:hAnsi="Arial" w:cs="Arial"/>
          <w:sz w:val="20"/>
        </w:rPr>
        <w:tab/>
      </w:r>
    </w:p>
    <w:p w:rsidR="008F6826" w:rsidRPr="00CF64E6" w:rsidRDefault="008F6826" w:rsidP="008F6826">
      <w:pPr>
        <w:tabs>
          <w:tab w:val="left" w:pos="7200"/>
        </w:tabs>
        <w:ind w:right="2160"/>
        <w:rPr>
          <w:rFonts w:ascii="Arial" w:hAnsi="Arial" w:cs="Arial"/>
          <w:b/>
          <w:sz w:val="24"/>
          <w:szCs w:val="24"/>
        </w:rPr>
      </w:pPr>
      <w:r>
        <w:rPr>
          <w:rFonts w:ascii="Arial" w:hAnsi="Arial" w:cs="Arial"/>
          <w:b/>
          <w:sz w:val="24"/>
          <w:szCs w:val="24"/>
        </w:rPr>
        <w:t>Schedule 118</w:t>
      </w:r>
    </w:p>
    <w:p w:rsidR="008F6826" w:rsidRPr="009B779C" w:rsidRDefault="008F6826" w:rsidP="008F6826">
      <w:pPr>
        <w:pBdr>
          <w:bottom w:val="single" w:sz="12" w:space="1" w:color="auto"/>
        </w:pBdr>
        <w:rPr>
          <w:rFonts w:ascii="Arial" w:hAnsi="Arial" w:cs="Arial"/>
          <w:b/>
          <w:sz w:val="20"/>
        </w:rPr>
      </w:pPr>
      <w:r>
        <w:rPr>
          <w:rFonts w:ascii="Arial" w:hAnsi="Arial" w:cs="Arial"/>
          <w:b/>
          <w:sz w:val="20"/>
        </w:rPr>
        <w:t>HOME ENERGY SAVINGS INCENTIVE PROGRAM</w:t>
      </w:r>
    </w:p>
    <w:p w:rsidR="008F6826" w:rsidRDefault="008F6826" w:rsidP="000E2872">
      <w:pPr>
        <w:pStyle w:val="BodyTextIndent"/>
        <w:spacing w:after="0"/>
        <w:ind w:left="0"/>
        <w:rPr>
          <w:rFonts w:ascii="Arial" w:hAnsi="Arial" w:cs="Arial"/>
          <w:sz w:val="20"/>
          <w:u w:val="single"/>
        </w:rPr>
      </w:pPr>
    </w:p>
    <w:p w:rsidR="008F6826" w:rsidRDefault="008F6826" w:rsidP="000E2872">
      <w:pPr>
        <w:pStyle w:val="BodyTextIndent"/>
        <w:spacing w:after="0"/>
        <w:ind w:left="0"/>
        <w:rPr>
          <w:rFonts w:ascii="Arial" w:hAnsi="Arial" w:cs="Arial"/>
          <w:sz w:val="20"/>
          <w:u w:val="single"/>
        </w:rPr>
      </w:pPr>
    </w:p>
    <w:p w:rsidR="000E2872" w:rsidRPr="00111D82" w:rsidRDefault="000E2872" w:rsidP="000E2872">
      <w:pPr>
        <w:pStyle w:val="BodyTextIndent"/>
        <w:spacing w:after="0"/>
        <w:ind w:left="0"/>
        <w:rPr>
          <w:rFonts w:ascii="Arial" w:hAnsi="Arial" w:cs="Arial"/>
          <w:sz w:val="20"/>
        </w:rPr>
      </w:pPr>
      <w:r w:rsidRPr="00111D82">
        <w:rPr>
          <w:rFonts w:ascii="Arial" w:hAnsi="Arial" w:cs="Arial"/>
          <w:sz w:val="20"/>
          <w:u w:val="single"/>
        </w:rPr>
        <w:t>PROVISIONS OF SERVICE</w:t>
      </w:r>
      <w:r w:rsidRPr="00111D82">
        <w:rPr>
          <w:rFonts w:ascii="Arial" w:hAnsi="Arial" w:cs="Arial"/>
          <w:b/>
          <w:sz w:val="20"/>
        </w:rPr>
        <w:t xml:space="preserve">: </w:t>
      </w:r>
      <w:r w:rsidRPr="00111D82">
        <w:rPr>
          <w:rFonts w:ascii="Arial" w:hAnsi="Arial" w:cs="Arial"/>
          <w:sz w:val="20"/>
        </w:rPr>
        <w:t xml:space="preserve">(continued) </w:t>
      </w:r>
    </w:p>
    <w:p w:rsidR="000E2872" w:rsidRPr="00111D82" w:rsidRDefault="000E2872" w:rsidP="00ED2D31">
      <w:pPr>
        <w:pStyle w:val="BodyTextIndent"/>
        <w:numPr>
          <w:ilvl w:val="0"/>
          <w:numId w:val="23"/>
        </w:numPr>
        <w:spacing w:after="0"/>
        <w:ind w:hanging="720"/>
        <w:jc w:val="both"/>
        <w:rPr>
          <w:rFonts w:ascii="Arial" w:hAnsi="Arial" w:cs="Arial"/>
          <w:sz w:val="20"/>
        </w:rPr>
      </w:pPr>
      <w:r w:rsidRPr="00111D82">
        <w:rPr>
          <w:rFonts w:ascii="Arial" w:hAnsi="Arial" w:cs="Arial"/>
          <w:sz w:val="20"/>
        </w:rPr>
        <w:t xml:space="preserve">All changes will occur with a minimum of 45 days notice, be prominently displayed as a change, include a minimum 45 day grace period for processing prior offers (except for manufacturer buy-down incentive delivery) and be communicated at least once to retailers who have participated within the last year.  </w:t>
      </w:r>
    </w:p>
    <w:p w:rsidR="000E2872" w:rsidRPr="00111D82" w:rsidRDefault="000E2872" w:rsidP="000E2872">
      <w:pPr>
        <w:pStyle w:val="BodyTextIndent"/>
        <w:spacing w:after="0"/>
        <w:ind w:left="720"/>
        <w:jc w:val="both"/>
        <w:rPr>
          <w:rFonts w:ascii="Arial" w:hAnsi="Arial" w:cs="Arial"/>
          <w:sz w:val="20"/>
        </w:rPr>
      </w:pPr>
    </w:p>
    <w:p w:rsidR="000E2872" w:rsidRPr="00111D82" w:rsidRDefault="000E2872" w:rsidP="000E2872">
      <w:pPr>
        <w:pStyle w:val="BodyTextIndent"/>
        <w:spacing w:after="0"/>
        <w:ind w:left="720" w:hanging="720"/>
        <w:jc w:val="both"/>
        <w:rPr>
          <w:rFonts w:ascii="Arial" w:hAnsi="Arial" w:cs="Arial"/>
          <w:sz w:val="20"/>
        </w:rPr>
      </w:pPr>
      <w:r w:rsidRPr="00111D82">
        <w:rPr>
          <w:rFonts w:ascii="Arial" w:hAnsi="Arial" w:cs="Arial"/>
          <w:sz w:val="20"/>
        </w:rPr>
        <w:t>6.</w:t>
      </w:r>
      <w:r w:rsidRPr="00111D82">
        <w:rPr>
          <w:rFonts w:ascii="Arial" w:hAnsi="Arial" w:cs="Arial"/>
          <w:sz w:val="20"/>
        </w:rPr>
        <w:tab/>
        <w:t xml:space="preserve">Except for manufacturer buy-downs, incentives paid directly to participants will be in the form of a check issued within 45 days of Program Administrator’s receipt of a complete and approved incentive application.  </w:t>
      </w:r>
    </w:p>
    <w:p w:rsidR="000E2872" w:rsidRPr="00111D82" w:rsidRDefault="000E2872" w:rsidP="000E2872">
      <w:pPr>
        <w:pStyle w:val="BodyTextIndent"/>
        <w:spacing w:after="0"/>
        <w:ind w:left="720" w:hanging="720"/>
        <w:jc w:val="both"/>
        <w:rPr>
          <w:rFonts w:ascii="Arial" w:hAnsi="Arial" w:cs="Arial"/>
          <w:sz w:val="20"/>
        </w:rPr>
      </w:pPr>
    </w:p>
    <w:p w:rsidR="000E2872" w:rsidRPr="00111D82" w:rsidRDefault="000E2872" w:rsidP="000E2872">
      <w:pPr>
        <w:ind w:left="720" w:hanging="720"/>
        <w:jc w:val="both"/>
        <w:rPr>
          <w:rFonts w:ascii="Arial" w:hAnsi="Arial" w:cs="Arial"/>
          <w:sz w:val="20"/>
        </w:rPr>
      </w:pPr>
      <w:r w:rsidRPr="00111D82">
        <w:rPr>
          <w:rFonts w:ascii="Arial" w:hAnsi="Arial" w:cs="Arial"/>
          <w:sz w:val="20"/>
        </w:rPr>
        <w:t>7.</w:t>
      </w:r>
      <w:r w:rsidRPr="00111D82">
        <w:rPr>
          <w:rFonts w:ascii="Arial" w:hAnsi="Arial" w:cs="Arial"/>
          <w:sz w:val="20"/>
        </w:rPr>
        <w:tab/>
        <w:t>Equipment and services receiving an incentive under this program are not eligible for incentives under other Company programs.</w:t>
      </w:r>
    </w:p>
    <w:p w:rsidR="000E2872" w:rsidRPr="00111D82" w:rsidRDefault="000E2872" w:rsidP="000E2872">
      <w:pPr>
        <w:ind w:left="720" w:hanging="720"/>
        <w:jc w:val="both"/>
        <w:rPr>
          <w:rFonts w:ascii="Arial" w:hAnsi="Arial" w:cs="Arial"/>
          <w:sz w:val="20"/>
        </w:rPr>
      </w:pPr>
    </w:p>
    <w:p w:rsidR="000E2872" w:rsidRPr="00111D82" w:rsidRDefault="000E2872" w:rsidP="000E2872">
      <w:pPr>
        <w:ind w:left="720" w:hanging="720"/>
        <w:jc w:val="both"/>
        <w:rPr>
          <w:rFonts w:ascii="Arial" w:hAnsi="Arial" w:cs="Arial"/>
          <w:sz w:val="20"/>
        </w:rPr>
      </w:pPr>
      <w:r w:rsidRPr="00111D82">
        <w:rPr>
          <w:rFonts w:ascii="Arial" w:hAnsi="Arial" w:cs="Arial"/>
          <w:sz w:val="20"/>
        </w:rPr>
        <w:t>8.</w:t>
      </w:r>
      <w:r w:rsidRPr="00111D82">
        <w:rPr>
          <w:rFonts w:ascii="Arial" w:hAnsi="Arial" w:cs="Arial"/>
          <w:sz w:val="20"/>
        </w:rPr>
        <w:tab/>
        <w:t xml:space="preserve">Company and/or Program Administrator will employ a variety of quality assurance techniques during the delivery of the program. They may differ by equipment or service type and may include, but are not limited to, pre and post installation inspections, phone surveys, retailer invoice reconciliations and confirmation of customer and equipment eligibility.  </w:t>
      </w:r>
    </w:p>
    <w:p w:rsidR="000E2872" w:rsidRPr="00111D82" w:rsidRDefault="000E2872" w:rsidP="000E2872">
      <w:pPr>
        <w:ind w:left="720" w:hanging="720"/>
        <w:jc w:val="both"/>
        <w:rPr>
          <w:rFonts w:ascii="Arial" w:hAnsi="Arial" w:cs="Arial"/>
          <w:sz w:val="20"/>
        </w:rPr>
      </w:pPr>
    </w:p>
    <w:p w:rsidR="000E2872" w:rsidRPr="00111D82" w:rsidRDefault="000E2872" w:rsidP="000E2872">
      <w:pPr>
        <w:ind w:left="720" w:hanging="720"/>
        <w:jc w:val="both"/>
        <w:rPr>
          <w:rFonts w:ascii="Arial" w:hAnsi="Arial" w:cs="Arial"/>
          <w:sz w:val="20"/>
        </w:rPr>
      </w:pPr>
      <w:r w:rsidRPr="00111D82">
        <w:rPr>
          <w:rFonts w:ascii="Arial" w:hAnsi="Arial" w:cs="Arial"/>
          <w:sz w:val="20"/>
        </w:rPr>
        <w:t>9.</w:t>
      </w:r>
      <w:r w:rsidRPr="00111D82">
        <w:rPr>
          <w:rFonts w:ascii="Arial" w:hAnsi="Arial" w:cs="Arial"/>
          <w:sz w:val="20"/>
        </w:rPr>
        <w:tab/>
        <w:t xml:space="preserve">Company may verify or evaluate the energy savings of installed equipment or services. Verification or evaluation may include, but are not limited to, telephone survey, site visit, billing analysis, pre- and post-installation of monitoring equipment as necessary to quantify actual energy savings. </w:t>
      </w:r>
    </w:p>
    <w:p w:rsidR="000E2872" w:rsidRPr="00111D82" w:rsidRDefault="000E2872" w:rsidP="000E2872">
      <w:pPr>
        <w:pStyle w:val="BodyTextIndent"/>
        <w:spacing w:after="0"/>
        <w:ind w:left="720"/>
        <w:rPr>
          <w:rFonts w:ascii="Arial" w:hAnsi="Arial" w:cs="Arial"/>
          <w:sz w:val="20"/>
          <w:u w:val="single"/>
        </w:rPr>
      </w:pPr>
      <w:r w:rsidRPr="00111D82">
        <w:rPr>
          <w:rFonts w:ascii="Arial" w:hAnsi="Arial" w:cs="Arial"/>
          <w:sz w:val="20"/>
        </w:rPr>
        <w:t xml:space="preserve">  </w:t>
      </w:r>
    </w:p>
    <w:p w:rsidR="000E2872" w:rsidRPr="00111D82" w:rsidRDefault="000E2872" w:rsidP="000E2872">
      <w:pPr>
        <w:pStyle w:val="BodyTextIndent"/>
        <w:spacing w:after="0"/>
        <w:ind w:left="0"/>
        <w:rPr>
          <w:rFonts w:ascii="Arial" w:hAnsi="Arial" w:cs="Arial"/>
          <w:sz w:val="20"/>
          <w:u w:val="single"/>
        </w:rPr>
      </w:pPr>
      <w:r w:rsidRPr="00111D82">
        <w:rPr>
          <w:rFonts w:ascii="Arial" w:hAnsi="Arial" w:cs="Arial"/>
          <w:sz w:val="20"/>
          <w:u w:val="single"/>
        </w:rPr>
        <w:t>ELECTRIC SERVICE REGULATIONS:</w:t>
      </w:r>
    </w:p>
    <w:p w:rsidR="000E2872" w:rsidRPr="00111D82" w:rsidRDefault="000E2872" w:rsidP="000E2872">
      <w:pPr>
        <w:pStyle w:val="BodyTextIndent"/>
        <w:spacing w:after="0"/>
        <w:ind w:left="0"/>
        <w:rPr>
          <w:rFonts w:ascii="Arial" w:hAnsi="Arial" w:cs="Arial"/>
          <w:sz w:val="20"/>
        </w:rPr>
      </w:pPr>
      <w:r w:rsidRPr="00111D82">
        <w:rPr>
          <w:rFonts w:ascii="Arial" w:hAnsi="Arial" w:cs="Arial"/>
          <w:sz w:val="20"/>
        </w:rPr>
        <w:tab/>
        <w:t>Service under this schedule will be in accordance with the terms of the electric service Agreement between the Customer and the Company.  The Electric Service Regulations of the Company on file with and approved by the Washington Utilities and Transportation Commission, including future applicable amendments, will be considered as forming a part of and incorporated in said Agreement.</w:t>
      </w:r>
    </w:p>
    <w:p w:rsidR="000E2872" w:rsidRPr="00111D82" w:rsidRDefault="000E2872" w:rsidP="000E2872">
      <w:pPr>
        <w:pStyle w:val="BodyTextIndent"/>
        <w:ind w:left="0"/>
        <w:rPr>
          <w:rFonts w:cs="Courier New"/>
        </w:rPr>
      </w:pPr>
    </w:p>
    <w:p w:rsidR="0069608B" w:rsidRDefault="0069608B">
      <w:pPr>
        <w:pStyle w:val="BodyTextIndent"/>
        <w:spacing w:after="0"/>
        <w:ind w:left="0"/>
        <w:jc w:val="both"/>
        <w:rPr>
          <w:rFonts w:ascii="Arial" w:hAnsi="Arial" w:cs="Arial"/>
          <w:sz w:val="20"/>
        </w:rPr>
      </w:pPr>
    </w:p>
    <w:p w:rsidR="0069608B" w:rsidRDefault="0069608B">
      <w:pPr>
        <w:pStyle w:val="BodyTextIndent"/>
        <w:spacing w:after="0"/>
        <w:ind w:left="0"/>
        <w:jc w:val="both"/>
        <w:rPr>
          <w:rFonts w:ascii="Arial" w:hAnsi="Arial" w:cs="Arial"/>
          <w:sz w:val="20"/>
        </w:rPr>
      </w:pPr>
    </w:p>
    <w:p w:rsidR="0069608B" w:rsidRDefault="0069608B">
      <w:pPr>
        <w:pStyle w:val="BodyTextIndent"/>
        <w:spacing w:after="0"/>
        <w:ind w:left="0"/>
        <w:jc w:val="both"/>
        <w:rPr>
          <w:rFonts w:ascii="Arial" w:hAnsi="Arial" w:cs="Arial"/>
          <w:sz w:val="20"/>
        </w:rPr>
      </w:pPr>
    </w:p>
    <w:p w:rsidR="0069608B" w:rsidRDefault="0069608B">
      <w:pPr>
        <w:pStyle w:val="BodyTextIndent"/>
        <w:spacing w:after="0"/>
        <w:ind w:left="0"/>
        <w:jc w:val="both"/>
        <w:rPr>
          <w:rFonts w:ascii="Arial" w:hAnsi="Arial" w:cs="Arial"/>
          <w:sz w:val="20"/>
        </w:rPr>
      </w:pPr>
    </w:p>
    <w:p w:rsidR="0069608B" w:rsidRDefault="0069608B">
      <w:pPr>
        <w:pStyle w:val="BodyTextIndent"/>
        <w:spacing w:after="0"/>
        <w:ind w:left="0"/>
        <w:jc w:val="both"/>
        <w:rPr>
          <w:rFonts w:ascii="Arial" w:hAnsi="Arial" w:cs="Arial"/>
          <w:sz w:val="20"/>
        </w:rPr>
      </w:pPr>
    </w:p>
    <w:p w:rsidR="0069608B" w:rsidRDefault="0069608B">
      <w:pPr>
        <w:pStyle w:val="BodyTextIndent"/>
        <w:spacing w:after="0"/>
        <w:ind w:left="0"/>
        <w:jc w:val="both"/>
        <w:rPr>
          <w:rFonts w:ascii="Arial" w:hAnsi="Arial" w:cs="Arial"/>
          <w:sz w:val="20"/>
        </w:rPr>
      </w:pPr>
    </w:p>
    <w:p w:rsidR="0069608B" w:rsidRDefault="0069608B">
      <w:pPr>
        <w:pStyle w:val="BodyTextIndent"/>
        <w:pBdr>
          <w:bottom w:val="single" w:sz="12" w:space="1" w:color="auto"/>
        </w:pBdr>
        <w:spacing w:after="0"/>
        <w:ind w:left="0"/>
        <w:jc w:val="both"/>
        <w:rPr>
          <w:rFonts w:ascii="Arial" w:hAnsi="Arial" w:cs="Arial"/>
          <w:sz w:val="20"/>
        </w:rPr>
      </w:pPr>
    </w:p>
    <w:p w:rsidR="0069608B" w:rsidRDefault="0069608B">
      <w:pPr>
        <w:pStyle w:val="BodyTextIndent"/>
        <w:spacing w:after="0"/>
        <w:ind w:left="0"/>
        <w:jc w:val="both"/>
        <w:rPr>
          <w:rFonts w:ascii="Arial" w:hAnsi="Arial" w:cs="Arial"/>
          <w:sz w:val="20"/>
        </w:rPr>
      </w:pPr>
    </w:p>
    <w:p w:rsidR="00AA1C36" w:rsidRDefault="00AA1C36" w:rsidP="00AA1C3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1C36" w:rsidRDefault="00AA1C36" w:rsidP="00AA1C3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1C36" w:rsidRDefault="00AA1C36" w:rsidP="00AA1C3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1C36" w:rsidRDefault="0069608B" w:rsidP="00AA1C3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1267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5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0857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1C36" w:rsidRPr="004043D5" w:rsidRDefault="0069608B" w:rsidP="00AA1C36">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1574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52"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1472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5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1369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5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1164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1062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0960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0755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AA1C36">
        <w:rPr>
          <w:rFonts w:ascii="Arial" w:hAnsi="Arial" w:cs="Arial"/>
          <w:sz w:val="20"/>
        </w:rPr>
        <w:t>By:  _________________________ Andrea L. Kelly</w:t>
      </w:r>
      <w:r w:rsidR="00AA1C36">
        <w:rPr>
          <w:rFonts w:ascii="Arial" w:hAnsi="Arial" w:cs="Arial"/>
          <w:sz w:val="20"/>
        </w:rPr>
        <w:tab/>
      </w:r>
      <w:r w:rsidR="00AA1C36">
        <w:rPr>
          <w:rFonts w:ascii="Arial" w:hAnsi="Arial" w:cs="Arial"/>
          <w:b/>
          <w:sz w:val="20"/>
        </w:rPr>
        <w:t>Title:</w:t>
      </w:r>
      <w:r w:rsidR="00AA1C36">
        <w:rPr>
          <w:rFonts w:ascii="Arial" w:hAnsi="Arial" w:cs="Arial"/>
          <w:sz w:val="20"/>
        </w:rPr>
        <w:t xml:space="preserve">  Vice President, Regulation</w:t>
      </w:r>
    </w:p>
    <w:p w:rsidR="00FC7F1C" w:rsidRPr="00111D82" w:rsidRDefault="00AA1C36" w:rsidP="00AA1C36">
      <w:pPr>
        <w:rPr>
          <w:rFonts w:ascii="Times New Roman" w:eastAsia="Times New Roman" w:hAnsi="Times New Roman"/>
          <w:u w:val="single"/>
        </w:rPr>
        <w:sectPr w:rsidR="00FC7F1C" w:rsidRPr="00111D82" w:rsidSect="001B376C">
          <w:headerReference w:type="default" r:id="rId27"/>
          <w:footerReference w:type="default" r:id="rId28"/>
          <w:pgSz w:w="12240" w:h="15840" w:code="1"/>
          <w:pgMar w:top="1440" w:right="1080" w:bottom="1440" w:left="1440" w:header="720" w:footer="720" w:gutter="0"/>
          <w:cols w:space="720"/>
          <w:docGrid w:linePitch="360"/>
        </w:sectPr>
      </w:pPr>
      <w:r>
        <w:rPr>
          <w:rFonts w:ascii="Arial" w:hAnsi="Arial" w:cs="Arial"/>
          <w:sz w:val="20"/>
        </w:rPr>
        <w:tab/>
      </w:r>
      <w:r>
        <w:rPr>
          <w:rFonts w:ascii="Arial" w:hAnsi="Arial" w:cs="Arial"/>
          <w:sz w:val="20"/>
        </w:rPr>
        <w:tab/>
      </w:r>
    </w:p>
    <w:p w:rsidR="00473BDB" w:rsidRPr="00BF522A" w:rsidRDefault="00473BDB" w:rsidP="00EF3BC0">
      <w:pPr>
        <w:pStyle w:val="Heading2"/>
        <w:spacing w:before="100" w:beforeAutospacing="1" w:after="100" w:afterAutospacing="1"/>
        <w:jc w:val="both"/>
        <w:rPr>
          <w:szCs w:val="24"/>
        </w:rPr>
      </w:pPr>
      <w:bookmarkStart w:id="14" w:name="_Toc326296730"/>
      <w:r w:rsidRPr="00BF522A">
        <w:rPr>
          <w:szCs w:val="24"/>
        </w:rPr>
        <w:t>Home Energy Reports</w:t>
      </w:r>
      <w:bookmarkEnd w:id="14"/>
    </w:p>
    <w:p w:rsidR="00473BDB" w:rsidRPr="00BF522A" w:rsidRDefault="00473BDB" w:rsidP="00EF3BC0">
      <w:pPr>
        <w:spacing w:before="100" w:beforeAutospacing="1"/>
        <w:jc w:val="both"/>
        <w:rPr>
          <w:rFonts w:ascii="Times New Roman" w:hAnsi="Times New Roman"/>
          <w:bCs/>
          <w:sz w:val="24"/>
          <w:szCs w:val="24"/>
          <w:u w:val="single"/>
        </w:rPr>
      </w:pPr>
      <w:r w:rsidRPr="00BF522A">
        <w:rPr>
          <w:rFonts w:ascii="Times New Roman" w:hAnsi="Times New Roman"/>
          <w:bCs/>
          <w:sz w:val="24"/>
          <w:szCs w:val="24"/>
          <w:u w:val="single"/>
        </w:rPr>
        <w:t>Years of Implementation</w:t>
      </w:r>
    </w:p>
    <w:p w:rsidR="00473BDB" w:rsidRPr="00BF522A" w:rsidRDefault="00AA5552" w:rsidP="00EF3BC0">
      <w:pPr>
        <w:spacing w:after="100" w:afterAutospacing="1"/>
        <w:jc w:val="both"/>
        <w:rPr>
          <w:rFonts w:ascii="Times New Roman" w:hAnsi="Times New Roman"/>
          <w:bCs/>
          <w:sz w:val="24"/>
          <w:szCs w:val="24"/>
        </w:rPr>
      </w:pPr>
      <w:r w:rsidRPr="00AA5552">
        <w:rPr>
          <w:rFonts w:ascii="Times New Roman" w:hAnsi="Times New Roman"/>
          <w:sz w:val="24"/>
          <w:szCs w:val="24"/>
        </w:rPr>
        <w:t>First introduced to the demand side advisory group in March 2012, the H</w:t>
      </w:r>
      <w:r w:rsidR="00D91357">
        <w:rPr>
          <w:rFonts w:ascii="Times New Roman" w:hAnsi="Times New Roman"/>
          <w:sz w:val="24"/>
          <w:szCs w:val="24"/>
        </w:rPr>
        <w:t xml:space="preserve">ome </w:t>
      </w:r>
      <w:r w:rsidRPr="00AA5552">
        <w:rPr>
          <w:rFonts w:ascii="Times New Roman" w:hAnsi="Times New Roman"/>
          <w:sz w:val="24"/>
          <w:szCs w:val="24"/>
        </w:rPr>
        <w:t>E</w:t>
      </w:r>
      <w:r w:rsidR="00D91357">
        <w:rPr>
          <w:rFonts w:ascii="Times New Roman" w:hAnsi="Times New Roman"/>
          <w:sz w:val="24"/>
          <w:szCs w:val="24"/>
        </w:rPr>
        <w:t xml:space="preserve">nergy </w:t>
      </w:r>
      <w:r w:rsidRPr="00AA5552">
        <w:rPr>
          <w:rFonts w:ascii="Times New Roman" w:hAnsi="Times New Roman"/>
          <w:sz w:val="24"/>
          <w:szCs w:val="24"/>
        </w:rPr>
        <w:t>R</w:t>
      </w:r>
      <w:r w:rsidR="00D91357">
        <w:rPr>
          <w:rFonts w:ascii="Times New Roman" w:hAnsi="Times New Roman"/>
          <w:sz w:val="24"/>
          <w:szCs w:val="24"/>
        </w:rPr>
        <w:t>eports</w:t>
      </w:r>
      <w:r w:rsidRPr="00AA5552">
        <w:rPr>
          <w:rFonts w:ascii="Times New Roman" w:hAnsi="Times New Roman"/>
          <w:sz w:val="24"/>
          <w:szCs w:val="24"/>
        </w:rPr>
        <w:t xml:space="preserve"> pilot is an addition to this business plan update. </w:t>
      </w:r>
      <w:r w:rsidR="00D91357">
        <w:rPr>
          <w:rFonts w:ascii="Times New Roman" w:hAnsi="Times New Roman"/>
          <w:sz w:val="24"/>
          <w:szCs w:val="24"/>
        </w:rPr>
        <w:t>The program is</w:t>
      </w:r>
      <w:r w:rsidRPr="00AA5552">
        <w:rPr>
          <w:rFonts w:ascii="Times New Roman" w:hAnsi="Times New Roman"/>
          <w:sz w:val="24"/>
          <w:szCs w:val="24"/>
        </w:rPr>
        <w:t xml:space="preserve"> scheduled to begin in Augu</w:t>
      </w:r>
      <w:r w:rsidR="00D91357">
        <w:rPr>
          <w:rFonts w:ascii="Times New Roman" w:hAnsi="Times New Roman"/>
          <w:sz w:val="24"/>
          <w:szCs w:val="24"/>
        </w:rPr>
        <w:t>st</w:t>
      </w:r>
      <w:r>
        <w:rPr>
          <w:rFonts w:ascii="Times New Roman" w:hAnsi="Times New Roman"/>
          <w:sz w:val="24"/>
          <w:szCs w:val="24"/>
        </w:rPr>
        <w:t xml:space="preserve"> 2012</w:t>
      </w:r>
      <w:r w:rsidR="00692D4F" w:rsidRPr="00BF522A">
        <w:rPr>
          <w:rFonts w:ascii="Times New Roman" w:hAnsi="Times New Roman"/>
          <w:sz w:val="24"/>
          <w:szCs w:val="24"/>
        </w:rPr>
        <w:t>.</w:t>
      </w:r>
    </w:p>
    <w:p w:rsidR="00473BDB" w:rsidRPr="00BF522A" w:rsidRDefault="00473BDB" w:rsidP="00EF3BC0">
      <w:pPr>
        <w:spacing w:before="100" w:beforeAutospacing="1"/>
        <w:jc w:val="both"/>
        <w:rPr>
          <w:rFonts w:ascii="Times New Roman" w:hAnsi="Times New Roman"/>
          <w:bCs/>
          <w:sz w:val="24"/>
          <w:szCs w:val="24"/>
          <w:u w:val="single"/>
        </w:rPr>
      </w:pPr>
      <w:r w:rsidRPr="00BF522A">
        <w:rPr>
          <w:rFonts w:ascii="Times New Roman" w:hAnsi="Times New Roman"/>
          <w:bCs/>
          <w:sz w:val="24"/>
          <w:szCs w:val="24"/>
          <w:u w:val="single"/>
        </w:rPr>
        <w:t>P</w:t>
      </w:r>
      <w:r w:rsidR="00A54577" w:rsidRPr="00BF522A">
        <w:rPr>
          <w:rFonts w:ascii="Times New Roman" w:hAnsi="Times New Roman"/>
          <w:bCs/>
          <w:sz w:val="24"/>
          <w:szCs w:val="24"/>
          <w:u w:val="single"/>
        </w:rPr>
        <w:t>ilot</w:t>
      </w:r>
      <w:r w:rsidRPr="00BF522A">
        <w:rPr>
          <w:rFonts w:ascii="Times New Roman" w:hAnsi="Times New Roman"/>
          <w:bCs/>
          <w:sz w:val="24"/>
          <w:szCs w:val="24"/>
          <w:u w:val="single"/>
        </w:rPr>
        <w:t xml:space="preserve"> Description</w:t>
      </w:r>
    </w:p>
    <w:p w:rsidR="00473BDB" w:rsidRPr="00BF522A" w:rsidRDefault="00FB780D" w:rsidP="00EF3BC0">
      <w:pPr>
        <w:spacing w:after="100" w:afterAutospacing="1"/>
        <w:jc w:val="both"/>
        <w:rPr>
          <w:rFonts w:ascii="Times New Roman" w:hAnsi="Times New Roman"/>
          <w:sz w:val="24"/>
          <w:szCs w:val="24"/>
        </w:rPr>
      </w:pPr>
      <w:r w:rsidRPr="00BF522A">
        <w:rPr>
          <w:rFonts w:ascii="Times New Roman" w:hAnsi="Times New Roman"/>
          <w:sz w:val="24"/>
          <w:szCs w:val="24"/>
        </w:rPr>
        <w:t>Home Energy Reports are designed to better inform residential customers about their energy usage by providing comparative energy usage data for similar homes located in the same geographical area. In addition, the report provides the customer with information on how to modify their energy usage. Equipped with this information, customers can modify behavior and/or make structural, equipment, lighting or appliance changes to reduce their overall electric energy consumption.</w:t>
      </w:r>
    </w:p>
    <w:p w:rsidR="00473BDB" w:rsidRPr="00BF522A" w:rsidRDefault="00473BDB" w:rsidP="00EF3BC0">
      <w:pPr>
        <w:spacing w:before="100" w:beforeAutospacing="1" w:after="100" w:afterAutospacing="1"/>
        <w:jc w:val="both"/>
        <w:rPr>
          <w:rFonts w:ascii="Times New Roman" w:hAnsi="Times New Roman"/>
          <w:b/>
          <w:sz w:val="24"/>
          <w:szCs w:val="24"/>
          <w:u w:val="single"/>
        </w:rPr>
      </w:pPr>
      <w:r w:rsidRPr="00BF522A">
        <w:rPr>
          <w:rFonts w:ascii="Times New Roman" w:hAnsi="Times New Roman"/>
          <w:sz w:val="24"/>
          <w:szCs w:val="24"/>
          <w:u w:val="single"/>
        </w:rPr>
        <w:t>Evaluation Update</w:t>
      </w:r>
    </w:p>
    <w:p w:rsidR="00473BDB" w:rsidRPr="00BF522A" w:rsidRDefault="00473BDB" w:rsidP="00473BDB">
      <w:pPr>
        <w:rPr>
          <w:rFonts w:ascii="Times New Roman" w:hAnsi="Times New Roman"/>
          <w:b/>
          <w:i/>
          <w:sz w:val="20"/>
          <w:szCs w:val="24"/>
        </w:rPr>
      </w:pPr>
      <w:r w:rsidRPr="00BF522A">
        <w:rPr>
          <w:rFonts w:ascii="Times New Roman" w:hAnsi="Times New Roman"/>
          <w:b/>
          <w:i/>
          <w:sz w:val="20"/>
          <w:szCs w:val="24"/>
        </w:rPr>
        <w:t>Future Evaluation Report(s):</w:t>
      </w:r>
    </w:p>
    <w:tbl>
      <w:tblPr>
        <w:tblW w:w="0" w:type="auto"/>
        <w:tblLook w:val="04A0"/>
      </w:tblPr>
      <w:tblGrid>
        <w:gridCol w:w="3348"/>
        <w:gridCol w:w="2726"/>
        <w:gridCol w:w="2782"/>
      </w:tblGrid>
      <w:tr w:rsidR="00473BDB" w:rsidRPr="00BF522A" w:rsidTr="00692D4F">
        <w:tc>
          <w:tcPr>
            <w:tcW w:w="3348" w:type="dxa"/>
          </w:tcPr>
          <w:p w:rsidR="00473BDB" w:rsidRPr="00BF522A" w:rsidRDefault="00473BDB" w:rsidP="00692D4F">
            <w:pPr>
              <w:jc w:val="center"/>
              <w:rPr>
                <w:rFonts w:ascii="Times New Roman" w:hAnsi="Times New Roman"/>
                <w:b/>
                <w:sz w:val="20"/>
                <w:szCs w:val="24"/>
              </w:rPr>
            </w:pPr>
            <w:r w:rsidRPr="00BF522A">
              <w:rPr>
                <w:rFonts w:ascii="Times New Roman" w:hAnsi="Times New Roman"/>
                <w:b/>
                <w:sz w:val="20"/>
                <w:szCs w:val="24"/>
              </w:rPr>
              <w:t>Program Years</w:t>
            </w:r>
          </w:p>
        </w:tc>
        <w:tc>
          <w:tcPr>
            <w:tcW w:w="2726" w:type="dxa"/>
          </w:tcPr>
          <w:p w:rsidR="00473BDB" w:rsidRPr="00BF522A" w:rsidRDefault="00473BDB" w:rsidP="00692D4F">
            <w:pPr>
              <w:jc w:val="center"/>
              <w:rPr>
                <w:rFonts w:ascii="Times New Roman" w:hAnsi="Times New Roman"/>
                <w:b/>
                <w:sz w:val="20"/>
                <w:szCs w:val="24"/>
              </w:rPr>
            </w:pPr>
            <w:r w:rsidRPr="00BF522A">
              <w:rPr>
                <w:rFonts w:ascii="Times New Roman" w:hAnsi="Times New Roman"/>
                <w:b/>
                <w:sz w:val="20"/>
                <w:szCs w:val="24"/>
              </w:rPr>
              <w:t>Evaluation Report Date</w:t>
            </w:r>
          </w:p>
        </w:tc>
        <w:tc>
          <w:tcPr>
            <w:tcW w:w="2782" w:type="dxa"/>
          </w:tcPr>
          <w:p w:rsidR="00473BDB" w:rsidRPr="00BF522A" w:rsidRDefault="00473BDB" w:rsidP="00692D4F">
            <w:pPr>
              <w:jc w:val="center"/>
              <w:rPr>
                <w:rFonts w:ascii="Times New Roman" w:hAnsi="Times New Roman"/>
                <w:b/>
                <w:sz w:val="20"/>
                <w:szCs w:val="24"/>
              </w:rPr>
            </w:pPr>
            <w:r w:rsidRPr="00BF522A">
              <w:rPr>
                <w:rFonts w:ascii="Times New Roman" w:hAnsi="Times New Roman"/>
                <w:b/>
                <w:sz w:val="20"/>
                <w:szCs w:val="24"/>
              </w:rPr>
              <w:t>To be Completed by</w:t>
            </w:r>
          </w:p>
        </w:tc>
      </w:tr>
      <w:tr w:rsidR="00473BDB" w:rsidRPr="00BF522A" w:rsidTr="00692D4F">
        <w:tc>
          <w:tcPr>
            <w:tcW w:w="3348" w:type="dxa"/>
          </w:tcPr>
          <w:p w:rsidR="00473BDB" w:rsidRPr="00BF522A" w:rsidRDefault="00473BDB" w:rsidP="00692D4F">
            <w:pPr>
              <w:jc w:val="center"/>
              <w:rPr>
                <w:rFonts w:ascii="Times New Roman" w:hAnsi="Times New Roman"/>
                <w:sz w:val="20"/>
                <w:szCs w:val="24"/>
              </w:rPr>
            </w:pPr>
            <w:r w:rsidRPr="00BF522A">
              <w:rPr>
                <w:rFonts w:ascii="Times New Roman" w:hAnsi="Times New Roman"/>
                <w:sz w:val="20"/>
                <w:szCs w:val="24"/>
              </w:rPr>
              <w:t>20</w:t>
            </w:r>
            <w:r w:rsidR="00A54577" w:rsidRPr="00BF522A">
              <w:rPr>
                <w:rFonts w:ascii="Times New Roman" w:hAnsi="Times New Roman"/>
                <w:sz w:val="20"/>
                <w:szCs w:val="24"/>
              </w:rPr>
              <w:t>12</w:t>
            </w:r>
            <w:r w:rsidRPr="00BF522A">
              <w:rPr>
                <w:rFonts w:ascii="Times New Roman" w:hAnsi="Times New Roman"/>
                <w:sz w:val="20"/>
                <w:szCs w:val="24"/>
              </w:rPr>
              <w:t>-201</w:t>
            </w:r>
            <w:r w:rsidR="00A54577" w:rsidRPr="00BF522A">
              <w:rPr>
                <w:rFonts w:ascii="Times New Roman" w:hAnsi="Times New Roman"/>
                <w:sz w:val="20"/>
                <w:szCs w:val="24"/>
              </w:rPr>
              <w:t>3</w:t>
            </w:r>
          </w:p>
        </w:tc>
        <w:tc>
          <w:tcPr>
            <w:tcW w:w="2726" w:type="dxa"/>
          </w:tcPr>
          <w:p w:rsidR="00473BDB" w:rsidRPr="00BF522A" w:rsidRDefault="00BF522A" w:rsidP="00156F15">
            <w:pPr>
              <w:jc w:val="center"/>
              <w:rPr>
                <w:rFonts w:ascii="Times New Roman" w:hAnsi="Times New Roman"/>
                <w:sz w:val="20"/>
                <w:szCs w:val="24"/>
              </w:rPr>
            </w:pPr>
            <w:r>
              <w:rPr>
                <w:rFonts w:ascii="Times New Roman" w:hAnsi="Times New Roman"/>
                <w:sz w:val="20"/>
                <w:szCs w:val="24"/>
              </w:rPr>
              <w:t>Mid</w:t>
            </w:r>
            <w:r w:rsidR="00156F15">
              <w:rPr>
                <w:rFonts w:ascii="Times New Roman" w:hAnsi="Times New Roman"/>
                <w:sz w:val="20"/>
                <w:szCs w:val="24"/>
              </w:rPr>
              <w:t>-</w:t>
            </w:r>
            <w:r>
              <w:rPr>
                <w:rFonts w:ascii="Times New Roman" w:hAnsi="Times New Roman"/>
                <w:sz w:val="20"/>
                <w:szCs w:val="24"/>
              </w:rPr>
              <w:t>2014</w:t>
            </w:r>
          </w:p>
        </w:tc>
        <w:tc>
          <w:tcPr>
            <w:tcW w:w="2782" w:type="dxa"/>
          </w:tcPr>
          <w:p w:rsidR="00473BDB" w:rsidRPr="00BF522A" w:rsidRDefault="00120218" w:rsidP="00BF522A">
            <w:pPr>
              <w:jc w:val="center"/>
              <w:rPr>
                <w:rFonts w:ascii="Times New Roman" w:hAnsi="Times New Roman"/>
                <w:sz w:val="20"/>
                <w:szCs w:val="24"/>
              </w:rPr>
            </w:pPr>
            <w:r w:rsidRPr="00BF522A">
              <w:rPr>
                <w:rFonts w:ascii="Times New Roman" w:hAnsi="Times New Roman"/>
                <w:sz w:val="20"/>
                <w:szCs w:val="24"/>
              </w:rPr>
              <w:t>To be De</w:t>
            </w:r>
            <w:r w:rsidR="00BF522A">
              <w:rPr>
                <w:rFonts w:ascii="Times New Roman" w:hAnsi="Times New Roman"/>
                <w:sz w:val="20"/>
                <w:szCs w:val="24"/>
              </w:rPr>
              <w:t>termin</w:t>
            </w:r>
            <w:r w:rsidRPr="00BF522A">
              <w:rPr>
                <w:rFonts w:ascii="Times New Roman" w:hAnsi="Times New Roman"/>
                <w:sz w:val="20"/>
                <w:szCs w:val="24"/>
              </w:rPr>
              <w:t>ed</w:t>
            </w:r>
          </w:p>
        </w:tc>
      </w:tr>
      <w:tr w:rsidR="00473BDB" w:rsidRPr="00BF522A" w:rsidTr="00692D4F">
        <w:tc>
          <w:tcPr>
            <w:tcW w:w="3348" w:type="dxa"/>
          </w:tcPr>
          <w:p w:rsidR="00473BDB" w:rsidRPr="00BF522A" w:rsidRDefault="00473BDB" w:rsidP="00692D4F">
            <w:pPr>
              <w:jc w:val="center"/>
              <w:rPr>
                <w:rFonts w:ascii="Times New Roman" w:hAnsi="Times New Roman"/>
                <w:sz w:val="20"/>
                <w:szCs w:val="24"/>
              </w:rPr>
            </w:pPr>
            <w:r w:rsidRPr="00BF522A">
              <w:rPr>
                <w:rFonts w:ascii="Times New Roman" w:hAnsi="Times New Roman"/>
                <w:sz w:val="20"/>
                <w:szCs w:val="24"/>
              </w:rPr>
              <w:t>201</w:t>
            </w:r>
            <w:r w:rsidR="00A54577" w:rsidRPr="00BF522A">
              <w:rPr>
                <w:rFonts w:ascii="Times New Roman" w:hAnsi="Times New Roman"/>
                <w:sz w:val="20"/>
                <w:szCs w:val="24"/>
              </w:rPr>
              <w:t>4</w:t>
            </w:r>
            <w:r w:rsidRPr="00BF522A">
              <w:rPr>
                <w:rFonts w:ascii="Times New Roman" w:hAnsi="Times New Roman"/>
                <w:sz w:val="20"/>
                <w:szCs w:val="24"/>
              </w:rPr>
              <w:t>-201</w:t>
            </w:r>
            <w:r w:rsidR="00A54577" w:rsidRPr="00BF522A">
              <w:rPr>
                <w:rFonts w:ascii="Times New Roman" w:hAnsi="Times New Roman"/>
                <w:sz w:val="20"/>
                <w:szCs w:val="24"/>
              </w:rPr>
              <w:t>5</w:t>
            </w:r>
          </w:p>
        </w:tc>
        <w:tc>
          <w:tcPr>
            <w:tcW w:w="2726" w:type="dxa"/>
          </w:tcPr>
          <w:p w:rsidR="00473BDB" w:rsidRPr="00BF522A" w:rsidRDefault="00BF522A" w:rsidP="00BF522A">
            <w:pPr>
              <w:jc w:val="center"/>
              <w:rPr>
                <w:rFonts w:ascii="Times New Roman" w:hAnsi="Times New Roman"/>
                <w:sz w:val="20"/>
                <w:szCs w:val="24"/>
              </w:rPr>
            </w:pPr>
            <w:r>
              <w:rPr>
                <w:rFonts w:ascii="Times New Roman" w:hAnsi="Times New Roman"/>
                <w:sz w:val="20"/>
                <w:szCs w:val="24"/>
              </w:rPr>
              <w:t>Mid-</w:t>
            </w:r>
            <w:r w:rsidR="00FA4565" w:rsidRPr="00BF522A">
              <w:rPr>
                <w:rFonts w:ascii="Times New Roman" w:hAnsi="Times New Roman"/>
                <w:sz w:val="20"/>
                <w:szCs w:val="24"/>
              </w:rPr>
              <w:t>2016</w:t>
            </w:r>
          </w:p>
        </w:tc>
        <w:tc>
          <w:tcPr>
            <w:tcW w:w="2782" w:type="dxa"/>
          </w:tcPr>
          <w:p w:rsidR="00473BDB" w:rsidRPr="00BF522A" w:rsidRDefault="00120218" w:rsidP="00692D4F">
            <w:pPr>
              <w:jc w:val="center"/>
              <w:rPr>
                <w:rFonts w:ascii="Times New Roman" w:hAnsi="Times New Roman"/>
                <w:sz w:val="20"/>
                <w:szCs w:val="24"/>
              </w:rPr>
            </w:pPr>
            <w:r w:rsidRPr="00BF522A">
              <w:rPr>
                <w:rFonts w:ascii="Times New Roman" w:hAnsi="Times New Roman"/>
                <w:sz w:val="20"/>
                <w:szCs w:val="24"/>
              </w:rPr>
              <w:t>To be De</w:t>
            </w:r>
            <w:r w:rsidR="00BF522A">
              <w:rPr>
                <w:rFonts w:ascii="Times New Roman" w:hAnsi="Times New Roman"/>
                <w:sz w:val="20"/>
                <w:szCs w:val="24"/>
              </w:rPr>
              <w:t>termin</w:t>
            </w:r>
            <w:r w:rsidRPr="00BF522A">
              <w:rPr>
                <w:rFonts w:ascii="Times New Roman" w:hAnsi="Times New Roman"/>
                <w:sz w:val="20"/>
                <w:szCs w:val="24"/>
              </w:rPr>
              <w:t>ed</w:t>
            </w:r>
          </w:p>
        </w:tc>
      </w:tr>
    </w:tbl>
    <w:p w:rsidR="00473BDB" w:rsidRPr="00BF522A" w:rsidRDefault="00A54577" w:rsidP="00EF3BC0">
      <w:pPr>
        <w:spacing w:before="100" w:beforeAutospacing="1" w:after="100" w:afterAutospacing="1"/>
        <w:jc w:val="both"/>
        <w:rPr>
          <w:rFonts w:ascii="Times New Roman" w:hAnsi="Times New Roman"/>
          <w:sz w:val="24"/>
          <w:szCs w:val="24"/>
          <w:u w:val="single"/>
        </w:rPr>
      </w:pPr>
      <w:r w:rsidRPr="00BF522A">
        <w:rPr>
          <w:rFonts w:ascii="Times New Roman" w:hAnsi="Times New Roman"/>
          <w:sz w:val="24"/>
          <w:szCs w:val="24"/>
          <w:u w:val="single"/>
        </w:rPr>
        <w:t xml:space="preserve">Pilot </w:t>
      </w:r>
      <w:r w:rsidR="00473BDB" w:rsidRPr="00BF522A">
        <w:rPr>
          <w:rFonts w:ascii="Times New Roman" w:hAnsi="Times New Roman"/>
          <w:sz w:val="24"/>
          <w:szCs w:val="24"/>
          <w:u w:val="single"/>
        </w:rPr>
        <w:t>Details</w:t>
      </w:r>
    </w:p>
    <w:p w:rsidR="00A54577" w:rsidRPr="00BF522A" w:rsidRDefault="008C5CB9" w:rsidP="00EF3BC0">
      <w:pPr>
        <w:spacing w:before="100" w:beforeAutospacing="1" w:after="100" w:afterAutospacing="1" w:line="20" w:lineRule="atLeast"/>
        <w:jc w:val="both"/>
        <w:rPr>
          <w:rFonts w:ascii="Times New Roman" w:eastAsia="Times New Roman" w:hAnsi="Times New Roman"/>
          <w:sz w:val="24"/>
          <w:szCs w:val="24"/>
        </w:rPr>
      </w:pPr>
      <w:r w:rsidRPr="008C5CB9">
        <w:rPr>
          <w:rFonts w:ascii="Times New Roman" w:hAnsi="Times New Roman"/>
          <w:sz w:val="24"/>
          <w:szCs w:val="24"/>
        </w:rPr>
        <w:t xml:space="preserve">The pilot will cover a 41-month period to assess the performance of the program in the Company’s service territory. </w:t>
      </w:r>
      <w:r w:rsidR="00BD07C0">
        <w:rPr>
          <w:rFonts w:ascii="Times New Roman" w:hAnsi="Times New Roman"/>
          <w:sz w:val="24"/>
          <w:szCs w:val="24"/>
        </w:rPr>
        <w:t xml:space="preserve">Reports </w:t>
      </w:r>
      <w:r w:rsidR="009078CE">
        <w:rPr>
          <w:rFonts w:ascii="Times New Roman" w:eastAsia="Times New Roman" w:hAnsi="Times New Roman"/>
          <w:sz w:val="24"/>
          <w:szCs w:val="24"/>
        </w:rPr>
        <w:t xml:space="preserve">will </w:t>
      </w:r>
      <w:r w:rsidR="00A54577" w:rsidRPr="00BF522A">
        <w:rPr>
          <w:rFonts w:ascii="Times New Roman" w:eastAsia="Times New Roman" w:hAnsi="Times New Roman"/>
          <w:sz w:val="24"/>
          <w:szCs w:val="24"/>
        </w:rPr>
        <w:t>be provided to approximately 13,500 customers</w:t>
      </w:r>
      <w:r w:rsidR="009078CE">
        <w:rPr>
          <w:rFonts w:ascii="Times New Roman" w:eastAsia="Times New Roman" w:hAnsi="Times New Roman"/>
          <w:sz w:val="24"/>
          <w:szCs w:val="24"/>
        </w:rPr>
        <w:t>,</w:t>
      </w:r>
      <w:r w:rsidR="00A54577" w:rsidRPr="00BF522A">
        <w:rPr>
          <w:rFonts w:ascii="Times New Roman" w:eastAsia="Times New Roman" w:hAnsi="Times New Roman"/>
          <w:sz w:val="24"/>
          <w:szCs w:val="24"/>
        </w:rPr>
        <w:t xml:space="preserve"> </w:t>
      </w:r>
      <w:r w:rsidR="009078CE">
        <w:rPr>
          <w:rFonts w:ascii="Times New Roman" w:eastAsia="Times New Roman" w:hAnsi="Times New Roman"/>
          <w:sz w:val="24"/>
          <w:szCs w:val="24"/>
        </w:rPr>
        <w:t>which possibly could</w:t>
      </w:r>
      <w:r w:rsidR="00A54577" w:rsidRPr="00BF522A">
        <w:rPr>
          <w:rFonts w:ascii="Times New Roman" w:eastAsia="Times New Roman" w:hAnsi="Times New Roman"/>
          <w:sz w:val="24"/>
          <w:szCs w:val="24"/>
        </w:rPr>
        <w:t xml:space="preserve"> degrade (due opt-out/move-out rate) over the pilot’s initial term.</w:t>
      </w:r>
    </w:p>
    <w:p w:rsidR="00A54577" w:rsidRPr="00BF522A" w:rsidRDefault="00BD07C0" w:rsidP="00EF3BC0">
      <w:pPr>
        <w:spacing w:before="100" w:beforeAutospacing="1" w:after="100" w:afterAutospacing="1" w:line="20" w:lineRule="atLeast"/>
        <w:jc w:val="both"/>
        <w:rPr>
          <w:rFonts w:ascii="Times New Roman" w:eastAsia="Times New Roman" w:hAnsi="Times New Roman"/>
          <w:sz w:val="24"/>
          <w:szCs w:val="24"/>
        </w:rPr>
      </w:pPr>
      <w:r>
        <w:rPr>
          <w:rFonts w:ascii="Times New Roman" w:eastAsia="Times New Roman" w:hAnsi="Times New Roman"/>
          <w:sz w:val="24"/>
          <w:szCs w:val="24"/>
        </w:rPr>
        <w:t>T</w:t>
      </w:r>
      <w:r w:rsidR="00A54577" w:rsidRPr="00BF522A">
        <w:rPr>
          <w:rFonts w:ascii="Times New Roman" w:eastAsia="Times New Roman" w:hAnsi="Times New Roman"/>
          <w:sz w:val="24"/>
          <w:szCs w:val="24"/>
        </w:rPr>
        <w:t xml:space="preserve">he customer population </w:t>
      </w:r>
      <w:r>
        <w:rPr>
          <w:rFonts w:ascii="Times New Roman" w:eastAsia="Times New Roman" w:hAnsi="Times New Roman"/>
          <w:sz w:val="24"/>
          <w:szCs w:val="24"/>
        </w:rPr>
        <w:t xml:space="preserve">will be made up of customers </w:t>
      </w:r>
      <w:r w:rsidR="00A54577" w:rsidRPr="00BF522A">
        <w:rPr>
          <w:rFonts w:ascii="Times New Roman" w:eastAsia="Times New Roman" w:hAnsi="Times New Roman"/>
          <w:sz w:val="24"/>
          <w:szCs w:val="24"/>
        </w:rPr>
        <w:t xml:space="preserve">with </w:t>
      </w:r>
      <w:r>
        <w:rPr>
          <w:rFonts w:ascii="Times New Roman" w:eastAsia="Times New Roman" w:hAnsi="Times New Roman"/>
          <w:sz w:val="24"/>
          <w:szCs w:val="24"/>
        </w:rPr>
        <w:t xml:space="preserve">an </w:t>
      </w:r>
      <w:r w:rsidR="00A54577" w:rsidRPr="00BF522A">
        <w:rPr>
          <w:rFonts w:ascii="Times New Roman" w:eastAsia="Times New Roman" w:hAnsi="Times New Roman"/>
          <w:sz w:val="24"/>
          <w:szCs w:val="24"/>
        </w:rPr>
        <w:t>annual average electrical energy usage of 20,000 kilowatt hours. To achieve this</w:t>
      </w:r>
      <w:r w:rsidR="000015F2">
        <w:rPr>
          <w:rFonts w:ascii="Times New Roman" w:eastAsia="Times New Roman" w:hAnsi="Times New Roman"/>
          <w:sz w:val="24"/>
          <w:szCs w:val="24"/>
        </w:rPr>
        <w:t>,</w:t>
      </w:r>
      <w:r w:rsidR="00A54577" w:rsidRPr="00BF522A">
        <w:rPr>
          <w:rFonts w:ascii="Times New Roman" w:eastAsia="Times New Roman" w:hAnsi="Times New Roman"/>
          <w:sz w:val="24"/>
          <w:szCs w:val="24"/>
        </w:rPr>
        <w:t xml:space="preserve"> the upper bound annual average will be approximately 29,000 kilowatt hours and the lower bound annual average 13,500 kilowatt hours. As degradation occurs over the pilot period, the average </w:t>
      </w:r>
      <w:r w:rsidR="003D7BEF">
        <w:rPr>
          <w:rFonts w:ascii="Times New Roman" w:eastAsia="Times New Roman" w:hAnsi="Times New Roman"/>
          <w:sz w:val="24"/>
          <w:szCs w:val="24"/>
        </w:rPr>
        <w:t xml:space="preserve">usage of the population </w:t>
      </w:r>
      <w:r w:rsidR="00A54577" w:rsidRPr="00BF522A">
        <w:rPr>
          <w:rFonts w:ascii="Times New Roman" w:eastAsia="Times New Roman" w:hAnsi="Times New Roman"/>
          <w:sz w:val="24"/>
          <w:szCs w:val="24"/>
        </w:rPr>
        <w:t>may also change. The change in average usage will be measured and verified in the pilot evaluation.</w:t>
      </w:r>
    </w:p>
    <w:p w:rsidR="00EF3BC0" w:rsidRDefault="00E803E0" w:rsidP="00EF3BC0">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R</w:t>
      </w:r>
      <w:r w:rsidR="00A54577" w:rsidRPr="00BF522A">
        <w:rPr>
          <w:rFonts w:ascii="Times New Roman" w:eastAsia="Times New Roman" w:hAnsi="Times New Roman"/>
          <w:sz w:val="24"/>
          <w:szCs w:val="24"/>
        </w:rPr>
        <w:t>eports will be mailed monthly for the initial three months to build up program awareness and then move</w:t>
      </w:r>
      <w:r>
        <w:rPr>
          <w:rFonts w:ascii="Times New Roman" w:eastAsia="Times New Roman" w:hAnsi="Times New Roman"/>
          <w:sz w:val="24"/>
          <w:szCs w:val="24"/>
        </w:rPr>
        <w:t>d</w:t>
      </w:r>
      <w:r w:rsidR="00A54577" w:rsidRPr="00BF522A">
        <w:rPr>
          <w:rFonts w:ascii="Times New Roman" w:eastAsia="Times New Roman" w:hAnsi="Times New Roman"/>
          <w:sz w:val="24"/>
          <w:szCs w:val="24"/>
        </w:rPr>
        <w:t xml:space="preserve"> to a bi-monthly schedule through the remainder of the pilot. Each participating customer would receive 21 reports over the term of the pilot. Customers may also opt-out of the mailed paper copy of the report and request an electronic version delivered via email. Participating customers will also have access to a web portal containing the same information about their usage and past usage. The web portal will have other functions such as a home energy audit tool and suggestions to improve energy conservation and efficiency of their home.</w:t>
      </w:r>
    </w:p>
    <w:p w:rsidR="001D7972" w:rsidRDefault="00EF3BC0" w:rsidP="001D7972">
      <w:pPr>
        <w:spacing w:before="100" w:beforeAutospacing="1" w:after="100" w:afterAutospacing="1"/>
        <w:jc w:val="both"/>
        <w:rPr>
          <w:rFonts w:ascii="Times New Roman" w:hAnsi="Times New Roman"/>
          <w:bCs/>
          <w:sz w:val="24"/>
          <w:szCs w:val="24"/>
        </w:rPr>
        <w:sectPr w:rsidR="001D7972" w:rsidSect="00735A6B">
          <w:headerReference w:type="default" r:id="rId29"/>
          <w:footerReference w:type="default" r:id="rId30"/>
          <w:type w:val="continuous"/>
          <w:pgSz w:w="12240" w:h="15840" w:code="1"/>
          <w:pgMar w:top="1440" w:right="1080" w:bottom="1440" w:left="1440" w:header="720" w:footer="720" w:gutter="0"/>
          <w:cols w:space="720"/>
          <w:docGrid w:linePitch="360"/>
        </w:sectPr>
      </w:pPr>
      <w:r>
        <w:rPr>
          <w:rFonts w:ascii="Times New Roman" w:hAnsi="Times New Roman"/>
          <w:bCs/>
          <w:sz w:val="24"/>
          <w:szCs w:val="24"/>
        </w:rPr>
        <w:t>Savings will be tracked and reported on annually based on reporting from the vendor. Savings reported against the I-937 target will be based on ex-post evaluation of the program performance</w:t>
      </w:r>
      <w:r w:rsidR="001D7972">
        <w:rPr>
          <w:rFonts w:ascii="Times New Roman" w:hAnsi="Times New Roman"/>
          <w:bCs/>
          <w:sz w:val="24"/>
          <w:szCs w:val="24"/>
        </w:rPr>
        <w:t>.</w:t>
      </w:r>
    </w:p>
    <w:p w:rsidR="00722821" w:rsidRPr="00111D82" w:rsidRDefault="00CD7669" w:rsidP="00AA1BEC">
      <w:pPr>
        <w:pStyle w:val="Heading1"/>
        <w:spacing w:before="100" w:beforeAutospacing="1" w:after="100" w:afterAutospacing="1"/>
        <w:jc w:val="both"/>
      </w:pPr>
      <w:bookmarkStart w:id="15" w:name="_Toc326296731"/>
      <w:r w:rsidRPr="00111D82">
        <w:rPr>
          <w:szCs w:val="24"/>
        </w:rPr>
        <w:t>Low</w:t>
      </w:r>
      <w:r w:rsidR="00FA6E5B" w:rsidRPr="00111D82">
        <w:rPr>
          <w:szCs w:val="24"/>
        </w:rPr>
        <w:t xml:space="preserve"> </w:t>
      </w:r>
      <w:r w:rsidRPr="00111D82">
        <w:rPr>
          <w:szCs w:val="24"/>
        </w:rPr>
        <w:t xml:space="preserve">Income </w:t>
      </w:r>
      <w:r w:rsidRPr="00111D82">
        <w:t>Residential Program Details</w:t>
      </w:r>
      <w:bookmarkEnd w:id="15"/>
    </w:p>
    <w:p w:rsidR="00722821" w:rsidRPr="00111D82" w:rsidRDefault="00530E55" w:rsidP="001D7972">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The </w:t>
      </w:r>
      <w:r w:rsidR="0014726E" w:rsidRPr="00111D82">
        <w:rPr>
          <w:rFonts w:ascii="Times New Roman" w:hAnsi="Times New Roman"/>
          <w:sz w:val="24"/>
          <w:szCs w:val="24"/>
        </w:rPr>
        <w:t>C</w:t>
      </w:r>
      <w:r w:rsidRPr="00111D82">
        <w:rPr>
          <w:rFonts w:ascii="Times New Roman" w:hAnsi="Times New Roman"/>
          <w:sz w:val="24"/>
          <w:szCs w:val="24"/>
        </w:rPr>
        <w:t>ompany</w:t>
      </w:r>
      <w:r w:rsidR="00FA6E5B" w:rsidRPr="00111D82">
        <w:rPr>
          <w:rFonts w:ascii="Times New Roman" w:hAnsi="Times New Roman"/>
          <w:sz w:val="24"/>
          <w:szCs w:val="24"/>
        </w:rPr>
        <w:t xml:space="preserve"> offers a Low Income Weatherization program (Schedule 114) to its i</w:t>
      </w:r>
      <w:r w:rsidR="003A14EE" w:rsidRPr="00111D82">
        <w:rPr>
          <w:rFonts w:ascii="Times New Roman" w:hAnsi="Times New Roman"/>
          <w:sz w:val="24"/>
          <w:szCs w:val="24"/>
        </w:rPr>
        <w:t xml:space="preserve">ncome </w:t>
      </w:r>
      <w:r w:rsidR="00A34900">
        <w:rPr>
          <w:rFonts w:ascii="Times New Roman" w:hAnsi="Times New Roman"/>
          <w:sz w:val="24"/>
          <w:szCs w:val="24"/>
        </w:rPr>
        <w:t xml:space="preserve">qualifying </w:t>
      </w:r>
      <w:r w:rsidR="00FA6E5B" w:rsidRPr="00111D82">
        <w:rPr>
          <w:rFonts w:ascii="Times New Roman" w:hAnsi="Times New Roman"/>
          <w:sz w:val="24"/>
          <w:szCs w:val="24"/>
        </w:rPr>
        <w:t>r</w:t>
      </w:r>
      <w:r w:rsidR="003A14EE" w:rsidRPr="00111D82">
        <w:rPr>
          <w:rFonts w:ascii="Times New Roman" w:hAnsi="Times New Roman"/>
          <w:sz w:val="24"/>
          <w:szCs w:val="24"/>
        </w:rPr>
        <w:t xml:space="preserve">esidential </w:t>
      </w:r>
      <w:r w:rsidR="00FA6E5B" w:rsidRPr="00111D82">
        <w:rPr>
          <w:rFonts w:ascii="Times New Roman" w:hAnsi="Times New Roman"/>
          <w:sz w:val="24"/>
          <w:szCs w:val="24"/>
        </w:rPr>
        <w:t>customers.</w:t>
      </w:r>
    </w:p>
    <w:p w:rsidR="00722821" w:rsidRPr="00111D82" w:rsidRDefault="00CD7669" w:rsidP="00AA1BEC">
      <w:pPr>
        <w:pStyle w:val="Heading2"/>
        <w:spacing w:before="100" w:beforeAutospacing="1" w:after="100" w:afterAutospacing="1"/>
        <w:jc w:val="both"/>
      </w:pPr>
      <w:bookmarkStart w:id="16" w:name="_Toc326296732"/>
      <w:r w:rsidRPr="00111D82">
        <w:t>Low Income Weatherization (Schedule 114)</w:t>
      </w:r>
      <w:bookmarkEnd w:id="16"/>
    </w:p>
    <w:p w:rsidR="00F83805" w:rsidRPr="00111D82" w:rsidRDefault="00AA1BEC" w:rsidP="00AA1BEC">
      <w:pPr>
        <w:spacing w:before="100" w:beforeAutospacing="1"/>
        <w:jc w:val="both"/>
        <w:rPr>
          <w:rFonts w:ascii="Times New Roman" w:hAnsi="Times New Roman"/>
          <w:bCs/>
          <w:sz w:val="24"/>
          <w:szCs w:val="24"/>
          <w:u w:val="single"/>
        </w:rPr>
      </w:pPr>
      <w:r>
        <w:rPr>
          <w:rFonts w:ascii="Times New Roman" w:hAnsi="Times New Roman"/>
          <w:bCs/>
          <w:sz w:val="24"/>
          <w:szCs w:val="24"/>
          <w:u w:val="single"/>
        </w:rPr>
        <w:t>Years of Implementation</w:t>
      </w:r>
    </w:p>
    <w:p w:rsidR="00F83805" w:rsidRPr="00111D82" w:rsidRDefault="00050BD3" w:rsidP="00AA1BEC">
      <w:pPr>
        <w:spacing w:after="100" w:afterAutospacing="1"/>
        <w:jc w:val="both"/>
        <w:rPr>
          <w:rFonts w:ascii="Times New Roman" w:hAnsi="Times New Roman"/>
          <w:bCs/>
          <w:sz w:val="24"/>
          <w:szCs w:val="24"/>
          <w:u w:val="single"/>
        </w:rPr>
      </w:pPr>
      <w:r w:rsidRPr="00111D82">
        <w:rPr>
          <w:rFonts w:ascii="Times New Roman" w:hAnsi="Times New Roman"/>
          <w:bCs/>
          <w:sz w:val="24"/>
          <w:szCs w:val="24"/>
        </w:rPr>
        <w:t xml:space="preserve">The Low Income Weatherization program has been in effect since the mid-1980’s and has successfully </w:t>
      </w:r>
      <w:r w:rsidR="0014726E" w:rsidRPr="00111D82">
        <w:rPr>
          <w:rFonts w:ascii="Times New Roman" w:hAnsi="Times New Roman"/>
          <w:bCs/>
          <w:sz w:val="24"/>
          <w:szCs w:val="24"/>
        </w:rPr>
        <w:t xml:space="preserve">assisted in the weatherization of </w:t>
      </w:r>
      <w:r w:rsidRPr="00111D82">
        <w:rPr>
          <w:rFonts w:ascii="Times New Roman" w:hAnsi="Times New Roman"/>
          <w:bCs/>
          <w:sz w:val="24"/>
          <w:szCs w:val="24"/>
        </w:rPr>
        <w:t xml:space="preserve">over 6,800 homes in </w:t>
      </w:r>
      <w:r w:rsidR="00AA1BEC">
        <w:rPr>
          <w:rFonts w:ascii="Times New Roman" w:hAnsi="Times New Roman"/>
          <w:bCs/>
          <w:sz w:val="24"/>
          <w:szCs w:val="24"/>
        </w:rPr>
        <w:t xml:space="preserve">the Company’s </w:t>
      </w:r>
      <w:r w:rsidRPr="00111D82">
        <w:rPr>
          <w:rFonts w:ascii="Times New Roman" w:hAnsi="Times New Roman"/>
          <w:bCs/>
          <w:sz w:val="24"/>
          <w:szCs w:val="24"/>
        </w:rPr>
        <w:t>Washington</w:t>
      </w:r>
      <w:r w:rsidR="00AA1BEC">
        <w:rPr>
          <w:rFonts w:ascii="Times New Roman" w:hAnsi="Times New Roman"/>
          <w:bCs/>
          <w:sz w:val="24"/>
          <w:szCs w:val="24"/>
        </w:rPr>
        <w:t xml:space="preserve"> state territory</w:t>
      </w:r>
      <w:r w:rsidRPr="00111D82">
        <w:rPr>
          <w:rFonts w:ascii="Times New Roman" w:hAnsi="Times New Roman"/>
          <w:bCs/>
          <w:sz w:val="24"/>
          <w:szCs w:val="24"/>
        </w:rPr>
        <w:t>.</w:t>
      </w:r>
    </w:p>
    <w:p w:rsidR="00CD7669" w:rsidRPr="00111D82" w:rsidRDefault="00CD7669" w:rsidP="00AA1BEC">
      <w:pPr>
        <w:spacing w:before="100" w:beforeAutospacing="1"/>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CD7669" w:rsidRPr="00111D82" w:rsidRDefault="00CD7669" w:rsidP="00AA1BEC">
      <w:pPr>
        <w:tabs>
          <w:tab w:val="left" w:pos="-1080"/>
        </w:tabs>
        <w:spacing w:after="100" w:afterAutospacing="1"/>
        <w:jc w:val="both"/>
        <w:rPr>
          <w:rFonts w:ascii="Times New Roman" w:hAnsi="Times New Roman"/>
          <w:sz w:val="24"/>
          <w:szCs w:val="24"/>
        </w:rPr>
      </w:pPr>
      <w:r w:rsidRPr="00111D82">
        <w:rPr>
          <w:rFonts w:ascii="Times New Roman" w:hAnsi="Times New Roman"/>
          <w:sz w:val="24"/>
          <w:szCs w:val="24"/>
        </w:rPr>
        <w:t>PacifiCorp partners with three local non-profit agencies, Blue Mountain Action Council in Walla Walla, Northwest Community Action Center in Toppenish and Opportunities Industrialization Center of Washington in Yakima to provide weatherization services to income qualifying households throughout its Washington service area. The leveraging of PacifiCorp funding along with Washington MatchMaker Program funds allows the agencies to provide these energy efficiency services at no cost to participating customers. The Company provides rebates to partnering agencies for 50</w:t>
      </w:r>
      <w:r w:rsidR="00AA1BEC">
        <w:rPr>
          <w:rFonts w:ascii="Times New Roman" w:hAnsi="Times New Roman"/>
          <w:sz w:val="24"/>
          <w:szCs w:val="24"/>
        </w:rPr>
        <w:t>-</w:t>
      </w:r>
      <w:r w:rsidR="0014726E" w:rsidRPr="00111D82">
        <w:rPr>
          <w:rFonts w:ascii="Times New Roman" w:hAnsi="Times New Roman"/>
          <w:sz w:val="24"/>
          <w:szCs w:val="24"/>
        </w:rPr>
        <w:t>percent</w:t>
      </w:r>
      <w:r w:rsidRPr="00111D82">
        <w:rPr>
          <w:rFonts w:ascii="Times New Roman" w:hAnsi="Times New Roman"/>
          <w:sz w:val="24"/>
          <w:szCs w:val="24"/>
        </w:rPr>
        <w:t xml:space="preserve"> of the cost of services while MatchMaker funds are available, and covers 100</w:t>
      </w:r>
      <w:r w:rsidR="00AA1BEC">
        <w:rPr>
          <w:rFonts w:ascii="Times New Roman" w:hAnsi="Times New Roman"/>
          <w:sz w:val="24"/>
          <w:szCs w:val="24"/>
        </w:rPr>
        <w:t>-percent</w:t>
      </w:r>
      <w:r w:rsidRPr="00111D82">
        <w:rPr>
          <w:rFonts w:ascii="Times New Roman" w:hAnsi="Times New Roman"/>
          <w:sz w:val="24"/>
          <w:szCs w:val="24"/>
        </w:rPr>
        <w:t xml:space="preserve"> of costs when these state funds are depleted. Participants qualify whether they are homeowners or renters residing in single-family homes, manufactured homes or apartments.</w:t>
      </w:r>
    </w:p>
    <w:p w:rsidR="00722821" w:rsidRPr="00111D82" w:rsidRDefault="00CD7669" w:rsidP="00AA1BEC">
      <w:pPr>
        <w:spacing w:before="100" w:beforeAutospacing="1"/>
        <w:jc w:val="both"/>
        <w:rPr>
          <w:rFonts w:ascii="Times New Roman" w:hAnsi="Times New Roman"/>
          <w:sz w:val="24"/>
          <w:szCs w:val="24"/>
          <w:u w:val="single"/>
        </w:rPr>
      </w:pPr>
      <w:r w:rsidRPr="00111D82">
        <w:rPr>
          <w:rFonts w:ascii="Times New Roman" w:hAnsi="Times New Roman"/>
          <w:sz w:val="24"/>
          <w:szCs w:val="24"/>
          <w:u w:val="single"/>
        </w:rPr>
        <w:t>Planned Program Changes</w:t>
      </w:r>
    </w:p>
    <w:p w:rsidR="00CD7669" w:rsidRPr="00111D82" w:rsidRDefault="00CD7669" w:rsidP="00AA1BEC">
      <w:pPr>
        <w:spacing w:after="100" w:afterAutospacing="1"/>
        <w:jc w:val="both"/>
        <w:rPr>
          <w:rFonts w:ascii="Times New Roman" w:hAnsi="Times New Roman"/>
          <w:sz w:val="24"/>
          <w:szCs w:val="24"/>
        </w:rPr>
      </w:pPr>
      <w:r w:rsidRPr="00111D82">
        <w:rPr>
          <w:rFonts w:ascii="Times New Roman" w:hAnsi="Times New Roman"/>
          <w:sz w:val="24"/>
          <w:szCs w:val="24"/>
        </w:rPr>
        <w:t>No program changes are planned at this time</w:t>
      </w:r>
      <w:r w:rsidR="00F92DA9" w:rsidRPr="00111D82">
        <w:rPr>
          <w:rFonts w:ascii="Times New Roman" w:hAnsi="Times New Roman"/>
          <w:sz w:val="24"/>
          <w:szCs w:val="24"/>
        </w:rPr>
        <w:t>,</w:t>
      </w:r>
      <w:r w:rsidR="0014726E" w:rsidRPr="00111D82">
        <w:rPr>
          <w:rFonts w:ascii="Times New Roman" w:hAnsi="Times New Roman"/>
          <w:sz w:val="24"/>
          <w:szCs w:val="24"/>
        </w:rPr>
        <w:t xml:space="preserve"> however Pacifi</w:t>
      </w:r>
      <w:r w:rsidR="00F92DA9" w:rsidRPr="00111D82">
        <w:rPr>
          <w:rFonts w:ascii="Times New Roman" w:hAnsi="Times New Roman"/>
          <w:sz w:val="24"/>
          <w:szCs w:val="24"/>
        </w:rPr>
        <w:t>Corp</w:t>
      </w:r>
      <w:r w:rsidR="0014726E" w:rsidRPr="00111D82">
        <w:rPr>
          <w:rFonts w:ascii="Times New Roman" w:hAnsi="Times New Roman"/>
          <w:sz w:val="24"/>
          <w:szCs w:val="24"/>
        </w:rPr>
        <w:t xml:space="preserve"> </w:t>
      </w:r>
      <w:r w:rsidR="001D52DE">
        <w:rPr>
          <w:rFonts w:ascii="Times New Roman" w:hAnsi="Times New Roman"/>
          <w:sz w:val="24"/>
          <w:szCs w:val="24"/>
        </w:rPr>
        <w:t xml:space="preserve">expects agency billings to </w:t>
      </w:r>
      <w:r w:rsidR="0014726E" w:rsidRPr="00111D82">
        <w:rPr>
          <w:rFonts w:ascii="Times New Roman" w:hAnsi="Times New Roman"/>
          <w:sz w:val="24"/>
          <w:szCs w:val="24"/>
        </w:rPr>
        <w:t xml:space="preserve">increase as the funding made available in the state through the American Recovery and Reinvestment Act of 2009 </w:t>
      </w:r>
      <w:r w:rsidR="007765C7" w:rsidRPr="00111D82">
        <w:rPr>
          <w:rFonts w:ascii="Times New Roman" w:hAnsi="Times New Roman"/>
          <w:sz w:val="24"/>
          <w:szCs w:val="24"/>
        </w:rPr>
        <w:t>ends as of December 31, 2011.</w:t>
      </w:r>
      <w:r w:rsidR="0014726E" w:rsidRPr="00111D82">
        <w:rPr>
          <w:rFonts w:ascii="Times New Roman" w:hAnsi="Times New Roman"/>
          <w:sz w:val="24"/>
          <w:szCs w:val="24"/>
        </w:rPr>
        <w:t xml:space="preserve"> This is reflected in the higher spending and savings forecasts in the 2012-2013 Business Plan than were </w:t>
      </w:r>
      <w:r w:rsidR="007923E3" w:rsidRPr="00111D82">
        <w:rPr>
          <w:rFonts w:ascii="Times New Roman" w:hAnsi="Times New Roman"/>
          <w:sz w:val="24"/>
          <w:szCs w:val="24"/>
        </w:rPr>
        <w:t xml:space="preserve">assumed and </w:t>
      </w:r>
      <w:r w:rsidR="0014726E" w:rsidRPr="00111D82">
        <w:rPr>
          <w:rFonts w:ascii="Times New Roman" w:hAnsi="Times New Roman"/>
          <w:sz w:val="24"/>
          <w:szCs w:val="24"/>
        </w:rPr>
        <w:t xml:space="preserve">realized in </w:t>
      </w:r>
      <w:r w:rsidR="007765C7" w:rsidRPr="00111D82">
        <w:rPr>
          <w:rFonts w:ascii="Times New Roman" w:hAnsi="Times New Roman"/>
          <w:sz w:val="24"/>
          <w:szCs w:val="24"/>
        </w:rPr>
        <w:t xml:space="preserve">the </w:t>
      </w:r>
      <w:r w:rsidR="0014726E" w:rsidRPr="00111D82">
        <w:rPr>
          <w:rFonts w:ascii="Times New Roman" w:hAnsi="Times New Roman"/>
          <w:sz w:val="24"/>
          <w:szCs w:val="24"/>
        </w:rPr>
        <w:t>2010-2011</w:t>
      </w:r>
      <w:r w:rsidR="007923E3" w:rsidRPr="00111D82">
        <w:rPr>
          <w:rFonts w:ascii="Times New Roman" w:hAnsi="Times New Roman"/>
          <w:sz w:val="24"/>
          <w:szCs w:val="24"/>
        </w:rPr>
        <w:t xml:space="preserve"> Business Plan and actual program performance</w:t>
      </w:r>
      <w:r w:rsidR="0014726E" w:rsidRPr="00111D82">
        <w:rPr>
          <w:rFonts w:ascii="Times New Roman" w:hAnsi="Times New Roman"/>
          <w:sz w:val="24"/>
          <w:szCs w:val="24"/>
        </w:rPr>
        <w:t>.</w:t>
      </w:r>
    </w:p>
    <w:p w:rsidR="00722821" w:rsidRPr="00111D82" w:rsidRDefault="00CD7669" w:rsidP="00AA1BEC">
      <w:pPr>
        <w:spacing w:before="100" w:beforeAutospacing="1"/>
        <w:jc w:val="both"/>
        <w:rPr>
          <w:rFonts w:ascii="Times New Roman" w:hAnsi="Times New Roman"/>
          <w:sz w:val="24"/>
          <w:szCs w:val="24"/>
          <w:u w:val="single"/>
        </w:rPr>
      </w:pPr>
      <w:r w:rsidRPr="00111D82">
        <w:rPr>
          <w:rFonts w:ascii="Times New Roman" w:hAnsi="Times New Roman"/>
          <w:sz w:val="24"/>
          <w:szCs w:val="24"/>
          <w:u w:val="single"/>
        </w:rPr>
        <w:t>Evaluation Update</w:t>
      </w:r>
    </w:p>
    <w:p w:rsidR="00CD7669" w:rsidRPr="00111D82" w:rsidRDefault="00CD7669" w:rsidP="00AA1BEC">
      <w:pPr>
        <w:spacing w:after="100" w:afterAutospacing="1"/>
        <w:jc w:val="both"/>
        <w:rPr>
          <w:rFonts w:ascii="Times New Roman" w:hAnsi="Times New Roman"/>
          <w:sz w:val="24"/>
          <w:szCs w:val="24"/>
        </w:rPr>
      </w:pPr>
      <w:r w:rsidRPr="00111D82">
        <w:rPr>
          <w:rFonts w:ascii="Times New Roman" w:hAnsi="Times New Roman"/>
          <w:sz w:val="24"/>
          <w:szCs w:val="24"/>
        </w:rPr>
        <w:t xml:space="preserve">The </w:t>
      </w:r>
      <w:r w:rsidR="00FE0761" w:rsidRPr="00111D82">
        <w:rPr>
          <w:rFonts w:ascii="Times New Roman" w:hAnsi="Times New Roman"/>
          <w:sz w:val="24"/>
          <w:szCs w:val="24"/>
        </w:rPr>
        <w:t xml:space="preserve">most recent </w:t>
      </w:r>
      <w:r w:rsidRPr="00111D82">
        <w:rPr>
          <w:rFonts w:ascii="Times New Roman" w:hAnsi="Times New Roman"/>
          <w:sz w:val="24"/>
          <w:szCs w:val="24"/>
        </w:rPr>
        <w:t>program changes proposed in Advice 08-07 were approved effective March 1, 2009. In Advice 08-07, the Company requested that the program changes be in place for at least three and one half years before any additional changes are considered. This will allow the program to be in effect for two years before collecting post-consumption data in the third year.</w:t>
      </w:r>
    </w:p>
    <w:p w:rsidR="00CD7669" w:rsidRPr="00611EAF" w:rsidRDefault="00124DBD" w:rsidP="00CD7669">
      <w:pPr>
        <w:rPr>
          <w:rFonts w:ascii="Times New Roman" w:hAnsi="Times New Roman"/>
          <w:b/>
          <w:i/>
          <w:sz w:val="20"/>
          <w:szCs w:val="24"/>
        </w:rPr>
      </w:pPr>
      <w:r w:rsidRPr="00124DBD">
        <w:rPr>
          <w:rFonts w:ascii="Times New Roman" w:hAnsi="Times New Roman"/>
          <w:b/>
          <w:i/>
          <w:sz w:val="20"/>
          <w:szCs w:val="24"/>
        </w:rPr>
        <w:t>Last Evaluation Report:</w:t>
      </w:r>
    </w:p>
    <w:tbl>
      <w:tblPr>
        <w:tblW w:w="0" w:type="auto"/>
        <w:tblLook w:val="04A0"/>
      </w:tblPr>
      <w:tblGrid>
        <w:gridCol w:w="3229"/>
        <w:gridCol w:w="2845"/>
        <w:gridCol w:w="2782"/>
      </w:tblGrid>
      <w:tr w:rsidR="00FE0761" w:rsidRPr="00611EAF" w:rsidTr="00AA40D3">
        <w:tc>
          <w:tcPr>
            <w:tcW w:w="3229" w:type="dxa"/>
          </w:tcPr>
          <w:p w:rsidR="00FE0761" w:rsidRPr="00611EAF" w:rsidRDefault="00124DBD" w:rsidP="00AA40D3">
            <w:pPr>
              <w:jc w:val="center"/>
              <w:rPr>
                <w:rFonts w:ascii="Times New Roman" w:hAnsi="Times New Roman"/>
                <w:b/>
                <w:sz w:val="20"/>
                <w:szCs w:val="24"/>
              </w:rPr>
            </w:pPr>
            <w:r w:rsidRPr="00124DBD">
              <w:rPr>
                <w:rFonts w:ascii="Times New Roman" w:hAnsi="Times New Roman"/>
                <w:b/>
                <w:sz w:val="20"/>
                <w:szCs w:val="24"/>
              </w:rPr>
              <w:t>Program Years</w:t>
            </w:r>
          </w:p>
        </w:tc>
        <w:tc>
          <w:tcPr>
            <w:tcW w:w="2845" w:type="dxa"/>
          </w:tcPr>
          <w:p w:rsidR="00FE0761" w:rsidRPr="00611EAF" w:rsidRDefault="00124DBD" w:rsidP="00AA40D3">
            <w:pPr>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FE0761" w:rsidRPr="00611EAF" w:rsidRDefault="00124DBD" w:rsidP="00AA40D3">
            <w:pPr>
              <w:jc w:val="center"/>
              <w:rPr>
                <w:rFonts w:ascii="Times New Roman" w:hAnsi="Times New Roman"/>
                <w:b/>
                <w:sz w:val="20"/>
                <w:szCs w:val="24"/>
              </w:rPr>
            </w:pPr>
            <w:r w:rsidRPr="00124DBD">
              <w:rPr>
                <w:rFonts w:ascii="Times New Roman" w:hAnsi="Times New Roman"/>
                <w:b/>
                <w:sz w:val="20"/>
                <w:szCs w:val="24"/>
              </w:rPr>
              <w:t>Completed by</w:t>
            </w:r>
          </w:p>
        </w:tc>
      </w:tr>
      <w:tr w:rsidR="007765C7" w:rsidRPr="00611EAF" w:rsidTr="00AA40D3">
        <w:tc>
          <w:tcPr>
            <w:tcW w:w="3229" w:type="dxa"/>
          </w:tcPr>
          <w:p w:rsidR="007765C7" w:rsidRPr="00611EAF" w:rsidRDefault="00124DBD" w:rsidP="009C6DA0">
            <w:pPr>
              <w:jc w:val="center"/>
              <w:rPr>
                <w:rFonts w:ascii="Times New Roman" w:hAnsi="Times New Roman"/>
                <w:sz w:val="20"/>
                <w:szCs w:val="24"/>
              </w:rPr>
            </w:pPr>
            <w:r w:rsidRPr="00124DBD">
              <w:rPr>
                <w:rFonts w:ascii="Times New Roman" w:hAnsi="Times New Roman"/>
                <w:sz w:val="20"/>
                <w:szCs w:val="24"/>
              </w:rPr>
              <w:t>July 1, 2003 – June 30, 2005</w:t>
            </w:r>
          </w:p>
        </w:tc>
        <w:tc>
          <w:tcPr>
            <w:tcW w:w="2845" w:type="dxa"/>
          </w:tcPr>
          <w:p w:rsidR="007765C7" w:rsidRPr="00611EAF" w:rsidRDefault="00124DBD" w:rsidP="009C6DA0">
            <w:pPr>
              <w:jc w:val="center"/>
              <w:rPr>
                <w:rFonts w:ascii="Times New Roman" w:hAnsi="Times New Roman"/>
                <w:sz w:val="20"/>
                <w:szCs w:val="24"/>
              </w:rPr>
            </w:pPr>
            <w:r w:rsidRPr="00124DBD">
              <w:rPr>
                <w:rFonts w:ascii="Times New Roman" w:hAnsi="Times New Roman"/>
                <w:sz w:val="20"/>
                <w:szCs w:val="24"/>
              </w:rPr>
              <w:t>January 19, 2007</w:t>
            </w:r>
          </w:p>
        </w:tc>
        <w:tc>
          <w:tcPr>
            <w:tcW w:w="2782" w:type="dxa"/>
          </w:tcPr>
          <w:p w:rsidR="007765C7" w:rsidRPr="00611EAF" w:rsidRDefault="00124DBD" w:rsidP="009C6DA0">
            <w:pPr>
              <w:jc w:val="center"/>
              <w:rPr>
                <w:rFonts w:ascii="Times New Roman" w:hAnsi="Times New Roman"/>
                <w:sz w:val="20"/>
                <w:szCs w:val="24"/>
              </w:rPr>
            </w:pPr>
            <w:r w:rsidRPr="00124DBD">
              <w:rPr>
                <w:rFonts w:ascii="Times New Roman" w:hAnsi="Times New Roman"/>
                <w:sz w:val="20"/>
                <w:szCs w:val="24"/>
              </w:rPr>
              <w:t>Quantec, LLC</w:t>
            </w:r>
          </w:p>
        </w:tc>
      </w:tr>
    </w:tbl>
    <w:p w:rsidR="00303266" w:rsidRPr="00611EAF" w:rsidRDefault="00124DBD" w:rsidP="00AA1BEC">
      <w:pPr>
        <w:spacing w:before="100" w:beforeAutospacing="1"/>
        <w:rPr>
          <w:rFonts w:ascii="Times New Roman" w:hAnsi="Times New Roman"/>
          <w:b/>
          <w:i/>
          <w:sz w:val="20"/>
          <w:szCs w:val="24"/>
        </w:rPr>
      </w:pPr>
      <w:r w:rsidRPr="00124DBD">
        <w:rPr>
          <w:rFonts w:ascii="Times New Roman" w:hAnsi="Times New Roman"/>
          <w:b/>
          <w:i/>
          <w:sz w:val="20"/>
          <w:szCs w:val="24"/>
        </w:rPr>
        <w:t>Future Evaluation Report(s):</w:t>
      </w:r>
    </w:p>
    <w:tbl>
      <w:tblPr>
        <w:tblW w:w="0" w:type="auto"/>
        <w:tblLook w:val="04A0"/>
      </w:tblPr>
      <w:tblGrid>
        <w:gridCol w:w="3348"/>
        <w:gridCol w:w="2726"/>
        <w:gridCol w:w="2782"/>
      </w:tblGrid>
      <w:tr w:rsidR="00303266" w:rsidRPr="00611EAF" w:rsidTr="0082426E">
        <w:tc>
          <w:tcPr>
            <w:tcW w:w="3348" w:type="dxa"/>
          </w:tcPr>
          <w:p w:rsidR="00303266" w:rsidRPr="00611EAF" w:rsidRDefault="00124DBD" w:rsidP="0082426E">
            <w:pPr>
              <w:jc w:val="center"/>
              <w:rPr>
                <w:rFonts w:ascii="Times New Roman" w:hAnsi="Times New Roman"/>
                <w:b/>
                <w:sz w:val="20"/>
                <w:szCs w:val="24"/>
              </w:rPr>
            </w:pPr>
            <w:r w:rsidRPr="00124DBD">
              <w:rPr>
                <w:rFonts w:ascii="Times New Roman" w:hAnsi="Times New Roman"/>
                <w:b/>
                <w:sz w:val="20"/>
                <w:szCs w:val="24"/>
              </w:rPr>
              <w:t>Program Years</w:t>
            </w:r>
          </w:p>
        </w:tc>
        <w:tc>
          <w:tcPr>
            <w:tcW w:w="2726" w:type="dxa"/>
          </w:tcPr>
          <w:p w:rsidR="00303266" w:rsidRPr="00611EAF" w:rsidRDefault="00124DBD" w:rsidP="0082426E">
            <w:pPr>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303266" w:rsidRPr="00611EAF" w:rsidRDefault="00124DBD" w:rsidP="0082426E">
            <w:pPr>
              <w:jc w:val="center"/>
              <w:rPr>
                <w:rFonts w:ascii="Times New Roman" w:hAnsi="Times New Roman"/>
                <w:b/>
                <w:sz w:val="20"/>
                <w:szCs w:val="24"/>
              </w:rPr>
            </w:pPr>
            <w:r w:rsidRPr="00124DBD">
              <w:rPr>
                <w:rFonts w:ascii="Times New Roman" w:hAnsi="Times New Roman"/>
                <w:b/>
                <w:sz w:val="20"/>
                <w:szCs w:val="24"/>
              </w:rPr>
              <w:t>To be Completed by</w:t>
            </w:r>
          </w:p>
        </w:tc>
      </w:tr>
      <w:tr w:rsidR="00303266" w:rsidRPr="00611EAF" w:rsidTr="0082426E">
        <w:tc>
          <w:tcPr>
            <w:tcW w:w="3348" w:type="dxa"/>
          </w:tcPr>
          <w:p w:rsidR="00303266" w:rsidRPr="00611EAF" w:rsidRDefault="00124DBD" w:rsidP="0082426E">
            <w:pPr>
              <w:jc w:val="center"/>
              <w:rPr>
                <w:rFonts w:ascii="Times New Roman" w:hAnsi="Times New Roman"/>
                <w:sz w:val="20"/>
                <w:szCs w:val="24"/>
              </w:rPr>
            </w:pPr>
            <w:r w:rsidRPr="00124DBD">
              <w:rPr>
                <w:rFonts w:ascii="Times New Roman" w:hAnsi="Times New Roman"/>
                <w:sz w:val="20"/>
                <w:szCs w:val="24"/>
              </w:rPr>
              <w:t>March 1, 2009 - March 1, 2011</w:t>
            </w:r>
          </w:p>
        </w:tc>
        <w:tc>
          <w:tcPr>
            <w:tcW w:w="2726" w:type="dxa"/>
          </w:tcPr>
          <w:p w:rsidR="00303266" w:rsidRPr="00611EAF" w:rsidRDefault="00124DBD" w:rsidP="0082426E">
            <w:pPr>
              <w:jc w:val="center"/>
              <w:rPr>
                <w:rFonts w:ascii="Times New Roman" w:hAnsi="Times New Roman"/>
                <w:sz w:val="20"/>
                <w:szCs w:val="24"/>
              </w:rPr>
            </w:pPr>
            <w:r w:rsidRPr="00124DBD">
              <w:rPr>
                <w:rFonts w:ascii="Times New Roman" w:hAnsi="Times New Roman"/>
                <w:sz w:val="20"/>
                <w:szCs w:val="24"/>
              </w:rPr>
              <w:t>August 1, 2012</w:t>
            </w:r>
          </w:p>
        </w:tc>
        <w:tc>
          <w:tcPr>
            <w:tcW w:w="2782" w:type="dxa"/>
          </w:tcPr>
          <w:p w:rsidR="00303266" w:rsidRPr="00611EAF" w:rsidRDefault="00124DBD" w:rsidP="0082426E">
            <w:pPr>
              <w:jc w:val="center"/>
              <w:rPr>
                <w:rFonts w:ascii="Times New Roman" w:hAnsi="Times New Roman"/>
                <w:sz w:val="20"/>
                <w:szCs w:val="24"/>
              </w:rPr>
            </w:pPr>
            <w:r w:rsidRPr="00124DBD">
              <w:rPr>
                <w:rFonts w:ascii="Times New Roman" w:hAnsi="Times New Roman"/>
                <w:sz w:val="20"/>
                <w:szCs w:val="24"/>
              </w:rPr>
              <w:t>The Cadmus Group</w:t>
            </w:r>
          </w:p>
        </w:tc>
      </w:tr>
    </w:tbl>
    <w:p w:rsidR="00303266" w:rsidRPr="00111D82" w:rsidRDefault="00303266" w:rsidP="00CD7669">
      <w:pPr>
        <w:rPr>
          <w:rFonts w:ascii="Times New Roman" w:hAnsi="Times New Roman"/>
          <w:b/>
          <w:sz w:val="24"/>
          <w:szCs w:val="24"/>
          <w:u w:val="single"/>
        </w:rPr>
      </w:pPr>
    </w:p>
    <w:p w:rsidR="00722821" w:rsidRPr="00111D82" w:rsidRDefault="00CD7669">
      <w:pPr>
        <w:jc w:val="both"/>
        <w:rPr>
          <w:rFonts w:ascii="Times New Roman" w:hAnsi="Times New Roman"/>
          <w:sz w:val="24"/>
          <w:szCs w:val="24"/>
          <w:u w:val="single"/>
        </w:rPr>
      </w:pPr>
      <w:r w:rsidRPr="00111D82">
        <w:rPr>
          <w:rFonts w:ascii="Times New Roman" w:hAnsi="Times New Roman"/>
          <w:sz w:val="24"/>
          <w:szCs w:val="24"/>
          <w:u w:val="single"/>
        </w:rPr>
        <w:t>Program Details</w:t>
      </w:r>
    </w:p>
    <w:p w:rsidR="00FC7F1C" w:rsidRPr="00111D82" w:rsidRDefault="00CD7669" w:rsidP="00712937">
      <w:pPr>
        <w:jc w:val="both"/>
        <w:rPr>
          <w:rFonts w:ascii="Times New Roman" w:hAnsi="Times New Roman"/>
          <w:sz w:val="24"/>
          <w:szCs w:val="24"/>
        </w:rPr>
        <w:sectPr w:rsidR="00FC7F1C" w:rsidRPr="00111D82" w:rsidSect="00735A6B">
          <w:pgSz w:w="12240" w:h="15840" w:code="1"/>
          <w:pgMar w:top="1440" w:right="1080" w:bottom="1440" w:left="1440" w:header="720" w:footer="720" w:gutter="0"/>
          <w:cols w:space="720"/>
          <w:docGrid w:linePitch="360"/>
        </w:sectPr>
      </w:pPr>
      <w:r w:rsidRPr="00111D82">
        <w:rPr>
          <w:rFonts w:ascii="Times New Roman" w:hAnsi="Times New Roman"/>
          <w:sz w:val="24"/>
          <w:szCs w:val="24"/>
        </w:rPr>
        <w:t>Details for this program are contained in the program tariff. Any changes to the details included in the program tariff must be filed and approved by the Commission prior to becoming effective.</w:t>
      </w:r>
    </w:p>
    <w:p w:rsidR="00263789" w:rsidRPr="00817A76" w:rsidRDefault="000A75FE" w:rsidP="00263789">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23" o:spid="_x0000_s1035" type="#_x0000_t32" style="position:absolute;margin-left:382.5pt;margin-top:-19.45pt;width:0;height:104.8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z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"/>
        </w:pict>
      </w:r>
      <w:r w:rsidR="00263789">
        <w:rPr>
          <w:rFonts w:ascii="Arial" w:hAnsi="Arial" w:cs="Arial"/>
          <w:b/>
          <w:noProof/>
          <w:sz w:val="24"/>
          <w:szCs w:val="24"/>
        </w:rPr>
        <w:t>PACIFIC POWER &amp; LIGHT COMPANY</w:t>
      </w:r>
    </w:p>
    <w:p w:rsidR="00263789" w:rsidRDefault="00263789" w:rsidP="00263789">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263789" w:rsidRDefault="00263789" w:rsidP="00263789">
      <w:pPr>
        <w:tabs>
          <w:tab w:val="left" w:pos="7200"/>
        </w:tabs>
        <w:ind w:right="2160"/>
        <w:jc w:val="right"/>
        <w:rPr>
          <w:rFonts w:ascii="Arial" w:hAnsi="Arial" w:cs="Arial"/>
          <w:sz w:val="20"/>
        </w:rPr>
      </w:pPr>
    </w:p>
    <w:p w:rsidR="00263789" w:rsidRDefault="00263789" w:rsidP="00263789">
      <w:pPr>
        <w:tabs>
          <w:tab w:val="left" w:pos="7200"/>
        </w:tabs>
        <w:ind w:right="2160"/>
        <w:jc w:val="right"/>
        <w:rPr>
          <w:rFonts w:ascii="Arial" w:hAnsi="Arial" w:cs="Arial"/>
          <w:sz w:val="20"/>
        </w:rPr>
      </w:pPr>
      <w:r>
        <w:rPr>
          <w:rFonts w:ascii="Arial" w:hAnsi="Arial" w:cs="Arial"/>
          <w:sz w:val="20"/>
        </w:rPr>
        <w:t>Original Sheet No. 114.1</w:t>
      </w:r>
    </w:p>
    <w:p w:rsidR="0069608B" w:rsidRDefault="00263789">
      <w:pPr>
        <w:rPr>
          <w:rFonts w:ascii="Arial" w:hAnsi="Arial" w:cs="Arial"/>
          <w:b/>
          <w:sz w:val="24"/>
          <w:szCs w:val="24"/>
        </w:rPr>
      </w:pPr>
      <w:r>
        <w:rPr>
          <w:rFonts w:ascii="Arial" w:hAnsi="Arial" w:cs="Arial"/>
          <w:b/>
          <w:sz w:val="24"/>
          <w:szCs w:val="24"/>
        </w:rPr>
        <w:t>Schedule 114</w:t>
      </w:r>
    </w:p>
    <w:p w:rsidR="00263789" w:rsidRDefault="00263789" w:rsidP="00263789">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263789" w:rsidRDefault="00263789" w:rsidP="00263789">
      <w:pPr>
        <w:pBdr>
          <w:bottom w:val="single" w:sz="12" w:space="1" w:color="auto"/>
        </w:pBdr>
        <w:rPr>
          <w:rFonts w:ascii="Arial" w:hAnsi="Arial" w:cs="Arial"/>
          <w:b/>
          <w:sz w:val="20"/>
        </w:rPr>
      </w:pPr>
      <w:r>
        <w:rPr>
          <w:rFonts w:ascii="Arial" w:hAnsi="Arial" w:cs="Arial"/>
          <w:b/>
          <w:sz w:val="20"/>
        </w:rPr>
        <w:t>LOW INCOME CUSTOMERS</w:t>
      </w:r>
    </w:p>
    <w:p w:rsidR="0026790D" w:rsidRDefault="0026790D" w:rsidP="004A79FF">
      <w:pPr>
        <w:jc w:val="both"/>
        <w:rPr>
          <w:rFonts w:ascii="Arial" w:hAnsi="Arial" w:cs="Arial"/>
          <w:sz w:val="20"/>
          <w:u w:val="single"/>
        </w:rPr>
      </w:pPr>
    </w:p>
    <w:p w:rsidR="004A79FF" w:rsidRPr="00111D82" w:rsidRDefault="004A79FF" w:rsidP="004A79FF">
      <w:pPr>
        <w:jc w:val="both"/>
        <w:rPr>
          <w:rFonts w:ascii="Arial" w:hAnsi="Arial" w:cs="Arial"/>
          <w:sz w:val="20"/>
        </w:rPr>
      </w:pPr>
      <w:r w:rsidRPr="00111D82">
        <w:rPr>
          <w:rFonts w:ascii="Arial" w:hAnsi="Arial" w:cs="Arial"/>
          <w:sz w:val="20"/>
          <w:u w:val="single"/>
        </w:rPr>
        <w:t>PURPOSE</w:t>
      </w:r>
      <w:r w:rsidRPr="00111D82">
        <w:rPr>
          <w:rFonts w:ascii="Arial" w:hAnsi="Arial" w:cs="Arial"/>
          <w:sz w:val="20"/>
        </w:rPr>
        <w:t>:</w:t>
      </w:r>
    </w:p>
    <w:p w:rsidR="004A79FF" w:rsidRPr="00111D82" w:rsidRDefault="004A79FF" w:rsidP="004A79FF">
      <w:pPr>
        <w:jc w:val="both"/>
        <w:rPr>
          <w:rFonts w:ascii="Arial" w:hAnsi="Arial" w:cs="Arial"/>
          <w:sz w:val="20"/>
        </w:rPr>
      </w:pPr>
      <w:r w:rsidRPr="00111D82">
        <w:rPr>
          <w:rFonts w:ascii="Arial" w:hAnsi="Arial" w:cs="Arial"/>
          <w:sz w:val="20"/>
        </w:rPr>
        <w:tab/>
        <w:t>Service under this schedule is intended to maximize the efficient utilization of the electricity requirement of existing residential dwellings inhabited by customers that meet income guidelines through the installation of permanent energy efficient materials.</w:t>
      </w:r>
    </w:p>
    <w:p w:rsidR="004A79FF" w:rsidRPr="00111D82" w:rsidRDefault="004A79FF" w:rsidP="004A79FF">
      <w:pPr>
        <w:jc w:val="both"/>
        <w:rPr>
          <w:rFonts w:ascii="Arial" w:hAnsi="Arial" w:cs="Arial"/>
          <w:sz w:val="20"/>
        </w:rPr>
      </w:pPr>
    </w:p>
    <w:p w:rsidR="004A79FF" w:rsidRPr="00111D82" w:rsidRDefault="004A79FF" w:rsidP="004A79FF">
      <w:pPr>
        <w:jc w:val="both"/>
        <w:rPr>
          <w:rFonts w:ascii="Arial" w:hAnsi="Arial" w:cs="Arial"/>
          <w:sz w:val="20"/>
        </w:rPr>
      </w:pPr>
      <w:r w:rsidRPr="00111D82">
        <w:rPr>
          <w:rFonts w:ascii="Arial" w:hAnsi="Arial" w:cs="Arial"/>
          <w:sz w:val="20"/>
          <w:u w:val="single"/>
        </w:rPr>
        <w:t>APPLICABLE</w:t>
      </w:r>
      <w:r w:rsidRPr="00111D82">
        <w:rPr>
          <w:rFonts w:ascii="Arial" w:hAnsi="Arial" w:cs="Arial"/>
          <w:sz w:val="20"/>
        </w:rPr>
        <w:t>:</w:t>
      </w:r>
    </w:p>
    <w:p w:rsidR="004A79FF" w:rsidRPr="00111D82" w:rsidRDefault="004A79FF" w:rsidP="004A79FF">
      <w:pPr>
        <w:jc w:val="both"/>
        <w:rPr>
          <w:rFonts w:ascii="Arial" w:hAnsi="Arial" w:cs="Arial"/>
          <w:sz w:val="20"/>
        </w:rPr>
      </w:pPr>
      <w:r w:rsidRPr="00111D82">
        <w:rPr>
          <w:rFonts w:ascii="Arial" w:hAnsi="Arial" w:cs="Arial"/>
          <w:sz w:val="20"/>
        </w:rPr>
        <w:tab/>
        <w:t xml:space="preserve">To residential Customers residing in single family, multi-family and manufactured home dwellings billed under Schedule 16 or Schedule 17 in all territory served by the Company in the State of Washington.  This schedule is applicable to existing dwellings built before July 1, 1991 with permanently installed operable electric space heating designed to heat the living space of the dwelling, except as noted under the energy efficient measures section of this tariff. </w:t>
      </w:r>
    </w:p>
    <w:p w:rsidR="004A79FF" w:rsidRPr="00111D82" w:rsidRDefault="004A79FF" w:rsidP="004A79FF">
      <w:pPr>
        <w:jc w:val="both"/>
        <w:rPr>
          <w:rFonts w:ascii="Arial" w:hAnsi="Arial" w:cs="Arial"/>
          <w:sz w:val="20"/>
        </w:rPr>
      </w:pPr>
    </w:p>
    <w:p w:rsidR="004A79FF" w:rsidRPr="00111D82" w:rsidRDefault="004A79FF" w:rsidP="004A79FF">
      <w:pPr>
        <w:jc w:val="both"/>
        <w:rPr>
          <w:rFonts w:ascii="Arial" w:hAnsi="Arial" w:cs="Arial"/>
          <w:sz w:val="20"/>
        </w:rPr>
      </w:pPr>
      <w:r w:rsidRPr="00111D82">
        <w:rPr>
          <w:rFonts w:ascii="Arial" w:hAnsi="Arial" w:cs="Arial"/>
          <w:sz w:val="20"/>
          <w:u w:val="single"/>
        </w:rPr>
        <w:t>DESCRIPTION</w:t>
      </w:r>
      <w:r w:rsidRPr="00111D82">
        <w:rPr>
          <w:rFonts w:ascii="Arial" w:hAnsi="Arial" w:cs="Arial"/>
          <w:sz w:val="20"/>
        </w:rPr>
        <w:t>:</w:t>
      </w:r>
    </w:p>
    <w:p w:rsidR="004A79FF" w:rsidRPr="00111D82" w:rsidRDefault="004A79FF" w:rsidP="004A79FF">
      <w:pPr>
        <w:jc w:val="both"/>
        <w:rPr>
          <w:rFonts w:ascii="Arial" w:hAnsi="Arial" w:cs="Arial"/>
          <w:sz w:val="20"/>
        </w:rPr>
      </w:pPr>
      <w:r w:rsidRPr="00111D82">
        <w:rPr>
          <w:rFonts w:ascii="Arial" w:hAnsi="Arial" w:cs="Arial"/>
          <w:sz w:val="20"/>
        </w:rPr>
        <w:tab/>
        <w:t xml:space="preserve">Service under this program is available to improve the energy efficiency of applicable residential dwellings connected to Company's system.  The decision to extend service under this schedule shall be based on eligibility requirements contained herein.  </w:t>
      </w:r>
    </w:p>
    <w:p w:rsidR="004A79FF" w:rsidRPr="00111D82" w:rsidRDefault="004A79FF" w:rsidP="004A79FF">
      <w:pPr>
        <w:jc w:val="both"/>
        <w:rPr>
          <w:rFonts w:ascii="Arial" w:hAnsi="Arial" w:cs="Arial"/>
          <w:sz w:val="20"/>
        </w:rPr>
      </w:pPr>
    </w:p>
    <w:p w:rsidR="004A79FF" w:rsidRPr="00111D82" w:rsidRDefault="004A79FF" w:rsidP="004A79FF">
      <w:pPr>
        <w:jc w:val="both"/>
        <w:rPr>
          <w:rFonts w:ascii="Arial" w:hAnsi="Arial" w:cs="Arial"/>
          <w:sz w:val="20"/>
        </w:rPr>
      </w:pPr>
      <w:r w:rsidRPr="00111D82">
        <w:rPr>
          <w:rFonts w:ascii="Arial" w:hAnsi="Arial" w:cs="Arial"/>
          <w:sz w:val="20"/>
          <w:u w:val="single"/>
        </w:rPr>
        <w:t>DEFINITIONS</w:t>
      </w:r>
      <w:r w:rsidRPr="00111D82">
        <w:rPr>
          <w:rFonts w:ascii="Arial" w:hAnsi="Arial" w:cs="Arial"/>
          <w:sz w:val="20"/>
        </w:rPr>
        <w:t>:</w:t>
      </w:r>
    </w:p>
    <w:p w:rsidR="004A79FF" w:rsidRPr="00111D82" w:rsidRDefault="004A79FF" w:rsidP="004A79FF">
      <w:pPr>
        <w:ind w:left="720" w:hanging="720"/>
        <w:jc w:val="both"/>
        <w:rPr>
          <w:rFonts w:ascii="Arial" w:hAnsi="Arial" w:cs="Arial"/>
          <w:sz w:val="20"/>
        </w:rPr>
      </w:pPr>
      <w:r w:rsidRPr="00111D82">
        <w:rPr>
          <w:rFonts w:ascii="Arial" w:hAnsi="Arial" w:cs="Arial"/>
          <w:sz w:val="20"/>
        </w:rPr>
        <w:t>(1)</w:t>
      </w:r>
      <w:r w:rsidRPr="00111D82">
        <w:rPr>
          <w:rFonts w:ascii="Arial" w:hAnsi="Arial" w:cs="Arial"/>
          <w:sz w:val="20"/>
        </w:rPr>
        <w:tab/>
        <w:t>"Dwelling" means real or personal property within the state inhabited as the principal residence of a dwelling owner or a tenant.  "Dwelling" includes a manufactured home, a single-family home, duplex or multi-unit residential housing.  "Dwelling" does not include a recreational vehicle.</w:t>
      </w:r>
    </w:p>
    <w:p w:rsidR="004A79FF" w:rsidRPr="00111D82" w:rsidRDefault="004A79FF" w:rsidP="004A79FF">
      <w:pPr>
        <w:ind w:left="720" w:hanging="720"/>
        <w:jc w:val="both"/>
        <w:rPr>
          <w:rFonts w:ascii="Arial" w:hAnsi="Arial" w:cs="Arial"/>
          <w:sz w:val="20"/>
        </w:rPr>
      </w:pPr>
    </w:p>
    <w:p w:rsidR="004A79FF" w:rsidRPr="00111D82" w:rsidRDefault="004A79FF" w:rsidP="004A79FF">
      <w:pPr>
        <w:ind w:left="1440" w:hanging="720"/>
        <w:jc w:val="both"/>
        <w:rPr>
          <w:rFonts w:ascii="Arial" w:hAnsi="Arial" w:cs="Arial"/>
          <w:sz w:val="20"/>
        </w:rPr>
      </w:pPr>
      <w:r w:rsidRPr="00111D82">
        <w:rPr>
          <w:rFonts w:ascii="Arial" w:hAnsi="Arial" w:cs="Arial"/>
          <w:sz w:val="20"/>
        </w:rPr>
        <w:t>(a)</w:t>
      </w:r>
      <w:r w:rsidRPr="00111D82">
        <w:rPr>
          <w:rFonts w:ascii="Arial" w:hAnsi="Arial" w:cs="Arial"/>
          <w:sz w:val="20"/>
        </w:rPr>
        <w:tab/>
        <w:t>Duplexes and fourplexes are eligible if at least one half of the dwelling is occupied by low income tenants.</w:t>
      </w:r>
    </w:p>
    <w:p w:rsidR="004A79FF" w:rsidRPr="00111D82" w:rsidRDefault="004A79FF" w:rsidP="004A79FF">
      <w:pPr>
        <w:ind w:left="1440" w:hanging="720"/>
        <w:jc w:val="both"/>
        <w:rPr>
          <w:rFonts w:ascii="Arial" w:hAnsi="Arial" w:cs="Arial"/>
          <w:sz w:val="20"/>
        </w:rPr>
      </w:pPr>
    </w:p>
    <w:p w:rsidR="004A79FF" w:rsidRPr="00111D82" w:rsidRDefault="004A79FF" w:rsidP="004A79FF">
      <w:pPr>
        <w:ind w:left="1440" w:hanging="720"/>
        <w:jc w:val="both"/>
        <w:rPr>
          <w:rFonts w:ascii="Arial" w:hAnsi="Arial" w:cs="Arial"/>
          <w:sz w:val="20"/>
        </w:rPr>
      </w:pPr>
      <w:r w:rsidRPr="00111D82">
        <w:rPr>
          <w:rFonts w:ascii="Arial" w:hAnsi="Arial" w:cs="Arial"/>
          <w:sz w:val="20"/>
        </w:rPr>
        <w:t>(b)</w:t>
      </w:r>
      <w:r w:rsidRPr="00111D82">
        <w:rPr>
          <w:rFonts w:ascii="Arial" w:hAnsi="Arial" w:cs="Arial"/>
          <w:sz w:val="20"/>
        </w:rPr>
        <w:tab/>
        <w:t>Triplexes and multi-family dwellings are eligible if at least 66% of the units are occupied by low income tenants.</w:t>
      </w:r>
    </w:p>
    <w:p w:rsidR="004A79FF" w:rsidRPr="00111D82" w:rsidRDefault="004A79FF" w:rsidP="004A79FF">
      <w:pPr>
        <w:ind w:left="720" w:hanging="720"/>
        <w:jc w:val="both"/>
        <w:rPr>
          <w:rFonts w:ascii="Arial" w:hAnsi="Arial" w:cs="Arial"/>
          <w:sz w:val="20"/>
        </w:rPr>
      </w:pPr>
    </w:p>
    <w:p w:rsidR="004A79FF" w:rsidRPr="00111D82" w:rsidRDefault="004A79FF" w:rsidP="004A79FF">
      <w:pPr>
        <w:ind w:left="720" w:hanging="720"/>
        <w:jc w:val="both"/>
        <w:rPr>
          <w:rFonts w:ascii="Arial" w:hAnsi="Arial" w:cs="Arial"/>
          <w:sz w:val="20"/>
        </w:rPr>
      </w:pPr>
      <w:r w:rsidRPr="00111D82">
        <w:rPr>
          <w:rFonts w:ascii="Arial" w:hAnsi="Arial" w:cs="Arial"/>
          <w:sz w:val="20"/>
        </w:rPr>
        <w:t>(2)</w:t>
      </w:r>
      <w:r w:rsidRPr="00111D82">
        <w:rPr>
          <w:rFonts w:ascii="Arial" w:hAnsi="Arial" w:cs="Arial"/>
          <w:sz w:val="20"/>
        </w:rPr>
        <w:tab/>
        <w:t>"Agency" means a non-profit group, Municipality or County authorized to receive funds for installation of weatherization materials in low income properties.</w:t>
      </w:r>
    </w:p>
    <w:p w:rsidR="004A79FF" w:rsidRPr="00111D82" w:rsidRDefault="004A79FF" w:rsidP="004A79FF">
      <w:pPr>
        <w:ind w:left="720" w:hanging="720"/>
        <w:jc w:val="both"/>
        <w:rPr>
          <w:rFonts w:ascii="Arial" w:hAnsi="Arial" w:cs="Arial"/>
          <w:sz w:val="20"/>
        </w:rPr>
      </w:pPr>
    </w:p>
    <w:p w:rsidR="004A79FF" w:rsidRPr="00111D82" w:rsidRDefault="004A79FF" w:rsidP="004A79FF">
      <w:pPr>
        <w:ind w:left="720" w:hanging="720"/>
        <w:rPr>
          <w:rFonts w:ascii="Arial" w:hAnsi="Arial" w:cs="Arial"/>
          <w:sz w:val="20"/>
        </w:rPr>
      </w:pPr>
      <w:r w:rsidRPr="00111D82">
        <w:rPr>
          <w:rFonts w:ascii="Arial" w:hAnsi="Arial" w:cs="Arial"/>
          <w:sz w:val="20"/>
        </w:rPr>
        <w:t>(3)</w:t>
      </w:r>
      <w:r w:rsidRPr="00111D82">
        <w:rPr>
          <w:rFonts w:ascii="Arial" w:hAnsi="Arial" w:cs="Arial"/>
          <w:sz w:val="20"/>
        </w:rPr>
        <w:tab/>
        <w:t>"Energy Audit" means a service provided by the Agency that includes the measurement and analysis of the energy efficiency of a dwelling including energy savings potential that would result from installing energy efficient measures that are determined to be cost effective.</w:t>
      </w:r>
    </w:p>
    <w:p w:rsidR="004A79FF" w:rsidRPr="00111D82" w:rsidRDefault="004A79FF" w:rsidP="004A79FF">
      <w:pPr>
        <w:rPr>
          <w:rFonts w:ascii="Arial" w:hAnsi="Arial" w:cs="Arial"/>
          <w:sz w:val="20"/>
        </w:rPr>
      </w:pPr>
    </w:p>
    <w:p w:rsidR="004A79FF" w:rsidRPr="00111D82" w:rsidRDefault="004A79FF" w:rsidP="004A79FF">
      <w:pPr>
        <w:spacing w:line="220" w:lineRule="exact"/>
        <w:ind w:left="720" w:hanging="720"/>
        <w:jc w:val="both"/>
        <w:rPr>
          <w:rFonts w:ascii="Arial" w:hAnsi="Arial" w:cs="Arial"/>
          <w:sz w:val="20"/>
        </w:rPr>
      </w:pPr>
      <w:r w:rsidRPr="00111D82">
        <w:rPr>
          <w:rFonts w:ascii="Arial" w:hAnsi="Arial" w:cs="Arial"/>
          <w:sz w:val="20"/>
        </w:rPr>
        <w:t>(4)</w:t>
      </w:r>
      <w:r w:rsidRPr="00111D82">
        <w:rPr>
          <w:rFonts w:ascii="Arial" w:hAnsi="Arial" w:cs="Arial"/>
          <w:sz w:val="20"/>
        </w:rPr>
        <w:tab/>
        <w:t xml:space="preserve">“Low Income” means households qualifying under the federal low income guidelines and certified for eligibility according to agency procedure.  </w:t>
      </w:r>
    </w:p>
    <w:p w:rsidR="004A79FF" w:rsidRPr="00111D82" w:rsidRDefault="004A79FF" w:rsidP="004A79FF">
      <w:pPr>
        <w:spacing w:line="220" w:lineRule="exact"/>
        <w:ind w:left="720" w:hanging="720"/>
        <w:jc w:val="both"/>
        <w:rPr>
          <w:rFonts w:ascii="Arial" w:hAnsi="Arial" w:cs="Arial"/>
          <w:sz w:val="20"/>
        </w:rPr>
      </w:pPr>
    </w:p>
    <w:p w:rsidR="004A79FF" w:rsidRPr="00111D82" w:rsidRDefault="004A79FF" w:rsidP="004A79FF">
      <w:pPr>
        <w:spacing w:line="220" w:lineRule="exact"/>
        <w:ind w:left="720" w:hanging="720"/>
        <w:jc w:val="both"/>
        <w:rPr>
          <w:rFonts w:ascii="Arial" w:hAnsi="Arial" w:cs="Arial"/>
          <w:sz w:val="20"/>
        </w:rPr>
      </w:pPr>
      <w:r w:rsidRPr="00111D82">
        <w:rPr>
          <w:rFonts w:ascii="Arial" w:hAnsi="Arial" w:cs="Arial"/>
          <w:sz w:val="20"/>
        </w:rPr>
        <w:t>(5)</w:t>
      </w:r>
      <w:r w:rsidRPr="00111D82">
        <w:rPr>
          <w:rFonts w:ascii="Arial" w:hAnsi="Arial" w:cs="Arial"/>
          <w:sz w:val="20"/>
        </w:rPr>
        <w:tab/>
        <w:t>“Major Measures” means ceiling insulation, wall insulation and floor insulation applicable in dwellings with permanently installed electric space heating systems.  If physical barriers exist that prohibit the installation of a measure, then the measure is not required as a condition for financial assistance under this schedule.</w:t>
      </w:r>
    </w:p>
    <w:p w:rsidR="00D822B6" w:rsidRDefault="001D7972">
      <w:pPr>
        <w:rPr>
          <w:rFonts w:ascii="Arial" w:hAnsi="Arial" w:cs="Arial"/>
          <w:sz w:val="20"/>
          <w:u w:val="single"/>
        </w:rPr>
        <w:sectPr w:rsidR="00D822B6" w:rsidSect="001D7972">
          <w:headerReference w:type="even" r:id="rId31"/>
          <w:headerReference w:type="default" r:id="rId32"/>
          <w:footerReference w:type="even" r:id="rId33"/>
          <w:footerReference w:type="default" r:id="rId34"/>
          <w:pgSz w:w="12240" w:h="15840" w:code="1"/>
          <w:pgMar w:top="720" w:right="1440" w:bottom="720" w:left="1440" w:header="720" w:footer="720" w:gutter="0"/>
          <w:cols w:space="720"/>
          <w:docGrid w:linePitch="360"/>
        </w:sectPr>
      </w:pPr>
      <w:r>
        <w:rPr>
          <w:rFonts w:ascii="Arial" w:hAnsi="Arial" w:cs="Arial"/>
          <w:sz w:val="20"/>
          <w:u w:val="single"/>
        </w:rPr>
        <w:br w:type="page"/>
      </w:r>
    </w:p>
    <w:p w:rsidR="001D7972" w:rsidRDefault="001D7972">
      <w:pPr>
        <w:rPr>
          <w:rFonts w:ascii="Arial" w:hAnsi="Arial" w:cs="Arial"/>
          <w:sz w:val="20"/>
          <w:u w:val="single"/>
        </w:rPr>
      </w:pPr>
    </w:p>
    <w:p w:rsidR="004A79FF" w:rsidRPr="00111D82" w:rsidRDefault="004A79FF" w:rsidP="004A79FF">
      <w:pPr>
        <w:spacing w:line="220" w:lineRule="exact"/>
        <w:jc w:val="both"/>
        <w:rPr>
          <w:rFonts w:ascii="Arial" w:hAnsi="Arial" w:cs="Arial"/>
          <w:sz w:val="20"/>
        </w:rPr>
      </w:pPr>
      <w:r w:rsidRPr="00111D82">
        <w:rPr>
          <w:rFonts w:ascii="Arial" w:hAnsi="Arial" w:cs="Arial"/>
          <w:sz w:val="20"/>
          <w:u w:val="single"/>
        </w:rPr>
        <w:t>DEFINITIONS</w:t>
      </w:r>
      <w:r w:rsidRPr="00111D82">
        <w:rPr>
          <w:rFonts w:ascii="Arial" w:hAnsi="Arial" w:cs="Arial"/>
          <w:sz w:val="20"/>
        </w:rPr>
        <w:t>: (Continued)</w:t>
      </w:r>
    </w:p>
    <w:p w:rsidR="004A79FF" w:rsidRPr="00111D82" w:rsidRDefault="004A79FF" w:rsidP="004A79FF">
      <w:pPr>
        <w:pStyle w:val="BodyTextIndent"/>
        <w:ind w:left="720" w:hanging="720"/>
        <w:rPr>
          <w:rFonts w:ascii="Arial" w:hAnsi="Arial" w:cs="Arial"/>
          <w:sz w:val="20"/>
        </w:rPr>
      </w:pPr>
      <w:r w:rsidRPr="00111D82">
        <w:rPr>
          <w:rFonts w:ascii="Arial" w:hAnsi="Arial" w:cs="Arial"/>
          <w:sz w:val="20"/>
        </w:rPr>
        <w:t>(6)</w:t>
      </w:r>
      <w:r w:rsidRPr="00111D82">
        <w:rPr>
          <w:rFonts w:ascii="Arial" w:hAnsi="Arial" w:cs="Arial"/>
          <w:sz w:val="20"/>
        </w:rPr>
        <w:tab/>
        <w:t>“Supplemental Measures” are not required measures under this schedule, but may qualify for a Company reimbursement based on audit results.</w:t>
      </w:r>
    </w:p>
    <w:p w:rsidR="004A79FF" w:rsidRPr="00111D82" w:rsidRDefault="004A79FF" w:rsidP="004A79FF">
      <w:pPr>
        <w:spacing w:line="220" w:lineRule="exact"/>
        <w:ind w:left="720" w:hanging="720"/>
        <w:jc w:val="both"/>
        <w:rPr>
          <w:rFonts w:ascii="Arial" w:hAnsi="Arial" w:cs="Arial"/>
          <w:sz w:val="20"/>
        </w:rPr>
      </w:pPr>
    </w:p>
    <w:p w:rsidR="004A79FF" w:rsidRPr="00111D82" w:rsidRDefault="004A79FF" w:rsidP="004A79FF">
      <w:pPr>
        <w:spacing w:line="220" w:lineRule="exact"/>
        <w:ind w:left="720" w:hanging="720"/>
        <w:jc w:val="both"/>
        <w:rPr>
          <w:rFonts w:ascii="Arial" w:hAnsi="Arial" w:cs="Arial"/>
          <w:sz w:val="20"/>
        </w:rPr>
      </w:pPr>
      <w:r w:rsidRPr="00111D82">
        <w:rPr>
          <w:rFonts w:ascii="Arial" w:hAnsi="Arial" w:cs="Arial"/>
          <w:sz w:val="20"/>
        </w:rPr>
        <w:t>(7)</w:t>
      </w:r>
      <w:r w:rsidRPr="00111D82">
        <w:rPr>
          <w:rFonts w:ascii="Arial" w:hAnsi="Arial" w:cs="Arial"/>
          <w:sz w:val="20"/>
        </w:rPr>
        <w:tab/>
        <w:t>The “Energy Matchmaker Program” in the State of Washington is designed to increase resources for low-income weatherization by leveraging local matching dollars.  A community based agency can access the Energy Matchmaker funds by providing a dollar-for-dollar match.  Anticipated match providers include utilities, local governments, service organizations and rental housing owners. All measures installed under the Pacific Power Program must also be eligible under the Energy Matchmaker Program.</w:t>
      </w:r>
    </w:p>
    <w:p w:rsidR="004A79FF" w:rsidRPr="00111D82" w:rsidRDefault="004A79FF" w:rsidP="004A79FF">
      <w:pPr>
        <w:spacing w:line="220" w:lineRule="exact"/>
        <w:ind w:left="720" w:hanging="720"/>
        <w:jc w:val="both"/>
        <w:rPr>
          <w:rFonts w:ascii="Arial" w:hAnsi="Arial" w:cs="Arial"/>
          <w:sz w:val="20"/>
        </w:rPr>
      </w:pPr>
    </w:p>
    <w:p w:rsidR="004A79FF" w:rsidRPr="00111D82" w:rsidRDefault="004A79FF" w:rsidP="004A79FF">
      <w:pPr>
        <w:spacing w:line="220" w:lineRule="exact"/>
        <w:ind w:left="720" w:hanging="720"/>
        <w:jc w:val="both"/>
        <w:rPr>
          <w:rFonts w:ascii="Arial" w:hAnsi="Arial" w:cs="Arial"/>
          <w:sz w:val="20"/>
        </w:rPr>
      </w:pPr>
      <w:r w:rsidRPr="00111D82">
        <w:rPr>
          <w:rFonts w:ascii="Arial" w:hAnsi="Arial" w:cs="Arial"/>
          <w:sz w:val="20"/>
          <w:u w:val="single"/>
        </w:rPr>
        <w:t>FINANCIAL ASSISTANCE</w:t>
      </w:r>
      <w:r w:rsidRPr="00111D82">
        <w:rPr>
          <w:rFonts w:ascii="Arial" w:hAnsi="Arial" w:cs="Arial"/>
          <w:sz w:val="20"/>
        </w:rPr>
        <w:t>:</w:t>
      </w:r>
    </w:p>
    <w:p w:rsidR="004A79FF" w:rsidRPr="00111D82" w:rsidRDefault="004A79FF" w:rsidP="004A79FF">
      <w:pPr>
        <w:ind w:left="810" w:hanging="810"/>
        <w:jc w:val="both"/>
        <w:rPr>
          <w:rFonts w:ascii="Arial" w:hAnsi="Arial" w:cs="Arial"/>
          <w:sz w:val="20"/>
        </w:rPr>
      </w:pPr>
      <w:r w:rsidRPr="00111D82">
        <w:rPr>
          <w:rFonts w:ascii="Arial" w:hAnsi="Arial" w:cs="Arial"/>
          <w:sz w:val="20"/>
        </w:rPr>
        <w:t>(1)</w:t>
      </w:r>
      <w:r w:rsidRPr="00111D82">
        <w:rPr>
          <w:rFonts w:ascii="Arial" w:hAnsi="Arial" w:cs="Arial"/>
          <w:sz w:val="20"/>
        </w:rPr>
        <w:tab/>
      </w:r>
      <w:r w:rsidRPr="00111D82">
        <w:rPr>
          <w:rFonts w:ascii="Arial" w:hAnsi="Arial" w:cs="Arial"/>
          <w:snapToGrid w:val="0"/>
          <w:sz w:val="20"/>
        </w:rPr>
        <w:t xml:space="preserve">The Company will reimburse the "Agency" 50% of the installed cost of all eligible Energy Efficient Measures listed in this tariff. </w:t>
      </w:r>
      <w:r w:rsidRPr="00111D82">
        <w:rPr>
          <w:rFonts w:ascii="Arial" w:hAnsi="Arial" w:cs="Arial"/>
          <w:sz w:val="20"/>
        </w:rPr>
        <w:t>If Matchmaker Program participating Agencies exhaust Matchmaker Funds, Company will fund “Agency” 100% of costs associated with the installation of eligible Energy Efficient Measures. Measures will be determined to be cost effective (Savings to Investment Ratio of 1.0 or greater) through the results of an U.S. Department of Energy (DOE) approved audit.  Financial assistance will be provided one time only on any individual major or supplemental measure, and up to two times per dwelling.</w:t>
      </w:r>
    </w:p>
    <w:p w:rsidR="004A79FF" w:rsidRPr="00111D82" w:rsidRDefault="004A79FF" w:rsidP="004A79FF">
      <w:pPr>
        <w:spacing w:line="220" w:lineRule="exact"/>
        <w:ind w:left="720" w:hanging="720"/>
        <w:jc w:val="both"/>
        <w:rPr>
          <w:rFonts w:ascii="Arial" w:hAnsi="Arial" w:cs="Arial"/>
          <w:sz w:val="20"/>
        </w:rPr>
      </w:pPr>
    </w:p>
    <w:p w:rsidR="004A79FF" w:rsidRPr="00111D82" w:rsidRDefault="004A79FF" w:rsidP="004A79FF">
      <w:pPr>
        <w:spacing w:line="220" w:lineRule="exact"/>
        <w:ind w:left="720" w:hanging="720"/>
        <w:jc w:val="both"/>
        <w:rPr>
          <w:rFonts w:ascii="Arial" w:hAnsi="Arial" w:cs="Arial"/>
          <w:sz w:val="20"/>
        </w:rPr>
      </w:pPr>
      <w:r w:rsidRPr="00111D82">
        <w:rPr>
          <w:rFonts w:ascii="Arial" w:hAnsi="Arial" w:cs="Arial"/>
          <w:sz w:val="20"/>
        </w:rPr>
        <w:t>(2)</w:t>
      </w:r>
      <w:r w:rsidRPr="00111D82">
        <w:rPr>
          <w:rFonts w:ascii="Arial" w:hAnsi="Arial" w:cs="Arial"/>
          <w:sz w:val="20"/>
        </w:rPr>
        <w:tab/>
        <w:t>The Company will reimburse the "Agency" for administrative costs when all major measures determined to be cost effective have been installed.  The administrative reimbursement will be calculated as: 15% of the Pacific Power rebate.</w:t>
      </w:r>
    </w:p>
    <w:p w:rsidR="004A79FF" w:rsidRPr="00111D82" w:rsidRDefault="004A79FF" w:rsidP="004A79FF">
      <w:pPr>
        <w:spacing w:line="220" w:lineRule="exact"/>
        <w:ind w:left="720" w:hanging="720"/>
        <w:jc w:val="both"/>
        <w:rPr>
          <w:rFonts w:ascii="Arial" w:hAnsi="Arial" w:cs="Arial"/>
          <w:sz w:val="20"/>
        </w:rPr>
      </w:pPr>
    </w:p>
    <w:p w:rsidR="004A79FF" w:rsidRPr="00111D82" w:rsidRDefault="004A79FF" w:rsidP="004A79FF">
      <w:pPr>
        <w:pStyle w:val="BodyTextIndent"/>
        <w:tabs>
          <w:tab w:val="decimal" w:pos="-2610"/>
        </w:tabs>
        <w:ind w:left="720" w:hanging="720"/>
        <w:jc w:val="both"/>
        <w:rPr>
          <w:rFonts w:ascii="Arial" w:hAnsi="Arial" w:cs="Arial"/>
          <w:sz w:val="20"/>
        </w:rPr>
      </w:pPr>
      <w:r w:rsidRPr="00111D82">
        <w:rPr>
          <w:rFonts w:ascii="Arial" w:hAnsi="Arial" w:cs="Arial"/>
          <w:sz w:val="20"/>
        </w:rPr>
        <w:t>(3)</w:t>
      </w:r>
      <w:r w:rsidRPr="00111D82">
        <w:rPr>
          <w:rFonts w:ascii="Arial" w:hAnsi="Arial" w:cs="Arial"/>
          <w:sz w:val="20"/>
        </w:rPr>
        <w:tab/>
        <w:t>The Company will reimburse the “Agency” 50% of the installed cost of repairs necessary to make the installation of the energy efficient measures included in this effective tariff.  When matching funds are exhausted funding will be at 100%.  The total reimbursement on repairs available to the “Agency” is limited to 15% of the annual reimbursement on energy efficient measures received.</w:t>
      </w:r>
    </w:p>
    <w:p w:rsidR="004A79FF" w:rsidRPr="00111D82" w:rsidRDefault="004A79FF" w:rsidP="004A79FF">
      <w:pPr>
        <w:pStyle w:val="BodyTextIndent"/>
        <w:ind w:left="720" w:hanging="720"/>
        <w:jc w:val="both"/>
        <w:rPr>
          <w:rFonts w:ascii="Arial" w:hAnsi="Arial" w:cs="Arial"/>
          <w:sz w:val="20"/>
        </w:rPr>
      </w:pPr>
      <w:r w:rsidRPr="00111D82">
        <w:rPr>
          <w:rFonts w:ascii="Arial" w:hAnsi="Arial" w:cs="Arial"/>
          <w:sz w:val="20"/>
        </w:rPr>
        <w:t xml:space="preserve">(4)   </w:t>
      </w:r>
      <w:r w:rsidRPr="00111D82">
        <w:rPr>
          <w:rFonts w:ascii="Arial" w:hAnsi="Arial" w:cs="Arial"/>
          <w:sz w:val="20"/>
        </w:rPr>
        <w:tab/>
        <w:t>Agencies must notify Company when matching funds are depleted, no less   than 30 days prior to billing at 100% funding levels.</w:t>
      </w:r>
    </w:p>
    <w:p w:rsidR="004A79FF" w:rsidRPr="00111D82" w:rsidRDefault="004A79FF" w:rsidP="00ED2D31">
      <w:pPr>
        <w:pStyle w:val="BodyTextIndent"/>
        <w:numPr>
          <w:ilvl w:val="0"/>
          <w:numId w:val="8"/>
        </w:numPr>
        <w:tabs>
          <w:tab w:val="clear" w:pos="720"/>
        </w:tabs>
        <w:spacing w:after="0"/>
        <w:jc w:val="both"/>
        <w:rPr>
          <w:rFonts w:ascii="Arial" w:hAnsi="Arial" w:cs="Arial"/>
          <w:sz w:val="20"/>
        </w:rPr>
      </w:pPr>
      <w:r w:rsidRPr="00111D82">
        <w:rPr>
          <w:rFonts w:ascii="Arial" w:hAnsi="Arial" w:cs="Arial"/>
          <w:sz w:val="20"/>
        </w:rPr>
        <w:t>Total funding for all program components will not exceed $1,000,000 annually.</w:t>
      </w:r>
    </w:p>
    <w:p w:rsidR="004A79FF" w:rsidRPr="00111D82" w:rsidRDefault="004A79FF" w:rsidP="004A79FF">
      <w:pPr>
        <w:pStyle w:val="BodyTextIndent"/>
        <w:spacing w:after="0"/>
        <w:ind w:left="720"/>
        <w:jc w:val="both"/>
        <w:rPr>
          <w:rFonts w:ascii="Arial" w:hAnsi="Arial" w:cs="Arial"/>
          <w:sz w:val="20"/>
        </w:rPr>
      </w:pPr>
    </w:p>
    <w:p w:rsidR="004A79FF" w:rsidRPr="00111D82" w:rsidRDefault="004A79FF" w:rsidP="00ED2D31">
      <w:pPr>
        <w:pStyle w:val="BodyTextIndent"/>
        <w:numPr>
          <w:ilvl w:val="0"/>
          <w:numId w:val="8"/>
        </w:numPr>
        <w:jc w:val="both"/>
        <w:rPr>
          <w:rFonts w:ascii="Arial" w:hAnsi="Arial" w:cs="Arial"/>
          <w:sz w:val="20"/>
        </w:rPr>
      </w:pPr>
      <w:r w:rsidRPr="00111D82">
        <w:rPr>
          <w:rFonts w:ascii="Arial" w:hAnsi="Arial" w:cs="Arial"/>
          <w:sz w:val="20"/>
        </w:rPr>
        <w:t xml:space="preserve">Agencies must invoice the Company within forty-five days of job completion.  </w:t>
      </w:r>
    </w:p>
    <w:p w:rsidR="004A79FF" w:rsidRPr="00111D82" w:rsidRDefault="004A79FF" w:rsidP="004A79FF">
      <w:pPr>
        <w:pStyle w:val="ListParagraph"/>
        <w:rPr>
          <w:rFonts w:ascii="Arial" w:hAnsi="Arial" w:cs="Arial"/>
          <w:sz w:val="20"/>
        </w:rPr>
      </w:pPr>
    </w:p>
    <w:p w:rsidR="004A79FF" w:rsidRPr="00111D82" w:rsidRDefault="004A79FF" w:rsidP="004A79FF">
      <w:pPr>
        <w:rPr>
          <w:rFonts w:ascii="Arial" w:hAnsi="Arial" w:cs="Arial"/>
          <w:sz w:val="20"/>
        </w:rPr>
      </w:pPr>
    </w:p>
    <w:p w:rsidR="00611EAF" w:rsidRDefault="001D7972" w:rsidP="001D7972">
      <w:pPr>
        <w:jc w:val="center"/>
        <w:rPr>
          <w:rFonts w:ascii="Times New Roman" w:hAnsi="Times New Roman"/>
          <w:sz w:val="24"/>
          <w:szCs w:val="24"/>
        </w:rPr>
      </w:pPr>
      <w:r>
        <w:rPr>
          <w:rFonts w:ascii="Times New Roman" w:hAnsi="Times New Roman"/>
          <w:sz w:val="24"/>
          <w:szCs w:val="24"/>
        </w:rPr>
        <w:t>(continued)</w:t>
      </w:r>
    </w:p>
    <w:p w:rsidR="004A79FF" w:rsidRPr="00111D82" w:rsidRDefault="00CD7669" w:rsidP="00CD7669">
      <w:pPr>
        <w:rPr>
          <w:rFonts w:ascii="Times New Roman" w:hAnsi="Times New Roman"/>
          <w:sz w:val="24"/>
          <w:szCs w:val="24"/>
        </w:rPr>
        <w:sectPr w:rsidR="004A79FF" w:rsidRPr="00111D82" w:rsidSect="00D822B6">
          <w:headerReference w:type="default" r:id="rId35"/>
          <w:type w:val="continuous"/>
          <w:pgSz w:w="12240" w:h="15840" w:code="1"/>
          <w:pgMar w:top="720" w:right="1440" w:bottom="720" w:left="1440" w:header="720" w:footer="720" w:gutter="0"/>
          <w:cols w:space="720"/>
          <w:docGrid w:linePitch="360"/>
        </w:sectPr>
      </w:pPr>
      <w:r w:rsidRPr="00111D82">
        <w:rPr>
          <w:rFonts w:ascii="Times New Roman" w:hAnsi="Times New Roman"/>
          <w:sz w:val="24"/>
          <w:szCs w:val="24"/>
        </w:rPr>
        <w:br w:type="page"/>
      </w:r>
    </w:p>
    <w:p w:rsidR="006B7902" w:rsidRPr="00111D82" w:rsidRDefault="006B7902" w:rsidP="006B7902">
      <w:pPr>
        <w:spacing w:before="120"/>
        <w:jc w:val="both"/>
        <w:rPr>
          <w:rFonts w:ascii="Arial" w:hAnsi="Arial" w:cs="Arial"/>
          <w:sz w:val="20"/>
        </w:rPr>
      </w:pPr>
      <w:r w:rsidRPr="00111D82">
        <w:rPr>
          <w:rFonts w:ascii="Arial" w:hAnsi="Arial" w:cs="Arial"/>
          <w:sz w:val="20"/>
          <w:u w:val="single"/>
        </w:rPr>
        <w:t>ENERGY EFFICIENT MEASURES</w:t>
      </w:r>
      <w:r w:rsidRPr="00111D82">
        <w:rPr>
          <w:rFonts w:ascii="Arial" w:hAnsi="Arial" w:cs="Arial"/>
          <w:sz w:val="20"/>
        </w:rPr>
        <w:t>:</w:t>
      </w:r>
    </w:p>
    <w:p w:rsidR="006B7902" w:rsidRPr="00111D82" w:rsidRDefault="006B7902" w:rsidP="006B7902">
      <w:pPr>
        <w:jc w:val="both"/>
        <w:rPr>
          <w:rFonts w:ascii="Arial" w:hAnsi="Arial" w:cs="Arial"/>
          <w:sz w:val="20"/>
        </w:rPr>
      </w:pPr>
      <w:r w:rsidRPr="00111D82">
        <w:rPr>
          <w:rFonts w:ascii="Arial" w:hAnsi="Arial" w:cs="Arial"/>
          <w:sz w:val="20"/>
        </w:rPr>
        <w:tab/>
        <w:t>Financial assistance will be provided based on the results of a cost-effective analysis (Savings to Investment Ratio of 1.0 or greater) through a DOE approved energy audit.  The energy efficient measures eligible for funding must be installed in dwellings with permanently installed operable electric space heat except where noted.  The installation of measures listed as “Always considered cost effective” under Major and Supplemental Measures are not dependent on audit results.  The energy efficient measures that may be eligible for funding are listed as follows along with their estimated measure life where applicable:</w:t>
      </w:r>
    </w:p>
    <w:p w:rsidR="006B7902" w:rsidRPr="00111D82" w:rsidRDefault="006B7902" w:rsidP="006B7902">
      <w:pPr>
        <w:jc w:val="both"/>
        <w:rPr>
          <w:rFonts w:ascii="Arial" w:hAnsi="Arial" w:cs="Arial"/>
          <w:sz w:val="20"/>
        </w:rPr>
      </w:pPr>
    </w:p>
    <w:p w:rsidR="006B7902" w:rsidRPr="00111D82" w:rsidRDefault="006B7902" w:rsidP="006B7902">
      <w:pPr>
        <w:pStyle w:val="BodyTextIndent"/>
        <w:ind w:left="0"/>
        <w:rPr>
          <w:rFonts w:ascii="Arial" w:hAnsi="Arial" w:cs="Arial"/>
          <w:sz w:val="20"/>
        </w:rPr>
      </w:pPr>
      <w:r w:rsidRPr="00111D82">
        <w:rPr>
          <w:rFonts w:ascii="Arial" w:hAnsi="Arial" w:cs="Arial"/>
          <w:sz w:val="20"/>
          <w:u w:val="single"/>
        </w:rPr>
        <w:t>Major Measures:</w:t>
      </w:r>
    </w:p>
    <w:p w:rsidR="006B7902" w:rsidRPr="00111D82" w:rsidRDefault="006B7902" w:rsidP="006B7902">
      <w:pPr>
        <w:pStyle w:val="BodyTextIndent"/>
        <w:ind w:left="720" w:hanging="720"/>
        <w:rPr>
          <w:rFonts w:ascii="Arial" w:hAnsi="Arial" w:cs="Arial"/>
          <w:sz w:val="20"/>
        </w:rPr>
      </w:pPr>
      <w:r w:rsidRPr="00111D82">
        <w:rPr>
          <w:rFonts w:ascii="Arial" w:hAnsi="Arial" w:cs="Arial"/>
          <w:sz w:val="20"/>
        </w:rPr>
        <w:t>(1)</w:t>
      </w:r>
      <w:r w:rsidRPr="00111D82">
        <w:rPr>
          <w:rFonts w:ascii="Arial" w:hAnsi="Arial" w:cs="Arial"/>
          <w:sz w:val="20"/>
        </w:rPr>
        <w:tab/>
        <w:t>Ceiling insulation up to R-49 for ceilings with less than R-30 in place.  R-30 or better attics will not be further insulated:  30 years.</w:t>
      </w:r>
    </w:p>
    <w:p w:rsidR="006B7902" w:rsidRPr="00111D82" w:rsidRDefault="006B7902" w:rsidP="006B7902">
      <w:pPr>
        <w:pStyle w:val="BodyTextIndent"/>
        <w:ind w:left="720"/>
        <w:rPr>
          <w:rFonts w:ascii="Arial" w:hAnsi="Arial" w:cs="Arial"/>
          <w:sz w:val="20"/>
        </w:rPr>
      </w:pPr>
    </w:p>
    <w:p w:rsidR="006B7902" w:rsidRPr="00111D82" w:rsidRDefault="006B7902" w:rsidP="00ED2D31">
      <w:pPr>
        <w:pStyle w:val="BodyTextIndent"/>
        <w:numPr>
          <w:ilvl w:val="0"/>
          <w:numId w:val="9"/>
        </w:numPr>
        <w:spacing w:after="0"/>
        <w:jc w:val="both"/>
        <w:rPr>
          <w:rFonts w:ascii="Arial" w:hAnsi="Arial" w:cs="Arial"/>
          <w:sz w:val="20"/>
        </w:rPr>
      </w:pPr>
      <w:r w:rsidRPr="00111D82">
        <w:rPr>
          <w:rFonts w:ascii="Arial" w:hAnsi="Arial" w:cs="Arial"/>
          <w:sz w:val="20"/>
        </w:rPr>
        <w:t>Floor insulation over unheated spaces up to R-30:  30 years.</w:t>
      </w:r>
    </w:p>
    <w:p w:rsidR="006B7902" w:rsidRPr="00111D82" w:rsidRDefault="006B7902" w:rsidP="006B7902">
      <w:pPr>
        <w:pStyle w:val="BodyTextIndent"/>
        <w:ind w:left="720"/>
        <w:rPr>
          <w:rFonts w:ascii="Arial" w:hAnsi="Arial" w:cs="Arial"/>
          <w:sz w:val="20"/>
        </w:rPr>
      </w:pPr>
    </w:p>
    <w:p w:rsidR="006B7902" w:rsidRPr="00111D82" w:rsidRDefault="006B7902" w:rsidP="006B7902">
      <w:pPr>
        <w:pStyle w:val="BodyTextIndent"/>
        <w:ind w:left="720" w:hanging="720"/>
        <w:rPr>
          <w:rFonts w:ascii="Arial" w:hAnsi="Arial" w:cs="Arial"/>
          <w:sz w:val="20"/>
        </w:rPr>
      </w:pPr>
      <w:r w:rsidRPr="00111D82">
        <w:rPr>
          <w:rFonts w:ascii="Arial" w:hAnsi="Arial" w:cs="Arial"/>
          <w:sz w:val="20"/>
        </w:rPr>
        <w:t>(3)</w:t>
      </w:r>
      <w:r w:rsidRPr="00111D82">
        <w:rPr>
          <w:rFonts w:ascii="Arial" w:hAnsi="Arial" w:cs="Arial"/>
          <w:sz w:val="20"/>
        </w:rPr>
        <w:tab/>
        <w:t>Wall insulation or exterior insulation sheathing up to R-26 for walls with no insulation installed (financing will not be available for the installation of urea-formaldehyde wall insulation):  30 years.</w:t>
      </w:r>
    </w:p>
    <w:p w:rsidR="00992C56" w:rsidRPr="00111D82" w:rsidRDefault="00A468A6">
      <w:pPr>
        <w:pStyle w:val="BodyTextIndent2"/>
        <w:spacing w:line="240" w:lineRule="auto"/>
        <w:rPr>
          <w:rFonts w:ascii="Arial" w:hAnsi="Arial" w:cs="Arial"/>
          <w:sz w:val="20"/>
          <w:szCs w:val="20"/>
        </w:rPr>
      </w:pPr>
      <w:r w:rsidRPr="00111D82">
        <w:rPr>
          <w:rFonts w:ascii="Arial" w:hAnsi="Arial" w:cs="Arial"/>
          <w:sz w:val="20"/>
          <w:szCs w:val="20"/>
        </w:rPr>
        <w:t>Nothing shall preclude the Company from providing a reimbursement for the installation of a greater R value of insulation for the above items that are determined to be cost effective (Savings to Investment Ratio of 1.0 or greater) through the audit process.</w:t>
      </w:r>
    </w:p>
    <w:p w:rsidR="006B7902" w:rsidRPr="00111D82" w:rsidRDefault="006B7902" w:rsidP="006B7902">
      <w:pPr>
        <w:ind w:left="720" w:hanging="720"/>
        <w:jc w:val="both"/>
        <w:rPr>
          <w:rFonts w:ascii="Arial" w:hAnsi="Arial" w:cs="Arial"/>
          <w:sz w:val="20"/>
        </w:rPr>
      </w:pPr>
      <w:r w:rsidRPr="00111D82">
        <w:rPr>
          <w:rFonts w:ascii="Arial" w:hAnsi="Arial" w:cs="Arial"/>
          <w:sz w:val="20"/>
          <w:u w:val="single"/>
        </w:rPr>
        <w:t>Supplemental Measures:</w:t>
      </w:r>
    </w:p>
    <w:p w:rsidR="006B7902" w:rsidRPr="00111D82" w:rsidRDefault="006B7902" w:rsidP="00ED2D31">
      <w:pPr>
        <w:numPr>
          <w:ilvl w:val="0"/>
          <w:numId w:val="10"/>
        </w:numPr>
        <w:jc w:val="both"/>
        <w:rPr>
          <w:rFonts w:ascii="Arial" w:hAnsi="Arial" w:cs="Arial"/>
          <w:sz w:val="20"/>
        </w:rPr>
      </w:pPr>
      <w:r w:rsidRPr="00111D82">
        <w:rPr>
          <w:rFonts w:ascii="Arial" w:hAnsi="Arial" w:cs="Arial"/>
          <w:sz w:val="20"/>
        </w:rPr>
        <w:t>Attic ventilation, excluding power ventilators when installed with ceiling insulation (required if needed at the time ceiling insulation is installed).  Whole house mechanical ventilation, and spot ventilation for kitchen and baths at time ceiling insulation is installed:  Always considered cost effective.</w:t>
      </w:r>
    </w:p>
    <w:p w:rsidR="006B7902" w:rsidRPr="00111D82" w:rsidRDefault="006B7902" w:rsidP="006B7902">
      <w:pPr>
        <w:jc w:val="both"/>
        <w:rPr>
          <w:rFonts w:ascii="Arial" w:hAnsi="Arial" w:cs="Arial"/>
          <w:sz w:val="20"/>
        </w:rPr>
      </w:pPr>
    </w:p>
    <w:p w:rsidR="006B7902" w:rsidRPr="00111D82" w:rsidRDefault="006B7902" w:rsidP="006B7902">
      <w:pPr>
        <w:ind w:left="720" w:hanging="720"/>
        <w:jc w:val="both"/>
        <w:rPr>
          <w:rFonts w:ascii="Arial" w:hAnsi="Arial" w:cs="Arial"/>
          <w:sz w:val="20"/>
        </w:rPr>
      </w:pPr>
      <w:r w:rsidRPr="00111D82">
        <w:rPr>
          <w:rFonts w:ascii="Arial" w:hAnsi="Arial" w:cs="Arial"/>
          <w:sz w:val="20"/>
        </w:rPr>
        <w:t>(2)</w:t>
      </w:r>
      <w:r w:rsidRPr="00111D82">
        <w:rPr>
          <w:rFonts w:ascii="Arial" w:hAnsi="Arial" w:cs="Arial"/>
          <w:sz w:val="20"/>
        </w:rPr>
        <w:tab/>
        <w:t>Ground cover and water pipe wrap when installed with floor insulation; other vapor barrier materials as required when installed with floor or ceiling insulation:  Always considered cost effective.</w:t>
      </w:r>
    </w:p>
    <w:p w:rsidR="006B7902" w:rsidRPr="00111D82" w:rsidRDefault="006B7902" w:rsidP="006B7902">
      <w:pPr>
        <w:jc w:val="both"/>
        <w:rPr>
          <w:rFonts w:ascii="Arial" w:hAnsi="Arial" w:cs="Arial"/>
          <w:sz w:val="20"/>
        </w:rPr>
      </w:pPr>
    </w:p>
    <w:p w:rsidR="006B7902" w:rsidRPr="00111D82" w:rsidRDefault="006B7902" w:rsidP="006B7902">
      <w:pPr>
        <w:ind w:left="720" w:hanging="720"/>
        <w:jc w:val="both"/>
        <w:rPr>
          <w:rFonts w:ascii="Arial" w:hAnsi="Arial" w:cs="Arial"/>
          <w:sz w:val="20"/>
          <w:u w:val="single"/>
        </w:rPr>
      </w:pPr>
      <w:r w:rsidRPr="00111D82">
        <w:rPr>
          <w:rFonts w:ascii="Arial" w:hAnsi="Arial" w:cs="Arial"/>
          <w:sz w:val="20"/>
        </w:rPr>
        <w:t>(3)</w:t>
      </w:r>
      <w:r w:rsidRPr="00111D82">
        <w:rPr>
          <w:rFonts w:ascii="Arial" w:hAnsi="Arial" w:cs="Arial"/>
          <w:sz w:val="20"/>
        </w:rPr>
        <w:tab/>
        <w:t>Forced air electric space heating duct insulation and sealing in unheated spaces:  30 years.</w:t>
      </w:r>
    </w:p>
    <w:p w:rsidR="006B7902" w:rsidRPr="00111D82" w:rsidRDefault="006B7902" w:rsidP="006B7902">
      <w:pPr>
        <w:jc w:val="both"/>
        <w:rPr>
          <w:rFonts w:ascii="Arial" w:hAnsi="Arial" w:cs="Arial"/>
          <w:sz w:val="20"/>
          <w:u w:val="single"/>
        </w:rPr>
      </w:pPr>
    </w:p>
    <w:p w:rsidR="006B7902" w:rsidRPr="00111D82" w:rsidRDefault="006B7902" w:rsidP="00ED2D31">
      <w:pPr>
        <w:numPr>
          <w:ilvl w:val="0"/>
          <w:numId w:val="11"/>
        </w:numPr>
        <w:tabs>
          <w:tab w:val="clear" w:pos="360"/>
        </w:tabs>
        <w:ind w:left="720" w:hanging="720"/>
        <w:jc w:val="both"/>
        <w:rPr>
          <w:rFonts w:ascii="Arial" w:hAnsi="Arial" w:cs="Arial"/>
          <w:sz w:val="20"/>
        </w:rPr>
      </w:pPr>
      <w:r w:rsidRPr="00111D82">
        <w:rPr>
          <w:rFonts w:ascii="Arial" w:hAnsi="Arial" w:cs="Arial"/>
          <w:sz w:val="20"/>
        </w:rPr>
        <w:t>Weather stripping and/or caulking, including blower door assisted air sealing and duct sealing: Always considered cost effective.</w:t>
      </w:r>
    </w:p>
    <w:p w:rsidR="006B7902" w:rsidRPr="00111D82" w:rsidRDefault="006B7902" w:rsidP="006B7902">
      <w:pPr>
        <w:jc w:val="both"/>
        <w:rPr>
          <w:rFonts w:ascii="Arial" w:hAnsi="Arial" w:cs="Arial"/>
          <w:sz w:val="20"/>
        </w:rPr>
      </w:pPr>
    </w:p>
    <w:p w:rsidR="0069608B" w:rsidRDefault="006B7902">
      <w:pPr>
        <w:ind w:left="720" w:hanging="720"/>
      </w:pPr>
      <w:r w:rsidRPr="00111D82">
        <w:rPr>
          <w:rFonts w:ascii="Arial" w:hAnsi="Arial" w:cs="Arial"/>
          <w:sz w:val="20"/>
        </w:rPr>
        <w:t>(5)</w:t>
      </w:r>
      <w:r w:rsidRPr="00111D82">
        <w:rPr>
          <w:rFonts w:ascii="Arial" w:hAnsi="Arial" w:cs="Arial"/>
          <w:sz w:val="20"/>
        </w:rPr>
        <w:tab/>
        <w:t>Thermal doors: 30 years.</w:t>
      </w:r>
    </w:p>
    <w:p w:rsidR="007D281E" w:rsidRPr="007D281E" w:rsidRDefault="00263789" w:rsidP="007D281E">
      <w:pPr>
        <w:jc w:val="center"/>
        <w:rPr>
          <w:rFonts w:ascii="Times New Roman" w:hAnsi="Times New Roman"/>
          <w:sz w:val="24"/>
          <w:szCs w:val="24"/>
        </w:rPr>
      </w:pPr>
      <w:r w:rsidRPr="007D281E">
        <w:rPr>
          <w:rFonts w:ascii="Times New Roman" w:hAnsi="Times New Roman"/>
          <w:sz w:val="24"/>
          <w:szCs w:val="24"/>
        </w:rPr>
        <w:t>(continued)</w:t>
      </w:r>
    </w:p>
    <w:p w:rsidR="007D281E" w:rsidRDefault="001D7972" w:rsidP="007D281E">
      <w:pPr>
        <w:pBdr>
          <w:bottom w:val="single" w:sz="12" w:space="2" w:color="auto"/>
        </w:pBdr>
        <w:rPr>
          <w:rFonts w:ascii="Arial" w:hAnsi="Arial" w:cs="Arial"/>
          <w:sz w:val="20"/>
        </w:rPr>
        <w:sectPr w:rsidR="007D281E" w:rsidSect="001B376C">
          <w:headerReference w:type="even" r:id="rId36"/>
          <w:headerReference w:type="default" r:id="rId37"/>
          <w:footerReference w:type="default" r:id="rId38"/>
          <w:type w:val="continuous"/>
          <w:pgSz w:w="12240" w:h="15840" w:code="1"/>
          <w:pgMar w:top="1440" w:right="1080" w:bottom="1440" w:left="1440" w:header="720" w:footer="720" w:gutter="0"/>
          <w:cols w:space="720"/>
          <w:docGrid w:linePitch="360"/>
        </w:sectPr>
      </w:pPr>
      <w:r>
        <w:rPr>
          <w:rFonts w:ascii="Arial" w:hAnsi="Arial" w:cs="Arial"/>
          <w:sz w:val="20"/>
        </w:rPr>
        <w:br w:type="page"/>
      </w:r>
    </w:p>
    <w:p w:rsidR="00140099" w:rsidRPr="00111D82" w:rsidRDefault="00140099" w:rsidP="00140099">
      <w:pPr>
        <w:rPr>
          <w:rFonts w:ascii="Arial" w:hAnsi="Arial" w:cs="Arial"/>
          <w:sz w:val="20"/>
        </w:rPr>
      </w:pPr>
      <w:r w:rsidRPr="00111D82">
        <w:rPr>
          <w:rFonts w:ascii="Arial" w:hAnsi="Arial" w:cs="Arial"/>
          <w:sz w:val="20"/>
          <w:u w:val="single"/>
        </w:rPr>
        <w:t>ENERGY EFFICIENT MEASURES</w:t>
      </w:r>
      <w:r w:rsidRPr="00111D82">
        <w:rPr>
          <w:rFonts w:ascii="Arial" w:hAnsi="Arial" w:cs="Arial"/>
          <w:sz w:val="20"/>
        </w:rPr>
        <w:t>: (continued)</w:t>
      </w:r>
    </w:p>
    <w:p w:rsidR="00140099" w:rsidRPr="00111D82" w:rsidRDefault="00140099" w:rsidP="00140099">
      <w:pPr>
        <w:ind w:left="720" w:hanging="720"/>
        <w:jc w:val="both"/>
        <w:rPr>
          <w:rFonts w:ascii="Arial" w:hAnsi="Arial" w:cs="Arial"/>
          <w:sz w:val="20"/>
          <w:u w:val="single"/>
        </w:rPr>
      </w:pPr>
      <w:r w:rsidRPr="00111D82">
        <w:rPr>
          <w:rFonts w:ascii="Arial" w:hAnsi="Arial" w:cs="Arial"/>
          <w:sz w:val="20"/>
          <w:u w:val="single"/>
        </w:rPr>
        <w:t>Supplemental Measures:</w:t>
      </w:r>
    </w:p>
    <w:p w:rsidR="00140099" w:rsidRPr="00111D82" w:rsidRDefault="00140099" w:rsidP="00140099">
      <w:pPr>
        <w:ind w:left="720" w:hanging="720"/>
        <w:jc w:val="both"/>
        <w:rPr>
          <w:rFonts w:ascii="Arial" w:hAnsi="Arial" w:cs="Arial"/>
          <w:sz w:val="20"/>
        </w:rPr>
      </w:pPr>
    </w:p>
    <w:p w:rsidR="00140099" w:rsidRPr="00111D82" w:rsidRDefault="00140099" w:rsidP="00140099">
      <w:pPr>
        <w:ind w:left="720" w:hanging="720"/>
        <w:jc w:val="both"/>
        <w:rPr>
          <w:rFonts w:ascii="Arial" w:hAnsi="Arial" w:cs="Arial"/>
          <w:sz w:val="20"/>
        </w:rPr>
      </w:pPr>
      <w:r w:rsidRPr="00111D82">
        <w:rPr>
          <w:rFonts w:ascii="Arial" w:hAnsi="Arial" w:cs="Arial"/>
          <w:sz w:val="20"/>
        </w:rPr>
        <w:t>(6)</w:t>
      </w:r>
      <w:r w:rsidRPr="00111D82">
        <w:rPr>
          <w:rFonts w:ascii="Arial" w:hAnsi="Arial" w:cs="Arial"/>
          <w:sz w:val="20"/>
        </w:rPr>
        <w:tab/>
        <w:t>Dehumidifiers:  Always considered cost effective.</w:t>
      </w:r>
    </w:p>
    <w:p w:rsidR="00140099" w:rsidRPr="00111D82" w:rsidRDefault="00140099" w:rsidP="00140099">
      <w:pPr>
        <w:ind w:left="720" w:hanging="720"/>
        <w:jc w:val="both"/>
        <w:rPr>
          <w:rFonts w:ascii="Arial" w:hAnsi="Arial" w:cs="Arial"/>
          <w:sz w:val="20"/>
        </w:rPr>
      </w:pPr>
    </w:p>
    <w:p w:rsidR="00140099" w:rsidRPr="00111D82" w:rsidRDefault="00140099" w:rsidP="00140099">
      <w:pPr>
        <w:ind w:left="720" w:hanging="720"/>
        <w:jc w:val="both"/>
        <w:rPr>
          <w:rFonts w:ascii="Arial" w:hAnsi="Arial" w:cs="Arial"/>
          <w:sz w:val="20"/>
        </w:rPr>
      </w:pPr>
      <w:r w:rsidRPr="00111D82">
        <w:rPr>
          <w:rFonts w:ascii="Arial" w:hAnsi="Arial" w:cs="Arial"/>
          <w:sz w:val="20"/>
        </w:rPr>
        <w:t>(7)</w:t>
      </w:r>
      <w:r w:rsidRPr="00111D82">
        <w:rPr>
          <w:rFonts w:ascii="Arial" w:hAnsi="Arial" w:cs="Arial"/>
          <w:sz w:val="20"/>
        </w:rPr>
        <w:tab/>
        <w:t>Timed thermostats on centrally controlled multi-room heating systems except when used with heat pumps.  Heat anticipating type thermostats for zonal electric resistance heating systems.  Zonal thermostats must be separate from the heating unit and must be calibrated at the site to within 2</w:t>
      </w:r>
      <w:r w:rsidRPr="00111D82">
        <w:rPr>
          <w:rFonts w:ascii="Arial" w:hAnsi="Arial" w:cs="Arial"/>
          <w:sz w:val="20"/>
        </w:rPr>
        <w:sym w:font="Symbol" w:char="F0B0"/>
      </w:r>
      <w:r w:rsidRPr="00111D82">
        <w:rPr>
          <w:rFonts w:ascii="Arial" w:hAnsi="Arial" w:cs="Arial"/>
          <w:sz w:val="20"/>
        </w:rPr>
        <w:t>F of actual room temperature in the range of 65</w:t>
      </w:r>
      <w:r w:rsidRPr="00111D82">
        <w:rPr>
          <w:rFonts w:ascii="Arial" w:hAnsi="Arial" w:cs="Arial"/>
          <w:sz w:val="20"/>
        </w:rPr>
        <w:sym w:font="Symbol" w:char="F0B0"/>
      </w:r>
      <w:r w:rsidRPr="00111D82">
        <w:rPr>
          <w:rFonts w:ascii="Arial" w:hAnsi="Arial" w:cs="Arial"/>
          <w:sz w:val="20"/>
        </w:rPr>
        <w:t>F-75</w:t>
      </w:r>
      <w:r w:rsidRPr="00111D82">
        <w:rPr>
          <w:rFonts w:ascii="Arial" w:hAnsi="Arial" w:cs="Arial"/>
          <w:sz w:val="20"/>
        </w:rPr>
        <w:sym w:font="Symbol" w:char="F0B0"/>
      </w:r>
      <w:r w:rsidRPr="00111D82">
        <w:rPr>
          <w:rFonts w:ascii="Arial" w:hAnsi="Arial" w:cs="Arial"/>
          <w:sz w:val="20"/>
        </w:rPr>
        <w:t>F:  Always considered cost effective.</w:t>
      </w:r>
    </w:p>
    <w:p w:rsidR="00140099" w:rsidRPr="00111D82" w:rsidRDefault="00140099" w:rsidP="00140099">
      <w:pPr>
        <w:jc w:val="both"/>
        <w:rPr>
          <w:rFonts w:ascii="Arial" w:hAnsi="Arial" w:cs="Arial"/>
          <w:sz w:val="20"/>
        </w:rPr>
      </w:pPr>
    </w:p>
    <w:p w:rsidR="00140099" w:rsidRPr="00111D82" w:rsidRDefault="00140099" w:rsidP="00ED2D31">
      <w:pPr>
        <w:numPr>
          <w:ilvl w:val="0"/>
          <w:numId w:val="14"/>
        </w:numPr>
        <w:tabs>
          <w:tab w:val="clear" w:pos="840"/>
          <w:tab w:val="num" w:pos="720"/>
        </w:tabs>
        <w:ind w:left="720"/>
        <w:jc w:val="both"/>
        <w:rPr>
          <w:rFonts w:ascii="Arial" w:hAnsi="Arial" w:cs="Arial"/>
          <w:sz w:val="20"/>
        </w:rPr>
      </w:pPr>
      <w:r w:rsidRPr="00111D82">
        <w:rPr>
          <w:rFonts w:ascii="Arial" w:hAnsi="Arial" w:cs="Arial"/>
          <w:sz w:val="20"/>
        </w:rPr>
        <w:t>Energy efficient showerheads and aerators where electric water heaters are present.  Showerheads with a visible flow rating greater than 2.5 gallons per minute (gpm) will be replaced, and showerheads without a gpm marking may be replaced at the discretion of agency staff:  Always considered cost effective.</w:t>
      </w:r>
    </w:p>
    <w:p w:rsidR="00140099" w:rsidRPr="00111D82" w:rsidRDefault="00140099" w:rsidP="00140099">
      <w:pPr>
        <w:ind w:left="120"/>
        <w:jc w:val="both"/>
        <w:rPr>
          <w:rFonts w:ascii="Arial" w:hAnsi="Arial" w:cs="Arial"/>
          <w:sz w:val="20"/>
        </w:rPr>
      </w:pPr>
    </w:p>
    <w:p w:rsidR="00140099" w:rsidRPr="00111D82" w:rsidRDefault="00140099" w:rsidP="00ED2D31">
      <w:pPr>
        <w:numPr>
          <w:ilvl w:val="0"/>
          <w:numId w:val="14"/>
        </w:numPr>
        <w:tabs>
          <w:tab w:val="clear" w:pos="840"/>
          <w:tab w:val="num" w:pos="720"/>
        </w:tabs>
        <w:ind w:left="720"/>
        <w:jc w:val="both"/>
        <w:rPr>
          <w:rFonts w:ascii="Arial" w:hAnsi="Arial" w:cs="Arial"/>
          <w:sz w:val="20"/>
        </w:rPr>
      </w:pPr>
      <w:r w:rsidRPr="00111D82">
        <w:rPr>
          <w:rFonts w:ascii="Arial" w:hAnsi="Arial" w:cs="Arial"/>
          <w:sz w:val="20"/>
        </w:rPr>
        <w:t>Water heaters: Tank replacement of existing electric water heaters when audit indicates a Savings to Investment Ratio of 1.0 or greater.  Replacement will be an Energy Star certified model with an EF rating of at least 1.0:  13 years.</w:t>
      </w:r>
    </w:p>
    <w:p w:rsidR="00140099" w:rsidRPr="00111D82" w:rsidRDefault="00140099" w:rsidP="00140099">
      <w:pPr>
        <w:ind w:left="840" w:hanging="720"/>
        <w:jc w:val="both"/>
        <w:rPr>
          <w:rFonts w:ascii="Arial" w:hAnsi="Arial" w:cs="Arial"/>
          <w:sz w:val="20"/>
        </w:rPr>
      </w:pPr>
    </w:p>
    <w:p w:rsidR="00E435CA" w:rsidRPr="00111D82" w:rsidRDefault="00A468A6" w:rsidP="00ED2D31">
      <w:pPr>
        <w:pStyle w:val="BodyTextIndent2"/>
        <w:numPr>
          <w:ilvl w:val="0"/>
          <w:numId w:val="14"/>
        </w:numPr>
        <w:tabs>
          <w:tab w:val="clear" w:pos="840"/>
          <w:tab w:val="num" w:pos="720"/>
        </w:tabs>
        <w:spacing w:after="0" w:line="240" w:lineRule="auto"/>
        <w:ind w:left="720"/>
        <w:rPr>
          <w:rFonts w:ascii="Arial" w:hAnsi="Arial" w:cs="Arial"/>
          <w:sz w:val="20"/>
          <w:szCs w:val="20"/>
        </w:rPr>
      </w:pPr>
      <w:r w:rsidRPr="00111D82">
        <w:rPr>
          <w:rFonts w:ascii="Arial" w:hAnsi="Arial" w:cs="Arial"/>
          <w:sz w:val="20"/>
          <w:szCs w:val="20"/>
        </w:rPr>
        <w:t>Fluorescent light fixtures applicable in all homes:  15 years.</w:t>
      </w:r>
    </w:p>
    <w:p w:rsidR="00992C56" w:rsidRPr="00111D82" w:rsidRDefault="00992C56">
      <w:pPr>
        <w:pStyle w:val="BodyTextIndent2"/>
        <w:spacing w:after="0" w:line="240" w:lineRule="auto"/>
        <w:ind w:left="720"/>
        <w:rPr>
          <w:rFonts w:cs="Arial"/>
        </w:rPr>
      </w:pPr>
    </w:p>
    <w:p w:rsidR="00140099" w:rsidRPr="00111D82" w:rsidRDefault="00140099" w:rsidP="00ED2D31">
      <w:pPr>
        <w:numPr>
          <w:ilvl w:val="0"/>
          <w:numId w:val="14"/>
        </w:numPr>
        <w:tabs>
          <w:tab w:val="clear" w:pos="840"/>
          <w:tab w:val="num" w:pos="720"/>
        </w:tabs>
        <w:ind w:left="720"/>
        <w:jc w:val="both"/>
        <w:rPr>
          <w:rFonts w:ascii="Arial" w:hAnsi="Arial" w:cs="Arial"/>
          <w:sz w:val="20"/>
        </w:rPr>
      </w:pPr>
      <w:r w:rsidRPr="00111D82">
        <w:rPr>
          <w:rFonts w:ascii="Arial" w:hAnsi="Arial" w:cs="Arial"/>
          <w:sz w:val="20"/>
        </w:rPr>
        <w:t>Compact fluorescent light bulbs applicable in all homes - limit 10 Energy Star certified bulbs per home placed in fixtures that are on 2 or more hours per day:  Always considered cost effective, 7 years.</w:t>
      </w:r>
    </w:p>
    <w:p w:rsidR="00140099" w:rsidRPr="00111D82" w:rsidRDefault="00140099" w:rsidP="00140099">
      <w:pPr>
        <w:pStyle w:val="ListParagraph"/>
        <w:rPr>
          <w:rFonts w:ascii="Arial" w:hAnsi="Arial" w:cs="Arial"/>
          <w:sz w:val="20"/>
        </w:rPr>
      </w:pPr>
    </w:p>
    <w:p w:rsidR="00140099" w:rsidRPr="00111D82" w:rsidRDefault="00140099" w:rsidP="00140099">
      <w:pPr>
        <w:pStyle w:val="BodyText"/>
        <w:tabs>
          <w:tab w:val="left" w:pos="720"/>
        </w:tabs>
        <w:ind w:left="720" w:hanging="720"/>
        <w:rPr>
          <w:rFonts w:ascii="Arial" w:hAnsi="Arial" w:cs="Arial"/>
          <w:sz w:val="20"/>
        </w:rPr>
      </w:pPr>
      <w:r w:rsidRPr="00111D82">
        <w:rPr>
          <w:rFonts w:ascii="Arial" w:hAnsi="Arial" w:cs="Arial"/>
          <w:sz w:val="20"/>
        </w:rPr>
        <w:t xml:space="preserve">(12) </w:t>
      </w:r>
      <w:r w:rsidRPr="00111D82">
        <w:rPr>
          <w:rFonts w:ascii="Arial" w:hAnsi="Arial" w:cs="Arial"/>
          <w:sz w:val="20"/>
        </w:rPr>
        <w:tab/>
        <w:t>Refrigerators applicable in all homes: Refrigerators with monitored results showing annual usage of 1,500 kWh or greater may be replaced with an Energy Star model with an estimated annual consumption of 600 kWh or less.  Replaced refrigerators must be removed and recycled in accordance with EPA guidelines:  Always considered cost effective, 15 years.</w:t>
      </w:r>
    </w:p>
    <w:p w:rsidR="00E435CA" w:rsidRPr="00111D82" w:rsidRDefault="00E435CA" w:rsidP="00140099">
      <w:pPr>
        <w:pStyle w:val="BodyText"/>
        <w:tabs>
          <w:tab w:val="left" w:pos="720"/>
        </w:tabs>
        <w:ind w:left="720" w:hanging="720"/>
        <w:rPr>
          <w:rFonts w:ascii="Arial" w:hAnsi="Arial" w:cs="Arial"/>
          <w:sz w:val="20"/>
        </w:rPr>
      </w:pPr>
    </w:p>
    <w:p w:rsidR="00140099" w:rsidRPr="00111D82" w:rsidRDefault="00140099" w:rsidP="00140099">
      <w:pPr>
        <w:pStyle w:val="BodyText"/>
        <w:tabs>
          <w:tab w:val="left" w:pos="720"/>
        </w:tabs>
        <w:ind w:left="720" w:hanging="720"/>
        <w:rPr>
          <w:rFonts w:ascii="Arial" w:hAnsi="Arial" w:cs="Arial"/>
          <w:sz w:val="20"/>
        </w:rPr>
      </w:pPr>
      <w:r w:rsidRPr="00111D82">
        <w:rPr>
          <w:rFonts w:ascii="Arial" w:hAnsi="Arial" w:cs="Arial"/>
          <w:sz w:val="20"/>
        </w:rPr>
        <w:t xml:space="preserve">(13)  </w:t>
      </w:r>
      <w:r w:rsidRPr="00111D82">
        <w:rPr>
          <w:rFonts w:ascii="Arial" w:hAnsi="Arial" w:cs="Arial"/>
          <w:sz w:val="20"/>
        </w:rPr>
        <w:tab/>
        <w:t>Class 40 Replacement windows:  25 years.</w:t>
      </w:r>
    </w:p>
    <w:p w:rsidR="00140099" w:rsidRPr="00111D82" w:rsidRDefault="00140099" w:rsidP="00140099">
      <w:pPr>
        <w:ind w:left="720"/>
        <w:jc w:val="both"/>
        <w:rPr>
          <w:rFonts w:ascii="Arial" w:hAnsi="Arial" w:cs="Arial"/>
          <w:sz w:val="20"/>
        </w:rPr>
      </w:pPr>
    </w:p>
    <w:p w:rsidR="0069608B" w:rsidRDefault="0069608B">
      <w:pPr>
        <w:jc w:val="both"/>
      </w:pPr>
    </w:p>
    <w:p w:rsidR="0069608B" w:rsidRDefault="0069608B">
      <w:pPr>
        <w:jc w:val="both"/>
      </w:pPr>
    </w:p>
    <w:p w:rsidR="0069608B" w:rsidRDefault="0069608B">
      <w:pPr>
        <w:jc w:val="both"/>
      </w:pPr>
    </w:p>
    <w:p w:rsidR="0069608B" w:rsidRDefault="0069608B">
      <w:pPr>
        <w:jc w:val="both"/>
      </w:pPr>
    </w:p>
    <w:p w:rsidR="00263789" w:rsidRDefault="00263789" w:rsidP="00140099">
      <w:pPr>
        <w:ind w:left="720" w:hanging="720"/>
        <w:jc w:val="both"/>
      </w:pPr>
    </w:p>
    <w:p w:rsidR="00263789" w:rsidRDefault="00263789">
      <w:r>
        <w:br w:type="page"/>
      </w:r>
    </w:p>
    <w:p w:rsidR="00140099" w:rsidRPr="00111D82" w:rsidRDefault="007D281E" w:rsidP="00140099">
      <w:pPr>
        <w:ind w:left="720" w:hanging="720"/>
        <w:jc w:val="both"/>
        <w:rPr>
          <w:rFonts w:ascii="Arial" w:hAnsi="Arial" w:cs="Arial"/>
          <w:sz w:val="20"/>
        </w:rPr>
      </w:pPr>
      <w:r w:rsidRPr="00111D82">
        <w:rPr>
          <w:rFonts w:ascii="Arial" w:hAnsi="Arial" w:cs="Arial"/>
          <w:sz w:val="20"/>
        </w:rPr>
        <w:t xml:space="preserve"> </w:t>
      </w:r>
      <w:r w:rsidR="00140099" w:rsidRPr="00111D82">
        <w:rPr>
          <w:rFonts w:ascii="Arial" w:hAnsi="Arial" w:cs="Arial"/>
          <w:sz w:val="20"/>
        </w:rPr>
        <w:t>(1)</w:t>
      </w:r>
      <w:r w:rsidR="00140099" w:rsidRPr="00111D82">
        <w:rPr>
          <w:rFonts w:ascii="Arial" w:hAnsi="Arial" w:cs="Arial"/>
          <w:sz w:val="20"/>
        </w:rPr>
        <w:tab/>
        <w:t>A Department of Energy approved Energy Audit must be completed by the Agency prior to installation of the measures by the Agency.</w:t>
      </w:r>
    </w:p>
    <w:p w:rsidR="00140099" w:rsidRPr="00111D82" w:rsidRDefault="00140099" w:rsidP="00140099">
      <w:pPr>
        <w:ind w:left="720" w:hanging="720"/>
        <w:jc w:val="both"/>
        <w:rPr>
          <w:rFonts w:ascii="Arial" w:hAnsi="Arial" w:cs="Arial"/>
          <w:sz w:val="20"/>
        </w:rPr>
      </w:pPr>
    </w:p>
    <w:p w:rsidR="00140099" w:rsidRPr="00111D82" w:rsidRDefault="00140099" w:rsidP="00140099">
      <w:pPr>
        <w:ind w:left="720" w:hanging="720"/>
        <w:jc w:val="both"/>
        <w:rPr>
          <w:rFonts w:ascii="Arial" w:hAnsi="Arial" w:cs="Arial"/>
          <w:sz w:val="20"/>
        </w:rPr>
      </w:pPr>
      <w:r w:rsidRPr="00111D82">
        <w:rPr>
          <w:rFonts w:ascii="Arial" w:hAnsi="Arial" w:cs="Arial"/>
          <w:sz w:val="20"/>
        </w:rPr>
        <w:t>(2)</w:t>
      </w:r>
      <w:r w:rsidRPr="00111D82">
        <w:rPr>
          <w:rFonts w:ascii="Arial" w:hAnsi="Arial" w:cs="Arial"/>
          <w:sz w:val="20"/>
        </w:rPr>
        <w:tab/>
        <w:t>Agency must qualify residential customers for assistance using the Federal Low Income Guidelines.</w:t>
      </w:r>
    </w:p>
    <w:p w:rsidR="00140099" w:rsidRPr="00111D82" w:rsidRDefault="00140099" w:rsidP="00140099">
      <w:pPr>
        <w:jc w:val="both"/>
        <w:rPr>
          <w:rFonts w:ascii="Arial" w:hAnsi="Arial" w:cs="Arial"/>
          <w:sz w:val="20"/>
          <w:u w:val="single"/>
        </w:rPr>
      </w:pPr>
    </w:p>
    <w:p w:rsidR="00140099" w:rsidRPr="00111D82" w:rsidRDefault="00140099" w:rsidP="00140099">
      <w:pPr>
        <w:jc w:val="both"/>
        <w:rPr>
          <w:rFonts w:ascii="Arial" w:hAnsi="Arial" w:cs="Arial"/>
          <w:sz w:val="20"/>
        </w:rPr>
      </w:pPr>
      <w:r w:rsidRPr="00111D82">
        <w:rPr>
          <w:rFonts w:ascii="Arial" w:hAnsi="Arial" w:cs="Arial"/>
          <w:sz w:val="20"/>
        </w:rPr>
        <w:t>(3)</w:t>
      </w:r>
      <w:r w:rsidRPr="00111D82">
        <w:rPr>
          <w:rFonts w:ascii="Arial" w:hAnsi="Arial" w:cs="Arial"/>
          <w:sz w:val="20"/>
        </w:rPr>
        <w:tab/>
        <w:t>Installation shall meet Federal, State and Local building codes.</w:t>
      </w:r>
    </w:p>
    <w:p w:rsidR="00140099" w:rsidRPr="00111D82" w:rsidRDefault="00140099" w:rsidP="00140099">
      <w:pPr>
        <w:ind w:left="720" w:hanging="720"/>
        <w:jc w:val="both"/>
        <w:rPr>
          <w:rFonts w:ascii="Arial" w:hAnsi="Arial" w:cs="Arial"/>
          <w:sz w:val="20"/>
        </w:rPr>
      </w:pPr>
    </w:p>
    <w:p w:rsidR="00140099" w:rsidRPr="00111D82" w:rsidRDefault="00140099" w:rsidP="00ED2D31">
      <w:pPr>
        <w:numPr>
          <w:ilvl w:val="0"/>
          <w:numId w:val="12"/>
        </w:numPr>
        <w:jc w:val="both"/>
        <w:rPr>
          <w:rFonts w:ascii="Arial" w:hAnsi="Arial" w:cs="Arial"/>
          <w:sz w:val="20"/>
        </w:rPr>
      </w:pPr>
      <w:r w:rsidRPr="00111D82">
        <w:rPr>
          <w:rFonts w:ascii="Arial" w:hAnsi="Arial" w:cs="Arial"/>
          <w:sz w:val="20"/>
        </w:rPr>
        <w:t>Measures installed under this schedule shall not receive financial incentives from other Company programs.</w:t>
      </w:r>
    </w:p>
    <w:p w:rsidR="00140099" w:rsidRPr="00111D82" w:rsidRDefault="00140099" w:rsidP="00140099">
      <w:pPr>
        <w:jc w:val="both"/>
        <w:rPr>
          <w:rFonts w:ascii="Arial" w:hAnsi="Arial" w:cs="Arial"/>
          <w:sz w:val="20"/>
          <w:u w:val="single"/>
        </w:rPr>
      </w:pPr>
    </w:p>
    <w:p w:rsidR="00140099" w:rsidRPr="00111D82" w:rsidRDefault="00140099" w:rsidP="00ED2D31">
      <w:pPr>
        <w:pStyle w:val="BodyTextIndent"/>
        <w:numPr>
          <w:ilvl w:val="0"/>
          <w:numId w:val="12"/>
        </w:numPr>
        <w:spacing w:after="0"/>
        <w:rPr>
          <w:rFonts w:ascii="Arial" w:hAnsi="Arial" w:cs="Arial"/>
          <w:sz w:val="20"/>
        </w:rPr>
      </w:pPr>
      <w:r w:rsidRPr="00111D82">
        <w:rPr>
          <w:rFonts w:ascii="Arial" w:hAnsi="Arial" w:cs="Arial"/>
          <w:sz w:val="20"/>
        </w:rPr>
        <w:t>Agency shall inspect the installation to insure that the weatherization meets or exceeds required specifications.</w:t>
      </w:r>
    </w:p>
    <w:p w:rsidR="00140099" w:rsidRPr="00111D82" w:rsidRDefault="00140099" w:rsidP="00140099">
      <w:pPr>
        <w:pStyle w:val="BodyTextIndent"/>
        <w:spacing w:after="0"/>
        <w:ind w:left="0"/>
        <w:rPr>
          <w:rFonts w:ascii="Arial" w:hAnsi="Arial" w:cs="Arial"/>
          <w:sz w:val="20"/>
        </w:rPr>
      </w:pPr>
    </w:p>
    <w:p w:rsidR="00140099" w:rsidRPr="00111D82" w:rsidRDefault="00140099" w:rsidP="00140099">
      <w:pPr>
        <w:ind w:left="720" w:hanging="720"/>
        <w:jc w:val="both"/>
        <w:rPr>
          <w:rFonts w:ascii="Arial" w:hAnsi="Arial" w:cs="Arial"/>
          <w:sz w:val="20"/>
        </w:rPr>
      </w:pPr>
      <w:r w:rsidRPr="00111D82">
        <w:rPr>
          <w:rFonts w:ascii="Arial" w:hAnsi="Arial" w:cs="Arial"/>
          <w:sz w:val="20"/>
        </w:rPr>
        <w:t>(6)</w:t>
      </w:r>
      <w:r w:rsidRPr="00111D82">
        <w:rPr>
          <w:rFonts w:ascii="Arial" w:hAnsi="Arial" w:cs="Arial"/>
          <w:sz w:val="20"/>
        </w:rPr>
        <w:tab/>
        <w:t>Company may audit Agency weatherization and financial records and inspect the installations in dwellings of customers receiving weatherization under this program.  Records will include audit results.</w:t>
      </w:r>
    </w:p>
    <w:p w:rsidR="00140099" w:rsidRPr="00111D82" w:rsidRDefault="00140099" w:rsidP="00140099">
      <w:pPr>
        <w:ind w:left="720" w:hanging="720"/>
        <w:jc w:val="both"/>
        <w:rPr>
          <w:rFonts w:ascii="Arial" w:hAnsi="Arial" w:cs="Arial"/>
          <w:sz w:val="20"/>
        </w:rPr>
      </w:pPr>
    </w:p>
    <w:p w:rsidR="00140099" w:rsidRPr="00111D82" w:rsidRDefault="00140099" w:rsidP="00ED2D31">
      <w:pPr>
        <w:pStyle w:val="BodyTextIndent"/>
        <w:numPr>
          <w:ilvl w:val="0"/>
          <w:numId w:val="13"/>
        </w:numPr>
        <w:spacing w:after="0"/>
        <w:ind w:hanging="720"/>
        <w:rPr>
          <w:rFonts w:ascii="Arial" w:hAnsi="Arial" w:cs="Arial"/>
          <w:sz w:val="20"/>
        </w:rPr>
      </w:pPr>
      <w:r w:rsidRPr="00111D82">
        <w:rPr>
          <w:rFonts w:ascii="Arial" w:hAnsi="Arial" w:cs="Arial"/>
          <w:sz w:val="20"/>
        </w:rPr>
        <w:t>Company shall pay the Agency the amount established under the terms of their contract when provisions of this schedule have been met.</w:t>
      </w:r>
    </w:p>
    <w:p w:rsidR="00140099" w:rsidRPr="00111D82" w:rsidRDefault="00140099" w:rsidP="00140099">
      <w:pPr>
        <w:pStyle w:val="BodyTextIndent"/>
        <w:spacing w:after="0"/>
        <w:ind w:left="720"/>
        <w:rPr>
          <w:rFonts w:ascii="Arial" w:hAnsi="Arial" w:cs="Arial"/>
          <w:sz w:val="20"/>
        </w:rPr>
      </w:pPr>
    </w:p>
    <w:p w:rsidR="00140099" w:rsidRPr="00111D82" w:rsidRDefault="00140099" w:rsidP="00140099">
      <w:pPr>
        <w:jc w:val="both"/>
        <w:rPr>
          <w:rFonts w:ascii="Arial" w:hAnsi="Arial" w:cs="Arial"/>
          <w:sz w:val="20"/>
        </w:rPr>
      </w:pPr>
      <w:r w:rsidRPr="00111D82">
        <w:rPr>
          <w:rFonts w:ascii="Arial" w:hAnsi="Arial" w:cs="Arial"/>
          <w:sz w:val="20"/>
          <w:u w:val="single"/>
        </w:rPr>
        <w:t>RULES AND REGULATIONS</w:t>
      </w:r>
      <w:r w:rsidRPr="00111D82">
        <w:rPr>
          <w:rFonts w:ascii="Arial" w:hAnsi="Arial" w:cs="Arial"/>
          <w:sz w:val="20"/>
        </w:rPr>
        <w:t>:</w:t>
      </w:r>
    </w:p>
    <w:p w:rsidR="00140099" w:rsidRPr="00111D82" w:rsidRDefault="00140099" w:rsidP="00140099">
      <w:pPr>
        <w:rPr>
          <w:rFonts w:ascii="Arial" w:hAnsi="Arial" w:cs="Arial"/>
          <w:sz w:val="20"/>
        </w:rPr>
      </w:pPr>
      <w:r w:rsidRPr="00111D82">
        <w:rPr>
          <w:rFonts w:ascii="Arial" w:hAnsi="Arial" w:cs="Arial"/>
          <w:sz w:val="20"/>
        </w:rPr>
        <w:tab/>
        <w:t>Service under this schedule is subject to the General Rules and Regulations contained in the tariff of which this schedule is a part, and to those prescribed by regulatory authorities.</w:t>
      </w:r>
    </w:p>
    <w:p w:rsidR="006C2321" w:rsidRPr="00111D82" w:rsidRDefault="006C2321">
      <w:pPr>
        <w:rPr>
          <w:rFonts w:ascii="Times New Roman" w:eastAsia="Times New Roman" w:hAnsi="Times New Roman"/>
          <w:b/>
          <w:bCs/>
          <w:sz w:val="28"/>
          <w:szCs w:val="28"/>
          <w:u w:val="single"/>
        </w:rPr>
      </w:pPr>
    </w:p>
    <w:p w:rsidR="00263789" w:rsidRDefault="00263789"/>
    <w:p w:rsidR="00263789" w:rsidRDefault="00263789"/>
    <w:p w:rsidR="00263789" w:rsidRDefault="00263789"/>
    <w:p w:rsidR="00263789" w:rsidRDefault="00263789"/>
    <w:p w:rsidR="00263789" w:rsidRDefault="00263789"/>
    <w:p w:rsidR="00263789" w:rsidRDefault="00263789"/>
    <w:p w:rsidR="00263789" w:rsidRDefault="00263789"/>
    <w:p w:rsidR="00263789" w:rsidRDefault="00263789"/>
    <w:p w:rsidR="00263789" w:rsidRDefault="00263789"/>
    <w:p w:rsidR="00263789" w:rsidRDefault="00263789" w:rsidP="007D281E">
      <w:pPr>
        <w:ind w:left="720" w:hanging="720"/>
        <w:jc w:val="both"/>
      </w:pPr>
    </w:p>
    <w:p w:rsidR="006C2321" w:rsidRPr="00111D82" w:rsidRDefault="006C2321">
      <w:pPr>
        <w:rPr>
          <w:rFonts w:ascii="Times New Roman" w:eastAsia="Times New Roman" w:hAnsi="Times New Roman"/>
          <w:b/>
          <w:bCs/>
          <w:sz w:val="28"/>
          <w:szCs w:val="28"/>
          <w:u w:val="single"/>
        </w:rPr>
      </w:pPr>
      <w:r w:rsidRPr="00111D82">
        <w:br w:type="page"/>
      </w:r>
    </w:p>
    <w:p w:rsidR="004A79FF" w:rsidRPr="00111D82" w:rsidRDefault="004A79FF" w:rsidP="00CD7669">
      <w:pPr>
        <w:pStyle w:val="Heading1"/>
        <w:sectPr w:rsidR="004A79FF" w:rsidRPr="00111D82" w:rsidSect="001B376C">
          <w:headerReference w:type="even" r:id="rId39"/>
          <w:headerReference w:type="default" r:id="rId40"/>
          <w:type w:val="continuous"/>
          <w:pgSz w:w="12240" w:h="15840" w:code="1"/>
          <w:pgMar w:top="1440" w:right="1080" w:bottom="1440" w:left="1440" w:header="720" w:footer="720" w:gutter="0"/>
          <w:cols w:space="720"/>
          <w:docGrid w:linePitch="360"/>
        </w:sectPr>
      </w:pPr>
    </w:p>
    <w:p w:rsidR="00722821" w:rsidRPr="00111D82" w:rsidRDefault="00CD7669" w:rsidP="007C594E">
      <w:pPr>
        <w:pStyle w:val="Heading1"/>
        <w:spacing w:before="100" w:beforeAutospacing="1" w:after="100" w:afterAutospacing="1"/>
        <w:jc w:val="both"/>
      </w:pPr>
      <w:bookmarkStart w:id="17" w:name="_Toc326296733"/>
      <w:r w:rsidRPr="00111D82">
        <w:t>Non-Residential Program Details</w:t>
      </w:r>
      <w:bookmarkEnd w:id="17"/>
    </w:p>
    <w:p w:rsidR="00722821" w:rsidRPr="00111D82" w:rsidRDefault="0073620B" w:rsidP="007C594E">
      <w:pPr>
        <w:spacing w:before="100" w:beforeAutospacing="1" w:after="100" w:afterAutospacing="1"/>
        <w:jc w:val="both"/>
        <w:rPr>
          <w:rFonts w:ascii="Times New Roman" w:hAnsi="Times New Roman"/>
        </w:rPr>
      </w:pPr>
      <w:r w:rsidRPr="00111D82">
        <w:rPr>
          <w:rFonts w:ascii="Times New Roman" w:hAnsi="Times New Roman"/>
          <w:sz w:val="24"/>
          <w:szCs w:val="24"/>
        </w:rPr>
        <w:t xml:space="preserve">The </w:t>
      </w:r>
      <w:r w:rsidR="00B124CC" w:rsidRPr="00111D82">
        <w:rPr>
          <w:rFonts w:ascii="Times New Roman" w:hAnsi="Times New Roman"/>
          <w:sz w:val="24"/>
          <w:szCs w:val="24"/>
        </w:rPr>
        <w:t>C</w:t>
      </w:r>
      <w:r w:rsidRPr="00111D82">
        <w:rPr>
          <w:rFonts w:ascii="Times New Roman" w:hAnsi="Times New Roman"/>
          <w:sz w:val="24"/>
          <w:szCs w:val="24"/>
        </w:rPr>
        <w:t xml:space="preserve">ompany offers FinAnswer Express </w:t>
      </w:r>
      <w:r w:rsidR="00283BAF" w:rsidRPr="00111D82">
        <w:rPr>
          <w:rFonts w:ascii="Times New Roman" w:hAnsi="Times New Roman"/>
          <w:sz w:val="24"/>
          <w:szCs w:val="24"/>
        </w:rPr>
        <w:t xml:space="preserve">(Schedule 115) </w:t>
      </w:r>
      <w:r w:rsidRPr="00111D82">
        <w:rPr>
          <w:rFonts w:ascii="Times New Roman" w:hAnsi="Times New Roman"/>
          <w:sz w:val="24"/>
          <w:szCs w:val="24"/>
        </w:rPr>
        <w:t xml:space="preserve">and Energy FinAnswer </w:t>
      </w:r>
      <w:r w:rsidR="00283BAF" w:rsidRPr="00111D82">
        <w:rPr>
          <w:rFonts w:ascii="Times New Roman" w:hAnsi="Times New Roman"/>
          <w:sz w:val="24"/>
          <w:szCs w:val="24"/>
        </w:rPr>
        <w:t>(</w:t>
      </w:r>
      <w:r w:rsidRPr="00111D82">
        <w:rPr>
          <w:rFonts w:ascii="Times New Roman" w:hAnsi="Times New Roman"/>
          <w:sz w:val="24"/>
          <w:szCs w:val="24"/>
        </w:rPr>
        <w:t>Schedule 1</w:t>
      </w:r>
      <w:r w:rsidR="00E435CA" w:rsidRPr="00111D82">
        <w:rPr>
          <w:rFonts w:ascii="Times New Roman" w:hAnsi="Times New Roman"/>
          <w:sz w:val="24"/>
          <w:szCs w:val="24"/>
        </w:rPr>
        <w:t>2</w:t>
      </w:r>
      <w:r w:rsidRPr="00111D82">
        <w:rPr>
          <w:rFonts w:ascii="Times New Roman" w:hAnsi="Times New Roman"/>
          <w:sz w:val="24"/>
          <w:szCs w:val="24"/>
        </w:rPr>
        <w:t>5</w:t>
      </w:r>
      <w:r w:rsidR="00283BAF" w:rsidRPr="00111D82">
        <w:rPr>
          <w:rFonts w:ascii="Times New Roman" w:hAnsi="Times New Roman"/>
          <w:sz w:val="24"/>
          <w:szCs w:val="24"/>
        </w:rPr>
        <w:t>)</w:t>
      </w:r>
      <w:r w:rsidRPr="00111D82">
        <w:rPr>
          <w:rFonts w:ascii="Times New Roman" w:hAnsi="Times New Roman"/>
          <w:sz w:val="24"/>
          <w:szCs w:val="24"/>
        </w:rPr>
        <w:t xml:space="preserve"> as non-residential programs in the state of Washington. </w:t>
      </w:r>
      <w:r w:rsidR="00B124CC" w:rsidRPr="00111D82">
        <w:rPr>
          <w:rFonts w:ascii="Times New Roman" w:hAnsi="Times New Roman"/>
          <w:sz w:val="24"/>
          <w:szCs w:val="24"/>
        </w:rPr>
        <w:t xml:space="preserve">The two programs work together to provide a comprehensive set of financial and service incentives to assist the </w:t>
      </w:r>
      <w:r w:rsidR="004E4BE1" w:rsidRPr="00111D82">
        <w:rPr>
          <w:rFonts w:ascii="Times New Roman" w:hAnsi="Times New Roman"/>
          <w:sz w:val="24"/>
          <w:szCs w:val="24"/>
        </w:rPr>
        <w:t>Company’s non</w:t>
      </w:r>
      <w:r w:rsidR="00B124CC" w:rsidRPr="00111D82">
        <w:rPr>
          <w:rFonts w:ascii="Times New Roman" w:hAnsi="Times New Roman"/>
          <w:sz w:val="24"/>
          <w:szCs w:val="24"/>
        </w:rPr>
        <w:t>-residential customers in improving the energy efficiency at their facilities.</w:t>
      </w:r>
    </w:p>
    <w:p w:rsidR="00722821" w:rsidRPr="00111D82" w:rsidRDefault="00D23E61" w:rsidP="007C594E">
      <w:pPr>
        <w:pStyle w:val="Heading2"/>
        <w:spacing w:before="100" w:beforeAutospacing="1" w:after="100" w:afterAutospacing="1"/>
        <w:jc w:val="both"/>
      </w:pPr>
      <w:bookmarkStart w:id="18" w:name="_Toc326296734"/>
      <w:r w:rsidRPr="00111D82">
        <w:t>FinAnswer Express (Schedule 115)</w:t>
      </w:r>
      <w:bookmarkEnd w:id="18"/>
    </w:p>
    <w:p w:rsidR="0055305E" w:rsidRPr="00111D82" w:rsidRDefault="0055305E" w:rsidP="00712937">
      <w:pPr>
        <w:jc w:val="both"/>
        <w:rPr>
          <w:rFonts w:ascii="Times New Roman" w:hAnsi="Times New Roman"/>
          <w:bCs/>
          <w:sz w:val="24"/>
          <w:szCs w:val="24"/>
          <w:u w:val="single"/>
        </w:rPr>
      </w:pPr>
      <w:r w:rsidRPr="00111D82">
        <w:rPr>
          <w:rFonts w:ascii="Times New Roman" w:hAnsi="Times New Roman"/>
          <w:bCs/>
          <w:sz w:val="24"/>
          <w:szCs w:val="24"/>
          <w:u w:val="single"/>
        </w:rPr>
        <w:t>Years of Implementation</w:t>
      </w:r>
    </w:p>
    <w:p w:rsidR="0055305E" w:rsidRPr="00111D82" w:rsidRDefault="0055305E" w:rsidP="007C594E">
      <w:pPr>
        <w:spacing w:after="100" w:afterAutospacing="1"/>
        <w:jc w:val="both"/>
        <w:rPr>
          <w:rFonts w:ascii="Times New Roman" w:hAnsi="Times New Roman"/>
          <w:bCs/>
          <w:sz w:val="24"/>
          <w:szCs w:val="24"/>
        </w:rPr>
      </w:pPr>
      <w:r w:rsidRPr="00111D82">
        <w:rPr>
          <w:rFonts w:ascii="Times New Roman" w:hAnsi="Times New Roman"/>
          <w:sz w:val="24"/>
          <w:szCs w:val="24"/>
        </w:rPr>
        <w:t>This program began as Small Retrofit Incentive and Retrofit Incentive (Schedules 115 and 116) in November 2000</w:t>
      </w:r>
      <w:r w:rsidR="007C594E">
        <w:rPr>
          <w:rFonts w:ascii="Times New Roman" w:hAnsi="Times New Roman"/>
          <w:sz w:val="24"/>
          <w:szCs w:val="24"/>
        </w:rPr>
        <w:t>. In May 2004 the program</w:t>
      </w:r>
      <w:r w:rsidRPr="00111D82">
        <w:rPr>
          <w:rFonts w:ascii="Times New Roman" w:hAnsi="Times New Roman"/>
          <w:sz w:val="24"/>
          <w:szCs w:val="24"/>
        </w:rPr>
        <w:t xml:space="preserve"> was improved and renamed FinAnswer Express (Schedule 115).</w:t>
      </w:r>
    </w:p>
    <w:p w:rsidR="00B2470B" w:rsidRPr="00111D82" w:rsidRDefault="00517748" w:rsidP="007C594E">
      <w:pPr>
        <w:spacing w:before="100" w:beforeAutospacing="1"/>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722821" w:rsidRPr="00111D82" w:rsidRDefault="00C60804" w:rsidP="007C594E">
      <w:pPr>
        <w:tabs>
          <w:tab w:val="left" w:pos="-1080"/>
        </w:tabs>
        <w:spacing w:after="100" w:afterAutospacing="1"/>
        <w:jc w:val="both"/>
        <w:rPr>
          <w:rFonts w:ascii="Times New Roman" w:hAnsi="Times New Roman"/>
          <w:b/>
          <w:sz w:val="24"/>
          <w:szCs w:val="24"/>
          <w:u w:val="single"/>
        </w:rPr>
      </w:pPr>
      <w:r w:rsidRPr="00111D82">
        <w:rPr>
          <w:rFonts w:ascii="Times New Roman" w:hAnsi="Times New Roman"/>
          <w:sz w:val="24"/>
          <w:szCs w:val="24"/>
        </w:rPr>
        <w:t xml:space="preserve">The FinAnswer Express program provides prescriptive incentives to commercial, industrial and </w:t>
      </w:r>
      <w:r w:rsidR="005D53C5" w:rsidRPr="00111D82">
        <w:rPr>
          <w:rFonts w:ascii="Times New Roman" w:hAnsi="Times New Roman"/>
          <w:sz w:val="24"/>
          <w:szCs w:val="24"/>
        </w:rPr>
        <w:t>agricultural</w:t>
      </w:r>
      <w:r w:rsidRPr="00111D82">
        <w:rPr>
          <w:rFonts w:ascii="Times New Roman" w:hAnsi="Times New Roman"/>
          <w:sz w:val="24"/>
          <w:szCs w:val="24"/>
        </w:rPr>
        <w:t xml:space="preserve"> customers for typical lighting, HVAC, motor, </w:t>
      </w:r>
      <w:r w:rsidR="005D53C5" w:rsidRPr="00111D82">
        <w:rPr>
          <w:rFonts w:ascii="Times New Roman" w:hAnsi="Times New Roman"/>
          <w:sz w:val="24"/>
          <w:szCs w:val="24"/>
        </w:rPr>
        <w:t xml:space="preserve">building envelope, </w:t>
      </w:r>
      <w:r w:rsidRPr="00111D82">
        <w:rPr>
          <w:rFonts w:ascii="Times New Roman" w:hAnsi="Times New Roman"/>
          <w:sz w:val="24"/>
          <w:szCs w:val="24"/>
        </w:rPr>
        <w:t xml:space="preserve">food service, appliances, irrigation, dairy/farm equipment, compressed air and other retrofits or new installations. The program includes an expedited energy analysis and incentives based on the equipment installed ($/fixture, $/motor, $/ton, etc.). </w:t>
      </w:r>
      <w:r w:rsidR="00337A83" w:rsidRPr="00111D82">
        <w:rPr>
          <w:rFonts w:ascii="Times New Roman" w:hAnsi="Times New Roman"/>
          <w:sz w:val="24"/>
          <w:szCs w:val="24"/>
        </w:rPr>
        <w:t>It includes a provision for custom incentives for energy efficiency measures that are not listed in the program incentive tables</w:t>
      </w:r>
      <w:r w:rsidR="004D1C5F">
        <w:rPr>
          <w:rFonts w:ascii="Times New Roman" w:hAnsi="Times New Roman"/>
          <w:sz w:val="24"/>
          <w:szCs w:val="24"/>
        </w:rPr>
        <w:t xml:space="preserve">. </w:t>
      </w:r>
      <w:r w:rsidRPr="00111D82">
        <w:rPr>
          <w:rFonts w:ascii="Times New Roman" w:hAnsi="Times New Roman"/>
          <w:sz w:val="24"/>
          <w:szCs w:val="24"/>
        </w:rPr>
        <w:t>The program is marketed primarily via trade allies, PacifiCorp staff, and a combination of other Company outreach efforts including radio advertising.</w:t>
      </w:r>
    </w:p>
    <w:p w:rsidR="00722821" w:rsidRPr="00111D82" w:rsidRDefault="00517748">
      <w:pPr>
        <w:jc w:val="both"/>
        <w:rPr>
          <w:rFonts w:ascii="Times New Roman" w:hAnsi="Times New Roman"/>
          <w:sz w:val="24"/>
          <w:szCs w:val="24"/>
          <w:u w:val="single"/>
        </w:rPr>
      </w:pPr>
      <w:r w:rsidRPr="00111D82">
        <w:rPr>
          <w:rFonts w:ascii="Times New Roman" w:hAnsi="Times New Roman"/>
          <w:sz w:val="24"/>
          <w:szCs w:val="24"/>
          <w:u w:val="single"/>
        </w:rPr>
        <w:t>Evaluation Update</w:t>
      </w:r>
    </w:p>
    <w:p w:rsidR="000873CA" w:rsidRPr="00111D82" w:rsidRDefault="00C60804" w:rsidP="000F2169">
      <w:pPr>
        <w:spacing w:after="100" w:afterAutospacing="1"/>
        <w:jc w:val="both"/>
        <w:rPr>
          <w:rFonts w:ascii="Times New Roman" w:hAnsi="Times New Roman"/>
          <w:sz w:val="24"/>
          <w:szCs w:val="24"/>
        </w:rPr>
      </w:pPr>
      <w:r w:rsidRPr="00111D82">
        <w:rPr>
          <w:rFonts w:ascii="Times New Roman" w:hAnsi="Times New Roman"/>
          <w:sz w:val="24"/>
          <w:szCs w:val="24"/>
        </w:rPr>
        <w:t>In October 2009, the Company initiated process and impact evaluations for the FinAnswer Express program in Washington for program years 2005</w:t>
      </w:r>
      <w:r w:rsidR="00CA2819" w:rsidRPr="00111D82">
        <w:rPr>
          <w:rFonts w:ascii="Times New Roman" w:hAnsi="Times New Roman"/>
          <w:sz w:val="24"/>
          <w:szCs w:val="24"/>
        </w:rPr>
        <w:t>-</w:t>
      </w:r>
      <w:r w:rsidRPr="00111D82">
        <w:rPr>
          <w:rFonts w:ascii="Times New Roman" w:hAnsi="Times New Roman"/>
          <w:sz w:val="24"/>
          <w:szCs w:val="24"/>
        </w:rPr>
        <w:t>2008.</w:t>
      </w:r>
    </w:p>
    <w:p w:rsidR="00DE2C9A" w:rsidRPr="00111D82" w:rsidRDefault="000873CA" w:rsidP="000F2169">
      <w:pPr>
        <w:spacing w:before="100" w:beforeAutospacing="1" w:after="100" w:afterAutospacing="1"/>
        <w:jc w:val="both"/>
        <w:rPr>
          <w:rFonts w:ascii="Times New Roman" w:hAnsi="Times New Roman"/>
          <w:b/>
          <w:i/>
          <w:sz w:val="24"/>
          <w:szCs w:val="24"/>
        </w:rPr>
      </w:pPr>
      <w:r w:rsidRPr="00111D82">
        <w:rPr>
          <w:rFonts w:ascii="Times New Roman" w:hAnsi="Times New Roman"/>
          <w:sz w:val="24"/>
          <w:szCs w:val="24"/>
        </w:rPr>
        <w:t>In 201</w:t>
      </w:r>
      <w:r w:rsidR="00CA2819" w:rsidRPr="00111D82">
        <w:rPr>
          <w:rFonts w:ascii="Times New Roman" w:hAnsi="Times New Roman"/>
          <w:sz w:val="24"/>
          <w:szCs w:val="24"/>
        </w:rPr>
        <w:t>2</w:t>
      </w:r>
      <w:r w:rsidRPr="00111D82">
        <w:rPr>
          <w:rFonts w:ascii="Times New Roman" w:hAnsi="Times New Roman"/>
          <w:sz w:val="24"/>
          <w:szCs w:val="24"/>
        </w:rPr>
        <w:t xml:space="preserve">, the Company </w:t>
      </w:r>
      <w:r w:rsidR="00CA2819" w:rsidRPr="00111D82">
        <w:rPr>
          <w:rFonts w:ascii="Times New Roman" w:hAnsi="Times New Roman"/>
          <w:sz w:val="24"/>
          <w:szCs w:val="24"/>
        </w:rPr>
        <w:t xml:space="preserve">will </w:t>
      </w:r>
      <w:r w:rsidRPr="00111D82">
        <w:rPr>
          <w:rFonts w:ascii="Times New Roman" w:hAnsi="Times New Roman"/>
          <w:sz w:val="24"/>
          <w:szCs w:val="24"/>
        </w:rPr>
        <w:t>initiate</w:t>
      </w:r>
      <w:r w:rsidR="00CA2819" w:rsidRPr="00111D82">
        <w:rPr>
          <w:rFonts w:ascii="Times New Roman" w:hAnsi="Times New Roman"/>
          <w:sz w:val="24"/>
          <w:szCs w:val="24"/>
        </w:rPr>
        <w:t xml:space="preserve"> a</w:t>
      </w:r>
      <w:r w:rsidRPr="00111D82">
        <w:rPr>
          <w:rFonts w:ascii="Times New Roman" w:hAnsi="Times New Roman"/>
          <w:sz w:val="24"/>
          <w:szCs w:val="24"/>
        </w:rPr>
        <w:t xml:space="preserve"> process and impact evaluation for the FinAnswer Express program in Washington for program years 2009-201</w:t>
      </w:r>
      <w:r w:rsidR="00CA2819" w:rsidRPr="00111D82">
        <w:rPr>
          <w:rFonts w:ascii="Times New Roman" w:hAnsi="Times New Roman"/>
          <w:sz w:val="24"/>
          <w:szCs w:val="24"/>
        </w:rPr>
        <w:t>1</w:t>
      </w:r>
      <w:r w:rsidRPr="00111D82">
        <w:rPr>
          <w:rFonts w:ascii="Times New Roman" w:hAnsi="Times New Roman"/>
          <w:sz w:val="24"/>
          <w:szCs w:val="24"/>
        </w:rPr>
        <w:t>.</w:t>
      </w:r>
    </w:p>
    <w:p w:rsidR="00DE2C9A" w:rsidRPr="00611EAF" w:rsidRDefault="00124DBD" w:rsidP="00DE2C9A">
      <w:pPr>
        <w:rPr>
          <w:rFonts w:ascii="Times New Roman" w:hAnsi="Times New Roman"/>
          <w:b/>
          <w:i/>
          <w:sz w:val="20"/>
          <w:szCs w:val="24"/>
        </w:rPr>
      </w:pPr>
      <w:r w:rsidRPr="00124DBD">
        <w:rPr>
          <w:rFonts w:ascii="Times New Roman" w:hAnsi="Times New Roman"/>
          <w:b/>
          <w:i/>
          <w:sz w:val="20"/>
          <w:szCs w:val="24"/>
        </w:rPr>
        <w:t>Last Evaluation Report:</w:t>
      </w:r>
    </w:p>
    <w:tbl>
      <w:tblPr>
        <w:tblW w:w="0" w:type="auto"/>
        <w:tblLook w:val="04A0"/>
      </w:tblPr>
      <w:tblGrid>
        <w:gridCol w:w="3229"/>
        <w:gridCol w:w="2845"/>
        <w:gridCol w:w="2782"/>
      </w:tblGrid>
      <w:tr w:rsidR="00DE2C9A" w:rsidRPr="00611EAF" w:rsidTr="00DE2C9A">
        <w:tc>
          <w:tcPr>
            <w:tcW w:w="3229" w:type="dxa"/>
          </w:tcPr>
          <w:p w:rsidR="00DE2C9A" w:rsidRPr="00611EAF" w:rsidRDefault="00124DBD" w:rsidP="000F2169">
            <w:pPr>
              <w:spacing w:after="100" w:afterAutospacing="1"/>
              <w:jc w:val="center"/>
              <w:rPr>
                <w:rFonts w:ascii="Times New Roman" w:hAnsi="Times New Roman"/>
                <w:b/>
                <w:sz w:val="20"/>
                <w:szCs w:val="24"/>
              </w:rPr>
            </w:pPr>
            <w:r w:rsidRPr="00124DBD">
              <w:rPr>
                <w:rFonts w:ascii="Times New Roman" w:hAnsi="Times New Roman"/>
                <w:b/>
                <w:sz w:val="20"/>
                <w:szCs w:val="24"/>
              </w:rPr>
              <w:t>Program Years</w:t>
            </w:r>
          </w:p>
        </w:tc>
        <w:tc>
          <w:tcPr>
            <w:tcW w:w="2845" w:type="dxa"/>
          </w:tcPr>
          <w:p w:rsidR="00DE2C9A" w:rsidRPr="00611EAF" w:rsidRDefault="00124DBD" w:rsidP="000F2169">
            <w:pPr>
              <w:spacing w:after="100" w:afterAutospacing="1"/>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DE2C9A" w:rsidRPr="00611EAF" w:rsidRDefault="00124DBD" w:rsidP="000F2169">
            <w:pPr>
              <w:spacing w:after="100" w:afterAutospacing="1"/>
              <w:jc w:val="center"/>
              <w:rPr>
                <w:rFonts w:ascii="Times New Roman" w:hAnsi="Times New Roman"/>
                <w:b/>
                <w:sz w:val="20"/>
                <w:szCs w:val="24"/>
              </w:rPr>
            </w:pPr>
            <w:r w:rsidRPr="00124DBD">
              <w:rPr>
                <w:rFonts w:ascii="Times New Roman" w:hAnsi="Times New Roman"/>
                <w:b/>
                <w:sz w:val="20"/>
                <w:szCs w:val="24"/>
              </w:rPr>
              <w:t>Completed by</w:t>
            </w:r>
          </w:p>
        </w:tc>
      </w:tr>
      <w:tr w:rsidR="00DE2C9A" w:rsidRPr="00611EAF" w:rsidTr="00DE2C9A">
        <w:tc>
          <w:tcPr>
            <w:tcW w:w="3229"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2005-2008</w:t>
            </w:r>
          </w:p>
        </w:tc>
        <w:tc>
          <w:tcPr>
            <w:tcW w:w="2845"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December 6, 2010</w:t>
            </w:r>
          </w:p>
        </w:tc>
        <w:tc>
          <w:tcPr>
            <w:tcW w:w="2782"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The Cadmus Group</w:t>
            </w:r>
          </w:p>
        </w:tc>
      </w:tr>
    </w:tbl>
    <w:p w:rsidR="00DE2C9A" w:rsidRPr="00611EAF" w:rsidRDefault="00124DBD" w:rsidP="000F2169">
      <w:pPr>
        <w:spacing w:before="100" w:beforeAutospacing="1"/>
        <w:rPr>
          <w:rFonts w:ascii="Times New Roman" w:hAnsi="Times New Roman"/>
          <w:b/>
          <w:i/>
          <w:sz w:val="20"/>
          <w:szCs w:val="24"/>
        </w:rPr>
      </w:pPr>
      <w:r w:rsidRPr="00124DBD">
        <w:rPr>
          <w:rFonts w:ascii="Times New Roman" w:hAnsi="Times New Roman"/>
          <w:b/>
          <w:i/>
          <w:sz w:val="20"/>
          <w:szCs w:val="24"/>
        </w:rPr>
        <w:t>Future Evaluation Report(s):</w:t>
      </w:r>
    </w:p>
    <w:tbl>
      <w:tblPr>
        <w:tblW w:w="0" w:type="auto"/>
        <w:tblLook w:val="04A0"/>
      </w:tblPr>
      <w:tblGrid>
        <w:gridCol w:w="3348"/>
        <w:gridCol w:w="2726"/>
        <w:gridCol w:w="2782"/>
      </w:tblGrid>
      <w:tr w:rsidR="00DE2C9A" w:rsidRPr="00611EAF" w:rsidTr="00DE2C9A">
        <w:tc>
          <w:tcPr>
            <w:tcW w:w="3348" w:type="dxa"/>
          </w:tcPr>
          <w:p w:rsidR="00DE2C9A" w:rsidRPr="00611EAF" w:rsidRDefault="00124DBD" w:rsidP="000F2169">
            <w:pPr>
              <w:spacing w:after="100" w:afterAutospacing="1"/>
              <w:jc w:val="center"/>
              <w:rPr>
                <w:rFonts w:ascii="Times New Roman" w:hAnsi="Times New Roman"/>
                <w:b/>
                <w:sz w:val="20"/>
                <w:szCs w:val="24"/>
              </w:rPr>
            </w:pPr>
            <w:r w:rsidRPr="00124DBD">
              <w:rPr>
                <w:rFonts w:ascii="Times New Roman" w:hAnsi="Times New Roman"/>
                <w:b/>
                <w:sz w:val="20"/>
                <w:szCs w:val="24"/>
              </w:rPr>
              <w:t>Program Years</w:t>
            </w:r>
          </w:p>
        </w:tc>
        <w:tc>
          <w:tcPr>
            <w:tcW w:w="2726" w:type="dxa"/>
          </w:tcPr>
          <w:p w:rsidR="00DE2C9A" w:rsidRPr="00611EAF" w:rsidRDefault="00124DBD" w:rsidP="000F2169">
            <w:pPr>
              <w:spacing w:after="100" w:afterAutospacing="1"/>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DE2C9A" w:rsidRPr="00611EAF" w:rsidRDefault="00124DBD" w:rsidP="000F2169">
            <w:pPr>
              <w:spacing w:after="100" w:afterAutospacing="1"/>
              <w:jc w:val="center"/>
              <w:rPr>
                <w:rFonts w:ascii="Times New Roman" w:hAnsi="Times New Roman"/>
                <w:b/>
                <w:sz w:val="20"/>
                <w:szCs w:val="24"/>
              </w:rPr>
            </w:pPr>
            <w:r w:rsidRPr="00124DBD">
              <w:rPr>
                <w:rFonts w:ascii="Times New Roman" w:hAnsi="Times New Roman"/>
                <w:b/>
                <w:sz w:val="20"/>
                <w:szCs w:val="24"/>
              </w:rPr>
              <w:t>To be Completed by</w:t>
            </w:r>
          </w:p>
        </w:tc>
      </w:tr>
      <w:tr w:rsidR="00DE2C9A" w:rsidRPr="00611EAF" w:rsidTr="00DE2C9A">
        <w:tc>
          <w:tcPr>
            <w:tcW w:w="3348"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2009-2011</w:t>
            </w:r>
          </w:p>
        </w:tc>
        <w:tc>
          <w:tcPr>
            <w:tcW w:w="2726"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By Year-end 2012</w:t>
            </w:r>
          </w:p>
        </w:tc>
        <w:tc>
          <w:tcPr>
            <w:tcW w:w="2782"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Navigant Consulting Inc.</w:t>
            </w:r>
          </w:p>
        </w:tc>
      </w:tr>
      <w:tr w:rsidR="00DE2C9A" w:rsidRPr="00611EAF" w:rsidTr="00DE2C9A">
        <w:tc>
          <w:tcPr>
            <w:tcW w:w="3348"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2012-2013</w:t>
            </w:r>
          </w:p>
        </w:tc>
        <w:tc>
          <w:tcPr>
            <w:tcW w:w="2726"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By Year-end 2014</w:t>
            </w:r>
          </w:p>
        </w:tc>
        <w:tc>
          <w:tcPr>
            <w:tcW w:w="2782" w:type="dxa"/>
          </w:tcPr>
          <w:p w:rsidR="00DE2C9A" w:rsidRPr="00611EAF" w:rsidRDefault="00124DBD" w:rsidP="000F2169">
            <w:pPr>
              <w:spacing w:after="100" w:afterAutospacing="1"/>
              <w:jc w:val="center"/>
              <w:rPr>
                <w:rFonts w:ascii="Times New Roman" w:hAnsi="Times New Roman"/>
                <w:sz w:val="20"/>
                <w:szCs w:val="24"/>
              </w:rPr>
            </w:pPr>
            <w:r w:rsidRPr="00124DBD">
              <w:rPr>
                <w:rFonts w:ascii="Times New Roman" w:hAnsi="Times New Roman"/>
                <w:sz w:val="20"/>
                <w:szCs w:val="24"/>
              </w:rPr>
              <w:t>Navigant Consulting Inc.</w:t>
            </w:r>
          </w:p>
        </w:tc>
      </w:tr>
    </w:tbl>
    <w:p w:rsidR="00722821" w:rsidRPr="00111D82" w:rsidRDefault="00517748" w:rsidP="000F2169">
      <w:pPr>
        <w:spacing w:before="100" w:beforeAutospacing="1"/>
        <w:jc w:val="both"/>
        <w:rPr>
          <w:rFonts w:ascii="Times New Roman" w:hAnsi="Times New Roman"/>
          <w:sz w:val="24"/>
          <w:szCs w:val="24"/>
          <w:u w:val="single"/>
        </w:rPr>
      </w:pPr>
      <w:r w:rsidRPr="00111D82">
        <w:rPr>
          <w:rFonts w:ascii="Times New Roman" w:hAnsi="Times New Roman"/>
          <w:sz w:val="24"/>
          <w:szCs w:val="24"/>
          <w:u w:val="single"/>
        </w:rPr>
        <w:t>Program Details</w:t>
      </w:r>
    </w:p>
    <w:p w:rsidR="00D23E61" w:rsidRPr="00111D82" w:rsidRDefault="00D23E61" w:rsidP="000F2169">
      <w:pPr>
        <w:spacing w:after="100" w:afterAutospacing="1"/>
        <w:jc w:val="both"/>
        <w:rPr>
          <w:rFonts w:ascii="Times New Roman" w:hAnsi="Times New Roman"/>
          <w:sz w:val="24"/>
          <w:szCs w:val="24"/>
        </w:rPr>
      </w:pPr>
      <w:r w:rsidRPr="00111D82">
        <w:rPr>
          <w:rFonts w:ascii="Times New Roman" w:hAnsi="Times New Roman"/>
          <w:sz w:val="24"/>
          <w:szCs w:val="24"/>
        </w:rPr>
        <w:t xml:space="preserve">Program details for this program are contained in the program tariff. Any changes to the details included in the program tariff must be filed and approved by the Commission prior to becoming effective. In addition, there are program details managed outside of the program tariff. The </w:t>
      </w:r>
      <w:r w:rsidR="00B06A69" w:rsidRPr="00111D82">
        <w:rPr>
          <w:rFonts w:ascii="Times New Roman" w:hAnsi="Times New Roman"/>
          <w:sz w:val="24"/>
          <w:szCs w:val="24"/>
        </w:rPr>
        <w:t xml:space="preserve">program tariff and the </w:t>
      </w:r>
      <w:r w:rsidRPr="00111D82">
        <w:rPr>
          <w:rFonts w:ascii="Times New Roman" w:hAnsi="Times New Roman"/>
          <w:sz w:val="24"/>
          <w:szCs w:val="24"/>
        </w:rPr>
        <w:t>text below from the Advice Let</w:t>
      </w:r>
      <w:r w:rsidR="00B06A69" w:rsidRPr="00111D82">
        <w:rPr>
          <w:rFonts w:ascii="Times New Roman" w:hAnsi="Times New Roman"/>
          <w:sz w:val="24"/>
          <w:szCs w:val="24"/>
        </w:rPr>
        <w:t>ter</w:t>
      </w:r>
      <w:r w:rsidR="00E435CA" w:rsidRPr="00111D82">
        <w:rPr>
          <w:rFonts w:ascii="Times New Roman" w:hAnsi="Times New Roman"/>
          <w:sz w:val="24"/>
          <w:szCs w:val="24"/>
        </w:rPr>
        <w:t xml:space="preserve"> 06-</w:t>
      </w:r>
      <w:r w:rsidR="00C86D0F" w:rsidRPr="00111D82">
        <w:rPr>
          <w:rFonts w:ascii="Times New Roman" w:hAnsi="Times New Roman"/>
          <w:sz w:val="24"/>
          <w:szCs w:val="24"/>
        </w:rPr>
        <w:t>0</w:t>
      </w:r>
      <w:r w:rsidR="00E435CA" w:rsidRPr="00111D82">
        <w:rPr>
          <w:rFonts w:ascii="Times New Roman" w:hAnsi="Times New Roman"/>
          <w:sz w:val="24"/>
          <w:szCs w:val="24"/>
        </w:rPr>
        <w:t>08</w:t>
      </w:r>
      <w:r w:rsidR="00B06A69" w:rsidRPr="00111D82">
        <w:rPr>
          <w:rFonts w:ascii="Times New Roman" w:hAnsi="Times New Roman"/>
          <w:sz w:val="24"/>
          <w:szCs w:val="24"/>
        </w:rPr>
        <w:t xml:space="preserve"> (Docket UE-061710)</w:t>
      </w:r>
      <w:r w:rsidR="00C86D0F" w:rsidRPr="00111D82">
        <w:rPr>
          <w:rFonts w:ascii="Times New Roman" w:hAnsi="Times New Roman"/>
          <w:sz w:val="24"/>
          <w:szCs w:val="24"/>
        </w:rPr>
        <w:t>, filed on November 8, 2006,</w:t>
      </w:r>
      <w:r w:rsidR="00B06A69" w:rsidRPr="00111D82">
        <w:rPr>
          <w:rFonts w:ascii="Times New Roman" w:hAnsi="Times New Roman"/>
          <w:sz w:val="24"/>
          <w:szCs w:val="24"/>
        </w:rPr>
        <w:t xml:space="preserve"> describe</w:t>
      </w:r>
      <w:r w:rsidRPr="00111D82">
        <w:rPr>
          <w:rFonts w:ascii="Times New Roman" w:hAnsi="Times New Roman"/>
          <w:sz w:val="24"/>
          <w:szCs w:val="24"/>
        </w:rPr>
        <w:t xml:space="preserve"> the information that is managed outside of the tariff and the process for changes.</w:t>
      </w:r>
    </w:p>
    <w:p w:rsidR="00D23E61" w:rsidRPr="007C594E" w:rsidRDefault="00A468A6" w:rsidP="000F2169">
      <w:pPr>
        <w:spacing w:before="100" w:beforeAutospacing="1" w:after="100" w:afterAutospacing="1"/>
        <w:ind w:left="360" w:right="360"/>
        <w:jc w:val="both"/>
        <w:rPr>
          <w:rFonts w:ascii="Times New Roman" w:hAnsi="Times New Roman"/>
          <w:i/>
          <w:sz w:val="24"/>
          <w:szCs w:val="24"/>
        </w:rPr>
      </w:pPr>
      <w:r w:rsidRPr="007C594E">
        <w:rPr>
          <w:rFonts w:ascii="Times New Roman" w:eastAsia="Times New Roman" w:hAnsi="Times New Roman"/>
          <w:i/>
          <w:sz w:val="24"/>
          <w:szCs w:val="24"/>
        </w:rPr>
        <w:t>Future changes in the</w:t>
      </w:r>
      <w:r w:rsidR="0007710D" w:rsidRPr="007C594E">
        <w:rPr>
          <w:rFonts w:ascii="Times New Roman" w:eastAsia="Times New Roman" w:hAnsi="Times New Roman"/>
          <w:i/>
          <w:sz w:val="24"/>
          <w:szCs w:val="24"/>
        </w:rPr>
        <w:t xml:space="preserve">… </w:t>
      </w:r>
      <w:r w:rsidRPr="007C594E">
        <w:rPr>
          <w:rFonts w:ascii="Times New Roman" w:eastAsia="Times New Roman" w:hAnsi="Times New Roman"/>
          <w:i/>
          <w:sz w:val="24"/>
          <w:szCs w:val="24"/>
        </w:rPr>
        <w:t>incentive tables and definitions would be driven by program and market data. The Company assesses program performance on an ongoing basis and would propose changes at least annually. Changes may be proposed more frequently if there is compelling market data. Similar to the filing process, the Company would present information on proposed changes to its Advisory Group and seek comments prior to making changes. Changes would be clearly posted on the</w:t>
      </w:r>
      <w:r w:rsidR="000F2169">
        <w:rPr>
          <w:rFonts w:ascii="Times New Roman" w:eastAsia="Times New Roman" w:hAnsi="Times New Roman"/>
          <w:i/>
          <w:sz w:val="24"/>
          <w:szCs w:val="24"/>
        </w:rPr>
        <w:t xml:space="preserve"> </w:t>
      </w:r>
      <w:r w:rsidRPr="007C594E">
        <w:rPr>
          <w:rFonts w:ascii="Times New Roman" w:eastAsia="Times New Roman" w:hAnsi="Times New Roman"/>
          <w:i/>
          <w:sz w:val="24"/>
          <w:szCs w:val="24"/>
        </w:rPr>
        <w:t>program web site and e-mailed to the appropriate Commission staff person with at least 45 days advance notice.</w:t>
      </w:r>
    </w:p>
    <w:p w:rsidR="009E4C22" w:rsidRPr="00111D82" w:rsidRDefault="009E4C22" w:rsidP="000F2169">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The </w:t>
      </w:r>
      <w:r w:rsidR="00C86D0F" w:rsidRPr="00111D82">
        <w:rPr>
          <w:rFonts w:ascii="Times New Roman" w:hAnsi="Times New Roman"/>
          <w:sz w:val="24"/>
          <w:szCs w:val="24"/>
        </w:rPr>
        <w:t xml:space="preserve">incentive tables, program definitions and custom incentives offered </w:t>
      </w:r>
      <w:r w:rsidRPr="00111D82">
        <w:rPr>
          <w:rFonts w:ascii="Times New Roman" w:hAnsi="Times New Roman"/>
          <w:sz w:val="24"/>
          <w:szCs w:val="24"/>
        </w:rPr>
        <w:t xml:space="preserve">are managed outside of the program tariff </w:t>
      </w:r>
      <w:r w:rsidR="00F41D81" w:rsidRPr="00111D82">
        <w:rPr>
          <w:rFonts w:ascii="Times New Roman" w:hAnsi="Times New Roman"/>
          <w:sz w:val="24"/>
          <w:szCs w:val="24"/>
        </w:rPr>
        <w:t xml:space="preserve">on the Company </w:t>
      </w:r>
      <w:r w:rsidR="00337A83" w:rsidRPr="00111D82">
        <w:rPr>
          <w:rFonts w:ascii="Times New Roman" w:hAnsi="Times New Roman"/>
          <w:sz w:val="24"/>
          <w:szCs w:val="24"/>
        </w:rPr>
        <w:t>web</w:t>
      </w:r>
      <w:r w:rsidR="00F41D81" w:rsidRPr="00111D82">
        <w:rPr>
          <w:rFonts w:ascii="Times New Roman" w:hAnsi="Times New Roman"/>
          <w:sz w:val="24"/>
          <w:szCs w:val="24"/>
        </w:rPr>
        <w:t xml:space="preserve">site </w:t>
      </w:r>
      <w:r w:rsidRPr="00111D82">
        <w:rPr>
          <w:rFonts w:ascii="Times New Roman" w:hAnsi="Times New Roman"/>
          <w:sz w:val="24"/>
          <w:szCs w:val="24"/>
        </w:rPr>
        <w:t>via the process described above</w:t>
      </w:r>
      <w:r w:rsidR="00C86D0F" w:rsidRPr="00111D82">
        <w:rPr>
          <w:rFonts w:ascii="Times New Roman" w:hAnsi="Times New Roman"/>
          <w:sz w:val="24"/>
          <w:szCs w:val="24"/>
        </w:rPr>
        <w:t>.</w:t>
      </w:r>
    </w:p>
    <w:p w:rsidR="00ED5744" w:rsidRPr="00111D82" w:rsidRDefault="004D1C5F" w:rsidP="000F2169">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Program changes </w:t>
      </w:r>
      <w:r>
        <w:rPr>
          <w:rFonts w:ascii="Times New Roman" w:hAnsi="Times New Roman"/>
          <w:sz w:val="24"/>
          <w:szCs w:val="24"/>
        </w:rPr>
        <w:t>were</w:t>
      </w:r>
      <w:r w:rsidRPr="00111D82">
        <w:rPr>
          <w:rFonts w:ascii="Times New Roman" w:hAnsi="Times New Roman"/>
          <w:sz w:val="24"/>
          <w:szCs w:val="24"/>
        </w:rPr>
        <w:t xml:space="preserve"> made </w:t>
      </w:r>
      <w:r>
        <w:rPr>
          <w:rFonts w:ascii="Times New Roman" w:hAnsi="Times New Roman"/>
          <w:sz w:val="24"/>
          <w:szCs w:val="24"/>
        </w:rPr>
        <w:t xml:space="preserve">effective </w:t>
      </w:r>
      <w:r w:rsidRPr="00111D82">
        <w:rPr>
          <w:rFonts w:ascii="Times New Roman" w:hAnsi="Times New Roman"/>
          <w:sz w:val="24"/>
          <w:szCs w:val="24"/>
        </w:rPr>
        <w:t xml:space="preserve">in </w:t>
      </w:r>
      <w:r>
        <w:rPr>
          <w:rFonts w:ascii="Times New Roman" w:hAnsi="Times New Roman"/>
          <w:sz w:val="24"/>
          <w:szCs w:val="24"/>
        </w:rPr>
        <w:t xml:space="preserve">February </w:t>
      </w:r>
      <w:r w:rsidRPr="00111D82">
        <w:rPr>
          <w:rFonts w:ascii="Times New Roman" w:hAnsi="Times New Roman"/>
          <w:sz w:val="24"/>
          <w:szCs w:val="24"/>
        </w:rPr>
        <w:t>2012 to improve participation, comply with code and standard changes, align incentives with revised measure costs and savings estimates, and improve cost effectiveness.</w:t>
      </w:r>
      <w:r>
        <w:rPr>
          <w:rFonts w:ascii="Times New Roman" w:hAnsi="Times New Roman"/>
          <w:sz w:val="24"/>
          <w:szCs w:val="24"/>
        </w:rPr>
        <w:t xml:space="preserve"> C</w:t>
      </w:r>
      <w:r w:rsidR="00C86D0F" w:rsidRPr="00111D82">
        <w:rPr>
          <w:rFonts w:ascii="Times New Roman" w:hAnsi="Times New Roman"/>
          <w:sz w:val="24"/>
          <w:szCs w:val="24"/>
        </w:rPr>
        <w:t>urrent</w:t>
      </w:r>
      <w:r w:rsidR="00ED5744" w:rsidRPr="00111D82">
        <w:rPr>
          <w:rFonts w:ascii="Times New Roman" w:hAnsi="Times New Roman"/>
          <w:sz w:val="24"/>
          <w:szCs w:val="24"/>
        </w:rPr>
        <w:t xml:space="preserve"> information </w:t>
      </w:r>
      <w:r w:rsidR="00732E7B" w:rsidRPr="00111D82">
        <w:rPr>
          <w:rFonts w:ascii="Times New Roman" w:hAnsi="Times New Roman"/>
          <w:sz w:val="24"/>
          <w:szCs w:val="24"/>
        </w:rPr>
        <w:t>for the program</w:t>
      </w:r>
      <w:r>
        <w:rPr>
          <w:rFonts w:ascii="Times New Roman" w:hAnsi="Times New Roman"/>
          <w:sz w:val="24"/>
          <w:szCs w:val="24"/>
        </w:rPr>
        <w:t xml:space="preserve"> incorporating the most recent changes</w:t>
      </w:r>
      <w:r w:rsidR="00732E7B" w:rsidRPr="00111D82">
        <w:rPr>
          <w:rFonts w:ascii="Times New Roman" w:hAnsi="Times New Roman"/>
          <w:sz w:val="24"/>
          <w:szCs w:val="24"/>
        </w:rPr>
        <w:t xml:space="preserve"> </w:t>
      </w:r>
      <w:r w:rsidR="00ED5744" w:rsidRPr="00111D82">
        <w:rPr>
          <w:rFonts w:ascii="Times New Roman" w:hAnsi="Times New Roman"/>
          <w:sz w:val="24"/>
          <w:szCs w:val="24"/>
        </w:rPr>
        <w:t>can be found on the Company’s website at the following links</w:t>
      </w:r>
      <w:r w:rsidR="00C86D0F" w:rsidRPr="00111D82">
        <w:rPr>
          <w:rFonts w:ascii="Times New Roman" w:hAnsi="Times New Roman"/>
          <w:sz w:val="24"/>
          <w:szCs w:val="24"/>
        </w:rPr>
        <w:t xml:space="preserve"> and included </w:t>
      </w:r>
      <w:r>
        <w:rPr>
          <w:rFonts w:ascii="Times New Roman" w:hAnsi="Times New Roman"/>
          <w:sz w:val="24"/>
          <w:szCs w:val="24"/>
        </w:rPr>
        <w:t xml:space="preserve">in summary </w:t>
      </w:r>
      <w:r w:rsidR="00C86D0F" w:rsidRPr="00111D82">
        <w:rPr>
          <w:rFonts w:ascii="Times New Roman" w:hAnsi="Times New Roman"/>
          <w:sz w:val="24"/>
          <w:szCs w:val="24"/>
        </w:rPr>
        <w:t>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7128"/>
      </w:tblGrid>
      <w:tr w:rsidR="00ED5744" w:rsidRPr="00111D82" w:rsidTr="000F2169">
        <w:trPr>
          <w:jc w:val="center"/>
        </w:trPr>
        <w:tc>
          <w:tcPr>
            <w:tcW w:w="1413" w:type="pct"/>
          </w:tcPr>
          <w:p w:rsidR="00722821" w:rsidRPr="00111D82" w:rsidRDefault="00ED5744">
            <w:pPr>
              <w:jc w:val="center"/>
              <w:rPr>
                <w:rFonts w:ascii="Times New Roman" w:hAnsi="Times New Roman"/>
                <w:b/>
                <w:sz w:val="24"/>
                <w:szCs w:val="24"/>
              </w:rPr>
            </w:pPr>
            <w:r w:rsidRPr="00111D82">
              <w:rPr>
                <w:rFonts w:ascii="Times New Roman" w:hAnsi="Times New Roman"/>
                <w:b/>
                <w:sz w:val="24"/>
                <w:szCs w:val="24"/>
              </w:rPr>
              <w:t>Program Details</w:t>
            </w:r>
          </w:p>
        </w:tc>
        <w:tc>
          <w:tcPr>
            <w:tcW w:w="3587" w:type="pct"/>
          </w:tcPr>
          <w:p w:rsidR="00722821" w:rsidRPr="00111D82" w:rsidRDefault="00ED5744">
            <w:pPr>
              <w:jc w:val="center"/>
              <w:rPr>
                <w:rFonts w:ascii="Times New Roman" w:hAnsi="Times New Roman"/>
                <w:b/>
                <w:sz w:val="24"/>
                <w:szCs w:val="24"/>
              </w:rPr>
            </w:pPr>
            <w:r w:rsidRPr="00111D82">
              <w:rPr>
                <w:rFonts w:ascii="Times New Roman" w:hAnsi="Times New Roman"/>
                <w:b/>
                <w:sz w:val="24"/>
                <w:szCs w:val="24"/>
              </w:rPr>
              <w:t>Website link</w:t>
            </w:r>
          </w:p>
        </w:tc>
      </w:tr>
      <w:tr w:rsidR="00ED5744" w:rsidRPr="00111D82" w:rsidTr="000F2169">
        <w:trPr>
          <w:jc w:val="center"/>
        </w:trPr>
        <w:tc>
          <w:tcPr>
            <w:tcW w:w="1413" w:type="pct"/>
          </w:tcPr>
          <w:p w:rsidR="00ED5744" w:rsidRPr="00111D82" w:rsidRDefault="00ED5744" w:rsidP="00ED5744">
            <w:pPr>
              <w:rPr>
                <w:rFonts w:ascii="Times New Roman" w:hAnsi="Times New Roman"/>
                <w:sz w:val="24"/>
                <w:szCs w:val="24"/>
              </w:rPr>
            </w:pPr>
            <w:r w:rsidRPr="00111D82">
              <w:rPr>
                <w:rFonts w:ascii="Times New Roman" w:hAnsi="Times New Roman"/>
                <w:sz w:val="24"/>
                <w:szCs w:val="24"/>
              </w:rPr>
              <w:t>Incentive tables (retrofit)</w:t>
            </w:r>
            <w:r w:rsidR="00EF53CB" w:rsidRPr="00111D82">
              <w:rPr>
                <w:rFonts w:ascii="Times New Roman" w:hAnsi="Times New Roman"/>
                <w:sz w:val="24"/>
                <w:szCs w:val="24"/>
              </w:rPr>
              <w:t xml:space="preserve"> are included in the program brochure</w:t>
            </w:r>
          </w:p>
        </w:tc>
        <w:tc>
          <w:tcPr>
            <w:tcW w:w="3587" w:type="pct"/>
          </w:tcPr>
          <w:p w:rsidR="00ED5744" w:rsidRPr="004D0519" w:rsidRDefault="000A75FE" w:rsidP="00ED5744">
            <w:pPr>
              <w:rPr>
                <w:rFonts w:ascii="Times New Roman" w:hAnsi="Times New Roman"/>
                <w:color w:val="3366FF"/>
                <w:sz w:val="24"/>
                <w:szCs w:val="24"/>
              </w:rPr>
            </w:pPr>
            <w:hyperlink r:id="rId41" w:history="1">
              <w:r w:rsidR="00ED5744" w:rsidRPr="004D0519">
                <w:rPr>
                  <w:rStyle w:val="Hyperlink"/>
                  <w:rFonts w:ascii="Times New Roman" w:hAnsi="Times New Roman"/>
                  <w:color w:val="3366FF"/>
                  <w:sz w:val="24"/>
                  <w:szCs w:val="24"/>
                </w:rPr>
                <w:t>http://www.pacificpower.net/content/dam/pacific_power/doc/Business/Save_Energy_Money/WA_FinAnswer_Express_Retrofits_Brochure_and_Incentive_Tables.pdf</w:t>
              </w:r>
            </w:hyperlink>
          </w:p>
        </w:tc>
      </w:tr>
      <w:tr w:rsidR="00ED5744" w:rsidRPr="00111D82" w:rsidTr="000F2169">
        <w:trPr>
          <w:jc w:val="center"/>
        </w:trPr>
        <w:tc>
          <w:tcPr>
            <w:tcW w:w="1413" w:type="pct"/>
          </w:tcPr>
          <w:p w:rsidR="00ED5744" w:rsidRPr="00111D82" w:rsidRDefault="00ED5744" w:rsidP="00ED5744">
            <w:pPr>
              <w:rPr>
                <w:rFonts w:ascii="Times New Roman" w:hAnsi="Times New Roman"/>
                <w:sz w:val="24"/>
                <w:szCs w:val="24"/>
              </w:rPr>
            </w:pPr>
            <w:r w:rsidRPr="00111D82">
              <w:rPr>
                <w:rFonts w:ascii="Times New Roman" w:hAnsi="Times New Roman"/>
                <w:sz w:val="24"/>
                <w:szCs w:val="24"/>
              </w:rPr>
              <w:t>Incentive tables (new construction/major renovation)</w:t>
            </w:r>
            <w:r w:rsidR="00EF53CB" w:rsidRPr="00111D82">
              <w:rPr>
                <w:rFonts w:ascii="Times New Roman" w:hAnsi="Times New Roman"/>
                <w:sz w:val="24"/>
                <w:szCs w:val="24"/>
              </w:rPr>
              <w:t xml:space="preserve"> are included in the program brochure</w:t>
            </w:r>
          </w:p>
        </w:tc>
        <w:tc>
          <w:tcPr>
            <w:tcW w:w="3587" w:type="pct"/>
          </w:tcPr>
          <w:p w:rsidR="00ED5744" w:rsidRPr="004D0519" w:rsidRDefault="000A75FE" w:rsidP="00ED5744">
            <w:pPr>
              <w:rPr>
                <w:rFonts w:ascii="Times New Roman" w:hAnsi="Times New Roman"/>
                <w:color w:val="3366FF"/>
                <w:sz w:val="24"/>
                <w:szCs w:val="24"/>
              </w:rPr>
            </w:pPr>
            <w:hyperlink r:id="rId42" w:history="1">
              <w:r w:rsidR="00ED5744" w:rsidRPr="004D0519">
                <w:rPr>
                  <w:rStyle w:val="Hyperlink"/>
                  <w:rFonts w:ascii="Times New Roman" w:hAnsi="Times New Roman"/>
                  <w:color w:val="3366FF"/>
                  <w:sz w:val="24"/>
                  <w:szCs w:val="24"/>
                </w:rPr>
                <w:t>http://www.pacificpower.net/content/dam/pacific_power/doc/Business/Save_Energy_Money/WA_FinAnswer_Express_NCMR_Brochure_and_Incentive_Tables.pdf</w:t>
              </w:r>
            </w:hyperlink>
          </w:p>
        </w:tc>
      </w:tr>
      <w:tr w:rsidR="00ED5744" w:rsidRPr="00111D82" w:rsidTr="000F2169">
        <w:trPr>
          <w:jc w:val="center"/>
        </w:trPr>
        <w:tc>
          <w:tcPr>
            <w:tcW w:w="1413" w:type="pct"/>
          </w:tcPr>
          <w:p w:rsidR="00ED5744" w:rsidRPr="00111D82" w:rsidRDefault="00ED5744" w:rsidP="00ED5744">
            <w:pPr>
              <w:rPr>
                <w:rFonts w:ascii="Times New Roman" w:hAnsi="Times New Roman"/>
                <w:sz w:val="24"/>
                <w:szCs w:val="24"/>
              </w:rPr>
            </w:pPr>
            <w:r w:rsidRPr="00111D82">
              <w:rPr>
                <w:rFonts w:ascii="Times New Roman" w:hAnsi="Times New Roman"/>
                <w:sz w:val="24"/>
                <w:szCs w:val="24"/>
              </w:rPr>
              <w:t>Program definitions</w:t>
            </w:r>
          </w:p>
        </w:tc>
        <w:tc>
          <w:tcPr>
            <w:tcW w:w="3587" w:type="pct"/>
          </w:tcPr>
          <w:p w:rsidR="00ED5744" w:rsidRPr="004D0519" w:rsidRDefault="000A75FE" w:rsidP="00ED5744">
            <w:pPr>
              <w:rPr>
                <w:rFonts w:ascii="Times New Roman" w:hAnsi="Times New Roman"/>
                <w:color w:val="3366FF"/>
                <w:sz w:val="24"/>
                <w:szCs w:val="24"/>
              </w:rPr>
            </w:pPr>
            <w:hyperlink r:id="rId43" w:history="1">
              <w:r w:rsidR="00ED5744" w:rsidRPr="004D0519">
                <w:rPr>
                  <w:rStyle w:val="Hyperlink"/>
                  <w:rFonts w:ascii="Times New Roman" w:hAnsi="Times New Roman"/>
                  <w:color w:val="3366FF"/>
                  <w:sz w:val="24"/>
                  <w:szCs w:val="24"/>
                </w:rPr>
                <w:t>http://www.pacificpower.net/content/dam/pacific_power/doc/Business/Save_Energy_Money/FinAnswer_Express_29.pdf</w:t>
              </w:r>
            </w:hyperlink>
          </w:p>
        </w:tc>
      </w:tr>
      <w:tr w:rsidR="00ED5744" w:rsidRPr="00111D82" w:rsidTr="000F2169">
        <w:trPr>
          <w:jc w:val="center"/>
        </w:trPr>
        <w:tc>
          <w:tcPr>
            <w:tcW w:w="1413" w:type="pct"/>
          </w:tcPr>
          <w:p w:rsidR="00ED5744" w:rsidRPr="00111D82" w:rsidRDefault="00ED5744" w:rsidP="00ED5744">
            <w:pPr>
              <w:rPr>
                <w:rFonts w:ascii="Times New Roman" w:hAnsi="Times New Roman"/>
                <w:sz w:val="24"/>
                <w:szCs w:val="24"/>
              </w:rPr>
            </w:pPr>
            <w:r w:rsidRPr="00111D82">
              <w:rPr>
                <w:rFonts w:ascii="Times New Roman" w:hAnsi="Times New Roman"/>
                <w:sz w:val="24"/>
                <w:szCs w:val="24"/>
              </w:rPr>
              <w:t>Custom incentive offering</w:t>
            </w:r>
          </w:p>
        </w:tc>
        <w:tc>
          <w:tcPr>
            <w:tcW w:w="3587" w:type="pct"/>
          </w:tcPr>
          <w:p w:rsidR="00ED5744" w:rsidRPr="004D0519" w:rsidRDefault="000A75FE" w:rsidP="00ED5744">
            <w:pPr>
              <w:rPr>
                <w:rFonts w:ascii="Times New Roman" w:hAnsi="Times New Roman"/>
                <w:color w:val="3366FF"/>
                <w:sz w:val="24"/>
                <w:szCs w:val="24"/>
              </w:rPr>
            </w:pPr>
            <w:hyperlink r:id="rId44" w:history="1">
              <w:r w:rsidR="00ED5744" w:rsidRPr="004D0519">
                <w:rPr>
                  <w:rStyle w:val="Hyperlink"/>
                  <w:rFonts w:ascii="Times New Roman" w:hAnsi="Times New Roman"/>
                  <w:color w:val="3366FF"/>
                  <w:sz w:val="24"/>
                  <w:szCs w:val="24"/>
                </w:rPr>
                <w:t>http://www.pacificpower.net/content/dam/pacific_power/doc/Business/Save_Energy_Money/WA_FinAnswer_Express_Custom_Incentives.pdf</w:t>
              </w:r>
            </w:hyperlink>
          </w:p>
        </w:tc>
      </w:tr>
    </w:tbl>
    <w:p w:rsidR="008C5CB9" w:rsidRDefault="008C64A8" w:rsidP="006736F5">
      <w:pPr>
        <w:tabs>
          <w:tab w:val="right" w:pos="480"/>
          <w:tab w:val="left" w:pos="720"/>
          <w:tab w:val="right" w:pos="5040"/>
        </w:tabs>
        <w:spacing w:before="100" w:beforeAutospacing="1" w:after="100" w:afterAutospacing="1"/>
        <w:jc w:val="center"/>
        <w:rPr>
          <w:rFonts w:ascii="Times New Roman" w:hAnsi="Times New Roman"/>
          <w:sz w:val="24"/>
          <w:szCs w:val="24"/>
          <w:u w:val="single"/>
        </w:rPr>
      </w:pPr>
      <w:r w:rsidRPr="00111D82">
        <w:rPr>
          <w:rFonts w:ascii="Times New Roman" w:hAnsi="Times New Roman"/>
          <w:b/>
          <w:sz w:val="24"/>
          <w:szCs w:val="24"/>
        </w:rPr>
        <w:br w:type="page"/>
      </w:r>
      <w:r w:rsidR="00E65620" w:rsidRPr="00111D82">
        <w:rPr>
          <w:rFonts w:ascii="Times New Roman" w:hAnsi="Times New Roman"/>
          <w:b/>
          <w:sz w:val="24"/>
          <w:szCs w:val="24"/>
        </w:rPr>
        <w:t>Washington FinAnswer Express</w:t>
      </w:r>
    </w:p>
    <w:p w:rsidR="00E65620" w:rsidRPr="00111D82" w:rsidRDefault="0007710D" w:rsidP="006736F5">
      <w:pPr>
        <w:autoSpaceDE w:val="0"/>
        <w:autoSpaceDN w:val="0"/>
        <w:adjustRightInd w:val="0"/>
        <w:spacing w:before="100" w:beforeAutospacing="1" w:after="100" w:afterAutospacing="1"/>
        <w:jc w:val="both"/>
        <w:rPr>
          <w:rFonts w:ascii="Times New Roman" w:hAnsi="Times New Roman"/>
          <w:b/>
          <w:bCs/>
          <w:sz w:val="24"/>
          <w:szCs w:val="24"/>
        </w:rPr>
      </w:pPr>
      <w:r w:rsidRPr="0007710D">
        <w:rPr>
          <w:rFonts w:ascii="Times New Roman" w:hAnsi="Times New Roman"/>
          <w:bCs/>
          <w:sz w:val="24"/>
          <w:szCs w:val="24"/>
          <w:u w:val="single"/>
        </w:rPr>
        <w:t>Definitions</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Commercial Building: </w:t>
      </w:r>
      <w:r w:rsidRPr="008C5CB9">
        <w:rPr>
          <w:rFonts w:ascii="Times New Roman" w:hAnsi="Times New Roman"/>
          <w:sz w:val="24"/>
          <w:szCs w:val="24"/>
        </w:rPr>
        <w:t>A structure that is served by Pacific Power and meets the applicability requirements of Washington Schedule 115, the program tariff, on file with the Washington Utilities &amp; Transportation Commission at the time an Energy Efficiency Incentive Agreement is executed or an Energy Efficiency Incentive Application is submitted and which does not meet the definition of an Industrial Facility.</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Customer: </w:t>
      </w:r>
      <w:r w:rsidRPr="008C5CB9">
        <w:rPr>
          <w:rFonts w:ascii="Times New Roman" w:hAnsi="Times New Roman"/>
          <w:sz w:val="24"/>
          <w:szCs w:val="24"/>
        </w:rPr>
        <w:t>Any party who has applied for, been accepted and receives service at the real property, or is the electricity user at the real property.</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Energy Efficiency Incentive: </w:t>
      </w:r>
      <w:r w:rsidRPr="008C5CB9">
        <w:rPr>
          <w:rFonts w:ascii="Times New Roman" w:hAnsi="Times New Roman"/>
          <w:sz w:val="24"/>
          <w:szCs w:val="24"/>
        </w:rPr>
        <w:t>Payments of money made by Pacific Power to Owner or Customer for installation of an Energy Efficiency Measure pursuant to an executed Energy Efficiency Incentive Agreement or approved Energy Efficiency Incentive Application.</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Energy Efficiency Incentive Agreement: </w:t>
      </w:r>
      <w:r w:rsidRPr="008C5CB9">
        <w:rPr>
          <w:rFonts w:ascii="Times New Roman" w:hAnsi="Times New Roman"/>
          <w:sz w:val="24"/>
          <w:szCs w:val="24"/>
        </w:rPr>
        <w:t>An agreement between Owner or Customer and Pacific Power providing for Pacific Power to furnish Energy Efficiency Incentives for an Energy Efficiency Project.</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Energy Efficiency Incentive Application: </w:t>
      </w:r>
      <w:r w:rsidRPr="008C5CB9">
        <w:rPr>
          <w:rFonts w:ascii="Times New Roman" w:hAnsi="Times New Roman"/>
          <w:sz w:val="24"/>
          <w:szCs w:val="24"/>
        </w:rPr>
        <w:t>An application submitted by Owner or Customer to Pacific Power for Energy Efficiency Incentives.</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Energy Efficiency Measure (EEM): </w:t>
      </w:r>
      <w:r w:rsidRPr="008C5CB9">
        <w:rPr>
          <w:rFonts w:ascii="Times New Roman" w:hAnsi="Times New Roman"/>
          <w:sz w:val="24"/>
          <w:szCs w:val="24"/>
        </w:rPr>
        <w:t>A permanently installed measure which can improve the efficiency of the Customer's electric energy use.</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Energy Efficiency Measure (EEM) Cost:</w:t>
      </w:r>
    </w:p>
    <w:p w:rsidR="00990A88" w:rsidRPr="00990A88" w:rsidRDefault="008C5CB9" w:rsidP="006736F5">
      <w:pPr>
        <w:pStyle w:val="ListParagraph"/>
        <w:numPr>
          <w:ilvl w:val="0"/>
          <w:numId w:val="3"/>
        </w:numPr>
        <w:autoSpaceDE w:val="0"/>
        <w:autoSpaceDN w:val="0"/>
        <w:adjustRightInd w:val="0"/>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New Construction/Major Renovation: EEM Cost is the total installed cost of energy efficiency equipment or system minus the cost of the code compliance/common practice equipment or system.</w:t>
      </w:r>
    </w:p>
    <w:p w:rsidR="00990A88" w:rsidRPr="006736F5" w:rsidRDefault="008C5CB9" w:rsidP="006736F5">
      <w:pPr>
        <w:pStyle w:val="ListParagraph"/>
        <w:numPr>
          <w:ilvl w:val="0"/>
          <w:numId w:val="3"/>
        </w:numPr>
        <w:autoSpaceDE w:val="0"/>
        <w:autoSpaceDN w:val="0"/>
        <w:adjustRightInd w:val="0"/>
        <w:spacing w:before="100" w:beforeAutospacing="1" w:after="100" w:afterAutospacing="1"/>
        <w:jc w:val="both"/>
        <w:rPr>
          <w:rFonts w:ascii="Times New Roman" w:hAnsi="Times New Roman"/>
          <w:b/>
          <w:bCs/>
          <w:sz w:val="24"/>
          <w:szCs w:val="24"/>
        </w:rPr>
      </w:pPr>
      <w:r w:rsidRPr="006736F5">
        <w:rPr>
          <w:rFonts w:ascii="Times New Roman" w:hAnsi="Times New Roman"/>
          <w:sz w:val="24"/>
          <w:szCs w:val="24"/>
        </w:rPr>
        <w:t>Retrofit: EEM Cost is the total installed cost of the energy efficiency equipment or modification.  In the case of New Construction, Major Renovations, and Retrofits, EEM Costs shall mean the Owner or Customer’s reasonable costs incurred (net of any discounts, rebates or incentives other than Energy Efficiency Incentives from Pacific Power, or other consideration that reduces the final actual EEM Cost incurred by the Owner or Customer) to purchase and install EEMs at the Owner’s or Customer’s facility. If the Owner or Customer installs the EEM then the cost of installation shall be equal to the Owner’s or Customer’s actual labor costs for such installation.</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Energy Efficiency Project: </w:t>
      </w:r>
      <w:r w:rsidRPr="008C5CB9">
        <w:rPr>
          <w:rFonts w:ascii="Times New Roman" w:hAnsi="Times New Roman"/>
          <w:sz w:val="24"/>
          <w:szCs w:val="24"/>
        </w:rPr>
        <w:t>One or more EEM(s) with similar one year payback limitations (see below) covered by one Energy Efficiency Incentive Agreement.</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Energy Efficiency Project Cost: </w:t>
      </w:r>
      <w:r w:rsidRPr="008C5CB9">
        <w:rPr>
          <w:rFonts w:ascii="Times New Roman" w:hAnsi="Times New Roman"/>
          <w:sz w:val="24"/>
          <w:szCs w:val="24"/>
        </w:rPr>
        <w:t>The sum of EEM Costs for one or more EEM(s) with similar one year payback limitations (see below) covered by one Energy Efficiency Incentive Agreement.</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Industrial Facility: </w:t>
      </w:r>
      <w:r w:rsidRPr="008C5CB9">
        <w:rPr>
          <w:rFonts w:ascii="Times New Roman" w:hAnsi="Times New Roman"/>
          <w:sz w:val="24"/>
          <w:szCs w:val="24"/>
        </w:rPr>
        <w:t>Buildings and process equipment associated with manufacturing.</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Major Renovation: </w:t>
      </w:r>
      <w:r w:rsidRPr="008C5CB9">
        <w:rPr>
          <w:rFonts w:ascii="Times New Roman" w:hAnsi="Times New Roman"/>
          <w:sz w:val="24"/>
          <w:szCs w:val="24"/>
        </w:rPr>
        <w:t>A change in facility use type or where the existing system will not meet Owner/Customer projected requirements within existing facility square footage.</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Mixed Use: </w:t>
      </w:r>
      <w:r w:rsidRPr="008C5CB9">
        <w:rPr>
          <w:rFonts w:ascii="Times New Roman" w:hAnsi="Times New Roman"/>
          <w:sz w:val="24"/>
          <w:szCs w:val="24"/>
        </w:rPr>
        <w:t>Buildings served by a residential schedule and a rate schedule listed under Washington Schedule 115 shall be eligible for services under this schedule provided the Energy Efficiency Project meets the definition of New Construction or Major Renovation.</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New Construction: </w:t>
      </w:r>
      <w:r w:rsidRPr="008C5CB9">
        <w:rPr>
          <w:rFonts w:ascii="Times New Roman" w:hAnsi="Times New Roman"/>
          <w:sz w:val="24"/>
          <w:szCs w:val="24"/>
        </w:rPr>
        <w:t>A newly constructed facility or newly constructed square footage added to an existing facility.</w:t>
      </w:r>
    </w:p>
    <w:p w:rsidR="00990A88" w:rsidRPr="00990A88" w:rsidRDefault="008C5CB9" w:rsidP="006736F5">
      <w:pPr>
        <w:autoSpaceDE w:val="0"/>
        <w:autoSpaceDN w:val="0"/>
        <w:adjustRightInd w:val="0"/>
        <w:spacing w:before="100" w:beforeAutospacing="1" w:after="100" w:afterAutospacing="1"/>
        <w:jc w:val="both"/>
        <w:rPr>
          <w:rFonts w:ascii="Times New Roman" w:hAnsi="Times New Roman"/>
          <w:b/>
          <w:bCs/>
          <w:sz w:val="24"/>
          <w:szCs w:val="24"/>
        </w:rPr>
      </w:pPr>
      <w:r w:rsidRPr="008C5CB9">
        <w:rPr>
          <w:rFonts w:ascii="Times New Roman" w:hAnsi="Times New Roman"/>
          <w:b/>
          <w:bCs/>
          <w:sz w:val="24"/>
          <w:szCs w:val="24"/>
        </w:rPr>
        <w:t xml:space="preserve">Owner: </w:t>
      </w:r>
      <w:r w:rsidRPr="008C5CB9">
        <w:rPr>
          <w:rFonts w:ascii="Times New Roman" w:hAnsi="Times New Roman"/>
          <w:sz w:val="24"/>
          <w:szCs w:val="24"/>
        </w:rPr>
        <w:t>The person who has both legal and beneficial title to the real property, and is the mortgager under a duly recorded mortgage of real property, the trustor under a duly recorded deed of trust.</w:t>
      </w:r>
    </w:p>
    <w:p w:rsidR="00E65620" w:rsidRPr="00990A88" w:rsidRDefault="008C5CB9" w:rsidP="006736F5">
      <w:pPr>
        <w:autoSpaceDE w:val="0"/>
        <w:autoSpaceDN w:val="0"/>
        <w:adjustRightInd w:val="0"/>
        <w:spacing w:before="100" w:beforeAutospacing="1" w:after="100" w:afterAutospacing="1"/>
        <w:jc w:val="both"/>
        <w:rPr>
          <w:rFonts w:ascii="Times New Roman" w:hAnsi="Times New Roman"/>
          <w:b/>
          <w:sz w:val="24"/>
          <w:szCs w:val="24"/>
          <w:u w:val="single"/>
        </w:rPr>
      </w:pPr>
      <w:r w:rsidRPr="008C5CB9">
        <w:rPr>
          <w:rFonts w:ascii="Times New Roman" w:hAnsi="Times New Roman"/>
          <w:b/>
          <w:bCs/>
          <w:sz w:val="24"/>
          <w:szCs w:val="24"/>
        </w:rPr>
        <w:t xml:space="preserve">Retrofit: </w:t>
      </w:r>
      <w:r w:rsidRPr="008C5CB9">
        <w:rPr>
          <w:rFonts w:ascii="Times New Roman" w:hAnsi="Times New Roman"/>
          <w:sz w:val="24"/>
          <w:szCs w:val="24"/>
        </w:rPr>
        <w:t>Changes, modifications or additions to systems or equipment in existing facility square footage.</w:t>
      </w:r>
    </w:p>
    <w:p w:rsidR="008C64A8" w:rsidRPr="00990A88" w:rsidRDefault="0007710D" w:rsidP="006736F5">
      <w:pPr>
        <w:tabs>
          <w:tab w:val="left" w:pos="720"/>
        </w:tabs>
        <w:spacing w:before="100" w:beforeAutospacing="1" w:after="100" w:afterAutospacing="1"/>
        <w:jc w:val="both"/>
        <w:rPr>
          <w:rFonts w:ascii="Times New Roman" w:hAnsi="Times New Roman"/>
          <w:sz w:val="24"/>
          <w:szCs w:val="24"/>
        </w:rPr>
      </w:pPr>
      <w:r w:rsidRPr="0007710D">
        <w:rPr>
          <w:rFonts w:ascii="Times New Roman" w:hAnsi="Times New Roman"/>
          <w:sz w:val="24"/>
          <w:szCs w:val="24"/>
          <w:u w:val="single"/>
        </w:rPr>
        <w:t>Incentives – General Information</w:t>
      </w:r>
    </w:p>
    <w:p w:rsidR="00990A88" w:rsidRPr="00990A88" w:rsidRDefault="008C5CB9" w:rsidP="006736F5">
      <w:pPr>
        <w:tabs>
          <w:tab w:val="left" w:pos="720"/>
        </w:tabs>
        <w:spacing w:before="100" w:beforeAutospacing="1" w:after="100" w:afterAutospacing="1"/>
        <w:jc w:val="both"/>
        <w:rPr>
          <w:rFonts w:ascii="Times New Roman" w:hAnsi="Times New Roman"/>
          <w:b/>
          <w:sz w:val="24"/>
          <w:szCs w:val="24"/>
        </w:rPr>
      </w:pPr>
      <w:r w:rsidRPr="008C5CB9">
        <w:rPr>
          <w:rFonts w:ascii="Times New Roman" w:hAnsi="Times New Roman"/>
          <w:b/>
          <w:sz w:val="24"/>
          <w:szCs w:val="24"/>
        </w:rPr>
        <w:t>Prescriptive incentives</w:t>
      </w:r>
    </w:p>
    <w:p w:rsidR="00990A88" w:rsidRPr="00990A88" w:rsidRDefault="008C5CB9" w:rsidP="006736F5">
      <w:pPr>
        <w:tabs>
          <w:tab w:val="left" w:pos="720"/>
        </w:tabs>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Per unit incentives are listed in the program incentive tables for specific Energy Efficiency Measures (EEMs) and are subject to the incentive caps below. Incentives are subject to change and current incentives can be found at www.pacificpower.net.</w:t>
      </w:r>
    </w:p>
    <w:p w:rsidR="00990A88" w:rsidRPr="00990A88" w:rsidRDefault="008C5CB9" w:rsidP="006736F5">
      <w:pPr>
        <w:tabs>
          <w:tab w:val="left" w:pos="720"/>
        </w:tabs>
        <w:spacing w:before="100" w:beforeAutospacing="1" w:after="100" w:afterAutospacing="1"/>
        <w:jc w:val="both"/>
        <w:rPr>
          <w:rFonts w:ascii="Times New Roman" w:hAnsi="Times New Roman"/>
          <w:b/>
          <w:sz w:val="24"/>
          <w:szCs w:val="24"/>
        </w:rPr>
      </w:pPr>
      <w:r w:rsidRPr="008C5CB9">
        <w:rPr>
          <w:rFonts w:ascii="Times New Roman" w:hAnsi="Times New Roman"/>
          <w:b/>
          <w:sz w:val="24"/>
          <w:szCs w:val="24"/>
        </w:rPr>
        <w:t>Custom incentives</w:t>
      </w:r>
    </w:p>
    <w:p w:rsidR="00990A88" w:rsidRPr="00990A88" w:rsidRDefault="008C5CB9" w:rsidP="006736F5">
      <w:pPr>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Energy Efficiency Measures not listed in the incentive tables may be eligible for a Custom Energy Efficiency Incentive.  Pacific Power will complete an analysis of the EEM Cost and electric energy savings and determine whether to offer a custom Energy Efficiency Incentive and the incentive amount. The custom Energy Efficiency Incentive is Pacific Power’s estimate of annual electric savings multiplied by $0.10/kWh and subject to the incentive caps described below.</w:t>
      </w:r>
    </w:p>
    <w:p w:rsidR="00990A88" w:rsidRPr="00990A88" w:rsidRDefault="008C5CB9" w:rsidP="006736F5">
      <w:pPr>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Electric savings resulting from lighting interaction with mechanical equipment is not eligible for a custom Energy Efficiency Incentive.</w:t>
      </w:r>
    </w:p>
    <w:p w:rsidR="00990A88" w:rsidRPr="00990A88" w:rsidRDefault="008C5CB9" w:rsidP="006736F5">
      <w:pPr>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The baseline wattage for all retrofit linear fluorescent lighting EEMs is the lesser of</w:t>
      </w:r>
      <w:r w:rsidR="006736F5">
        <w:rPr>
          <w:rFonts w:ascii="Times New Roman" w:hAnsi="Times New Roman"/>
          <w:sz w:val="24"/>
          <w:szCs w:val="24"/>
        </w:rPr>
        <w:t>:</w:t>
      </w:r>
    </w:p>
    <w:p w:rsidR="00990A88" w:rsidRPr="00990A88" w:rsidRDefault="008C5CB9" w:rsidP="006736F5">
      <w:pPr>
        <w:numPr>
          <w:ilvl w:val="0"/>
          <w:numId w:val="1"/>
        </w:numPr>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 xml:space="preserve">Wattage of existing equipment, or </w:t>
      </w:r>
    </w:p>
    <w:p w:rsidR="00990A88" w:rsidRPr="006736F5" w:rsidRDefault="008C5CB9" w:rsidP="006736F5">
      <w:pPr>
        <w:numPr>
          <w:ilvl w:val="0"/>
          <w:numId w:val="1"/>
        </w:numPr>
        <w:tabs>
          <w:tab w:val="left" w:pos="720"/>
        </w:tabs>
        <w:spacing w:before="100" w:beforeAutospacing="1" w:after="100" w:afterAutospacing="1"/>
        <w:jc w:val="both"/>
        <w:rPr>
          <w:rFonts w:ascii="Times New Roman" w:hAnsi="Times New Roman"/>
          <w:sz w:val="24"/>
          <w:szCs w:val="24"/>
        </w:rPr>
      </w:pPr>
      <w:r w:rsidRPr="006736F5">
        <w:rPr>
          <w:rFonts w:ascii="Times New Roman" w:hAnsi="Times New Roman"/>
          <w:sz w:val="24"/>
          <w:szCs w:val="24"/>
        </w:rPr>
        <w:t>Wattage of deemed baseline ballast and lamp combination listed in the lighting wattage table available on the Washington energy efficiency program section of the Pacific Power website.</w:t>
      </w:r>
    </w:p>
    <w:p w:rsidR="008C64A8" w:rsidRPr="00111D82" w:rsidRDefault="008C5CB9" w:rsidP="006736F5">
      <w:pPr>
        <w:tabs>
          <w:tab w:val="left" w:pos="720"/>
        </w:tabs>
        <w:spacing w:before="100" w:beforeAutospacing="1" w:after="100" w:afterAutospacing="1"/>
        <w:jc w:val="both"/>
        <w:rPr>
          <w:rFonts w:ascii="Times New Roman" w:hAnsi="Times New Roman"/>
          <w:sz w:val="24"/>
          <w:szCs w:val="24"/>
        </w:rPr>
      </w:pPr>
      <w:r w:rsidRPr="008C5CB9">
        <w:rPr>
          <w:rFonts w:ascii="Times New Roman" w:hAnsi="Times New Roman"/>
          <w:sz w:val="24"/>
          <w:szCs w:val="24"/>
        </w:rPr>
        <w:t>Pacific Power may adjust baseline electric energy consumption and costs to reflect any of the following: energy codes, standard practice, changes in capacity, changes in production or facility use and equipment at the end of its useful life.  Such adjustments may be made for lighting energy efficiency measures installed in new construction projects where energy code does not apply.</w:t>
      </w:r>
      <w:r w:rsidR="008C64A8" w:rsidRPr="00111D82">
        <w:rPr>
          <w:rFonts w:ascii="Times New Roman" w:hAnsi="Times New Roman"/>
          <w:sz w:val="24"/>
          <w:szCs w:val="24"/>
        </w:rPr>
        <w:br w:type="page"/>
      </w:r>
    </w:p>
    <w:p w:rsidR="007633A9" w:rsidRPr="000C7C45" w:rsidRDefault="007633A9" w:rsidP="0061470A">
      <w:pPr>
        <w:tabs>
          <w:tab w:val="left" w:pos="720"/>
        </w:tabs>
        <w:jc w:val="center"/>
        <w:rPr>
          <w:rFonts w:ascii="Times New Roman" w:hAnsi="Times New Roman"/>
          <w:b/>
          <w:sz w:val="24"/>
          <w:szCs w:val="24"/>
        </w:rPr>
      </w:pPr>
      <w:r w:rsidRPr="000C7C45">
        <w:rPr>
          <w:rFonts w:ascii="Times New Roman" w:hAnsi="Times New Roman"/>
          <w:b/>
          <w:sz w:val="24"/>
          <w:szCs w:val="24"/>
        </w:rPr>
        <w:t xml:space="preserve">Incentive </w:t>
      </w:r>
      <w:r w:rsidR="001054FA">
        <w:rPr>
          <w:rFonts w:ascii="Times New Roman" w:hAnsi="Times New Roman"/>
          <w:b/>
          <w:sz w:val="24"/>
          <w:szCs w:val="24"/>
        </w:rPr>
        <w:t>C</w:t>
      </w:r>
      <w:r w:rsidRPr="000C7C45">
        <w:rPr>
          <w:rFonts w:ascii="Times New Roman" w:hAnsi="Times New Roman"/>
          <w:b/>
          <w:sz w:val="24"/>
          <w:szCs w:val="24"/>
        </w:rPr>
        <w:t>aps</w:t>
      </w:r>
    </w:p>
    <w:tbl>
      <w:tblPr>
        <w:tblW w:w="5000" w:type="pct"/>
        <w:tblLook w:val="0000"/>
      </w:tblPr>
      <w:tblGrid>
        <w:gridCol w:w="6031"/>
        <w:gridCol w:w="1908"/>
        <w:gridCol w:w="1997"/>
      </w:tblGrid>
      <w:tr w:rsidR="007633A9" w:rsidRPr="000C7C45" w:rsidTr="0061470A">
        <w:trPr>
          <w:trHeight w:val="377"/>
        </w:trPr>
        <w:tc>
          <w:tcPr>
            <w:tcW w:w="3035" w:type="pct"/>
            <w:tcBorders>
              <w:top w:val="single" w:sz="4" w:space="0" w:color="auto"/>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p>
        </w:tc>
        <w:tc>
          <w:tcPr>
            <w:tcW w:w="960" w:type="pct"/>
            <w:tcBorders>
              <w:top w:val="single" w:sz="4" w:space="0" w:color="auto"/>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Percent of Energy Efficiency Project Cost Cap</w:t>
            </w:r>
          </w:p>
        </w:tc>
        <w:tc>
          <w:tcPr>
            <w:tcW w:w="1005" w:type="pct"/>
            <w:tcBorders>
              <w:top w:val="single" w:sz="4" w:space="0" w:color="auto"/>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1 Year Simple Payback Cap for Energy Efficiency Projects</w:t>
            </w:r>
          </w:p>
        </w:tc>
      </w:tr>
      <w:tr w:rsidR="007633A9" w:rsidRPr="000C7C45" w:rsidTr="0061470A">
        <w:trPr>
          <w:trHeight w:val="377"/>
        </w:trPr>
        <w:tc>
          <w:tcPr>
            <w:tcW w:w="5000" w:type="pct"/>
            <w:gridSpan w:val="3"/>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Measures Listed in Incentive Tables</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Lighting - Retrofit</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70%</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Yes</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1470A">
            <w:pPr>
              <w:rPr>
                <w:rFonts w:ascii="Times New Roman" w:hAnsi="Times New Roman"/>
                <w:sz w:val="24"/>
                <w:szCs w:val="24"/>
              </w:rPr>
            </w:pPr>
            <w:r w:rsidRPr="000C7C45">
              <w:rPr>
                <w:rFonts w:ascii="Times New Roman" w:hAnsi="Times New Roman"/>
                <w:sz w:val="24"/>
                <w:szCs w:val="24"/>
              </w:rPr>
              <w:t>Lighting - New Construction/Major Renovation</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Motors</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HVAC</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Building Envelope</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Food Service</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Appliances</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Irrigation (see note)</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 xml:space="preserve">Dairy/Farm Equipment </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Compressed Air</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1470A">
            <w:pPr>
              <w:rPr>
                <w:rFonts w:ascii="Times New Roman" w:hAnsi="Times New Roman"/>
                <w:sz w:val="24"/>
                <w:szCs w:val="24"/>
              </w:rPr>
            </w:pPr>
            <w:r w:rsidRPr="000C7C45">
              <w:rPr>
                <w:rFonts w:ascii="Times New Roman" w:hAnsi="Times New Roman"/>
                <w:sz w:val="24"/>
                <w:szCs w:val="24"/>
              </w:rPr>
              <w:t>Other Energy Efficiency Measures</w:t>
            </w:r>
            <w:r w:rsidR="0061470A">
              <w:rPr>
                <w:rFonts w:ascii="Times New Roman" w:hAnsi="Times New Roman"/>
                <w:sz w:val="24"/>
                <w:szCs w:val="24"/>
              </w:rPr>
              <w:t xml:space="preserve"> </w:t>
            </w:r>
            <w:r w:rsidRPr="000C7C45">
              <w:rPr>
                <w:rFonts w:ascii="Times New Roman" w:hAnsi="Times New Roman"/>
                <w:sz w:val="24"/>
                <w:szCs w:val="24"/>
              </w:rPr>
              <w:t>(see note)</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5000" w:type="pct"/>
            <w:gridSpan w:val="3"/>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Measures Not Listed in Incentive Tables</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1470A">
            <w:pPr>
              <w:rPr>
                <w:rFonts w:ascii="Times New Roman" w:hAnsi="Times New Roman"/>
                <w:sz w:val="24"/>
                <w:szCs w:val="24"/>
              </w:rPr>
            </w:pPr>
            <w:r w:rsidRPr="000C7C45">
              <w:rPr>
                <w:rFonts w:ascii="Times New Roman" w:hAnsi="Times New Roman"/>
                <w:sz w:val="24"/>
                <w:szCs w:val="24"/>
              </w:rPr>
              <w:t xml:space="preserve">Lighting - New Construction/Major Renovation </w:t>
            </w:r>
            <w:r w:rsidRPr="000C7C45">
              <w:rPr>
                <w:rFonts w:ascii="Times New Roman" w:hAnsi="Times New Roman"/>
                <w:iCs/>
                <w:sz w:val="24"/>
                <w:szCs w:val="24"/>
              </w:rPr>
              <w:t>Measures Receiving a Custom Incentive</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None</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No</w:t>
            </w:r>
          </w:p>
        </w:tc>
      </w:tr>
      <w:tr w:rsidR="007633A9" w:rsidRPr="000C7C45" w:rsidTr="0061470A">
        <w:trPr>
          <w:trHeight w:val="377"/>
        </w:trPr>
        <w:tc>
          <w:tcPr>
            <w:tcW w:w="3035" w:type="pct"/>
            <w:tcBorders>
              <w:top w:val="nil"/>
              <w:left w:val="single" w:sz="4" w:space="0" w:color="auto"/>
              <w:bottom w:val="single" w:sz="4" w:space="0" w:color="auto"/>
              <w:right w:val="single" w:sz="4" w:space="0" w:color="auto"/>
            </w:tcBorders>
            <w:shd w:val="clear" w:color="auto" w:fill="auto"/>
            <w:vAlign w:val="bottom"/>
          </w:tcPr>
          <w:p w:rsidR="007633A9" w:rsidRPr="000C7C45" w:rsidRDefault="007633A9" w:rsidP="00692D4F">
            <w:pPr>
              <w:rPr>
                <w:rFonts w:ascii="Times New Roman" w:hAnsi="Times New Roman"/>
                <w:sz w:val="24"/>
                <w:szCs w:val="24"/>
              </w:rPr>
            </w:pPr>
            <w:r w:rsidRPr="000C7C45">
              <w:rPr>
                <w:rFonts w:ascii="Times New Roman" w:hAnsi="Times New Roman"/>
                <w:sz w:val="24"/>
                <w:szCs w:val="24"/>
              </w:rPr>
              <w:t>Other Measures Receiving a Custom Incentive</w:t>
            </w:r>
          </w:p>
        </w:tc>
        <w:tc>
          <w:tcPr>
            <w:tcW w:w="960"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70%</w:t>
            </w:r>
          </w:p>
        </w:tc>
        <w:tc>
          <w:tcPr>
            <w:tcW w:w="1005" w:type="pct"/>
            <w:tcBorders>
              <w:top w:val="nil"/>
              <w:left w:val="nil"/>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24"/>
                <w:szCs w:val="24"/>
              </w:rPr>
            </w:pPr>
            <w:r w:rsidRPr="000C7C45">
              <w:rPr>
                <w:rFonts w:ascii="Times New Roman" w:hAnsi="Times New Roman"/>
                <w:sz w:val="24"/>
                <w:szCs w:val="24"/>
              </w:rPr>
              <w:t>Yes</w:t>
            </w:r>
          </w:p>
        </w:tc>
      </w:tr>
    </w:tbl>
    <w:p w:rsidR="007633A9" w:rsidRPr="001054FA" w:rsidRDefault="0061470A" w:rsidP="007633A9">
      <w:pPr>
        <w:tabs>
          <w:tab w:val="left" w:pos="720"/>
        </w:tabs>
        <w:jc w:val="both"/>
        <w:rPr>
          <w:rFonts w:ascii="Times New Roman" w:hAnsi="Times New Roman"/>
          <w:b/>
          <w:sz w:val="20"/>
          <w:szCs w:val="20"/>
        </w:rPr>
      </w:pPr>
      <w:r w:rsidRPr="001054FA">
        <w:rPr>
          <w:rFonts w:ascii="Times New Roman" w:hAnsi="Times New Roman"/>
          <w:b/>
          <w:sz w:val="20"/>
          <w:szCs w:val="20"/>
        </w:rPr>
        <w:t>Notes for Incentive Caps Table:</w:t>
      </w:r>
    </w:p>
    <w:p w:rsidR="007633A9" w:rsidRPr="001054FA" w:rsidRDefault="007633A9" w:rsidP="00ED2D31">
      <w:pPr>
        <w:numPr>
          <w:ilvl w:val="0"/>
          <w:numId w:val="2"/>
        </w:numPr>
        <w:tabs>
          <w:tab w:val="left" w:pos="720"/>
        </w:tabs>
        <w:jc w:val="both"/>
        <w:rPr>
          <w:rFonts w:ascii="Times New Roman" w:hAnsi="Times New Roman"/>
          <w:sz w:val="20"/>
          <w:szCs w:val="20"/>
        </w:rPr>
      </w:pPr>
      <w:r w:rsidRPr="001054FA">
        <w:rPr>
          <w:rFonts w:ascii="Times New Roman" w:hAnsi="Times New Roman"/>
          <w:sz w:val="20"/>
          <w:szCs w:val="20"/>
        </w:rPr>
        <w:t>The 1 year simple payback cap means Energy Efficiency Incentives will not be available to reduce the simple payback of an Energy Efficiency Project below one year. If required, individual EEM Energy Efficiency Incentives will be adjusted downward pro-rata so the Energy Efficiency Project has a simple payback after i</w:t>
      </w:r>
      <w:r w:rsidR="0061470A" w:rsidRPr="001054FA">
        <w:rPr>
          <w:rFonts w:ascii="Times New Roman" w:hAnsi="Times New Roman"/>
          <w:sz w:val="20"/>
          <w:szCs w:val="20"/>
        </w:rPr>
        <w:t>ncentives of one year or more.</w:t>
      </w:r>
    </w:p>
    <w:p w:rsidR="007633A9" w:rsidRPr="001054FA" w:rsidRDefault="007633A9" w:rsidP="00ED2D31">
      <w:pPr>
        <w:numPr>
          <w:ilvl w:val="0"/>
          <w:numId w:val="2"/>
        </w:numPr>
        <w:tabs>
          <w:tab w:val="left" w:pos="720"/>
        </w:tabs>
        <w:jc w:val="both"/>
        <w:rPr>
          <w:rFonts w:ascii="Times New Roman" w:hAnsi="Times New Roman"/>
          <w:sz w:val="20"/>
          <w:szCs w:val="20"/>
        </w:rPr>
      </w:pPr>
      <w:r w:rsidRPr="001054FA">
        <w:rPr>
          <w:rFonts w:ascii="Times New Roman" w:hAnsi="Times New Roman"/>
          <w:sz w:val="20"/>
          <w:szCs w:val="20"/>
        </w:rPr>
        <w:t>EEM Costs are subject to Pacific Power review and approval and Pacific Power may require additional documentation from the Customer or Owner.</w:t>
      </w:r>
    </w:p>
    <w:p w:rsidR="007633A9" w:rsidRPr="001054FA" w:rsidRDefault="007633A9" w:rsidP="00ED2D31">
      <w:pPr>
        <w:numPr>
          <w:ilvl w:val="0"/>
          <w:numId w:val="2"/>
        </w:numPr>
        <w:tabs>
          <w:tab w:val="left" w:pos="720"/>
        </w:tabs>
        <w:jc w:val="both"/>
        <w:rPr>
          <w:rFonts w:ascii="Times New Roman" w:hAnsi="Times New Roman"/>
          <w:sz w:val="20"/>
          <w:szCs w:val="20"/>
        </w:rPr>
      </w:pPr>
      <w:r w:rsidRPr="001054FA">
        <w:rPr>
          <w:rFonts w:ascii="Times New Roman" w:hAnsi="Times New Roman"/>
          <w:sz w:val="20"/>
          <w:szCs w:val="20"/>
        </w:rPr>
        <w:t>Two irrigation Energy Efficiency Measures have a measure cost cap.  See the Irrigation Equipment incentive table for details.</w:t>
      </w:r>
    </w:p>
    <w:p w:rsidR="007633A9" w:rsidRPr="001054FA" w:rsidRDefault="007633A9" w:rsidP="00ED2D31">
      <w:pPr>
        <w:numPr>
          <w:ilvl w:val="0"/>
          <w:numId w:val="2"/>
        </w:numPr>
        <w:tabs>
          <w:tab w:val="left" w:pos="720"/>
        </w:tabs>
        <w:jc w:val="both"/>
        <w:rPr>
          <w:rFonts w:ascii="Times New Roman" w:hAnsi="Times New Roman"/>
          <w:sz w:val="20"/>
          <w:szCs w:val="20"/>
        </w:rPr>
      </w:pPr>
      <w:r w:rsidRPr="001054FA">
        <w:rPr>
          <w:rFonts w:ascii="Times New Roman" w:hAnsi="Times New Roman"/>
          <w:sz w:val="20"/>
          <w:szCs w:val="20"/>
        </w:rPr>
        <w:t>The Network PC Power Management Software measure has a measure cost cap.  See the Other Energy Efficiency Measures incentive table for details.</w:t>
      </w:r>
    </w:p>
    <w:p w:rsidR="007633A9" w:rsidRPr="000C7C45" w:rsidRDefault="007633A9" w:rsidP="007633A9">
      <w:pPr>
        <w:pStyle w:val="Table"/>
        <w:rPr>
          <w:rFonts w:ascii="Times New Roman" w:hAnsi="Times New Roman"/>
        </w:rPr>
      </w:pPr>
      <w:r w:rsidRPr="000C7C45">
        <w:rPr>
          <w:rFonts w:ascii="Times New Roman" w:hAnsi="Times New Roman"/>
        </w:rPr>
        <w:br w:type="page"/>
        <w:t>Retrofit Lighting Incentive Table</w:t>
      </w:r>
    </w:p>
    <w:tbl>
      <w:tblPr>
        <w:tblW w:w="9360" w:type="dxa"/>
        <w:tblInd w:w="98" w:type="dxa"/>
        <w:tblLook w:val="04A0"/>
      </w:tblPr>
      <w:tblGrid>
        <w:gridCol w:w="1540"/>
        <w:gridCol w:w="1350"/>
        <w:gridCol w:w="4770"/>
        <w:gridCol w:w="1700"/>
      </w:tblGrid>
      <w:tr w:rsidR="007633A9" w:rsidRPr="00CE6CE4" w:rsidTr="00692D4F">
        <w:trPr>
          <w:trHeight w:val="270"/>
        </w:trPr>
        <w:tc>
          <w:tcPr>
            <w:tcW w:w="1540" w:type="dxa"/>
            <w:tcBorders>
              <w:top w:val="single" w:sz="8" w:space="0" w:color="auto"/>
              <w:left w:val="single" w:sz="8" w:space="0" w:color="auto"/>
              <w:bottom w:val="nil"/>
              <w:right w:val="nil"/>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Measure</w:t>
            </w:r>
          </w:p>
        </w:tc>
        <w:tc>
          <w:tcPr>
            <w:tcW w:w="1350" w:type="dxa"/>
            <w:tcBorders>
              <w:top w:val="single" w:sz="8" w:space="0" w:color="auto"/>
              <w:left w:val="single" w:sz="8" w:space="0" w:color="auto"/>
              <w:bottom w:val="nil"/>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Category</w:t>
            </w:r>
          </w:p>
        </w:tc>
        <w:tc>
          <w:tcPr>
            <w:tcW w:w="4770" w:type="dxa"/>
            <w:tcBorders>
              <w:top w:val="single" w:sz="8" w:space="0" w:color="auto"/>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Eligibility Requirements</w:t>
            </w:r>
          </w:p>
        </w:tc>
        <w:tc>
          <w:tcPr>
            <w:tcW w:w="1700" w:type="dxa"/>
            <w:tcBorders>
              <w:top w:val="single" w:sz="8" w:space="0" w:color="auto"/>
              <w:left w:val="nil"/>
              <w:bottom w:val="nil"/>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Incentive</w:t>
            </w:r>
          </w:p>
        </w:tc>
      </w:tr>
      <w:tr w:rsidR="007633A9" w:rsidRPr="00CE6CE4" w:rsidTr="00692D4F">
        <w:trPr>
          <w:trHeight w:val="735"/>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T8 Fluorescent</w:t>
            </w:r>
          </w:p>
        </w:tc>
        <w:tc>
          <w:tcPr>
            <w:tcW w:w="1350" w:type="dxa"/>
            <w:tcBorders>
              <w:top w:val="single" w:sz="8" w:space="0" w:color="auto"/>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Standard</w:t>
            </w:r>
          </w:p>
        </w:tc>
        <w:tc>
          <w:tcPr>
            <w:tcW w:w="4770" w:type="dxa"/>
            <w:tcBorders>
              <w:top w:val="nil"/>
              <w:left w:val="nil"/>
              <w:bottom w:val="nil"/>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4’ Lamp ≤ 32 Watts, Electronic ballast with Ballast Factor ≤ 0.88 (See Note 3)</w:t>
            </w:r>
          </w:p>
        </w:tc>
        <w:tc>
          <w:tcPr>
            <w:tcW w:w="17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$3/Lamp</w:t>
            </w:r>
          </w:p>
        </w:tc>
      </w:tr>
      <w:tr w:rsidR="007633A9" w:rsidRPr="00CE6CE4" w:rsidTr="00692D4F">
        <w:trPr>
          <w:trHeight w:val="945"/>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Premium</w:t>
            </w:r>
          </w:p>
        </w:tc>
        <w:tc>
          <w:tcPr>
            <w:tcW w:w="4770" w:type="dxa"/>
            <w:tcBorders>
              <w:top w:val="single" w:sz="4" w:space="0" w:color="auto"/>
              <w:left w:val="nil"/>
              <w:bottom w:val="nil"/>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4’ CEE Qualified Reduced Wattage or High Performance Lamp and CEE Qualified Ballast included on qualified ballast list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$7/Lamp</w:t>
            </w:r>
          </w:p>
        </w:tc>
      </w:tr>
      <w:tr w:rsidR="007633A9" w:rsidRPr="00CE6CE4" w:rsidTr="00692D4F">
        <w:trPr>
          <w:trHeight w:val="808"/>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Delamp</w:t>
            </w:r>
          </w:p>
        </w:tc>
        <w:tc>
          <w:tcPr>
            <w:tcW w:w="4770" w:type="dxa"/>
            <w:tcBorders>
              <w:top w:val="single" w:sz="4" w:space="0" w:color="auto"/>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4’ CEE Qualified Reduced Wattage or High Performance Lamp and CEE Qualified Ballast.  Must remove one or more lamps and corresponding sockets within the same fixture.</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$21/Lamp Removed</w:t>
            </w:r>
          </w:p>
        </w:tc>
      </w:tr>
      <w:tr w:rsidR="007633A9" w:rsidRPr="00CE6CE4" w:rsidTr="00692D4F">
        <w:trPr>
          <w:trHeight w:val="4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Relamp</w:t>
            </w:r>
          </w:p>
        </w:tc>
        <w:tc>
          <w:tcPr>
            <w:tcW w:w="477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$0.25/Lamp</w:t>
            </w:r>
          </w:p>
        </w:tc>
      </w:tr>
      <w:tr w:rsidR="007633A9" w:rsidRPr="00CE6CE4" w:rsidTr="00692D4F">
        <w:trPr>
          <w:trHeight w:val="52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High Bay</w:t>
            </w:r>
          </w:p>
        </w:tc>
        <w:tc>
          <w:tcPr>
            <w:tcW w:w="4770" w:type="dxa"/>
            <w:tcBorders>
              <w:top w:val="nil"/>
              <w:left w:val="nil"/>
              <w:bottom w:val="single" w:sz="8"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4’ CEE Qualified High Performance Lamp. Must replace T12HO, Incandescent, or HID in a high ceiling application</w:t>
            </w:r>
          </w:p>
        </w:tc>
        <w:tc>
          <w:tcPr>
            <w:tcW w:w="1700" w:type="dxa"/>
            <w:tcBorders>
              <w:top w:val="nil"/>
              <w:left w:val="single" w:sz="8" w:space="0" w:color="auto"/>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$20/Lamp</w:t>
            </w:r>
          </w:p>
        </w:tc>
      </w:tr>
      <w:tr w:rsidR="007633A9" w:rsidRPr="00CE6CE4" w:rsidTr="00692D4F">
        <w:trPr>
          <w:trHeight w:val="430"/>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T5 Fluorescent</w:t>
            </w:r>
          </w:p>
        </w:tc>
        <w:tc>
          <w:tcPr>
            <w:tcW w:w="135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Standard</w:t>
            </w:r>
          </w:p>
        </w:tc>
        <w:tc>
          <w:tcPr>
            <w:tcW w:w="477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 xml:space="preserve">4’ Nominal Lamp ≤ 28 Watts, Ballast Factor ≤ 1.0,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$5/Lamp</w:t>
            </w:r>
          </w:p>
        </w:tc>
      </w:tr>
      <w:tr w:rsidR="007633A9" w:rsidRPr="00CE6CE4" w:rsidTr="00692D4F">
        <w:trPr>
          <w:trHeight w:val="430"/>
        </w:trPr>
        <w:tc>
          <w:tcPr>
            <w:tcW w:w="1540" w:type="dxa"/>
            <w:vMerge/>
            <w:tcBorders>
              <w:top w:val="nil"/>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Relamp</w:t>
            </w:r>
          </w:p>
        </w:tc>
        <w:tc>
          <w:tcPr>
            <w:tcW w:w="477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$0.25/Lamp</w:t>
            </w:r>
          </w:p>
        </w:tc>
      </w:tr>
      <w:tr w:rsidR="007633A9" w:rsidRPr="00CE6CE4" w:rsidTr="00692D4F">
        <w:trPr>
          <w:trHeight w:val="430"/>
        </w:trPr>
        <w:tc>
          <w:tcPr>
            <w:tcW w:w="1540" w:type="dxa"/>
            <w:vMerge/>
            <w:tcBorders>
              <w:top w:val="nil"/>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High Bay</w:t>
            </w:r>
          </w:p>
        </w:tc>
        <w:tc>
          <w:tcPr>
            <w:tcW w:w="477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4’ Nominal High Output Lamp</w:t>
            </w:r>
          </w:p>
        </w:tc>
        <w:tc>
          <w:tcPr>
            <w:tcW w:w="170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$20/Lamp</w:t>
            </w:r>
          </w:p>
        </w:tc>
      </w:tr>
      <w:tr w:rsidR="007633A9" w:rsidRPr="00CE6CE4" w:rsidTr="00692D4F">
        <w:trPr>
          <w:trHeight w:val="520"/>
        </w:trPr>
        <w:tc>
          <w:tcPr>
            <w:tcW w:w="1540" w:type="dxa"/>
            <w:tcBorders>
              <w:top w:val="nil"/>
              <w:left w:val="single" w:sz="8" w:space="0" w:color="auto"/>
              <w:bottom w:val="single" w:sz="8" w:space="0" w:color="auto"/>
              <w:right w:val="nil"/>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Cold Cathode</w:t>
            </w:r>
          </w:p>
        </w:tc>
        <w:tc>
          <w:tcPr>
            <w:tcW w:w="1350" w:type="dxa"/>
            <w:tcBorders>
              <w:top w:val="nil"/>
              <w:left w:val="single" w:sz="8" w:space="0" w:color="auto"/>
              <w:bottom w:val="single" w:sz="8"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Screw-in Lamp</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$5/Lamp</w:t>
            </w:r>
          </w:p>
        </w:tc>
      </w:tr>
      <w:tr w:rsidR="007633A9" w:rsidRPr="00CE6CE4" w:rsidTr="00692D4F">
        <w:trPr>
          <w:trHeight w:val="67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Compact Fluorescent Lamp (CFL)</w:t>
            </w:r>
          </w:p>
        </w:tc>
        <w:tc>
          <w:tcPr>
            <w:tcW w:w="1350" w:type="dxa"/>
            <w:tcBorders>
              <w:top w:val="single" w:sz="4" w:space="0" w:color="auto"/>
              <w:left w:val="nil"/>
              <w:bottom w:val="single" w:sz="8"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Hardwired Fixture</w:t>
            </w:r>
          </w:p>
        </w:tc>
        <w:tc>
          <w:tcPr>
            <w:tcW w:w="47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All wattages</w:t>
            </w:r>
          </w:p>
        </w:tc>
        <w:tc>
          <w:tcPr>
            <w:tcW w:w="1700" w:type="dxa"/>
            <w:tcBorders>
              <w:top w:val="single" w:sz="4" w:space="0" w:color="auto"/>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$5/Fixture</w:t>
            </w:r>
          </w:p>
        </w:tc>
      </w:tr>
      <w:tr w:rsidR="007633A9" w:rsidRPr="00CE6CE4" w:rsidTr="00692D4F">
        <w:trPr>
          <w:trHeight w:val="675"/>
        </w:trPr>
        <w:tc>
          <w:tcPr>
            <w:tcW w:w="1540" w:type="dxa"/>
            <w:tcBorders>
              <w:top w:val="nil"/>
              <w:left w:val="single" w:sz="8" w:space="0" w:color="auto"/>
              <w:bottom w:val="single" w:sz="8" w:space="0" w:color="auto"/>
              <w:right w:val="nil"/>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Ceramic Metal Halide (CMH)</w:t>
            </w:r>
          </w:p>
        </w:tc>
        <w:tc>
          <w:tcPr>
            <w:tcW w:w="1350" w:type="dxa"/>
            <w:tcBorders>
              <w:top w:val="nil"/>
              <w:left w:val="single" w:sz="8" w:space="0" w:color="auto"/>
              <w:bottom w:val="single" w:sz="8"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CMH Fixture</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All wattage</w:t>
            </w:r>
          </w:p>
        </w:tc>
        <w:tc>
          <w:tcPr>
            <w:tcW w:w="170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$35/Fixture</w:t>
            </w:r>
          </w:p>
        </w:tc>
      </w:tr>
      <w:tr w:rsidR="007633A9" w:rsidRPr="00CE6CE4" w:rsidTr="00692D4F">
        <w:trPr>
          <w:trHeight w:val="385"/>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Pulse Start Metal Halide (PSMH)</w:t>
            </w:r>
          </w:p>
        </w:tc>
        <w:tc>
          <w:tcPr>
            <w:tcW w:w="135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PSMH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Wattages &gt; 500W</w:t>
            </w:r>
          </w:p>
        </w:tc>
        <w:tc>
          <w:tcPr>
            <w:tcW w:w="170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$60/Fixture</w:t>
            </w:r>
          </w:p>
        </w:tc>
      </w:tr>
      <w:tr w:rsidR="007633A9" w:rsidRPr="00CE6CE4" w:rsidTr="00692D4F">
        <w:trPr>
          <w:trHeight w:val="430"/>
        </w:trPr>
        <w:tc>
          <w:tcPr>
            <w:tcW w:w="1540" w:type="dxa"/>
            <w:vMerge/>
            <w:tcBorders>
              <w:top w:val="nil"/>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8"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Electronic Ballast</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Must be used in place of or replace a magnetic ballast</w:t>
            </w:r>
          </w:p>
        </w:tc>
        <w:tc>
          <w:tcPr>
            <w:tcW w:w="170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$20/Ballast</w:t>
            </w:r>
          </w:p>
        </w:tc>
      </w:tr>
      <w:tr w:rsidR="007633A9" w:rsidRPr="00CE6CE4" w:rsidTr="00692D4F">
        <w:trPr>
          <w:trHeight w:val="480"/>
        </w:trPr>
        <w:tc>
          <w:tcPr>
            <w:tcW w:w="1540" w:type="dxa"/>
            <w:tcBorders>
              <w:top w:val="nil"/>
              <w:left w:val="single" w:sz="8" w:space="0" w:color="auto"/>
              <w:bottom w:val="nil"/>
              <w:right w:val="single" w:sz="8" w:space="0" w:color="auto"/>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Induction</w:t>
            </w:r>
          </w:p>
        </w:tc>
        <w:tc>
          <w:tcPr>
            <w:tcW w:w="135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Induction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All wattages, New fixtures only</w:t>
            </w:r>
          </w:p>
        </w:tc>
        <w:tc>
          <w:tcPr>
            <w:tcW w:w="170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$125/Fixture</w:t>
            </w:r>
          </w:p>
        </w:tc>
      </w:tr>
      <w:tr w:rsidR="007633A9" w:rsidRPr="00CE6CE4" w:rsidTr="00692D4F">
        <w:trPr>
          <w:trHeight w:val="630"/>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LED</w:t>
            </w:r>
          </w:p>
        </w:tc>
        <w:tc>
          <w:tcPr>
            <w:tcW w:w="1350" w:type="dxa"/>
            <w:tcBorders>
              <w:top w:val="single" w:sz="8" w:space="0" w:color="auto"/>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Integral Screw-in Lamp</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LED must be listed on qualified equipment list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$10/Lamp</w:t>
            </w:r>
          </w:p>
        </w:tc>
      </w:tr>
      <w:tr w:rsidR="007633A9" w:rsidRPr="00CE6CE4" w:rsidTr="00692D4F">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Recessed Downlight</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$10/Fixture</w:t>
            </w:r>
          </w:p>
        </w:tc>
      </w:tr>
      <w:tr w:rsidR="007633A9" w:rsidRPr="00CE6CE4" w:rsidTr="00692D4F">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Outdoor Area and Roadway</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$100/Fixture</w:t>
            </w:r>
          </w:p>
        </w:tc>
      </w:tr>
      <w:tr w:rsidR="007633A9" w:rsidRPr="00CE6CE4" w:rsidTr="00692D4F">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4"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Parking Garage</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$100/Fixture</w:t>
            </w:r>
          </w:p>
        </w:tc>
      </w:tr>
      <w:tr w:rsidR="007633A9" w:rsidRPr="00CE6CE4" w:rsidTr="00692D4F">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7633A9" w:rsidRPr="00CE6CE4" w:rsidRDefault="007633A9" w:rsidP="00692D4F">
            <w:pPr>
              <w:rPr>
                <w:rFonts w:ascii="Times New Roman" w:hAnsi="Times New Roman"/>
                <w:sz w:val="20"/>
                <w:szCs w:val="20"/>
              </w:rPr>
            </w:pPr>
          </w:p>
        </w:tc>
        <w:tc>
          <w:tcPr>
            <w:tcW w:w="1350" w:type="dxa"/>
            <w:tcBorders>
              <w:top w:val="nil"/>
              <w:left w:val="nil"/>
              <w:bottom w:val="single" w:sz="8" w:space="0" w:color="auto"/>
              <w:right w:val="nil"/>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High and Low Bay</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LED must be listed on qualified equipment list</w:t>
            </w:r>
          </w:p>
        </w:tc>
        <w:tc>
          <w:tcPr>
            <w:tcW w:w="1700" w:type="dxa"/>
            <w:tcBorders>
              <w:top w:val="nil"/>
              <w:left w:val="nil"/>
              <w:bottom w:val="single" w:sz="8" w:space="0" w:color="auto"/>
              <w:right w:val="single" w:sz="8" w:space="0" w:color="auto"/>
            </w:tcBorders>
            <w:shd w:val="clear" w:color="auto" w:fill="auto"/>
            <w:vAlign w:val="bottom"/>
            <w:hideMark/>
          </w:tcPr>
          <w:p w:rsidR="007633A9" w:rsidRPr="00CE6CE4" w:rsidRDefault="007633A9" w:rsidP="00692D4F">
            <w:pPr>
              <w:jc w:val="center"/>
              <w:rPr>
                <w:rFonts w:ascii="Times New Roman" w:hAnsi="Times New Roman"/>
                <w:sz w:val="20"/>
                <w:szCs w:val="20"/>
              </w:rPr>
            </w:pPr>
            <w:r w:rsidRPr="00CE6CE4">
              <w:rPr>
                <w:rFonts w:ascii="Times New Roman" w:hAnsi="Times New Roman"/>
                <w:sz w:val="20"/>
                <w:szCs w:val="20"/>
              </w:rPr>
              <w:t>$100/Fixture</w:t>
            </w:r>
          </w:p>
        </w:tc>
      </w:tr>
    </w:tbl>
    <w:p w:rsidR="007633A9" w:rsidRPr="00CE6CE4" w:rsidRDefault="007633A9" w:rsidP="00CE6CE4">
      <w:pPr>
        <w:pStyle w:val="Table"/>
        <w:spacing w:after="0"/>
        <w:jc w:val="left"/>
        <w:rPr>
          <w:rFonts w:ascii="Times New Roman" w:hAnsi="Times New Roman"/>
          <w:sz w:val="20"/>
          <w:szCs w:val="20"/>
        </w:rPr>
      </w:pPr>
      <w:r w:rsidRPr="00CE6CE4">
        <w:rPr>
          <w:rFonts w:ascii="Times New Roman" w:hAnsi="Times New Roman"/>
          <w:sz w:val="20"/>
          <w:szCs w:val="20"/>
        </w:rPr>
        <w:t xml:space="preserve">Notes for </w:t>
      </w:r>
      <w:r w:rsidR="0061470A" w:rsidRPr="00CE6CE4">
        <w:rPr>
          <w:rFonts w:ascii="Times New Roman" w:hAnsi="Times New Roman"/>
          <w:sz w:val="20"/>
          <w:szCs w:val="20"/>
        </w:rPr>
        <w:t>R</w:t>
      </w:r>
      <w:r w:rsidRPr="00CE6CE4">
        <w:rPr>
          <w:rFonts w:ascii="Times New Roman" w:hAnsi="Times New Roman"/>
          <w:sz w:val="20"/>
          <w:szCs w:val="20"/>
        </w:rPr>
        <w:t xml:space="preserve">etrofit </w:t>
      </w:r>
      <w:r w:rsidR="0061470A" w:rsidRPr="00CE6CE4">
        <w:rPr>
          <w:rFonts w:ascii="Times New Roman" w:hAnsi="Times New Roman"/>
          <w:sz w:val="20"/>
          <w:szCs w:val="20"/>
        </w:rPr>
        <w:t>L</w:t>
      </w:r>
      <w:r w:rsidRPr="00CE6CE4">
        <w:rPr>
          <w:rFonts w:ascii="Times New Roman" w:hAnsi="Times New Roman"/>
          <w:sz w:val="20"/>
          <w:szCs w:val="20"/>
        </w:rPr>
        <w:t xml:space="preserve">ighting </w:t>
      </w:r>
      <w:r w:rsidR="0061470A" w:rsidRPr="00CE6CE4">
        <w:rPr>
          <w:rFonts w:ascii="Times New Roman" w:hAnsi="Times New Roman"/>
          <w:sz w:val="20"/>
          <w:szCs w:val="20"/>
        </w:rPr>
        <w:t>Incentive T</w:t>
      </w:r>
      <w:r w:rsidRPr="00CE6CE4">
        <w:rPr>
          <w:rFonts w:ascii="Times New Roman" w:hAnsi="Times New Roman"/>
          <w:sz w:val="20"/>
          <w:szCs w:val="20"/>
        </w:rPr>
        <w:t>able</w:t>
      </w:r>
      <w:r w:rsidR="0061470A" w:rsidRPr="00CE6CE4">
        <w:rPr>
          <w:rFonts w:ascii="Times New Roman" w:hAnsi="Times New Roman"/>
          <w:sz w:val="20"/>
          <w:szCs w:val="20"/>
        </w:rPr>
        <w:t>:</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1.  To be eligible for the incentives listed, the new lighting system must use less energy than the existing lighting system replaced or the baseline lighting system as determined by Pacific Power.</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2.  Incentives are capped at 70 percent of Energy Efficiency Project Costs and subject to the one-year payback cap.</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3.  The incentive for Standard T8 Fluorescent will no longer be available effective July 14, 2012.</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4.  Two-foot U-tube lamps may be substituted for four-foot linear fluorescent lamps.</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5.  Incentives for T8 Premium Delamps may not be combined with other linear fluorescent lamp or fixture incentives.  Complete fixture removals are not eligible.</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6.  Incentives for T8 Relamps may not be combined with other linear fluorescent lamp or fixture incentives and will only be paid once per facility.</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7.  Qualified equipment lists referenced in the table are posted on the Washington energy efficiency program section of Pacific Power’s website.</w:t>
      </w:r>
    </w:p>
    <w:p w:rsidR="007633A9" w:rsidRPr="00CE6CE4" w:rsidRDefault="007633A9" w:rsidP="00CE6CE4">
      <w:pPr>
        <w:pStyle w:val="Table"/>
        <w:spacing w:after="0"/>
        <w:jc w:val="left"/>
        <w:rPr>
          <w:rFonts w:ascii="Times New Roman" w:hAnsi="Times New Roman"/>
          <w:b w:val="0"/>
          <w:sz w:val="20"/>
          <w:szCs w:val="20"/>
        </w:rPr>
      </w:pP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BF = Ballast Factor</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CEE = Consortium for Energy Efficiency</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CFL = Compact Fluorescent Lamp</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CMH = Ceramic Metal Halide</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HID = High Intensity Discharge (e.g. Mercury Vapor, High Pressure Sodium, Metal Halide)</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HO = High Output</w:t>
      </w:r>
    </w:p>
    <w:p w:rsidR="007633A9" w:rsidRPr="00CE6CE4" w:rsidRDefault="007633A9" w:rsidP="00CE6CE4">
      <w:pPr>
        <w:pStyle w:val="Table"/>
        <w:spacing w:after="0"/>
        <w:jc w:val="left"/>
        <w:rPr>
          <w:rFonts w:ascii="Times New Roman" w:hAnsi="Times New Roman"/>
          <w:b w:val="0"/>
          <w:sz w:val="20"/>
          <w:szCs w:val="20"/>
        </w:rPr>
      </w:pPr>
      <w:r w:rsidRPr="00CE6CE4">
        <w:rPr>
          <w:rFonts w:ascii="Times New Roman" w:hAnsi="Times New Roman"/>
          <w:b w:val="0"/>
          <w:sz w:val="20"/>
          <w:szCs w:val="20"/>
        </w:rPr>
        <w:t>LED = Light-Emitting Diode</w:t>
      </w:r>
    </w:p>
    <w:p w:rsidR="007633A9" w:rsidRPr="000C7C45" w:rsidRDefault="007633A9" w:rsidP="00CE6CE4">
      <w:pPr>
        <w:pStyle w:val="Table"/>
        <w:spacing w:after="0"/>
        <w:jc w:val="left"/>
        <w:rPr>
          <w:rFonts w:ascii="Times New Roman" w:hAnsi="Times New Roman"/>
        </w:rPr>
      </w:pPr>
      <w:r w:rsidRPr="00CE6CE4">
        <w:rPr>
          <w:rFonts w:ascii="Times New Roman" w:hAnsi="Times New Roman"/>
          <w:b w:val="0"/>
          <w:sz w:val="20"/>
          <w:szCs w:val="20"/>
        </w:rPr>
        <w:t>PSMH = Pulse-Start Metal Halide</w:t>
      </w:r>
      <w:bookmarkStart w:id="19" w:name="OLE_LINK5"/>
      <w:bookmarkStart w:id="20" w:name="OLE_LINK6"/>
      <w:r w:rsidRPr="000C7C45">
        <w:rPr>
          <w:rFonts w:ascii="Times New Roman" w:hAnsi="Times New Roman"/>
        </w:rPr>
        <w:br w:type="page"/>
      </w:r>
    </w:p>
    <w:bookmarkEnd w:id="19"/>
    <w:bookmarkEnd w:id="20"/>
    <w:p w:rsidR="007633A9" w:rsidRPr="00CE6CE4" w:rsidRDefault="007633A9" w:rsidP="00902FCB">
      <w:pPr>
        <w:spacing w:beforeLines="40"/>
        <w:jc w:val="center"/>
        <w:rPr>
          <w:rFonts w:ascii="Times New Roman" w:hAnsi="Times New Roman"/>
          <w:b/>
          <w:sz w:val="24"/>
          <w:szCs w:val="24"/>
        </w:rPr>
      </w:pPr>
      <w:r w:rsidRPr="00CE6CE4">
        <w:rPr>
          <w:rFonts w:ascii="Times New Roman" w:hAnsi="Times New Roman"/>
          <w:b/>
          <w:sz w:val="24"/>
          <w:szCs w:val="24"/>
        </w:rPr>
        <w:t>Lighting Controls and Non-General Illuminance Lighting</w:t>
      </w:r>
    </w:p>
    <w:tbl>
      <w:tblPr>
        <w:tblW w:w="9360" w:type="dxa"/>
        <w:tblInd w:w="98" w:type="dxa"/>
        <w:tblLook w:val="04A0"/>
      </w:tblPr>
      <w:tblGrid>
        <w:gridCol w:w="1780"/>
        <w:gridCol w:w="2680"/>
        <w:gridCol w:w="3200"/>
        <w:gridCol w:w="1700"/>
      </w:tblGrid>
      <w:tr w:rsidR="007633A9" w:rsidRPr="000C7C45" w:rsidTr="00692D4F">
        <w:trPr>
          <w:trHeight w:val="27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Measure</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7633A9" w:rsidRPr="000C7C45" w:rsidRDefault="007633A9" w:rsidP="00692D4F">
            <w:pPr>
              <w:jc w:val="center"/>
              <w:rPr>
                <w:rFonts w:ascii="Times New Roman" w:hAnsi="Times New Roman"/>
                <w:b/>
                <w:bCs/>
              </w:rPr>
            </w:pPr>
            <w:r w:rsidRPr="000C7C45">
              <w:rPr>
                <w:rFonts w:ascii="Times New Roman" w:hAnsi="Times New Roman"/>
                <w:b/>
                <w:bCs/>
              </w:rPr>
              <w:t>Category</w:t>
            </w:r>
          </w:p>
        </w:tc>
        <w:tc>
          <w:tcPr>
            <w:tcW w:w="3200" w:type="dxa"/>
            <w:tcBorders>
              <w:top w:val="single" w:sz="8" w:space="0" w:color="auto"/>
              <w:left w:val="nil"/>
              <w:bottom w:val="single" w:sz="8" w:space="0" w:color="auto"/>
              <w:right w:val="single" w:sz="8" w:space="0" w:color="auto"/>
            </w:tcBorders>
            <w:shd w:val="clear" w:color="auto" w:fill="auto"/>
            <w:noWrap/>
            <w:vAlign w:val="bottom"/>
            <w:hideMark/>
          </w:tcPr>
          <w:p w:rsidR="007633A9" w:rsidRPr="000C7C45" w:rsidRDefault="007633A9" w:rsidP="00692D4F">
            <w:pPr>
              <w:jc w:val="center"/>
              <w:rPr>
                <w:rFonts w:ascii="Times New Roman" w:hAnsi="Times New Roman"/>
                <w:b/>
                <w:bCs/>
              </w:rPr>
            </w:pPr>
            <w:r w:rsidRPr="000C7C45">
              <w:rPr>
                <w:rFonts w:ascii="Times New Roman" w:hAnsi="Times New Roman"/>
                <w:b/>
                <w:bCs/>
              </w:rPr>
              <w:t>Eligibility Requirements</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7633A9" w:rsidRPr="000C7C45" w:rsidRDefault="007633A9" w:rsidP="00692D4F">
            <w:pPr>
              <w:jc w:val="center"/>
              <w:rPr>
                <w:rFonts w:ascii="Times New Roman" w:hAnsi="Times New Roman"/>
                <w:b/>
                <w:bCs/>
              </w:rPr>
            </w:pPr>
            <w:r w:rsidRPr="000C7C45">
              <w:rPr>
                <w:rFonts w:ascii="Times New Roman" w:hAnsi="Times New Roman"/>
                <w:b/>
                <w:bCs/>
              </w:rPr>
              <w:t>Incentive</w:t>
            </w:r>
          </w:p>
        </w:tc>
      </w:tr>
      <w:tr w:rsidR="007633A9" w:rsidRPr="000C7C45" w:rsidTr="00692D4F">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Lighting Control</w:t>
            </w:r>
          </w:p>
        </w:tc>
        <w:tc>
          <w:tcPr>
            <w:tcW w:w="2680" w:type="dxa"/>
            <w:tcBorders>
              <w:top w:val="nil"/>
              <w:left w:val="nil"/>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Occupancy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PIR, Dual Tech, or Integral Sensor</w:t>
            </w:r>
          </w:p>
        </w:tc>
        <w:tc>
          <w:tcPr>
            <w:tcW w:w="170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$75/Sensor</w:t>
            </w:r>
          </w:p>
        </w:tc>
      </w:tr>
      <w:tr w:rsidR="007633A9" w:rsidRPr="000C7C45" w:rsidTr="00692D4F">
        <w:trPr>
          <w:trHeight w:val="795"/>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control fixtures with qualifying dimming ballast(s)</w:t>
            </w:r>
          </w:p>
        </w:tc>
        <w:tc>
          <w:tcPr>
            <w:tcW w:w="170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$75/Sensor</w:t>
            </w:r>
          </w:p>
        </w:tc>
      </w:tr>
      <w:tr w:rsidR="007633A9" w:rsidRPr="000C7C45" w:rsidTr="00692D4F">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Advanced 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incorporate both an occupancy sensor and daylighting sensor operating as part of the same control sequence in the same space.</w:t>
            </w:r>
          </w:p>
        </w:tc>
        <w:tc>
          <w:tcPr>
            <w:tcW w:w="170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$150 </w:t>
            </w:r>
          </w:p>
        </w:tc>
      </w:tr>
      <w:tr w:rsidR="007633A9" w:rsidRPr="000C7C45" w:rsidTr="00692D4F">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Timeclock</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control on/off schedule of lighting equipment</w:t>
            </w:r>
          </w:p>
        </w:tc>
        <w:tc>
          <w:tcPr>
            <w:tcW w:w="170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$20/timeclock</w:t>
            </w:r>
          </w:p>
        </w:tc>
      </w:tr>
      <w:tr w:rsidR="007633A9" w:rsidRPr="000C7C45" w:rsidTr="00692D4F">
        <w:trPr>
          <w:trHeight w:val="1395"/>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nil"/>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Dimming Ballast</w:t>
            </w:r>
          </w:p>
        </w:tc>
        <w:tc>
          <w:tcPr>
            <w:tcW w:w="3200" w:type="dxa"/>
            <w:tcBorders>
              <w:top w:val="nil"/>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Continuous, Stepped, or Bi-level ballast or automated control that dims 50% or more of the fixture.  Must be controlled by a qualifying occupancy or daylighting control.</w:t>
            </w:r>
          </w:p>
        </w:tc>
        <w:tc>
          <w:tcPr>
            <w:tcW w:w="1700" w:type="dxa"/>
            <w:tcBorders>
              <w:top w:val="nil"/>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$15/Ballast</w:t>
            </w:r>
          </w:p>
        </w:tc>
      </w:tr>
      <w:tr w:rsidR="007633A9" w:rsidRPr="000C7C45" w:rsidTr="00692D4F">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Non-General Illuminance</w:t>
            </w:r>
          </w:p>
        </w:tc>
        <w:tc>
          <w:tcPr>
            <w:tcW w:w="2680" w:type="dxa"/>
            <w:tcBorders>
              <w:top w:val="single" w:sz="8" w:space="0" w:color="auto"/>
              <w:left w:val="nil"/>
              <w:bottom w:val="single" w:sz="4" w:space="0" w:color="auto"/>
              <w:right w:val="nil"/>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Exit Sign</w:t>
            </w:r>
          </w:p>
        </w:tc>
        <w:tc>
          <w:tcPr>
            <w:tcW w:w="32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or photoluminescent replacing incandescent or fluorescent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$15/Sign</w:t>
            </w:r>
          </w:p>
        </w:tc>
      </w:tr>
      <w:tr w:rsidR="007633A9" w:rsidRPr="000C7C45" w:rsidTr="00692D4F">
        <w:trPr>
          <w:trHeight w:val="795"/>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Message Center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replacing existing incandescent signage</w:t>
            </w:r>
          </w:p>
        </w:tc>
        <w:tc>
          <w:tcPr>
            <w:tcW w:w="1700" w:type="dxa"/>
            <w:tcBorders>
              <w:top w:val="nil"/>
              <w:left w:val="nil"/>
              <w:bottom w:val="single" w:sz="4"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$5/Lamp</w:t>
            </w:r>
          </w:p>
        </w:tc>
      </w:tr>
      <w:tr w:rsidR="007633A9" w:rsidRPr="000C7C45" w:rsidTr="00692D4F">
        <w:trPr>
          <w:trHeight w:val="795"/>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Channel Letter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replacing existing neon or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$5/Linear Foot</w:t>
            </w:r>
          </w:p>
        </w:tc>
      </w:tr>
      <w:tr w:rsidR="007633A9" w:rsidRPr="000C7C45" w:rsidTr="00692D4F">
        <w:trPr>
          <w:trHeight w:val="525"/>
        </w:trPr>
        <w:tc>
          <w:tcPr>
            <w:tcW w:w="178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2680" w:type="dxa"/>
            <w:tcBorders>
              <w:top w:val="nil"/>
              <w:left w:val="nil"/>
              <w:bottom w:val="single" w:sz="8" w:space="0" w:color="auto"/>
              <w:right w:val="nil"/>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Marquee/Cabinet Sign</w:t>
            </w:r>
          </w:p>
        </w:tc>
        <w:tc>
          <w:tcPr>
            <w:tcW w:w="3200" w:type="dxa"/>
            <w:tcBorders>
              <w:top w:val="nil"/>
              <w:left w:val="single" w:sz="8" w:space="0" w:color="auto"/>
              <w:bottom w:val="single" w:sz="8"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LED replacing existing fluorescent signage</w:t>
            </w:r>
          </w:p>
        </w:tc>
        <w:tc>
          <w:tcPr>
            <w:tcW w:w="1700" w:type="dxa"/>
            <w:tcBorders>
              <w:top w:val="nil"/>
              <w:left w:val="nil"/>
              <w:bottom w:val="single" w:sz="8"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$5/Linear Foot</w:t>
            </w:r>
          </w:p>
        </w:tc>
      </w:tr>
    </w:tbl>
    <w:p w:rsidR="007633A9" w:rsidRPr="00CE6CE4" w:rsidRDefault="007633A9" w:rsidP="00CE6CE4">
      <w:pPr>
        <w:rPr>
          <w:rFonts w:ascii="Times New Roman" w:hAnsi="Times New Roman"/>
          <w:b/>
          <w:sz w:val="20"/>
          <w:szCs w:val="20"/>
        </w:rPr>
      </w:pPr>
      <w:r w:rsidRPr="00CE6CE4">
        <w:rPr>
          <w:rFonts w:ascii="Times New Roman" w:hAnsi="Times New Roman"/>
          <w:b/>
          <w:sz w:val="20"/>
          <w:szCs w:val="20"/>
        </w:rPr>
        <w:t xml:space="preserve">Notes for </w:t>
      </w:r>
      <w:r w:rsidR="0061470A" w:rsidRPr="00CE6CE4">
        <w:rPr>
          <w:rFonts w:ascii="Times New Roman" w:hAnsi="Times New Roman"/>
          <w:b/>
          <w:sz w:val="20"/>
          <w:szCs w:val="20"/>
        </w:rPr>
        <w:t>L</w:t>
      </w:r>
      <w:r w:rsidRPr="00CE6CE4">
        <w:rPr>
          <w:rFonts w:ascii="Times New Roman" w:hAnsi="Times New Roman"/>
          <w:b/>
          <w:sz w:val="20"/>
          <w:szCs w:val="20"/>
        </w:rPr>
        <w:t xml:space="preserve">ighting </w:t>
      </w:r>
      <w:r w:rsidR="0061470A" w:rsidRPr="00CE6CE4">
        <w:rPr>
          <w:rFonts w:ascii="Times New Roman" w:hAnsi="Times New Roman"/>
          <w:b/>
          <w:sz w:val="20"/>
          <w:szCs w:val="20"/>
        </w:rPr>
        <w:t>C</w:t>
      </w:r>
      <w:r w:rsidRPr="00CE6CE4">
        <w:rPr>
          <w:rFonts w:ascii="Times New Roman" w:hAnsi="Times New Roman"/>
          <w:b/>
          <w:sz w:val="20"/>
          <w:szCs w:val="20"/>
        </w:rPr>
        <w:t xml:space="preserve">ontrols and </w:t>
      </w:r>
      <w:r w:rsidR="0061470A" w:rsidRPr="00CE6CE4">
        <w:rPr>
          <w:rFonts w:ascii="Times New Roman" w:hAnsi="Times New Roman"/>
          <w:b/>
          <w:sz w:val="20"/>
          <w:szCs w:val="20"/>
        </w:rPr>
        <w:t>N</w:t>
      </w:r>
      <w:r w:rsidRPr="00CE6CE4">
        <w:rPr>
          <w:rFonts w:ascii="Times New Roman" w:hAnsi="Times New Roman"/>
          <w:b/>
          <w:sz w:val="20"/>
          <w:szCs w:val="20"/>
        </w:rPr>
        <w:t>on-</w:t>
      </w:r>
      <w:r w:rsidR="0061470A" w:rsidRPr="00CE6CE4">
        <w:rPr>
          <w:rFonts w:ascii="Times New Roman" w:hAnsi="Times New Roman"/>
          <w:b/>
          <w:sz w:val="20"/>
          <w:szCs w:val="20"/>
        </w:rPr>
        <w:t>G</w:t>
      </w:r>
      <w:r w:rsidRPr="00CE6CE4">
        <w:rPr>
          <w:rFonts w:ascii="Times New Roman" w:hAnsi="Times New Roman"/>
          <w:b/>
          <w:sz w:val="20"/>
          <w:szCs w:val="20"/>
        </w:rPr>
        <w:t xml:space="preserve">eneral </w:t>
      </w:r>
      <w:r w:rsidR="0061470A" w:rsidRPr="00CE6CE4">
        <w:rPr>
          <w:rFonts w:ascii="Times New Roman" w:hAnsi="Times New Roman"/>
          <w:b/>
          <w:sz w:val="20"/>
          <w:szCs w:val="20"/>
        </w:rPr>
        <w:t>I</w:t>
      </w:r>
      <w:r w:rsidRPr="00CE6CE4">
        <w:rPr>
          <w:rFonts w:ascii="Times New Roman" w:hAnsi="Times New Roman"/>
          <w:b/>
          <w:sz w:val="20"/>
          <w:szCs w:val="20"/>
        </w:rPr>
        <w:t xml:space="preserve">lluminance </w:t>
      </w:r>
      <w:r w:rsidR="0061470A" w:rsidRPr="00CE6CE4">
        <w:rPr>
          <w:rFonts w:ascii="Times New Roman" w:hAnsi="Times New Roman"/>
          <w:b/>
          <w:sz w:val="20"/>
          <w:szCs w:val="20"/>
        </w:rPr>
        <w:t>L</w:t>
      </w:r>
      <w:r w:rsidRPr="00CE6CE4">
        <w:rPr>
          <w:rFonts w:ascii="Times New Roman" w:hAnsi="Times New Roman"/>
          <w:b/>
          <w:sz w:val="20"/>
          <w:szCs w:val="20"/>
        </w:rPr>
        <w:t xml:space="preserve">ighting </w:t>
      </w:r>
      <w:r w:rsidR="0061470A" w:rsidRPr="00CE6CE4">
        <w:rPr>
          <w:rFonts w:ascii="Times New Roman" w:hAnsi="Times New Roman"/>
          <w:b/>
          <w:sz w:val="20"/>
          <w:szCs w:val="20"/>
        </w:rPr>
        <w:t>I</w:t>
      </w:r>
      <w:r w:rsidRPr="00CE6CE4">
        <w:rPr>
          <w:rFonts w:ascii="Times New Roman" w:hAnsi="Times New Roman"/>
          <w:b/>
          <w:sz w:val="20"/>
          <w:szCs w:val="20"/>
        </w:rPr>
        <w:t xml:space="preserve">ncentive </w:t>
      </w:r>
      <w:r w:rsidR="0061470A" w:rsidRPr="00CE6CE4">
        <w:rPr>
          <w:rFonts w:ascii="Times New Roman" w:hAnsi="Times New Roman"/>
          <w:b/>
          <w:sz w:val="20"/>
          <w:szCs w:val="20"/>
        </w:rPr>
        <w:t>T</w:t>
      </w:r>
      <w:r w:rsidRPr="00CE6CE4">
        <w:rPr>
          <w:rFonts w:ascii="Times New Roman" w:hAnsi="Times New Roman"/>
          <w:b/>
          <w:sz w:val="20"/>
          <w:szCs w:val="20"/>
        </w:rPr>
        <w:t>able:</w:t>
      </w:r>
    </w:p>
    <w:p w:rsidR="00120218" w:rsidRPr="00CE6CE4" w:rsidRDefault="007633A9" w:rsidP="00CE6CE4">
      <w:pPr>
        <w:rPr>
          <w:rFonts w:ascii="Times New Roman" w:hAnsi="Times New Roman"/>
          <w:sz w:val="20"/>
          <w:szCs w:val="20"/>
        </w:rPr>
      </w:pPr>
      <w:r w:rsidRPr="00CE6CE4">
        <w:rPr>
          <w:rFonts w:ascii="Times New Roman" w:hAnsi="Times New Roman"/>
          <w:sz w:val="20"/>
          <w:szCs w:val="20"/>
        </w:rPr>
        <w:t>1.  To be eligible for the incentives listed, the new lighting system must use less energy than the existing lighting system replaced.</w:t>
      </w:r>
    </w:p>
    <w:p w:rsidR="00CF5862" w:rsidRPr="00CE6CE4" w:rsidRDefault="007633A9" w:rsidP="00CE6CE4">
      <w:pPr>
        <w:rPr>
          <w:rFonts w:ascii="Times New Roman" w:hAnsi="Times New Roman"/>
          <w:sz w:val="20"/>
          <w:szCs w:val="20"/>
        </w:rPr>
      </w:pPr>
      <w:r w:rsidRPr="00CE6CE4">
        <w:rPr>
          <w:rFonts w:ascii="Times New Roman" w:hAnsi="Times New Roman"/>
          <w:sz w:val="20"/>
          <w:szCs w:val="20"/>
        </w:rPr>
        <w:t>2.  Incentives are capped at 70 percent of Energy Efficiency Project Costs and incentives will not be available to reduce the Energy Efficiency Project simple payback below one year.</w:t>
      </w:r>
    </w:p>
    <w:p w:rsidR="00CF5862" w:rsidRDefault="007633A9" w:rsidP="00CE6CE4">
      <w:pPr>
        <w:rPr>
          <w:rFonts w:ascii="Times New Roman" w:hAnsi="Times New Roman"/>
          <w:sz w:val="20"/>
          <w:szCs w:val="20"/>
        </w:rPr>
      </w:pPr>
      <w:r w:rsidRPr="00CE6CE4">
        <w:rPr>
          <w:rFonts w:ascii="Times New Roman" w:hAnsi="Times New Roman"/>
          <w:sz w:val="20"/>
          <w:szCs w:val="20"/>
        </w:rPr>
        <w:t>3.  Incentives for Advanced Daylighting Controls may not be combined with other lighting control incentives.</w:t>
      </w:r>
    </w:p>
    <w:p w:rsidR="00CE6CE4" w:rsidRPr="00CE6CE4" w:rsidRDefault="00CE6CE4" w:rsidP="00CE6CE4">
      <w:pPr>
        <w:rPr>
          <w:rFonts w:ascii="Times New Roman" w:hAnsi="Times New Roman"/>
          <w:sz w:val="20"/>
          <w:szCs w:val="20"/>
        </w:rPr>
      </w:pPr>
    </w:p>
    <w:p w:rsidR="00CF5862" w:rsidRPr="00CE6CE4" w:rsidRDefault="007633A9" w:rsidP="00CE6CE4">
      <w:pPr>
        <w:rPr>
          <w:rFonts w:ascii="Times New Roman" w:hAnsi="Times New Roman"/>
          <w:sz w:val="20"/>
          <w:szCs w:val="20"/>
        </w:rPr>
      </w:pPr>
      <w:r w:rsidRPr="00CE6CE4">
        <w:rPr>
          <w:rFonts w:ascii="Times New Roman" w:hAnsi="Times New Roman"/>
          <w:sz w:val="20"/>
          <w:szCs w:val="20"/>
        </w:rPr>
        <w:t>PIR = Passive Infrared</w:t>
      </w:r>
    </w:p>
    <w:p w:rsidR="00CF5862" w:rsidRPr="00CE6CE4" w:rsidRDefault="007633A9" w:rsidP="00CE6CE4">
      <w:pPr>
        <w:rPr>
          <w:rFonts w:ascii="Times New Roman" w:hAnsi="Times New Roman"/>
          <w:sz w:val="20"/>
          <w:szCs w:val="20"/>
        </w:rPr>
      </w:pPr>
      <w:r w:rsidRPr="00CE6CE4">
        <w:rPr>
          <w:rFonts w:ascii="Times New Roman" w:hAnsi="Times New Roman"/>
          <w:sz w:val="20"/>
          <w:szCs w:val="20"/>
        </w:rPr>
        <w:t>Dual Tech = Sensors combining ultrasonic and passive infrared</w:t>
      </w:r>
    </w:p>
    <w:p w:rsidR="00CF5862" w:rsidRPr="00CE6CE4" w:rsidRDefault="007633A9" w:rsidP="00CE6CE4">
      <w:pPr>
        <w:rPr>
          <w:rFonts w:ascii="Times New Roman" w:hAnsi="Times New Roman"/>
          <w:sz w:val="20"/>
          <w:szCs w:val="20"/>
        </w:rPr>
      </w:pPr>
      <w:r w:rsidRPr="00CE6CE4">
        <w:rPr>
          <w:rFonts w:ascii="Times New Roman" w:hAnsi="Times New Roman"/>
          <w:sz w:val="20"/>
          <w:szCs w:val="20"/>
        </w:rPr>
        <w:t>LED - Light-emitting Diode</w:t>
      </w:r>
    </w:p>
    <w:p w:rsidR="007633A9" w:rsidRPr="000C7C45" w:rsidRDefault="007633A9" w:rsidP="007633A9">
      <w:pPr>
        <w:rPr>
          <w:rFonts w:ascii="Times New Roman" w:hAnsi="Times New Roman"/>
          <w:b/>
          <w:sz w:val="24"/>
          <w:szCs w:val="24"/>
        </w:rPr>
      </w:pPr>
      <w:r w:rsidRPr="000C7C45">
        <w:rPr>
          <w:rFonts w:ascii="Times New Roman" w:hAnsi="Times New Roman"/>
        </w:rPr>
        <w:br w:type="page"/>
      </w:r>
    </w:p>
    <w:p w:rsidR="007633A9" w:rsidRPr="000C7C45" w:rsidRDefault="007633A9" w:rsidP="00CE6CE4">
      <w:pPr>
        <w:pStyle w:val="Table"/>
        <w:spacing w:after="0"/>
        <w:rPr>
          <w:rFonts w:ascii="Times New Roman" w:hAnsi="Times New Roman"/>
        </w:rPr>
      </w:pPr>
      <w:r w:rsidRPr="000C7C45">
        <w:rPr>
          <w:rFonts w:ascii="Times New Roman" w:hAnsi="Times New Roman"/>
        </w:rPr>
        <w:t>New Construction/Major Renovation Lighting Incentive Table</w:t>
      </w:r>
    </w:p>
    <w:tbl>
      <w:tblPr>
        <w:tblW w:w="9360" w:type="dxa"/>
        <w:tblInd w:w="98" w:type="dxa"/>
        <w:tblLook w:val="04A0"/>
      </w:tblPr>
      <w:tblGrid>
        <w:gridCol w:w="1780"/>
        <w:gridCol w:w="2010"/>
        <w:gridCol w:w="3870"/>
        <w:gridCol w:w="1700"/>
      </w:tblGrid>
      <w:tr w:rsidR="007633A9" w:rsidRPr="000C7C45" w:rsidTr="00692D4F">
        <w:trPr>
          <w:trHeight w:val="270"/>
        </w:trPr>
        <w:tc>
          <w:tcPr>
            <w:tcW w:w="1780" w:type="dxa"/>
            <w:tcBorders>
              <w:top w:val="single" w:sz="8" w:space="0" w:color="auto"/>
              <w:left w:val="single" w:sz="8" w:space="0" w:color="auto"/>
              <w:bottom w:val="single" w:sz="8" w:space="0" w:color="auto"/>
              <w:right w:val="nil"/>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Measure</w:t>
            </w:r>
          </w:p>
        </w:tc>
        <w:tc>
          <w:tcPr>
            <w:tcW w:w="2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633A9" w:rsidRPr="000C7C45" w:rsidRDefault="007633A9" w:rsidP="00692D4F">
            <w:pPr>
              <w:rPr>
                <w:rFonts w:ascii="Times New Roman" w:hAnsi="Times New Roman"/>
              </w:rPr>
            </w:pPr>
            <w:r w:rsidRPr="000C7C45">
              <w:rPr>
                <w:rFonts w:ascii="Times New Roman" w:hAnsi="Times New Roman"/>
              </w:rPr>
              <w:t>Category</w:t>
            </w:r>
          </w:p>
        </w:tc>
        <w:tc>
          <w:tcPr>
            <w:tcW w:w="3870" w:type="dxa"/>
            <w:tcBorders>
              <w:top w:val="single" w:sz="8" w:space="0" w:color="auto"/>
              <w:left w:val="nil"/>
              <w:bottom w:val="single" w:sz="8"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Eligibility Requirements</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Incentive</w:t>
            </w:r>
          </w:p>
        </w:tc>
      </w:tr>
      <w:tr w:rsidR="007633A9" w:rsidRPr="000C7C45" w:rsidTr="00692D4F">
        <w:trPr>
          <w:trHeight w:val="3435"/>
        </w:trPr>
        <w:tc>
          <w:tcPr>
            <w:tcW w:w="1780" w:type="dxa"/>
            <w:tcBorders>
              <w:top w:val="nil"/>
              <w:left w:val="single" w:sz="8" w:space="0" w:color="auto"/>
              <w:bottom w:val="single" w:sz="8" w:space="0" w:color="auto"/>
              <w:right w:val="single" w:sz="8" w:space="0" w:color="auto"/>
            </w:tcBorders>
            <w:shd w:val="clear" w:color="auto" w:fill="auto"/>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Interior Lighting</w:t>
            </w:r>
          </w:p>
        </w:tc>
        <w:tc>
          <w:tcPr>
            <w:tcW w:w="2010" w:type="dxa"/>
            <w:tcBorders>
              <w:top w:val="nil"/>
              <w:left w:val="nil"/>
              <w:bottom w:val="single" w:sz="8" w:space="0" w:color="auto"/>
              <w:right w:val="single" w:sz="8" w:space="0" w:color="auto"/>
            </w:tcBorders>
            <w:shd w:val="clear" w:color="auto" w:fill="auto"/>
            <w:noWrap/>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Lighting and Lighting Control</w:t>
            </w:r>
          </w:p>
        </w:tc>
        <w:tc>
          <w:tcPr>
            <w:tcW w:w="3870" w:type="dxa"/>
            <w:tcBorders>
              <w:top w:val="nil"/>
              <w:left w:val="nil"/>
              <w:bottom w:val="single" w:sz="8" w:space="0" w:color="auto"/>
              <w:right w:val="single" w:sz="8" w:space="0" w:color="auto"/>
            </w:tcBorders>
            <w:shd w:val="clear" w:color="auto" w:fill="auto"/>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1.  The total connected interior lighting power for New Construction/Major Renovation projects must be 10% lower than the interior lighting power allowance calculated under the applicable version of the State energy code. For New Construction/Major Renovation projects not included in the state energy code, the total connected lighting power must be 10% lower than common practice as determined by Pacific Power.</w:t>
            </w:r>
          </w:p>
          <w:p w:rsidR="007633A9" w:rsidRPr="000C7C45" w:rsidRDefault="007633A9" w:rsidP="00692D4F">
            <w:pPr>
              <w:rPr>
                <w:rFonts w:ascii="Times New Roman" w:hAnsi="Times New Roman"/>
                <w:sz w:val="18"/>
                <w:szCs w:val="18"/>
              </w:rPr>
            </w:pPr>
            <w:r w:rsidRPr="000C7C45">
              <w:rPr>
                <w:rFonts w:ascii="Times New Roman" w:hAnsi="Times New Roman"/>
                <w:sz w:val="18"/>
                <w:szCs w:val="18"/>
              </w:rPr>
              <w:t>2.  Energy savings is subject to approval by Pacific Power</w:t>
            </w:r>
          </w:p>
        </w:tc>
        <w:tc>
          <w:tcPr>
            <w:tcW w:w="1700" w:type="dxa"/>
            <w:tcBorders>
              <w:top w:val="nil"/>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$0.08/kWh annual energy savings</w:t>
            </w:r>
          </w:p>
        </w:tc>
      </w:tr>
      <w:tr w:rsidR="007633A9" w:rsidRPr="000C7C45" w:rsidTr="00692D4F">
        <w:trPr>
          <w:trHeight w:val="525"/>
        </w:trPr>
        <w:tc>
          <w:tcPr>
            <w:tcW w:w="1780" w:type="dxa"/>
            <w:vMerge w:val="restart"/>
            <w:tcBorders>
              <w:top w:val="nil"/>
              <w:left w:val="single" w:sz="8" w:space="0" w:color="auto"/>
              <w:bottom w:val="single" w:sz="8" w:space="0" w:color="000000"/>
              <w:right w:val="nil"/>
            </w:tcBorders>
            <w:shd w:val="clear" w:color="auto" w:fill="auto"/>
            <w:noWrap/>
            <w:hideMark/>
          </w:tcPr>
          <w:p w:rsidR="007633A9" w:rsidRPr="000C7C45" w:rsidRDefault="007633A9" w:rsidP="00692D4F">
            <w:pPr>
              <w:rPr>
                <w:rFonts w:ascii="Times New Roman" w:hAnsi="Times New Roman"/>
              </w:rPr>
            </w:pPr>
            <w:r w:rsidRPr="000C7C45">
              <w:rPr>
                <w:rFonts w:ascii="Times New Roman" w:hAnsi="Times New Roman"/>
              </w:rPr>
              <w:t>Exterior Lighting</w:t>
            </w: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Induction Fixture</w:t>
            </w:r>
          </w:p>
        </w:tc>
        <w:tc>
          <w:tcPr>
            <w:tcW w:w="3870" w:type="dxa"/>
            <w:tcBorders>
              <w:top w:val="nil"/>
              <w:left w:val="nil"/>
              <w:bottom w:val="single" w:sz="4" w:space="0" w:color="auto"/>
              <w:right w:val="single" w:sz="8" w:space="0" w:color="auto"/>
            </w:tcBorders>
            <w:shd w:val="clear" w:color="auto" w:fill="auto"/>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Wattages, New Fixtures Only</w:t>
            </w:r>
          </w:p>
        </w:tc>
        <w:tc>
          <w:tcPr>
            <w:tcW w:w="1700" w:type="dxa"/>
            <w:tcBorders>
              <w:top w:val="nil"/>
              <w:left w:val="nil"/>
              <w:bottom w:val="single" w:sz="4" w:space="0" w:color="auto"/>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rPr>
            </w:pPr>
            <w:r w:rsidRPr="000C7C45">
              <w:rPr>
                <w:rFonts w:ascii="Times New Roman" w:hAnsi="Times New Roman"/>
              </w:rPr>
              <w:t>$125/Fixture</w:t>
            </w:r>
          </w:p>
        </w:tc>
      </w:tr>
      <w:tr w:rsidR="007633A9" w:rsidRPr="000C7C45" w:rsidTr="00692D4F">
        <w:trPr>
          <w:trHeight w:val="525"/>
        </w:trPr>
        <w:tc>
          <w:tcPr>
            <w:tcW w:w="1780" w:type="dxa"/>
            <w:vMerge/>
            <w:tcBorders>
              <w:top w:val="nil"/>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rPr>
            </w:pP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LED Outdoor Area and Roadway</w:t>
            </w:r>
          </w:p>
        </w:tc>
        <w:tc>
          <w:tcPr>
            <w:tcW w:w="3870" w:type="dxa"/>
            <w:tcBorders>
              <w:top w:val="nil"/>
              <w:left w:val="nil"/>
              <w:bottom w:val="single" w:sz="4" w:space="0" w:color="auto"/>
              <w:right w:val="single" w:sz="8" w:space="0" w:color="auto"/>
            </w:tcBorders>
            <w:shd w:val="clear" w:color="auto" w:fill="auto"/>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LED must be listed on qualified fixture list</w:t>
            </w:r>
          </w:p>
        </w:tc>
        <w:tc>
          <w:tcPr>
            <w:tcW w:w="1700" w:type="dxa"/>
            <w:tcBorders>
              <w:top w:val="nil"/>
              <w:left w:val="nil"/>
              <w:bottom w:val="single" w:sz="4" w:space="0" w:color="auto"/>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rPr>
            </w:pPr>
            <w:r w:rsidRPr="000C7C45">
              <w:rPr>
                <w:rFonts w:ascii="Times New Roman" w:hAnsi="Times New Roman"/>
              </w:rPr>
              <w:t>$100/Fixture</w:t>
            </w:r>
          </w:p>
        </w:tc>
      </w:tr>
      <w:tr w:rsidR="007633A9" w:rsidRPr="000C7C45" w:rsidTr="00692D4F">
        <w:trPr>
          <w:trHeight w:val="525"/>
        </w:trPr>
        <w:tc>
          <w:tcPr>
            <w:tcW w:w="1780" w:type="dxa"/>
            <w:vMerge/>
            <w:tcBorders>
              <w:top w:val="nil"/>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rPr>
            </w:pPr>
          </w:p>
        </w:tc>
        <w:tc>
          <w:tcPr>
            <w:tcW w:w="2010" w:type="dxa"/>
            <w:tcBorders>
              <w:top w:val="nil"/>
              <w:left w:val="single" w:sz="8" w:space="0" w:color="auto"/>
              <w:bottom w:val="single" w:sz="4" w:space="0" w:color="auto"/>
              <w:right w:val="single" w:sz="8" w:space="0" w:color="auto"/>
            </w:tcBorders>
            <w:shd w:val="clear" w:color="auto" w:fill="auto"/>
            <w:noWrap/>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LED Parking Garage</w:t>
            </w:r>
          </w:p>
        </w:tc>
        <w:tc>
          <w:tcPr>
            <w:tcW w:w="3870" w:type="dxa"/>
            <w:tcBorders>
              <w:top w:val="nil"/>
              <w:left w:val="nil"/>
              <w:bottom w:val="single" w:sz="4" w:space="0" w:color="auto"/>
              <w:right w:val="single" w:sz="8" w:space="0" w:color="auto"/>
            </w:tcBorders>
            <w:shd w:val="clear" w:color="auto" w:fill="auto"/>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LED must be listed on qualified fixture list</w:t>
            </w:r>
          </w:p>
        </w:tc>
        <w:tc>
          <w:tcPr>
            <w:tcW w:w="1700" w:type="dxa"/>
            <w:tcBorders>
              <w:top w:val="nil"/>
              <w:left w:val="nil"/>
              <w:bottom w:val="single" w:sz="4" w:space="0" w:color="auto"/>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rPr>
            </w:pPr>
            <w:r w:rsidRPr="000C7C45">
              <w:rPr>
                <w:rFonts w:ascii="Times New Roman" w:hAnsi="Times New Roman"/>
              </w:rPr>
              <w:t>$100/Fixture</w:t>
            </w:r>
          </w:p>
        </w:tc>
      </w:tr>
      <w:tr w:rsidR="007633A9" w:rsidRPr="000C7C45" w:rsidTr="00692D4F">
        <w:trPr>
          <w:trHeight w:val="1260"/>
        </w:trPr>
        <w:tc>
          <w:tcPr>
            <w:tcW w:w="1780" w:type="dxa"/>
            <w:vMerge/>
            <w:tcBorders>
              <w:top w:val="nil"/>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rPr>
            </w:pPr>
          </w:p>
        </w:tc>
        <w:tc>
          <w:tcPr>
            <w:tcW w:w="2010" w:type="dxa"/>
            <w:tcBorders>
              <w:top w:val="nil"/>
              <w:left w:val="single" w:sz="8" w:space="0" w:color="auto"/>
              <w:bottom w:val="single" w:sz="8" w:space="0" w:color="auto"/>
              <w:right w:val="single" w:sz="8" w:space="0" w:color="auto"/>
            </w:tcBorders>
            <w:shd w:val="clear" w:color="auto" w:fill="auto"/>
            <w:noWrap/>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Lighting Control</w:t>
            </w:r>
          </w:p>
        </w:tc>
        <w:tc>
          <w:tcPr>
            <w:tcW w:w="3870" w:type="dxa"/>
            <w:tcBorders>
              <w:top w:val="nil"/>
              <w:left w:val="nil"/>
              <w:bottom w:val="single" w:sz="8" w:space="0" w:color="auto"/>
              <w:right w:val="single" w:sz="8" w:space="0" w:color="auto"/>
            </w:tcBorders>
            <w:shd w:val="clear" w:color="auto" w:fill="auto"/>
            <w:vAlign w:val="bottom"/>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Integral occupancy sensor which must control a linear fluorescent, induction, or LED fixture.  Sensor must be installed on a continuous duty light</w:t>
            </w:r>
          </w:p>
        </w:tc>
        <w:tc>
          <w:tcPr>
            <w:tcW w:w="1700" w:type="dxa"/>
            <w:tcBorders>
              <w:top w:val="nil"/>
              <w:left w:val="nil"/>
              <w:bottom w:val="single" w:sz="8" w:space="0" w:color="auto"/>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rPr>
            </w:pPr>
            <w:r w:rsidRPr="000C7C45">
              <w:rPr>
                <w:rFonts w:ascii="Times New Roman" w:hAnsi="Times New Roman"/>
              </w:rPr>
              <w:t>$75/sensor</w:t>
            </w:r>
          </w:p>
        </w:tc>
      </w:tr>
    </w:tbl>
    <w:p w:rsidR="007633A9" w:rsidRPr="000C7C45" w:rsidRDefault="007633A9" w:rsidP="007633A9">
      <w:pPr>
        <w:jc w:val="center"/>
        <w:rPr>
          <w:rFonts w:ascii="Times New Roman" w:hAnsi="Times New Roman"/>
          <w:b/>
        </w:rPr>
      </w:pPr>
      <w:r w:rsidRPr="000C7C45">
        <w:rPr>
          <w:rFonts w:ascii="Times New Roman" w:hAnsi="Times New Roman"/>
          <w:b/>
        </w:rPr>
        <w:br w:type="page"/>
        <w:t>Motor Incentives Table</w:t>
      </w:r>
    </w:p>
    <w:tbl>
      <w:tblPr>
        <w:tblW w:w="9370" w:type="dxa"/>
        <w:tblInd w:w="98" w:type="dxa"/>
        <w:tblLook w:val="0000"/>
      </w:tblPr>
      <w:tblGrid>
        <w:gridCol w:w="2170"/>
        <w:gridCol w:w="1620"/>
        <w:gridCol w:w="2160"/>
        <w:gridCol w:w="1980"/>
        <w:gridCol w:w="1440"/>
      </w:tblGrid>
      <w:tr w:rsidR="007633A9" w:rsidRPr="000C7C45" w:rsidTr="00692D4F">
        <w:trPr>
          <w:trHeight w:val="495"/>
        </w:trPr>
        <w:tc>
          <w:tcPr>
            <w:tcW w:w="2170" w:type="dxa"/>
            <w:tcBorders>
              <w:top w:val="single" w:sz="8" w:space="0" w:color="auto"/>
              <w:left w:val="single" w:sz="8"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1620" w:type="dxa"/>
            <w:tcBorders>
              <w:top w:val="single" w:sz="8"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Size Category</w:t>
            </w:r>
          </w:p>
        </w:tc>
        <w:tc>
          <w:tcPr>
            <w:tcW w:w="2160"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Sub-Category</w:t>
            </w:r>
          </w:p>
        </w:tc>
        <w:tc>
          <w:tcPr>
            <w:tcW w:w="1980"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Requirement</w:t>
            </w:r>
          </w:p>
        </w:tc>
        <w:tc>
          <w:tcPr>
            <w:tcW w:w="1440"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692D4F">
        <w:trPr>
          <w:trHeight w:val="255"/>
        </w:trPr>
        <w:tc>
          <w:tcPr>
            <w:tcW w:w="2170" w:type="dxa"/>
            <w:vMerge w:val="restart"/>
            <w:tcBorders>
              <w:top w:val="single" w:sz="8" w:space="0" w:color="auto"/>
              <w:left w:val="single" w:sz="8" w:space="0" w:color="auto"/>
              <w:bottom w:val="single" w:sz="8" w:space="0" w:color="000000"/>
              <w:right w:val="nil"/>
            </w:tcBorders>
            <w:shd w:val="clear" w:color="auto" w:fill="auto"/>
            <w:noWrap/>
            <w:vAlign w:val="center"/>
          </w:tcPr>
          <w:p w:rsidR="007633A9" w:rsidRPr="000C7C45" w:rsidRDefault="007633A9" w:rsidP="00692D4F">
            <w:pPr>
              <w:rPr>
                <w:rFonts w:ascii="Times New Roman" w:hAnsi="Times New Roman"/>
                <w:sz w:val="18"/>
                <w:szCs w:val="18"/>
              </w:rPr>
            </w:pP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noWrap/>
            <w:vAlign w:val="bottom"/>
          </w:tcPr>
          <w:p w:rsidR="007633A9" w:rsidRPr="000C7C45" w:rsidRDefault="007633A9" w:rsidP="00692D4F">
            <w:pPr>
              <w:rPr>
                <w:rFonts w:ascii="Times New Roman" w:hAnsi="Times New Roman"/>
                <w:sz w:val="18"/>
                <w:szCs w:val="18"/>
              </w:rPr>
            </w:pPr>
          </w:p>
        </w:tc>
        <w:tc>
          <w:tcPr>
            <w:tcW w:w="19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p>
        </w:tc>
        <w:tc>
          <w:tcPr>
            <w:tcW w:w="1440" w:type="dxa"/>
            <w:tcBorders>
              <w:top w:val="single" w:sz="8" w:space="0" w:color="auto"/>
              <w:left w:val="nil"/>
              <w:bottom w:val="single" w:sz="4"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p>
        </w:tc>
      </w:tr>
      <w:tr w:rsidR="007633A9" w:rsidRPr="000C7C45" w:rsidTr="00692D4F">
        <w:trPr>
          <w:trHeight w:val="270"/>
        </w:trPr>
        <w:tc>
          <w:tcPr>
            <w:tcW w:w="2170" w:type="dxa"/>
            <w:vMerge/>
            <w:tcBorders>
              <w:top w:val="single" w:sz="8" w:space="0" w:color="auto"/>
              <w:left w:val="single" w:sz="8" w:space="0" w:color="auto"/>
              <w:bottom w:val="single" w:sz="8" w:space="0" w:color="000000"/>
              <w:right w:val="nil"/>
            </w:tcBorders>
            <w:shd w:val="clear" w:color="auto" w:fill="auto"/>
            <w:vAlign w:val="center"/>
          </w:tcPr>
          <w:p w:rsidR="007633A9" w:rsidRPr="000C7C45" w:rsidRDefault="007633A9" w:rsidP="00692D4F">
            <w:pPr>
              <w:rPr>
                <w:rFonts w:ascii="Times New Roman" w:hAnsi="Times New Roman"/>
                <w:sz w:val="18"/>
                <w:szCs w:val="18"/>
              </w:rPr>
            </w:pPr>
          </w:p>
        </w:tc>
        <w:tc>
          <w:tcPr>
            <w:tcW w:w="16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nil"/>
            </w:tcBorders>
            <w:shd w:val="clear" w:color="auto" w:fill="auto"/>
            <w:noWrap/>
            <w:vAlign w:val="bottom"/>
          </w:tcPr>
          <w:p w:rsidR="007633A9" w:rsidRPr="000C7C45" w:rsidRDefault="007633A9" w:rsidP="00692D4F">
            <w:pPr>
              <w:rPr>
                <w:rFonts w:ascii="Times New Roman" w:hAnsi="Times New Roman"/>
                <w:sz w:val="18"/>
                <w:szCs w:val="18"/>
              </w:rPr>
            </w:pPr>
          </w:p>
        </w:tc>
        <w:tc>
          <w:tcPr>
            <w:tcW w:w="1980" w:type="dxa"/>
            <w:tcBorders>
              <w:top w:val="nil"/>
              <w:left w:val="single" w:sz="8" w:space="0" w:color="auto"/>
              <w:bottom w:val="single" w:sz="8"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p>
        </w:tc>
        <w:tc>
          <w:tcPr>
            <w:tcW w:w="1440"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p>
        </w:tc>
      </w:tr>
      <w:tr w:rsidR="007633A9" w:rsidRPr="000C7C45" w:rsidTr="00692D4F">
        <w:trPr>
          <w:trHeight w:val="495"/>
        </w:trPr>
        <w:tc>
          <w:tcPr>
            <w:tcW w:w="2170" w:type="dxa"/>
            <w:tcBorders>
              <w:top w:val="nil"/>
              <w:left w:val="single" w:sz="8" w:space="0" w:color="auto"/>
              <w:bottom w:val="single" w:sz="8" w:space="0" w:color="auto"/>
              <w:right w:val="nil"/>
            </w:tcBorders>
            <w:shd w:val="clear" w:color="auto" w:fill="auto"/>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Variable-Frequency Drives</w:t>
            </w:r>
            <w:r w:rsidRPr="000C7C45">
              <w:rPr>
                <w:rFonts w:ascii="Times New Roman" w:hAnsi="Times New Roman"/>
                <w:sz w:val="18"/>
                <w:szCs w:val="18"/>
              </w:rPr>
              <w:br/>
              <w:t>(HVAC fans and pumps)</w:t>
            </w:r>
          </w:p>
        </w:tc>
        <w:tc>
          <w:tcPr>
            <w:tcW w:w="1620" w:type="dxa"/>
            <w:tcBorders>
              <w:top w:val="nil"/>
              <w:left w:val="single" w:sz="8" w:space="0" w:color="auto"/>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100 horsepower</w:t>
            </w:r>
          </w:p>
        </w:tc>
        <w:tc>
          <w:tcPr>
            <w:tcW w:w="2160" w:type="dxa"/>
            <w:tcBorders>
              <w:top w:val="nil"/>
              <w:left w:val="nil"/>
              <w:bottom w:val="single" w:sz="8" w:space="0" w:color="auto"/>
              <w:right w:val="nil"/>
            </w:tcBorders>
            <w:shd w:val="clear" w:color="auto" w:fill="auto"/>
            <w:noWrap/>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HVAC fans and pumps</w:t>
            </w:r>
          </w:p>
        </w:tc>
        <w:tc>
          <w:tcPr>
            <w:tcW w:w="1980" w:type="dxa"/>
            <w:tcBorders>
              <w:top w:val="nil"/>
              <w:left w:val="single" w:sz="8" w:space="0" w:color="auto"/>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2</w:t>
            </w:r>
          </w:p>
        </w:tc>
        <w:tc>
          <w:tcPr>
            <w:tcW w:w="1440"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$65/horsepower</w:t>
            </w:r>
          </w:p>
        </w:tc>
      </w:tr>
      <w:tr w:rsidR="007633A9" w:rsidRPr="000C7C45" w:rsidTr="00692D4F">
        <w:trPr>
          <w:trHeight w:val="270"/>
        </w:trPr>
        <w:tc>
          <w:tcPr>
            <w:tcW w:w="2170" w:type="dxa"/>
            <w:tcBorders>
              <w:top w:val="nil"/>
              <w:left w:val="single" w:sz="8" w:space="0" w:color="auto"/>
              <w:bottom w:val="single" w:sz="8" w:space="0" w:color="auto"/>
              <w:right w:val="single" w:sz="8" w:space="0" w:color="auto"/>
            </w:tcBorders>
            <w:shd w:val="clear" w:color="auto" w:fill="auto"/>
            <w:noWrap/>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Green Motor Rewinds</w:t>
            </w:r>
          </w:p>
        </w:tc>
        <w:tc>
          <w:tcPr>
            <w:tcW w:w="1620"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15 and ≤ 5,000 hp</w:t>
            </w:r>
          </w:p>
        </w:tc>
        <w:tc>
          <w:tcPr>
            <w:tcW w:w="2160"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980" w:type="dxa"/>
            <w:tcBorders>
              <w:top w:val="nil"/>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meet GMPG Standards</w:t>
            </w:r>
          </w:p>
        </w:tc>
        <w:tc>
          <w:tcPr>
            <w:tcW w:w="1440"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$1/horsepower (See Note 3)</w:t>
            </w:r>
          </w:p>
          <w:p w:rsidR="007633A9" w:rsidRPr="000C7C45" w:rsidRDefault="007633A9" w:rsidP="00692D4F">
            <w:pPr>
              <w:rPr>
                <w:rFonts w:ascii="Times New Roman" w:hAnsi="Times New Roman"/>
                <w:sz w:val="18"/>
                <w:szCs w:val="18"/>
              </w:rPr>
            </w:pPr>
          </w:p>
        </w:tc>
      </w:tr>
      <w:tr w:rsidR="007633A9" w:rsidRPr="000C7C45" w:rsidTr="00692D4F">
        <w:trPr>
          <w:trHeight w:val="3630"/>
        </w:trPr>
        <w:tc>
          <w:tcPr>
            <w:tcW w:w="9370" w:type="dxa"/>
            <w:gridSpan w:val="5"/>
            <w:tcBorders>
              <w:top w:val="nil"/>
              <w:left w:val="nil"/>
              <w:bottom w:val="nil"/>
              <w:right w:val="nil"/>
            </w:tcBorders>
            <w:shd w:val="clear" w:color="auto" w:fill="auto"/>
          </w:tcPr>
          <w:p w:rsidR="007633A9" w:rsidRPr="00CE6CE4" w:rsidRDefault="007633A9" w:rsidP="00692D4F">
            <w:pPr>
              <w:ind w:left="-8"/>
              <w:rPr>
                <w:rFonts w:ascii="Times New Roman" w:hAnsi="Times New Roman"/>
                <w:sz w:val="20"/>
                <w:szCs w:val="20"/>
              </w:rPr>
            </w:pPr>
            <w:r w:rsidRPr="00CE6CE4">
              <w:rPr>
                <w:rFonts w:ascii="Times New Roman" w:hAnsi="Times New Roman"/>
                <w:b/>
                <w:bCs/>
                <w:sz w:val="20"/>
                <w:szCs w:val="20"/>
              </w:rPr>
              <w:t xml:space="preserve">Notes for </w:t>
            </w:r>
            <w:r w:rsidR="00CE6CE4" w:rsidRPr="00CE6CE4">
              <w:rPr>
                <w:rFonts w:ascii="Times New Roman" w:hAnsi="Times New Roman"/>
                <w:b/>
                <w:bCs/>
                <w:sz w:val="20"/>
                <w:szCs w:val="20"/>
              </w:rPr>
              <w:t>M</w:t>
            </w:r>
            <w:r w:rsidRPr="00CE6CE4">
              <w:rPr>
                <w:rFonts w:ascii="Times New Roman" w:hAnsi="Times New Roman"/>
                <w:b/>
                <w:bCs/>
                <w:sz w:val="20"/>
                <w:szCs w:val="20"/>
              </w:rPr>
              <w:t xml:space="preserve">otor </w:t>
            </w:r>
            <w:r w:rsidR="00CE6CE4" w:rsidRPr="00CE6CE4">
              <w:rPr>
                <w:rFonts w:ascii="Times New Roman" w:hAnsi="Times New Roman"/>
                <w:b/>
                <w:bCs/>
                <w:sz w:val="20"/>
                <w:szCs w:val="20"/>
              </w:rPr>
              <w:t>Incentives T</w:t>
            </w:r>
            <w:r w:rsidRPr="00CE6CE4">
              <w:rPr>
                <w:rFonts w:ascii="Times New Roman" w:hAnsi="Times New Roman"/>
                <w:b/>
                <w:bCs/>
                <w:sz w:val="20"/>
                <w:szCs w:val="20"/>
              </w:rPr>
              <w:t>able:</w:t>
            </w:r>
            <w:r w:rsidRPr="00CE6CE4">
              <w:rPr>
                <w:rFonts w:ascii="Times New Roman" w:hAnsi="Times New Roman"/>
                <w:sz w:val="20"/>
                <w:szCs w:val="20"/>
              </w:rPr>
              <w:br/>
              <w:t>1.  Equipment that meets or exceeds the efficiency requirements listed for the equipment category in the above table may qualify for the listed incentive.</w:t>
            </w:r>
            <w:r w:rsidRPr="00CE6CE4">
              <w:rPr>
                <w:rFonts w:ascii="Times New Roman" w:hAnsi="Times New Roman"/>
                <w:sz w:val="20"/>
                <w:szCs w:val="20"/>
              </w:rPr>
              <w:br/>
              <w:t xml:space="preserve">2.  </w:t>
            </w:r>
            <w:r w:rsidRPr="00CE6CE4">
              <w:rPr>
                <w:rFonts w:ascii="Times New Roman" w:hAnsi="Times New Roman"/>
                <w:sz w:val="20"/>
                <w:szCs w:val="20"/>
              </w:rPr>
              <w:br/>
              <w:t>42. Throttling or bypass devices, such as inlet vanes, bypass dampers, three-way valves, or throttling valves must be removed or permanently disabled to qualify for HVAC fan or pump VFD incentives.  VFDs required by or used to comply with the applicable version of the energy code are not eligible for incentives.  Savings will only be realized for installations where a variable load is present.</w:t>
            </w:r>
            <w:r w:rsidRPr="00CE6CE4">
              <w:rPr>
                <w:rFonts w:ascii="Times New Roman" w:hAnsi="Times New Roman"/>
                <w:sz w:val="20"/>
                <w:szCs w:val="20"/>
              </w:rPr>
              <w:br/>
              <w:t xml:space="preserve">3.  </w:t>
            </w:r>
            <w:r w:rsidRPr="00CE6CE4" w:rsidDel="00D728CD">
              <w:rPr>
                <w:rFonts w:ascii="Times New Roman" w:hAnsi="Times New Roman"/>
                <w:sz w:val="20"/>
                <w:szCs w:val="20"/>
              </w:rPr>
              <w:t xml:space="preserve">Green Motor Rewind motors that are installed or placed in inventory may qualify for an incentive.  </w:t>
            </w:r>
            <w:r w:rsidRPr="00CE6CE4">
              <w:rPr>
                <w:rFonts w:ascii="Times New Roman" w:hAnsi="Times New Roman"/>
                <w:sz w:val="20"/>
                <w:szCs w:val="20"/>
              </w:rPr>
              <w:t xml:space="preserve">For Green Motor Rewinds, the participating electric motor service center is paid $2/horsepower for eligible Green Motor Rewinds.  A minithe service center to the customer as a credit on the motor rewind invoice.  The balance is retained by the service center.  </w:t>
            </w:r>
          </w:p>
          <w:p w:rsidR="007633A9" w:rsidRPr="00CE6CE4" w:rsidRDefault="007633A9" w:rsidP="00692D4F">
            <w:pPr>
              <w:ind w:left="-8"/>
              <w:rPr>
                <w:rFonts w:ascii="Times New Roman" w:hAnsi="Times New Roman"/>
                <w:sz w:val="20"/>
                <w:szCs w:val="20"/>
              </w:rPr>
            </w:pPr>
            <w:r w:rsidRPr="00CE6CE4">
              <w:rPr>
                <w:rFonts w:ascii="Times New Roman" w:hAnsi="Times New Roman"/>
                <w:sz w:val="20"/>
                <w:szCs w:val="20"/>
              </w:rPr>
              <w:t>4.  Incentives are not available for National Electrical Manufacturers Association (NEMA) Premium Efficiency Motors purchased on or after December 19, 2010.</w:t>
            </w:r>
          </w:p>
          <w:p w:rsidR="007633A9" w:rsidRPr="00CE6CE4" w:rsidRDefault="007633A9" w:rsidP="00692D4F">
            <w:pPr>
              <w:ind w:left="-8"/>
              <w:rPr>
                <w:rFonts w:ascii="Times New Roman" w:hAnsi="Times New Roman"/>
                <w:sz w:val="20"/>
                <w:szCs w:val="20"/>
              </w:rPr>
            </w:pPr>
            <w:r w:rsidRPr="00CE6CE4">
              <w:rPr>
                <w:rFonts w:ascii="Times New Roman" w:hAnsi="Times New Roman"/>
                <w:sz w:val="20"/>
                <w:szCs w:val="20"/>
              </w:rPr>
              <w:t>5.  The following applies to Electronically Commutated Motors (ECMs) less than or equal to 1 horsepower installed in HVAC or refrigeration applications:</w:t>
            </w:r>
          </w:p>
          <w:p w:rsidR="007633A9" w:rsidRPr="00CE6CE4" w:rsidRDefault="007633A9" w:rsidP="00692D4F">
            <w:pPr>
              <w:ind w:left="-8"/>
              <w:rPr>
                <w:rFonts w:ascii="Times New Roman" w:hAnsi="Times New Roman"/>
                <w:sz w:val="20"/>
                <w:szCs w:val="20"/>
              </w:rPr>
            </w:pPr>
            <w:r w:rsidRPr="00CE6CE4">
              <w:rPr>
                <w:rFonts w:ascii="Times New Roman" w:hAnsi="Times New Roman"/>
                <w:sz w:val="20"/>
                <w:szCs w:val="20"/>
              </w:rPr>
              <w:t xml:space="preserve">     a. For New Construction/Major Renovations - ECMs purchased on or after the effective date of the 2009 Washington State Energy Code will not be eligible for an incentive.  </w:t>
            </w:r>
          </w:p>
          <w:p w:rsidR="007633A9" w:rsidRPr="00CE6CE4" w:rsidRDefault="007633A9" w:rsidP="00692D4F">
            <w:pPr>
              <w:ind w:left="-8"/>
              <w:rPr>
                <w:rFonts w:ascii="Times New Roman" w:hAnsi="Times New Roman"/>
                <w:sz w:val="20"/>
                <w:szCs w:val="20"/>
              </w:rPr>
            </w:pPr>
            <w:r w:rsidRPr="00CE6CE4">
              <w:rPr>
                <w:rFonts w:ascii="Times New Roman" w:hAnsi="Times New Roman"/>
                <w:sz w:val="20"/>
                <w:szCs w:val="20"/>
              </w:rPr>
              <w:t xml:space="preserve">     b. For Retrofits, ECMs purchased on or after the effective date of these program changes will not be eligible for incentives.</w:t>
            </w:r>
          </w:p>
          <w:p w:rsidR="007633A9" w:rsidRPr="00CE6CE4" w:rsidRDefault="007633A9" w:rsidP="00692D4F">
            <w:pPr>
              <w:rPr>
                <w:rFonts w:ascii="Times New Roman" w:hAnsi="Times New Roman"/>
                <w:sz w:val="20"/>
                <w:szCs w:val="20"/>
              </w:rPr>
            </w:pPr>
          </w:p>
          <w:p w:rsidR="007633A9" w:rsidRPr="00CE6CE4" w:rsidRDefault="007633A9" w:rsidP="00692D4F">
            <w:pPr>
              <w:rPr>
                <w:rFonts w:ascii="Times New Roman" w:hAnsi="Times New Roman"/>
                <w:bCs/>
                <w:sz w:val="20"/>
                <w:szCs w:val="20"/>
              </w:rPr>
            </w:pPr>
            <w:r w:rsidRPr="00CE6CE4">
              <w:rPr>
                <w:rFonts w:ascii="Times New Roman" w:hAnsi="Times New Roman"/>
                <w:sz w:val="20"/>
                <w:szCs w:val="20"/>
              </w:rPr>
              <w:t>ECM = Electronically Commutated Motor</w:t>
            </w:r>
            <w:r w:rsidRPr="00CE6CE4">
              <w:rPr>
                <w:rFonts w:ascii="Times New Roman" w:hAnsi="Times New Roman"/>
                <w:bCs/>
                <w:sz w:val="20"/>
                <w:szCs w:val="20"/>
              </w:rPr>
              <w:t xml:space="preserve"> </w:t>
            </w:r>
          </w:p>
          <w:p w:rsidR="007633A9" w:rsidRPr="00CE6CE4" w:rsidRDefault="007633A9" w:rsidP="00692D4F">
            <w:pPr>
              <w:rPr>
                <w:rFonts w:ascii="Times New Roman" w:hAnsi="Times New Roman"/>
                <w:sz w:val="20"/>
                <w:szCs w:val="20"/>
              </w:rPr>
            </w:pPr>
            <w:r w:rsidRPr="00CE6CE4">
              <w:rPr>
                <w:rFonts w:ascii="Times New Roman" w:hAnsi="Times New Roman"/>
                <w:bCs/>
                <w:sz w:val="20"/>
                <w:szCs w:val="20"/>
              </w:rPr>
              <w:t>GMPG</w:t>
            </w:r>
            <w:r w:rsidRPr="00CE6CE4">
              <w:rPr>
                <w:rFonts w:ascii="Times New Roman" w:hAnsi="Times New Roman"/>
                <w:sz w:val="20"/>
                <w:szCs w:val="20"/>
              </w:rPr>
              <w:t xml:space="preserve"> = Green Motors Practices Group</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HVAC = Heating, Ventilating and Air Conditioning</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NEMA = National Electrical Manufacturer’s Association</w:t>
            </w:r>
          </w:p>
          <w:p w:rsidR="007633A9" w:rsidRPr="00CE6CE4" w:rsidRDefault="007633A9" w:rsidP="0061470A">
            <w:pPr>
              <w:rPr>
                <w:rFonts w:ascii="Times New Roman" w:hAnsi="Times New Roman"/>
                <w:bCs/>
                <w:sz w:val="20"/>
                <w:szCs w:val="20"/>
              </w:rPr>
            </w:pPr>
            <w:r w:rsidRPr="00CE6CE4">
              <w:rPr>
                <w:rFonts w:ascii="Times New Roman" w:hAnsi="Times New Roman"/>
                <w:bCs/>
                <w:sz w:val="20"/>
                <w:szCs w:val="20"/>
              </w:rPr>
              <w:t>VFD</w:t>
            </w:r>
            <w:r w:rsidRPr="00CE6CE4">
              <w:rPr>
                <w:rFonts w:ascii="Times New Roman" w:hAnsi="Times New Roman"/>
                <w:sz w:val="20"/>
                <w:szCs w:val="20"/>
              </w:rPr>
              <w:t xml:space="preserve"> = Variable Frequency Drive</w:t>
            </w:r>
          </w:p>
        </w:tc>
      </w:tr>
    </w:tbl>
    <w:p w:rsidR="0061470A" w:rsidRDefault="0061470A">
      <w:pPr>
        <w:rPr>
          <w:rFonts w:ascii="Times New Roman" w:hAnsi="Times New Roman"/>
          <w:sz w:val="18"/>
        </w:rPr>
      </w:pPr>
      <w:r>
        <w:rPr>
          <w:rFonts w:ascii="Times New Roman" w:hAnsi="Times New Roman"/>
          <w:sz w:val="18"/>
        </w:rPr>
        <w:br w:type="page"/>
      </w:r>
    </w:p>
    <w:p w:rsidR="007633A9" w:rsidRPr="0061470A" w:rsidRDefault="007633A9" w:rsidP="0061470A">
      <w:pPr>
        <w:jc w:val="center"/>
        <w:rPr>
          <w:rFonts w:ascii="Times New Roman" w:hAnsi="Times New Roman"/>
          <w:b/>
          <w:sz w:val="24"/>
          <w:szCs w:val="24"/>
        </w:rPr>
      </w:pPr>
      <w:r w:rsidRPr="0061470A">
        <w:rPr>
          <w:rFonts w:ascii="Times New Roman" w:hAnsi="Times New Roman"/>
          <w:b/>
          <w:sz w:val="24"/>
          <w:szCs w:val="24"/>
        </w:rPr>
        <w:t>HVAC Equipment Incentive Table</w:t>
      </w:r>
    </w:p>
    <w:tbl>
      <w:tblPr>
        <w:tblW w:w="10080" w:type="dxa"/>
        <w:tblInd w:w="108" w:type="dxa"/>
        <w:tblLook w:val="04A0"/>
      </w:tblPr>
      <w:tblGrid>
        <w:gridCol w:w="1710"/>
        <w:gridCol w:w="2095"/>
        <w:gridCol w:w="1837"/>
        <w:gridCol w:w="1468"/>
        <w:gridCol w:w="1530"/>
        <w:gridCol w:w="1440"/>
      </w:tblGrid>
      <w:tr w:rsidR="007633A9" w:rsidRPr="000C7C45" w:rsidTr="00692D4F">
        <w:trPr>
          <w:trHeight w:val="270"/>
        </w:trPr>
        <w:tc>
          <w:tcPr>
            <w:tcW w:w="5642" w:type="dxa"/>
            <w:gridSpan w:val="3"/>
            <w:tcBorders>
              <w:top w:val="nil"/>
              <w:left w:val="nil"/>
              <w:bottom w:val="single" w:sz="8" w:space="0" w:color="auto"/>
              <w:right w:val="single" w:sz="8" w:space="0" w:color="000000"/>
            </w:tcBorders>
            <w:shd w:val="clear" w:color="auto" w:fill="auto"/>
            <w:noWrap/>
            <w:vAlign w:val="bottom"/>
            <w:hideMark/>
          </w:tcPr>
          <w:p w:rsidR="007633A9" w:rsidRPr="000C7C45" w:rsidRDefault="007633A9" w:rsidP="00692D4F">
            <w:pPr>
              <w:jc w:val="center"/>
              <w:rPr>
                <w:rFonts w:ascii="Times New Roman" w:hAnsi="Times New Roman"/>
                <w:sz w:val="18"/>
                <w:szCs w:val="18"/>
              </w:rPr>
            </w:pPr>
          </w:p>
        </w:tc>
        <w:tc>
          <w:tcPr>
            <w:tcW w:w="4438" w:type="dxa"/>
            <w:gridSpan w:val="3"/>
            <w:tcBorders>
              <w:top w:val="single" w:sz="8" w:space="0" w:color="auto"/>
              <w:left w:val="nil"/>
              <w:bottom w:val="single" w:sz="8" w:space="0" w:color="auto"/>
              <w:right w:val="single" w:sz="8" w:space="0" w:color="000000"/>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Requirement &amp; Customer Incentive</w:t>
            </w:r>
          </w:p>
        </w:tc>
      </w:tr>
      <w:tr w:rsidR="007633A9" w:rsidRPr="000C7C45" w:rsidTr="00692D4F">
        <w:trPr>
          <w:trHeight w:val="255"/>
        </w:trPr>
        <w:tc>
          <w:tcPr>
            <w:tcW w:w="1710" w:type="dxa"/>
            <w:tcBorders>
              <w:top w:val="nil"/>
              <w:left w:val="single" w:sz="8" w:space="0" w:color="auto"/>
              <w:bottom w:val="nil"/>
              <w:right w:val="nil"/>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2095" w:type="dxa"/>
            <w:tcBorders>
              <w:top w:val="nil"/>
              <w:left w:val="single" w:sz="8" w:space="0" w:color="auto"/>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Size Category</w:t>
            </w:r>
          </w:p>
        </w:tc>
        <w:tc>
          <w:tcPr>
            <w:tcW w:w="1837" w:type="dxa"/>
            <w:tcBorders>
              <w:top w:val="nil"/>
              <w:left w:val="nil"/>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Sub-Category</w:t>
            </w:r>
          </w:p>
        </w:tc>
        <w:tc>
          <w:tcPr>
            <w:tcW w:w="1468" w:type="dxa"/>
            <w:tcBorders>
              <w:top w:val="nil"/>
              <w:left w:val="nil"/>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$25/ton</w:t>
            </w:r>
          </w:p>
        </w:tc>
        <w:tc>
          <w:tcPr>
            <w:tcW w:w="1530" w:type="dxa"/>
            <w:tcBorders>
              <w:top w:val="nil"/>
              <w:left w:val="nil"/>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$50/ton</w:t>
            </w:r>
          </w:p>
        </w:tc>
        <w:tc>
          <w:tcPr>
            <w:tcW w:w="1440" w:type="dxa"/>
            <w:tcBorders>
              <w:top w:val="nil"/>
              <w:left w:val="nil"/>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$75/ton</w:t>
            </w:r>
          </w:p>
        </w:tc>
      </w:tr>
      <w:tr w:rsidR="007633A9" w:rsidRPr="000C7C45" w:rsidTr="00692D4F">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Unitary Commercial Air Conditioners, Air-Cooled (Cooling Mode)</w:t>
            </w:r>
          </w:p>
        </w:tc>
        <w:tc>
          <w:tcPr>
            <w:tcW w:w="2095" w:type="dxa"/>
            <w:tcBorders>
              <w:top w:val="single" w:sz="8" w:space="0" w:color="auto"/>
              <w:left w:val="single" w:sz="8" w:space="0" w:color="auto"/>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65, 000 Btu/hr (single phase)</w:t>
            </w:r>
          </w:p>
        </w:tc>
        <w:tc>
          <w:tcPr>
            <w:tcW w:w="1837" w:type="dxa"/>
            <w:tcBorders>
              <w:top w:val="single" w:sz="8" w:space="0" w:color="auto"/>
              <w:left w:val="single" w:sz="8" w:space="0" w:color="auto"/>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1</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2</w:t>
            </w:r>
          </w:p>
        </w:tc>
      </w:tr>
      <w:tr w:rsidR="007633A9" w:rsidRPr="000C7C45" w:rsidTr="00692D4F">
        <w:trPr>
          <w:trHeight w:val="495"/>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65, 000 Btu/hr (three phase)</w:t>
            </w:r>
          </w:p>
        </w:tc>
        <w:tc>
          <w:tcPr>
            <w:tcW w:w="1837"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r>
      <w:tr w:rsidR="007633A9" w:rsidRPr="000C7C45" w:rsidTr="00692D4F">
        <w:trPr>
          <w:trHeight w:val="495"/>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65,000 Btu/hr (three phase)</w:t>
            </w:r>
          </w:p>
        </w:tc>
        <w:tc>
          <w:tcPr>
            <w:tcW w:w="1837"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r>
      <w:tr w:rsidR="007633A9" w:rsidRPr="000C7C45" w:rsidTr="00692D4F">
        <w:trPr>
          <w:trHeight w:val="540"/>
        </w:trPr>
        <w:tc>
          <w:tcPr>
            <w:tcW w:w="1710" w:type="dxa"/>
            <w:tcBorders>
              <w:top w:val="nil"/>
              <w:left w:val="single" w:sz="8" w:space="0" w:color="auto"/>
              <w:bottom w:val="nil"/>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Unitary Commercial Air Conditioners, Water and Evaporatively Cooled</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equipment sizes</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Package Terminal Air Conditioners (PTAC)</w:t>
            </w:r>
            <w:r w:rsidRPr="000C7C45">
              <w:rPr>
                <w:rFonts w:ascii="Times New Roman" w:hAnsi="Times New Roman"/>
                <w:sz w:val="18"/>
                <w:szCs w:val="18"/>
              </w:rPr>
              <w:br/>
              <w:t>(Heating &amp; Cooling Mode)</w:t>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8,000 Btu/hr</w:t>
            </w:r>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12.2 EER</w:t>
            </w:r>
          </w:p>
        </w:tc>
        <w:tc>
          <w:tcPr>
            <w:tcW w:w="1530" w:type="dxa"/>
            <w:tcBorders>
              <w:top w:val="single" w:sz="8" w:space="0" w:color="auto"/>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495"/>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&gt; 8,000 Btu/hr and &lt; 10,500 Btu/hr</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11.9 EER</w:t>
            </w:r>
          </w:p>
        </w:tc>
        <w:tc>
          <w:tcPr>
            <w:tcW w:w="1530"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10,500 Btu/hr and ≤ 13,500 Btu/hr</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10.7 EER</w:t>
            </w:r>
          </w:p>
        </w:tc>
        <w:tc>
          <w:tcPr>
            <w:tcW w:w="1530"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&gt; 13,500 Btu/hr</w:t>
            </w:r>
          </w:p>
        </w:tc>
        <w:tc>
          <w:tcPr>
            <w:tcW w:w="1837" w:type="dxa"/>
            <w:tcBorders>
              <w:top w:val="nil"/>
              <w:left w:val="nil"/>
              <w:bottom w:val="single" w:sz="8"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9.9 EER</w:t>
            </w:r>
          </w:p>
        </w:tc>
        <w:tc>
          <w:tcPr>
            <w:tcW w:w="1530" w:type="dxa"/>
            <w:tcBorders>
              <w:top w:val="nil"/>
              <w:left w:val="nil"/>
              <w:bottom w:val="single" w:sz="8"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495"/>
        </w:trPr>
        <w:tc>
          <w:tcPr>
            <w:tcW w:w="1710" w:type="dxa"/>
            <w:vMerge w:val="restart"/>
            <w:tcBorders>
              <w:top w:val="nil"/>
              <w:left w:val="single" w:sz="8" w:space="0" w:color="auto"/>
              <w:bottom w:val="nil"/>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Package Terminal  Heat Pumps</w:t>
            </w:r>
            <w:r w:rsidRPr="000C7C45">
              <w:rPr>
                <w:rFonts w:ascii="Times New Roman" w:hAnsi="Times New Roman"/>
                <w:sz w:val="18"/>
                <w:szCs w:val="18"/>
              </w:rPr>
              <w:br/>
              <w:t>(PTHP)</w:t>
            </w:r>
            <w:r w:rsidRPr="000C7C45">
              <w:rPr>
                <w:rFonts w:ascii="Times New Roman" w:hAnsi="Times New Roman"/>
                <w:sz w:val="18"/>
                <w:szCs w:val="18"/>
              </w:rPr>
              <w:br/>
              <w:t>(Heating &amp; Cooling Mode)</w:t>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8,000 Btu/hr</w:t>
            </w:r>
          </w:p>
        </w:tc>
        <w:tc>
          <w:tcPr>
            <w:tcW w:w="1837" w:type="dxa"/>
            <w:tcBorders>
              <w:top w:val="nil"/>
              <w:left w:val="nil"/>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12.2 EER and </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3.4 COP</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495"/>
        </w:trPr>
        <w:tc>
          <w:tcPr>
            <w:tcW w:w="1710" w:type="dxa"/>
            <w:vMerge/>
            <w:tcBorders>
              <w:top w:val="nil"/>
              <w:left w:val="single" w:sz="8" w:space="0" w:color="auto"/>
              <w:bottom w:val="nil"/>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&gt; 8,000 Btu/hr and &lt; 10,500 Btu/hr</w:t>
            </w:r>
          </w:p>
        </w:tc>
        <w:tc>
          <w:tcPr>
            <w:tcW w:w="1837" w:type="dxa"/>
            <w:tcBorders>
              <w:top w:val="nil"/>
              <w:left w:val="nil"/>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11.5 EER and </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3.3 COP</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495"/>
        </w:trPr>
        <w:tc>
          <w:tcPr>
            <w:tcW w:w="1710" w:type="dxa"/>
            <w:vMerge/>
            <w:tcBorders>
              <w:top w:val="nil"/>
              <w:left w:val="single" w:sz="8" w:space="0" w:color="auto"/>
              <w:bottom w:val="nil"/>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10,500 Btu/hr and ≤ 13,500 Btu/hr</w:t>
            </w:r>
          </w:p>
        </w:tc>
        <w:tc>
          <w:tcPr>
            <w:tcW w:w="1837" w:type="dxa"/>
            <w:tcBorders>
              <w:top w:val="nil"/>
              <w:left w:val="nil"/>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10.7 EER and </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3.1 COP</w:t>
            </w:r>
          </w:p>
        </w:tc>
        <w:tc>
          <w:tcPr>
            <w:tcW w:w="144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tcBorders>
              <w:top w:val="nil"/>
              <w:left w:val="single" w:sz="8" w:space="0" w:color="auto"/>
              <w:bottom w:val="nil"/>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nil"/>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&gt; 13,500 Btu/hr</w:t>
            </w:r>
          </w:p>
        </w:tc>
        <w:tc>
          <w:tcPr>
            <w:tcW w:w="1837" w:type="dxa"/>
            <w:tcBorders>
              <w:top w:val="nil"/>
              <w:left w:val="nil"/>
              <w:bottom w:val="nil"/>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nil"/>
              <w:left w:val="nil"/>
              <w:bottom w:val="nil"/>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9.8 EER and </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 COP</w:t>
            </w:r>
          </w:p>
        </w:tc>
        <w:tc>
          <w:tcPr>
            <w:tcW w:w="1440" w:type="dxa"/>
            <w:tcBorders>
              <w:top w:val="nil"/>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495"/>
        </w:trPr>
        <w:tc>
          <w:tcPr>
            <w:tcW w:w="1710" w:type="dxa"/>
            <w:vMerge w:val="restart"/>
            <w:tcBorders>
              <w:top w:val="single" w:sz="8" w:space="0" w:color="auto"/>
              <w:left w:val="single" w:sz="8" w:space="0" w:color="auto"/>
              <w:bottom w:val="single" w:sz="8" w:space="0" w:color="000000"/>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Heat Pumps, Air-Cooled</w:t>
            </w:r>
            <w:r w:rsidRPr="000C7C45">
              <w:rPr>
                <w:rFonts w:ascii="Times New Roman" w:hAnsi="Times New Roman"/>
                <w:sz w:val="18"/>
                <w:szCs w:val="18"/>
              </w:rPr>
              <w:br/>
              <w:t>(Cooling Mode)</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65, 000 Btu/hr (single phase)</w:t>
            </w:r>
          </w:p>
        </w:tc>
        <w:tc>
          <w:tcPr>
            <w:tcW w:w="1837" w:type="dxa"/>
            <w:tcBorders>
              <w:top w:val="single" w:sz="8" w:space="0" w:color="auto"/>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1</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2</w:t>
            </w:r>
          </w:p>
        </w:tc>
      </w:tr>
      <w:tr w:rsidR="007633A9" w:rsidRPr="000C7C45" w:rsidTr="00692D4F">
        <w:trPr>
          <w:trHeight w:val="495"/>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65, 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2</w:t>
            </w:r>
          </w:p>
        </w:tc>
      </w:tr>
      <w:tr w:rsidR="007633A9" w:rsidRPr="000C7C45" w:rsidTr="00692D4F">
        <w:trPr>
          <w:trHeight w:val="495"/>
        </w:trPr>
        <w:tc>
          <w:tcPr>
            <w:tcW w:w="1710" w:type="dxa"/>
            <w:vMerge/>
            <w:tcBorders>
              <w:top w:val="single" w:sz="8" w:space="0" w:color="auto"/>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nil"/>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65,000 Btu/hr (three phase)</w:t>
            </w:r>
          </w:p>
        </w:tc>
        <w:tc>
          <w:tcPr>
            <w:tcW w:w="1837" w:type="dxa"/>
            <w:tcBorders>
              <w:top w:val="nil"/>
              <w:left w:val="nil"/>
              <w:bottom w:val="single" w:sz="8"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tcBorders>
              <w:top w:val="nil"/>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val="restart"/>
            <w:tcBorders>
              <w:top w:val="nil"/>
              <w:left w:val="single" w:sz="8" w:space="0" w:color="auto"/>
              <w:bottom w:val="nil"/>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Heat Pumps, Air-Cooled</w:t>
            </w:r>
            <w:r w:rsidRPr="000C7C45">
              <w:rPr>
                <w:rFonts w:ascii="Times New Roman" w:hAnsi="Times New Roman"/>
                <w:sz w:val="18"/>
                <w:szCs w:val="18"/>
              </w:rPr>
              <w:br/>
              <w:t>(Heating Mode) - See Note 2</w:t>
            </w:r>
          </w:p>
        </w:tc>
        <w:tc>
          <w:tcPr>
            <w:tcW w:w="20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65, 000 Btu/hr (single phase)</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single" w:sz="4" w:space="0" w:color="auto"/>
              <w:left w:val="single" w:sz="8" w:space="0" w:color="auto"/>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1</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2</w:t>
            </w:r>
          </w:p>
        </w:tc>
      </w:tr>
      <w:tr w:rsidR="007633A9" w:rsidRPr="000C7C45" w:rsidTr="00692D4F">
        <w:trPr>
          <w:trHeight w:val="270"/>
        </w:trPr>
        <w:tc>
          <w:tcPr>
            <w:tcW w:w="1710" w:type="dxa"/>
            <w:vMerge/>
            <w:tcBorders>
              <w:top w:val="nil"/>
              <w:left w:val="single" w:sz="8" w:space="0" w:color="auto"/>
              <w:bottom w:val="nil"/>
              <w:right w:val="nil"/>
            </w:tcBorders>
            <w:vAlign w:val="center"/>
            <w:hideMark/>
          </w:tcPr>
          <w:p w:rsidR="007633A9" w:rsidRPr="000C7C45" w:rsidRDefault="007633A9" w:rsidP="00692D4F">
            <w:pPr>
              <w:rPr>
                <w:rFonts w:ascii="Times New Roman" w:hAnsi="Times New Roman"/>
                <w:sz w:val="18"/>
                <w:szCs w:val="18"/>
              </w:rPr>
            </w:pP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65, 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Split system and single package</w:t>
            </w:r>
          </w:p>
        </w:tc>
        <w:tc>
          <w:tcPr>
            <w:tcW w:w="1468"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2</w:t>
            </w:r>
          </w:p>
        </w:tc>
      </w:tr>
      <w:tr w:rsidR="007633A9" w:rsidRPr="000C7C45" w:rsidTr="00692D4F">
        <w:trPr>
          <w:trHeight w:val="480"/>
        </w:trPr>
        <w:tc>
          <w:tcPr>
            <w:tcW w:w="1710" w:type="dxa"/>
            <w:vMerge/>
            <w:tcBorders>
              <w:top w:val="nil"/>
              <w:left w:val="single" w:sz="8" w:space="0" w:color="auto"/>
              <w:bottom w:val="nil"/>
              <w:right w:val="nil"/>
            </w:tcBorders>
            <w:vAlign w:val="center"/>
            <w:hideMark/>
          </w:tcPr>
          <w:p w:rsidR="007633A9" w:rsidRPr="000C7C45" w:rsidRDefault="007633A9" w:rsidP="00692D4F">
            <w:pPr>
              <w:rPr>
                <w:rFonts w:ascii="Times New Roman" w:hAnsi="Times New Roman"/>
                <w:sz w:val="18"/>
                <w:szCs w:val="18"/>
              </w:rPr>
            </w:pP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65,000 Btu/hr (three phase)</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47°F db/43°F wb outdoor air</w:t>
            </w:r>
          </w:p>
        </w:tc>
        <w:tc>
          <w:tcPr>
            <w:tcW w:w="1468"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495"/>
        </w:trPr>
        <w:tc>
          <w:tcPr>
            <w:tcW w:w="1710" w:type="dxa"/>
            <w:vMerge/>
            <w:tcBorders>
              <w:top w:val="nil"/>
              <w:left w:val="single" w:sz="8" w:space="0" w:color="auto"/>
              <w:bottom w:val="nil"/>
              <w:right w:val="nil"/>
            </w:tcBorders>
            <w:vAlign w:val="center"/>
            <w:hideMark/>
          </w:tcPr>
          <w:p w:rsidR="007633A9" w:rsidRPr="000C7C45" w:rsidRDefault="007633A9" w:rsidP="00692D4F">
            <w:pPr>
              <w:rPr>
                <w:rFonts w:ascii="Times New Roman" w:hAnsi="Times New Roman"/>
                <w:sz w:val="18"/>
                <w:szCs w:val="18"/>
              </w:rPr>
            </w:pPr>
          </w:p>
        </w:tc>
        <w:tc>
          <w:tcPr>
            <w:tcW w:w="2095"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17°F db/15°F wb outdoor air</w:t>
            </w:r>
          </w:p>
        </w:tc>
        <w:tc>
          <w:tcPr>
            <w:tcW w:w="1468"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44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tcBorders>
              <w:top w:val="single" w:sz="8" w:space="0" w:color="auto"/>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Heat Pumps, Water-Source</w:t>
            </w:r>
            <w:r w:rsidRPr="000C7C45">
              <w:rPr>
                <w:rFonts w:ascii="Times New Roman" w:hAnsi="Times New Roman"/>
                <w:sz w:val="18"/>
                <w:szCs w:val="18"/>
              </w:rPr>
              <w:br/>
              <w:t>(Cooling Mode)</w:t>
            </w:r>
          </w:p>
        </w:tc>
        <w:tc>
          <w:tcPr>
            <w:tcW w:w="2095" w:type="dxa"/>
            <w:tcBorders>
              <w:top w:val="nil"/>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135,000 Btu/hr</w:t>
            </w:r>
          </w:p>
        </w:tc>
        <w:tc>
          <w:tcPr>
            <w:tcW w:w="1837" w:type="dxa"/>
            <w:tcBorders>
              <w:top w:val="single" w:sz="8" w:space="0" w:color="auto"/>
              <w:left w:val="nil"/>
              <w:bottom w:val="single" w:sz="8"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86°F Entering Water</w:t>
            </w:r>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1</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975"/>
        </w:trPr>
        <w:tc>
          <w:tcPr>
            <w:tcW w:w="1710"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Heat Pumps, Water-Source</w:t>
            </w:r>
            <w:r w:rsidRPr="000C7C45">
              <w:rPr>
                <w:rFonts w:ascii="Times New Roman" w:hAnsi="Times New Roman"/>
                <w:sz w:val="18"/>
                <w:szCs w:val="18"/>
              </w:rPr>
              <w:br/>
              <w:t>(Heating Mode) - See Note 2</w:t>
            </w:r>
          </w:p>
        </w:tc>
        <w:tc>
          <w:tcPr>
            <w:tcW w:w="2095" w:type="dxa"/>
            <w:tcBorders>
              <w:top w:val="nil"/>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&lt; 135,000 Btu/hr</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68°F Entering Water</w:t>
            </w:r>
          </w:p>
        </w:tc>
        <w:tc>
          <w:tcPr>
            <w:tcW w:w="1468"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1</w:t>
            </w:r>
          </w:p>
        </w:tc>
        <w:tc>
          <w:tcPr>
            <w:tcW w:w="1440" w:type="dxa"/>
            <w:tcBorders>
              <w:top w:val="nil"/>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1215"/>
        </w:trPr>
        <w:tc>
          <w:tcPr>
            <w:tcW w:w="1710" w:type="dxa"/>
            <w:tcBorders>
              <w:top w:val="single" w:sz="4" w:space="0" w:color="auto"/>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Heat Pumps, Ground-Source or Groundwater-Source</w:t>
            </w:r>
            <w:r w:rsidRPr="000C7C45">
              <w:rPr>
                <w:rFonts w:ascii="Times New Roman" w:hAnsi="Times New Roman"/>
                <w:sz w:val="18"/>
                <w:szCs w:val="18"/>
              </w:rPr>
              <w:br/>
              <w:t>(Heating &amp; Cooling Mode) - See Note 2</w:t>
            </w:r>
          </w:p>
        </w:tc>
        <w:tc>
          <w:tcPr>
            <w:tcW w:w="209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sizes</w:t>
            </w:r>
          </w:p>
        </w:tc>
        <w:tc>
          <w:tcPr>
            <w:tcW w:w="1837" w:type="dxa"/>
            <w:tcBorders>
              <w:top w:val="single" w:sz="4" w:space="0" w:color="auto"/>
              <w:left w:val="nil"/>
              <w:bottom w:val="single" w:sz="8"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77°F Entering Water</w:t>
            </w:r>
          </w:p>
        </w:tc>
        <w:tc>
          <w:tcPr>
            <w:tcW w:w="14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val="restart"/>
            <w:tcBorders>
              <w:top w:val="nil"/>
              <w:left w:val="single" w:sz="8" w:space="0" w:color="auto"/>
              <w:bottom w:val="single" w:sz="8" w:space="0" w:color="000000"/>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Ground Source or Groundwater-Source Heat Pump Loop</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sizes</w:t>
            </w:r>
          </w:p>
        </w:tc>
        <w:tc>
          <w:tcPr>
            <w:tcW w:w="1837" w:type="dxa"/>
            <w:tcBorders>
              <w:top w:val="nil"/>
              <w:left w:val="nil"/>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Open Loop</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$25/ton</w:t>
            </w:r>
          </w:p>
        </w:tc>
        <w:tc>
          <w:tcPr>
            <w:tcW w:w="1530" w:type="dxa"/>
            <w:vMerge w:val="restart"/>
            <w:tcBorders>
              <w:top w:val="nil"/>
              <w:left w:val="nil"/>
              <w:bottom w:val="single" w:sz="8" w:space="0" w:color="000000"/>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r>
      <w:tr w:rsidR="007633A9" w:rsidRPr="000C7C45" w:rsidTr="00692D4F">
        <w:trPr>
          <w:trHeight w:val="270"/>
        </w:trPr>
        <w:tc>
          <w:tcPr>
            <w:tcW w:w="1710" w:type="dxa"/>
            <w:vMerge/>
            <w:tcBorders>
              <w:top w:val="nil"/>
              <w:left w:val="single" w:sz="8" w:space="0" w:color="auto"/>
              <w:bottom w:val="single" w:sz="8" w:space="0" w:color="000000"/>
              <w:right w:val="nil"/>
            </w:tcBorders>
            <w:vAlign w:val="center"/>
            <w:hideMark/>
          </w:tcPr>
          <w:p w:rsidR="007633A9" w:rsidRPr="000C7C45" w:rsidRDefault="007633A9" w:rsidP="00692D4F">
            <w:pPr>
              <w:rPr>
                <w:rFonts w:ascii="Times New Roman" w:hAnsi="Times New Roman"/>
                <w:sz w:val="18"/>
                <w:szCs w:val="18"/>
              </w:rPr>
            </w:pPr>
          </w:p>
        </w:tc>
        <w:tc>
          <w:tcPr>
            <w:tcW w:w="2095"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c>
          <w:tcPr>
            <w:tcW w:w="1837" w:type="dxa"/>
            <w:tcBorders>
              <w:top w:val="nil"/>
              <w:left w:val="nil"/>
              <w:bottom w:val="single" w:sz="8"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Closed Loop</w:t>
            </w:r>
          </w:p>
        </w:tc>
        <w:tc>
          <w:tcPr>
            <w:tcW w:w="1468"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b/>
                <w:bCs/>
                <w:sz w:val="18"/>
                <w:szCs w:val="18"/>
              </w:rPr>
            </w:pPr>
          </w:p>
        </w:tc>
        <w:tc>
          <w:tcPr>
            <w:tcW w:w="1530" w:type="dxa"/>
            <w:vMerge/>
            <w:tcBorders>
              <w:top w:val="nil"/>
              <w:left w:val="nil"/>
              <w:bottom w:val="single" w:sz="8" w:space="0" w:color="000000"/>
              <w:right w:val="single" w:sz="4" w:space="0" w:color="auto"/>
            </w:tcBorders>
            <w:vAlign w:val="center"/>
            <w:hideMark/>
          </w:tcPr>
          <w:p w:rsidR="007633A9" w:rsidRPr="000C7C45" w:rsidRDefault="007633A9" w:rsidP="00692D4F">
            <w:pPr>
              <w:rPr>
                <w:rFonts w:ascii="Times New Roman" w:hAnsi="Times New Roman"/>
                <w:sz w:val="18"/>
                <w:szCs w:val="18"/>
              </w:rPr>
            </w:pPr>
          </w:p>
        </w:tc>
        <w:tc>
          <w:tcPr>
            <w:tcW w:w="1440" w:type="dxa"/>
            <w:vMerge/>
            <w:tcBorders>
              <w:top w:val="nil"/>
              <w:left w:val="single" w:sz="8" w:space="0" w:color="auto"/>
              <w:bottom w:val="single" w:sz="8" w:space="0" w:color="000000"/>
              <w:right w:val="single" w:sz="8" w:space="0" w:color="auto"/>
            </w:tcBorders>
            <w:vAlign w:val="center"/>
            <w:hideMark/>
          </w:tcPr>
          <w:p w:rsidR="007633A9" w:rsidRPr="000C7C45" w:rsidRDefault="007633A9" w:rsidP="00692D4F">
            <w:pPr>
              <w:rPr>
                <w:rFonts w:ascii="Times New Roman" w:hAnsi="Times New Roman"/>
                <w:sz w:val="18"/>
                <w:szCs w:val="18"/>
              </w:rPr>
            </w:pPr>
          </w:p>
        </w:tc>
      </w:tr>
      <w:tr w:rsidR="007633A9" w:rsidRPr="000C7C45" w:rsidTr="00692D4F">
        <w:trPr>
          <w:trHeight w:val="6840"/>
        </w:trPr>
        <w:tc>
          <w:tcPr>
            <w:tcW w:w="10080" w:type="dxa"/>
            <w:gridSpan w:val="6"/>
            <w:tcBorders>
              <w:top w:val="single" w:sz="8" w:space="0" w:color="auto"/>
              <w:left w:val="nil"/>
              <w:bottom w:val="nil"/>
              <w:right w:val="nil"/>
            </w:tcBorders>
            <w:shd w:val="clear" w:color="auto" w:fill="auto"/>
            <w:hideMark/>
          </w:tcPr>
          <w:p w:rsidR="007633A9" w:rsidRPr="00CE6CE4" w:rsidRDefault="007633A9" w:rsidP="0061470A">
            <w:pPr>
              <w:rPr>
                <w:rFonts w:ascii="Times New Roman" w:hAnsi="Times New Roman"/>
                <w:bCs/>
                <w:sz w:val="20"/>
                <w:szCs w:val="20"/>
              </w:rPr>
            </w:pPr>
            <w:r w:rsidRPr="00CE6CE4">
              <w:rPr>
                <w:rFonts w:ascii="Times New Roman" w:hAnsi="Times New Roman"/>
                <w:b/>
                <w:bCs/>
                <w:sz w:val="20"/>
                <w:szCs w:val="20"/>
              </w:rPr>
              <w:t xml:space="preserve">Notes for HVAC Equipment </w:t>
            </w:r>
            <w:r w:rsidR="0061470A" w:rsidRPr="00CE6CE4">
              <w:rPr>
                <w:rFonts w:ascii="Times New Roman" w:hAnsi="Times New Roman"/>
                <w:b/>
                <w:bCs/>
                <w:sz w:val="20"/>
                <w:szCs w:val="20"/>
              </w:rPr>
              <w:t>I</w:t>
            </w:r>
            <w:r w:rsidRPr="00CE6CE4">
              <w:rPr>
                <w:rFonts w:ascii="Times New Roman" w:hAnsi="Times New Roman"/>
                <w:b/>
                <w:bCs/>
                <w:sz w:val="20"/>
                <w:szCs w:val="20"/>
              </w:rPr>
              <w:t xml:space="preserve">ncentive </w:t>
            </w:r>
            <w:r w:rsidR="0061470A" w:rsidRPr="00CE6CE4">
              <w:rPr>
                <w:rFonts w:ascii="Times New Roman" w:hAnsi="Times New Roman"/>
                <w:b/>
                <w:bCs/>
                <w:sz w:val="20"/>
                <w:szCs w:val="20"/>
              </w:rPr>
              <w:t>T</w:t>
            </w:r>
            <w:r w:rsidRPr="00CE6CE4">
              <w:rPr>
                <w:rFonts w:ascii="Times New Roman" w:hAnsi="Times New Roman"/>
                <w:b/>
                <w:bCs/>
                <w:sz w:val="20"/>
                <w:szCs w:val="20"/>
              </w:rPr>
              <w:t>able</w:t>
            </w:r>
            <w:r w:rsidR="0061470A" w:rsidRPr="00CE6CE4">
              <w:rPr>
                <w:rFonts w:ascii="Times New Roman" w:hAnsi="Times New Roman"/>
                <w:b/>
                <w:bCs/>
                <w:sz w:val="20"/>
                <w:szCs w:val="20"/>
              </w:rPr>
              <w:t>:</w:t>
            </w:r>
            <w:r w:rsidRPr="00CE6CE4">
              <w:rPr>
                <w:rFonts w:ascii="Times New Roman" w:hAnsi="Times New Roman"/>
                <w:sz w:val="20"/>
                <w:szCs w:val="20"/>
              </w:rPr>
              <w:br/>
              <w:t>1.  Equipment that meets or exceeds the efficiency requirements listed for the size category in the above table may qualify for the listed incentive.  Equipment must meet all listed efficiency requirements to qualify for the listed incentives.</w:t>
            </w:r>
            <w:r w:rsidRPr="00CE6CE4">
              <w:rPr>
                <w:rFonts w:ascii="Times New Roman" w:hAnsi="Times New Roman"/>
                <w:sz w:val="20"/>
                <w:szCs w:val="20"/>
              </w:rPr>
              <w:br/>
              <w:t>2.  Incentives for heat pumps are available per ton of cooling capacity ONLY.  No incentives are paid per ton of heating capacity.  Heat Pumps must meet both the cooling mode and heating mode efficiency requirements to qualify for per ton cooling efficiency incentives.</w:t>
            </w:r>
            <w:r w:rsidRPr="00CE6CE4">
              <w:rPr>
                <w:rFonts w:ascii="Times New Roman" w:hAnsi="Times New Roman"/>
                <w:sz w:val="20"/>
                <w:szCs w:val="20"/>
              </w:rPr>
              <w:br/>
              <w:t>3.  Equipment size categories are specified in terms of net cooling capacity at AHRI standard conditions as determined by AHRI Standard 210/240 for units &lt;65,000 Btu/hr, AHRI Standard 340/360 for units ≥65,000 Btu/hr, and AHRI Standard 310/380 for PTAC and PTHP units.</w:t>
            </w:r>
            <w:r w:rsidRPr="00CE6CE4">
              <w:rPr>
                <w:rFonts w:ascii="Times New Roman" w:hAnsi="Times New Roman"/>
                <w:sz w:val="20"/>
                <w:szCs w:val="20"/>
              </w:rPr>
              <w:br/>
              <w:t>4.  Ground and Water Source Heat Pumps must meet or exceed listed efficiency requirements when rated in accordance with ISO-13256-1 to qualify for the listed incentive.</w:t>
            </w:r>
            <w:r w:rsidRPr="00CE6CE4">
              <w:rPr>
                <w:rFonts w:ascii="Times New Roman" w:hAnsi="Times New Roman"/>
                <w:sz w:val="20"/>
                <w:szCs w:val="20"/>
              </w:rPr>
              <w:br/>
              <w:t>5.  Units rated only with an IPLV may qualify for the listed incentives if the value meets or exceeds the minimum IPLV established as part of the Consortium for Energy Efficiency Commercial Unitary Air Conditioning and Heat Pump specification effective January 16, 2009.</w:t>
            </w:r>
            <w:r w:rsidRPr="00CE6CE4">
              <w:rPr>
                <w:rFonts w:ascii="Times New Roman" w:hAnsi="Times New Roman"/>
                <w:sz w:val="20"/>
                <w:szCs w:val="20"/>
              </w:rPr>
              <w:br/>
              <w:t>6.  Efficiency requirements align with the Consortium for Energy Efficiency (CEE) Unitary Air-Conditioning and Heat Pump Specification for equipment with heating sections other than electric resistance.  CEE minimum efficiency requirements are listed on Pacific Power's website.</w:t>
            </w:r>
            <w:r w:rsidRPr="00CE6CE4">
              <w:rPr>
                <w:rFonts w:ascii="Times New Roman" w:hAnsi="Times New Roman"/>
                <w:sz w:val="20"/>
                <w:szCs w:val="20"/>
              </w:rPr>
              <w:br/>
            </w:r>
            <w:r w:rsidRPr="00CE6CE4">
              <w:rPr>
                <w:rFonts w:ascii="Times New Roman" w:hAnsi="Times New Roman"/>
                <w:sz w:val="20"/>
                <w:szCs w:val="20"/>
              </w:rPr>
              <w:br/>
              <w:t>AHRI = Air-Conditioning, Heating and Refrigeration Institute</w:t>
            </w:r>
            <w:r w:rsidRPr="00CE6CE4">
              <w:rPr>
                <w:rFonts w:ascii="Times New Roman" w:hAnsi="Times New Roman"/>
                <w:sz w:val="20"/>
                <w:szCs w:val="20"/>
              </w:rPr>
              <w:br/>
              <w:t>CEE = Consortium for Energy Efficiency</w:t>
            </w:r>
            <w:r w:rsidRPr="00CE6CE4">
              <w:rPr>
                <w:rFonts w:ascii="Times New Roman" w:hAnsi="Times New Roman"/>
                <w:sz w:val="20"/>
                <w:szCs w:val="20"/>
              </w:rPr>
              <w:br/>
              <w:t>COP = Coefficient of Performance</w:t>
            </w:r>
            <w:r w:rsidRPr="00CE6CE4">
              <w:rPr>
                <w:rFonts w:ascii="Times New Roman" w:hAnsi="Times New Roman"/>
                <w:sz w:val="20"/>
                <w:szCs w:val="20"/>
              </w:rPr>
              <w:br/>
              <w:t>EER = Energy Efficiency Ratio</w:t>
            </w:r>
            <w:r w:rsidRPr="00CE6CE4">
              <w:rPr>
                <w:rFonts w:ascii="Times New Roman" w:hAnsi="Times New Roman"/>
                <w:sz w:val="20"/>
                <w:szCs w:val="20"/>
              </w:rPr>
              <w:br/>
              <w:t>HSPF = Heating Seasonal Performance Factor</w:t>
            </w:r>
            <w:r w:rsidRPr="00CE6CE4">
              <w:rPr>
                <w:rFonts w:ascii="Times New Roman" w:hAnsi="Times New Roman"/>
                <w:sz w:val="20"/>
                <w:szCs w:val="20"/>
              </w:rPr>
              <w:br/>
              <w:t>HVAC = Heating, Ventilation and Air-Conditioning</w:t>
            </w:r>
            <w:r w:rsidRPr="00CE6CE4">
              <w:rPr>
                <w:rFonts w:ascii="Times New Roman" w:hAnsi="Times New Roman"/>
                <w:sz w:val="20"/>
                <w:szCs w:val="20"/>
              </w:rPr>
              <w:br/>
              <w:t>IEER = Integrated Energy Efficiency Ratio</w:t>
            </w:r>
            <w:r w:rsidRPr="00CE6CE4">
              <w:rPr>
                <w:rFonts w:ascii="Times New Roman" w:hAnsi="Times New Roman"/>
                <w:sz w:val="20"/>
                <w:szCs w:val="20"/>
              </w:rPr>
              <w:br/>
              <w:t>IPLV = Integrated Part Load Value</w:t>
            </w:r>
            <w:r w:rsidRPr="00CE6CE4">
              <w:rPr>
                <w:rFonts w:ascii="Times New Roman" w:hAnsi="Times New Roman"/>
                <w:sz w:val="20"/>
                <w:szCs w:val="20"/>
              </w:rPr>
              <w:br/>
              <w:t>PTAC = Packaged Terminal Air Conditioner</w:t>
            </w:r>
            <w:r w:rsidRPr="00CE6CE4">
              <w:rPr>
                <w:rFonts w:ascii="Times New Roman" w:hAnsi="Times New Roman"/>
                <w:sz w:val="20"/>
                <w:szCs w:val="20"/>
              </w:rPr>
              <w:br/>
              <w:t>PTHP = Packaged Terminal Heat Pump</w:t>
            </w:r>
            <w:r w:rsidRPr="00CE6CE4">
              <w:rPr>
                <w:rFonts w:ascii="Times New Roman" w:hAnsi="Times New Roman"/>
                <w:sz w:val="20"/>
                <w:szCs w:val="20"/>
              </w:rPr>
              <w:br/>
              <w:t>SEER = Seasonal Energy Efficiency Ratio</w:t>
            </w:r>
          </w:p>
        </w:tc>
      </w:tr>
    </w:tbl>
    <w:p w:rsidR="007633A9" w:rsidRPr="000C7C45" w:rsidRDefault="007633A9" w:rsidP="007633A9">
      <w:pPr>
        <w:rPr>
          <w:rFonts w:ascii="Times New Roman" w:hAnsi="Times New Roman"/>
        </w:rPr>
      </w:pPr>
      <w:r w:rsidRPr="000C7C45">
        <w:rPr>
          <w:rFonts w:ascii="Times New Roman" w:hAnsi="Times New Roman"/>
        </w:rPr>
        <w:br w:type="page"/>
      </w:r>
    </w:p>
    <w:tbl>
      <w:tblPr>
        <w:tblW w:w="8748" w:type="dxa"/>
        <w:tblInd w:w="108" w:type="dxa"/>
        <w:tblLook w:val="0000"/>
      </w:tblPr>
      <w:tblGrid>
        <w:gridCol w:w="1617"/>
        <w:gridCol w:w="1437"/>
        <w:gridCol w:w="1796"/>
        <w:gridCol w:w="2440"/>
        <w:gridCol w:w="1458"/>
      </w:tblGrid>
      <w:tr w:rsidR="007633A9" w:rsidRPr="000C7C45" w:rsidTr="00692D4F">
        <w:trPr>
          <w:trHeight w:val="270"/>
        </w:trPr>
        <w:tc>
          <w:tcPr>
            <w:tcW w:w="8748" w:type="dxa"/>
            <w:gridSpan w:val="5"/>
            <w:tcBorders>
              <w:top w:val="nil"/>
              <w:left w:val="nil"/>
              <w:bottom w:val="nil"/>
              <w:right w:val="nil"/>
            </w:tcBorders>
            <w:shd w:val="clear" w:color="auto" w:fill="auto"/>
            <w:noWrap/>
            <w:vAlign w:val="bottom"/>
          </w:tcPr>
          <w:p w:rsidR="007633A9" w:rsidRPr="0061470A" w:rsidRDefault="007633A9" w:rsidP="00692D4F">
            <w:pPr>
              <w:jc w:val="center"/>
              <w:rPr>
                <w:rFonts w:ascii="Times New Roman" w:hAnsi="Times New Roman"/>
                <w:sz w:val="24"/>
                <w:szCs w:val="24"/>
              </w:rPr>
            </w:pPr>
            <w:r w:rsidRPr="0061470A">
              <w:rPr>
                <w:rFonts w:ascii="Times New Roman" w:hAnsi="Times New Roman"/>
                <w:b/>
                <w:bCs/>
                <w:sz w:val="24"/>
                <w:szCs w:val="24"/>
              </w:rPr>
              <w:t>Other HVAC Equipment and Controls Incentives</w:t>
            </w:r>
          </w:p>
        </w:tc>
      </w:tr>
      <w:tr w:rsidR="007633A9" w:rsidRPr="000C7C45" w:rsidTr="00692D4F">
        <w:trPr>
          <w:trHeight w:val="495"/>
        </w:trPr>
        <w:tc>
          <w:tcPr>
            <w:tcW w:w="1617" w:type="dxa"/>
            <w:tcBorders>
              <w:top w:val="single" w:sz="8" w:space="0" w:color="auto"/>
              <w:left w:val="single" w:sz="8" w:space="0" w:color="auto"/>
              <w:bottom w:val="single" w:sz="8" w:space="0" w:color="auto"/>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1437" w:type="dxa"/>
            <w:tcBorders>
              <w:top w:val="single" w:sz="8" w:space="0" w:color="auto"/>
              <w:left w:val="single" w:sz="8" w:space="0" w:color="auto"/>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Size Category</w:t>
            </w:r>
          </w:p>
        </w:tc>
        <w:tc>
          <w:tcPr>
            <w:tcW w:w="1796"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Sub-Category</w:t>
            </w:r>
          </w:p>
        </w:tc>
        <w:tc>
          <w:tcPr>
            <w:tcW w:w="2440"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Requirement</w:t>
            </w:r>
          </w:p>
        </w:tc>
        <w:tc>
          <w:tcPr>
            <w:tcW w:w="1458"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692D4F">
        <w:trPr>
          <w:trHeight w:val="270"/>
        </w:trPr>
        <w:tc>
          <w:tcPr>
            <w:tcW w:w="1617" w:type="dxa"/>
            <w:tcBorders>
              <w:top w:val="nil"/>
              <w:left w:val="single" w:sz="8" w:space="0" w:color="auto"/>
              <w:bottom w:val="single" w:sz="8" w:space="0" w:color="auto"/>
              <w:right w:val="single" w:sz="8" w:space="0" w:color="auto"/>
            </w:tcBorders>
            <w:shd w:val="clear" w:color="auto" w:fill="auto"/>
            <w:noWrap/>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Evaporative Cooling</w:t>
            </w:r>
          </w:p>
        </w:tc>
        <w:tc>
          <w:tcPr>
            <w:tcW w:w="1437"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sizes</w:t>
            </w:r>
          </w:p>
        </w:tc>
        <w:tc>
          <w:tcPr>
            <w:tcW w:w="1796"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Direct or Indirect</w:t>
            </w:r>
          </w:p>
        </w:tc>
        <w:tc>
          <w:tcPr>
            <w:tcW w:w="2440"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Industry Standard Rating (ISR)</w:t>
            </w:r>
          </w:p>
        </w:tc>
        <w:tc>
          <w:tcPr>
            <w:tcW w:w="1458" w:type="dxa"/>
            <w:tcBorders>
              <w:top w:val="nil"/>
              <w:left w:val="nil"/>
              <w:bottom w:val="single" w:sz="8" w:space="0" w:color="auto"/>
              <w:right w:val="single" w:sz="8" w:space="0" w:color="auto"/>
            </w:tcBorders>
            <w:shd w:val="clear" w:color="auto" w:fill="auto"/>
            <w:noWrap/>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$0.06/ISR CFM</w:t>
            </w:r>
          </w:p>
        </w:tc>
      </w:tr>
      <w:tr w:rsidR="007633A9" w:rsidRPr="000C7C45" w:rsidTr="00692D4F">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Indirect-Direct Evaporative Cooling (IDEC)</w:t>
            </w:r>
          </w:p>
        </w:tc>
        <w:tc>
          <w:tcPr>
            <w:tcW w:w="1437"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sizes</w:t>
            </w:r>
          </w:p>
        </w:tc>
        <w:tc>
          <w:tcPr>
            <w:tcW w:w="179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Applicable system components 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br/>
              <w:t>(See Note 2)</w:t>
            </w:r>
          </w:p>
        </w:tc>
      </w:tr>
      <w:tr w:rsidR="007633A9" w:rsidRPr="000C7C45" w:rsidTr="00692D4F">
        <w:trPr>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Chillers</w:t>
            </w:r>
          </w:p>
        </w:tc>
        <w:tc>
          <w:tcPr>
            <w:tcW w:w="1437"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except chillers intended for backup service only</w:t>
            </w:r>
          </w:p>
        </w:tc>
        <w:tc>
          <w:tcPr>
            <w:tcW w:w="179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Serving primarily occupant comfort cooling loads (no more than 20% of process cooling loads)</w:t>
            </w:r>
          </w:p>
        </w:tc>
        <w:tc>
          <w:tcPr>
            <w:tcW w:w="244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Must exceed minimum efficiencies required by energy code</w:t>
            </w:r>
          </w:p>
        </w:tc>
        <w:tc>
          <w:tcPr>
            <w:tcW w:w="1458"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br/>
              <w:t>(See Note 3)</w:t>
            </w:r>
          </w:p>
        </w:tc>
      </w:tr>
      <w:tr w:rsidR="007633A9" w:rsidRPr="000C7C45" w:rsidTr="00692D4F">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p w:rsidR="007633A9" w:rsidRPr="000C7C45" w:rsidRDefault="007633A9" w:rsidP="00692D4F">
            <w:pPr>
              <w:rPr>
                <w:rFonts w:ascii="Times New Roman" w:hAnsi="Times New Roman"/>
                <w:sz w:val="18"/>
                <w:szCs w:val="18"/>
              </w:rPr>
            </w:pPr>
            <w:r w:rsidRPr="000C7C45">
              <w:rPr>
                <w:rFonts w:ascii="Times New Roman" w:hAnsi="Times New Roman"/>
                <w:sz w:val="18"/>
                <w:szCs w:val="18"/>
              </w:rPr>
              <w:t>Room Air Conditioner</w:t>
            </w:r>
          </w:p>
        </w:tc>
        <w:tc>
          <w:tcPr>
            <w:tcW w:w="1437"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Residential (used in a business)</w:t>
            </w:r>
          </w:p>
        </w:tc>
        <w:tc>
          <w:tcPr>
            <w:tcW w:w="179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44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See Home Energy Savings program</w:t>
            </w:r>
          </w:p>
        </w:tc>
        <w:tc>
          <w:tcPr>
            <w:tcW w:w="1458"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5</w:t>
            </w:r>
          </w:p>
        </w:tc>
      </w:tr>
      <w:tr w:rsidR="007633A9" w:rsidRPr="000C7C45" w:rsidTr="00692D4F">
        <w:trPr>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365/366 day Programmable Thermostat</w:t>
            </w:r>
          </w:p>
        </w:tc>
        <w:tc>
          <w:tcPr>
            <w:tcW w:w="1437"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sizes in portable classrooms with mechanical cooling</w:t>
            </w:r>
          </w:p>
        </w:tc>
        <w:tc>
          <w:tcPr>
            <w:tcW w:w="179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Must be installed in portable classroom unoccupied during summer months</w:t>
            </w:r>
          </w:p>
        </w:tc>
        <w:tc>
          <w:tcPr>
            <w:tcW w:w="244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365/366 day thermostatic setback capability</w:t>
            </w:r>
          </w:p>
        </w:tc>
        <w:tc>
          <w:tcPr>
            <w:tcW w:w="1458"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$150/thermostat</w:t>
            </w:r>
          </w:p>
        </w:tc>
      </w:tr>
      <w:tr w:rsidR="007633A9" w:rsidRPr="000C7C45" w:rsidTr="00692D4F">
        <w:trPr>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xml:space="preserve">Occupancy Based PTHP/PTAC control </w:t>
            </w:r>
          </w:p>
          <w:p w:rsidR="007633A9" w:rsidRPr="000C7C45" w:rsidRDefault="007633A9" w:rsidP="00692D4F">
            <w:pPr>
              <w:rPr>
                <w:rFonts w:ascii="Times New Roman" w:hAnsi="Times New Roman"/>
                <w:sz w:val="18"/>
                <w:szCs w:val="18"/>
              </w:rPr>
            </w:pPr>
            <w:r w:rsidRPr="000C7C45">
              <w:rPr>
                <w:rFonts w:ascii="Times New Roman" w:hAnsi="Times New Roman"/>
                <w:sz w:val="18"/>
                <w:szCs w:val="18"/>
              </w:rPr>
              <w:t>(Retrofit only)</w:t>
            </w:r>
          </w:p>
        </w:tc>
        <w:tc>
          <w:tcPr>
            <w:tcW w:w="1437"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All sizes with no prior occupancy based control</w:t>
            </w:r>
          </w:p>
        </w:tc>
        <w:tc>
          <w:tcPr>
            <w:tcW w:w="179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244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4</w:t>
            </w:r>
          </w:p>
        </w:tc>
        <w:tc>
          <w:tcPr>
            <w:tcW w:w="1458"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$50/controller</w:t>
            </w:r>
          </w:p>
        </w:tc>
      </w:tr>
      <w:tr w:rsidR="007633A9" w:rsidRPr="000C7C45" w:rsidTr="00692D4F">
        <w:trPr>
          <w:trHeight w:val="3660"/>
        </w:trPr>
        <w:tc>
          <w:tcPr>
            <w:tcW w:w="8748" w:type="dxa"/>
            <w:gridSpan w:val="5"/>
            <w:tcBorders>
              <w:top w:val="single" w:sz="8" w:space="0" w:color="auto"/>
              <w:left w:val="nil"/>
              <w:bottom w:val="nil"/>
              <w:right w:val="nil"/>
            </w:tcBorders>
            <w:shd w:val="clear" w:color="auto" w:fill="auto"/>
          </w:tcPr>
          <w:p w:rsidR="00CE6CE4" w:rsidRDefault="007633A9" w:rsidP="00CE6CE4">
            <w:pPr>
              <w:rPr>
                <w:rFonts w:ascii="Times New Roman" w:hAnsi="Times New Roman"/>
                <w:sz w:val="20"/>
                <w:szCs w:val="20"/>
              </w:rPr>
            </w:pPr>
            <w:r w:rsidRPr="00CE6CE4">
              <w:rPr>
                <w:rFonts w:ascii="Times New Roman" w:hAnsi="Times New Roman"/>
                <w:b/>
                <w:bCs/>
                <w:sz w:val="20"/>
                <w:szCs w:val="20"/>
              </w:rPr>
              <w:t xml:space="preserve">Notes for other HVAC </w:t>
            </w:r>
            <w:r w:rsidR="0061470A" w:rsidRPr="00CE6CE4">
              <w:rPr>
                <w:rFonts w:ascii="Times New Roman" w:hAnsi="Times New Roman"/>
                <w:b/>
                <w:bCs/>
                <w:sz w:val="20"/>
                <w:szCs w:val="20"/>
              </w:rPr>
              <w:t>E</w:t>
            </w:r>
            <w:r w:rsidRPr="00CE6CE4">
              <w:rPr>
                <w:rFonts w:ascii="Times New Roman" w:hAnsi="Times New Roman"/>
                <w:b/>
                <w:bCs/>
                <w:sz w:val="20"/>
                <w:szCs w:val="20"/>
              </w:rPr>
              <w:t xml:space="preserve">quipment and </w:t>
            </w:r>
            <w:r w:rsidR="0061470A" w:rsidRPr="00CE6CE4">
              <w:rPr>
                <w:rFonts w:ascii="Times New Roman" w:hAnsi="Times New Roman"/>
                <w:b/>
                <w:bCs/>
                <w:sz w:val="20"/>
                <w:szCs w:val="20"/>
              </w:rPr>
              <w:t>C</w:t>
            </w:r>
            <w:r w:rsidRPr="00CE6CE4">
              <w:rPr>
                <w:rFonts w:ascii="Times New Roman" w:hAnsi="Times New Roman"/>
                <w:b/>
                <w:bCs/>
                <w:sz w:val="20"/>
                <w:szCs w:val="20"/>
              </w:rPr>
              <w:t xml:space="preserve">ontrols </w:t>
            </w:r>
            <w:r w:rsidR="0061470A" w:rsidRPr="00CE6CE4">
              <w:rPr>
                <w:rFonts w:ascii="Times New Roman" w:hAnsi="Times New Roman"/>
                <w:b/>
                <w:bCs/>
                <w:sz w:val="20"/>
                <w:szCs w:val="20"/>
              </w:rPr>
              <w:t>I</w:t>
            </w:r>
            <w:r w:rsidRPr="00CE6CE4">
              <w:rPr>
                <w:rFonts w:ascii="Times New Roman" w:hAnsi="Times New Roman"/>
                <w:b/>
                <w:bCs/>
                <w:sz w:val="20"/>
                <w:szCs w:val="20"/>
              </w:rPr>
              <w:t xml:space="preserve">ncentive </w:t>
            </w:r>
            <w:r w:rsidR="0061470A" w:rsidRPr="00CE6CE4">
              <w:rPr>
                <w:rFonts w:ascii="Times New Roman" w:hAnsi="Times New Roman"/>
                <w:b/>
                <w:bCs/>
                <w:sz w:val="20"/>
                <w:szCs w:val="20"/>
              </w:rPr>
              <w:t>T</w:t>
            </w:r>
            <w:r w:rsidRPr="00CE6CE4">
              <w:rPr>
                <w:rFonts w:ascii="Times New Roman" w:hAnsi="Times New Roman"/>
                <w:b/>
                <w:bCs/>
                <w:sz w:val="20"/>
                <w:szCs w:val="20"/>
              </w:rPr>
              <w:t>able</w:t>
            </w:r>
            <w:r w:rsidR="0061470A" w:rsidRPr="00CE6CE4">
              <w:rPr>
                <w:rFonts w:ascii="Times New Roman" w:hAnsi="Times New Roman"/>
                <w:b/>
                <w:bCs/>
                <w:sz w:val="20"/>
                <w:szCs w:val="20"/>
              </w:rPr>
              <w:t>:</w:t>
            </w:r>
            <w:r w:rsidRPr="00CE6CE4">
              <w:rPr>
                <w:rFonts w:ascii="Times New Roman" w:hAnsi="Times New Roman"/>
                <w:b/>
                <w:sz w:val="20"/>
                <w:szCs w:val="20"/>
              </w:rPr>
              <w:br/>
            </w:r>
            <w:r w:rsidRPr="00CE6CE4">
              <w:rPr>
                <w:rFonts w:ascii="Times New Roman" w:hAnsi="Times New Roman"/>
                <w:sz w:val="20"/>
                <w:szCs w:val="20"/>
              </w:rPr>
              <w:t xml:space="preserve">1.  Equipment that meets or exceeds the efficiency requirements listed for the equipment category in the above table may qualify for the listed incentive. </w:t>
            </w:r>
            <w:r w:rsidRPr="00CE6CE4">
              <w:rPr>
                <w:rFonts w:ascii="Times New Roman" w:hAnsi="Times New Roman"/>
                <w:sz w:val="20"/>
                <w:szCs w:val="20"/>
              </w:rPr>
              <w:br/>
              <w:t>2.  Incentives are paid at $0.12/kWh annual energy savings + $50/kW average monthly demand savings.  IDEC energy and demand savings subject to approval by Pacific Power.</w:t>
            </w:r>
            <w:r w:rsidRPr="00CE6CE4">
              <w:rPr>
                <w:rFonts w:ascii="Times New Roman" w:hAnsi="Times New Roman"/>
                <w:sz w:val="20"/>
                <w:szCs w:val="20"/>
              </w:rPr>
              <w:br/>
              <w:t>3.  Incentives are paid at $0.12/kWh annual energy savings + $50/kW average monthly demand savings.  Chiller energy and demand savings subject to approval by Pacific Power.</w:t>
            </w:r>
            <w:r w:rsidRPr="00CE6CE4">
              <w:rPr>
                <w:rFonts w:ascii="Times New Roman" w:hAnsi="Times New Roman"/>
                <w:sz w:val="20"/>
                <w:szCs w:val="20"/>
              </w:rPr>
              <w:br/>
              <w:t>4.  Controller units must include an occupancy sensor and include the capability to set back the zone temperature during extended unoccupied periods and set up the temperature once the zone is occupied.</w:t>
            </w:r>
            <w:r w:rsidRPr="00CE6CE4">
              <w:rPr>
                <w:rFonts w:ascii="Times New Roman" w:hAnsi="Times New Roman"/>
                <w:sz w:val="20"/>
                <w:szCs w:val="20"/>
              </w:rPr>
              <w:br/>
              <w:t>5.  Re</w:t>
            </w:r>
            <w:smartTag w:uri="urn:schemas-microsoft-com:office:smarttags" w:element="stockticker">
              <w:r w:rsidRPr="00CE6CE4">
                <w:rPr>
                  <w:rFonts w:ascii="Times New Roman" w:hAnsi="Times New Roman"/>
                  <w:sz w:val="20"/>
                  <w:szCs w:val="20"/>
                </w:rPr>
                <w:t xml:space="preserve">fer </w:t>
              </w:r>
            </w:smartTag>
            <w:r w:rsidRPr="00CE6CE4">
              <w:rPr>
                <w:rFonts w:ascii="Times New Roman" w:hAnsi="Times New Roman"/>
                <w:sz w:val="20"/>
                <w:szCs w:val="20"/>
              </w:rPr>
              <w:t>to Pacific Power's Home Energy Savings Program for efficiency requirements and incentives for listed residential appliances used in a business.</w:t>
            </w:r>
          </w:p>
          <w:p w:rsidR="007633A9" w:rsidRPr="00CE6CE4" w:rsidRDefault="007633A9" w:rsidP="00CE6CE4">
            <w:pPr>
              <w:rPr>
                <w:rFonts w:ascii="Times New Roman" w:hAnsi="Times New Roman"/>
                <w:bCs/>
                <w:sz w:val="20"/>
                <w:szCs w:val="20"/>
              </w:rPr>
            </w:pPr>
            <w:r w:rsidRPr="00CE6CE4">
              <w:rPr>
                <w:rFonts w:ascii="Times New Roman" w:hAnsi="Times New Roman"/>
                <w:sz w:val="20"/>
                <w:szCs w:val="20"/>
              </w:rPr>
              <w:br/>
            </w:r>
            <w:r w:rsidRPr="00CE6CE4">
              <w:rPr>
                <w:rFonts w:ascii="Times New Roman" w:hAnsi="Times New Roman"/>
                <w:bCs/>
                <w:sz w:val="20"/>
                <w:szCs w:val="20"/>
              </w:rPr>
              <w:t>CFM</w:t>
            </w:r>
            <w:r w:rsidRPr="00CE6CE4">
              <w:rPr>
                <w:rFonts w:ascii="Times New Roman" w:hAnsi="Times New Roman"/>
                <w:sz w:val="20"/>
                <w:szCs w:val="20"/>
              </w:rPr>
              <w:t xml:space="preserve"> = Cubic Feet per Minute</w:t>
            </w:r>
            <w:r w:rsidRPr="00CE6CE4">
              <w:rPr>
                <w:rFonts w:ascii="Times New Roman" w:hAnsi="Times New Roman"/>
                <w:sz w:val="20"/>
                <w:szCs w:val="20"/>
              </w:rPr>
              <w:br/>
            </w:r>
            <w:r w:rsidRPr="00CE6CE4">
              <w:rPr>
                <w:rFonts w:ascii="Times New Roman" w:hAnsi="Times New Roman"/>
                <w:bCs/>
                <w:sz w:val="20"/>
                <w:szCs w:val="20"/>
              </w:rPr>
              <w:t>ISR</w:t>
            </w:r>
            <w:r w:rsidRPr="00CE6CE4">
              <w:rPr>
                <w:rFonts w:ascii="Times New Roman" w:hAnsi="Times New Roman"/>
                <w:sz w:val="20"/>
                <w:szCs w:val="20"/>
              </w:rPr>
              <w:t xml:space="preserve"> = Industry Standard Rating</w:t>
            </w:r>
            <w:r w:rsidRPr="00CE6CE4">
              <w:rPr>
                <w:rFonts w:ascii="Times New Roman" w:hAnsi="Times New Roman"/>
                <w:sz w:val="20"/>
                <w:szCs w:val="20"/>
              </w:rPr>
              <w:br/>
            </w:r>
            <w:r w:rsidRPr="00CE6CE4">
              <w:rPr>
                <w:rFonts w:ascii="Times New Roman" w:hAnsi="Times New Roman"/>
                <w:bCs/>
                <w:sz w:val="20"/>
                <w:szCs w:val="20"/>
              </w:rPr>
              <w:t>IDEC</w:t>
            </w:r>
            <w:r w:rsidRPr="00CE6CE4">
              <w:rPr>
                <w:rFonts w:ascii="Times New Roman" w:hAnsi="Times New Roman"/>
                <w:sz w:val="20"/>
                <w:szCs w:val="20"/>
              </w:rPr>
              <w:t xml:space="preserve"> = Indirect Direct Evaporative Cooling</w:t>
            </w:r>
            <w:r w:rsidRPr="00CE6CE4">
              <w:rPr>
                <w:rFonts w:ascii="Times New Roman" w:hAnsi="Times New Roman"/>
                <w:sz w:val="20"/>
                <w:szCs w:val="20"/>
              </w:rPr>
              <w:br/>
            </w:r>
            <w:r w:rsidRPr="00CE6CE4">
              <w:rPr>
                <w:rFonts w:ascii="Times New Roman" w:hAnsi="Times New Roman"/>
                <w:bCs/>
                <w:sz w:val="20"/>
                <w:szCs w:val="20"/>
              </w:rPr>
              <w:t>PTHP</w:t>
            </w:r>
            <w:r w:rsidRPr="00CE6CE4">
              <w:rPr>
                <w:rFonts w:ascii="Times New Roman" w:hAnsi="Times New Roman"/>
                <w:sz w:val="20"/>
                <w:szCs w:val="20"/>
              </w:rPr>
              <w:t xml:space="preserve"> = Package Terminal Heat Pump</w:t>
            </w:r>
            <w:r w:rsidRPr="00CE6CE4">
              <w:rPr>
                <w:rFonts w:ascii="Times New Roman" w:hAnsi="Times New Roman"/>
                <w:sz w:val="20"/>
                <w:szCs w:val="20"/>
              </w:rPr>
              <w:br/>
            </w:r>
            <w:r w:rsidRPr="00CE6CE4">
              <w:rPr>
                <w:rFonts w:ascii="Times New Roman" w:hAnsi="Times New Roman"/>
                <w:bCs/>
                <w:sz w:val="20"/>
                <w:szCs w:val="20"/>
              </w:rPr>
              <w:t>PTAC</w:t>
            </w:r>
            <w:r w:rsidRPr="00CE6CE4">
              <w:rPr>
                <w:rFonts w:ascii="Times New Roman" w:hAnsi="Times New Roman"/>
                <w:sz w:val="20"/>
                <w:szCs w:val="20"/>
              </w:rPr>
              <w:t xml:space="preserve"> = Package Terminal Air Conditioner</w:t>
            </w:r>
          </w:p>
        </w:tc>
      </w:tr>
    </w:tbl>
    <w:p w:rsidR="007633A9" w:rsidRPr="000C7C45" w:rsidRDefault="007633A9" w:rsidP="007633A9">
      <w:pPr>
        <w:rPr>
          <w:rFonts w:ascii="Times New Roman" w:hAnsi="Times New Roman"/>
        </w:rPr>
      </w:pPr>
      <w:r w:rsidRPr="000C7C45">
        <w:rPr>
          <w:rFonts w:ascii="Times New Roman" w:hAnsi="Times New Roman"/>
        </w:rPr>
        <w:br w:type="page"/>
      </w:r>
    </w:p>
    <w:tbl>
      <w:tblPr>
        <w:tblW w:w="8248" w:type="dxa"/>
        <w:tblInd w:w="108" w:type="dxa"/>
        <w:tblLook w:val="0000"/>
      </w:tblPr>
      <w:tblGrid>
        <w:gridCol w:w="1935"/>
        <w:gridCol w:w="1641"/>
        <w:gridCol w:w="3276"/>
        <w:gridCol w:w="1396"/>
      </w:tblGrid>
      <w:tr w:rsidR="007633A9" w:rsidRPr="000C7C45" w:rsidTr="00692D4F">
        <w:trPr>
          <w:trHeight w:val="270"/>
        </w:trPr>
        <w:tc>
          <w:tcPr>
            <w:tcW w:w="8248" w:type="dxa"/>
            <w:gridSpan w:val="4"/>
            <w:tcBorders>
              <w:top w:val="nil"/>
              <w:left w:val="nil"/>
              <w:bottom w:val="single" w:sz="4" w:space="0" w:color="auto"/>
              <w:right w:val="nil"/>
            </w:tcBorders>
            <w:shd w:val="clear" w:color="auto" w:fill="auto"/>
            <w:noWrap/>
            <w:vAlign w:val="bottom"/>
          </w:tcPr>
          <w:p w:rsidR="007633A9" w:rsidRPr="0061470A" w:rsidRDefault="007633A9" w:rsidP="00692D4F">
            <w:pPr>
              <w:jc w:val="center"/>
              <w:rPr>
                <w:rFonts w:ascii="Times New Roman" w:hAnsi="Times New Roman"/>
                <w:sz w:val="24"/>
                <w:szCs w:val="24"/>
              </w:rPr>
            </w:pPr>
            <w:r w:rsidRPr="0061470A">
              <w:rPr>
                <w:rFonts w:ascii="Times New Roman" w:hAnsi="Times New Roman"/>
                <w:b/>
                <w:bCs/>
                <w:sz w:val="24"/>
                <w:szCs w:val="24"/>
              </w:rPr>
              <w:t>Building Envelope (Retrofit) Incentives</w:t>
            </w:r>
          </w:p>
        </w:tc>
      </w:tr>
      <w:tr w:rsidR="007633A9" w:rsidRPr="000C7C45" w:rsidTr="00692D4F">
        <w:trPr>
          <w:trHeight w:val="495"/>
        </w:trPr>
        <w:tc>
          <w:tcPr>
            <w:tcW w:w="1935" w:type="dxa"/>
            <w:tcBorders>
              <w:top w:val="single" w:sz="4" w:space="0" w:color="auto"/>
              <w:left w:val="single" w:sz="4"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692D4F">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$0.10/square foot</w:t>
            </w:r>
          </w:p>
        </w:tc>
      </w:tr>
      <w:tr w:rsidR="007633A9" w:rsidRPr="000C7C45" w:rsidTr="00692D4F">
        <w:trPr>
          <w:trHeight w:val="270"/>
        </w:trPr>
        <w:tc>
          <w:tcPr>
            <w:tcW w:w="1935" w:type="dxa"/>
            <w:tcBorders>
              <w:top w:val="nil"/>
              <w:left w:val="single" w:sz="4" w:space="0" w:color="auto"/>
              <w:bottom w:val="nil"/>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$0.08/square foot</w:t>
            </w:r>
          </w:p>
        </w:tc>
      </w:tr>
      <w:tr w:rsidR="007633A9" w:rsidRPr="000C7C45" w:rsidTr="00692D4F">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$0.10/square foot</w:t>
            </w:r>
          </w:p>
        </w:tc>
      </w:tr>
      <w:tr w:rsidR="007633A9" w:rsidRPr="000C7C45" w:rsidTr="00692D4F">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Windows</w:t>
            </w:r>
            <w:r w:rsidRPr="000C7C45">
              <w:rPr>
                <w:rFonts w:ascii="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U-Factor ≤ 0.30 and SHGC ≤ 0.33</w:t>
            </w:r>
            <w:r w:rsidRPr="000C7C45">
              <w:rPr>
                <w:rFonts w:ascii="Times New Roman" w:hAnsi="Times New Roman"/>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$0.34/square foot</w:t>
            </w:r>
          </w:p>
        </w:tc>
      </w:tr>
      <w:tr w:rsidR="007633A9" w:rsidRPr="000C7C45" w:rsidTr="00692D4F">
        <w:trPr>
          <w:trHeight w:val="495"/>
        </w:trPr>
        <w:tc>
          <w:tcPr>
            <w:tcW w:w="1935" w:type="dxa"/>
            <w:vMerge/>
            <w:tcBorders>
              <w:top w:val="nil"/>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641"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Assembly</w:t>
            </w:r>
          </w:p>
        </w:tc>
        <w:tc>
          <w:tcPr>
            <w:tcW w:w="327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U-Factor ≤ 0.30 and SHGC ≤ 0.33</w:t>
            </w:r>
            <w:r w:rsidRPr="000C7C45">
              <w:rPr>
                <w:rFonts w:ascii="Times New Roman" w:hAnsi="Times New Roman"/>
                <w:sz w:val="18"/>
                <w:szCs w:val="18"/>
              </w:rPr>
              <w:br/>
              <w:t>(Entire Window Assembly Rating)</w:t>
            </w:r>
          </w:p>
        </w:tc>
        <w:tc>
          <w:tcPr>
            <w:tcW w:w="1396"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$0.34/square foot</w:t>
            </w:r>
          </w:p>
        </w:tc>
      </w:tr>
      <w:tr w:rsidR="007633A9" w:rsidRPr="000C7C45" w:rsidTr="00692D4F">
        <w:trPr>
          <w:trHeight w:val="270"/>
        </w:trPr>
        <w:tc>
          <w:tcPr>
            <w:tcW w:w="1935" w:type="dxa"/>
            <w:tcBorders>
              <w:top w:val="nil"/>
              <w:left w:val="single" w:sz="4" w:space="0" w:color="auto"/>
              <w:bottom w:val="single" w:sz="4"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Window Film</w:t>
            </w:r>
          </w:p>
        </w:tc>
        <w:tc>
          <w:tcPr>
            <w:tcW w:w="1641" w:type="dxa"/>
            <w:tcBorders>
              <w:top w:val="nil"/>
              <w:left w:val="single" w:sz="8" w:space="0" w:color="auto"/>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Existing Windows</w:t>
            </w:r>
          </w:p>
        </w:tc>
        <w:tc>
          <w:tcPr>
            <w:tcW w:w="3276" w:type="dxa"/>
            <w:tcBorders>
              <w:top w:val="nil"/>
              <w:left w:val="nil"/>
              <w:bottom w:val="single" w:sz="4"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5</w:t>
            </w:r>
          </w:p>
        </w:tc>
        <w:tc>
          <w:tcPr>
            <w:tcW w:w="1396" w:type="dxa"/>
            <w:tcBorders>
              <w:top w:val="nil"/>
              <w:left w:val="nil"/>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5</w:t>
            </w:r>
          </w:p>
        </w:tc>
      </w:tr>
      <w:tr w:rsidR="007633A9" w:rsidRPr="000C7C45" w:rsidTr="00692D4F">
        <w:trPr>
          <w:trHeight w:val="3390"/>
        </w:trPr>
        <w:tc>
          <w:tcPr>
            <w:tcW w:w="8248" w:type="dxa"/>
            <w:gridSpan w:val="4"/>
            <w:tcBorders>
              <w:top w:val="single" w:sz="4" w:space="0" w:color="auto"/>
              <w:left w:val="nil"/>
              <w:bottom w:val="nil"/>
              <w:right w:val="nil"/>
            </w:tcBorders>
            <w:shd w:val="clear" w:color="auto" w:fill="auto"/>
          </w:tcPr>
          <w:p w:rsidR="007633A9" w:rsidRPr="00CE6CE4" w:rsidRDefault="007633A9" w:rsidP="00692D4F">
            <w:pPr>
              <w:rPr>
                <w:rFonts w:ascii="Times New Roman" w:hAnsi="Times New Roman"/>
                <w:sz w:val="20"/>
                <w:szCs w:val="20"/>
              </w:rPr>
            </w:pPr>
            <w:r w:rsidRPr="00CE6CE4">
              <w:rPr>
                <w:rFonts w:ascii="Times New Roman" w:hAnsi="Times New Roman"/>
                <w:b/>
                <w:bCs/>
                <w:sz w:val="20"/>
                <w:szCs w:val="20"/>
              </w:rPr>
              <w:t xml:space="preserve">Notes </w:t>
            </w:r>
            <w:r w:rsidR="0061470A" w:rsidRPr="00CE6CE4">
              <w:rPr>
                <w:rFonts w:ascii="Times New Roman" w:hAnsi="Times New Roman"/>
                <w:b/>
                <w:bCs/>
                <w:sz w:val="20"/>
                <w:szCs w:val="20"/>
              </w:rPr>
              <w:t>for Retrofit Building Envelope Incentive T</w:t>
            </w:r>
            <w:r w:rsidRPr="00CE6CE4">
              <w:rPr>
                <w:rFonts w:ascii="Times New Roman" w:hAnsi="Times New Roman"/>
                <w:b/>
                <w:bCs/>
                <w:sz w:val="20"/>
                <w:szCs w:val="20"/>
              </w:rPr>
              <w:t>able</w:t>
            </w:r>
            <w:r w:rsidR="0061470A" w:rsidRPr="00CE6CE4">
              <w:rPr>
                <w:rFonts w:ascii="Times New Roman" w:hAnsi="Times New Roman"/>
                <w:b/>
                <w:bCs/>
                <w:sz w:val="20"/>
                <w:szCs w:val="20"/>
              </w:rPr>
              <w:t>:</w:t>
            </w:r>
            <w:r w:rsidRPr="00CE6CE4">
              <w:rPr>
                <w:rFonts w:ascii="Times New Roman" w:hAnsi="Times New Roman"/>
                <w:bCs/>
                <w:sz w:val="20"/>
                <w:szCs w:val="20"/>
              </w:rPr>
              <w:br/>
            </w:r>
            <w:r w:rsidRPr="00CE6CE4">
              <w:rPr>
                <w:rFonts w:ascii="Times New Roman" w:hAnsi="Times New Roman"/>
                <w:sz w:val="20"/>
                <w:szCs w:val="20"/>
              </w:rPr>
              <w:t>1.  Equipment that meets or exceeds the efficiency requirements listed for the equipment category in the above table may qualify for the listed incentive.</w:t>
            </w:r>
            <w:r w:rsidRPr="00CE6CE4">
              <w:rPr>
                <w:rFonts w:ascii="Times New Roman" w:hAnsi="Times New Roman"/>
                <w:sz w:val="20"/>
                <w:szCs w:val="20"/>
              </w:rPr>
              <w:br/>
              <w:t>2.  Building must be conditioned with mechanical cooling to be eligible for envelope incentives.</w:t>
            </w:r>
            <w:r w:rsidRPr="00CE6CE4">
              <w:rPr>
                <w:rFonts w:ascii="Times New Roman" w:hAnsi="Times New Roman"/>
                <w:sz w:val="20"/>
                <w:szCs w:val="20"/>
              </w:rPr>
              <w:br/>
              <w:t>3.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r w:rsidRPr="00CE6CE4">
              <w:rPr>
                <w:rFonts w:ascii="Times New Roman" w:hAnsi="Times New Roman"/>
                <w:sz w:val="20"/>
                <w:szCs w:val="20"/>
              </w:rPr>
              <w:br/>
              <w:t>4.  Window square footage is determined by the dimensions of the entire window assem</w:t>
            </w:r>
            <w:smartTag w:uri="urn:schemas-microsoft-com:office:smarttags" w:element="stockticker">
              <w:r w:rsidRPr="00CE6CE4">
                <w:rPr>
                  <w:rFonts w:ascii="Times New Roman" w:hAnsi="Times New Roman"/>
                  <w:sz w:val="20"/>
                  <w:szCs w:val="20"/>
                </w:rPr>
                <w:t>bly,</w:t>
              </w:r>
            </w:smartTag>
            <w:r w:rsidRPr="00CE6CE4">
              <w:rPr>
                <w:rFonts w:ascii="Times New Roman" w:hAnsi="Times New Roman"/>
                <w:sz w:val="20"/>
                <w:szCs w:val="20"/>
              </w:rPr>
              <w:t xml:space="preserve"> not just the window glass.</w:t>
            </w:r>
            <w:r w:rsidRPr="00CE6CE4">
              <w:rPr>
                <w:rFonts w:ascii="Times New Roman" w:hAnsi="Times New Roman"/>
                <w:sz w:val="20"/>
                <w:szCs w:val="20"/>
              </w:rPr>
              <w:br/>
              <w:t>5.  Incentives for window film are calculated based on film specifications and window orientation at $0.12/kWh annual energy savings.  Energy savings subject to approval by Pacific Power.</w:t>
            </w:r>
            <w:r w:rsidRPr="00CE6CE4">
              <w:rPr>
                <w:rFonts w:ascii="Times New Roman" w:hAnsi="Times New Roman"/>
                <w:sz w:val="20"/>
                <w:szCs w:val="20"/>
              </w:rPr>
              <w:br/>
            </w:r>
          </w:p>
          <w:p w:rsidR="007633A9" w:rsidRPr="00CE6CE4" w:rsidRDefault="007633A9" w:rsidP="00692D4F">
            <w:pPr>
              <w:rPr>
                <w:rFonts w:ascii="Times New Roman" w:hAnsi="Times New Roman"/>
                <w:sz w:val="20"/>
                <w:szCs w:val="20"/>
              </w:rPr>
            </w:pPr>
            <w:r w:rsidRPr="00CE6CE4">
              <w:rPr>
                <w:rFonts w:ascii="Times New Roman" w:hAnsi="Times New Roman"/>
                <w:bCs/>
                <w:sz w:val="20"/>
                <w:szCs w:val="20"/>
              </w:rPr>
              <w:t>NFRC</w:t>
            </w:r>
            <w:r w:rsidRPr="00CE6CE4">
              <w:rPr>
                <w:rFonts w:ascii="Times New Roman" w:hAnsi="Times New Roman"/>
                <w:sz w:val="20"/>
                <w:szCs w:val="20"/>
              </w:rPr>
              <w:t xml:space="preserve"> = National Fenestration Rating Council</w:t>
            </w:r>
          </w:p>
          <w:p w:rsidR="007633A9" w:rsidRPr="00CE6CE4" w:rsidRDefault="007633A9" w:rsidP="00692D4F">
            <w:pPr>
              <w:rPr>
                <w:rFonts w:ascii="Times New Roman" w:hAnsi="Times New Roman"/>
                <w:bCs/>
                <w:sz w:val="20"/>
                <w:szCs w:val="20"/>
              </w:rPr>
            </w:pPr>
            <w:r w:rsidRPr="00CE6CE4">
              <w:rPr>
                <w:rFonts w:ascii="Times New Roman" w:hAnsi="Times New Roman"/>
                <w:sz w:val="20"/>
                <w:szCs w:val="20"/>
              </w:rPr>
              <w:t>SHGC = Solar Heat Gain Coefficient</w:t>
            </w:r>
          </w:p>
        </w:tc>
      </w:tr>
    </w:tbl>
    <w:p w:rsidR="007633A9" w:rsidRPr="000C7C45" w:rsidRDefault="007633A9" w:rsidP="007633A9">
      <w:pPr>
        <w:rPr>
          <w:rFonts w:ascii="Times New Roman" w:hAnsi="Times New Roman"/>
        </w:rPr>
      </w:pPr>
      <w:r w:rsidRPr="000C7C45">
        <w:rPr>
          <w:rFonts w:ascii="Times New Roman" w:hAnsi="Times New Roman"/>
        </w:rPr>
        <w:br w:type="page"/>
      </w:r>
    </w:p>
    <w:tbl>
      <w:tblPr>
        <w:tblW w:w="9450" w:type="dxa"/>
        <w:tblInd w:w="108" w:type="dxa"/>
        <w:tblLook w:val="0000"/>
      </w:tblPr>
      <w:tblGrid>
        <w:gridCol w:w="1935"/>
        <w:gridCol w:w="1641"/>
        <w:gridCol w:w="3276"/>
        <w:gridCol w:w="2598"/>
      </w:tblGrid>
      <w:tr w:rsidR="007633A9" w:rsidRPr="000C7C45" w:rsidTr="0061470A">
        <w:trPr>
          <w:trHeight w:val="270"/>
        </w:trPr>
        <w:tc>
          <w:tcPr>
            <w:tcW w:w="9450" w:type="dxa"/>
            <w:gridSpan w:val="4"/>
            <w:tcBorders>
              <w:top w:val="nil"/>
              <w:left w:val="nil"/>
              <w:bottom w:val="single" w:sz="4" w:space="0" w:color="auto"/>
              <w:right w:val="nil"/>
            </w:tcBorders>
            <w:shd w:val="clear" w:color="auto" w:fill="auto"/>
            <w:noWrap/>
            <w:vAlign w:val="bottom"/>
          </w:tcPr>
          <w:p w:rsidR="007633A9" w:rsidRPr="0061470A" w:rsidRDefault="007633A9" w:rsidP="00692D4F">
            <w:pPr>
              <w:jc w:val="center"/>
              <w:rPr>
                <w:rFonts w:ascii="Times New Roman" w:hAnsi="Times New Roman"/>
                <w:sz w:val="24"/>
                <w:szCs w:val="24"/>
              </w:rPr>
            </w:pPr>
            <w:r w:rsidRPr="0061470A">
              <w:rPr>
                <w:rFonts w:ascii="Times New Roman" w:hAnsi="Times New Roman"/>
                <w:b/>
                <w:bCs/>
                <w:sz w:val="24"/>
                <w:szCs w:val="24"/>
              </w:rPr>
              <w:t>Building Envelope (New Construction/Major Renovation) Incentives</w:t>
            </w:r>
          </w:p>
        </w:tc>
      </w:tr>
      <w:tr w:rsidR="007633A9" w:rsidRPr="000C7C45" w:rsidTr="0061470A">
        <w:trPr>
          <w:trHeight w:val="495"/>
        </w:trPr>
        <w:tc>
          <w:tcPr>
            <w:tcW w:w="1935" w:type="dxa"/>
            <w:tcBorders>
              <w:top w:val="single" w:sz="4" w:space="0" w:color="auto"/>
              <w:left w:val="single" w:sz="4"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Minimum Efficiency Requirement</w:t>
            </w:r>
          </w:p>
        </w:tc>
        <w:tc>
          <w:tcPr>
            <w:tcW w:w="2598" w:type="dxa"/>
            <w:tcBorders>
              <w:top w:val="single" w:sz="4" w:space="0" w:color="auto"/>
              <w:left w:val="nil"/>
              <w:bottom w:val="single" w:sz="8"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Customer Incentive</w:t>
            </w:r>
          </w:p>
        </w:tc>
      </w:tr>
      <w:tr w:rsidR="007633A9" w:rsidRPr="000C7C45" w:rsidTr="0061470A">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ENERGY STAR Qualified</w:t>
            </w:r>
          </w:p>
        </w:tc>
        <w:tc>
          <w:tcPr>
            <w:tcW w:w="2598"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$0.10/square foot</w:t>
            </w:r>
          </w:p>
        </w:tc>
      </w:tr>
      <w:tr w:rsidR="007633A9" w:rsidRPr="000C7C45" w:rsidTr="0061470A">
        <w:trPr>
          <w:trHeight w:val="495"/>
        </w:trPr>
        <w:tc>
          <w:tcPr>
            <w:tcW w:w="1935" w:type="dxa"/>
            <w:tcBorders>
              <w:top w:val="nil"/>
              <w:left w:val="single" w:sz="4" w:space="0" w:color="auto"/>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Minimum increment of R-5 insulation above code (See Note 5)</w:t>
            </w:r>
          </w:p>
        </w:tc>
        <w:tc>
          <w:tcPr>
            <w:tcW w:w="2598"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$0.04/square foot</w:t>
            </w:r>
          </w:p>
        </w:tc>
      </w:tr>
      <w:tr w:rsidR="007633A9" w:rsidRPr="000C7C45" w:rsidTr="0061470A">
        <w:trPr>
          <w:trHeight w:val="495"/>
        </w:trPr>
        <w:tc>
          <w:tcPr>
            <w:tcW w:w="1935" w:type="dxa"/>
            <w:tcBorders>
              <w:top w:val="single" w:sz="8" w:space="0" w:color="auto"/>
              <w:left w:val="single" w:sz="4"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Minimum increment of R-3.7 continuous insulation above code (See Note 5)</w:t>
            </w:r>
          </w:p>
        </w:tc>
        <w:tc>
          <w:tcPr>
            <w:tcW w:w="2598"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$0.05/square foot</w:t>
            </w:r>
          </w:p>
        </w:tc>
      </w:tr>
      <w:tr w:rsidR="007633A9" w:rsidRPr="000C7C45" w:rsidTr="0061470A">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Windows</w:t>
            </w:r>
            <w:r w:rsidRPr="000C7C45">
              <w:rPr>
                <w:rFonts w:ascii="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U-Factor ≤ 0.30 and SHGC ≤ 0.33</w:t>
            </w:r>
            <w:r w:rsidRPr="000C7C45">
              <w:rPr>
                <w:rFonts w:ascii="Times New Roman" w:hAnsi="Times New Roman"/>
                <w:color w:val="000000"/>
                <w:sz w:val="18"/>
                <w:szCs w:val="18"/>
              </w:rPr>
              <w:br/>
              <w:t>(Glazing Only Rating)</w:t>
            </w:r>
          </w:p>
        </w:tc>
        <w:tc>
          <w:tcPr>
            <w:tcW w:w="2598"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$0.34/square foot</w:t>
            </w:r>
          </w:p>
        </w:tc>
      </w:tr>
      <w:tr w:rsidR="007633A9" w:rsidRPr="000C7C45" w:rsidTr="0061470A">
        <w:trPr>
          <w:trHeight w:val="495"/>
        </w:trPr>
        <w:tc>
          <w:tcPr>
            <w:tcW w:w="1935" w:type="dxa"/>
            <w:vMerge/>
            <w:tcBorders>
              <w:top w:val="nil"/>
              <w:left w:val="single" w:sz="4" w:space="0" w:color="auto"/>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641" w:type="dxa"/>
            <w:tcBorders>
              <w:top w:val="nil"/>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Assembly</w:t>
            </w:r>
          </w:p>
        </w:tc>
        <w:tc>
          <w:tcPr>
            <w:tcW w:w="3276" w:type="dxa"/>
            <w:tcBorders>
              <w:top w:val="nil"/>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U-Factor ≤ 0.30 and SHGC ≤ 0.33</w:t>
            </w:r>
            <w:r w:rsidRPr="000C7C45">
              <w:rPr>
                <w:rFonts w:ascii="Times New Roman" w:hAnsi="Times New Roman"/>
                <w:color w:val="000000"/>
                <w:sz w:val="18"/>
                <w:szCs w:val="18"/>
              </w:rPr>
              <w:br/>
              <w:t>(Entire Window Assembly Rating)</w:t>
            </w:r>
          </w:p>
        </w:tc>
        <w:tc>
          <w:tcPr>
            <w:tcW w:w="2598" w:type="dxa"/>
            <w:tcBorders>
              <w:top w:val="nil"/>
              <w:left w:val="nil"/>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$0.34/square foot</w:t>
            </w:r>
          </w:p>
        </w:tc>
      </w:tr>
      <w:tr w:rsidR="007633A9" w:rsidRPr="0061470A" w:rsidTr="0061470A">
        <w:trPr>
          <w:trHeight w:val="3225"/>
        </w:trPr>
        <w:tc>
          <w:tcPr>
            <w:tcW w:w="9450" w:type="dxa"/>
            <w:gridSpan w:val="4"/>
            <w:tcBorders>
              <w:top w:val="single" w:sz="4" w:space="0" w:color="auto"/>
              <w:left w:val="nil"/>
              <w:bottom w:val="nil"/>
              <w:right w:val="nil"/>
            </w:tcBorders>
            <w:shd w:val="clear" w:color="auto" w:fill="auto"/>
          </w:tcPr>
          <w:p w:rsidR="007633A9" w:rsidRPr="00CE6CE4" w:rsidRDefault="007633A9" w:rsidP="00692D4F">
            <w:pPr>
              <w:rPr>
                <w:rFonts w:ascii="Times New Roman" w:hAnsi="Times New Roman"/>
                <w:sz w:val="20"/>
                <w:szCs w:val="20"/>
              </w:rPr>
            </w:pPr>
            <w:r w:rsidRPr="00CE6CE4">
              <w:rPr>
                <w:rFonts w:ascii="Times New Roman" w:hAnsi="Times New Roman"/>
                <w:b/>
                <w:bCs/>
                <w:sz w:val="20"/>
                <w:szCs w:val="20"/>
              </w:rPr>
              <w:t xml:space="preserve">Notes for </w:t>
            </w:r>
            <w:r w:rsidR="0061470A" w:rsidRPr="00CE6CE4">
              <w:rPr>
                <w:rFonts w:ascii="Times New Roman" w:hAnsi="Times New Roman"/>
                <w:b/>
                <w:bCs/>
                <w:sz w:val="20"/>
                <w:szCs w:val="20"/>
              </w:rPr>
              <w:t>B</w:t>
            </w:r>
            <w:r w:rsidRPr="00CE6CE4">
              <w:rPr>
                <w:rFonts w:ascii="Times New Roman" w:hAnsi="Times New Roman"/>
                <w:b/>
                <w:bCs/>
                <w:sz w:val="20"/>
                <w:szCs w:val="20"/>
              </w:rPr>
              <w:t xml:space="preserve">uilding </w:t>
            </w:r>
            <w:r w:rsidR="0061470A" w:rsidRPr="00CE6CE4">
              <w:rPr>
                <w:rFonts w:ascii="Times New Roman" w:hAnsi="Times New Roman"/>
                <w:b/>
                <w:bCs/>
                <w:sz w:val="20"/>
                <w:szCs w:val="20"/>
              </w:rPr>
              <w:t>E</w:t>
            </w:r>
            <w:r w:rsidRPr="00CE6CE4">
              <w:rPr>
                <w:rFonts w:ascii="Times New Roman" w:hAnsi="Times New Roman"/>
                <w:b/>
                <w:bCs/>
                <w:sz w:val="20"/>
                <w:szCs w:val="20"/>
              </w:rPr>
              <w:t>nvelope (</w:t>
            </w:r>
            <w:r w:rsidR="0061470A" w:rsidRPr="00CE6CE4">
              <w:rPr>
                <w:rFonts w:ascii="Times New Roman" w:hAnsi="Times New Roman"/>
                <w:b/>
                <w:bCs/>
                <w:sz w:val="20"/>
                <w:szCs w:val="20"/>
              </w:rPr>
              <w:t>N</w:t>
            </w:r>
            <w:r w:rsidRPr="00CE6CE4">
              <w:rPr>
                <w:rFonts w:ascii="Times New Roman" w:hAnsi="Times New Roman"/>
                <w:b/>
                <w:bCs/>
                <w:sz w:val="20"/>
                <w:szCs w:val="20"/>
              </w:rPr>
              <w:t xml:space="preserve">ew </w:t>
            </w:r>
            <w:r w:rsidR="0061470A" w:rsidRPr="00CE6CE4">
              <w:rPr>
                <w:rFonts w:ascii="Times New Roman" w:hAnsi="Times New Roman"/>
                <w:b/>
                <w:bCs/>
                <w:sz w:val="20"/>
                <w:szCs w:val="20"/>
              </w:rPr>
              <w:t>C</w:t>
            </w:r>
            <w:r w:rsidRPr="00CE6CE4">
              <w:rPr>
                <w:rFonts w:ascii="Times New Roman" w:hAnsi="Times New Roman"/>
                <w:b/>
                <w:bCs/>
                <w:sz w:val="20"/>
                <w:szCs w:val="20"/>
              </w:rPr>
              <w:t>onstruction/</w:t>
            </w:r>
            <w:r w:rsidR="0061470A" w:rsidRPr="00CE6CE4">
              <w:rPr>
                <w:rFonts w:ascii="Times New Roman" w:hAnsi="Times New Roman"/>
                <w:b/>
                <w:bCs/>
                <w:sz w:val="20"/>
                <w:szCs w:val="20"/>
              </w:rPr>
              <w:t>M</w:t>
            </w:r>
            <w:r w:rsidRPr="00CE6CE4">
              <w:rPr>
                <w:rFonts w:ascii="Times New Roman" w:hAnsi="Times New Roman"/>
                <w:b/>
                <w:bCs/>
                <w:sz w:val="20"/>
                <w:szCs w:val="20"/>
              </w:rPr>
              <w:t xml:space="preserve">ajor </w:t>
            </w:r>
            <w:r w:rsidR="0061470A" w:rsidRPr="00CE6CE4">
              <w:rPr>
                <w:rFonts w:ascii="Times New Roman" w:hAnsi="Times New Roman"/>
                <w:b/>
                <w:bCs/>
                <w:sz w:val="20"/>
                <w:szCs w:val="20"/>
              </w:rPr>
              <w:t>R</w:t>
            </w:r>
            <w:r w:rsidRPr="00CE6CE4">
              <w:rPr>
                <w:rFonts w:ascii="Times New Roman" w:hAnsi="Times New Roman"/>
                <w:b/>
                <w:bCs/>
                <w:sz w:val="20"/>
                <w:szCs w:val="20"/>
              </w:rPr>
              <w:t xml:space="preserve">enovation) </w:t>
            </w:r>
            <w:r w:rsidR="0061470A" w:rsidRPr="00CE6CE4">
              <w:rPr>
                <w:rFonts w:ascii="Times New Roman" w:hAnsi="Times New Roman"/>
                <w:b/>
                <w:bCs/>
                <w:sz w:val="20"/>
                <w:szCs w:val="20"/>
              </w:rPr>
              <w:t>I</w:t>
            </w:r>
            <w:r w:rsidRPr="00CE6CE4">
              <w:rPr>
                <w:rFonts w:ascii="Times New Roman" w:hAnsi="Times New Roman"/>
                <w:b/>
                <w:bCs/>
                <w:sz w:val="20"/>
                <w:szCs w:val="20"/>
              </w:rPr>
              <w:t xml:space="preserve">ncentives </w:t>
            </w:r>
            <w:r w:rsidR="0061470A" w:rsidRPr="00CE6CE4">
              <w:rPr>
                <w:rFonts w:ascii="Times New Roman" w:hAnsi="Times New Roman"/>
                <w:b/>
                <w:bCs/>
                <w:sz w:val="20"/>
                <w:szCs w:val="20"/>
              </w:rPr>
              <w:t>T</w:t>
            </w:r>
            <w:r w:rsidRPr="00CE6CE4">
              <w:rPr>
                <w:rFonts w:ascii="Times New Roman" w:hAnsi="Times New Roman"/>
                <w:b/>
                <w:bCs/>
                <w:sz w:val="20"/>
                <w:szCs w:val="20"/>
              </w:rPr>
              <w:t>able</w:t>
            </w:r>
            <w:r w:rsidR="0061470A" w:rsidRPr="00CE6CE4">
              <w:rPr>
                <w:rFonts w:ascii="Times New Roman" w:hAnsi="Times New Roman"/>
                <w:b/>
                <w:bCs/>
                <w:sz w:val="20"/>
                <w:szCs w:val="20"/>
              </w:rPr>
              <w:t>:</w:t>
            </w:r>
            <w:r w:rsidRPr="00CE6CE4">
              <w:rPr>
                <w:rFonts w:ascii="Times New Roman" w:hAnsi="Times New Roman"/>
                <w:b/>
                <w:bCs/>
                <w:sz w:val="20"/>
                <w:szCs w:val="20"/>
              </w:rPr>
              <w:br/>
            </w:r>
            <w:r w:rsidRPr="00CE6CE4">
              <w:rPr>
                <w:rFonts w:ascii="Times New Roman" w:hAnsi="Times New Roman"/>
                <w:sz w:val="20"/>
                <w:szCs w:val="20"/>
              </w:rPr>
              <w:t>1.  Equipment that meets or exceeds the efficiency requirements listed for the equipment category in the above table may qualify for the listed incentive.</w:t>
            </w:r>
            <w:r w:rsidRPr="00CE6CE4">
              <w:rPr>
                <w:rFonts w:ascii="Times New Roman" w:hAnsi="Times New Roman"/>
                <w:sz w:val="20"/>
                <w:szCs w:val="20"/>
              </w:rPr>
              <w:br/>
              <w:t>2.  Building must be conditioned with mechanical cooling to be eligible for envelope incentives.</w:t>
            </w:r>
            <w:r w:rsidRPr="00CE6CE4">
              <w:rPr>
                <w:rFonts w:ascii="Times New Roman" w:hAnsi="Times New Roman"/>
                <w:sz w:val="20"/>
                <w:szCs w:val="20"/>
              </w:rPr>
              <w:br/>
              <w:t>3.  Window square footage is determined by the dimensions of the entire window assembly, not just the window glass.</w:t>
            </w:r>
            <w:r w:rsidRPr="00CE6CE4">
              <w:rPr>
                <w:rFonts w:ascii="Times New Roman" w:hAnsi="Times New Roman"/>
                <w:sz w:val="20"/>
                <w:szCs w:val="20"/>
              </w:rPr>
              <w:br/>
              <w:t>4.  Energy performance of window assemblies and glazing products must be rated in accordance with NFRC.  Site-Built metal window systems must include a thermal break within the frame or other appropriate NFRC certification to qualify for incentives.  Skylights are not eligible to receive incentives.</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5.  Compliance with the minimum efficiency requ</w:t>
            </w:r>
            <w:smartTag w:uri="urn:schemas-microsoft-com:office:smarttags" w:element="stockticker">
              <w:r w:rsidRPr="00CE6CE4">
                <w:rPr>
                  <w:rFonts w:ascii="Times New Roman" w:hAnsi="Times New Roman"/>
                  <w:sz w:val="20"/>
                  <w:szCs w:val="20"/>
                </w:rPr>
                <w:t>irem</w:t>
              </w:r>
            </w:smartTag>
            <w:r w:rsidRPr="00CE6CE4">
              <w:rPr>
                <w:rFonts w:ascii="Times New Roman" w:hAnsi="Times New Roman"/>
                <w:sz w:val="20"/>
                <w:szCs w:val="20"/>
              </w:rPr>
              <w:t>ents of Roof/Attic Insulation and Wall Insulation measures may be demonstrated with equivalent U-factors and is subject to Pacific Power approval.</w:t>
            </w:r>
          </w:p>
          <w:p w:rsidR="007633A9" w:rsidRPr="00CE6CE4" w:rsidRDefault="007633A9" w:rsidP="00692D4F">
            <w:pPr>
              <w:rPr>
                <w:rFonts w:ascii="Times New Roman" w:hAnsi="Times New Roman"/>
                <w:sz w:val="20"/>
                <w:szCs w:val="20"/>
              </w:rPr>
            </w:pPr>
          </w:p>
          <w:p w:rsidR="007633A9" w:rsidRPr="00CE6CE4" w:rsidRDefault="007633A9" w:rsidP="00692D4F">
            <w:pPr>
              <w:rPr>
                <w:rFonts w:ascii="Times New Roman" w:hAnsi="Times New Roman"/>
                <w:sz w:val="20"/>
                <w:szCs w:val="20"/>
              </w:rPr>
            </w:pPr>
            <w:r w:rsidRPr="00CE6CE4">
              <w:rPr>
                <w:rFonts w:ascii="Times New Roman" w:hAnsi="Times New Roman"/>
                <w:bCs/>
                <w:sz w:val="20"/>
                <w:szCs w:val="20"/>
              </w:rPr>
              <w:t>NFRC</w:t>
            </w:r>
            <w:r w:rsidRPr="00CE6CE4">
              <w:rPr>
                <w:rFonts w:ascii="Times New Roman" w:hAnsi="Times New Roman"/>
                <w:sz w:val="20"/>
                <w:szCs w:val="20"/>
              </w:rPr>
              <w:t xml:space="preserve"> = National Fenestration Rating Council</w:t>
            </w:r>
          </w:p>
          <w:p w:rsidR="007633A9" w:rsidRPr="00CE6CE4" w:rsidRDefault="007633A9" w:rsidP="00692D4F">
            <w:pPr>
              <w:rPr>
                <w:rFonts w:ascii="Times New Roman" w:hAnsi="Times New Roman"/>
                <w:bCs/>
                <w:sz w:val="20"/>
                <w:szCs w:val="20"/>
              </w:rPr>
            </w:pPr>
            <w:r w:rsidRPr="00CE6CE4">
              <w:rPr>
                <w:rFonts w:ascii="Times New Roman" w:hAnsi="Times New Roman"/>
                <w:sz w:val="20"/>
                <w:szCs w:val="20"/>
              </w:rPr>
              <w:t>SHGC = Solar Heat Gai</w:t>
            </w:r>
            <w:smartTag w:uri="urn:schemas-microsoft-com:office:smarttags" w:element="stockticker">
              <w:r w:rsidRPr="00CE6CE4">
                <w:rPr>
                  <w:rFonts w:ascii="Times New Roman" w:hAnsi="Times New Roman"/>
                  <w:sz w:val="20"/>
                  <w:szCs w:val="20"/>
                </w:rPr>
                <w:t>n Co</w:t>
              </w:r>
            </w:smartTag>
            <w:r w:rsidRPr="00CE6CE4">
              <w:rPr>
                <w:rFonts w:ascii="Times New Roman" w:hAnsi="Times New Roman"/>
                <w:sz w:val="20"/>
                <w:szCs w:val="20"/>
              </w:rPr>
              <w:t>efficient</w:t>
            </w:r>
          </w:p>
        </w:tc>
      </w:tr>
    </w:tbl>
    <w:p w:rsidR="007633A9" w:rsidRPr="000C7C45" w:rsidRDefault="007633A9" w:rsidP="007633A9">
      <w:pPr>
        <w:rPr>
          <w:rFonts w:ascii="Times New Roman" w:hAnsi="Times New Roman"/>
          <w:sz w:val="24"/>
          <w:szCs w:val="24"/>
        </w:rPr>
      </w:pPr>
      <w:r w:rsidRPr="000C7C45">
        <w:rPr>
          <w:rFonts w:ascii="Times New Roman" w:hAnsi="Times New Roman"/>
          <w:sz w:val="24"/>
          <w:szCs w:val="24"/>
        </w:rPr>
        <w:br w:type="page"/>
      </w:r>
    </w:p>
    <w:tbl>
      <w:tblPr>
        <w:tblW w:w="8730" w:type="dxa"/>
        <w:tblInd w:w="108" w:type="dxa"/>
        <w:tblLook w:val="0000"/>
      </w:tblPr>
      <w:tblGrid>
        <w:gridCol w:w="2430"/>
        <w:gridCol w:w="2160"/>
        <w:gridCol w:w="2610"/>
        <w:gridCol w:w="1530"/>
      </w:tblGrid>
      <w:tr w:rsidR="007633A9" w:rsidRPr="000C7C45" w:rsidTr="00692D4F">
        <w:trPr>
          <w:trHeight w:val="270"/>
        </w:trPr>
        <w:tc>
          <w:tcPr>
            <w:tcW w:w="8730" w:type="dxa"/>
            <w:gridSpan w:val="4"/>
            <w:tcBorders>
              <w:top w:val="nil"/>
              <w:left w:val="nil"/>
              <w:bottom w:val="single" w:sz="4" w:space="0" w:color="auto"/>
              <w:right w:val="nil"/>
            </w:tcBorders>
            <w:shd w:val="clear" w:color="auto" w:fill="auto"/>
            <w:noWrap/>
            <w:vAlign w:val="bottom"/>
          </w:tcPr>
          <w:p w:rsidR="007633A9" w:rsidRPr="0061470A" w:rsidRDefault="007633A9" w:rsidP="00692D4F">
            <w:pPr>
              <w:jc w:val="center"/>
              <w:rPr>
                <w:rFonts w:ascii="Times New Roman" w:hAnsi="Times New Roman"/>
                <w:sz w:val="24"/>
                <w:szCs w:val="24"/>
              </w:rPr>
            </w:pPr>
            <w:r w:rsidRPr="0061470A">
              <w:rPr>
                <w:rFonts w:ascii="Times New Roman" w:hAnsi="Times New Roman"/>
                <w:b/>
                <w:bCs/>
                <w:sz w:val="24"/>
                <w:szCs w:val="24"/>
              </w:rPr>
              <w:t>Food Service Equipment Incentives</w:t>
            </w:r>
          </w:p>
        </w:tc>
      </w:tr>
      <w:tr w:rsidR="007633A9" w:rsidRPr="000C7C45" w:rsidTr="00692D4F">
        <w:trPr>
          <w:trHeight w:val="495"/>
        </w:trPr>
        <w:tc>
          <w:tcPr>
            <w:tcW w:w="2430" w:type="dxa"/>
            <w:tcBorders>
              <w:top w:val="single" w:sz="4" w:space="0" w:color="auto"/>
              <w:left w:val="single" w:sz="4"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smartTag w:uri="urn:schemas-microsoft-com:office:smarttags" w:element="stockticker">
              <w:r w:rsidRPr="000C7C45">
                <w:rPr>
                  <w:rFonts w:ascii="Times New Roman" w:hAnsi="Times New Roman"/>
                  <w:b/>
                  <w:bCs/>
                  <w:sz w:val="18"/>
                  <w:szCs w:val="18"/>
                </w:rPr>
                <w:t>Equi</w:t>
              </w:r>
            </w:smartTag>
            <w:r w:rsidRPr="000C7C45">
              <w:rPr>
                <w:rFonts w:ascii="Times New Roman" w:hAnsi="Times New Roman"/>
                <w:b/>
                <w:bCs/>
                <w:sz w:val="18"/>
                <w:szCs w:val="18"/>
              </w:rPr>
              <w:t>pment Type</w:t>
            </w:r>
          </w:p>
        </w:tc>
        <w:tc>
          <w:tcPr>
            <w:tcW w:w="2160" w:type="dxa"/>
            <w:tcBorders>
              <w:top w:val="single" w:sz="4"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Category</w:t>
            </w:r>
          </w:p>
        </w:tc>
        <w:tc>
          <w:tcPr>
            <w:tcW w:w="2610" w:type="dxa"/>
            <w:tcBorders>
              <w:top w:val="single" w:sz="4"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w:t>
            </w:r>
            <w:smartTag w:uri="urn:schemas-microsoft-com:office:smarttags" w:element="stockticker">
              <w:r w:rsidRPr="000C7C45">
                <w:rPr>
                  <w:rFonts w:ascii="Times New Roman" w:hAnsi="Times New Roman"/>
                  <w:b/>
                  <w:bCs/>
                  <w:sz w:val="18"/>
                  <w:szCs w:val="18"/>
                </w:rPr>
                <w:t>quir</w:t>
              </w:r>
            </w:smartTag>
            <w:r w:rsidRPr="000C7C45">
              <w:rPr>
                <w:rFonts w:ascii="Times New Roman" w:hAnsi="Times New Roman"/>
                <w:b/>
                <w:bCs/>
                <w:sz w:val="18"/>
                <w:szCs w:val="18"/>
              </w:rPr>
              <w:t>ement</w:t>
            </w:r>
          </w:p>
        </w:tc>
        <w:tc>
          <w:tcPr>
            <w:tcW w:w="1530" w:type="dxa"/>
            <w:tcBorders>
              <w:top w:val="single" w:sz="4" w:space="0" w:color="auto"/>
              <w:left w:val="nil"/>
              <w:bottom w:val="single" w:sz="8"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692D4F">
        <w:trPr>
          <w:trHeight w:val="735"/>
        </w:trPr>
        <w:tc>
          <w:tcPr>
            <w:tcW w:w="2430" w:type="dxa"/>
            <w:tcBorders>
              <w:top w:val="single" w:sz="8" w:space="0" w:color="auto"/>
              <w:left w:val="single" w:sz="4" w:space="0" w:color="auto"/>
              <w:bottom w:val="nil"/>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Residential Dishwasher</w:t>
            </w:r>
            <w:r w:rsidRPr="000C7C45">
              <w:rPr>
                <w:rFonts w:ascii="Times New Roman" w:hAnsi="Times New Roman"/>
                <w:sz w:val="18"/>
                <w:szCs w:val="18"/>
              </w:rPr>
              <w:br/>
            </w:r>
          </w:p>
        </w:tc>
        <w:tc>
          <w:tcPr>
            <w:tcW w:w="2160"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Used in a business</w:t>
            </w:r>
          </w:p>
        </w:tc>
        <w:tc>
          <w:tcPr>
            <w:tcW w:w="2610"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Home Energy Savings program</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See Note 2 </w:t>
            </w:r>
          </w:p>
        </w:tc>
      </w:tr>
      <w:tr w:rsidR="007633A9" w:rsidRPr="000C7C45" w:rsidTr="00692D4F">
        <w:trPr>
          <w:trHeight w:val="270"/>
        </w:trPr>
        <w:tc>
          <w:tcPr>
            <w:tcW w:w="24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Commercial Dishwasher</w:t>
            </w:r>
            <w:r w:rsidRPr="000C7C45">
              <w:rPr>
                <w:rFonts w:ascii="Times New Roman" w:hAnsi="Times New Roman"/>
                <w:sz w:val="18"/>
                <w:szCs w:val="18"/>
              </w:rPr>
              <w:br/>
              <w:t>(Electric Water Heating Only)</w:t>
            </w:r>
            <w:r w:rsidRPr="000C7C45">
              <w:rPr>
                <w:rFonts w:ascii="Times New Roman" w:hAnsi="Times New Roman"/>
                <w:sz w:val="18"/>
                <w:szCs w:val="18"/>
              </w:rPr>
              <w:br/>
              <w:t>(See Note 3)</w:t>
            </w: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Undercounter</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$500 </w:t>
            </w:r>
          </w:p>
        </w:tc>
      </w:tr>
      <w:tr w:rsidR="007633A9" w:rsidRPr="000C7C45" w:rsidTr="00692D4F">
        <w:trPr>
          <w:trHeight w:val="495"/>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Stationary Rack, Single Tank, Doo</w:t>
            </w:r>
            <w:smartTag w:uri="urn:schemas-microsoft-com:office:smarttags" w:element="stockticker">
              <w:r w:rsidRPr="000C7C45">
                <w:rPr>
                  <w:rFonts w:ascii="Times New Roman" w:hAnsi="Times New Roman"/>
                  <w:sz w:val="18"/>
                  <w:szCs w:val="18"/>
                </w:rPr>
                <w:t>r Ty</w:t>
              </w:r>
            </w:smartTag>
            <w:r w:rsidRPr="000C7C45">
              <w:rPr>
                <w:rFonts w:ascii="Times New Roman" w:hAnsi="Times New Roman"/>
                <w:sz w:val="18"/>
                <w:szCs w:val="18"/>
              </w:rPr>
              <w:t>pe</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$1,000 </w:t>
            </w:r>
          </w:p>
        </w:tc>
      </w:tr>
      <w:tr w:rsidR="007633A9" w:rsidRPr="000C7C45" w:rsidTr="00692D4F">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Single Tank Conveyor</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$1,500 </w:t>
            </w:r>
          </w:p>
        </w:tc>
      </w:tr>
      <w:tr w:rsidR="007633A9" w:rsidRPr="000C7C45" w:rsidTr="00692D4F">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Multiple Tank Conveyor</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$2,000 </w:t>
            </w:r>
          </w:p>
        </w:tc>
      </w:tr>
      <w:tr w:rsidR="007633A9" w:rsidRPr="000C7C45" w:rsidTr="00692D4F">
        <w:trPr>
          <w:trHeight w:val="270"/>
        </w:trPr>
        <w:tc>
          <w:tcPr>
            <w:tcW w:w="2430" w:type="dxa"/>
            <w:vMerge w:val="restart"/>
            <w:tcBorders>
              <w:top w:val="nil"/>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Insulated Holding Cabinet</w:t>
            </w: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Full Size – Tier 1</w:t>
            </w:r>
          </w:p>
        </w:tc>
        <w:tc>
          <w:tcPr>
            <w:tcW w:w="2610" w:type="dxa"/>
            <w:vMerge w:val="restart"/>
            <w:tcBorders>
              <w:top w:val="nil"/>
              <w:left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w:t>
            </w:r>
            <w:smartTag w:uri="urn:schemas-microsoft-com:office:smarttags" w:element="stockticker">
              <w:r w:rsidRPr="000C7C45">
                <w:rPr>
                  <w:rFonts w:ascii="Times New Roman" w:hAnsi="Times New Roman"/>
                  <w:sz w:val="18"/>
                  <w:szCs w:val="18"/>
                </w:rPr>
                <w:t>uali</w:t>
              </w:r>
            </w:smartTag>
            <w:r w:rsidRPr="000C7C45">
              <w:rPr>
                <w:rFonts w:ascii="Times New Roman" w:hAnsi="Times New Roman"/>
                <w:sz w:val="18"/>
                <w:szCs w:val="18"/>
              </w:rPr>
              <w:t>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$300 </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3/4 Size – Tier 1</w:t>
            </w:r>
          </w:p>
        </w:tc>
        <w:tc>
          <w:tcPr>
            <w:tcW w:w="2610" w:type="dxa"/>
            <w:vMerge/>
            <w:tcBorders>
              <w:left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$250 </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1/2 Size – Tier 1</w:t>
            </w:r>
          </w:p>
        </w:tc>
        <w:tc>
          <w:tcPr>
            <w:tcW w:w="2610" w:type="dxa"/>
            <w:vMerge/>
            <w:tcBorders>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$200 </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Full Size – Tier 2</w:t>
            </w:r>
          </w:p>
        </w:tc>
        <w:tc>
          <w:tcPr>
            <w:tcW w:w="2610" w:type="dxa"/>
            <w:vMerge w:val="restart"/>
            <w:tcBorders>
              <w:top w:val="nil"/>
              <w:left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Watts/cubic feet</w:t>
            </w:r>
            <w:smartTag w:uri="urn:schemas-microsoft-com:office:smarttags" w:element="stockticker">
              <w:r w:rsidRPr="000C7C45">
                <w:rPr>
                  <w:rFonts w:ascii="Times New Roman" w:hAnsi="Times New Roman"/>
                  <w:sz w:val="18"/>
                  <w:szCs w:val="18"/>
                </w:rPr>
                <w:t xml:space="preserve"> ≤ 2</w:t>
              </w:r>
            </w:smartTag>
            <w:r w:rsidRPr="000C7C45">
              <w:rPr>
                <w:rFonts w:ascii="Times New Roman" w:hAnsi="Times New Roman"/>
                <w:sz w:val="18"/>
                <w:szCs w:val="18"/>
              </w:rPr>
              <w:t>0 W</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4)</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$600 </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3/4 Size – Tier 2</w:t>
            </w:r>
          </w:p>
        </w:tc>
        <w:tc>
          <w:tcPr>
            <w:tcW w:w="2610" w:type="dxa"/>
            <w:vMerge/>
            <w:tcBorders>
              <w:left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$500 </w:t>
            </w:r>
          </w:p>
        </w:tc>
      </w:tr>
      <w:tr w:rsidR="007633A9" w:rsidRPr="000C7C45" w:rsidTr="00692D4F">
        <w:trPr>
          <w:trHeight w:val="270"/>
        </w:trPr>
        <w:tc>
          <w:tcPr>
            <w:tcW w:w="2430" w:type="dxa"/>
            <w:vMerge/>
            <w:tcBorders>
              <w:left w:val="single" w:sz="4"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1/2 Size – Tier 2</w:t>
            </w:r>
          </w:p>
        </w:tc>
        <w:tc>
          <w:tcPr>
            <w:tcW w:w="2610" w:type="dxa"/>
            <w:vMerge/>
            <w:tcBorders>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$400 </w:t>
            </w:r>
          </w:p>
        </w:tc>
      </w:tr>
      <w:tr w:rsidR="007633A9" w:rsidRPr="000C7C45" w:rsidTr="00692D4F">
        <w:trPr>
          <w:trHeight w:val="270"/>
        </w:trPr>
        <w:tc>
          <w:tcPr>
            <w:tcW w:w="2430" w:type="dxa"/>
            <w:vMerge w:val="restart"/>
            <w:tcBorders>
              <w:top w:val="nil"/>
              <w:left w:val="single" w:sz="4"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Steam Cooker</w:t>
            </w:r>
          </w:p>
        </w:tc>
        <w:tc>
          <w:tcPr>
            <w:tcW w:w="2160"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 4-, 5- and 6-pan sizes – Tier 1</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$750 </w:t>
            </w:r>
          </w:p>
        </w:tc>
      </w:tr>
      <w:tr w:rsidR="007633A9" w:rsidRPr="000C7C45" w:rsidTr="00692D4F">
        <w:trPr>
          <w:trHeight w:val="270"/>
        </w:trPr>
        <w:tc>
          <w:tcPr>
            <w:tcW w:w="2430" w:type="dxa"/>
            <w:vMerge/>
            <w:tcBorders>
              <w:left w:val="single" w:sz="4" w:space="0" w:color="auto"/>
              <w:bottom w:val="nil"/>
              <w:right w:val="nil"/>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 4-, 5- and 6-pan sizes – Tier 2</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Heavy Load Efficiency</w:t>
            </w:r>
            <w:smartTag w:uri="urn:schemas-microsoft-com:office:smarttags" w:element="stockticker">
              <w:r w:rsidRPr="000C7C45">
                <w:rPr>
                  <w:rFonts w:ascii="Times New Roman" w:hAnsi="Times New Roman"/>
                  <w:sz w:val="18"/>
                  <w:szCs w:val="18"/>
                </w:rPr>
                <w:t xml:space="preserve"> ≥ 6</w:t>
              </w:r>
            </w:smartTag>
            <w:r w:rsidRPr="000C7C45">
              <w:rPr>
                <w:rFonts w:ascii="Times New Roman" w:hAnsi="Times New Roman"/>
                <w:sz w:val="18"/>
                <w:szCs w:val="18"/>
              </w:rPr>
              <w:t>5%, Idle Energy Rate ≤ 0.23 kW (See Note 4)</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$840</w:t>
            </w:r>
          </w:p>
        </w:tc>
      </w:tr>
      <w:tr w:rsidR="007633A9" w:rsidRPr="000C7C45" w:rsidTr="00692D4F">
        <w:trPr>
          <w:trHeight w:val="495"/>
        </w:trPr>
        <w:tc>
          <w:tcPr>
            <w:tcW w:w="2430" w:type="dxa"/>
            <w:tcBorders>
              <w:top w:val="single" w:sz="8" w:space="0" w:color="auto"/>
              <w:left w:val="single" w:sz="4" w:space="0" w:color="auto"/>
              <w:bottom w:val="nil"/>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Convection</w:t>
            </w:r>
            <w:smartTag w:uri="urn:schemas-microsoft-com:office:smarttags" w:element="stockticker">
              <w:r w:rsidRPr="000C7C45">
                <w:rPr>
                  <w:rFonts w:ascii="Times New Roman" w:hAnsi="Times New Roman"/>
                  <w:sz w:val="18"/>
                  <w:szCs w:val="18"/>
                </w:rPr>
                <w:t xml:space="preserve"> Ove</w:t>
              </w:r>
            </w:smartTag>
            <w:r w:rsidRPr="000C7C45">
              <w:rPr>
                <w:rFonts w:ascii="Times New Roman" w:hAnsi="Times New Roman"/>
                <w:sz w:val="18"/>
                <w:szCs w:val="18"/>
              </w:rPr>
              <w:t>n</w:t>
            </w:r>
          </w:p>
        </w:tc>
        <w:tc>
          <w:tcPr>
            <w:tcW w:w="2160"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≥70% cooking efficiency</w:t>
            </w:r>
            <w:r w:rsidRPr="000C7C45">
              <w:rPr>
                <w:rFonts w:ascii="Times New Roman" w:hAnsi="Times New Roman"/>
                <w:sz w:val="18"/>
                <w:szCs w:val="18"/>
              </w:rPr>
              <w:br/>
              <w:t>(See Note 4)</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$350 </w:t>
            </w:r>
          </w:p>
        </w:tc>
      </w:tr>
      <w:tr w:rsidR="007633A9" w:rsidRPr="000C7C45" w:rsidTr="00692D4F">
        <w:trPr>
          <w:trHeight w:val="495"/>
        </w:trPr>
        <w:tc>
          <w:tcPr>
            <w:tcW w:w="2430" w:type="dxa"/>
            <w:vMerge w:val="restart"/>
            <w:tcBorders>
              <w:top w:val="single" w:sz="8" w:space="0" w:color="auto"/>
              <w:left w:val="single" w:sz="4"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Griddle</w:t>
            </w:r>
          </w:p>
        </w:tc>
        <w:tc>
          <w:tcPr>
            <w:tcW w:w="2160"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T</w:t>
            </w:r>
            <w:smartTag w:uri="urn:schemas-microsoft-com:office:smarttags" w:element="stockticker">
              <w:r w:rsidRPr="000C7C45">
                <w:rPr>
                  <w:rFonts w:ascii="Times New Roman" w:hAnsi="Times New Roman"/>
                  <w:sz w:val="18"/>
                  <w:szCs w:val="18"/>
                </w:rPr>
                <w:t xml:space="preserve">ier </w:t>
              </w:r>
            </w:smartTag>
            <w:r w:rsidRPr="000C7C45">
              <w:rPr>
                <w:rFonts w:ascii="Times New Roman" w:hAnsi="Times New Roman"/>
                <w:sz w:val="18"/>
                <w:szCs w:val="18"/>
              </w:rPr>
              <w:t>1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$250 </w:t>
            </w:r>
          </w:p>
        </w:tc>
      </w:tr>
      <w:tr w:rsidR="007633A9" w:rsidRPr="000C7C45" w:rsidTr="00692D4F">
        <w:trPr>
          <w:trHeight w:val="495"/>
        </w:trPr>
        <w:tc>
          <w:tcPr>
            <w:tcW w:w="2430" w:type="dxa"/>
            <w:vMerge/>
            <w:tcBorders>
              <w:left w:val="single" w:sz="4" w:space="0" w:color="auto"/>
              <w:bottom w:val="nil"/>
              <w:right w:val="nil"/>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Tier 2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$350</w:t>
            </w:r>
          </w:p>
        </w:tc>
      </w:tr>
      <w:tr w:rsidR="007633A9" w:rsidRPr="000C7C45" w:rsidTr="00692D4F">
        <w:trPr>
          <w:trHeight w:val="495"/>
        </w:trPr>
        <w:tc>
          <w:tcPr>
            <w:tcW w:w="2430" w:type="dxa"/>
            <w:tcBorders>
              <w:top w:val="single" w:sz="8" w:space="0" w:color="auto"/>
              <w:left w:val="single" w:sz="4" w:space="0" w:color="auto"/>
              <w:bottom w:val="nil"/>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Combination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2610" w:type="dxa"/>
            <w:tcBorders>
              <w:top w:val="nil"/>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Heavy Load Efficiency ≥70%, </w:t>
            </w:r>
          </w:p>
          <w:p w:rsidR="007633A9" w:rsidRPr="000C7C45" w:rsidRDefault="007633A9" w:rsidP="00692D4F">
            <w:pPr>
              <w:jc w:val="center"/>
              <w:rPr>
                <w:rFonts w:ascii="Times New Roman" w:hAnsi="Times New Roman"/>
                <w:sz w:val="18"/>
                <w:szCs w:val="18"/>
              </w:rPr>
            </w:pPr>
            <w:r w:rsidRPr="000C7C45">
              <w:rPr>
                <w:rFonts w:ascii="Times New Roman" w:hAnsi="Times New Roman"/>
              </w:rPr>
              <w:t xml:space="preserve"> </w:t>
            </w:r>
            <w:r w:rsidRPr="000C7C45">
              <w:rPr>
                <w:rFonts w:ascii="Times New Roman" w:hAnsi="Times New Roman"/>
                <w:sz w:val="18"/>
                <w:szCs w:val="18"/>
              </w:rPr>
              <w:t>Idle Energy Rate ≤ 3.5 k</w:t>
            </w:r>
            <w:smartTag w:uri="urn:schemas-microsoft-com:office:smarttags" w:element="stockticker">
              <w:r w:rsidRPr="000C7C45">
                <w:rPr>
                  <w:rFonts w:ascii="Times New Roman" w:hAnsi="Times New Roman"/>
                  <w:sz w:val="18"/>
                  <w:szCs w:val="18"/>
                </w:rPr>
                <w:t>W</w:t>
              </w:r>
            </w:smartTag>
            <w:r w:rsidRPr="000C7C45">
              <w:rPr>
                <w:rFonts w:ascii="Times New Roman" w:hAnsi="Times New Roman"/>
                <w:sz w:val="18"/>
                <w:szCs w:val="18"/>
              </w:rPr>
              <w:br/>
              <w:t>(See Note 4)</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$1,000 </w:t>
            </w:r>
          </w:p>
        </w:tc>
      </w:tr>
      <w:tr w:rsidR="007633A9" w:rsidRPr="000C7C45" w:rsidTr="00692D4F">
        <w:trPr>
          <w:trHeight w:val="270"/>
        </w:trPr>
        <w:tc>
          <w:tcPr>
            <w:tcW w:w="2430" w:type="dxa"/>
            <w:vMerge w:val="restart"/>
            <w:tcBorders>
              <w:top w:val="single" w:sz="8" w:space="0" w:color="auto"/>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Commercial Fryer</w:t>
            </w:r>
          </w:p>
        </w:tc>
        <w:tc>
          <w:tcPr>
            <w:tcW w:w="216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$200 </w:t>
            </w:r>
          </w:p>
        </w:tc>
      </w:tr>
      <w:tr w:rsidR="007633A9" w:rsidRPr="000C7C45" w:rsidTr="00692D4F">
        <w:trPr>
          <w:trHeight w:val="270"/>
        </w:trPr>
        <w:tc>
          <w:tcPr>
            <w:tcW w:w="2430" w:type="dxa"/>
            <w:vMerge/>
            <w:tcBorders>
              <w:left w:val="single" w:sz="4"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nil"/>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Cooking Efficiency ≥ 86.6%, Idle Energy Rate </w:t>
            </w:r>
            <w:smartTag w:uri="urn:schemas-microsoft-com:office:smarttags" w:element="stockticker">
              <w:r w:rsidRPr="000C7C45">
                <w:rPr>
                  <w:rFonts w:ascii="Times New Roman" w:hAnsi="Times New Roman"/>
                  <w:sz w:val="18"/>
                  <w:szCs w:val="18"/>
                </w:rPr>
                <w:t>≤ 77</w:t>
              </w:r>
            </w:smartTag>
            <w:r w:rsidRPr="000C7C45">
              <w:rPr>
                <w:rFonts w:ascii="Times New Roman" w:hAnsi="Times New Roman"/>
                <w:sz w:val="18"/>
                <w:szCs w:val="18"/>
              </w:rPr>
              <w:t>2 Watts (See Note 4)</w:t>
            </w:r>
          </w:p>
        </w:tc>
        <w:tc>
          <w:tcPr>
            <w:tcW w:w="1530" w:type="dxa"/>
            <w:tcBorders>
              <w:top w:val="nil"/>
              <w:left w:val="nil"/>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$300</w:t>
            </w:r>
          </w:p>
        </w:tc>
      </w:tr>
      <w:tr w:rsidR="007633A9" w:rsidRPr="000C7C45" w:rsidTr="00692D4F">
        <w:trPr>
          <w:trHeight w:val="270"/>
        </w:trPr>
        <w:tc>
          <w:tcPr>
            <w:tcW w:w="2430" w:type="dxa"/>
            <w:vMerge w:val="restart"/>
            <w:tcBorders>
              <w:top w:val="nil"/>
              <w:left w:val="single" w:sz="4" w:space="0" w:color="auto"/>
              <w:bottom w:val="nil"/>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Ice Machines</w:t>
            </w:r>
            <w:r w:rsidRPr="000C7C45">
              <w:rPr>
                <w:rFonts w:ascii="Times New Roman" w:hAnsi="Times New Roman"/>
                <w:sz w:val="18"/>
                <w:szCs w:val="18"/>
              </w:rPr>
              <w:br/>
              <w:t>(Air-Cooled Only)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1: Harvest Rate  &lt;500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nil"/>
              <w:left w:val="nil"/>
              <w:bottom w:val="nil"/>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$125 </w:t>
            </w:r>
          </w:p>
        </w:tc>
      </w:tr>
      <w:tr w:rsidR="007633A9" w:rsidRPr="000C7C45" w:rsidTr="00692D4F">
        <w:trPr>
          <w:trHeight w:val="270"/>
        </w:trPr>
        <w:tc>
          <w:tcPr>
            <w:tcW w:w="2430" w:type="dxa"/>
            <w:vMerge/>
            <w:tcBorders>
              <w:top w:val="nil"/>
              <w:left w:val="single" w:sz="4" w:space="0" w:color="auto"/>
              <w:bottom w:val="nil"/>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1: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single" w:sz="8" w:space="0" w:color="auto"/>
              <w:left w:val="nil"/>
              <w:bottom w:val="nil"/>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$150 </w:t>
            </w:r>
          </w:p>
        </w:tc>
      </w:tr>
      <w:tr w:rsidR="007633A9" w:rsidRPr="000C7C45" w:rsidTr="00692D4F">
        <w:trPr>
          <w:trHeight w:val="270"/>
        </w:trPr>
        <w:tc>
          <w:tcPr>
            <w:tcW w:w="2430" w:type="dxa"/>
            <w:vMerge/>
            <w:tcBorders>
              <w:top w:val="nil"/>
              <w:left w:val="single" w:sz="4" w:space="0" w:color="auto"/>
              <w:bottom w:val="nil"/>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2: Harvest Rate  &lt;500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$250 </w:t>
            </w:r>
          </w:p>
        </w:tc>
      </w:tr>
      <w:tr w:rsidR="007633A9" w:rsidRPr="000C7C45" w:rsidTr="00692D4F">
        <w:trPr>
          <w:trHeight w:val="270"/>
        </w:trPr>
        <w:tc>
          <w:tcPr>
            <w:tcW w:w="2430" w:type="dxa"/>
            <w:vMerge/>
            <w:tcBorders>
              <w:top w:val="nil"/>
              <w:left w:val="single" w:sz="4" w:space="0" w:color="auto"/>
              <w:bottom w:val="nil"/>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Tier 2: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3 Qualified</w:t>
            </w:r>
          </w:p>
        </w:tc>
        <w:tc>
          <w:tcPr>
            <w:tcW w:w="1530" w:type="dxa"/>
            <w:tcBorders>
              <w:top w:val="single" w:sz="8" w:space="0" w:color="auto"/>
              <w:left w:val="nil"/>
              <w:bottom w:val="nil"/>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$400 </w:t>
            </w:r>
          </w:p>
        </w:tc>
      </w:tr>
      <w:tr w:rsidR="007633A9" w:rsidRPr="000C7C45" w:rsidTr="00692D4F">
        <w:trPr>
          <w:trHeight w:val="495"/>
        </w:trPr>
        <w:tc>
          <w:tcPr>
            <w:tcW w:w="2430" w:type="dxa"/>
            <w:tcBorders>
              <w:top w:val="single" w:sz="8" w:space="0" w:color="auto"/>
              <w:left w:val="single" w:sz="4"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Residential Refrigerator</w:t>
            </w:r>
          </w:p>
        </w:tc>
        <w:tc>
          <w:tcPr>
            <w:tcW w:w="2160" w:type="dxa"/>
            <w:tcBorders>
              <w:top w:val="single" w:sz="4" w:space="0" w:color="auto"/>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Used in a business</w:t>
            </w:r>
          </w:p>
        </w:tc>
        <w:tc>
          <w:tcPr>
            <w:tcW w:w="261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Home Energy Savings program</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See Note 2 </w:t>
            </w:r>
          </w:p>
        </w:tc>
      </w:tr>
      <w:tr w:rsidR="007633A9" w:rsidRPr="000C7C45" w:rsidTr="00692D4F">
        <w:trPr>
          <w:trHeight w:val="270"/>
        </w:trPr>
        <w:tc>
          <w:tcPr>
            <w:tcW w:w="2430" w:type="dxa"/>
            <w:vMerge w:val="restart"/>
            <w:tcBorders>
              <w:top w:val="nil"/>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Commercial Glass 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 &lt; V &lt; 15</w:t>
            </w:r>
          </w:p>
        </w:tc>
        <w:tc>
          <w:tcPr>
            <w:tcW w:w="2610" w:type="dxa"/>
            <w:vMerge w:val="restart"/>
            <w:tcBorders>
              <w:top w:val="nil"/>
              <w:left w:val="single" w:sz="4" w:space="0" w:color="auto"/>
              <w:right w:val="single" w:sz="4" w:space="0" w:color="auto"/>
            </w:tcBorders>
            <w:shd w:val="clear" w:color="auto" w:fill="auto"/>
            <w:vAlign w:val="center"/>
          </w:tcPr>
          <w:p w:rsidR="007633A9" w:rsidRPr="000C7C45" w:rsidDel="00971E03"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$100</w:t>
            </w:r>
          </w:p>
        </w:tc>
      </w:tr>
      <w:tr w:rsidR="007633A9" w:rsidRPr="000C7C45" w:rsidTr="00692D4F">
        <w:trPr>
          <w:trHeight w:val="270"/>
        </w:trPr>
        <w:tc>
          <w:tcPr>
            <w:tcW w:w="243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 ≤ V &lt; 30</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$125 </w:t>
            </w:r>
          </w:p>
        </w:tc>
      </w:tr>
      <w:tr w:rsidR="007633A9" w:rsidRPr="000C7C45" w:rsidTr="00692D4F">
        <w:trPr>
          <w:trHeight w:val="270"/>
        </w:trPr>
        <w:tc>
          <w:tcPr>
            <w:tcW w:w="243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$150 </w:t>
            </w:r>
          </w:p>
        </w:tc>
      </w:tr>
      <w:tr w:rsidR="007633A9" w:rsidRPr="000C7C45" w:rsidTr="00692D4F">
        <w:trPr>
          <w:trHeight w:val="270"/>
        </w:trPr>
        <w:tc>
          <w:tcPr>
            <w:tcW w:w="243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$175 </w:t>
            </w:r>
          </w:p>
        </w:tc>
      </w:tr>
      <w:tr w:rsidR="007633A9" w:rsidRPr="000C7C45" w:rsidTr="00692D4F">
        <w:trPr>
          <w:trHeight w:val="270"/>
        </w:trPr>
        <w:tc>
          <w:tcPr>
            <w:tcW w:w="2430" w:type="dxa"/>
            <w:vMerge/>
            <w:tcBorders>
              <w:left w:val="single" w:sz="4" w:space="0" w:color="auto"/>
              <w:bottom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$75</w:t>
            </w:r>
          </w:p>
        </w:tc>
      </w:tr>
      <w:tr w:rsidR="007633A9" w:rsidRPr="000C7C45" w:rsidTr="00692D4F">
        <w:trPr>
          <w:trHeight w:val="27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Del="0017548E" w:rsidRDefault="007633A9" w:rsidP="00692D4F">
            <w:pPr>
              <w:rPr>
                <w:rFonts w:ascii="Times New Roman" w:hAnsi="Times New Roman"/>
                <w:sz w:val="18"/>
                <w:szCs w:val="18"/>
              </w:rPr>
            </w:pPr>
            <w:r w:rsidRPr="000C7C45">
              <w:rPr>
                <w:rFonts w:ascii="Times New Roman" w:hAnsi="Times New Roman"/>
                <w:sz w:val="18"/>
                <w:szCs w:val="18"/>
              </w:rPr>
              <w:t>Commercial Glass Door Freezer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color w:val="000000"/>
                <w:sz w:val="18"/>
                <w:szCs w:val="18"/>
              </w:rPr>
              <w:t>0 &lt; V &lt; 15</w:t>
            </w:r>
          </w:p>
        </w:tc>
        <w:tc>
          <w:tcPr>
            <w:tcW w:w="2610" w:type="dxa"/>
            <w:vMerge w:val="restart"/>
            <w:tcBorders>
              <w:top w:val="single" w:sz="4" w:space="0" w:color="auto"/>
              <w:left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$300</w:t>
            </w:r>
          </w:p>
        </w:tc>
      </w:tr>
      <w:tr w:rsidR="007633A9" w:rsidRPr="000C7C45" w:rsidTr="00692D4F">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Del="0017548E"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color w:val="000000"/>
                <w:sz w:val="18"/>
                <w:szCs w:val="18"/>
              </w:rPr>
              <w:t>15 ≤ V &lt; 30</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$325</w:t>
            </w:r>
          </w:p>
        </w:tc>
      </w:tr>
      <w:tr w:rsidR="007633A9" w:rsidRPr="000C7C45" w:rsidTr="00692D4F">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Del="0017548E"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color w:val="000000"/>
                <w:sz w:val="18"/>
                <w:szCs w:val="18"/>
              </w:rPr>
              <w:t>30 ≤ V &lt; 50</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$375</w:t>
            </w:r>
          </w:p>
        </w:tc>
      </w:tr>
      <w:tr w:rsidR="007633A9" w:rsidRPr="000C7C45" w:rsidTr="00692D4F">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Del="0017548E"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color w:val="000000"/>
                <w:sz w:val="18"/>
                <w:szCs w:val="18"/>
              </w:rPr>
              <w:t>50 ≤ V</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$800</w:t>
            </w:r>
          </w:p>
        </w:tc>
      </w:tr>
      <w:tr w:rsidR="007633A9" w:rsidRPr="000C7C45" w:rsidTr="00692D4F">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Del="0017548E"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$100</w:t>
            </w:r>
          </w:p>
        </w:tc>
      </w:tr>
      <w:tr w:rsidR="007633A9" w:rsidRPr="000C7C45" w:rsidTr="00692D4F">
        <w:trPr>
          <w:trHeight w:val="270"/>
        </w:trPr>
        <w:tc>
          <w:tcPr>
            <w:tcW w:w="2430" w:type="dxa"/>
            <w:vMerge w:val="restart"/>
            <w:tcBorders>
              <w:top w:val="single" w:sz="4" w:space="0" w:color="auto"/>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Commercial Solid 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 &lt; V &lt; 15</w:t>
            </w:r>
          </w:p>
        </w:tc>
        <w:tc>
          <w:tcPr>
            <w:tcW w:w="2610" w:type="dxa"/>
            <w:vMerge w:val="restart"/>
            <w:tcBorders>
              <w:top w:val="single" w:sz="4" w:space="0" w:color="auto"/>
              <w:left w:val="single" w:sz="4" w:space="0" w:color="auto"/>
              <w:right w:val="single" w:sz="4" w:space="0" w:color="auto"/>
            </w:tcBorders>
            <w:shd w:val="clear" w:color="auto" w:fill="auto"/>
            <w:vAlign w:val="center"/>
          </w:tcPr>
          <w:p w:rsidR="007633A9" w:rsidRPr="000C7C45" w:rsidDel="00B93661"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$50</w:t>
            </w:r>
          </w:p>
        </w:tc>
      </w:tr>
      <w:tr w:rsidR="007633A9" w:rsidRPr="000C7C45" w:rsidTr="00692D4F">
        <w:trPr>
          <w:trHeight w:val="270"/>
        </w:trPr>
        <w:tc>
          <w:tcPr>
            <w:tcW w:w="243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 ≤ V &lt; 30</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$75</w:t>
            </w:r>
          </w:p>
        </w:tc>
      </w:tr>
      <w:tr w:rsidR="007633A9" w:rsidRPr="000C7C45" w:rsidTr="00692D4F">
        <w:trPr>
          <w:trHeight w:val="270"/>
        </w:trPr>
        <w:tc>
          <w:tcPr>
            <w:tcW w:w="243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$100</w:t>
            </w:r>
          </w:p>
        </w:tc>
      </w:tr>
      <w:tr w:rsidR="007633A9" w:rsidRPr="000C7C45" w:rsidTr="00692D4F">
        <w:trPr>
          <w:trHeight w:val="270"/>
        </w:trPr>
        <w:tc>
          <w:tcPr>
            <w:tcW w:w="243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$125</w:t>
            </w:r>
          </w:p>
        </w:tc>
      </w:tr>
      <w:tr w:rsidR="007633A9" w:rsidRPr="000C7C45" w:rsidTr="00692D4F">
        <w:trPr>
          <w:trHeight w:val="270"/>
        </w:trPr>
        <w:tc>
          <w:tcPr>
            <w:tcW w:w="2430" w:type="dxa"/>
            <w:vMerge/>
            <w:tcBorders>
              <w:left w:val="single" w:sz="4" w:space="0" w:color="auto"/>
              <w:bottom w:val="single" w:sz="8" w:space="0" w:color="000000"/>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Chest Configuration</w:t>
            </w:r>
          </w:p>
        </w:tc>
        <w:tc>
          <w:tcPr>
            <w:tcW w:w="2610" w:type="dxa"/>
            <w:vMerge/>
            <w:tcBorders>
              <w:left w:val="single" w:sz="4" w:space="0" w:color="auto"/>
              <w:bottom w:val="single" w:sz="8" w:space="0" w:color="000000"/>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$75</w:t>
            </w:r>
          </w:p>
        </w:tc>
      </w:tr>
      <w:tr w:rsidR="007633A9" w:rsidRPr="000C7C45" w:rsidTr="00692D4F">
        <w:trPr>
          <w:trHeight w:val="270"/>
        </w:trPr>
        <w:tc>
          <w:tcPr>
            <w:tcW w:w="2430" w:type="dxa"/>
            <w:vMerge w:val="restart"/>
            <w:tcBorders>
              <w:top w:val="nil"/>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Commercial Solid Door Freezer</w:t>
            </w:r>
          </w:p>
        </w:tc>
        <w:tc>
          <w:tcPr>
            <w:tcW w:w="2160" w:type="dxa"/>
            <w:tcBorders>
              <w:top w:val="single" w:sz="4" w:space="0" w:color="auto"/>
              <w:left w:val="nil"/>
              <w:bottom w:val="nil"/>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 &lt; V &lt; 15</w:t>
            </w:r>
          </w:p>
        </w:tc>
        <w:tc>
          <w:tcPr>
            <w:tcW w:w="2610" w:type="dxa"/>
            <w:vMerge w:val="restart"/>
            <w:tcBorders>
              <w:top w:val="nil"/>
              <w:left w:val="single" w:sz="8" w:space="0" w:color="auto"/>
              <w:right w:val="single" w:sz="4" w:space="0" w:color="auto"/>
            </w:tcBorders>
            <w:shd w:val="clear" w:color="auto" w:fill="auto"/>
            <w:vAlign w:val="center"/>
          </w:tcPr>
          <w:p w:rsidR="007633A9" w:rsidRPr="000C7C45" w:rsidDel="00B93661"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8" w:space="0" w:color="auto"/>
              <w:left w:val="nil"/>
              <w:bottom w:val="nil"/>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 ≤ V &lt; 30</w:t>
            </w:r>
          </w:p>
        </w:tc>
        <w:tc>
          <w:tcPr>
            <w:tcW w:w="2610" w:type="dxa"/>
            <w:vMerge/>
            <w:tcBorders>
              <w:left w:val="single" w:sz="8"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$175</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8" w:space="0" w:color="auto"/>
              <w:left w:val="nil"/>
              <w:bottom w:val="nil"/>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 ≤ V &lt; 50</w:t>
            </w:r>
          </w:p>
        </w:tc>
        <w:tc>
          <w:tcPr>
            <w:tcW w:w="2610" w:type="dxa"/>
            <w:vMerge/>
            <w:tcBorders>
              <w:left w:val="single" w:sz="8"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$200</w:t>
            </w:r>
          </w:p>
        </w:tc>
      </w:tr>
      <w:tr w:rsidR="007633A9" w:rsidRPr="000C7C45" w:rsidTr="00692D4F">
        <w:trPr>
          <w:trHeight w:val="270"/>
        </w:trPr>
        <w:tc>
          <w:tcPr>
            <w:tcW w:w="2430" w:type="dxa"/>
            <w:vMerge/>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50 ≤ V</w:t>
            </w:r>
          </w:p>
        </w:tc>
        <w:tc>
          <w:tcPr>
            <w:tcW w:w="2610" w:type="dxa"/>
            <w:vMerge/>
            <w:tcBorders>
              <w:left w:val="single" w:sz="8"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$300</w:t>
            </w:r>
          </w:p>
        </w:tc>
      </w:tr>
      <w:tr w:rsidR="007633A9" w:rsidRPr="000C7C45" w:rsidTr="00692D4F">
        <w:trPr>
          <w:trHeight w:val="270"/>
        </w:trPr>
        <w:tc>
          <w:tcPr>
            <w:tcW w:w="2430" w:type="dxa"/>
            <w:vMerge/>
            <w:tcBorders>
              <w:left w:val="single" w:sz="4" w:space="0" w:color="auto"/>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Chest Configuration</w:t>
            </w:r>
          </w:p>
        </w:tc>
        <w:tc>
          <w:tcPr>
            <w:tcW w:w="2610" w:type="dxa"/>
            <w:vMerge/>
            <w:tcBorders>
              <w:left w:val="single" w:sz="8" w:space="0" w:color="auto"/>
              <w:bottom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w:t>
            </w:r>
          </w:p>
        </w:tc>
      </w:tr>
      <w:tr w:rsidR="007633A9" w:rsidRPr="000C7C45" w:rsidTr="00692D4F">
        <w:trPr>
          <w:trHeight w:val="270"/>
        </w:trPr>
        <w:tc>
          <w:tcPr>
            <w:tcW w:w="2430" w:type="dxa"/>
            <w:vMerge w:val="restart"/>
            <w:tcBorders>
              <w:left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High-Efficiency Refrigerated Beverage Vending Machine (See Note 5)</w:t>
            </w:r>
          </w:p>
        </w:tc>
        <w:tc>
          <w:tcPr>
            <w:tcW w:w="2160" w:type="dxa"/>
            <w:tcBorders>
              <w:top w:val="single" w:sz="8" w:space="0" w:color="auto"/>
              <w:left w:val="nil"/>
              <w:bottom w:val="single" w:sz="4" w:space="0" w:color="auto"/>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Class A</w:t>
            </w:r>
          </w:p>
        </w:tc>
        <w:tc>
          <w:tcPr>
            <w:tcW w:w="2610" w:type="dxa"/>
            <w:tcBorders>
              <w:left w:val="single" w:sz="8" w:space="0" w:color="auto"/>
              <w:bottom w:val="single" w:sz="4"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MDEC = 0.055 x V +2.56</w:t>
            </w:r>
          </w:p>
        </w:tc>
        <w:tc>
          <w:tcPr>
            <w:tcW w:w="1530" w:type="dxa"/>
            <w:vMerge w:val="restart"/>
            <w:tcBorders>
              <w:top w:val="nil"/>
              <w:left w:val="nil"/>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w:t>
            </w:r>
          </w:p>
        </w:tc>
      </w:tr>
      <w:tr w:rsidR="007633A9" w:rsidRPr="000C7C45" w:rsidTr="00692D4F">
        <w:trPr>
          <w:trHeight w:val="270"/>
        </w:trPr>
        <w:tc>
          <w:tcPr>
            <w:tcW w:w="2430" w:type="dxa"/>
            <w:vMerge/>
            <w:tcBorders>
              <w:left w:val="single" w:sz="4" w:space="0" w:color="auto"/>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Class B</w:t>
            </w:r>
          </w:p>
        </w:tc>
        <w:tc>
          <w:tcPr>
            <w:tcW w:w="2610" w:type="dxa"/>
            <w:tcBorders>
              <w:left w:val="single" w:sz="8" w:space="0" w:color="auto"/>
              <w:bottom w:val="single" w:sz="4"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MDEC = 0.073 x V +3.16</w:t>
            </w:r>
          </w:p>
        </w:tc>
        <w:tc>
          <w:tcPr>
            <w:tcW w:w="1530" w:type="dxa"/>
            <w:vMerge/>
            <w:tcBorders>
              <w:left w:val="nil"/>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p>
        </w:tc>
      </w:tr>
      <w:tr w:rsidR="007633A9" w:rsidRPr="000C7C45" w:rsidTr="00692D4F">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xml:space="preserve">LED Case Lighting </w:t>
            </w:r>
          </w:p>
          <w:p w:rsidR="007633A9" w:rsidRPr="000C7C45" w:rsidRDefault="007633A9" w:rsidP="00692D4F">
            <w:pPr>
              <w:rPr>
                <w:rFonts w:ascii="Times New Roman" w:hAnsi="Times New Roman"/>
                <w:sz w:val="18"/>
                <w:szCs w:val="18"/>
              </w:rPr>
            </w:pPr>
            <w:r w:rsidRPr="000C7C45">
              <w:rPr>
                <w:rFonts w:ascii="Times New Roman" w:hAnsi="Times New Roman"/>
                <w:sz w:val="18"/>
                <w:szCs w:val="18"/>
              </w:rPr>
              <w:t>(Retrofit Only)</w:t>
            </w:r>
          </w:p>
        </w:tc>
        <w:tc>
          <w:tcPr>
            <w:tcW w:w="2160" w:type="dxa"/>
            <w:tcBorders>
              <w:top w:val="single" w:sz="8" w:space="0" w:color="auto"/>
              <w:left w:val="nil"/>
              <w:bottom w:val="single" w:sz="4" w:space="0" w:color="auto"/>
              <w:right w:val="nil"/>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LED replacing fluorescent lamp in refrigerated cases.</w:t>
            </w:r>
          </w:p>
        </w:tc>
        <w:tc>
          <w:tcPr>
            <w:tcW w:w="1530" w:type="dxa"/>
            <w:tcBorders>
              <w:top w:val="nil"/>
              <w:left w:val="nil"/>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$10/linear foot</w:t>
            </w:r>
          </w:p>
        </w:tc>
      </w:tr>
      <w:tr w:rsidR="007633A9" w:rsidRPr="000C7C45" w:rsidTr="00692D4F">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Refrigerated Case Occupancy Sensor (Retrofit Only)</w:t>
            </w:r>
          </w:p>
        </w:tc>
        <w:tc>
          <w:tcPr>
            <w:tcW w:w="2160" w:type="dxa"/>
            <w:tcBorders>
              <w:top w:val="single" w:sz="8" w:space="0" w:color="auto"/>
              <w:left w:val="nil"/>
              <w:bottom w:val="single" w:sz="4" w:space="0" w:color="auto"/>
              <w:right w:val="nil"/>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Installed in existing refrigerated case with LED lighting</w:t>
            </w:r>
          </w:p>
        </w:tc>
        <w:tc>
          <w:tcPr>
            <w:tcW w:w="1530" w:type="dxa"/>
            <w:tcBorders>
              <w:top w:val="nil"/>
              <w:left w:val="nil"/>
              <w:bottom w:val="single" w:sz="4" w:space="0" w:color="auto"/>
              <w:right w:val="single" w:sz="4"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$1/linear foot</w:t>
            </w:r>
          </w:p>
        </w:tc>
      </w:tr>
      <w:tr w:rsidR="007633A9" w:rsidRPr="0061470A" w:rsidTr="00692D4F">
        <w:trPr>
          <w:trHeight w:val="2025"/>
        </w:trPr>
        <w:tc>
          <w:tcPr>
            <w:tcW w:w="8730" w:type="dxa"/>
            <w:gridSpan w:val="4"/>
            <w:tcBorders>
              <w:top w:val="single" w:sz="4" w:space="0" w:color="auto"/>
              <w:left w:val="nil"/>
              <w:bottom w:val="nil"/>
              <w:right w:val="nil"/>
            </w:tcBorders>
            <w:shd w:val="clear" w:color="auto" w:fill="auto"/>
          </w:tcPr>
          <w:p w:rsidR="007633A9" w:rsidRPr="00CE6CE4" w:rsidRDefault="007633A9" w:rsidP="00692D4F">
            <w:pPr>
              <w:rPr>
                <w:rFonts w:ascii="Times New Roman" w:hAnsi="Times New Roman"/>
                <w:sz w:val="20"/>
                <w:szCs w:val="20"/>
              </w:rPr>
            </w:pPr>
            <w:r w:rsidRPr="00CE6CE4">
              <w:rPr>
                <w:rFonts w:ascii="Times New Roman" w:hAnsi="Times New Roman"/>
                <w:b/>
                <w:bCs/>
                <w:sz w:val="20"/>
                <w:szCs w:val="20"/>
              </w:rPr>
              <w:t xml:space="preserve">Notes for </w:t>
            </w:r>
            <w:r w:rsidR="0061470A" w:rsidRPr="00CE6CE4">
              <w:rPr>
                <w:rFonts w:ascii="Times New Roman" w:hAnsi="Times New Roman"/>
                <w:b/>
                <w:bCs/>
                <w:sz w:val="20"/>
                <w:szCs w:val="20"/>
              </w:rPr>
              <w:t>F</w:t>
            </w:r>
            <w:r w:rsidRPr="00CE6CE4">
              <w:rPr>
                <w:rFonts w:ascii="Times New Roman" w:hAnsi="Times New Roman"/>
                <w:b/>
                <w:bCs/>
                <w:sz w:val="20"/>
                <w:szCs w:val="20"/>
              </w:rPr>
              <w:t>oo</w:t>
            </w:r>
            <w:r w:rsidR="0061470A" w:rsidRPr="00CE6CE4">
              <w:rPr>
                <w:rFonts w:ascii="Times New Roman" w:hAnsi="Times New Roman"/>
                <w:b/>
                <w:bCs/>
                <w:sz w:val="20"/>
                <w:szCs w:val="20"/>
              </w:rPr>
              <w:t>d Service Equipment Incentives T</w:t>
            </w:r>
            <w:r w:rsidRPr="00CE6CE4">
              <w:rPr>
                <w:rFonts w:ascii="Times New Roman" w:hAnsi="Times New Roman"/>
                <w:b/>
                <w:bCs/>
                <w:sz w:val="20"/>
                <w:szCs w:val="20"/>
              </w:rPr>
              <w:t>able</w:t>
            </w:r>
            <w:r w:rsidR="0061470A" w:rsidRPr="00CE6CE4">
              <w:rPr>
                <w:rFonts w:ascii="Times New Roman" w:hAnsi="Times New Roman"/>
                <w:b/>
                <w:bCs/>
                <w:sz w:val="20"/>
                <w:szCs w:val="20"/>
              </w:rPr>
              <w:t>:</w:t>
            </w:r>
            <w:r w:rsidRPr="00CE6CE4">
              <w:rPr>
                <w:rFonts w:ascii="Times New Roman" w:hAnsi="Times New Roman"/>
                <w:bCs/>
                <w:sz w:val="20"/>
                <w:szCs w:val="20"/>
              </w:rPr>
              <w:br/>
            </w:r>
            <w:r w:rsidRPr="00CE6CE4">
              <w:rPr>
                <w:rFonts w:ascii="Times New Roman" w:hAnsi="Times New Roman"/>
                <w:sz w:val="20"/>
                <w:szCs w:val="20"/>
              </w:rPr>
              <w:t>1.  Equipment that meets or exceeds the efficiency requirements listed for the equipment category in the above table may qualify for the listed incentive.</w:t>
            </w:r>
            <w:r w:rsidRPr="00CE6CE4">
              <w:rPr>
                <w:rFonts w:ascii="Times New Roman" w:hAnsi="Times New Roman"/>
                <w:sz w:val="20"/>
                <w:szCs w:val="20"/>
              </w:rPr>
              <w:br/>
              <w:t>2.  Refer to Pacific Power's Home Energy Savings Program for efficiency requirements and incentives for listed residential</w:t>
            </w:r>
            <w:r w:rsidR="0061470A" w:rsidRPr="00CE6CE4">
              <w:rPr>
                <w:rFonts w:ascii="Times New Roman" w:hAnsi="Times New Roman"/>
                <w:sz w:val="20"/>
                <w:szCs w:val="20"/>
              </w:rPr>
              <w:t xml:space="preserve"> appliances used in a business.</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3.  Commercial Dishwashers must be supplied with electrically heated domesti</w:t>
            </w:r>
            <w:smartTag w:uri="urn:schemas-microsoft-com:office:smarttags" w:element="stockticker">
              <w:r w:rsidRPr="00CE6CE4">
                <w:rPr>
                  <w:rFonts w:ascii="Times New Roman" w:hAnsi="Times New Roman"/>
                  <w:sz w:val="20"/>
                  <w:szCs w:val="20"/>
                </w:rPr>
                <w:t>c ho</w:t>
              </w:r>
            </w:smartTag>
            <w:r w:rsidRPr="00CE6CE4">
              <w:rPr>
                <w:rFonts w:ascii="Times New Roman" w:hAnsi="Times New Roman"/>
                <w:sz w:val="20"/>
                <w:szCs w:val="20"/>
              </w:rPr>
              <w:t>t water.  Models with either electric or gas booster heaters are eligible for incentives.</w:t>
            </w:r>
            <w:r w:rsidRPr="00CE6CE4">
              <w:rPr>
                <w:rFonts w:ascii="Times New Roman" w:hAnsi="Times New Roman"/>
                <w:sz w:val="20"/>
                <w:szCs w:val="20"/>
              </w:rPr>
              <w:br/>
              <w:t>4.  To meet the Minimum Efficiency Requirement(s) listed, values must be based on testing in accordance with the applicable ASTM Standard Test Method.</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5.  Qualifying Beverage Vending Machines must be purchased prior to August 31, 2012.  Beverage Vending Machines purchased after August 31, 2012 will not be eligible for incentives.</w:t>
            </w:r>
          </w:p>
          <w:p w:rsidR="007633A9" w:rsidRPr="00CE6CE4" w:rsidRDefault="007633A9" w:rsidP="00692D4F">
            <w:pPr>
              <w:rPr>
                <w:rFonts w:ascii="Times New Roman" w:hAnsi="Times New Roman"/>
                <w:bCs/>
                <w:sz w:val="20"/>
                <w:szCs w:val="20"/>
              </w:rPr>
            </w:pPr>
          </w:p>
          <w:p w:rsidR="007633A9" w:rsidRPr="00CE6CE4" w:rsidRDefault="007633A9" w:rsidP="00692D4F">
            <w:pPr>
              <w:rPr>
                <w:rFonts w:ascii="Times New Roman" w:hAnsi="Times New Roman"/>
                <w:sz w:val="20"/>
                <w:szCs w:val="20"/>
              </w:rPr>
            </w:pPr>
            <w:r w:rsidRPr="00CE6CE4">
              <w:rPr>
                <w:rFonts w:ascii="Times New Roman" w:hAnsi="Times New Roman"/>
                <w:bCs/>
                <w:sz w:val="20"/>
                <w:szCs w:val="20"/>
              </w:rPr>
              <w:t>CEE</w:t>
            </w:r>
            <w:r w:rsidRPr="00CE6CE4">
              <w:rPr>
                <w:rFonts w:ascii="Times New Roman" w:hAnsi="Times New Roman"/>
                <w:sz w:val="20"/>
                <w:szCs w:val="20"/>
              </w:rPr>
              <w:t xml:space="preserve"> = Consortium for Energy Efficiency</w:t>
            </w:r>
            <w:r w:rsidRPr="00CE6CE4">
              <w:rPr>
                <w:rFonts w:ascii="Times New Roman" w:hAnsi="Times New Roman"/>
                <w:sz w:val="20"/>
                <w:szCs w:val="20"/>
              </w:rPr>
              <w:br/>
            </w:r>
            <w:r w:rsidRPr="00CE6CE4">
              <w:rPr>
                <w:rFonts w:ascii="Times New Roman" w:hAnsi="Times New Roman"/>
                <w:bCs/>
                <w:sz w:val="20"/>
                <w:szCs w:val="20"/>
              </w:rPr>
              <w:t>ASTM</w:t>
            </w:r>
            <w:r w:rsidRPr="00CE6CE4">
              <w:rPr>
                <w:rFonts w:ascii="Times New Roman" w:hAnsi="Times New Roman"/>
                <w:sz w:val="20"/>
                <w:szCs w:val="20"/>
              </w:rPr>
              <w:t xml:space="preserve"> = American Society for Testing and Materials</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 xml:space="preserve">MDEC = Maximum Daily Energy Consumption </w:t>
            </w:r>
          </w:p>
          <w:p w:rsidR="007633A9" w:rsidRPr="00CE6CE4" w:rsidRDefault="007633A9" w:rsidP="00692D4F">
            <w:pPr>
              <w:rPr>
                <w:rFonts w:ascii="Times New Roman" w:hAnsi="Times New Roman"/>
                <w:bCs/>
                <w:sz w:val="20"/>
                <w:szCs w:val="20"/>
              </w:rPr>
            </w:pPr>
            <w:r w:rsidRPr="00CE6CE4">
              <w:rPr>
                <w:rFonts w:ascii="Times New Roman" w:hAnsi="Times New Roman"/>
                <w:sz w:val="20"/>
                <w:szCs w:val="20"/>
              </w:rPr>
              <w:t>V = Association of Home Appl</w:t>
            </w:r>
            <w:smartTag w:uri="urn:schemas-microsoft-com:office:smarttags" w:element="stockticker">
              <w:r w:rsidRPr="00CE6CE4">
                <w:rPr>
                  <w:rFonts w:ascii="Times New Roman" w:hAnsi="Times New Roman"/>
                  <w:sz w:val="20"/>
                  <w:szCs w:val="20"/>
                </w:rPr>
                <w:t>ianc</w:t>
              </w:r>
            </w:smartTag>
            <w:r w:rsidRPr="00CE6CE4">
              <w:rPr>
                <w:rFonts w:ascii="Times New Roman" w:hAnsi="Times New Roman"/>
                <w:sz w:val="20"/>
                <w:szCs w:val="20"/>
              </w:rPr>
              <w:t>e Manufacturers (AHAM) Volume in cubic feet</w:t>
            </w:r>
          </w:p>
        </w:tc>
      </w:tr>
    </w:tbl>
    <w:p w:rsidR="007633A9" w:rsidRPr="000C7C45" w:rsidRDefault="007633A9" w:rsidP="007633A9">
      <w:pPr>
        <w:rPr>
          <w:rFonts w:ascii="Times New Roman" w:hAnsi="Times New Roman"/>
        </w:rPr>
      </w:pPr>
      <w:r w:rsidRPr="000C7C45">
        <w:rPr>
          <w:rFonts w:ascii="Times New Roman" w:hAnsi="Times New Roman"/>
        </w:rPr>
        <w:br w:type="page"/>
      </w:r>
    </w:p>
    <w:tbl>
      <w:tblPr>
        <w:tblW w:w="8694" w:type="dxa"/>
        <w:tblInd w:w="108" w:type="dxa"/>
        <w:tblLook w:val="0000"/>
      </w:tblPr>
      <w:tblGrid>
        <w:gridCol w:w="2756"/>
        <w:gridCol w:w="2464"/>
        <w:gridCol w:w="2498"/>
        <w:gridCol w:w="976"/>
      </w:tblGrid>
      <w:tr w:rsidR="007633A9" w:rsidRPr="000C7C45" w:rsidTr="00692D4F">
        <w:trPr>
          <w:trHeight w:val="270"/>
        </w:trPr>
        <w:tc>
          <w:tcPr>
            <w:tcW w:w="8694" w:type="dxa"/>
            <w:gridSpan w:val="4"/>
            <w:tcBorders>
              <w:top w:val="nil"/>
              <w:left w:val="nil"/>
              <w:bottom w:val="nil"/>
              <w:right w:val="nil"/>
            </w:tcBorders>
            <w:shd w:val="clear" w:color="auto" w:fill="auto"/>
            <w:noWrap/>
            <w:vAlign w:val="bottom"/>
          </w:tcPr>
          <w:p w:rsidR="007633A9" w:rsidRPr="003513D9" w:rsidRDefault="007633A9" w:rsidP="003513D9">
            <w:pPr>
              <w:jc w:val="center"/>
              <w:rPr>
                <w:rFonts w:ascii="Times New Roman" w:hAnsi="Times New Roman"/>
                <w:sz w:val="24"/>
                <w:szCs w:val="24"/>
              </w:rPr>
            </w:pPr>
            <w:r w:rsidRPr="003513D9">
              <w:rPr>
                <w:rFonts w:ascii="Times New Roman" w:hAnsi="Times New Roman"/>
                <w:b/>
                <w:bCs/>
                <w:sz w:val="24"/>
                <w:szCs w:val="24"/>
              </w:rPr>
              <w:t>Appliances Incentive Table</w:t>
            </w:r>
          </w:p>
        </w:tc>
      </w:tr>
      <w:tr w:rsidR="007633A9" w:rsidRPr="000C7C45" w:rsidTr="00692D4F">
        <w:trPr>
          <w:trHeight w:val="495"/>
        </w:trPr>
        <w:tc>
          <w:tcPr>
            <w:tcW w:w="2756" w:type="dxa"/>
            <w:tcBorders>
              <w:top w:val="single" w:sz="8" w:space="0" w:color="auto"/>
              <w:left w:val="single" w:sz="8"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2464" w:type="dxa"/>
            <w:tcBorders>
              <w:top w:val="single" w:sz="8"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Category</w:t>
            </w:r>
          </w:p>
        </w:tc>
        <w:tc>
          <w:tcPr>
            <w:tcW w:w="2498"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Requirement</w:t>
            </w:r>
          </w:p>
        </w:tc>
        <w:tc>
          <w:tcPr>
            <w:tcW w:w="976"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692D4F">
        <w:trPr>
          <w:trHeight w:val="495"/>
        </w:trPr>
        <w:tc>
          <w:tcPr>
            <w:tcW w:w="2756" w:type="dxa"/>
            <w:tcBorders>
              <w:top w:val="single" w:sz="8" w:space="0" w:color="auto"/>
              <w:left w:val="single" w:sz="8"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sz w:val="18"/>
                <w:szCs w:val="18"/>
              </w:rPr>
            </w:pPr>
          </w:p>
        </w:tc>
        <w:tc>
          <w:tcPr>
            <w:tcW w:w="2464" w:type="dxa"/>
            <w:tcBorders>
              <w:top w:val="single" w:sz="8" w:space="0" w:color="auto"/>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p>
        </w:tc>
        <w:tc>
          <w:tcPr>
            <w:tcW w:w="3474" w:type="dxa"/>
            <w:gridSpan w:val="2"/>
            <w:tcBorders>
              <w:top w:val="single" w:sz="8" w:space="0" w:color="auto"/>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 </w:t>
            </w:r>
          </w:p>
        </w:tc>
      </w:tr>
      <w:tr w:rsidR="007633A9" w:rsidRPr="000C7C45" w:rsidTr="00692D4F">
        <w:trPr>
          <w:trHeight w:val="704"/>
        </w:trPr>
        <w:tc>
          <w:tcPr>
            <w:tcW w:w="2756" w:type="dxa"/>
            <w:vMerge w:val="restart"/>
            <w:tcBorders>
              <w:top w:val="nil"/>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 xml:space="preserve">High-Efficiency Clothes Washer </w:t>
            </w:r>
          </w:p>
        </w:tc>
        <w:tc>
          <w:tcPr>
            <w:tcW w:w="2464" w:type="dxa"/>
            <w:tcBorders>
              <w:top w:val="nil"/>
              <w:left w:val="single" w:sz="8" w:space="0" w:color="auto"/>
              <w:bottom w:val="single" w:sz="8" w:space="0" w:color="000000"/>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Residential </w:t>
            </w:r>
            <w:r w:rsidRPr="000C7C45">
              <w:rPr>
                <w:rFonts w:ascii="Times New Roman" w:hAnsi="Times New Roman"/>
                <w:sz w:val="18"/>
                <w:szCs w:val="18"/>
              </w:rPr>
              <w:br/>
              <w:t>(used in a business)</w:t>
            </w:r>
          </w:p>
        </w:tc>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sz w:val="18"/>
                <w:szCs w:val="18"/>
              </w:rPr>
            </w:pP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See Home Energy Savings program </w:t>
            </w:r>
          </w:p>
          <w:p w:rsidR="007633A9" w:rsidRPr="000C7C45" w:rsidRDefault="007633A9" w:rsidP="00692D4F">
            <w:pPr>
              <w:jc w:val="center"/>
              <w:rPr>
                <w:rFonts w:ascii="Times New Roman" w:hAnsi="Times New Roman"/>
                <w:sz w:val="18"/>
                <w:szCs w:val="18"/>
              </w:rPr>
            </w:pPr>
          </w:p>
        </w:tc>
      </w:tr>
      <w:tr w:rsidR="007633A9" w:rsidRPr="000C7C45" w:rsidTr="00692D4F">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464" w:type="dxa"/>
            <w:vMerge w:val="restart"/>
            <w:tcBorders>
              <w:top w:val="nil"/>
              <w:left w:val="single" w:sz="8" w:space="0" w:color="auto"/>
              <w:bottom w:val="single" w:sz="8" w:space="0" w:color="000000"/>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Commercial (must have electric water heating)</w:t>
            </w:r>
          </w:p>
          <w:p w:rsidR="007633A9" w:rsidRPr="000C7C45" w:rsidRDefault="007633A9" w:rsidP="00692D4F">
            <w:pPr>
              <w:jc w:val="center"/>
              <w:rPr>
                <w:rFonts w:ascii="Times New Roman" w:hAnsi="Times New Roman"/>
                <w:sz w:val="18"/>
                <w:szCs w:val="18"/>
              </w:rPr>
            </w:pPr>
          </w:p>
        </w:tc>
        <w:tc>
          <w:tcPr>
            <w:tcW w:w="2498" w:type="dxa"/>
            <w:tcBorders>
              <w:top w:val="single" w:sz="4" w:space="0" w:color="auto"/>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ENERGY STAR® Qualified</w:t>
            </w:r>
          </w:p>
        </w:tc>
        <w:tc>
          <w:tcPr>
            <w:tcW w:w="976" w:type="dxa"/>
            <w:tcBorders>
              <w:top w:val="single" w:sz="4" w:space="0" w:color="auto"/>
              <w:left w:val="nil"/>
              <w:bottom w:val="single" w:sz="4"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$150 </w:t>
            </w:r>
          </w:p>
        </w:tc>
      </w:tr>
      <w:tr w:rsidR="007633A9" w:rsidRPr="000C7C45" w:rsidTr="00692D4F">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464" w:type="dxa"/>
            <w:vMerge/>
            <w:tcBorders>
              <w:top w:val="nil"/>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p>
        </w:tc>
        <w:tc>
          <w:tcPr>
            <w:tcW w:w="2498"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CEE Tier 3 Qualified</w:t>
            </w:r>
          </w:p>
        </w:tc>
        <w:tc>
          <w:tcPr>
            <w:tcW w:w="976"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$200 </w:t>
            </w:r>
          </w:p>
        </w:tc>
      </w:tr>
      <w:tr w:rsidR="007633A9" w:rsidRPr="000C7C45" w:rsidTr="00692D4F">
        <w:trPr>
          <w:trHeight w:val="495"/>
        </w:trPr>
        <w:tc>
          <w:tcPr>
            <w:tcW w:w="2756"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Electric Water Heater</w:t>
            </w:r>
          </w:p>
        </w:tc>
        <w:tc>
          <w:tcPr>
            <w:tcW w:w="2464"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Residential</w:t>
            </w:r>
            <w:r w:rsidRPr="000C7C45">
              <w:rPr>
                <w:rFonts w:ascii="Times New Roman" w:hAnsi="Times New Roman"/>
                <w:sz w:val="18"/>
                <w:szCs w:val="18"/>
              </w:rPr>
              <w:br/>
              <w:t>(used in a business)</w:t>
            </w:r>
          </w:p>
        </w:tc>
        <w:tc>
          <w:tcPr>
            <w:tcW w:w="3474" w:type="dxa"/>
            <w:gridSpan w:val="2"/>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Home Energy Savings program</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 </w:t>
            </w:r>
          </w:p>
        </w:tc>
      </w:tr>
      <w:tr w:rsidR="007633A9" w:rsidRPr="000C7C45" w:rsidTr="00692D4F">
        <w:trPr>
          <w:trHeight w:val="2430"/>
        </w:trPr>
        <w:tc>
          <w:tcPr>
            <w:tcW w:w="8694" w:type="dxa"/>
            <w:gridSpan w:val="4"/>
            <w:tcBorders>
              <w:top w:val="single" w:sz="8" w:space="0" w:color="auto"/>
              <w:left w:val="nil"/>
              <w:bottom w:val="nil"/>
              <w:right w:val="nil"/>
            </w:tcBorders>
            <w:shd w:val="clear" w:color="auto" w:fill="auto"/>
          </w:tcPr>
          <w:p w:rsidR="007633A9" w:rsidRPr="00CE6CE4" w:rsidRDefault="007633A9" w:rsidP="00692D4F">
            <w:pPr>
              <w:rPr>
                <w:rFonts w:ascii="Times New Roman" w:hAnsi="Times New Roman"/>
                <w:sz w:val="20"/>
                <w:szCs w:val="20"/>
              </w:rPr>
            </w:pPr>
            <w:r w:rsidRPr="00CE6CE4">
              <w:rPr>
                <w:rFonts w:ascii="Times New Roman" w:hAnsi="Times New Roman"/>
                <w:b/>
                <w:bCs/>
                <w:sz w:val="20"/>
                <w:szCs w:val="20"/>
              </w:rPr>
              <w:t xml:space="preserve">Notes for </w:t>
            </w:r>
            <w:r w:rsidR="00CE6CE4">
              <w:rPr>
                <w:rFonts w:ascii="Times New Roman" w:hAnsi="Times New Roman"/>
                <w:b/>
                <w:bCs/>
                <w:sz w:val="20"/>
                <w:szCs w:val="20"/>
              </w:rPr>
              <w:t>A</w:t>
            </w:r>
            <w:r w:rsidRPr="00CE6CE4">
              <w:rPr>
                <w:rFonts w:ascii="Times New Roman" w:hAnsi="Times New Roman"/>
                <w:b/>
                <w:bCs/>
                <w:sz w:val="20"/>
                <w:szCs w:val="20"/>
              </w:rPr>
              <w:t xml:space="preserve">ppliances </w:t>
            </w:r>
            <w:r w:rsidR="00CE6CE4">
              <w:rPr>
                <w:rFonts w:ascii="Times New Roman" w:hAnsi="Times New Roman"/>
                <w:b/>
                <w:bCs/>
                <w:sz w:val="20"/>
                <w:szCs w:val="20"/>
              </w:rPr>
              <w:t>I</w:t>
            </w:r>
            <w:r w:rsidRPr="00CE6CE4">
              <w:rPr>
                <w:rFonts w:ascii="Times New Roman" w:hAnsi="Times New Roman"/>
                <w:b/>
                <w:bCs/>
                <w:sz w:val="20"/>
                <w:szCs w:val="20"/>
              </w:rPr>
              <w:t xml:space="preserve">ncentive </w:t>
            </w:r>
            <w:r w:rsidR="00CE6CE4">
              <w:rPr>
                <w:rFonts w:ascii="Times New Roman" w:hAnsi="Times New Roman"/>
                <w:b/>
                <w:bCs/>
                <w:sz w:val="20"/>
                <w:szCs w:val="20"/>
              </w:rPr>
              <w:t>T</w:t>
            </w:r>
            <w:r w:rsidRPr="00CE6CE4">
              <w:rPr>
                <w:rFonts w:ascii="Times New Roman" w:hAnsi="Times New Roman"/>
                <w:b/>
                <w:bCs/>
                <w:sz w:val="20"/>
                <w:szCs w:val="20"/>
              </w:rPr>
              <w:t>able</w:t>
            </w:r>
            <w:r w:rsidRPr="00CE6CE4">
              <w:rPr>
                <w:rFonts w:ascii="Times New Roman" w:hAnsi="Times New Roman"/>
                <w:bCs/>
                <w:sz w:val="20"/>
                <w:szCs w:val="20"/>
              </w:rPr>
              <w:br/>
            </w:r>
            <w:r w:rsidRPr="00CE6CE4">
              <w:rPr>
                <w:rFonts w:ascii="Times New Roman" w:hAnsi="Times New Roman"/>
                <w:sz w:val="20"/>
                <w:szCs w:val="20"/>
              </w:rPr>
              <w:t>1.  Equipment that meets or exceeds the efficiency requirements listed for the equipment category in the above table may qualify for the listed incentive.</w:t>
            </w:r>
          </w:p>
          <w:p w:rsidR="007633A9" w:rsidRPr="00CE6CE4" w:rsidRDefault="007633A9" w:rsidP="00692D4F">
            <w:pPr>
              <w:rPr>
                <w:rFonts w:ascii="Times New Roman" w:hAnsi="Times New Roman"/>
                <w:sz w:val="20"/>
                <w:szCs w:val="20"/>
              </w:rPr>
            </w:pPr>
            <w:r w:rsidRPr="00CE6CE4">
              <w:rPr>
                <w:rFonts w:ascii="Times New Roman" w:hAnsi="Times New Roman"/>
                <w:sz w:val="20"/>
                <w:szCs w:val="20"/>
              </w:rPr>
              <w:t>2.  Equipment must meet the efficiency rating standard that is in effect on the date of purchase.</w:t>
            </w:r>
          </w:p>
          <w:p w:rsidR="007633A9" w:rsidRPr="00CE6CE4" w:rsidRDefault="007633A9" w:rsidP="00692D4F">
            <w:pPr>
              <w:rPr>
                <w:rFonts w:ascii="Times New Roman" w:hAnsi="Times New Roman"/>
                <w:bCs/>
                <w:sz w:val="20"/>
                <w:szCs w:val="20"/>
              </w:rPr>
            </w:pPr>
            <w:r w:rsidRPr="00CE6CE4">
              <w:rPr>
                <w:rFonts w:ascii="Times New Roman" w:hAnsi="Times New Roman"/>
                <w:sz w:val="20"/>
                <w:szCs w:val="20"/>
              </w:rPr>
              <w:t>3.  Refer to Pacific Power’s Home Energy Savings program for efficiency requirements and incentives for listed residential appliances used in a business.</w:t>
            </w:r>
            <w:r w:rsidRPr="00CE6CE4">
              <w:rPr>
                <w:rFonts w:ascii="Times New Roman" w:hAnsi="Times New Roman"/>
                <w:bCs/>
                <w:sz w:val="20"/>
                <w:szCs w:val="20"/>
              </w:rPr>
              <w:br/>
              <w:t>CEE</w:t>
            </w:r>
            <w:r w:rsidRPr="00CE6CE4">
              <w:rPr>
                <w:rFonts w:ascii="Times New Roman" w:hAnsi="Times New Roman"/>
                <w:sz w:val="20"/>
                <w:szCs w:val="20"/>
              </w:rPr>
              <w:t xml:space="preserve"> = Consortium for Energy Efficiency</w:t>
            </w:r>
          </w:p>
        </w:tc>
      </w:tr>
    </w:tbl>
    <w:p w:rsidR="007633A9" w:rsidRPr="000C7C45" w:rsidRDefault="007633A9" w:rsidP="007633A9">
      <w:pPr>
        <w:rPr>
          <w:rFonts w:ascii="Times New Roman" w:hAnsi="Times New Roman"/>
          <w:sz w:val="24"/>
          <w:szCs w:val="24"/>
        </w:rPr>
      </w:pPr>
      <w:r w:rsidRPr="000C7C45">
        <w:rPr>
          <w:rFonts w:ascii="Times New Roman" w:hAnsi="Times New Roman"/>
          <w:sz w:val="24"/>
          <w:szCs w:val="24"/>
        </w:rPr>
        <w:br w:type="page"/>
      </w:r>
    </w:p>
    <w:tbl>
      <w:tblPr>
        <w:tblW w:w="11256" w:type="dxa"/>
        <w:tblInd w:w="108" w:type="dxa"/>
        <w:tblLook w:val="0000"/>
      </w:tblPr>
      <w:tblGrid>
        <w:gridCol w:w="11256"/>
      </w:tblGrid>
      <w:tr w:rsidR="007633A9" w:rsidRPr="000C7C45" w:rsidTr="00692D4F">
        <w:trPr>
          <w:trHeight w:val="270"/>
        </w:trPr>
        <w:tc>
          <w:tcPr>
            <w:tcW w:w="11256" w:type="dxa"/>
            <w:tcBorders>
              <w:top w:val="nil"/>
              <w:left w:val="nil"/>
              <w:bottom w:val="nil"/>
              <w:right w:val="nil"/>
            </w:tcBorders>
            <w:shd w:val="clear" w:color="auto" w:fill="auto"/>
            <w:noWrap/>
            <w:vAlign w:val="bottom"/>
          </w:tcPr>
          <w:p w:rsidR="007633A9" w:rsidRPr="003513D9" w:rsidRDefault="007633A9" w:rsidP="00692D4F">
            <w:pPr>
              <w:jc w:val="center"/>
              <w:rPr>
                <w:rFonts w:ascii="Times New Roman" w:hAnsi="Times New Roman"/>
                <w:b/>
                <w:bCs/>
                <w:sz w:val="24"/>
                <w:szCs w:val="24"/>
              </w:rPr>
            </w:pPr>
            <w:r w:rsidRPr="003513D9">
              <w:rPr>
                <w:rFonts w:ascii="Times New Roman" w:hAnsi="Times New Roman"/>
                <w:b/>
                <w:bCs/>
                <w:sz w:val="24"/>
                <w:szCs w:val="24"/>
              </w:rPr>
              <w:t>Irrigation Incentive Table (Retrofit Only)</w:t>
            </w:r>
          </w:p>
          <w:tbl>
            <w:tblPr>
              <w:tblW w:w="10140" w:type="dxa"/>
              <w:tblLook w:val="04A0"/>
            </w:tblPr>
            <w:tblGrid>
              <w:gridCol w:w="2712"/>
              <w:gridCol w:w="2161"/>
              <w:gridCol w:w="2535"/>
              <w:gridCol w:w="1651"/>
              <w:gridCol w:w="1081"/>
            </w:tblGrid>
            <w:tr w:rsidR="007633A9" w:rsidRPr="000C7C45" w:rsidTr="00C06B19">
              <w:trPr>
                <w:trHeight w:val="472"/>
              </w:trPr>
              <w:tc>
                <w:tcPr>
                  <w:tcW w:w="2712" w:type="dxa"/>
                  <w:tcBorders>
                    <w:top w:val="single" w:sz="8" w:space="0" w:color="auto"/>
                    <w:left w:val="single" w:sz="8" w:space="0" w:color="auto"/>
                    <w:bottom w:val="nil"/>
                    <w:right w:val="nil"/>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Irrigation Measure</w:t>
                  </w:r>
                </w:p>
              </w:tc>
              <w:tc>
                <w:tcPr>
                  <w:tcW w:w="2161" w:type="dxa"/>
                  <w:tcBorders>
                    <w:top w:val="single" w:sz="8" w:space="0" w:color="auto"/>
                    <w:left w:val="single" w:sz="8" w:space="0" w:color="auto"/>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Replace</w:t>
                  </w:r>
                </w:p>
              </w:tc>
              <w:tc>
                <w:tcPr>
                  <w:tcW w:w="2535" w:type="dxa"/>
                  <w:tcBorders>
                    <w:top w:val="single" w:sz="8" w:space="0" w:color="auto"/>
                    <w:left w:val="nil"/>
                    <w:bottom w:val="nil"/>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With</w:t>
                  </w:r>
                </w:p>
              </w:tc>
              <w:tc>
                <w:tcPr>
                  <w:tcW w:w="1651" w:type="dxa"/>
                  <w:tcBorders>
                    <w:top w:val="single" w:sz="8" w:space="0" w:color="auto"/>
                    <w:left w:val="nil"/>
                    <w:bottom w:val="single" w:sz="8"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Limitations</w:t>
                  </w:r>
                </w:p>
              </w:tc>
              <w:tc>
                <w:tcPr>
                  <w:tcW w:w="1081" w:type="dxa"/>
                  <w:tcBorders>
                    <w:top w:val="single" w:sz="8" w:space="0" w:color="auto"/>
                    <w:left w:val="nil"/>
                    <w:bottom w:val="single" w:sz="8" w:space="0" w:color="auto"/>
                    <w:right w:val="single" w:sz="8" w:space="0" w:color="auto"/>
                  </w:tcBorders>
                  <w:shd w:val="clear" w:color="auto" w:fill="auto"/>
                  <w:vAlign w:val="bottom"/>
                  <w:hideMark/>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C06B19">
              <w:trPr>
                <w:trHeight w:val="686"/>
              </w:trPr>
              <w:tc>
                <w:tcPr>
                  <w:tcW w:w="2712" w:type="dxa"/>
                  <w:tcBorders>
                    <w:top w:val="single" w:sz="8" w:space="0" w:color="auto"/>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Sprinkler Pressure Regulators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or faulty regulator</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pressure regulator</w:t>
                  </w:r>
                </w:p>
              </w:tc>
              <w:tc>
                <w:tcPr>
                  <w:tcW w:w="1651" w:type="dxa"/>
                  <w:tcBorders>
                    <w:top w:val="nil"/>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be same design pressure or less</w:t>
                  </w:r>
                </w:p>
              </w:tc>
              <w:tc>
                <w:tcPr>
                  <w:tcW w:w="1081" w:type="dxa"/>
                  <w:tcBorders>
                    <w:top w:val="nil"/>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$2.75 each</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Rotating, Spray-Type or Low-Pressure Sprinklers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rotating, spray-type, low-pressure, or impact sprinklers</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rotating, spray-type, or low-pressure sprinklers</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be same design flow or less</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$3.00 each</w:t>
                  </w:r>
                  <w:r w:rsidRPr="000C7C45">
                    <w:rPr>
                      <w:rFonts w:ascii="Times New Roman" w:hAnsi="Times New Roman"/>
                      <w:sz w:val="18"/>
                      <w:szCs w:val="18"/>
                    </w:rPr>
                    <w:br/>
                    <w:t>(up to 70% of cost)</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New or Rebuilt Impact Sprinklers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or leaking impact sprinkler</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or rebuilt impact sprinkler</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nil"/>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$3.00 each</w:t>
                  </w:r>
                  <w:r w:rsidRPr="000C7C45">
                    <w:rPr>
                      <w:rFonts w:ascii="Times New Roman" w:hAnsi="Times New Roman"/>
                      <w:sz w:val="18"/>
                      <w:szCs w:val="18"/>
                    </w:rPr>
                    <w:br/>
                    <w:t>(up to 70% of cost)</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Sprinkler Nozzles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Existing worn nozzles</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brass or plastic nozzles</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be same design flow or less</w:t>
                  </w:r>
                </w:p>
              </w:tc>
              <w:tc>
                <w:tcPr>
                  <w:tcW w:w="1081" w:type="dxa"/>
                  <w:tcBorders>
                    <w:top w:val="single" w:sz="8" w:space="0" w:color="auto"/>
                    <w:left w:val="nil"/>
                    <w:bottom w:val="nil"/>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$0.25 each</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Flow Controlling Type Nozzles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Existing worn flow-controlling type nozzles</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flow-controlling type nozzles</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Must be same design flow or less</w:t>
                  </w:r>
                </w:p>
              </w:tc>
              <w:tc>
                <w:tcPr>
                  <w:tcW w:w="1081" w:type="dxa"/>
                  <w:tcBorders>
                    <w:top w:val="single" w:sz="8" w:space="0" w:color="auto"/>
                    <w:left w:val="nil"/>
                    <w:bottom w:val="nil"/>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 each</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Drains and Gaskets for Wheel Lines, Hand Lines, Pivots, Linears or Portable Main Lines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and leaking drains and gaskets</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drains and gaskets (Also includes seals and riser caps (dome discs) for valve openers)</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single" w:sz="8" w:space="0" w:color="auto"/>
                    <w:left w:val="nil"/>
                    <w:bottom w:val="nil"/>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$1.00 each</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Gooseneck Elbow with Drop Tube or Boomback</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or leaking gooseneck elbow with drop tube or boomback</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gooseneck elbow with drop tube or boomback</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single" w:sz="8" w:space="0" w:color="auto"/>
                    <w:left w:val="nil"/>
                    <w:bottom w:val="nil"/>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$1.00/outlet</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Repair Leaking Wheel Lines, Hand Lines or Portable Main Lines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and leaking pipe connections or sections</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Cut and pipe press or weld repair of leaking pipe connections or sections</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Invoice must show number of joints or leaks repaired</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$8.00/joint</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New or Rebuilt Wheel-line Levelers</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or faulty wheel-line leveler</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or rebuilt wheel-line leveler</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nil"/>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$0.75 each</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Center Pivot Base Boot Gasket</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and leaking center pivot base boot gasket</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center pivot base boot gasket</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single" w:sz="8" w:space="0" w:color="auto"/>
                    <w:left w:val="nil"/>
                    <w:bottom w:val="nil"/>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$80.00 each</w:t>
                  </w:r>
                </w:p>
              </w:tc>
            </w:tr>
            <w:tr w:rsidR="007633A9" w:rsidRPr="000C7C45" w:rsidTr="00C06B19">
              <w:trPr>
                <w:trHeight w:val="686"/>
              </w:trPr>
              <w:tc>
                <w:tcPr>
                  <w:tcW w:w="2712" w:type="dxa"/>
                  <w:tcBorders>
                    <w:top w:val="nil"/>
                    <w:left w:val="single" w:sz="8" w:space="0" w:color="auto"/>
                    <w:bottom w:val="single" w:sz="8"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Wheel-line Feed Hose</w:t>
                  </w:r>
                </w:p>
              </w:tc>
              <w:tc>
                <w:tcPr>
                  <w:tcW w:w="2161" w:type="dxa"/>
                  <w:tcBorders>
                    <w:top w:val="single" w:sz="8" w:space="0" w:color="auto"/>
                    <w:left w:val="single" w:sz="8" w:space="0" w:color="auto"/>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or leaking wheel-line feed hose</w:t>
                  </w:r>
                </w:p>
              </w:tc>
              <w:tc>
                <w:tcPr>
                  <w:tcW w:w="2535"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or rebuilt wheel-line feed hose</w:t>
                  </w:r>
                </w:p>
              </w:tc>
              <w:tc>
                <w:tcPr>
                  <w:tcW w:w="1651" w:type="dxa"/>
                  <w:tcBorders>
                    <w:top w:val="single" w:sz="8" w:space="0" w:color="auto"/>
                    <w:left w:val="nil"/>
                    <w:bottom w:val="nil"/>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$15.00 each</w:t>
                  </w:r>
                </w:p>
              </w:tc>
            </w:tr>
            <w:tr w:rsidR="007633A9" w:rsidRPr="000C7C45" w:rsidTr="00C06B19">
              <w:trPr>
                <w:trHeight w:val="686"/>
              </w:trPr>
              <w:tc>
                <w:tcPr>
                  <w:tcW w:w="2712" w:type="dxa"/>
                  <w:tcBorders>
                    <w:top w:val="nil"/>
                    <w:left w:val="single" w:sz="8" w:space="0" w:color="auto"/>
                    <w:bottom w:val="single" w:sz="4" w:space="0" w:color="auto"/>
                    <w:right w:val="nil"/>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Wheel-line Hubs (for Thunderbird type wheel lines)</w:t>
                  </w:r>
                </w:p>
              </w:tc>
              <w:tc>
                <w:tcPr>
                  <w:tcW w:w="21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Worn or leaking hub</w:t>
                  </w:r>
                </w:p>
              </w:tc>
              <w:tc>
                <w:tcPr>
                  <w:tcW w:w="2535" w:type="dxa"/>
                  <w:tcBorders>
                    <w:top w:val="single" w:sz="8" w:space="0" w:color="auto"/>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New wheel-line hub</w:t>
                  </w:r>
                </w:p>
              </w:tc>
              <w:tc>
                <w:tcPr>
                  <w:tcW w:w="1651" w:type="dxa"/>
                  <w:tcBorders>
                    <w:top w:val="single" w:sz="8" w:space="0" w:color="auto"/>
                    <w:left w:val="nil"/>
                    <w:bottom w:val="single" w:sz="4" w:space="0" w:color="auto"/>
                    <w:right w:val="single" w:sz="8"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nil"/>
                    <w:left w:val="nil"/>
                    <w:bottom w:val="single" w:sz="4" w:space="0" w:color="auto"/>
                    <w:right w:val="single" w:sz="8"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$12.00 each</w:t>
                  </w:r>
                </w:p>
              </w:tc>
            </w:tr>
            <w:tr w:rsidR="007633A9" w:rsidRPr="000C7C45" w:rsidTr="00C06B19">
              <w:trPr>
                <w:trHeight w:val="686"/>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Irrigation Pump VFD</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Add VFD to existing irrigation pump motor</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See Note 4</w:t>
                  </w:r>
                </w:p>
              </w:tc>
            </w:tr>
            <w:tr w:rsidR="007633A9" w:rsidRPr="000C7C45" w:rsidTr="00C06B19">
              <w:trPr>
                <w:trHeight w:val="3188"/>
              </w:trPr>
              <w:tc>
                <w:tcPr>
                  <w:tcW w:w="10140" w:type="dxa"/>
                  <w:gridSpan w:val="5"/>
                  <w:tcBorders>
                    <w:top w:val="single" w:sz="4" w:space="0" w:color="auto"/>
                    <w:left w:val="nil"/>
                    <w:bottom w:val="nil"/>
                    <w:right w:val="nil"/>
                  </w:tcBorders>
                  <w:shd w:val="clear" w:color="auto" w:fill="auto"/>
                  <w:hideMark/>
                </w:tcPr>
                <w:p w:rsidR="007633A9" w:rsidRPr="00CE6CE4" w:rsidRDefault="003513D9" w:rsidP="00CE6CE4">
                  <w:pPr>
                    <w:rPr>
                      <w:rFonts w:ascii="Times New Roman" w:hAnsi="Times New Roman"/>
                      <w:bCs/>
                      <w:sz w:val="20"/>
                      <w:szCs w:val="20"/>
                    </w:rPr>
                  </w:pPr>
                  <w:r w:rsidRPr="00CE6CE4">
                    <w:rPr>
                      <w:rFonts w:ascii="Times New Roman" w:hAnsi="Times New Roman"/>
                      <w:b/>
                      <w:bCs/>
                      <w:sz w:val="20"/>
                      <w:szCs w:val="20"/>
                    </w:rPr>
                    <w:t>Notes for Irrigation Incentive T</w:t>
                  </w:r>
                  <w:r w:rsidR="007633A9" w:rsidRPr="00CE6CE4">
                    <w:rPr>
                      <w:rFonts w:ascii="Times New Roman" w:hAnsi="Times New Roman"/>
                      <w:b/>
                      <w:bCs/>
                      <w:sz w:val="20"/>
                      <w:szCs w:val="20"/>
                    </w:rPr>
                    <w:t>able</w:t>
                  </w:r>
                  <w:r w:rsidRPr="00CE6CE4">
                    <w:rPr>
                      <w:rFonts w:ascii="Times New Roman" w:hAnsi="Times New Roman"/>
                      <w:b/>
                      <w:bCs/>
                      <w:sz w:val="20"/>
                      <w:szCs w:val="20"/>
                    </w:rPr>
                    <w:t>:</w:t>
                  </w:r>
                  <w:r w:rsidR="007633A9" w:rsidRPr="00CE6CE4">
                    <w:rPr>
                      <w:rFonts w:ascii="Times New Roman" w:hAnsi="Times New Roman"/>
                      <w:bCs/>
                      <w:sz w:val="20"/>
                      <w:szCs w:val="20"/>
                    </w:rPr>
                    <w:br/>
                  </w:r>
                  <w:r w:rsidR="007633A9" w:rsidRPr="00CE6CE4">
                    <w:rPr>
                      <w:rFonts w:ascii="Times New Roman" w:hAnsi="Times New Roman"/>
                      <w:sz w:val="20"/>
                      <w:szCs w:val="20"/>
                    </w:rPr>
                    <w:t>1.  Irrigation measures that meet the replacement requirements listed in the above table may qualify for the listed incentive. Except for the Irrigation Pump VFD measure, fixed in place systems are not eligible for the incentives listed above.</w:t>
                  </w:r>
                  <w:r w:rsidR="007633A9" w:rsidRPr="00CE6CE4">
                    <w:rPr>
                      <w:rFonts w:ascii="Times New Roman" w:hAnsi="Times New Roman"/>
                      <w:sz w:val="20"/>
                      <w:szCs w:val="20"/>
                    </w:rPr>
                    <w:br/>
                    <w:t>2.  All equipment listed in the table will be eligible for incentives only in replacement or retrofit projects.</w:t>
                  </w:r>
                  <w:r w:rsidR="007633A9" w:rsidRPr="00CE6CE4">
                    <w:rPr>
                      <w:rFonts w:ascii="Times New Roman" w:hAnsi="Times New Roman"/>
                      <w:sz w:val="20"/>
                      <w:szCs w:val="20"/>
                    </w:rPr>
                    <w:br/>
                    <w:t>3.  For measures where the incentive is limited to 70% of energy efficiency measure costs, energy efficiency measure costs are subject to Pacific Power approval.</w:t>
                  </w:r>
                  <w:r w:rsidR="007633A9" w:rsidRPr="00CE6CE4">
                    <w:rPr>
                      <w:rFonts w:ascii="Times New Roman" w:hAnsi="Times New Roman"/>
                      <w:sz w:val="20"/>
                      <w:szCs w:val="20"/>
                    </w:rPr>
                    <w:br/>
                    <w:t>4.  Incentives are paid at $0.12/kWh annual energy savings.  Irrigation Pump VFD annual energy savings subject to approval by Pacific Power.</w:t>
                  </w:r>
                  <w:r w:rsidR="007633A9" w:rsidRPr="00CE6CE4">
                    <w:rPr>
                      <w:rFonts w:ascii="Times New Roman" w:hAnsi="Times New Roman"/>
                      <w:sz w:val="20"/>
                      <w:szCs w:val="20"/>
                    </w:rPr>
                    <w:br/>
                  </w:r>
                  <w:r w:rsidR="007633A9" w:rsidRPr="00CE6CE4">
                    <w:rPr>
                      <w:rFonts w:ascii="Times New Roman" w:hAnsi="Times New Roman"/>
                      <w:sz w:val="20"/>
                      <w:szCs w:val="20"/>
                    </w:rPr>
                    <w:br/>
                    <w:t>VFD = Variable Frequency Drive</w:t>
                  </w:r>
                </w:p>
              </w:tc>
            </w:tr>
          </w:tbl>
          <w:p w:rsidR="007633A9" w:rsidRPr="000C7C45" w:rsidRDefault="007633A9" w:rsidP="003513D9">
            <w:pPr>
              <w:rPr>
                <w:rFonts w:ascii="Times New Roman" w:hAnsi="Times New Roman"/>
                <w:sz w:val="18"/>
                <w:szCs w:val="18"/>
              </w:rPr>
            </w:pPr>
          </w:p>
        </w:tc>
      </w:tr>
    </w:tbl>
    <w:p w:rsidR="007633A9" w:rsidRPr="000C7C45" w:rsidRDefault="007633A9" w:rsidP="007633A9">
      <w:pPr>
        <w:rPr>
          <w:rFonts w:ascii="Times New Roman" w:hAnsi="Times New Roman"/>
          <w:sz w:val="24"/>
          <w:szCs w:val="24"/>
        </w:rPr>
      </w:pPr>
      <w:r w:rsidRPr="000C7C45">
        <w:rPr>
          <w:rFonts w:ascii="Times New Roman" w:hAnsi="Times New Roman"/>
          <w:sz w:val="24"/>
          <w:szCs w:val="24"/>
        </w:rPr>
        <w:br w:type="page"/>
      </w:r>
    </w:p>
    <w:tbl>
      <w:tblPr>
        <w:tblW w:w="9084" w:type="dxa"/>
        <w:tblInd w:w="108" w:type="dxa"/>
        <w:tblLook w:val="0000"/>
      </w:tblPr>
      <w:tblGrid>
        <w:gridCol w:w="2536"/>
        <w:gridCol w:w="1916"/>
        <w:gridCol w:w="3096"/>
        <w:gridCol w:w="1536"/>
      </w:tblGrid>
      <w:tr w:rsidR="007633A9" w:rsidRPr="000C7C45" w:rsidTr="00692D4F">
        <w:trPr>
          <w:trHeight w:val="270"/>
        </w:trPr>
        <w:tc>
          <w:tcPr>
            <w:tcW w:w="9084" w:type="dxa"/>
            <w:gridSpan w:val="4"/>
            <w:tcBorders>
              <w:top w:val="nil"/>
              <w:left w:val="nil"/>
              <w:bottom w:val="nil"/>
              <w:right w:val="nil"/>
            </w:tcBorders>
            <w:shd w:val="clear" w:color="auto" w:fill="auto"/>
            <w:noWrap/>
            <w:vAlign w:val="bottom"/>
          </w:tcPr>
          <w:p w:rsidR="007633A9" w:rsidRPr="003513D9" w:rsidRDefault="007633A9" w:rsidP="00692D4F">
            <w:pPr>
              <w:jc w:val="center"/>
              <w:rPr>
                <w:rFonts w:ascii="Times New Roman" w:hAnsi="Times New Roman"/>
                <w:sz w:val="24"/>
                <w:szCs w:val="24"/>
              </w:rPr>
            </w:pPr>
            <w:r w:rsidRPr="003513D9">
              <w:rPr>
                <w:rFonts w:ascii="Times New Roman" w:hAnsi="Times New Roman"/>
                <w:b/>
                <w:bCs/>
                <w:sz w:val="24"/>
                <w:szCs w:val="24"/>
              </w:rPr>
              <w:t>Dairy/Farm Equipment Incentives Table</w:t>
            </w:r>
          </w:p>
        </w:tc>
      </w:tr>
      <w:tr w:rsidR="007633A9" w:rsidRPr="000C7C45" w:rsidTr="00692D4F">
        <w:trPr>
          <w:trHeight w:val="495"/>
        </w:trPr>
        <w:tc>
          <w:tcPr>
            <w:tcW w:w="2536" w:type="dxa"/>
            <w:tcBorders>
              <w:top w:val="single" w:sz="8" w:space="0" w:color="auto"/>
              <w:left w:val="single" w:sz="8" w:space="0" w:color="auto"/>
              <w:bottom w:val="single" w:sz="8" w:space="0" w:color="auto"/>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1916" w:type="dxa"/>
            <w:tcBorders>
              <w:top w:val="single" w:sz="8" w:space="0" w:color="auto"/>
              <w:left w:val="single" w:sz="8" w:space="0" w:color="auto"/>
              <w:bottom w:val="single" w:sz="8" w:space="0" w:color="auto"/>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Category</w:t>
            </w:r>
          </w:p>
        </w:tc>
        <w:tc>
          <w:tcPr>
            <w:tcW w:w="3096" w:type="dxa"/>
            <w:tcBorders>
              <w:top w:val="single" w:sz="8" w:space="0" w:color="auto"/>
              <w:left w:val="single" w:sz="8" w:space="0" w:color="auto"/>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Minimum Efficiency Requirements</w:t>
            </w:r>
          </w:p>
        </w:tc>
        <w:tc>
          <w:tcPr>
            <w:tcW w:w="1536"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Customer Incentive</w:t>
            </w:r>
          </w:p>
        </w:tc>
      </w:tr>
      <w:tr w:rsidR="007633A9" w:rsidRPr="000C7C45" w:rsidTr="00692D4F">
        <w:trPr>
          <w:trHeight w:val="735"/>
        </w:trPr>
        <w:tc>
          <w:tcPr>
            <w:tcW w:w="2536" w:type="dxa"/>
            <w:tcBorders>
              <w:top w:val="nil"/>
              <w:left w:val="single" w:sz="8"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Automatic Milker Takeoffs</w:t>
            </w:r>
            <w:r w:rsidRPr="000C7C45">
              <w:rPr>
                <w:rFonts w:ascii="Times New Roman" w:hAnsi="Times New Roman"/>
                <w:color w:val="000000"/>
                <w:sz w:val="18"/>
                <w:szCs w:val="18"/>
              </w:rPr>
              <w:br/>
              <w:t>(Retrofit Only)</w:t>
            </w:r>
          </w:p>
        </w:tc>
        <w:tc>
          <w:tcPr>
            <w:tcW w:w="1916"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09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Equipment must be able to sense milk flow and remove milker when flow reaches a pre-set level.</w:t>
            </w:r>
            <w:r w:rsidRPr="000C7C45">
              <w:rPr>
                <w:rFonts w:ascii="Times New Roman" w:hAnsi="Times New Roman"/>
              </w:rPr>
              <w:t xml:space="preserve"> </w:t>
            </w:r>
            <w:r w:rsidRPr="000C7C45">
              <w:rPr>
                <w:rFonts w:ascii="Times New Roman" w:hAnsi="Times New Roman"/>
                <w:color w:val="000000"/>
                <w:sz w:val="18"/>
                <w:szCs w:val="18"/>
              </w:rPr>
              <w:t>The vacuum pump serving the affected milking units must be equipped with a VFD to slow the vacuum pump’s speed when demand for vacuum is reduced.  Incentive available for retrofit only. Replacement of existing automatic milker takeoffs are not eligible for incentives, except where Pacific Power permits as a Custom Energy Efficiency Incentive.</w:t>
            </w:r>
          </w:p>
        </w:tc>
        <w:tc>
          <w:tcPr>
            <w:tcW w:w="1536" w:type="dxa"/>
            <w:tcBorders>
              <w:top w:val="nil"/>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$235 each</w:t>
            </w:r>
          </w:p>
        </w:tc>
      </w:tr>
      <w:tr w:rsidR="007633A9" w:rsidRPr="000C7C45" w:rsidTr="00692D4F">
        <w:trPr>
          <w:trHeight w:val="735"/>
        </w:trPr>
        <w:tc>
          <w:tcPr>
            <w:tcW w:w="2536" w:type="dxa"/>
            <w:tcBorders>
              <w:top w:val="nil"/>
              <w:left w:val="single" w:sz="8" w:space="0" w:color="auto"/>
              <w:bottom w:val="nil"/>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Agricultural Engine Block Heater Timers</w:t>
            </w:r>
          </w:p>
        </w:tc>
        <w:tc>
          <w:tcPr>
            <w:tcW w:w="1916"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096" w:type="dxa"/>
            <w:tcBorders>
              <w:top w:val="nil"/>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Timer must be a UL-listed device and rated for a minimum of 15 amps continuous duty.</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$10 each</w:t>
            </w:r>
          </w:p>
        </w:tc>
      </w:tr>
      <w:tr w:rsidR="007633A9" w:rsidRPr="000C7C45" w:rsidTr="00692D4F">
        <w:trPr>
          <w:trHeight w:val="495"/>
        </w:trPr>
        <w:tc>
          <w:tcPr>
            <w:tcW w:w="253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Circulating Fans</w:t>
            </w:r>
            <w:r w:rsidRPr="000C7C45">
              <w:rPr>
                <w:rFonts w:ascii="Times New Roman" w:hAnsi="Times New Roman"/>
                <w:color w:val="000000"/>
                <w:sz w:val="18"/>
                <w:szCs w:val="18"/>
              </w:rPr>
              <w:br/>
              <w:t>(See Note 2)</w:t>
            </w: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12-23"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$25/fan</w:t>
            </w:r>
          </w:p>
        </w:tc>
      </w:tr>
      <w:tr w:rsidR="007633A9" w:rsidRPr="000C7C45" w:rsidTr="00692D4F">
        <w:trPr>
          <w:trHeight w:val="495"/>
        </w:trPr>
        <w:tc>
          <w:tcPr>
            <w:tcW w:w="253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24-35"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$35/fan</w:t>
            </w:r>
          </w:p>
        </w:tc>
      </w:tr>
      <w:tr w:rsidR="007633A9" w:rsidRPr="000C7C45" w:rsidTr="00692D4F">
        <w:trPr>
          <w:trHeight w:val="495"/>
        </w:trPr>
        <w:tc>
          <w:tcPr>
            <w:tcW w:w="253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36-47"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$50/fan</w:t>
            </w:r>
          </w:p>
        </w:tc>
      </w:tr>
      <w:tr w:rsidR="007633A9" w:rsidRPr="000C7C45" w:rsidTr="00692D4F">
        <w:trPr>
          <w:trHeight w:val="495"/>
        </w:trPr>
        <w:tc>
          <w:tcPr>
            <w:tcW w:w="253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≥48"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25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$75/fan</w:t>
            </w:r>
          </w:p>
        </w:tc>
      </w:tr>
      <w:tr w:rsidR="007633A9" w:rsidRPr="000C7C45" w:rsidTr="00692D4F">
        <w:trPr>
          <w:trHeight w:val="975"/>
        </w:trPr>
        <w:tc>
          <w:tcPr>
            <w:tcW w:w="2536" w:type="dxa"/>
            <w:tcBorders>
              <w:top w:val="nil"/>
              <w:left w:val="single" w:sz="8" w:space="0" w:color="auto"/>
              <w:bottom w:val="nil"/>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Heat Reclaimers</w:t>
            </w:r>
          </w:p>
        </w:tc>
        <w:tc>
          <w:tcPr>
            <w:tcW w:w="1916"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Heat reclaimer must use waste heat from refrigeration compressor to heat water.  Customer must use electricity to heat water.</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$220/condenser kW</w:t>
            </w:r>
          </w:p>
        </w:tc>
      </w:tr>
      <w:tr w:rsidR="007633A9" w:rsidRPr="000C7C45" w:rsidTr="00692D4F">
        <w:trPr>
          <w:trHeight w:val="495"/>
        </w:trPr>
        <w:tc>
          <w:tcPr>
            <w:tcW w:w="253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High-efficiency Ventilation Systems</w:t>
            </w:r>
            <w:r w:rsidRPr="000C7C45">
              <w:rPr>
                <w:rFonts w:ascii="Times New Roman" w:hAnsi="Times New Roman"/>
                <w:color w:val="000000"/>
                <w:sz w:val="18"/>
                <w:szCs w:val="18"/>
              </w:rPr>
              <w:br/>
              <w:t>(See Note 2)</w:t>
            </w: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12-23"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$45/fan</w:t>
            </w:r>
          </w:p>
        </w:tc>
      </w:tr>
      <w:tr w:rsidR="007633A9" w:rsidRPr="000C7C45" w:rsidTr="00692D4F">
        <w:trPr>
          <w:trHeight w:val="495"/>
        </w:trPr>
        <w:tc>
          <w:tcPr>
            <w:tcW w:w="253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24-35"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13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$75/fan</w:t>
            </w:r>
          </w:p>
        </w:tc>
      </w:tr>
      <w:tr w:rsidR="007633A9" w:rsidRPr="000C7C45" w:rsidTr="00692D4F">
        <w:trPr>
          <w:trHeight w:val="495"/>
        </w:trPr>
        <w:tc>
          <w:tcPr>
            <w:tcW w:w="253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36-47"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17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$125/fan</w:t>
            </w:r>
          </w:p>
        </w:tc>
      </w:tr>
      <w:tr w:rsidR="007633A9" w:rsidRPr="000C7C45" w:rsidTr="00692D4F">
        <w:trPr>
          <w:trHeight w:val="495"/>
        </w:trPr>
        <w:tc>
          <w:tcPr>
            <w:tcW w:w="253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≥48" Diameter</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Fans must achieve an efficiency level of 19.5 cfm/W</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$150/fan</w:t>
            </w:r>
          </w:p>
        </w:tc>
      </w:tr>
      <w:tr w:rsidR="007633A9" w:rsidRPr="000C7C45" w:rsidTr="00692D4F">
        <w:trPr>
          <w:trHeight w:val="735"/>
        </w:trPr>
        <w:tc>
          <w:tcPr>
            <w:tcW w:w="2536" w:type="dxa"/>
            <w:tcBorders>
              <w:top w:val="nil"/>
              <w:left w:val="single" w:sz="8" w:space="0" w:color="auto"/>
              <w:bottom w:val="nil"/>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Milk Pre-coolers</w:t>
            </w:r>
          </w:p>
        </w:tc>
        <w:tc>
          <w:tcPr>
            <w:tcW w:w="1916" w:type="dxa"/>
            <w:tcBorders>
              <w:top w:val="nil"/>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09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The equipment must cool milk with well-water before it reaches the bulk cooling tank.</w:t>
            </w:r>
          </w:p>
        </w:tc>
        <w:tc>
          <w:tcPr>
            <w:tcW w:w="1536"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See Note 3</w:t>
            </w:r>
          </w:p>
        </w:tc>
      </w:tr>
      <w:tr w:rsidR="007633A9" w:rsidRPr="000C7C45" w:rsidTr="00692D4F">
        <w:trPr>
          <w:trHeight w:val="735"/>
        </w:trPr>
        <w:tc>
          <w:tcPr>
            <w:tcW w:w="2536" w:type="dxa"/>
            <w:tcBorders>
              <w:top w:val="single" w:sz="8" w:space="0" w:color="auto"/>
              <w:left w:val="single" w:sz="8" w:space="0" w:color="auto"/>
              <w:bottom w:val="single" w:sz="4" w:space="0" w:color="auto"/>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Programmable Ventilation Controllers</w:t>
            </w:r>
          </w:p>
        </w:tc>
        <w:tc>
          <w:tcPr>
            <w:tcW w:w="1916" w:type="dxa"/>
            <w:tcBorders>
              <w:top w:val="nil"/>
              <w:left w:val="single" w:sz="8" w:space="0" w:color="auto"/>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096" w:type="dxa"/>
            <w:tcBorders>
              <w:top w:val="single" w:sz="8" w:space="0" w:color="auto"/>
              <w:left w:val="nil"/>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The equipment must control ventilation fans based on temperature or environmental settings.</w:t>
            </w:r>
          </w:p>
        </w:tc>
        <w:tc>
          <w:tcPr>
            <w:tcW w:w="1536" w:type="dxa"/>
            <w:tcBorders>
              <w:top w:val="single" w:sz="8" w:space="0" w:color="auto"/>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$20/fan controlled</w:t>
            </w:r>
          </w:p>
        </w:tc>
      </w:tr>
      <w:tr w:rsidR="007633A9" w:rsidRPr="000C7C45" w:rsidTr="00692D4F">
        <w:trPr>
          <w:trHeight w:val="975"/>
        </w:trPr>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Variable Frequency Drives for Dairy Vacuum Pumps</w:t>
            </w:r>
            <w:r w:rsidRPr="000C7C45">
              <w:rPr>
                <w:rFonts w:ascii="Times New Roman" w:hAnsi="Times New Roman"/>
                <w:color w:val="000000"/>
                <w:sz w:val="18"/>
                <w:szCs w:val="18"/>
              </w:rPr>
              <w:br/>
              <w:t>(Retrofit Only)</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The equipment must vary the motor speed in accordance with the air flow needs of the vacuum system.  Incentive available for retrofit only for syst</w:t>
            </w:r>
            <w:smartTag w:uri="urn:schemas-microsoft-com:office:smarttags" w:element="stockticker">
              <w:r w:rsidRPr="000C7C45">
                <w:rPr>
                  <w:rFonts w:ascii="Times New Roman" w:hAnsi="Times New Roman"/>
                  <w:color w:val="000000"/>
                  <w:sz w:val="18"/>
                  <w:szCs w:val="18"/>
                </w:rPr>
                <w:t xml:space="preserve">ems </w:t>
              </w:r>
            </w:smartTag>
            <w:r w:rsidRPr="000C7C45">
              <w:rPr>
                <w:rFonts w:ascii="Times New Roman" w:hAnsi="Times New Roman"/>
                <w:color w:val="000000"/>
                <w:sz w:val="18"/>
                <w:szCs w:val="18"/>
              </w:rPr>
              <w:t>without an existing VFD.</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$165/hp</w:t>
            </w:r>
          </w:p>
        </w:tc>
      </w:tr>
      <w:tr w:rsidR="007633A9" w:rsidRPr="000C7C45" w:rsidTr="00692D4F">
        <w:trPr>
          <w:trHeight w:val="3105"/>
        </w:trPr>
        <w:tc>
          <w:tcPr>
            <w:tcW w:w="9084" w:type="dxa"/>
            <w:gridSpan w:val="4"/>
            <w:tcBorders>
              <w:top w:val="single" w:sz="4" w:space="0" w:color="auto"/>
              <w:left w:val="nil"/>
              <w:bottom w:val="nil"/>
              <w:right w:val="nil"/>
            </w:tcBorders>
            <w:shd w:val="clear" w:color="auto" w:fill="auto"/>
          </w:tcPr>
          <w:p w:rsidR="007633A9" w:rsidRPr="00CE6CE4" w:rsidRDefault="007633A9" w:rsidP="00692D4F">
            <w:pPr>
              <w:rPr>
                <w:rFonts w:ascii="Times New Roman" w:hAnsi="Times New Roman"/>
                <w:sz w:val="20"/>
                <w:szCs w:val="20"/>
              </w:rPr>
            </w:pPr>
            <w:r w:rsidRPr="00CE6CE4">
              <w:rPr>
                <w:rFonts w:ascii="Times New Roman" w:hAnsi="Times New Roman"/>
                <w:b/>
                <w:bCs/>
                <w:sz w:val="20"/>
                <w:szCs w:val="20"/>
              </w:rPr>
              <w:t xml:space="preserve">Notes for </w:t>
            </w:r>
            <w:r w:rsidR="003513D9" w:rsidRPr="00CE6CE4">
              <w:rPr>
                <w:rFonts w:ascii="Times New Roman" w:hAnsi="Times New Roman"/>
                <w:b/>
                <w:bCs/>
                <w:sz w:val="20"/>
                <w:szCs w:val="20"/>
              </w:rPr>
              <w:t>D</w:t>
            </w:r>
            <w:r w:rsidRPr="00CE6CE4">
              <w:rPr>
                <w:rFonts w:ascii="Times New Roman" w:hAnsi="Times New Roman"/>
                <w:b/>
                <w:bCs/>
                <w:sz w:val="20"/>
                <w:szCs w:val="20"/>
              </w:rPr>
              <w:t>airy/</w:t>
            </w:r>
            <w:r w:rsidR="003513D9" w:rsidRPr="00CE6CE4">
              <w:rPr>
                <w:rFonts w:ascii="Times New Roman" w:hAnsi="Times New Roman"/>
                <w:b/>
                <w:bCs/>
                <w:sz w:val="20"/>
                <w:szCs w:val="20"/>
              </w:rPr>
              <w:t>F</w:t>
            </w:r>
            <w:r w:rsidRPr="00CE6CE4">
              <w:rPr>
                <w:rFonts w:ascii="Times New Roman" w:hAnsi="Times New Roman"/>
                <w:b/>
                <w:bCs/>
                <w:sz w:val="20"/>
                <w:szCs w:val="20"/>
              </w:rPr>
              <w:t xml:space="preserve">arm </w:t>
            </w:r>
            <w:r w:rsidR="003513D9" w:rsidRPr="00CE6CE4">
              <w:rPr>
                <w:rFonts w:ascii="Times New Roman" w:hAnsi="Times New Roman"/>
                <w:b/>
                <w:bCs/>
                <w:sz w:val="20"/>
                <w:szCs w:val="20"/>
              </w:rPr>
              <w:t>E</w:t>
            </w:r>
            <w:r w:rsidRPr="00CE6CE4">
              <w:rPr>
                <w:rFonts w:ascii="Times New Roman" w:hAnsi="Times New Roman"/>
                <w:b/>
                <w:bCs/>
                <w:sz w:val="20"/>
                <w:szCs w:val="20"/>
              </w:rPr>
              <w:t xml:space="preserve">quipment </w:t>
            </w:r>
            <w:r w:rsidR="003513D9" w:rsidRPr="00CE6CE4">
              <w:rPr>
                <w:rFonts w:ascii="Times New Roman" w:hAnsi="Times New Roman"/>
                <w:b/>
                <w:bCs/>
                <w:sz w:val="20"/>
                <w:szCs w:val="20"/>
              </w:rPr>
              <w:t>I</w:t>
            </w:r>
            <w:r w:rsidRPr="00CE6CE4">
              <w:rPr>
                <w:rFonts w:ascii="Times New Roman" w:hAnsi="Times New Roman"/>
                <w:b/>
                <w:bCs/>
                <w:sz w:val="20"/>
                <w:szCs w:val="20"/>
              </w:rPr>
              <w:t xml:space="preserve">ncentives </w:t>
            </w:r>
            <w:r w:rsidR="003513D9" w:rsidRPr="00CE6CE4">
              <w:rPr>
                <w:rFonts w:ascii="Times New Roman" w:hAnsi="Times New Roman"/>
                <w:b/>
                <w:bCs/>
                <w:sz w:val="20"/>
                <w:szCs w:val="20"/>
              </w:rPr>
              <w:t>T</w:t>
            </w:r>
            <w:r w:rsidRPr="00CE6CE4">
              <w:rPr>
                <w:rFonts w:ascii="Times New Roman" w:hAnsi="Times New Roman"/>
                <w:b/>
                <w:bCs/>
                <w:sz w:val="20"/>
                <w:szCs w:val="20"/>
              </w:rPr>
              <w:t>able</w:t>
            </w:r>
            <w:r w:rsidR="00CE6CE4">
              <w:rPr>
                <w:rFonts w:ascii="Times New Roman" w:hAnsi="Times New Roman"/>
                <w:bCs/>
                <w:sz w:val="20"/>
                <w:szCs w:val="20"/>
              </w:rPr>
              <w:t>:</w:t>
            </w:r>
            <w:r w:rsidRPr="00CE6CE4">
              <w:rPr>
                <w:rFonts w:ascii="Times New Roman" w:hAnsi="Times New Roman"/>
                <w:bCs/>
                <w:sz w:val="20"/>
                <w:szCs w:val="20"/>
              </w:rPr>
              <w:br/>
            </w:r>
            <w:r w:rsidRPr="00CE6CE4">
              <w:rPr>
                <w:rFonts w:ascii="Times New Roman" w:hAnsi="Times New Roman"/>
                <w:sz w:val="20"/>
                <w:szCs w:val="20"/>
              </w:rPr>
              <w:t>1.  Equipment that meets or exceeds the efficiency requirements listed for the equipment category in the above table may qualify for the listed incentive.</w:t>
            </w:r>
            <w:r w:rsidRPr="00CE6CE4">
              <w:rPr>
                <w:rFonts w:ascii="Times New Roman" w:hAnsi="Times New Roman"/>
                <w:sz w:val="20"/>
                <w:szCs w:val="20"/>
              </w:rPr>
              <w:br/>
              <w:t>2.  Fan performance must be rated by an</w:t>
            </w:r>
            <w:smartTag w:uri="urn:schemas-microsoft-com:office:smarttags" w:element="stockticker">
              <w:r w:rsidRPr="00CE6CE4">
                <w:rPr>
                  <w:rFonts w:ascii="Times New Roman" w:hAnsi="Times New Roman"/>
                  <w:sz w:val="20"/>
                  <w:szCs w:val="20"/>
                </w:rPr>
                <w:t xml:space="preserve"> ind</w:t>
              </w:r>
            </w:smartTag>
            <w:r w:rsidRPr="00CE6CE4">
              <w:rPr>
                <w:rFonts w:ascii="Times New Roman" w:hAnsi="Times New Roman"/>
                <w:sz w:val="20"/>
                <w:szCs w:val="20"/>
              </w:rPr>
              <w:t>ependent testing body in accordance with the appropriate ANSI/AMCA standards.</w:t>
            </w:r>
            <w:r w:rsidRPr="00CE6CE4">
              <w:rPr>
                <w:rFonts w:ascii="Times New Roman" w:hAnsi="Times New Roman"/>
                <w:sz w:val="20"/>
                <w:szCs w:val="20"/>
              </w:rPr>
              <w:br/>
              <w:t>3.  Incentives are paid at $0.12/kWh annual energy savings + $50/kW average monthly demand savings.  Milk Pre-Cooler energy and demand savings subject to approval by Pacific Power.</w:t>
            </w:r>
            <w:r w:rsidRPr="00CE6CE4">
              <w:rPr>
                <w:rFonts w:ascii="Times New Roman" w:hAnsi="Times New Roman"/>
                <w:sz w:val="20"/>
                <w:szCs w:val="20"/>
              </w:rPr>
              <w:br/>
              <w:t>4.  Except where noted, all equipment listed in the table will be eligible for incentives in both new construction and retrofit projects.</w:t>
            </w:r>
            <w:r w:rsidRPr="00CE6CE4">
              <w:rPr>
                <w:rFonts w:ascii="Times New Roman" w:hAnsi="Times New Roman"/>
                <w:sz w:val="20"/>
                <w:szCs w:val="20"/>
              </w:rPr>
              <w:br/>
            </w:r>
          </w:p>
          <w:p w:rsidR="007633A9" w:rsidRPr="00CE6CE4" w:rsidRDefault="007633A9" w:rsidP="00692D4F">
            <w:pPr>
              <w:rPr>
                <w:rFonts w:ascii="Times New Roman" w:hAnsi="Times New Roman"/>
                <w:sz w:val="20"/>
                <w:szCs w:val="20"/>
              </w:rPr>
            </w:pPr>
            <w:r w:rsidRPr="00CE6CE4">
              <w:rPr>
                <w:rFonts w:ascii="Times New Roman" w:hAnsi="Times New Roman"/>
                <w:bCs/>
                <w:sz w:val="20"/>
                <w:szCs w:val="20"/>
              </w:rPr>
              <w:t>AMCA</w:t>
            </w:r>
            <w:r w:rsidRPr="00CE6CE4">
              <w:rPr>
                <w:rFonts w:ascii="Times New Roman" w:hAnsi="Times New Roman"/>
                <w:sz w:val="20"/>
                <w:szCs w:val="20"/>
              </w:rPr>
              <w:t xml:space="preserve"> = Air Movement &amp; Control Association International, Inc.</w:t>
            </w:r>
            <w:r w:rsidRPr="00CE6CE4">
              <w:rPr>
                <w:rFonts w:ascii="Times New Roman" w:hAnsi="Times New Roman"/>
                <w:sz w:val="20"/>
                <w:szCs w:val="20"/>
              </w:rPr>
              <w:br/>
            </w:r>
            <w:r w:rsidRPr="00CE6CE4">
              <w:rPr>
                <w:rFonts w:ascii="Times New Roman" w:hAnsi="Times New Roman"/>
                <w:bCs/>
                <w:sz w:val="20"/>
                <w:szCs w:val="20"/>
              </w:rPr>
              <w:t>ANSI</w:t>
            </w:r>
            <w:r w:rsidRPr="00CE6CE4">
              <w:rPr>
                <w:rFonts w:ascii="Times New Roman" w:hAnsi="Times New Roman"/>
                <w:sz w:val="20"/>
                <w:szCs w:val="20"/>
              </w:rPr>
              <w:t xml:space="preserve"> = American National Standards Institute</w:t>
            </w:r>
          </w:p>
          <w:p w:rsidR="007633A9" w:rsidRPr="00CE6CE4" w:rsidRDefault="007633A9" w:rsidP="00692D4F">
            <w:pPr>
              <w:rPr>
                <w:rFonts w:ascii="Times New Roman" w:hAnsi="Times New Roman"/>
                <w:bCs/>
                <w:sz w:val="20"/>
                <w:szCs w:val="20"/>
              </w:rPr>
            </w:pPr>
            <w:r w:rsidRPr="00CE6CE4">
              <w:rPr>
                <w:rFonts w:ascii="Times New Roman" w:hAnsi="Times New Roman"/>
                <w:bCs/>
                <w:sz w:val="20"/>
                <w:szCs w:val="20"/>
              </w:rPr>
              <w:t>VFD = Variable Frequency Drive</w:t>
            </w:r>
          </w:p>
        </w:tc>
      </w:tr>
    </w:tbl>
    <w:p w:rsidR="007633A9" w:rsidRPr="000C7C45" w:rsidRDefault="007633A9" w:rsidP="007633A9">
      <w:pPr>
        <w:rPr>
          <w:rFonts w:ascii="Times New Roman" w:hAnsi="Times New Roman"/>
        </w:rPr>
      </w:pPr>
      <w:r w:rsidRPr="000C7C45">
        <w:rPr>
          <w:rFonts w:ascii="Times New Roman" w:hAnsi="Times New Roman"/>
          <w:sz w:val="24"/>
          <w:szCs w:val="24"/>
        </w:rPr>
        <w:br w:type="page"/>
      </w:r>
    </w:p>
    <w:tbl>
      <w:tblPr>
        <w:tblW w:w="9900" w:type="dxa"/>
        <w:tblInd w:w="108" w:type="dxa"/>
        <w:tblLook w:val="0000"/>
      </w:tblPr>
      <w:tblGrid>
        <w:gridCol w:w="1170"/>
        <w:gridCol w:w="1440"/>
        <w:gridCol w:w="2610"/>
        <w:gridCol w:w="3150"/>
        <w:gridCol w:w="1530"/>
      </w:tblGrid>
      <w:tr w:rsidR="007633A9" w:rsidRPr="000C7C45" w:rsidTr="00692D4F">
        <w:trPr>
          <w:trHeight w:val="270"/>
        </w:trPr>
        <w:tc>
          <w:tcPr>
            <w:tcW w:w="9900" w:type="dxa"/>
            <w:gridSpan w:val="5"/>
            <w:tcBorders>
              <w:top w:val="nil"/>
              <w:left w:val="nil"/>
              <w:bottom w:val="nil"/>
              <w:right w:val="nil"/>
            </w:tcBorders>
            <w:shd w:val="clear" w:color="auto" w:fill="auto"/>
            <w:noWrap/>
            <w:vAlign w:val="bottom"/>
          </w:tcPr>
          <w:p w:rsidR="007633A9" w:rsidRPr="003513D9" w:rsidRDefault="007633A9" w:rsidP="00692D4F">
            <w:pPr>
              <w:jc w:val="center"/>
              <w:rPr>
                <w:rFonts w:ascii="Times New Roman" w:hAnsi="Times New Roman"/>
                <w:sz w:val="24"/>
                <w:szCs w:val="24"/>
              </w:rPr>
            </w:pPr>
            <w:r w:rsidRPr="003513D9">
              <w:rPr>
                <w:rFonts w:ascii="Times New Roman" w:hAnsi="Times New Roman"/>
                <w:b/>
                <w:bCs/>
                <w:sz w:val="24"/>
                <w:szCs w:val="24"/>
              </w:rPr>
              <w:t xml:space="preserve">Compressed Air Incentive Table </w:t>
            </w:r>
          </w:p>
        </w:tc>
      </w:tr>
      <w:tr w:rsidR="007633A9" w:rsidRPr="000C7C45" w:rsidTr="00692D4F">
        <w:trPr>
          <w:trHeight w:val="495"/>
        </w:trPr>
        <w:tc>
          <w:tcPr>
            <w:tcW w:w="1170" w:type="dxa"/>
            <w:tcBorders>
              <w:top w:val="single" w:sz="8" w:space="0" w:color="auto"/>
              <w:left w:val="single" w:sz="8"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Category</w:t>
            </w:r>
          </w:p>
        </w:tc>
        <w:tc>
          <w:tcPr>
            <w:tcW w:w="1440" w:type="dxa"/>
            <w:tcBorders>
              <w:top w:val="single" w:sz="8"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Replace</w:t>
            </w:r>
          </w:p>
        </w:tc>
        <w:tc>
          <w:tcPr>
            <w:tcW w:w="2610"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With</w:t>
            </w:r>
          </w:p>
        </w:tc>
        <w:tc>
          <w:tcPr>
            <w:tcW w:w="3150"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Limitations</w:t>
            </w:r>
          </w:p>
        </w:tc>
        <w:tc>
          <w:tcPr>
            <w:tcW w:w="1530" w:type="dxa"/>
            <w:tcBorders>
              <w:top w:val="single" w:sz="8" w:space="0" w:color="auto"/>
              <w:left w:val="nil"/>
              <w:bottom w:val="single" w:sz="8" w:space="0" w:color="auto"/>
              <w:right w:val="single" w:sz="8" w:space="0" w:color="auto"/>
            </w:tcBorders>
            <w:shd w:val="clear" w:color="auto" w:fill="auto"/>
            <w:vAlign w:val="bottom"/>
          </w:tcPr>
          <w:p w:rsidR="007633A9" w:rsidRPr="000C7C45" w:rsidRDefault="007633A9" w:rsidP="00692D4F">
            <w:pPr>
              <w:jc w:val="center"/>
              <w:rPr>
                <w:rFonts w:ascii="Times New Roman" w:hAnsi="Times New Roman"/>
                <w:b/>
                <w:bCs/>
                <w:color w:val="000000"/>
                <w:sz w:val="18"/>
                <w:szCs w:val="18"/>
              </w:rPr>
            </w:pPr>
            <w:r w:rsidRPr="000C7C45">
              <w:rPr>
                <w:rFonts w:ascii="Times New Roman" w:hAnsi="Times New Roman"/>
                <w:b/>
                <w:bCs/>
                <w:color w:val="000000"/>
                <w:sz w:val="18"/>
                <w:szCs w:val="18"/>
              </w:rPr>
              <w:t>Customer Incentive</w:t>
            </w:r>
          </w:p>
        </w:tc>
      </w:tr>
      <w:tr w:rsidR="007633A9" w:rsidRPr="000C7C45" w:rsidTr="00692D4F">
        <w:trPr>
          <w:trHeight w:val="1695"/>
        </w:trPr>
        <w:tc>
          <w:tcPr>
            <w:tcW w:w="1170" w:type="dxa"/>
            <w:tcBorders>
              <w:top w:val="single" w:sz="8" w:space="0" w:color="auto"/>
              <w:left w:val="single" w:sz="8"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Low-Pressure Drop Filters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Standard Coalescing Filter</w:t>
            </w:r>
          </w:p>
        </w:tc>
        <w:tc>
          <w:tcPr>
            <w:tcW w:w="261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pStyle w:val="Table"/>
              <w:keepNext w:val="0"/>
              <w:spacing w:before="40" w:after="40"/>
              <w:jc w:val="left"/>
              <w:rPr>
                <w:rFonts w:ascii="Times New Roman" w:hAnsi="Times New Roman"/>
                <w:b w:val="0"/>
                <w:sz w:val="18"/>
                <w:szCs w:val="18"/>
              </w:rPr>
            </w:pPr>
            <w:r w:rsidRPr="000C7C45">
              <w:rPr>
                <w:rFonts w:ascii="Times New Roman" w:hAnsi="Times New Roman"/>
                <w:b w:val="0"/>
                <w:color w:val="000000"/>
                <w:sz w:val="18"/>
                <w:szCs w:val="18"/>
              </w:rPr>
              <w:t>Rated Low-Pressure Drop Filter where:</w:t>
            </w:r>
            <w:r w:rsidRPr="000C7C45">
              <w:rPr>
                <w:rFonts w:ascii="Times New Roman" w:hAnsi="Times New Roman"/>
                <w:b w:val="0"/>
                <w:color w:val="000000"/>
                <w:sz w:val="18"/>
                <w:szCs w:val="18"/>
              </w:rPr>
              <w:br/>
              <w:t>1. Pressure Loss at Rated Flow is ≤ 1psi when new and ≤ 3psi at element change</w:t>
            </w:r>
            <w:r w:rsidRPr="000C7C45">
              <w:rPr>
                <w:rFonts w:ascii="Times New Roman" w:hAnsi="Times New Roman"/>
                <w:b w:val="0"/>
                <w:color w:val="000000"/>
                <w:sz w:val="18"/>
                <w:szCs w:val="18"/>
              </w:rPr>
              <w:br/>
              <w:t>2. Particulate Filtration is 100% at ≥ 3.0 microns and 99.98% at 0.1 to 3.0 microns, with ≤ 5 ppm liquid carryover</w:t>
            </w:r>
            <w:r w:rsidRPr="000C7C45">
              <w:rPr>
                <w:rFonts w:ascii="Times New Roman" w:hAnsi="Times New Roman"/>
                <w:b w:val="0"/>
                <w:color w:val="000000"/>
                <w:sz w:val="18"/>
                <w:szCs w:val="18"/>
              </w:rPr>
              <w:br/>
              <w:t>3. Filter is of deep-bed "mist eliminator"</w:t>
            </w:r>
            <w:r w:rsidRPr="000C7C45">
              <w:rPr>
                <w:rFonts w:ascii="Times New Roman" w:hAnsi="Times New Roman"/>
                <w:b w:val="0"/>
                <w:sz w:val="18"/>
                <w:szCs w:val="18"/>
              </w:rPr>
              <w:t xml:space="preserve"> style, with element life ≥ 5 years</w:t>
            </w:r>
          </w:p>
          <w:p w:rsidR="007633A9" w:rsidRPr="000C7C45" w:rsidRDefault="007633A9" w:rsidP="00692D4F">
            <w:pPr>
              <w:rPr>
                <w:rFonts w:ascii="Times New Roman" w:hAnsi="Times New Roman"/>
                <w:color w:val="000000"/>
                <w:sz w:val="18"/>
                <w:szCs w:val="18"/>
              </w:rPr>
            </w:pPr>
            <w:r w:rsidRPr="000C7C45">
              <w:rPr>
                <w:rFonts w:ascii="Times New Roman" w:hAnsi="Times New Roman"/>
                <w:sz w:val="18"/>
                <w:szCs w:val="18"/>
              </w:rPr>
              <w:t xml:space="preserve">4. Rated capacity of filter is ≤ 500 scfm </w:t>
            </w:r>
          </w:p>
        </w:tc>
        <w:tc>
          <w:tcPr>
            <w:tcW w:w="3150" w:type="dxa"/>
            <w:tcBorders>
              <w:top w:val="nil"/>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1.  Compressor must be ≥ 25 HP and ≤ 75 HP</w:t>
            </w:r>
          </w:p>
        </w:tc>
        <w:tc>
          <w:tcPr>
            <w:tcW w:w="1530"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$0.80/scfm</w:t>
            </w:r>
          </w:p>
        </w:tc>
      </w:tr>
      <w:tr w:rsidR="007633A9" w:rsidRPr="000C7C45" w:rsidTr="00692D4F">
        <w:trPr>
          <w:trHeight w:val="975"/>
        </w:trPr>
        <w:tc>
          <w:tcPr>
            <w:tcW w:w="1170" w:type="dxa"/>
            <w:tcBorders>
              <w:top w:val="nil"/>
              <w:left w:val="single" w:sz="8" w:space="0" w:color="auto"/>
              <w:bottom w:val="nil"/>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Receiver Capacity Addition</w:t>
            </w:r>
          </w:p>
        </w:tc>
        <w:tc>
          <w:tcPr>
            <w:tcW w:w="1440" w:type="dxa"/>
            <w:tcBorders>
              <w:top w:val="nil"/>
              <w:left w:val="single" w:sz="8" w:space="0" w:color="auto"/>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Limited or no Receiver Capacity</w:t>
            </w:r>
            <w:r w:rsidRPr="000C7C45">
              <w:rPr>
                <w:rFonts w:ascii="Times New Roman" w:hAnsi="Times New Roman"/>
                <w:color w:val="000000"/>
                <w:sz w:val="18"/>
                <w:szCs w:val="18"/>
              </w:rPr>
              <w:br/>
              <w:t>(≤ 2 gallons per scfm of trim compressor capacity)</w:t>
            </w:r>
          </w:p>
        </w:tc>
        <w:tc>
          <w:tcPr>
            <w:tcW w:w="261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 xml:space="preserve">Total tank receiver capacity after addition must be  &gt; 2 gallons per scfm of trim compressor capacity </w:t>
            </w:r>
          </w:p>
        </w:tc>
        <w:tc>
          <w:tcPr>
            <w:tcW w:w="315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1.  Compressor system size ≤ 75 horsepower</w:t>
            </w:r>
          </w:p>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2. Trim compressor must use load/unload controls without inlet modulation or on/off control.</w:t>
            </w:r>
            <w:r w:rsidRPr="000C7C45">
              <w:rPr>
                <w:rFonts w:ascii="Times New Roman" w:hAnsi="Times New Roman"/>
                <w:color w:val="000000"/>
                <w:sz w:val="18"/>
                <w:szCs w:val="18"/>
              </w:rPr>
              <w:br/>
              <w:t>3.  Systems with a VFD or using variable displacement control are not eligible.</w:t>
            </w:r>
          </w:p>
        </w:tc>
        <w:tc>
          <w:tcPr>
            <w:tcW w:w="1530" w:type="dxa"/>
            <w:tcBorders>
              <w:top w:val="nil"/>
              <w:left w:val="nil"/>
              <w:bottom w:val="nil"/>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 xml:space="preserve">$1.50/gallon </w:t>
            </w:r>
          </w:p>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above 2 gallons per scfm</w:t>
            </w:r>
          </w:p>
        </w:tc>
      </w:tr>
      <w:tr w:rsidR="007633A9" w:rsidRPr="000C7C45" w:rsidTr="00692D4F">
        <w:trPr>
          <w:trHeight w:val="1455"/>
        </w:trPr>
        <w:tc>
          <w:tcPr>
            <w:tcW w:w="1170" w:type="dxa"/>
            <w:tcBorders>
              <w:top w:val="single" w:sz="8" w:space="0" w:color="auto"/>
              <w:left w:val="single" w:sz="8" w:space="0" w:color="auto"/>
              <w:bottom w:val="nil"/>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Refrigerated Cycling Dryers</w:t>
            </w:r>
          </w:p>
        </w:tc>
        <w:tc>
          <w:tcPr>
            <w:tcW w:w="1440" w:type="dxa"/>
            <w:tcBorders>
              <w:top w:val="single" w:sz="8" w:space="0" w:color="auto"/>
              <w:left w:val="single" w:sz="8" w:space="0" w:color="auto"/>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Non-Cycling Refrigerated Dryer</w:t>
            </w:r>
          </w:p>
        </w:tc>
        <w:tc>
          <w:tcPr>
            <w:tcW w:w="261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Cycling Refrigerated Dryer</w:t>
            </w:r>
          </w:p>
        </w:tc>
        <w:tc>
          <w:tcPr>
            <w:tcW w:w="315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1.  Compressor system size ≤ 75 horsepower</w:t>
            </w:r>
          </w:p>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2.  Rated dryer capacity must be ≤ 500 scfm</w:t>
            </w:r>
            <w:r w:rsidRPr="000C7C45">
              <w:rPr>
                <w:rFonts w:ascii="Times New Roman" w:hAnsi="Times New Roman"/>
                <w:color w:val="000000"/>
                <w:sz w:val="18"/>
                <w:szCs w:val="18"/>
              </w:rPr>
              <w:br/>
              <w:t>3.  Dryer must operate exclusively in cycling mode and cannot be equipped with the ability to select between cycling and non-cycling mode</w:t>
            </w:r>
            <w:r w:rsidRPr="000C7C45">
              <w:rPr>
                <w:rFonts w:ascii="Times New Roman" w:hAnsi="Times New Roman"/>
                <w:color w:val="000000"/>
                <w:sz w:val="18"/>
                <w:szCs w:val="18"/>
              </w:rPr>
              <w:br/>
              <w:t>4.  Refrigeration compressor must cycle off during periods of reduced demand</w:t>
            </w:r>
          </w:p>
        </w:tc>
        <w:tc>
          <w:tcPr>
            <w:tcW w:w="1530" w:type="dxa"/>
            <w:tcBorders>
              <w:top w:val="single" w:sz="8" w:space="0" w:color="auto"/>
              <w:left w:val="nil"/>
              <w:bottom w:val="nil"/>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$1.50/scfm</w:t>
            </w:r>
          </w:p>
        </w:tc>
      </w:tr>
      <w:tr w:rsidR="007633A9" w:rsidRPr="000C7C45" w:rsidTr="00692D4F">
        <w:trPr>
          <w:trHeight w:val="975"/>
        </w:trPr>
        <w:tc>
          <w:tcPr>
            <w:tcW w:w="1170" w:type="dxa"/>
            <w:tcBorders>
              <w:top w:val="single" w:sz="8" w:space="0" w:color="auto"/>
              <w:left w:val="single" w:sz="8" w:space="0" w:color="auto"/>
              <w:bottom w:val="nil"/>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VFD Controlled Compressor</w:t>
            </w:r>
          </w:p>
        </w:tc>
        <w:tc>
          <w:tcPr>
            <w:tcW w:w="1440" w:type="dxa"/>
            <w:tcBorders>
              <w:top w:val="single" w:sz="8" w:space="0" w:color="auto"/>
              <w:left w:val="single" w:sz="8" w:space="0" w:color="auto"/>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Compressor 75 hp or Smaller</w:t>
            </w:r>
          </w:p>
        </w:tc>
        <w:tc>
          <w:tcPr>
            <w:tcW w:w="261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 75 hp single operating VFD-Controlled Oil-Injected Screw Compressor</w:t>
            </w:r>
          </w:p>
        </w:tc>
        <w:tc>
          <w:tcPr>
            <w:tcW w:w="315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1.  Single operating compressor ≤ 75 HP</w:t>
            </w:r>
          </w:p>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2.  Compressor must adjust speed as primary means of capacity control</w:t>
            </w:r>
            <w:r w:rsidRPr="000C7C45">
              <w:rPr>
                <w:rFonts w:ascii="Times New Roman" w:hAnsi="Times New Roman"/>
                <w:color w:val="000000"/>
                <w:sz w:val="18"/>
                <w:szCs w:val="18"/>
              </w:rPr>
              <w:br/>
              <w:t>3.  Compressor must not use inlet modulation when demand is below the minimum speed threshold of the VFD compressor</w:t>
            </w:r>
          </w:p>
        </w:tc>
        <w:tc>
          <w:tcPr>
            <w:tcW w:w="1530" w:type="dxa"/>
            <w:tcBorders>
              <w:top w:val="single" w:sz="8" w:space="0" w:color="auto"/>
              <w:left w:val="nil"/>
              <w:bottom w:val="nil"/>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$0.15/kWh annual energy savings</w:t>
            </w:r>
            <w:r w:rsidRPr="000C7C45">
              <w:rPr>
                <w:rFonts w:ascii="Times New Roman" w:hAnsi="Times New Roman"/>
                <w:sz w:val="18"/>
                <w:szCs w:val="18"/>
              </w:rPr>
              <w:br/>
              <w:t>See Note 3</w:t>
            </w:r>
          </w:p>
        </w:tc>
      </w:tr>
      <w:tr w:rsidR="007633A9" w:rsidRPr="000C7C45" w:rsidTr="00692D4F">
        <w:trPr>
          <w:trHeight w:val="495"/>
        </w:trPr>
        <w:tc>
          <w:tcPr>
            <w:tcW w:w="1170" w:type="dxa"/>
            <w:tcBorders>
              <w:top w:val="single" w:sz="8" w:space="0" w:color="auto"/>
              <w:left w:val="single" w:sz="8"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Zero Loss Condensate Drains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Fixed Timer Drain</w:t>
            </w:r>
          </w:p>
        </w:tc>
        <w:tc>
          <w:tcPr>
            <w:tcW w:w="2610"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Zero Loss Condensate Drain</w:t>
            </w:r>
            <w:r w:rsidRPr="000C7C45">
              <w:rPr>
                <w:rFonts w:ascii="Times New Roman" w:hAnsi="Times New Roman"/>
                <w:color w:val="000000"/>
                <w:sz w:val="18"/>
                <w:szCs w:val="18"/>
              </w:rPr>
              <w:br/>
              <w:t>(See Note 4)</w:t>
            </w:r>
          </w:p>
        </w:tc>
        <w:tc>
          <w:tcPr>
            <w:tcW w:w="3150"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keepNext/>
              <w:spacing w:after="120"/>
              <w:rPr>
                <w:rFonts w:ascii="Times New Roman" w:hAnsi="Times New Roman"/>
                <w:sz w:val="18"/>
                <w:szCs w:val="18"/>
              </w:rPr>
            </w:pPr>
            <w:r w:rsidRPr="000C7C45">
              <w:rPr>
                <w:rFonts w:ascii="Times New Roman" w:hAnsi="Times New Roman"/>
                <w:sz w:val="18"/>
                <w:szCs w:val="18"/>
              </w:rPr>
              <w:t>Drain is designed to function without release of compressed air into the atmosphere.  (No maximum compressor size)</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$90 each</w:t>
            </w:r>
          </w:p>
        </w:tc>
      </w:tr>
      <w:tr w:rsidR="007633A9" w:rsidRPr="000C7C45" w:rsidTr="00692D4F">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7633A9" w:rsidRPr="000C7C45" w:rsidRDefault="007633A9" w:rsidP="00692D4F">
            <w:pPr>
              <w:rPr>
                <w:rFonts w:ascii="Times New Roman" w:hAnsi="Times New Roman"/>
                <w:color w:val="000000"/>
                <w:sz w:val="18"/>
                <w:szCs w:val="18"/>
              </w:rPr>
            </w:pPr>
            <w:r w:rsidRPr="000C7C45">
              <w:rPr>
                <w:rFonts w:ascii="Times New Roman" w:hAnsi="Times New Roman"/>
                <w:color w:val="000000"/>
                <w:sz w:val="18"/>
                <w:szCs w:val="18"/>
              </w:rPr>
              <w:t>Outside Air Intake</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Compressor intake drawing air from compressor room</w:t>
            </w:r>
          </w:p>
        </w:tc>
        <w:tc>
          <w:tcPr>
            <w:tcW w:w="2610" w:type="dxa"/>
            <w:tcBorders>
              <w:top w:val="single" w:sz="8" w:space="0" w:color="auto"/>
              <w:left w:val="nil"/>
              <w:bottom w:val="single" w:sz="4"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color w:val="000000"/>
                <w:sz w:val="18"/>
                <w:szCs w:val="18"/>
              </w:rPr>
            </w:pPr>
            <w:r w:rsidRPr="000C7C45">
              <w:rPr>
                <w:rFonts w:ascii="Times New Roman" w:hAnsi="Times New Roman"/>
                <w:color w:val="000000"/>
                <w:sz w:val="18"/>
                <w:szCs w:val="18"/>
              </w:rPr>
              <w:t>≤ 75 hp compressor where permanent ductwork between compressor air intake and outdoors</w:t>
            </w:r>
          </w:p>
        </w:tc>
        <w:tc>
          <w:tcPr>
            <w:tcW w:w="3150" w:type="dxa"/>
            <w:tcBorders>
              <w:top w:val="single" w:sz="8" w:space="0" w:color="auto"/>
              <w:left w:val="nil"/>
              <w:bottom w:val="single" w:sz="4"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1.  Compressor system size ≤ 75 HP.</w:t>
            </w:r>
          </w:p>
          <w:p w:rsidR="007633A9" w:rsidRPr="000C7C45" w:rsidRDefault="007633A9" w:rsidP="00692D4F">
            <w:pPr>
              <w:rPr>
                <w:rFonts w:ascii="Times New Roman" w:hAnsi="Times New Roman"/>
                <w:sz w:val="18"/>
                <w:szCs w:val="18"/>
              </w:rPr>
            </w:pPr>
            <w:r w:rsidRPr="000C7C45">
              <w:rPr>
                <w:rFonts w:ascii="Times New Roman" w:hAnsi="Times New Roman"/>
                <w:sz w:val="18"/>
                <w:szCs w:val="18"/>
              </w:rPr>
              <w:t>2. Ductwork must meet manufacturer's specifications, which may include:  (a) ≤ 0.25" W.C. pressure loss at rated flow, and (b) allow use of compressor room air during extremely cold conditions</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$6.00/hp</w:t>
            </w:r>
          </w:p>
        </w:tc>
      </w:tr>
      <w:tr w:rsidR="007633A9" w:rsidRPr="00CE6CE4" w:rsidTr="00692D4F">
        <w:trPr>
          <w:trHeight w:val="2565"/>
        </w:trPr>
        <w:tc>
          <w:tcPr>
            <w:tcW w:w="9900" w:type="dxa"/>
            <w:gridSpan w:val="5"/>
            <w:tcBorders>
              <w:top w:val="single" w:sz="4" w:space="0" w:color="auto"/>
              <w:left w:val="nil"/>
              <w:bottom w:val="nil"/>
              <w:right w:val="nil"/>
            </w:tcBorders>
            <w:shd w:val="clear" w:color="auto" w:fill="auto"/>
          </w:tcPr>
          <w:p w:rsidR="007633A9" w:rsidRPr="00CE6CE4" w:rsidRDefault="007633A9" w:rsidP="00692D4F">
            <w:pPr>
              <w:rPr>
                <w:rFonts w:ascii="Times New Roman" w:hAnsi="Times New Roman"/>
                <w:sz w:val="20"/>
                <w:szCs w:val="20"/>
              </w:rPr>
            </w:pPr>
            <w:r w:rsidRPr="00CE6CE4">
              <w:rPr>
                <w:rFonts w:ascii="Times New Roman" w:hAnsi="Times New Roman"/>
                <w:b/>
                <w:bCs/>
                <w:sz w:val="20"/>
                <w:szCs w:val="20"/>
              </w:rPr>
              <w:t>Notes for</w:t>
            </w:r>
            <w:r w:rsidR="003513D9" w:rsidRPr="00CE6CE4">
              <w:rPr>
                <w:rFonts w:ascii="Times New Roman" w:hAnsi="Times New Roman"/>
                <w:b/>
                <w:bCs/>
                <w:sz w:val="20"/>
                <w:szCs w:val="20"/>
              </w:rPr>
              <w:t xml:space="preserve"> Compressed Air Incentive Table:</w:t>
            </w:r>
            <w:r w:rsidRPr="00CE6CE4">
              <w:rPr>
                <w:rFonts w:ascii="Times New Roman" w:hAnsi="Times New Roman"/>
                <w:bCs/>
                <w:sz w:val="20"/>
                <w:szCs w:val="20"/>
              </w:rPr>
              <w:br/>
            </w:r>
            <w:r w:rsidRPr="00CE6CE4">
              <w:rPr>
                <w:rFonts w:ascii="Times New Roman" w:hAnsi="Times New Roman"/>
                <w:sz w:val="20"/>
                <w:szCs w:val="20"/>
              </w:rPr>
              <w:t>1.  Eligibility for the above Energy Efficiency Incentives, except Zero Loss Condensate Drains, is limited to customers with compressed air system(s) containing compressors with a total system horsepower less than or equal to 75 hp in size.2.  Equipment that meets or exceeds the efficiency requirements listed for the equipment category in the above table may qualify for the listed incentive.</w:t>
            </w:r>
            <w:r w:rsidRPr="00CE6CE4">
              <w:rPr>
                <w:rFonts w:ascii="Times New Roman" w:hAnsi="Times New Roman"/>
                <w:sz w:val="20"/>
                <w:szCs w:val="20"/>
              </w:rPr>
              <w:br/>
              <w:t>3.  Incentives for VFD-controlled compressors are calculated based on compressor size and other system parameters at $0.15/kWh annual energy savings.  Energy savings subject to approval by Pacific Power.</w:t>
            </w:r>
            <w:r w:rsidRPr="00CE6CE4">
              <w:rPr>
                <w:rFonts w:ascii="Times New Roman" w:hAnsi="Times New Roman"/>
                <w:sz w:val="20"/>
                <w:szCs w:val="20"/>
              </w:rPr>
              <w:br/>
              <w:t>4.  Zero Loss Condensate Drains purchased as requirements for other compressed air Energy Efficiency Measures are eligible for incentives.</w:t>
            </w:r>
            <w:r w:rsidRPr="00CE6CE4">
              <w:rPr>
                <w:rFonts w:ascii="Times New Roman" w:hAnsi="Times New Roman"/>
                <w:sz w:val="20"/>
                <w:szCs w:val="20"/>
              </w:rPr>
              <w:br/>
            </w:r>
          </w:p>
          <w:p w:rsidR="007633A9" w:rsidRPr="00CE6CE4" w:rsidRDefault="007633A9" w:rsidP="00692D4F">
            <w:pPr>
              <w:rPr>
                <w:rFonts w:ascii="Times New Roman" w:hAnsi="Times New Roman"/>
                <w:bCs/>
                <w:sz w:val="20"/>
                <w:szCs w:val="20"/>
              </w:rPr>
            </w:pPr>
            <w:r w:rsidRPr="00CE6CE4">
              <w:rPr>
                <w:rFonts w:ascii="Times New Roman" w:hAnsi="Times New Roman"/>
                <w:bCs/>
                <w:sz w:val="20"/>
                <w:szCs w:val="20"/>
              </w:rPr>
              <w:t>HP = horsepower</w:t>
            </w:r>
          </w:p>
          <w:p w:rsidR="007633A9" w:rsidRPr="00CE6CE4" w:rsidRDefault="007633A9" w:rsidP="00692D4F">
            <w:pPr>
              <w:rPr>
                <w:rFonts w:ascii="Times New Roman" w:hAnsi="Times New Roman"/>
                <w:bCs/>
                <w:sz w:val="20"/>
                <w:szCs w:val="20"/>
              </w:rPr>
            </w:pPr>
            <w:r w:rsidRPr="00CE6CE4">
              <w:rPr>
                <w:rFonts w:ascii="Times New Roman" w:hAnsi="Times New Roman"/>
                <w:bCs/>
                <w:sz w:val="20"/>
                <w:szCs w:val="20"/>
              </w:rPr>
              <w:t>PPM = parts per million</w:t>
            </w:r>
          </w:p>
          <w:p w:rsidR="007633A9" w:rsidRPr="00CE6CE4" w:rsidRDefault="007633A9" w:rsidP="00692D4F">
            <w:pPr>
              <w:rPr>
                <w:rFonts w:ascii="Times New Roman" w:hAnsi="Times New Roman"/>
                <w:bCs/>
                <w:sz w:val="20"/>
                <w:szCs w:val="20"/>
              </w:rPr>
            </w:pPr>
            <w:r w:rsidRPr="00CE6CE4">
              <w:rPr>
                <w:rFonts w:ascii="Times New Roman" w:hAnsi="Times New Roman"/>
                <w:bCs/>
                <w:sz w:val="20"/>
                <w:szCs w:val="20"/>
              </w:rPr>
              <w:t>PSI = pounds per square inch</w:t>
            </w:r>
          </w:p>
          <w:p w:rsidR="007633A9" w:rsidRPr="00CE6CE4" w:rsidRDefault="007633A9" w:rsidP="00692D4F">
            <w:pPr>
              <w:rPr>
                <w:rFonts w:ascii="Times New Roman" w:hAnsi="Times New Roman"/>
                <w:sz w:val="20"/>
                <w:szCs w:val="20"/>
              </w:rPr>
            </w:pPr>
            <w:r w:rsidRPr="00CE6CE4">
              <w:rPr>
                <w:rFonts w:ascii="Times New Roman" w:hAnsi="Times New Roman"/>
                <w:bCs/>
                <w:sz w:val="20"/>
                <w:szCs w:val="20"/>
              </w:rPr>
              <w:t>SCFM</w:t>
            </w:r>
            <w:r w:rsidRPr="00CE6CE4">
              <w:rPr>
                <w:rFonts w:ascii="Times New Roman" w:hAnsi="Times New Roman"/>
                <w:sz w:val="20"/>
                <w:szCs w:val="20"/>
              </w:rPr>
              <w:t xml:space="preserve"> = Cubic Feet of air per Minute at standard conditions (14.5 psia, 68°F, and 0% relative humidity) </w:t>
            </w:r>
          </w:p>
          <w:p w:rsidR="007633A9" w:rsidRPr="00CE6CE4" w:rsidRDefault="007633A9" w:rsidP="00692D4F">
            <w:pPr>
              <w:rPr>
                <w:rFonts w:ascii="Times New Roman" w:hAnsi="Times New Roman"/>
                <w:bCs/>
                <w:sz w:val="20"/>
                <w:szCs w:val="20"/>
              </w:rPr>
            </w:pPr>
            <w:r w:rsidRPr="00CE6CE4">
              <w:rPr>
                <w:rFonts w:ascii="Times New Roman" w:hAnsi="Times New Roman"/>
                <w:sz w:val="20"/>
                <w:szCs w:val="20"/>
              </w:rPr>
              <w:t>VFD = Variable Frequency Drive</w:t>
            </w:r>
          </w:p>
        </w:tc>
      </w:tr>
    </w:tbl>
    <w:p w:rsidR="007633A9" w:rsidRPr="000C7C45" w:rsidRDefault="007633A9" w:rsidP="007633A9">
      <w:pPr>
        <w:rPr>
          <w:rFonts w:ascii="Times New Roman" w:hAnsi="Times New Roman"/>
        </w:rPr>
      </w:pPr>
      <w:r w:rsidRPr="000C7C45">
        <w:rPr>
          <w:rFonts w:ascii="Times New Roman" w:hAnsi="Times New Roman"/>
        </w:rPr>
        <w:br w:type="page"/>
      </w:r>
    </w:p>
    <w:tbl>
      <w:tblPr>
        <w:tblW w:w="9630" w:type="dxa"/>
        <w:tblInd w:w="108" w:type="dxa"/>
        <w:tblLook w:val="0000"/>
      </w:tblPr>
      <w:tblGrid>
        <w:gridCol w:w="2321"/>
        <w:gridCol w:w="1549"/>
        <w:gridCol w:w="3870"/>
        <w:gridCol w:w="1890"/>
      </w:tblGrid>
      <w:tr w:rsidR="007633A9" w:rsidRPr="000C7C45" w:rsidTr="00692D4F">
        <w:trPr>
          <w:trHeight w:val="255"/>
        </w:trPr>
        <w:tc>
          <w:tcPr>
            <w:tcW w:w="9630" w:type="dxa"/>
            <w:gridSpan w:val="4"/>
            <w:tcBorders>
              <w:top w:val="nil"/>
              <w:left w:val="nil"/>
              <w:bottom w:val="nil"/>
              <w:right w:val="nil"/>
            </w:tcBorders>
            <w:shd w:val="clear" w:color="auto" w:fill="auto"/>
            <w:noWrap/>
            <w:vAlign w:val="bottom"/>
          </w:tcPr>
          <w:p w:rsidR="007633A9" w:rsidRPr="003513D9" w:rsidRDefault="007633A9" w:rsidP="00692D4F">
            <w:pPr>
              <w:jc w:val="center"/>
              <w:rPr>
                <w:rFonts w:ascii="Times New Roman" w:hAnsi="Times New Roman"/>
                <w:sz w:val="24"/>
                <w:szCs w:val="24"/>
              </w:rPr>
            </w:pPr>
            <w:r w:rsidRPr="003513D9">
              <w:rPr>
                <w:rFonts w:ascii="Times New Roman" w:hAnsi="Times New Roman"/>
                <w:b/>
                <w:bCs/>
                <w:sz w:val="24"/>
                <w:szCs w:val="24"/>
              </w:rPr>
              <w:t>Incentives for Other Energy Efficiency Measures</w:t>
            </w:r>
          </w:p>
        </w:tc>
      </w:tr>
      <w:tr w:rsidR="007633A9" w:rsidRPr="000C7C45" w:rsidTr="00692D4F">
        <w:trPr>
          <w:trHeight w:val="255"/>
        </w:trPr>
        <w:tc>
          <w:tcPr>
            <w:tcW w:w="2321" w:type="dxa"/>
            <w:tcBorders>
              <w:top w:val="single" w:sz="8" w:space="0" w:color="auto"/>
              <w:left w:val="single" w:sz="8" w:space="0" w:color="auto"/>
              <w:bottom w:val="nil"/>
              <w:right w:val="nil"/>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Equipment Type</w:t>
            </w:r>
          </w:p>
        </w:tc>
        <w:tc>
          <w:tcPr>
            <w:tcW w:w="1549" w:type="dxa"/>
            <w:tcBorders>
              <w:top w:val="single" w:sz="8" w:space="0" w:color="auto"/>
              <w:left w:val="single" w:sz="8" w:space="0" w:color="auto"/>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Replace</w:t>
            </w:r>
          </w:p>
        </w:tc>
        <w:tc>
          <w:tcPr>
            <w:tcW w:w="3870"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Minimum Efficiency Requirements</w:t>
            </w:r>
          </w:p>
        </w:tc>
        <w:tc>
          <w:tcPr>
            <w:tcW w:w="1890" w:type="dxa"/>
            <w:tcBorders>
              <w:top w:val="single" w:sz="8" w:space="0" w:color="auto"/>
              <w:left w:val="nil"/>
              <w:bottom w:val="nil"/>
              <w:right w:val="single" w:sz="8" w:space="0" w:color="auto"/>
            </w:tcBorders>
            <w:shd w:val="clear" w:color="auto" w:fill="auto"/>
            <w:vAlign w:val="bottom"/>
          </w:tcPr>
          <w:p w:rsidR="007633A9" w:rsidRPr="000C7C45" w:rsidRDefault="007633A9" w:rsidP="00692D4F">
            <w:pPr>
              <w:jc w:val="center"/>
              <w:rPr>
                <w:rFonts w:ascii="Times New Roman" w:hAnsi="Times New Roman"/>
                <w:b/>
                <w:bCs/>
                <w:sz w:val="18"/>
                <w:szCs w:val="18"/>
              </w:rPr>
            </w:pPr>
            <w:r w:rsidRPr="000C7C45">
              <w:rPr>
                <w:rFonts w:ascii="Times New Roman" w:hAnsi="Times New Roman"/>
                <w:b/>
                <w:bCs/>
                <w:sz w:val="18"/>
                <w:szCs w:val="18"/>
              </w:rPr>
              <w:t>Customer Incentive</w:t>
            </w:r>
          </w:p>
        </w:tc>
      </w:tr>
      <w:tr w:rsidR="007633A9" w:rsidRPr="000C7C45" w:rsidTr="00692D4F">
        <w:trPr>
          <w:trHeight w:val="1695"/>
        </w:trPr>
        <w:tc>
          <w:tcPr>
            <w:tcW w:w="2321" w:type="dxa"/>
            <w:tcBorders>
              <w:top w:val="single" w:sz="8" w:space="0" w:color="auto"/>
              <w:left w:val="single" w:sz="8" w:space="0" w:color="auto"/>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Network PC Power Management Software</w:t>
            </w:r>
          </w:p>
        </w:tc>
        <w:tc>
          <w:tcPr>
            <w:tcW w:w="1549" w:type="dxa"/>
            <w:tcBorders>
              <w:top w:val="single" w:sz="8" w:space="0" w:color="auto"/>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3870"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1. Installed software must automatically control the power settings of networked personal computers (PC) at the server level</w:t>
            </w:r>
            <w:r w:rsidRPr="000C7C45">
              <w:rPr>
                <w:rFonts w:ascii="Times New Roman" w:hAnsi="Times New Roman"/>
                <w:sz w:val="18"/>
                <w:szCs w:val="18"/>
              </w:rPr>
              <w:br/>
              <w:t>2. The software must manage power consumption for each individual PC</w:t>
            </w:r>
            <w:r w:rsidRPr="000C7C45">
              <w:rPr>
                <w:rFonts w:ascii="Times New Roman" w:hAnsi="Times New Roman"/>
                <w:sz w:val="18"/>
                <w:szCs w:val="18"/>
              </w:rPr>
              <w:br/>
              <w:t>3. The software must include the capability to report energy savings results</w:t>
            </w:r>
          </w:p>
        </w:tc>
        <w:tc>
          <w:tcPr>
            <w:tcW w:w="1890" w:type="dxa"/>
            <w:tcBorders>
              <w:top w:val="single" w:sz="8" w:space="0" w:color="auto"/>
              <w:left w:val="nil"/>
              <w:bottom w:val="single" w:sz="8" w:space="0" w:color="auto"/>
              <w:right w:val="single" w:sz="8" w:space="0" w:color="auto"/>
            </w:tcBorders>
            <w:shd w:val="clear" w:color="auto" w:fill="auto"/>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$7 per controlled PC</w:t>
            </w:r>
            <w:r w:rsidRPr="000C7C45">
              <w:rPr>
                <w:rFonts w:ascii="Times New Roman" w:hAnsi="Times New Roman"/>
                <w:sz w:val="18"/>
                <w:szCs w:val="18"/>
              </w:rPr>
              <w:br/>
              <w:t>(up to 100% of measure costs)</w:t>
            </w:r>
          </w:p>
        </w:tc>
      </w:tr>
      <w:tr w:rsidR="007633A9" w:rsidRPr="000C7C45" w:rsidTr="00692D4F">
        <w:trPr>
          <w:trHeight w:val="975"/>
        </w:trPr>
        <w:tc>
          <w:tcPr>
            <w:tcW w:w="2321" w:type="dxa"/>
            <w:tcBorders>
              <w:top w:val="nil"/>
              <w:left w:val="single" w:sz="8" w:space="0" w:color="auto"/>
              <w:bottom w:val="single" w:sz="8" w:space="0" w:color="auto"/>
              <w:right w:val="nil"/>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Smart Plug Strip</w:t>
            </w:r>
          </w:p>
        </w:tc>
        <w:tc>
          <w:tcPr>
            <w:tcW w:w="1549" w:type="dxa"/>
            <w:tcBorders>
              <w:top w:val="nil"/>
              <w:left w:val="single" w:sz="8" w:space="0" w:color="auto"/>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w:t>
            </w:r>
          </w:p>
        </w:tc>
        <w:tc>
          <w:tcPr>
            <w:tcW w:w="3870" w:type="dxa"/>
            <w:tcBorders>
              <w:top w:val="nil"/>
              <w:left w:val="nil"/>
              <w:bottom w:val="single" w:sz="8" w:space="0" w:color="auto"/>
              <w:right w:val="single" w:sz="8" w:space="0" w:color="auto"/>
            </w:tcBorders>
            <w:shd w:val="clear" w:color="auto" w:fill="auto"/>
            <w:vAlign w:val="center"/>
          </w:tcPr>
          <w:p w:rsidR="007633A9" w:rsidRPr="000C7C45" w:rsidRDefault="007633A9" w:rsidP="00692D4F">
            <w:pPr>
              <w:rPr>
                <w:rFonts w:ascii="Times New Roman" w:hAnsi="Times New Roman"/>
                <w:sz w:val="18"/>
                <w:szCs w:val="18"/>
              </w:rPr>
            </w:pPr>
            <w:r w:rsidRPr="000C7C45">
              <w:rPr>
                <w:rFonts w:ascii="Times New Roman" w:hAnsi="Times New Roman"/>
                <w:sz w:val="18"/>
                <w:szCs w:val="18"/>
              </w:rPr>
              <w:t>1. Incentive applies to any plug strip that eliminates idle or stand-by power consumption of connected plug-load appliance through the use of an occupancy sensor, electric load sensor, or timer.</w:t>
            </w:r>
          </w:p>
          <w:p w:rsidR="007633A9" w:rsidRPr="000C7C45" w:rsidRDefault="007633A9" w:rsidP="00692D4F">
            <w:pPr>
              <w:rPr>
                <w:rFonts w:ascii="Times New Roman" w:hAnsi="Times New Roman"/>
                <w:sz w:val="18"/>
                <w:szCs w:val="18"/>
              </w:rPr>
            </w:pPr>
            <w:r w:rsidRPr="000C7C45">
              <w:rPr>
                <w:rFonts w:ascii="Times New Roman" w:hAnsi="Times New Roman"/>
                <w:sz w:val="18"/>
                <w:szCs w:val="18"/>
              </w:rPr>
              <w:t>2.  Applies only to electric plug-load applications (e.g. computer monitors, desk lamps, etc.)</w:t>
            </w:r>
          </w:p>
        </w:tc>
        <w:tc>
          <w:tcPr>
            <w:tcW w:w="1890" w:type="dxa"/>
            <w:tcBorders>
              <w:top w:val="nil"/>
              <w:left w:val="nil"/>
              <w:bottom w:val="single" w:sz="8" w:space="0" w:color="auto"/>
              <w:right w:val="single" w:sz="8" w:space="0" w:color="auto"/>
            </w:tcBorders>
            <w:shd w:val="clear" w:color="auto" w:fill="auto"/>
            <w:noWrap/>
            <w:vAlign w:val="center"/>
          </w:tcPr>
          <w:p w:rsidR="007633A9" w:rsidRPr="000C7C45" w:rsidRDefault="007633A9" w:rsidP="00692D4F">
            <w:pPr>
              <w:jc w:val="center"/>
              <w:rPr>
                <w:rFonts w:ascii="Times New Roman" w:hAnsi="Times New Roman"/>
                <w:sz w:val="18"/>
                <w:szCs w:val="18"/>
              </w:rPr>
            </w:pPr>
            <w:r w:rsidRPr="000C7C45">
              <w:rPr>
                <w:rFonts w:ascii="Times New Roman" w:hAnsi="Times New Roman"/>
                <w:sz w:val="18"/>
                <w:szCs w:val="18"/>
              </w:rPr>
              <w:t>$15/qualifying unit</w:t>
            </w:r>
          </w:p>
        </w:tc>
      </w:tr>
      <w:tr w:rsidR="007633A9" w:rsidRPr="000C7C45" w:rsidTr="00692D4F">
        <w:trPr>
          <w:trHeight w:val="2190"/>
        </w:trPr>
        <w:tc>
          <w:tcPr>
            <w:tcW w:w="9630" w:type="dxa"/>
            <w:gridSpan w:val="4"/>
            <w:tcBorders>
              <w:top w:val="nil"/>
              <w:left w:val="nil"/>
              <w:bottom w:val="nil"/>
              <w:right w:val="nil"/>
            </w:tcBorders>
            <w:shd w:val="clear" w:color="auto" w:fill="auto"/>
          </w:tcPr>
          <w:p w:rsidR="007633A9" w:rsidRPr="00CE6CE4" w:rsidRDefault="007633A9" w:rsidP="003513D9">
            <w:pPr>
              <w:rPr>
                <w:rFonts w:ascii="Times New Roman" w:hAnsi="Times New Roman"/>
                <w:bCs/>
                <w:sz w:val="20"/>
                <w:szCs w:val="20"/>
              </w:rPr>
            </w:pPr>
            <w:r w:rsidRPr="00CE6CE4">
              <w:rPr>
                <w:rFonts w:ascii="Times New Roman" w:hAnsi="Times New Roman"/>
                <w:b/>
                <w:bCs/>
                <w:sz w:val="20"/>
                <w:szCs w:val="20"/>
              </w:rPr>
              <w:t xml:space="preserve">Notes for </w:t>
            </w:r>
            <w:r w:rsidR="003513D9" w:rsidRPr="00CE6CE4">
              <w:rPr>
                <w:rFonts w:ascii="Times New Roman" w:hAnsi="Times New Roman"/>
                <w:b/>
                <w:bCs/>
                <w:sz w:val="20"/>
                <w:szCs w:val="20"/>
              </w:rPr>
              <w:t>O</w:t>
            </w:r>
            <w:r w:rsidRPr="00CE6CE4">
              <w:rPr>
                <w:rFonts w:ascii="Times New Roman" w:hAnsi="Times New Roman"/>
                <w:b/>
                <w:bCs/>
                <w:sz w:val="20"/>
                <w:szCs w:val="20"/>
              </w:rPr>
              <w:t xml:space="preserve">ther </w:t>
            </w:r>
            <w:r w:rsidR="003513D9" w:rsidRPr="00CE6CE4">
              <w:rPr>
                <w:rFonts w:ascii="Times New Roman" w:hAnsi="Times New Roman"/>
                <w:b/>
                <w:bCs/>
                <w:sz w:val="20"/>
                <w:szCs w:val="20"/>
              </w:rPr>
              <w:t>Energy E</w:t>
            </w:r>
            <w:r w:rsidRPr="00CE6CE4">
              <w:rPr>
                <w:rFonts w:ascii="Times New Roman" w:hAnsi="Times New Roman"/>
                <w:b/>
                <w:bCs/>
                <w:sz w:val="20"/>
                <w:szCs w:val="20"/>
              </w:rPr>
              <w:t xml:space="preserve">fficiency </w:t>
            </w:r>
            <w:r w:rsidR="003513D9" w:rsidRPr="00CE6CE4">
              <w:rPr>
                <w:rFonts w:ascii="Times New Roman" w:hAnsi="Times New Roman"/>
                <w:b/>
                <w:bCs/>
                <w:sz w:val="20"/>
                <w:szCs w:val="20"/>
              </w:rPr>
              <w:t>M</w:t>
            </w:r>
            <w:r w:rsidRPr="00CE6CE4">
              <w:rPr>
                <w:rFonts w:ascii="Times New Roman" w:hAnsi="Times New Roman"/>
                <w:b/>
                <w:bCs/>
                <w:sz w:val="20"/>
                <w:szCs w:val="20"/>
              </w:rPr>
              <w:t xml:space="preserve">easures </w:t>
            </w:r>
            <w:r w:rsidR="003513D9" w:rsidRPr="00CE6CE4">
              <w:rPr>
                <w:rFonts w:ascii="Times New Roman" w:hAnsi="Times New Roman"/>
                <w:b/>
                <w:bCs/>
                <w:sz w:val="20"/>
                <w:szCs w:val="20"/>
              </w:rPr>
              <w:t>I</w:t>
            </w:r>
            <w:r w:rsidRPr="00CE6CE4">
              <w:rPr>
                <w:rFonts w:ascii="Times New Roman" w:hAnsi="Times New Roman"/>
                <w:b/>
                <w:bCs/>
                <w:sz w:val="20"/>
                <w:szCs w:val="20"/>
              </w:rPr>
              <w:t xml:space="preserve">ncentives </w:t>
            </w:r>
            <w:r w:rsidR="003513D9" w:rsidRPr="00CE6CE4">
              <w:rPr>
                <w:rFonts w:ascii="Times New Roman" w:hAnsi="Times New Roman"/>
                <w:b/>
                <w:bCs/>
                <w:sz w:val="20"/>
                <w:szCs w:val="20"/>
              </w:rPr>
              <w:t>T</w:t>
            </w:r>
            <w:r w:rsidRPr="00CE6CE4">
              <w:rPr>
                <w:rFonts w:ascii="Times New Roman" w:hAnsi="Times New Roman"/>
                <w:b/>
                <w:bCs/>
                <w:sz w:val="20"/>
                <w:szCs w:val="20"/>
              </w:rPr>
              <w:t>able</w:t>
            </w:r>
            <w:r w:rsidR="003513D9" w:rsidRPr="00CE6CE4">
              <w:rPr>
                <w:rFonts w:ascii="Times New Roman" w:hAnsi="Times New Roman"/>
                <w:b/>
                <w:bCs/>
                <w:sz w:val="20"/>
                <w:szCs w:val="20"/>
              </w:rPr>
              <w:t>:</w:t>
            </w:r>
            <w:r w:rsidRPr="00CE6CE4">
              <w:rPr>
                <w:rFonts w:ascii="Times New Roman" w:hAnsi="Times New Roman"/>
                <w:sz w:val="20"/>
                <w:szCs w:val="20"/>
              </w:rPr>
              <w:br/>
              <w:t>1.  Equipment that meets or exceeds the efficiency requirements listed for the equipment category in the above table may qualify for the listed incentive.</w:t>
            </w:r>
            <w:r w:rsidRPr="00CE6CE4">
              <w:rPr>
                <w:rFonts w:ascii="Times New Roman" w:hAnsi="Times New Roman"/>
                <w:sz w:val="20"/>
                <w:szCs w:val="20"/>
              </w:rPr>
              <w:br/>
            </w:r>
            <w:r w:rsidRPr="00CE6CE4">
              <w:rPr>
                <w:rFonts w:ascii="Times New Roman" w:hAnsi="Times New Roman"/>
                <w:bCs/>
                <w:sz w:val="20"/>
                <w:szCs w:val="20"/>
              </w:rPr>
              <w:t>2.  Energy Efficiency Measure Costs for Network PC Power Management Software are subject to Pacific Power approval.</w:t>
            </w:r>
          </w:p>
        </w:tc>
      </w:tr>
    </w:tbl>
    <w:p w:rsidR="00140099" w:rsidRPr="00111D82" w:rsidRDefault="008C64A8" w:rsidP="008C64A8">
      <w:pPr>
        <w:rPr>
          <w:rFonts w:ascii="Times New Roman" w:hAnsi="Times New Roman"/>
          <w:b/>
          <w:sz w:val="24"/>
          <w:szCs w:val="24"/>
        </w:rPr>
        <w:sectPr w:rsidR="00140099" w:rsidRPr="00111D82" w:rsidSect="001B376C">
          <w:headerReference w:type="even" r:id="rId45"/>
          <w:headerReference w:type="default" r:id="rId46"/>
          <w:footerReference w:type="even" r:id="rId47"/>
          <w:footerReference w:type="default" r:id="rId48"/>
          <w:pgSz w:w="12240" w:h="15840" w:code="1"/>
          <w:pgMar w:top="1440" w:right="1080" w:bottom="1440" w:left="1440" w:header="720" w:footer="720" w:gutter="0"/>
          <w:cols w:space="720"/>
          <w:docGrid w:linePitch="360"/>
        </w:sectPr>
      </w:pPr>
      <w:r w:rsidRPr="00111D82">
        <w:rPr>
          <w:rFonts w:ascii="Times New Roman" w:hAnsi="Times New Roman"/>
          <w:b/>
          <w:sz w:val="24"/>
          <w:szCs w:val="24"/>
        </w:rPr>
        <w:br w:type="page"/>
      </w:r>
    </w:p>
    <w:p w:rsidR="00140099" w:rsidRPr="00111D82" w:rsidRDefault="00140099" w:rsidP="00140099">
      <w:pPr>
        <w:tabs>
          <w:tab w:val="left" w:pos="720"/>
          <w:tab w:val="left" w:pos="5040"/>
        </w:tabs>
        <w:jc w:val="both"/>
        <w:rPr>
          <w:rFonts w:ascii="Arial" w:hAnsi="Arial" w:cs="Arial"/>
          <w:sz w:val="20"/>
        </w:rPr>
      </w:pPr>
      <w:r w:rsidRPr="00111D82">
        <w:rPr>
          <w:rFonts w:ascii="Arial" w:hAnsi="Arial" w:cs="Arial"/>
          <w:sz w:val="20"/>
          <w:u w:val="single"/>
        </w:rPr>
        <w:t>PURPOSE</w:t>
      </w:r>
      <w:r w:rsidRPr="00111D82">
        <w:rPr>
          <w:rFonts w:ascii="Arial" w:hAnsi="Arial" w:cs="Arial"/>
          <w:sz w:val="20"/>
        </w:rPr>
        <w:t>:</w:t>
      </w:r>
    </w:p>
    <w:p w:rsidR="00140099" w:rsidRPr="00111D82" w:rsidRDefault="00140099" w:rsidP="00140099">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111D82">
        <w:rPr>
          <w:rFonts w:ascii="Arial" w:hAnsi="Arial" w:cs="Arial"/>
          <w:sz w:val="20"/>
        </w:rPr>
        <w:tab/>
        <w:t>Service under this Schedule is intended to maximize the efficient utilization of the electricity requirements of new and existing loads in Commercial Buildings and Industrial Facilities through the installation of Energy Efficiency Measures.</w:t>
      </w:r>
    </w:p>
    <w:p w:rsidR="00140099" w:rsidRPr="00111D82" w:rsidRDefault="00140099" w:rsidP="00140099">
      <w:pPr>
        <w:tabs>
          <w:tab w:val="right" w:pos="432"/>
          <w:tab w:val="left" w:pos="720"/>
          <w:tab w:val="right" w:pos="5040"/>
        </w:tabs>
        <w:jc w:val="both"/>
        <w:rPr>
          <w:rFonts w:ascii="Arial" w:hAnsi="Arial" w:cs="Arial"/>
          <w:sz w:val="20"/>
        </w:rPr>
      </w:pPr>
    </w:p>
    <w:p w:rsidR="00140099" w:rsidRPr="00111D82" w:rsidRDefault="00140099" w:rsidP="00140099">
      <w:pPr>
        <w:tabs>
          <w:tab w:val="left" w:pos="672"/>
          <w:tab w:val="left" w:pos="720"/>
          <w:tab w:val="right" w:pos="5040"/>
        </w:tabs>
        <w:jc w:val="both"/>
        <w:rPr>
          <w:rFonts w:ascii="Arial" w:hAnsi="Arial" w:cs="Arial"/>
          <w:sz w:val="20"/>
        </w:rPr>
      </w:pPr>
      <w:r w:rsidRPr="00111D82">
        <w:rPr>
          <w:rFonts w:ascii="Arial" w:hAnsi="Arial" w:cs="Arial"/>
          <w:sz w:val="20"/>
          <w:u w:val="single"/>
        </w:rPr>
        <w:t>APPLICABLE</w:t>
      </w:r>
      <w:r w:rsidRPr="00111D82">
        <w:rPr>
          <w:rFonts w:ascii="Arial" w:hAnsi="Arial" w:cs="Arial"/>
          <w:sz w:val="20"/>
        </w:rPr>
        <w:t>:</w:t>
      </w:r>
    </w:p>
    <w:p w:rsidR="00140099" w:rsidRPr="00111D82" w:rsidRDefault="00140099" w:rsidP="00140099">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111D82">
        <w:rPr>
          <w:rFonts w:ascii="Arial" w:hAnsi="Arial" w:cs="Arial"/>
          <w:sz w:val="20"/>
        </w:rPr>
        <w:tab/>
        <w:t>To service under the Company's General Service Schedules 24, 33, 36, 40, 47T, 48T, 53 and 54 in all territory served by the Company in the State of Washington.  This Schedule is applicable to new and existing Commercial Buildings and Industrial Facilities.</w:t>
      </w:r>
    </w:p>
    <w:p w:rsidR="00140099" w:rsidRPr="00111D82" w:rsidRDefault="00140099" w:rsidP="00140099">
      <w:pPr>
        <w:tabs>
          <w:tab w:val="left" w:pos="480"/>
          <w:tab w:val="left" w:pos="720"/>
        </w:tabs>
        <w:jc w:val="both"/>
        <w:rPr>
          <w:rFonts w:ascii="Arial" w:hAnsi="Arial" w:cs="Arial"/>
          <w:b/>
          <w:sz w:val="20"/>
          <w:u w:val="single"/>
        </w:rPr>
      </w:pPr>
    </w:p>
    <w:p w:rsidR="00140099" w:rsidRPr="00111D82" w:rsidRDefault="00140099" w:rsidP="00140099">
      <w:pPr>
        <w:tabs>
          <w:tab w:val="left" w:pos="480"/>
          <w:tab w:val="left" w:pos="720"/>
        </w:tabs>
        <w:jc w:val="both"/>
        <w:rPr>
          <w:rFonts w:ascii="Arial" w:hAnsi="Arial" w:cs="Arial"/>
          <w:sz w:val="20"/>
        </w:rPr>
      </w:pPr>
      <w:r w:rsidRPr="00111D82">
        <w:rPr>
          <w:rFonts w:ascii="Arial" w:hAnsi="Arial" w:cs="Arial"/>
          <w:sz w:val="20"/>
          <w:u w:val="single"/>
        </w:rPr>
        <w:t>CUSTOMER PARTICIPATION</w:t>
      </w:r>
      <w:r w:rsidRPr="00111D82">
        <w:rPr>
          <w:rFonts w:ascii="Arial" w:hAnsi="Arial" w:cs="Arial"/>
          <w:sz w:val="20"/>
        </w:rPr>
        <w:t>:</w:t>
      </w:r>
    </w:p>
    <w:p w:rsidR="00140099" w:rsidRPr="00111D82" w:rsidRDefault="00140099" w:rsidP="00140099">
      <w:pPr>
        <w:ind w:firstLine="720"/>
        <w:jc w:val="both"/>
        <w:rPr>
          <w:rFonts w:ascii="Arial" w:hAnsi="Arial" w:cs="Arial"/>
          <w:sz w:val="20"/>
        </w:rPr>
      </w:pPr>
      <w:r w:rsidRPr="00111D82">
        <w:rPr>
          <w:rFonts w:ascii="Arial" w:hAnsi="Arial" w:cs="Arial"/>
          <w:sz w:val="20"/>
        </w:rPr>
        <w:t>Customer participation is voluntary and is initiated by following the participation procedures on the Washington energy efficiency program section of the Company Web site.</w:t>
      </w:r>
      <w:r w:rsidRPr="00111D82">
        <w:rPr>
          <w:rFonts w:ascii="Arial" w:hAnsi="Arial" w:cs="Arial"/>
          <w:sz w:val="20"/>
        </w:rPr>
        <w:tab/>
      </w:r>
    </w:p>
    <w:p w:rsidR="00140099" w:rsidRPr="00111D82" w:rsidRDefault="00140099" w:rsidP="00140099">
      <w:pPr>
        <w:jc w:val="both"/>
        <w:rPr>
          <w:rFonts w:ascii="Arial" w:hAnsi="Arial" w:cs="Arial"/>
          <w:sz w:val="20"/>
        </w:rPr>
      </w:pPr>
    </w:p>
    <w:p w:rsidR="00140099" w:rsidRPr="00111D82" w:rsidRDefault="00140099" w:rsidP="00140099">
      <w:pPr>
        <w:jc w:val="both"/>
        <w:rPr>
          <w:rFonts w:ascii="Arial" w:hAnsi="Arial" w:cs="Arial"/>
          <w:sz w:val="20"/>
        </w:rPr>
      </w:pPr>
      <w:r w:rsidRPr="00111D82">
        <w:rPr>
          <w:rFonts w:ascii="Arial" w:hAnsi="Arial" w:cs="Arial"/>
          <w:sz w:val="20"/>
          <w:u w:val="single"/>
        </w:rPr>
        <w:t>DESCRIPTION</w:t>
      </w:r>
      <w:r w:rsidRPr="00111D82">
        <w:rPr>
          <w:rFonts w:ascii="Arial" w:hAnsi="Arial" w:cs="Arial"/>
          <w:sz w:val="20"/>
        </w:rPr>
        <w:t>:</w:t>
      </w:r>
    </w:p>
    <w:p w:rsidR="00140099" w:rsidRPr="00111D82" w:rsidRDefault="00140099" w:rsidP="00140099">
      <w:pPr>
        <w:ind w:firstLine="720"/>
        <w:jc w:val="both"/>
        <w:rPr>
          <w:rFonts w:ascii="Arial" w:hAnsi="Arial" w:cs="Arial"/>
          <w:sz w:val="20"/>
        </w:rPr>
      </w:pPr>
      <w:r w:rsidRPr="00111D82">
        <w:rPr>
          <w:rFonts w:ascii="Arial" w:hAnsi="Arial" w:cs="Arial"/>
          <w:sz w:val="20"/>
        </w:rPr>
        <w:t>Ongoing program to provide incentives for a variety of equipment located in commercial buildings and industrial facilities. Periodic program changes will be made to insure or enhance program cost-effectiveness as defined by the Company.</w:t>
      </w:r>
    </w:p>
    <w:p w:rsidR="00140099" w:rsidRPr="00111D82" w:rsidRDefault="00140099" w:rsidP="00140099">
      <w:pPr>
        <w:jc w:val="both"/>
        <w:rPr>
          <w:rFonts w:ascii="Arial" w:hAnsi="Arial" w:cs="Arial"/>
          <w:sz w:val="20"/>
        </w:rPr>
      </w:pPr>
    </w:p>
    <w:p w:rsidR="00140099" w:rsidRPr="00111D82" w:rsidRDefault="00140099" w:rsidP="00140099">
      <w:pPr>
        <w:jc w:val="both"/>
        <w:rPr>
          <w:rFonts w:ascii="Arial" w:hAnsi="Arial" w:cs="Arial"/>
          <w:sz w:val="20"/>
        </w:rPr>
      </w:pPr>
      <w:r w:rsidRPr="00111D82">
        <w:rPr>
          <w:rFonts w:ascii="Arial" w:hAnsi="Arial" w:cs="Arial"/>
          <w:sz w:val="20"/>
          <w:u w:val="single"/>
        </w:rPr>
        <w:t>QUALIFYING EQUIPMENT</w:t>
      </w:r>
      <w:r w:rsidRPr="00111D82">
        <w:rPr>
          <w:rFonts w:ascii="Arial" w:hAnsi="Arial" w:cs="Arial"/>
          <w:sz w:val="20"/>
        </w:rPr>
        <w:t>:</w:t>
      </w:r>
    </w:p>
    <w:p w:rsidR="00140099" w:rsidRPr="00111D82" w:rsidRDefault="00140099" w:rsidP="00140099">
      <w:pPr>
        <w:ind w:firstLine="720"/>
        <w:jc w:val="both"/>
        <w:rPr>
          <w:rFonts w:ascii="Arial" w:hAnsi="Arial" w:cs="Arial"/>
          <w:sz w:val="20"/>
        </w:rPr>
      </w:pPr>
      <w:r w:rsidRPr="00111D82">
        <w:rPr>
          <w:rFonts w:ascii="Arial" w:hAnsi="Arial" w:cs="Arial"/>
          <w:sz w:val="20"/>
        </w:rPr>
        <w:t>Equipment which when installed in an eligible facility results in verifiable electric energy efficiency improvement compared to existing equipment or baseline equipment as determined by the Company.</w:t>
      </w:r>
    </w:p>
    <w:p w:rsidR="00140099" w:rsidRPr="00111D82" w:rsidRDefault="00140099" w:rsidP="00140099">
      <w:pPr>
        <w:jc w:val="both"/>
        <w:rPr>
          <w:rFonts w:ascii="Arial" w:hAnsi="Arial" w:cs="Arial"/>
          <w:sz w:val="20"/>
        </w:rPr>
      </w:pPr>
    </w:p>
    <w:p w:rsidR="00140099" w:rsidRPr="00111D82" w:rsidRDefault="00140099" w:rsidP="00140099">
      <w:pPr>
        <w:tabs>
          <w:tab w:val="left" w:pos="720"/>
          <w:tab w:val="left" w:pos="5040"/>
        </w:tabs>
        <w:jc w:val="both"/>
        <w:rPr>
          <w:rFonts w:ascii="Arial" w:hAnsi="Arial" w:cs="Arial"/>
          <w:sz w:val="20"/>
        </w:rPr>
      </w:pPr>
      <w:r w:rsidRPr="00111D82">
        <w:rPr>
          <w:rFonts w:ascii="Arial" w:hAnsi="Arial" w:cs="Arial"/>
          <w:sz w:val="20"/>
          <w:u w:val="single"/>
        </w:rPr>
        <w:t>PROVISIONS OF SERVICE</w:t>
      </w:r>
      <w:r w:rsidRPr="00111D82">
        <w:rPr>
          <w:rFonts w:ascii="Arial" w:hAnsi="Arial" w:cs="Arial"/>
          <w:sz w:val="20"/>
        </w:rPr>
        <w:t>:</w:t>
      </w:r>
    </w:p>
    <w:p w:rsidR="00140099" w:rsidRPr="00111D82" w:rsidRDefault="00140099" w:rsidP="00140099">
      <w:pPr>
        <w:pStyle w:val="BodyText"/>
        <w:ind w:left="720" w:hanging="720"/>
        <w:rPr>
          <w:rFonts w:ascii="Arial" w:hAnsi="Arial" w:cs="Arial"/>
          <w:sz w:val="20"/>
        </w:rPr>
      </w:pPr>
      <w:r w:rsidRPr="00111D82">
        <w:rPr>
          <w:rFonts w:ascii="Arial" w:hAnsi="Arial" w:cs="Arial"/>
          <w:sz w:val="20"/>
        </w:rPr>
        <w:t xml:space="preserve">(1) </w:t>
      </w:r>
      <w:r w:rsidRPr="00111D82">
        <w:rPr>
          <w:rFonts w:ascii="Arial" w:hAnsi="Arial" w:cs="Arial"/>
          <w:sz w:val="20"/>
        </w:rPr>
        <w:tab/>
        <w:t xml:space="preserve">Qualifying equipment of services, incentive amounts, and other terms and conditions will be listed on the Washington energy efficiency program section of the Company Web site and may be changed by the Company with at least 45 days notice. Such changes will be prominently displayed on the Washington energy efficiency program section of the Company Web site and include a minimum 45 day grace period for processing prior offers. </w:t>
      </w:r>
    </w:p>
    <w:p w:rsidR="00140099" w:rsidRPr="00111D82" w:rsidRDefault="00140099" w:rsidP="00140099">
      <w:pPr>
        <w:pStyle w:val="BodyText"/>
        <w:ind w:left="720" w:hanging="720"/>
        <w:rPr>
          <w:rFonts w:ascii="Arial" w:hAnsi="Arial" w:cs="Arial"/>
          <w:sz w:val="20"/>
        </w:rPr>
      </w:pPr>
    </w:p>
    <w:p w:rsidR="00140099" w:rsidRPr="00111D82" w:rsidRDefault="00140099" w:rsidP="00140099">
      <w:pPr>
        <w:pStyle w:val="BodyText"/>
        <w:ind w:left="720" w:hanging="720"/>
        <w:rPr>
          <w:rFonts w:ascii="Arial" w:hAnsi="Arial" w:cs="Arial"/>
          <w:sz w:val="20"/>
        </w:rPr>
      </w:pPr>
      <w:r w:rsidRPr="00111D82">
        <w:rPr>
          <w:rFonts w:ascii="Arial" w:hAnsi="Arial" w:cs="Arial"/>
          <w:sz w:val="20"/>
        </w:rPr>
        <w:t xml:space="preserve">(2) </w:t>
      </w:r>
      <w:r w:rsidRPr="00111D82">
        <w:rPr>
          <w:rFonts w:ascii="Arial" w:hAnsi="Arial" w:cs="Arial"/>
          <w:sz w:val="20"/>
        </w:rPr>
        <w:tab/>
        <w:t xml:space="preserve">Company may elect to offer EEM incentives through different channels and at different points in the sales process other than individual Energy Efficiency Incentive Agreement(s) prior to EEM purchase. The differences will depend on EEM and will be consistent for all EEMs of similar type. </w:t>
      </w:r>
    </w:p>
    <w:p w:rsidR="00140099" w:rsidRPr="00111D82" w:rsidRDefault="00140099" w:rsidP="00140099">
      <w:pPr>
        <w:pStyle w:val="BodyText"/>
        <w:ind w:left="720" w:hanging="720"/>
        <w:rPr>
          <w:rFonts w:ascii="Arial" w:hAnsi="Arial" w:cs="Arial"/>
          <w:sz w:val="20"/>
        </w:rPr>
      </w:pPr>
    </w:p>
    <w:p w:rsidR="00140099" w:rsidRPr="00111D82" w:rsidRDefault="00140099" w:rsidP="00140099">
      <w:pPr>
        <w:pStyle w:val="BodyText"/>
        <w:ind w:left="720" w:hanging="720"/>
        <w:rPr>
          <w:rFonts w:ascii="Arial" w:hAnsi="Arial" w:cs="Arial"/>
          <w:sz w:val="20"/>
        </w:rPr>
      </w:pPr>
      <w:r w:rsidRPr="00111D82">
        <w:rPr>
          <w:rFonts w:ascii="Arial" w:hAnsi="Arial" w:cs="Arial"/>
          <w:sz w:val="20"/>
        </w:rPr>
        <w:t xml:space="preserve">(3) </w:t>
      </w:r>
      <w:r w:rsidRPr="00111D82">
        <w:rPr>
          <w:rFonts w:ascii="Arial" w:hAnsi="Arial" w:cs="Arial"/>
          <w:sz w:val="20"/>
        </w:rPr>
        <w:tab/>
        <w:t>Incentives may be offered year-round or for selected time periods.</w:t>
      </w:r>
    </w:p>
    <w:p w:rsidR="00140099" w:rsidRPr="00111D82" w:rsidRDefault="00140099" w:rsidP="00140099">
      <w:pPr>
        <w:pStyle w:val="BodyText"/>
        <w:ind w:left="720" w:hanging="720"/>
        <w:rPr>
          <w:rFonts w:ascii="Arial" w:hAnsi="Arial" w:cs="Arial"/>
          <w:sz w:val="20"/>
        </w:rPr>
      </w:pPr>
    </w:p>
    <w:p w:rsidR="0069608B" w:rsidRDefault="00140099">
      <w:pPr>
        <w:ind w:left="720" w:hanging="720"/>
        <w:rPr>
          <w:rFonts w:ascii="Times New Roman" w:hAnsi="Times New Roman"/>
          <w:b/>
          <w:sz w:val="24"/>
          <w:szCs w:val="24"/>
        </w:rPr>
      </w:pPr>
      <w:r w:rsidRPr="00111D82">
        <w:rPr>
          <w:rFonts w:ascii="Arial" w:hAnsi="Arial" w:cs="Arial"/>
          <w:sz w:val="20"/>
        </w:rPr>
        <w:t xml:space="preserve">(4) </w:t>
      </w:r>
      <w:r w:rsidRPr="00111D82">
        <w:rPr>
          <w:rFonts w:ascii="Arial" w:hAnsi="Arial" w:cs="Arial"/>
          <w:sz w:val="20"/>
        </w:rPr>
        <w:tab/>
        <w:t>Equipment or services receiving an incentive under this program are not eligible for incentives under other Company programs.</w:t>
      </w:r>
    </w:p>
    <w:p w:rsidR="00611EAF" w:rsidRDefault="00611EAF" w:rsidP="00611EAF">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611EAF" w:rsidRPr="00111D82" w:rsidRDefault="00611EAF" w:rsidP="008C64A8">
      <w:pPr>
        <w:rPr>
          <w:rFonts w:ascii="Times New Roman" w:hAnsi="Times New Roman"/>
          <w:b/>
          <w:sz w:val="24"/>
          <w:szCs w:val="24"/>
        </w:rPr>
        <w:sectPr w:rsidR="00611EAF" w:rsidRPr="00111D82" w:rsidSect="001B376C">
          <w:headerReference w:type="default" r:id="rId49"/>
          <w:footerReference w:type="default" r:id="rId50"/>
          <w:pgSz w:w="12240" w:h="15840" w:code="1"/>
          <w:pgMar w:top="1440" w:right="1080" w:bottom="1440" w:left="1440" w:header="720" w:footer="720" w:gutter="0"/>
          <w:cols w:space="720"/>
          <w:docGrid w:linePitch="360"/>
        </w:sectPr>
      </w:pPr>
    </w:p>
    <w:p w:rsidR="00174387" w:rsidRPr="00CC0227" w:rsidRDefault="000A75FE" w:rsidP="0017438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29" o:spid="_x0000_s1036" type="#_x0000_t32" style="position:absolute;margin-left:384.75pt;margin-top:-19.45pt;width:0;height:114.7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LvHwIAAD4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"/>
        </w:pict>
      </w:r>
      <w:r w:rsidRPr="000A75FE">
        <w:rPr>
          <w:rFonts w:ascii="Courier New" w:hAnsi="Courier New"/>
          <w:noProof/>
          <w:sz w:val="18"/>
          <w:szCs w:val="20"/>
        </w:rPr>
        <w:pict>
          <v:shape id="AutoShape 30" o:spid="_x0000_s1037" type="#_x0000_t32" style="position:absolute;margin-left:384.75pt;margin-top:-5.65pt;width:0;height:114.7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"/>
        </w:pict>
      </w:r>
      <w:r w:rsidR="00174387">
        <w:rPr>
          <w:rFonts w:ascii="Arial" w:hAnsi="Arial" w:cs="Arial"/>
          <w:b/>
          <w:noProof/>
          <w:sz w:val="24"/>
          <w:szCs w:val="24"/>
        </w:rPr>
        <w:t>PACIFIC POWER &amp; LIGHT COMPANY</w:t>
      </w:r>
    </w:p>
    <w:p w:rsidR="00174387" w:rsidRDefault="00174387" w:rsidP="0017438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74387" w:rsidRPr="00CD01ED" w:rsidRDefault="00174387" w:rsidP="0017438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74387" w:rsidRDefault="00174387" w:rsidP="00174387">
      <w:pPr>
        <w:tabs>
          <w:tab w:val="left" w:pos="7200"/>
        </w:tabs>
        <w:ind w:right="2160"/>
        <w:jc w:val="right"/>
        <w:rPr>
          <w:rFonts w:ascii="Arial" w:hAnsi="Arial" w:cs="Arial"/>
          <w:sz w:val="20"/>
        </w:rPr>
      </w:pPr>
    </w:p>
    <w:p w:rsidR="00174387" w:rsidRDefault="00174387" w:rsidP="00174387">
      <w:pPr>
        <w:tabs>
          <w:tab w:val="left" w:pos="7200"/>
        </w:tabs>
        <w:ind w:right="2160"/>
        <w:jc w:val="right"/>
        <w:rPr>
          <w:rFonts w:ascii="Arial" w:hAnsi="Arial" w:cs="Arial"/>
          <w:sz w:val="20"/>
        </w:rPr>
      </w:pPr>
      <w:r>
        <w:rPr>
          <w:rFonts w:ascii="Arial" w:hAnsi="Arial" w:cs="Arial"/>
          <w:sz w:val="20"/>
        </w:rPr>
        <w:t>Original Sheet No. 115.2</w:t>
      </w:r>
    </w:p>
    <w:p w:rsidR="00174387" w:rsidRDefault="00174387" w:rsidP="00174387">
      <w:pPr>
        <w:rPr>
          <w:rFonts w:ascii="Arial" w:hAnsi="Arial" w:cs="Arial"/>
          <w:sz w:val="20"/>
        </w:rPr>
      </w:pPr>
      <w:r>
        <w:rPr>
          <w:rFonts w:ascii="Arial" w:hAnsi="Arial" w:cs="Arial"/>
          <w:sz w:val="20"/>
        </w:rPr>
        <w:tab/>
      </w:r>
    </w:p>
    <w:p w:rsidR="00174387" w:rsidRPr="00CF64E6" w:rsidRDefault="00174387" w:rsidP="00174387">
      <w:pPr>
        <w:tabs>
          <w:tab w:val="left" w:pos="7200"/>
        </w:tabs>
        <w:ind w:right="2160"/>
        <w:rPr>
          <w:rFonts w:ascii="Arial" w:hAnsi="Arial" w:cs="Arial"/>
          <w:b/>
          <w:sz w:val="24"/>
          <w:szCs w:val="24"/>
        </w:rPr>
      </w:pPr>
      <w:r>
        <w:rPr>
          <w:rFonts w:ascii="Arial" w:hAnsi="Arial" w:cs="Arial"/>
          <w:b/>
          <w:sz w:val="24"/>
          <w:szCs w:val="24"/>
        </w:rPr>
        <w:t>Schedule 115</w:t>
      </w:r>
    </w:p>
    <w:p w:rsidR="00174387" w:rsidRDefault="00174387" w:rsidP="00174387">
      <w:pPr>
        <w:pBdr>
          <w:bottom w:val="single" w:sz="12" w:space="1" w:color="auto"/>
        </w:pBdr>
        <w:rPr>
          <w:rFonts w:ascii="Arial" w:hAnsi="Arial" w:cs="Arial"/>
          <w:b/>
          <w:sz w:val="20"/>
        </w:rPr>
      </w:pPr>
      <w:r>
        <w:rPr>
          <w:rFonts w:ascii="Arial" w:hAnsi="Arial" w:cs="Arial"/>
          <w:b/>
          <w:sz w:val="20"/>
        </w:rPr>
        <w:t xml:space="preserve">COMMERCIAL &amp; INDUSTRIAL ENERGY EFFICIENCY INCENTIVES – </w:t>
      </w:r>
    </w:p>
    <w:p w:rsidR="00174387" w:rsidRDefault="00174387" w:rsidP="00174387">
      <w:pPr>
        <w:pBdr>
          <w:bottom w:val="single" w:sz="12" w:space="1" w:color="auto"/>
        </w:pBdr>
        <w:rPr>
          <w:rFonts w:ascii="Arial" w:hAnsi="Arial" w:cs="Arial"/>
          <w:b/>
          <w:sz w:val="20"/>
        </w:rPr>
      </w:pPr>
      <w:r>
        <w:rPr>
          <w:rFonts w:ascii="Arial" w:hAnsi="Arial" w:cs="Arial"/>
          <w:b/>
          <w:sz w:val="20"/>
        </w:rPr>
        <w:t>OPTIONAL FOR QUALIFYING CUSTOMERS</w:t>
      </w:r>
    </w:p>
    <w:p w:rsidR="00174387" w:rsidRDefault="00174387" w:rsidP="00140099">
      <w:pPr>
        <w:tabs>
          <w:tab w:val="left" w:pos="720"/>
          <w:tab w:val="left" w:pos="5040"/>
        </w:tabs>
        <w:jc w:val="both"/>
        <w:rPr>
          <w:rFonts w:ascii="Arial" w:hAnsi="Arial" w:cs="Arial"/>
          <w:sz w:val="20"/>
          <w:u w:val="single"/>
        </w:rPr>
      </w:pPr>
    </w:p>
    <w:p w:rsidR="00140099" w:rsidRPr="00111D82" w:rsidRDefault="00140099" w:rsidP="00140099">
      <w:pPr>
        <w:tabs>
          <w:tab w:val="left" w:pos="720"/>
          <w:tab w:val="left" w:pos="5040"/>
        </w:tabs>
        <w:jc w:val="both"/>
        <w:rPr>
          <w:rFonts w:ascii="Arial" w:hAnsi="Arial" w:cs="Arial"/>
          <w:sz w:val="20"/>
        </w:rPr>
      </w:pPr>
      <w:r w:rsidRPr="00111D82">
        <w:rPr>
          <w:rFonts w:ascii="Arial" w:hAnsi="Arial" w:cs="Arial"/>
          <w:sz w:val="20"/>
          <w:u w:val="single"/>
        </w:rPr>
        <w:t>PROVISIONS OF SERVICE</w:t>
      </w:r>
      <w:r w:rsidRPr="00111D82">
        <w:rPr>
          <w:rFonts w:ascii="Arial" w:hAnsi="Arial" w:cs="Arial"/>
          <w:sz w:val="20"/>
        </w:rPr>
        <w:t>: (continued)</w:t>
      </w:r>
    </w:p>
    <w:p w:rsidR="00140099" w:rsidRPr="00111D82" w:rsidRDefault="00140099" w:rsidP="00140099">
      <w:pPr>
        <w:pStyle w:val="BodyText"/>
        <w:ind w:left="720" w:hanging="720"/>
        <w:rPr>
          <w:rFonts w:ascii="Arial" w:hAnsi="Arial" w:cs="Arial"/>
          <w:sz w:val="20"/>
        </w:rPr>
      </w:pPr>
      <w:r w:rsidRPr="00111D82">
        <w:rPr>
          <w:rFonts w:ascii="Arial" w:hAnsi="Arial" w:cs="Arial"/>
          <w:sz w:val="20"/>
        </w:rPr>
        <w:t xml:space="preserve">(5) </w:t>
      </w:r>
      <w:r w:rsidRPr="00111D82">
        <w:rPr>
          <w:rFonts w:ascii="Arial" w:hAnsi="Arial" w:cs="Arial"/>
          <w:sz w:val="20"/>
        </w:rPr>
        <w:tab/>
        <w:t>Company may offer payment as described on the Washington energy efficiency program section of the Company Web site to a design team member to encourage early initial Company consultation on Owner/Customer design and plans for New Construction/Major Renovation.</w:t>
      </w:r>
    </w:p>
    <w:p w:rsidR="00140099" w:rsidRPr="00111D82" w:rsidRDefault="00140099" w:rsidP="00140099">
      <w:pPr>
        <w:pStyle w:val="BodyText"/>
        <w:ind w:left="720" w:hanging="720"/>
        <w:rPr>
          <w:rFonts w:ascii="Arial" w:hAnsi="Arial" w:cs="Arial"/>
          <w:sz w:val="20"/>
        </w:rPr>
      </w:pPr>
    </w:p>
    <w:p w:rsidR="00140099" w:rsidRPr="00111D82" w:rsidRDefault="00140099" w:rsidP="00140099">
      <w:pPr>
        <w:tabs>
          <w:tab w:val="left" w:pos="720"/>
        </w:tabs>
        <w:ind w:left="720" w:hanging="720"/>
        <w:jc w:val="both"/>
        <w:rPr>
          <w:rFonts w:ascii="Arial" w:hAnsi="Arial" w:cs="Arial"/>
          <w:sz w:val="20"/>
        </w:rPr>
      </w:pPr>
      <w:r w:rsidRPr="00111D82">
        <w:rPr>
          <w:rFonts w:ascii="Arial" w:hAnsi="Arial" w:cs="Arial"/>
          <w:sz w:val="20"/>
        </w:rPr>
        <w:t>(6)</w:t>
      </w:r>
      <w:r w:rsidRPr="00111D82">
        <w:rPr>
          <w:rFonts w:ascii="Arial" w:hAnsi="Arial" w:cs="Arial"/>
          <w:sz w:val="20"/>
        </w:rPr>
        <w:tab/>
        <w:t xml:space="preserve">Company will employ a variety of quality assurance techniques during the delivery of the program. They will differ by EEM and may include pre and post installation inspections, phone surveys, confirmation of Owner/Customer and equipment eligibility.  </w:t>
      </w:r>
    </w:p>
    <w:p w:rsidR="00140099" w:rsidRPr="00111D82" w:rsidRDefault="00140099" w:rsidP="00140099">
      <w:pPr>
        <w:tabs>
          <w:tab w:val="left" w:pos="720"/>
        </w:tabs>
        <w:ind w:left="720" w:hanging="720"/>
        <w:jc w:val="both"/>
        <w:rPr>
          <w:rFonts w:ascii="Arial" w:hAnsi="Arial" w:cs="Arial"/>
          <w:sz w:val="20"/>
        </w:rPr>
      </w:pPr>
    </w:p>
    <w:p w:rsidR="00140099" w:rsidRPr="00111D82" w:rsidRDefault="00140099" w:rsidP="00140099">
      <w:pPr>
        <w:tabs>
          <w:tab w:val="left" w:pos="720"/>
        </w:tabs>
        <w:ind w:left="720" w:hanging="720"/>
        <w:jc w:val="both"/>
        <w:rPr>
          <w:rFonts w:ascii="Arial" w:hAnsi="Arial" w:cs="Arial"/>
          <w:sz w:val="20"/>
        </w:rPr>
      </w:pPr>
      <w:r w:rsidRPr="00111D82">
        <w:rPr>
          <w:rFonts w:ascii="Arial" w:hAnsi="Arial" w:cs="Arial"/>
          <w:sz w:val="20"/>
        </w:rPr>
        <w:t>(7)</w:t>
      </w:r>
      <w:r w:rsidRPr="00111D82">
        <w:rPr>
          <w:rFonts w:ascii="Arial" w:hAnsi="Arial" w:cs="Arial"/>
          <w:sz w:val="20"/>
        </w:rPr>
        <w:tab/>
        <w:t>Company may verify or evaluate the energy savings of installed EEMs. This verification may include a telephone survey, site visit, review of facility operation characteristics, and pre- and post-installation of monitoring equipment and as necessary to quantify actual energy savings.</w:t>
      </w:r>
    </w:p>
    <w:p w:rsidR="00140099" w:rsidRPr="00111D82" w:rsidRDefault="00140099" w:rsidP="00140099">
      <w:pPr>
        <w:spacing w:line="200" w:lineRule="exact"/>
        <w:jc w:val="both"/>
        <w:rPr>
          <w:rFonts w:ascii="Arial" w:hAnsi="Arial" w:cs="Arial"/>
          <w:sz w:val="20"/>
          <w:u w:val="single"/>
        </w:rPr>
      </w:pPr>
    </w:p>
    <w:p w:rsidR="00140099" w:rsidRPr="00111D82" w:rsidRDefault="00140099" w:rsidP="00140099">
      <w:pPr>
        <w:spacing w:line="200" w:lineRule="exact"/>
        <w:jc w:val="both"/>
        <w:rPr>
          <w:rFonts w:ascii="Arial" w:hAnsi="Arial" w:cs="Arial"/>
          <w:sz w:val="20"/>
        </w:rPr>
      </w:pPr>
      <w:r w:rsidRPr="00111D82">
        <w:rPr>
          <w:rFonts w:ascii="Arial" w:hAnsi="Arial" w:cs="Arial"/>
          <w:sz w:val="20"/>
          <w:u w:val="single"/>
        </w:rPr>
        <w:t>ELECTRIC SERVICE REGULATIONS:</w:t>
      </w:r>
      <w:r w:rsidRPr="00111D82">
        <w:rPr>
          <w:rFonts w:ascii="Arial" w:hAnsi="Arial" w:cs="Arial"/>
          <w:sz w:val="20"/>
        </w:rPr>
        <w:t xml:space="preserve"> </w:t>
      </w:r>
    </w:p>
    <w:p w:rsidR="00140099" w:rsidRPr="00111D82" w:rsidRDefault="00140099" w:rsidP="00140099">
      <w:pPr>
        <w:spacing w:line="200" w:lineRule="exact"/>
        <w:ind w:firstLine="720"/>
        <w:jc w:val="both"/>
        <w:rPr>
          <w:rFonts w:ascii="Arial" w:hAnsi="Arial" w:cs="Arial"/>
          <w:sz w:val="20"/>
        </w:rPr>
      </w:pPr>
      <w:r w:rsidRPr="00111D82">
        <w:rPr>
          <w:rFonts w:ascii="Arial" w:hAnsi="Arial" w:cs="Arial"/>
          <w:sz w:val="20"/>
        </w:rPr>
        <w:t>Service under this Schedule will be in accordance with the terms of the Electric Service Agreement between the Customer and the Company.  The Electric Service Regulations of the Company on file with and approved by the Utilities &amp; Transportation Commission of the State of Washington, including future applicable amendments, will be considered as forming a part of and incorporated in said Agreement.</w:t>
      </w:r>
    </w:p>
    <w:p w:rsidR="00140099" w:rsidRPr="00111D82" w:rsidRDefault="00140099" w:rsidP="00140099">
      <w:pPr>
        <w:tabs>
          <w:tab w:val="left" w:pos="720"/>
          <w:tab w:val="left" w:pos="5040"/>
        </w:tabs>
        <w:jc w:val="both"/>
        <w:rPr>
          <w:rFonts w:ascii="Arial" w:hAnsi="Arial" w:cs="Arial"/>
          <w:sz w:val="20"/>
        </w:rPr>
      </w:pPr>
    </w:p>
    <w:p w:rsidR="00140099" w:rsidRPr="00111D82" w:rsidRDefault="00140099" w:rsidP="00140099">
      <w:pPr>
        <w:rPr>
          <w:rFonts w:ascii="Arial" w:hAnsi="Arial" w:cs="Arial"/>
          <w:sz w:val="20"/>
        </w:rPr>
      </w:pPr>
    </w:p>
    <w:p w:rsidR="00174387" w:rsidRDefault="00174387" w:rsidP="008C64A8">
      <w:pPr>
        <w:rPr>
          <w:rFonts w:ascii="Times New Roman" w:hAnsi="Times New Roman"/>
          <w:b/>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rPr>
          <w:rFonts w:ascii="Times New Roman" w:hAnsi="Times New Roman"/>
          <w:sz w:val="24"/>
          <w:szCs w:val="24"/>
        </w:rPr>
      </w:pPr>
    </w:p>
    <w:p w:rsidR="00174387" w:rsidRPr="00174387" w:rsidRDefault="00174387" w:rsidP="00174387">
      <w:pPr>
        <w:pBdr>
          <w:bottom w:val="single" w:sz="12" w:space="1" w:color="auto"/>
        </w:pBdr>
        <w:rPr>
          <w:rFonts w:ascii="Times New Roman" w:hAnsi="Times New Roman"/>
          <w:sz w:val="24"/>
          <w:szCs w:val="24"/>
        </w:rPr>
      </w:pPr>
    </w:p>
    <w:p w:rsidR="0069608B" w:rsidRDefault="0069608B">
      <w:pPr>
        <w:tabs>
          <w:tab w:val="left" w:pos="1975"/>
        </w:tabs>
        <w:rPr>
          <w:rFonts w:ascii="Times New Roman" w:hAnsi="Times New Roman"/>
          <w:sz w:val="24"/>
          <w:szCs w:val="24"/>
        </w:rPr>
      </w:pPr>
    </w:p>
    <w:p w:rsidR="00174387" w:rsidRDefault="00174387" w:rsidP="0017438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174387" w:rsidRDefault="00174387" w:rsidP="0017438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174387" w:rsidRDefault="00174387" w:rsidP="0017438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4387" w:rsidRDefault="0069608B" w:rsidP="0017438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60800"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6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670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4387" w:rsidRPr="004043D5" w:rsidRDefault="0069608B" w:rsidP="00174387">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63872"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64"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2848"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6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1824"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6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977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875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772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568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74387">
        <w:rPr>
          <w:rFonts w:ascii="Arial" w:hAnsi="Arial" w:cs="Arial"/>
          <w:sz w:val="20"/>
        </w:rPr>
        <w:t>By:  _________________________ Andrea L. Kelly</w:t>
      </w:r>
      <w:r w:rsidR="00174387">
        <w:rPr>
          <w:rFonts w:ascii="Arial" w:hAnsi="Arial" w:cs="Arial"/>
          <w:sz w:val="20"/>
        </w:rPr>
        <w:tab/>
      </w:r>
      <w:r w:rsidR="00174387">
        <w:rPr>
          <w:rFonts w:ascii="Arial" w:hAnsi="Arial" w:cs="Arial"/>
          <w:b/>
          <w:sz w:val="20"/>
        </w:rPr>
        <w:t>Title:</w:t>
      </w:r>
      <w:r w:rsidR="00174387">
        <w:rPr>
          <w:rFonts w:ascii="Arial" w:hAnsi="Arial" w:cs="Arial"/>
          <w:sz w:val="20"/>
        </w:rPr>
        <w:t xml:space="preserve">  Vice President, Regulation</w:t>
      </w:r>
    </w:p>
    <w:p w:rsidR="00174387" w:rsidRDefault="00174387" w:rsidP="0017438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174387" w:rsidRPr="004A79FF" w:rsidRDefault="00174387" w:rsidP="00174387">
      <w:pPr>
        <w:pStyle w:val="Footer"/>
      </w:pPr>
    </w:p>
    <w:p w:rsidR="00174387" w:rsidRDefault="00174387" w:rsidP="00174387">
      <w:pPr>
        <w:rPr>
          <w:rFonts w:ascii="Times New Roman" w:hAnsi="Times New Roman"/>
          <w:sz w:val="24"/>
          <w:szCs w:val="24"/>
        </w:rPr>
      </w:pPr>
    </w:p>
    <w:p w:rsidR="00722821" w:rsidRPr="00111D82" w:rsidRDefault="007D7D69">
      <w:pPr>
        <w:pStyle w:val="Heading2"/>
        <w:spacing w:before="120"/>
        <w:jc w:val="both"/>
      </w:pPr>
      <w:bookmarkStart w:id="21" w:name="_Toc326296735"/>
      <w:r w:rsidRPr="00111D82">
        <w:t>Energy FinAnswer (Schedule 125)</w:t>
      </w:r>
      <w:bookmarkEnd w:id="21"/>
    </w:p>
    <w:p w:rsidR="00722821" w:rsidRPr="00111D82" w:rsidRDefault="00722821">
      <w:pPr>
        <w:jc w:val="both"/>
        <w:rPr>
          <w:rFonts w:ascii="Times New Roman" w:hAnsi="Times New Roman"/>
          <w:sz w:val="24"/>
          <w:szCs w:val="24"/>
        </w:rPr>
      </w:pPr>
    </w:p>
    <w:p w:rsidR="00F83805" w:rsidRPr="00111D82" w:rsidRDefault="00F27F07" w:rsidP="00712937">
      <w:pPr>
        <w:jc w:val="both"/>
        <w:rPr>
          <w:rFonts w:ascii="Times New Roman" w:hAnsi="Times New Roman"/>
          <w:bCs/>
          <w:sz w:val="24"/>
          <w:szCs w:val="24"/>
          <w:u w:val="single"/>
        </w:rPr>
      </w:pPr>
      <w:r>
        <w:rPr>
          <w:rFonts w:ascii="Times New Roman" w:hAnsi="Times New Roman"/>
          <w:bCs/>
          <w:sz w:val="24"/>
          <w:szCs w:val="24"/>
          <w:u w:val="single"/>
        </w:rPr>
        <w:t>Years of Implementation</w:t>
      </w:r>
    </w:p>
    <w:p w:rsidR="00F83805" w:rsidRPr="00111D82" w:rsidRDefault="00466BCC" w:rsidP="00712937">
      <w:pPr>
        <w:jc w:val="both"/>
        <w:rPr>
          <w:rFonts w:ascii="Times New Roman" w:hAnsi="Times New Roman"/>
          <w:bCs/>
          <w:sz w:val="24"/>
          <w:szCs w:val="24"/>
        </w:rPr>
      </w:pPr>
      <w:r w:rsidRPr="00111D82">
        <w:rPr>
          <w:rFonts w:ascii="Times New Roman" w:hAnsi="Times New Roman"/>
          <w:sz w:val="24"/>
          <w:szCs w:val="24"/>
        </w:rPr>
        <w:t xml:space="preserve">The Energy FinAnswer program was </w:t>
      </w:r>
      <w:r w:rsidR="00B13DB4" w:rsidRPr="00111D82">
        <w:rPr>
          <w:rFonts w:ascii="Times New Roman" w:hAnsi="Times New Roman"/>
          <w:sz w:val="24"/>
          <w:szCs w:val="24"/>
        </w:rPr>
        <w:t>originally implemented in the 1990s as a</w:t>
      </w:r>
      <w:r w:rsidR="00C33FEE" w:rsidRPr="00111D82">
        <w:rPr>
          <w:rFonts w:ascii="Times New Roman" w:hAnsi="Times New Roman"/>
          <w:sz w:val="24"/>
          <w:szCs w:val="24"/>
        </w:rPr>
        <w:t>n energy efficiency improvement</w:t>
      </w:r>
      <w:r w:rsidR="00B13DB4" w:rsidRPr="00111D82">
        <w:rPr>
          <w:rFonts w:ascii="Times New Roman" w:hAnsi="Times New Roman"/>
          <w:sz w:val="24"/>
          <w:szCs w:val="24"/>
        </w:rPr>
        <w:t xml:space="preserve"> financing program. Customer loan payments were calculated to equal expected monthly savings from the energy efficiency improvements made until the loan was satisfied. The program was modified to an incentive based program</w:t>
      </w:r>
      <w:r w:rsidR="00C33FEE" w:rsidRPr="00111D82">
        <w:rPr>
          <w:rFonts w:ascii="Times New Roman" w:hAnsi="Times New Roman"/>
          <w:sz w:val="24"/>
          <w:szCs w:val="24"/>
        </w:rPr>
        <w:t>, its current incarnation,</w:t>
      </w:r>
      <w:r w:rsidR="00B13DB4" w:rsidRPr="00111D82">
        <w:rPr>
          <w:rFonts w:ascii="Times New Roman" w:hAnsi="Times New Roman"/>
          <w:sz w:val="24"/>
          <w:szCs w:val="24"/>
        </w:rPr>
        <w:t xml:space="preserve"> </w:t>
      </w:r>
      <w:r w:rsidRPr="00111D82">
        <w:rPr>
          <w:rFonts w:ascii="Times New Roman" w:hAnsi="Times New Roman"/>
          <w:sz w:val="24"/>
          <w:szCs w:val="24"/>
        </w:rPr>
        <w:t>under Schedule 125 in October 2000.</w:t>
      </w:r>
      <w:r w:rsidRPr="00111D82">
        <w:rPr>
          <w:rStyle w:val="FootnoteReference"/>
          <w:rFonts w:ascii="Times New Roman" w:hAnsi="Times New Roman"/>
          <w:sz w:val="24"/>
          <w:szCs w:val="24"/>
        </w:rPr>
        <w:footnoteReference w:id="2"/>
      </w:r>
    </w:p>
    <w:p w:rsidR="00F83805" w:rsidRPr="00111D82" w:rsidRDefault="00F83805" w:rsidP="00712937">
      <w:pPr>
        <w:jc w:val="both"/>
        <w:rPr>
          <w:rFonts w:ascii="Times New Roman" w:hAnsi="Times New Roman"/>
          <w:bCs/>
          <w:sz w:val="24"/>
          <w:szCs w:val="24"/>
          <w:u w:val="single"/>
        </w:rPr>
      </w:pPr>
    </w:p>
    <w:p w:rsidR="00B2470B" w:rsidRPr="00111D82" w:rsidRDefault="00517748" w:rsidP="00712937">
      <w:pPr>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343415" w:rsidRPr="00111D82" w:rsidRDefault="00343415" w:rsidP="00712937">
      <w:pPr>
        <w:jc w:val="both"/>
        <w:rPr>
          <w:rFonts w:ascii="Times New Roman" w:hAnsi="Times New Roman"/>
          <w:sz w:val="24"/>
          <w:szCs w:val="24"/>
        </w:rPr>
      </w:pPr>
      <w:r w:rsidRPr="00111D82">
        <w:rPr>
          <w:rFonts w:ascii="Times New Roman" w:hAnsi="Times New Roman"/>
          <w:sz w:val="24"/>
          <w:szCs w:val="24"/>
        </w:rPr>
        <w:t xml:space="preserve">The Energy FinAnswer program serves commercial, industrial, and agricultural customers for retrofits and new construction. The program includes a vendor neutral investment grade energy analysis and cash incentives equal to $0.15 per kWh </w:t>
      </w:r>
      <w:r w:rsidR="00BF3987" w:rsidRPr="00111D82">
        <w:rPr>
          <w:rFonts w:ascii="Times New Roman" w:hAnsi="Times New Roman"/>
          <w:sz w:val="24"/>
          <w:szCs w:val="24"/>
        </w:rPr>
        <w:t xml:space="preserve">of </w:t>
      </w:r>
      <w:r w:rsidRPr="00111D82">
        <w:rPr>
          <w:rFonts w:ascii="Times New Roman" w:hAnsi="Times New Roman"/>
          <w:sz w:val="24"/>
          <w:szCs w:val="24"/>
        </w:rPr>
        <w:t>annual energy savings plus $50 per kW</w:t>
      </w:r>
      <w:r w:rsidR="00BF3987" w:rsidRPr="00111D82">
        <w:rPr>
          <w:rFonts w:ascii="Times New Roman" w:hAnsi="Times New Roman"/>
          <w:sz w:val="24"/>
          <w:szCs w:val="24"/>
        </w:rPr>
        <w:t xml:space="preserve"> of</w:t>
      </w:r>
      <w:r w:rsidRPr="00111D82">
        <w:rPr>
          <w:rFonts w:ascii="Times New Roman" w:hAnsi="Times New Roman"/>
          <w:sz w:val="24"/>
          <w:szCs w:val="24"/>
        </w:rPr>
        <w:t xml:space="preserve"> average monthly demand savings (up to 60</w:t>
      </w:r>
      <w:r w:rsidR="00B13DB4" w:rsidRPr="00111D82">
        <w:rPr>
          <w:rFonts w:ascii="Times New Roman" w:hAnsi="Times New Roman"/>
          <w:sz w:val="24"/>
          <w:szCs w:val="24"/>
        </w:rPr>
        <w:t xml:space="preserve"> percent</w:t>
      </w:r>
      <w:r w:rsidRPr="00111D82">
        <w:rPr>
          <w:rFonts w:ascii="Times New Roman" w:hAnsi="Times New Roman"/>
          <w:sz w:val="24"/>
          <w:szCs w:val="24"/>
        </w:rPr>
        <w:t xml:space="preserve"> of project costs)</w:t>
      </w:r>
      <w:r w:rsidR="00BF3987" w:rsidRPr="00111D82">
        <w:rPr>
          <w:rFonts w:ascii="Times New Roman" w:hAnsi="Times New Roman"/>
          <w:sz w:val="24"/>
          <w:szCs w:val="24"/>
        </w:rPr>
        <w:t>.</w:t>
      </w:r>
      <w:r w:rsidRPr="00111D82">
        <w:rPr>
          <w:rStyle w:val="FootnoteReference"/>
          <w:rFonts w:ascii="Times New Roman" w:hAnsi="Times New Roman"/>
          <w:sz w:val="24"/>
          <w:szCs w:val="24"/>
        </w:rPr>
        <w:footnoteReference w:id="3"/>
      </w:r>
      <w:r w:rsidRPr="00111D82">
        <w:rPr>
          <w:rFonts w:ascii="Times New Roman" w:hAnsi="Times New Roman"/>
          <w:sz w:val="24"/>
          <w:szCs w:val="24"/>
        </w:rPr>
        <w:t xml:space="preserve"> There is a cap to prevent incentives from bringing the payback for a project below one year and a cap for lighting energy savings per project since lighting-only projects are included in FinAnswer Express. </w:t>
      </w:r>
      <w:r w:rsidR="00B90037" w:rsidRPr="00111D82">
        <w:rPr>
          <w:rFonts w:ascii="Times New Roman" w:hAnsi="Times New Roman"/>
          <w:sz w:val="24"/>
          <w:szCs w:val="24"/>
        </w:rPr>
        <w:t>The program includes a post-installation verification and may require commissioning of dynamic measures</w:t>
      </w:r>
      <w:r w:rsidR="00BF3987" w:rsidRPr="00111D82">
        <w:rPr>
          <w:rFonts w:ascii="Times New Roman" w:hAnsi="Times New Roman"/>
          <w:sz w:val="24"/>
          <w:szCs w:val="24"/>
        </w:rPr>
        <w:t>.</w:t>
      </w:r>
      <w:r w:rsidR="00B90037" w:rsidRPr="00111D82">
        <w:rPr>
          <w:rFonts w:ascii="Times New Roman" w:hAnsi="Times New Roman"/>
          <w:sz w:val="24"/>
          <w:szCs w:val="24"/>
        </w:rPr>
        <w:t xml:space="preserve"> </w:t>
      </w:r>
      <w:r w:rsidR="00BF3987" w:rsidRPr="00111D82">
        <w:rPr>
          <w:rFonts w:ascii="Times New Roman" w:hAnsi="Times New Roman"/>
          <w:sz w:val="24"/>
          <w:szCs w:val="24"/>
        </w:rPr>
        <w:t>C</w:t>
      </w:r>
      <w:r w:rsidR="00B90037" w:rsidRPr="00111D82">
        <w:rPr>
          <w:rFonts w:ascii="Times New Roman" w:hAnsi="Times New Roman"/>
          <w:sz w:val="24"/>
          <w:szCs w:val="24"/>
        </w:rPr>
        <w:t xml:space="preserve">ommissioning requirements are provided as a component of </w:t>
      </w:r>
      <w:r w:rsidR="00BF3987" w:rsidRPr="00111D82">
        <w:rPr>
          <w:rFonts w:ascii="Times New Roman" w:hAnsi="Times New Roman"/>
          <w:sz w:val="24"/>
          <w:szCs w:val="24"/>
        </w:rPr>
        <w:t xml:space="preserve">the </w:t>
      </w:r>
      <w:r w:rsidR="00B90037" w:rsidRPr="00111D82">
        <w:rPr>
          <w:rFonts w:ascii="Times New Roman" w:hAnsi="Times New Roman"/>
          <w:sz w:val="24"/>
          <w:szCs w:val="24"/>
        </w:rPr>
        <w:t xml:space="preserve">energy analysis. There are design assistance services and special incentives available for new construction and major renovation projects where energy code applies. </w:t>
      </w:r>
      <w:r w:rsidRPr="00111D82">
        <w:rPr>
          <w:rFonts w:ascii="Times New Roman" w:hAnsi="Times New Roman"/>
          <w:sz w:val="24"/>
          <w:szCs w:val="24"/>
        </w:rPr>
        <w:t xml:space="preserve">The program is marketed primarily via PacifiCorp account managers, trade allies, Energy FinAnswer consultants and project staff. Other leads come via </w:t>
      </w:r>
      <w:r w:rsidR="00B13DB4" w:rsidRPr="00111D82">
        <w:rPr>
          <w:rFonts w:ascii="Times New Roman" w:hAnsi="Times New Roman"/>
          <w:sz w:val="24"/>
          <w:szCs w:val="24"/>
        </w:rPr>
        <w:t xml:space="preserve">advertising in business publications, company newsletters, </w:t>
      </w:r>
      <w:r w:rsidRPr="00111D82">
        <w:rPr>
          <w:rFonts w:ascii="Times New Roman" w:hAnsi="Times New Roman"/>
          <w:sz w:val="24"/>
          <w:szCs w:val="24"/>
        </w:rPr>
        <w:t>word-of-mouth, past participants returning for additional projects and a combination of other Company outreach efforts.</w:t>
      </w:r>
    </w:p>
    <w:p w:rsidR="00B2470B" w:rsidRPr="00111D82" w:rsidRDefault="00B2470B" w:rsidP="00712937">
      <w:pPr>
        <w:tabs>
          <w:tab w:val="left" w:pos="-1080"/>
        </w:tabs>
        <w:jc w:val="both"/>
        <w:rPr>
          <w:rFonts w:ascii="Times New Roman" w:hAnsi="Times New Roman"/>
          <w:sz w:val="24"/>
          <w:szCs w:val="24"/>
        </w:rPr>
      </w:pPr>
    </w:p>
    <w:p w:rsidR="00722821" w:rsidRPr="00111D82" w:rsidRDefault="00517748">
      <w:pPr>
        <w:jc w:val="both"/>
        <w:rPr>
          <w:rFonts w:ascii="Times New Roman" w:hAnsi="Times New Roman"/>
          <w:sz w:val="24"/>
          <w:szCs w:val="24"/>
          <w:u w:val="single"/>
        </w:rPr>
      </w:pPr>
      <w:r w:rsidRPr="00111D82">
        <w:rPr>
          <w:rFonts w:ascii="Times New Roman" w:hAnsi="Times New Roman"/>
          <w:sz w:val="24"/>
          <w:szCs w:val="24"/>
          <w:u w:val="single"/>
        </w:rPr>
        <w:t>Planned Program Changes</w:t>
      </w:r>
    </w:p>
    <w:p w:rsidR="00F67847" w:rsidRPr="00111D82" w:rsidRDefault="007F34D1" w:rsidP="00712937">
      <w:pPr>
        <w:jc w:val="both"/>
        <w:rPr>
          <w:rFonts w:ascii="Times New Roman" w:hAnsi="Times New Roman"/>
          <w:b/>
          <w:sz w:val="24"/>
          <w:szCs w:val="24"/>
          <w:u w:val="single"/>
        </w:rPr>
      </w:pPr>
      <w:r w:rsidRPr="00111D82">
        <w:rPr>
          <w:rFonts w:ascii="Times New Roman" w:hAnsi="Times New Roman"/>
          <w:sz w:val="24"/>
          <w:szCs w:val="24"/>
        </w:rPr>
        <w:t xml:space="preserve">A market characterization study is underway to inform the next set of planned changes. Planned changes include potentially </w:t>
      </w:r>
      <w:r w:rsidR="00632304" w:rsidRPr="00111D82">
        <w:rPr>
          <w:rFonts w:ascii="Times New Roman" w:hAnsi="Times New Roman"/>
          <w:sz w:val="24"/>
          <w:szCs w:val="24"/>
        </w:rPr>
        <w:t>modifying</w:t>
      </w:r>
      <w:r w:rsidRPr="00111D82">
        <w:rPr>
          <w:rFonts w:ascii="Times New Roman" w:hAnsi="Times New Roman"/>
          <w:sz w:val="24"/>
          <w:szCs w:val="24"/>
        </w:rPr>
        <w:t xml:space="preserve"> the project cost cap for incentives as well as adding a program component to address the time constraint barrier faced by customers who often find the</w:t>
      </w:r>
      <w:r w:rsidR="00D40C15" w:rsidRPr="00111D82">
        <w:rPr>
          <w:rFonts w:ascii="Times New Roman" w:hAnsi="Times New Roman"/>
          <w:sz w:val="24"/>
          <w:szCs w:val="24"/>
        </w:rPr>
        <w:t>y</w:t>
      </w:r>
      <w:r w:rsidRPr="00111D82">
        <w:rPr>
          <w:rFonts w:ascii="Times New Roman" w:hAnsi="Times New Roman"/>
          <w:sz w:val="24"/>
          <w:szCs w:val="24"/>
        </w:rPr>
        <w:t xml:space="preserve"> </w:t>
      </w:r>
      <w:r w:rsidR="00632304" w:rsidRPr="00111D82">
        <w:rPr>
          <w:rFonts w:ascii="Times New Roman" w:hAnsi="Times New Roman"/>
          <w:sz w:val="24"/>
          <w:szCs w:val="24"/>
        </w:rPr>
        <w:t>lack sufficient</w:t>
      </w:r>
      <w:r w:rsidR="00714C5B" w:rsidRPr="00111D82">
        <w:rPr>
          <w:rFonts w:ascii="Times New Roman" w:hAnsi="Times New Roman"/>
          <w:sz w:val="24"/>
          <w:szCs w:val="24"/>
        </w:rPr>
        <w:t xml:space="preserve"> internal staff</w:t>
      </w:r>
      <w:r w:rsidR="00C33FEE" w:rsidRPr="00111D82">
        <w:rPr>
          <w:rFonts w:ascii="Times New Roman" w:hAnsi="Times New Roman"/>
          <w:sz w:val="24"/>
          <w:szCs w:val="24"/>
        </w:rPr>
        <w:t>ing</w:t>
      </w:r>
      <w:r w:rsidR="00714C5B" w:rsidRPr="00111D82">
        <w:rPr>
          <w:rFonts w:ascii="Times New Roman" w:hAnsi="Times New Roman"/>
          <w:sz w:val="24"/>
          <w:szCs w:val="24"/>
        </w:rPr>
        <w:t xml:space="preserve"> resources</w:t>
      </w:r>
      <w:r w:rsidRPr="00111D82">
        <w:rPr>
          <w:rFonts w:ascii="Times New Roman" w:hAnsi="Times New Roman"/>
          <w:sz w:val="24"/>
          <w:szCs w:val="24"/>
        </w:rPr>
        <w:t xml:space="preserve"> to manage their energy efficiency projects. </w:t>
      </w:r>
      <w:r w:rsidR="00F67847" w:rsidRPr="00111D82">
        <w:rPr>
          <w:rFonts w:ascii="Times New Roman" w:hAnsi="Times New Roman"/>
          <w:sz w:val="24"/>
          <w:szCs w:val="24"/>
        </w:rPr>
        <w:t>The planned changes will be provided to the DSM Advisory Group in 201</w:t>
      </w:r>
      <w:r w:rsidR="00C33FEE" w:rsidRPr="00111D82">
        <w:rPr>
          <w:rFonts w:ascii="Times New Roman" w:hAnsi="Times New Roman"/>
          <w:sz w:val="24"/>
          <w:szCs w:val="24"/>
        </w:rPr>
        <w:t>2</w:t>
      </w:r>
      <w:r w:rsidR="00F67847" w:rsidRPr="00111D82">
        <w:rPr>
          <w:rFonts w:ascii="Times New Roman" w:hAnsi="Times New Roman"/>
          <w:sz w:val="24"/>
          <w:szCs w:val="24"/>
        </w:rPr>
        <w:t xml:space="preserve"> for comment and the Business Plan will be updated concurrent with or immediately following Commission approval of changes.</w:t>
      </w:r>
    </w:p>
    <w:p w:rsidR="006E068A" w:rsidRPr="00111D82" w:rsidRDefault="006E068A" w:rsidP="00712937">
      <w:pPr>
        <w:jc w:val="both"/>
        <w:rPr>
          <w:rFonts w:ascii="Times New Roman" w:hAnsi="Times New Roman"/>
          <w:b/>
          <w:sz w:val="24"/>
          <w:szCs w:val="24"/>
          <w:u w:val="single"/>
        </w:rPr>
      </w:pPr>
    </w:p>
    <w:p w:rsidR="006E068A" w:rsidRPr="00111D82" w:rsidRDefault="00517748" w:rsidP="00712937">
      <w:pPr>
        <w:jc w:val="both"/>
        <w:rPr>
          <w:rFonts w:ascii="Times New Roman" w:hAnsi="Times New Roman"/>
          <w:sz w:val="24"/>
          <w:szCs w:val="24"/>
          <w:u w:val="single"/>
        </w:rPr>
      </w:pPr>
      <w:r w:rsidRPr="00111D82">
        <w:rPr>
          <w:rFonts w:ascii="Times New Roman" w:hAnsi="Times New Roman"/>
          <w:sz w:val="24"/>
          <w:szCs w:val="24"/>
          <w:u w:val="single"/>
        </w:rPr>
        <w:t>Evaluation Update</w:t>
      </w:r>
    </w:p>
    <w:p w:rsidR="00B90037" w:rsidRPr="00111D82" w:rsidRDefault="00B90037" w:rsidP="00712937">
      <w:pPr>
        <w:jc w:val="both"/>
        <w:rPr>
          <w:rFonts w:ascii="Times New Roman" w:hAnsi="Times New Roman"/>
          <w:sz w:val="24"/>
          <w:szCs w:val="24"/>
        </w:rPr>
      </w:pPr>
      <w:r w:rsidRPr="00111D82">
        <w:rPr>
          <w:rFonts w:ascii="Times New Roman" w:hAnsi="Times New Roman"/>
          <w:sz w:val="24"/>
          <w:szCs w:val="24"/>
        </w:rPr>
        <w:t>In 2011, the Company initiated process and impact evaluations for the Energy FinAnswer program in Washington for program years 2009-2010</w:t>
      </w:r>
      <w:r w:rsidR="00F53A40" w:rsidRPr="00111D82">
        <w:rPr>
          <w:rFonts w:ascii="Times New Roman" w:hAnsi="Times New Roman"/>
          <w:sz w:val="24"/>
          <w:szCs w:val="24"/>
        </w:rPr>
        <w:t xml:space="preserve"> available by year-end 2012</w:t>
      </w:r>
      <w:r w:rsidRPr="00111D82">
        <w:rPr>
          <w:rFonts w:ascii="Times New Roman" w:hAnsi="Times New Roman"/>
          <w:sz w:val="24"/>
          <w:szCs w:val="24"/>
        </w:rPr>
        <w:t>.</w:t>
      </w:r>
    </w:p>
    <w:p w:rsidR="00343415" w:rsidRPr="00111D82" w:rsidRDefault="00343415" w:rsidP="00B2470B">
      <w:pPr>
        <w:rPr>
          <w:rFonts w:ascii="Times New Roman" w:hAnsi="Times New Roman"/>
          <w:b/>
          <w:sz w:val="24"/>
          <w:szCs w:val="24"/>
          <w:u w:val="single"/>
        </w:rPr>
      </w:pPr>
    </w:p>
    <w:p w:rsidR="00DE2C9A" w:rsidRPr="003C0DC7" w:rsidRDefault="00124DBD" w:rsidP="00DE2C9A">
      <w:pPr>
        <w:rPr>
          <w:rFonts w:ascii="Times New Roman" w:hAnsi="Times New Roman"/>
          <w:b/>
          <w:i/>
          <w:sz w:val="20"/>
          <w:szCs w:val="24"/>
        </w:rPr>
      </w:pPr>
      <w:r w:rsidRPr="00124DBD">
        <w:rPr>
          <w:rFonts w:ascii="Times New Roman" w:hAnsi="Times New Roman"/>
          <w:b/>
          <w:i/>
          <w:sz w:val="20"/>
          <w:szCs w:val="24"/>
        </w:rPr>
        <w:t>Last Evaluation Report:</w:t>
      </w:r>
    </w:p>
    <w:tbl>
      <w:tblPr>
        <w:tblW w:w="0" w:type="auto"/>
        <w:tblLook w:val="04A0"/>
      </w:tblPr>
      <w:tblGrid>
        <w:gridCol w:w="3348"/>
        <w:gridCol w:w="2726"/>
        <w:gridCol w:w="2782"/>
      </w:tblGrid>
      <w:tr w:rsidR="00DE2C9A" w:rsidRPr="003C0DC7" w:rsidTr="00DE2C9A">
        <w:tc>
          <w:tcPr>
            <w:tcW w:w="3348" w:type="dxa"/>
          </w:tcPr>
          <w:p w:rsidR="00DE2C9A" w:rsidRPr="003C0DC7" w:rsidRDefault="00124DBD" w:rsidP="00DE2C9A">
            <w:pPr>
              <w:jc w:val="center"/>
              <w:rPr>
                <w:rFonts w:ascii="Times New Roman" w:hAnsi="Times New Roman"/>
                <w:b/>
                <w:sz w:val="20"/>
                <w:szCs w:val="24"/>
              </w:rPr>
            </w:pPr>
            <w:r w:rsidRPr="00124DBD">
              <w:rPr>
                <w:rFonts w:ascii="Times New Roman" w:hAnsi="Times New Roman"/>
                <w:b/>
                <w:sz w:val="20"/>
                <w:szCs w:val="24"/>
              </w:rPr>
              <w:t>Program Years</w:t>
            </w:r>
          </w:p>
        </w:tc>
        <w:tc>
          <w:tcPr>
            <w:tcW w:w="2726" w:type="dxa"/>
          </w:tcPr>
          <w:p w:rsidR="00DE2C9A" w:rsidRPr="003C0DC7" w:rsidRDefault="00124DBD" w:rsidP="00DE2C9A">
            <w:pPr>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DE2C9A" w:rsidRPr="003C0DC7" w:rsidRDefault="00124DBD" w:rsidP="00DE2C9A">
            <w:pPr>
              <w:jc w:val="center"/>
              <w:rPr>
                <w:rFonts w:ascii="Times New Roman" w:hAnsi="Times New Roman"/>
                <w:b/>
                <w:sz w:val="20"/>
                <w:szCs w:val="24"/>
              </w:rPr>
            </w:pPr>
            <w:r w:rsidRPr="00124DBD">
              <w:rPr>
                <w:rFonts w:ascii="Times New Roman" w:hAnsi="Times New Roman"/>
                <w:b/>
                <w:sz w:val="20"/>
                <w:szCs w:val="24"/>
              </w:rPr>
              <w:t>Completed by</w:t>
            </w:r>
          </w:p>
        </w:tc>
      </w:tr>
      <w:tr w:rsidR="00DE2C9A" w:rsidRPr="003C0DC7" w:rsidTr="00DE2C9A">
        <w:tc>
          <w:tcPr>
            <w:tcW w:w="3348" w:type="dxa"/>
          </w:tcPr>
          <w:p w:rsidR="00DE2C9A" w:rsidRPr="003C0DC7" w:rsidRDefault="00124DBD" w:rsidP="00DE2C9A">
            <w:pPr>
              <w:jc w:val="center"/>
              <w:rPr>
                <w:rFonts w:ascii="Times New Roman" w:hAnsi="Times New Roman"/>
                <w:sz w:val="20"/>
                <w:szCs w:val="24"/>
              </w:rPr>
            </w:pPr>
            <w:r w:rsidRPr="00124DBD">
              <w:rPr>
                <w:rFonts w:ascii="Times New Roman" w:hAnsi="Times New Roman"/>
                <w:sz w:val="20"/>
                <w:szCs w:val="24"/>
              </w:rPr>
              <w:t>2005 – 2008</w:t>
            </w:r>
          </w:p>
        </w:tc>
        <w:tc>
          <w:tcPr>
            <w:tcW w:w="2726" w:type="dxa"/>
          </w:tcPr>
          <w:p w:rsidR="00DE2C9A" w:rsidRPr="003C0DC7" w:rsidRDefault="00124DBD" w:rsidP="00DE2C9A">
            <w:pPr>
              <w:jc w:val="center"/>
              <w:rPr>
                <w:rFonts w:ascii="Times New Roman" w:hAnsi="Times New Roman"/>
                <w:sz w:val="20"/>
                <w:szCs w:val="24"/>
              </w:rPr>
            </w:pPr>
            <w:r w:rsidRPr="00124DBD">
              <w:rPr>
                <w:rFonts w:ascii="Times New Roman" w:hAnsi="Times New Roman"/>
                <w:sz w:val="20"/>
                <w:szCs w:val="24"/>
              </w:rPr>
              <w:t>October 12, 2010</w:t>
            </w:r>
          </w:p>
        </w:tc>
        <w:tc>
          <w:tcPr>
            <w:tcW w:w="2782" w:type="dxa"/>
          </w:tcPr>
          <w:p w:rsidR="00DE2C9A" w:rsidRPr="003C0DC7" w:rsidRDefault="00124DBD" w:rsidP="00DE2C9A">
            <w:pPr>
              <w:jc w:val="center"/>
              <w:rPr>
                <w:rFonts w:ascii="Times New Roman" w:hAnsi="Times New Roman"/>
                <w:sz w:val="20"/>
                <w:szCs w:val="24"/>
              </w:rPr>
            </w:pPr>
            <w:r w:rsidRPr="00124DBD">
              <w:rPr>
                <w:rFonts w:ascii="Times New Roman" w:hAnsi="Times New Roman"/>
                <w:sz w:val="20"/>
                <w:szCs w:val="24"/>
              </w:rPr>
              <w:t>The Cadmus Group</w:t>
            </w:r>
          </w:p>
        </w:tc>
      </w:tr>
    </w:tbl>
    <w:p w:rsidR="00DE2C9A" w:rsidRPr="003C0DC7" w:rsidRDefault="00DE2C9A" w:rsidP="00DE2C9A">
      <w:pPr>
        <w:rPr>
          <w:rFonts w:ascii="Times New Roman" w:hAnsi="Times New Roman"/>
          <w:b/>
          <w:sz w:val="20"/>
          <w:szCs w:val="24"/>
          <w:u w:val="single"/>
        </w:rPr>
      </w:pPr>
    </w:p>
    <w:p w:rsidR="00DE2C9A" w:rsidRPr="003C0DC7" w:rsidRDefault="00124DBD" w:rsidP="00DE2C9A">
      <w:pPr>
        <w:rPr>
          <w:rFonts w:ascii="Times New Roman" w:hAnsi="Times New Roman"/>
          <w:b/>
          <w:i/>
          <w:sz w:val="20"/>
          <w:szCs w:val="24"/>
        </w:rPr>
      </w:pPr>
      <w:r w:rsidRPr="00124DBD">
        <w:rPr>
          <w:rFonts w:ascii="Times New Roman" w:hAnsi="Times New Roman"/>
          <w:b/>
          <w:i/>
          <w:sz w:val="20"/>
          <w:szCs w:val="24"/>
        </w:rPr>
        <w:t>Future Evaluation Report(s):</w:t>
      </w:r>
    </w:p>
    <w:tbl>
      <w:tblPr>
        <w:tblW w:w="0" w:type="auto"/>
        <w:tblLook w:val="04A0"/>
      </w:tblPr>
      <w:tblGrid>
        <w:gridCol w:w="3348"/>
        <w:gridCol w:w="2726"/>
        <w:gridCol w:w="2782"/>
      </w:tblGrid>
      <w:tr w:rsidR="00DE2C9A" w:rsidRPr="003C0DC7" w:rsidTr="00DE2C9A">
        <w:tc>
          <w:tcPr>
            <w:tcW w:w="3348" w:type="dxa"/>
          </w:tcPr>
          <w:p w:rsidR="00DE2C9A" w:rsidRPr="003C0DC7" w:rsidRDefault="00124DBD" w:rsidP="00DE2C9A">
            <w:pPr>
              <w:jc w:val="center"/>
              <w:rPr>
                <w:rFonts w:ascii="Times New Roman" w:hAnsi="Times New Roman"/>
                <w:b/>
                <w:sz w:val="20"/>
                <w:szCs w:val="24"/>
              </w:rPr>
            </w:pPr>
            <w:r w:rsidRPr="00124DBD">
              <w:rPr>
                <w:rFonts w:ascii="Times New Roman" w:hAnsi="Times New Roman"/>
                <w:b/>
                <w:sz w:val="20"/>
                <w:szCs w:val="24"/>
              </w:rPr>
              <w:t>Program Years</w:t>
            </w:r>
          </w:p>
        </w:tc>
        <w:tc>
          <w:tcPr>
            <w:tcW w:w="2726" w:type="dxa"/>
          </w:tcPr>
          <w:p w:rsidR="00DE2C9A" w:rsidRPr="003C0DC7" w:rsidRDefault="00124DBD" w:rsidP="00DE2C9A">
            <w:pPr>
              <w:jc w:val="center"/>
              <w:rPr>
                <w:rFonts w:ascii="Times New Roman" w:hAnsi="Times New Roman"/>
                <w:b/>
                <w:sz w:val="20"/>
                <w:szCs w:val="24"/>
              </w:rPr>
            </w:pPr>
            <w:r w:rsidRPr="00124DBD">
              <w:rPr>
                <w:rFonts w:ascii="Times New Roman" w:hAnsi="Times New Roman"/>
                <w:b/>
                <w:sz w:val="20"/>
                <w:szCs w:val="24"/>
              </w:rPr>
              <w:t>Evaluation Report Date</w:t>
            </w:r>
          </w:p>
        </w:tc>
        <w:tc>
          <w:tcPr>
            <w:tcW w:w="2782" w:type="dxa"/>
          </w:tcPr>
          <w:p w:rsidR="00DE2C9A" w:rsidRPr="003C0DC7" w:rsidRDefault="00124DBD" w:rsidP="00DE2C9A">
            <w:pPr>
              <w:jc w:val="center"/>
              <w:rPr>
                <w:rFonts w:ascii="Times New Roman" w:hAnsi="Times New Roman"/>
                <w:b/>
                <w:sz w:val="20"/>
                <w:szCs w:val="24"/>
              </w:rPr>
            </w:pPr>
            <w:r w:rsidRPr="00124DBD">
              <w:rPr>
                <w:rFonts w:ascii="Times New Roman" w:hAnsi="Times New Roman"/>
                <w:b/>
                <w:sz w:val="20"/>
                <w:szCs w:val="24"/>
              </w:rPr>
              <w:t>To be Completed by</w:t>
            </w:r>
          </w:p>
        </w:tc>
      </w:tr>
      <w:tr w:rsidR="002235A4" w:rsidRPr="003C0DC7" w:rsidTr="00DE2C9A">
        <w:tc>
          <w:tcPr>
            <w:tcW w:w="3348" w:type="dxa"/>
          </w:tcPr>
          <w:p w:rsidR="002235A4" w:rsidRPr="003C0DC7" w:rsidRDefault="00124DBD" w:rsidP="002235A4">
            <w:pPr>
              <w:jc w:val="center"/>
              <w:rPr>
                <w:rFonts w:ascii="Times New Roman" w:hAnsi="Times New Roman"/>
                <w:sz w:val="20"/>
                <w:szCs w:val="24"/>
              </w:rPr>
            </w:pPr>
            <w:r w:rsidRPr="00124DBD">
              <w:rPr>
                <w:rFonts w:ascii="Times New Roman" w:hAnsi="Times New Roman"/>
                <w:sz w:val="20"/>
                <w:szCs w:val="24"/>
              </w:rPr>
              <w:t>2009-2011</w:t>
            </w:r>
          </w:p>
        </w:tc>
        <w:tc>
          <w:tcPr>
            <w:tcW w:w="2726" w:type="dxa"/>
          </w:tcPr>
          <w:p w:rsidR="002235A4" w:rsidRPr="003C0DC7" w:rsidRDefault="00124DBD" w:rsidP="002235A4">
            <w:pPr>
              <w:jc w:val="center"/>
              <w:rPr>
                <w:rFonts w:ascii="Times New Roman" w:hAnsi="Times New Roman"/>
                <w:sz w:val="20"/>
                <w:szCs w:val="24"/>
              </w:rPr>
            </w:pPr>
            <w:r w:rsidRPr="00124DBD">
              <w:rPr>
                <w:rFonts w:ascii="Times New Roman" w:hAnsi="Times New Roman"/>
                <w:sz w:val="20"/>
                <w:szCs w:val="24"/>
              </w:rPr>
              <w:t>By Year-end 2012</w:t>
            </w:r>
          </w:p>
        </w:tc>
        <w:tc>
          <w:tcPr>
            <w:tcW w:w="2782" w:type="dxa"/>
          </w:tcPr>
          <w:p w:rsidR="002235A4" w:rsidRPr="003C0DC7" w:rsidRDefault="00124DBD" w:rsidP="002235A4">
            <w:pPr>
              <w:jc w:val="center"/>
              <w:rPr>
                <w:rFonts w:ascii="Times New Roman" w:hAnsi="Times New Roman"/>
                <w:sz w:val="20"/>
                <w:szCs w:val="24"/>
              </w:rPr>
            </w:pPr>
            <w:r w:rsidRPr="00124DBD">
              <w:rPr>
                <w:rFonts w:ascii="Times New Roman" w:hAnsi="Times New Roman"/>
                <w:sz w:val="20"/>
                <w:szCs w:val="24"/>
              </w:rPr>
              <w:t>Navigant Consulting Inc.</w:t>
            </w:r>
          </w:p>
        </w:tc>
      </w:tr>
      <w:tr w:rsidR="002235A4" w:rsidRPr="003C0DC7" w:rsidTr="00DE2C9A">
        <w:tc>
          <w:tcPr>
            <w:tcW w:w="3348" w:type="dxa"/>
          </w:tcPr>
          <w:p w:rsidR="002235A4" w:rsidRPr="003C0DC7" w:rsidRDefault="00124DBD" w:rsidP="002235A4">
            <w:pPr>
              <w:jc w:val="center"/>
              <w:rPr>
                <w:rFonts w:ascii="Times New Roman" w:hAnsi="Times New Roman"/>
                <w:sz w:val="20"/>
                <w:szCs w:val="24"/>
              </w:rPr>
            </w:pPr>
            <w:r w:rsidRPr="00124DBD">
              <w:rPr>
                <w:rFonts w:ascii="Times New Roman" w:hAnsi="Times New Roman"/>
                <w:sz w:val="20"/>
                <w:szCs w:val="24"/>
              </w:rPr>
              <w:t>2012-2013</w:t>
            </w:r>
          </w:p>
        </w:tc>
        <w:tc>
          <w:tcPr>
            <w:tcW w:w="2726" w:type="dxa"/>
          </w:tcPr>
          <w:p w:rsidR="002235A4" w:rsidRPr="003C0DC7" w:rsidRDefault="00124DBD" w:rsidP="002235A4">
            <w:pPr>
              <w:jc w:val="center"/>
              <w:rPr>
                <w:rFonts w:ascii="Times New Roman" w:hAnsi="Times New Roman"/>
                <w:sz w:val="20"/>
                <w:szCs w:val="24"/>
              </w:rPr>
            </w:pPr>
            <w:r w:rsidRPr="00124DBD">
              <w:rPr>
                <w:rFonts w:ascii="Times New Roman" w:hAnsi="Times New Roman"/>
                <w:sz w:val="20"/>
                <w:szCs w:val="24"/>
              </w:rPr>
              <w:t>By Year-end 2014</w:t>
            </w:r>
          </w:p>
        </w:tc>
        <w:tc>
          <w:tcPr>
            <w:tcW w:w="2782" w:type="dxa"/>
          </w:tcPr>
          <w:p w:rsidR="002235A4" w:rsidRPr="003C0DC7" w:rsidRDefault="00124DBD" w:rsidP="002235A4">
            <w:pPr>
              <w:jc w:val="center"/>
              <w:rPr>
                <w:rFonts w:ascii="Times New Roman" w:hAnsi="Times New Roman"/>
                <w:sz w:val="20"/>
                <w:szCs w:val="24"/>
              </w:rPr>
            </w:pPr>
            <w:r w:rsidRPr="00124DBD">
              <w:rPr>
                <w:rFonts w:ascii="Times New Roman" w:hAnsi="Times New Roman"/>
                <w:sz w:val="20"/>
                <w:szCs w:val="24"/>
              </w:rPr>
              <w:t>Navigant Consulting Inc.</w:t>
            </w:r>
          </w:p>
        </w:tc>
      </w:tr>
    </w:tbl>
    <w:p w:rsidR="00722821" w:rsidRPr="00111D82" w:rsidRDefault="00517748">
      <w:pPr>
        <w:jc w:val="both"/>
        <w:rPr>
          <w:rFonts w:ascii="Times New Roman" w:hAnsi="Times New Roman"/>
          <w:sz w:val="24"/>
          <w:szCs w:val="24"/>
          <w:u w:val="single"/>
        </w:rPr>
      </w:pPr>
      <w:r w:rsidRPr="00111D82">
        <w:rPr>
          <w:rFonts w:ascii="Times New Roman" w:hAnsi="Times New Roman"/>
          <w:sz w:val="24"/>
          <w:szCs w:val="24"/>
          <w:u w:val="single"/>
        </w:rPr>
        <w:t>Program Details</w:t>
      </w:r>
    </w:p>
    <w:p w:rsidR="00140099" w:rsidRPr="00111D82" w:rsidRDefault="007D7D69" w:rsidP="00712937">
      <w:pPr>
        <w:jc w:val="both"/>
        <w:rPr>
          <w:rFonts w:ascii="Times New Roman" w:hAnsi="Times New Roman"/>
          <w:sz w:val="24"/>
          <w:szCs w:val="24"/>
          <w:highlight w:val="yellow"/>
        </w:rPr>
        <w:sectPr w:rsidR="00140099" w:rsidRPr="00111D82" w:rsidSect="001B376C">
          <w:headerReference w:type="default" r:id="rId51"/>
          <w:footerReference w:type="default" r:id="rId52"/>
          <w:pgSz w:w="12240" w:h="15840" w:code="1"/>
          <w:pgMar w:top="1440" w:right="1080" w:bottom="1440" w:left="1440" w:header="360" w:footer="360" w:gutter="0"/>
          <w:cols w:space="720"/>
          <w:docGrid w:linePitch="360"/>
        </w:sectPr>
      </w:pPr>
      <w:r w:rsidRPr="00111D82">
        <w:rPr>
          <w:rFonts w:ascii="Times New Roman" w:hAnsi="Times New Roman"/>
          <w:sz w:val="24"/>
          <w:szCs w:val="24"/>
        </w:rPr>
        <w:t>Program details for this program are contained in the program tariff. Any changes to the details included in the program tariff must be filed and approved by the Commission prior to becoming effective.</w:t>
      </w:r>
    </w:p>
    <w:p w:rsidR="0026790D" w:rsidRDefault="0026790D" w:rsidP="00FC6657">
      <w:pPr>
        <w:tabs>
          <w:tab w:val="left" w:pos="360"/>
          <w:tab w:val="left" w:pos="5040"/>
        </w:tabs>
        <w:jc w:val="both"/>
        <w:rPr>
          <w:rFonts w:ascii="Arial" w:hAnsi="Arial" w:cs="Arial"/>
          <w:sz w:val="20"/>
          <w:u w:val="single"/>
        </w:rPr>
      </w:pPr>
    </w:p>
    <w:p w:rsidR="00FC6657" w:rsidRPr="00111D82" w:rsidRDefault="00FC6657" w:rsidP="00FC6657">
      <w:pPr>
        <w:tabs>
          <w:tab w:val="left" w:pos="360"/>
          <w:tab w:val="left" w:pos="5040"/>
        </w:tabs>
        <w:jc w:val="both"/>
        <w:rPr>
          <w:rFonts w:ascii="Arial" w:hAnsi="Arial" w:cs="Arial"/>
          <w:sz w:val="20"/>
          <w:u w:val="single"/>
        </w:rPr>
      </w:pPr>
      <w:r w:rsidRPr="00111D82">
        <w:rPr>
          <w:rFonts w:ascii="Arial" w:hAnsi="Arial" w:cs="Arial"/>
          <w:sz w:val="20"/>
          <w:u w:val="single"/>
        </w:rPr>
        <w:t>PURPOSE:</w:t>
      </w:r>
    </w:p>
    <w:p w:rsidR="00FC6657" w:rsidRPr="00111D82" w:rsidRDefault="00FC6657" w:rsidP="00FC6657">
      <w:pPr>
        <w:tabs>
          <w:tab w:val="left" w:pos="720"/>
        </w:tabs>
        <w:jc w:val="both"/>
        <w:rPr>
          <w:rFonts w:ascii="Arial" w:hAnsi="Arial" w:cs="Arial"/>
          <w:sz w:val="20"/>
        </w:rPr>
      </w:pPr>
      <w:r w:rsidRPr="00111D82">
        <w:rPr>
          <w:rFonts w:ascii="Arial" w:hAnsi="Arial" w:cs="Arial"/>
          <w:sz w:val="20"/>
        </w:rPr>
        <w:tab/>
        <w:t>Service under this Schedule is intended to maximize the efficient utilization of the electricity requirements of new and existing loads in Commercial and Industrial Facilities by promoting the installation of Energy Efficiency Measures.</w:t>
      </w:r>
    </w:p>
    <w:p w:rsidR="00FC6657" w:rsidRPr="00111D82" w:rsidRDefault="00FC6657" w:rsidP="00FC6657">
      <w:pPr>
        <w:tabs>
          <w:tab w:val="left" w:pos="360"/>
          <w:tab w:val="left" w:pos="5040"/>
        </w:tabs>
        <w:jc w:val="both"/>
        <w:rPr>
          <w:rFonts w:ascii="Arial" w:hAnsi="Arial" w:cs="Arial"/>
          <w:sz w:val="20"/>
        </w:rPr>
      </w:pPr>
    </w:p>
    <w:p w:rsidR="00FC6657" w:rsidRPr="00111D82" w:rsidRDefault="00FC6657" w:rsidP="00FC6657">
      <w:pPr>
        <w:tabs>
          <w:tab w:val="left" w:pos="360"/>
          <w:tab w:val="left" w:pos="5040"/>
        </w:tabs>
        <w:jc w:val="both"/>
        <w:rPr>
          <w:rFonts w:ascii="Arial" w:hAnsi="Arial" w:cs="Arial"/>
          <w:sz w:val="20"/>
        </w:rPr>
      </w:pPr>
      <w:r w:rsidRPr="00111D82">
        <w:rPr>
          <w:rFonts w:ascii="Arial" w:hAnsi="Arial" w:cs="Arial"/>
          <w:sz w:val="20"/>
          <w:u w:val="single"/>
        </w:rPr>
        <w:t>APPLICABLE:</w:t>
      </w:r>
    </w:p>
    <w:p w:rsidR="00FC6657" w:rsidRPr="00111D82" w:rsidRDefault="00FC6657" w:rsidP="00FC6657">
      <w:pPr>
        <w:tabs>
          <w:tab w:val="left" w:pos="360"/>
          <w:tab w:val="left" w:pos="720"/>
        </w:tabs>
        <w:jc w:val="both"/>
        <w:rPr>
          <w:rFonts w:ascii="Arial" w:hAnsi="Arial" w:cs="Arial"/>
          <w:sz w:val="20"/>
        </w:rPr>
      </w:pPr>
      <w:r w:rsidRPr="00111D82">
        <w:rPr>
          <w:rFonts w:ascii="Arial" w:hAnsi="Arial" w:cs="Arial"/>
          <w:sz w:val="20"/>
        </w:rPr>
        <w:tab/>
      </w:r>
      <w:r w:rsidRPr="00111D82">
        <w:rPr>
          <w:rFonts w:ascii="Arial" w:hAnsi="Arial" w:cs="Arial"/>
          <w:sz w:val="20"/>
        </w:rPr>
        <w:tab/>
        <w:t>To service under the Company's General Service Schedules 24, 33, 36, 40, 47T, 48T and 54 in all territory served by the Company in the State of Washington.  This Schedule is not applicable to existing Commercial Buildings under 20,000 square feet.  Square footage is the total Building or Facility area served by the Company’s meter(s).</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 w:val="left" w:pos="5040"/>
        </w:tabs>
        <w:jc w:val="both"/>
        <w:rPr>
          <w:rFonts w:ascii="Arial" w:hAnsi="Arial" w:cs="Arial"/>
          <w:sz w:val="20"/>
        </w:rPr>
      </w:pPr>
      <w:r w:rsidRPr="00111D82">
        <w:rPr>
          <w:rFonts w:ascii="Arial" w:hAnsi="Arial" w:cs="Arial"/>
          <w:sz w:val="20"/>
          <w:u w:val="single"/>
        </w:rPr>
        <w:t>DEFINITIONS:</w:t>
      </w:r>
    </w:p>
    <w:p w:rsidR="00FC6657" w:rsidRPr="00111D82" w:rsidRDefault="00FC6657" w:rsidP="00FC6657">
      <w:pPr>
        <w:tabs>
          <w:tab w:val="left" w:pos="720"/>
        </w:tabs>
        <w:jc w:val="both"/>
        <w:rPr>
          <w:rFonts w:ascii="Arial" w:hAnsi="Arial" w:cs="Arial"/>
          <w:sz w:val="20"/>
        </w:rPr>
      </w:pPr>
      <w:r w:rsidRPr="00111D82">
        <w:rPr>
          <w:rFonts w:ascii="Arial" w:hAnsi="Arial" w:cs="Arial"/>
          <w:sz w:val="20"/>
        </w:rPr>
        <w:tab/>
      </w:r>
      <w:r w:rsidRPr="00111D82">
        <w:rPr>
          <w:rFonts w:ascii="Arial" w:hAnsi="Arial" w:cs="Arial"/>
          <w:b/>
          <w:sz w:val="20"/>
        </w:rPr>
        <w:t xml:space="preserve">Annual kWh Savings:  </w:t>
      </w:r>
      <w:r w:rsidRPr="00111D82">
        <w:rPr>
          <w:rFonts w:ascii="Arial" w:hAnsi="Arial" w:cs="Arial"/>
          <w:sz w:val="20"/>
        </w:rPr>
        <w:t>The annual kilowatt-hour (kWh) savings resulting from installation of the Energy Efficiency Measures, as estimated by Company using engineering analysis.</w:t>
      </w:r>
    </w:p>
    <w:p w:rsidR="00FC6657" w:rsidRPr="00111D82" w:rsidRDefault="00FC6657" w:rsidP="00FC6657">
      <w:pPr>
        <w:tabs>
          <w:tab w:val="left" w:pos="360"/>
        </w:tabs>
        <w:jc w:val="both"/>
        <w:rPr>
          <w:rFonts w:ascii="Arial" w:hAnsi="Arial" w:cs="Arial"/>
          <w:b/>
          <w:sz w:val="20"/>
        </w:rPr>
      </w:pPr>
    </w:p>
    <w:p w:rsidR="00FC6657" w:rsidRPr="00111D82" w:rsidRDefault="00FC6657" w:rsidP="00FC6657">
      <w:pPr>
        <w:tabs>
          <w:tab w:val="left" w:pos="720"/>
        </w:tabs>
        <w:jc w:val="both"/>
        <w:rPr>
          <w:rFonts w:ascii="Arial" w:hAnsi="Arial" w:cs="Arial"/>
          <w:sz w:val="20"/>
        </w:rPr>
      </w:pPr>
      <w:r w:rsidRPr="00111D82">
        <w:rPr>
          <w:rFonts w:ascii="Arial" w:hAnsi="Arial" w:cs="Arial"/>
          <w:b/>
          <w:sz w:val="20"/>
        </w:rPr>
        <w:tab/>
        <w:t>Average Monthly kW Savings:</w:t>
      </w:r>
      <w:r w:rsidRPr="00111D82">
        <w:rPr>
          <w:rFonts w:ascii="Arial" w:hAnsi="Arial" w:cs="Arial"/>
          <w:sz w:val="20"/>
        </w:rPr>
        <w:t xml:space="preserve">  The Average Monthly kilowatt (KW) savings resulting from the installation of Energy Efficiency Measures as estimated by Company using engineering analysis as described below: </w:t>
      </w:r>
    </w:p>
    <w:p w:rsidR="00FC6657" w:rsidRPr="00111D82" w:rsidRDefault="00FC6657" w:rsidP="00FC6657">
      <w:pPr>
        <w:jc w:val="both"/>
        <w:rPr>
          <w:rFonts w:ascii="Arial" w:hAnsi="Arial" w:cs="Arial"/>
          <w:sz w:val="20"/>
          <w:szCs w:val="20"/>
        </w:rPr>
      </w:pPr>
    </w:p>
    <w:p w:rsidR="0069608B" w:rsidRDefault="00A468A6">
      <w:pPr>
        <w:pStyle w:val="BodyTextIndent2"/>
        <w:spacing w:line="240" w:lineRule="auto"/>
        <w:ind w:left="0"/>
      </w:pPr>
      <w:r w:rsidRPr="00111D82">
        <w:rPr>
          <w:rFonts w:ascii="Arial" w:hAnsi="Arial" w:cs="Arial"/>
          <w:sz w:val="20"/>
          <w:szCs w:val="20"/>
        </w:rPr>
        <w:t xml:space="preserve">Average monthly KW Savings = (baseline average monthly kW - proposed average monthly kW), where:  </w:t>
      </w:r>
    </w:p>
    <w:p w:rsidR="00FC6657" w:rsidRPr="00111D82" w:rsidRDefault="00A468A6" w:rsidP="00ED2D31">
      <w:pPr>
        <w:pStyle w:val="BodyTextIndent2"/>
        <w:numPr>
          <w:ilvl w:val="0"/>
          <w:numId w:val="15"/>
        </w:numPr>
        <w:spacing w:after="0" w:line="240" w:lineRule="auto"/>
        <w:jc w:val="both"/>
        <w:rPr>
          <w:rFonts w:ascii="Arial" w:hAnsi="Arial" w:cs="Arial"/>
          <w:sz w:val="20"/>
          <w:szCs w:val="20"/>
        </w:rPr>
      </w:pPr>
      <w:r w:rsidRPr="00111D82">
        <w:rPr>
          <w:rFonts w:ascii="Arial" w:hAnsi="Arial" w:cs="Arial"/>
          <w:sz w:val="20"/>
          <w:szCs w:val="20"/>
        </w:rPr>
        <w:t xml:space="preserve">Average monthly kW = sum of the 12 Monthly Maximum kW/12, where </w:t>
      </w:r>
    </w:p>
    <w:p w:rsidR="00FC6657" w:rsidRPr="00111D82" w:rsidRDefault="00FC6657" w:rsidP="00ED2D31">
      <w:pPr>
        <w:numPr>
          <w:ilvl w:val="0"/>
          <w:numId w:val="15"/>
        </w:numPr>
        <w:jc w:val="both"/>
        <w:rPr>
          <w:rFonts w:ascii="Arial" w:hAnsi="Arial" w:cs="Arial"/>
          <w:sz w:val="20"/>
        </w:rPr>
      </w:pPr>
      <w:r w:rsidRPr="00111D82">
        <w:rPr>
          <w:rFonts w:ascii="Arial" w:hAnsi="Arial" w:cs="Arial"/>
          <w:sz w:val="20"/>
        </w:rPr>
        <w:t xml:space="preserve">Monthly Maximum kW = highest of all 15 minute average kW (as determined below) </w:t>
      </w:r>
    </w:p>
    <w:p w:rsidR="00FC6657" w:rsidRPr="00111D82" w:rsidRDefault="00FC6657" w:rsidP="00ED2D31">
      <w:pPr>
        <w:numPr>
          <w:ilvl w:val="0"/>
          <w:numId w:val="15"/>
        </w:numPr>
        <w:jc w:val="both"/>
        <w:rPr>
          <w:rFonts w:ascii="Arial" w:hAnsi="Arial" w:cs="Arial"/>
          <w:sz w:val="20"/>
        </w:rPr>
      </w:pPr>
      <w:r w:rsidRPr="00111D82">
        <w:rPr>
          <w:rFonts w:ascii="Arial" w:hAnsi="Arial" w:cs="Arial"/>
          <w:sz w:val="20"/>
        </w:rPr>
        <w:t>15 minute average kW = sum of kWh used over 0.25 hrs /0.25 hrs</w:t>
      </w:r>
    </w:p>
    <w:p w:rsidR="00FC6657" w:rsidRPr="00111D82" w:rsidRDefault="00FC6657" w:rsidP="00FC6657">
      <w:pPr>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b/>
          <w:sz w:val="20"/>
        </w:rPr>
        <w:t>Baseline Level:</w:t>
      </w:r>
    </w:p>
    <w:p w:rsidR="00FC6657" w:rsidRPr="00111D82" w:rsidRDefault="00FC6657" w:rsidP="00FC6657">
      <w:pPr>
        <w:jc w:val="both"/>
        <w:rPr>
          <w:rFonts w:ascii="Arial" w:hAnsi="Arial" w:cs="Arial"/>
          <w:sz w:val="20"/>
        </w:rPr>
      </w:pPr>
      <w:r w:rsidRPr="00111D82">
        <w:rPr>
          <w:rFonts w:ascii="Arial" w:hAnsi="Arial" w:cs="Arial"/>
          <w:sz w:val="20"/>
        </w:rPr>
        <w:tab/>
      </w:r>
      <w:r w:rsidRPr="00111D82">
        <w:rPr>
          <w:rFonts w:ascii="Arial" w:hAnsi="Arial" w:cs="Arial"/>
          <w:b/>
          <w:sz w:val="20"/>
        </w:rPr>
        <w:t xml:space="preserve">Baseline Adjustments: </w:t>
      </w:r>
      <w:r w:rsidRPr="00111D82">
        <w:rPr>
          <w:rFonts w:ascii="Arial" w:hAnsi="Arial" w:cs="Arial"/>
          <w:sz w:val="20"/>
        </w:rPr>
        <w:t xml:space="preserve"> Company may adjust baseline electric energy consumption and costs during engineering analysis to reflect any of the following: energy codes, standard practice, changes in capacity, changes in production or facility use and equipment at the end of its useful life. For existing fixtures, baseline wattages for all fluorescent lighting Energy Efficiency Measures in all facilities shall be the lesser of existing equipment or the energy efficient magnetic ballast and energy saving lamp combination listed in the lighting table available on the Washington energy efficiency program section of the Company web site.</w:t>
      </w:r>
    </w:p>
    <w:p w:rsidR="00FC6657" w:rsidRPr="00111D82" w:rsidRDefault="00FC6657" w:rsidP="00FC6657">
      <w:pPr>
        <w:tabs>
          <w:tab w:val="left" w:pos="360"/>
        </w:tabs>
        <w:ind w:left="720"/>
        <w:jc w:val="both"/>
        <w:rPr>
          <w:rFonts w:ascii="Arial" w:hAnsi="Arial" w:cs="Arial"/>
          <w:b/>
          <w:sz w:val="20"/>
        </w:rPr>
      </w:pPr>
    </w:p>
    <w:p w:rsidR="00FC6657" w:rsidRPr="00111D82" w:rsidRDefault="00FC6657" w:rsidP="00FC6657">
      <w:pPr>
        <w:tabs>
          <w:tab w:val="left" w:pos="360"/>
        </w:tabs>
        <w:spacing w:line="228" w:lineRule="auto"/>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Commercial Building:</w:t>
      </w:r>
      <w:r w:rsidRPr="00111D82">
        <w:rPr>
          <w:rFonts w:ascii="Arial" w:hAnsi="Arial" w:cs="Arial"/>
          <w:sz w:val="20"/>
        </w:rPr>
        <w:t xml:space="preserve">  A structure that is served by Company and meets the applicability requirements of this tariff at the time an Energy Efficiency Incentive Agreement is executed which does not meet the definition of an Industrial Facility.</w:t>
      </w:r>
    </w:p>
    <w:p w:rsidR="00FC6657" w:rsidRPr="00111D82" w:rsidRDefault="00FC6657" w:rsidP="00FC6657">
      <w:pPr>
        <w:tabs>
          <w:tab w:val="left" w:pos="360"/>
        </w:tabs>
        <w:spacing w:line="228" w:lineRule="auto"/>
        <w:jc w:val="both"/>
        <w:rPr>
          <w:rFonts w:ascii="Arial" w:hAnsi="Arial" w:cs="Arial"/>
          <w:sz w:val="20"/>
        </w:rPr>
      </w:pPr>
    </w:p>
    <w:p w:rsidR="00FC6657" w:rsidRPr="00111D82" w:rsidRDefault="00FC6657" w:rsidP="00FC6657">
      <w:pPr>
        <w:tabs>
          <w:tab w:val="left" w:pos="360"/>
        </w:tabs>
        <w:spacing w:line="228" w:lineRule="auto"/>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Commissioning:</w:t>
      </w:r>
      <w:r w:rsidRPr="00111D82">
        <w:rPr>
          <w:rFonts w:ascii="Arial" w:hAnsi="Arial" w:cs="Arial"/>
          <w:sz w:val="20"/>
        </w:rPr>
        <w:t xml:space="preserve">  The process of verifying and documenting that the performance of electric energy using systems meets the design intent and owner’s operational requirement.</w:t>
      </w:r>
    </w:p>
    <w:p w:rsidR="00FC6657" w:rsidRPr="00111D82" w:rsidRDefault="00FC6657" w:rsidP="00FC6657">
      <w:pPr>
        <w:tabs>
          <w:tab w:val="left" w:pos="360"/>
        </w:tabs>
        <w:spacing w:line="228" w:lineRule="auto"/>
        <w:jc w:val="both"/>
        <w:rPr>
          <w:rFonts w:ascii="Arial" w:hAnsi="Arial" w:cs="Arial"/>
          <w:sz w:val="20"/>
        </w:rPr>
      </w:pPr>
    </w:p>
    <w:p w:rsidR="0069608B" w:rsidRDefault="00FC6657">
      <w:pPr>
        <w:tabs>
          <w:tab w:val="left" w:pos="360"/>
        </w:tabs>
        <w:spacing w:line="228" w:lineRule="auto"/>
        <w:jc w:val="both"/>
        <w:rPr>
          <w:rFonts w:ascii="Times New Roman" w:hAnsi="Times New Roman"/>
          <w:sz w:val="24"/>
          <w:szCs w:val="24"/>
          <w:highlight w:val="yellow"/>
        </w:rPr>
      </w:pPr>
      <w:r w:rsidRPr="00111D82">
        <w:rPr>
          <w:rFonts w:ascii="Arial" w:hAnsi="Arial" w:cs="Arial"/>
          <w:sz w:val="20"/>
        </w:rPr>
        <w:tab/>
      </w:r>
      <w:r w:rsidRPr="00111D82">
        <w:rPr>
          <w:rFonts w:ascii="Arial" w:hAnsi="Arial" w:cs="Arial"/>
          <w:sz w:val="20"/>
        </w:rPr>
        <w:tab/>
      </w:r>
      <w:r w:rsidRPr="00111D82">
        <w:rPr>
          <w:rFonts w:ascii="Arial" w:hAnsi="Arial" w:cs="Arial"/>
          <w:b/>
          <w:sz w:val="20"/>
        </w:rPr>
        <w:t xml:space="preserve">Customer: </w:t>
      </w:r>
      <w:r w:rsidRPr="00111D82">
        <w:rPr>
          <w:rFonts w:ascii="Arial" w:hAnsi="Arial" w:cs="Arial"/>
          <w:sz w:val="20"/>
        </w:rPr>
        <w:t xml:space="preserve"> Any party who has applied for, been accepted and receives service at the real property, or is the electricity user at the real property.</w:t>
      </w:r>
    </w:p>
    <w:p w:rsidR="003C0DC7" w:rsidRPr="00111D82" w:rsidRDefault="0069608B" w:rsidP="00174387">
      <w:pPr>
        <w:pStyle w:val="Footer"/>
        <w:tabs>
          <w:tab w:val="clear" w:pos="4680"/>
          <w:tab w:val="clear" w:pos="9360"/>
          <w:tab w:val="right" w:pos="9216"/>
        </w:tabs>
        <w:ind w:left="900" w:hanging="900"/>
        <w:jc w:val="center"/>
        <w:rPr>
          <w:rFonts w:ascii="Times New Roman" w:hAnsi="Times New Roman"/>
          <w:sz w:val="24"/>
          <w:szCs w:val="24"/>
          <w:highlight w:val="yellow"/>
        </w:rPr>
        <w:sectPr w:rsidR="003C0DC7" w:rsidRPr="00111D82" w:rsidSect="001B376C">
          <w:headerReference w:type="default" r:id="rId53"/>
          <w:footerReference w:type="default" r:id="rId54"/>
          <w:pgSz w:w="12240" w:h="15840" w:code="1"/>
          <w:pgMar w:top="1440" w:right="1080" w:bottom="1440" w:left="1440" w:header="720" w:footer="720" w:gutter="0"/>
          <w:cols w:space="720"/>
          <w:docGrid w:linePitch="360"/>
        </w:sectPr>
      </w:pPr>
      <w:r>
        <w:rPr>
          <w:rFonts w:ascii="Arial" w:hAnsi="Arial" w:cs="Arial"/>
          <w:noProof/>
          <w:sz w:val="20"/>
        </w:rPr>
        <w:drawing>
          <wp:anchor distT="0" distB="0" distL="114300" distR="114300" simplePos="0" relativeHeight="2516270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287"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259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4387" w:rsidRPr="006D131F" w:rsidRDefault="000A75FE" w:rsidP="0017438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31" o:spid="_x0000_s1038" type="#_x0000_t32" style="position:absolute;margin-left:381.75pt;margin-top:-19.45pt;width:0;height:114.7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"/>
        </w:pict>
      </w:r>
      <w:r w:rsidRPr="000A75FE">
        <w:rPr>
          <w:rFonts w:ascii="Courier New" w:hAnsi="Courier New"/>
          <w:noProof/>
          <w:sz w:val="18"/>
          <w:szCs w:val="20"/>
        </w:rPr>
        <w:pict>
          <v:shape id="AutoShape 32" o:spid="_x0000_s1039" type="#_x0000_t32" style="position:absolute;margin-left:381.75pt;margin-top:-4.9pt;width:0;height:114.7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7wHwIAAD4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"/>
        </w:pict>
      </w:r>
      <w:r w:rsidR="00174387">
        <w:rPr>
          <w:rFonts w:ascii="Arial" w:hAnsi="Arial" w:cs="Arial"/>
          <w:b/>
          <w:noProof/>
          <w:sz w:val="24"/>
          <w:szCs w:val="24"/>
        </w:rPr>
        <w:t>PACIFIC POWER &amp; LIGHT COMPANY</w:t>
      </w:r>
    </w:p>
    <w:p w:rsidR="00174387" w:rsidRDefault="00174387" w:rsidP="0017438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74387" w:rsidRPr="00CD01ED" w:rsidRDefault="00174387" w:rsidP="0017438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74387" w:rsidRDefault="00174387" w:rsidP="00174387">
      <w:pPr>
        <w:tabs>
          <w:tab w:val="left" w:pos="7200"/>
        </w:tabs>
        <w:ind w:right="2160"/>
        <w:jc w:val="right"/>
        <w:rPr>
          <w:rFonts w:ascii="Arial" w:hAnsi="Arial" w:cs="Arial"/>
          <w:sz w:val="20"/>
        </w:rPr>
      </w:pPr>
    </w:p>
    <w:p w:rsidR="00174387" w:rsidRDefault="00174387" w:rsidP="00174387">
      <w:pPr>
        <w:tabs>
          <w:tab w:val="left" w:pos="7200"/>
        </w:tabs>
        <w:ind w:right="2160"/>
        <w:jc w:val="right"/>
        <w:rPr>
          <w:rFonts w:ascii="Arial" w:hAnsi="Arial" w:cs="Arial"/>
          <w:sz w:val="20"/>
        </w:rPr>
      </w:pPr>
      <w:r>
        <w:rPr>
          <w:rFonts w:ascii="Arial" w:hAnsi="Arial" w:cs="Arial"/>
          <w:sz w:val="20"/>
        </w:rPr>
        <w:t>Original Sheet No. 125.2</w:t>
      </w:r>
    </w:p>
    <w:p w:rsidR="00174387" w:rsidRDefault="00174387" w:rsidP="00174387">
      <w:pPr>
        <w:rPr>
          <w:rFonts w:ascii="Arial" w:hAnsi="Arial" w:cs="Arial"/>
          <w:sz w:val="20"/>
        </w:rPr>
      </w:pPr>
      <w:r>
        <w:rPr>
          <w:rFonts w:ascii="Arial" w:hAnsi="Arial" w:cs="Arial"/>
          <w:sz w:val="20"/>
        </w:rPr>
        <w:tab/>
      </w:r>
    </w:p>
    <w:p w:rsidR="00174387" w:rsidRPr="00CF64E6" w:rsidRDefault="00174387" w:rsidP="00174387">
      <w:pPr>
        <w:tabs>
          <w:tab w:val="left" w:pos="7200"/>
        </w:tabs>
        <w:ind w:right="2160"/>
        <w:rPr>
          <w:rFonts w:ascii="Arial" w:hAnsi="Arial" w:cs="Arial"/>
          <w:b/>
          <w:sz w:val="24"/>
          <w:szCs w:val="24"/>
        </w:rPr>
      </w:pPr>
      <w:r>
        <w:rPr>
          <w:rFonts w:ascii="Arial" w:hAnsi="Arial" w:cs="Arial"/>
          <w:b/>
          <w:sz w:val="24"/>
          <w:szCs w:val="24"/>
        </w:rPr>
        <w:t>Schedule 125</w:t>
      </w:r>
    </w:p>
    <w:p w:rsidR="00174387" w:rsidRDefault="00174387" w:rsidP="00174387">
      <w:pPr>
        <w:pBdr>
          <w:bottom w:val="single" w:sz="12" w:space="1" w:color="auto"/>
        </w:pBdr>
        <w:rPr>
          <w:rFonts w:ascii="Arial" w:hAnsi="Arial" w:cs="Arial"/>
          <w:b/>
          <w:sz w:val="20"/>
        </w:rPr>
      </w:pPr>
      <w:r>
        <w:rPr>
          <w:rFonts w:ascii="Arial" w:hAnsi="Arial" w:cs="Arial"/>
          <w:b/>
          <w:sz w:val="20"/>
        </w:rPr>
        <w:t>COMMERCIAL &amp; INDUSTRIAL ENERGY SERVICES – OPTIONAL FOR</w:t>
      </w:r>
    </w:p>
    <w:p w:rsidR="00174387" w:rsidRPr="00FC6657" w:rsidRDefault="00174387" w:rsidP="00174387">
      <w:pPr>
        <w:pBdr>
          <w:bottom w:val="single" w:sz="12" w:space="1" w:color="auto"/>
        </w:pBdr>
        <w:rPr>
          <w:rFonts w:ascii="Arial" w:hAnsi="Arial" w:cs="Arial"/>
          <w:b/>
          <w:sz w:val="20"/>
        </w:rPr>
      </w:pPr>
      <w:r>
        <w:rPr>
          <w:rFonts w:ascii="Arial" w:hAnsi="Arial" w:cs="Arial"/>
          <w:b/>
          <w:sz w:val="20"/>
        </w:rPr>
        <w:t>QUALIFYING CUSTOMERS</w:t>
      </w:r>
    </w:p>
    <w:p w:rsidR="00FC6657" w:rsidRPr="00111D82" w:rsidRDefault="00FC6657" w:rsidP="00FC6657">
      <w:pPr>
        <w:tabs>
          <w:tab w:val="left" w:pos="360"/>
          <w:tab w:val="left" w:pos="5040"/>
        </w:tabs>
        <w:jc w:val="both"/>
        <w:rPr>
          <w:rFonts w:ascii="Arial" w:hAnsi="Arial" w:cs="Arial"/>
          <w:sz w:val="20"/>
        </w:rPr>
      </w:pPr>
      <w:r w:rsidRPr="00111D82">
        <w:rPr>
          <w:rFonts w:ascii="Arial" w:hAnsi="Arial" w:cs="Arial"/>
          <w:sz w:val="20"/>
          <w:u w:val="single"/>
        </w:rPr>
        <w:t>DEFINITIONS:</w:t>
      </w:r>
      <w:r w:rsidRPr="00111D82">
        <w:rPr>
          <w:rFonts w:ascii="Arial" w:hAnsi="Arial" w:cs="Arial"/>
          <w:sz w:val="20"/>
        </w:rPr>
        <w:t xml:space="preserve"> (continued)</w:t>
      </w:r>
    </w:p>
    <w:p w:rsidR="00FC6657" w:rsidRPr="00111D82" w:rsidRDefault="00FC6657" w:rsidP="00FC6657">
      <w:pPr>
        <w:tabs>
          <w:tab w:val="left" w:pos="360"/>
          <w:tab w:val="left" w:pos="504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b/>
          <w:sz w:val="20"/>
        </w:rPr>
        <w:tab/>
      </w:r>
      <w:r w:rsidRPr="00111D82">
        <w:rPr>
          <w:rFonts w:ascii="Arial" w:hAnsi="Arial" w:cs="Arial"/>
          <w:b/>
          <w:sz w:val="20"/>
        </w:rPr>
        <w:tab/>
        <w:t xml:space="preserve">Energy Efficiency Incentive: </w:t>
      </w:r>
      <w:r w:rsidRPr="00111D82">
        <w:rPr>
          <w:rFonts w:ascii="Arial" w:hAnsi="Arial" w:cs="Arial"/>
          <w:sz w:val="20"/>
        </w:rPr>
        <w:t xml:space="preserve"> Payment of money made by Company to Owner or Customer for installation of an Energy Efficiency Project pursuant to an executed Energy Efficiency Incentive Agreement.</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b/>
          <w:sz w:val="20"/>
        </w:rPr>
        <w:tab/>
      </w:r>
      <w:r w:rsidRPr="00111D82">
        <w:rPr>
          <w:rFonts w:ascii="Arial" w:hAnsi="Arial" w:cs="Arial"/>
          <w:b/>
          <w:sz w:val="20"/>
        </w:rPr>
        <w:tab/>
        <w:t>Energy Efficiency Incentive Agreement:</w:t>
      </w:r>
      <w:r w:rsidRPr="00111D82">
        <w:rPr>
          <w:rFonts w:ascii="Arial" w:hAnsi="Arial" w:cs="Arial"/>
          <w:sz w:val="20"/>
        </w:rPr>
        <w:t xml:space="preserve">  An agreement between Owner or Customer and Company providing for Company to furnish Energy Efficiency Incentive with respect to Energy Efficiency Project pursuant to this tariff schedule.</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 xml:space="preserve">Energy Efficiency Measure (EEM):  </w:t>
      </w:r>
      <w:r w:rsidRPr="00111D82">
        <w:rPr>
          <w:rFonts w:ascii="Arial" w:hAnsi="Arial" w:cs="Arial"/>
          <w:sz w:val="20"/>
        </w:rPr>
        <w:t>A permanently installed measure specified in an Energy Efficiency Incentive Agreement which can improve the efficiency of the Customer's electric energy use. EEMs designed to primarily reduce Average Monthly kW must also reduce electric energy use to be eligible for Energy Efficiency Incentives.</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b/>
          <w:sz w:val="20"/>
        </w:rPr>
      </w:pPr>
      <w:r w:rsidRPr="00111D82">
        <w:rPr>
          <w:rFonts w:ascii="Arial" w:hAnsi="Arial" w:cs="Arial"/>
          <w:b/>
          <w:sz w:val="20"/>
        </w:rPr>
        <w:tab/>
      </w:r>
      <w:r w:rsidRPr="00111D82">
        <w:rPr>
          <w:rFonts w:ascii="Arial" w:hAnsi="Arial" w:cs="Arial"/>
          <w:b/>
          <w:sz w:val="20"/>
        </w:rPr>
        <w:tab/>
        <w:t xml:space="preserve">Energy Efficiency Measure (EEM) Cost: </w:t>
      </w:r>
      <w:r w:rsidRPr="00111D82">
        <w:rPr>
          <w:rFonts w:ascii="Arial" w:hAnsi="Arial" w:cs="Arial"/>
          <w:sz w:val="20"/>
        </w:rPr>
        <w:t>New construction: EEM Cost is the total installed cost of the energy efficient equipment or system minus the cost of the code compliance/common practice equipment or system.</w:t>
      </w:r>
    </w:p>
    <w:p w:rsidR="00FC6657" w:rsidRPr="00111D82" w:rsidRDefault="00FC6657" w:rsidP="00FC6657">
      <w:pPr>
        <w:pStyle w:val="BodyTextIndent"/>
        <w:spacing w:after="0"/>
        <w:ind w:left="0" w:firstLine="720"/>
        <w:rPr>
          <w:rFonts w:ascii="Arial" w:hAnsi="Arial" w:cs="Arial"/>
          <w:sz w:val="20"/>
        </w:rPr>
      </w:pPr>
      <w:r w:rsidRPr="00111D82">
        <w:rPr>
          <w:rFonts w:ascii="Arial" w:hAnsi="Arial" w:cs="Arial"/>
          <w:sz w:val="20"/>
        </w:rPr>
        <w:t>Major Renovation: EEM Cost is the total installed cost of the energy efficient equipment or system minus the cost of the code compliance/common practice equipment or system.</w:t>
      </w:r>
    </w:p>
    <w:p w:rsidR="00FC6657" w:rsidRPr="00111D82" w:rsidRDefault="00FC6657" w:rsidP="00FC6657">
      <w:pPr>
        <w:pStyle w:val="BodyTextIndent"/>
        <w:spacing w:after="0"/>
        <w:ind w:left="0" w:firstLine="720"/>
        <w:rPr>
          <w:rFonts w:ascii="Arial" w:hAnsi="Arial" w:cs="Arial"/>
          <w:sz w:val="20"/>
        </w:rPr>
      </w:pPr>
      <w:r w:rsidRPr="00111D82">
        <w:rPr>
          <w:rFonts w:ascii="Arial" w:hAnsi="Arial" w:cs="Arial"/>
          <w:sz w:val="20"/>
        </w:rPr>
        <w:t>Retrofit: EEM Cost is the total installed cost of the energy efficiency equipment or modification.</w:t>
      </w:r>
    </w:p>
    <w:p w:rsidR="00FC6657" w:rsidRPr="00111D82" w:rsidRDefault="00FC6657" w:rsidP="00FC6657">
      <w:pPr>
        <w:pStyle w:val="BodyTextIndent"/>
        <w:spacing w:after="0"/>
        <w:ind w:left="0" w:firstLine="720"/>
        <w:rPr>
          <w:rFonts w:ascii="Arial" w:hAnsi="Arial" w:cs="Arial"/>
          <w:sz w:val="20"/>
        </w:rPr>
      </w:pPr>
      <w:r w:rsidRPr="00111D82">
        <w:rPr>
          <w:rFonts w:ascii="Arial" w:hAnsi="Arial" w:cs="Arial"/>
          <w:sz w:val="20"/>
        </w:rPr>
        <w:t>In the case of new construction, major renovation and retrofits, EEM Costs shall mean the Owner or Customer’s reasonable costs incurred (net of any discounts, rebates or incentives other than Energy Efficiency Incentives from the Company, or other consideration that reduces the final actual EEM Cost incurred by the Owner or Customer) to purchase and install EEMs at the Owner or Customer’s facility. If the Owner or Customer installs the EEM then the cost of installation shall be equal to the Owner’s or Customer’s actual labor costs for such installation.</w:t>
      </w:r>
    </w:p>
    <w:p w:rsidR="00FC6657" w:rsidRPr="00111D82" w:rsidRDefault="00FC6657" w:rsidP="00FC6657">
      <w:pPr>
        <w:pStyle w:val="BodyTextIndent"/>
        <w:spacing w:after="0"/>
        <w:ind w:left="0" w:firstLine="360"/>
        <w:rPr>
          <w:rFonts w:ascii="Arial" w:hAnsi="Arial" w:cs="Arial"/>
          <w:sz w:val="20"/>
        </w:rPr>
      </w:pPr>
    </w:p>
    <w:p w:rsidR="00FC6657" w:rsidRPr="00111D82" w:rsidRDefault="00FC6657" w:rsidP="00FC6657">
      <w:pPr>
        <w:rPr>
          <w:rFonts w:ascii="Arial" w:hAnsi="Arial" w:cs="Arial"/>
          <w:sz w:val="20"/>
        </w:rPr>
      </w:pPr>
      <w:r w:rsidRPr="00111D82">
        <w:rPr>
          <w:rFonts w:ascii="Arial" w:hAnsi="Arial" w:cs="Arial"/>
          <w:sz w:val="20"/>
        </w:rPr>
        <w:t xml:space="preserve"> </w:t>
      </w:r>
      <w:r w:rsidRPr="00111D82">
        <w:rPr>
          <w:rFonts w:ascii="Arial" w:hAnsi="Arial" w:cs="Arial"/>
          <w:sz w:val="20"/>
        </w:rPr>
        <w:tab/>
        <w:t xml:space="preserve"> For Energy Efficiency Projects involving EEM(s) that save both natural gas and electricity where the Owner or Customer can reasonably expect to receive an incentive from their gas company, the EEM Cost will be pro-rated prior to calculating the Energy Efficiency Incentive.  This does not apply to design assistance projects. </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Energy Efficiency Project:</w:t>
      </w:r>
      <w:r w:rsidRPr="00111D82">
        <w:rPr>
          <w:rFonts w:ascii="Arial" w:hAnsi="Arial" w:cs="Arial"/>
          <w:sz w:val="20"/>
        </w:rPr>
        <w:t xml:space="preserve">  One or more EEM(s) covered by one Energy Efficiency Incentive Agreement. Annual kWh and Average Monthly kW savings for an Energy Efficiency Project shall be the sum of the individual EEM values.</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 xml:space="preserve">   </w:t>
      </w:r>
      <w:r w:rsidRPr="00111D82">
        <w:rPr>
          <w:rFonts w:ascii="Arial" w:hAnsi="Arial" w:cs="Arial"/>
          <w:sz w:val="20"/>
        </w:rPr>
        <w:tab/>
      </w:r>
      <w:r w:rsidRPr="00111D82">
        <w:rPr>
          <w:rFonts w:ascii="Arial" w:hAnsi="Arial" w:cs="Arial"/>
          <w:sz w:val="20"/>
        </w:rPr>
        <w:tab/>
      </w:r>
      <w:r w:rsidRPr="00111D82">
        <w:rPr>
          <w:rFonts w:ascii="Arial" w:hAnsi="Arial" w:cs="Arial"/>
          <w:b/>
          <w:sz w:val="20"/>
        </w:rPr>
        <w:t xml:space="preserve">Energy Efficiency Project Cost: </w:t>
      </w:r>
      <w:r w:rsidRPr="00111D82">
        <w:rPr>
          <w:rFonts w:ascii="Arial" w:hAnsi="Arial" w:cs="Arial"/>
          <w:sz w:val="20"/>
        </w:rPr>
        <w:t>Energy Efficiency Project cost shall be the sum of the individual EEM costs.</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Industrial Facility:</w:t>
      </w:r>
      <w:r w:rsidRPr="00111D82">
        <w:rPr>
          <w:rFonts w:ascii="Arial" w:hAnsi="Arial" w:cs="Arial"/>
          <w:sz w:val="20"/>
        </w:rPr>
        <w:t xml:space="preserve">  Buildings and process equipment associated with manufacturing.</w:t>
      </w:r>
      <w:r w:rsidR="00174387" w:rsidRPr="00111D82" w:rsidDel="00174387">
        <w:rPr>
          <w:rFonts w:ascii="Arial" w:hAnsi="Arial" w:cs="Arial"/>
          <w:sz w:val="20"/>
        </w:rPr>
        <w:t xml:space="preserve"> </w:t>
      </w:r>
      <w:r w:rsidRPr="00111D82">
        <w:rPr>
          <w:rFonts w:ascii="Arial" w:hAnsi="Arial" w:cs="Arial"/>
          <w:sz w:val="20"/>
        </w:rPr>
        <w:tab/>
      </w:r>
      <w:r w:rsidRPr="00111D82">
        <w:rPr>
          <w:rFonts w:ascii="Arial" w:hAnsi="Arial" w:cs="Arial"/>
          <w:sz w:val="20"/>
        </w:rPr>
        <w:tab/>
      </w:r>
    </w:p>
    <w:p w:rsidR="00174387" w:rsidRDefault="00174387" w:rsidP="0017438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74387" w:rsidRDefault="00174387" w:rsidP="0017438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174387" w:rsidRDefault="00174387" w:rsidP="0017438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174387" w:rsidRDefault="00174387" w:rsidP="0017438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4387" w:rsidRDefault="0069608B" w:rsidP="0017438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7001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8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59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8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9608B" w:rsidRDefault="0069608B" w:rsidP="00174387">
      <w:pPr>
        <w:pStyle w:val="Footer"/>
        <w:tabs>
          <w:tab w:val="clear" w:pos="4680"/>
          <w:tab w:val="clear" w:pos="9360"/>
          <w:tab w:val="right" w:pos="9216"/>
        </w:tabs>
        <w:ind w:left="900" w:hanging="900"/>
        <w:rPr>
          <w:rFonts w:ascii="Arial" w:hAnsi="Arial" w:cs="Arial"/>
          <w:sz w:val="20"/>
        </w:rPr>
        <w:sectPr w:rsidR="0069608B" w:rsidSect="001B376C">
          <w:headerReference w:type="default" r:id="rId55"/>
          <w:pgSz w:w="12240" w:h="15840" w:code="1"/>
          <w:pgMar w:top="1440" w:right="1080" w:bottom="1440" w:left="1440" w:header="720" w:footer="720" w:gutter="0"/>
          <w:cols w:space="720"/>
          <w:docGrid w:linePitch="360"/>
        </w:sectPr>
      </w:pPr>
      <w:r>
        <w:rPr>
          <w:rFonts w:ascii="Arial" w:hAnsi="Arial" w:cs="Arial"/>
          <w:noProof/>
          <w:sz w:val="20"/>
        </w:rPr>
        <w:drawing>
          <wp:anchor distT="0" distB="0" distL="114300" distR="114300" simplePos="0" relativeHeight="251673088"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82"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206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8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104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8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89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79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69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48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74387">
        <w:rPr>
          <w:rFonts w:ascii="Arial" w:hAnsi="Arial" w:cs="Arial"/>
          <w:sz w:val="20"/>
        </w:rPr>
        <w:t>By:  _________________________ Andrea L. Kelly</w:t>
      </w:r>
      <w:r w:rsidR="00174387">
        <w:rPr>
          <w:rFonts w:ascii="Arial" w:hAnsi="Arial" w:cs="Arial"/>
          <w:sz w:val="20"/>
        </w:rPr>
        <w:tab/>
      </w:r>
      <w:r w:rsidR="00174387">
        <w:rPr>
          <w:rFonts w:ascii="Arial" w:hAnsi="Arial" w:cs="Arial"/>
          <w:b/>
          <w:sz w:val="20"/>
        </w:rPr>
        <w:t>Title:</w:t>
      </w:r>
      <w:r w:rsidR="00174387">
        <w:rPr>
          <w:rFonts w:ascii="Arial" w:hAnsi="Arial" w:cs="Arial"/>
          <w:sz w:val="20"/>
        </w:rPr>
        <w:t xml:space="preserve">  Vice President, </w:t>
      </w:r>
      <w:r w:rsidR="0026790D">
        <w:rPr>
          <w:rFonts w:ascii="Arial" w:hAnsi="Arial" w:cs="Arial"/>
          <w:sz w:val="20"/>
        </w:rPr>
        <w:t>Regulation</w:t>
      </w:r>
    </w:p>
    <w:p w:rsidR="00FC6657" w:rsidRPr="00111D82" w:rsidRDefault="00FC6657" w:rsidP="00FC6657">
      <w:pPr>
        <w:tabs>
          <w:tab w:val="left" w:pos="360"/>
          <w:tab w:val="left" w:pos="5040"/>
        </w:tabs>
        <w:jc w:val="both"/>
        <w:rPr>
          <w:rFonts w:ascii="Arial" w:hAnsi="Arial" w:cs="Arial"/>
          <w:sz w:val="20"/>
        </w:rPr>
      </w:pPr>
      <w:r w:rsidRPr="00111D82">
        <w:rPr>
          <w:rFonts w:ascii="Arial" w:hAnsi="Arial" w:cs="Arial"/>
          <w:sz w:val="20"/>
          <w:u w:val="single"/>
        </w:rPr>
        <w:t>DEFINITIONS:</w:t>
      </w:r>
      <w:r w:rsidRPr="00111D82">
        <w:rPr>
          <w:rFonts w:ascii="Arial" w:hAnsi="Arial" w:cs="Arial"/>
          <w:sz w:val="20"/>
        </w:rPr>
        <w:t xml:space="preserve"> (continued)</w:t>
      </w:r>
    </w:p>
    <w:p w:rsidR="00FC6657" w:rsidRPr="00111D82" w:rsidRDefault="00FC6657" w:rsidP="00FC6657">
      <w:pPr>
        <w:tabs>
          <w:tab w:val="left" w:pos="360"/>
          <w:tab w:val="left" w:pos="504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b/>
          <w:sz w:val="20"/>
        </w:rPr>
        <w:tab/>
      </w:r>
      <w:r w:rsidRPr="00111D82">
        <w:rPr>
          <w:rFonts w:ascii="Arial" w:hAnsi="Arial" w:cs="Arial"/>
          <w:b/>
          <w:sz w:val="20"/>
        </w:rPr>
        <w:tab/>
        <w:t>Mixed Use:</w:t>
      </w:r>
      <w:r w:rsidRPr="00111D82">
        <w:rPr>
          <w:rFonts w:ascii="Arial" w:hAnsi="Arial" w:cs="Arial"/>
          <w:sz w:val="20"/>
        </w:rPr>
        <w:t xml:space="preserve"> Buildings served by a residential schedule and a rate schedule listed under </w:t>
      </w:r>
      <w:r w:rsidRPr="00111D82">
        <w:rPr>
          <w:rFonts w:ascii="Arial" w:hAnsi="Arial" w:cs="Arial"/>
          <w:b/>
          <w:sz w:val="20"/>
        </w:rPr>
        <w:t>Applicable</w:t>
      </w:r>
      <w:r w:rsidRPr="00111D82">
        <w:rPr>
          <w:rFonts w:ascii="Arial" w:hAnsi="Arial" w:cs="Arial"/>
          <w:sz w:val="20"/>
        </w:rPr>
        <w:t xml:space="preserve"> shall be eligible for services under this schedule provided the Energy Efficiency Project meets the definition of New Construction or Major Renovation.</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New Construction:</w:t>
      </w:r>
      <w:r w:rsidRPr="00111D82">
        <w:rPr>
          <w:rFonts w:ascii="Arial" w:hAnsi="Arial" w:cs="Arial"/>
          <w:sz w:val="20"/>
        </w:rPr>
        <w:t xml:space="preserve">  A newly constructed facility or newly constructed square footage added to an existing facility.</w:t>
      </w: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Major Renovation:</w:t>
      </w:r>
      <w:r w:rsidRPr="00111D82">
        <w:rPr>
          <w:rFonts w:ascii="Arial" w:hAnsi="Arial" w:cs="Arial"/>
          <w:sz w:val="20"/>
        </w:rPr>
        <w:t xml:space="preserve">  A change in facility use type or where the existing system will not meet Owner/Customer projected requirements within existing square footage.</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Owner:</w:t>
      </w:r>
      <w:r w:rsidRPr="00111D82">
        <w:rPr>
          <w:rFonts w:ascii="Arial" w:hAnsi="Arial" w:cs="Arial"/>
          <w:sz w:val="20"/>
        </w:rPr>
        <w:t xml:space="preserve">  The person who has both legal and beneficial title to the real property specified in an Energy Efficiency Incentive Agreement or Energy Services Agreement or who is the mortgagor under a duly recorded mortgage or the grantor under a duly recorded deed of trust or a purchaser under a duly recorded agreement with respect to such real property.  </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r w:rsidRPr="00111D82">
        <w:rPr>
          <w:rFonts w:ascii="Arial" w:hAnsi="Arial" w:cs="Arial"/>
          <w:b/>
          <w:sz w:val="20"/>
        </w:rPr>
        <w:t>Retrofit:</w:t>
      </w:r>
      <w:r w:rsidRPr="00111D82">
        <w:rPr>
          <w:rFonts w:ascii="Arial" w:hAnsi="Arial" w:cs="Arial"/>
          <w:sz w:val="20"/>
        </w:rPr>
        <w:t xml:space="preserve">  Changes, modifications or additions to systems or equipment in existing facility square footage.</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s>
        <w:jc w:val="both"/>
        <w:rPr>
          <w:rFonts w:ascii="Arial" w:hAnsi="Arial" w:cs="Arial"/>
          <w:sz w:val="20"/>
        </w:rPr>
      </w:pPr>
      <w:r w:rsidRPr="00111D82">
        <w:rPr>
          <w:rFonts w:ascii="Arial" w:hAnsi="Arial" w:cs="Arial"/>
          <w:b/>
          <w:sz w:val="20"/>
        </w:rPr>
        <w:tab/>
      </w:r>
      <w:r w:rsidRPr="00111D82">
        <w:rPr>
          <w:rFonts w:ascii="Arial" w:hAnsi="Arial" w:cs="Arial"/>
          <w:b/>
          <w:sz w:val="20"/>
        </w:rPr>
        <w:tab/>
        <w:t xml:space="preserve">Supplemental Services Agreement: </w:t>
      </w:r>
      <w:r w:rsidRPr="00111D82">
        <w:rPr>
          <w:rFonts w:ascii="Arial" w:hAnsi="Arial" w:cs="Arial"/>
          <w:sz w:val="20"/>
        </w:rPr>
        <w:t>An agreement between Owner or Customer and Company providing for Company to furnish Supplemental Services with respect to Supplemental Services section of this Tariff Schedule.</w:t>
      </w:r>
    </w:p>
    <w:p w:rsidR="00FC6657" w:rsidRPr="00111D82" w:rsidRDefault="00FC6657" w:rsidP="00FC6657">
      <w:pPr>
        <w:tabs>
          <w:tab w:val="left" w:pos="360"/>
        </w:tabs>
        <w:jc w:val="both"/>
        <w:rPr>
          <w:rFonts w:ascii="Arial" w:hAnsi="Arial" w:cs="Arial"/>
          <w:sz w:val="20"/>
        </w:rPr>
      </w:pPr>
    </w:p>
    <w:p w:rsidR="00FC6657" w:rsidRPr="00111D82" w:rsidRDefault="00FC6657" w:rsidP="00FC6657">
      <w:pPr>
        <w:tabs>
          <w:tab w:val="left" w:pos="360"/>
          <w:tab w:val="left" w:pos="720"/>
          <w:tab w:val="left" w:pos="5040"/>
        </w:tabs>
        <w:jc w:val="both"/>
        <w:rPr>
          <w:rFonts w:ascii="Arial" w:hAnsi="Arial" w:cs="Arial"/>
          <w:sz w:val="20"/>
          <w:u w:val="single"/>
        </w:rPr>
      </w:pPr>
      <w:r w:rsidRPr="00111D82">
        <w:rPr>
          <w:rFonts w:ascii="Arial" w:hAnsi="Arial" w:cs="Arial"/>
          <w:sz w:val="20"/>
          <w:u w:val="single"/>
        </w:rPr>
        <w:t>INCENTIVES FOR ENERGY EFFICIENCY PROJECTS:</w:t>
      </w:r>
    </w:p>
    <w:p w:rsidR="00FC6657" w:rsidRPr="00111D82" w:rsidRDefault="00FC6657" w:rsidP="00FC6657">
      <w:pPr>
        <w:tabs>
          <w:tab w:val="left" w:pos="720"/>
          <w:tab w:val="left" w:pos="5040"/>
        </w:tabs>
        <w:ind w:firstLine="360"/>
        <w:jc w:val="both"/>
        <w:rPr>
          <w:rFonts w:ascii="Arial" w:hAnsi="Arial" w:cs="Arial"/>
          <w:sz w:val="20"/>
        </w:rPr>
      </w:pPr>
      <w:r w:rsidRPr="00111D82">
        <w:rPr>
          <w:rFonts w:ascii="Arial" w:hAnsi="Arial" w:cs="Arial"/>
          <w:b/>
          <w:sz w:val="20"/>
        </w:rPr>
        <w:tab/>
        <w:t xml:space="preserve">Energy Efficiency Incentives:  </w:t>
      </w:r>
      <w:r w:rsidRPr="00111D82">
        <w:rPr>
          <w:rFonts w:ascii="Arial" w:hAnsi="Arial" w:cs="Arial"/>
          <w:sz w:val="20"/>
        </w:rPr>
        <w:t>The Energy Efficiency Incentive made</w:t>
      </w:r>
      <w:r w:rsidRPr="00111D82">
        <w:rPr>
          <w:rFonts w:ascii="Arial" w:hAnsi="Arial" w:cs="Arial"/>
          <w:b/>
          <w:sz w:val="20"/>
        </w:rPr>
        <w:t xml:space="preserve">  </w:t>
      </w:r>
      <w:r w:rsidRPr="00111D82">
        <w:rPr>
          <w:rFonts w:ascii="Arial" w:hAnsi="Arial" w:cs="Arial"/>
          <w:sz w:val="20"/>
        </w:rPr>
        <w:t xml:space="preserve">by the Company for installation of EEMs pursuant to an Energy Efficiency Incentive Agreement shall be the </w:t>
      </w:r>
      <w:r w:rsidRPr="00111D82">
        <w:rPr>
          <w:rFonts w:ascii="Arial" w:hAnsi="Arial" w:cs="Arial"/>
          <w:b/>
          <w:sz w:val="20"/>
        </w:rPr>
        <w:t>lesser</w:t>
      </w:r>
      <w:r w:rsidRPr="00111D82">
        <w:rPr>
          <w:rFonts w:ascii="Arial" w:hAnsi="Arial" w:cs="Arial"/>
          <w:sz w:val="20"/>
        </w:rPr>
        <w:t xml:space="preserve"> of the sum of (a) and (b) </w:t>
      </w:r>
      <w:r w:rsidRPr="00111D82">
        <w:rPr>
          <w:rFonts w:ascii="Arial" w:hAnsi="Arial" w:cs="Arial"/>
          <w:b/>
          <w:sz w:val="20"/>
        </w:rPr>
        <w:t>OR</w:t>
      </w:r>
      <w:r w:rsidRPr="00111D82">
        <w:rPr>
          <w:rFonts w:ascii="Arial" w:hAnsi="Arial" w:cs="Arial"/>
          <w:sz w:val="20"/>
        </w:rPr>
        <w:t xml:space="preserve"> (c):</w:t>
      </w:r>
    </w:p>
    <w:p w:rsidR="00FC6657" w:rsidRPr="00111D82" w:rsidRDefault="00FC6657" w:rsidP="00FC6657">
      <w:pPr>
        <w:tabs>
          <w:tab w:val="left" w:pos="360"/>
          <w:tab w:val="left" w:pos="720"/>
          <w:tab w:val="left" w:pos="5040"/>
        </w:tabs>
        <w:ind w:left="360"/>
        <w:jc w:val="both"/>
        <w:rPr>
          <w:rFonts w:ascii="Arial" w:hAnsi="Arial" w:cs="Arial"/>
          <w:sz w:val="20"/>
        </w:rPr>
      </w:pPr>
    </w:p>
    <w:p w:rsidR="00FC6657" w:rsidRPr="00111D82" w:rsidRDefault="00FC6657" w:rsidP="00ED2D31">
      <w:pPr>
        <w:pStyle w:val="BodyTextIndent"/>
        <w:numPr>
          <w:ilvl w:val="0"/>
          <w:numId w:val="16"/>
        </w:numPr>
        <w:spacing w:after="0"/>
        <w:jc w:val="both"/>
        <w:rPr>
          <w:rFonts w:ascii="Arial" w:hAnsi="Arial" w:cs="Arial"/>
          <w:sz w:val="20"/>
        </w:rPr>
      </w:pPr>
      <w:r w:rsidRPr="00111D82">
        <w:rPr>
          <w:rFonts w:ascii="Arial" w:hAnsi="Arial" w:cs="Arial"/>
          <w:sz w:val="20"/>
        </w:rPr>
        <w:t>$0.15/kWh for the Energy Efficiency Project Annual kWh savings as determined using Company provided or approved engineering analysis;</w:t>
      </w:r>
    </w:p>
    <w:p w:rsidR="00FC6657" w:rsidRPr="00111D82" w:rsidRDefault="00FC6657" w:rsidP="00ED2D31">
      <w:pPr>
        <w:pStyle w:val="BodyTextIndent"/>
        <w:numPr>
          <w:ilvl w:val="0"/>
          <w:numId w:val="16"/>
        </w:numPr>
        <w:spacing w:after="0"/>
        <w:jc w:val="both"/>
        <w:rPr>
          <w:rFonts w:ascii="Arial" w:hAnsi="Arial" w:cs="Arial"/>
          <w:sz w:val="20"/>
        </w:rPr>
      </w:pPr>
      <w:r w:rsidRPr="00111D82">
        <w:rPr>
          <w:rFonts w:ascii="Arial" w:hAnsi="Arial" w:cs="Arial"/>
          <w:sz w:val="20"/>
        </w:rPr>
        <w:t>$50/kW for the Energy Efficiency Project Average Monthly kW savings determined using Company provided or approved engineering analysis.</w:t>
      </w:r>
    </w:p>
    <w:p w:rsidR="00FC6657" w:rsidRPr="00111D82" w:rsidRDefault="00FC6657" w:rsidP="00ED2D31">
      <w:pPr>
        <w:pStyle w:val="BodyTextIndent"/>
        <w:numPr>
          <w:ilvl w:val="0"/>
          <w:numId w:val="16"/>
        </w:numPr>
        <w:spacing w:after="0"/>
        <w:jc w:val="both"/>
        <w:rPr>
          <w:rFonts w:ascii="Arial" w:hAnsi="Arial" w:cs="Arial"/>
          <w:sz w:val="20"/>
        </w:rPr>
      </w:pPr>
      <w:r w:rsidRPr="00111D82">
        <w:rPr>
          <w:rFonts w:ascii="Arial" w:hAnsi="Arial" w:cs="Arial"/>
          <w:sz w:val="20"/>
        </w:rPr>
        <w:t>60 percent of the Energy Efficiency Project Cost as determined by the Company.</w:t>
      </w:r>
    </w:p>
    <w:p w:rsidR="003C0DC7" w:rsidRDefault="003C0DC7" w:rsidP="00FC6657">
      <w:pPr>
        <w:tabs>
          <w:tab w:val="left" w:pos="360"/>
          <w:tab w:val="left" w:pos="720"/>
          <w:tab w:val="left" w:pos="5040"/>
        </w:tabs>
        <w:rPr>
          <w:rFonts w:ascii="Arial" w:hAnsi="Arial" w:cs="Arial"/>
          <w:sz w:val="20"/>
        </w:rPr>
      </w:pPr>
    </w:p>
    <w:p w:rsidR="00FC6657" w:rsidRPr="00111D82" w:rsidRDefault="00FC6657" w:rsidP="00FC6657">
      <w:pPr>
        <w:tabs>
          <w:tab w:val="left" w:pos="360"/>
          <w:tab w:val="left" w:pos="720"/>
          <w:tab w:val="left" w:pos="5040"/>
        </w:tabs>
        <w:rPr>
          <w:rFonts w:ascii="Arial" w:hAnsi="Arial" w:cs="Arial"/>
          <w:sz w:val="20"/>
        </w:rPr>
      </w:pPr>
      <w:r w:rsidRPr="00111D82">
        <w:rPr>
          <w:rFonts w:ascii="Arial" w:hAnsi="Arial" w:cs="Arial"/>
          <w:sz w:val="20"/>
        </w:rPr>
        <w:tab/>
        <w:t xml:space="preserve">Energy Efficiency Projects are eligible for Energy Efficiency Incentives per Table 1. </w:t>
      </w:r>
    </w:p>
    <w:p w:rsidR="00FC6657" w:rsidRDefault="00FC6657" w:rsidP="00FC6657">
      <w:pPr>
        <w:tabs>
          <w:tab w:val="left" w:pos="360"/>
        </w:tabs>
        <w:jc w:val="both"/>
        <w:rPr>
          <w:rFonts w:ascii="Arial" w:hAnsi="Arial" w:cs="Arial"/>
          <w:sz w:val="20"/>
        </w:rPr>
      </w:pPr>
      <w:r w:rsidRPr="00111D82">
        <w:rPr>
          <w:rFonts w:ascii="Arial" w:hAnsi="Arial" w:cs="Arial"/>
          <w:sz w:val="20"/>
        </w:rPr>
        <w:tab/>
      </w:r>
      <w:r w:rsidRPr="00111D82">
        <w:rPr>
          <w:rFonts w:ascii="Arial" w:hAnsi="Arial" w:cs="Arial"/>
          <w:sz w:val="20"/>
        </w:rPr>
        <w:tab/>
      </w:r>
    </w:p>
    <w:p w:rsidR="00174387" w:rsidRDefault="00174387">
      <w:pPr>
        <w:rPr>
          <w:rFonts w:ascii="Arial" w:eastAsia="Times New Roman" w:hAnsi="Arial" w:cs="Arial"/>
          <w:b/>
          <w:sz w:val="20"/>
          <w:szCs w:val="20"/>
        </w:rPr>
      </w:pPr>
      <w:r>
        <w:rPr>
          <w:rFonts w:ascii="Arial" w:hAnsi="Arial" w:cs="Arial"/>
          <w:sz w:val="20"/>
          <w:szCs w:val="20"/>
        </w:rPr>
        <w:br w:type="page"/>
      </w:r>
    </w:p>
    <w:p w:rsidR="00174387" w:rsidRPr="005F551F" w:rsidRDefault="000A75FE" w:rsidP="0017438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33" o:spid="_x0000_s1040" type="#_x0000_t32" style="position:absolute;margin-left:381.75pt;margin-top:-19.45pt;width:0;height:114.7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Hw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"/>
        </w:pict>
      </w:r>
      <w:r w:rsidRPr="000A75FE">
        <w:rPr>
          <w:rFonts w:ascii="Courier New" w:hAnsi="Courier New"/>
          <w:noProof/>
          <w:sz w:val="18"/>
          <w:szCs w:val="20"/>
        </w:rPr>
        <w:pict>
          <v:shape id="AutoShape 34" o:spid="_x0000_s1041" type="#_x0000_t32" style="position:absolute;margin-left:381.75pt;margin-top:-4.9pt;width:0;height:114.7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MfHw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"/>
        </w:pict>
      </w:r>
      <w:r w:rsidR="00174387">
        <w:rPr>
          <w:rFonts w:ascii="Arial" w:hAnsi="Arial" w:cs="Arial"/>
          <w:b/>
          <w:noProof/>
          <w:sz w:val="24"/>
          <w:szCs w:val="24"/>
        </w:rPr>
        <w:t>PACIFIC POWER &amp; LIGHT COMPANY</w:t>
      </w:r>
    </w:p>
    <w:p w:rsidR="00174387" w:rsidRDefault="00174387" w:rsidP="0017438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74387" w:rsidRPr="00CD01ED" w:rsidRDefault="00174387" w:rsidP="0017438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74387" w:rsidRDefault="00174387" w:rsidP="00174387">
      <w:pPr>
        <w:tabs>
          <w:tab w:val="left" w:pos="7200"/>
        </w:tabs>
        <w:ind w:right="2160"/>
        <w:jc w:val="right"/>
        <w:rPr>
          <w:rFonts w:ascii="Arial" w:hAnsi="Arial" w:cs="Arial"/>
          <w:sz w:val="20"/>
        </w:rPr>
      </w:pPr>
    </w:p>
    <w:p w:rsidR="00174387" w:rsidRDefault="00174387" w:rsidP="00174387">
      <w:pPr>
        <w:tabs>
          <w:tab w:val="left" w:pos="7200"/>
        </w:tabs>
        <w:ind w:right="2160"/>
        <w:jc w:val="right"/>
        <w:rPr>
          <w:rFonts w:ascii="Arial" w:hAnsi="Arial" w:cs="Arial"/>
          <w:sz w:val="20"/>
        </w:rPr>
      </w:pPr>
      <w:r>
        <w:rPr>
          <w:rFonts w:ascii="Arial" w:hAnsi="Arial" w:cs="Arial"/>
          <w:sz w:val="20"/>
        </w:rPr>
        <w:t>Original Sheet No. 125.4</w:t>
      </w:r>
    </w:p>
    <w:p w:rsidR="00174387" w:rsidRDefault="00174387" w:rsidP="00174387">
      <w:pPr>
        <w:rPr>
          <w:rFonts w:ascii="Arial" w:hAnsi="Arial" w:cs="Arial"/>
          <w:sz w:val="20"/>
        </w:rPr>
      </w:pPr>
      <w:r>
        <w:rPr>
          <w:rFonts w:ascii="Arial" w:hAnsi="Arial" w:cs="Arial"/>
          <w:sz w:val="20"/>
        </w:rPr>
        <w:tab/>
      </w:r>
    </w:p>
    <w:p w:rsidR="00174387" w:rsidRPr="00CF64E6" w:rsidRDefault="00174387" w:rsidP="00174387">
      <w:pPr>
        <w:tabs>
          <w:tab w:val="left" w:pos="7200"/>
        </w:tabs>
        <w:ind w:right="2160"/>
        <w:rPr>
          <w:rFonts w:ascii="Arial" w:hAnsi="Arial" w:cs="Arial"/>
          <w:b/>
          <w:sz w:val="24"/>
          <w:szCs w:val="24"/>
        </w:rPr>
      </w:pPr>
      <w:r>
        <w:rPr>
          <w:rFonts w:ascii="Arial" w:hAnsi="Arial" w:cs="Arial"/>
          <w:b/>
          <w:sz w:val="24"/>
          <w:szCs w:val="24"/>
        </w:rPr>
        <w:t>Schedule 125</w:t>
      </w:r>
    </w:p>
    <w:p w:rsidR="00174387" w:rsidRDefault="00174387" w:rsidP="00174387">
      <w:pPr>
        <w:pBdr>
          <w:bottom w:val="single" w:sz="12" w:space="1" w:color="auto"/>
        </w:pBdr>
        <w:rPr>
          <w:rFonts w:ascii="Arial" w:hAnsi="Arial" w:cs="Arial"/>
          <w:b/>
          <w:sz w:val="20"/>
        </w:rPr>
      </w:pPr>
      <w:r>
        <w:rPr>
          <w:rFonts w:ascii="Arial" w:hAnsi="Arial" w:cs="Arial"/>
          <w:b/>
          <w:sz w:val="20"/>
        </w:rPr>
        <w:t>COMMERCIAL &amp; INDUSTRIAL ENERGY SERVICES – OPTIONAL FOR</w:t>
      </w:r>
    </w:p>
    <w:p w:rsidR="00174387" w:rsidRPr="009B779C" w:rsidRDefault="00174387" w:rsidP="00174387">
      <w:pPr>
        <w:pBdr>
          <w:bottom w:val="single" w:sz="12" w:space="1" w:color="auto"/>
        </w:pBdr>
        <w:rPr>
          <w:rFonts w:ascii="Arial" w:hAnsi="Arial" w:cs="Arial"/>
          <w:b/>
          <w:sz w:val="20"/>
        </w:rPr>
      </w:pPr>
      <w:r>
        <w:rPr>
          <w:rFonts w:ascii="Arial" w:hAnsi="Arial" w:cs="Arial"/>
          <w:b/>
          <w:sz w:val="20"/>
        </w:rPr>
        <w:t>QUALIFYING CUSTOMERS</w:t>
      </w:r>
    </w:p>
    <w:p w:rsidR="00FC6657" w:rsidRPr="00111D82" w:rsidRDefault="00FC6657" w:rsidP="00FC6657">
      <w:pPr>
        <w:pStyle w:val="Table"/>
        <w:rPr>
          <w:rFonts w:ascii="Arial" w:hAnsi="Arial" w:cs="Arial"/>
          <w:sz w:val="20"/>
          <w:szCs w:val="20"/>
        </w:rPr>
      </w:pPr>
      <w:r w:rsidRPr="00111D82">
        <w:rPr>
          <w:rFonts w:ascii="Arial" w:hAnsi="Arial" w:cs="Arial"/>
          <w:sz w:val="20"/>
          <w:szCs w:val="20"/>
        </w:rPr>
        <w:t xml:space="preserve">Table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4"/>
        <w:gridCol w:w="1893"/>
        <w:gridCol w:w="1894"/>
        <w:gridCol w:w="1893"/>
        <w:gridCol w:w="1894"/>
      </w:tblGrid>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Program track</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bottom"/>
          </w:tcPr>
          <w:p w:rsidR="00FC6657" w:rsidRPr="00111D82" w:rsidRDefault="00FC6657" w:rsidP="001342D3">
            <w:pPr>
              <w:pStyle w:val="BodyTextIndent2"/>
              <w:ind w:left="0"/>
              <w:jc w:val="center"/>
              <w:rPr>
                <w:rFonts w:cs="Arial"/>
                <w:b/>
                <w:sz w:val="18"/>
                <w:szCs w:val="18"/>
              </w:rPr>
            </w:pPr>
            <w:r w:rsidRPr="00111D82">
              <w:rPr>
                <w:rFonts w:cs="Arial"/>
                <w:b/>
                <w:sz w:val="18"/>
                <w:szCs w:val="18"/>
              </w:rPr>
              <w:t>Design</w:t>
            </w:r>
            <w:r w:rsidR="001342D3" w:rsidRPr="00111D82">
              <w:rPr>
                <w:rFonts w:cs="Arial"/>
                <w:b/>
                <w:sz w:val="18"/>
                <w:szCs w:val="18"/>
              </w:rPr>
              <w:t xml:space="preserve"> </w:t>
            </w:r>
            <w:r w:rsidRPr="00111D82">
              <w:rPr>
                <w:rFonts w:cs="Arial"/>
                <w:b/>
                <w:sz w:val="18"/>
                <w:szCs w:val="18"/>
              </w:rPr>
              <w:t xml:space="preserve">Assistance </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rsidR="00FC6657" w:rsidRPr="00111D82" w:rsidRDefault="00FC6657" w:rsidP="00FC6657">
            <w:pPr>
              <w:pStyle w:val="BodyTextIndent2"/>
              <w:ind w:left="0"/>
              <w:jc w:val="center"/>
              <w:rPr>
                <w:rFonts w:cs="Arial"/>
                <w:b/>
                <w:sz w:val="18"/>
                <w:szCs w:val="18"/>
              </w:rPr>
            </w:pPr>
            <w:r w:rsidRPr="00111D82">
              <w:rPr>
                <w:rFonts w:cs="Arial"/>
                <w:b/>
                <w:sz w:val="18"/>
                <w:szCs w:val="18"/>
              </w:rPr>
              <w:t>Standard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bottom"/>
          </w:tcPr>
          <w:p w:rsidR="00FC6657" w:rsidRPr="00111D82" w:rsidRDefault="00FC6657" w:rsidP="00FC6657">
            <w:pPr>
              <w:pStyle w:val="BodyTextIndent2"/>
              <w:ind w:left="0"/>
              <w:jc w:val="center"/>
              <w:rPr>
                <w:rFonts w:cs="Arial"/>
                <w:b/>
                <w:sz w:val="18"/>
                <w:szCs w:val="18"/>
              </w:rPr>
            </w:pPr>
            <w:r w:rsidRPr="00111D82">
              <w:rPr>
                <w:rFonts w:cs="Arial"/>
                <w:b/>
                <w:sz w:val="18"/>
                <w:szCs w:val="18"/>
              </w:rPr>
              <w:t>Standard</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bottom"/>
          </w:tcPr>
          <w:p w:rsidR="00FC6657" w:rsidRPr="00111D82" w:rsidRDefault="00FC6657" w:rsidP="00FC6657">
            <w:pPr>
              <w:pStyle w:val="BodyTextIndent2"/>
              <w:ind w:left="0"/>
              <w:jc w:val="center"/>
              <w:rPr>
                <w:rFonts w:cs="Arial"/>
                <w:b/>
                <w:sz w:val="18"/>
                <w:szCs w:val="18"/>
              </w:rPr>
            </w:pPr>
            <w:r w:rsidRPr="00111D82">
              <w:rPr>
                <w:rFonts w:cs="Arial"/>
                <w:b/>
                <w:sz w:val="18"/>
                <w:szCs w:val="18"/>
              </w:rPr>
              <w:t>Standard</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Project Scope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Comprehensive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System</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System</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System</w:t>
            </w:r>
          </w:p>
        </w:tc>
      </w:tr>
      <w:tr w:rsidR="00FC6657" w:rsidRPr="00111D82" w:rsidTr="001342D3">
        <w:trPr>
          <w:trHeight w:hRule="exact" w:val="505"/>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1342D3">
            <w:pPr>
              <w:pStyle w:val="BodyTextIndent2"/>
              <w:spacing w:line="240" w:lineRule="auto"/>
              <w:ind w:left="0"/>
              <w:jc w:val="center"/>
              <w:rPr>
                <w:rFonts w:cs="Arial"/>
                <w:b/>
                <w:sz w:val="18"/>
                <w:szCs w:val="18"/>
              </w:rPr>
            </w:pPr>
            <w:r w:rsidRPr="00111D82">
              <w:rPr>
                <w:rFonts w:cs="Arial"/>
                <w:b/>
                <w:sz w:val="18"/>
                <w:szCs w:val="18"/>
              </w:rPr>
              <w:t>Type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1342D3">
            <w:pPr>
              <w:pStyle w:val="BodyTextIndent2"/>
              <w:spacing w:line="240" w:lineRule="auto"/>
              <w:ind w:left="0"/>
              <w:jc w:val="center"/>
              <w:rPr>
                <w:rFonts w:cs="Arial"/>
                <w:sz w:val="18"/>
                <w:szCs w:val="18"/>
              </w:rPr>
            </w:pPr>
            <w:r w:rsidRPr="00111D82">
              <w:rPr>
                <w:rFonts w:cs="Arial"/>
                <w:sz w:val="18"/>
                <w:szCs w:val="18"/>
              </w:rPr>
              <w:t>New Construction/</w:t>
            </w:r>
            <w:r w:rsidR="001342D3" w:rsidRPr="00111D82">
              <w:rPr>
                <w:rFonts w:cs="Arial"/>
                <w:sz w:val="18"/>
                <w:szCs w:val="18"/>
              </w:rPr>
              <w:t xml:space="preserve"> </w:t>
            </w:r>
            <w:r w:rsidRPr="00111D82">
              <w:rPr>
                <w:rFonts w:cs="Arial"/>
                <w:sz w:val="18"/>
                <w:szCs w:val="18"/>
              </w:rPr>
              <w:t>Major renovation</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1342D3">
            <w:pPr>
              <w:pStyle w:val="BodyTextIndent2"/>
              <w:spacing w:line="240" w:lineRule="auto"/>
              <w:ind w:left="0"/>
              <w:jc w:val="center"/>
              <w:rPr>
                <w:rFonts w:cs="Arial"/>
                <w:sz w:val="18"/>
                <w:szCs w:val="18"/>
              </w:rPr>
            </w:pPr>
            <w:r w:rsidRPr="00111D82">
              <w:rPr>
                <w:rFonts w:cs="Arial"/>
                <w:sz w:val="18"/>
                <w:szCs w:val="18"/>
              </w:rPr>
              <w:t>New Construction/ Major renovation</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1342D3">
            <w:pPr>
              <w:pStyle w:val="BodyTextIndent2"/>
              <w:spacing w:line="240" w:lineRule="auto"/>
              <w:ind w:left="0"/>
              <w:jc w:val="center"/>
              <w:rPr>
                <w:rFonts w:cs="Arial"/>
                <w:sz w:val="18"/>
                <w:szCs w:val="18"/>
              </w:rPr>
            </w:pPr>
            <w:r w:rsidRPr="00111D82">
              <w:rPr>
                <w:rFonts w:cs="Arial"/>
                <w:sz w:val="18"/>
                <w:szCs w:val="18"/>
              </w:rPr>
              <w:t>New Construction/ Major renovation</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1342D3">
            <w:pPr>
              <w:pStyle w:val="BodyTextIndent2"/>
              <w:spacing w:line="240" w:lineRule="auto"/>
              <w:ind w:left="0"/>
              <w:jc w:val="center"/>
              <w:rPr>
                <w:rFonts w:cs="Arial"/>
                <w:sz w:val="18"/>
                <w:szCs w:val="18"/>
              </w:rPr>
            </w:pPr>
            <w:r w:rsidRPr="00111D82">
              <w:rPr>
                <w:rFonts w:cs="Arial"/>
                <w:sz w:val="18"/>
                <w:szCs w:val="18"/>
              </w:rPr>
              <w:t>Retrofit</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Energy code applies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w:t>
            </w:r>
          </w:p>
        </w:tc>
      </w:tr>
      <w:tr w:rsidR="00FC6657" w:rsidRPr="00111D82" w:rsidTr="001342D3">
        <w:trPr>
          <w:trHeight w:hRule="exact" w:val="360"/>
          <w:jc w:val="center"/>
        </w:trPr>
        <w:tc>
          <w:tcPr>
            <w:tcW w:w="9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rPr>
                <w:rFonts w:cs="Arial"/>
                <w:sz w:val="18"/>
                <w:szCs w:val="18"/>
              </w:rPr>
            </w:pPr>
            <w:r w:rsidRPr="00111D82">
              <w:rPr>
                <w:rFonts w:cs="Arial"/>
                <w:b/>
                <w:sz w:val="18"/>
                <w:szCs w:val="18"/>
              </w:rPr>
              <w:t>Owner/Customer Energy Efficiency Incentive caps applied to the Energy Efficiency Project</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60 % of project cost cap</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1 yr simple payback cap</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Lighting savings cap</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50%</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50%</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Energy savings threshold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highlight w:val="yellow"/>
              </w:rPr>
            </w:pPr>
            <w:r w:rsidRPr="00111D82">
              <w:rPr>
                <w:rFonts w:cs="Arial"/>
                <w:sz w:val="18"/>
                <w:szCs w:val="18"/>
              </w:rPr>
              <w:t>Must exceed code by 10% - whole building electric basis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Qualifying equipment must exceed code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none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none</w:t>
            </w:r>
          </w:p>
        </w:tc>
      </w:tr>
      <w:tr w:rsidR="00FC6657" w:rsidRPr="00111D82" w:rsidTr="001342D3">
        <w:trPr>
          <w:trHeight w:hRule="exact" w:val="360"/>
          <w:jc w:val="center"/>
        </w:trPr>
        <w:tc>
          <w:tcPr>
            <w:tcW w:w="9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rPr>
                <w:rFonts w:cs="Arial"/>
                <w:sz w:val="18"/>
                <w:szCs w:val="18"/>
              </w:rPr>
            </w:pPr>
            <w:r w:rsidRPr="00111D82">
              <w:rPr>
                <w:rFonts w:cs="Arial"/>
                <w:b/>
                <w:sz w:val="18"/>
                <w:szCs w:val="18"/>
              </w:rPr>
              <w:t>Design team incentives</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Honorarium</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Yes</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Not available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Not available</w:t>
            </w:r>
          </w:p>
        </w:tc>
      </w:tr>
      <w:tr w:rsidR="00FC6657" w:rsidRPr="00111D82" w:rsidTr="001342D3">
        <w:trPr>
          <w:trHeight w:hRule="exact" w:val="36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b/>
                <w:sz w:val="18"/>
                <w:szCs w:val="18"/>
              </w:rPr>
            </w:pPr>
            <w:r w:rsidRPr="00111D82">
              <w:rPr>
                <w:rFonts w:cs="Arial"/>
                <w:b/>
                <w:sz w:val="18"/>
                <w:szCs w:val="18"/>
              </w:rPr>
              <w:t>Design Incentive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Based on project size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Not available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Not available</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FC6657" w:rsidRPr="00111D82" w:rsidRDefault="00FC6657" w:rsidP="00FC6657">
            <w:pPr>
              <w:pStyle w:val="BodyTextIndent2"/>
              <w:ind w:left="0"/>
              <w:jc w:val="center"/>
              <w:rPr>
                <w:rFonts w:cs="Arial"/>
                <w:sz w:val="18"/>
                <w:szCs w:val="18"/>
              </w:rPr>
            </w:pPr>
            <w:r w:rsidRPr="00111D82">
              <w:rPr>
                <w:rFonts w:cs="Arial"/>
                <w:sz w:val="18"/>
                <w:szCs w:val="18"/>
              </w:rPr>
              <w:t>Not available</w:t>
            </w:r>
          </w:p>
        </w:tc>
      </w:tr>
    </w:tbl>
    <w:p w:rsidR="00FC6657" w:rsidRPr="00111D82" w:rsidRDefault="00FC6657" w:rsidP="00FC6657">
      <w:pPr>
        <w:rPr>
          <w:rFonts w:ascii="Arial" w:hAnsi="Arial" w:cs="Arial"/>
          <w:sz w:val="20"/>
        </w:rPr>
      </w:pPr>
    </w:p>
    <w:p w:rsidR="00FC6657" w:rsidRPr="00111D82" w:rsidRDefault="00FC6657" w:rsidP="00FC6657">
      <w:pPr>
        <w:tabs>
          <w:tab w:val="left" w:pos="720"/>
          <w:tab w:val="left" w:pos="5040"/>
        </w:tabs>
        <w:jc w:val="both"/>
        <w:rPr>
          <w:rFonts w:ascii="Arial" w:hAnsi="Arial" w:cs="Arial"/>
          <w:sz w:val="20"/>
        </w:rPr>
      </w:pPr>
      <w:r w:rsidRPr="00111D82">
        <w:rPr>
          <w:rFonts w:ascii="Arial" w:hAnsi="Arial" w:cs="Arial"/>
          <w:sz w:val="20"/>
        </w:rPr>
        <w:tab/>
        <w:t xml:space="preserve">All proposed Energy Efficiency Measure costs are subject to Company review and approval prior to offering an Energy Efficiency Incentive Agreement. All final Energy Efficiency Measure costs are subject to Company review and approval prior to paying an Energy Efficiency Incentive per the terms of an Energy Efficiency Incentive Agreement. Company review and approval of Energy Efficiency Measure costs may require additional documentation from the Customer or Owner.  </w:t>
      </w:r>
    </w:p>
    <w:p w:rsidR="00FC6657" w:rsidRPr="00111D82" w:rsidRDefault="00FC6657" w:rsidP="00FC6657">
      <w:pPr>
        <w:tabs>
          <w:tab w:val="left" w:pos="360"/>
          <w:tab w:val="left" w:pos="5040"/>
        </w:tabs>
        <w:jc w:val="both"/>
        <w:rPr>
          <w:rFonts w:ascii="Arial" w:hAnsi="Arial" w:cs="Arial"/>
          <w:sz w:val="20"/>
        </w:rPr>
      </w:pPr>
    </w:p>
    <w:p w:rsidR="00FC6657" w:rsidRPr="00111D82" w:rsidRDefault="00FC6657" w:rsidP="00FC6657">
      <w:pPr>
        <w:tabs>
          <w:tab w:val="left" w:pos="720"/>
          <w:tab w:val="left" w:pos="5040"/>
        </w:tabs>
        <w:jc w:val="both"/>
        <w:rPr>
          <w:rFonts w:ascii="Arial" w:hAnsi="Arial" w:cs="Arial"/>
          <w:sz w:val="20"/>
        </w:rPr>
      </w:pPr>
      <w:r w:rsidRPr="00111D82">
        <w:rPr>
          <w:rFonts w:ascii="Arial" w:hAnsi="Arial" w:cs="Arial"/>
          <w:sz w:val="20"/>
        </w:rPr>
        <w:tab/>
        <w:t>For the purposes of calculating maximum annual electric savings resulting from lighting, electric savings resulting from lighting interaction with mechanical equipment and from lighting controls will be considered to be lighting savings.</w:t>
      </w:r>
    </w:p>
    <w:p w:rsidR="00FC6657" w:rsidRPr="00111D82" w:rsidRDefault="00FC6657" w:rsidP="00FC6657">
      <w:pPr>
        <w:tabs>
          <w:tab w:val="left" w:pos="360"/>
          <w:tab w:val="left" w:pos="5040"/>
        </w:tabs>
        <w:jc w:val="both"/>
        <w:rPr>
          <w:rFonts w:ascii="Arial" w:hAnsi="Arial" w:cs="Arial"/>
          <w:sz w:val="20"/>
        </w:rPr>
      </w:pPr>
    </w:p>
    <w:p w:rsidR="00FC6657" w:rsidRPr="00111D82" w:rsidRDefault="00FC6657" w:rsidP="00FC6657">
      <w:pPr>
        <w:tabs>
          <w:tab w:val="left" w:pos="720"/>
          <w:tab w:val="left" w:pos="5040"/>
        </w:tabs>
        <w:jc w:val="both"/>
        <w:rPr>
          <w:rFonts w:ascii="Arial" w:hAnsi="Arial" w:cs="Arial"/>
          <w:sz w:val="20"/>
        </w:rPr>
      </w:pPr>
      <w:r w:rsidRPr="00111D82">
        <w:rPr>
          <w:rFonts w:ascii="Arial" w:hAnsi="Arial" w:cs="Arial"/>
          <w:sz w:val="20"/>
        </w:rPr>
        <w:tab/>
        <w:t>The ten percent whole building energy savings threshold shall be calculated as follows: The Energy Efficiency Project must reduce the proposed electric energy consumption by at least 10% when compared to the baseline level of whole building electric consumption that would have resulted under the current Washington energy code.  The date of the building permit application shall establish the current version of the code.</w:t>
      </w:r>
    </w:p>
    <w:p w:rsidR="00FC6657" w:rsidRPr="00111D82" w:rsidRDefault="00FC6657" w:rsidP="00FC6657">
      <w:pPr>
        <w:tabs>
          <w:tab w:val="left" w:pos="360"/>
          <w:tab w:val="left" w:pos="5040"/>
        </w:tabs>
        <w:jc w:val="both"/>
        <w:rPr>
          <w:rFonts w:ascii="Arial" w:hAnsi="Arial" w:cs="Arial"/>
          <w:sz w:val="20"/>
        </w:rPr>
      </w:pPr>
      <w:r w:rsidRPr="00111D82">
        <w:rPr>
          <w:rFonts w:ascii="Arial" w:hAnsi="Arial" w:cs="Arial"/>
          <w:sz w:val="20"/>
        </w:rPr>
        <w:tab/>
      </w:r>
    </w:p>
    <w:p w:rsidR="00174387" w:rsidRDefault="00174387" w:rsidP="0017438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74387" w:rsidRDefault="00174387" w:rsidP="00174387">
      <w:pPr>
        <w:pStyle w:val="Footer"/>
        <w:pBdr>
          <w:bottom w:val="single" w:sz="6" w:space="0" w:color="auto"/>
        </w:pBdr>
        <w:tabs>
          <w:tab w:val="clear" w:pos="4680"/>
        </w:tabs>
        <w:ind w:left="900" w:hanging="900"/>
        <w:jc w:val="center"/>
        <w:rPr>
          <w:rFonts w:ascii="Arial" w:hAnsi="Arial" w:cs="Arial"/>
          <w:sz w:val="20"/>
        </w:rPr>
      </w:pPr>
    </w:p>
    <w:p w:rsidR="00174387" w:rsidRDefault="00174387" w:rsidP="0017438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174387" w:rsidRDefault="00174387" w:rsidP="0017438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174387" w:rsidRDefault="00174387" w:rsidP="0017438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4387" w:rsidRDefault="0069608B" w:rsidP="0017438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7923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207"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51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8"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4387" w:rsidRPr="004043D5" w:rsidRDefault="0069608B" w:rsidP="00174387">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823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09"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128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21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025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21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820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1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71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61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1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41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1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74387">
        <w:rPr>
          <w:rFonts w:ascii="Arial" w:hAnsi="Arial" w:cs="Arial"/>
          <w:sz w:val="20"/>
        </w:rPr>
        <w:t>By:  _________________________ Andrea L. Kelly</w:t>
      </w:r>
      <w:r w:rsidR="00174387">
        <w:rPr>
          <w:rFonts w:ascii="Arial" w:hAnsi="Arial" w:cs="Arial"/>
          <w:sz w:val="20"/>
        </w:rPr>
        <w:tab/>
      </w:r>
      <w:r w:rsidR="00174387">
        <w:rPr>
          <w:rFonts w:ascii="Arial" w:hAnsi="Arial" w:cs="Arial"/>
          <w:b/>
          <w:sz w:val="20"/>
        </w:rPr>
        <w:t>Title:</w:t>
      </w:r>
      <w:r w:rsidR="00174387">
        <w:rPr>
          <w:rFonts w:ascii="Arial" w:hAnsi="Arial" w:cs="Arial"/>
          <w:sz w:val="20"/>
        </w:rPr>
        <w:t xml:space="preserve">  Vice President, Regulation</w:t>
      </w:r>
    </w:p>
    <w:p w:rsidR="00174387" w:rsidRPr="00111D82" w:rsidRDefault="00174387" w:rsidP="007D7D69">
      <w:pPr>
        <w:rPr>
          <w:rFonts w:ascii="Times New Roman" w:hAnsi="Times New Roman"/>
          <w:sz w:val="24"/>
          <w:szCs w:val="24"/>
          <w:highlight w:val="yellow"/>
        </w:rPr>
        <w:sectPr w:rsidR="00174387" w:rsidRPr="00111D82" w:rsidSect="001B376C">
          <w:headerReference w:type="default" r:id="rId56"/>
          <w:pgSz w:w="12240" w:h="15840" w:code="1"/>
          <w:pgMar w:top="1440" w:right="1080" w:bottom="1440" w:left="1440" w:header="720" w:footer="720" w:gutter="0"/>
          <w:cols w:space="720"/>
          <w:docGrid w:linePitch="360"/>
        </w:sectPr>
      </w:pPr>
    </w:p>
    <w:p w:rsidR="00174387" w:rsidRDefault="00174387" w:rsidP="001342D3">
      <w:pPr>
        <w:tabs>
          <w:tab w:val="left" w:pos="360"/>
          <w:tab w:val="left" w:pos="720"/>
          <w:tab w:val="left" w:pos="5040"/>
        </w:tabs>
        <w:jc w:val="both"/>
        <w:rPr>
          <w:rFonts w:ascii="Arial" w:hAnsi="Arial" w:cs="Arial"/>
          <w:sz w:val="20"/>
          <w:u w:val="single"/>
        </w:rPr>
      </w:pPr>
    </w:p>
    <w:p w:rsidR="001342D3" w:rsidRPr="00111D82" w:rsidRDefault="001342D3" w:rsidP="001342D3">
      <w:pPr>
        <w:tabs>
          <w:tab w:val="left" w:pos="360"/>
          <w:tab w:val="left" w:pos="720"/>
          <w:tab w:val="left" w:pos="5040"/>
        </w:tabs>
        <w:jc w:val="both"/>
        <w:rPr>
          <w:rFonts w:ascii="Arial" w:hAnsi="Arial" w:cs="Arial"/>
          <w:sz w:val="20"/>
        </w:rPr>
      </w:pPr>
      <w:r w:rsidRPr="00111D82">
        <w:rPr>
          <w:rFonts w:ascii="Arial" w:hAnsi="Arial" w:cs="Arial"/>
          <w:sz w:val="20"/>
          <w:u w:val="single"/>
        </w:rPr>
        <w:t>INCENTIVES FOR ENERGY EFFICIENCY PROJECTS:</w:t>
      </w:r>
      <w:r w:rsidRPr="00111D82">
        <w:rPr>
          <w:rFonts w:ascii="Arial" w:hAnsi="Arial" w:cs="Arial"/>
          <w:sz w:val="20"/>
        </w:rPr>
        <w:t xml:space="preserve"> (continued)</w:t>
      </w:r>
    </w:p>
    <w:p w:rsidR="001342D3" w:rsidRPr="00111D82" w:rsidRDefault="001342D3" w:rsidP="001342D3">
      <w:pPr>
        <w:tabs>
          <w:tab w:val="left" w:pos="360"/>
          <w:tab w:val="left" w:pos="720"/>
          <w:tab w:val="left" w:pos="5040"/>
        </w:tabs>
        <w:rPr>
          <w:rFonts w:ascii="Arial" w:hAnsi="Arial" w:cs="Arial"/>
          <w:sz w:val="20"/>
        </w:rPr>
      </w:pPr>
      <w:r w:rsidRPr="00111D82">
        <w:rPr>
          <w:rFonts w:ascii="Arial" w:hAnsi="Arial" w:cs="Arial"/>
          <w:sz w:val="20"/>
        </w:rPr>
        <w:tab/>
      </w:r>
      <w:r w:rsidRPr="00111D82">
        <w:rPr>
          <w:rFonts w:ascii="Arial" w:hAnsi="Arial" w:cs="Arial"/>
          <w:sz w:val="20"/>
        </w:rPr>
        <w:tab/>
        <w:t xml:space="preserve">The Customer or Owner may receive only one financial incentive from the Company per EEM. Design team incentives are available per Table 1 and the terms posted on the Washington energy efficiency program page of the Company web site. </w:t>
      </w:r>
    </w:p>
    <w:p w:rsidR="001342D3" w:rsidRPr="00111D82" w:rsidRDefault="001342D3" w:rsidP="001342D3">
      <w:pPr>
        <w:tabs>
          <w:tab w:val="left" w:pos="360"/>
          <w:tab w:val="left" w:pos="5040"/>
        </w:tabs>
        <w:rPr>
          <w:rFonts w:ascii="Arial" w:hAnsi="Arial" w:cs="Arial"/>
          <w:b/>
          <w:sz w:val="20"/>
          <w:u w:val="single"/>
        </w:rPr>
      </w:pPr>
    </w:p>
    <w:p w:rsidR="001342D3" w:rsidRPr="00111D82" w:rsidRDefault="001342D3" w:rsidP="001342D3">
      <w:pPr>
        <w:tabs>
          <w:tab w:val="left" w:pos="360"/>
          <w:tab w:val="left" w:pos="720"/>
          <w:tab w:val="left" w:pos="5040"/>
        </w:tabs>
        <w:jc w:val="both"/>
        <w:rPr>
          <w:rFonts w:ascii="Arial" w:hAnsi="Arial" w:cs="Arial"/>
          <w:sz w:val="20"/>
        </w:rPr>
      </w:pPr>
      <w:r w:rsidRPr="00111D82">
        <w:rPr>
          <w:rFonts w:ascii="Arial" w:hAnsi="Arial" w:cs="Arial"/>
          <w:sz w:val="20"/>
          <w:u w:val="single"/>
        </w:rPr>
        <w:t>PROVISIONS OF SERVICE:</w:t>
      </w:r>
    </w:p>
    <w:p w:rsidR="001342D3" w:rsidRPr="00111D82" w:rsidRDefault="001342D3" w:rsidP="00ED2D31">
      <w:pPr>
        <w:pStyle w:val="ListParagraph"/>
        <w:numPr>
          <w:ilvl w:val="0"/>
          <w:numId w:val="18"/>
        </w:numPr>
        <w:ind w:hanging="720"/>
        <w:jc w:val="both"/>
        <w:rPr>
          <w:rFonts w:ascii="Arial" w:hAnsi="Arial" w:cs="Arial"/>
          <w:sz w:val="20"/>
        </w:rPr>
      </w:pPr>
      <w:r w:rsidRPr="00111D82">
        <w:rPr>
          <w:rFonts w:ascii="Arial" w:hAnsi="Arial" w:cs="Arial"/>
          <w:b/>
          <w:sz w:val="20"/>
        </w:rPr>
        <w:t>Energy Analysis</w:t>
      </w:r>
    </w:p>
    <w:p w:rsidR="001342D3" w:rsidRPr="00111D82" w:rsidRDefault="001342D3" w:rsidP="001342D3">
      <w:pPr>
        <w:tabs>
          <w:tab w:val="left" w:pos="720"/>
          <w:tab w:val="left" w:pos="5040"/>
        </w:tabs>
        <w:jc w:val="both"/>
        <w:rPr>
          <w:rFonts w:ascii="Arial" w:hAnsi="Arial" w:cs="Arial"/>
          <w:sz w:val="20"/>
        </w:rPr>
      </w:pPr>
      <w:r w:rsidRPr="00111D82">
        <w:rPr>
          <w:rFonts w:ascii="Arial" w:hAnsi="Arial" w:cs="Arial"/>
          <w:sz w:val="20"/>
        </w:rPr>
        <w:t>Company shall meet with Customer or Owner and any design team and may perform an initial site visit/plans review to determine what EEMs may be appropriate for an energy analysis.</w:t>
      </w:r>
    </w:p>
    <w:p w:rsidR="001342D3" w:rsidRPr="00111D82" w:rsidRDefault="001342D3" w:rsidP="001342D3">
      <w:pPr>
        <w:tabs>
          <w:tab w:val="left" w:pos="360"/>
          <w:tab w:val="left" w:pos="720"/>
          <w:tab w:val="left" w:pos="5040"/>
        </w:tabs>
        <w:jc w:val="both"/>
        <w:rPr>
          <w:rFonts w:ascii="Arial" w:hAnsi="Arial" w:cs="Arial"/>
          <w:sz w:val="20"/>
        </w:rPr>
      </w:pPr>
    </w:p>
    <w:p w:rsidR="001342D3" w:rsidRPr="00111D82" w:rsidRDefault="001342D3" w:rsidP="00ED2D31">
      <w:pPr>
        <w:pStyle w:val="ListParagraph"/>
        <w:numPr>
          <w:ilvl w:val="0"/>
          <w:numId w:val="18"/>
        </w:numPr>
        <w:tabs>
          <w:tab w:val="left" w:pos="720"/>
          <w:tab w:val="left" w:pos="5040"/>
        </w:tabs>
        <w:ind w:hanging="720"/>
        <w:jc w:val="both"/>
        <w:rPr>
          <w:rFonts w:ascii="Arial" w:hAnsi="Arial" w:cs="Arial"/>
          <w:sz w:val="20"/>
        </w:rPr>
      </w:pPr>
      <w:r w:rsidRPr="00111D82">
        <w:rPr>
          <w:rFonts w:ascii="Arial" w:hAnsi="Arial" w:cs="Arial"/>
          <w:b/>
          <w:sz w:val="20"/>
        </w:rPr>
        <w:t>Supplemental Services</w:t>
      </w:r>
      <w:r w:rsidRPr="00111D82">
        <w:rPr>
          <w:rFonts w:ascii="Arial" w:hAnsi="Arial" w:cs="Arial"/>
          <w:sz w:val="20"/>
        </w:rPr>
        <w:t xml:space="preserve">  </w:t>
      </w:r>
    </w:p>
    <w:p w:rsidR="001342D3" w:rsidRPr="00111D82" w:rsidRDefault="001342D3" w:rsidP="001342D3">
      <w:pPr>
        <w:tabs>
          <w:tab w:val="left" w:pos="360"/>
          <w:tab w:val="left" w:pos="720"/>
          <w:tab w:val="left" w:pos="5040"/>
        </w:tabs>
        <w:jc w:val="both"/>
        <w:rPr>
          <w:rFonts w:ascii="Arial" w:hAnsi="Arial" w:cs="Arial"/>
          <w:sz w:val="20"/>
        </w:rPr>
      </w:pPr>
      <w:r w:rsidRPr="00111D82">
        <w:rPr>
          <w:rFonts w:ascii="Arial" w:hAnsi="Arial" w:cs="Arial"/>
          <w:sz w:val="20"/>
        </w:rPr>
        <w:t>Company may offer Supplemental Services beyond those described elsewhere in this Tariff Schedule through a Supplemental Services Agreement. Supplemental services shall include, but are not limited to: detailed design, life cycle costs calculations or compliance documentation for green or high performance building standards.  Company will negotiate the amount and terms of the supplemental services on a project specific basis and may require any or all of the following: installation of EEMs delivering a certain amount of annual kWh savings, offset of a portion of the available incentive or direct reimbursement of a portion (up to 100%) of the direct Company costs for the service provided.</w:t>
      </w:r>
    </w:p>
    <w:p w:rsidR="001342D3" w:rsidRPr="00111D82" w:rsidRDefault="001342D3" w:rsidP="001342D3">
      <w:pPr>
        <w:tabs>
          <w:tab w:val="left" w:pos="360"/>
          <w:tab w:val="left" w:pos="720"/>
          <w:tab w:val="left" w:pos="5040"/>
        </w:tabs>
        <w:jc w:val="both"/>
        <w:rPr>
          <w:rFonts w:ascii="Arial" w:hAnsi="Arial" w:cs="Arial"/>
          <w:sz w:val="20"/>
        </w:rPr>
      </w:pPr>
    </w:p>
    <w:p w:rsidR="001342D3" w:rsidRPr="00111D82" w:rsidRDefault="001342D3" w:rsidP="001342D3">
      <w:pPr>
        <w:tabs>
          <w:tab w:val="left" w:pos="720"/>
          <w:tab w:val="left" w:pos="5040"/>
        </w:tabs>
        <w:jc w:val="both"/>
        <w:rPr>
          <w:rFonts w:ascii="Arial" w:hAnsi="Arial" w:cs="Arial"/>
          <w:sz w:val="20"/>
        </w:rPr>
      </w:pPr>
      <w:r w:rsidRPr="00111D82">
        <w:rPr>
          <w:rFonts w:ascii="Arial" w:hAnsi="Arial" w:cs="Arial"/>
          <w:sz w:val="20"/>
        </w:rPr>
        <w:t>(3)</w:t>
      </w:r>
      <w:r w:rsidRPr="00111D82">
        <w:rPr>
          <w:rFonts w:ascii="Arial" w:hAnsi="Arial" w:cs="Arial"/>
          <w:sz w:val="20"/>
        </w:rPr>
        <w:tab/>
      </w:r>
      <w:r w:rsidRPr="00111D82">
        <w:rPr>
          <w:rFonts w:ascii="Arial" w:hAnsi="Arial" w:cs="Arial"/>
          <w:b/>
          <w:sz w:val="20"/>
        </w:rPr>
        <w:t>EEM Inspection</w:t>
      </w:r>
    </w:p>
    <w:p w:rsidR="001342D3" w:rsidRPr="00111D82" w:rsidRDefault="001342D3" w:rsidP="001342D3">
      <w:pPr>
        <w:tabs>
          <w:tab w:val="left" w:pos="720"/>
          <w:tab w:val="left" w:pos="5040"/>
        </w:tabs>
        <w:jc w:val="both"/>
        <w:rPr>
          <w:rFonts w:ascii="Arial" w:hAnsi="Arial" w:cs="Arial"/>
          <w:sz w:val="20"/>
        </w:rPr>
      </w:pPr>
      <w:r w:rsidRPr="00111D82">
        <w:rPr>
          <w:rFonts w:ascii="Arial" w:hAnsi="Arial" w:cs="Arial"/>
          <w:sz w:val="20"/>
        </w:rPr>
        <w:t>Company will inspect any EEMs which are funded by or installed under this program.  Satisfactory inspection by Company will be required prior to receiving Energy Efficiency Incentives specified in the Energy Efficiency Incentive Agreement.</w:t>
      </w:r>
    </w:p>
    <w:p w:rsidR="001342D3" w:rsidRPr="00111D82" w:rsidRDefault="001342D3" w:rsidP="001342D3">
      <w:pPr>
        <w:tabs>
          <w:tab w:val="left" w:pos="360"/>
          <w:tab w:val="left" w:pos="720"/>
          <w:tab w:val="left" w:pos="5040"/>
        </w:tabs>
        <w:rPr>
          <w:rFonts w:ascii="Arial" w:hAnsi="Arial" w:cs="Arial"/>
          <w:sz w:val="20"/>
        </w:rPr>
      </w:pPr>
    </w:p>
    <w:p w:rsidR="001342D3" w:rsidRPr="00111D82" w:rsidRDefault="001342D3" w:rsidP="00ED2D31">
      <w:pPr>
        <w:pStyle w:val="BodyTextIndent"/>
        <w:numPr>
          <w:ilvl w:val="0"/>
          <w:numId w:val="17"/>
        </w:numPr>
        <w:tabs>
          <w:tab w:val="clear" w:pos="360"/>
        </w:tabs>
        <w:spacing w:after="0"/>
        <w:ind w:left="0" w:firstLine="0"/>
        <w:jc w:val="both"/>
        <w:rPr>
          <w:rFonts w:ascii="Arial" w:hAnsi="Arial" w:cs="Arial"/>
          <w:b/>
          <w:sz w:val="20"/>
        </w:rPr>
      </w:pPr>
      <w:r w:rsidRPr="00111D82">
        <w:rPr>
          <w:rFonts w:ascii="Arial" w:hAnsi="Arial" w:cs="Arial"/>
          <w:b/>
          <w:sz w:val="20"/>
        </w:rPr>
        <w:t xml:space="preserve">EEM Commissioning </w:t>
      </w:r>
    </w:p>
    <w:p w:rsidR="001342D3" w:rsidRPr="00111D82" w:rsidRDefault="001342D3" w:rsidP="001342D3">
      <w:pPr>
        <w:pStyle w:val="BodyTextIndent"/>
        <w:spacing w:after="0"/>
        <w:ind w:left="0"/>
        <w:jc w:val="both"/>
        <w:rPr>
          <w:rFonts w:ascii="Arial" w:hAnsi="Arial" w:cs="Arial"/>
          <w:sz w:val="20"/>
        </w:rPr>
      </w:pPr>
      <w:r w:rsidRPr="00111D82">
        <w:rPr>
          <w:rFonts w:ascii="Arial" w:hAnsi="Arial" w:cs="Arial"/>
          <w:sz w:val="20"/>
        </w:rPr>
        <w:t>Company will require that EEMs as specified in the Energy Efficiency Incentive Agreement be commissioned prior to receiving Energy Efficiency Incentives specified in the Energy Efficiency Incentive Agreement.</w:t>
      </w:r>
    </w:p>
    <w:p w:rsidR="001342D3" w:rsidRPr="00111D82" w:rsidRDefault="001342D3" w:rsidP="001342D3">
      <w:pPr>
        <w:pStyle w:val="BodyTextIndent"/>
        <w:spacing w:after="0"/>
        <w:jc w:val="both"/>
        <w:rPr>
          <w:rFonts w:ascii="Arial" w:hAnsi="Arial" w:cs="Arial"/>
          <w:sz w:val="20"/>
        </w:rPr>
      </w:pPr>
    </w:p>
    <w:p w:rsidR="001342D3" w:rsidRPr="00111D82" w:rsidRDefault="001342D3" w:rsidP="001342D3">
      <w:pPr>
        <w:jc w:val="both"/>
        <w:rPr>
          <w:rFonts w:ascii="Arial" w:hAnsi="Arial" w:cs="Arial"/>
          <w:sz w:val="20"/>
        </w:rPr>
      </w:pPr>
      <w:r w:rsidRPr="00111D82">
        <w:rPr>
          <w:rFonts w:ascii="Arial" w:hAnsi="Arial" w:cs="Arial"/>
          <w:sz w:val="20"/>
        </w:rPr>
        <w:t>(4a)</w:t>
      </w:r>
      <w:r w:rsidRPr="00111D82">
        <w:rPr>
          <w:rFonts w:ascii="Arial" w:hAnsi="Arial" w:cs="Arial"/>
          <w:b/>
          <w:sz w:val="20"/>
        </w:rPr>
        <w:t xml:space="preserve"> </w:t>
      </w:r>
      <w:r w:rsidRPr="00111D82">
        <w:rPr>
          <w:rFonts w:ascii="Arial" w:hAnsi="Arial" w:cs="Arial"/>
          <w:b/>
          <w:sz w:val="20"/>
        </w:rPr>
        <w:tab/>
        <w:t xml:space="preserve">Commissioning Opt-Out:  </w:t>
      </w:r>
      <w:r w:rsidRPr="00111D82">
        <w:rPr>
          <w:rFonts w:ascii="Arial" w:hAnsi="Arial" w:cs="Arial"/>
          <w:sz w:val="20"/>
        </w:rPr>
        <w:t xml:space="preserve">Required EEM Commissioning may be omitted with the following adjustments. Annual kWh savings, Average Monthly kW savings and eligible EEM Costs will </w:t>
      </w:r>
      <w:r w:rsidRPr="00111D82">
        <w:rPr>
          <w:rFonts w:ascii="Arial" w:hAnsi="Arial" w:cs="Arial"/>
          <w:sz w:val="20"/>
          <w:u w:val="single"/>
        </w:rPr>
        <w:t>all</w:t>
      </w:r>
      <w:r w:rsidRPr="00111D82">
        <w:rPr>
          <w:rFonts w:ascii="Arial" w:hAnsi="Arial" w:cs="Arial"/>
          <w:sz w:val="20"/>
        </w:rPr>
        <w:t xml:space="preserve"> be reduced by 20% prior to calculation of the eligible Energy Efficiency Project Incentive. EEMs where the Owner or Customer has “opted–out” of EEM Commissioning that are later commissioned are not eligible for an additional incentive after the Energy Efficiency Project Incentive is paid.</w:t>
      </w:r>
    </w:p>
    <w:p w:rsidR="001342D3" w:rsidRPr="00111D82" w:rsidRDefault="001342D3" w:rsidP="001342D3">
      <w:pPr>
        <w:tabs>
          <w:tab w:val="left" w:pos="360"/>
        </w:tabs>
        <w:jc w:val="both"/>
        <w:rPr>
          <w:rFonts w:ascii="Arial" w:hAnsi="Arial" w:cs="Arial"/>
          <w:sz w:val="20"/>
        </w:rPr>
      </w:pPr>
    </w:p>
    <w:p w:rsidR="001342D3" w:rsidRPr="00111D82" w:rsidRDefault="001342D3" w:rsidP="001342D3">
      <w:pPr>
        <w:pStyle w:val="BodyTextIndent2"/>
        <w:spacing w:after="0" w:line="240" w:lineRule="auto"/>
        <w:ind w:left="0"/>
        <w:rPr>
          <w:rFonts w:cs="Arial"/>
        </w:rPr>
      </w:pPr>
      <w:r w:rsidRPr="00111D82">
        <w:rPr>
          <w:rFonts w:cs="Arial"/>
        </w:rPr>
        <w:t>(5)</w:t>
      </w:r>
      <w:r w:rsidRPr="00111D82">
        <w:rPr>
          <w:rFonts w:cs="Arial"/>
        </w:rPr>
        <w:tab/>
      </w:r>
      <w:r w:rsidRPr="00111D82">
        <w:rPr>
          <w:rFonts w:cs="Arial"/>
          <w:b/>
        </w:rPr>
        <w:t>Measure Performance Verification/Evaluation</w:t>
      </w:r>
    </w:p>
    <w:p w:rsidR="001342D3" w:rsidRPr="00111D82" w:rsidRDefault="001342D3" w:rsidP="001342D3">
      <w:pPr>
        <w:pStyle w:val="BodyTextIndent2"/>
        <w:spacing w:after="0" w:line="240" w:lineRule="auto"/>
        <w:ind w:left="0"/>
        <w:jc w:val="both"/>
        <w:rPr>
          <w:rFonts w:ascii="Arial" w:eastAsia="Times New Roman" w:hAnsi="Arial" w:cs="Arial"/>
          <w:sz w:val="20"/>
          <w:szCs w:val="20"/>
          <w:lang w:eastAsia="ko-KR"/>
        </w:rPr>
      </w:pPr>
      <w:r w:rsidRPr="00111D82">
        <w:rPr>
          <w:rFonts w:ascii="Arial" w:eastAsia="Times New Roman" w:hAnsi="Arial" w:cs="Arial"/>
          <w:sz w:val="20"/>
          <w:szCs w:val="20"/>
          <w:lang w:eastAsia="ko-KR"/>
        </w:rPr>
        <w:t>Company may verify or evaluate the energy savings of installed Energy Efficiency Measures specified in the Energy Efficiency Incentive Agreement.  This verification may include a telephone survey, site visit, review of plant operation characteristics, and pre- and post-installation of monitoring equipment as necessary to quantify actual energy savings.</w:t>
      </w:r>
    </w:p>
    <w:p w:rsidR="001342D3" w:rsidRPr="00111D82" w:rsidRDefault="001342D3" w:rsidP="001342D3">
      <w:pPr>
        <w:tabs>
          <w:tab w:val="left" w:pos="360"/>
          <w:tab w:val="left" w:pos="5040"/>
        </w:tabs>
        <w:jc w:val="both"/>
        <w:rPr>
          <w:rFonts w:ascii="Arial" w:hAnsi="Arial" w:cs="Arial"/>
          <w:sz w:val="20"/>
        </w:rPr>
      </w:pPr>
      <w:r w:rsidRPr="00111D82">
        <w:rPr>
          <w:rFonts w:ascii="Arial" w:hAnsi="Arial" w:cs="Arial"/>
          <w:sz w:val="20"/>
        </w:rPr>
        <w:tab/>
      </w:r>
    </w:p>
    <w:p w:rsidR="00C06AAC" w:rsidRPr="00111D82" w:rsidRDefault="00C06AAC" w:rsidP="007D7D69">
      <w:pPr>
        <w:rPr>
          <w:rFonts w:ascii="Times New Roman" w:hAnsi="Times New Roman"/>
          <w:sz w:val="24"/>
          <w:szCs w:val="24"/>
          <w:highlight w:val="yellow"/>
        </w:rPr>
        <w:sectPr w:rsidR="00C06AAC" w:rsidRPr="00111D82" w:rsidSect="001B376C">
          <w:headerReference w:type="default" r:id="rId57"/>
          <w:pgSz w:w="12240" w:h="15840" w:code="1"/>
          <w:pgMar w:top="1440" w:right="1080" w:bottom="1440" w:left="1440" w:header="720" w:footer="720" w:gutter="0"/>
          <w:cols w:space="720"/>
          <w:docGrid w:linePitch="360"/>
        </w:sectPr>
      </w:pPr>
    </w:p>
    <w:p w:rsidR="00174387" w:rsidRPr="00EA0957" w:rsidRDefault="000A75FE" w:rsidP="0017438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 id="AutoShape 35" o:spid="_x0000_s1042" type="#_x0000_t32" style="position:absolute;margin-left:383.25pt;margin-top:-19.45pt;width:0;height:114.7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"/>
        </w:pict>
      </w:r>
      <w:r w:rsidRPr="000A75FE">
        <w:rPr>
          <w:rFonts w:ascii="Courier New" w:hAnsi="Courier New"/>
          <w:noProof/>
          <w:sz w:val="18"/>
          <w:szCs w:val="20"/>
        </w:rPr>
        <w:pict>
          <v:shape id="AutoShape 36" o:spid="_x0000_s1043" type="#_x0000_t32" style="position:absolute;margin-left:383.25pt;margin-top:-5.65pt;width:0;height:114.7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CHw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"/>
        </w:pict>
      </w:r>
      <w:r w:rsidR="00174387">
        <w:rPr>
          <w:rFonts w:ascii="Arial" w:hAnsi="Arial" w:cs="Arial"/>
          <w:b/>
          <w:noProof/>
          <w:sz w:val="24"/>
          <w:szCs w:val="24"/>
        </w:rPr>
        <w:t>PACIFIC POWER &amp; LIGHT COMPANY</w:t>
      </w:r>
    </w:p>
    <w:p w:rsidR="00174387" w:rsidRDefault="00174387" w:rsidP="0017438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74387" w:rsidRPr="00CD01ED" w:rsidRDefault="00174387" w:rsidP="0017438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74387" w:rsidRDefault="00174387" w:rsidP="00174387">
      <w:pPr>
        <w:tabs>
          <w:tab w:val="left" w:pos="7200"/>
        </w:tabs>
        <w:ind w:right="2160"/>
        <w:jc w:val="right"/>
        <w:rPr>
          <w:rFonts w:ascii="Arial" w:hAnsi="Arial" w:cs="Arial"/>
          <w:sz w:val="20"/>
        </w:rPr>
      </w:pPr>
    </w:p>
    <w:p w:rsidR="00174387" w:rsidRDefault="00174387" w:rsidP="00174387">
      <w:pPr>
        <w:tabs>
          <w:tab w:val="left" w:pos="7200"/>
        </w:tabs>
        <w:ind w:right="2160"/>
        <w:jc w:val="right"/>
        <w:rPr>
          <w:rFonts w:ascii="Arial" w:hAnsi="Arial" w:cs="Arial"/>
          <w:sz w:val="20"/>
        </w:rPr>
      </w:pPr>
      <w:r>
        <w:rPr>
          <w:rFonts w:ascii="Arial" w:hAnsi="Arial" w:cs="Arial"/>
          <w:sz w:val="20"/>
        </w:rPr>
        <w:t>Original Sheet No. 125.6</w:t>
      </w:r>
    </w:p>
    <w:p w:rsidR="00174387" w:rsidRDefault="00174387" w:rsidP="00174387">
      <w:pPr>
        <w:rPr>
          <w:rFonts w:ascii="Arial" w:hAnsi="Arial" w:cs="Arial"/>
          <w:sz w:val="20"/>
        </w:rPr>
      </w:pPr>
      <w:r>
        <w:rPr>
          <w:rFonts w:ascii="Arial" w:hAnsi="Arial" w:cs="Arial"/>
          <w:sz w:val="20"/>
        </w:rPr>
        <w:tab/>
      </w:r>
    </w:p>
    <w:p w:rsidR="00174387" w:rsidRPr="00CF64E6" w:rsidRDefault="00174387" w:rsidP="00174387">
      <w:pPr>
        <w:tabs>
          <w:tab w:val="left" w:pos="7200"/>
        </w:tabs>
        <w:ind w:right="2160"/>
        <w:rPr>
          <w:rFonts w:ascii="Arial" w:hAnsi="Arial" w:cs="Arial"/>
          <w:b/>
          <w:sz w:val="24"/>
          <w:szCs w:val="24"/>
        </w:rPr>
      </w:pPr>
      <w:r>
        <w:rPr>
          <w:rFonts w:ascii="Arial" w:hAnsi="Arial" w:cs="Arial"/>
          <w:b/>
          <w:sz w:val="24"/>
          <w:szCs w:val="24"/>
        </w:rPr>
        <w:t>Schedule 125</w:t>
      </w:r>
    </w:p>
    <w:p w:rsidR="00174387" w:rsidRDefault="00174387" w:rsidP="00174387">
      <w:pPr>
        <w:pBdr>
          <w:bottom w:val="single" w:sz="12" w:space="1" w:color="auto"/>
        </w:pBdr>
        <w:rPr>
          <w:rFonts w:ascii="Arial" w:hAnsi="Arial" w:cs="Arial"/>
          <w:b/>
          <w:sz w:val="20"/>
        </w:rPr>
      </w:pPr>
      <w:r>
        <w:rPr>
          <w:rFonts w:ascii="Arial" w:hAnsi="Arial" w:cs="Arial"/>
          <w:b/>
          <w:sz w:val="20"/>
        </w:rPr>
        <w:t>COMMERCIAL &amp; INDUSTRIAL ENERGY SERVICES – OPTIONAL FOR</w:t>
      </w:r>
    </w:p>
    <w:p w:rsidR="00174387" w:rsidRPr="009B779C" w:rsidRDefault="00174387" w:rsidP="00174387">
      <w:pPr>
        <w:pBdr>
          <w:bottom w:val="single" w:sz="12" w:space="1" w:color="auto"/>
        </w:pBdr>
        <w:rPr>
          <w:rFonts w:ascii="Arial" w:hAnsi="Arial" w:cs="Arial"/>
          <w:b/>
          <w:sz w:val="20"/>
        </w:rPr>
      </w:pPr>
      <w:r>
        <w:rPr>
          <w:rFonts w:ascii="Arial" w:hAnsi="Arial" w:cs="Arial"/>
          <w:b/>
          <w:sz w:val="20"/>
        </w:rPr>
        <w:t>QUALIFYING CUSTOMERS</w:t>
      </w:r>
    </w:p>
    <w:p w:rsidR="008E601F" w:rsidRPr="00111D82" w:rsidRDefault="008E601F" w:rsidP="008E601F">
      <w:pPr>
        <w:tabs>
          <w:tab w:val="left" w:pos="360"/>
          <w:tab w:val="left" w:pos="720"/>
          <w:tab w:val="left" w:pos="5040"/>
        </w:tabs>
        <w:jc w:val="both"/>
        <w:rPr>
          <w:rFonts w:ascii="Arial" w:hAnsi="Arial" w:cs="Arial"/>
          <w:sz w:val="20"/>
        </w:rPr>
      </w:pPr>
      <w:r w:rsidRPr="00111D82">
        <w:rPr>
          <w:rFonts w:ascii="Arial" w:hAnsi="Arial" w:cs="Arial"/>
          <w:sz w:val="20"/>
          <w:u w:val="single"/>
        </w:rPr>
        <w:t>PROVISIONS OF SERVICE:</w:t>
      </w:r>
      <w:r w:rsidRPr="00111D82">
        <w:rPr>
          <w:rFonts w:ascii="Arial" w:hAnsi="Arial" w:cs="Arial"/>
          <w:sz w:val="20"/>
        </w:rPr>
        <w:t xml:space="preserve"> (continued)</w:t>
      </w:r>
    </w:p>
    <w:p w:rsidR="008E601F" w:rsidRPr="00111D82" w:rsidRDefault="008E601F" w:rsidP="008E601F">
      <w:pPr>
        <w:tabs>
          <w:tab w:val="left" w:pos="0"/>
          <w:tab w:val="left" w:pos="720"/>
          <w:tab w:val="left" w:pos="5040"/>
        </w:tabs>
        <w:jc w:val="both"/>
        <w:rPr>
          <w:rFonts w:ascii="Arial" w:hAnsi="Arial" w:cs="Arial"/>
          <w:sz w:val="20"/>
        </w:rPr>
      </w:pPr>
      <w:r w:rsidRPr="00111D82">
        <w:rPr>
          <w:rFonts w:ascii="Arial" w:hAnsi="Arial" w:cs="Arial"/>
          <w:sz w:val="20"/>
        </w:rPr>
        <w:t>(6)</w:t>
      </w:r>
      <w:r w:rsidRPr="00111D82">
        <w:rPr>
          <w:rFonts w:ascii="Arial" w:hAnsi="Arial" w:cs="Arial"/>
          <w:sz w:val="20"/>
        </w:rPr>
        <w:tab/>
        <w:t xml:space="preserve"> </w:t>
      </w:r>
      <w:r w:rsidRPr="00111D82">
        <w:rPr>
          <w:rFonts w:ascii="Arial" w:hAnsi="Arial" w:cs="Arial"/>
          <w:b/>
          <w:sz w:val="20"/>
        </w:rPr>
        <w:t>Minimum Equipment Efficiency</w:t>
      </w:r>
      <w:r w:rsidRPr="00111D82">
        <w:rPr>
          <w:rFonts w:ascii="Arial" w:hAnsi="Arial" w:cs="Arial"/>
          <w:sz w:val="20"/>
        </w:rPr>
        <w:tab/>
      </w:r>
    </w:p>
    <w:p w:rsidR="008E601F" w:rsidRPr="00111D82" w:rsidRDefault="008E601F" w:rsidP="008E601F">
      <w:pPr>
        <w:tabs>
          <w:tab w:val="left" w:pos="0"/>
          <w:tab w:val="left" w:pos="720"/>
          <w:tab w:val="left" w:pos="5040"/>
        </w:tabs>
        <w:jc w:val="both"/>
        <w:rPr>
          <w:rFonts w:ascii="Arial" w:hAnsi="Arial" w:cs="Arial"/>
          <w:sz w:val="20"/>
        </w:rPr>
      </w:pPr>
      <w:r w:rsidRPr="00111D82">
        <w:rPr>
          <w:rFonts w:ascii="Arial" w:hAnsi="Arial" w:cs="Arial"/>
          <w:sz w:val="20"/>
        </w:rPr>
        <w:tab/>
        <w:t xml:space="preserve">For Retrofit Energy Efficiency Projects, EEMs must meet minimum equipment efficiency levels and equipment eligibility requirements in Schedule 115 to be eligible for incentives available under this Schedule.  </w:t>
      </w:r>
    </w:p>
    <w:p w:rsidR="008E601F" w:rsidRPr="00111D82" w:rsidRDefault="008E601F" w:rsidP="008E601F">
      <w:pPr>
        <w:tabs>
          <w:tab w:val="left" w:pos="720"/>
          <w:tab w:val="left" w:pos="5040"/>
        </w:tabs>
        <w:jc w:val="both"/>
        <w:rPr>
          <w:rFonts w:ascii="Arial" w:hAnsi="Arial" w:cs="Arial"/>
          <w:sz w:val="20"/>
        </w:rPr>
      </w:pPr>
      <w:r w:rsidRPr="00111D82">
        <w:rPr>
          <w:rFonts w:ascii="Arial" w:hAnsi="Arial" w:cs="Arial"/>
          <w:sz w:val="20"/>
        </w:rPr>
        <w:tab/>
      </w:r>
    </w:p>
    <w:p w:rsidR="008E601F" w:rsidRPr="00111D82" w:rsidRDefault="008E601F" w:rsidP="008E601F">
      <w:pPr>
        <w:tabs>
          <w:tab w:val="left" w:pos="720"/>
          <w:tab w:val="left" w:pos="5040"/>
        </w:tabs>
        <w:ind w:right="-108"/>
        <w:rPr>
          <w:rFonts w:ascii="Arial" w:hAnsi="Arial" w:cs="Arial"/>
          <w:sz w:val="20"/>
        </w:rPr>
      </w:pPr>
      <w:r w:rsidRPr="00111D82">
        <w:rPr>
          <w:rFonts w:ascii="Arial" w:hAnsi="Arial" w:cs="Arial"/>
          <w:sz w:val="20"/>
        </w:rPr>
        <w:t>(7)</w:t>
      </w:r>
      <w:r w:rsidRPr="00111D82">
        <w:rPr>
          <w:rFonts w:ascii="Arial" w:hAnsi="Arial" w:cs="Arial"/>
          <w:sz w:val="20"/>
        </w:rPr>
        <w:tab/>
        <w:t xml:space="preserve"> </w:t>
      </w:r>
      <w:r w:rsidRPr="00111D82">
        <w:rPr>
          <w:rFonts w:ascii="Arial" w:hAnsi="Arial" w:cs="Arial"/>
          <w:b/>
          <w:sz w:val="20"/>
        </w:rPr>
        <w:t>Prior Energy Service program participation requirements and definitions:</w:t>
      </w:r>
      <w:r w:rsidRPr="00111D82">
        <w:rPr>
          <w:rFonts w:ascii="Arial" w:hAnsi="Arial" w:cs="Arial"/>
          <w:sz w:val="20"/>
        </w:rPr>
        <w:t xml:space="preserve"> </w:t>
      </w:r>
    </w:p>
    <w:p w:rsidR="008E601F" w:rsidRPr="00111D82" w:rsidRDefault="008E601F" w:rsidP="00ED2D31">
      <w:pPr>
        <w:numPr>
          <w:ilvl w:val="0"/>
          <w:numId w:val="19"/>
        </w:numPr>
        <w:tabs>
          <w:tab w:val="clear" w:pos="360"/>
          <w:tab w:val="left" w:pos="720"/>
          <w:tab w:val="num" w:pos="1800"/>
          <w:tab w:val="left" w:pos="5040"/>
        </w:tabs>
        <w:ind w:left="720"/>
        <w:jc w:val="both"/>
        <w:rPr>
          <w:rFonts w:ascii="Arial" w:hAnsi="Arial" w:cs="Arial"/>
          <w:sz w:val="20"/>
        </w:rPr>
      </w:pPr>
      <w:r w:rsidRPr="00111D82">
        <w:rPr>
          <w:rFonts w:ascii="Arial" w:hAnsi="Arial" w:cs="Arial"/>
          <w:sz w:val="20"/>
        </w:rPr>
        <w:t xml:space="preserve">Energy Efficiency Payments are not available to Owners after July 16, 2001.  The elimination of the Energy Service Charge portion associated with Schedule 125 does not affect Energy Service Charges’ currently outstanding and obligations pursuant to an executed Energy Services Agreement remain in effect until the Energy Efficiency Payment with interest is re-paid in full. </w:t>
      </w:r>
    </w:p>
    <w:p w:rsidR="008E601F" w:rsidRPr="00111D82" w:rsidRDefault="008E601F" w:rsidP="00ED2D31">
      <w:pPr>
        <w:numPr>
          <w:ilvl w:val="0"/>
          <w:numId w:val="20"/>
        </w:numPr>
        <w:tabs>
          <w:tab w:val="clear" w:pos="360"/>
          <w:tab w:val="left" w:pos="720"/>
          <w:tab w:val="num" w:pos="1800"/>
          <w:tab w:val="left" w:pos="5040"/>
        </w:tabs>
        <w:ind w:left="720"/>
        <w:jc w:val="both"/>
        <w:rPr>
          <w:rFonts w:ascii="Arial" w:hAnsi="Arial" w:cs="Arial"/>
          <w:sz w:val="20"/>
        </w:rPr>
      </w:pPr>
      <w:r w:rsidRPr="00111D82">
        <w:rPr>
          <w:rFonts w:ascii="Arial" w:hAnsi="Arial" w:cs="Arial"/>
          <w:b/>
          <w:sz w:val="20"/>
        </w:rPr>
        <w:t xml:space="preserve">Energy Efficiency Payments: </w:t>
      </w:r>
      <w:r w:rsidRPr="00111D82">
        <w:rPr>
          <w:rFonts w:ascii="Arial" w:hAnsi="Arial" w:cs="Arial"/>
          <w:sz w:val="20"/>
        </w:rPr>
        <w:t xml:space="preserve">Any payments of money made by Company to Owner for installation of EEMs pursuant to an Energy Services Agreement. </w:t>
      </w:r>
    </w:p>
    <w:p w:rsidR="008E601F" w:rsidRPr="00111D82" w:rsidRDefault="008E601F" w:rsidP="00ED2D31">
      <w:pPr>
        <w:numPr>
          <w:ilvl w:val="0"/>
          <w:numId w:val="21"/>
        </w:numPr>
        <w:tabs>
          <w:tab w:val="clear" w:pos="360"/>
          <w:tab w:val="left" w:pos="720"/>
          <w:tab w:val="num" w:pos="1800"/>
          <w:tab w:val="left" w:pos="5040"/>
        </w:tabs>
        <w:ind w:left="720"/>
        <w:jc w:val="both"/>
        <w:rPr>
          <w:rFonts w:ascii="Arial" w:hAnsi="Arial" w:cs="Arial"/>
          <w:sz w:val="20"/>
        </w:rPr>
      </w:pPr>
      <w:r w:rsidRPr="00111D82">
        <w:rPr>
          <w:rFonts w:ascii="Arial" w:hAnsi="Arial" w:cs="Arial"/>
          <w:b/>
          <w:sz w:val="20"/>
        </w:rPr>
        <w:t>Energy Services Agreement:</w:t>
      </w:r>
      <w:r w:rsidRPr="00111D82">
        <w:rPr>
          <w:rFonts w:ascii="Arial" w:hAnsi="Arial" w:cs="Arial"/>
          <w:sz w:val="20"/>
        </w:rPr>
        <w:t xml:space="preserve"> An agreement between the Owner and the Company providing for Company to furnish or provide Energy Efficiency Payments with respect to EEMs pursuant to this Tariff Schedule. </w:t>
      </w:r>
    </w:p>
    <w:p w:rsidR="008E601F" w:rsidRPr="00111D82" w:rsidRDefault="008E601F" w:rsidP="00ED2D31">
      <w:pPr>
        <w:numPr>
          <w:ilvl w:val="0"/>
          <w:numId w:val="21"/>
        </w:numPr>
        <w:tabs>
          <w:tab w:val="clear" w:pos="360"/>
          <w:tab w:val="left" w:pos="720"/>
          <w:tab w:val="left" w:pos="5040"/>
        </w:tabs>
        <w:ind w:left="720"/>
        <w:jc w:val="both"/>
        <w:rPr>
          <w:rFonts w:ascii="Arial" w:hAnsi="Arial" w:cs="Arial"/>
          <w:sz w:val="20"/>
        </w:rPr>
      </w:pPr>
      <w:r w:rsidRPr="00111D82">
        <w:rPr>
          <w:rFonts w:ascii="Arial" w:hAnsi="Arial" w:cs="Arial"/>
          <w:b/>
          <w:sz w:val="20"/>
        </w:rPr>
        <w:t>Energy Services Charge:</w:t>
      </w:r>
      <w:r w:rsidRPr="00111D82">
        <w:rPr>
          <w:rFonts w:ascii="Arial" w:hAnsi="Arial" w:cs="Arial"/>
          <w:sz w:val="20"/>
        </w:rPr>
        <w:t xml:space="preserve"> As specified in the Energy Services Agreement, the monthly Energy Services Charge is that monthly payment required to repay the Energy Efficiency Payments, with interest at the Melded Interest Rate or the Performance Guarantee Interest Rate as applicable, in equal monthly payments over the term specified in the Energy Services Agreement. </w:t>
      </w:r>
    </w:p>
    <w:p w:rsidR="008E601F" w:rsidRPr="00111D82" w:rsidRDefault="008E601F" w:rsidP="008E601F">
      <w:pPr>
        <w:tabs>
          <w:tab w:val="left" w:pos="360"/>
          <w:tab w:val="left" w:pos="720"/>
          <w:tab w:val="left" w:pos="5040"/>
        </w:tabs>
        <w:ind w:left="360"/>
        <w:rPr>
          <w:rFonts w:ascii="Arial" w:hAnsi="Arial" w:cs="Arial"/>
          <w:sz w:val="20"/>
        </w:rPr>
      </w:pPr>
    </w:p>
    <w:p w:rsidR="008E601F" w:rsidRPr="00111D82" w:rsidRDefault="008E601F" w:rsidP="008E601F">
      <w:pPr>
        <w:tabs>
          <w:tab w:val="left" w:pos="720"/>
          <w:tab w:val="left" w:pos="5040"/>
        </w:tabs>
        <w:jc w:val="both"/>
        <w:rPr>
          <w:rFonts w:ascii="Arial" w:hAnsi="Arial" w:cs="Arial"/>
          <w:b/>
          <w:sz w:val="20"/>
        </w:rPr>
      </w:pPr>
      <w:r w:rsidRPr="00111D82">
        <w:rPr>
          <w:rFonts w:ascii="Arial" w:hAnsi="Arial" w:cs="Arial"/>
          <w:snapToGrid w:val="0"/>
          <w:sz w:val="20"/>
        </w:rPr>
        <w:t>(8)</w:t>
      </w:r>
      <w:r w:rsidRPr="00111D82">
        <w:rPr>
          <w:rFonts w:ascii="Arial" w:hAnsi="Arial" w:cs="Arial"/>
          <w:b/>
          <w:snapToGrid w:val="0"/>
          <w:sz w:val="20"/>
        </w:rPr>
        <w:t xml:space="preserve">  </w:t>
      </w:r>
      <w:r w:rsidRPr="00111D82">
        <w:rPr>
          <w:rFonts w:ascii="Arial" w:hAnsi="Arial" w:cs="Arial"/>
          <w:b/>
          <w:snapToGrid w:val="0"/>
          <w:sz w:val="20"/>
        </w:rPr>
        <w:tab/>
        <w:t>Fuel Switching</w:t>
      </w:r>
    </w:p>
    <w:p w:rsidR="008E601F" w:rsidRPr="00111D82" w:rsidRDefault="008E601F" w:rsidP="008E601F">
      <w:pPr>
        <w:tabs>
          <w:tab w:val="left" w:pos="720"/>
          <w:tab w:val="left" w:pos="5040"/>
        </w:tabs>
        <w:jc w:val="both"/>
        <w:rPr>
          <w:rFonts w:ascii="Arial" w:hAnsi="Arial" w:cs="Arial"/>
          <w:sz w:val="20"/>
        </w:rPr>
      </w:pPr>
      <w:r w:rsidRPr="00111D82">
        <w:rPr>
          <w:rFonts w:ascii="Arial" w:hAnsi="Arial" w:cs="Arial"/>
          <w:snapToGrid w:val="0"/>
          <w:sz w:val="20"/>
        </w:rPr>
        <w:tab/>
        <w:t>Energy Efficiency Incentives will not be made available to induce fuel switching by Owner.</w:t>
      </w:r>
    </w:p>
    <w:p w:rsidR="008E601F" w:rsidRPr="00111D82" w:rsidRDefault="008E601F" w:rsidP="008E601F">
      <w:pPr>
        <w:tabs>
          <w:tab w:val="left" w:pos="630"/>
          <w:tab w:val="left" w:pos="5040"/>
        </w:tabs>
        <w:jc w:val="both"/>
        <w:rPr>
          <w:rFonts w:ascii="Arial" w:hAnsi="Arial" w:cs="Arial"/>
          <w:sz w:val="20"/>
        </w:rPr>
      </w:pPr>
    </w:p>
    <w:p w:rsidR="008E601F" w:rsidRPr="00111D82" w:rsidRDefault="008E601F" w:rsidP="008E601F">
      <w:pPr>
        <w:tabs>
          <w:tab w:val="left" w:pos="720"/>
          <w:tab w:val="left" w:pos="5040"/>
        </w:tabs>
        <w:jc w:val="both"/>
        <w:rPr>
          <w:rFonts w:ascii="Arial" w:hAnsi="Arial" w:cs="Arial"/>
          <w:sz w:val="20"/>
        </w:rPr>
      </w:pPr>
      <w:r w:rsidRPr="00111D82">
        <w:rPr>
          <w:rFonts w:ascii="Arial" w:hAnsi="Arial" w:cs="Arial"/>
          <w:sz w:val="20"/>
        </w:rPr>
        <w:t xml:space="preserve">(9)  </w:t>
      </w:r>
      <w:r w:rsidRPr="00111D82">
        <w:rPr>
          <w:rFonts w:ascii="Arial" w:hAnsi="Arial" w:cs="Arial"/>
          <w:sz w:val="20"/>
        </w:rPr>
        <w:tab/>
      </w:r>
      <w:r w:rsidRPr="00111D82">
        <w:rPr>
          <w:rFonts w:ascii="Arial" w:hAnsi="Arial" w:cs="Arial"/>
          <w:b/>
          <w:sz w:val="20"/>
        </w:rPr>
        <w:t>Design team incentives</w:t>
      </w:r>
    </w:p>
    <w:p w:rsidR="008E601F" w:rsidRPr="00111D82" w:rsidRDefault="008E601F" w:rsidP="008E601F">
      <w:pPr>
        <w:tabs>
          <w:tab w:val="left" w:pos="720"/>
          <w:tab w:val="left" w:pos="5040"/>
        </w:tabs>
        <w:jc w:val="both"/>
        <w:rPr>
          <w:rFonts w:ascii="Arial" w:hAnsi="Arial" w:cs="Arial"/>
          <w:sz w:val="20"/>
        </w:rPr>
      </w:pPr>
      <w:r w:rsidRPr="00111D82">
        <w:rPr>
          <w:rFonts w:ascii="Arial" w:hAnsi="Arial" w:cs="Arial"/>
          <w:sz w:val="20"/>
        </w:rPr>
        <w:tab/>
        <w:t xml:space="preserve">Company may offer incentives to a design team member with current professional certification including architects and engineers. Incentives are available per Table 1 and include honorariums and design incentives. </w:t>
      </w:r>
    </w:p>
    <w:p w:rsidR="008E601F" w:rsidRPr="00111D82" w:rsidRDefault="008E601F" w:rsidP="008E601F">
      <w:pPr>
        <w:tabs>
          <w:tab w:val="left" w:pos="630"/>
          <w:tab w:val="left" w:pos="5040"/>
        </w:tabs>
        <w:jc w:val="both"/>
        <w:rPr>
          <w:rFonts w:ascii="Arial" w:hAnsi="Arial" w:cs="Arial"/>
          <w:sz w:val="20"/>
        </w:rPr>
      </w:pPr>
    </w:p>
    <w:p w:rsidR="008E601F" w:rsidRPr="00111D82" w:rsidRDefault="008E601F" w:rsidP="008E601F">
      <w:pPr>
        <w:tabs>
          <w:tab w:val="left" w:pos="630"/>
          <w:tab w:val="left" w:pos="720"/>
          <w:tab w:val="left" w:pos="5040"/>
        </w:tabs>
        <w:jc w:val="both"/>
        <w:rPr>
          <w:rFonts w:ascii="Arial" w:hAnsi="Arial" w:cs="Arial"/>
          <w:sz w:val="20"/>
        </w:rPr>
      </w:pPr>
      <w:r w:rsidRPr="00111D82">
        <w:rPr>
          <w:rFonts w:ascii="Arial" w:hAnsi="Arial" w:cs="Arial"/>
          <w:sz w:val="20"/>
        </w:rPr>
        <w:tab/>
      </w:r>
      <w:r w:rsidRPr="00111D82">
        <w:rPr>
          <w:rFonts w:ascii="Arial" w:hAnsi="Arial" w:cs="Arial"/>
          <w:sz w:val="20"/>
        </w:rPr>
        <w:tab/>
        <w:t xml:space="preserve">Honorariums are designed to encourage early initial Company consultation on Owner/Customer’s design and plans. Honorariums will be equally available to all professionally certified architects and engineers for Washington projects within Company’s territory and will be limited to one honorarium per project.  </w:t>
      </w:r>
    </w:p>
    <w:p w:rsidR="008E601F" w:rsidRPr="00111D82" w:rsidRDefault="008E601F" w:rsidP="008E601F">
      <w:pPr>
        <w:tabs>
          <w:tab w:val="left" w:pos="630"/>
          <w:tab w:val="left" w:pos="5040"/>
        </w:tabs>
        <w:jc w:val="both"/>
        <w:rPr>
          <w:rFonts w:ascii="Arial" w:hAnsi="Arial" w:cs="Arial"/>
          <w:sz w:val="20"/>
        </w:rPr>
      </w:pPr>
    </w:p>
    <w:p w:rsidR="008E601F" w:rsidRPr="00111D82" w:rsidRDefault="008E601F" w:rsidP="008E601F">
      <w:pPr>
        <w:tabs>
          <w:tab w:val="left" w:pos="720"/>
          <w:tab w:val="left" w:pos="5040"/>
        </w:tabs>
        <w:jc w:val="both"/>
        <w:rPr>
          <w:rFonts w:ascii="Arial" w:hAnsi="Arial" w:cs="Arial"/>
          <w:sz w:val="20"/>
        </w:rPr>
      </w:pPr>
      <w:r w:rsidRPr="00111D82">
        <w:rPr>
          <w:rFonts w:ascii="Arial" w:hAnsi="Arial" w:cs="Arial"/>
          <w:sz w:val="20"/>
        </w:rPr>
        <w:tab/>
        <w:t>Design incentives will be offered to all professional certified architects and engineers for Washington projects within Company’s territory. Payment of incentives to the design team will require final construction documents include an efficient design meeting Company requirements. Incentives will be based on the square footage of the project and limited to one per project.</w:t>
      </w:r>
    </w:p>
    <w:p w:rsidR="008E601F" w:rsidRPr="00111D82" w:rsidRDefault="008E601F" w:rsidP="008E601F">
      <w:pPr>
        <w:tabs>
          <w:tab w:val="left" w:pos="630"/>
          <w:tab w:val="left" w:pos="5040"/>
        </w:tabs>
        <w:jc w:val="both"/>
        <w:rPr>
          <w:rFonts w:ascii="Arial" w:hAnsi="Arial" w:cs="Arial"/>
          <w:sz w:val="20"/>
        </w:rPr>
      </w:pPr>
    </w:p>
    <w:p w:rsidR="008E601F" w:rsidRPr="00111D82" w:rsidRDefault="008E601F" w:rsidP="008E601F">
      <w:pPr>
        <w:tabs>
          <w:tab w:val="left" w:pos="720"/>
          <w:tab w:val="left" w:pos="5040"/>
        </w:tabs>
        <w:jc w:val="both"/>
        <w:rPr>
          <w:rFonts w:ascii="Arial" w:hAnsi="Arial" w:cs="Arial"/>
          <w:sz w:val="20"/>
        </w:rPr>
      </w:pPr>
      <w:r w:rsidRPr="00111D82">
        <w:rPr>
          <w:rFonts w:ascii="Arial" w:hAnsi="Arial" w:cs="Arial"/>
          <w:sz w:val="20"/>
        </w:rPr>
        <w:tab/>
        <w:t>Additional conditions for design team incentives will be available on the Washington energy efficiency program section of the Company’s web site and may be changed with 45 days notice posted on the web site.</w:t>
      </w:r>
    </w:p>
    <w:p w:rsidR="00174387" w:rsidRDefault="00174387" w:rsidP="0017438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74387" w:rsidRDefault="00174387" w:rsidP="00174387">
      <w:pPr>
        <w:pStyle w:val="Footer"/>
        <w:pBdr>
          <w:bottom w:val="single" w:sz="6" w:space="0" w:color="auto"/>
        </w:pBdr>
        <w:tabs>
          <w:tab w:val="clear" w:pos="4680"/>
        </w:tabs>
        <w:ind w:left="900" w:hanging="900"/>
        <w:jc w:val="center"/>
        <w:rPr>
          <w:rFonts w:ascii="Arial" w:hAnsi="Arial" w:cs="Arial"/>
          <w:sz w:val="20"/>
        </w:rPr>
      </w:pPr>
    </w:p>
    <w:p w:rsidR="00174387" w:rsidRDefault="00174387" w:rsidP="0017438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174387" w:rsidRDefault="00174387" w:rsidP="0017438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174387" w:rsidRDefault="00174387" w:rsidP="0017438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4387" w:rsidRDefault="0069608B" w:rsidP="0017438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8844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21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435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1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4387" w:rsidRPr="004043D5" w:rsidRDefault="0069608B" w:rsidP="00174387">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91520"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8"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9049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219"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947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22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742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2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640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22"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537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23"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332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8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0"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74387">
        <w:rPr>
          <w:rFonts w:ascii="Arial" w:hAnsi="Arial" w:cs="Arial"/>
          <w:sz w:val="20"/>
        </w:rPr>
        <w:t>By:  _________________________ Andrea L. Kelly</w:t>
      </w:r>
      <w:r w:rsidR="00174387">
        <w:rPr>
          <w:rFonts w:ascii="Arial" w:hAnsi="Arial" w:cs="Arial"/>
          <w:sz w:val="20"/>
        </w:rPr>
        <w:tab/>
      </w:r>
      <w:r w:rsidR="00174387">
        <w:rPr>
          <w:rFonts w:ascii="Arial" w:hAnsi="Arial" w:cs="Arial"/>
          <w:b/>
          <w:sz w:val="20"/>
        </w:rPr>
        <w:t>Title:</w:t>
      </w:r>
      <w:r w:rsidR="00174387">
        <w:rPr>
          <w:rFonts w:ascii="Arial" w:hAnsi="Arial" w:cs="Arial"/>
          <w:sz w:val="20"/>
        </w:rPr>
        <w:t xml:space="preserve">  Vice President, Regulation</w:t>
      </w:r>
    </w:p>
    <w:p w:rsidR="00174387" w:rsidRPr="00111D82" w:rsidRDefault="00174387" w:rsidP="007D7D69">
      <w:pPr>
        <w:rPr>
          <w:rFonts w:ascii="Times New Roman" w:hAnsi="Times New Roman"/>
          <w:sz w:val="24"/>
          <w:szCs w:val="24"/>
          <w:highlight w:val="yellow"/>
        </w:rPr>
        <w:sectPr w:rsidR="00174387" w:rsidRPr="00111D82" w:rsidSect="001B376C">
          <w:headerReference w:type="default" r:id="rId58"/>
          <w:pgSz w:w="12240" w:h="15840" w:code="1"/>
          <w:pgMar w:top="1440" w:right="1080" w:bottom="1440" w:left="1440" w:header="720" w:footer="720" w:gutter="0"/>
          <w:cols w:space="720"/>
          <w:docGrid w:linePitch="360"/>
        </w:sectPr>
      </w:pPr>
    </w:p>
    <w:p w:rsidR="00C06AAC" w:rsidRPr="00111D82" w:rsidRDefault="00C06AAC" w:rsidP="00C06AAC">
      <w:pPr>
        <w:tabs>
          <w:tab w:val="left" w:pos="360"/>
          <w:tab w:val="left" w:pos="720"/>
          <w:tab w:val="left" w:pos="5040"/>
        </w:tabs>
        <w:jc w:val="both"/>
        <w:rPr>
          <w:rFonts w:ascii="Arial" w:eastAsia="Times New Roman" w:hAnsi="Arial" w:cs="Arial"/>
          <w:sz w:val="20"/>
          <w:szCs w:val="20"/>
          <w:u w:val="single"/>
          <w:lang w:eastAsia="ko-KR"/>
        </w:rPr>
      </w:pPr>
      <w:r w:rsidRPr="00111D82">
        <w:rPr>
          <w:rFonts w:ascii="Arial" w:eastAsia="Times New Roman" w:hAnsi="Arial" w:cs="Arial"/>
          <w:sz w:val="20"/>
          <w:szCs w:val="20"/>
          <w:u w:val="single"/>
          <w:lang w:eastAsia="ko-KR"/>
        </w:rPr>
        <w:t>RULES AND REGULATIONS:</w:t>
      </w:r>
    </w:p>
    <w:p w:rsidR="00C06AAC" w:rsidRPr="00111D82" w:rsidRDefault="00C06AAC" w:rsidP="00C06AAC">
      <w:pPr>
        <w:tabs>
          <w:tab w:val="left" w:pos="360"/>
          <w:tab w:val="left" w:pos="720"/>
          <w:tab w:val="left" w:pos="5040"/>
        </w:tabs>
        <w:jc w:val="both"/>
        <w:rPr>
          <w:rFonts w:ascii="Arial" w:eastAsia="Times New Roman" w:hAnsi="Arial" w:cs="Arial"/>
          <w:sz w:val="20"/>
          <w:szCs w:val="20"/>
          <w:lang w:eastAsia="ko-KR"/>
        </w:rPr>
      </w:pPr>
      <w:r w:rsidRPr="00111D82">
        <w:rPr>
          <w:rFonts w:ascii="Arial" w:eastAsia="Times New Roman" w:hAnsi="Arial" w:cs="Arial"/>
          <w:sz w:val="20"/>
          <w:szCs w:val="20"/>
          <w:lang w:eastAsia="ko-KR"/>
        </w:rPr>
        <w:tab/>
        <w:t>Service under this Schedule is subject to the General Rules and Regulations contained in the tariff of which this Schedule is a part, and to those prescribed by regulatory authorities.</w:t>
      </w:r>
    </w:p>
    <w:p w:rsidR="00CD7669" w:rsidRPr="00111D82" w:rsidRDefault="00CD7669" w:rsidP="00C06AAC">
      <w:pPr>
        <w:jc w:val="both"/>
        <w:rPr>
          <w:rFonts w:ascii="Times New Roman" w:hAnsi="Times New Roman"/>
          <w:sz w:val="24"/>
          <w:szCs w:val="24"/>
          <w:highlight w:val="yellow"/>
        </w:rPr>
      </w:pPr>
      <w:r w:rsidRPr="00111D82">
        <w:rPr>
          <w:rFonts w:ascii="Times New Roman" w:hAnsi="Times New Roman"/>
          <w:sz w:val="24"/>
          <w:szCs w:val="24"/>
          <w:highlight w:val="yellow"/>
        </w:rPr>
        <w:br w:type="page"/>
      </w:r>
    </w:p>
    <w:p w:rsidR="00C06AAC" w:rsidRPr="00111D82" w:rsidRDefault="00C06AAC" w:rsidP="00CD7669">
      <w:pPr>
        <w:pStyle w:val="Heading1"/>
        <w:sectPr w:rsidR="00C06AAC" w:rsidRPr="00111D82" w:rsidSect="001B376C">
          <w:headerReference w:type="default" r:id="rId59"/>
          <w:footerReference w:type="default" r:id="rId60"/>
          <w:pgSz w:w="12240" w:h="15840" w:code="1"/>
          <w:pgMar w:top="1440" w:right="1080" w:bottom="1440" w:left="1440" w:header="720" w:footer="720" w:gutter="0"/>
          <w:cols w:space="720"/>
          <w:docGrid w:linePitch="360"/>
        </w:sectPr>
      </w:pPr>
    </w:p>
    <w:p w:rsidR="00722821" w:rsidRPr="00111D82" w:rsidRDefault="00CD7669" w:rsidP="00451263">
      <w:pPr>
        <w:pStyle w:val="Heading1"/>
        <w:spacing w:before="100" w:beforeAutospacing="1" w:after="100" w:afterAutospacing="1"/>
        <w:jc w:val="both"/>
      </w:pPr>
      <w:bookmarkStart w:id="22" w:name="_Toc326296736"/>
      <w:r w:rsidRPr="00111D82">
        <w:t>Other Program Details</w:t>
      </w:r>
      <w:r w:rsidR="00962A46" w:rsidRPr="00111D82">
        <w:t xml:space="preserve"> and Sources of </w:t>
      </w:r>
      <w:r w:rsidR="004875CF" w:rsidRPr="00111D82">
        <w:t>Conservation</w:t>
      </w:r>
      <w:bookmarkEnd w:id="22"/>
    </w:p>
    <w:p w:rsidR="00174387" w:rsidRDefault="007765C7">
      <w:pPr>
        <w:jc w:val="both"/>
        <w:rPr>
          <w:rFonts w:ascii="Times New Roman" w:hAnsi="Times New Roman"/>
          <w:sz w:val="24"/>
          <w:szCs w:val="24"/>
        </w:rPr>
      </w:pPr>
      <w:r w:rsidRPr="00111D82">
        <w:rPr>
          <w:rFonts w:ascii="Times New Roman" w:hAnsi="Times New Roman"/>
          <w:sz w:val="24"/>
          <w:szCs w:val="24"/>
        </w:rPr>
        <w:t xml:space="preserve">Other program details include the Energy Education in Schools program </w:t>
      </w:r>
      <w:r w:rsidR="00962A46" w:rsidRPr="00111D82">
        <w:rPr>
          <w:rFonts w:ascii="Times New Roman" w:hAnsi="Times New Roman"/>
          <w:sz w:val="24"/>
          <w:szCs w:val="24"/>
        </w:rPr>
        <w:t xml:space="preserve">(Schedule 113) </w:t>
      </w:r>
      <w:r w:rsidRPr="00111D82">
        <w:rPr>
          <w:rFonts w:ascii="Times New Roman" w:hAnsi="Times New Roman"/>
          <w:sz w:val="24"/>
          <w:szCs w:val="24"/>
        </w:rPr>
        <w:t>as a general education program during the 2011-12 school</w:t>
      </w:r>
      <w:r w:rsidR="00EC2A0D">
        <w:rPr>
          <w:rFonts w:ascii="Times New Roman" w:hAnsi="Times New Roman"/>
          <w:sz w:val="24"/>
          <w:szCs w:val="24"/>
        </w:rPr>
        <w:t xml:space="preserve"> </w:t>
      </w:r>
      <w:proofErr w:type="gramStart"/>
      <w:r w:rsidR="00EC2A0D">
        <w:rPr>
          <w:rFonts w:ascii="Times New Roman" w:hAnsi="Times New Roman"/>
          <w:sz w:val="24"/>
          <w:szCs w:val="24"/>
        </w:rPr>
        <w:t>year</w:t>
      </w:r>
      <w:proofErr w:type="gramEnd"/>
      <w:r w:rsidR="00EC2A0D">
        <w:rPr>
          <w:rFonts w:ascii="Times New Roman" w:hAnsi="Times New Roman"/>
          <w:sz w:val="24"/>
          <w:szCs w:val="24"/>
        </w:rPr>
        <w:t>, with no savings being counted toward the biennial target</w:t>
      </w:r>
      <w:r w:rsidRPr="00111D82">
        <w:rPr>
          <w:rFonts w:ascii="Times New Roman" w:hAnsi="Times New Roman"/>
          <w:sz w:val="24"/>
          <w:szCs w:val="24"/>
        </w:rPr>
        <w:t>.</w:t>
      </w:r>
      <w:r w:rsidR="00F27F07">
        <w:rPr>
          <w:rFonts w:ascii="Times New Roman" w:hAnsi="Times New Roman"/>
          <w:sz w:val="24"/>
          <w:szCs w:val="24"/>
        </w:rPr>
        <w:t xml:space="preserve"> The Energy Education in Schools program will </w:t>
      </w:r>
      <w:r w:rsidR="00EC2A0D">
        <w:rPr>
          <w:rFonts w:ascii="Times New Roman" w:hAnsi="Times New Roman"/>
          <w:sz w:val="24"/>
          <w:szCs w:val="24"/>
        </w:rPr>
        <w:t xml:space="preserve">no longer be available and the associated tariff will </w:t>
      </w:r>
      <w:r w:rsidR="00F27F07">
        <w:rPr>
          <w:rFonts w:ascii="Times New Roman" w:hAnsi="Times New Roman"/>
          <w:sz w:val="24"/>
          <w:szCs w:val="24"/>
        </w:rPr>
        <w:t>be cancelled a</w:t>
      </w:r>
      <w:r w:rsidR="00EC2A0D">
        <w:rPr>
          <w:rFonts w:ascii="Times New Roman" w:hAnsi="Times New Roman"/>
          <w:sz w:val="24"/>
          <w:szCs w:val="24"/>
        </w:rPr>
        <w:t>f</w:t>
      </w:r>
      <w:r w:rsidR="00F27F07">
        <w:rPr>
          <w:rFonts w:ascii="Times New Roman" w:hAnsi="Times New Roman"/>
          <w:sz w:val="24"/>
          <w:szCs w:val="24"/>
        </w:rPr>
        <w:t>t</w:t>
      </w:r>
      <w:r w:rsidR="00EC2A0D">
        <w:rPr>
          <w:rFonts w:ascii="Times New Roman" w:hAnsi="Times New Roman"/>
          <w:sz w:val="24"/>
          <w:szCs w:val="24"/>
        </w:rPr>
        <w:t>er</w:t>
      </w:r>
      <w:r w:rsidR="00F27F07">
        <w:rPr>
          <w:rFonts w:ascii="Times New Roman" w:hAnsi="Times New Roman"/>
          <w:sz w:val="24"/>
          <w:szCs w:val="24"/>
        </w:rPr>
        <w:t xml:space="preserve"> the </w:t>
      </w:r>
      <w:r w:rsidR="00EC2A0D">
        <w:rPr>
          <w:rFonts w:ascii="Times New Roman" w:hAnsi="Times New Roman"/>
          <w:sz w:val="24"/>
          <w:szCs w:val="24"/>
        </w:rPr>
        <w:t xml:space="preserve">conclusion of the 2011-12 school </w:t>
      </w:r>
      <w:proofErr w:type="gramStart"/>
      <w:r w:rsidR="00EC2A0D">
        <w:rPr>
          <w:rFonts w:ascii="Times New Roman" w:hAnsi="Times New Roman"/>
          <w:sz w:val="24"/>
          <w:szCs w:val="24"/>
        </w:rPr>
        <w:t>year</w:t>
      </w:r>
      <w:proofErr w:type="gramEnd"/>
      <w:r w:rsidR="00EC2A0D">
        <w:rPr>
          <w:rFonts w:ascii="Times New Roman" w:hAnsi="Times New Roman"/>
          <w:sz w:val="24"/>
          <w:szCs w:val="24"/>
        </w:rPr>
        <w:t>.</w:t>
      </w:r>
      <w:r w:rsidR="00962A46" w:rsidRPr="00111D82">
        <w:rPr>
          <w:rFonts w:ascii="Times New Roman" w:hAnsi="Times New Roman"/>
          <w:sz w:val="24"/>
          <w:szCs w:val="24"/>
        </w:rPr>
        <w:t xml:space="preserve"> Other sources of energy efficiency include the energy savings produced through the efforts of Northwest Energy Efficiency Alliance (“NEEA”), an external group partly funded through Company dollars. The Company has also undertaken efforts to</w:t>
      </w:r>
      <w:r w:rsidR="00692864" w:rsidRPr="00111D82">
        <w:rPr>
          <w:rFonts w:ascii="Times New Roman" w:hAnsi="Times New Roman"/>
          <w:sz w:val="24"/>
          <w:szCs w:val="24"/>
        </w:rPr>
        <w:t xml:space="preserve"> improve the efficiency of its Washington based distribution system through voltage optimization (“VO”) and improve the energy efficiency </w:t>
      </w:r>
      <w:r w:rsidR="00B904F9">
        <w:rPr>
          <w:rFonts w:ascii="Times New Roman" w:hAnsi="Times New Roman"/>
          <w:sz w:val="24"/>
          <w:szCs w:val="24"/>
        </w:rPr>
        <w:t>at Company owned non-hydro</w:t>
      </w:r>
      <w:r w:rsidR="00692864" w:rsidRPr="00111D82">
        <w:rPr>
          <w:rFonts w:ascii="Times New Roman" w:hAnsi="Times New Roman"/>
          <w:sz w:val="24"/>
          <w:szCs w:val="24"/>
        </w:rPr>
        <w:t xml:space="preserve"> generation facilities identified as serving the Company’s Washington territory.</w:t>
      </w:r>
    </w:p>
    <w:p w:rsidR="00722821" w:rsidRPr="00111D82" w:rsidRDefault="00CD7669" w:rsidP="00451263">
      <w:pPr>
        <w:pStyle w:val="Heading2"/>
        <w:spacing w:before="100" w:beforeAutospacing="1" w:after="100" w:afterAutospacing="1"/>
        <w:jc w:val="both"/>
      </w:pPr>
      <w:bookmarkStart w:id="23" w:name="_Toc326296737"/>
      <w:r w:rsidRPr="00111D82">
        <w:t>Energy Education in Schools (Schedule 113)</w:t>
      </w:r>
      <w:bookmarkEnd w:id="23"/>
    </w:p>
    <w:p w:rsidR="00F83805" w:rsidRPr="00111D82" w:rsidRDefault="00F83805" w:rsidP="00712937">
      <w:pPr>
        <w:jc w:val="both"/>
        <w:rPr>
          <w:rFonts w:ascii="Times New Roman" w:hAnsi="Times New Roman"/>
          <w:bCs/>
          <w:sz w:val="24"/>
          <w:szCs w:val="24"/>
          <w:u w:val="single"/>
        </w:rPr>
      </w:pPr>
      <w:r w:rsidRPr="00111D82">
        <w:rPr>
          <w:rFonts w:ascii="Times New Roman" w:hAnsi="Times New Roman"/>
          <w:bCs/>
          <w:sz w:val="24"/>
          <w:szCs w:val="24"/>
          <w:u w:val="single"/>
        </w:rPr>
        <w:t>Years of Implementation</w:t>
      </w:r>
    </w:p>
    <w:p w:rsidR="007765C7" w:rsidRPr="00111D82" w:rsidRDefault="008E01BE" w:rsidP="00712937">
      <w:pPr>
        <w:jc w:val="both"/>
        <w:rPr>
          <w:rFonts w:ascii="Times New Roman" w:hAnsi="Times New Roman"/>
          <w:bCs/>
          <w:sz w:val="24"/>
          <w:szCs w:val="24"/>
        </w:rPr>
      </w:pPr>
      <w:r w:rsidRPr="00111D82">
        <w:rPr>
          <w:rFonts w:ascii="Times New Roman" w:hAnsi="Times New Roman"/>
          <w:sz w:val="24"/>
          <w:szCs w:val="24"/>
        </w:rPr>
        <w:t>The Energy Education in Schools</w:t>
      </w:r>
      <w:r w:rsidR="00FF46A4" w:rsidRPr="00111D82">
        <w:rPr>
          <w:rFonts w:ascii="Times New Roman" w:hAnsi="Times New Roman"/>
          <w:sz w:val="24"/>
          <w:szCs w:val="24"/>
        </w:rPr>
        <w:t xml:space="preserve"> program </w:t>
      </w:r>
      <w:r w:rsidR="004945D0" w:rsidRPr="00111D82">
        <w:rPr>
          <w:rFonts w:ascii="Times New Roman" w:hAnsi="Times New Roman"/>
          <w:sz w:val="24"/>
          <w:szCs w:val="24"/>
        </w:rPr>
        <w:t xml:space="preserve">was originally proposed by the Company in 2002 </w:t>
      </w:r>
      <w:r w:rsidR="003C02DC" w:rsidRPr="00111D82">
        <w:rPr>
          <w:rFonts w:ascii="Times New Roman" w:hAnsi="Times New Roman"/>
          <w:sz w:val="24"/>
          <w:szCs w:val="24"/>
        </w:rPr>
        <w:t>with</w:t>
      </w:r>
      <w:r w:rsidR="004945D0" w:rsidRPr="00111D82">
        <w:rPr>
          <w:rFonts w:ascii="Times New Roman" w:hAnsi="Times New Roman"/>
          <w:sz w:val="24"/>
          <w:szCs w:val="24"/>
        </w:rPr>
        <w:t xml:space="preserve"> Advice No. 02-08</w:t>
      </w:r>
      <w:r w:rsidR="003C02DC" w:rsidRPr="00111D82">
        <w:rPr>
          <w:rFonts w:ascii="Times New Roman" w:hAnsi="Times New Roman"/>
          <w:sz w:val="24"/>
          <w:szCs w:val="24"/>
        </w:rPr>
        <w:t>.</w:t>
      </w:r>
      <w:r w:rsidR="004945D0" w:rsidRPr="00111D82">
        <w:rPr>
          <w:rFonts w:ascii="Times New Roman" w:hAnsi="Times New Roman"/>
          <w:sz w:val="24"/>
          <w:szCs w:val="24"/>
        </w:rPr>
        <w:t xml:space="preserve"> </w:t>
      </w:r>
      <w:r w:rsidR="003C02DC" w:rsidRPr="00111D82">
        <w:rPr>
          <w:rFonts w:ascii="Times New Roman" w:hAnsi="Times New Roman"/>
          <w:sz w:val="24"/>
          <w:szCs w:val="24"/>
        </w:rPr>
        <w:t>T</w:t>
      </w:r>
      <w:r w:rsidR="004945D0" w:rsidRPr="00111D82">
        <w:rPr>
          <w:rFonts w:ascii="Times New Roman" w:hAnsi="Times New Roman"/>
          <w:sz w:val="24"/>
          <w:szCs w:val="24"/>
        </w:rPr>
        <w:t xml:space="preserve">he Commission </w:t>
      </w:r>
      <w:r w:rsidR="003C02DC" w:rsidRPr="00111D82">
        <w:rPr>
          <w:rFonts w:ascii="Times New Roman" w:hAnsi="Times New Roman"/>
          <w:sz w:val="24"/>
          <w:szCs w:val="24"/>
        </w:rPr>
        <w:t xml:space="preserve">approved the program </w:t>
      </w:r>
      <w:r w:rsidR="004945D0" w:rsidRPr="00111D82">
        <w:rPr>
          <w:rFonts w:ascii="Times New Roman" w:hAnsi="Times New Roman"/>
          <w:sz w:val="24"/>
          <w:szCs w:val="24"/>
        </w:rPr>
        <w:t>with an effective date of April 1, 2003.</w:t>
      </w:r>
      <w:r w:rsidR="007765C7" w:rsidRPr="00111D82">
        <w:rPr>
          <w:rFonts w:ascii="Times New Roman" w:hAnsi="Times New Roman"/>
          <w:sz w:val="24"/>
          <w:szCs w:val="24"/>
        </w:rPr>
        <w:t xml:space="preserve"> </w:t>
      </w:r>
      <w:r w:rsidR="00CA58C8">
        <w:rPr>
          <w:rFonts w:ascii="Times New Roman" w:hAnsi="Times New Roman"/>
          <w:sz w:val="24"/>
          <w:szCs w:val="24"/>
        </w:rPr>
        <w:t>Effective June 30, 2012, t</w:t>
      </w:r>
      <w:r w:rsidR="0056071A">
        <w:rPr>
          <w:rFonts w:ascii="Times New Roman" w:hAnsi="Times New Roman"/>
          <w:sz w:val="24"/>
          <w:szCs w:val="24"/>
        </w:rPr>
        <w:t>he Energy Education in Schools program has been cancelled.</w:t>
      </w:r>
    </w:p>
    <w:p w:rsidR="002B4A2F" w:rsidRPr="00111D82" w:rsidRDefault="002B4A2F" w:rsidP="00E8332C">
      <w:pPr>
        <w:pStyle w:val="BodyText"/>
        <w:rPr>
          <w:b/>
        </w:rPr>
      </w:pPr>
      <w:r w:rsidRPr="00111D82">
        <w:rPr>
          <w:b/>
        </w:rPr>
        <w:br w:type="page"/>
      </w:r>
    </w:p>
    <w:p w:rsidR="008800FC" w:rsidRPr="00111D82" w:rsidRDefault="008800FC" w:rsidP="002B4A2F">
      <w:pPr>
        <w:pStyle w:val="Heading2"/>
        <w:sectPr w:rsidR="008800FC" w:rsidRPr="00111D82" w:rsidSect="001B376C">
          <w:headerReference w:type="default" r:id="rId61"/>
          <w:footerReference w:type="default" r:id="rId62"/>
          <w:type w:val="continuous"/>
          <w:pgSz w:w="12240" w:h="15840" w:code="1"/>
          <w:pgMar w:top="1440" w:right="1080" w:bottom="1440" w:left="1440" w:header="720" w:footer="720" w:gutter="0"/>
          <w:cols w:space="720"/>
          <w:docGrid w:linePitch="360"/>
        </w:sectPr>
      </w:pPr>
    </w:p>
    <w:p w:rsidR="00722821" w:rsidRPr="00111D82" w:rsidRDefault="00652F93" w:rsidP="00451263">
      <w:pPr>
        <w:pStyle w:val="Heading2"/>
        <w:spacing w:before="100" w:beforeAutospacing="1" w:after="100" w:afterAutospacing="1"/>
        <w:jc w:val="both"/>
      </w:pPr>
      <w:bookmarkStart w:id="24" w:name="_Toc326296738"/>
      <w:r w:rsidRPr="00111D82">
        <w:t>Northwest Energy Efficiency Alliance</w:t>
      </w:r>
      <w:bookmarkEnd w:id="24"/>
    </w:p>
    <w:p w:rsidR="00722821" w:rsidRPr="00111D82" w:rsidRDefault="00652F93">
      <w:pPr>
        <w:jc w:val="both"/>
        <w:rPr>
          <w:rFonts w:ascii="Times New Roman" w:hAnsi="Times New Roman"/>
          <w:bCs/>
          <w:sz w:val="24"/>
          <w:szCs w:val="24"/>
          <w:u w:val="single"/>
        </w:rPr>
      </w:pPr>
      <w:r w:rsidRPr="00111D82">
        <w:rPr>
          <w:rFonts w:ascii="Times New Roman" w:hAnsi="Times New Roman"/>
          <w:bCs/>
          <w:sz w:val="24"/>
          <w:szCs w:val="24"/>
          <w:u w:val="single"/>
        </w:rPr>
        <w:t>Years of Implementation</w:t>
      </w:r>
    </w:p>
    <w:p w:rsidR="00652F93" w:rsidRPr="00111D82" w:rsidRDefault="00652F93" w:rsidP="00451263">
      <w:pPr>
        <w:spacing w:after="100" w:afterAutospacing="1"/>
        <w:jc w:val="both"/>
        <w:rPr>
          <w:rFonts w:ascii="Times New Roman" w:hAnsi="Times New Roman"/>
          <w:bCs/>
          <w:sz w:val="24"/>
          <w:szCs w:val="24"/>
        </w:rPr>
      </w:pPr>
      <w:r w:rsidRPr="00111D82">
        <w:rPr>
          <w:rFonts w:ascii="Times New Roman" w:hAnsi="Times New Roman"/>
          <w:bCs/>
          <w:sz w:val="24"/>
          <w:szCs w:val="24"/>
        </w:rPr>
        <w:t>The Northwest Energy Efficiency Alliance has been serving the Northwest region of Oregon, Washington, Idaho, and Montana since 1997.</w:t>
      </w:r>
    </w:p>
    <w:p w:rsidR="00652F93" w:rsidRPr="00111D82" w:rsidRDefault="00652F93" w:rsidP="00712937">
      <w:pPr>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652F93" w:rsidRPr="00111D82" w:rsidRDefault="00652F93" w:rsidP="00451263">
      <w:pPr>
        <w:spacing w:after="100" w:afterAutospacing="1"/>
        <w:jc w:val="both"/>
        <w:rPr>
          <w:rFonts w:ascii="Times New Roman" w:hAnsi="Times New Roman"/>
          <w:sz w:val="24"/>
          <w:szCs w:val="24"/>
        </w:rPr>
      </w:pPr>
      <w:r w:rsidRPr="00111D82">
        <w:rPr>
          <w:rFonts w:ascii="Times New Roman" w:hAnsi="Times New Roman"/>
          <w:sz w:val="24"/>
          <w:szCs w:val="24"/>
        </w:rPr>
        <w:t>NEEA is a non-profit corporation supported by, and working in collaboration with, the Bonneville Power Administration, Energy Trust of Oregon and more than 100 Northwest utilities (including PacifiCorp).</w:t>
      </w:r>
    </w:p>
    <w:p w:rsidR="00652F93" w:rsidRPr="00111D82" w:rsidRDefault="00652F93" w:rsidP="00712937">
      <w:pPr>
        <w:jc w:val="both"/>
        <w:rPr>
          <w:rFonts w:ascii="Times New Roman" w:hAnsi="Times New Roman"/>
          <w:bCs/>
          <w:sz w:val="24"/>
          <w:szCs w:val="24"/>
          <w:u w:val="single"/>
        </w:rPr>
      </w:pPr>
      <w:r w:rsidRPr="00111D82">
        <w:rPr>
          <w:rFonts w:ascii="Times New Roman" w:hAnsi="Times New Roman"/>
          <w:bCs/>
          <w:sz w:val="24"/>
          <w:szCs w:val="24"/>
          <w:u w:val="single"/>
        </w:rPr>
        <w:t>Program Details</w:t>
      </w:r>
    </w:p>
    <w:p w:rsidR="00B922B3" w:rsidRPr="00111D82" w:rsidRDefault="00652F93" w:rsidP="00451263">
      <w:pPr>
        <w:spacing w:after="100" w:afterAutospacing="1"/>
        <w:jc w:val="both"/>
        <w:rPr>
          <w:rFonts w:ascii="Times New Roman" w:hAnsi="Times New Roman"/>
          <w:sz w:val="24"/>
          <w:szCs w:val="24"/>
        </w:rPr>
      </w:pPr>
      <w:r w:rsidRPr="00111D82">
        <w:rPr>
          <w:rFonts w:ascii="Times New Roman" w:hAnsi="Times New Roman"/>
          <w:sz w:val="24"/>
          <w:szCs w:val="24"/>
        </w:rPr>
        <w:t>NEEA works in collaboration with its funders and other strategic market partners to accelerate the innovation and adoption of energy-efficient products, services, and practices.</w:t>
      </w:r>
    </w:p>
    <w:p w:rsidR="00B922B3" w:rsidRPr="00111D82" w:rsidRDefault="00652F93" w:rsidP="00451263">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For the 2010-2014 funding cycle, NEEA and the region are striving to achieve 200 aMW of total regional savings. PacifiCorp’s Washington funding of NEEA’s work represents 3.04 percent of the region’s funding; approximately $5.7 million over the five year period with expected savings attributed to PacifiCorp’s Washington service area of roughly 6 aMW.</w:t>
      </w:r>
    </w:p>
    <w:p w:rsidR="00B922B3" w:rsidRPr="00111D82" w:rsidRDefault="00652F93" w:rsidP="00451263">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For specific information on PacifiCorp’s forecasted savings attributed to NEEA for the 2012-2013 biennial period (shown in Table 1 of this Business Plan), see Appendix 9 to the Company 2012-2013 Biennial Conservation Plan.</w:t>
      </w:r>
    </w:p>
    <w:p w:rsidR="00B922B3" w:rsidRPr="00111D82" w:rsidRDefault="00DB2A8E" w:rsidP="00451263">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In summary </w:t>
      </w:r>
      <w:r w:rsidR="00652F93" w:rsidRPr="00111D82">
        <w:rPr>
          <w:rFonts w:ascii="Times New Roman" w:hAnsi="Times New Roman"/>
          <w:sz w:val="24"/>
          <w:szCs w:val="24"/>
        </w:rPr>
        <w:t>NEEA’s plan to accomplish this goal includes:</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Building and leveraging relationships to influence the market</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Designing and executing strategic market interventions to expand the availability and demand for energy efficient products, services and practices</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Identifying, developing and advancing emerging opportunities to fill the pipeline for energy efficiency</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Delivering education and training to expand market capacity to deliver and maintain energy-efficient products, services and practices</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Facilitating regional coordination, collaboration and knowledge sharing to align interests and accelerate energy efficiency efforts</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Demonstrating and promoting the value of energy efficiency to increase demand</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Developing market intelligence and resources to help NEEA partners achieve their goals</w:t>
      </w:r>
    </w:p>
    <w:p w:rsidR="00B922B3" w:rsidRPr="00111D82" w:rsidRDefault="00652F93" w:rsidP="00451263">
      <w:pPr>
        <w:pStyle w:val="ListParagraph"/>
        <w:numPr>
          <w:ilvl w:val="0"/>
          <w:numId w:val="5"/>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Advancing the adoption and implementation of increasingly efficient energy codes and standards to lock in long-term savings</w:t>
      </w:r>
    </w:p>
    <w:p w:rsidR="00B922B3" w:rsidRPr="00111D82" w:rsidRDefault="00652F93" w:rsidP="00451263">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NEEA has more than a dozen initiatives under way as outlined in their 2010-2014 Business Plan and Strategic Plan. More information on NEEA’s initiatives, business and strategic plans can be found at the following on the NEEA website:</w:t>
      </w:r>
    </w:p>
    <w:p w:rsidR="00B922B3" w:rsidRPr="00952CF1" w:rsidRDefault="00652F93" w:rsidP="00451263">
      <w:pPr>
        <w:pStyle w:val="ListParagraph"/>
        <w:numPr>
          <w:ilvl w:val="0"/>
          <w:numId w:val="6"/>
        </w:numPr>
        <w:spacing w:before="100" w:beforeAutospacing="1" w:after="100" w:afterAutospacing="1"/>
        <w:jc w:val="both"/>
        <w:rPr>
          <w:rFonts w:ascii="Times New Roman" w:hAnsi="Times New Roman"/>
          <w:color w:val="3366FF"/>
          <w:sz w:val="24"/>
          <w:szCs w:val="24"/>
        </w:rPr>
      </w:pPr>
      <w:r w:rsidRPr="00111D82">
        <w:rPr>
          <w:rFonts w:ascii="Times New Roman" w:hAnsi="Times New Roman"/>
          <w:sz w:val="24"/>
          <w:szCs w:val="24"/>
        </w:rPr>
        <w:t xml:space="preserve">Initiatives: </w:t>
      </w:r>
      <w:hyperlink r:id="rId63" w:history="1">
        <w:r w:rsidRPr="00952CF1">
          <w:rPr>
            <w:rStyle w:val="Hyperlink"/>
            <w:rFonts w:ascii="Times New Roman" w:hAnsi="Times New Roman"/>
            <w:color w:val="3366FF"/>
            <w:sz w:val="24"/>
            <w:szCs w:val="24"/>
          </w:rPr>
          <w:t>http://neea.org/news_media/mediaroom/neea_current_initiatives.pdf</w:t>
        </w:r>
      </w:hyperlink>
    </w:p>
    <w:p w:rsidR="00B922B3" w:rsidRPr="00111D82" w:rsidRDefault="00652F93" w:rsidP="00451263">
      <w:pPr>
        <w:pStyle w:val="ListParagraph"/>
        <w:numPr>
          <w:ilvl w:val="0"/>
          <w:numId w:val="6"/>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Business Plan: </w:t>
      </w:r>
      <w:hyperlink r:id="rId64" w:history="1">
        <w:r w:rsidRPr="00952CF1">
          <w:rPr>
            <w:rStyle w:val="Hyperlink"/>
            <w:rFonts w:ascii="Times New Roman" w:hAnsi="Times New Roman"/>
            <w:color w:val="3366FF"/>
            <w:sz w:val="24"/>
            <w:szCs w:val="24"/>
          </w:rPr>
          <w:t>http://neea.org/participate/docs/NEEA_BusinessPlan_Board-Approved.pdf</w:t>
        </w:r>
      </w:hyperlink>
    </w:p>
    <w:p w:rsidR="00B922B3" w:rsidRPr="00111D82" w:rsidRDefault="00652F93" w:rsidP="00451263">
      <w:pPr>
        <w:pStyle w:val="ListParagraph"/>
        <w:numPr>
          <w:ilvl w:val="0"/>
          <w:numId w:val="6"/>
        </w:num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 xml:space="preserve">Strategic Plan: </w:t>
      </w:r>
      <w:hyperlink r:id="rId65" w:history="1">
        <w:r w:rsidRPr="00952CF1">
          <w:rPr>
            <w:rStyle w:val="Hyperlink"/>
            <w:rFonts w:ascii="Times New Roman" w:hAnsi="Times New Roman"/>
            <w:color w:val="3366FF"/>
            <w:sz w:val="24"/>
            <w:szCs w:val="24"/>
          </w:rPr>
          <w:t>http://neea.org/participate/docs/NEEAStrategicPlan_FinalVersion.pdf</w:t>
        </w:r>
      </w:hyperlink>
    </w:p>
    <w:p w:rsidR="00722821" w:rsidRPr="00111D82" w:rsidRDefault="00333784" w:rsidP="00451263">
      <w:pPr>
        <w:spacing w:before="100" w:beforeAutospacing="1" w:after="100" w:afterAutospacing="1"/>
        <w:jc w:val="both"/>
        <w:rPr>
          <w:rFonts w:ascii="Times New Roman" w:eastAsia="Times New Roman" w:hAnsi="Times New Roman"/>
          <w:b/>
          <w:bCs/>
          <w:sz w:val="24"/>
          <w:szCs w:val="24"/>
          <w:u w:val="single"/>
        </w:rPr>
      </w:pPr>
      <w:r w:rsidRPr="00111D82">
        <w:rPr>
          <w:rFonts w:ascii="Times New Roman" w:hAnsi="Times New Roman"/>
          <w:sz w:val="24"/>
          <w:szCs w:val="24"/>
        </w:rPr>
        <w:br w:type="page"/>
      </w:r>
    </w:p>
    <w:p w:rsidR="00722821" w:rsidRPr="00111C21" w:rsidRDefault="0007710D" w:rsidP="00FB662A">
      <w:pPr>
        <w:pStyle w:val="Heading2"/>
        <w:spacing w:before="0" w:after="100" w:afterAutospacing="1"/>
        <w:jc w:val="both"/>
        <w:rPr>
          <w:szCs w:val="24"/>
        </w:rPr>
      </w:pPr>
      <w:bookmarkStart w:id="25" w:name="_Toc326296739"/>
      <w:r w:rsidRPr="00111C21">
        <w:t>Distribution Efficiency</w:t>
      </w:r>
      <w:bookmarkEnd w:id="25"/>
    </w:p>
    <w:p w:rsidR="005A24BE" w:rsidRPr="00111C21" w:rsidRDefault="0007710D" w:rsidP="00FB662A">
      <w:pPr>
        <w:jc w:val="both"/>
        <w:rPr>
          <w:rFonts w:ascii="Times New Roman" w:hAnsi="Times New Roman"/>
          <w:bCs/>
          <w:sz w:val="24"/>
          <w:szCs w:val="24"/>
          <w:u w:val="single"/>
        </w:rPr>
      </w:pPr>
      <w:r w:rsidRPr="00111C21">
        <w:rPr>
          <w:rFonts w:ascii="Times New Roman" w:hAnsi="Times New Roman"/>
          <w:bCs/>
          <w:sz w:val="24"/>
          <w:szCs w:val="24"/>
          <w:u w:val="single"/>
        </w:rPr>
        <w:t>Years of Implementation</w:t>
      </w:r>
    </w:p>
    <w:p w:rsidR="005A24BE" w:rsidRPr="00111C21" w:rsidRDefault="0007710D" w:rsidP="00FB662A">
      <w:pPr>
        <w:spacing w:after="100" w:afterAutospacing="1"/>
        <w:jc w:val="both"/>
        <w:rPr>
          <w:rFonts w:ascii="Times New Roman" w:hAnsi="Times New Roman"/>
          <w:bCs/>
          <w:sz w:val="24"/>
          <w:szCs w:val="24"/>
        </w:rPr>
      </w:pPr>
      <w:r w:rsidRPr="00111C21">
        <w:rPr>
          <w:rFonts w:ascii="Times New Roman" w:hAnsi="Times New Roman"/>
          <w:bCs/>
          <w:sz w:val="24"/>
          <w:szCs w:val="24"/>
        </w:rPr>
        <w:t>The Company began a detailed study of the potential energy savings from distribution efficiency (“DEI”) in 2010. Implementation of identified projects will begin under a pilot program in 2012. The Company currently anticipates the complete acquisition of cost effective DEI energy savings in its Washington service territory by 2018.</w:t>
      </w:r>
    </w:p>
    <w:p w:rsidR="005A24BE" w:rsidRPr="00111C21" w:rsidRDefault="0007710D" w:rsidP="00FB662A">
      <w:pPr>
        <w:spacing w:after="100" w:afterAutospacing="1"/>
        <w:jc w:val="both"/>
        <w:rPr>
          <w:rFonts w:ascii="Times New Roman" w:hAnsi="Times New Roman"/>
          <w:bCs/>
          <w:sz w:val="24"/>
          <w:szCs w:val="24"/>
          <w:u w:val="single"/>
        </w:rPr>
      </w:pPr>
      <w:r w:rsidRPr="00111C21">
        <w:rPr>
          <w:rFonts w:ascii="Times New Roman" w:hAnsi="Times New Roman"/>
          <w:bCs/>
          <w:sz w:val="24"/>
          <w:szCs w:val="24"/>
        </w:rPr>
        <w:t>For the 2012-</w:t>
      </w:r>
      <w:r w:rsidR="00355635">
        <w:rPr>
          <w:rFonts w:ascii="Times New Roman" w:hAnsi="Times New Roman"/>
          <w:bCs/>
          <w:sz w:val="24"/>
          <w:szCs w:val="24"/>
        </w:rPr>
        <w:t>1</w:t>
      </w:r>
      <w:r w:rsidRPr="00111C21">
        <w:rPr>
          <w:rFonts w:ascii="Times New Roman" w:hAnsi="Times New Roman"/>
          <w:bCs/>
          <w:sz w:val="24"/>
          <w:szCs w:val="24"/>
        </w:rPr>
        <w:t xml:space="preserve">3 </w:t>
      </w:r>
      <w:proofErr w:type="gramStart"/>
      <w:r w:rsidRPr="00111C21">
        <w:rPr>
          <w:rFonts w:ascii="Times New Roman" w:hAnsi="Times New Roman"/>
          <w:bCs/>
          <w:sz w:val="24"/>
          <w:szCs w:val="24"/>
        </w:rPr>
        <w:t>biennium</w:t>
      </w:r>
      <w:proofErr w:type="gramEnd"/>
      <w:r w:rsidRPr="00111C21">
        <w:rPr>
          <w:rFonts w:ascii="Times New Roman" w:hAnsi="Times New Roman"/>
          <w:bCs/>
          <w:sz w:val="24"/>
          <w:szCs w:val="24"/>
        </w:rPr>
        <w:t>, voltage optimization projects will be managed through a pilot. The Company will endeavor to measure and verify total energy savings by using the simplified VO measurement and verification protocol approved by the Northwest Council’s Regional Technical Forum (“RTF”). Total project costs will also be tracked in an effort to corroborate cost estimates and determine actual cost effectiveness. The Company will use the results of the pilot to adjust its ten-year forecast as appropriate.</w:t>
      </w:r>
    </w:p>
    <w:p w:rsidR="005A24BE" w:rsidRPr="00111C21" w:rsidRDefault="0007710D" w:rsidP="00FB662A">
      <w:pPr>
        <w:jc w:val="both"/>
        <w:rPr>
          <w:rFonts w:ascii="Times New Roman" w:hAnsi="Times New Roman"/>
          <w:bCs/>
          <w:sz w:val="24"/>
          <w:szCs w:val="24"/>
          <w:u w:val="single"/>
        </w:rPr>
      </w:pPr>
      <w:r w:rsidRPr="00111C21">
        <w:rPr>
          <w:rFonts w:ascii="Times New Roman" w:hAnsi="Times New Roman"/>
          <w:bCs/>
          <w:sz w:val="24"/>
          <w:szCs w:val="24"/>
          <w:u w:val="single"/>
        </w:rPr>
        <w:t>Program Description</w:t>
      </w:r>
    </w:p>
    <w:p w:rsidR="00B922B3" w:rsidRPr="00111C21" w:rsidRDefault="0007710D" w:rsidP="00FB662A">
      <w:pPr>
        <w:spacing w:after="100" w:afterAutospacing="1"/>
        <w:jc w:val="both"/>
        <w:rPr>
          <w:rFonts w:ascii="Times New Roman" w:hAnsi="Times New Roman"/>
          <w:bCs/>
          <w:sz w:val="24"/>
          <w:szCs w:val="24"/>
          <w:u w:val="single"/>
        </w:rPr>
      </w:pPr>
      <w:r w:rsidRPr="00111C21">
        <w:rPr>
          <w:rFonts w:ascii="Times New Roman" w:hAnsi="Times New Roman"/>
          <w:bCs/>
          <w:sz w:val="24"/>
          <w:szCs w:val="24"/>
        </w:rPr>
        <w:t>The Company’s distribution efficiency effort is comprised of two elements, improving distribution system efficiency and lowering the average system voltage. Together these are referred to as voltage optimization or VO. Projects for 2012 include phase balancing and reactive power flow optimization on two circuits in Yakima and two circuits in Walla Walla. Additional projects for 2013 are expected to be similar in nature; the most effective scope and location of these improvements will be determined during the second half of 2012.</w:t>
      </w:r>
    </w:p>
    <w:p w:rsidR="00B922B3" w:rsidRPr="00111C21" w:rsidRDefault="0007710D" w:rsidP="00FB662A">
      <w:pPr>
        <w:jc w:val="both"/>
        <w:rPr>
          <w:rFonts w:ascii="Times New Roman" w:hAnsi="Times New Roman"/>
          <w:sz w:val="24"/>
          <w:szCs w:val="24"/>
        </w:rPr>
      </w:pPr>
      <w:r w:rsidRPr="00111C21">
        <w:rPr>
          <w:rFonts w:ascii="Times New Roman" w:hAnsi="Times New Roman"/>
          <w:sz w:val="24"/>
          <w:szCs w:val="24"/>
          <w:u w:val="single"/>
        </w:rPr>
        <w:t>Program Details</w:t>
      </w:r>
    </w:p>
    <w:p w:rsidR="005A24BE" w:rsidRPr="00111C21" w:rsidRDefault="0007710D" w:rsidP="00FB662A">
      <w:pPr>
        <w:spacing w:after="100" w:afterAutospacing="1"/>
        <w:jc w:val="both"/>
        <w:rPr>
          <w:rFonts w:ascii="Times New Roman" w:hAnsi="Times New Roman"/>
          <w:sz w:val="24"/>
          <w:szCs w:val="24"/>
        </w:rPr>
      </w:pPr>
      <w:r w:rsidRPr="00111C21">
        <w:rPr>
          <w:rFonts w:ascii="Times New Roman" w:hAnsi="Times New Roman"/>
          <w:sz w:val="24"/>
          <w:szCs w:val="24"/>
        </w:rPr>
        <w:t>The following table identifies the predicted distribution efficiency projects in the 2012-</w:t>
      </w:r>
      <w:r w:rsidR="00355635">
        <w:rPr>
          <w:rFonts w:ascii="Times New Roman" w:hAnsi="Times New Roman"/>
          <w:sz w:val="24"/>
          <w:szCs w:val="24"/>
        </w:rPr>
        <w:t>1</w:t>
      </w:r>
      <w:r w:rsidRPr="00111C21">
        <w:rPr>
          <w:rFonts w:ascii="Times New Roman" w:hAnsi="Times New Roman"/>
          <w:sz w:val="24"/>
          <w:szCs w:val="24"/>
        </w:rPr>
        <w:t xml:space="preserve">3 </w:t>
      </w:r>
      <w:proofErr w:type="gramStart"/>
      <w:r w:rsidRPr="00111C21">
        <w:rPr>
          <w:rFonts w:ascii="Times New Roman" w:hAnsi="Times New Roman"/>
          <w:sz w:val="24"/>
          <w:szCs w:val="24"/>
        </w:rPr>
        <w:t>biennium</w:t>
      </w:r>
      <w:proofErr w:type="gramEnd"/>
      <w:r w:rsidRPr="00111C21">
        <w:rPr>
          <w:rFonts w:ascii="Times New Roman" w:hAnsi="Times New Roman"/>
          <w:sz w:val="24"/>
          <w:szCs w:val="24"/>
        </w:rPr>
        <w:t xml:space="preserve">, together with some project details. The VO values shown are those included in the Company’s 2011 </w:t>
      </w:r>
      <w:r w:rsidRPr="00111C21">
        <w:rPr>
          <w:rFonts w:ascii="Times New Roman" w:hAnsi="Times New Roman"/>
          <w:i/>
          <w:sz w:val="24"/>
          <w:szCs w:val="24"/>
        </w:rPr>
        <w:t>Distribution System Efficiency and Voltage Optimization Study</w:t>
      </w:r>
      <w:r w:rsidRPr="00111C21">
        <w:rPr>
          <w:rFonts w:ascii="Times New Roman" w:hAnsi="Times New Roman"/>
          <w:sz w:val="24"/>
          <w:szCs w:val="24"/>
        </w:rPr>
        <w:t>. The detailed design estimates completed for these projects in 2012 will provide more accurate cost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934"/>
        <w:gridCol w:w="1363"/>
        <w:gridCol w:w="894"/>
        <w:gridCol w:w="1329"/>
        <w:gridCol w:w="1059"/>
        <w:gridCol w:w="3358"/>
      </w:tblGrid>
      <w:tr w:rsidR="009917DF" w:rsidRPr="00872425" w:rsidTr="00284CC3">
        <w:trPr>
          <w:trHeight w:val="719"/>
        </w:trPr>
        <w:tc>
          <w:tcPr>
            <w:tcW w:w="502" w:type="pct"/>
            <w:shd w:val="clear" w:color="auto" w:fill="D9D9D9" w:themeFill="background1" w:themeFillShade="D9"/>
            <w:vAlign w:val="bottom"/>
          </w:tcPr>
          <w:p w:rsidR="005A24BE" w:rsidRPr="00111C21" w:rsidRDefault="0007710D" w:rsidP="00FE39A1">
            <w:pPr>
              <w:spacing w:before="240" w:after="240"/>
              <w:jc w:val="center"/>
              <w:rPr>
                <w:rFonts w:ascii="Times New Roman" w:hAnsi="Times New Roman"/>
                <w:b/>
                <w:sz w:val="18"/>
                <w:szCs w:val="18"/>
              </w:rPr>
            </w:pPr>
            <w:r w:rsidRPr="00111C21">
              <w:rPr>
                <w:rFonts w:ascii="Times New Roman" w:hAnsi="Times New Roman"/>
                <w:b/>
                <w:sz w:val="18"/>
                <w:szCs w:val="18"/>
              </w:rPr>
              <w:t>Project</w:t>
            </w:r>
          </w:p>
        </w:tc>
        <w:tc>
          <w:tcPr>
            <w:tcW w:w="470" w:type="pct"/>
            <w:shd w:val="clear" w:color="auto" w:fill="D9D9D9" w:themeFill="background1" w:themeFillShade="D9"/>
            <w:vAlign w:val="bottom"/>
          </w:tcPr>
          <w:p w:rsidR="005A24BE" w:rsidRPr="00111C21" w:rsidRDefault="0007710D" w:rsidP="00FE39A1">
            <w:pPr>
              <w:spacing w:after="240"/>
              <w:jc w:val="center"/>
              <w:rPr>
                <w:rFonts w:ascii="Times New Roman" w:hAnsi="Times New Roman"/>
                <w:b/>
                <w:sz w:val="18"/>
                <w:szCs w:val="18"/>
              </w:rPr>
            </w:pPr>
            <w:r w:rsidRPr="00111C21">
              <w:rPr>
                <w:rFonts w:ascii="Times New Roman" w:hAnsi="Times New Roman"/>
                <w:b/>
                <w:sz w:val="18"/>
                <w:szCs w:val="18"/>
              </w:rPr>
              <w:t>Benefit Cost Ratio</w:t>
            </w:r>
          </w:p>
        </w:tc>
        <w:tc>
          <w:tcPr>
            <w:tcW w:w="686" w:type="pct"/>
            <w:shd w:val="clear" w:color="auto" w:fill="D9D9D9" w:themeFill="background1" w:themeFillShade="D9"/>
            <w:vAlign w:val="bottom"/>
          </w:tcPr>
          <w:p w:rsidR="005A24BE" w:rsidRPr="00111C21" w:rsidRDefault="0007710D" w:rsidP="00FE39A1">
            <w:pPr>
              <w:spacing w:after="240"/>
              <w:jc w:val="center"/>
              <w:rPr>
                <w:rFonts w:ascii="Times New Roman" w:hAnsi="Times New Roman"/>
                <w:b/>
                <w:sz w:val="18"/>
                <w:szCs w:val="18"/>
              </w:rPr>
            </w:pPr>
            <w:r w:rsidRPr="00111C21">
              <w:rPr>
                <w:rFonts w:ascii="Times New Roman" w:hAnsi="Times New Roman"/>
                <w:b/>
                <w:sz w:val="18"/>
                <w:szCs w:val="18"/>
              </w:rPr>
              <w:t>Life Cycle Levelized Cost ($/ MWh)</w:t>
            </w:r>
          </w:p>
        </w:tc>
        <w:tc>
          <w:tcPr>
            <w:tcW w:w="450" w:type="pct"/>
            <w:shd w:val="clear" w:color="auto" w:fill="D9D9D9" w:themeFill="background1" w:themeFillShade="D9"/>
            <w:vAlign w:val="bottom"/>
          </w:tcPr>
          <w:p w:rsidR="005A24BE" w:rsidRPr="00111C21" w:rsidRDefault="0007710D" w:rsidP="00FE39A1">
            <w:pPr>
              <w:spacing w:after="240"/>
              <w:jc w:val="center"/>
              <w:rPr>
                <w:rFonts w:ascii="Times New Roman" w:hAnsi="Times New Roman"/>
                <w:b/>
                <w:sz w:val="18"/>
                <w:szCs w:val="18"/>
              </w:rPr>
            </w:pPr>
            <w:r w:rsidRPr="00111C21">
              <w:rPr>
                <w:rFonts w:ascii="Times New Roman" w:hAnsi="Times New Roman"/>
                <w:b/>
                <w:sz w:val="18"/>
                <w:szCs w:val="18"/>
              </w:rPr>
              <w:t>aMW Savings</w:t>
            </w:r>
          </w:p>
        </w:tc>
        <w:tc>
          <w:tcPr>
            <w:tcW w:w="669" w:type="pct"/>
            <w:shd w:val="clear" w:color="auto" w:fill="D9D9D9" w:themeFill="background1" w:themeFillShade="D9"/>
            <w:vAlign w:val="bottom"/>
          </w:tcPr>
          <w:p w:rsidR="005A24BE" w:rsidRPr="00111C21" w:rsidRDefault="0007710D" w:rsidP="00FE39A1">
            <w:pPr>
              <w:spacing w:after="240"/>
              <w:jc w:val="center"/>
              <w:rPr>
                <w:rFonts w:ascii="Times New Roman" w:hAnsi="Times New Roman"/>
                <w:b/>
                <w:sz w:val="18"/>
                <w:szCs w:val="18"/>
              </w:rPr>
            </w:pPr>
            <w:r w:rsidRPr="00111C21">
              <w:rPr>
                <w:rFonts w:ascii="Times New Roman" w:hAnsi="Times New Roman"/>
                <w:b/>
                <w:sz w:val="18"/>
                <w:szCs w:val="18"/>
              </w:rPr>
              <w:t>Preliminary Scope Costs</w:t>
            </w:r>
          </w:p>
        </w:tc>
        <w:tc>
          <w:tcPr>
            <w:tcW w:w="533" w:type="pct"/>
            <w:shd w:val="clear" w:color="auto" w:fill="D9D9D9" w:themeFill="background1" w:themeFillShade="D9"/>
            <w:vAlign w:val="bottom"/>
          </w:tcPr>
          <w:p w:rsidR="005A24BE" w:rsidRPr="00111C21" w:rsidRDefault="0007710D" w:rsidP="00FE39A1">
            <w:pPr>
              <w:spacing w:after="240"/>
              <w:jc w:val="center"/>
              <w:rPr>
                <w:rFonts w:ascii="Times New Roman" w:hAnsi="Times New Roman"/>
                <w:b/>
                <w:sz w:val="18"/>
                <w:szCs w:val="18"/>
              </w:rPr>
            </w:pPr>
            <w:r w:rsidRPr="00111C21">
              <w:rPr>
                <w:rFonts w:ascii="Times New Roman" w:hAnsi="Times New Roman"/>
                <w:b/>
                <w:sz w:val="18"/>
                <w:szCs w:val="18"/>
              </w:rPr>
              <w:t>Percent Capital</w:t>
            </w:r>
          </w:p>
        </w:tc>
        <w:tc>
          <w:tcPr>
            <w:tcW w:w="1690" w:type="pct"/>
            <w:shd w:val="clear" w:color="auto" w:fill="D9D9D9" w:themeFill="background1" w:themeFillShade="D9"/>
            <w:vAlign w:val="bottom"/>
          </w:tcPr>
          <w:p w:rsidR="005A24BE" w:rsidRPr="00111C21" w:rsidRDefault="0007710D" w:rsidP="00FE39A1">
            <w:pPr>
              <w:spacing w:after="240"/>
              <w:jc w:val="center"/>
              <w:rPr>
                <w:rFonts w:ascii="Times New Roman" w:hAnsi="Times New Roman"/>
                <w:b/>
                <w:sz w:val="18"/>
                <w:szCs w:val="18"/>
              </w:rPr>
            </w:pPr>
            <w:r w:rsidRPr="00111C21">
              <w:rPr>
                <w:rFonts w:ascii="Times New Roman" w:hAnsi="Times New Roman"/>
                <w:b/>
                <w:sz w:val="18"/>
                <w:szCs w:val="18"/>
              </w:rPr>
              <w:t>Description of Work</w:t>
            </w:r>
          </w:p>
        </w:tc>
      </w:tr>
      <w:tr w:rsidR="005A24BE" w:rsidRPr="00872425" w:rsidTr="00284CC3">
        <w:tc>
          <w:tcPr>
            <w:tcW w:w="502" w:type="pct"/>
            <w:shd w:val="clear" w:color="auto" w:fill="auto"/>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Mill Creek 5W116 VO</w:t>
            </w:r>
          </w:p>
        </w:tc>
        <w:tc>
          <w:tcPr>
            <w:tcW w:w="47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7.72</w:t>
            </w:r>
          </w:p>
        </w:tc>
        <w:tc>
          <w:tcPr>
            <w:tcW w:w="686"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$14.20</w:t>
            </w:r>
          </w:p>
        </w:tc>
        <w:tc>
          <w:tcPr>
            <w:tcW w:w="45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0.0727</w:t>
            </w:r>
          </w:p>
        </w:tc>
        <w:tc>
          <w:tcPr>
            <w:tcW w:w="669"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$58,178</w:t>
            </w:r>
          </w:p>
        </w:tc>
        <w:tc>
          <w:tcPr>
            <w:tcW w:w="533"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81%</w:t>
            </w:r>
          </w:p>
        </w:tc>
        <w:tc>
          <w:tcPr>
            <w:tcW w:w="1690" w:type="pct"/>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Correct low voltage issues after voltage is reduced. Measure and verify.</w:t>
            </w:r>
          </w:p>
        </w:tc>
      </w:tr>
      <w:tr w:rsidR="005A24BE" w:rsidRPr="00872425" w:rsidTr="00284CC3">
        <w:tc>
          <w:tcPr>
            <w:tcW w:w="502" w:type="pct"/>
            <w:shd w:val="clear" w:color="auto" w:fill="auto"/>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Mill Creek 5W127 VO</w:t>
            </w:r>
          </w:p>
        </w:tc>
        <w:tc>
          <w:tcPr>
            <w:tcW w:w="47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1.58</w:t>
            </w:r>
          </w:p>
        </w:tc>
        <w:tc>
          <w:tcPr>
            <w:tcW w:w="686"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$69.50</w:t>
            </w:r>
          </w:p>
        </w:tc>
        <w:tc>
          <w:tcPr>
            <w:tcW w:w="45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0.0214</w:t>
            </w:r>
          </w:p>
        </w:tc>
        <w:tc>
          <w:tcPr>
            <w:tcW w:w="669"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$83,645</w:t>
            </w:r>
          </w:p>
        </w:tc>
        <w:tc>
          <w:tcPr>
            <w:tcW w:w="533"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63%</w:t>
            </w:r>
          </w:p>
        </w:tc>
        <w:tc>
          <w:tcPr>
            <w:tcW w:w="1690" w:type="pct"/>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Approximately six phase balance assignments, one new capacitor, and correct low voltage issues after voltage is reduced. Measure and verify.</w:t>
            </w:r>
          </w:p>
        </w:tc>
      </w:tr>
      <w:tr w:rsidR="005A24BE" w:rsidRPr="00872425" w:rsidTr="00284CC3">
        <w:tc>
          <w:tcPr>
            <w:tcW w:w="502" w:type="pct"/>
            <w:shd w:val="clear" w:color="auto" w:fill="auto"/>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Clinton 5Y608 VO</w:t>
            </w:r>
          </w:p>
        </w:tc>
        <w:tc>
          <w:tcPr>
            <w:tcW w:w="47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2.40</w:t>
            </w:r>
          </w:p>
        </w:tc>
        <w:tc>
          <w:tcPr>
            <w:tcW w:w="686"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$45.70</w:t>
            </w:r>
          </w:p>
        </w:tc>
        <w:tc>
          <w:tcPr>
            <w:tcW w:w="45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0.0286</w:t>
            </w:r>
          </w:p>
        </w:tc>
        <w:tc>
          <w:tcPr>
            <w:tcW w:w="669"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$73,614</w:t>
            </w:r>
          </w:p>
        </w:tc>
        <w:tc>
          <w:tcPr>
            <w:tcW w:w="533"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80%</w:t>
            </w:r>
          </w:p>
        </w:tc>
        <w:tc>
          <w:tcPr>
            <w:tcW w:w="1690" w:type="pct"/>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Approximately one phase balance assignment, correct low voltage issues after voltage is reduced. Measure and verify.</w:t>
            </w:r>
          </w:p>
        </w:tc>
      </w:tr>
      <w:tr w:rsidR="005A24BE" w:rsidRPr="00872425" w:rsidTr="00284CC3">
        <w:tc>
          <w:tcPr>
            <w:tcW w:w="502" w:type="pct"/>
            <w:shd w:val="clear" w:color="auto" w:fill="auto"/>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Clinton 5Y610 VO</w:t>
            </w:r>
          </w:p>
        </w:tc>
        <w:tc>
          <w:tcPr>
            <w:tcW w:w="47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3.22</w:t>
            </w:r>
          </w:p>
        </w:tc>
        <w:tc>
          <w:tcPr>
            <w:tcW w:w="686"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$34.10</w:t>
            </w:r>
          </w:p>
        </w:tc>
        <w:tc>
          <w:tcPr>
            <w:tcW w:w="45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0.0278</w:t>
            </w:r>
          </w:p>
        </w:tc>
        <w:tc>
          <w:tcPr>
            <w:tcW w:w="669"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$53,438</w:t>
            </w:r>
          </w:p>
        </w:tc>
        <w:tc>
          <w:tcPr>
            <w:tcW w:w="533"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84%</w:t>
            </w:r>
          </w:p>
        </w:tc>
        <w:tc>
          <w:tcPr>
            <w:tcW w:w="1690" w:type="pct"/>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Approximately one phase balance assignment and correct low voltage issues after voltage is reduced. Measure and verify.</w:t>
            </w:r>
          </w:p>
        </w:tc>
      </w:tr>
      <w:tr w:rsidR="005A24BE" w:rsidRPr="00872425" w:rsidTr="00284CC3">
        <w:tc>
          <w:tcPr>
            <w:tcW w:w="502" w:type="pct"/>
            <w:shd w:val="clear" w:color="auto" w:fill="auto"/>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2013 VO</w:t>
            </w:r>
          </w:p>
        </w:tc>
        <w:tc>
          <w:tcPr>
            <w:tcW w:w="47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&gt; 1</w:t>
            </w:r>
          </w:p>
        </w:tc>
        <w:tc>
          <w:tcPr>
            <w:tcW w:w="686"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&lt; 105.91</w:t>
            </w:r>
          </w:p>
        </w:tc>
        <w:tc>
          <w:tcPr>
            <w:tcW w:w="45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0.0235</w:t>
            </w:r>
          </w:p>
        </w:tc>
        <w:tc>
          <w:tcPr>
            <w:tcW w:w="669"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$750,000</w:t>
            </w:r>
          </w:p>
        </w:tc>
        <w:tc>
          <w:tcPr>
            <w:tcW w:w="533"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80%</w:t>
            </w:r>
          </w:p>
        </w:tc>
        <w:tc>
          <w:tcPr>
            <w:tcW w:w="1690" w:type="pct"/>
            <w:vAlign w:val="bottom"/>
          </w:tcPr>
          <w:p w:rsidR="005A24BE" w:rsidRPr="00111C21" w:rsidRDefault="0007710D" w:rsidP="00A202DD">
            <w:pPr>
              <w:spacing w:after="240"/>
              <w:rPr>
                <w:rFonts w:ascii="Times New Roman" w:hAnsi="Times New Roman"/>
                <w:sz w:val="18"/>
                <w:szCs w:val="18"/>
              </w:rPr>
            </w:pPr>
            <w:r w:rsidRPr="00111C21">
              <w:rPr>
                <w:rFonts w:ascii="Times New Roman" w:hAnsi="Times New Roman"/>
                <w:sz w:val="18"/>
                <w:szCs w:val="18"/>
              </w:rPr>
              <w:t>Estimates are from the study but additional study is required on adjacent circuits before a scope can be defined.</w:t>
            </w:r>
          </w:p>
        </w:tc>
      </w:tr>
      <w:tr w:rsidR="005A24BE" w:rsidRPr="00872425" w:rsidTr="00284CC3">
        <w:tc>
          <w:tcPr>
            <w:tcW w:w="502" w:type="pct"/>
            <w:shd w:val="clear" w:color="auto" w:fill="auto"/>
            <w:vAlign w:val="bottom"/>
          </w:tcPr>
          <w:p w:rsidR="005A24BE" w:rsidRPr="00111C21" w:rsidRDefault="0007710D" w:rsidP="00A202DD">
            <w:pPr>
              <w:spacing w:after="240"/>
              <w:rPr>
                <w:rFonts w:ascii="Times New Roman" w:hAnsi="Times New Roman"/>
                <w:b/>
                <w:sz w:val="18"/>
                <w:szCs w:val="18"/>
              </w:rPr>
            </w:pPr>
            <w:r w:rsidRPr="00111C21">
              <w:rPr>
                <w:rFonts w:ascii="Times New Roman" w:hAnsi="Times New Roman"/>
                <w:b/>
                <w:sz w:val="18"/>
                <w:szCs w:val="18"/>
              </w:rPr>
              <w:t>Total</w:t>
            </w:r>
          </w:p>
        </w:tc>
        <w:tc>
          <w:tcPr>
            <w:tcW w:w="470" w:type="pct"/>
            <w:vAlign w:val="bottom"/>
          </w:tcPr>
          <w:p w:rsidR="005A24BE" w:rsidRPr="00111C21" w:rsidRDefault="005A24BE" w:rsidP="001C4055">
            <w:pPr>
              <w:spacing w:after="240"/>
              <w:jc w:val="center"/>
              <w:rPr>
                <w:rFonts w:ascii="Times New Roman" w:hAnsi="Times New Roman"/>
                <w:sz w:val="18"/>
                <w:szCs w:val="18"/>
              </w:rPr>
            </w:pPr>
          </w:p>
        </w:tc>
        <w:tc>
          <w:tcPr>
            <w:tcW w:w="686" w:type="pct"/>
            <w:vAlign w:val="bottom"/>
          </w:tcPr>
          <w:p w:rsidR="005A24BE" w:rsidRPr="00111C21" w:rsidRDefault="005A24BE" w:rsidP="001C4055">
            <w:pPr>
              <w:spacing w:after="240"/>
              <w:jc w:val="center"/>
              <w:rPr>
                <w:rFonts w:ascii="Times New Roman" w:hAnsi="Times New Roman"/>
                <w:sz w:val="18"/>
                <w:szCs w:val="18"/>
              </w:rPr>
            </w:pPr>
          </w:p>
        </w:tc>
        <w:tc>
          <w:tcPr>
            <w:tcW w:w="450"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0.346</w:t>
            </w:r>
          </w:p>
        </w:tc>
        <w:tc>
          <w:tcPr>
            <w:tcW w:w="669" w:type="pct"/>
            <w:vAlign w:val="bottom"/>
          </w:tcPr>
          <w:p w:rsidR="005A24BE" w:rsidRPr="00111C21" w:rsidRDefault="0007710D" w:rsidP="001C4055">
            <w:pPr>
              <w:spacing w:after="240"/>
              <w:jc w:val="center"/>
              <w:rPr>
                <w:rFonts w:ascii="Times New Roman" w:hAnsi="Times New Roman"/>
                <w:sz w:val="18"/>
                <w:szCs w:val="18"/>
              </w:rPr>
            </w:pPr>
            <w:r w:rsidRPr="00111C21">
              <w:rPr>
                <w:rFonts w:ascii="Times New Roman" w:hAnsi="Times New Roman"/>
                <w:sz w:val="18"/>
                <w:szCs w:val="18"/>
              </w:rPr>
              <w:t>$1,018,875</w:t>
            </w:r>
          </w:p>
        </w:tc>
        <w:tc>
          <w:tcPr>
            <w:tcW w:w="533" w:type="pct"/>
            <w:vAlign w:val="bottom"/>
          </w:tcPr>
          <w:p w:rsidR="005A24BE" w:rsidRPr="00111C21" w:rsidRDefault="005A24BE" w:rsidP="001C4055">
            <w:pPr>
              <w:spacing w:after="240"/>
              <w:jc w:val="center"/>
              <w:rPr>
                <w:rFonts w:ascii="Times New Roman" w:hAnsi="Times New Roman"/>
                <w:sz w:val="18"/>
                <w:szCs w:val="18"/>
              </w:rPr>
            </w:pPr>
          </w:p>
        </w:tc>
        <w:tc>
          <w:tcPr>
            <w:tcW w:w="1690" w:type="pct"/>
            <w:vAlign w:val="bottom"/>
          </w:tcPr>
          <w:p w:rsidR="005A24BE" w:rsidRPr="00111C21" w:rsidRDefault="005A24BE" w:rsidP="00A202DD">
            <w:pPr>
              <w:spacing w:after="240"/>
              <w:rPr>
                <w:rFonts w:ascii="Times New Roman" w:hAnsi="Times New Roman"/>
                <w:sz w:val="18"/>
                <w:szCs w:val="18"/>
              </w:rPr>
            </w:pPr>
          </w:p>
        </w:tc>
      </w:tr>
    </w:tbl>
    <w:p w:rsidR="007866E8" w:rsidRPr="00111D82" w:rsidRDefault="0007710D" w:rsidP="00FB662A">
      <w:pPr>
        <w:spacing w:before="100" w:beforeAutospacing="1" w:after="100" w:afterAutospacing="1"/>
        <w:jc w:val="both"/>
        <w:rPr>
          <w:rFonts w:ascii="Times New Roman" w:hAnsi="Times New Roman"/>
          <w:b/>
          <w:sz w:val="24"/>
          <w:szCs w:val="24"/>
        </w:rPr>
      </w:pPr>
      <w:r w:rsidRPr="00111C21">
        <w:rPr>
          <w:rFonts w:ascii="Times New Roman" w:hAnsi="Times New Roman"/>
          <w:sz w:val="24"/>
          <w:szCs w:val="24"/>
        </w:rPr>
        <w:t>For specific information on PacifiCorp’s forecasted savings attributed to VO for the 2012-</w:t>
      </w:r>
      <w:r w:rsidR="00355635">
        <w:rPr>
          <w:rFonts w:ascii="Times New Roman" w:hAnsi="Times New Roman"/>
          <w:sz w:val="24"/>
          <w:szCs w:val="24"/>
        </w:rPr>
        <w:t>1</w:t>
      </w:r>
      <w:r w:rsidRPr="00111C21">
        <w:rPr>
          <w:rFonts w:ascii="Times New Roman" w:hAnsi="Times New Roman"/>
          <w:sz w:val="24"/>
          <w:szCs w:val="24"/>
        </w:rPr>
        <w:t xml:space="preserve">3 biennial </w:t>
      </w:r>
      <w:proofErr w:type="gramStart"/>
      <w:r w:rsidRPr="00111C21">
        <w:rPr>
          <w:rFonts w:ascii="Times New Roman" w:hAnsi="Times New Roman"/>
          <w:sz w:val="24"/>
          <w:szCs w:val="24"/>
        </w:rPr>
        <w:t>period</w:t>
      </w:r>
      <w:proofErr w:type="gramEnd"/>
      <w:r w:rsidRPr="00111C21">
        <w:rPr>
          <w:rFonts w:ascii="Times New Roman" w:hAnsi="Times New Roman"/>
          <w:sz w:val="24"/>
          <w:szCs w:val="24"/>
        </w:rPr>
        <w:t>, see the Company’s Biennial Conservation Plan.</w:t>
      </w:r>
      <w:r w:rsidR="007866E8" w:rsidRPr="00111D82">
        <w:rPr>
          <w:rFonts w:ascii="Times New Roman" w:hAnsi="Times New Roman"/>
          <w:b/>
          <w:sz w:val="24"/>
          <w:szCs w:val="24"/>
        </w:rPr>
        <w:br w:type="page"/>
      </w:r>
    </w:p>
    <w:p w:rsidR="006B6A75" w:rsidRPr="00111D82" w:rsidRDefault="007866E8" w:rsidP="00FB662A">
      <w:pPr>
        <w:pStyle w:val="Heading2"/>
        <w:spacing w:before="100" w:beforeAutospacing="1" w:after="100" w:afterAutospacing="1"/>
        <w:jc w:val="both"/>
        <w:rPr>
          <w:szCs w:val="24"/>
        </w:rPr>
      </w:pPr>
      <w:bookmarkStart w:id="26" w:name="_Toc326296740"/>
      <w:r w:rsidRPr="00111D82">
        <w:t>Production Efficiency</w:t>
      </w:r>
      <w:bookmarkEnd w:id="26"/>
    </w:p>
    <w:p w:rsidR="007356F4" w:rsidRPr="000F7F70" w:rsidRDefault="007356F4" w:rsidP="00FB662A">
      <w:pPr>
        <w:spacing w:before="100" w:beforeAutospacing="1"/>
        <w:jc w:val="both"/>
        <w:rPr>
          <w:rFonts w:ascii="Times New Roman" w:hAnsi="Times New Roman"/>
          <w:bCs/>
          <w:sz w:val="24"/>
          <w:szCs w:val="24"/>
          <w:u w:val="single"/>
        </w:rPr>
      </w:pPr>
      <w:r w:rsidRPr="00FD3B65">
        <w:rPr>
          <w:rFonts w:ascii="Times New Roman" w:hAnsi="Times New Roman"/>
          <w:bCs/>
          <w:sz w:val="24"/>
          <w:szCs w:val="24"/>
          <w:u w:val="single"/>
        </w:rPr>
        <w:t>Years of Implementation</w:t>
      </w:r>
    </w:p>
    <w:p w:rsidR="007356F4" w:rsidRPr="000F7F70" w:rsidRDefault="007356F4" w:rsidP="00FB662A">
      <w:pPr>
        <w:spacing w:after="100" w:afterAutospacing="1"/>
        <w:jc w:val="both"/>
        <w:rPr>
          <w:rFonts w:ascii="Times New Roman" w:hAnsi="Times New Roman"/>
          <w:bCs/>
          <w:sz w:val="24"/>
          <w:szCs w:val="24"/>
          <w:u w:val="single"/>
        </w:rPr>
      </w:pPr>
      <w:r>
        <w:rPr>
          <w:rFonts w:ascii="Times New Roman" w:hAnsi="Times New Roman"/>
          <w:bCs/>
          <w:sz w:val="24"/>
          <w:szCs w:val="24"/>
        </w:rPr>
        <w:t>The Company began a d</w:t>
      </w:r>
      <w:r w:rsidRPr="000F7F70">
        <w:rPr>
          <w:rFonts w:ascii="Times New Roman" w:hAnsi="Times New Roman"/>
          <w:bCs/>
          <w:sz w:val="24"/>
          <w:szCs w:val="24"/>
        </w:rPr>
        <w:t xml:space="preserve">etailed study of the potential energy savings from </w:t>
      </w:r>
      <w:r>
        <w:rPr>
          <w:rFonts w:ascii="Times New Roman" w:hAnsi="Times New Roman"/>
          <w:bCs/>
          <w:sz w:val="24"/>
          <w:szCs w:val="24"/>
        </w:rPr>
        <w:t>production</w:t>
      </w:r>
      <w:r w:rsidRPr="000F7F70">
        <w:rPr>
          <w:rFonts w:ascii="Times New Roman" w:hAnsi="Times New Roman"/>
          <w:bCs/>
          <w:sz w:val="24"/>
          <w:szCs w:val="24"/>
        </w:rPr>
        <w:t xml:space="preserve"> efficiency </w:t>
      </w:r>
      <w:r>
        <w:rPr>
          <w:rFonts w:ascii="Times New Roman" w:hAnsi="Times New Roman"/>
          <w:bCs/>
          <w:sz w:val="24"/>
          <w:szCs w:val="24"/>
        </w:rPr>
        <w:t>(“PE”) in 2011; with the initial i</w:t>
      </w:r>
      <w:r w:rsidRPr="000F7F70">
        <w:rPr>
          <w:rFonts w:ascii="Times New Roman" w:hAnsi="Times New Roman"/>
          <w:bCs/>
          <w:sz w:val="24"/>
          <w:szCs w:val="24"/>
        </w:rPr>
        <w:t>mplementation of identified projects begin</w:t>
      </w:r>
      <w:r>
        <w:rPr>
          <w:rFonts w:ascii="Times New Roman" w:hAnsi="Times New Roman"/>
          <w:bCs/>
          <w:sz w:val="24"/>
          <w:szCs w:val="24"/>
        </w:rPr>
        <w:t>ning</w:t>
      </w:r>
      <w:r w:rsidRPr="000F7F70">
        <w:rPr>
          <w:rFonts w:ascii="Times New Roman" w:hAnsi="Times New Roman"/>
          <w:bCs/>
          <w:sz w:val="24"/>
          <w:szCs w:val="24"/>
        </w:rPr>
        <w:t xml:space="preserve"> in 2012. The Company </w:t>
      </w:r>
      <w:r>
        <w:rPr>
          <w:rFonts w:ascii="Times New Roman" w:hAnsi="Times New Roman"/>
          <w:bCs/>
          <w:sz w:val="24"/>
          <w:szCs w:val="24"/>
        </w:rPr>
        <w:t xml:space="preserve">currently anticipates the </w:t>
      </w:r>
      <w:r w:rsidRPr="000F7F70">
        <w:rPr>
          <w:rFonts w:ascii="Times New Roman" w:hAnsi="Times New Roman"/>
          <w:bCs/>
          <w:sz w:val="24"/>
          <w:szCs w:val="24"/>
        </w:rPr>
        <w:t xml:space="preserve">complete acquisition of cost effective </w:t>
      </w:r>
      <w:r>
        <w:rPr>
          <w:rFonts w:ascii="Times New Roman" w:hAnsi="Times New Roman"/>
          <w:bCs/>
          <w:sz w:val="24"/>
          <w:szCs w:val="24"/>
        </w:rPr>
        <w:t xml:space="preserve">PE </w:t>
      </w:r>
      <w:r w:rsidRPr="000F7F70">
        <w:rPr>
          <w:rFonts w:ascii="Times New Roman" w:hAnsi="Times New Roman"/>
          <w:bCs/>
          <w:sz w:val="24"/>
          <w:szCs w:val="24"/>
        </w:rPr>
        <w:t xml:space="preserve">energy savings in its Washington service territory </w:t>
      </w:r>
      <w:r>
        <w:rPr>
          <w:rFonts w:ascii="Times New Roman" w:hAnsi="Times New Roman"/>
          <w:bCs/>
          <w:sz w:val="24"/>
          <w:szCs w:val="24"/>
        </w:rPr>
        <w:t>by</w:t>
      </w:r>
      <w:r w:rsidRPr="000F7F70">
        <w:rPr>
          <w:rFonts w:ascii="Times New Roman" w:hAnsi="Times New Roman"/>
          <w:bCs/>
          <w:sz w:val="24"/>
          <w:szCs w:val="24"/>
        </w:rPr>
        <w:t xml:space="preserve"> 201</w:t>
      </w:r>
      <w:r>
        <w:rPr>
          <w:rFonts w:ascii="Times New Roman" w:hAnsi="Times New Roman"/>
          <w:bCs/>
          <w:sz w:val="24"/>
          <w:szCs w:val="24"/>
        </w:rPr>
        <w:t>4</w:t>
      </w:r>
      <w:r w:rsidRPr="000F7F70">
        <w:rPr>
          <w:rFonts w:ascii="Times New Roman" w:hAnsi="Times New Roman"/>
          <w:bCs/>
          <w:sz w:val="24"/>
          <w:szCs w:val="24"/>
        </w:rPr>
        <w:t>.</w:t>
      </w:r>
    </w:p>
    <w:p w:rsidR="007356F4" w:rsidRPr="000F7F70" w:rsidRDefault="007356F4" w:rsidP="00FB662A">
      <w:pPr>
        <w:spacing w:before="100" w:beforeAutospacing="1"/>
        <w:jc w:val="both"/>
        <w:rPr>
          <w:rFonts w:ascii="Times New Roman" w:hAnsi="Times New Roman"/>
          <w:bCs/>
          <w:sz w:val="24"/>
          <w:szCs w:val="24"/>
          <w:u w:val="single"/>
        </w:rPr>
      </w:pPr>
      <w:r w:rsidRPr="00FD3B65">
        <w:rPr>
          <w:rFonts w:ascii="Times New Roman" w:hAnsi="Times New Roman"/>
          <w:bCs/>
          <w:sz w:val="24"/>
          <w:szCs w:val="24"/>
          <w:u w:val="single"/>
        </w:rPr>
        <w:t>Program Description</w:t>
      </w:r>
    </w:p>
    <w:p w:rsidR="007356F4" w:rsidRPr="00EA165F" w:rsidRDefault="007356F4" w:rsidP="00FB662A">
      <w:pPr>
        <w:spacing w:after="100" w:afterAutospacing="1"/>
        <w:jc w:val="both"/>
        <w:rPr>
          <w:rFonts w:ascii="Times New Roman" w:hAnsi="Times New Roman"/>
          <w:bCs/>
          <w:sz w:val="24"/>
          <w:szCs w:val="24"/>
        </w:rPr>
      </w:pPr>
      <w:r w:rsidRPr="00EA165F">
        <w:rPr>
          <w:rFonts w:ascii="Times New Roman" w:hAnsi="Times New Roman"/>
          <w:bCs/>
          <w:sz w:val="24"/>
          <w:szCs w:val="24"/>
        </w:rPr>
        <w:t>In 2011, the Company began studying potential energy efficiency upgrades to the electrical systems at the thermal and wind power production facilities. PacifiCorp (Company) fully owns one thermal plant that provides power to Washington State as well as four wind projects. The Company jointly owns two additional thermal plants that als</w:t>
      </w:r>
      <w:r>
        <w:rPr>
          <w:rFonts w:ascii="Times New Roman" w:hAnsi="Times New Roman"/>
          <w:bCs/>
          <w:sz w:val="24"/>
          <w:szCs w:val="24"/>
        </w:rPr>
        <w:t>o provide power to Washington. All facilities were analyzed as a part of the potential study.</w:t>
      </w:r>
    </w:p>
    <w:p w:rsidR="007356F4" w:rsidRDefault="007356F4" w:rsidP="00FB662A">
      <w:pPr>
        <w:spacing w:before="100" w:beforeAutospacing="1"/>
        <w:jc w:val="both"/>
        <w:rPr>
          <w:rFonts w:ascii="Times New Roman" w:hAnsi="Times New Roman"/>
          <w:sz w:val="24"/>
          <w:szCs w:val="24"/>
        </w:rPr>
      </w:pPr>
      <w:r w:rsidRPr="00FD3B65">
        <w:rPr>
          <w:rFonts w:ascii="Times New Roman" w:hAnsi="Times New Roman"/>
          <w:sz w:val="24"/>
          <w:szCs w:val="24"/>
          <w:u w:val="single"/>
        </w:rPr>
        <w:t>Program Details</w:t>
      </w:r>
    </w:p>
    <w:p w:rsidR="007356F4" w:rsidRDefault="007356F4" w:rsidP="00FB662A">
      <w:pPr>
        <w:spacing w:after="100" w:afterAutospacing="1"/>
        <w:jc w:val="both"/>
        <w:rPr>
          <w:rFonts w:ascii="Times New Roman" w:hAnsi="Times New Roman"/>
          <w:bCs/>
          <w:sz w:val="24"/>
          <w:szCs w:val="24"/>
        </w:rPr>
      </w:pPr>
      <w:r>
        <w:rPr>
          <w:rFonts w:ascii="Times New Roman" w:hAnsi="Times New Roman"/>
          <w:bCs/>
          <w:sz w:val="24"/>
          <w:szCs w:val="24"/>
        </w:rPr>
        <w:t>Project work</w:t>
      </w:r>
      <w:r w:rsidRPr="00EA165F">
        <w:rPr>
          <w:rFonts w:ascii="Times New Roman" w:hAnsi="Times New Roman"/>
          <w:bCs/>
          <w:sz w:val="24"/>
          <w:szCs w:val="24"/>
        </w:rPr>
        <w:t xml:space="preserve"> will begin in 2012 starting at the Chehalis power plant for the current biennium. Also in the 2012</w:t>
      </w:r>
      <w:r>
        <w:rPr>
          <w:rFonts w:ascii="Times New Roman" w:hAnsi="Times New Roman"/>
          <w:bCs/>
          <w:sz w:val="24"/>
          <w:szCs w:val="24"/>
        </w:rPr>
        <w:t>-</w:t>
      </w:r>
      <w:r w:rsidR="00355635">
        <w:rPr>
          <w:rFonts w:ascii="Times New Roman" w:hAnsi="Times New Roman"/>
          <w:bCs/>
          <w:sz w:val="24"/>
          <w:szCs w:val="24"/>
        </w:rPr>
        <w:t>1</w:t>
      </w:r>
      <w:r w:rsidRPr="00EA165F">
        <w:rPr>
          <w:rFonts w:ascii="Times New Roman" w:hAnsi="Times New Roman"/>
          <w:bCs/>
          <w:sz w:val="24"/>
          <w:szCs w:val="24"/>
        </w:rPr>
        <w:t xml:space="preserve">3 </w:t>
      </w:r>
      <w:proofErr w:type="gramStart"/>
      <w:r w:rsidRPr="00EA165F">
        <w:rPr>
          <w:rFonts w:ascii="Times New Roman" w:hAnsi="Times New Roman"/>
          <w:bCs/>
          <w:sz w:val="24"/>
          <w:szCs w:val="24"/>
        </w:rPr>
        <w:t>biennium</w:t>
      </w:r>
      <w:proofErr w:type="gramEnd"/>
      <w:r w:rsidRPr="00EA165F">
        <w:rPr>
          <w:rFonts w:ascii="Times New Roman" w:hAnsi="Times New Roman"/>
          <w:bCs/>
          <w:sz w:val="24"/>
          <w:szCs w:val="24"/>
        </w:rPr>
        <w:t xml:space="preserve"> the Company will work with joint owners at Hermiston and Jim Bridger to get identified projects approved for constru</w:t>
      </w:r>
      <w:r>
        <w:rPr>
          <w:rFonts w:ascii="Times New Roman" w:hAnsi="Times New Roman"/>
          <w:bCs/>
          <w:sz w:val="24"/>
          <w:szCs w:val="24"/>
        </w:rPr>
        <w:t>ction in the 2014-</w:t>
      </w:r>
      <w:r w:rsidR="00355635">
        <w:rPr>
          <w:rFonts w:ascii="Times New Roman" w:hAnsi="Times New Roman"/>
          <w:bCs/>
          <w:sz w:val="24"/>
          <w:szCs w:val="24"/>
        </w:rPr>
        <w:t>1</w:t>
      </w:r>
      <w:r>
        <w:rPr>
          <w:rFonts w:ascii="Times New Roman" w:hAnsi="Times New Roman"/>
          <w:bCs/>
          <w:sz w:val="24"/>
          <w:szCs w:val="24"/>
        </w:rPr>
        <w:t xml:space="preserve">5 biennium. </w:t>
      </w:r>
      <w:r w:rsidRPr="00FE39A1">
        <w:rPr>
          <w:rFonts w:ascii="Times New Roman" w:hAnsi="Times New Roman"/>
          <w:bCs/>
          <w:sz w:val="24"/>
          <w:szCs w:val="24"/>
        </w:rPr>
        <w:t>At the Goodnoe Hills wind project, the study showed no significant eff</w:t>
      </w:r>
      <w:r>
        <w:rPr>
          <w:rFonts w:ascii="Times New Roman" w:hAnsi="Times New Roman"/>
          <w:bCs/>
          <w:sz w:val="24"/>
          <w:szCs w:val="24"/>
        </w:rPr>
        <w:t>iciency improvements available.</w:t>
      </w:r>
      <w:r w:rsidRPr="00FE39A1">
        <w:rPr>
          <w:rFonts w:ascii="Times New Roman" w:hAnsi="Times New Roman"/>
          <w:bCs/>
          <w:sz w:val="24"/>
          <w:szCs w:val="24"/>
        </w:rPr>
        <w:t xml:space="preserve"> The remaining wind projects will receive site specific studies in the coming biennium.</w:t>
      </w:r>
    </w:p>
    <w:p w:rsidR="007356F4" w:rsidRPr="00EA165F" w:rsidRDefault="007356F4" w:rsidP="00FB662A">
      <w:pPr>
        <w:spacing w:before="100" w:beforeAutospacing="1" w:after="100" w:afterAutospacing="1"/>
        <w:jc w:val="both"/>
        <w:rPr>
          <w:rFonts w:ascii="Times New Roman" w:hAnsi="Times New Roman"/>
          <w:bCs/>
          <w:sz w:val="24"/>
          <w:szCs w:val="24"/>
        </w:rPr>
      </w:pPr>
      <w:r w:rsidRPr="00EA165F">
        <w:rPr>
          <w:rFonts w:ascii="Times New Roman" w:hAnsi="Times New Roman"/>
          <w:bCs/>
          <w:sz w:val="24"/>
          <w:szCs w:val="24"/>
        </w:rPr>
        <w:t>The following table details the specific projects identified for comp</w:t>
      </w:r>
      <w:r w:rsidR="00355635">
        <w:rPr>
          <w:rFonts w:ascii="Times New Roman" w:hAnsi="Times New Roman"/>
          <w:bCs/>
          <w:sz w:val="24"/>
          <w:szCs w:val="24"/>
        </w:rPr>
        <w:t xml:space="preserve">letion in this </w:t>
      </w:r>
      <w:r>
        <w:rPr>
          <w:rFonts w:ascii="Times New Roman" w:hAnsi="Times New Roman"/>
          <w:bCs/>
          <w:sz w:val="24"/>
          <w:szCs w:val="24"/>
        </w:rPr>
        <w:t>biennium.</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7"/>
        <w:gridCol w:w="1947"/>
        <w:gridCol w:w="1947"/>
        <w:gridCol w:w="1947"/>
        <w:gridCol w:w="1947"/>
      </w:tblGrid>
      <w:tr w:rsidR="007356F4" w:rsidRPr="003B7ABD" w:rsidTr="00FF07B8">
        <w:trPr>
          <w:trHeight w:val="467"/>
        </w:trPr>
        <w:tc>
          <w:tcPr>
            <w:tcW w:w="1947" w:type="dxa"/>
            <w:shd w:val="clear" w:color="auto" w:fill="D9D9D9" w:themeFill="background1" w:themeFillShade="D9"/>
            <w:vAlign w:val="bottom"/>
            <w:hideMark/>
          </w:tcPr>
          <w:p w:rsidR="007356F4" w:rsidRPr="001C4055" w:rsidRDefault="007356F4" w:rsidP="00FF07B8">
            <w:pPr>
              <w:spacing w:before="100" w:beforeAutospacing="1" w:after="100" w:afterAutospacing="1"/>
              <w:jc w:val="center"/>
              <w:rPr>
                <w:rFonts w:ascii="Times New Roman" w:hAnsi="Times New Roman"/>
                <w:b/>
                <w:sz w:val="18"/>
                <w:szCs w:val="18"/>
              </w:rPr>
            </w:pPr>
            <w:r w:rsidRPr="001C4055">
              <w:rPr>
                <w:rFonts w:ascii="Times New Roman" w:hAnsi="Times New Roman"/>
                <w:b/>
                <w:sz w:val="18"/>
                <w:szCs w:val="18"/>
              </w:rPr>
              <w:t>Description</w:t>
            </w:r>
          </w:p>
        </w:tc>
        <w:tc>
          <w:tcPr>
            <w:tcW w:w="1947" w:type="dxa"/>
            <w:shd w:val="clear" w:color="auto" w:fill="D9D9D9" w:themeFill="background1" w:themeFillShade="D9"/>
            <w:vAlign w:val="bottom"/>
          </w:tcPr>
          <w:p w:rsidR="007356F4" w:rsidRPr="001C4055" w:rsidRDefault="007356F4" w:rsidP="00FF07B8">
            <w:pPr>
              <w:spacing w:before="100" w:beforeAutospacing="1" w:after="100" w:afterAutospacing="1"/>
              <w:jc w:val="center"/>
              <w:rPr>
                <w:rFonts w:ascii="Times New Roman" w:hAnsi="Times New Roman"/>
                <w:b/>
                <w:sz w:val="18"/>
                <w:szCs w:val="18"/>
              </w:rPr>
            </w:pPr>
            <w:r>
              <w:rPr>
                <w:rFonts w:ascii="Times New Roman" w:hAnsi="Times New Roman"/>
                <w:b/>
                <w:sz w:val="18"/>
                <w:szCs w:val="18"/>
              </w:rPr>
              <w:t>2012 MWh/yr</w:t>
            </w:r>
          </w:p>
        </w:tc>
        <w:tc>
          <w:tcPr>
            <w:tcW w:w="1947" w:type="dxa"/>
            <w:shd w:val="clear" w:color="auto" w:fill="D9D9D9" w:themeFill="background1" w:themeFillShade="D9"/>
            <w:vAlign w:val="bottom"/>
          </w:tcPr>
          <w:p w:rsidR="007356F4" w:rsidRPr="001C4055" w:rsidRDefault="007356F4" w:rsidP="00FF07B8">
            <w:pPr>
              <w:spacing w:before="100" w:beforeAutospacing="1" w:after="100" w:afterAutospacing="1"/>
              <w:jc w:val="center"/>
              <w:rPr>
                <w:rFonts w:ascii="Times New Roman" w:hAnsi="Times New Roman"/>
                <w:b/>
                <w:sz w:val="18"/>
                <w:szCs w:val="18"/>
              </w:rPr>
            </w:pPr>
            <w:r>
              <w:rPr>
                <w:rFonts w:ascii="Times New Roman" w:hAnsi="Times New Roman"/>
                <w:b/>
                <w:sz w:val="18"/>
                <w:szCs w:val="18"/>
              </w:rPr>
              <w:t>2013 MWh/yr</w:t>
            </w:r>
          </w:p>
        </w:tc>
        <w:tc>
          <w:tcPr>
            <w:tcW w:w="1947" w:type="dxa"/>
            <w:shd w:val="clear" w:color="auto" w:fill="D9D9D9" w:themeFill="background1" w:themeFillShade="D9"/>
            <w:noWrap/>
            <w:vAlign w:val="bottom"/>
            <w:hideMark/>
          </w:tcPr>
          <w:p w:rsidR="007356F4" w:rsidRPr="001C4055" w:rsidRDefault="007356F4" w:rsidP="00FF07B8">
            <w:pPr>
              <w:spacing w:before="100" w:beforeAutospacing="1" w:after="100" w:afterAutospacing="1"/>
              <w:jc w:val="center"/>
              <w:rPr>
                <w:rFonts w:ascii="Times New Roman" w:hAnsi="Times New Roman"/>
                <w:b/>
                <w:sz w:val="18"/>
                <w:szCs w:val="18"/>
              </w:rPr>
            </w:pPr>
            <w:r>
              <w:rPr>
                <w:rFonts w:ascii="Times New Roman" w:hAnsi="Times New Roman"/>
                <w:b/>
                <w:sz w:val="18"/>
                <w:szCs w:val="18"/>
              </w:rPr>
              <w:t xml:space="preserve">Net Present Benefit </w:t>
            </w:r>
            <w:r w:rsidRPr="001C4055">
              <w:rPr>
                <w:rFonts w:ascii="Times New Roman" w:hAnsi="Times New Roman"/>
                <w:b/>
                <w:sz w:val="18"/>
                <w:szCs w:val="18"/>
              </w:rPr>
              <w:t>($)</w:t>
            </w:r>
          </w:p>
        </w:tc>
        <w:tc>
          <w:tcPr>
            <w:tcW w:w="1947" w:type="dxa"/>
            <w:shd w:val="clear" w:color="auto" w:fill="D9D9D9" w:themeFill="background1" w:themeFillShade="D9"/>
            <w:noWrap/>
            <w:vAlign w:val="bottom"/>
            <w:hideMark/>
          </w:tcPr>
          <w:p w:rsidR="007356F4" w:rsidRPr="001C4055" w:rsidRDefault="007356F4" w:rsidP="00FF07B8">
            <w:pPr>
              <w:spacing w:before="100" w:beforeAutospacing="1" w:after="100" w:afterAutospacing="1"/>
              <w:jc w:val="center"/>
              <w:rPr>
                <w:rFonts w:ascii="Times New Roman" w:hAnsi="Times New Roman"/>
                <w:b/>
                <w:sz w:val="18"/>
                <w:szCs w:val="18"/>
              </w:rPr>
            </w:pPr>
            <w:r>
              <w:rPr>
                <w:rFonts w:ascii="Times New Roman" w:hAnsi="Times New Roman"/>
                <w:b/>
                <w:sz w:val="18"/>
                <w:szCs w:val="18"/>
              </w:rPr>
              <w:t xml:space="preserve">Total Resource Cost </w:t>
            </w:r>
            <w:r w:rsidRPr="001C4055">
              <w:rPr>
                <w:rFonts w:ascii="Times New Roman" w:hAnsi="Times New Roman"/>
                <w:b/>
                <w:sz w:val="18"/>
                <w:szCs w:val="18"/>
              </w:rPr>
              <w:t>Test</w:t>
            </w:r>
          </w:p>
        </w:tc>
      </w:tr>
      <w:tr w:rsidR="007356F4" w:rsidRPr="003B7ABD" w:rsidTr="00FF07B8">
        <w:trPr>
          <w:trHeight w:val="414"/>
        </w:trPr>
        <w:tc>
          <w:tcPr>
            <w:tcW w:w="1947" w:type="dxa"/>
            <w:shd w:val="clear" w:color="auto" w:fill="auto"/>
            <w:noWrap/>
            <w:vAlign w:val="bottom"/>
            <w:hideMark/>
          </w:tcPr>
          <w:p w:rsidR="007356F4" w:rsidRPr="003B7ABD" w:rsidRDefault="007356F4" w:rsidP="00FF07B8">
            <w:pPr>
              <w:spacing w:before="100" w:beforeAutospacing="1" w:after="100" w:afterAutospacing="1"/>
              <w:rPr>
                <w:rFonts w:ascii="Times New Roman" w:eastAsia="Times New Roman" w:hAnsi="Times New Roman"/>
                <w:sz w:val="18"/>
                <w:szCs w:val="18"/>
              </w:rPr>
            </w:pPr>
            <w:r w:rsidRPr="003B7ABD">
              <w:rPr>
                <w:rFonts w:ascii="Times New Roman" w:eastAsia="Times New Roman" w:hAnsi="Times New Roman"/>
                <w:sz w:val="18"/>
                <w:szCs w:val="18"/>
              </w:rPr>
              <w:t>Lighting</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246</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$161,292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1.15 </w:t>
            </w:r>
          </w:p>
        </w:tc>
      </w:tr>
      <w:tr w:rsidR="007356F4" w:rsidRPr="003B7ABD" w:rsidTr="00FF07B8">
        <w:trPr>
          <w:trHeight w:val="566"/>
        </w:trPr>
        <w:tc>
          <w:tcPr>
            <w:tcW w:w="1947" w:type="dxa"/>
            <w:shd w:val="clear" w:color="auto" w:fill="auto"/>
            <w:noWrap/>
            <w:vAlign w:val="bottom"/>
            <w:hideMark/>
          </w:tcPr>
          <w:p w:rsidR="007356F4" w:rsidRPr="003B7ABD" w:rsidRDefault="007356F4" w:rsidP="00FF07B8">
            <w:pPr>
              <w:spacing w:before="100" w:beforeAutospacing="1" w:after="100" w:afterAutospacing="1"/>
              <w:rPr>
                <w:rFonts w:ascii="Times New Roman" w:eastAsia="Times New Roman" w:hAnsi="Times New Roman"/>
                <w:sz w:val="18"/>
                <w:szCs w:val="18"/>
              </w:rPr>
            </w:pPr>
            <w:r w:rsidRPr="003B7ABD">
              <w:rPr>
                <w:rFonts w:ascii="Times New Roman" w:eastAsia="Times New Roman" w:hAnsi="Times New Roman"/>
                <w:sz w:val="18"/>
                <w:szCs w:val="18"/>
              </w:rPr>
              <w:t>Electric Heat Trace Runtime</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39</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$25,244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1.47 </w:t>
            </w:r>
          </w:p>
        </w:tc>
      </w:tr>
      <w:tr w:rsidR="007356F4" w:rsidRPr="003B7ABD" w:rsidTr="00FF07B8">
        <w:trPr>
          <w:trHeight w:val="440"/>
        </w:trPr>
        <w:tc>
          <w:tcPr>
            <w:tcW w:w="1947" w:type="dxa"/>
            <w:shd w:val="clear" w:color="auto" w:fill="auto"/>
            <w:noWrap/>
            <w:vAlign w:val="bottom"/>
            <w:hideMark/>
          </w:tcPr>
          <w:p w:rsidR="007356F4" w:rsidRPr="003B7ABD" w:rsidRDefault="007356F4" w:rsidP="00FF07B8">
            <w:pPr>
              <w:spacing w:before="100" w:beforeAutospacing="1" w:after="100" w:afterAutospacing="1"/>
              <w:rPr>
                <w:rFonts w:ascii="Times New Roman" w:eastAsia="Times New Roman" w:hAnsi="Times New Roman"/>
                <w:sz w:val="18"/>
                <w:szCs w:val="18"/>
              </w:rPr>
            </w:pPr>
            <w:r w:rsidRPr="003B7ABD">
              <w:rPr>
                <w:rFonts w:ascii="Times New Roman" w:eastAsia="Times New Roman" w:hAnsi="Times New Roman"/>
                <w:sz w:val="18"/>
                <w:szCs w:val="18"/>
              </w:rPr>
              <w:t>Electric Heater Thermostat</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37</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$24,334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33.80 </w:t>
            </w:r>
          </w:p>
        </w:tc>
      </w:tr>
      <w:tr w:rsidR="007356F4" w:rsidRPr="003B7ABD" w:rsidTr="00FF07B8">
        <w:trPr>
          <w:trHeight w:val="449"/>
        </w:trPr>
        <w:tc>
          <w:tcPr>
            <w:tcW w:w="1947" w:type="dxa"/>
            <w:shd w:val="clear" w:color="auto" w:fill="auto"/>
            <w:noWrap/>
            <w:vAlign w:val="bottom"/>
            <w:hideMark/>
          </w:tcPr>
          <w:p w:rsidR="007356F4" w:rsidRPr="003B7ABD" w:rsidRDefault="007356F4" w:rsidP="00FF07B8">
            <w:pPr>
              <w:spacing w:before="100" w:beforeAutospacing="1" w:after="100" w:afterAutospacing="1"/>
              <w:rPr>
                <w:rFonts w:ascii="Times New Roman" w:eastAsia="Times New Roman" w:hAnsi="Times New Roman"/>
                <w:sz w:val="18"/>
                <w:szCs w:val="18"/>
              </w:rPr>
            </w:pPr>
            <w:r w:rsidRPr="003B7ABD">
              <w:rPr>
                <w:rFonts w:ascii="Times New Roman" w:eastAsia="Times New Roman" w:hAnsi="Times New Roman"/>
                <w:sz w:val="18"/>
                <w:szCs w:val="18"/>
              </w:rPr>
              <w:t>Compressed Air Dryer Controls</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29</w:t>
            </w:r>
          </w:p>
        </w:tc>
        <w:tc>
          <w:tcPr>
            <w:tcW w:w="1947" w:type="dxa"/>
            <w:vAlign w:val="bottom"/>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$21,969 </w:t>
            </w:r>
          </w:p>
        </w:tc>
        <w:tc>
          <w:tcPr>
            <w:tcW w:w="1947" w:type="dxa"/>
            <w:shd w:val="clear" w:color="000000" w:fill="FFFFFF"/>
            <w:noWrap/>
            <w:vAlign w:val="bottom"/>
            <w:hideMark/>
          </w:tcPr>
          <w:p w:rsidR="007356F4" w:rsidRPr="003B7ABD" w:rsidRDefault="007356F4" w:rsidP="00FF07B8">
            <w:pPr>
              <w:spacing w:before="100" w:beforeAutospacing="1" w:after="100" w:afterAutospacing="1"/>
              <w:jc w:val="center"/>
              <w:rPr>
                <w:rFonts w:ascii="Times New Roman" w:eastAsia="Times New Roman" w:hAnsi="Times New Roman"/>
                <w:sz w:val="18"/>
                <w:szCs w:val="18"/>
              </w:rPr>
            </w:pPr>
            <w:r w:rsidRPr="003B7ABD">
              <w:rPr>
                <w:rFonts w:ascii="Times New Roman" w:eastAsia="Times New Roman" w:hAnsi="Times New Roman"/>
                <w:sz w:val="18"/>
                <w:szCs w:val="18"/>
              </w:rPr>
              <w:t xml:space="preserve">5.77 </w:t>
            </w:r>
          </w:p>
        </w:tc>
      </w:tr>
    </w:tbl>
    <w:p w:rsidR="00341AA4" w:rsidRPr="00111D82" w:rsidRDefault="00341AA4" w:rsidP="00712937">
      <w:pPr>
        <w:jc w:val="both"/>
        <w:rPr>
          <w:rFonts w:ascii="Times New Roman" w:hAnsi="Times New Roman"/>
          <w:bCs/>
          <w:sz w:val="24"/>
          <w:szCs w:val="24"/>
        </w:rPr>
      </w:pPr>
      <w:r w:rsidRPr="00111D82">
        <w:rPr>
          <w:rFonts w:ascii="Times New Roman" w:hAnsi="Times New Roman"/>
          <w:bCs/>
          <w:sz w:val="24"/>
          <w:szCs w:val="24"/>
        </w:rPr>
        <w:br w:type="page"/>
      </w:r>
    </w:p>
    <w:p w:rsidR="00341AA4" w:rsidRPr="00111D82" w:rsidRDefault="00341AA4" w:rsidP="00FB662A">
      <w:pPr>
        <w:pStyle w:val="Heading1"/>
        <w:spacing w:before="0" w:after="100" w:afterAutospacing="1"/>
        <w:jc w:val="both"/>
        <w:rPr>
          <w:sz w:val="24"/>
          <w:szCs w:val="24"/>
        </w:rPr>
      </w:pPr>
      <w:bookmarkStart w:id="27" w:name="_Toc326296741"/>
      <w:r w:rsidRPr="00111D82">
        <w:t>Customer Outreach and Communications</w:t>
      </w:r>
      <w:bookmarkEnd w:id="27"/>
    </w:p>
    <w:p w:rsidR="00DB617D" w:rsidRPr="00111D82" w:rsidRDefault="00DB617D" w:rsidP="00FB662A">
      <w:pPr>
        <w:jc w:val="both"/>
        <w:rPr>
          <w:rFonts w:ascii="Times New Roman" w:hAnsi="Times New Roman"/>
          <w:bCs/>
          <w:sz w:val="24"/>
          <w:szCs w:val="24"/>
          <w:u w:val="single"/>
        </w:rPr>
      </w:pPr>
      <w:r w:rsidRPr="00111D82">
        <w:rPr>
          <w:rFonts w:ascii="Times New Roman" w:hAnsi="Times New Roman"/>
          <w:bCs/>
          <w:sz w:val="24"/>
          <w:szCs w:val="24"/>
          <w:u w:val="single"/>
        </w:rPr>
        <w:t>Years of Implementation</w:t>
      </w:r>
    </w:p>
    <w:p w:rsidR="00B922B3" w:rsidRPr="00111D82" w:rsidRDefault="00DB617D" w:rsidP="00FB662A">
      <w:pPr>
        <w:spacing w:after="100" w:afterAutospacing="1"/>
        <w:jc w:val="both"/>
        <w:rPr>
          <w:rFonts w:ascii="Times New Roman" w:hAnsi="Times New Roman"/>
          <w:sz w:val="24"/>
          <w:szCs w:val="24"/>
        </w:rPr>
      </w:pPr>
      <w:r w:rsidRPr="00111D82">
        <w:rPr>
          <w:rFonts w:ascii="Times New Roman" w:hAnsi="Times New Roman"/>
          <w:bCs/>
          <w:sz w:val="24"/>
          <w:szCs w:val="24"/>
        </w:rPr>
        <w:t xml:space="preserve">In 2011, the Company </w:t>
      </w:r>
      <w:r w:rsidRPr="00111D82">
        <w:rPr>
          <w:rFonts w:ascii="Times New Roman" w:hAnsi="Times New Roman"/>
          <w:sz w:val="24"/>
          <w:szCs w:val="24"/>
        </w:rPr>
        <w:t xml:space="preserve">implemented </w:t>
      </w:r>
      <w:r w:rsidRPr="00111D82">
        <w:rPr>
          <w:rFonts w:ascii="Times New Roman" w:hAnsi="Times New Roman"/>
          <w:b/>
          <w:i/>
          <w:sz w:val="24"/>
          <w:szCs w:val="24"/>
        </w:rPr>
        <w:t>watts</w:t>
      </w:r>
      <w:r w:rsidRPr="00111D82">
        <w:rPr>
          <w:rFonts w:ascii="Times New Roman" w:hAnsi="Times New Roman"/>
          <w:sz w:val="24"/>
          <w:szCs w:val="24"/>
        </w:rPr>
        <w:t xml:space="preserve">mart, the demand-side management communication and outreach campaign. </w:t>
      </w:r>
      <w:r w:rsidR="00471556" w:rsidRPr="00111D82">
        <w:rPr>
          <w:rFonts w:ascii="Times New Roman" w:hAnsi="Times New Roman"/>
          <w:sz w:val="24"/>
          <w:szCs w:val="24"/>
        </w:rPr>
        <w:t xml:space="preserve">The </w:t>
      </w:r>
      <w:r w:rsidR="00471556" w:rsidRPr="00111D82">
        <w:rPr>
          <w:rFonts w:ascii="Times New Roman" w:hAnsi="Times New Roman"/>
          <w:b/>
          <w:i/>
          <w:sz w:val="24"/>
          <w:szCs w:val="24"/>
        </w:rPr>
        <w:t>watts</w:t>
      </w:r>
      <w:r w:rsidR="00471556" w:rsidRPr="00111D82">
        <w:rPr>
          <w:rFonts w:ascii="Times New Roman" w:hAnsi="Times New Roman"/>
          <w:sz w:val="24"/>
          <w:szCs w:val="24"/>
        </w:rPr>
        <w:t>mart</w:t>
      </w:r>
      <w:r w:rsidR="005F3BDE" w:rsidRPr="00111D82">
        <w:rPr>
          <w:rFonts w:ascii="Times New Roman" w:hAnsi="Times New Roman"/>
          <w:sz w:val="24"/>
          <w:szCs w:val="24"/>
        </w:rPr>
        <w:t xml:space="preserve"> </w:t>
      </w:r>
      <w:r w:rsidR="00471556" w:rsidRPr="00111D82">
        <w:rPr>
          <w:rFonts w:ascii="Times New Roman" w:hAnsi="Times New Roman"/>
          <w:sz w:val="24"/>
          <w:szCs w:val="24"/>
        </w:rPr>
        <w:t xml:space="preserve">program </w:t>
      </w:r>
      <w:r w:rsidR="005F3BDE" w:rsidRPr="00111D82">
        <w:rPr>
          <w:rFonts w:ascii="Times New Roman" w:hAnsi="Times New Roman"/>
          <w:sz w:val="24"/>
          <w:szCs w:val="24"/>
        </w:rPr>
        <w:t>w</w:t>
      </w:r>
      <w:r w:rsidR="00F4178A" w:rsidRPr="00111D82">
        <w:rPr>
          <w:rFonts w:ascii="Times New Roman" w:hAnsi="Times New Roman"/>
          <w:sz w:val="24"/>
          <w:szCs w:val="24"/>
        </w:rPr>
        <w:t>as put into action</w:t>
      </w:r>
      <w:r w:rsidR="005F3BDE" w:rsidRPr="00111D82">
        <w:rPr>
          <w:rFonts w:ascii="Times New Roman" w:hAnsi="Times New Roman"/>
          <w:sz w:val="24"/>
          <w:szCs w:val="24"/>
        </w:rPr>
        <w:t xml:space="preserve"> </w:t>
      </w:r>
      <w:r w:rsidR="00BC0F9F" w:rsidRPr="00111D82">
        <w:rPr>
          <w:rFonts w:ascii="Times New Roman" w:hAnsi="Times New Roman"/>
          <w:sz w:val="24"/>
          <w:szCs w:val="24"/>
        </w:rPr>
        <w:t xml:space="preserve">to meet the program design principle conditions of Order 2 in Docket No. </w:t>
      </w:r>
      <w:r w:rsidR="0069350D" w:rsidRPr="00111D82">
        <w:rPr>
          <w:rFonts w:ascii="Times New Roman" w:hAnsi="Times New Roman"/>
          <w:sz w:val="24"/>
          <w:szCs w:val="24"/>
        </w:rPr>
        <w:t xml:space="preserve">UE 100170 specific to </w:t>
      </w:r>
      <w:r w:rsidR="00471556" w:rsidRPr="00111D82">
        <w:rPr>
          <w:rFonts w:ascii="Times New Roman" w:hAnsi="Times New Roman"/>
          <w:sz w:val="24"/>
          <w:szCs w:val="24"/>
        </w:rPr>
        <w:t xml:space="preserve">energy efficiency program </w:t>
      </w:r>
      <w:r w:rsidR="0069350D" w:rsidRPr="00111D82">
        <w:rPr>
          <w:rFonts w:ascii="Times New Roman" w:hAnsi="Times New Roman"/>
          <w:sz w:val="24"/>
          <w:szCs w:val="24"/>
        </w:rPr>
        <w:t>outreach.</w:t>
      </w:r>
    </w:p>
    <w:p w:rsidR="00180CDB" w:rsidRPr="00111D82" w:rsidRDefault="00180CDB" w:rsidP="00FB662A">
      <w:pPr>
        <w:jc w:val="both"/>
        <w:rPr>
          <w:rFonts w:ascii="Times New Roman" w:hAnsi="Times New Roman"/>
          <w:bCs/>
          <w:sz w:val="24"/>
          <w:szCs w:val="24"/>
          <w:u w:val="single"/>
        </w:rPr>
      </w:pPr>
      <w:r w:rsidRPr="00111D82">
        <w:rPr>
          <w:rFonts w:ascii="Times New Roman" w:hAnsi="Times New Roman"/>
          <w:bCs/>
          <w:sz w:val="24"/>
          <w:szCs w:val="24"/>
          <w:u w:val="single"/>
        </w:rPr>
        <w:t>Program Description</w:t>
      </w:r>
    </w:p>
    <w:p w:rsidR="00180CDB" w:rsidRPr="00111D82" w:rsidRDefault="00BC0F9F" w:rsidP="00FB662A">
      <w:pPr>
        <w:spacing w:after="100" w:afterAutospacing="1"/>
        <w:jc w:val="both"/>
        <w:rPr>
          <w:rFonts w:ascii="Times New Roman" w:hAnsi="Times New Roman"/>
          <w:sz w:val="24"/>
          <w:szCs w:val="24"/>
        </w:rPr>
      </w:pPr>
      <w:r w:rsidRPr="00111D82">
        <w:rPr>
          <w:rFonts w:ascii="Times New Roman" w:hAnsi="Times New Roman"/>
          <w:sz w:val="24"/>
          <w:szCs w:val="24"/>
        </w:rPr>
        <w:t xml:space="preserve">The conditions for outreach for programs required PacifiCorp to establish a strategy for informing participants about program opportunities. </w:t>
      </w:r>
      <w:r w:rsidR="00180CDB" w:rsidRPr="00111D82">
        <w:rPr>
          <w:rFonts w:ascii="Times New Roman" w:hAnsi="Times New Roman"/>
          <w:sz w:val="24"/>
          <w:szCs w:val="24"/>
        </w:rPr>
        <w:t xml:space="preserve">The </w:t>
      </w:r>
      <w:r w:rsidR="00180CDB" w:rsidRPr="00111D82">
        <w:rPr>
          <w:rFonts w:ascii="Times New Roman" w:hAnsi="Times New Roman"/>
          <w:b/>
          <w:i/>
          <w:sz w:val="24"/>
          <w:szCs w:val="24"/>
        </w:rPr>
        <w:t>watts</w:t>
      </w:r>
      <w:r w:rsidR="00180CDB" w:rsidRPr="00111D82">
        <w:rPr>
          <w:rFonts w:ascii="Times New Roman" w:hAnsi="Times New Roman"/>
          <w:sz w:val="24"/>
          <w:szCs w:val="24"/>
        </w:rPr>
        <w:t>mart communications campaign was designed to create awareness of the importance of being energy efficient, and to help increase participation in the company’s demand-side management programs.</w:t>
      </w:r>
      <w:r w:rsidR="005F3BDE" w:rsidRPr="00111D82">
        <w:rPr>
          <w:rFonts w:ascii="Times New Roman" w:hAnsi="Times New Roman"/>
          <w:sz w:val="24"/>
          <w:szCs w:val="24"/>
        </w:rPr>
        <w:t xml:space="preserve"> The programs are funded through the system benefit charge adjustment (Schedule 191) collected on customer bills.</w:t>
      </w:r>
    </w:p>
    <w:p w:rsidR="00180CDB" w:rsidRPr="00111D82" w:rsidRDefault="00180CDB" w:rsidP="00FB662A">
      <w:pPr>
        <w:jc w:val="both"/>
        <w:rPr>
          <w:rFonts w:ascii="Times New Roman" w:hAnsi="Times New Roman"/>
          <w:sz w:val="24"/>
          <w:szCs w:val="24"/>
          <w:u w:val="single"/>
        </w:rPr>
      </w:pPr>
      <w:r w:rsidRPr="00111D82">
        <w:rPr>
          <w:rFonts w:ascii="Times New Roman" w:hAnsi="Times New Roman"/>
          <w:sz w:val="24"/>
          <w:szCs w:val="24"/>
          <w:u w:val="single"/>
        </w:rPr>
        <w:t>Program Details</w:t>
      </w:r>
    </w:p>
    <w:p w:rsidR="0069350D" w:rsidRPr="00111D82" w:rsidRDefault="0069350D" w:rsidP="00FB662A">
      <w:pPr>
        <w:spacing w:after="100" w:afterAutospacing="1"/>
        <w:jc w:val="both"/>
        <w:rPr>
          <w:rFonts w:ascii="Times New Roman" w:hAnsi="Times New Roman"/>
          <w:sz w:val="24"/>
          <w:szCs w:val="24"/>
        </w:rPr>
      </w:pPr>
      <w:r w:rsidRPr="00111D82">
        <w:rPr>
          <w:rFonts w:ascii="Times New Roman" w:hAnsi="Times New Roman"/>
          <w:sz w:val="24"/>
          <w:szCs w:val="24"/>
        </w:rPr>
        <w:t xml:space="preserve">Provided in the table below is a summary of the media channels that were used to deliver the </w:t>
      </w:r>
      <w:r w:rsidRPr="00111D82">
        <w:rPr>
          <w:rFonts w:ascii="Times New Roman" w:hAnsi="Times New Roman"/>
          <w:b/>
          <w:i/>
          <w:sz w:val="24"/>
          <w:szCs w:val="24"/>
        </w:rPr>
        <w:t>watts</w:t>
      </w:r>
      <w:r w:rsidRPr="00111D82">
        <w:rPr>
          <w:rFonts w:ascii="Times New Roman" w:hAnsi="Times New Roman"/>
          <w:sz w:val="24"/>
          <w:szCs w:val="24"/>
        </w:rPr>
        <w:t>mart campaign in 2011.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1"/>
        <w:gridCol w:w="6627"/>
      </w:tblGrid>
      <w:tr w:rsidR="0069350D" w:rsidRPr="00111D82" w:rsidTr="00E8332C">
        <w:tc>
          <w:tcPr>
            <w:tcW w:w="3021" w:type="dxa"/>
            <w:shd w:val="clear" w:color="auto" w:fill="D9D9D9" w:themeFill="background1" w:themeFillShade="D9"/>
            <w:vAlign w:val="bottom"/>
          </w:tcPr>
          <w:p w:rsidR="0069350D" w:rsidRPr="00111D82" w:rsidRDefault="0069350D" w:rsidP="0069350D">
            <w:pPr>
              <w:pStyle w:val="NoSpacing"/>
              <w:jc w:val="center"/>
              <w:rPr>
                <w:rFonts w:ascii="Times New Roman" w:hAnsi="Times New Roman"/>
                <w:b/>
                <w:sz w:val="18"/>
                <w:szCs w:val="18"/>
              </w:rPr>
            </w:pPr>
            <w:r w:rsidRPr="00111D82">
              <w:rPr>
                <w:rFonts w:ascii="Times New Roman" w:hAnsi="Times New Roman"/>
                <w:b/>
                <w:sz w:val="18"/>
                <w:szCs w:val="18"/>
              </w:rPr>
              <w:t>Communication Channel</w:t>
            </w:r>
          </w:p>
        </w:tc>
        <w:tc>
          <w:tcPr>
            <w:tcW w:w="6627" w:type="dxa"/>
            <w:shd w:val="clear" w:color="auto" w:fill="D9D9D9" w:themeFill="background1" w:themeFillShade="D9"/>
            <w:vAlign w:val="bottom"/>
          </w:tcPr>
          <w:p w:rsidR="0069350D" w:rsidRPr="00111D82" w:rsidRDefault="0069350D" w:rsidP="0069350D">
            <w:pPr>
              <w:pStyle w:val="NoSpacing"/>
              <w:jc w:val="center"/>
              <w:rPr>
                <w:rFonts w:ascii="Times New Roman" w:hAnsi="Times New Roman"/>
                <w:b/>
                <w:sz w:val="18"/>
                <w:szCs w:val="18"/>
              </w:rPr>
            </w:pPr>
            <w:r w:rsidRPr="00111D82">
              <w:rPr>
                <w:rFonts w:ascii="Times New Roman" w:hAnsi="Times New Roman"/>
                <w:b/>
                <w:sz w:val="18"/>
                <w:szCs w:val="18"/>
              </w:rPr>
              <w:t>Value to Communication Portfolio</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Television</w:t>
            </w:r>
          </w:p>
        </w:tc>
        <w:tc>
          <w:tcPr>
            <w:tcW w:w="6627" w:type="dxa"/>
          </w:tcPr>
          <w:p w:rsidR="0069350D" w:rsidRPr="00111D82" w:rsidRDefault="0069350D" w:rsidP="00F436BA">
            <w:pPr>
              <w:rPr>
                <w:rFonts w:ascii="Times New Roman" w:hAnsi="Times New Roman"/>
                <w:sz w:val="18"/>
                <w:szCs w:val="18"/>
              </w:rPr>
            </w:pPr>
            <w:r w:rsidRPr="00111D82">
              <w:rPr>
                <w:rFonts w:ascii="Times New Roman" w:hAnsi="Times New Roman"/>
                <w:sz w:val="18"/>
                <w:szCs w:val="18"/>
              </w:rPr>
              <w:t>A</w:t>
            </w:r>
            <w:r w:rsidR="00CE24E2" w:rsidRPr="00111D82">
              <w:rPr>
                <w:rFonts w:ascii="Times New Roman" w:hAnsi="Times New Roman"/>
                <w:sz w:val="18"/>
                <w:szCs w:val="18"/>
              </w:rPr>
              <w:t>dvertisements</w:t>
            </w:r>
            <w:r w:rsidRPr="00111D82">
              <w:rPr>
                <w:rFonts w:ascii="Times New Roman" w:hAnsi="Times New Roman"/>
                <w:sz w:val="18"/>
                <w:szCs w:val="18"/>
              </w:rPr>
              <w:t xml:space="preserve"> were rotated, both 30-second and 15-second TV spots, with an average of 300 </w:t>
            </w:r>
            <w:r w:rsidR="00F436BA" w:rsidRPr="00111D82">
              <w:rPr>
                <w:rFonts w:ascii="Times New Roman" w:hAnsi="Times New Roman"/>
                <w:sz w:val="18"/>
                <w:szCs w:val="18"/>
              </w:rPr>
              <w:t>television</w:t>
            </w:r>
            <w:r w:rsidRPr="00111D82">
              <w:rPr>
                <w:rFonts w:ascii="Times New Roman" w:hAnsi="Times New Roman"/>
                <w:sz w:val="18"/>
                <w:szCs w:val="18"/>
              </w:rPr>
              <w:t xml:space="preserve"> placements each week from May through July 2011 and October through December 2011. Stations on which campaign spots were aired include: KAPP (ABC), KIMA (CBS), KNDO (NBC), KUNV(UNIV) and Charter (Cable). Estimated reach 93.6%, estimated frequency 21.96.</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Radio</w:t>
            </w:r>
          </w:p>
        </w:tc>
        <w:tc>
          <w:tcPr>
            <w:tcW w:w="6627" w:type="dxa"/>
          </w:tcPr>
          <w:p w:rsidR="0069350D" w:rsidRPr="00111D82" w:rsidRDefault="0069350D" w:rsidP="00F436BA">
            <w:pPr>
              <w:rPr>
                <w:rFonts w:ascii="Times New Roman" w:hAnsi="Times New Roman"/>
                <w:sz w:val="18"/>
                <w:szCs w:val="18"/>
              </w:rPr>
            </w:pPr>
            <w:r w:rsidRPr="00111D82">
              <w:rPr>
                <w:rFonts w:ascii="Times New Roman" w:hAnsi="Times New Roman"/>
                <w:sz w:val="18"/>
                <w:szCs w:val="18"/>
              </w:rPr>
              <w:t>An average of 80 radio spots per week from May through July 2011 and October through December 2011. Radio stations on which campaign spots were aired include: KARY-FM (Oldies), KATS-FM (Classic Rock), KDBL-FM (Country), KFFM-FM (Contemporary Hits), KHHK-FM (Rhythmic CHR) KRSE-FM (Modern), KXDD-FM (Country), KZTA-FW (Mexican Regional) Estimated reach 78.9%, estimated frequency 9.5.</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Newspaper</w:t>
            </w:r>
          </w:p>
        </w:tc>
        <w:tc>
          <w:tcPr>
            <w:tcW w:w="6627" w:type="dxa"/>
          </w:tcPr>
          <w:p w:rsidR="0069350D" w:rsidRPr="00111D82" w:rsidRDefault="0069350D" w:rsidP="00F436BA">
            <w:pPr>
              <w:rPr>
                <w:rFonts w:ascii="Times New Roman" w:hAnsi="Times New Roman"/>
                <w:sz w:val="18"/>
                <w:szCs w:val="18"/>
              </w:rPr>
            </w:pPr>
            <w:r w:rsidRPr="00111D82">
              <w:rPr>
                <w:rFonts w:ascii="Times New Roman" w:hAnsi="Times New Roman"/>
                <w:sz w:val="18"/>
                <w:szCs w:val="18"/>
              </w:rPr>
              <w:t>Newspaper</w:t>
            </w:r>
            <w:r w:rsidR="00F436BA" w:rsidRPr="00111D82">
              <w:rPr>
                <w:rFonts w:ascii="Times New Roman" w:hAnsi="Times New Roman"/>
                <w:sz w:val="18"/>
                <w:szCs w:val="18"/>
              </w:rPr>
              <w:t xml:space="preserve"> placement</w:t>
            </w:r>
            <w:r w:rsidRPr="00111D82">
              <w:rPr>
                <w:rFonts w:ascii="Times New Roman" w:hAnsi="Times New Roman"/>
                <w:sz w:val="18"/>
                <w:szCs w:val="18"/>
              </w:rPr>
              <w:t>s included: Dayton Chronicle, The East Washingtonian, La Voz Hispanic News, The Waitsburg Times, Walla Walla Union Bulletin and Yakima Herald-Republic.</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Web Site</w:t>
            </w:r>
            <w:r w:rsidR="000F23C0" w:rsidRPr="00111D82">
              <w:rPr>
                <w:rFonts w:ascii="Times New Roman" w:hAnsi="Times New Roman"/>
                <w:sz w:val="18"/>
                <w:szCs w:val="18"/>
              </w:rPr>
              <w:t>:</w:t>
            </w:r>
          </w:p>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Pacificpower.net/wattsmart</w:t>
            </w:r>
          </w:p>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Bewattsmart.com</w:t>
            </w:r>
          </w:p>
        </w:tc>
        <w:tc>
          <w:tcPr>
            <w:tcW w:w="6627" w:type="dxa"/>
          </w:tcPr>
          <w:p w:rsidR="0069350D" w:rsidRPr="00111D82" w:rsidRDefault="0069350D" w:rsidP="00F436BA">
            <w:pPr>
              <w:pStyle w:val="NoSpacing"/>
              <w:rPr>
                <w:rFonts w:ascii="Times New Roman" w:hAnsi="Times New Roman"/>
                <w:sz w:val="18"/>
                <w:szCs w:val="18"/>
                <w:highlight w:val="yellow"/>
              </w:rPr>
            </w:pPr>
            <w:r w:rsidRPr="00111D82">
              <w:rPr>
                <w:rFonts w:ascii="Times New Roman" w:hAnsi="Times New Roman"/>
                <w:bCs/>
                <w:sz w:val="18"/>
                <w:szCs w:val="18"/>
              </w:rPr>
              <w:t xml:space="preserve">Pacific Power’s </w:t>
            </w:r>
            <w:r w:rsidRPr="00111D82">
              <w:rPr>
                <w:rFonts w:ascii="Times New Roman" w:hAnsi="Times New Roman"/>
                <w:b/>
                <w:bCs/>
                <w:i/>
                <w:sz w:val="18"/>
                <w:szCs w:val="18"/>
              </w:rPr>
              <w:t>watts</w:t>
            </w:r>
            <w:r w:rsidRPr="00111D82">
              <w:rPr>
                <w:rFonts w:ascii="Times New Roman" w:hAnsi="Times New Roman"/>
                <w:bCs/>
                <w:sz w:val="18"/>
                <w:szCs w:val="18"/>
              </w:rPr>
              <w:t xml:space="preserve">mart website, pacificpower.net/wattsmart, and promotional URL bewattsmart.com link directly to the energy efficiency landing page and fulfill the campaign’s call-to-action to engage customers in the Company’s energy efficiency programs. </w:t>
            </w:r>
            <w:r w:rsidR="00F436BA" w:rsidRPr="00111D82">
              <w:rPr>
                <w:rFonts w:ascii="Times New Roman" w:hAnsi="Times New Roman"/>
                <w:bCs/>
                <w:sz w:val="18"/>
                <w:szCs w:val="18"/>
              </w:rPr>
              <w:t>These sites further s</w:t>
            </w:r>
            <w:r w:rsidRPr="00111D82">
              <w:rPr>
                <w:rFonts w:ascii="Times New Roman" w:hAnsi="Times New Roman"/>
                <w:sz w:val="18"/>
                <w:szCs w:val="18"/>
              </w:rPr>
              <w:t>upport all other forms of communications by serving as a source for detailed information regarding the company’s program and other energy efficiency opportunities</w:t>
            </w:r>
            <w:r w:rsidR="00F436BA" w:rsidRPr="00111D82">
              <w:rPr>
                <w:rFonts w:ascii="Times New Roman" w:hAnsi="Times New Roman"/>
                <w:sz w:val="18"/>
                <w:szCs w:val="18"/>
              </w:rPr>
              <w:t>.</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Twitter</w:t>
            </w:r>
          </w:p>
        </w:tc>
        <w:tc>
          <w:tcPr>
            <w:tcW w:w="6627"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bCs/>
                <w:sz w:val="18"/>
                <w:szCs w:val="18"/>
              </w:rPr>
              <w:t xml:space="preserve">Other interactive campaign elements like online media and social media will work with traditional media to enhance the campaign by driving traffic to the </w:t>
            </w:r>
            <w:r w:rsidR="00F436BA" w:rsidRPr="00111D82">
              <w:rPr>
                <w:rFonts w:ascii="Times New Roman" w:hAnsi="Times New Roman"/>
                <w:bCs/>
                <w:sz w:val="18"/>
                <w:szCs w:val="18"/>
              </w:rPr>
              <w:t xml:space="preserve">program </w:t>
            </w:r>
            <w:r w:rsidRPr="00111D82">
              <w:rPr>
                <w:rFonts w:ascii="Times New Roman" w:hAnsi="Times New Roman"/>
                <w:bCs/>
                <w:sz w:val="18"/>
                <w:szCs w:val="18"/>
              </w:rPr>
              <w:t>website</w:t>
            </w:r>
            <w:r w:rsidR="00F436BA" w:rsidRPr="00111D82">
              <w:rPr>
                <w:rFonts w:ascii="Times New Roman" w:hAnsi="Times New Roman"/>
                <w:bCs/>
                <w:sz w:val="18"/>
                <w:szCs w:val="18"/>
              </w:rPr>
              <w:t>s</w:t>
            </w:r>
            <w:r w:rsidRPr="00111D82">
              <w:rPr>
                <w:rFonts w:ascii="Times New Roman" w:hAnsi="Times New Roman"/>
                <w:bCs/>
                <w:sz w:val="18"/>
                <w:szCs w:val="18"/>
              </w:rPr>
              <w:t xml:space="preserve">. </w:t>
            </w:r>
            <w:r w:rsidR="00F436BA" w:rsidRPr="00111D82">
              <w:rPr>
                <w:rFonts w:ascii="Times New Roman" w:hAnsi="Times New Roman"/>
                <w:bCs/>
                <w:sz w:val="18"/>
                <w:szCs w:val="18"/>
              </w:rPr>
              <w:t>Build a</w:t>
            </w:r>
            <w:r w:rsidRPr="00111D82">
              <w:rPr>
                <w:rFonts w:ascii="Times New Roman" w:hAnsi="Times New Roman"/>
                <w:sz w:val="18"/>
                <w:szCs w:val="18"/>
              </w:rPr>
              <w:t>wareness for early adopters r</w:t>
            </w:r>
            <w:r w:rsidR="00F436BA" w:rsidRPr="00111D82">
              <w:rPr>
                <w:rFonts w:ascii="Times New Roman" w:hAnsi="Times New Roman"/>
                <w:sz w:val="18"/>
                <w:szCs w:val="18"/>
              </w:rPr>
              <w:t xml:space="preserve">egarding energy efficiency tips and post </w:t>
            </w:r>
            <w:r w:rsidRPr="00111D82">
              <w:rPr>
                <w:rFonts w:ascii="Times New Roman" w:hAnsi="Times New Roman"/>
                <w:sz w:val="18"/>
                <w:szCs w:val="18"/>
              </w:rPr>
              <w:t>Tweet</w:t>
            </w:r>
            <w:r w:rsidR="00F436BA" w:rsidRPr="00111D82">
              <w:rPr>
                <w:rFonts w:ascii="Times New Roman" w:hAnsi="Times New Roman"/>
                <w:sz w:val="18"/>
                <w:szCs w:val="18"/>
              </w:rPr>
              <w:t>s</w:t>
            </w:r>
            <w:r w:rsidRPr="00111D82">
              <w:rPr>
                <w:rFonts w:ascii="Times New Roman" w:hAnsi="Times New Roman"/>
                <w:sz w:val="18"/>
                <w:szCs w:val="18"/>
              </w:rPr>
              <w:t xml:space="preserve"> on a weekly basis.</w:t>
            </w:r>
          </w:p>
        </w:tc>
      </w:tr>
      <w:tr w:rsidR="0069350D" w:rsidRPr="00111D82" w:rsidTr="00E8332C">
        <w:tc>
          <w:tcPr>
            <w:tcW w:w="3021" w:type="dxa"/>
          </w:tcPr>
          <w:p w:rsidR="0069350D" w:rsidRPr="00111D82" w:rsidRDefault="0069350D" w:rsidP="00F436BA">
            <w:pPr>
              <w:pStyle w:val="NoSpacing"/>
              <w:tabs>
                <w:tab w:val="right" w:pos="2805"/>
              </w:tabs>
              <w:rPr>
                <w:rFonts w:ascii="Times New Roman" w:hAnsi="Times New Roman"/>
                <w:sz w:val="18"/>
                <w:szCs w:val="18"/>
              </w:rPr>
            </w:pPr>
            <w:r w:rsidRPr="00111D82">
              <w:rPr>
                <w:rFonts w:ascii="Times New Roman" w:hAnsi="Times New Roman"/>
                <w:sz w:val="18"/>
                <w:szCs w:val="18"/>
              </w:rPr>
              <w:t>Facebook</w:t>
            </w:r>
          </w:p>
        </w:tc>
        <w:tc>
          <w:tcPr>
            <w:tcW w:w="6627" w:type="dxa"/>
          </w:tcPr>
          <w:p w:rsidR="0069350D" w:rsidRPr="00111D82" w:rsidRDefault="00F436BA" w:rsidP="00F436BA">
            <w:pPr>
              <w:pStyle w:val="NoSpacing"/>
              <w:rPr>
                <w:rFonts w:ascii="Times New Roman" w:hAnsi="Times New Roman"/>
                <w:sz w:val="18"/>
                <w:szCs w:val="18"/>
              </w:rPr>
            </w:pPr>
            <w:r w:rsidRPr="00111D82">
              <w:rPr>
                <w:rFonts w:ascii="Times New Roman" w:hAnsi="Times New Roman"/>
                <w:sz w:val="18"/>
                <w:szCs w:val="18"/>
              </w:rPr>
              <w:t>Facebook is used to build a</w:t>
            </w:r>
            <w:r w:rsidR="0069350D" w:rsidRPr="00111D82">
              <w:rPr>
                <w:rFonts w:ascii="Times New Roman" w:hAnsi="Times New Roman"/>
                <w:sz w:val="18"/>
                <w:szCs w:val="18"/>
              </w:rPr>
              <w:t>wareness for early adopters regarding energy efficiency tips and a location to share information. Information and tips posted three times a week.</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 xml:space="preserve">Other Online </w:t>
            </w:r>
          </w:p>
        </w:tc>
        <w:tc>
          <w:tcPr>
            <w:tcW w:w="6627" w:type="dxa"/>
          </w:tcPr>
          <w:p w:rsidR="0069350D" w:rsidRPr="00111D82" w:rsidRDefault="00F436BA" w:rsidP="00F436BA">
            <w:pPr>
              <w:pStyle w:val="NoSpacing"/>
              <w:rPr>
                <w:rFonts w:ascii="Times New Roman" w:hAnsi="Times New Roman"/>
                <w:sz w:val="18"/>
                <w:szCs w:val="18"/>
              </w:rPr>
            </w:pPr>
            <w:r w:rsidRPr="00111D82">
              <w:rPr>
                <w:rFonts w:ascii="Times New Roman" w:hAnsi="Times New Roman"/>
                <w:sz w:val="18"/>
                <w:szCs w:val="18"/>
              </w:rPr>
              <w:t>Supports the broadcast and print media while also increasing awareness for early adopters who are online and are likely to be receptive to energy saving messaging. Some of these uses i</w:t>
            </w:r>
            <w:r w:rsidR="0069350D" w:rsidRPr="00111D82">
              <w:rPr>
                <w:rFonts w:ascii="Times New Roman" w:hAnsi="Times New Roman"/>
                <w:sz w:val="18"/>
                <w:szCs w:val="18"/>
              </w:rPr>
              <w:t>nclude banner ads on local sites, blogs, behavioral ad targeting, and pay-per-click ad placements.</w:t>
            </w:r>
          </w:p>
        </w:tc>
      </w:tr>
      <w:tr w:rsidR="0069350D" w:rsidRPr="00111D82" w:rsidTr="00E8332C">
        <w:tc>
          <w:tcPr>
            <w:tcW w:w="3021" w:type="dxa"/>
          </w:tcPr>
          <w:p w:rsidR="0069350D" w:rsidRPr="00111D82" w:rsidRDefault="0069350D" w:rsidP="00F436BA">
            <w:pPr>
              <w:pStyle w:val="NoSpacing"/>
              <w:rPr>
                <w:rFonts w:ascii="Times New Roman" w:hAnsi="Times New Roman"/>
                <w:sz w:val="18"/>
                <w:szCs w:val="18"/>
              </w:rPr>
            </w:pPr>
            <w:r w:rsidRPr="00111D82">
              <w:rPr>
                <w:rFonts w:ascii="Times New Roman" w:hAnsi="Times New Roman"/>
                <w:sz w:val="18"/>
                <w:szCs w:val="18"/>
              </w:rPr>
              <w:t xml:space="preserve">Magazine: </w:t>
            </w:r>
          </w:p>
        </w:tc>
        <w:tc>
          <w:tcPr>
            <w:tcW w:w="6627" w:type="dxa"/>
          </w:tcPr>
          <w:p w:rsidR="0069350D" w:rsidRPr="00111D82" w:rsidRDefault="00F436BA" w:rsidP="00F436BA">
            <w:pPr>
              <w:pStyle w:val="NoSpacing"/>
              <w:rPr>
                <w:rFonts w:ascii="Times New Roman" w:hAnsi="Times New Roman"/>
                <w:sz w:val="18"/>
                <w:szCs w:val="18"/>
              </w:rPr>
            </w:pPr>
            <w:r w:rsidRPr="00111D82">
              <w:rPr>
                <w:rFonts w:ascii="Times New Roman" w:hAnsi="Times New Roman"/>
                <w:sz w:val="18"/>
                <w:szCs w:val="18"/>
              </w:rPr>
              <w:t xml:space="preserve">Content targeting business and metro area customers. </w:t>
            </w:r>
            <w:r w:rsidR="0069350D" w:rsidRPr="00111D82">
              <w:rPr>
                <w:rFonts w:ascii="Times New Roman" w:hAnsi="Times New Roman"/>
                <w:sz w:val="18"/>
                <w:szCs w:val="18"/>
              </w:rPr>
              <w:t>Business publications included: Yakima Business Journal.</w:t>
            </w:r>
          </w:p>
        </w:tc>
      </w:tr>
    </w:tbl>
    <w:p w:rsidR="0069350D" w:rsidRPr="00111D82" w:rsidRDefault="0069350D" w:rsidP="00FB662A">
      <w:pPr>
        <w:spacing w:before="100" w:beforeAutospacing="1" w:after="100" w:afterAutospacing="1"/>
        <w:jc w:val="both"/>
        <w:rPr>
          <w:rFonts w:ascii="Times New Roman" w:hAnsi="Times New Roman"/>
          <w:sz w:val="24"/>
          <w:szCs w:val="24"/>
        </w:rPr>
      </w:pPr>
      <w:r w:rsidRPr="00111D82">
        <w:rPr>
          <w:rFonts w:ascii="Times New Roman" w:hAnsi="Times New Roman"/>
          <w:sz w:val="24"/>
          <w:szCs w:val="24"/>
        </w:rPr>
        <w:t>The objectives of the communications and outreach campaign in the 2012-</w:t>
      </w:r>
      <w:r w:rsidR="00355635">
        <w:rPr>
          <w:rFonts w:ascii="Times New Roman" w:hAnsi="Times New Roman"/>
          <w:sz w:val="24"/>
          <w:szCs w:val="24"/>
        </w:rPr>
        <w:t>1</w:t>
      </w:r>
      <w:r w:rsidRPr="00111D82">
        <w:rPr>
          <w:rFonts w:ascii="Times New Roman" w:hAnsi="Times New Roman"/>
          <w:sz w:val="24"/>
          <w:szCs w:val="24"/>
        </w:rPr>
        <w:t xml:space="preserve">3 </w:t>
      </w:r>
      <w:proofErr w:type="gramStart"/>
      <w:r w:rsidRPr="00111D82">
        <w:rPr>
          <w:rFonts w:ascii="Times New Roman" w:hAnsi="Times New Roman"/>
          <w:sz w:val="24"/>
          <w:szCs w:val="24"/>
        </w:rPr>
        <w:t>biennium</w:t>
      </w:r>
      <w:proofErr w:type="gramEnd"/>
      <w:r w:rsidRPr="00111D82">
        <w:rPr>
          <w:rFonts w:ascii="Times New Roman" w:hAnsi="Times New Roman"/>
          <w:sz w:val="24"/>
          <w:szCs w:val="24"/>
        </w:rPr>
        <w:t xml:space="preserve"> will be to increase awareness of the availability of energy efficiency programs, cash incentives and resources in order to boost participation and achieve demand reduction targets in Washington and promote customer conservation and increase participation and savings through Pacific Power </w:t>
      </w:r>
      <w:r w:rsidRPr="00111D82">
        <w:rPr>
          <w:rFonts w:ascii="Times New Roman" w:hAnsi="Times New Roman"/>
          <w:b/>
          <w:i/>
          <w:sz w:val="24"/>
          <w:szCs w:val="24"/>
        </w:rPr>
        <w:t>watts</w:t>
      </w:r>
      <w:r w:rsidRPr="00111D82">
        <w:rPr>
          <w:rFonts w:ascii="Times New Roman" w:hAnsi="Times New Roman"/>
          <w:sz w:val="24"/>
          <w:szCs w:val="24"/>
        </w:rPr>
        <w:t>mart demand</w:t>
      </w:r>
      <w:r w:rsidR="000750D1" w:rsidRPr="00111D82">
        <w:rPr>
          <w:rFonts w:ascii="Times New Roman" w:hAnsi="Times New Roman"/>
          <w:sz w:val="24"/>
          <w:szCs w:val="24"/>
        </w:rPr>
        <w:t>-</w:t>
      </w:r>
      <w:r w:rsidRPr="00111D82">
        <w:rPr>
          <w:rFonts w:ascii="Times New Roman" w:hAnsi="Times New Roman"/>
          <w:sz w:val="24"/>
          <w:szCs w:val="24"/>
        </w:rPr>
        <w:t>side management programs.</w:t>
      </w:r>
    </w:p>
    <w:p w:rsidR="0069350D" w:rsidRPr="00111D82" w:rsidRDefault="0069350D" w:rsidP="00FB662A">
      <w:pPr>
        <w:spacing w:after="100" w:afterAutospacing="1"/>
        <w:jc w:val="both"/>
        <w:rPr>
          <w:rFonts w:ascii="Times New Roman" w:hAnsi="Times New Roman"/>
          <w:sz w:val="24"/>
          <w:szCs w:val="24"/>
        </w:rPr>
      </w:pPr>
      <w:r w:rsidRPr="00111D82">
        <w:rPr>
          <w:rFonts w:ascii="Times New Roman" w:hAnsi="Times New Roman"/>
          <w:sz w:val="24"/>
          <w:szCs w:val="24"/>
        </w:rPr>
        <w:t>The ongoing communications strategy will use an integrated communications approach to reach customers with program information effectively and efficiently throughout the year. Information will be disseminated through a combination of mass media advertising, bill statement communications, web</w:t>
      </w:r>
      <w:r w:rsidR="001A2C5A" w:rsidRPr="00111D82">
        <w:rPr>
          <w:rFonts w:ascii="Times New Roman" w:hAnsi="Times New Roman"/>
          <w:sz w:val="24"/>
          <w:szCs w:val="24"/>
        </w:rPr>
        <w:t xml:space="preserve"> communications</w:t>
      </w:r>
      <w:r w:rsidRPr="00111D82">
        <w:rPr>
          <w:rFonts w:ascii="Times New Roman" w:hAnsi="Times New Roman"/>
          <w:sz w:val="24"/>
          <w:szCs w:val="24"/>
        </w:rPr>
        <w:t>, community outreach, public relations, retailer outreach, trade ally outreach/training, nonprofit energy assistance agencies, direct mail, social media and one-on-one contacts. These communications will be clear and consistent with our messaging to maximize all customer touch</w:t>
      </w:r>
      <w:r w:rsidR="005B72EB" w:rsidRPr="00111D82">
        <w:rPr>
          <w:rFonts w:ascii="Times New Roman" w:hAnsi="Times New Roman"/>
          <w:sz w:val="24"/>
          <w:szCs w:val="24"/>
        </w:rPr>
        <w:t>-points, t</w:t>
      </w:r>
      <w:r w:rsidRPr="00111D82">
        <w:rPr>
          <w:rFonts w:ascii="Times New Roman" w:hAnsi="Times New Roman"/>
          <w:sz w:val="24"/>
          <w:szCs w:val="24"/>
        </w:rPr>
        <w:t>ailor edu</w:t>
      </w:r>
      <w:r w:rsidR="005B72EB" w:rsidRPr="00111D82">
        <w:rPr>
          <w:rFonts w:ascii="Times New Roman" w:hAnsi="Times New Roman"/>
          <w:sz w:val="24"/>
          <w:szCs w:val="24"/>
        </w:rPr>
        <w:t>cational messages to the season and e</w:t>
      </w:r>
      <w:r w:rsidRPr="00111D82">
        <w:rPr>
          <w:rFonts w:ascii="Times New Roman" w:hAnsi="Times New Roman"/>
          <w:sz w:val="24"/>
          <w:szCs w:val="24"/>
        </w:rPr>
        <w:t>ncourage customers to take action.</w:t>
      </w:r>
    </w:p>
    <w:p w:rsidR="00E172BB" w:rsidRPr="00111D82" w:rsidRDefault="005B72EB" w:rsidP="00FB662A">
      <w:pPr>
        <w:spacing w:after="100" w:afterAutospacing="1"/>
        <w:jc w:val="both"/>
        <w:rPr>
          <w:rFonts w:ascii="Times New Roman" w:hAnsi="Times New Roman"/>
          <w:sz w:val="24"/>
          <w:szCs w:val="24"/>
        </w:rPr>
      </w:pPr>
      <w:r w:rsidRPr="00111D82">
        <w:rPr>
          <w:rFonts w:ascii="Times New Roman" w:hAnsi="Times New Roman"/>
          <w:sz w:val="24"/>
          <w:szCs w:val="24"/>
        </w:rPr>
        <w:t>Communication t</w:t>
      </w:r>
      <w:r w:rsidR="0069350D" w:rsidRPr="00111D82">
        <w:rPr>
          <w:rFonts w:ascii="Times New Roman" w:hAnsi="Times New Roman"/>
          <w:sz w:val="24"/>
          <w:szCs w:val="24"/>
        </w:rPr>
        <w:t>actics</w:t>
      </w:r>
      <w:r w:rsidRPr="00111D82">
        <w:rPr>
          <w:rFonts w:ascii="Times New Roman" w:hAnsi="Times New Roman"/>
          <w:sz w:val="24"/>
          <w:szCs w:val="24"/>
        </w:rPr>
        <w:t xml:space="preserve"> will i</w:t>
      </w:r>
      <w:r w:rsidR="0069350D" w:rsidRPr="00111D82">
        <w:rPr>
          <w:rFonts w:ascii="Times New Roman" w:hAnsi="Times New Roman"/>
          <w:sz w:val="24"/>
          <w:szCs w:val="24"/>
        </w:rPr>
        <w:t>mplement</w:t>
      </w:r>
      <w:r w:rsidRPr="00111D82">
        <w:rPr>
          <w:rFonts w:ascii="Times New Roman" w:hAnsi="Times New Roman"/>
          <w:sz w:val="24"/>
          <w:szCs w:val="24"/>
        </w:rPr>
        <w:t xml:space="preserve"> an</w:t>
      </w:r>
      <w:r w:rsidR="0069350D" w:rsidRPr="00111D82">
        <w:rPr>
          <w:rFonts w:ascii="Times New Roman" w:hAnsi="Times New Roman"/>
          <w:sz w:val="24"/>
          <w:szCs w:val="24"/>
        </w:rPr>
        <w:t xml:space="preserve"> integrated advertising campaign featuring </w:t>
      </w:r>
      <w:r w:rsidR="0069350D" w:rsidRPr="00111D82">
        <w:rPr>
          <w:rFonts w:ascii="Times New Roman" w:hAnsi="Times New Roman"/>
          <w:b/>
          <w:i/>
          <w:sz w:val="24"/>
          <w:szCs w:val="24"/>
        </w:rPr>
        <w:t>watts</w:t>
      </w:r>
      <w:r w:rsidR="0069350D" w:rsidRPr="00111D82">
        <w:rPr>
          <w:rFonts w:ascii="Times New Roman" w:hAnsi="Times New Roman"/>
          <w:sz w:val="24"/>
          <w:szCs w:val="24"/>
        </w:rPr>
        <w:t>mart energy efficiency messaging in the Yaki</w:t>
      </w:r>
      <w:r w:rsidRPr="00111D82">
        <w:rPr>
          <w:rFonts w:ascii="Times New Roman" w:hAnsi="Times New Roman"/>
          <w:sz w:val="24"/>
          <w:szCs w:val="24"/>
        </w:rPr>
        <w:t>ma and Walla Walla market areas targeting residential, low-income and small/mid-size business customers.</w:t>
      </w:r>
      <w:r w:rsidR="000750D1" w:rsidRPr="00111D82">
        <w:rPr>
          <w:rFonts w:ascii="Times New Roman" w:hAnsi="Times New Roman"/>
          <w:sz w:val="24"/>
          <w:szCs w:val="24"/>
        </w:rPr>
        <w:t xml:space="preserve"> </w:t>
      </w:r>
      <w:r w:rsidR="009F145E" w:rsidRPr="00111D82">
        <w:rPr>
          <w:rFonts w:ascii="Times New Roman" w:hAnsi="Times New Roman"/>
          <w:sz w:val="24"/>
          <w:szCs w:val="24"/>
        </w:rPr>
        <w:t>Program plans</w:t>
      </w:r>
      <w:r w:rsidR="000750D1" w:rsidRPr="00111D82">
        <w:rPr>
          <w:rFonts w:ascii="Times New Roman" w:hAnsi="Times New Roman"/>
          <w:sz w:val="24"/>
          <w:szCs w:val="24"/>
        </w:rPr>
        <w:t xml:space="preserve"> </w:t>
      </w:r>
      <w:r w:rsidR="009F145E" w:rsidRPr="00111D82">
        <w:rPr>
          <w:rFonts w:ascii="Times New Roman" w:hAnsi="Times New Roman"/>
          <w:sz w:val="24"/>
          <w:szCs w:val="24"/>
        </w:rPr>
        <w:t xml:space="preserve">will </w:t>
      </w:r>
      <w:r w:rsidR="000750D1" w:rsidRPr="00111D82">
        <w:rPr>
          <w:rFonts w:ascii="Times New Roman" w:hAnsi="Times New Roman"/>
          <w:sz w:val="24"/>
          <w:szCs w:val="24"/>
        </w:rPr>
        <w:t xml:space="preserve">utilize seasonal messaging of </w:t>
      </w:r>
      <w:r w:rsidR="0069350D" w:rsidRPr="00111D82">
        <w:rPr>
          <w:rFonts w:ascii="Times New Roman" w:hAnsi="Times New Roman"/>
          <w:sz w:val="24"/>
          <w:szCs w:val="24"/>
        </w:rPr>
        <w:t>15</w:t>
      </w:r>
      <w:r w:rsidR="00CE24E2" w:rsidRPr="00111D82">
        <w:rPr>
          <w:rFonts w:ascii="Times New Roman" w:hAnsi="Times New Roman"/>
          <w:sz w:val="24"/>
          <w:szCs w:val="24"/>
        </w:rPr>
        <w:t>-second</w:t>
      </w:r>
      <w:r w:rsidR="0069350D" w:rsidRPr="00111D82">
        <w:rPr>
          <w:rFonts w:ascii="Times New Roman" w:hAnsi="Times New Roman"/>
          <w:sz w:val="24"/>
          <w:szCs w:val="24"/>
        </w:rPr>
        <w:t xml:space="preserve"> and 30</w:t>
      </w:r>
      <w:r w:rsidR="000750D1" w:rsidRPr="00111D82">
        <w:rPr>
          <w:rFonts w:ascii="Times New Roman" w:hAnsi="Times New Roman"/>
          <w:sz w:val="24"/>
          <w:szCs w:val="24"/>
        </w:rPr>
        <w:t>-second</w:t>
      </w:r>
      <w:r w:rsidR="0069350D" w:rsidRPr="00111D82">
        <w:rPr>
          <w:rFonts w:ascii="Times New Roman" w:hAnsi="Times New Roman"/>
          <w:sz w:val="24"/>
          <w:szCs w:val="24"/>
        </w:rPr>
        <w:t xml:space="preserve"> TV spots developed in 201</w:t>
      </w:r>
      <w:r w:rsidR="000750D1" w:rsidRPr="00111D82">
        <w:rPr>
          <w:rFonts w:ascii="Times New Roman" w:hAnsi="Times New Roman"/>
          <w:sz w:val="24"/>
          <w:szCs w:val="24"/>
        </w:rPr>
        <w:t>1 (i</w:t>
      </w:r>
      <w:r w:rsidR="0069350D" w:rsidRPr="00111D82">
        <w:rPr>
          <w:rFonts w:ascii="Times New Roman" w:hAnsi="Times New Roman"/>
          <w:sz w:val="24"/>
          <w:szCs w:val="24"/>
        </w:rPr>
        <w:t>nclud</w:t>
      </w:r>
      <w:r w:rsidR="000750D1" w:rsidRPr="00111D82">
        <w:rPr>
          <w:rFonts w:ascii="Times New Roman" w:hAnsi="Times New Roman"/>
          <w:sz w:val="24"/>
          <w:szCs w:val="24"/>
        </w:rPr>
        <w:t>ing</w:t>
      </w:r>
      <w:r w:rsidR="0069350D" w:rsidRPr="00111D82">
        <w:rPr>
          <w:rFonts w:ascii="Times New Roman" w:hAnsi="Times New Roman"/>
          <w:sz w:val="24"/>
          <w:szCs w:val="24"/>
        </w:rPr>
        <w:t xml:space="preserve"> </w:t>
      </w:r>
      <w:r w:rsidR="000750D1" w:rsidRPr="00111D82">
        <w:rPr>
          <w:rFonts w:ascii="Times New Roman" w:hAnsi="Times New Roman"/>
          <w:sz w:val="24"/>
          <w:szCs w:val="24"/>
        </w:rPr>
        <w:t>a Spanish language component),</w:t>
      </w:r>
      <w:r w:rsidR="0069350D" w:rsidRPr="00111D82">
        <w:rPr>
          <w:rFonts w:ascii="Times New Roman" w:hAnsi="Times New Roman"/>
          <w:sz w:val="24"/>
          <w:szCs w:val="24"/>
        </w:rPr>
        <w:t xml:space="preserve"> press release</w:t>
      </w:r>
      <w:r w:rsidR="000750D1" w:rsidRPr="00111D82">
        <w:rPr>
          <w:rFonts w:ascii="Times New Roman" w:hAnsi="Times New Roman"/>
          <w:sz w:val="24"/>
          <w:szCs w:val="24"/>
        </w:rPr>
        <w:t>s,</w:t>
      </w:r>
      <w:r w:rsidR="0069350D" w:rsidRPr="00111D82">
        <w:rPr>
          <w:rFonts w:ascii="Times New Roman" w:hAnsi="Times New Roman"/>
          <w:sz w:val="24"/>
          <w:szCs w:val="24"/>
        </w:rPr>
        <w:t xml:space="preserve"> web</w:t>
      </w:r>
      <w:r w:rsidR="000750D1" w:rsidRPr="00111D82">
        <w:rPr>
          <w:rFonts w:ascii="Times New Roman" w:hAnsi="Times New Roman"/>
          <w:sz w:val="24"/>
          <w:szCs w:val="24"/>
        </w:rPr>
        <w:t>/</w:t>
      </w:r>
      <w:r w:rsidR="0069350D" w:rsidRPr="00111D82">
        <w:rPr>
          <w:rFonts w:ascii="Times New Roman" w:hAnsi="Times New Roman"/>
          <w:sz w:val="24"/>
          <w:szCs w:val="24"/>
        </w:rPr>
        <w:t xml:space="preserve">social media </w:t>
      </w:r>
      <w:r w:rsidR="000750D1" w:rsidRPr="00111D82">
        <w:rPr>
          <w:rFonts w:ascii="Times New Roman" w:hAnsi="Times New Roman"/>
          <w:sz w:val="24"/>
          <w:szCs w:val="24"/>
        </w:rPr>
        <w:t xml:space="preserve">and working with </w:t>
      </w:r>
      <w:r w:rsidR="0069350D" w:rsidRPr="00111D82">
        <w:rPr>
          <w:rFonts w:ascii="Times New Roman" w:hAnsi="Times New Roman"/>
          <w:sz w:val="24"/>
          <w:szCs w:val="24"/>
        </w:rPr>
        <w:t xml:space="preserve">third party marketers to incorporate </w:t>
      </w:r>
      <w:r w:rsidR="0069350D" w:rsidRPr="00111D82">
        <w:rPr>
          <w:rFonts w:ascii="Times New Roman" w:hAnsi="Times New Roman"/>
          <w:b/>
          <w:i/>
          <w:sz w:val="24"/>
          <w:szCs w:val="24"/>
        </w:rPr>
        <w:t>watts</w:t>
      </w:r>
      <w:r w:rsidR="001A2C5A" w:rsidRPr="00111D82">
        <w:rPr>
          <w:rFonts w:ascii="Times New Roman" w:hAnsi="Times New Roman"/>
          <w:sz w:val="24"/>
          <w:szCs w:val="24"/>
        </w:rPr>
        <w:t xml:space="preserve">mart messaging in their </w:t>
      </w:r>
      <w:r w:rsidR="00E172BB" w:rsidRPr="00111D82">
        <w:rPr>
          <w:rFonts w:ascii="Times New Roman" w:hAnsi="Times New Roman"/>
          <w:sz w:val="24"/>
          <w:szCs w:val="24"/>
        </w:rPr>
        <w:t>communications</w:t>
      </w:r>
      <w:r w:rsidR="0069350D" w:rsidRPr="00111D82">
        <w:rPr>
          <w:rFonts w:ascii="Times New Roman" w:hAnsi="Times New Roman"/>
          <w:sz w:val="24"/>
          <w:szCs w:val="24"/>
        </w:rPr>
        <w:t xml:space="preserve"> to provide a consistent customer experience</w:t>
      </w:r>
      <w:r w:rsidR="000750D1" w:rsidRPr="00111D82">
        <w:rPr>
          <w:rFonts w:ascii="Times New Roman" w:hAnsi="Times New Roman"/>
          <w:sz w:val="24"/>
          <w:szCs w:val="24"/>
        </w:rPr>
        <w:t>.</w:t>
      </w:r>
      <w:r w:rsidR="00E172BB" w:rsidRPr="00111D82">
        <w:rPr>
          <w:rFonts w:ascii="Times New Roman" w:hAnsi="Times New Roman"/>
          <w:sz w:val="24"/>
          <w:szCs w:val="24"/>
        </w:rPr>
        <w:br w:type="page"/>
      </w:r>
    </w:p>
    <w:p w:rsidR="00E172BB" w:rsidRPr="000D1384" w:rsidRDefault="00E172BB" w:rsidP="000D1384">
      <w:pPr>
        <w:pStyle w:val="Heading1"/>
        <w:spacing w:before="100" w:beforeAutospacing="1" w:after="100" w:afterAutospacing="1"/>
        <w:jc w:val="both"/>
      </w:pPr>
      <w:bookmarkStart w:id="28" w:name="_Toc326296742"/>
      <w:r w:rsidRPr="000D1384">
        <w:t>Cost Effectiveness</w:t>
      </w:r>
      <w:bookmarkEnd w:id="28"/>
    </w:p>
    <w:p w:rsidR="00B82500" w:rsidRPr="000D1384" w:rsidRDefault="000D1384" w:rsidP="000D1384">
      <w:pPr>
        <w:spacing w:before="100" w:beforeAutospacing="1" w:after="100" w:afterAutospacing="1"/>
        <w:jc w:val="both"/>
        <w:rPr>
          <w:rFonts w:ascii="Times New Roman" w:hAnsi="Times New Roman"/>
          <w:sz w:val="24"/>
          <w:szCs w:val="24"/>
        </w:rPr>
      </w:pPr>
      <w:r>
        <w:rPr>
          <w:rFonts w:ascii="Times New Roman" w:hAnsi="Times New Roman"/>
          <w:sz w:val="24"/>
          <w:szCs w:val="24"/>
        </w:rPr>
        <w:t>C</w:t>
      </w:r>
      <w:r w:rsidR="00DC18E0" w:rsidRPr="000D1384">
        <w:rPr>
          <w:rFonts w:ascii="Times New Roman" w:hAnsi="Times New Roman"/>
          <w:sz w:val="24"/>
          <w:szCs w:val="24"/>
        </w:rPr>
        <w:t xml:space="preserve">ost effectiveness </w:t>
      </w:r>
      <w:r>
        <w:rPr>
          <w:rFonts w:ascii="Times New Roman" w:hAnsi="Times New Roman"/>
          <w:sz w:val="24"/>
          <w:szCs w:val="24"/>
        </w:rPr>
        <w:t>of</w:t>
      </w:r>
      <w:r w:rsidR="00DC18E0" w:rsidRPr="000D1384">
        <w:rPr>
          <w:rFonts w:ascii="Times New Roman" w:hAnsi="Times New Roman"/>
          <w:sz w:val="24"/>
          <w:szCs w:val="24"/>
        </w:rPr>
        <w:t xml:space="preserve"> individual programs proposed for the 2012-</w:t>
      </w:r>
      <w:r w:rsidR="00754973" w:rsidRPr="000D1384">
        <w:rPr>
          <w:rFonts w:ascii="Times New Roman" w:hAnsi="Times New Roman"/>
          <w:sz w:val="24"/>
          <w:szCs w:val="24"/>
        </w:rPr>
        <w:t>3 biennium</w:t>
      </w:r>
      <w:r w:rsidR="00DC18E0" w:rsidRPr="000D1384">
        <w:rPr>
          <w:rFonts w:ascii="Times New Roman" w:hAnsi="Times New Roman"/>
          <w:sz w:val="24"/>
          <w:szCs w:val="24"/>
        </w:rPr>
        <w:t xml:space="preserve"> period</w:t>
      </w:r>
      <w:r w:rsidR="00B82500" w:rsidRPr="000D1384">
        <w:rPr>
          <w:rFonts w:ascii="Times New Roman" w:hAnsi="Times New Roman"/>
          <w:sz w:val="24"/>
          <w:szCs w:val="24"/>
        </w:rPr>
        <w:t xml:space="preserve"> described below </w:t>
      </w:r>
      <w:r w:rsidR="000757FC">
        <w:rPr>
          <w:rFonts w:ascii="Times New Roman" w:hAnsi="Times New Roman"/>
          <w:sz w:val="24"/>
          <w:szCs w:val="24"/>
        </w:rPr>
        <w:t>is</w:t>
      </w:r>
      <w:r w:rsidR="0091549F" w:rsidRPr="000D1384">
        <w:rPr>
          <w:rFonts w:ascii="Times New Roman" w:hAnsi="Times New Roman"/>
          <w:sz w:val="24"/>
          <w:szCs w:val="24"/>
        </w:rPr>
        <w:t xml:space="preserve"> assessed </w:t>
      </w:r>
      <w:r w:rsidR="00754973" w:rsidRPr="000D1384">
        <w:rPr>
          <w:rFonts w:ascii="Times New Roman" w:hAnsi="Times New Roman"/>
          <w:sz w:val="24"/>
          <w:szCs w:val="24"/>
        </w:rPr>
        <w:t xml:space="preserve">based on </w:t>
      </w:r>
      <w:r w:rsidR="00DC18E0" w:rsidRPr="000D1384">
        <w:rPr>
          <w:rFonts w:ascii="Times New Roman" w:hAnsi="Times New Roman"/>
          <w:sz w:val="24"/>
          <w:szCs w:val="24"/>
        </w:rPr>
        <w:t>forecasted e</w:t>
      </w:r>
      <w:r w:rsidRPr="000D1384">
        <w:rPr>
          <w:rFonts w:ascii="Times New Roman" w:hAnsi="Times New Roman"/>
          <w:sz w:val="24"/>
          <w:szCs w:val="24"/>
        </w:rPr>
        <w:t>xpenditures and energy savings.</w:t>
      </w:r>
    </w:p>
    <w:p w:rsidR="00DC18E0" w:rsidRPr="000D1384" w:rsidRDefault="00DC18E0" w:rsidP="000D1384">
      <w:p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Cost e</w:t>
      </w:r>
      <w:r w:rsidR="000D1384" w:rsidRPr="000D1384">
        <w:rPr>
          <w:rFonts w:ascii="Times New Roman" w:hAnsi="Times New Roman"/>
          <w:sz w:val="24"/>
          <w:szCs w:val="24"/>
        </w:rPr>
        <w:t>ffectiveness is provided at the</w:t>
      </w:r>
      <w:r w:rsidR="000D1384">
        <w:rPr>
          <w:rFonts w:ascii="Times New Roman" w:hAnsi="Times New Roman"/>
          <w:sz w:val="24"/>
          <w:szCs w:val="24"/>
        </w:rPr>
        <w:t>:</w:t>
      </w:r>
    </w:p>
    <w:p w:rsidR="00DC18E0" w:rsidRPr="000D1384" w:rsidRDefault="00DB26A5" w:rsidP="000D1384">
      <w:pPr>
        <w:pStyle w:val="ListParagraph"/>
        <w:numPr>
          <w:ilvl w:val="0"/>
          <w:numId w:val="24"/>
        </w:num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I</w:t>
      </w:r>
      <w:r w:rsidR="00DC18E0" w:rsidRPr="000D1384">
        <w:rPr>
          <w:rFonts w:ascii="Times New Roman" w:hAnsi="Times New Roman"/>
          <w:sz w:val="24"/>
          <w:szCs w:val="24"/>
        </w:rPr>
        <w:t>ndividual program</w:t>
      </w:r>
      <w:r w:rsidRPr="000D1384">
        <w:rPr>
          <w:rStyle w:val="FootnoteReference"/>
          <w:rFonts w:ascii="Times New Roman" w:hAnsi="Times New Roman"/>
          <w:sz w:val="24"/>
          <w:szCs w:val="24"/>
        </w:rPr>
        <w:footnoteReference w:id="4"/>
      </w:r>
      <w:r w:rsidRPr="000D1384">
        <w:rPr>
          <w:rFonts w:ascii="Times New Roman" w:hAnsi="Times New Roman"/>
          <w:sz w:val="24"/>
          <w:szCs w:val="24"/>
        </w:rPr>
        <w:t xml:space="preserve"> </w:t>
      </w:r>
      <w:r w:rsidR="00CC7BB0" w:rsidRPr="000D1384">
        <w:rPr>
          <w:rFonts w:ascii="Times New Roman" w:hAnsi="Times New Roman"/>
          <w:sz w:val="24"/>
          <w:szCs w:val="24"/>
        </w:rPr>
        <w:t>or initiative</w:t>
      </w:r>
      <w:r w:rsidRPr="000D1384">
        <w:rPr>
          <w:rStyle w:val="FootnoteReference"/>
          <w:rFonts w:ascii="Times New Roman" w:hAnsi="Times New Roman"/>
          <w:sz w:val="24"/>
          <w:szCs w:val="24"/>
        </w:rPr>
        <w:footnoteReference w:id="5"/>
      </w:r>
      <w:r w:rsidR="008C4517" w:rsidRPr="000D1384">
        <w:rPr>
          <w:rFonts w:ascii="Times New Roman" w:hAnsi="Times New Roman"/>
          <w:sz w:val="24"/>
          <w:szCs w:val="24"/>
        </w:rPr>
        <w:t xml:space="preserve"> </w:t>
      </w:r>
      <w:r w:rsidR="0091549F" w:rsidRPr="000D1384">
        <w:rPr>
          <w:rFonts w:ascii="Times New Roman" w:hAnsi="Times New Roman"/>
          <w:sz w:val="24"/>
          <w:szCs w:val="24"/>
        </w:rPr>
        <w:t>level</w:t>
      </w:r>
    </w:p>
    <w:p w:rsidR="00CC7BB0" w:rsidRPr="000D1384" w:rsidRDefault="00DB26A5" w:rsidP="000D1384">
      <w:pPr>
        <w:pStyle w:val="ListParagraph"/>
        <w:numPr>
          <w:ilvl w:val="0"/>
          <w:numId w:val="24"/>
        </w:num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R</w:t>
      </w:r>
      <w:r w:rsidR="00DC18E0" w:rsidRPr="000D1384">
        <w:rPr>
          <w:rFonts w:ascii="Times New Roman" w:hAnsi="Times New Roman"/>
          <w:sz w:val="24"/>
          <w:szCs w:val="24"/>
        </w:rPr>
        <w:t>esidential energy efficiency portfolio</w:t>
      </w:r>
      <w:r w:rsidR="008C4517" w:rsidRPr="000D1384">
        <w:rPr>
          <w:rFonts w:ascii="Times New Roman" w:hAnsi="Times New Roman"/>
          <w:sz w:val="24"/>
          <w:szCs w:val="24"/>
        </w:rPr>
        <w:t xml:space="preserve"> </w:t>
      </w:r>
      <w:r w:rsidR="0091549F" w:rsidRPr="000D1384">
        <w:rPr>
          <w:rFonts w:ascii="Times New Roman" w:hAnsi="Times New Roman"/>
          <w:sz w:val="24"/>
          <w:szCs w:val="24"/>
        </w:rPr>
        <w:t xml:space="preserve">(programs and NEEA) </w:t>
      </w:r>
      <w:r w:rsidR="000D1384" w:rsidRPr="000D1384">
        <w:rPr>
          <w:rFonts w:ascii="Times New Roman" w:hAnsi="Times New Roman"/>
          <w:sz w:val="24"/>
          <w:szCs w:val="24"/>
        </w:rPr>
        <w:t>level</w:t>
      </w:r>
    </w:p>
    <w:p w:rsidR="00CC7BB0" w:rsidRPr="000D1384" w:rsidRDefault="00DB26A5" w:rsidP="000D1384">
      <w:pPr>
        <w:pStyle w:val="ListParagraph"/>
        <w:numPr>
          <w:ilvl w:val="0"/>
          <w:numId w:val="24"/>
        </w:num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N</w:t>
      </w:r>
      <w:r w:rsidR="00CC7BB0" w:rsidRPr="000D1384">
        <w:rPr>
          <w:rFonts w:ascii="Times New Roman" w:hAnsi="Times New Roman"/>
          <w:sz w:val="24"/>
          <w:szCs w:val="24"/>
        </w:rPr>
        <w:t xml:space="preserve">on-residential energy efficiency </w:t>
      </w:r>
      <w:r w:rsidRPr="000D1384">
        <w:rPr>
          <w:rFonts w:ascii="Times New Roman" w:hAnsi="Times New Roman"/>
          <w:sz w:val="24"/>
          <w:szCs w:val="24"/>
        </w:rPr>
        <w:t xml:space="preserve">program </w:t>
      </w:r>
      <w:r w:rsidR="00CC7BB0" w:rsidRPr="000D1384">
        <w:rPr>
          <w:rFonts w:ascii="Times New Roman" w:hAnsi="Times New Roman"/>
          <w:sz w:val="24"/>
          <w:szCs w:val="24"/>
        </w:rPr>
        <w:t xml:space="preserve">portfolio </w:t>
      </w:r>
      <w:r w:rsidR="000D1384" w:rsidRPr="000D1384">
        <w:rPr>
          <w:rFonts w:ascii="Times New Roman" w:hAnsi="Times New Roman"/>
          <w:sz w:val="24"/>
          <w:szCs w:val="24"/>
        </w:rPr>
        <w:t>level</w:t>
      </w:r>
    </w:p>
    <w:p w:rsidR="00DC18E0" w:rsidRPr="000D1384" w:rsidRDefault="00A04A5E" w:rsidP="000D1384">
      <w:pPr>
        <w:pStyle w:val="ListParagraph"/>
        <w:numPr>
          <w:ilvl w:val="0"/>
          <w:numId w:val="24"/>
        </w:num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R</w:t>
      </w:r>
      <w:r w:rsidR="00DC18E0" w:rsidRPr="000D1384">
        <w:rPr>
          <w:rFonts w:ascii="Times New Roman" w:hAnsi="Times New Roman"/>
          <w:sz w:val="24"/>
          <w:szCs w:val="24"/>
        </w:rPr>
        <w:t xml:space="preserve">esidential energy efficiency portfolio </w:t>
      </w:r>
      <w:r w:rsidR="0091549F" w:rsidRPr="000D1384">
        <w:rPr>
          <w:rFonts w:ascii="Times New Roman" w:hAnsi="Times New Roman"/>
          <w:sz w:val="24"/>
          <w:szCs w:val="24"/>
        </w:rPr>
        <w:t xml:space="preserve">(programs and NEEA) </w:t>
      </w:r>
      <w:r w:rsidR="008C4517" w:rsidRPr="000D1384">
        <w:rPr>
          <w:rFonts w:ascii="Times New Roman" w:hAnsi="Times New Roman"/>
          <w:sz w:val="24"/>
          <w:szCs w:val="24"/>
        </w:rPr>
        <w:t xml:space="preserve">level </w:t>
      </w:r>
      <w:r w:rsidR="00DC18E0" w:rsidRPr="000D1384">
        <w:rPr>
          <w:rFonts w:ascii="Times New Roman" w:hAnsi="Times New Roman"/>
          <w:sz w:val="24"/>
          <w:szCs w:val="24"/>
        </w:rPr>
        <w:t>with non-energy benefits</w:t>
      </w:r>
      <w:r w:rsidR="000D1384" w:rsidRPr="000D1384">
        <w:rPr>
          <w:rFonts w:ascii="Times New Roman" w:hAnsi="Times New Roman"/>
          <w:sz w:val="24"/>
          <w:szCs w:val="24"/>
        </w:rPr>
        <w:t xml:space="preserve"> level included</w:t>
      </w:r>
    </w:p>
    <w:p w:rsidR="00DC18E0" w:rsidRPr="000D1384" w:rsidRDefault="00B82500" w:rsidP="000D1384">
      <w:p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Forecasted e</w:t>
      </w:r>
      <w:r w:rsidR="00DC18E0" w:rsidRPr="000D1384">
        <w:rPr>
          <w:rFonts w:ascii="Times New Roman" w:hAnsi="Times New Roman"/>
          <w:sz w:val="24"/>
          <w:szCs w:val="24"/>
        </w:rPr>
        <w:t xml:space="preserve">nergy savings </w:t>
      </w:r>
      <w:r w:rsidRPr="000D1384">
        <w:rPr>
          <w:rFonts w:ascii="Times New Roman" w:hAnsi="Times New Roman"/>
          <w:sz w:val="24"/>
          <w:szCs w:val="24"/>
        </w:rPr>
        <w:t xml:space="preserve">utilized in this analysis </w:t>
      </w:r>
      <w:r w:rsidR="00DC18E0" w:rsidRPr="000D1384">
        <w:rPr>
          <w:rFonts w:ascii="Times New Roman" w:hAnsi="Times New Roman"/>
          <w:sz w:val="24"/>
          <w:szCs w:val="24"/>
        </w:rPr>
        <w:t xml:space="preserve">are gross savings and the impact of line losses is indicated with an “at site” or “at generation” designation. Line losses </w:t>
      </w:r>
      <w:r w:rsidR="00355C73" w:rsidRPr="000D1384">
        <w:rPr>
          <w:rFonts w:ascii="Times New Roman" w:hAnsi="Times New Roman"/>
          <w:sz w:val="24"/>
          <w:szCs w:val="24"/>
        </w:rPr>
        <w:t xml:space="preserve">for retail customer programs </w:t>
      </w:r>
      <w:r w:rsidR="00DC18E0" w:rsidRPr="000D1384">
        <w:rPr>
          <w:rFonts w:ascii="Times New Roman" w:hAnsi="Times New Roman"/>
          <w:sz w:val="24"/>
          <w:szCs w:val="24"/>
        </w:rPr>
        <w:t xml:space="preserve">are based on the Company’s 2007 line loss study. </w:t>
      </w:r>
      <w:r w:rsidR="00355C73" w:rsidRPr="000D1384">
        <w:rPr>
          <w:rFonts w:ascii="Times New Roman" w:hAnsi="Times New Roman"/>
          <w:sz w:val="24"/>
          <w:szCs w:val="24"/>
        </w:rPr>
        <w:t xml:space="preserve">The line loss impact for the distribution efficiency effort is specific to the affected portion of the distribution system and was calculated by the Pacific Power engineering group. </w:t>
      </w:r>
      <w:r w:rsidR="00DC18E0" w:rsidRPr="000D1384">
        <w:rPr>
          <w:rFonts w:ascii="Times New Roman" w:hAnsi="Times New Roman"/>
          <w:sz w:val="24"/>
          <w:szCs w:val="24"/>
        </w:rPr>
        <w:t xml:space="preserve">All cost effectiveness calculations </w:t>
      </w:r>
      <w:r w:rsidR="0091549F" w:rsidRPr="000D1384">
        <w:rPr>
          <w:rFonts w:ascii="Times New Roman" w:hAnsi="Times New Roman"/>
          <w:sz w:val="24"/>
          <w:szCs w:val="24"/>
        </w:rPr>
        <w:t xml:space="preserve">utilize </w:t>
      </w:r>
      <w:r w:rsidR="00DC18E0" w:rsidRPr="000D1384">
        <w:rPr>
          <w:rFonts w:ascii="Times New Roman" w:hAnsi="Times New Roman"/>
          <w:sz w:val="24"/>
          <w:szCs w:val="24"/>
        </w:rPr>
        <w:t>a Net-to-gross ratio of 1.0 consistent with the Council’s methodology. The energy savings attributed to each program are shaped according to specific end-use savings (the hourly calculation of when energy is used for the various end-use measures from which the savings are derived). Program costs and the value of the energy savings are then compared on a present val</w:t>
      </w:r>
      <w:r w:rsidRPr="000D1384">
        <w:rPr>
          <w:rFonts w:ascii="Times New Roman" w:hAnsi="Times New Roman"/>
          <w:sz w:val="24"/>
          <w:szCs w:val="24"/>
        </w:rPr>
        <w:t>ue basis with the Company’s 2011</w:t>
      </w:r>
      <w:r w:rsidR="00DC18E0" w:rsidRPr="000D1384">
        <w:rPr>
          <w:rFonts w:ascii="Times New Roman" w:hAnsi="Times New Roman"/>
          <w:sz w:val="24"/>
          <w:szCs w:val="24"/>
        </w:rPr>
        <w:t xml:space="preserve"> Integrated Resource Plan (“IRP”) calculated decrement values for demand-side resource savings and avoided capacity investments. The energy efficiency resource decrement values are fully shaped to represent the 8,760 hourly values that exist within a calendar year. By matching the hourly savings with the hourly avoided costs, both energy and capacity impacts of energy eff</w:t>
      </w:r>
      <w:r w:rsidR="00284CC3" w:rsidRPr="000D1384">
        <w:rPr>
          <w:rFonts w:ascii="Times New Roman" w:hAnsi="Times New Roman"/>
          <w:sz w:val="24"/>
          <w:szCs w:val="24"/>
        </w:rPr>
        <w:t>iciency savings are recognized.</w:t>
      </w:r>
    </w:p>
    <w:p w:rsidR="00355635" w:rsidRDefault="00355635" w:rsidP="000D1384">
      <w:pPr>
        <w:spacing w:before="100" w:beforeAutospacing="1" w:after="100" w:afterAutospacing="1"/>
        <w:jc w:val="both"/>
        <w:rPr>
          <w:rFonts w:ascii="Times New Roman" w:hAnsi="Times New Roman"/>
          <w:sz w:val="24"/>
          <w:szCs w:val="24"/>
        </w:rPr>
      </w:pPr>
      <w:r w:rsidRPr="00355635">
        <w:rPr>
          <w:rFonts w:ascii="Times New Roman" w:hAnsi="Times New Roman"/>
          <w:sz w:val="24"/>
          <w:szCs w:val="24"/>
        </w:rPr>
        <w:t>Costs utilized in the cost effectiveness analysis for distribution efficiency (“DEI”) and production efficiency in non-hydro generating facilities are estimated implementation costs for the projects, excluding forecasted expenditures for specific analysis, engineering studies, reporting, results tracking and evaluation expenses associated with I-937 compliance. Study related costs (e.g. DEI, production efficiency, measure data and the potential study update), required by I-937 are considered initiative compliance costs rather than program costs and will not be included in the determination of the cost-effectiveness at either the program or portfolio levels.</w:t>
      </w:r>
    </w:p>
    <w:p w:rsidR="00DC18E0" w:rsidRPr="000D1384" w:rsidRDefault="00DC18E0" w:rsidP="000D1384">
      <w:p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The five California Standard Practice Manual cost effectiveness tests as modified in the Northwest were utilized in the cost benefit analysis.</w:t>
      </w:r>
    </w:p>
    <w:p w:rsidR="009C3D09" w:rsidRDefault="0091549F" w:rsidP="000757FC">
      <w:pPr>
        <w:spacing w:before="100" w:beforeAutospacing="1" w:after="100" w:afterAutospacing="1"/>
        <w:jc w:val="both"/>
        <w:rPr>
          <w:rFonts w:ascii="Times New Roman" w:hAnsi="Times New Roman"/>
          <w:sz w:val="24"/>
          <w:szCs w:val="24"/>
        </w:rPr>
      </w:pPr>
      <w:r w:rsidRPr="000D1384">
        <w:rPr>
          <w:rFonts w:ascii="Times New Roman" w:hAnsi="Times New Roman"/>
          <w:sz w:val="24"/>
          <w:szCs w:val="24"/>
        </w:rPr>
        <w:t>Additional information for the cost effectiveness assessment of each program, initiative and the portfolios are available o</w:t>
      </w:r>
      <w:r w:rsidR="00284CC3" w:rsidRPr="000D1384">
        <w:rPr>
          <w:rFonts w:ascii="Times New Roman" w:hAnsi="Times New Roman"/>
          <w:sz w:val="24"/>
          <w:szCs w:val="24"/>
        </w:rPr>
        <w:t>n pages 7</w:t>
      </w:r>
      <w:r w:rsidR="000757FC">
        <w:rPr>
          <w:rFonts w:ascii="Times New Roman" w:hAnsi="Times New Roman"/>
          <w:sz w:val="24"/>
          <w:szCs w:val="24"/>
        </w:rPr>
        <w:t>1</w:t>
      </w:r>
      <w:r w:rsidR="00D628A0">
        <w:rPr>
          <w:rFonts w:ascii="Times New Roman" w:hAnsi="Times New Roman"/>
          <w:sz w:val="24"/>
          <w:szCs w:val="24"/>
        </w:rPr>
        <w:t>-89</w:t>
      </w:r>
      <w:r w:rsidR="00284CC3" w:rsidRPr="000D1384">
        <w:rPr>
          <w:rFonts w:ascii="Times New Roman" w:hAnsi="Times New Roman"/>
          <w:sz w:val="24"/>
          <w:szCs w:val="24"/>
        </w:rPr>
        <w:t xml:space="preserve"> of this Appendix.</w:t>
      </w:r>
      <w:r w:rsidR="009C3D09">
        <w:rPr>
          <w:rFonts w:ascii="Times New Roman" w:hAnsi="Times New Roman"/>
          <w:sz w:val="24"/>
          <w:szCs w:val="24"/>
        </w:rPr>
        <w:br w:type="page"/>
      </w:r>
    </w:p>
    <w:p w:rsidR="009C3D09" w:rsidRDefault="009C3D09" w:rsidP="009C3D09">
      <w:pPr>
        <w:pStyle w:val="memoaddress"/>
      </w:pPr>
      <w:r>
        <w:t xml:space="preserve">Date: </w:t>
      </w:r>
      <w:r>
        <w:tab/>
        <w:t>January 27, 2012</w:t>
      </w:r>
    </w:p>
    <w:p w:rsidR="009C3D09" w:rsidRDefault="009C3D09" w:rsidP="009C3D09">
      <w:pPr>
        <w:pStyle w:val="memoaddress"/>
        <w:ind w:left="1350" w:hanging="1350"/>
      </w:pPr>
      <w:r>
        <w:t>To:</w:t>
      </w:r>
      <w:r>
        <w:tab/>
        <w:t>Don Jones, Jr.</w:t>
      </w:r>
    </w:p>
    <w:p w:rsidR="009C3D09" w:rsidRDefault="009C3D09" w:rsidP="009C3D09">
      <w:pPr>
        <w:pStyle w:val="memoaddress"/>
      </w:pPr>
      <w:r>
        <w:t>From:</w:t>
      </w:r>
      <w:r>
        <w:tab/>
        <w:t>Aaron Jenniges and Niko Drake-McLaughlin</w:t>
      </w:r>
    </w:p>
    <w:p w:rsidR="009C3D09" w:rsidRDefault="009C3D09" w:rsidP="009C3D09">
      <w:pPr>
        <w:pStyle w:val="memoaddress"/>
        <w:ind w:left="1350" w:hanging="1350"/>
      </w:pPr>
      <w:r>
        <w:t>Re:</w:t>
      </w:r>
      <w:r>
        <w:tab/>
      </w:r>
      <w:r>
        <w:rPr>
          <w:bCs/>
        </w:rPr>
        <w:t>Washington Low Income Weatherization 2012-2013 Cost-Effectiveness</w:t>
      </w:r>
    </w:p>
    <w:p w:rsidR="009C3D09" w:rsidRDefault="009C3D09" w:rsidP="009C3D09">
      <w:pPr>
        <w:pBdr>
          <w:bottom w:val="single" w:sz="4" w:space="1" w:color="auto"/>
        </w:pBdr>
      </w:pP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 xml:space="preserve">The tables below present the cost-effectiveness findings of the Washington Low Income Weatherization program based on 2012 and 2013 costs and savings estimates provided by PacifiCorp in a spreadsheet entitled “Copy of CE inputs for Table 1 business plan 011312”. The analysis </w:t>
      </w:r>
      <w:r w:rsidRPr="0073249B">
        <w:rPr>
          <w:rFonts w:ascii="Times New Roman" w:eastAsia="Times New Roman" w:hAnsi="Times New Roman"/>
          <w:sz w:val="24"/>
          <w:szCs w:val="24"/>
        </w:rPr>
        <w:t>assumed</w:t>
      </w:r>
      <w:r w:rsidRPr="0073249B">
        <w:rPr>
          <w:rFonts w:ascii="Times New Roman" w:hAnsi="Times New Roman"/>
          <w:sz w:val="24"/>
          <w:szCs w:val="24"/>
        </w:rPr>
        <w:t xml:space="preserve"> a discount rate of 7.17%, based on the 2011 PacifiCorp Integrated Resource Plan.</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Cost-effectiveness was tested using the IRP 49% west residential whole house load factor decrement. Table 1 lists modeling inputs.</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program is not cost-effective from the TRC, UCT, or RIM perspectives. The benefit/cost ratio for the RIM test is less than 1, indicating the program will have an upward influence on rates.</w:t>
      </w:r>
    </w:p>
    <w:p w:rsidR="009C3D09" w:rsidRDefault="009C3D09" w:rsidP="009C3D09">
      <w:pPr>
        <w:pStyle w:val="tabletitle"/>
      </w:pPr>
      <w:r>
        <w:t xml:space="preserve">Table 1: Low Income Weatherization </w:t>
      </w:r>
      <w:r>
        <w:br/>
        <w:t>Inputs</w:t>
      </w:r>
    </w:p>
    <w:tbl>
      <w:tblPr>
        <w:tblW w:w="0" w:type="auto"/>
        <w:jc w:val="center"/>
        <w:tblInd w:w="2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20"/>
        <w:gridCol w:w="1563"/>
      </w:tblGrid>
      <w:tr w:rsidR="009C3D09" w:rsidTr="009C3D09">
        <w:trPr>
          <w:jc w:val="center"/>
        </w:trPr>
        <w:tc>
          <w:tcPr>
            <w:tcW w:w="3420"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Parameter</w:t>
            </w:r>
          </w:p>
        </w:tc>
        <w:tc>
          <w:tcPr>
            <w:tcW w:w="1563"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Value</w:t>
            </w:r>
          </w:p>
        </w:tc>
      </w:tr>
      <w:tr w:rsidR="009C3D09" w:rsidTr="009C3D09">
        <w:trPr>
          <w:trHeight w:val="135"/>
          <w:jc w:val="center"/>
        </w:trPr>
        <w:tc>
          <w:tcPr>
            <w:tcW w:w="3420" w:type="dxa"/>
          </w:tcPr>
          <w:p w:rsidR="009C3D09" w:rsidRDefault="009C3D09" w:rsidP="009C3D09">
            <w:pPr>
              <w:pStyle w:val="tabletext"/>
            </w:pPr>
            <w:r>
              <w:t xml:space="preserve">Discount Rate </w:t>
            </w:r>
          </w:p>
        </w:tc>
        <w:tc>
          <w:tcPr>
            <w:tcW w:w="1563" w:type="dxa"/>
            <w:shd w:val="clear" w:color="auto" w:fill="auto"/>
          </w:tcPr>
          <w:p w:rsidR="009C3D09" w:rsidRDefault="009C3D09" w:rsidP="009C3D09">
            <w:pPr>
              <w:pStyle w:val="tabletext"/>
              <w:jc w:val="center"/>
            </w:pPr>
            <w:r>
              <w:t>7.17%</w:t>
            </w:r>
          </w:p>
        </w:tc>
      </w:tr>
      <w:tr w:rsidR="009C3D09" w:rsidTr="009C3D09">
        <w:trPr>
          <w:trHeight w:val="135"/>
          <w:jc w:val="center"/>
        </w:trPr>
        <w:tc>
          <w:tcPr>
            <w:tcW w:w="3420" w:type="dxa"/>
          </w:tcPr>
          <w:p w:rsidR="009C3D09" w:rsidRDefault="009C3D09" w:rsidP="009C3D09">
            <w:pPr>
              <w:pStyle w:val="tabletext"/>
            </w:pPr>
            <w:r>
              <w:t>Line Loss</w:t>
            </w:r>
          </w:p>
        </w:tc>
        <w:tc>
          <w:tcPr>
            <w:tcW w:w="1563" w:type="dxa"/>
            <w:shd w:val="clear" w:color="auto" w:fill="auto"/>
          </w:tcPr>
          <w:p w:rsidR="009C3D09" w:rsidRPr="0067323B" w:rsidRDefault="009C3D09" w:rsidP="009C3D09">
            <w:pPr>
              <w:pStyle w:val="tabletext"/>
              <w:jc w:val="center"/>
            </w:pPr>
            <w:r w:rsidRPr="0067323B">
              <w:t>8.87%</w:t>
            </w:r>
          </w:p>
        </w:tc>
      </w:tr>
      <w:tr w:rsidR="009C3D09" w:rsidTr="009C3D09">
        <w:trPr>
          <w:cantSplit/>
          <w:trHeight w:val="90"/>
          <w:jc w:val="center"/>
        </w:trPr>
        <w:tc>
          <w:tcPr>
            <w:tcW w:w="3420" w:type="dxa"/>
          </w:tcPr>
          <w:p w:rsidR="009C3D09" w:rsidRDefault="009C3D09" w:rsidP="009C3D09">
            <w:pPr>
              <w:pStyle w:val="tabletext"/>
            </w:pPr>
            <w:r>
              <w:t xml:space="preserve">Residential Energy Rate ($/kWh) </w:t>
            </w:r>
            <w:r>
              <w:br/>
              <w:t>(base year 2010)</w:t>
            </w:r>
          </w:p>
        </w:tc>
        <w:tc>
          <w:tcPr>
            <w:tcW w:w="1563" w:type="dxa"/>
            <w:shd w:val="clear" w:color="auto" w:fill="auto"/>
          </w:tcPr>
          <w:p w:rsidR="009C3D09" w:rsidRPr="00860E90" w:rsidRDefault="009C3D09" w:rsidP="009C3D09">
            <w:pPr>
              <w:pStyle w:val="tabletext"/>
              <w:jc w:val="center"/>
              <w:rPr>
                <w:highlight w:val="yellow"/>
              </w:rPr>
            </w:pPr>
            <w:r w:rsidRPr="00B026D2">
              <w:t>$0.0767</w:t>
            </w:r>
          </w:p>
        </w:tc>
      </w:tr>
      <w:tr w:rsidR="009C3D09" w:rsidTr="009C3D09">
        <w:trPr>
          <w:cantSplit/>
          <w:trHeight w:val="90"/>
          <w:jc w:val="center"/>
        </w:trPr>
        <w:tc>
          <w:tcPr>
            <w:tcW w:w="3420" w:type="dxa"/>
          </w:tcPr>
          <w:p w:rsidR="009C3D09" w:rsidRDefault="009C3D09" w:rsidP="009C3D09">
            <w:pPr>
              <w:pStyle w:val="tabletext"/>
            </w:pPr>
            <w:r>
              <w:t>Inflation Rate</w:t>
            </w:r>
            <w:r>
              <w:rPr>
                <w:rStyle w:val="FootnoteReference"/>
              </w:rPr>
              <w:footnoteReference w:id="6"/>
            </w:r>
          </w:p>
        </w:tc>
        <w:tc>
          <w:tcPr>
            <w:tcW w:w="1563" w:type="dxa"/>
            <w:shd w:val="clear" w:color="auto" w:fill="auto"/>
            <w:vAlign w:val="center"/>
          </w:tcPr>
          <w:p w:rsidR="009C3D09" w:rsidRDefault="009C3D09" w:rsidP="009C3D09">
            <w:pPr>
              <w:pStyle w:val="tabletext"/>
              <w:jc w:val="center"/>
            </w:pPr>
            <w:r>
              <w:t>1.8%</w:t>
            </w:r>
          </w:p>
        </w:tc>
      </w:tr>
    </w:tbl>
    <w:p w:rsidR="009C3D09" w:rsidRDefault="009C3D09" w:rsidP="009C3D09">
      <w:pPr>
        <w:pStyle w:val="tabletitle"/>
      </w:pPr>
    </w:p>
    <w:p w:rsidR="009C3D09" w:rsidRDefault="009C3D09" w:rsidP="009C3D09">
      <w:pPr>
        <w:pStyle w:val="tabletitle"/>
        <w:keepLines/>
      </w:pPr>
      <w:r>
        <w:t xml:space="preserve">Table 2: Low Income Weatherization </w:t>
      </w:r>
      <w:r>
        <w:br/>
        <w:t>Program Costs</w:t>
      </w:r>
    </w:p>
    <w:tbl>
      <w:tblPr>
        <w:tblW w:w="5542" w:type="dxa"/>
        <w:jc w:val="center"/>
        <w:tblInd w:w="-4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21"/>
        <w:gridCol w:w="1725"/>
        <w:gridCol w:w="1136"/>
        <w:gridCol w:w="1260"/>
      </w:tblGrid>
      <w:tr w:rsidR="009C3D09" w:rsidTr="009C3D09">
        <w:trPr>
          <w:jc w:val="center"/>
        </w:trPr>
        <w:tc>
          <w:tcPr>
            <w:tcW w:w="1421" w:type="dxa"/>
            <w:shd w:val="solid" w:color="339966" w:fill="008000"/>
          </w:tcPr>
          <w:p w:rsidR="009C3D09" w:rsidRDefault="009C3D09" w:rsidP="009C3D09">
            <w:pPr>
              <w:pStyle w:val="tabletext"/>
              <w:keepNext/>
              <w:keepLines/>
              <w:jc w:val="center"/>
              <w:rPr>
                <w:b/>
                <w:bCs/>
                <w:color w:val="FFFFFF"/>
              </w:rPr>
            </w:pPr>
          </w:p>
        </w:tc>
        <w:tc>
          <w:tcPr>
            <w:tcW w:w="1725" w:type="dxa"/>
            <w:shd w:val="solid" w:color="339966" w:fill="008000"/>
          </w:tcPr>
          <w:p w:rsidR="009C3D09" w:rsidRDefault="009C3D09" w:rsidP="009C3D09">
            <w:pPr>
              <w:pStyle w:val="tabletext"/>
              <w:keepNext/>
              <w:keepLines/>
              <w:jc w:val="center"/>
              <w:rPr>
                <w:b/>
                <w:bCs/>
                <w:color w:val="FFFFFF"/>
              </w:rPr>
            </w:pPr>
            <w:r>
              <w:rPr>
                <w:b/>
                <w:bCs/>
                <w:color w:val="FFFFFF"/>
              </w:rPr>
              <w:t>Program Expenses (Non-Incentives)</w:t>
            </w:r>
          </w:p>
        </w:tc>
        <w:tc>
          <w:tcPr>
            <w:tcW w:w="1136" w:type="dxa"/>
            <w:shd w:val="solid" w:color="339966" w:fill="008000"/>
          </w:tcPr>
          <w:p w:rsidR="009C3D09" w:rsidRDefault="009C3D09" w:rsidP="009C3D09">
            <w:pPr>
              <w:pStyle w:val="tabletext"/>
              <w:keepNext/>
              <w:keepLines/>
              <w:jc w:val="center"/>
              <w:rPr>
                <w:b/>
                <w:bCs/>
                <w:color w:val="FFFFFF"/>
              </w:rPr>
            </w:pPr>
            <w:r>
              <w:rPr>
                <w:b/>
                <w:bCs/>
                <w:color w:val="FFFFFF"/>
              </w:rPr>
              <w:t>Incentives</w:t>
            </w:r>
          </w:p>
        </w:tc>
        <w:tc>
          <w:tcPr>
            <w:tcW w:w="1260" w:type="dxa"/>
            <w:shd w:val="solid" w:color="339966" w:fill="008000"/>
          </w:tcPr>
          <w:p w:rsidR="009C3D09" w:rsidRDefault="009C3D09" w:rsidP="009C3D09">
            <w:pPr>
              <w:pStyle w:val="tabletext"/>
              <w:keepNext/>
              <w:keepLines/>
              <w:jc w:val="center"/>
              <w:rPr>
                <w:b/>
                <w:bCs/>
                <w:color w:val="FFFFFF"/>
              </w:rPr>
            </w:pPr>
            <w:r>
              <w:rPr>
                <w:b/>
                <w:bCs/>
                <w:color w:val="FFFFFF"/>
              </w:rPr>
              <w:t>Total Utility Costs</w:t>
            </w:r>
          </w:p>
        </w:tc>
      </w:tr>
      <w:tr w:rsidR="009C3D09" w:rsidTr="009C3D09">
        <w:trPr>
          <w:trHeight w:val="264"/>
          <w:jc w:val="center"/>
        </w:trPr>
        <w:tc>
          <w:tcPr>
            <w:tcW w:w="1421" w:type="dxa"/>
          </w:tcPr>
          <w:p w:rsidR="009C3D09" w:rsidRPr="005E360C" w:rsidRDefault="009C3D09" w:rsidP="009C3D09">
            <w:pPr>
              <w:pStyle w:val="tabletext"/>
              <w:jc w:val="right"/>
            </w:pPr>
            <w:r>
              <w:t>Low Income W</w:t>
            </w:r>
            <w:r w:rsidRPr="005E360C">
              <w:t xml:space="preserve">eatherization </w:t>
            </w:r>
          </w:p>
        </w:tc>
        <w:tc>
          <w:tcPr>
            <w:tcW w:w="1725" w:type="dxa"/>
            <w:vAlign w:val="center"/>
          </w:tcPr>
          <w:p w:rsidR="009C3D09" w:rsidRPr="00DD0232" w:rsidRDefault="009C3D09" w:rsidP="009C3D09">
            <w:pPr>
              <w:pStyle w:val="tabletext"/>
              <w:jc w:val="right"/>
            </w:pPr>
            <w:r w:rsidRPr="00DD0232">
              <w:t>$</w:t>
            </w:r>
            <w:r>
              <w:t>214,240</w:t>
            </w:r>
          </w:p>
        </w:tc>
        <w:tc>
          <w:tcPr>
            <w:tcW w:w="1136" w:type="dxa"/>
            <w:vAlign w:val="center"/>
          </w:tcPr>
          <w:p w:rsidR="009C3D09" w:rsidRPr="00DD0232" w:rsidRDefault="009C3D09" w:rsidP="009C3D09">
            <w:pPr>
              <w:pStyle w:val="tabletext"/>
              <w:jc w:val="right"/>
            </w:pPr>
            <w:r w:rsidRPr="00DD0232">
              <w:t>$</w:t>
            </w:r>
            <w:r>
              <w:t>1,433,760</w:t>
            </w:r>
          </w:p>
        </w:tc>
        <w:tc>
          <w:tcPr>
            <w:tcW w:w="1260" w:type="dxa"/>
            <w:vAlign w:val="center"/>
          </w:tcPr>
          <w:p w:rsidR="009C3D09" w:rsidRPr="00DD0232" w:rsidRDefault="009C3D09" w:rsidP="009C3D09">
            <w:pPr>
              <w:pStyle w:val="tabletext"/>
              <w:jc w:val="right"/>
            </w:pPr>
            <w:r w:rsidRPr="00DD0232">
              <w:t>$</w:t>
            </w:r>
            <w:r>
              <w:t>1,648,000</w:t>
            </w:r>
          </w:p>
        </w:tc>
      </w:tr>
    </w:tbl>
    <w:p w:rsidR="009C3D09" w:rsidRDefault="009C3D09">
      <w:pPr>
        <w:rPr>
          <w:rFonts w:ascii="Times New Roman" w:hAnsi="Times New Roman"/>
          <w:sz w:val="24"/>
          <w:szCs w:val="24"/>
        </w:rPr>
        <w:sectPr w:rsidR="009C3D09" w:rsidSect="001B376C">
          <w:headerReference w:type="default" r:id="rId66"/>
          <w:footerReference w:type="default" r:id="rId67"/>
          <w:type w:val="continuous"/>
          <w:pgSz w:w="12240" w:h="15840" w:code="1"/>
          <w:pgMar w:top="1440" w:right="1080" w:bottom="1440" w:left="1440" w:header="720" w:footer="720" w:gutter="0"/>
          <w:cols w:space="720"/>
          <w:docGrid w:linePitch="360"/>
        </w:sectPr>
      </w:pPr>
      <w:r>
        <w:rPr>
          <w:rFonts w:ascii="Times New Roman" w:hAnsi="Times New Roman"/>
          <w:sz w:val="24"/>
          <w:szCs w:val="24"/>
        </w:rPr>
        <w:br w:type="page"/>
      </w:r>
    </w:p>
    <w:p w:rsidR="009C3D09" w:rsidRDefault="009C3D09">
      <w:pPr>
        <w:rPr>
          <w:rFonts w:ascii="Times New Roman" w:hAnsi="Times New Roman"/>
          <w:sz w:val="24"/>
          <w:szCs w:val="24"/>
        </w:rPr>
      </w:pPr>
    </w:p>
    <w:p w:rsidR="009C3D09" w:rsidRDefault="009C3D09" w:rsidP="009C3D09">
      <w:pPr>
        <w:pStyle w:val="tabletitle"/>
        <w:keepLines/>
      </w:pPr>
      <w:r>
        <w:t>Table 3: Low Income Weatherization Savings</w:t>
      </w:r>
    </w:p>
    <w:tbl>
      <w:tblPr>
        <w:tblW w:w="9062" w:type="dxa"/>
        <w:jc w:val="center"/>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41"/>
        <w:gridCol w:w="1170"/>
        <w:gridCol w:w="1170"/>
        <w:gridCol w:w="1051"/>
        <w:gridCol w:w="1260"/>
        <w:gridCol w:w="1170"/>
        <w:gridCol w:w="900"/>
      </w:tblGrid>
      <w:tr w:rsidR="009C3D09" w:rsidTr="009C3D09">
        <w:trPr>
          <w:jc w:val="center"/>
        </w:trPr>
        <w:tc>
          <w:tcPr>
            <w:tcW w:w="2341" w:type="dxa"/>
            <w:tcBorders>
              <w:top w:val="single" w:sz="12" w:space="0" w:color="auto"/>
              <w:bottom w:val="single" w:sz="6" w:space="0" w:color="auto"/>
            </w:tcBorders>
            <w:shd w:val="solid" w:color="339966" w:fill="008000"/>
          </w:tcPr>
          <w:p w:rsidR="009C3D09" w:rsidRDefault="009C3D09" w:rsidP="009C3D09">
            <w:pPr>
              <w:pStyle w:val="tabletext"/>
              <w:keepNext/>
              <w:keepLines/>
              <w:jc w:val="right"/>
              <w:rPr>
                <w:b/>
                <w:bCs/>
                <w:color w:val="FFFFFF"/>
              </w:rPr>
            </w:pPr>
          </w:p>
        </w:tc>
        <w:tc>
          <w:tcPr>
            <w:tcW w:w="117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Gross kWh Savings</w:t>
            </w:r>
          </w:p>
        </w:tc>
        <w:tc>
          <w:tcPr>
            <w:tcW w:w="117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Realization Rate</w:t>
            </w:r>
          </w:p>
        </w:tc>
        <w:tc>
          <w:tcPr>
            <w:tcW w:w="1051"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Adjusted Gross Savings</w:t>
            </w:r>
          </w:p>
        </w:tc>
        <w:tc>
          <w:tcPr>
            <w:tcW w:w="126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Net to Gross Percentage</w:t>
            </w:r>
          </w:p>
        </w:tc>
        <w:tc>
          <w:tcPr>
            <w:tcW w:w="117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Net kWh Savings</w:t>
            </w:r>
          </w:p>
        </w:tc>
        <w:tc>
          <w:tcPr>
            <w:tcW w:w="90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Measure Life</w:t>
            </w:r>
          </w:p>
        </w:tc>
      </w:tr>
      <w:tr w:rsidR="009C3D09" w:rsidTr="009C3D09">
        <w:trPr>
          <w:trHeight w:val="69"/>
          <w:jc w:val="center"/>
        </w:trPr>
        <w:tc>
          <w:tcPr>
            <w:tcW w:w="2341" w:type="dxa"/>
            <w:tcBorders>
              <w:top w:val="single" w:sz="6" w:space="0" w:color="auto"/>
            </w:tcBorders>
          </w:tcPr>
          <w:p w:rsidR="009C3D09" w:rsidRPr="00FA019A" w:rsidRDefault="009C3D09" w:rsidP="009C3D09">
            <w:pPr>
              <w:pStyle w:val="tabletext"/>
              <w:jc w:val="right"/>
            </w:pPr>
            <w:r w:rsidRPr="00FA019A">
              <w:t xml:space="preserve">Low Income weatherization </w:t>
            </w:r>
          </w:p>
        </w:tc>
        <w:tc>
          <w:tcPr>
            <w:tcW w:w="1170" w:type="dxa"/>
            <w:tcBorders>
              <w:top w:val="single" w:sz="6" w:space="0" w:color="auto"/>
            </w:tcBorders>
            <w:shd w:val="clear" w:color="auto" w:fill="auto"/>
          </w:tcPr>
          <w:p w:rsidR="009C3D09" w:rsidRPr="00DD0232" w:rsidRDefault="009C3D09" w:rsidP="009C3D09">
            <w:pPr>
              <w:pStyle w:val="tabletext"/>
              <w:jc w:val="right"/>
            </w:pPr>
            <w:r>
              <w:t>540,960</w:t>
            </w:r>
          </w:p>
        </w:tc>
        <w:tc>
          <w:tcPr>
            <w:tcW w:w="1170" w:type="dxa"/>
            <w:tcBorders>
              <w:top w:val="single" w:sz="6" w:space="0" w:color="auto"/>
            </w:tcBorders>
            <w:shd w:val="clear" w:color="auto" w:fill="auto"/>
          </w:tcPr>
          <w:p w:rsidR="009C3D09" w:rsidRPr="00DD0232" w:rsidRDefault="009C3D09" w:rsidP="009C3D09">
            <w:pPr>
              <w:pStyle w:val="tabletext"/>
              <w:jc w:val="right"/>
            </w:pPr>
            <w:r w:rsidRPr="00DD0232">
              <w:t>100%</w:t>
            </w:r>
          </w:p>
        </w:tc>
        <w:tc>
          <w:tcPr>
            <w:tcW w:w="1051" w:type="dxa"/>
            <w:tcBorders>
              <w:top w:val="single" w:sz="6" w:space="0" w:color="auto"/>
            </w:tcBorders>
            <w:shd w:val="clear" w:color="auto" w:fill="auto"/>
          </w:tcPr>
          <w:p w:rsidR="009C3D09" w:rsidRPr="00DD0232" w:rsidRDefault="009C3D09" w:rsidP="009C3D09">
            <w:pPr>
              <w:pStyle w:val="tabletext"/>
              <w:jc w:val="right"/>
            </w:pPr>
            <w:r>
              <w:t>540,960</w:t>
            </w:r>
          </w:p>
        </w:tc>
        <w:tc>
          <w:tcPr>
            <w:tcW w:w="1260" w:type="dxa"/>
            <w:tcBorders>
              <w:top w:val="single" w:sz="6" w:space="0" w:color="auto"/>
            </w:tcBorders>
            <w:shd w:val="clear" w:color="auto" w:fill="auto"/>
          </w:tcPr>
          <w:p w:rsidR="009C3D09" w:rsidRPr="00DD0232" w:rsidRDefault="009C3D09" w:rsidP="009C3D09">
            <w:pPr>
              <w:pStyle w:val="tabletext"/>
              <w:jc w:val="right"/>
            </w:pPr>
            <w:r w:rsidRPr="00DD0232">
              <w:t>100%</w:t>
            </w:r>
          </w:p>
        </w:tc>
        <w:tc>
          <w:tcPr>
            <w:tcW w:w="1170" w:type="dxa"/>
            <w:tcBorders>
              <w:top w:val="single" w:sz="6" w:space="0" w:color="auto"/>
            </w:tcBorders>
            <w:shd w:val="clear" w:color="auto" w:fill="auto"/>
          </w:tcPr>
          <w:p w:rsidR="009C3D09" w:rsidRPr="00DD0232" w:rsidRDefault="009C3D09" w:rsidP="009C3D09">
            <w:pPr>
              <w:pStyle w:val="tabletext"/>
              <w:jc w:val="right"/>
            </w:pPr>
            <w:r>
              <w:t>540,960</w:t>
            </w:r>
          </w:p>
        </w:tc>
        <w:tc>
          <w:tcPr>
            <w:tcW w:w="900" w:type="dxa"/>
            <w:tcBorders>
              <w:top w:val="single" w:sz="6" w:space="0" w:color="auto"/>
            </w:tcBorders>
            <w:shd w:val="clear" w:color="auto" w:fill="auto"/>
          </w:tcPr>
          <w:p w:rsidR="009C3D09" w:rsidRPr="00DD0232" w:rsidRDefault="009C3D09" w:rsidP="009C3D09">
            <w:pPr>
              <w:pStyle w:val="tabletext"/>
              <w:jc w:val="right"/>
            </w:pPr>
            <w:r w:rsidRPr="00DD0232">
              <w:t>30</w:t>
            </w:r>
          </w:p>
        </w:tc>
      </w:tr>
    </w:tbl>
    <w:p w:rsidR="009C3D09" w:rsidRDefault="009C3D09" w:rsidP="009C3D09">
      <w:pPr>
        <w:pStyle w:val="tabletitle"/>
        <w:keepNext w:val="0"/>
        <w:widowControl w:val="0"/>
      </w:pPr>
      <w:r>
        <w:br/>
        <w:t>Table 4: Low Income Weatherization Cost-Effectiveness</w:t>
      </w:r>
    </w:p>
    <w:tbl>
      <w:tblPr>
        <w:tblW w:w="10092" w:type="dxa"/>
        <w:jc w:val="center"/>
        <w:tblLook w:val="04A0"/>
      </w:tblPr>
      <w:tblGrid>
        <w:gridCol w:w="4420"/>
        <w:gridCol w:w="1216"/>
        <w:gridCol w:w="1488"/>
        <w:gridCol w:w="1513"/>
        <w:gridCol w:w="1455"/>
      </w:tblGrid>
      <w:tr w:rsidR="009C3D09" w:rsidRPr="009C2E26" w:rsidTr="009C3D09">
        <w:trPr>
          <w:trHeight w:val="270"/>
          <w:jc w:val="center"/>
        </w:trPr>
        <w:tc>
          <w:tcPr>
            <w:tcW w:w="4420" w:type="dxa"/>
            <w:tcBorders>
              <w:top w:val="single" w:sz="8" w:space="0" w:color="auto"/>
              <w:left w:val="single" w:sz="8" w:space="0" w:color="auto"/>
              <w:bottom w:val="nil"/>
              <w:right w:val="nil"/>
            </w:tcBorders>
            <w:shd w:val="clear" w:color="000000" w:fill="339966"/>
            <w:noWrap/>
            <w:hideMark/>
          </w:tcPr>
          <w:p w:rsidR="009C3D09" w:rsidRPr="009C2E26" w:rsidRDefault="009C3D09" w:rsidP="009C3D09">
            <w:pPr>
              <w:rPr>
                <w:rFonts w:ascii="Arial Narrow" w:hAnsi="Arial Narrow" w:cs="Arial"/>
                <w:b/>
                <w:bCs/>
                <w:color w:val="FFFFFF"/>
                <w:sz w:val="20"/>
              </w:rPr>
            </w:pPr>
          </w:p>
        </w:tc>
        <w:tc>
          <w:tcPr>
            <w:tcW w:w="1216" w:type="dxa"/>
            <w:tcBorders>
              <w:top w:val="single" w:sz="8" w:space="0" w:color="auto"/>
              <w:left w:val="nil"/>
              <w:bottom w:val="nil"/>
              <w:right w:val="nil"/>
            </w:tcBorders>
            <w:shd w:val="clear" w:color="000000" w:fill="339966"/>
            <w:noWrap/>
            <w:hideMark/>
          </w:tcPr>
          <w:p w:rsidR="009C3D09" w:rsidRPr="009C2E26" w:rsidRDefault="009C3D09" w:rsidP="009C3D09">
            <w:pPr>
              <w:rPr>
                <w:rFonts w:ascii="Arial Narrow" w:hAnsi="Arial Narrow" w:cs="Arial"/>
                <w:b/>
                <w:bCs/>
                <w:color w:val="FFFFFF"/>
                <w:sz w:val="20"/>
              </w:rPr>
            </w:pPr>
            <w:r w:rsidRPr="009C2E26">
              <w:rPr>
                <w:rFonts w:ascii="Arial Narrow" w:hAnsi="Arial Narrow" w:cs="Arial"/>
                <w:b/>
                <w:bCs/>
                <w:color w:val="FFFFFF"/>
                <w:sz w:val="20"/>
              </w:rPr>
              <w:t> </w:t>
            </w:r>
          </w:p>
        </w:tc>
        <w:tc>
          <w:tcPr>
            <w:tcW w:w="1488" w:type="dxa"/>
            <w:tcBorders>
              <w:top w:val="single" w:sz="8" w:space="0" w:color="auto"/>
              <w:left w:val="nil"/>
              <w:bottom w:val="nil"/>
              <w:right w:val="nil"/>
            </w:tcBorders>
            <w:shd w:val="clear" w:color="000000" w:fill="339966"/>
            <w:noWrap/>
            <w:hideMark/>
          </w:tcPr>
          <w:p w:rsidR="009C3D09" w:rsidRPr="009C2E26" w:rsidRDefault="009C3D09" w:rsidP="009C3D09">
            <w:pPr>
              <w:rPr>
                <w:rFonts w:ascii="Arial Narrow" w:hAnsi="Arial Narrow" w:cs="Arial"/>
                <w:b/>
                <w:bCs/>
                <w:color w:val="FFFFFF"/>
                <w:sz w:val="20"/>
              </w:rPr>
            </w:pPr>
            <w:r w:rsidRPr="009C2E26">
              <w:rPr>
                <w:rFonts w:ascii="Arial Narrow" w:hAnsi="Arial Narrow" w:cs="Arial"/>
                <w:b/>
                <w:bCs/>
                <w:color w:val="FFFFFF"/>
                <w:sz w:val="20"/>
              </w:rPr>
              <w:t> </w:t>
            </w:r>
          </w:p>
        </w:tc>
        <w:tc>
          <w:tcPr>
            <w:tcW w:w="2968" w:type="dxa"/>
            <w:gridSpan w:val="2"/>
            <w:tcBorders>
              <w:top w:val="single" w:sz="8" w:space="0" w:color="auto"/>
              <w:left w:val="single" w:sz="8" w:space="0" w:color="auto"/>
              <w:bottom w:val="nil"/>
              <w:right w:val="single" w:sz="8" w:space="0" w:color="000000"/>
            </w:tcBorders>
            <w:shd w:val="clear" w:color="000000" w:fill="339966"/>
            <w:noWrap/>
            <w:hideMark/>
          </w:tcPr>
          <w:p w:rsidR="009C3D09" w:rsidRPr="009C2E26" w:rsidRDefault="009C3D09" w:rsidP="009C3D09">
            <w:pPr>
              <w:rPr>
                <w:rFonts w:ascii="Arial Narrow" w:hAnsi="Arial Narrow" w:cs="Arial"/>
                <w:b/>
                <w:bCs/>
                <w:color w:val="FFFFFF"/>
                <w:sz w:val="20"/>
              </w:rPr>
            </w:pPr>
            <w:r w:rsidRPr="009C2E26">
              <w:rPr>
                <w:rFonts w:ascii="Arial Narrow" w:hAnsi="Arial Narrow" w:cs="Arial"/>
                <w:b/>
                <w:bCs/>
                <w:color w:val="FFFFFF"/>
                <w:sz w:val="20"/>
              </w:rPr>
              <w:t>West Res Whole House 49%</w:t>
            </w:r>
          </w:p>
        </w:tc>
      </w:tr>
      <w:tr w:rsidR="009C3D09" w:rsidRPr="009C2E26" w:rsidTr="009C3D09">
        <w:trPr>
          <w:trHeight w:val="255"/>
          <w:jc w:val="center"/>
        </w:trPr>
        <w:tc>
          <w:tcPr>
            <w:tcW w:w="4420"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9C3D09" w:rsidRPr="009C2E26" w:rsidRDefault="009C3D09" w:rsidP="009C3D09">
            <w:pPr>
              <w:rPr>
                <w:rFonts w:ascii="Arial Narrow" w:hAnsi="Arial Narrow" w:cs="Arial"/>
                <w:color w:val="FFFFFF"/>
                <w:sz w:val="20"/>
              </w:rPr>
            </w:pPr>
            <w:r w:rsidRPr="009C2E26">
              <w:rPr>
                <w:rFonts w:ascii="Arial Narrow" w:hAnsi="Arial Narrow" w:cs="Arial"/>
                <w:color w:val="FFFFFF"/>
                <w:sz w:val="20"/>
              </w:rPr>
              <w:t> </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Costs</w:t>
            </w:r>
          </w:p>
        </w:tc>
        <w:tc>
          <w:tcPr>
            <w:tcW w:w="148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Benefits</w:t>
            </w:r>
          </w:p>
        </w:tc>
        <w:tc>
          <w:tcPr>
            <w:tcW w:w="1513"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Net Benefits</w:t>
            </w:r>
          </w:p>
        </w:tc>
        <w:tc>
          <w:tcPr>
            <w:tcW w:w="1455" w:type="dxa"/>
            <w:tcBorders>
              <w:top w:val="single" w:sz="8" w:space="0" w:color="auto"/>
              <w:left w:val="nil"/>
              <w:bottom w:val="nil"/>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Benefit/Cost</w:t>
            </w:r>
          </w:p>
        </w:tc>
      </w:tr>
      <w:tr w:rsidR="009C3D09" w:rsidRPr="009C2E26" w:rsidTr="009C3D09">
        <w:trPr>
          <w:trHeight w:val="270"/>
          <w:jc w:val="center"/>
        </w:trPr>
        <w:tc>
          <w:tcPr>
            <w:tcW w:w="4420" w:type="dxa"/>
            <w:vMerge/>
            <w:tcBorders>
              <w:top w:val="single" w:sz="8" w:space="0" w:color="auto"/>
              <w:left w:val="single" w:sz="8" w:space="0" w:color="auto"/>
              <w:bottom w:val="single" w:sz="8" w:space="0" w:color="000000"/>
              <w:right w:val="single" w:sz="8" w:space="0" w:color="auto"/>
            </w:tcBorders>
            <w:vAlign w:val="center"/>
            <w:hideMark/>
          </w:tcPr>
          <w:p w:rsidR="009C3D09" w:rsidRPr="009C2E26" w:rsidRDefault="009C3D09" w:rsidP="009C3D09">
            <w:pPr>
              <w:rPr>
                <w:rFonts w:ascii="Arial Narrow" w:hAnsi="Arial Narrow" w:cs="Arial"/>
                <w:color w:val="FFFFFF"/>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455" w:type="dxa"/>
            <w:tcBorders>
              <w:top w:val="nil"/>
              <w:left w:val="nil"/>
              <w:bottom w:val="single" w:sz="8" w:space="0" w:color="auto"/>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Ratio</w:t>
            </w:r>
          </w:p>
        </w:tc>
      </w:tr>
      <w:tr w:rsidR="009C3D09" w:rsidRPr="009C2E26" w:rsidTr="009C3D09">
        <w:trPr>
          <w:trHeight w:val="270"/>
          <w:jc w:val="center"/>
        </w:trPr>
        <w:tc>
          <w:tcPr>
            <w:tcW w:w="4420" w:type="dxa"/>
            <w:tcBorders>
              <w:top w:val="nil"/>
              <w:left w:val="single" w:sz="8" w:space="0" w:color="auto"/>
              <w:bottom w:val="single" w:sz="8" w:space="0" w:color="auto"/>
              <w:right w:val="single" w:sz="8" w:space="0" w:color="auto"/>
            </w:tcBorders>
            <w:shd w:val="clear" w:color="auto" w:fill="auto"/>
            <w:noWrap/>
            <w:hideMark/>
          </w:tcPr>
          <w:p w:rsidR="009C3D09" w:rsidRPr="009C2E26" w:rsidRDefault="009C3D09" w:rsidP="009C3D09">
            <w:pPr>
              <w:rPr>
                <w:rFonts w:ascii="Arial Narrow" w:hAnsi="Arial Narrow" w:cs="Arial"/>
                <w:color w:val="000000"/>
                <w:sz w:val="20"/>
              </w:rPr>
            </w:pPr>
            <w:r w:rsidRPr="009C2E26">
              <w:rPr>
                <w:rFonts w:ascii="Arial Narrow" w:hAnsi="Arial Narrow" w:cs="Arial"/>
                <w:color w:val="000000"/>
                <w:sz w:val="20"/>
              </w:rPr>
              <w:t>Total Resource Cost Test (PTRC) + Conservation Adder</w:t>
            </w:r>
          </w:p>
        </w:tc>
        <w:tc>
          <w:tcPr>
            <w:tcW w:w="1216"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$1,648,000 </w:t>
            </w:r>
          </w:p>
        </w:tc>
        <w:tc>
          <w:tcPr>
            <w:tcW w:w="1488"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$890,917 </w:t>
            </w:r>
          </w:p>
        </w:tc>
        <w:tc>
          <w:tcPr>
            <w:tcW w:w="1513"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($757,083)</w:t>
            </w:r>
          </w:p>
        </w:tc>
        <w:tc>
          <w:tcPr>
            <w:tcW w:w="1455"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0.54</w:t>
            </w:r>
          </w:p>
        </w:tc>
      </w:tr>
      <w:tr w:rsidR="009C3D09" w:rsidRPr="009C2E26" w:rsidTr="009C3D09">
        <w:trPr>
          <w:trHeight w:val="270"/>
          <w:jc w:val="center"/>
        </w:trPr>
        <w:tc>
          <w:tcPr>
            <w:tcW w:w="4420" w:type="dxa"/>
            <w:tcBorders>
              <w:top w:val="nil"/>
              <w:left w:val="single" w:sz="8" w:space="0" w:color="auto"/>
              <w:bottom w:val="single" w:sz="8" w:space="0" w:color="auto"/>
              <w:right w:val="single" w:sz="8" w:space="0" w:color="auto"/>
            </w:tcBorders>
            <w:shd w:val="clear" w:color="auto" w:fill="auto"/>
            <w:noWrap/>
            <w:hideMark/>
          </w:tcPr>
          <w:p w:rsidR="009C3D09" w:rsidRPr="009C2E26" w:rsidRDefault="009C3D09" w:rsidP="009C3D09">
            <w:pPr>
              <w:rPr>
                <w:rFonts w:ascii="Arial Narrow" w:hAnsi="Arial Narrow" w:cs="Arial"/>
                <w:color w:val="000000"/>
                <w:sz w:val="20"/>
              </w:rPr>
            </w:pPr>
            <w:r w:rsidRPr="009C2E26">
              <w:rPr>
                <w:rFonts w:ascii="Arial Narrow" w:hAnsi="Arial Narrow" w:cs="Arial"/>
                <w:color w:val="000000"/>
                <w:sz w:val="20"/>
              </w:rPr>
              <w:t>Total Resource Cost Test (TRC) No Adder</w:t>
            </w:r>
          </w:p>
        </w:tc>
        <w:tc>
          <w:tcPr>
            <w:tcW w:w="1216"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$1,648,000 </w:t>
            </w:r>
          </w:p>
        </w:tc>
        <w:tc>
          <w:tcPr>
            <w:tcW w:w="1488"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$809,924 </w:t>
            </w:r>
          </w:p>
        </w:tc>
        <w:tc>
          <w:tcPr>
            <w:tcW w:w="1513"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($838,076)</w:t>
            </w:r>
          </w:p>
        </w:tc>
        <w:tc>
          <w:tcPr>
            <w:tcW w:w="1455"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0.49</w:t>
            </w:r>
          </w:p>
        </w:tc>
      </w:tr>
      <w:tr w:rsidR="009C3D09" w:rsidRPr="009C2E26" w:rsidTr="009C3D09">
        <w:trPr>
          <w:trHeight w:val="270"/>
          <w:jc w:val="center"/>
        </w:trPr>
        <w:tc>
          <w:tcPr>
            <w:tcW w:w="4420" w:type="dxa"/>
            <w:tcBorders>
              <w:top w:val="nil"/>
              <w:left w:val="single" w:sz="8" w:space="0" w:color="auto"/>
              <w:bottom w:val="single" w:sz="8" w:space="0" w:color="auto"/>
              <w:right w:val="single" w:sz="8" w:space="0" w:color="auto"/>
            </w:tcBorders>
            <w:shd w:val="clear" w:color="auto" w:fill="auto"/>
            <w:noWrap/>
            <w:hideMark/>
          </w:tcPr>
          <w:p w:rsidR="009C3D09" w:rsidRPr="009C2E26" w:rsidRDefault="009C3D09" w:rsidP="009C3D09">
            <w:pPr>
              <w:rPr>
                <w:rFonts w:ascii="Arial Narrow" w:hAnsi="Arial Narrow" w:cs="Arial"/>
                <w:color w:val="000000"/>
                <w:sz w:val="20"/>
              </w:rPr>
            </w:pPr>
            <w:r w:rsidRPr="009C2E26">
              <w:rPr>
                <w:rFonts w:ascii="Arial Narrow" w:hAnsi="Arial Narrow" w:cs="Arial"/>
                <w:color w:val="000000"/>
                <w:sz w:val="20"/>
              </w:rPr>
              <w:t>Utility Cost Test (UCT)</w:t>
            </w:r>
          </w:p>
        </w:tc>
        <w:tc>
          <w:tcPr>
            <w:tcW w:w="1216"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$1,648,000 </w:t>
            </w:r>
          </w:p>
        </w:tc>
        <w:tc>
          <w:tcPr>
            <w:tcW w:w="1488"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$809,924 </w:t>
            </w:r>
          </w:p>
        </w:tc>
        <w:tc>
          <w:tcPr>
            <w:tcW w:w="1513"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($838,076)</w:t>
            </w:r>
          </w:p>
        </w:tc>
        <w:tc>
          <w:tcPr>
            <w:tcW w:w="1455"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0.49</w:t>
            </w:r>
          </w:p>
        </w:tc>
      </w:tr>
      <w:tr w:rsidR="009C3D09" w:rsidRPr="009C2E26" w:rsidTr="009C3D09">
        <w:trPr>
          <w:trHeight w:val="270"/>
          <w:jc w:val="center"/>
        </w:trPr>
        <w:tc>
          <w:tcPr>
            <w:tcW w:w="4420" w:type="dxa"/>
            <w:tcBorders>
              <w:top w:val="nil"/>
              <w:left w:val="single" w:sz="8" w:space="0" w:color="auto"/>
              <w:bottom w:val="single" w:sz="8" w:space="0" w:color="auto"/>
              <w:right w:val="single" w:sz="8" w:space="0" w:color="auto"/>
            </w:tcBorders>
            <w:shd w:val="clear" w:color="auto" w:fill="auto"/>
            <w:noWrap/>
            <w:hideMark/>
          </w:tcPr>
          <w:p w:rsidR="009C3D09" w:rsidRPr="009C2E26" w:rsidRDefault="009C3D09" w:rsidP="009C3D09">
            <w:pPr>
              <w:rPr>
                <w:rFonts w:ascii="Arial Narrow" w:hAnsi="Arial Narrow" w:cs="Arial"/>
                <w:color w:val="000000"/>
                <w:sz w:val="20"/>
              </w:rPr>
            </w:pPr>
            <w:r w:rsidRPr="009C2E26">
              <w:rPr>
                <w:rFonts w:ascii="Arial Narrow" w:hAnsi="Arial Narrow" w:cs="Arial"/>
                <w:color w:val="000000"/>
                <w:sz w:val="20"/>
              </w:rPr>
              <w:t>Rate Impact Test (RIM)</w:t>
            </w:r>
          </w:p>
        </w:tc>
        <w:tc>
          <w:tcPr>
            <w:tcW w:w="1216"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$2,279,226 </w:t>
            </w:r>
          </w:p>
        </w:tc>
        <w:tc>
          <w:tcPr>
            <w:tcW w:w="1488"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$809,924 </w:t>
            </w:r>
          </w:p>
        </w:tc>
        <w:tc>
          <w:tcPr>
            <w:tcW w:w="1513"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($1,469,302)</w:t>
            </w:r>
          </w:p>
        </w:tc>
        <w:tc>
          <w:tcPr>
            <w:tcW w:w="1455"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0.36</w:t>
            </w:r>
          </w:p>
        </w:tc>
      </w:tr>
      <w:tr w:rsidR="009C3D09" w:rsidRPr="009C2E26" w:rsidTr="009C3D09">
        <w:trPr>
          <w:trHeight w:val="270"/>
          <w:jc w:val="center"/>
        </w:trPr>
        <w:tc>
          <w:tcPr>
            <w:tcW w:w="4420" w:type="dxa"/>
            <w:tcBorders>
              <w:top w:val="nil"/>
              <w:left w:val="single" w:sz="8" w:space="0" w:color="auto"/>
              <w:bottom w:val="single" w:sz="8" w:space="0" w:color="auto"/>
              <w:right w:val="single" w:sz="8" w:space="0" w:color="auto"/>
            </w:tcBorders>
            <w:shd w:val="clear" w:color="auto" w:fill="auto"/>
            <w:noWrap/>
            <w:hideMark/>
          </w:tcPr>
          <w:p w:rsidR="009C3D09" w:rsidRPr="009C2E26" w:rsidRDefault="009C3D09" w:rsidP="009C3D09">
            <w:pPr>
              <w:rPr>
                <w:rFonts w:ascii="Arial Narrow" w:hAnsi="Arial Narrow" w:cs="Arial"/>
                <w:color w:val="000000"/>
                <w:sz w:val="20"/>
              </w:rPr>
            </w:pPr>
            <w:r w:rsidRPr="009C2E26">
              <w:rPr>
                <w:rFonts w:ascii="Arial Narrow" w:hAnsi="Arial Narrow" w:cs="Arial"/>
                <w:color w:val="000000"/>
                <w:sz w:val="20"/>
              </w:rPr>
              <w:t>Participant Cost Test (PCT)</w:t>
            </w:r>
          </w:p>
        </w:tc>
        <w:tc>
          <w:tcPr>
            <w:tcW w:w="1216"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$1,433,760 </w:t>
            </w:r>
          </w:p>
        </w:tc>
        <w:tc>
          <w:tcPr>
            <w:tcW w:w="1488"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$2,064,986 </w:t>
            </w:r>
          </w:p>
        </w:tc>
        <w:tc>
          <w:tcPr>
            <w:tcW w:w="1513"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 xml:space="preserve">$631,226 </w:t>
            </w:r>
          </w:p>
        </w:tc>
        <w:tc>
          <w:tcPr>
            <w:tcW w:w="1455" w:type="dxa"/>
            <w:tcBorders>
              <w:top w:val="nil"/>
              <w:left w:val="nil"/>
              <w:bottom w:val="single" w:sz="8" w:space="0" w:color="auto"/>
              <w:right w:val="single" w:sz="8" w:space="0" w:color="auto"/>
            </w:tcBorders>
            <w:shd w:val="clear" w:color="auto" w:fill="auto"/>
            <w:noWrap/>
            <w:hideMark/>
          </w:tcPr>
          <w:p w:rsidR="009C3D09" w:rsidRPr="009C2E26" w:rsidRDefault="009C3D09" w:rsidP="009C3D09">
            <w:pPr>
              <w:jc w:val="right"/>
              <w:rPr>
                <w:rFonts w:ascii="Arial Narrow" w:hAnsi="Arial Narrow" w:cs="Arial"/>
                <w:color w:val="000000"/>
                <w:sz w:val="20"/>
              </w:rPr>
            </w:pPr>
            <w:r w:rsidRPr="009C2E26">
              <w:rPr>
                <w:rFonts w:ascii="Arial Narrow" w:hAnsi="Arial Narrow" w:cs="Arial"/>
                <w:color w:val="000000"/>
                <w:sz w:val="20"/>
              </w:rPr>
              <w:t>1.44</w:t>
            </w:r>
          </w:p>
        </w:tc>
      </w:tr>
    </w:tbl>
    <w:p w:rsidR="009C3D09" w:rsidRPr="0073249B" w:rsidRDefault="009C3D09" w:rsidP="00000D9D">
      <w:pPr>
        <w:spacing w:before="120" w:after="120"/>
        <w:rPr>
          <w:rFonts w:ascii="Times New Roman" w:hAnsi="Times New Roman"/>
          <w:sz w:val="24"/>
          <w:szCs w:val="24"/>
        </w:rPr>
      </w:pPr>
      <w:r w:rsidRPr="0073249B">
        <w:rPr>
          <w:rFonts w:ascii="Times New Roman" w:hAnsi="Times New Roman"/>
          <w:sz w:val="24"/>
          <w:szCs w:val="24"/>
        </w:rPr>
        <w:t>However, these results do not incorporate the non-energy benefits that were analyzed in the 2006 program evaluation, including the Program’s impact on forced mobility, arrearages, and economic impacts. These benefits are presented in Table 5.</w:t>
      </w:r>
    </w:p>
    <w:p w:rsidR="009C3D09" w:rsidRPr="007F4D75" w:rsidRDefault="009C3D09" w:rsidP="009C3D09">
      <w:pPr>
        <w:pStyle w:val="Caption"/>
      </w:pPr>
      <w:bookmarkStart w:id="29" w:name="_Ref149722037"/>
      <w:r w:rsidRPr="007F4D75">
        <w:t>Table</w:t>
      </w:r>
      <w:bookmarkEnd w:id="29"/>
      <w:r w:rsidRPr="007F4D75">
        <w:t xml:space="preserve"> 5. Total Program Non-Energy Benefits</w:t>
      </w:r>
    </w:p>
    <w:tbl>
      <w:tblPr>
        <w:tblW w:w="5370" w:type="dxa"/>
        <w:jc w:val="center"/>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38"/>
        <w:gridCol w:w="1556"/>
        <w:gridCol w:w="1976"/>
      </w:tblGrid>
      <w:tr w:rsidR="009C3D09" w:rsidRPr="007F4D75" w:rsidTr="009C3D09">
        <w:trPr>
          <w:jc w:val="center"/>
        </w:trPr>
        <w:tc>
          <w:tcPr>
            <w:tcW w:w="1838" w:type="dxa"/>
            <w:tcBorders>
              <w:top w:val="single" w:sz="12" w:space="0" w:color="auto"/>
              <w:bottom w:val="single" w:sz="6" w:space="0" w:color="auto"/>
            </w:tcBorders>
            <w:shd w:val="solid" w:color="339966" w:fill="008000"/>
          </w:tcPr>
          <w:p w:rsidR="009C3D09" w:rsidRPr="007F4D75" w:rsidRDefault="009C3D09" w:rsidP="009C3D09">
            <w:pPr>
              <w:pStyle w:val="tabletext"/>
              <w:keepNext/>
              <w:keepLines/>
              <w:jc w:val="center"/>
              <w:rPr>
                <w:b/>
                <w:bCs/>
                <w:color w:val="FFFFFF"/>
              </w:rPr>
            </w:pPr>
            <w:r w:rsidRPr="007F4D75">
              <w:rPr>
                <w:b/>
                <w:bCs/>
                <w:color w:val="FFFFFF"/>
              </w:rPr>
              <w:t>Non-Energy Benefit</w:t>
            </w:r>
          </w:p>
        </w:tc>
        <w:tc>
          <w:tcPr>
            <w:tcW w:w="1556" w:type="dxa"/>
            <w:tcBorders>
              <w:top w:val="single" w:sz="12" w:space="0" w:color="auto"/>
              <w:bottom w:val="single" w:sz="6" w:space="0" w:color="auto"/>
            </w:tcBorders>
            <w:shd w:val="solid" w:color="339966" w:fill="008000"/>
          </w:tcPr>
          <w:p w:rsidR="009C3D09" w:rsidRPr="007F4D75" w:rsidRDefault="009C3D09" w:rsidP="009C3D09">
            <w:pPr>
              <w:pStyle w:val="tabletext"/>
              <w:keepNext/>
              <w:keepLines/>
              <w:jc w:val="center"/>
              <w:rPr>
                <w:b/>
                <w:bCs/>
                <w:color w:val="FFFFFF"/>
              </w:rPr>
            </w:pPr>
            <w:r w:rsidRPr="007F4D75">
              <w:rPr>
                <w:b/>
                <w:bCs/>
                <w:color w:val="FFFFFF"/>
              </w:rPr>
              <w:t>Program Impact</w:t>
            </w:r>
          </w:p>
        </w:tc>
        <w:tc>
          <w:tcPr>
            <w:tcW w:w="1976" w:type="dxa"/>
            <w:tcBorders>
              <w:top w:val="single" w:sz="12" w:space="0" w:color="auto"/>
              <w:bottom w:val="single" w:sz="6" w:space="0" w:color="auto"/>
            </w:tcBorders>
            <w:shd w:val="solid" w:color="339966" w:fill="008000"/>
          </w:tcPr>
          <w:p w:rsidR="009C3D09" w:rsidRPr="007F4D75" w:rsidRDefault="009C3D09" w:rsidP="009C3D09">
            <w:pPr>
              <w:pStyle w:val="tabletext"/>
              <w:keepNext/>
              <w:keepLines/>
              <w:jc w:val="center"/>
              <w:rPr>
                <w:b/>
                <w:bCs/>
                <w:color w:val="FFFFFF"/>
              </w:rPr>
            </w:pPr>
            <w:r w:rsidRPr="007F4D75">
              <w:rPr>
                <w:b/>
                <w:bCs/>
                <w:color w:val="FFFFFF"/>
              </w:rPr>
              <w:t>Perspective Adjusted</w:t>
            </w:r>
          </w:p>
        </w:tc>
      </w:tr>
      <w:tr w:rsidR="009C3D09" w:rsidRPr="007F4D75" w:rsidTr="009C3D09">
        <w:trPr>
          <w:trHeight w:val="69"/>
          <w:jc w:val="center"/>
        </w:trPr>
        <w:tc>
          <w:tcPr>
            <w:tcW w:w="1838" w:type="dxa"/>
            <w:tcBorders>
              <w:top w:val="single" w:sz="6" w:space="0" w:color="auto"/>
              <w:bottom w:val="single" w:sz="6" w:space="0" w:color="auto"/>
            </w:tcBorders>
          </w:tcPr>
          <w:p w:rsidR="009C3D09" w:rsidRPr="007F4D75" w:rsidRDefault="009C3D09" w:rsidP="009C3D09">
            <w:pPr>
              <w:pStyle w:val="tabletext"/>
              <w:jc w:val="right"/>
            </w:pPr>
            <w:r w:rsidRPr="007F4D75">
              <w:t>Mobility</w:t>
            </w:r>
          </w:p>
        </w:tc>
        <w:tc>
          <w:tcPr>
            <w:tcW w:w="1556" w:type="dxa"/>
            <w:tcBorders>
              <w:top w:val="single" w:sz="6" w:space="0" w:color="auto"/>
              <w:bottom w:val="single" w:sz="6" w:space="0" w:color="auto"/>
            </w:tcBorders>
            <w:shd w:val="clear" w:color="auto" w:fill="auto"/>
          </w:tcPr>
          <w:p w:rsidR="009C3D09" w:rsidRPr="007F4D75" w:rsidRDefault="009C3D09" w:rsidP="009C3D09">
            <w:pPr>
              <w:pStyle w:val="tabletext"/>
              <w:jc w:val="right"/>
            </w:pPr>
            <w:r w:rsidRPr="007F4D75">
              <w:t>$</w:t>
            </w:r>
            <w:r>
              <w:t>39,783</w:t>
            </w:r>
          </w:p>
        </w:tc>
        <w:tc>
          <w:tcPr>
            <w:tcW w:w="1976" w:type="dxa"/>
            <w:tcBorders>
              <w:top w:val="single" w:sz="6" w:space="0" w:color="auto"/>
              <w:bottom w:val="single" w:sz="6" w:space="0" w:color="auto"/>
            </w:tcBorders>
            <w:shd w:val="clear" w:color="auto" w:fill="auto"/>
          </w:tcPr>
          <w:p w:rsidR="009C3D09" w:rsidRPr="007F4D75" w:rsidRDefault="009C3D09" w:rsidP="009C3D09">
            <w:pPr>
              <w:pStyle w:val="tabletext"/>
              <w:jc w:val="right"/>
            </w:pPr>
            <w:r w:rsidRPr="007F4D75">
              <w:t>TRC</w:t>
            </w:r>
          </w:p>
        </w:tc>
      </w:tr>
      <w:tr w:rsidR="009C3D09" w:rsidRPr="007F4D75" w:rsidTr="009C3D09">
        <w:trPr>
          <w:trHeight w:val="69"/>
          <w:jc w:val="center"/>
        </w:trPr>
        <w:tc>
          <w:tcPr>
            <w:tcW w:w="1838" w:type="dxa"/>
            <w:tcBorders>
              <w:top w:val="single" w:sz="6" w:space="0" w:color="auto"/>
              <w:bottom w:val="single" w:sz="6" w:space="0" w:color="auto"/>
            </w:tcBorders>
          </w:tcPr>
          <w:p w:rsidR="009C3D09" w:rsidRPr="007F4D75" w:rsidRDefault="009C3D09" w:rsidP="009C3D09">
            <w:pPr>
              <w:pStyle w:val="tabletext"/>
              <w:jc w:val="right"/>
            </w:pPr>
            <w:r w:rsidRPr="007F4D75">
              <w:t>Arrearage</w:t>
            </w:r>
          </w:p>
        </w:tc>
        <w:tc>
          <w:tcPr>
            <w:tcW w:w="1556" w:type="dxa"/>
            <w:tcBorders>
              <w:top w:val="single" w:sz="6" w:space="0" w:color="auto"/>
              <w:bottom w:val="single" w:sz="6" w:space="0" w:color="auto"/>
            </w:tcBorders>
            <w:shd w:val="clear" w:color="auto" w:fill="auto"/>
          </w:tcPr>
          <w:p w:rsidR="009C3D09" w:rsidRPr="007F4D75" w:rsidRDefault="009C3D09" w:rsidP="009C3D09">
            <w:pPr>
              <w:pStyle w:val="tabletext"/>
              <w:jc w:val="right"/>
            </w:pPr>
            <w:r w:rsidRPr="007F4D75">
              <w:t>$</w:t>
            </w:r>
            <w:r>
              <w:t>18,187</w:t>
            </w:r>
          </w:p>
        </w:tc>
        <w:tc>
          <w:tcPr>
            <w:tcW w:w="1976" w:type="dxa"/>
            <w:tcBorders>
              <w:top w:val="single" w:sz="6" w:space="0" w:color="auto"/>
              <w:bottom w:val="single" w:sz="6" w:space="0" w:color="auto"/>
            </w:tcBorders>
            <w:shd w:val="clear" w:color="auto" w:fill="auto"/>
          </w:tcPr>
          <w:p w:rsidR="009C3D09" w:rsidRPr="007F4D75" w:rsidRDefault="009C3D09" w:rsidP="009C3D09">
            <w:pPr>
              <w:pStyle w:val="tabletext"/>
              <w:jc w:val="right"/>
            </w:pPr>
            <w:r w:rsidRPr="007F4D75">
              <w:t>UCT, RIM, TRC</w:t>
            </w:r>
          </w:p>
        </w:tc>
      </w:tr>
      <w:tr w:rsidR="009C3D09" w:rsidRPr="007F4D75" w:rsidTr="009C3D09">
        <w:trPr>
          <w:trHeight w:val="69"/>
          <w:jc w:val="center"/>
        </w:trPr>
        <w:tc>
          <w:tcPr>
            <w:tcW w:w="1838" w:type="dxa"/>
            <w:tcBorders>
              <w:top w:val="single" w:sz="6" w:space="0" w:color="auto"/>
              <w:bottom w:val="single" w:sz="6" w:space="0" w:color="auto"/>
            </w:tcBorders>
          </w:tcPr>
          <w:p w:rsidR="009C3D09" w:rsidRPr="007F4D75" w:rsidRDefault="009C3D09" w:rsidP="009C3D09">
            <w:pPr>
              <w:pStyle w:val="tabletext"/>
              <w:jc w:val="right"/>
            </w:pPr>
            <w:r w:rsidRPr="007F4D75">
              <w:t>Economic</w:t>
            </w:r>
          </w:p>
        </w:tc>
        <w:tc>
          <w:tcPr>
            <w:tcW w:w="1556" w:type="dxa"/>
            <w:tcBorders>
              <w:top w:val="single" w:sz="6" w:space="0" w:color="auto"/>
              <w:bottom w:val="single" w:sz="6" w:space="0" w:color="auto"/>
            </w:tcBorders>
            <w:shd w:val="clear" w:color="auto" w:fill="auto"/>
          </w:tcPr>
          <w:p w:rsidR="009C3D09" w:rsidRPr="007F4D75" w:rsidRDefault="009C3D09" w:rsidP="009C3D09">
            <w:pPr>
              <w:pStyle w:val="tabletext"/>
              <w:jc w:val="right"/>
            </w:pPr>
            <w:r w:rsidRPr="007F4D75">
              <w:t>$</w:t>
            </w:r>
            <w:r>
              <w:t>311,630</w:t>
            </w:r>
          </w:p>
        </w:tc>
        <w:tc>
          <w:tcPr>
            <w:tcW w:w="1976" w:type="dxa"/>
            <w:tcBorders>
              <w:top w:val="single" w:sz="6" w:space="0" w:color="auto"/>
              <w:bottom w:val="single" w:sz="6" w:space="0" w:color="auto"/>
            </w:tcBorders>
            <w:shd w:val="clear" w:color="auto" w:fill="auto"/>
          </w:tcPr>
          <w:p w:rsidR="009C3D09" w:rsidRPr="007F4D75" w:rsidRDefault="009C3D09" w:rsidP="009C3D09">
            <w:pPr>
              <w:pStyle w:val="tabletext"/>
              <w:jc w:val="right"/>
            </w:pPr>
            <w:r w:rsidRPr="007F4D75">
              <w:t>TRC</w:t>
            </w:r>
          </w:p>
        </w:tc>
      </w:tr>
      <w:tr w:rsidR="009C3D09" w:rsidRPr="007F4D75" w:rsidTr="009C3D09">
        <w:trPr>
          <w:trHeight w:val="69"/>
          <w:jc w:val="center"/>
        </w:trPr>
        <w:tc>
          <w:tcPr>
            <w:tcW w:w="1838" w:type="dxa"/>
            <w:tcBorders>
              <w:top w:val="single" w:sz="6" w:space="0" w:color="auto"/>
            </w:tcBorders>
          </w:tcPr>
          <w:p w:rsidR="009C3D09" w:rsidRPr="007F4D75" w:rsidRDefault="009C3D09" w:rsidP="009C3D09">
            <w:pPr>
              <w:pStyle w:val="tabletext"/>
              <w:jc w:val="right"/>
              <w:rPr>
                <w:b/>
              </w:rPr>
            </w:pPr>
            <w:r w:rsidRPr="007F4D75">
              <w:rPr>
                <w:b/>
              </w:rPr>
              <w:t>Total</w:t>
            </w:r>
          </w:p>
        </w:tc>
        <w:tc>
          <w:tcPr>
            <w:tcW w:w="1556" w:type="dxa"/>
            <w:tcBorders>
              <w:top w:val="single" w:sz="6" w:space="0" w:color="auto"/>
            </w:tcBorders>
            <w:shd w:val="clear" w:color="auto" w:fill="auto"/>
          </w:tcPr>
          <w:p w:rsidR="009C3D09" w:rsidRPr="007F4D75" w:rsidRDefault="009C3D09" w:rsidP="009C3D09">
            <w:pPr>
              <w:pStyle w:val="tabletext"/>
              <w:jc w:val="right"/>
              <w:rPr>
                <w:b/>
              </w:rPr>
            </w:pPr>
            <w:r w:rsidRPr="007F4D75">
              <w:rPr>
                <w:b/>
              </w:rPr>
              <w:t>$</w:t>
            </w:r>
            <w:r>
              <w:rPr>
                <w:b/>
              </w:rPr>
              <w:t>369,599</w:t>
            </w:r>
          </w:p>
        </w:tc>
        <w:tc>
          <w:tcPr>
            <w:tcW w:w="1976" w:type="dxa"/>
            <w:tcBorders>
              <w:top w:val="single" w:sz="6" w:space="0" w:color="auto"/>
            </w:tcBorders>
            <w:shd w:val="clear" w:color="auto" w:fill="auto"/>
          </w:tcPr>
          <w:p w:rsidR="009C3D09" w:rsidRPr="007F4D75" w:rsidRDefault="009C3D09" w:rsidP="009C3D09">
            <w:pPr>
              <w:pStyle w:val="tabletext"/>
              <w:jc w:val="right"/>
              <w:rPr>
                <w:b/>
              </w:rPr>
            </w:pPr>
          </w:p>
        </w:tc>
      </w:tr>
    </w:tbl>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These non-energy benefits are included in the cost-effectiveness results provided in the table below.</w:t>
      </w:r>
    </w:p>
    <w:p w:rsidR="009C3D09" w:rsidRPr="009C2E26" w:rsidRDefault="009C3D09" w:rsidP="009C3D09">
      <w:pPr>
        <w:pStyle w:val="tabletitle"/>
        <w:keepNext w:val="0"/>
        <w:widowControl w:val="0"/>
        <w:rPr>
          <w:highlight w:val="yellow"/>
        </w:rPr>
      </w:pPr>
      <w:r>
        <w:t xml:space="preserve">Table 6: Low Income Weatherization Cost-Effectiveness </w:t>
      </w:r>
      <w:r w:rsidRPr="006602E9">
        <w:t>with Non Energy Benefits</w:t>
      </w:r>
    </w:p>
    <w:tbl>
      <w:tblPr>
        <w:tblW w:w="10092" w:type="dxa"/>
        <w:jc w:val="center"/>
        <w:tblInd w:w="98" w:type="dxa"/>
        <w:tblLook w:val="04A0"/>
      </w:tblPr>
      <w:tblGrid>
        <w:gridCol w:w="4148"/>
        <w:gridCol w:w="1488"/>
        <w:gridCol w:w="1488"/>
        <w:gridCol w:w="1513"/>
        <w:gridCol w:w="1455"/>
      </w:tblGrid>
      <w:tr w:rsidR="009C3D09" w:rsidRPr="006602E9" w:rsidTr="009C3D09">
        <w:trPr>
          <w:trHeight w:val="270"/>
          <w:jc w:val="center"/>
        </w:trPr>
        <w:tc>
          <w:tcPr>
            <w:tcW w:w="4148" w:type="dxa"/>
            <w:tcBorders>
              <w:top w:val="single" w:sz="8" w:space="0" w:color="auto"/>
              <w:left w:val="single" w:sz="8" w:space="0" w:color="auto"/>
              <w:bottom w:val="nil"/>
              <w:right w:val="nil"/>
            </w:tcBorders>
            <w:shd w:val="clear" w:color="000000" w:fill="339966"/>
            <w:noWrap/>
            <w:hideMark/>
          </w:tcPr>
          <w:p w:rsidR="009C3D09" w:rsidRPr="006602E9" w:rsidRDefault="009C3D09" w:rsidP="009C3D09">
            <w:pPr>
              <w:rPr>
                <w:rFonts w:ascii="Arial Narrow" w:hAnsi="Arial Narrow" w:cs="Arial"/>
                <w:b/>
                <w:bCs/>
                <w:color w:val="FFFFFF"/>
                <w:sz w:val="20"/>
              </w:rPr>
            </w:pPr>
          </w:p>
        </w:tc>
        <w:tc>
          <w:tcPr>
            <w:tcW w:w="1488" w:type="dxa"/>
            <w:tcBorders>
              <w:top w:val="single" w:sz="8" w:space="0" w:color="auto"/>
              <w:left w:val="nil"/>
              <w:bottom w:val="nil"/>
              <w:right w:val="nil"/>
            </w:tcBorders>
            <w:shd w:val="clear" w:color="000000" w:fill="339966"/>
            <w:noWrap/>
            <w:hideMark/>
          </w:tcPr>
          <w:p w:rsidR="009C3D09" w:rsidRPr="006602E9" w:rsidRDefault="009C3D09" w:rsidP="009C3D09">
            <w:pPr>
              <w:rPr>
                <w:rFonts w:ascii="Arial Narrow" w:hAnsi="Arial Narrow" w:cs="Arial"/>
                <w:b/>
                <w:bCs/>
                <w:color w:val="FFFFFF"/>
                <w:sz w:val="20"/>
              </w:rPr>
            </w:pPr>
            <w:r w:rsidRPr="006602E9">
              <w:rPr>
                <w:rFonts w:ascii="Arial Narrow" w:hAnsi="Arial Narrow" w:cs="Arial"/>
                <w:b/>
                <w:bCs/>
                <w:color w:val="FFFFFF"/>
                <w:sz w:val="20"/>
              </w:rPr>
              <w:t> </w:t>
            </w:r>
          </w:p>
        </w:tc>
        <w:tc>
          <w:tcPr>
            <w:tcW w:w="1488" w:type="dxa"/>
            <w:tcBorders>
              <w:top w:val="single" w:sz="8" w:space="0" w:color="auto"/>
              <w:left w:val="nil"/>
              <w:bottom w:val="nil"/>
              <w:right w:val="nil"/>
            </w:tcBorders>
            <w:shd w:val="clear" w:color="000000" w:fill="339966"/>
            <w:noWrap/>
            <w:hideMark/>
          </w:tcPr>
          <w:p w:rsidR="009C3D09" w:rsidRPr="006602E9" w:rsidRDefault="009C3D09" w:rsidP="009C3D09">
            <w:pPr>
              <w:rPr>
                <w:rFonts w:ascii="Arial Narrow" w:hAnsi="Arial Narrow" w:cs="Arial"/>
                <w:b/>
                <w:bCs/>
                <w:color w:val="FFFFFF"/>
                <w:sz w:val="20"/>
              </w:rPr>
            </w:pPr>
            <w:r w:rsidRPr="006602E9">
              <w:rPr>
                <w:rFonts w:ascii="Arial Narrow" w:hAnsi="Arial Narrow" w:cs="Arial"/>
                <w:b/>
                <w:bCs/>
                <w:color w:val="FFFFFF"/>
                <w:sz w:val="20"/>
              </w:rPr>
              <w:t> </w:t>
            </w:r>
          </w:p>
        </w:tc>
        <w:tc>
          <w:tcPr>
            <w:tcW w:w="2968" w:type="dxa"/>
            <w:gridSpan w:val="2"/>
            <w:tcBorders>
              <w:top w:val="single" w:sz="8" w:space="0" w:color="auto"/>
              <w:left w:val="single" w:sz="8" w:space="0" w:color="auto"/>
              <w:bottom w:val="nil"/>
              <w:right w:val="single" w:sz="8" w:space="0" w:color="000000"/>
            </w:tcBorders>
            <w:shd w:val="clear" w:color="000000" w:fill="339966"/>
            <w:noWrap/>
            <w:hideMark/>
          </w:tcPr>
          <w:p w:rsidR="009C3D09" w:rsidRPr="006602E9" w:rsidRDefault="009C3D09" w:rsidP="009C3D09">
            <w:pPr>
              <w:rPr>
                <w:rFonts w:ascii="Arial Narrow" w:hAnsi="Arial Narrow" w:cs="Arial"/>
                <w:b/>
                <w:bCs/>
                <w:color w:val="FFFFFF"/>
                <w:sz w:val="20"/>
              </w:rPr>
            </w:pPr>
            <w:r w:rsidRPr="006602E9">
              <w:rPr>
                <w:rFonts w:ascii="Arial Narrow" w:hAnsi="Arial Narrow" w:cs="Arial"/>
                <w:b/>
                <w:bCs/>
                <w:color w:val="FFFFFF"/>
                <w:sz w:val="20"/>
              </w:rPr>
              <w:t>West Res Whole House 49%</w:t>
            </w:r>
          </w:p>
        </w:tc>
      </w:tr>
      <w:tr w:rsidR="009C3D09" w:rsidRPr="006602E9" w:rsidTr="009C3D09">
        <w:trPr>
          <w:trHeight w:val="255"/>
          <w:jc w:val="center"/>
        </w:trPr>
        <w:tc>
          <w:tcPr>
            <w:tcW w:w="4148"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9C3D09" w:rsidRPr="006602E9" w:rsidRDefault="009C3D09" w:rsidP="009C3D09">
            <w:pPr>
              <w:rPr>
                <w:rFonts w:ascii="Arial Narrow" w:hAnsi="Arial Narrow" w:cs="Arial"/>
                <w:color w:val="FFFFFF"/>
                <w:sz w:val="20"/>
              </w:rPr>
            </w:pPr>
            <w:r w:rsidRPr="006602E9">
              <w:rPr>
                <w:rFonts w:ascii="Arial Narrow" w:hAnsi="Arial Narrow" w:cs="Arial"/>
                <w:color w:val="FFFFFF"/>
                <w:sz w:val="20"/>
              </w:rPr>
              <w:t> </w:t>
            </w:r>
          </w:p>
        </w:tc>
        <w:tc>
          <w:tcPr>
            <w:tcW w:w="148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Costs</w:t>
            </w:r>
          </w:p>
        </w:tc>
        <w:tc>
          <w:tcPr>
            <w:tcW w:w="148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Benefits</w:t>
            </w:r>
          </w:p>
        </w:tc>
        <w:tc>
          <w:tcPr>
            <w:tcW w:w="1513"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Net Benefits</w:t>
            </w:r>
          </w:p>
        </w:tc>
        <w:tc>
          <w:tcPr>
            <w:tcW w:w="1455" w:type="dxa"/>
            <w:tcBorders>
              <w:top w:val="single" w:sz="8" w:space="0" w:color="auto"/>
              <w:left w:val="nil"/>
              <w:bottom w:val="nil"/>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Benefit/Cost</w:t>
            </w:r>
          </w:p>
        </w:tc>
      </w:tr>
      <w:tr w:rsidR="009C3D09" w:rsidRPr="006602E9" w:rsidTr="009C3D09">
        <w:trPr>
          <w:trHeight w:val="270"/>
          <w:jc w:val="center"/>
        </w:trPr>
        <w:tc>
          <w:tcPr>
            <w:tcW w:w="4148" w:type="dxa"/>
            <w:vMerge/>
            <w:tcBorders>
              <w:top w:val="single" w:sz="8" w:space="0" w:color="auto"/>
              <w:left w:val="single" w:sz="8" w:space="0" w:color="auto"/>
              <w:bottom w:val="single" w:sz="8" w:space="0" w:color="000000"/>
              <w:right w:val="single" w:sz="8" w:space="0" w:color="auto"/>
            </w:tcBorders>
            <w:vAlign w:val="center"/>
            <w:hideMark/>
          </w:tcPr>
          <w:p w:rsidR="009C3D09" w:rsidRPr="006602E9" w:rsidRDefault="009C3D09" w:rsidP="009C3D09">
            <w:pPr>
              <w:rPr>
                <w:rFonts w:ascii="Arial Narrow" w:hAnsi="Arial Narrow" w:cs="Arial"/>
                <w:color w:val="FFFFFF"/>
                <w:sz w:val="20"/>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455" w:type="dxa"/>
            <w:tcBorders>
              <w:top w:val="nil"/>
              <w:left w:val="nil"/>
              <w:bottom w:val="single" w:sz="8" w:space="0" w:color="auto"/>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Ratio</w:t>
            </w:r>
          </w:p>
        </w:tc>
      </w:tr>
      <w:tr w:rsidR="009C3D09" w:rsidRPr="006602E9" w:rsidTr="009C3D09">
        <w:trPr>
          <w:trHeight w:val="270"/>
          <w:jc w:val="center"/>
        </w:trPr>
        <w:tc>
          <w:tcPr>
            <w:tcW w:w="4148" w:type="dxa"/>
            <w:tcBorders>
              <w:top w:val="nil"/>
              <w:left w:val="single" w:sz="8" w:space="0" w:color="auto"/>
              <w:bottom w:val="single" w:sz="8" w:space="0" w:color="auto"/>
              <w:right w:val="single" w:sz="8" w:space="0" w:color="auto"/>
            </w:tcBorders>
            <w:shd w:val="clear" w:color="auto" w:fill="auto"/>
            <w:noWrap/>
            <w:hideMark/>
          </w:tcPr>
          <w:p w:rsidR="009C3D09" w:rsidRPr="006602E9" w:rsidRDefault="009C3D09" w:rsidP="009C3D09">
            <w:pPr>
              <w:rPr>
                <w:rFonts w:ascii="Arial Narrow" w:hAnsi="Arial Narrow" w:cs="Arial"/>
                <w:color w:val="000000"/>
                <w:sz w:val="20"/>
              </w:rPr>
            </w:pPr>
            <w:r w:rsidRPr="006602E9">
              <w:rPr>
                <w:rFonts w:ascii="Arial Narrow" w:hAnsi="Arial Narrow" w:cs="Arial"/>
                <w:color w:val="000000"/>
                <w:sz w:val="20"/>
              </w:rPr>
              <w:t>Total Resource Cost Test (PTRC) + Conservation Adder</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$1,648,000 </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$1,260,516 </w:t>
            </w:r>
          </w:p>
        </w:tc>
        <w:tc>
          <w:tcPr>
            <w:tcW w:w="1513"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($387,484)</w:t>
            </w:r>
          </w:p>
        </w:tc>
        <w:tc>
          <w:tcPr>
            <w:tcW w:w="1455"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0.76</w:t>
            </w:r>
          </w:p>
        </w:tc>
      </w:tr>
      <w:tr w:rsidR="009C3D09" w:rsidRPr="006602E9" w:rsidTr="009C3D09">
        <w:trPr>
          <w:trHeight w:val="270"/>
          <w:jc w:val="center"/>
        </w:trPr>
        <w:tc>
          <w:tcPr>
            <w:tcW w:w="4148" w:type="dxa"/>
            <w:tcBorders>
              <w:top w:val="nil"/>
              <w:left w:val="single" w:sz="8" w:space="0" w:color="auto"/>
              <w:bottom w:val="single" w:sz="8" w:space="0" w:color="auto"/>
              <w:right w:val="single" w:sz="8" w:space="0" w:color="auto"/>
            </w:tcBorders>
            <w:shd w:val="clear" w:color="auto" w:fill="auto"/>
            <w:noWrap/>
            <w:hideMark/>
          </w:tcPr>
          <w:p w:rsidR="009C3D09" w:rsidRPr="006602E9" w:rsidRDefault="009C3D09" w:rsidP="009C3D09">
            <w:pPr>
              <w:rPr>
                <w:rFonts w:ascii="Arial Narrow" w:hAnsi="Arial Narrow" w:cs="Arial"/>
                <w:color w:val="000000"/>
                <w:sz w:val="20"/>
              </w:rPr>
            </w:pPr>
            <w:r w:rsidRPr="006602E9">
              <w:rPr>
                <w:rFonts w:ascii="Arial Narrow" w:hAnsi="Arial Narrow" w:cs="Arial"/>
                <w:color w:val="000000"/>
                <w:sz w:val="20"/>
              </w:rPr>
              <w:t>Total Resource Cost Test (TRC) No Adder</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$1,648,000 </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$1,179,523 </w:t>
            </w:r>
          </w:p>
        </w:tc>
        <w:tc>
          <w:tcPr>
            <w:tcW w:w="1513"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($468,477)</w:t>
            </w:r>
          </w:p>
        </w:tc>
        <w:tc>
          <w:tcPr>
            <w:tcW w:w="1455"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0.72</w:t>
            </w:r>
          </w:p>
        </w:tc>
      </w:tr>
      <w:tr w:rsidR="009C3D09" w:rsidRPr="006602E9" w:rsidTr="009C3D09">
        <w:trPr>
          <w:trHeight w:val="270"/>
          <w:jc w:val="center"/>
        </w:trPr>
        <w:tc>
          <w:tcPr>
            <w:tcW w:w="4148" w:type="dxa"/>
            <w:tcBorders>
              <w:top w:val="nil"/>
              <w:left w:val="single" w:sz="8" w:space="0" w:color="auto"/>
              <w:bottom w:val="single" w:sz="8" w:space="0" w:color="auto"/>
              <w:right w:val="single" w:sz="8" w:space="0" w:color="auto"/>
            </w:tcBorders>
            <w:shd w:val="clear" w:color="auto" w:fill="auto"/>
            <w:noWrap/>
            <w:hideMark/>
          </w:tcPr>
          <w:p w:rsidR="009C3D09" w:rsidRPr="006602E9" w:rsidRDefault="009C3D09" w:rsidP="009C3D09">
            <w:pPr>
              <w:rPr>
                <w:rFonts w:ascii="Arial Narrow" w:hAnsi="Arial Narrow" w:cs="Arial"/>
                <w:color w:val="000000"/>
                <w:sz w:val="20"/>
              </w:rPr>
            </w:pPr>
            <w:r w:rsidRPr="006602E9">
              <w:rPr>
                <w:rFonts w:ascii="Arial Narrow" w:hAnsi="Arial Narrow" w:cs="Arial"/>
                <w:color w:val="000000"/>
                <w:sz w:val="20"/>
              </w:rPr>
              <w:t>Utility Cost Test (UCT)</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$1,648,000 </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$828,111 </w:t>
            </w:r>
          </w:p>
        </w:tc>
        <w:tc>
          <w:tcPr>
            <w:tcW w:w="1513"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($819,889)</w:t>
            </w:r>
          </w:p>
        </w:tc>
        <w:tc>
          <w:tcPr>
            <w:tcW w:w="1455"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0.50</w:t>
            </w:r>
          </w:p>
        </w:tc>
      </w:tr>
      <w:tr w:rsidR="009C3D09" w:rsidRPr="006602E9" w:rsidTr="009C3D09">
        <w:trPr>
          <w:trHeight w:val="270"/>
          <w:jc w:val="center"/>
        </w:trPr>
        <w:tc>
          <w:tcPr>
            <w:tcW w:w="4148" w:type="dxa"/>
            <w:tcBorders>
              <w:top w:val="nil"/>
              <w:left w:val="single" w:sz="8" w:space="0" w:color="auto"/>
              <w:bottom w:val="single" w:sz="8" w:space="0" w:color="auto"/>
              <w:right w:val="single" w:sz="8" w:space="0" w:color="auto"/>
            </w:tcBorders>
            <w:shd w:val="clear" w:color="auto" w:fill="auto"/>
            <w:noWrap/>
            <w:hideMark/>
          </w:tcPr>
          <w:p w:rsidR="009C3D09" w:rsidRPr="006602E9" w:rsidRDefault="009C3D09" w:rsidP="009C3D09">
            <w:pPr>
              <w:rPr>
                <w:rFonts w:ascii="Arial Narrow" w:hAnsi="Arial Narrow" w:cs="Arial"/>
                <w:color w:val="000000"/>
                <w:sz w:val="20"/>
              </w:rPr>
            </w:pPr>
            <w:r w:rsidRPr="006602E9">
              <w:rPr>
                <w:rFonts w:ascii="Arial Narrow" w:hAnsi="Arial Narrow" w:cs="Arial"/>
                <w:color w:val="000000"/>
                <w:sz w:val="20"/>
              </w:rPr>
              <w:t>Rate Impact Test (RIM)</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$2,279,226 </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$828,111 </w:t>
            </w:r>
          </w:p>
        </w:tc>
        <w:tc>
          <w:tcPr>
            <w:tcW w:w="1513"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($1,451,116)</w:t>
            </w:r>
          </w:p>
        </w:tc>
        <w:tc>
          <w:tcPr>
            <w:tcW w:w="1455"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0.36</w:t>
            </w:r>
          </w:p>
        </w:tc>
      </w:tr>
      <w:tr w:rsidR="009C3D09" w:rsidRPr="006602E9" w:rsidTr="009C3D09">
        <w:trPr>
          <w:trHeight w:val="270"/>
          <w:jc w:val="center"/>
        </w:trPr>
        <w:tc>
          <w:tcPr>
            <w:tcW w:w="4148" w:type="dxa"/>
            <w:tcBorders>
              <w:top w:val="nil"/>
              <w:left w:val="single" w:sz="8" w:space="0" w:color="auto"/>
              <w:bottom w:val="single" w:sz="8" w:space="0" w:color="auto"/>
              <w:right w:val="single" w:sz="8" w:space="0" w:color="auto"/>
            </w:tcBorders>
            <w:shd w:val="clear" w:color="auto" w:fill="auto"/>
            <w:noWrap/>
            <w:hideMark/>
          </w:tcPr>
          <w:p w:rsidR="009C3D09" w:rsidRPr="006602E9" w:rsidRDefault="009C3D09" w:rsidP="009C3D09">
            <w:pPr>
              <w:rPr>
                <w:rFonts w:ascii="Arial Narrow" w:hAnsi="Arial Narrow" w:cs="Arial"/>
                <w:color w:val="000000"/>
                <w:sz w:val="20"/>
              </w:rPr>
            </w:pPr>
            <w:r w:rsidRPr="006602E9">
              <w:rPr>
                <w:rFonts w:ascii="Arial Narrow" w:hAnsi="Arial Narrow" w:cs="Arial"/>
                <w:color w:val="000000"/>
                <w:sz w:val="20"/>
              </w:rPr>
              <w:t>Participant Cost Test (PCT)</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$1,433,760 </w:t>
            </w:r>
          </w:p>
        </w:tc>
        <w:tc>
          <w:tcPr>
            <w:tcW w:w="1488"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$2,064,986 </w:t>
            </w:r>
          </w:p>
        </w:tc>
        <w:tc>
          <w:tcPr>
            <w:tcW w:w="1513"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 xml:space="preserve">$631,226 </w:t>
            </w:r>
          </w:p>
        </w:tc>
        <w:tc>
          <w:tcPr>
            <w:tcW w:w="1455" w:type="dxa"/>
            <w:tcBorders>
              <w:top w:val="nil"/>
              <w:left w:val="nil"/>
              <w:bottom w:val="single" w:sz="8" w:space="0" w:color="auto"/>
              <w:right w:val="single" w:sz="8" w:space="0" w:color="auto"/>
            </w:tcBorders>
            <w:shd w:val="clear" w:color="auto" w:fill="auto"/>
            <w:noWrap/>
            <w:hideMark/>
          </w:tcPr>
          <w:p w:rsidR="009C3D09" w:rsidRPr="006602E9" w:rsidRDefault="009C3D09" w:rsidP="009C3D09">
            <w:pPr>
              <w:jc w:val="right"/>
              <w:rPr>
                <w:rFonts w:ascii="Arial Narrow" w:hAnsi="Arial Narrow" w:cs="Arial"/>
                <w:color w:val="000000"/>
                <w:sz w:val="20"/>
              </w:rPr>
            </w:pPr>
            <w:r w:rsidRPr="006602E9">
              <w:rPr>
                <w:rFonts w:ascii="Arial Narrow" w:hAnsi="Arial Narrow" w:cs="Arial"/>
                <w:color w:val="000000"/>
                <w:sz w:val="20"/>
              </w:rPr>
              <w:t>1.44</w:t>
            </w:r>
          </w:p>
        </w:tc>
      </w:tr>
    </w:tbl>
    <w:p w:rsidR="009C3D09" w:rsidRDefault="009C3D09" w:rsidP="009C3D09">
      <w:pPr>
        <w:spacing w:after="200" w:line="276" w:lineRule="auto"/>
      </w:pPr>
      <w:r>
        <w:br w:type="page"/>
      </w:r>
    </w:p>
    <w:p w:rsidR="009C3D09" w:rsidRDefault="009C3D09" w:rsidP="009C3D09">
      <w:pPr>
        <w:pStyle w:val="memoaddress"/>
      </w:pPr>
      <w:r>
        <w:t xml:space="preserve">Date: </w:t>
      </w:r>
      <w:r>
        <w:tab/>
        <w:t>January 27, 2012</w:t>
      </w:r>
    </w:p>
    <w:p w:rsidR="009C3D09" w:rsidRDefault="009C3D09" w:rsidP="009C3D09">
      <w:pPr>
        <w:pStyle w:val="memoaddress"/>
        <w:ind w:left="1350" w:hanging="1350"/>
      </w:pPr>
      <w:r>
        <w:t>To:</w:t>
      </w:r>
      <w:r>
        <w:tab/>
        <w:t>Don Jones, Jr.</w:t>
      </w:r>
    </w:p>
    <w:p w:rsidR="009C3D09" w:rsidRDefault="009C3D09" w:rsidP="009C3D09">
      <w:pPr>
        <w:pStyle w:val="memoaddress"/>
      </w:pPr>
      <w:r>
        <w:t>From:</w:t>
      </w:r>
      <w:r>
        <w:tab/>
        <w:t>Aaron Jenniges and Niko Drake-McLaughlin</w:t>
      </w:r>
    </w:p>
    <w:p w:rsidR="009C3D09" w:rsidRPr="00B84FE3" w:rsidRDefault="009C3D09" w:rsidP="009C3D09">
      <w:pPr>
        <w:pStyle w:val="memoaddress"/>
        <w:ind w:left="1350" w:hanging="1350"/>
        <w:rPr>
          <w:bCs/>
        </w:rPr>
      </w:pPr>
      <w:r>
        <w:t>Re:</w:t>
      </w:r>
      <w:r>
        <w:tab/>
      </w:r>
      <w:r>
        <w:rPr>
          <w:bCs/>
        </w:rPr>
        <w:t>Washington See-Ya-Later Refrigerator 2012-2013 Program Cost-Effectiveness</w:t>
      </w:r>
    </w:p>
    <w:p w:rsidR="009C3D09" w:rsidRDefault="009C3D09" w:rsidP="009C3D09">
      <w:pPr>
        <w:pBdr>
          <w:bottom w:val="single" w:sz="4" w:space="1" w:color="auto"/>
        </w:pBdr>
      </w:pP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tables below present the cost-effectiveness findings of the Washington See-Ya-Later Refrigerator program based on 2012-13 costs and gross savings estimates provided by PacifiCorp in a spreadsheet entitled “Copy of CE inputs for Table 1 business plan 011312”. The analysis assumed a discount rate of 7.17%, based on the 2011 PacifiCorp Integrated Resource Plan.</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Cost-effectiveness was tested using the IRP 49% west residential whole house load factor decrement. Table 1 lists modeling inputs.</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program is cost-effective from the TRC, UCT and PCT perspectives. The benefit/cost ratio for the RIM test is less than 1, indicating the program will have an upward influence on rates.</w:t>
      </w:r>
    </w:p>
    <w:p w:rsidR="009C3D09" w:rsidRDefault="009C3D09" w:rsidP="009C3D09">
      <w:pPr>
        <w:pStyle w:val="tabletitle"/>
      </w:pPr>
      <w:r>
        <w:t>Table 1: See-Ya-Later Inputs</w:t>
      </w:r>
    </w:p>
    <w:tbl>
      <w:tblPr>
        <w:tblW w:w="0" w:type="auto"/>
        <w:jc w:val="center"/>
        <w:tblInd w:w="2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20"/>
        <w:gridCol w:w="1563"/>
      </w:tblGrid>
      <w:tr w:rsidR="009C3D09" w:rsidTr="009C3D09">
        <w:trPr>
          <w:jc w:val="center"/>
        </w:trPr>
        <w:tc>
          <w:tcPr>
            <w:tcW w:w="3420"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Parameter</w:t>
            </w:r>
          </w:p>
        </w:tc>
        <w:tc>
          <w:tcPr>
            <w:tcW w:w="1563"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Value</w:t>
            </w:r>
          </w:p>
        </w:tc>
      </w:tr>
      <w:tr w:rsidR="009C3D09" w:rsidTr="009C3D09">
        <w:trPr>
          <w:trHeight w:val="135"/>
          <w:jc w:val="center"/>
        </w:trPr>
        <w:tc>
          <w:tcPr>
            <w:tcW w:w="3420" w:type="dxa"/>
          </w:tcPr>
          <w:p w:rsidR="009C3D09" w:rsidRDefault="009C3D09" w:rsidP="009C3D09">
            <w:pPr>
              <w:pStyle w:val="tabletext"/>
            </w:pPr>
            <w:r>
              <w:t xml:space="preserve">Discount Rate </w:t>
            </w:r>
          </w:p>
        </w:tc>
        <w:tc>
          <w:tcPr>
            <w:tcW w:w="1563" w:type="dxa"/>
            <w:shd w:val="clear" w:color="auto" w:fill="auto"/>
          </w:tcPr>
          <w:p w:rsidR="009C3D09" w:rsidRDefault="009C3D09" w:rsidP="009C3D09">
            <w:pPr>
              <w:pStyle w:val="tabletext"/>
              <w:jc w:val="center"/>
            </w:pPr>
            <w:r>
              <w:t>7.17%</w:t>
            </w:r>
          </w:p>
        </w:tc>
      </w:tr>
      <w:tr w:rsidR="009C3D09" w:rsidTr="009C3D09">
        <w:trPr>
          <w:trHeight w:val="135"/>
          <w:jc w:val="center"/>
        </w:trPr>
        <w:tc>
          <w:tcPr>
            <w:tcW w:w="3420" w:type="dxa"/>
          </w:tcPr>
          <w:p w:rsidR="009C3D09" w:rsidRDefault="009C3D09" w:rsidP="009C3D09">
            <w:pPr>
              <w:pStyle w:val="tabletext"/>
            </w:pPr>
            <w:r>
              <w:t>Line Loss</w:t>
            </w:r>
          </w:p>
        </w:tc>
        <w:tc>
          <w:tcPr>
            <w:tcW w:w="1563" w:type="dxa"/>
            <w:shd w:val="clear" w:color="auto" w:fill="auto"/>
          </w:tcPr>
          <w:p w:rsidR="009C3D09" w:rsidRDefault="009C3D09" w:rsidP="009C3D09">
            <w:pPr>
              <w:pStyle w:val="tabletext"/>
              <w:jc w:val="center"/>
            </w:pPr>
            <w:r>
              <w:t>8.87%</w:t>
            </w:r>
          </w:p>
        </w:tc>
      </w:tr>
      <w:tr w:rsidR="009C3D09" w:rsidTr="009C3D09">
        <w:trPr>
          <w:cantSplit/>
          <w:trHeight w:val="90"/>
          <w:jc w:val="center"/>
        </w:trPr>
        <w:tc>
          <w:tcPr>
            <w:tcW w:w="3420" w:type="dxa"/>
          </w:tcPr>
          <w:p w:rsidR="009C3D09" w:rsidRDefault="009C3D09" w:rsidP="009C3D09">
            <w:pPr>
              <w:pStyle w:val="tabletext"/>
            </w:pPr>
            <w:r>
              <w:t xml:space="preserve">Residential Energy Rate ($/kWh) </w:t>
            </w:r>
            <w:r>
              <w:br/>
              <w:t>(base year 2010)</w:t>
            </w:r>
          </w:p>
        </w:tc>
        <w:tc>
          <w:tcPr>
            <w:tcW w:w="1563" w:type="dxa"/>
            <w:shd w:val="clear" w:color="auto" w:fill="auto"/>
          </w:tcPr>
          <w:p w:rsidR="009C3D09" w:rsidRDefault="009C3D09" w:rsidP="009C3D09">
            <w:pPr>
              <w:pStyle w:val="tabletext"/>
              <w:jc w:val="center"/>
            </w:pPr>
            <w:r>
              <w:t>$0.0767</w:t>
            </w:r>
          </w:p>
        </w:tc>
      </w:tr>
      <w:tr w:rsidR="009C3D09" w:rsidTr="009C3D09">
        <w:trPr>
          <w:cantSplit/>
          <w:trHeight w:val="90"/>
          <w:jc w:val="center"/>
        </w:trPr>
        <w:tc>
          <w:tcPr>
            <w:tcW w:w="3420" w:type="dxa"/>
          </w:tcPr>
          <w:p w:rsidR="009C3D09" w:rsidRDefault="009C3D09" w:rsidP="009C3D09">
            <w:pPr>
              <w:pStyle w:val="tabletext"/>
            </w:pPr>
            <w:r>
              <w:t>Inflation Rate</w:t>
            </w:r>
            <w:r>
              <w:rPr>
                <w:rStyle w:val="FootnoteReference"/>
              </w:rPr>
              <w:footnoteReference w:id="7"/>
            </w:r>
          </w:p>
        </w:tc>
        <w:tc>
          <w:tcPr>
            <w:tcW w:w="1563" w:type="dxa"/>
            <w:shd w:val="clear" w:color="auto" w:fill="auto"/>
            <w:vAlign w:val="center"/>
          </w:tcPr>
          <w:p w:rsidR="009C3D09" w:rsidRDefault="009C3D09" w:rsidP="009C3D09">
            <w:pPr>
              <w:pStyle w:val="tabletext"/>
              <w:jc w:val="center"/>
            </w:pPr>
            <w:r>
              <w:t>1.8%</w:t>
            </w:r>
          </w:p>
        </w:tc>
      </w:tr>
    </w:tbl>
    <w:p w:rsidR="009C3D09" w:rsidRDefault="009C3D09" w:rsidP="009C3D09">
      <w:pPr>
        <w:pStyle w:val="tabletitle"/>
        <w:keepLines/>
      </w:pPr>
      <w:r w:rsidRPr="007D7085">
        <w:t>Table 2: See-</w:t>
      </w:r>
      <w:proofErr w:type="spellStart"/>
      <w:r w:rsidRPr="007D7085">
        <w:t>Ya</w:t>
      </w:r>
      <w:proofErr w:type="spellEnd"/>
      <w:r w:rsidRPr="007D7085">
        <w:t>-Later</w:t>
      </w:r>
      <w:r w:rsidRPr="007D7085">
        <w:br/>
      </w:r>
      <w:r>
        <w:t>Program Costs</w:t>
      </w:r>
    </w:p>
    <w:tbl>
      <w:tblPr>
        <w:tblW w:w="5204" w:type="dxa"/>
        <w:jc w:val="center"/>
        <w:tblInd w:w="93" w:type="dxa"/>
        <w:tblLook w:val="04A0"/>
      </w:tblPr>
      <w:tblGrid>
        <w:gridCol w:w="864"/>
        <w:gridCol w:w="1073"/>
        <w:gridCol w:w="1019"/>
        <w:gridCol w:w="945"/>
        <w:gridCol w:w="1303"/>
      </w:tblGrid>
      <w:tr w:rsidR="009C3D09" w:rsidRPr="004C32A2" w:rsidTr="009C3D09">
        <w:trPr>
          <w:trHeight w:val="840"/>
          <w:jc w:val="center"/>
        </w:trPr>
        <w:tc>
          <w:tcPr>
            <w:tcW w:w="934" w:type="dxa"/>
            <w:tcBorders>
              <w:top w:val="single" w:sz="12" w:space="0" w:color="auto"/>
              <w:left w:val="single" w:sz="12" w:space="0" w:color="auto"/>
              <w:bottom w:val="single" w:sz="8" w:space="0" w:color="auto"/>
              <w:right w:val="single" w:sz="8" w:space="0" w:color="auto"/>
            </w:tcBorders>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 </w:t>
            </w:r>
          </w:p>
        </w:tc>
        <w:tc>
          <w:tcPr>
            <w:tcW w:w="950" w:type="dxa"/>
            <w:tcBorders>
              <w:top w:val="single" w:sz="12" w:space="0" w:color="auto"/>
              <w:left w:val="nil"/>
              <w:bottom w:val="single" w:sz="8" w:space="0" w:color="auto"/>
              <w:right w:val="single" w:sz="8" w:space="0" w:color="auto"/>
            </w:tcBorders>
            <w:shd w:val="clear" w:color="000000" w:fill="339966"/>
            <w:hideMark/>
          </w:tcPr>
          <w:p w:rsidR="009C3D09" w:rsidRPr="004C32A2" w:rsidRDefault="009C3D09" w:rsidP="009C3D09">
            <w:pPr>
              <w:jc w:val="center"/>
              <w:rPr>
                <w:rFonts w:ascii="Arial Narrow" w:hAnsi="Arial Narrow" w:cs="Arial"/>
                <w:b/>
                <w:bCs/>
                <w:color w:val="FFFFFF"/>
                <w:sz w:val="20"/>
              </w:rPr>
            </w:pPr>
            <w:r>
              <w:rPr>
                <w:rFonts w:ascii="Arial Narrow" w:hAnsi="Arial Narrow" w:cs="Arial"/>
                <w:b/>
                <w:bCs/>
                <w:color w:val="FFFFFF"/>
                <w:sz w:val="20"/>
              </w:rPr>
              <w:t>Program Expenses (Non-Incentives)</w:t>
            </w:r>
          </w:p>
        </w:tc>
        <w:tc>
          <w:tcPr>
            <w:tcW w:w="1019" w:type="dxa"/>
            <w:tcBorders>
              <w:top w:val="single" w:sz="12" w:space="0" w:color="auto"/>
              <w:left w:val="nil"/>
              <w:bottom w:val="single" w:sz="8" w:space="0" w:color="auto"/>
              <w:right w:val="single" w:sz="8" w:space="0" w:color="auto"/>
            </w:tcBorders>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Incentives</w:t>
            </w:r>
          </w:p>
        </w:tc>
        <w:tc>
          <w:tcPr>
            <w:tcW w:w="956" w:type="dxa"/>
            <w:tcBorders>
              <w:top w:val="single" w:sz="12" w:space="0" w:color="auto"/>
              <w:left w:val="nil"/>
              <w:bottom w:val="single" w:sz="8" w:space="0" w:color="auto"/>
              <w:right w:val="single" w:sz="8" w:space="0" w:color="auto"/>
            </w:tcBorders>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Total Utility Costs</w:t>
            </w:r>
          </w:p>
        </w:tc>
        <w:tc>
          <w:tcPr>
            <w:tcW w:w="1345" w:type="dxa"/>
            <w:tcBorders>
              <w:top w:val="single" w:sz="12" w:space="0" w:color="auto"/>
              <w:left w:val="nil"/>
              <w:bottom w:val="single" w:sz="8" w:space="0" w:color="auto"/>
              <w:right w:val="single" w:sz="12" w:space="0" w:color="auto"/>
            </w:tcBorders>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Net Participant Incremental Cost</w:t>
            </w:r>
          </w:p>
        </w:tc>
      </w:tr>
      <w:tr w:rsidR="009C3D09" w:rsidRPr="004C32A2" w:rsidTr="009C3D09">
        <w:trPr>
          <w:trHeight w:val="270"/>
          <w:jc w:val="center"/>
        </w:trPr>
        <w:tc>
          <w:tcPr>
            <w:tcW w:w="934" w:type="dxa"/>
            <w:tcBorders>
              <w:top w:val="nil"/>
              <w:left w:val="single" w:sz="12" w:space="0" w:color="auto"/>
              <w:bottom w:val="single" w:sz="12" w:space="0" w:color="auto"/>
              <w:right w:val="single" w:sz="8" w:space="0" w:color="auto"/>
            </w:tcBorders>
            <w:shd w:val="clear" w:color="auto" w:fill="auto"/>
            <w:hideMark/>
          </w:tcPr>
          <w:p w:rsidR="009C3D09" w:rsidRPr="004C32A2" w:rsidRDefault="009C3D09" w:rsidP="009C3D09">
            <w:pPr>
              <w:rPr>
                <w:rFonts w:ascii="Arial Narrow" w:hAnsi="Arial Narrow" w:cs="Arial"/>
                <w:sz w:val="20"/>
              </w:rPr>
            </w:pPr>
            <w:r w:rsidRPr="004C32A2">
              <w:rPr>
                <w:rFonts w:ascii="Arial Narrow" w:hAnsi="Arial Narrow" w:cs="Arial"/>
                <w:sz w:val="20"/>
              </w:rPr>
              <w:t>Total</w:t>
            </w:r>
          </w:p>
        </w:tc>
        <w:tc>
          <w:tcPr>
            <w:tcW w:w="950" w:type="dxa"/>
            <w:tcBorders>
              <w:top w:val="nil"/>
              <w:left w:val="nil"/>
              <w:bottom w:val="single" w:sz="12" w:space="0" w:color="auto"/>
              <w:right w:val="single" w:sz="8" w:space="0" w:color="auto"/>
            </w:tcBorders>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w:t>
            </w:r>
            <w:r>
              <w:rPr>
                <w:rFonts w:ascii="Arial Narrow" w:hAnsi="Arial Narrow" w:cs="Arial"/>
                <w:sz w:val="20"/>
              </w:rPr>
              <w:t>480,000</w:t>
            </w:r>
            <w:r w:rsidRPr="004C32A2">
              <w:rPr>
                <w:rFonts w:ascii="Arial Narrow" w:hAnsi="Arial Narrow" w:cs="Arial"/>
                <w:sz w:val="20"/>
              </w:rPr>
              <w:t xml:space="preserve"> </w:t>
            </w:r>
          </w:p>
        </w:tc>
        <w:tc>
          <w:tcPr>
            <w:tcW w:w="1019" w:type="dxa"/>
            <w:tcBorders>
              <w:top w:val="nil"/>
              <w:left w:val="nil"/>
              <w:bottom w:val="single" w:sz="12" w:space="0" w:color="auto"/>
              <w:right w:val="single" w:sz="8" w:space="0" w:color="auto"/>
            </w:tcBorders>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 xml:space="preserve">$120,000 </w:t>
            </w:r>
          </w:p>
        </w:tc>
        <w:tc>
          <w:tcPr>
            <w:tcW w:w="956" w:type="dxa"/>
            <w:tcBorders>
              <w:top w:val="nil"/>
              <w:left w:val="nil"/>
              <w:bottom w:val="single" w:sz="12" w:space="0" w:color="auto"/>
              <w:right w:val="single" w:sz="8" w:space="0" w:color="auto"/>
            </w:tcBorders>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 xml:space="preserve">$600,000 </w:t>
            </w:r>
          </w:p>
        </w:tc>
        <w:tc>
          <w:tcPr>
            <w:tcW w:w="1345" w:type="dxa"/>
            <w:tcBorders>
              <w:top w:val="nil"/>
              <w:left w:val="nil"/>
              <w:bottom w:val="single" w:sz="12" w:space="0" w:color="auto"/>
              <w:right w:val="single" w:sz="12" w:space="0" w:color="auto"/>
            </w:tcBorders>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 xml:space="preserve">$120,000 </w:t>
            </w:r>
          </w:p>
        </w:tc>
      </w:tr>
    </w:tbl>
    <w:p w:rsidR="00000D9D" w:rsidRDefault="00000D9D" w:rsidP="009C3D09">
      <w:pPr>
        <w:pStyle w:val="tabletitle"/>
        <w:keepLines/>
      </w:pPr>
    </w:p>
    <w:p w:rsidR="009C3D09" w:rsidRDefault="009C3D09" w:rsidP="009C3D09">
      <w:pPr>
        <w:pStyle w:val="tabletitle"/>
        <w:keepLines/>
      </w:pPr>
      <w:r w:rsidRPr="004C32A2">
        <w:t>Table 3: See-Ya-Later</w:t>
      </w:r>
      <w:r>
        <w:t xml:space="preserve"> </w:t>
      </w:r>
      <w:r w:rsidRPr="004C32A2">
        <w:t>Savings by Measure Type</w:t>
      </w:r>
    </w:p>
    <w:tbl>
      <w:tblPr>
        <w:tblW w:w="413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164"/>
        <w:gridCol w:w="946"/>
        <w:gridCol w:w="1082"/>
        <w:gridCol w:w="946"/>
      </w:tblGrid>
      <w:tr w:rsidR="009C3D09" w:rsidRPr="004C32A2" w:rsidTr="009C3D09">
        <w:trPr>
          <w:trHeight w:val="840"/>
          <w:jc w:val="center"/>
        </w:trPr>
        <w:tc>
          <w:tcPr>
            <w:tcW w:w="1164" w:type="dxa"/>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 </w:t>
            </w:r>
          </w:p>
        </w:tc>
        <w:tc>
          <w:tcPr>
            <w:tcW w:w="946" w:type="dxa"/>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Gross kWh Savings</w:t>
            </w:r>
          </w:p>
        </w:tc>
        <w:tc>
          <w:tcPr>
            <w:tcW w:w="1082" w:type="dxa"/>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Realization Rate</w:t>
            </w:r>
          </w:p>
        </w:tc>
        <w:tc>
          <w:tcPr>
            <w:tcW w:w="946" w:type="dxa"/>
            <w:shd w:val="clear" w:color="000000" w:fill="339966"/>
            <w:hideMark/>
          </w:tcPr>
          <w:p w:rsidR="009C3D09" w:rsidRPr="004C32A2" w:rsidRDefault="009C3D09" w:rsidP="009C3D09">
            <w:pPr>
              <w:jc w:val="center"/>
              <w:rPr>
                <w:rFonts w:ascii="Arial Narrow" w:hAnsi="Arial Narrow" w:cs="Arial"/>
                <w:b/>
                <w:bCs/>
                <w:color w:val="FFFFFF"/>
                <w:sz w:val="20"/>
              </w:rPr>
            </w:pPr>
            <w:r w:rsidRPr="004C32A2">
              <w:rPr>
                <w:rFonts w:ascii="Arial Narrow" w:hAnsi="Arial Narrow" w:cs="Arial"/>
                <w:b/>
                <w:bCs/>
                <w:color w:val="FFFFFF"/>
                <w:sz w:val="20"/>
              </w:rPr>
              <w:t>Adjusted Gross Savings</w:t>
            </w:r>
          </w:p>
        </w:tc>
      </w:tr>
      <w:tr w:rsidR="009C3D09" w:rsidRPr="004C32A2" w:rsidTr="009C3D09">
        <w:trPr>
          <w:trHeight w:val="270"/>
          <w:jc w:val="center"/>
        </w:trPr>
        <w:tc>
          <w:tcPr>
            <w:tcW w:w="1164" w:type="dxa"/>
            <w:shd w:val="clear" w:color="auto" w:fill="auto"/>
            <w:hideMark/>
          </w:tcPr>
          <w:p w:rsidR="009C3D09" w:rsidRPr="004C32A2" w:rsidRDefault="009C3D09" w:rsidP="009C3D09">
            <w:pPr>
              <w:rPr>
                <w:rFonts w:ascii="Arial Narrow" w:hAnsi="Arial Narrow" w:cs="Arial"/>
                <w:sz w:val="20"/>
              </w:rPr>
            </w:pPr>
            <w:r w:rsidRPr="004C32A2">
              <w:rPr>
                <w:rFonts w:ascii="Arial Narrow" w:hAnsi="Arial Narrow" w:cs="Arial"/>
                <w:sz w:val="20"/>
              </w:rPr>
              <w:t>Refrigerators</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2,371,440</w:t>
            </w:r>
          </w:p>
        </w:tc>
        <w:tc>
          <w:tcPr>
            <w:tcW w:w="1082"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100%</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2,371,440</w:t>
            </w:r>
          </w:p>
        </w:tc>
      </w:tr>
      <w:tr w:rsidR="009C3D09" w:rsidRPr="004C32A2" w:rsidTr="009C3D09">
        <w:trPr>
          <w:trHeight w:val="285"/>
          <w:jc w:val="center"/>
        </w:trPr>
        <w:tc>
          <w:tcPr>
            <w:tcW w:w="1164" w:type="dxa"/>
            <w:shd w:val="clear" w:color="auto" w:fill="auto"/>
            <w:hideMark/>
          </w:tcPr>
          <w:p w:rsidR="009C3D09" w:rsidRPr="004C32A2" w:rsidRDefault="009C3D09" w:rsidP="009C3D09">
            <w:pPr>
              <w:rPr>
                <w:rFonts w:ascii="Arial Narrow" w:hAnsi="Arial Narrow" w:cs="Arial"/>
                <w:sz w:val="20"/>
              </w:rPr>
            </w:pPr>
            <w:r w:rsidRPr="004C32A2">
              <w:rPr>
                <w:rFonts w:ascii="Arial Narrow" w:hAnsi="Arial Narrow" w:cs="Arial"/>
                <w:sz w:val="20"/>
              </w:rPr>
              <w:t>Freezers</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390,240</w:t>
            </w:r>
          </w:p>
        </w:tc>
        <w:tc>
          <w:tcPr>
            <w:tcW w:w="1082"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100%</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390,240</w:t>
            </w:r>
          </w:p>
        </w:tc>
      </w:tr>
      <w:tr w:rsidR="009C3D09" w:rsidRPr="004C32A2" w:rsidTr="009C3D09">
        <w:trPr>
          <w:trHeight w:val="270"/>
          <w:jc w:val="center"/>
        </w:trPr>
        <w:tc>
          <w:tcPr>
            <w:tcW w:w="1164" w:type="dxa"/>
            <w:shd w:val="clear" w:color="auto" w:fill="auto"/>
            <w:hideMark/>
          </w:tcPr>
          <w:p w:rsidR="009C3D09" w:rsidRPr="004C32A2" w:rsidRDefault="009C3D09" w:rsidP="009C3D09">
            <w:pPr>
              <w:rPr>
                <w:rFonts w:ascii="Arial Narrow" w:hAnsi="Arial Narrow" w:cs="Arial"/>
                <w:sz w:val="20"/>
              </w:rPr>
            </w:pPr>
            <w:r w:rsidRPr="004C32A2">
              <w:rPr>
                <w:rFonts w:ascii="Arial Narrow" w:hAnsi="Arial Narrow" w:cs="Arial"/>
                <w:sz w:val="20"/>
              </w:rPr>
              <w:t>Kits</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85,100</w:t>
            </w:r>
          </w:p>
        </w:tc>
        <w:tc>
          <w:tcPr>
            <w:tcW w:w="1082"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100%</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85,100</w:t>
            </w:r>
          </w:p>
        </w:tc>
      </w:tr>
      <w:tr w:rsidR="009C3D09" w:rsidRPr="004C32A2" w:rsidTr="009C3D09">
        <w:trPr>
          <w:trHeight w:val="270"/>
          <w:jc w:val="center"/>
        </w:trPr>
        <w:tc>
          <w:tcPr>
            <w:tcW w:w="1164" w:type="dxa"/>
            <w:shd w:val="clear" w:color="auto" w:fill="auto"/>
            <w:hideMark/>
          </w:tcPr>
          <w:p w:rsidR="009C3D09" w:rsidRPr="004C32A2" w:rsidRDefault="009C3D09" w:rsidP="009C3D09">
            <w:pPr>
              <w:rPr>
                <w:rFonts w:ascii="Arial Narrow" w:hAnsi="Arial Narrow" w:cs="Arial"/>
                <w:sz w:val="20"/>
              </w:rPr>
            </w:pPr>
            <w:r w:rsidRPr="004C32A2">
              <w:rPr>
                <w:rFonts w:ascii="Arial Narrow" w:hAnsi="Arial Narrow" w:cs="Arial"/>
                <w:sz w:val="20"/>
              </w:rPr>
              <w:t>Total</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2,846,780</w:t>
            </w:r>
          </w:p>
        </w:tc>
        <w:tc>
          <w:tcPr>
            <w:tcW w:w="1082"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 </w:t>
            </w:r>
          </w:p>
        </w:tc>
        <w:tc>
          <w:tcPr>
            <w:tcW w:w="946" w:type="dxa"/>
            <w:shd w:val="clear" w:color="auto" w:fill="auto"/>
            <w:hideMark/>
          </w:tcPr>
          <w:p w:rsidR="009C3D09" w:rsidRPr="004C32A2" w:rsidRDefault="009C3D09" w:rsidP="009C3D09">
            <w:pPr>
              <w:jc w:val="right"/>
              <w:rPr>
                <w:rFonts w:ascii="Arial Narrow" w:hAnsi="Arial Narrow" w:cs="Arial"/>
                <w:sz w:val="20"/>
              </w:rPr>
            </w:pPr>
            <w:r w:rsidRPr="004C32A2">
              <w:rPr>
                <w:rFonts w:ascii="Arial Narrow" w:hAnsi="Arial Narrow" w:cs="Arial"/>
                <w:sz w:val="20"/>
              </w:rPr>
              <w:t>2,846,780</w:t>
            </w:r>
          </w:p>
        </w:tc>
      </w:tr>
    </w:tbl>
    <w:p w:rsidR="009C3D09" w:rsidRDefault="009C3D09" w:rsidP="009C3D09">
      <w:pPr>
        <w:pStyle w:val="tabletitle"/>
        <w:widowControl w:val="0"/>
        <w:jc w:val="left"/>
      </w:pPr>
    </w:p>
    <w:p w:rsidR="009C3D09" w:rsidRDefault="009C3D09" w:rsidP="009C3D09">
      <w:pPr>
        <w:pStyle w:val="tabletitle"/>
        <w:keepNext w:val="0"/>
        <w:widowControl w:val="0"/>
      </w:pPr>
      <w:r>
        <w:t>Table 4: See-Ya-Later Cost-Effectiveness, All Years, Entire Program</w:t>
      </w:r>
    </w:p>
    <w:tbl>
      <w:tblPr>
        <w:tblW w:w="8502" w:type="dxa"/>
        <w:jc w:val="center"/>
        <w:tblInd w:w="98" w:type="dxa"/>
        <w:tblLook w:val="04A0"/>
      </w:tblPr>
      <w:tblGrid>
        <w:gridCol w:w="4118"/>
        <w:gridCol w:w="1037"/>
        <w:gridCol w:w="1037"/>
        <w:gridCol w:w="1224"/>
        <w:gridCol w:w="1224"/>
      </w:tblGrid>
      <w:tr w:rsidR="009C3D09" w:rsidRPr="004C32A2" w:rsidTr="009C3D09">
        <w:trPr>
          <w:trHeight w:val="270"/>
          <w:jc w:val="center"/>
        </w:trPr>
        <w:tc>
          <w:tcPr>
            <w:tcW w:w="4118" w:type="dxa"/>
            <w:tcBorders>
              <w:top w:val="single" w:sz="8" w:space="0" w:color="auto"/>
              <w:left w:val="single" w:sz="8" w:space="0" w:color="auto"/>
              <w:bottom w:val="nil"/>
              <w:right w:val="nil"/>
            </w:tcBorders>
            <w:shd w:val="clear" w:color="000000" w:fill="339966"/>
            <w:noWrap/>
            <w:hideMark/>
          </w:tcPr>
          <w:p w:rsidR="009C3D09" w:rsidRPr="004C32A2" w:rsidRDefault="009C3D09" w:rsidP="009C3D09">
            <w:pPr>
              <w:rPr>
                <w:rFonts w:ascii="Arial Narrow" w:hAnsi="Arial Narrow" w:cs="Arial"/>
                <w:b/>
                <w:bCs/>
                <w:color w:val="FFFFFF"/>
                <w:sz w:val="20"/>
              </w:rPr>
            </w:pPr>
            <w:r w:rsidRPr="004C32A2">
              <w:rPr>
                <w:rFonts w:ascii="Arial Narrow" w:hAnsi="Arial Narrow" w:cs="Arial"/>
                <w:b/>
                <w:bCs/>
                <w:color w:val="FFFFFF"/>
                <w:sz w:val="20"/>
              </w:rPr>
              <w:t> </w:t>
            </w:r>
          </w:p>
        </w:tc>
        <w:tc>
          <w:tcPr>
            <w:tcW w:w="968" w:type="dxa"/>
            <w:tcBorders>
              <w:top w:val="single" w:sz="8" w:space="0" w:color="auto"/>
              <w:left w:val="nil"/>
              <w:bottom w:val="nil"/>
              <w:right w:val="nil"/>
            </w:tcBorders>
            <w:shd w:val="clear" w:color="000000" w:fill="339966"/>
            <w:noWrap/>
            <w:hideMark/>
          </w:tcPr>
          <w:p w:rsidR="009C3D09" w:rsidRPr="004C32A2" w:rsidRDefault="009C3D09" w:rsidP="009C3D09">
            <w:pPr>
              <w:rPr>
                <w:rFonts w:ascii="Arial Narrow" w:hAnsi="Arial Narrow" w:cs="Arial"/>
                <w:b/>
                <w:bCs/>
                <w:color w:val="FFFFFF"/>
                <w:sz w:val="20"/>
              </w:rPr>
            </w:pPr>
            <w:r w:rsidRPr="004C32A2">
              <w:rPr>
                <w:rFonts w:ascii="Arial Narrow" w:hAnsi="Arial Narrow" w:cs="Arial"/>
                <w:b/>
                <w:bCs/>
                <w:color w:val="FFFFFF"/>
                <w:sz w:val="20"/>
              </w:rPr>
              <w:t> </w:t>
            </w:r>
          </w:p>
        </w:tc>
        <w:tc>
          <w:tcPr>
            <w:tcW w:w="968" w:type="dxa"/>
            <w:tcBorders>
              <w:top w:val="single" w:sz="8" w:space="0" w:color="auto"/>
              <w:left w:val="nil"/>
              <w:bottom w:val="nil"/>
              <w:right w:val="nil"/>
            </w:tcBorders>
            <w:shd w:val="clear" w:color="000000" w:fill="339966"/>
            <w:noWrap/>
            <w:hideMark/>
          </w:tcPr>
          <w:p w:rsidR="009C3D09" w:rsidRPr="004C32A2" w:rsidRDefault="009C3D09" w:rsidP="009C3D09">
            <w:pPr>
              <w:rPr>
                <w:rFonts w:ascii="Arial Narrow" w:hAnsi="Arial Narrow" w:cs="Arial"/>
                <w:b/>
                <w:bCs/>
                <w:color w:val="FFFFFF"/>
                <w:sz w:val="20"/>
              </w:rPr>
            </w:pPr>
            <w:r w:rsidRPr="004C32A2">
              <w:rPr>
                <w:rFonts w:ascii="Arial Narrow" w:hAnsi="Arial Narrow" w:cs="Arial"/>
                <w:b/>
                <w:bCs/>
                <w:color w:val="FFFFFF"/>
                <w:sz w:val="20"/>
              </w:rPr>
              <w:t> </w:t>
            </w:r>
          </w:p>
        </w:tc>
        <w:tc>
          <w:tcPr>
            <w:tcW w:w="2448" w:type="dxa"/>
            <w:gridSpan w:val="2"/>
            <w:tcBorders>
              <w:top w:val="single" w:sz="8" w:space="0" w:color="auto"/>
              <w:left w:val="single" w:sz="8" w:space="0" w:color="auto"/>
              <w:bottom w:val="nil"/>
              <w:right w:val="single" w:sz="8" w:space="0" w:color="000000"/>
            </w:tcBorders>
            <w:shd w:val="clear" w:color="000000" w:fill="339966"/>
            <w:noWrap/>
            <w:hideMark/>
          </w:tcPr>
          <w:p w:rsidR="009C3D09" w:rsidRPr="004C32A2" w:rsidRDefault="009C3D09" w:rsidP="009C3D09">
            <w:pPr>
              <w:rPr>
                <w:rFonts w:ascii="Arial Narrow" w:hAnsi="Arial Narrow" w:cs="Arial"/>
                <w:b/>
                <w:bCs/>
                <w:color w:val="FFFFFF"/>
                <w:sz w:val="20"/>
              </w:rPr>
            </w:pPr>
            <w:r w:rsidRPr="004C32A2">
              <w:rPr>
                <w:rFonts w:ascii="Arial Narrow" w:hAnsi="Arial Narrow" w:cs="Arial"/>
                <w:b/>
                <w:bCs/>
                <w:color w:val="FFFFFF"/>
                <w:sz w:val="20"/>
              </w:rPr>
              <w:t>West Res Whole House 49%</w:t>
            </w:r>
          </w:p>
        </w:tc>
      </w:tr>
      <w:tr w:rsidR="009C3D09" w:rsidRPr="004C32A2" w:rsidTr="009C3D09">
        <w:trPr>
          <w:trHeight w:val="255"/>
          <w:jc w:val="center"/>
        </w:trPr>
        <w:tc>
          <w:tcPr>
            <w:tcW w:w="4118"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9C3D09" w:rsidRPr="004C32A2" w:rsidRDefault="009C3D09" w:rsidP="009C3D09">
            <w:pPr>
              <w:rPr>
                <w:rFonts w:ascii="Arial Narrow" w:hAnsi="Arial Narrow" w:cs="Arial"/>
                <w:color w:val="FFFFFF"/>
                <w:sz w:val="20"/>
              </w:rPr>
            </w:pPr>
            <w:r w:rsidRPr="004C32A2">
              <w:rPr>
                <w:rFonts w:ascii="Arial Narrow" w:hAnsi="Arial Narrow" w:cs="Arial"/>
                <w:color w:val="FFFFFF"/>
                <w:sz w:val="20"/>
              </w:rPr>
              <w:t> </w:t>
            </w:r>
          </w:p>
        </w:tc>
        <w:tc>
          <w:tcPr>
            <w:tcW w:w="96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Costs</w:t>
            </w:r>
          </w:p>
        </w:tc>
        <w:tc>
          <w:tcPr>
            <w:tcW w:w="96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Benefits</w:t>
            </w:r>
          </w:p>
        </w:tc>
        <w:tc>
          <w:tcPr>
            <w:tcW w:w="1224"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Net Benefits</w:t>
            </w:r>
          </w:p>
        </w:tc>
        <w:tc>
          <w:tcPr>
            <w:tcW w:w="1224" w:type="dxa"/>
            <w:tcBorders>
              <w:top w:val="single" w:sz="8" w:space="0" w:color="auto"/>
              <w:left w:val="nil"/>
              <w:bottom w:val="nil"/>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Benefit/Cost</w:t>
            </w:r>
          </w:p>
        </w:tc>
      </w:tr>
      <w:tr w:rsidR="009C3D09" w:rsidRPr="004C32A2" w:rsidTr="009C3D09">
        <w:trPr>
          <w:trHeight w:val="270"/>
          <w:jc w:val="center"/>
        </w:trPr>
        <w:tc>
          <w:tcPr>
            <w:tcW w:w="4118" w:type="dxa"/>
            <w:vMerge/>
            <w:tcBorders>
              <w:top w:val="single" w:sz="8" w:space="0" w:color="auto"/>
              <w:left w:val="single" w:sz="8" w:space="0" w:color="auto"/>
              <w:bottom w:val="single" w:sz="8" w:space="0" w:color="000000"/>
              <w:right w:val="single" w:sz="8" w:space="0" w:color="auto"/>
            </w:tcBorders>
            <w:vAlign w:val="center"/>
            <w:hideMark/>
          </w:tcPr>
          <w:p w:rsidR="009C3D09" w:rsidRPr="004C32A2" w:rsidRDefault="009C3D09" w:rsidP="009C3D09">
            <w:pPr>
              <w:rPr>
                <w:rFonts w:ascii="Arial Narrow" w:hAnsi="Arial Narrow" w:cs="Arial"/>
                <w:color w:val="FFFFFF"/>
                <w:sz w:val="20"/>
              </w:rPr>
            </w:pPr>
          </w:p>
        </w:tc>
        <w:tc>
          <w:tcPr>
            <w:tcW w:w="96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96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224"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224" w:type="dxa"/>
            <w:tcBorders>
              <w:top w:val="nil"/>
              <w:left w:val="nil"/>
              <w:bottom w:val="single" w:sz="8" w:space="0" w:color="auto"/>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Ratio</w:t>
            </w:r>
          </w:p>
        </w:tc>
      </w:tr>
      <w:tr w:rsidR="009C3D09" w:rsidRPr="004C32A2" w:rsidTr="009C3D09">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4C32A2" w:rsidRDefault="009C3D09" w:rsidP="009C3D09">
            <w:pPr>
              <w:rPr>
                <w:rFonts w:ascii="Arial Narrow" w:hAnsi="Arial Narrow" w:cs="Arial"/>
                <w:color w:val="000000"/>
                <w:sz w:val="20"/>
              </w:rPr>
            </w:pPr>
            <w:r w:rsidRPr="004C32A2">
              <w:rPr>
                <w:rFonts w:ascii="Arial Narrow" w:hAnsi="Arial Narrow" w:cs="Arial"/>
                <w:color w:val="000000"/>
                <w:sz w:val="20"/>
              </w:rPr>
              <w:t>Total Resource Cost Test (PTRC) + Conservation Adder</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$600,000 </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$1,551,083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$951,083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2.59</w:t>
            </w:r>
          </w:p>
        </w:tc>
      </w:tr>
      <w:tr w:rsidR="009C3D09" w:rsidRPr="004C32A2" w:rsidTr="009C3D09">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4C32A2" w:rsidRDefault="009C3D09" w:rsidP="009C3D09">
            <w:pPr>
              <w:rPr>
                <w:rFonts w:ascii="Arial Narrow" w:hAnsi="Arial Narrow" w:cs="Arial"/>
                <w:color w:val="000000"/>
                <w:sz w:val="20"/>
              </w:rPr>
            </w:pPr>
            <w:r w:rsidRPr="004C32A2">
              <w:rPr>
                <w:rFonts w:ascii="Arial Narrow" w:hAnsi="Arial Narrow" w:cs="Arial"/>
                <w:color w:val="000000"/>
                <w:sz w:val="20"/>
              </w:rPr>
              <w:t>Total Resource Cost Test (TRC) No Adder</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$600,000 </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$1,410,076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$810,076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2.35</w:t>
            </w:r>
          </w:p>
        </w:tc>
      </w:tr>
      <w:tr w:rsidR="009C3D09" w:rsidRPr="004C32A2" w:rsidTr="009C3D09">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4C32A2" w:rsidRDefault="009C3D09" w:rsidP="009C3D09">
            <w:pPr>
              <w:rPr>
                <w:rFonts w:ascii="Arial Narrow" w:hAnsi="Arial Narrow" w:cs="Arial"/>
                <w:color w:val="000000"/>
                <w:sz w:val="20"/>
              </w:rPr>
            </w:pPr>
            <w:r w:rsidRPr="004C32A2">
              <w:rPr>
                <w:rFonts w:ascii="Arial Narrow" w:hAnsi="Arial Narrow" w:cs="Arial"/>
                <w:color w:val="000000"/>
                <w:sz w:val="20"/>
              </w:rPr>
              <w:t>Utility Cost Test (UCT)</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$600,000 </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$1,410,076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$810,076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2.35</w:t>
            </w:r>
          </w:p>
        </w:tc>
      </w:tr>
      <w:tr w:rsidR="009C3D09" w:rsidRPr="004C32A2" w:rsidTr="009C3D09">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4C32A2" w:rsidRDefault="009C3D09" w:rsidP="009C3D09">
            <w:pPr>
              <w:rPr>
                <w:rFonts w:ascii="Arial Narrow" w:hAnsi="Arial Narrow" w:cs="Arial"/>
                <w:color w:val="000000"/>
                <w:sz w:val="20"/>
              </w:rPr>
            </w:pPr>
            <w:r w:rsidRPr="004C32A2">
              <w:rPr>
                <w:rFonts w:ascii="Arial Narrow" w:hAnsi="Arial Narrow" w:cs="Arial"/>
                <w:color w:val="000000"/>
                <w:sz w:val="20"/>
              </w:rPr>
              <w:t>Rate Impact Test (RIM)</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$2,304,832 </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$1,410,076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($894,756)</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0.61</w:t>
            </w:r>
          </w:p>
        </w:tc>
      </w:tr>
      <w:tr w:rsidR="009C3D09" w:rsidRPr="004C32A2" w:rsidTr="009C3D09">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4C32A2" w:rsidRDefault="009C3D09" w:rsidP="009C3D09">
            <w:pPr>
              <w:rPr>
                <w:rFonts w:ascii="Arial Narrow" w:hAnsi="Arial Narrow" w:cs="Arial"/>
                <w:color w:val="000000"/>
                <w:sz w:val="20"/>
              </w:rPr>
            </w:pPr>
            <w:r w:rsidRPr="004C32A2">
              <w:rPr>
                <w:rFonts w:ascii="Arial Narrow" w:hAnsi="Arial Narrow" w:cs="Arial"/>
                <w:color w:val="000000"/>
                <w:sz w:val="20"/>
              </w:rPr>
              <w:t>Participant Cost Test (PCT)</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$120,000 </w:t>
            </w:r>
          </w:p>
        </w:tc>
        <w:tc>
          <w:tcPr>
            <w:tcW w:w="968"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$1,824,832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 xml:space="preserve">$1,704,832 </w:t>
            </w:r>
          </w:p>
        </w:tc>
        <w:tc>
          <w:tcPr>
            <w:tcW w:w="1224" w:type="dxa"/>
            <w:tcBorders>
              <w:top w:val="nil"/>
              <w:left w:val="nil"/>
              <w:bottom w:val="single" w:sz="8" w:space="0" w:color="auto"/>
              <w:right w:val="single" w:sz="8" w:space="0" w:color="auto"/>
            </w:tcBorders>
            <w:shd w:val="clear" w:color="auto" w:fill="auto"/>
            <w:noWrap/>
            <w:hideMark/>
          </w:tcPr>
          <w:p w:rsidR="009C3D09" w:rsidRPr="004C32A2" w:rsidRDefault="009C3D09" w:rsidP="009C3D09">
            <w:pPr>
              <w:jc w:val="right"/>
              <w:rPr>
                <w:rFonts w:ascii="Arial Narrow" w:hAnsi="Arial Narrow" w:cs="Arial"/>
                <w:color w:val="000000"/>
                <w:sz w:val="20"/>
              </w:rPr>
            </w:pPr>
            <w:r w:rsidRPr="004C32A2">
              <w:rPr>
                <w:rFonts w:ascii="Arial Narrow" w:hAnsi="Arial Narrow" w:cs="Arial"/>
                <w:color w:val="000000"/>
                <w:sz w:val="20"/>
              </w:rPr>
              <w:t>15.21</w:t>
            </w:r>
          </w:p>
        </w:tc>
      </w:tr>
    </w:tbl>
    <w:p w:rsidR="009C3D09" w:rsidRDefault="009C3D09" w:rsidP="009C3D09">
      <w:pPr>
        <w:spacing w:after="200" w:line="276" w:lineRule="auto"/>
      </w:pPr>
      <w:r>
        <w:br w:type="page"/>
      </w:r>
    </w:p>
    <w:p w:rsidR="000E5724" w:rsidRDefault="000E5724" w:rsidP="000E5724">
      <w:pPr>
        <w:pStyle w:val="memoaddress"/>
      </w:pPr>
      <w:r>
        <w:t xml:space="preserve">Date: </w:t>
      </w:r>
      <w:r>
        <w:tab/>
        <w:t>February 6, 2012</w:t>
      </w:r>
    </w:p>
    <w:p w:rsidR="000E5724" w:rsidRDefault="000E5724" w:rsidP="000E5724">
      <w:pPr>
        <w:pStyle w:val="memoaddress"/>
        <w:ind w:left="1350" w:hanging="1350"/>
      </w:pPr>
      <w:r>
        <w:t>To:</w:t>
      </w:r>
      <w:r>
        <w:tab/>
        <w:t>Don Jones, Jr.</w:t>
      </w:r>
    </w:p>
    <w:p w:rsidR="000E5724" w:rsidRDefault="000E5724" w:rsidP="000E5724">
      <w:pPr>
        <w:pStyle w:val="memoaddress"/>
        <w:ind w:left="1350" w:hanging="1350"/>
      </w:pPr>
      <w:r>
        <w:t>From:</w:t>
      </w:r>
      <w:r>
        <w:tab/>
        <w:t xml:space="preserve">Aaron </w:t>
      </w:r>
      <w:proofErr w:type="spellStart"/>
      <w:r>
        <w:t>Jenniges</w:t>
      </w:r>
      <w:proofErr w:type="spellEnd"/>
      <w:r>
        <w:t xml:space="preserve"> and </w:t>
      </w:r>
      <w:proofErr w:type="spellStart"/>
      <w:r>
        <w:t>Niko</w:t>
      </w:r>
      <w:proofErr w:type="spellEnd"/>
      <w:r>
        <w:t xml:space="preserve"> Drake-McLaughlin</w:t>
      </w:r>
    </w:p>
    <w:p w:rsidR="000E5724" w:rsidRDefault="000E5724" w:rsidP="000E5724">
      <w:pPr>
        <w:pStyle w:val="memoaddress"/>
        <w:ind w:left="1350" w:hanging="1350"/>
      </w:pPr>
      <w:r>
        <w:t>Re:</w:t>
      </w:r>
      <w:r>
        <w:tab/>
      </w:r>
      <w:r>
        <w:rPr>
          <w:bCs/>
        </w:rPr>
        <w:t>Washington Home Energy Savings 2012-2013 Measure Cost-Effectiveness – Net Savings</w:t>
      </w:r>
    </w:p>
    <w:p w:rsidR="000E5724" w:rsidRDefault="000E5724" w:rsidP="000E5724">
      <w:pPr>
        <w:pBdr>
          <w:bottom w:val="single" w:sz="4" w:space="1" w:color="auto"/>
        </w:pBdr>
      </w:pPr>
    </w:p>
    <w:p w:rsidR="000E5724" w:rsidRDefault="000E5724" w:rsidP="000E5724">
      <w:r>
        <w:t>The tables below present the cost-effectiveness findings of the Washington Home Energy Savings prospective measures based on 2012 and 2013 costs and net savings estimates provided by PacifiCorp in a spreadsheet entitled “</w:t>
      </w:r>
      <w:r w:rsidRPr="0027750F">
        <w:t>Washington_Savings_Summary_</w:t>
      </w:r>
      <w:r>
        <w:t xml:space="preserve">contract goal_010412_Scenario 1_adjustment_011012+DLJ”. </w:t>
      </w:r>
      <w:r w:rsidRPr="0003671E">
        <w:t xml:space="preserve">The </w:t>
      </w:r>
      <w:r>
        <w:t xml:space="preserve">analysis assumed a </w:t>
      </w:r>
      <w:r w:rsidRPr="0003671E">
        <w:t xml:space="preserve">discount rate </w:t>
      </w:r>
      <w:r>
        <w:t xml:space="preserve">of 7.17%, based on </w:t>
      </w:r>
      <w:r w:rsidRPr="0003671E">
        <w:t>the 2011 PacifiCorp Integrated Resource Plan</w:t>
      </w:r>
      <w:r>
        <w:t xml:space="preserve">. </w:t>
      </w:r>
    </w:p>
    <w:p w:rsidR="000E5724" w:rsidRPr="007A4D43" w:rsidRDefault="000E5724" w:rsidP="000E5724">
      <w:r>
        <w:t xml:space="preserve">Measures were grouped according to the end-use. Cost-effectiveness was tested using </w:t>
      </w:r>
      <w:r w:rsidRPr="00F53608">
        <w:t>the Medium IRP 49% west side residential whole house</w:t>
      </w:r>
      <w:r>
        <w:t xml:space="preserve"> decrement. Table 1 lists common modeling inputs.</w:t>
      </w:r>
    </w:p>
    <w:p w:rsidR="000E5724" w:rsidRDefault="000E5724" w:rsidP="000E5724">
      <w:pPr>
        <w:pStyle w:val="Caption"/>
      </w:pPr>
      <w:r>
        <w:t xml:space="preserve">Table </w:t>
      </w:r>
      <w:fldSimple w:instr=" SEQ Table \* ARABIC ">
        <w:r>
          <w:rPr>
            <w:noProof/>
          </w:rPr>
          <w:t>1</w:t>
        </w:r>
      </w:fldSimple>
      <w:r>
        <w:t>: Home Energy Savings Inputs</w:t>
      </w:r>
    </w:p>
    <w:tbl>
      <w:tblPr>
        <w:tblW w:w="0" w:type="auto"/>
        <w:jc w:val="center"/>
        <w:tblInd w:w="2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20"/>
        <w:gridCol w:w="1563"/>
      </w:tblGrid>
      <w:tr w:rsidR="000E5724" w:rsidTr="007A59F2">
        <w:trPr>
          <w:jc w:val="center"/>
        </w:trPr>
        <w:tc>
          <w:tcPr>
            <w:tcW w:w="3420" w:type="dxa"/>
            <w:tcBorders>
              <w:top w:val="single" w:sz="12" w:space="0" w:color="auto"/>
              <w:bottom w:val="single" w:sz="6" w:space="0" w:color="auto"/>
            </w:tcBorders>
            <w:shd w:val="solid" w:color="339966" w:fill="008000"/>
          </w:tcPr>
          <w:p w:rsidR="000E5724" w:rsidRDefault="000E5724" w:rsidP="007A59F2">
            <w:pPr>
              <w:pStyle w:val="tabletext"/>
              <w:keepNext/>
              <w:jc w:val="center"/>
              <w:rPr>
                <w:b/>
                <w:bCs/>
                <w:color w:val="FFFFFF"/>
              </w:rPr>
            </w:pPr>
            <w:r>
              <w:rPr>
                <w:b/>
                <w:bCs/>
                <w:color w:val="FFFFFF"/>
              </w:rPr>
              <w:t>Parameter</w:t>
            </w:r>
          </w:p>
        </w:tc>
        <w:tc>
          <w:tcPr>
            <w:tcW w:w="1563" w:type="dxa"/>
            <w:tcBorders>
              <w:top w:val="single" w:sz="12" w:space="0" w:color="auto"/>
              <w:bottom w:val="single" w:sz="6" w:space="0" w:color="auto"/>
            </w:tcBorders>
            <w:shd w:val="solid" w:color="339966" w:fill="008000"/>
          </w:tcPr>
          <w:p w:rsidR="000E5724" w:rsidRDefault="000E5724" w:rsidP="007A59F2">
            <w:pPr>
              <w:pStyle w:val="tabletext"/>
              <w:keepNext/>
              <w:jc w:val="center"/>
              <w:rPr>
                <w:b/>
                <w:bCs/>
                <w:color w:val="FFFFFF"/>
              </w:rPr>
            </w:pPr>
            <w:r>
              <w:rPr>
                <w:b/>
                <w:bCs/>
                <w:color w:val="FFFFFF"/>
              </w:rPr>
              <w:t>Value</w:t>
            </w:r>
          </w:p>
        </w:tc>
      </w:tr>
      <w:tr w:rsidR="000E5724" w:rsidTr="007A59F2">
        <w:trPr>
          <w:trHeight w:val="135"/>
          <w:jc w:val="center"/>
        </w:trPr>
        <w:tc>
          <w:tcPr>
            <w:tcW w:w="3420" w:type="dxa"/>
          </w:tcPr>
          <w:p w:rsidR="000E5724" w:rsidRDefault="000E5724" w:rsidP="007A59F2">
            <w:pPr>
              <w:pStyle w:val="tabletext"/>
            </w:pPr>
            <w:r>
              <w:t xml:space="preserve">Discount Rate </w:t>
            </w:r>
          </w:p>
        </w:tc>
        <w:tc>
          <w:tcPr>
            <w:tcW w:w="1563" w:type="dxa"/>
            <w:shd w:val="clear" w:color="auto" w:fill="auto"/>
          </w:tcPr>
          <w:p w:rsidR="000E5724" w:rsidRDefault="000E5724" w:rsidP="007A59F2">
            <w:pPr>
              <w:pStyle w:val="tabletext"/>
              <w:jc w:val="center"/>
            </w:pPr>
            <w:r>
              <w:t>7.17%</w:t>
            </w:r>
          </w:p>
        </w:tc>
      </w:tr>
      <w:tr w:rsidR="000E5724" w:rsidTr="007A59F2">
        <w:trPr>
          <w:trHeight w:val="135"/>
          <w:jc w:val="center"/>
        </w:trPr>
        <w:tc>
          <w:tcPr>
            <w:tcW w:w="3420" w:type="dxa"/>
          </w:tcPr>
          <w:p w:rsidR="000E5724" w:rsidRDefault="000E5724" w:rsidP="007A59F2">
            <w:pPr>
              <w:pStyle w:val="tabletext"/>
            </w:pPr>
            <w:r>
              <w:t>Line Loss</w:t>
            </w:r>
          </w:p>
        </w:tc>
        <w:tc>
          <w:tcPr>
            <w:tcW w:w="1563" w:type="dxa"/>
            <w:shd w:val="clear" w:color="auto" w:fill="auto"/>
          </w:tcPr>
          <w:p w:rsidR="000E5724" w:rsidRPr="0067323B" w:rsidRDefault="000E5724" w:rsidP="007A59F2">
            <w:pPr>
              <w:pStyle w:val="tabletext"/>
              <w:jc w:val="center"/>
            </w:pPr>
            <w:r w:rsidRPr="0067323B">
              <w:t>8.87%</w:t>
            </w:r>
          </w:p>
        </w:tc>
      </w:tr>
      <w:tr w:rsidR="000E5724" w:rsidTr="007A59F2">
        <w:trPr>
          <w:cantSplit/>
          <w:trHeight w:val="90"/>
          <w:jc w:val="center"/>
        </w:trPr>
        <w:tc>
          <w:tcPr>
            <w:tcW w:w="3420" w:type="dxa"/>
          </w:tcPr>
          <w:p w:rsidR="000E5724" w:rsidRDefault="000E5724" w:rsidP="007A59F2">
            <w:pPr>
              <w:pStyle w:val="tabletext"/>
            </w:pPr>
            <w:r>
              <w:t xml:space="preserve">Residential Energy Rate ($/kWh) </w:t>
            </w:r>
            <w:r>
              <w:br/>
              <w:t>(base year 2010)</w:t>
            </w:r>
          </w:p>
        </w:tc>
        <w:tc>
          <w:tcPr>
            <w:tcW w:w="1563" w:type="dxa"/>
            <w:shd w:val="clear" w:color="auto" w:fill="auto"/>
          </w:tcPr>
          <w:p w:rsidR="000E5724" w:rsidRPr="00860E90" w:rsidRDefault="000E5724" w:rsidP="007A59F2">
            <w:pPr>
              <w:pStyle w:val="tabletext"/>
              <w:jc w:val="center"/>
              <w:rPr>
                <w:highlight w:val="yellow"/>
              </w:rPr>
            </w:pPr>
            <w:r w:rsidRPr="00B85194">
              <w:t>$0.0767</w:t>
            </w:r>
          </w:p>
        </w:tc>
      </w:tr>
      <w:tr w:rsidR="000E5724" w:rsidTr="007A59F2">
        <w:trPr>
          <w:cantSplit/>
          <w:trHeight w:val="90"/>
          <w:jc w:val="center"/>
        </w:trPr>
        <w:tc>
          <w:tcPr>
            <w:tcW w:w="3420" w:type="dxa"/>
          </w:tcPr>
          <w:p w:rsidR="000E5724" w:rsidRDefault="000E5724" w:rsidP="007A59F2">
            <w:pPr>
              <w:pStyle w:val="tabletext"/>
            </w:pPr>
            <w:r>
              <w:t>Inflation Rate</w:t>
            </w:r>
            <w:r>
              <w:rPr>
                <w:rStyle w:val="FootnoteReference"/>
              </w:rPr>
              <w:footnoteReference w:id="8"/>
            </w:r>
          </w:p>
        </w:tc>
        <w:tc>
          <w:tcPr>
            <w:tcW w:w="1563" w:type="dxa"/>
            <w:shd w:val="clear" w:color="auto" w:fill="auto"/>
            <w:vAlign w:val="center"/>
          </w:tcPr>
          <w:p w:rsidR="000E5724" w:rsidRDefault="000E5724" w:rsidP="007A59F2">
            <w:pPr>
              <w:pStyle w:val="tabletext"/>
              <w:jc w:val="center"/>
            </w:pPr>
            <w:r>
              <w:t>1.8%</w:t>
            </w:r>
          </w:p>
        </w:tc>
      </w:tr>
    </w:tbl>
    <w:p w:rsidR="000E5724" w:rsidRDefault="000E5724" w:rsidP="000E5724">
      <w:pPr>
        <w:pStyle w:val="tabletitle"/>
        <w:keepLines/>
      </w:pPr>
    </w:p>
    <w:p w:rsidR="000E5724" w:rsidRDefault="000E5724" w:rsidP="000E5724">
      <w:pPr>
        <w:pStyle w:val="tabletitle"/>
        <w:keepNext w:val="0"/>
        <w:widowControl w:val="0"/>
      </w:pPr>
      <w:r>
        <w:t xml:space="preserve">Table </w:t>
      </w:r>
      <w:fldSimple w:instr=" SEQ Table \* ARABIC ">
        <w:r>
          <w:rPr>
            <w:noProof/>
          </w:rPr>
          <w:t>2</w:t>
        </w:r>
      </w:fldSimple>
      <w:r>
        <w:t>: Home Energy Savings – Program Costs</w:t>
      </w:r>
    </w:p>
    <w:tbl>
      <w:tblPr>
        <w:tblW w:w="45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100"/>
        <w:gridCol w:w="1100"/>
        <w:gridCol w:w="1060"/>
      </w:tblGrid>
      <w:tr w:rsidR="000E5724" w:rsidRPr="007D3AE6" w:rsidTr="007A59F2">
        <w:trPr>
          <w:trHeight w:val="540"/>
          <w:jc w:val="center"/>
        </w:trPr>
        <w:tc>
          <w:tcPr>
            <w:tcW w:w="1240" w:type="dxa"/>
            <w:shd w:val="clear" w:color="000000" w:fill="339966"/>
            <w:hideMark/>
          </w:tcPr>
          <w:p w:rsidR="000E5724" w:rsidRPr="007D3AE6" w:rsidRDefault="000E5724" w:rsidP="007A59F2">
            <w:pPr>
              <w:jc w:val="center"/>
              <w:rPr>
                <w:rFonts w:ascii="Arial Narrow" w:hAnsi="Arial Narrow" w:cs="Arial"/>
                <w:b/>
                <w:bCs/>
                <w:color w:val="FFFFFF"/>
                <w:sz w:val="20"/>
              </w:rPr>
            </w:pPr>
            <w:r w:rsidRPr="007D3AE6">
              <w:rPr>
                <w:rFonts w:ascii="Arial Narrow" w:hAnsi="Arial Narrow" w:cs="Arial"/>
                <w:b/>
                <w:bCs/>
                <w:color w:val="FFFFFF"/>
                <w:sz w:val="20"/>
              </w:rPr>
              <w:t> </w:t>
            </w:r>
          </w:p>
        </w:tc>
        <w:tc>
          <w:tcPr>
            <w:tcW w:w="1100" w:type="dxa"/>
            <w:shd w:val="clear" w:color="000000" w:fill="339966"/>
            <w:hideMark/>
          </w:tcPr>
          <w:p w:rsidR="000E5724" w:rsidRPr="007D3AE6" w:rsidRDefault="000E5724" w:rsidP="007A59F2">
            <w:pPr>
              <w:jc w:val="center"/>
              <w:rPr>
                <w:rFonts w:ascii="Arial Narrow" w:hAnsi="Arial Narrow" w:cs="Arial"/>
                <w:b/>
                <w:bCs/>
                <w:color w:val="FFFFFF"/>
                <w:sz w:val="20"/>
              </w:rPr>
            </w:pPr>
            <w:r>
              <w:rPr>
                <w:rFonts w:ascii="Arial Narrow" w:hAnsi="Arial Narrow" w:cs="Arial"/>
                <w:b/>
                <w:bCs/>
                <w:color w:val="FFFFFF"/>
                <w:sz w:val="20"/>
              </w:rPr>
              <w:t>Program Expenses (Non-Incentives)</w:t>
            </w:r>
          </w:p>
        </w:tc>
        <w:tc>
          <w:tcPr>
            <w:tcW w:w="1100" w:type="dxa"/>
            <w:shd w:val="clear" w:color="000000" w:fill="339966"/>
            <w:hideMark/>
          </w:tcPr>
          <w:p w:rsidR="000E5724" w:rsidRPr="007D3AE6" w:rsidRDefault="000E5724" w:rsidP="007A59F2">
            <w:pPr>
              <w:jc w:val="center"/>
              <w:rPr>
                <w:rFonts w:ascii="Arial Narrow" w:hAnsi="Arial Narrow" w:cs="Arial"/>
                <w:b/>
                <w:bCs/>
                <w:color w:val="FFFFFF"/>
                <w:sz w:val="20"/>
              </w:rPr>
            </w:pPr>
            <w:r w:rsidRPr="007D3AE6">
              <w:rPr>
                <w:rFonts w:ascii="Arial Narrow" w:hAnsi="Arial Narrow" w:cs="Arial"/>
                <w:b/>
                <w:bCs/>
                <w:color w:val="FFFFFF"/>
                <w:sz w:val="20"/>
              </w:rPr>
              <w:t>Incentives</w:t>
            </w:r>
          </w:p>
        </w:tc>
        <w:tc>
          <w:tcPr>
            <w:tcW w:w="1060" w:type="dxa"/>
            <w:shd w:val="clear" w:color="000000" w:fill="339966"/>
            <w:hideMark/>
          </w:tcPr>
          <w:p w:rsidR="000E5724" w:rsidRPr="007D3AE6" w:rsidRDefault="000E5724" w:rsidP="007A59F2">
            <w:pPr>
              <w:jc w:val="center"/>
              <w:rPr>
                <w:rFonts w:ascii="Arial Narrow" w:hAnsi="Arial Narrow" w:cs="Arial"/>
                <w:b/>
                <w:bCs/>
                <w:color w:val="FFFFFF"/>
                <w:sz w:val="20"/>
              </w:rPr>
            </w:pPr>
            <w:r w:rsidRPr="007D3AE6">
              <w:rPr>
                <w:rFonts w:ascii="Arial Narrow" w:hAnsi="Arial Narrow" w:cs="Arial"/>
                <w:b/>
                <w:bCs/>
                <w:color w:val="FFFFFF"/>
                <w:sz w:val="20"/>
              </w:rPr>
              <w:t>Total Utility Costs</w:t>
            </w:r>
          </w:p>
        </w:tc>
      </w:tr>
      <w:tr w:rsidR="000E5724" w:rsidRPr="007D3AE6" w:rsidTr="007A59F2">
        <w:trPr>
          <w:trHeight w:val="270"/>
          <w:jc w:val="center"/>
        </w:trPr>
        <w:tc>
          <w:tcPr>
            <w:tcW w:w="1240" w:type="dxa"/>
            <w:shd w:val="clear" w:color="auto" w:fill="auto"/>
            <w:hideMark/>
          </w:tcPr>
          <w:p w:rsidR="000E5724" w:rsidRPr="007D3AE6" w:rsidRDefault="000E5724" w:rsidP="007A59F2">
            <w:pPr>
              <w:rPr>
                <w:rFonts w:ascii="Arial Narrow" w:hAnsi="Arial Narrow" w:cs="Arial"/>
                <w:sz w:val="20"/>
              </w:rPr>
            </w:pPr>
            <w:r w:rsidRPr="007D3AE6">
              <w:rPr>
                <w:rFonts w:ascii="Arial Narrow" w:hAnsi="Arial Narrow" w:cs="Arial"/>
                <w:sz w:val="20"/>
              </w:rPr>
              <w:t>2012</w:t>
            </w:r>
          </w:p>
        </w:tc>
        <w:tc>
          <w:tcPr>
            <w:tcW w:w="110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 xml:space="preserve">$658,469 </w:t>
            </w:r>
          </w:p>
        </w:tc>
        <w:tc>
          <w:tcPr>
            <w:tcW w:w="1100" w:type="dxa"/>
            <w:shd w:val="clear" w:color="auto" w:fill="auto"/>
            <w:hideMark/>
          </w:tcPr>
          <w:p w:rsidR="000E5724" w:rsidRPr="007D3AE6" w:rsidRDefault="000E5724" w:rsidP="007A59F2">
            <w:pPr>
              <w:jc w:val="right"/>
              <w:rPr>
                <w:rFonts w:ascii="Arial Narrow" w:hAnsi="Arial Narrow" w:cs="Arial"/>
                <w:sz w:val="20"/>
              </w:rPr>
            </w:pPr>
            <w:r>
              <w:rPr>
                <w:rFonts w:ascii="Arial Narrow" w:hAnsi="Arial Narrow" w:cs="Arial"/>
                <w:sz w:val="20"/>
              </w:rPr>
              <w:t>$912,366</w:t>
            </w:r>
            <w:r w:rsidRPr="007D3AE6">
              <w:rPr>
                <w:rFonts w:ascii="Arial Narrow" w:hAnsi="Arial Narrow" w:cs="Arial"/>
                <w:sz w:val="20"/>
              </w:rPr>
              <w:t xml:space="preserve"> </w:t>
            </w:r>
          </w:p>
        </w:tc>
        <w:tc>
          <w:tcPr>
            <w:tcW w:w="106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 xml:space="preserve">$1,570,825 </w:t>
            </w:r>
          </w:p>
        </w:tc>
      </w:tr>
      <w:tr w:rsidR="000E5724" w:rsidRPr="007D3AE6" w:rsidTr="007A59F2">
        <w:trPr>
          <w:trHeight w:val="270"/>
          <w:jc w:val="center"/>
        </w:trPr>
        <w:tc>
          <w:tcPr>
            <w:tcW w:w="1240" w:type="dxa"/>
            <w:shd w:val="clear" w:color="auto" w:fill="auto"/>
            <w:hideMark/>
          </w:tcPr>
          <w:p w:rsidR="000E5724" w:rsidRPr="007D3AE6" w:rsidRDefault="000E5724" w:rsidP="007A59F2">
            <w:pPr>
              <w:rPr>
                <w:rFonts w:ascii="Arial Narrow" w:hAnsi="Arial Narrow" w:cs="Arial"/>
                <w:sz w:val="20"/>
              </w:rPr>
            </w:pPr>
            <w:r w:rsidRPr="007D3AE6">
              <w:rPr>
                <w:rFonts w:ascii="Arial Narrow" w:hAnsi="Arial Narrow" w:cs="Arial"/>
                <w:sz w:val="20"/>
              </w:rPr>
              <w:t>2013</w:t>
            </w:r>
          </w:p>
        </w:tc>
        <w:tc>
          <w:tcPr>
            <w:tcW w:w="110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 xml:space="preserve">$684,537 </w:t>
            </w:r>
          </w:p>
        </w:tc>
        <w:tc>
          <w:tcPr>
            <w:tcW w:w="1100" w:type="dxa"/>
            <w:shd w:val="clear" w:color="auto" w:fill="auto"/>
            <w:hideMark/>
          </w:tcPr>
          <w:p w:rsidR="000E5724" w:rsidRPr="007D3AE6" w:rsidRDefault="000E5724" w:rsidP="007A59F2">
            <w:pPr>
              <w:jc w:val="right"/>
              <w:rPr>
                <w:rFonts w:ascii="Arial Narrow" w:hAnsi="Arial Narrow" w:cs="Arial"/>
                <w:sz w:val="20"/>
              </w:rPr>
            </w:pPr>
            <w:r>
              <w:rPr>
                <w:rFonts w:ascii="Arial Narrow" w:hAnsi="Arial Narrow" w:cs="Arial"/>
                <w:sz w:val="20"/>
              </w:rPr>
              <w:t>$1,145,686</w:t>
            </w:r>
            <w:r w:rsidRPr="007D3AE6">
              <w:rPr>
                <w:rFonts w:ascii="Arial Narrow" w:hAnsi="Arial Narrow" w:cs="Arial"/>
                <w:sz w:val="20"/>
              </w:rPr>
              <w:t xml:space="preserve"> </w:t>
            </w:r>
          </w:p>
        </w:tc>
        <w:tc>
          <w:tcPr>
            <w:tcW w:w="106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 xml:space="preserve">$1,830,215 </w:t>
            </w:r>
          </w:p>
        </w:tc>
      </w:tr>
      <w:tr w:rsidR="000E5724" w:rsidRPr="007D3AE6" w:rsidTr="007A59F2">
        <w:trPr>
          <w:trHeight w:val="270"/>
          <w:jc w:val="center"/>
        </w:trPr>
        <w:tc>
          <w:tcPr>
            <w:tcW w:w="1240" w:type="dxa"/>
            <w:shd w:val="clear" w:color="auto" w:fill="auto"/>
            <w:hideMark/>
          </w:tcPr>
          <w:p w:rsidR="000E5724" w:rsidRPr="007D3AE6" w:rsidRDefault="000E5724" w:rsidP="007A59F2">
            <w:pPr>
              <w:jc w:val="right"/>
              <w:rPr>
                <w:rFonts w:ascii="Arial Narrow" w:hAnsi="Arial Narrow" w:cs="Arial"/>
                <w:b/>
                <w:bCs/>
                <w:sz w:val="20"/>
              </w:rPr>
            </w:pPr>
            <w:r w:rsidRPr="007D3AE6">
              <w:rPr>
                <w:rFonts w:ascii="Arial Narrow" w:hAnsi="Arial Narrow" w:cs="Arial"/>
                <w:b/>
                <w:bCs/>
                <w:sz w:val="20"/>
              </w:rPr>
              <w:t>Total</w:t>
            </w:r>
          </w:p>
        </w:tc>
        <w:tc>
          <w:tcPr>
            <w:tcW w:w="110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 xml:space="preserve">$1,343,006 </w:t>
            </w:r>
          </w:p>
        </w:tc>
        <w:tc>
          <w:tcPr>
            <w:tcW w:w="110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w:t>
            </w:r>
            <w:r>
              <w:rPr>
                <w:rFonts w:ascii="Arial Narrow" w:hAnsi="Arial Narrow" w:cs="Arial"/>
                <w:sz w:val="20"/>
              </w:rPr>
              <w:t>2,058,052</w:t>
            </w:r>
            <w:r w:rsidRPr="007D3AE6">
              <w:rPr>
                <w:rFonts w:ascii="Arial Narrow" w:hAnsi="Arial Narrow" w:cs="Arial"/>
                <w:sz w:val="20"/>
              </w:rPr>
              <w:t xml:space="preserve"> </w:t>
            </w:r>
          </w:p>
        </w:tc>
        <w:tc>
          <w:tcPr>
            <w:tcW w:w="1060" w:type="dxa"/>
            <w:shd w:val="clear" w:color="auto" w:fill="auto"/>
            <w:hideMark/>
          </w:tcPr>
          <w:p w:rsidR="000E5724" w:rsidRPr="007D3AE6" w:rsidRDefault="000E5724" w:rsidP="007A59F2">
            <w:pPr>
              <w:jc w:val="right"/>
              <w:rPr>
                <w:rFonts w:ascii="Arial Narrow" w:hAnsi="Arial Narrow" w:cs="Arial"/>
                <w:sz w:val="20"/>
              </w:rPr>
            </w:pPr>
            <w:r w:rsidRPr="007D3AE6">
              <w:rPr>
                <w:rFonts w:ascii="Arial Narrow" w:hAnsi="Arial Narrow" w:cs="Arial"/>
                <w:sz w:val="20"/>
              </w:rPr>
              <w:t xml:space="preserve">$3,401,040 </w:t>
            </w:r>
          </w:p>
        </w:tc>
      </w:tr>
    </w:tbl>
    <w:p w:rsidR="000E5724" w:rsidRDefault="000E5724">
      <w:pPr>
        <w:rPr>
          <w:rFonts w:ascii="Times New Roman" w:eastAsia="Times New Roman" w:hAnsi="Times New Roman"/>
          <w:b/>
          <w:bCs/>
          <w:sz w:val="24"/>
          <w:szCs w:val="20"/>
        </w:rPr>
      </w:pPr>
      <w:r>
        <w:br w:type="page"/>
      </w:r>
    </w:p>
    <w:p w:rsidR="000E5724" w:rsidRDefault="000E5724" w:rsidP="000E5724">
      <w:pPr>
        <w:pStyle w:val="tabletitle"/>
        <w:keepNext w:val="0"/>
        <w:widowControl w:val="0"/>
      </w:pPr>
    </w:p>
    <w:p w:rsidR="000E5724" w:rsidRDefault="000E5724" w:rsidP="000E5724">
      <w:pPr>
        <w:pStyle w:val="tabletitle"/>
        <w:keepNext w:val="0"/>
        <w:widowControl w:val="0"/>
      </w:pPr>
      <w:r>
        <w:t xml:space="preserve">Table </w:t>
      </w:r>
      <w:fldSimple w:instr=" SEQ Table \* ARABIC ">
        <w:r>
          <w:rPr>
            <w:noProof/>
          </w:rPr>
          <w:t>3</w:t>
        </w:r>
      </w:fldSimple>
      <w:r>
        <w:t xml:space="preserve">: Home Energy Savings </w:t>
      </w:r>
      <w:r>
        <w:br/>
        <w:t>Savings by Measure Type</w:t>
      </w:r>
    </w:p>
    <w:tbl>
      <w:tblPr>
        <w:tblW w:w="9260" w:type="dxa"/>
        <w:tblInd w:w="103" w:type="dxa"/>
        <w:tblLook w:val="04A0"/>
      </w:tblPr>
      <w:tblGrid>
        <w:gridCol w:w="961"/>
        <w:gridCol w:w="1586"/>
        <w:gridCol w:w="3692"/>
        <w:gridCol w:w="1037"/>
        <w:gridCol w:w="947"/>
        <w:gridCol w:w="1037"/>
      </w:tblGrid>
      <w:tr w:rsidR="000E5724" w:rsidRPr="00892F71" w:rsidTr="007A59F2">
        <w:trPr>
          <w:trHeight w:val="765"/>
        </w:trPr>
        <w:tc>
          <w:tcPr>
            <w:tcW w:w="960" w:type="dxa"/>
            <w:tcBorders>
              <w:top w:val="single" w:sz="4" w:space="0" w:color="auto"/>
              <w:left w:val="single" w:sz="4" w:space="0" w:color="auto"/>
              <w:bottom w:val="single" w:sz="4" w:space="0" w:color="auto"/>
              <w:right w:val="single" w:sz="4" w:space="0" w:color="auto"/>
            </w:tcBorders>
            <w:shd w:val="clear" w:color="000000" w:fill="339966"/>
            <w:hideMark/>
          </w:tcPr>
          <w:p w:rsidR="000E5724" w:rsidRPr="00892F71" w:rsidRDefault="000E5724" w:rsidP="007A59F2">
            <w:pPr>
              <w:jc w:val="center"/>
              <w:rPr>
                <w:rFonts w:ascii="Arial Narrow" w:hAnsi="Arial Narrow" w:cs="Arial"/>
                <w:b/>
                <w:bCs/>
                <w:color w:val="FFFFFF"/>
                <w:sz w:val="20"/>
              </w:rPr>
            </w:pPr>
            <w:r w:rsidRPr="00892F71">
              <w:rPr>
                <w:rFonts w:ascii="Arial Narrow" w:hAnsi="Arial Narrow" w:cs="Arial"/>
                <w:b/>
                <w:bCs/>
                <w:color w:val="FFFFFF"/>
                <w:sz w:val="20"/>
              </w:rPr>
              <w:t>Year</w:t>
            </w:r>
          </w:p>
        </w:tc>
        <w:tc>
          <w:tcPr>
            <w:tcW w:w="1600" w:type="dxa"/>
            <w:tcBorders>
              <w:top w:val="single" w:sz="4" w:space="0" w:color="auto"/>
              <w:left w:val="nil"/>
              <w:bottom w:val="single" w:sz="4" w:space="0" w:color="auto"/>
              <w:right w:val="single" w:sz="4" w:space="0" w:color="auto"/>
            </w:tcBorders>
            <w:shd w:val="clear" w:color="000000" w:fill="339966"/>
            <w:hideMark/>
          </w:tcPr>
          <w:p w:rsidR="000E5724" w:rsidRPr="00892F71" w:rsidRDefault="000E5724" w:rsidP="007A59F2">
            <w:pPr>
              <w:jc w:val="center"/>
              <w:rPr>
                <w:rFonts w:ascii="Arial Narrow" w:hAnsi="Arial Narrow" w:cs="Arial"/>
                <w:b/>
                <w:bCs/>
                <w:color w:val="FFFFFF"/>
                <w:sz w:val="20"/>
              </w:rPr>
            </w:pPr>
            <w:r w:rsidRPr="00892F71">
              <w:rPr>
                <w:rFonts w:ascii="Arial Narrow" w:hAnsi="Arial Narrow" w:cs="Arial"/>
                <w:b/>
                <w:bCs/>
                <w:color w:val="FFFFFF"/>
                <w:sz w:val="20"/>
              </w:rPr>
              <w:t>Measure Type</w:t>
            </w:r>
          </w:p>
        </w:tc>
        <w:tc>
          <w:tcPr>
            <w:tcW w:w="3820" w:type="dxa"/>
            <w:tcBorders>
              <w:top w:val="single" w:sz="4" w:space="0" w:color="auto"/>
              <w:left w:val="nil"/>
              <w:bottom w:val="single" w:sz="4" w:space="0" w:color="auto"/>
              <w:right w:val="single" w:sz="4" w:space="0" w:color="auto"/>
            </w:tcBorders>
            <w:shd w:val="clear" w:color="000000" w:fill="339966"/>
            <w:hideMark/>
          </w:tcPr>
          <w:p w:rsidR="000E5724" w:rsidRPr="00892F71" w:rsidRDefault="000E5724" w:rsidP="007A59F2">
            <w:pPr>
              <w:jc w:val="center"/>
              <w:rPr>
                <w:rFonts w:ascii="Arial Narrow" w:hAnsi="Arial Narrow" w:cs="Arial"/>
                <w:b/>
                <w:bCs/>
                <w:color w:val="FFFFFF"/>
                <w:sz w:val="20"/>
              </w:rPr>
            </w:pPr>
            <w:r w:rsidRPr="00892F71">
              <w:rPr>
                <w:rFonts w:ascii="Arial Narrow" w:hAnsi="Arial Narrow" w:cs="Arial"/>
                <w:b/>
                <w:bCs/>
                <w:color w:val="FFFFFF"/>
                <w:sz w:val="20"/>
              </w:rPr>
              <w:t>Measure Name</w:t>
            </w:r>
          </w:p>
        </w:tc>
        <w:tc>
          <w:tcPr>
            <w:tcW w:w="960" w:type="dxa"/>
            <w:tcBorders>
              <w:top w:val="single" w:sz="4" w:space="0" w:color="auto"/>
              <w:left w:val="nil"/>
              <w:bottom w:val="single" w:sz="4" w:space="0" w:color="auto"/>
              <w:right w:val="single" w:sz="4" w:space="0" w:color="auto"/>
            </w:tcBorders>
            <w:shd w:val="clear" w:color="000000" w:fill="339966"/>
            <w:hideMark/>
          </w:tcPr>
          <w:p w:rsidR="000E5724" w:rsidRPr="00892F71" w:rsidRDefault="000E5724" w:rsidP="007A59F2">
            <w:pPr>
              <w:jc w:val="center"/>
              <w:rPr>
                <w:rFonts w:ascii="Arial Narrow" w:hAnsi="Arial Narrow" w:cs="Arial"/>
                <w:b/>
                <w:bCs/>
                <w:color w:val="FFFFFF"/>
                <w:sz w:val="20"/>
              </w:rPr>
            </w:pPr>
            <w:r w:rsidRPr="00892F71">
              <w:rPr>
                <w:rFonts w:ascii="Arial Narrow" w:hAnsi="Arial Narrow" w:cs="Arial"/>
                <w:b/>
                <w:bCs/>
                <w:color w:val="FFFFFF"/>
                <w:sz w:val="20"/>
              </w:rPr>
              <w:t>Gross kWh Savings</w:t>
            </w:r>
          </w:p>
        </w:tc>
        <w:tc>
          <w:tcPr>
            <w:tcW w:w="960" w:type="dxa"/>
            <w:tcBorders>
              <w:top w:val="single" w:sz="4" w:space="0" w:color="auto"/>
              <w:left w:val="nil"/>
              <w:bottom w:val="single" w:sz="4" w:space="0" w:color="auto"/>
              <w:right w:val="single" w:sz="4" w:space="0" w:color="auto"/>
            </w:tcBorders>
            <w:shd w:val="clear" w:color="000000" w:fill="339966"/>
            <w:hideMark/>
          </w:tcPr>
          <w:p w:rsidR="000E5724" w:rsidRPr="00892F71" w:rsidRDefault="000E5724" w:rsidP="007A59F2">
            <w:pPr>
              <w:jc w:val="center"/>
              <w:rPr>
                <w:rFonts w:ascii="Arial Narrow" w:hAnsi="Arial Narrow" w:cs="Arial"/>
                <w:b/>
                <w:bCs/>
                <w:color w:val="FFFFFF"/>
                <w:sz w:val="20"/>
              </w:rPr>
            </w:pPr>
            <w:r w:rsidRPr="00892F71">
              <w:rPr>
                <w:rFonts w:ascii="Arial Narrow" w:hAnsi="Arial Narrow" w:cs="Arial"/>
                <w:b/>
                <w:bCs/>
                <w:color w:val="FFFFFF"/>
                <w:sz w:val="20"/>
              </w:rPr>
              <w:t xml:space="preserve">Net to Gross </w:t>
            </w:r>
          </w:p>
        </w:tc>
        <w:tc>
          <w:tcPr>
            <w:tcW w:w="960" w:type="dxa"/>
            <w:tcBorders>
              <w:top w:val="single" w:sz="4" w:space="0" w:color="auto"/>
              <w:left w:val="nil"/>
              <w:bottom w:val="single" w:sz="4" w:space="0" w:color="auto"/>
              <w:right w:val="single" w:sz="4" w:space="0" w:color="auto"/>
            </w:tcBorders>
            <w:shd w:val="clear" w:color="000000" w:fill="339966"/>
            <w:hideMark/>
          </w:tcPr>
          <w:p w:rsidR="000E5724" w:rsidRPr="00892F71" w:rsidRDefault="000E5724" w:rsidP="007A59F2">
            <w:pPr>
              <w:jc w:val="center"/>
              <w:rPr>
                <w:rFonts w:ascii="Arial Narrow" w:hAnsi="Arial Narrow" w:cs="Arial"/>
                <w:b/>
                <w:bCs/>
                <w:color w:val="FFFFFF"/>
                <w:sz w:val="20"/>
              </w:rPr>
            </w:pPr>
            <w:r w:rsidRPr="00892F71">
              <w:rPr>
                <w:rFonts w:ascii="Arial Narrow" w:hAnsi="Arial Narrow" w:cs="Arial"/>
                <w:b/>
                <w:bCs/>
                <w:color w:val="FFFFFF"/>
                <w:sz w:val="20"/>
              </w:rPr>
              <w:t>Net kWh Savings</w:t>
            </w:r>
          </w:p>
        </w:tc>
      </w:tr>
      <w:tr w:rsidR="000E5724" w:rsidRPr="00892F71" w:rsidTr="007A59F2">
        <w:trPr>
          <w:trHeight w:val="25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2012-2013</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Appliance</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Clothes Washer (MEF ≥ 2.46 &amp; WF ≤ 4)</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604,105</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74%</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446,454</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Clothes Washer Recycling</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123,872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99,965</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Dishwasher</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49,102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130%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63,688</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Refrigerator</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164,320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134,230</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Electric Water Heater</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66,364</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74%</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48,971</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Room Air Conditioner</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15,359</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12,387</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Freezers</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10,000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8,169</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Heat Pump Water Heaters</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81,412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65,661</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Total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1,114,533</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879,524</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Weatherization</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Insulation - Attic</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409,724</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91%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372,077</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Insulation - Floor</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491,706</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89%</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439,295</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Insulation - Wall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305,316</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88%</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267,809</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 xml:space="preserve">Windows Tier 1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79,030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76%</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60,356</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Windows Tier 2</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18,053</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76%</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13,787</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Total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1,303,830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1,153,324</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HVAC</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 xml:space="preserve">Heat Pump Upgrade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436,847</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352,329</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 xml:space="preserve">Heat Pump Conversion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2,061,619</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1,662,751</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Duct Sealing and Insulation - Electric Heating</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1,097,030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884,784</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Duct Sealing and Insulation - Electric Cooling</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31,696</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25,564</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Ductless Heat Pump - Single Head</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1,489,923</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1,201,663</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Total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5,117,116</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4,127,091</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New Homes</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New Homes BOP</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40,222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32,459</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Total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40,222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32,459</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Lighting Non-CFL</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Fixtures</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46,300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93%</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43,213</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Total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46,300</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43,213</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E5724" w:rsidRPr="00892F71" w:rsidRDefault="000E5724" w:rsidP="007A59F2">
            <w:pPr>
              <w:jc w:val="center"/>
              <w:rPr>
                <w:rFonts w:ascii="Arial Narrow" w:hAnsi="Arial Narrow" w:cs="Arial"/>
                <w:color w:val="000000"/>
                <w:sz w:val="20"/>
              </w:rPr>
            </w:pPr>
            <w:r w:rsidRPr="00892F71">
              <w:rPr>
                <w:rFonts w:ascii="Arial Narrow" w:hAnsi="Arial Narrow" w:cs="Arial"/>
                <w:color w:val="000000"/>
                <w:sz w:val="20"/>
              </w:rPr>
              <w:t>Lighting CFL</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LEDs</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124,672</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100,551</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CFLs-Spiral</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5,580,508</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4,500,830</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color w:val="000000"/>
                <w:sz w:val="20"/>
              </w:rPr>
            </w:pPr>
            <w:r w:rsidRPr="00892F71">
              <w:rPr>
                <w:rFonts w:ascii="Arial Narrow" w:hAnsi="Arial Narrow" w:cs="Arial"/>
                <w:color w:val="000000"/>
                <w:sz w:val="20"/>
              </w:rPr>
              <w:t>CFLs-Specialty</w:t>
            </w:r>
          </w:p>
        </w:tc>
        <w:tc>
          <w:tcPr>
            <w:tcW w:w="960" w:type="dxa"/>
            <w:tcBorders>
              <w:top w:val="nil"/>
              <w:left w:val="nil"/>
              <w:bottom w:val="single" w:sz="4" w:space="0" w:color="auto"/>
              <w:right w:val="single" w:sz="4" w:space="0" w:color="auto"/>
            </w:tcBorders>
            <w:shd w:val="clear" w:color="auto" w:fill="auto"/>
            <w:noWrap/>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3,255,689</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81%</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color w:val="000000"/>
                <w:sz w:val="20"/>
              </w:rPr>
            </w:pPr>
            <w:r w:rsidRPr="00892F71">
              <w:rPr>
                <w:rFonts w:ascii="Arial Narrow" w:hAnsi="Arial Narrow" w:cs="Arial"/>
                <w:color w:val="000000"/>
                <w:sz w:val="20"/>
              </w:rPr>
              <w:t>2,625,801</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rPr>
                <w:rFonts w:ascii="Arial Narrow" w:hAnsi="Arial Narrow" w:cs="Arial"/>
                <w:b/>
                <w:bCs/>
                <w:color w:val="000000"/>
                <w:sz w:val="20"/>
              </w:rPr>
            </w:pPr>
            <w:r w:rsidRPr="00892F71">
              <w:rPr>
                <w:rFonts w:ascii="Arial Narrow" w:hAnsi="Arial Narrow" w:cs="Arial"/>
                <w:b/>
                <w:bCs/>
                <w:color w:val="000000"/>
                <w:sz w:val="20"/>
              </w:rPr>
              <w:t>Total</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8,960,869</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7,227,182</w:t>
            </w:r>
          </w:p>
        </w:tc>
      </w:tr>
      <w:tr w:rsidR="000E5724" w:rsidRPr="00892F71" w:rsidTr="007A59F2">
        <w:trPr>
          <w:trHeight w:val="255"/>
        </w:trPr>
        <w:tc>
          <w:tcPr>
            <w:tcW w:w="960" w:type="dxa"/>
            <w:vMerge/>
            <w:tcBorders>
              <w:top w:val="nil"/>
              <w:left w:val="single" w:sz="4" w:space="0" w:color="auto"/>
              <w:bottom w:val="single" w:sz="4" w:space="0" w:color="000000"/>
              <w:right w:val="single" w:sz="4" w:space="0" w:color="auto"/>
            </w:tcBorders>
            <w:vAlign w:val="center"/>
            <w:hideMark/>
          </w:tcPr>
          <w:p w:rsidR="000E5724" w:rsidRPr="00892F71" w:rsidRDefault="000E5724" w:rsidP="007A59F2">
            <w:pPr>
              <w:rPr>
                <w:rFonts w:ascii="Arial Narrow" w:hAnsi="Arial Narrow" w:cs="Arial"/>
                <w:color w:val="000000"/>
                <w:sz w:val="20"/>
              </w:rPr>
            </w:pPr>
          </w:p>
        </w:tc>
        <w:tc>
          <w:tcPr>
            <w:tcW w:w="160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2013 Total</w:t>
            </w:r>
          </w:p>
        </w:tc>
        <w:tc>
          <w:tcPr>
            <w:tcW w:w="382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16,582,869</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 </w:t>
            </w:r>
          </w:p>
        </w:tc>
        <w:tc>
          <w:tcPr>
            <w:tcW w:w="960" w:type="dxa"/>
            <w:tcBorders>
              <w:top w:val="nil"/>
              <w:left w:val="nil"/>
              <w:bottom w:val="single" w:sz="4" w:space="0" w:color="auto"/>
              <w:right w:val="single" w:sz="4" w:space="0" w:color="auto"/>
            </w:tcBorders>
            <w:shd w:val="clear" w:color="auto" w:fill="auto"/>
            <w:hideMark/>
          </w:tcPr>
          <w:p w:rsidR="000E5724" w:rsidRPr="00892F71" w:rsidRDefault="000E5724" w:rsidP="007A59F2">
            <w:pPr>
              <w:jc w:val="right"/>
              <w:rPr>
                <w:rFonts w:ascii="Arial Narrow" w:hAnsi="Arial Narrow" w:cs="Arial"/>
                <w:b/>
                <w:bCs/>
                <w:color w:val="000000"/>
                <w:sz w:val="20"/>
              </w:rPr>
            </w:pPr>
            <w:r w:rsidRPr="00892F71">
              <w:rPr>
                <w:rFonts w:ascii="Arial Narrow" w:hAnsi="Arial Narrow" w:cs="Arial"/>
                <w:b/>
                <w:bCs/>
                <w:color w:val="000000"/>
                <w:sz w:val="20"/>
              </w:rPr>
              <w:t>13,430,334</w:t>
            </w:r>
          </w:p>
        </w:tc>
      </w:tr>
    </w:tbl>
    <w:p w:rsidR="000E5724" w:rsidRDefault="000E5724" w:rsidP="000E5724">
      <w:pPr>
        <w:pStyle w:val="tabletitle"/>
        <w:widowControl w:val="0"/>
      </w:pPr>
      <w:r>
        <w:br w:type="page"/>
        <w:t xml:space="preserve">Table </w:t>
      </w:r>
      <w:fldSimple w:instr=" SEQ Table \* ARABIC ">
        <w:r>
          <w:rPr>
            <w:noProof/>
          </w:rPr>
          <w:t>4</w:t>
        </w:r>
      </w:fldSimple>
      <w:r>
        <w:t>: Home Energy Savings Cost-Effectiveness, All Years, Entire Program</w:t>
      </w:r>
    </w:p>
    <w:tbl>
      <w:tblPr>
        <w:tblW w:w="9309" w:type="dxa"/>
        <w:tblInd w:w="98" w:type="dxa"/>
        <w:tblLook w:val="04A0"/>
      </w:tblPr>
      <w:tblGrid>
        <w:gridCol w:w="4200"/>
        <w:gridCol w:w="1460"/>
        <w:gridCol w:w="1129"/>
        <w:gridCol w:w="1180"/>
        <w:gridCol w:w="1340"/>
      </w:tblGrid>
      <w:tr w:rsidR="000E5724" w:rsidRPr="00A1546D" w:rsidTr="000E5724">
        <w:trPr>
          <w:trHeight w:val="255"/>
        </w:trPr>
        <w:tc>
          <w:tcPr>
            <w:tcW w:w="4200"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0E5724" w:rsidRPr="00A1546D" w:rsidRDefault="000E5724" w:rsidP="007A59F2">
            <w:pPr>
              <w:rPr>
                <w:rFonts w:ascii="Arial Narrow" w:hAnsi="Arial Narrow" w:cs="Arial"/>
                <w:color w:val="FFFFFF"/>
                <w:sz w:val="20"/>
              </w:rPr>
            </w:pPr>
            <w:r w:rsidRPr="00A1546D">
              <w:rPr>
                <w:rFonts w:ascii="Arial Narrow" w:hAnsi="Arial Narrow" w:cs="Arial"/>
                <w:color w:val="FFFFFF"/>
                <w:sz w:val="20"/>
              </w:rPr>
              <w:t> </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Costs</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Benefits</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Net Benefits</w:t>
            </w:r>
          </w:p>
        </w:tc>
        <w:tc>
          <w:tcPr>
            <w:tcW w:w="1340" w:type="dxa"/>
            <w:tcBorders>
              <w:top w:val="single" w:sz="8" w:space="0" w:color="auto"/>
              <w:left w:val="nil"/>
              <w:bottom w:val="nil"/>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Benefit/Cost</w:t>
            </w:r>
          </w:p>
        </w:tc>
      </w:tr>
      <w:tr w:rsidR="000E5724" w:rsidRPr="00A1546D" w:rsidTr="000E5724">
        <w:trPr>
          <w:trHeight w:val="270"/>
        </w:trPr>
        <w:tc>
          <w:tcPr>
            <w:tcW w:w="420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340" w:type="dxa"/>
            <w:tcBorders>
              <w:top w:val="nil"/>
              <w:left w:val="nil"/>
              <w:bottom w:val="single" w:sz="8" w:space="0" w:color="auto"/>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Ratio</w:t>
            </w:r>
          </w:p>
        </w:tc>
      </w:tr>
      <w:tr w:rsidR="000E5724" w:rsidRPr="00A1546D" w:rsidTr="000E5724">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Total Resource Cost Test (PTRC) + Conservation Adder</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$6,626,280 </w:t>
            </w:r>
          </w:p>
        </w:tc>
        <w:tc>
          <w:tcPr>
            <w:tcW w:w="1129"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$11,459,329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$4,833,049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1.73</w:t>
            </w:r>
          </w:p>
        </w:tc>
      </w:tr>
      <w:tr w:rsidR="000E5724" w:rsidRPr="00A1546D" w:rsidTr="000E5724">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Total Resource Cost Test (TRC) No Adder</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$6,626,280 </w:t>
            </w:r>
          </w:p>
        </w:tc>
        <w:tc>
          <w:tcPr>
            <w:tcW w:w="1129"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$10,417,572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$3,791,292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1.57</w:t>
            </w:r>
          </w:p>
        </w:tc>
      </w:tr>
      <w:tr w:rsidR="000E5724" w:rsidRPr="00A1546D" w:rsidTr="000E5724">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Utility Cost Test (UCT)</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$3,278,610 </w:t>
            </w:r>
          </w:p>
        </w:tc>
        <w:tc>
          <w:tcPr>
            <w:tcW w:w="1129"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$10,417,572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$7,138,962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3.18</w:t>
            </w:r>
          </w:p>
        </w:tc>
      </w:tr>
      <w:tr w:rsidR="000E5724" w:rsidRPr="00A1546D" w:rsidTr="000E5724">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Rate Impact Test (RIM)</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$11,844,957 </w:t>
            </w:r>
          </w:p>
        </w:tc>
        <w:tc>
          <w:tcPr>
            <w:tcW w:w="1129"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$10,417,572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($1,427,385)</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0.88</w:t>
            </w:r>
          </w:p>
        </w:tc>
      </w:tr>
      <w:tr w:rsidR="000E5724" w:rsidRPr="00A1546D" w:rsidTr="000E5724">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Participant Cost Test (PCT)</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$6,556,350 </w:t>
            </w:r>
          </w:p>
        </w:tc>
        <w:tc>
          <w:tcPr>
            <w:tcW w:w="1129"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$12,484,574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$5,928,224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1.90</w:t>
            </w:r>
          </w:p>
        </w:tc>
      </w:tr>
    </w:tbl>
    <w:p w:rsidR="000E5724" w:rsidRPr="00706A77" w:rsidRDefault="000E5724" w:rsidP="000E5724">
      <w:pPr>
        <w:pStyle w:val="Caption"/>
      </w:pPr>
      <w:r>
        <w:t xml:space="preserve">Table 5. </w:t>
      </w:r>
      <w:r w:rsidRPr="00706A77">
        <w:t>Non-Energy Benefits</w:t>
      </w:r>
    </w:p>
    <w:tbl>
      <w:tblPr>
        <w:tblW w:w="10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336"/>
        <w:gridCol w:w="1446"/>
        <w:gridCol w:w="1080"/>
        <w:gridCol w:w="990"/>
        <w:gridCol w:w="990"/>
        <w:gridCol w:w="810"/>
        <w:gridCol w:w="1440"/>
      </w:tblGrid>
      <w:tr w:rsidR="000E5724" w:rsidRPr="008908C1" w:rsidTr="007A59F2">
        <w:trPr>
          <w:trHeight w:val="870"/>
          <w:jc w:val="center"/>
        </w:trPr>
        <w:tc>
          <w:tcPr>
            <w:tcW w:w="3336" w:type="dxa"/>
            <w:shd w:val="clear" w:color="000000" w:fill="339966"/>
            <w:hideMark/>
          </w:tcPr>
          <w:p w:rsidR="000E5724" w:rsidRPr="008908C1" w:rsidRDefault="000E5724" w:rsidP="007A59F2">
            <w:pPr>
              <w:jc w:val="center"/>
              <w:rPr>
                <w:rFonts w:ascii="Arial Narrow" w:hAnsi="Arial Narrow" w:cs="Arial"/>
                <w:bCs/>
                <w:color w:val="FFFFFF"/>
                <w:sz w:val="20"/>
              </w:rPr>
            </w:pPr>
            <w:r w:rsidRPr="008908C1">
              <w:rPr>
                <w:rFonts w:ascii="Arial Narrow" w:hAnsi="Arial Narrow" w:cs="Arial"/>
                <w:bCs/>
                <w:color w:val="FFFFFF"/>
                <w:sz w:val="20"/>
              </w:rPr>
              <w:t>Non-Energy Benefit</w:t>
            </w:r>
          </w:p>
        </w:tc>
        <w:tc>
          <w:tcPr>
            <w:tcW w:w="1446" w:type="dxa"/>
            <w:shd w:val="clear" w:color="000000" w:fill="339966"/>
            <w:hideMark/>
          </w:tcPr>
          <w:p w:rsidR="000E5724" w:rsidRPr="008908C1" w:rsidRDefault="000E5724" w:rsidP="007A59F2">
            <w:pPr>
              <w:jc w:val="center"/>
              <w:rPr>
                <w:rFonts w:ascii="Arial Narrow" w:hAnsi="Arial Narrow" w:cs="Arial"/>
                <w:bCs/>
                <w:color w:val="FFFFFF"/>
                <w:sz w:val="20"/>
              </w:rPr>
            </w:pPr>
            <w:r w:rsidRPr="008908C1">
              <w:rPr>
                <w:rFonts w:ascii="Arial Narrow" w:hAnsi="Arial Narrow" w:cs="Arial"/>
                <w:bCs/>
                <w:color w:val="FFFFFF"/>
                <w:sz w:val="20"/>
              </w:rPr>
              <w:t>Non-Energy Benefits per Measure</w:t>
            </w:r>
          </w:p>
        </w:tc>
        <w:tc>
          <w:tcPr>
            <w:tcW w:w="1080" w:type="dxa"/>
            <w:shd w:val="clear" w:color="000000" w:fill="339966"/>
            <w:hideMark/>
          </w:tcPr>
          <w:p w:rsidR="000E5724" w:rsidRPr="008908C1" w:rsidRDefault="000E5724" w:rsidP="007A59F2">
            <w:pPr>
              <w:jc w:val="center"/>
              <w:rPr>
                <w:rFonts w:ascii="Arial Narrow" w:hAnsi="Arial Narrow" w:cs="Arial"/>
                <w:bCs/>
                <w:color w:val="FFFFFF"/>
                <w:sz w:val="20"/>
              </w:rPr>
            </w:pPr>
            <w:r w:rsidRPr="008908C1">
              <w:rPr>
                <w:rFonts w:ascii="Arial Narrow" w:hAnsi="Arial Narrow" w:cs="Arial"/>
                <w:bCs/>
                <w:color w:val="FFFFFF"/>
                <w:sz w:val="20"/>
              </w:rPr>
              <w:t>2012 Installs</w:t>
            </w:r>
          </w:p>
        </w:tc>
        <w:tc>
          <w:tcPr>
            <w:tcW w:w="990" w:type="dxa"/>
            <w:shd w:val="clear" w:color="000000" w:fill="339966"/>
            <w:hideMark/>
          </w:tcPr>
          <w:p w:rsidR="000E5724" w:rsidRPr="008908C1" w:rsidRDefault="000E5724" w:rsidP="007A59F2">
            <w:pPr>
              <w:jc w:val="center"/>
              <w:rPr>
                <w:rFonts w:ascii="Arial Narrow" w:hAnsi="Arial Narrow" w:cs="Arial"/>
                <w:bCs/>
                <w:color w:val="FFFFFF"/>
                <w:sz w:val="20"/>
              </w:rPr>
            </w:pPr>
            <w:r w:rsidRPr="008908C1">
              <w:rPr>
                <w:rFonts w:ascii="Arial Narrow" w:hAnsi="Arial Narrow" w:cs="Arial"/>
                <w:bCs/>
                <w:color w:val="FFFFFF"/>
                <w:sz w:val="20"/>
              </w:rPr>
              <w:t>2013 Installs</w:t>
            </w:r>
          </w:p>
        </w:tc>
        <w:tc>
          <w:tcPr>
            <w:tcW w:w="990" w:type="dxa"/>
            <w:shd w:val="clear" w:color="000000" w:fill="339966"/>
            <w:hideMark/>
          </w:tcPr>
          <w:p w:rsidR="000E5724" w:rsidRPr="008908C1" w:rsidRDefault="000E5724" w:rsidP="007A59F2">
            <w:pPr>
              <w:jc w:val="center"/>
              <w:rPr>
                <w:rFonts w:ascii="Arial Narrow" w:hAnsi="Arial Narrow" w:cs="Arial"/>
                <w:bCs/>
                <w:color w:val="FFFFFF"/>
                <w:sz w:val="20"/>
              </w:rPr>
            </w:pPr>
            <w:r w:rsidRPr="008908C1">
              <w:rPr>
                <w:rFonts w:ascii="Arial Narrow" w:hAnsi="Arial Narrow" w:cs="Arial"/>
                <w:bCs/>
                <w:color w:val="FFFFFF"/>
                <w:sz w:val="20"/>
              </w:rPr>
              <w:t>Measure Life</w:t>
            </w:r>
          </w:p>
        </w:tc>
        <w:tc>
          <w:tcPr>
            <w:tcW w:w="810" w:type="dxa"/>
            <w:shd w:val="clear" w:color="000000" w:fill="339966"/>
          </w:tcPr>
          <w:p w:rsidR="000E5724" w:rsidRPr="008908C1" w:rsidRDefault="000E5724" w:rsidP="007A59F2">
            <w:pPr>
              <w:jc w:val="center"/>
              <w:rPr>
                <w:rFonts w:ascii="Arial Narrow" w:hAnsi="Arial Narrow" w:cs="Arial"/>
                <w:bCs/>
                <w:color w:val="FFFFFF"/>
                <w:sz w:val="20"/>
              </w:rPr>
            </w:pPr>
            <w:r>
              <w:rPr>
                <w:rFonts w:ascii="Arial Narrow" w:hAnsi="Arial Narrow" w:cs="Arial"/>
                <w:bCs/>
                <w:color w:val="FFFFFF"/>
                <w:sz w:val="20"/>
              </w:rPr>
              <w:t>NTG</w:t>
            </w:r>
          </w:p>
        </w:tc>
        <w:tc>
          <w:tcPr>
            <w:tcW w:w="1440" w:type="dxa"/>
            <w:shd w:val="clear" w:color="000000" w:fill="339966"/>
            <w:hideMark/>
          </w:tcPr>
          <w:p w:rsidR="000E5724" w:rsidRPr="008908C1" w:rsidRDefault="000E5724" w:rsidP="007A59F2">
            <w:pPr>
              <w:jc w:val="center"/>
              <w:rPr>
                <w:rFonts w:ascii="Arial Narrow" w:hAnsi="Arial Narrow" w:cs="Arial"/>
                <w:bCs/>
                <w:color w:val="FFFFFF"/>
                <w:sz w:val="20"/>
              </w:rPr>
            </w:pPr>
            <w:r w:rsidRPr="008908C1">
              <w:rPr>
                <w:rFonts w:ascii="Arial Narrow" w:hAnsi="Arial Narrow" w:cs="Arial"/>
                <w:bCs/>
                <w:color w:val="FFFFFF"/>
                <w:sz w:val="20"/>
              </w:rPr>
              <w:t>Total Present Value Net Benefits</w:t>
            </w:r>
            <w:r w:rsidRPr="008908C1">
              <w:rPr>
                <w:rStyle w:val="FootnoteReference"/>
                <w:rFonts w:ascii="Arial Narrow" w:hAnsi="Arial Narrow" w:cs="Arial"/>
                <w:bCs/>
                <w:color w:val="FFFFFF"/>
                <w:sz w:val="20"/>
              </w:rPr>
              <w:footnoteReference w:id="9"/>
            </w:r>
          </w:p>
        </w:tc>
      </w:tr>
      <w:tr w:rsidR="000E5724" w:rsidRPr="00957CA2" w:rsidTr="007A59F2">
        <w:trPr>
          <w:trHeight w:val="270"/>
          <w:jc w:val="center"/>
        </w:trPr>
        <w:tc>
          <w:tcPr>
            <w:tcW w:w="3336"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Clothes Washer (MEF ≥ 2.46 &amp; WF ≤ 4)</w:t>
            </w:r>
          </w:p>
        </w:tc>
        <w:tc>
          <w:tcPr>
            <w:tcW w:w="1446"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 xml:space="preserve">$81.00 </w:t>
            </w:r>
          </w:p>
        </w:tc>
        <w:tc>
          <w:tcPr>
            <w:tcW w:w="1080"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1,571</w:t>
            </w:r>
          </w:p>
        </w:tc>
        <w:tc>
          <w:tcPr>
            <w:tcW w:w="990"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2,058</w:t>
            </w:r>
          </w:p>
        </w:tc>
        <w:tc>
          <w:tcPr>
            <w:tcW w:w="990"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14</w:t>
            </w:r>
          </w:p>
        </w:tc>
        <w:tc>
          <w:tcPr>
            <w:tcW w:w="810" w:type="dxa"/>
          </w:tcPr>
          <w:p w:rsidR="000E5724" w:rsidRPr="00957CA2" w:rsidRDefault="000E5724" w:rsidP="007A59F2">
            <w:pPr>
              <w:jc w:val="right"/>
              <w:rPr>
                <w:rFonts w:ascii="Arial Narrow" w:hAnsi="Arial Narrow" w:cs="Arial"/>
                <w:sz w:val="20"/>
              </w:rPr>
            </w:pPr>
            <w:r>
              <w:rPr>
                <w:rFonts w:ascii="Arial Narrow" w:hAnsi="Arial Narrow" w:cs="Arial"/>
                <w:sz w:val="20"/>
              </w:rPr>
              <w:t>74%</w:t>
            </w:r>
          </w:p>
        </w:tc>
        <w:tc>
          <w:tcPr>
            <w:tcW w:w="1440" w:type="dxa"/>
            <w:shd w:val="clear" w:color="auto" w:fill="auto"/>
            <w:vAlign w:val="bottom"/>
            <w:hideMark/>
          </w:tcPr>
          <w:p w:rsidR="000E5724" w:rsidRPr="00957CA2" w:rsidRDefault="000E5724" w:rsidP="007A59F2">
            <w:pPr>
              <w:jc w:val="right"/>
              <w:rPr>
                <w:rFonts w:ascii="Arial Narrow" w:hAnsi="Arial Narrow" w:cs="Arial"/>
                <w:sz w:val="20"/>
              </w:rPr>
            </w:pPr>
            <w:r>
              <w:rPr>
                <w:rFonts w:ascii="Arial Narrow" w:hAnsi="Arial Narrow" w:cs="Arial"/>
                <w:sz w:val="20"/>
              </w:rPr>
              <w:t>$1,939,004</w:t>
            </w:r>
            <w:r w:rsidRPr="00957CA2">
              <w:rPr>
                <w:rFonts w:ascii="Arial Narrow" w:hAnsi="Arial Narrow" w:cs="Arial"/>
                <w:sz w:val="20"/>
              </w:rPr>
              <w:t xml:space="preserve"> </w:t>
            </w:r>
          </w:p>
        </w:tc>
      </w:tr>
      <w:tr w:rsidR="000E5724" w:rsidRPr="00957CA2" w:rsidTr="007A59F2">
        <w:trPr>
          <w:trHeight w:val="270"/>
          <w:jc w:val="center"/>
        </w:trPr>
        <w:tc>
          <w:tcPr>
            <w:tcW w:w="3336"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Dishwasher</w:t>
            </w:r>
          </w:p>
        </w:tc>
        <w:tc>
          <w:tcPr>
            <w:tcW w:w="1446"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 xml:space="preserve">$0.31 </w:t>
            </w:r>
          </w:p>
        </w:tc>
        <w:tc>
          <w:tcPr>
            <w:tcW w:w="1080"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508</w:t>
            </w:r>
          </w:p>
        </w:tc>
        <w:tc>
          <w:tcPr>
            <w:tcW w:w="990"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752</w:t>
            </w:r>
          </w:p>
        </w:tc>
        <w:tc>
          <w:tcPr>
            <w:tcW w:w="990" w:type="dxa"/>
            <w:shd w:val="clear" w:color="auto" w:fill="auto"/>
            <w:hideMark/>
          </w:tcPr>
          <w:p w:rsidR="000E5724" w:rsidRPr="00957CA2" w:rsidRDefault="000E5724" w:rsidP="007A59F2">
            <w:pPr>
              <w:jc w:val="right"/>
              <w:rPr>
                <w:rFonts w:ascii="Arial Narrow" w:hAnsi="Arial Narrow" w:cs="Arial"/>
                <w:sz w:val="20"/>
              </w:rPr>
            </w:pPr>
            <w:r w:rsidRPr="00957CA2">
              <w:rPr>
                <w:rFonts w:ascii="Arial Narrow" w:hAnsi="Arial Narrow" w:cs="Arial"/>
                <w:sz w:val="20"/>
              </w:rPr>
              <w:t>12</w:t>
            </w:r>
          </w:p>
        </w:tc>
        <w:tc>
          <w:tcPr>
            <w:tcW w:w="810" w:type="dxa"/>
          </w:tcPr>
          <w:p w:rsidR="000E5724" w:rsidRPr="00957CA2" w:rsidRDefault="000E5724" w:rsidP="007A59F2">
            <w:pPr>
              <w:jc w:val="right"/>
              <w:rPr>
                <w:rFonts w:ascii="Arial Narrow" w:hAnsi="Arial Narrow" w:cs="Arial"/>
                <w:sz w:val="20"/>
              </w:rPr>
            </w:pPr>
            <w:r>
              <w:rPr>
                <w:rFonts w:ascii="Arial Narrow" w:hAnsi="Arial Narrow" w:cs="Arial"/>
                <w:sz w:val="20"/>
              </w:rPr>
              <w:t>130%</w:t>
            </w:r>
          </w:p>
        </w:tc>
        <w:tc>
          <w:tcPr>
            <w:tcW w:w="1440" w:type="dxa"/>
            <w:shd w:val="clear" w:color="auto" w:fill="auto"/>
            <w:vAlign w:val="bottom"/>
            <w:hideMark/>
          </w:tcPr>
          <w:p w:rsidR="000E5724" w:rsidRPr="00957CA2" w:rsidRDefault="000E5724" w:rsidP="007A59F2">
            <w:pPr>
              <w:jc w:val="right"/>
              <w:rPr>
                <w:rFonts w:ascii="Arial Narrow" w:hAnsi="Arial Narrow" w:cs="Arial"/>
                <w:sz w:val="20"/>
              </w:rPr>
            </w:pPr>
            <w:r>
              <w:rPr>
                <w:rFonts w:ascii="Arial Narrow" w:hAnsi="Arial Narrow" w:cs="Arial"/>
                <w:sz w:val="20"/>
              </w:rPr>
              <w:t>$4,039</w:t>
            </w:r>
            <w:r w:rsidRPr="00957CA2">
              <w:rPr>
                <w:rFonts w:ascii="Arial Narrow" w:hAnsi="Arial Narrow" w:cs="Arial"/>
                <w:sz w:val="20"/>
              </w:rPr>
              <w:t xml:space="preserve"> </w:t>
            </w:r>
          </w:p>
        </w:tc>
      </w:tr>
      <w:tr w:rsidR="000E5724" w:rsidRPr="00F92B06" w:rsidTr="007A59F2">
        <w:trPr>
          <w:trHeight w:val="270"/>
          <w:jc w:val="center"/>
        </w:trPr>
        <w:tc>
          <w:tcPr>
            <w:tcW w:w="3336" w:type="dxa"/>
            <w:shd w:val="clear" w:color="auto" w:fill="auto"/>
            <w:hideMark/>
          </w:tcPr>
          <w:p w:rsidR="000E5724" w:rsidRPr="00F92B06" w:rsidRDefault="000E5724" w:rsidP="007A59F2">
            <w:pPr>
              <w:jc w:val="right"/>
              <w:rPr>
                <w:rFonts w:ascii="Arial Narrow" w:hAnsi="Arial Narrow" w:cs="Arial"/>
                <w:b/>
                <w:sz w:val="20"/>
              </w:rPr>
            </w:pPr>
            <w:r w:rsidRPr="00F92B06">
              <w:rPr>
                <w:rFonts w:ascii="Arial Narrow" w:hAnsi="Arial Narrow" w:cs="Arial"/>
                <w:b/>
                <w:sz w:val="20"/>
              </w:rPr>
              <w:t>Total</w:t>
            </w:r>
          </w:p>
        </w:tc>
        <w:tc>
          <w:tcPr>
            <w:tcW w:w="1446" w:type="dxa"/>
            <w:shd w:val="clear" w:color="auto" w:fill="auto"/>
            <w:hideMark/>
          </w:tcPr>
          <w:p w:rsidR="000E5724" w:rsidRPr="00F92B06" w:rsidRDefault="000E5724" w:rsidP="007A59F2">
            <w:pPr>
              <w:jc w:val="right"/>
              <w:rPr>
                <w:rFonts w:ascii="Arial Narrow" w:hAnsi="Arial Narrow" w:cs="Arial"/>
                <w:b/>
                <w:sz w:val="20"/>
              </w:rPr>
            </w:pPr>
            <w:r w:rsidRPr="00F92B06">
              <w:rPr>
                <w:rFonts w:ascii="Arial Narrow" w:hAnsi="Arial Narrow" w:cs="Arial"/>
                <w:b/>
                <w:sz w:val="20"/>
              </w:rPr>
              <w:t> </w:t>
            </w:r>
          </w:p>
        </w:tc>
        <w:tc>
          <w:tcPr>
            <w:tcW w:w="1080" w:type="dxa"/>
            <w:shd w:val="clear" w:color="auto" w:fill="auto"/>
            <w:hideMark/>
          </w:tcPr>
          <w:p w:rsidR="000E5724" w:rsidRPr="00F92B06" w:rsidRDefault="000E5724" w:rsidP="007A59F2">
            <w:pPr>
              <w:jc w:val="right"/>
              <w:rPr>
                <w:rFonts w:ascii="Arial Narrow" w:hAnsi="Arial Narrow" w:cs="Arial"/>
                <w:b/>
                <w:sz w:val="20"/>
              </w:rPr>
            </w:pPr>
            <w:r w:rsidRPr="00F92B06">
              <w:rPr>
                <w:rFonts w:ascii="Arial Narrow" w:hAnsi="Arial Narrow" w:cs="Arial"/>
                <w:b/>
                <w:sz w:val="20"/>
              </w:rPr>
              <w:t> </w:t>
            </w:r>
          </w:p>
        </w:tc>
        <w:tc>
          <w:tcPr>
            <w:tcW w:w="990" w:type="dxa"/>
            <w:shd w:val="clear" w:color="auto" w:fill="auto"/>
            <w:hideMark/>
          </w:tcPr>
          <w:p w:rsidR="000E5724" w:rsidRPr="00F92B06" w:rsidRDefault="000E5724" w:rsidP="007A59F2">
            <w:pPr>
              <w:jc w:val="right"/>
              <w:rPr>
                <w:rFonts w:ascii="Arial Narrow" w:hAnsi="Arial Narrow" w:cs="Arial"/>
                <w:b/>
                <w:sz w:val="20"/>
              </w:rPr>
            </w:pPr>
            <w:r w:rsidRPr="00F92B06">
              <w:rPr>
                <w:rFonts w:ascii="Arial Narrow" w:hAnsi="Arial Narrow" w:cs="Arial"/>
                <w:b/>
                <w:sz w:val="20"/>
              </w:rPr>
              <w:t> </w:t>
            </w:r>
          </w:p>
        </w:tc>
        <w:tc>
          <w:tcPr>
            <w:tcW w:w="990" w:type="dxa"/>
            <w:shd w:val="clear" w:color="auto" w:fill="auto"/>
            <w:hideMark/>
          </w:tcPr>
          <w:p w:rsidR="000E5724" w:rsidRPr="00F92B06" w:rsidRDefault="000E5724" w:rsidP="007A59F2">
            <w:pPr>
              <w:jc w:val="right"/>
              <w:rPr>
                <w:rFonts w:ascii="Arial Narrow" w:hAnsi="Arial Narrow" w:cs="Arial"/>
                <w:b/>
                <w:sz w:val="20"/>
              </w:rPr>
            </w:pPr>
            <w:r w:rsidRPr="00F92B06">
              <w:rPr>
                <w:rFonts w:ascii="Arial Narrow" w:hAnsi="Arial Narrow" w:cs="Arial"/>
                <w:b/>
                <w:sz w:val="20"/>
              </w:rPr>
              <w:t> </w:t>
            </w:r>
          </w:p>
        </w:tc>
        <w:tc>
          <w:tcPr>
            <w:tcW w:w="810" w:type="dxa"/>
          </w:tcPr>
          <w:p w:rsidR="000E5724" w:rsidRPr="00F92B06" w:rsidRDefault="000E5724" w:rsidP="007A59F2">
            <w:pPr>
              <w:jc w:val="right"/>
              <w:rPr>
                <w:rFonts w:ascii="Arial Narrow" w:hAnsi="Arial Narrow" w:cs="Arial"/>
                <w:b/>
                <w:sz w:val="20"/>
              </w:rPr>
            </w:pPr>
          </w:p>
        </w:tc>
        <w:tc>
          <w:tcPr>
            <w:tcW w:w="1440" w:type="dxa"/>
            <w:shd w:val="clear" w:color="auto" w:fill="auto"/>
            <w:hideMark/>
          </w:tcPr>
          <w:p w:rsidR="000E5724" w:rsidRPr="00F92B06" w:rsidRDefault="000E5724" w:rsidP="007A59F2">
            <w:pPr>
              <w:jc w:val="right"/>
              <w:rPr>
                <w:rFonts w:ascii="Arial Narrow" w:hAnsi="Arial Narrow" w:cs="Arial"/>
                <w:b/>
                <w:sz w:val="20"/>
              </w:rPr>
            </w:pPr>
            <w:r>
              <w:rPr>
                <w:rFonts w:ascii="Arial Narrow" w:hAnsi="Arial Narrow" w:cs="Arial"/>
                <w:b/>
                <w:sz w:val="20"/>
              </w:rPr>
              <w:t>$1,943,042</w:t>
            </w:r>
            <w:r w:rsidRPr="00F92B06">
              <w:rPr>
                <w:rFonts w:ascii="Arial Narrow" w:hAnsi="Arial Narrow" w:cs="Arial"/>
                <w:b/>
                <w:sz w:val="20"/>
              </w:rPr>
              <w:t xml:space="preserve"> </w:t>
            </w:r>
          </w:p>
        </w:tc>
      </w:tr>
    </w:tbl>
    <w:p w:rsidR="000E5724" w:rsidRDefault="000E5724" w:rsidP="000E5724">
      <w:pPr>
        <w:pStyle w:val="tabletitle"/>
        <w:keepNext w:val="0"/>
        <w:widowControl w:val="0"/>
        <w:jc w:val="left"/>
        <w:rPr>
          <w:b w:val="0"/>
          <w:bCs w:val="0"/>
        </w:rPr>
      </w:pPr>
      <w:r>
        <w:rPr>
          <w:b w:val="0"/>
          <w:bCs w:val="0"/>
        </w:rPr>
        <w:t>The results of the appliances analysis with these non-energy benefits incorporated in the cost-effectiveness analysis for appliances are shown in Table 12.</w:t>
      </w:r>
    </w:p>
    <w:p w:rsidR="000E5724" w:rsidRDefault="000E5724" w:rsidP="000E5724">
      <w:pPr>
        <w:pStyle w:val="tabletitle"/>
        <w:widowControl w:val="0"/>
      </w:pPr>
      <w:r>
        <w:t>Table 6: Appliance with Non-Energy Benefits</w:t>
      </w:r>
    </w:p>
    <w:tbl>
      <w:tblPr>
        <w:tblW w:w="9280" w:type="dxa"/>
        <w:tblInd w:w="98" w:type="dxa"/>
        <w:tblLook w:val="04A0"/>
      </w:tblPr>
      <w:tblGrid>
        <w:gridCol w:w="4200"/>
        <w:gridCol w:w="1460"/>
        <w:gridCol w:w="1100"/>
        <w:gridCol w:w="1180"/>
        <w:gridCol w:w="1340"/>
      </w:tblGrid>
      <w:tr w:rsidR="000E5724" w:rsidRPr="00A1546D" w:rsidTr="007A59F2">
        <w:trPr>
          <w:trHeight w:val="255"/>
        </w:trPr>
        <w:tc>
          <w:tcPr>
            <w:tcW w:w="4200"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0E5724" w:rsidRPr="00A1546D" w:rsidRDefault="000E5724" w:rsidP="007A59F2">
            <w:pPr>
              <w:rPr>
                <w:rFonts w:ascii="Arial Narrow" w:hAnsi="Arial Narrow" w:cs="Arial"/>
                <w:color w:val="FFFFFF"/>
                <w:sz w:val="20"/>
              </w:rPr>
            </w:pPr>
            <w:r w:rsidRPr="00A1546D">
              <w:rPr>
                <w:rFonts w:ascii="Arial Narrow" w:hAnsi="Arial Narrow" w:cs="Arial"/>
                <w:color w:val="FFFFFF"/>
                <w:sz w:val="20"/>
              </w:rPr>
              <w:t> </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Costs</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Benefits</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Net Benefits</w:t>
            </w:r>
          </w:p>
        </w:tc>
        <w:tc>
          <w:tcPr>
            <w:tcW w:w="1340" w:type="dxa"/>
            <w:tcBorders>
              <w:top w:val="single" w:sz="8" w:space="0" w:color="auto"/>
              <w:left w:val="nil"/>
              <w:bottom w:val="nil"/>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Benefit/Cost</w:t>
            </w:r>
          </w:p>
        </w:tc>
      </w:tr>
      <w:tr w:rsidR="000E5724" w:rsidRPr="00A1546D" w:rsidTr="007A59F2">
        <w:trPr>
          <w:trHeight w:val="270"/>
        </w:trPr>
        <w:tc>
          <w:tcPr>
            <w:tcW w:w="420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0E5724" w:rsidRPr="00A1546D" w:rsidRDefault="000E5724" w:rsidP="007A59F2">
            <w:pPr>
              <w:rPr>
                <w:rFonts w:ascii="Arial Narrow" w:hAnsi="Arial Narrow" w:cs="Arial"/>
                <w:color w:val="FFFFFF"/>
                <w:sz w:val="20"/>
              </w:rPr>
            </w:pPr>
          </w:p>
        </w:tc>
        <w:tc>
          <w:tcPr>
            <w:tcW w:w="1340" w:type="dxa"/>
            <w:tcBorders>
              <w:top w:val="nil"/>
              <w:left w:val="nil"/>
              <w:bottom w:val="single" w:sz="8" w:space="0" w:color="auto"/>
              <w:right w:val="single" w:sz="8" w:space="0" w:color="auto"/>
            </w:tcBorders>
            <w:shd w:val="clear" w:color="000000" w:fill="339966"/>
            <w:noWrap/>
            <w:vAlign w:val="bottom"/>
            <w:hideMark/>
          </w:tcPr>
          <w:p w:rsidR="000E5724" w:rsidRPr="00A1546D" w:rsidRDefault="000E5724" w:rsidP="007A59F2">
            <w:pPr>
              <w:jc w:val="center"/>
              <w:rPr>
                <w:rFonts w:ascii="Arial Narrow" w:hAnsi="Arial Narrow" w:cs="Arial"/>
                <w:color w:val="FFFFFF"/>
                <w:sz w:val="20"/>
              </w:rPr>
            </w:pPr>
            <w:r w:rsidRPr="00A1546D">
              <w:rPr>
                <w:rFonts w:ascii="Arial Narrow" w:hAnsi="Arial Narrow" w:cs="Arial"/>
                <w:color w:val="FFFFFF"/>
                <w:sz w:val="20"/>
              </w:rPr>
              <w:t>Ratio</w:t>
            </w:r>
          </w:p>
        </w:tc>
      </w:tr>
      <w:tr w:rsidR="000E5724" w:rsidRPr="00A1546D" w:rsidTr="007A59F2">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Total Resource Cost Test (PTRC) + Conservation Adder</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$1,187,783 </w:t>
            </w:r>
          </w:p>
        </w:tc>
        <w:tc>
          <w:tcPr>
            <w:tcW w:w="110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$2,840,952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$1,653,168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2.39</w:t>
            </w:r>
          </w:p>
        </w:tc>
      </w:tr>
      <w:tr w:rsidR="000E5724" w:rsidRPr="00A1546D" w:rsidTr="007A59F2">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Total Resource Cost Test (TRC) No Adder</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$1,187,783 </w:t>
            </w:r>
          </w:p>
        </w:tc>
        <w:tc>
          <w:tcPr>
            <w:tcW w:w="110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$2,759,323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$1,571,540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2.32</w:t>
            </w:r>
          </w:p>
        </w:tc>
      </w:tr>
      <w:tr w:rsidR="000E5724" w:rsidRPr="00A1546D" w:rsidTr="007A59F2">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Utility Cost Test (UCT)</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$364,092 </w:t>
            </w:r>
          </w:p>
        </w:tc>
        <w:tc>
          <w:tcPr>
            <w:tcW w:w="110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$816,281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$452,190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2.24</w:t>
            </w:r>
          </w:p>
        </w:tc>
      </w:tr>
      <w:tr w:rsidR="000E5724" w:rsidRPr="00A1546D" w:rsidTr="007A59F2">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Rate Impact Test (RIM)</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$1,040,391 </w:t>
            </w:r>
          </w:p>
        </w:tc>
        <w:tc>
          <w:tcPr>
            <w:tcW w:w="110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$816,281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($224,110)</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0.78</w:t>
            </w:r>
          </w:p>
        </w:tc>
      </w:tr>
      <w:tr w:rsidR="000E5724" w:rsidRPr="00A1546D" w:rsidTr="007A59F2">
        <w:trPr>
          <w:trHeight w:val="270"/>
        </w:trPr>
        <w:tc>
          <w:tcPr>
            <w:tcW w:w="4200" w:type="dxa"/>
            <w:tcBorders>
              <w:top w:val="nil"/>
              <w:left w:val="single" w:sz="8" w:space="0" w:color="auto"/>
              <w:bottom w:val="single" w:sz="8" w:space="0" w:color="auto"/>
              <w:right w:val="single" w:sz="8" w:space="0" w:color="auto"/>
            </w:tcBorders>
            <w:shd w:val="clear" w:color="auto" w:fill="auto"/>
            <w:noWrap/>
            <w:hideMark/>
          </w:tcPr>
          <w:p w:rsidR="000E5724" w:rsidRPr="00A1546D" w:rsidRDefault="000E5724" w:rsidP="007A59F2">
            <w:pPr>
              <w:rPr>
                <w:rFonts w:ascii="Arial Narrow" w:hAnsi="Arial Narrow" w:cs="Arial"/>
                <w:color w:val="000000"/>
                <w:sz w:val="20"/>
              </w:rPr>
            </w:pPr>
            <w:r w:rsidRPr="00A1546D">
              <w:rPr>
                <w:rFonts w:ascii="Arial Narrow" w:hAnsi="Arial Narrow" w:cs="Arial"/>
                <w:color w:val="000000"/>
                <w:sz w:val="20"/>
              </w:rPr>
              <w:t>Participant Cost Test (PCT)</w:t>
            </w:r>
          </w:p>
        </w:tc>
        <w:tc>
          <w:tcPr>
            <w:tcW w:w="146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$1,518,500 </w:t>
            </w:r>
          </w:p>
        </w:tc>
        <w:tc>
          <w:tcPr>
            <w:tcW w:w="110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$3,166,245 </w:t>
            </w:r>
          </w:p>
        </w:tc>
        <w:tc>
          <w:tcPr>
            <w:tcW w:w="118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 xml:space="preserve">$1,647,745 </w:t>
            </w:r>
          </w:p>
        </w:tc>
        <w:tc>
          <w:tcPr>
            <w:tcW w:w="1340" w:type="dxa"/>
            <w:tcBorders>
              <w:top w:val="nil"/>
              <w:left w:val="nil"/>
              <w:bottom w:val="single" w:sz="8" w:space="0" w:color="auto"/>
              <w:right w:val="single" w:sz="8" w:space="0" w:color="auto"/>
            </w:tcBorders>
            <w:shd w:val="clear" w:color="auto" w:fill="auto"/>
            <w:noWrap/>
            <w:hideMark/>
          </w:tcPr>
          <w:p w:rsidR="000E5724" w:rsidRPr="00A1546D" w:rsidRDefault="000E5724" w:rsidP="007A59F2">
            <w:pPr>
              <w:jc w:val="right"/>
              <w:rPr>
                <w:rFonts w:ascii="Arial Narrow" w:hAnsi="Arial Narrow" w:cs="Arial"/>
                <w:color w:val="000000"/>
                <w:sz w:val="20"/>
              </w:rPr>
            </w:pPr>
            <w:r w:rsidRPr="00A1546D">
              <w:rPr>
                <w:rFonts w:ascii="Arial Narrow" w:hAnsi="Arial Narrow" w:cs="Arial"/>
                <w:color w:val="000000"/>
                <w:sz w:val="20"/>
              </w:rPr>
              <w:t>2.09</w:t>
            </w:r>
          </w:p>
        </w:tc>
      </w:tr>
    </w:tbl>
    <w:p w:rsidR="000E5724" w:rsidRDefault="000E5724" w:rsidP="000E5724">
      <w:pPr>
        <w:pStyle w:val="tabletitle"/>
        <w:keepNext w:val="0"/>
        <w:widowControl w:val="0"/>
        <w:jc w:val="left"/>
        <w:rPr>
          <w:b w:val="0"/>
          <w:bCs w:val="0"/>
        </w:rPr>
      </w:pPr>
      <w:r>
        <w:rPr>
          <w:b w:val="0"/>
          <w:bCs w:val="0"/>
        </w:rPr>
        <w:t>Similarly, the results of the overall program with non-energy benefits included are shown in table 13.</w:t>
      </w:r>
    </w:p>
    <w:p w:rsidR="00ED2D31" w:rsidRDefault="009C3D09" w:rsidP="009C3D09">
      <w:pPr>
        <w:spacing w:after="200" w:line="276" w:lineRule="auto"/>
      </w:pPr>
      <w:r>
        <w:br w:type="page"/>
      </w:r>
    </w:p>
    <w:tbl>
      <w:tblPr>
        <w:tblW w:w="0" w:type="auto"/>
        <w:jc w:val="center"/>
        <w:tblInd w:w="-162" w:type="dxa"/>
        <w:tblLook w:val="00A0"/>
      </w:tblPr>
      <w:tblGrid>
        <w:gridCol w:w="869"/>
        <w:gridCol w:w="8390"/>
      </w:tblGrid>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To:</w:t>
            </w:r>
          </w:p>
        </w:tc>
        <w:tc>
          <w:tcPr>
            <w:tcW w:w="8390" w:type="dxa"/>
          </w:tcPr>
          <w:p w:rsidR="00ED2D31" w:rsidRPr="000E5724" w:rsidRDefault="00ED2D31" w:rsidP="001054FA">
            <w:pPr>
              <w:pStyle w:val="MemoFrame"/>
              <w:rPr>
                <w:rFonts w:ascii="Times New Roman" w:hAnsi="Times New Roman"/>
                <w:sz w:val="24"/>
                <w:highlight w:val="yellow"/>
              </w:rPr>
            </w:pPr>
            <w:r w:rsidRPr="000E5724">
              <w:rPr>
                <w:rFonts w:ascii="Times New Roman" w:hAnsi="Times New Roman"/>
                <w:sz w:val="24"/>
              </w:rPr>
              <w:t>Jeff Bumgarner, PacifiCorp/Rocky Mountain Power</w:t>
            </w:r>
          </w:p>
        </w:tc>
      </w:tr>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p>
        </w:tc>
        <w:tc>
          <w:tcPr>
            <w:tcW w:w="8390" w:type="dxa"/>
          </w:tcPr>
          <w:p w:rsidR="00ED2D31" w:rsidRPr="000E5724" w:rsidRDefault="00ED2D31" w:rsidP="001054FA">
            <w:pPr>
              <w:pStyle w:val="MemoFrame"/>
              <w:rPr>
                <w:rFonts w:ascii="Times New Roman" w:hAnsi="Times New Roman"/>
                <w:sz w:val="24"/>
              </w:rPr>
            </w:pPr>
          </w:p>
        </w:tc>
      </w:tr>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From:</w:t>
            </w:r>
          </w:p>
        </w:tc>
        <w:tc>
          <w:tcPr>
            <w:tcW w:w="8390"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Justin Spencer, David Basak, Ryan Powanda, Navigant</w:t>
            </w:r>
          </w:p>
        </w:tc>
      </w:tr>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p>
        </w:tc>
        <w:tc>
          <w:tcPr>
            <w:tcW w:w="8390" w:type="dxa"/>
          </w:tcPr>
          <w:p w:rsidR="00ED2D31" w:rsidRPr="000E5724" w:rsidRDefault="00ED2D31" w:rsidP="001054FA">
            <w:pPr>
              <w:pStyle w:val="MemoFrame"/>
              <w:rPr>
                <w:rFonts w:ascii="Times New Roman" w:hAnsi="Times New Roman"/>
                <w:sz w:val="24"/>
              </w:rPr>
            </w:pPr>
          </w:p>
        </w:tc>
      </w:tr>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Date:</w:t>
            </w:r>
          </w:p>
        </w:tc>
        <w:tc>
          <w:tcPr>
            <w:tcW w:w="8390"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March 26, 2012</w:t>
            </w:r>
          </w:p>
        </w:tc>
      </w:tr>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p>
        </w:tc>
        <w:tc>
          <w:tcPr>
            <w:tcW w:w="8390" w:type="dxa"/>
          </w:tcPr>
          <w:p w:rsidR="00ED2D31" w:rsidRPr="000E5724" w:rsidRDefault="00ED2D31" w:rsidP="001054FA">
            <w:pPr>
              <w:pStyle w:val="MemoFrame"/>
              <w:rPr>
                <w:rFonts w:ascii="Times New Roman" w:hAnsi="Times New Roman"/>
                <w:sz w:val="24"/>
              </w:rPr>
            </w:pPr>
          </w:p>
        </w:tc>
      </w:tr>
      <w:tr w:rsidR="00ED2D31" w:rsidRPr="000E5724" w:rsidTr="001054FA">
        <w:trPr>
          <w:jc w:val="center"/>
        </w:trPr>
        <w:tc>
          <w:tcPr>
            <w:tcW w:w="826"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Re:</w:t>
            </w:r>
          </w:p>
        </w:tc>
        <w:tc>
          <w:tcPr>
            <w:tcW w:w="8390" w:type="dxa"/>
          </w:tcPr>
          <w:p w:rsidR="00ED2D31" w:rsidRPr="000E5724" w:rsidRDefault="00ED2D31" w:rsidP="001054FA">
            <w:pPr>
              <w:pStyle w:val="MemoFrame"/>
              <w:rPr>
                <w:rFonts w:ascii="Times New Roman" w:hAnsi="Times New Roman"/>
                <w:sz w:val="24"/>
              </w:rPr>
            </w:pPr>
            <w:r w:rsidRPr="000E5724">
              <w:rPr>
                <w:rFonts w:ascii="Times New Roman" w:hAnsi="Times New Roman"/>
                <w:sz w:val="24"/>
              </w:rPr>
              <w:t>OPOWER Program Cost Effectiveness and Program Design – Washington</w:t>
            </w:r>
          </w:p>
        </w:tc>
      </w:tr>
    </w:tbl>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r w:rsidRPr="000E5724">
        <w:rPr>
          <w:rFonts w:ascii="Times New Roman" w:hAnsi="Times New Roman"/>
          <w:sz w:val="24"/>
          <w:szCs w:val="24"/>
        </w:rPr>
        <w:t xml:space="preserve">Navigant has developed this memo in response to Pacificorp’s proposed OPOWER program cost effectiveness modeling needs in the state of Washington. </w:t>
      </w: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r w:rsidRPr="000E5724">
        <w:rPr>
          <w:rFonts w:ascii="Times New Roman" w:hAnsi="Times New Roman"/>
          <w:sz w:val="24"/>
          <w:szCs w:val="24"/>
        </w:rPr>
        <w:t>This memo presents the cost effectiveness results of two separate scenarios for the state of Washington. Scenarios 1 and 2 are the expected and guaranteed results using modeled assumptions provided by OPOWER. These scenarios utilize the following assumptions:</w:t>
      </w:r>
    </w:p>
    <w:p w:rsidR="00ED2D31" w:rsidRPr="000E5724" w:rsidRDefault="00ED2D31" w:rsidP="00ED2D31">
      <w:pPr>
        <w:rPr>
          <w:rFonts w:ascii="Times New Roman" w:hAnsi="Times New Roman"/>
          <w:sz w:val="24"/>
          <w:szCs w:val="24"/>
        </w:rPr>
      </w:pPr>
    </w:p>
    <w:p w:rsidR="00ED2D31" w:rsidRPr="000E5724" w:rsidRDefault="00ED2D31" w:rsidP="00ED2D31">
      <w:pPr>
        <w:numPr>
          <w:ilvl w:val="0"/>
          <w:numId w:val="25"/>
        </w:numPr>
        <w:rPr>
          <w:rFonts w:ascii="Times New Roman" w:hAnsi="Times New Roman"/>
          <w:sz w:val="24"/>
          <w:szCs w:val="24"/>
        </w:rPr>
      </w:pPr>
      <w:r w:rsidRPr="000E5724">
        <w:rPr>
          <w:rFonts w:ascii="Times New Roman" w:hAnsi="Times New Roman"/>
          <w:b/>
          <w:i/>
          <w:sz w:val="24"/>
          <w:szCs w:val="24"/>
        </w:rPr>
        <w:t>Avoided Costs:</w:t>
      </w:r>
      <w:r w:rsidRPr="000E5724">
        <w:rPr>
          <w:rFonts w:ascii="Times New Roman" w:hAnsi="Times New Roman"/>
          <w:sz w:val="24"/>
          <w:szCs w:val="24"/>
        </w:rPr>
        <w:t xml:space="preserve"> Scenarios 1 and 2 use the “Medium” carbon cost decrement value stream provided in the 2011 PacifiCorp Integrated Resource Plan.</w:t>
      </w:r>
    </w:p>
    <w:p w:rsidR="00ED2D31" w:rsidRPr="000E5724" w:rsidRDefault="00ED2D31" w:rsidP="00ED2D31">
      <w:pPr>
        <w:numPr>
          <w:ilvl w:val="0"/>
          <w:numId w:val="25"/>
        </w:numPr>
        <w:rPr>
          <w:rFonts w:ascii="Times New Roman" w:hAnsi="Times New Roman"/>
          <w:sz w:val="24"/>
          <w:szCs w:val="24"/>
        </w:rPr>
      </w:pPr>
      <w:r w:rsidRPr="000E5724">
        <w:rPr>
          <w:rFonts w:ascii="Times New Roman" w:hAnsi="Times New Roman"/>
          <w:b/>
          <w:i/>
          <w:sz w:val="24"/>
          <w:szCs w:val="24"/>
        </w:rPr>
        <w:t>Modeling Inputs:</w:t>
      </w:r>
      <w:r w:rsidRPr="000E5724">
        <w:rPr>
          <w:rFonts w:ascii="Times New Roman" w:hAnsi="Times New Roman"/>
          <w:sz w:val="24"/>
          <w:szCs w:val="24"/>
        </w:rPr>
        <w:t xml:space="preserve">  Navigant utilized measure savings and costs provided by OPOWER to Pacificorp.  </w:t>
      </w:r>
    </w:p>
    <w:p w:rsidR="00ED2D31" w:rsidRPr="000E5724" w:rsidRDefault="00ED2D31" w:rsidP="00ED2D31">
      <w:pPr>
        <w:numPr>
          <w:ilvl w:val="0"/>
          <w:numId w:val="25"/>
        </w:numPr>
        <w:rPr>
          <w:rFonts w:ascii="Times New Roman" w:hAnsi="Times New Roman"/>
          <w:sz w:val="24"/>
          <w:szCs w:val="24"/>
        </w:rPr>
      </w:pPr>
      <w:r w:rsidRPr="000E5724">
        <w:rPr>
          <w:rFonts w:ascii="Times New Roman" w:hAnsi="Times New Roman"/>
          <w:b/>
          <w:i/>
          <w:sz w:val="24"/>
          <w:szCs w:val="24"/>
        </w:rPr>
        <w:t>OPOWER Discount –</w:t>
      </w:r>
      <w:r w:rsidRPr="000E5724">
        <w:rPr>
          <w:rFonts w:ascii="Times New Roman" w:hAnsi="Times New Roman"/>
          <w:sz w:val="24"/>
          <w:szCs w:val="24"/>
        </w:rPr>
        <w:t xml:space="preserve"> A 2-4% discount of program savings was used based on overlap with existing OPOWER  rebate programs</w:t>
      </w:r>
    </w:p>
    <w:p w:rsidR="00ED2D31" w:rsidRPr="000E5724" w:rsidRDefault="00ED2D31" w:rsidP="00ED2D31">
      <w:pPr>
        <w:numPr>
          <w:ilvl w:val="0"/>
          <w:numId w:val="25"/>
        </w:numPr>
        <w:rPr>
          <w:rFonts w:ascii="Times New Roman" w:hAnsi="Times New Roman"/>
          <w:sz w:val="24"/>
          <w:szCs w:val="24"/>
        </w:rPr>
      </w:pPr>
      <w:r w:rsidRPr="000E5724">
        <w:rPr>
          <w:rFonts w:ascii="Times New Roman" w:hAnsi="Times New Roman"/>
          <w:b/>
          <w:i/>
          <w:sz w:val="24"/>
          <w:szCs w:val="24"/>
        </w:rPr>
        <w:t>Net-to-Gross:</w:t>
      </w:r>
      <w:r w:rsidRPr="000E5724">
        <w:rPr>
          <w:rFonts w:ascii="Times New Roman" w:hAnsi="Times New Roman"/>
          <w:sz w:val="24"/>
          <w:szCs w:val="24"/>
        </w:rPr>
        <w:t xml:space="preserve">  Along with OPOWER’s discount, an additional Net-to-Gross Ratio of 93% was used to account for a conservative estimate of 7% attribution to other DSM programs.</w:t>
      </w:r>
    </w:p>
    <w:p w:rsidR="00ED2D31" w:rsidRPr="000E5724" w:rsidRDefault="00ED2D31" w:rsidP="00ED2D31">
      <w:pPr>
        <w:numPr>
          <w:ilvl w:val="0"/>
          <w:numId w:val="25"/>
        </w:numPr>
        <w:rPr>
          <w:rFonts w:ascii="Times New Roman" w:hAnsi="Times New Roman"/>
          <w:sz w:val="24"/>
          <w:szCs w:val="24"/>
        </w:rPr>
      </w:pPr>
      <w:r w:rsidRPr="000E5724">
        <w:rPr>
          <w:rFonts w:ascii="Times New Roman" w:hAnsi="Times New Roman"/>
          <w:b/>
          <w:i/>
          <w:sz w:val="24"/>
          <w:szCs w:val="24"/>
        </w:rPr>
        <w:t>Incremental Costs:</w:t>
      </w:r>
      <w:r w:rsidRPr="000E5724">
        <w:rPr>
          <w:rFonts w:ascii="Times New Roman" w:hAnsi="Times New Roman"/>
          <w:sz w:val="24"/>
          <w:szCs w:val="24"/>
        </w:rPr>
        <w:t xml:space="preserve"> $0 incremental costs were assumed for customers, because all net impacts are assumed to be zero-cost behavioral actions</w:t>
      </w:r>
    </w:p>
    <w:p w:rsidR="00ED2D31" w:rsidRPr="000E5724" w:rsidRDefault="00ED2D31" w:rsidP="00ED2D31">
      <w:pPr>
        <w:numPr>
          <w:ilvl w:val="0"/>
          <w:numId w:val="25"/>
        </w:numPr>
        <w:rPr>
          <w:rFonts w:ascii="Times New Roman" w:hAnsi="Times New Roman"/>
          <w:sz w:val="24"/>
          <w:szCs w:val="24"/>
        </w:rPr>
      </w:pPr>
      <w:r w:rsidRPr="000E5724">
        <w:rPr>
          <w:rFonts w:ascii="Times New Roman" w:hAnsi="Times New Roman"/>
          <w:b/>
          <w:i/>
          <w:sz w:val="24"/>
          <w:szCs w:val="24"/>
        </w:rPr>
        <w:t xml:space="preserve">Lifetime: </w:t>
      </w:r>
      <w:r w:rsidRPr="000E5724">
        <w:rPr>
          <w:rFonts w:ascii="Times New Roman" w:hAnsi="Times New Roman"/>
          <w:sz w:val="24"/>
          <w:szCs w:val="24"/>
        </w:rPr>
        <w:t xml:space="preserve">This analysis made a conservative assumption of a one-year measure life associated with behavioral measures. </w:t>
      </w: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r w:rsidRPr="000E5724">
        <w:rPr>
          <w:rFonts w:ascii="Times New Roman" w:hAnsi="Times New Roman"/>
          <w:sz w:val="24"/>
          <w:szCs w:val="24"/>
        </w:rPr>
        <w:t xml:space="preserve">Navigant has calculated total PY 2012-2015 results for each of the two scenarios. </w:t>
      </w:r>
    </w:p>
    <w:p w:rsidR="00ED2D31" w:rsidRPr="000E5724" w:rsidRDefault="00ED2D31" w:rsidP="00ED2D31">
      <w:pPr>
        <w:pStyle w:val="Caption"/>
        <w:ind w:left="1440"/>
      </w:pPr>
    </w:p>
    <w:p w:rsidR="00ED2D31" w:rsidRPr="000E5724" w:rsidRDefault="00ED2D31" w:rsidP="00ED2D31">
      <w:pPr>
        <w:pStyle w:val="Caption"/>
        <w:ind w:left="1440"/>
      </w:pPr>
    </w:p>
    <w:p w:rsidR="00ED2D31" w:rsidRPr="000E5724" w:rsidRDefault="00ED2D31" w:rsidP="00ED2D31">
      <w:pPr>
        <w:pStyle w:val="Caption"/>
        <w:ind w:left="1440"/>
      </w:pPr>
      <w:r w:rsidRPr="000E5724">
        <w:t xml:space="preserve">                    Table </w:t>
      </w:r>
      <w:fldSimple w:instr=" SEQ Table \* ARABIC ">
        <w:r w:rsidRPr="000E5724">
          <w:rPr>
            <w:noProof/>
          </w:rPr>
          <w:t>1</w:t>
        </w:r>
      </w:fldSimple>
      <w:r w:rsidRPr="000E5724">
        <w:t xml:space="preserve"> –Cost Effectiveness Analysis Inputs</w:t>
      </w:r>
    </w:p>
    <w:tbl>
      <w:tblPr>
        <w:tblW w:w="4460" w:type="dxa"/>
        <w:jc w:val="center"/>
        <w:tblInd w:w="93" w:type="dxa"/>
        <w:tblLook w:val="04A0"/>
      </w:tblPr>
      <w:tblGrid>
        <w:gridCol w:w="3240"/>
        <w:gridCol w:w="1220"/>
      </w:tblGrid>
      <w:tr w:rsidR="00ED2D31" w:rsidRPr="000E5724" w:rsidTr="001054FA">
        <w:trPr>
          <w:trHeight w:val="315"/>
          <w:jc w:val="center"/>
        </w:trPr>
        <w:tc>
          <w:tcPr>
            <w:tcW w:w="3240" w:type="dxa"/>
            <w:tcBorders>
              <w:top w:val="single" w:sz="8" w:space="0" w:color="auto"/>
              <w:left w:val="single" w:sz="8" w:space="0" w:color="auto"/>
              <w:bottom w:val="single" w:sz="8" w:space="0" w:color="auto"/>
              <w:right w:val="single" w:sz="8" w:space="0" w:color="auto"/>
            </w:tcBorders>
            <w:shd w:val="clear" w:color="000000" w:fill="376091"/>
            <w:vAlign w:val="center"/>
            <w:hideMark/>
          </w:tcPr>
          <w:p w:rsidR="00ED2D31" w:rsidRPr="000E5724" w:rsidRDefault="00ED2D31" w:rsidP="001054FA">
            <w:pPr>
              <w:keepNext/>
              <w:jc w:val="center"/>
              <w:rPr>
                <w:rFonts w:ascii="Arial" w:hAnsi="Arial" w:cs="Arial"/>
                <w:b/>
                <w:bCs/>
                <w:color w:val="FFFFFF"/>
                <w:sz w:val="20"/>
                <w:szCs w:val="20"/>
              </w:rPr>
            </w:pPr>
            <w:r w:rsidRPr="000E5724">
              <w:rPr>
                <w:rFonts w:ascii="Arial" w:hAnsi="Arial" w:cs="Arial"/>
                <w:b/>
                <w:bCs/>
                <w:color w:val="FFFFFF"/>
                <w:sz w:val="20"/>
                <w:szCs w:val="20"/>
              </w:rPr>
              <w:t>Parameters</w:t>
            </w:r>
          </w:p>
        </w:tc>
        <w:tc>
          <w:tcPr>
            <w:tcW w:w="1220" w:type="dxa"/>
            <w:tcBorders>
              <w:top w:val="single" w:sz="8" w:space="0" w:color="auto"/>
              <w:left w:val="nil"/>
              <w:bottom w:val="single" w:sz="8" w:space="0" w:color="auto"/>
              <w:right w:val="single" w:sz="8" w:space="0" w:color="auto"/>
            </w:tcBorders>
            <w:shd w:val="clear" w:color="000000" w:fill="376091"/>
            <w:vAlign w:val="center"/>
            <w:hideMark/>
          </w:tcPr>
          <w:p w:rsidR="00ED2D31" w:rsidRPr="000E5724" w:rsidRDefault="00ED2D31" w:rsidP="001054FA">
            <w:pPr>
              <w:keepNext/>
              <w:jc w:val="center"/>
              <w:rPr>
                <w:rFonts w:ascii="Arial" w:hAnsi="Arial" w:cs="Arial"/>
                <w:b/>
                <w:bCs/>
                <w:color w:val="FFFFFF"/>
                <w:sz w:val="20"/>
                <w:szCs w:val="20"/>
              </w:rPr>
            </w:pPr>
            <w:r w:rsidRPr="000E5724">
              <w:rPr>
                <w:rFonts w:ascii="Arial" w:hAnsi="Arial" w:cs="Arial"/>
                <w:b/>
                <w:bCs/>
                <w:color w:val="FFFFFF"/>
                <w:sz w:val="20"/>
                <w:szCs w:val="20"/>
              </w:rPr>
              <w:t>Values</w:t>
            </w:r>
          </w:p>
        </w:tc>
      </w:tr>
      <w:tr w:rsidR="00ED2D31" w:rsidRPr="000E5724" w:rsidTr="001054FA">
        <w:trPr>
          <w:trHeight w:val="315"/>
          <w:jc w:val="center"/>
        </w:trPr>
        <w:tc>
          <w:tcPr>
            <w:tcW w:w="324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keepNext/>
              <w:rPr>
                <w:rFonts w:ascii="Arial" w:hAnsi="Arial" w:cs="Arial"/>
                <w:b/>
                <w:bCs/>
                <w:color w:val="000000"/>
                <w:sz w:val="20"/>
                <w:szCs w:val="20"/>
              </w:rPr>
            </w:pPr>
            <w:r w:rsidRPr="000E5724">
              <w:rPr>
                <w:rFonts w:ascii="Arial" w:hAnsi="Arial" w:cs="Arial"/>
                <w:b/>
                <w:bCs/>
                <w:color w:val="000000"/>
                <w:sz w:val="20"/>
                <w:szCs w:val="20"/>
              </w:rPr>
              <w:t>Discount Rate for all B/C Tests</w:t>
            </w:r>
          </w:p>
        </w:tc>
        <w:tc>
          <w:tcPr>
            <w:tcW w:w="1220" w:type="dxa"/>
            <w:tcBorders>
              <w:top w:val="nil"/>
              <w:left w:val="nil"/>
              <w:bottom w:val="single" w:sz="8" w:space="0" w:color="auto"/>
              <w:right w:val="single" w:sz="8" w:space="0" w:color="auto"/>
            </w:tcBorders>
            <w:shd w:val="clear" w:color="000000" w:fill="FFFFFF"/>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7.17%</w:t>
            </w:r>
          </w:p>
        </w:tc>
      </w:tr>
      <w:tr w:rsidR="00ED2D31" w:rsidRPr="000E5724" w:rsidTr="001054FA">
        <w:trPr>
          <w:trHeight w:val="315"/>
          <w:jc w:val="center"/>
        </w:trPr>
        <w:tc>
          <w:tcPr>
            <w:tcW w:w="324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keepNext/>
              <w:rPr>
                <w:rFonts w:ascii="Arial" w:hAnsi="Arial" w:cs="Arial"/>
                <w:b/>
                <w:bCs/>
                <w:color w:val="000000"/>
                <w:sz w:val="20"/>
                <w:szCs w:val="20"/>
              </w:rPr>
            </w:pPr>
            <w:r w:rsidRPr="000E5724">
              <w:rPr>
                <w:rFonts w:ascii="Arial" w:hAnsi="Arial" w:cs="Arial"/>
                <w:b/>
                <w:bCs/>
                <w:color w:val="000000"/>
                <w:sz w:val="20"/>
                <w:szCs w:val="20"/>
              </w:rPr>
              <w:t>Line Loss Factor - Energy (%) WA</w:t>
            </w:r>
          </w:p>
        </w:tc>
        <w:tc>
          <w:tcPr>
            <w:tcW w:w="1220" w:type="dxa"/>
            <w:tcBorders>
              <w:top w:val="nil"/>
              <w:left w:val="nil"/>
              <w:bottom w:val="single" w:sz="8" w:space="0" w:color="auto"/>
              <w:right w:val="single" w:sz="8" w:space="0" w:color="auto"/>
            </w:tcBorders>
            <w:shd w:val="clear" w:color="000000" w:fill="FFFFFF"/>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8.87%</w:t>
            </w:r>
          </w:p>
        </w:tc>
      </w:tr>
      <w:tr w:rsidR="00ED2D31" w:rsidRPr="000E5724" w:rsidTr="001054FA">
        <w:trPr>
          <w:trHeight w:val="315"/>
          <w:jc w:val="center"/>
        </w:trPr>
        <w:tc>
          <w:tcPr>
            <w:tcW w:w="324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keepNext/>
              <w:rPr>
                <w:rFonts w:ascii="Arial" w:hAnsi="Arial" w:cs="Arial"/>
                <w:b/>
                <w:bCs/>
                <w:color w:val="000000"/>
                <w:sz w:val="20"/>
                <w:szCs w:val="20"/>
              </w:rPr>
            </w:pPr>
            <w:r w:rsidRPr="000E5724">
              <w:rPr>
                <w:rFonts w:ascii="Arial" w:hAnsi="Arial" w:cs="Arial"/>
                <w:b/>
                <w:bCs/>
                <w:color w:val="000000"/>
                <w:sz w:val="20"/>
                <w:szCs w:val="20"/>
              </w:rPr>
              <w:t>Residential Energy Rate ($/kWh)</w:t>
            </w:r>
          </w:p>
        </w:tc>
        <w:tc>
          <w:tcPr>
            <w:tcW w:w="1220" w:type="dxa"/>
            <w:tcBorders>
              <w:top w:val="nil"/>
              <w:left w:val="nil"/>
              <w:bottom w:val="single" w:sz="8" w:space="0" w:color="auto"/>
              <w:right w:val="single" w:sz="8" w:space="0" w:color="auto"/>
            </w:tcBorders>
            <w:shd w:val="clear" w:color="000000" w:fill="FFFFFF"/>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$0.079 </w:t>
            </w:r>
          </w:p>
        </w:tc>
      </w:tr>
      <w:tr w:rsidR="00ED2D31" w:rsidRPr="000E5724" w:rsidTr="001054FA">
        <w:trPr>
          <w:trHeight w:val="315"/>
          <w:jc w:val="center"/>
        </w:trPr>
        <w:tc>
          <w:tcPr>
            <w:tcW w:w="324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keepNext/>
              <w:rPr>
                <w:rFonts w:ascii="Arial" w:hAnsi="Arial" w:cs="Arial"/>
                <w:b/>
                <w:bCs/>
                <w:color w:val="000000"/>
                <w:sz w:val="20"/>
                <w:szCs w:val="20"/>
              </w:rPr>
            </w:pPr>
            <w:r w:rsidRPr="000E5724">
              <w:rPr>
                <w:rFonts w:ascii="Arial" w:hAnsi="Arial" w:cs="Arial"/>
                <w:b/>
                <w:bCs/>
                <w:color w:val="000000"/>
                <w:sz w:val="20"/>
                <w:szCs w:val="20"/>
              </w:rPr>
              <w:t>Net-to-Gross Ratio</w:t>
            </w:r>
          </w:p>
        </w:tc>
        <w:tc>
          <w:tcPr>
            <w:tcW w:w="1220" w:type="dxa"/>
            <w:tcBorders>
              <w:top w:val="nil"/>
              <w:left w:val="nil"/>
              <w:bottom w:val="single" w:sz="8" w:space="0" w:color="auto"/>
              <w:right w:val="single" w:sz="8" w:space="0" w:color="auto"/>
            </w:tcBorders>
            <w:shd w:val="clear" w:color="000000" w:fill="FFFFFF"/>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93%</w:t>
            </w:r>
          </w:p>
        </w:tc>
      </w:tr>
      <w:tr w:rsidR="00ED2D31" w:rsidRPr="000E5724" w:rsidTr="001054FA">
        <w:trPr>
          <w:trHeight w:val="315"/>
          <w:jc w:val="center"/>
        </w:trPr>
        <w:tc>
          <w:tcPr>
            <w:tcW w:w="324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keepNext/>
              <w:rPr>
                <w:rFonts w:ascii="Arial" w:hAnsi="Arial" w:cs="Arial"/>
                <w:b/>
                <w:bCs/>
                <w:color w:val="000000"/>
                <w:sz w:val="20"/>
                <w:szCs w:val="20"/>
              </w:rPr>
            </w:pPr>
            <w:r w:rsidRPr="000E5724">
              <w:rPr>
                <w:rFonts w:ascii="Arial" w:hAnsi="Arial" w:cs="Arial"/>
                <w:b/>
                <w:bCs/>
                <w:color w:val="000000"/>
                <w:sz w:val="20"/>
                <w:szCs w:val="20"/>
              </w:rPr>
              <w:t>Escalation Rate</w:t>
            </w:r>
          </w:p>
        </w:tc>
        <w:tc>
          <w:tcPr>
            <w:tcW w:w="1220" w:type="dxa"/>
            <w:tcBorders>
              <w:top w:val="nil"/>
              <w:left w:val="nil"/>
              <w:bottom w:val="single" w:sz="8" w:space="0" w:color="auto"/>
              <w:right w:val="single" w:sz="8" w:space="0" w:color="auto"/>
            </w:tcBorders>
            <w:shd w:val="clear" w:color="000000" w:fill="FFFFFF"/>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w:t>
            </w:r>
          </w:p>
        </w:tc>
      </w:tr>
    </w:tbl>
    <w:p w:rsidR="00ED2D31" w:rsidRPr="000E5724" w:rsidRDefault="00ED2D31" w:rsidP="00ED2D31">
      <w:pPr>
        <w:pStyle w:val="Caption"/>
      </w:pPr>
      <w:r w:rsidRPr="000E5724">
        <w:t xml:space="preserve"> </w:t>
      </w: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pStyle w:val="Caption"/>
      </w:pPr>
      <w:r w:rsidRPr="000E5724">
        <w:t xml:space="preserve">                Table 2 –Annual Program Savings at Generator for PY 2012-2015 in MWh (Source: OPOWER)</w:t>
      </w:r>
    </w:p>
    <w:tbl>
      <w:tblPr>
        <w:tblW w:w="9460" w:type="dxa"/>
        <w:tblInd w:w="93" w:type="dxa"/>
        <w:tblLook w:val="04A0"/>
      </w:tblPr>
      <w:tblGrid>
        <w:gridCol w:w="3360"/>
        <w:gridCol w:w="1220"/>
        <w:gridCol w:w="1220"/>
        <w:gridCol w:w="1220"/>
        <w:gridCol w:w="1220"/>
        <w:gridCol w:w="1220"/>
      </w:tblGrid>
      <w:tr w:rsidR="00ED2D31" w:rsidRPr="000E5724" w:rsidTr="001054FA">
        <w:trPr>
          <w:trHeight w:val="315"/>
        </w:trPr>
        <w:tc>
          <w:tcPr>
            <w:tcW w:w="3360" w:type="dxa"/>
            <w:tcBorders>
              <w:top w:val="nil"/>
              <w:left w:val="nil"/>
              <w:bottom w:val="nil"/>
              <w:right w:val="nil"/>
            </w:tcBorders>
            <w:shd w:val="clear" w:color="auto" w:fill="auto"/>
            <w:noWrap/>
            <w:vAlign w:val="bottom"/>
            <w:hideMark/>
          </w:tcPr>
          <w:p w:rsidR="00ED2D31" w:rsidRPr="000E5724" w:rsidRDefault="00ED2D31" w:rsidP="001054FA">
            <w:pPr>
              <w:rPr>
                <w:rFonts w:ascii="Arial" w:hAnsi="Arial" w:cs="Arial"/>
                <w:color w:val="000000"/>
                <w:sz w:val="20"/>
                <w:szCs w:val="20"/>
              </w:rPr>
            </w:pPr>
          </w:p>
        </w:tc>
        <w:tc>
          <w:tcPr>
            <w:tcW w:w="6100" w:type="dxa"/>
            <w:gridSpan w:val="5"/>
            <w:tcBorders>
              <w:top w:val="single" w:sz="8" w:space="0" w:color="auto"/>
              <w:left w:val="nil"/>
              <w:bottom w:val="single" w:sz="8" w:space="0" w:color="auto"/>
              <w:right w:val="single" w:sz="8" w:space="0" w:color="000000"/>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Year</w:t>
            </w:r>
          </w:p>
        </w:tc>
      </w:tr>
      <w:tr w:rsidR="00ED2D31" w:rsidRPr="000E5724" w:rsidTr="001054FA">
        <w:trPr>
          <w:trHeight w:val="315"/>
        </w:trPr>
        <w:tc>
          <w:tcPr>
            <w:tcW w:w="3360" w:type="dxa"/>
            <w:tcBorders>
              <w:top w:val="single" w:sz="8" w:space="0" w:color="auto"/>
              <w:left w:val="single" w:sz="8" w:space="0" w:color="auto"/>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Scenario</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2012</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2013</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2014</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2015</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Total</w:t>
            </w:r>
          </w:p>
        </w:tc>
      </w:tr>
      <w:tr w:rsidR="00ED2D31" w:rsidRPr="000E5724" w:rsidTr="001054FA">
        <w:trPr>
          <w:trHeight w:val="315"/>
        </w:trPr>
        <w:tc>
          <w:tcPr>
            <w:tcW w:w="3360" w:type="dxa"/>
            <w:tcBorders>
              <w:top w:val="nil"/>
              <w:left w:val="single" w:sz="8" w:space="0" w:color="auto"/>
              <w:bottom w:val="single" w:sz="8" w:space="0" w:color="auto"/>
              <w:right w:val="nil"/>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1 - Expected Result (Gross)</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1,376</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5,390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5,945</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5,673</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18,384</w:t>
            </w:r>
          </w:p>
        </w:tc>
      </w:tr>
      <w:tr w:rsidR="00ED2D31" w:rsidRPr="000E5724" w:rsidTr="001054FA">
        <w:trPr>
          <w:trHeight w:val="315"/>
        </w:trPr>
        <w:tc>
          <w:tcPr>
            <w:tcW w:w="3360" w:type="dxa"/>
            <w:tcBorders>
              <w:top w:val="nil"/>
              <w:left w:val="single" w:sz="8" w:space="0" w:color="auto"/>
              <w:bottom w:val="single" w:sz="8" w:space="0" w:color="auto"/>
              <w:right w:val="nil"/>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1 - Expected Result (Net)</w:t>
            </w:r>
          </w:p>
        </w:tc>
        <w:tc>
          <w:tcPr>
            <w:tcW w:w="1220" w:type="dxa"/>
            <w:tcBorders>
              <w:top w:val="nil"/>
              <w:left w:val="single" w:sz="4" w:space="0" w:color="auto"/>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1,280</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5,013</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5,529</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5,276</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17,097</w:t>
            </w:r>
          </w:p>
        </w:tc>
      </w:tr>
      <w:tr w:rsidR="00ED2D31" w:rsidRPr="000E5724" w:rsidTr="001054FA">
        <w:trPr>
          <w:trHeight w:val="315"/>
        </w:trPr>
        <w:tc>
          <w:tcPr>
            <w:tcW w:w="3360" w:type="dxa"/>
            <w:tcBorders>
              <w:top w:val="nil"/>
              <w:left w:val="single" w:sz="8" w:space="0" w:color="auto"/>
              <w:bottom w:val="single" w:sz="8" w:space="0" w:color="auto"/>
              <w:right w:val="nil"/>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2 - Guaranteed Result (Gross)</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1,102</w:t>
            </w:r>
          </w:p>
        </w:tc>
        <w:tc>
          <w:tcPr>
            <w:tcW w:w="1220" w:type="dxa"/>
            <w:tcBorders>
              <w:top w:val="nil"/>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4,317</w:t>
            </w:r>
          </w:p>
        </w:tc>
        <w:tc>
          <w:tcPr>
            <w:tcW w:w="1220" w:type="dxa"/>
            <w:tcBorders>
              <w:top w:val="nil"/>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4,761</w:t>
            </w:r>
          </w:p>
        </w:tc>
        <w:tc>
          <w:tcPr>
            <w:tcW w:w="1220" w:type="dxa"/>
            <w:tcBorders>
              <w:top w:val="nil"/>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4,543</w:t>
            </w:r>
          </w:p>
        </w:tc>
        <w:tc>
          <w:tcPr>
            <w:tcW w:w="1220" w:type="dxa"/>
            <w:tcBorders>
              <w:top w:val="nil"/>
              <w:left w:val="nil"/>
              <w:bottom w:val="single" w:sz="4" w:space="0" w:color="auto"/>
              <w:right w:val="single" w:sz="4" w:space="0" w:color="auto"/>
            </w:tcBorders>
            <w:shd w:val="clear" w:color="auto" w:fill="auto"/>
            <w:noWrap/>
            <w:vAlign w:val="bottom"/>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14,723</w:t>
            </w:r>
          </w:p>
        </w:tc>
      </w:tr>
      <w:tr w:rsidR="00ED2D31" w:rsidRPr="000E5724" w:rsidTr="001054FA">
        <w:trPr>
          <w:trHeight w:val="315"/>
        </w:trPr>
        <w:tc>
          <w:tcPr>
            <w:tcW w:w="3360" w:type="dxa"/>
            <w:tcBorders>
              <w:top w:val="nil"/>
              <w:left w:val="single" w:sz="8" w:space="0" w:color="auto"/>
              <w:bottom w:val="single" w:sz="8" w:space="0" w:color="auto"/>
              <w:right w:val="nil"/>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2 - Guaranteed Result (Net)</w:t>
            </w:r>
          </w:p>
        </w:tc>
        <w:tc>
          <w:tcPr>
            <w:tcW w:w="1220" w:type="dxa"/>
            <w:tcBorders>
              <w:top w:val="nil"/>
              <w:left w:val="single" w:sz="4" w:space="0" w:color="auto"/>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1,025</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4,015</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4,428</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4,225</w:t>
            </w:r>
          </w:p>
        </w:tc>
        <w:tc>
          <w:tcPr>
            <w:tcW w:w="1220" w:type="dxa"/>
            <w:tcBorders>
              <w:top w:val="nil"/>
              <w:left w:val="nil"/>
              <w:bottom w:val="single" w:sz="4" w:space="0" w:color="auto"/>
              <w:right w:val="single" w:sz="4" w:space="0" w:color="auto"/>
            </w:tcBorders>
            <w:shd w:val="clear" w:color="000000" w:fill="FFFFFF"/>
            <w:noWrap/>
            <w:vAlign w:val="center"/>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13,693</w:t>
            </w:r>
          </w:p>
        </w:tc>
      </w:tr>
    </w:tbl>
    <w:p w:rsidR="00ED2D31" w:rsidRPr="000E5724" w:rsidRDefault="00ED2D31" w:rsidP="00ED2D31">
      <w:pPr>
        <w:jc w:val="center"/>
        <w:rPr>
          <w:rFonts w:ascii="Times New Roman" w:hAnsi="Times New Roman"/>
          <w:sz w:val="24"/>
          <w:szCs w:val="24"/>
        </w:rPr>
      </w:pPr>
    </w:p>
    <w:p w:rsidR="00ED2D31" w:rsidRPr="000E5724" w:rsidRDefault="00ED2D31" w:rsidP="00ED2D31">
      <w:pPr>
        <w:jc w:val="center"/>
        <w:rPr>
          <w:rFonts w:ascii="Times New Roman" w:hAnsi="Times New Roman"/>
          <w:sz w:val="24"/>
          <w:szCs w:val="24"/>
        </w:rPr>
      </w:pPr>
    </w:p>
    <w:p w:rsidR="00ED2D31" w:rsidRPr="000E5724" w:rsidRDefault="00ED2D31" w:rsidP="00ED2D31">
      <w:pPr>
        <w:jc w:val="center"/>
        <w:rPr>
          <w:rFonts w:ascii="Times New Roman" w:hAnsi="Times New Roman"/>
          <w:sz w:val="24"/>
          <w:szCs w:val="24"/>
        </w:rPr>
      </w:pPr>
    </w:p>
    <w:p w:rsidR="00ED2D31" w:rsidRPr="000E5724" w:rsidRDefault="00ED2D31" w:rsidP="00ED2D31">
      <w:pPr>
        <w:jc w:val="both"/>
        <w:rPr>
          <w:rFonts w:ascii="Times New Roman" w:hAnsi="Times New Roman"/>
          <w:b/>
          <w:sz w:val="24"/>
          <w:szCs w:val="24"/>
        </w:rPr>
      </w:pPr>
      <w:r w:rsidRPr="000E5724">
        <w:rPr>
          <w:rFonts w:ascii="Times New Roman" w:hAnsi="Times New Roman"/>
          <w:b/>
          <w:sz w:val="24"/>
          <w:szCs w:val="24"/>
        </w:rPr>
        <w:t xml:space="preserve">                Table 3 –Annual Program Costs for PY 2012-2015 (Source: OPOWER)</w:t>
      </w:r>
    </w:p>
    <w:tbl>
      <w:tblPr>
        <w:tblW w:w="9340" w:type="dxa"/>
        <w:tblInd w:w="93" w:type="dxa"/>
        <w:tblLook w:val="04A0"/>
      </w:tblPr>
      <w:tblGrid>
        <w:gridCol w:w="3240"/>
        <w:gridCol w:w="1220"/>
        <w:gridCol w:w="1220"/>
        <w:gridCol w:w="1220"/>
        <w:gridCol w:w="1220"/>
        <w:gridCol w:w="1220"/>
      </w:tblGrid>
      <w:tr w:rsidR="00ED2D31" w:rsidRPr="000E5724" w:rsidTr="001054FA">
        <w:trPr>
          <w:trHeight w:val="315"/>
        </w:trPr>
        <w:tc>
          <w:tcPr>
            <w:tcW w:w="3240" w:type="dxa"/>
            <w:tcBorders>
              <w:top w:val="nil"/>
              <w:left w:val="nil"/>
              <w:bottom w:val="nil"/>
              <w:right w:val="nil"/>
            </w:tcBorders>
            <w:shd w:val="clear" w:color="auto" w:fill="auto"/>
            <w:noWrap/>
            <w:vAlign w:val="bottom"/>
            <w:hideMark/>
          </w:tcPr>
          <w:p w:rsidR="00ED2D31" w:rsidRPr="000E5724" w:rsidRDefault="00ED2D31" w:rsidP="001054FA">
            <w:pPr>
              <w:rPr>
                <w:rFonts w:ascii="Arial" w:hAnsi="Arial" w:cs="Arial"/>
                <w:color w:val="000000"/>
                <w:sz w:val="20"/>
                <w:szCs w:val="20"/>
              </w:rPr>
            </w:pPr>
          </w:p>
        </w:tc>
        <w:tc>
          <w:tcPr>
            <w:tcW w:w="6100" w:type="dxa"/>
            <w:gridSpan w:val="5"/>
            <w:tcBorders>
              <w:top w:val="single" w:sz="8" w:space="0" w:color="auto"/>
              <w:left w:val="nil"/>
              <w:bottom w:val="single" w:sz="8" w:space="0" w:color="auto"/>
              <w:right w:val="single" w:sz="8" w:space="0" w:color="000000"/>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Year</w:t>
            </w:r>
          </w:p>
        </w:tc>
      </w:tr>
      <w:tr w:rsidR="00ED2D31" w:rsidRPr="000E5724" w:rsidTr="001054FA">
        <w:trPr>
          <w:trHeight w:val="315"/>
        </w:trPr>
        <w:tc>
          <w:tcPr>
            <w:tcW w:w="3240" w:type="dxa"/>
            <w:tcBorders>
              <w:top w:val="single" w:sz="8" w:space="0" w:color="auto"/>
              <w:left w:val="single" w:sz="8" w:space="0" w:color="auto"/>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Scenario</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2012</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2013</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2014</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2015</w:t>
            </w:r>
          </w:p>
        </w:tc>
        <w:tc>
          <w:tcPr>
            <w:tcW w:w="1220" w:type="dxa"/>
            <w:tcBorders>
              <w:top w:val="nil"/>
              <w:left w:val="nil"/>
              <w:bottom w:val="nil"/>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Total</w:t>
            </w:r>
          </w:p>
        </w:tc>
      </w:tr>
      <w:tr w:rsidR="00ED2D31" w:rsidRPr="000E5724" w:rsidTr="001054FA">
        <w:trPr>
          <w:trHeight w:val="315"/>
        </w:trPr>
        <w:tc>
          <w:tcPr>
            <w:tcW w:w="3240" w:type="dxa"/>
            <w:tcBorders>
              <w:top w:val="nil"/>
              <w:left w:val="single" w:sz="8" w:space="0" w:color="auto"/>
              <w:bottom w:val="single" w:sz="8" w:space="0" w:color="auto"/>
              <w:right w:val="nil"/>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1 - Expected Result</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$96,668</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$132,119</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$185,119</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$200,119</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$614,023</w:t>
            </w:r>
          </w:p>
        </w:tc>
      </w:tr>
      <w:tr w:rsidR="00ED2D31" w:rsidRPr="000E5724" w:rsidTr="001054FA">
        <w:trPr>
          <w:trHeight w:val="315"/>
        </w:trPr>
        <w:tc>
          <w:tcPr>
            <w:tcW w:w="3240" w:type="dxa"/>
            <w:tcBorders>
              <w:top w:val="nil"/>
              <w:left w:val="single" w:sz="8" w:space="0" w:color="auto"/>
              <w:bottom w:val="single" w:sz="8" w:space="0" w:color="auto"/>
              <w:right w:val="nil"/>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2 - Guaranteed Result</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$96,668</w:t>
            </w:r>
          </w:p>
        </w:tc>
        <w:tc>
          <w:tcPr>
            <w:tcW w:w="1220" w:type="dxa"/>
            <w:tcBorders>
              <w:top w:val="nil"/>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$132,119</w:t>
            </w:r>
          </w:p>
        </w:tc>
        <w:tc>
          <w:tcPr>
            <w:tcW w:w="1220" w:type="dxa"/>
            <w:tcBorders>
              <w:top w:val="nil"/>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$185,119</w:t>
            </w:r>
          </w:p>
        </w:tc>
        <w:tc>
          <w:tcPr>
            <w:tcW w:w="1220" w:type="dxa"/>
            <w:tcBorders>
              <w:top w:val="nil"/>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$200,119</w:t>
            </w:r>
          </w:p>
        </w:tc>
        <w:tc>
          <w:tcPr>
            <w:tcW w:w="1220" w:type="dxa"/>
            <w:tcBorders>
              <w:top w:val="nil"/>
              <w:left w:val="nil"/>
              <w:bottom w:val="single" w:sz="8" w:space="0" w:color="auto"/>
              <w:right w:val="single" w:sz="8" w:space="0" w:color="auto"/>
            </w:tcBorders>
            <w:shd w:val="clear" w:color="auto" w:fill="auto"/>
            <w:noWrap/>
            <w:vAlign w:val="bottom"/>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$614,023</w:t>
            </w:r>
          </w:p>
        </w:tc>
      </w:tr>
    </w:tbl>
    <w:p w:rsidR="00ED2D31" w:rsidRPr="000E5724" w:rsidRDefault="00ED2D31" w:rsidP="00ED2D31">
      <w:pPr>
        <w:rPr>
          <w:rFonts w:ascii="Times New Roman" w:hAnsi="Times New Roman"/>
          <w:sz w:val="24"/>
          <w:szCs w:val="24"/>
        </w:rPr>
      </w:pPr>
      <w:r w:rsidRPr="000E5724">
        <w:rPr>
          <w:rFonts w:ascii="Times New Roman" w:hAnsi="Times New Roman"/>
          <w:sz w:val="24"/>
          <w:szCs w:val="24"/>
        </w:rPr>
        <w:br w:type="page"/>
      </w:r>
    </w:p>
    <w:p w:rsidR="00ED2D31" w:rsidRPr="000E5724" w:rsidRDefault="00ED2D31" w:rsidP="00ED2D31">
      <w:pPr>
        <w:rPr>
          <w:rFonts w:ascii="Times New Roman" w:hAnsi="Times New Roman"/>
          <w:sz w:val="24"/>
          <w:szCs w:val="24"/>
        </w:rPr>
      </w:pPr>
      <w:r w:rsidRPr="000E5724">
        <w:rPr>
          <w:rFonts w:ascii="Times New Roman" w:hAnsi="Times New Roman"/>
          <w:sz w:val="24"/>
          <w:szCs w:val="24"/>
        </w:rPr>
        <w:t>The total PY 2012-2015 cost/benefits results are as follows:</w:t>
      </w: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b/>
          <w:sz w:val="24"/>
          <w:szCs w:val="24"/>
        </w:rPr>
      </w:pPr>
      <w:r w:rsidRPr="000E5724">
        <w:rPr>
          <w:rFonts w:ascii="Times New Roman" w:hAnsi="Times New Roman"/>
          <w:b/>
          <w:sz w:val="24"/>
          <w:szCs w:val="24"/>
        </w:rPr>
        <w:t>Table 4 –Total PY 2012-2015 Cost/Benefit Test Results</w:t>
      </w:r>
    </w:p>
    <w:tbl>
      <w:tblPr>
        <w:tblW w:w="10680" w:type="dxa"/>
        <w:jc w:val="center"/>
        <w:tblInd w:w="93" w:type="dxa"/>
        <w:tblLook w:val="04A0"/>
      </w:tblPr>
      <w:tblGrid>
        <w:gridCol w:w="3360"/>
        <w:gridCol w:w="1220"/>
        <w:gridCol w:w="1329"/>
        <w:gridCol w:w="1220"/>
        <w:gridCol w:w="1220"/>
        <w:gridCol w:w="1329"/>
        <w:gridCol w:w="1220"/>
      </w:tblGrid>
      <w:tr w:rsidR="00ED2D31" w:rsidRPr="000E5724" w:rsidTr="001054FA">
        <w:trPr>
          <w:trHeight w:val="345"/>
          <w:jc w:val="center"/>
        </w:trPr>
        <w:tc>
          <w:tcPr>
            <w:tcW w:w="3360" w:type="dxa"/>
            <w:vMerge w:val="restart"/>
            <w:tcBorders>
              <w:top w:val="single" w:sz="8" w:space="0" w:color="auto"/>
              <w:left w:val="single" w:sz="8" w:space="0" w:color="auto"/>
              <w:bottom w:val="single" w:sz="8" w:space="0" w:color="000000"/>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 xml:space="preserve">Benefit/Cost Test Performed </w:t>
            </w:r>
          </w:p>
        </w:tc>
        <w:tc>
          <w:tcPr>
            <w:tcW w:w="3660" w:type="dxa"/>
            <w:gridSpan w:val="3"/>
            <w:tcBorders>
              <w:top w:val="single" w:sz="8" w:space="0" w:color="auto"/>
              <w:left w:val="nil"/>
              <w:bottom w:val="single" w:sz="8" w:space="0" w:color="auto"/>
              <w:right w:val="single" w:sz="8" w:space="0" w:color="000000"/>
            </w:tcBorders>
            <w:shd w:val="clear" w:color="000000" w:fill="17375D"/>
            <w:noWrap/>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Scenario 1 Expected - 2012-2015</w:t>
            </w:r>
          </w:p>
        </w:tc>
        <w:tc>
          <w:tcPr>
            <w:tcW w:w="3660" w:type="dxa"/>
            <w:gridSpan w:val="3"/>
            <w:tcBorders>
              <w:top w:val="single" w:sz="8" w:space="0" w:color="auto"/>
              <w:left w:val="nil"/>
              <w:bottom w:val="single" w:sz="8" w:space="0" w:color="auto"/>
              <w:right w:val="single" w:sz="8" w:space="0" w:color="000000"/>
            </w:tcBorders>
            <w:shd w:val="clear" w:color="000000" w:fill="17375D"/>
            <w:noWrap/>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Scenario 2 Guaranteed - 2012-2015</w:t>
            </w:r>
          </w:p>
        </w:tc>
      </w:tr>
      <w:tr w:rsidR="00ED2D31" w:rsidRPr="000E5724" w:rsidTr="001054FA">
        <w:trPr>
          <w:trHeight w:val="345"/>
          <w:jc w:val="center"/>
        </w:trPr>
        <w:tc>
          <w:tcPr>
            <w:tcW w:w="3360" w:type="dxa"/>
            <w:vMerge/>
            <w:tcBorders>
              <w:top w:val="single" w:sz="8" w:space="0" w:color="auto"/>
              <w:left w:val="single" w:sz="8" w:space="0" w:color="auto"/>
              <w:bottom w:val="single" w:sz="8" w:space="0" w:color="000000"/>
              <w:right w:val="single" w:sz="8" w:space="0" w:color="auto"/>
            </w:tcBorders>
            <w:vAlign w:val="center"/>
            <w:hideMark/>
          </w:tcPr>
          <w:p w:rsidR="00ED2D31" w:rsidRPr="000E5724" w:rsidRDefault="00ED2D31" w:rsidP="001054FA">
            <w:pPr>
              <w:rPr>
                <w:rFonts w:ascii="Arial" w:hAnsi="Arial" w:cs="Arial"/>
                <w:b/>
                <w:bCs/>
                <w:color w:val="FFFFFF"/>
                <w:sz w:val="20"/>
                <w:szCs w:val="20"/>
              </w:rPr>
            </w:pPr>
          </w:p>
        </w:tc>
        <w:tc>
          <w:tcPr>
            <w:tcW w:w="1220" w:type="dxa"/>
            <w:tcBorders>
              <w:top w:val="nil"/>
              <w:left w:val="nil"/>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 xml:space="preserve">Costs </w:t>
            </w:r>
          </w:p>
        </w:tc>
        <w:tc>
          <w:tcPr>
            <w:tcW w:w="1220" w:type="dxa"/>
            <w:tcBorders>
              <w:top w:val="nil"/>
              <w:left w:val="nil"/>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Benefits</w:t>
            </w:r>
          </w:p>
        </w:tc>
        <w:tc>
          <w:tcPr>
            <w:tcW w:w="1220" w:type="dxa"/>
            <w:tcBorders>
              <w:top w:val="nil"/>
              <w:left w:val="nil"/>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B/C Ratio</w:t>
            </w:r>
          </w:p>
        </w:tc>
        <w:tc>
          <w:tcPr>
            <w:tcW w:w="1220" w:type="dxa"/>
            <w:tcBorders>
              <w:top w:val="nil"/>
              <w:left w:val="nil"/>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 xml:space="preserve">Costs </w:t>
            </w:r>
          </w:p>
        </w:tc>
        <w:tc>
          <w:tcPr>
            <w:tcW w:w="1220" w:type="dxa"/>
            <w:tcBorders>
              <w:top w:val="nil"/>
              <w:left w:val="nil"/>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Benefits</w:t>
            </w:r>
          </w:p>
        </w:tc>
        <w:tc>
          <w:tcPr>
            <w:tcW w:w="1220" w:type="dxa"/>
            <w:tcBorders>
              <w:top w:val="nil"/>
              <w:left w:val="nil"/>
              <w:bottom w:val="single" w:sz="8" w:space="0" w:color="auto"/>
              <w:right w:val="single" w:sz="8" w:space="0" w:color="auto"/>
            </w:tcBorders>
            <w:shd w:val="clear" w:color="000000" w:fill="376091"/>
            <w:vAlign w:val="center"/>
            <w:hideMark/>
          </w:tcPr>
          <w:p w:rsidR="00ED2D31" w:rsidRPr="000E5724" w:rsidRDefault="00ED2D31" w:rsidP="001054FA">
            <w:pPr>
              <w:jc w:val="center"/>
              <w:rPr>
                <w:rFonts w:ascii="Arial" w:hAnsi="Arial" w:cs="Arial"/>
                <w:b/>
                <w:bCs/>
                <w:color w:val="FFFFFF"/>
                <w:sz w:val="20"/>
                <w:szCs w:val="20"/>
              </w:rPr>
            </w:pPr>
            <w:r w:rsidRPr="000E5724">
              <w:rPr>
                <w:rFonts w:ascii="Arial" w:hAnsi="Arial" w:cs="Arial"/>
                <w:b/>
                <w:bCs/>
                <w:color w:val="FFFFFF"/>
                <w:sz w:val="20"/>
                <w:szCs w:val="20"/>
              </w:rPr>
              <w:t>B/C Ratio</w:t>
            </w:r>
          </w:p>
        </w:tc>
      </w:tr>
      <w:tr w:rsidR="00ED2D31" w:rsidRPr="000E5724" w:rsidTr="001054FA">
        <w:trPr>
          <w:trHeight w:val="345"/>
          <w:jc w:val="center"/>
        </w:trPr>
        <w:tc>
          <w:tcPr>
            <w:tcW w:w="336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Total Resource Cost Test (TRC)</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$1,394,421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2.27</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$1,116,754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1.82</w:t>
            </w:r>
          </w:p>
        </w:tc>
      </w:tr>
      <w:tr w:rsidR="00ED2D31" w:rsidRPr="000E5724" w:rsidTr="001054FA">
        <w:trPr>
          <w:trHeight w:val="345"/>
          <w:jc w:val="center"/>
        </w:trPr>
        <w:tc>
          <w:tcPr>
            <w:tcW w:w="336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Total Resource Cost Test (PTRC)</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$1,533,863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2.50</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$1,228,430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2.00</w:t>
            </w:r>
          </w:p>
        </w:tc>
      </w:tr>
      <w:tr w:rsidR="00ED2D31" w:rsidRPr="000E5724" w:rsidTr="001054FA">
        <w:trPr>
          <w:trHeight w:val="345"/>
          <w:jc w:val="center"/>
        </w:trPr>
        <w:tc>
          <w:tcPr>
            <w:tcW w:w="336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Societal Cost Test (SCT)</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$1,394,421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2.27</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$1,116,754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1.82</w:t>
            </w:r>
          </w:p>
        </w:tc>
      </w:tr>
      <w:tr w:rsidR="00ED2D31" w:rsidRPr="000E5724" w:rsidTr="001054FA">
        <w:trPr>
          <w:trHeight w:val="345"/>
          <w:jc w:val="center"/>
        </w:trPr>
        <w:tc>
          <w:tcPr>
            <w:tcW w:w="336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Utility Cost Test (UCT)</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$1,394,421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2.27</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$1,116,754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1.82</w:t>
            </w:r>
          </w:p>
        </w:tc>
      </w:tr>
      <w:tr w:rsidR="00ED2D31" w:rsidRPr="000E5724" w:rsidTr="001054FA">
        <w:trPr>
          <w:trHeight w:val="345"/>
          <w:jc w:val="center"/>
        </w:trPr>
        <w:tc>
          <w:tcPr>
            <w:tcW w:w="336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Rate Impact Test (RIM)</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$1,870,639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$1,394,421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0.75</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$1,620,414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$1,116,754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0.69</w:t>
            </w:r>
          </w:p>
        </w:tc>
      </w:tr>
      <w:tr w:rsidR="00ED2D31" w:rsidRPr="000E5724" w:rsidTr="001054FA">
        <w:trPr>
          <w:trHeight w:val="345"/>
          <w:jc w:val="center"/>
        </w:trPr>
        <w:tc>
          <w:tcPr>
            <w:tcW w:w="3360" w:type="dxa"/>
            <w:tcBorders>
              <w:top w:val="nil"/>
              <w:left w:val="single" w:sz="8" w:space="0" w:color="auto"/>
              <w:bottom w:val="single" w:sz="8" w:space="0" w:color="auto"/>
              <w:right w:val="single" w:sz="8" w:space="0" w:color="auto"/>
            </w:tcBorders>
            <w:shd w:val="clear" w:color="000000" w:fill="BFBFBF"/>
            <w:noWrap/>
            <w:vAlign w:val="center"/>
            <w:hideMark/>
          </w:tcPr>
          <w:p w:rsidR="00ED2D31" w:rsidRPr="000E5724" w:rsidRDefault="00ED2D31" w:rsidP="001054FA">
            <w:pPr>
              <w:rPr>
                <w:rFonts w:ascii="Arial" w:hAnsi="Arial" w:cs="Arial"/>
                <w:b/>
                <w:bCs/>
                <w:color w:val="000000"/>
                <w:sz w:val="20"/>
                <w:szCs w:val="20"/>
              </w:rPr>
            </w:pPr>
            <w:r w:rsidRPr="000E5724">
              <w:rPr>
                <w:rFonts w:ascii="Arial" w:hAnsi="Arial" w:cs="Arial"/>
                <w:b/>
                <w:bCs/>
                <w:color w:val="000000"/>
                <w:sz w:val="20"/>
                <w:szCs w:val="20"/>
              </w:rPr>
              <w:t>Levelized Cost ($/kWh)</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$14,904,406</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$0.041</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 xml:space="preserve">$614,025 </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$11,936,542</w:t>
            </w:r>
          </w:p>
        </w:tc>
        <w:tc>
          <w:tcPr>
            <w:tcW w:w="1220" w:type="dxa"/>
            <w:tcBorders>
              <w:top w:val="nil"/>
              <w:left w:val="nil"/>
              <w:bottom w:val="single" w:sz="8" w:space="0" w:color="auto"/>
              <w:right w:val="single" w:sz="8" w:space="0" w:color="auto"/>
            </w:tcBorders>
            <w:shd w:val="clear" w:color="auto" w:fill="auto"/>
            <w:noWrap/>
            <w:vAlign w:val="center"/>
            <w:hideMark/>
          </w:tcPr>
          <w:p w:rsidR="00ED2D31" w:rsidRPr="000E5724" w:rsidRDefault="00ED2D31" w:rsidP="001054FA">
            <w:pPr>
              <w:jc w:val="center"/>
              <w:rPr>
                <w:rFonts w:ascii="Arial" w:hAnsi="Arial" w:cs="Arial"/>
                <w:color w:val="000000"/>
                <w:sz w:val="20"/>
                <w:szCs w:val="20"/>
              </w:rPr>
            </w:pPr>
            <w:r w:rsidRPr="000E5724">
              <w:rPr>
                <w:rFonts w:ascii="Arial" w:hAnsi="Arial" w:cs="Arial"/>
                <w:color w:val="000000"/>
                <w:sz w:val="20"/>
                <w:szCs w:val="20"/>
              </w:rPr>
              <w:t>$0.051</w:t>
            </w:r>
          </w:p>
        </w:tc>
      </w:tr>
    </w:tbl>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p>
    <w:p w:rsidR="00ED2D31" w:rsidRPr="000E5724" w:rsidRDefault="00ED2D31" w:rsidP="00ED2D31">
      <w:pPr>
        <w:rPr>
          <w:rFonts w:ascii="Times New Roman" w:hAnsi="Times New Roman"/>
          <w:sz w:val="24"/>
          <w:szCs w:val="24"/>
        </w:rPr>
      </w:pPr>
      <w:r w:rsidRPr="000E5724">
        <w:rPr>
          <w:rFonts w:ascii="Times New Roman" w:hAnsi="Times New Roman"/>
          <w:sz w:val="24"/>
          <w:szCs w:val="24"/>
        </w:rPr>
        <w:t xml:space="preserve">It should be emphasized that these results assume that ALL measures implemented are zero-cost behavioral measures, net of 9-11% attributed to other, presumably equipment-focused programs. All of these behavioral measures are assumed to have zero cost and only one year of measure life. Any equipment installations would have incremental costs and longer lifetimes that would need to be considered in a benefit-cost analysis. The actual fraction of savings attributable to equipment installations is a matter of some debate within the DSM industry at this time, with estimates ranging from 0 to 50%. Including equipment installations would likely increase costs more than benefits, but </w:t>
      </w:r>
      <w:r w:rsidR="000E5724">
        <w:rPr>
          <w:rFonts w:ascii="Times New Roman" w:hAnsi="Times New Roman"/>
          <w:sz w:val="24"/>
          <w:szCs w:val="24"/>
        </w:rPr>
        <w:t>this is uncertain at this time.</w:t>
      </w:r>
    </w:p>
    <w:p w:rsidR="00ED2D31" w:rsidRDefault="00ED2D31">
      <w:r>
        <w:br w:type="page"/>
      </w:r>
    </w:p>
    <w:p w:rsidR="009C3D09" w:rsidRDefault="009C3D09" w:rsidP="009C3D09">
      <w:pPr>
        <w:pStyle w:val="memoaddress"/>
      </w:pPr>
      <w:r>
        <w:t xml:space="preserve">Date: </w:t>
      </w:r>
      <w:r>
        <w:tab/>
        <w:t>January 27, 2012</w:t>
      </w:r>
    </w:p>
    <w:p w:rsidR="009C3D09" w:rsidRDefault="009C3D09" w:rsidP="009C3D09">
      <w:pPr>
        <w:pStyle w:val="memoaddress"/>
        <w:ind w:left="1350" w:hanging="1350"/>
      </w:pPr>
      <w:r>
        <w:t>To:</w:t>
      </w:r>
      <w:r>
        <w:tab/>
        <w:t>Don Jones, Jr.</w:t>
      </w:r>
    </w:p>
    <w:p w:rsidR="009C3D09" w:rsidRDefault="009C3D09" w:rsidP="009C3D09">
      <w:pPr>
        <w:pStyle w:val="memoaddress"/>
      </w:pPr>
      <w:r>
        <w:t>From:</w:t>
      </w:r>
      <w:r>
        <w:tab/>
        <w:t>Aaron Jenniges and Niko Drake-McLaughlin</w:t>
      </w:r>
    </w:p>
    <w:p w:rsidR="009C3D09" w:rsidRDefault="009C3D09" w:rsidP="009C3D09">
      <w:pPr>
        <w:pStyle w:val="memoaddress"/>
        <w:ind w:left="1350" w:hanging="1350"/>
      </w:pPr>
      <w:r>
        <w:t>Re:</w:t>
      </w:r>
      <w:r>
        <w:tab/>
      </w:r>
      <w:r>
        <w:rPr>
          <w:bCs/>
        </w:rPr>
        <w:t>Washington Energy FinAnswer 2012-13 Program Cost-Effectiveness</w:t>
      </w:r>
    </w:p>
    <w:p w:rsidR="009C3D09" w:rsidRDefault="009C3D09" w:rsidP="009C3D09">
      <w:pPr>
        <w:pBdr>
          <w:bottom w:val="single" w:sz="4" w:space="1" w:color="auto"/>
        </w:pBdr>
      </w:pP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 xml:space="preserve">The tables below present the cost-effectiveness findings of the Washington Energy FinAnswer program based on 2012 and 2013 costs and gross savings estimates provided by PacifiCorp in a spreadsheet entitled “Copy of CE inputs for Table 1 business plan 011312”. The analysis assumed a discount rate of 7.17%, based on the 2011 PacifiCorp Integrated Resource Plan. </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Cost-effectiveness was tested using the 2011 IRP 71% west system load factor decrement. Table 1 lists modeling inputs.</w:t>
      </w:r>
    </w:p>
    <w:p w:rsidR="009C3D09" w:rsidRDefault="009C3D09" w:rsidP="009C3D09">
      <w:pPr>
        <w:pStyle w:val="tabletitle"/>
        <w:keepLines/>
      </w:pPr>
      <w:r>
        <w:t xml:space="preserve">Table </w:t>
      </w:r>
      <w:fldSimple w:instr=" SEQ Table \* ARABIC ">
        <w:r w:rsidR="00D761BE">
          <w:rPr>
            <w:noProof/>
          </w:rPr>
          <w:t>1</w:t>
        </w:r>
      </w:fldSimple>
      <w:r>
        <w:t>: Energy FinAnswer Inputs</w:t>
      </w:r>
    </w:p>
    <w:tbl>
      <w:tblPr>
        <w:tblW w:w="0" w:type="auto"/>
        <w:jc w:val="center"/>
        <w:tblInd w:w="2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20"/>
        <w:gridCol w:w="1563"/>
      </w:tblGrid>
      <w:tr w:rsidR="009C3D09" w:rsidTr="009C3D09">
        <w:trPr>
          <w:jc w:val="center"/>
        </w:trPr>
        <w:tc>
          <w:tcPr>
            <w:tcW w:w="3420"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Parameter</w:t>
            </w:r>
          </w:p>
        </w:tc>
        <w:tc>
          <w:tcPr>
            <w:tcW w:w="1563"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Value</w:t>
            </w:r>
          </w:p>
        </w:tc>
      </w:tr>
      <w:tr w:rsidR="009C3D09" w:rsidTr="009C3D09">
        <w:trPr>
          <w:trHeight w:val="135"/>
          <w:jc w:val="center"/>
        </w:trPr>
        <w:tc>
          <w:tcPr>
            <w:tcW w:w="3420" w:type="dxa"/>
          </w:tcPr>
          <w:p w:rsidR="009C3D09" w:rsidRDefault="009C3D09" w:rsidP="009C3D09">
            <w:pPr>
              <w:pStyle w:val="tabletext"/>
            </w:pPr>
            <w:r>
              <w:t xml:space="preserve">Discount Rate </w:t>
            </w:r>
          </w:p>
        </w:tc>
        <w:tc>
          <w:tcPr>
            <w:tcW w:w="1563" w:type="dxa"/>
            <w:shd w:val="clear" w:color="auto" w:fill="auto"/>
          </w:tcPr>
          <w:p w:rsidR="009C3D09" w:rsidRDefault="009C3D09" w:rsidP="009C3D09">
            <w:pPr>
              <w:pStyle w:val="tabletext"/>
              <w:jc w:val="center"/>
            </w:pPr>
            <w:r>
              <w:t>7.17%</w:t>
            </w:r>
          </w:p>
        </w:tc>
      </w:tr>
      <w:tr w:rsidR="009C3D09" w:rsidTr="009C3D09">
        <w:trPr>
          <w:trHeight w:val="135"/>
          <w:jc w:val="center"/>
        </w:trPr>
        <w:tc>
          <w:tcPr>
            <w:tcW w:w="3420" w:type="dxa"/>
          </w:tcPr>
          <w:p w:rsidR="009C3D09" w:rsidRDefault="009C3D09" w:rsidP="009C3D09">
            <w:pPr>
              <w:pStyle w:val="tabletext"/>
            </w:pPr>
            <w:r>
              <w:t>Commercial Line Loss</w:t>
            </w:r>
          </w:p>
        </w:tc>
        <w:tc>
          <w:tcPr>
            <w:tcW w:w="1563" w:type="dxa"/>
            <w:shd w:val="clear" w:color="auto" w:fill="auto"/>
          </w:tcPr>
          <w:p w:rsidR="009C3D09" w:rsidRDefault="009C3D09" w:rsidP="009C3D09">
            <w:pPr>
              <w:pStyle w:val="tabletext"/>
              <w:jc w:val="center"/>
            </w:pPr>
            <w:r>
              <w:t>8.73%</w:t>
            </w:r>
          </w:p>
        </w:tc>
      </w:tr>
      <w:tr w:rsidR="009C3D09" w:rsidTr="009C3D09">
        <w:trPr>
          <w:cantSplit/>
          <w:trHeight w:val="90"/>
          <w:jc w:val="center"/>
        </w:trPr>
        <w:tc>
          <w:tcPr>
            <w:tcW w:w="3420" w:type="dxa"/>
          </w:tcPr>
          <w:p w:rsidR="009C3D09" w:rsidRDefault="009C3D09" w:rsidP="009C3D09">
            <w:pPr>
              <w:pStyle w:val="tabletext"/>
            </w:pPr>
            <w:r>
              <w:t>Industrial Line Loss</w:t>
            </w:r>
          </w:p>
        </w:tc>
        <w:tc>
          <w:tcPr>
            <w:tcW w:w="1563" w:type="dxa"/>
            <w:shd w:val="clear" w:color="auto" w:fill="auto"/>
          </w:tcPr>
          <w:p w:rsidR="009C3D09" w:rsidRDefault="009C3D09" w:rsidP="009C3D09">
            <w:pPr>
              <w:pStyle w:val="tabletext"/>
              <w:jc w:val="center"/>
            </w:pPr>
            <w:r>
              <w:t>7.54%</w:t>
            </w:r>
          </w:p>
        </w:tc>
      </w:tr>
      <w:tr w:rsidR="009C3D09" w:rsidTr="009C3D09">
        <w:trPr>
          <w:cantSplit/>
          <w:trHeight w:val="90"/>
          <w:jc w:val="center"/>
        </w:trPr>
        <w:tc>
          <w:tcPr>
            <w:tcW w:w="3420" w:type="dxa"/>
          </w:tcPr>
          <w:p w:rsidR="009C3D09" w:rsidRDefault="009C3D09" w:rsidP="009C3D09">
            <w:pPr>
              <w:pStyle w:val="tabletext"/>
            </w:pPr>
            <w:r>
              <w:t>Commercial Energy Rate ($/kWh)</w:t>
            </w:r>
            <w:r>
              <w:br/>
              <w:t>(base year 2010)</w:t>
            </w:r>
          </w:p>
        </w:tc>
        <w:tc>
          <w:tcPr>
            <w:tcW w:w="1563" w:type="dxa"/>
            <w:shd w:val="clear" w:color="auto" w:fill="auto"/>
            <w:vAlign w:val="center"/>
          </w:tcPr>
          <w:p w:rsidR="009C3D09" w:rsidRDefault="009C3D09" w:rsidP="009C3D09">
            <w:pPr>
              <w:pStyle w:val="tabletext"/>
              <w:jc w:val="center"/>
            </w:pPr>
            <w:r>
              <w:t>$0.0688</w:t>
            </w:r>
          </w:p>
        </w:tc>
      </w:tr>
      <w:tr w:rsidR="009C3D09" w:rsidTr="009C3D09">
        <w:trPr>
          <w:cantSplit/>
          <w:trHeight w:val="90"/>
          <w:jc w:val="center"/>
        </w:trPr>
        <w:tc>
          <w:tcPr>
            <w:tcW w:w="3420" w:type="dxa"/>
          </w:tcPr>
          <w:p w:rsidR="009C3D09" w:rsidRDefault="009C3D09" w:rsidP="009C3D09">
            <w:pPr>
              <w:pStyle w:val="tabletext"/>
            </w:pPr>
            <w:r>
              <w:t>Industrial Energy Rate ($/kWh)</w:t>
            </w:r>
            <w:r>
              <w:br/>
              <w:t>(base year 2010)</w:t>
            </w:r>
          </w:p>
        </w:tc>
        <w:tc>
          <w:tcPr>
            <w:tcW w:w="1563" w:type="dxa"/>
            <w:shd w:val="clear" w:color="auto" w:fill="auto"/>
            <w:vAlign w:val="center"/>
          </w:tcPr>
          <w:p w:rsidR="009C3D09" w:rsidRDefault="009C3D09" w:rsidP="009C3D09">
            <w:pPr>
              <w:pStyle w:val="tabletext"/>
              <w:jc w:val="center"/>
            </w:pPr>
            <w:r>
              <w:t>$0.0577</w:t>
            </w:r>
          </w:p>
        </w:tc>
      </w:tr>
      <w:tr w:rsidR="009C3D09" w:rsidTr="009C3D09">
        <w:trPr>
          <w:cantSplit/>
          <w:trHeight w:val="90"/>
          <w:jc w:val="center"/>
        </w:trPr>
        <w:tc>
          <w:tcPr>
            <w:tcW w:w="3420" w:type="dxa"/>
          </w:tcPr>
          <w:p w:rsidR="009C3D09" w:rsidRDefault="009C3D09" w:rsidP="009C3D09">
            <w:pPr>
              <w:pStyle w:val="tabletext"/>
            </w:pPr>
            <w:r>
              <w:t>Inflation Rate</w:t>
            </w:r>
            <w:r>
              <w:rPr>
                <w:rStyle w:val="FootnoteReference"/>
              </w:rPr>
              <w:footnoteReference w:id="10"/>
            </w:r>
          </w:p>
        </w:tc>
        <w:tc>
          <w:tcPr>
            <w:tcW w:w="1563" w:type="dxa"/>
            <w:shd w:val="clear" w:color="auto" w:fill="auto"/>
            <w:vAlign w:val="center"/>
          </w:tcPr>
          <w:p w:rsidR="009C3D09" w:rsidRDefault="009C3D09" w:rsidP="009C3D09">
            <w:pPr>
              <w:pStyle w:val="tabletext"/>
              <w:jc w:val="center"/>
            </w:pPr>
            <w:r>
              <w:t>1.8%</w:t>
            </w:r>
          </w:p>
        </w:tc>
      </w:tr>
    </w:tbl>
    <w:p w:rsidR="000E5724" w:rsidRDefault="000E5724" w:rsidP="009C3D09">
      <w:pPr>
        <w:pStyle w:val="tabletitle"/>
        <w:keepLines/>
      </w:pPr>
    </w:p>
    <w:p w:rsidR="009C3D09" w:rsidRDefault="009C3D09" w:rsidP="009C3D09">
      <w:pPr>
        <w:pStyle w:val="tabletitle"/>
        <w:keepLines/>
      </w:pPr>
      <w:r>
        <w:t xml:space="preserve">Table </w:t>
      </w:r>
      <w:fldSimple w:instr=" SEQ Table \* ARABIC ">
        <w:r w:rsidR="00D761BE">
          <w:rPr>
            <w:noProof/>
          </w:rPr>
          <w:t>2</w:t>
        </w:r>
      </w:fldSimple>
      <w:r>
        <w:t xml:space="preserve">: Energy FinAnswer - Total Program Costs </w:t>
      </w:r>
    </w:p>
    <w:tbl>
      <w:tblPr>
        <w:tblW w:w="5380"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54"/>
        <w:gridCol w:w="1073"/>
        <w:gridCol w:w="1037"/>
        <w:gridCol w:w="1516"/>
      </w:tblGrid>
      <w:tr w:rsidR="009C3D09" w:rsidRPr="00E75B8E" w:rsidTr="009C3D09">
        <w:trPr>
          <w:trHeight w:val="675"/>
          <w:jc w:val="center"/>
        </w:trPr>
        <w:tc>
          <w:tcPr>
            <w:tcW w:w="1774" w:type="dxa"/>
            <w:shd w:val="clear" w:color="000000" w:fill="339966"/>
            <w:hideMark/>
          </w:tcPr>
          <w:p w:rsidR="009C3D09" w:rsidRPr="00E75B8E" w:rsidRDefault="009C3D09" w:rsidP="009C3D09">
            <w:pPr>
              <w:jc w:val="center"/>
              <w:rPr>
                <w:rFonts w:ascii="Arial Narrow" w:hAnsi="Arial Narrow" w:cs="Arial"/>
                <w:b/>
                <w:bCs/>
                <w:color w:val="FFFFFF"/>
                <w:sz w:val="20"/>
              </w:rPr>
            </w:pPr>
            <w:r w:rsidRPr="00E75B8E">
              <w:rPr>
                <w:rFonts w:ascii="Arial Narrow" w:hAnsi="Arial Narrow" w:cs="Arial"/>
                <w:b/>
                <w:bCs/>
                <w:color w:val="FFFFFF"/>
                <w:sz w:val="20"/>
              </w:rPr>
              <w:t> </w:t>
            </w:r>
          </w:p>
        </w:tc>
        <w:tc>
          <w:tcPr>
            <w:tcW w:w="1037" w:type="dxa"/>
            <w:shd w:val="clear" w:color="000000" w:fill="339966"/>
            <w:hideMark/>
          </w:tcPr>
          <w:p w:rsidR="009C3D09" w:rsidRPr="00E75B8E" w:rsidRDefault="009C3D09" w:rsidP="009C3D09">
            <w:pPr>
              <w:jc w:val="center"/>
              <w:rPr>
                <w:rFonts w:ascii="Arial Narrow" w:hAnsi="Arial Narrow" w:cs="Arial"/>
                <w:b/>
                <w:bCs/>
                <w:color w:val="FFFFFF"/>
                <w:sz w:val="20"/>
              </w:rPr>
            </w:pPr>
            <w:r>
              <w:rPr>
                <w:rFonts w:ascii="Arial Narrow" w:hAnsi="Arial Narrow" w:cs="Arial"/>
                <w:b/>
                <w:bCs/>
                <w:color w:val="FFFFFF"/>
                <w:sz w:val="20"/>
              </w:rPr>
              <w:t>Program Expenses (Non-Incentives)</w:t>
            </w:r>
          </w:p>
        </w:tc>
        <w:tc>
          <w:tcPr>
            <w:tcW w:w="1037" w:type="dxa"/>
            <w:shd w:val="clear" w:color="000000" w:fill="339966"/>
            <w:hideMark/>
          </w:tcPr>
          <w:p w:rsidR="009C3D09" w:rsidRPr="00E75B8E" w:rsidRDefault="009C3D09" w:rsidP="009C3D09">
            <w:pPr>
              <w:jc w:val="center"/>
              <w:rPr>
                <w:rFonts w:ascii="Arial Narrow" w:hAnsi="Arial Narrow" w:cs="Arial"/>
                <w:b/>
                <w:bCs/>
                <w:color w:val="FFFFFF"/>
                <w:sz w:val="20"/>
              </w:rPr>
            </w:pPr>
            <w:r w:rsidRPr="00E75B8E">
              <w:rPr>
                <w:rFonts w:ascii="Arial Narrow" w:hAnsi="Arial Narrow" w:cs="Arial"/>
                <w:b/>
                <w:bCs/>
                <w:color w:val="FFFFFF"/>
                <w:sz w:val="20"/>
              </w:rPr>
              <w:t>Incentives</w:t>
            </w:r>
          </w:p>
        </w:tc>
        <w:tc>
          <w:tcPr>
            <w:tcW w:w="1532" w:type="dxa"/>
            <w:shd w:val="clear" w:color="000000" w:fill="339966"/>
            <w:hideMark/>
          </w:tcPr>
          <w:p w:rsidR="009C3D09" w:rsidRPr="00E75B8E" w:rsidRDefault="009C3D09" w:rsidP="009C3D09">
            <w:pPr>
              <w:jc w:val="center"/>
              <w:rPr>
                <w:rFonts w:ascii="Arial Narrow" w:hAnsi="Arial Narrow" w:cs="Arial"/>
                <w:b/>
                <w:bCs/>
                <w:color w:val="FFFFFF"/>
                <w:sz w:val="20"/>
              </w:rPr>
            </w:pPr>
            <w:r w:rsidRPr="00E75B8E">
              <w:rPr>
                <w:rFonts w:ascii="Arial Narrow" w:hAnsi="Arial Narrow" w:cs="Arial"/>
                <w:b/>
                <w:bCs/>
                <w:color w:val="FFFFFF"/>
                <w:sz w:val="20"/>
              </w:rPr>
              <w:t>Total Utility Costs</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Additional Measures</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$155,875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$143,885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$299,760 </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HVAC</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$289,963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$267,658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$557,621 </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Lighting</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$264,552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$244,201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$508,753 </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Motors</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$223,967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$206,739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$430,706 </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Refrigeration</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$1,986,645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$1,833,826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$3,820,471 </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Building Shell</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$67,808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$62,592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$130,400 </w:t>
            </w:r>
          </w:p>
        </w:tc>
      </w:tr>
      <w:tr w:rsidR="009C3D09" w:rsidRPr="00E75B8E" w:rsidTr="009C3D09">
        <w:trPr>
          <w:trHeight w:val="300"/>
          <w:jc w:val="center"/>
        </w:trPr>
        <w:tc>
          <w:tcPr>
            <w:tcW w:w="1774" w:type="dxa"/>
            <w:shd w:val="clear" w:color="auto" w:fill="auto"/>
            <w:hideMark/>
          </w:tcPr>
          <w:p w:rsidR="009C3D09" w:rsidRPr="00E75B8E" w:rsidRDefault="009C3D09" w:rsidP="009C3D09">
            <w:pPr>
              <w:rPr>
                <w:rFonts w:ascii="Arial Narrow" w:hAnsi="Arial Narrow" w:cs="Arial"/>
                <w:sz w:val="20"/>
              </w:rPr>
            </w:pPr>
            <w:r w:rsidRPr="00E75B8E">
              <w:rPr>
                <w:rFonts w:ascii="Arial Narrow" w:hAnsi="Arial Narrow" w:cs="Arial"/>
                <w:sz w:val="20"/>
              </w:rPr>
              <w:t>Compressed Air</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$117,670 </w:t>
            </w:r>
          </w:p>
        </w:tc>
        <w:tc>
          <w:tcPr>
            <w:tcW w:w="1037"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$108,619 </w:t>
            </w:r>
          </w:p>
        </w:tc>
        <w:tc>
          <w:tcPr>
            <w:tcW w:w="1532" w:type="dxa"/>
            <w:shd w:val="clear" w:color="auto" w:fill="auto"/>
            <w:hideMark/>
          </w:tcPr>
          <w:p w:rsidR="009C3D09" w:rsidRPr="00E75B8E" w:rsidRDefault="009C3D09" w:rsidP="009C3D09">
            <w:pPr>
              <w:jc w:val="right"/>
              <w:rPr>
                <w:rFonts w:ascii="Arial Narrow" w:hAnsi="Arial Narrow" w:cs="Arial"/>
                <w:sz w:val="20"/>
              </w:rPr>
            </w:pPr>
            <w:r w:rsidRPr="00E75B8E">
              <w:rPr>
                <w:rFonts w:ascii="Arial Narrow" w:hAnsi="Arial Narrow" w:cs="Arial"/>
                <w:sz w:val="20"/>
              </w:rPr>
              <w:t xml:space="preserve">$226,289 </w:t>
            </w:r>
          </w:p>
        </w:tc>
      </w:tr>
      <w:tr w:rsidR="009C3D09" w:rsidRPr="00342AC9" w:rsidTr="009C3D09">
        <w:trPr>
          <w:trHeight w:val="300"/>
          <w:jc w:val="center"/>
        </w:trPr>
        <w:tc>
          <w:tcPr>
            <w:tcW w:w="1774" w:type="dxa"/>
            <w:shd w:val="clear" w:color="auto" w:fill="auto"/>
            <w:hideMark/>
          </w:tcPr>
          <w:p w:rsidR="009C3D09" w:rsidRPr="00342AC9" w:rsidRDefault="009C3D09" w:rsidP="009C3D09">
            <w:pPr>
              <w:rPr>
                <w:rFonts w:ascii="Arial Narrow" w:hAnsi="Arial Narrow" w:cs="Arial"/>
                <w:b/>
                <w:sz w:val="20"/>
              </w:rPr>
            </w:pPr>
            <w:r w:rsidRPr="00342AC9">
              <w:rPr>
                <w:rFonts w:ascii="Arial Narrow" w:hAnsi="Arial Narrow" w:cs="Arial"/>
                <w:b/>
                <w:sz w:val="20"/>
              </w:rPr>
              <w:t>Total</w:t>
            </w:r>
          </w:p>
        </w:tc>
        <w:tc>
          <w:tcPr>
            <w:tcW w:w="1037" w:type="dxa"/>
            <w:shd w:val="clear" w:color="auto" w:fill="auto"/>
            <w:hideMark/>
          </w:tcPr>
          <w:p w:rsidR="009C3D09" w:rsidRPr="00342AC9" w:rsidRDefault="009C3D09" w:rsidP="009C3D09">
            <w:pPr>
              <w:jc w:val="right"/>
              <w:rPr>
                <w:rFonts w:ascii="Arial Narrow" w:hAnsi="Arial Narrow" w:cs="Arial"/>
                <w:b/>
                <w:sz w:val="20"/>
              </w:rPr>
            </w:pPr>
            <w:r w:rsidRPr="00342AC9">
              <w:rPr>
                <w:rFonts w:ascii="Arial Narrow" w:hAnsi="Arial Narrow" w:cs="Arial"/>
                <w:b/>
                <w:sz w:val="20"/>
              </w:rPr>
              <w:t xml:space="preserve">$3,106,480 </w:t>
            </w:r>
          </w:p>
        </w:tc>
        <w:tc>
          <w:tcPr>
            <w:tcW w:w="1037" w:type="dxa"/>
            <w:shd w:val="clear" w:color="auto" w:fill="auto"/>
            <w:hideMark/>
          </w:tcPr>
          <w:p w:rsidR="009C3D09" w:rsidRPr="00342AC9" w:rsidRDefault="009C3D09" w:rsidP="009C3D09">
            <w:pPr>
              <w:jc w:val="right"/>
              <w:rPr>
                <w:rFonts w:ascii="Arial Narrow" w:hAnsi="Arial Narrow" w:cs="Arial"/>
                <w:b/>
                <w:sz w:val="20"/>
              </w:rPr>
            </w:pPr>
            <w:r w:rsidRPr="00342AC9">
              <w:rPr>
                <w:rFonts w:ascii="Arial Narrow" w:hAnsi="Arial Narrow" w:cs="Arial"/>
                <w:b/>
                <w:sz w:val="20"/>
              </w:rPr>
              <w:t xml:space="preserve">$2,867,520 </w:t>
            </w:r>
          </w:p>
        </w:tc>
        <w:tc>
          <w:tcPr>
            <w:tcW w:w="1532" w:type="dxa"/>
            <w:shd w:val="clear" w:color="auto" w:fill="auto"/>
            <w:hideMark/>
          </w:tcPr>
          <w:p w:rsidR="009C3D09" w:rsidRPr="00342AC9" w:rsidRDefault="009C3D09" w:rsidP="009C3D09">
            <w:pPr>
              <w:jc w:val="right"/>
              <w:rPr>
                <w:rFonts w:ascii="Arial Narrow" w:hAnsi="Arial Narrow" w:cs="Arial"/>
                <w:b/>
                <w:sz w:val="20"/>
              </w:rPr>
            </w:pPr>
            <w:r w:rsidRPr="00342AC9">
              <w:rPr>
                <w:rFonts w:ascii="Arial Narrow" w:hAnsi="Arial Narrow" w:cs="Arial"/>
                <w:b/>
                <w:sz w:val="20"/>
              </w:rPr>
              <w:t xml:space="preserve">$5,974,000 </w:t>
            </w:r>
          </w:p>
        </w:tc>
      </w:tr>
    </w:tbl>
    <w:p w:rsidR="009C3D09" w:rsidRDefault="009C3D09" w:rsidP="009C3D09">
      <w:pPr>
        <w:pStyle w:val="tabletitle"/>
        <w:keepLines/>
      </w:pPr>
      <w:r>
        <w:t xml:space="preserve">Table </w:t>
      </w:r>
      <w:fldSimple w:instr=" SEQ Table \* ARABIC ">
        <w:r w:rsidR="00D761BE">
          <w:rPr>
            <w:noProof/>
          </w:rPr>
          <w:t>3</w:t>
        </w:r>
      </w:fldSimple>
      <w:r>
        <w:t xml:space="preserve">: Energy FinAnswer </w:t>
      </w:r>
      <w:r>
        <w:br/>
        <w:t>Savings by Measure Type</w:t>
      </w:r>
    </w:p>
    <w:tbl>
      <w:tblPr>
        <w:tblW w:w="0" w:type="auto"/>
        <w:jc w:val="center"/>
        <w:tblLook w:val="04A0"/>
      </w:tblPr>
      <w:tblGrid>
        <w:gridCol w:w="1091"/>
        <w:gridCol w:w="2009"/>
        <w:gridCol w:w="1037"/>
        <w:gridCol w:w="1082"/>
        <w:gridCol w:w="1037"/>
        <w:gridCol w:w="1101"/>
        <w:gridCol w:w="883"/>
      </w:tblGrid>
      <w:tr w:rsidR="009C3D09" w:rsidRPr="004B2667" w:rsidTr="009C3D09">
        <w:trPr>
          <w:trHeight w:val="1050"/>
          <w:jc w:val="center"/>
        </w:trPr>
        <w:tc>
          <w:tcPr>
            <w:tcW w:w="1091" w:type="dxa"/>
            <w:tcBorders>
              <w:top w:val="single" w:sz="8" w:space="0" w:color="auto"/>
              <w:left w:val="single" w:sz="8" w:space="0" w:color="auto"/>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 </w:t>
            </w:r>
          </w:p>
        </w:tc>
        <w:tc>
          <w:tcPr>
            <w:tcW w:w="2009" w:type="dxa"/>
            <w:tcBorders>
              <w:top w:val="single" w:sz="8" w:space="0" w:color="auto"/>
              <w:left w:val="nil"/>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 </w:t>
            </w:r>
          </w:p>
        </w:tc>
        <w:tc>
          <w:tcPr>
            <w:tcW w:w="1037" w:type="dxa"/>
            <w:tcBorders>
              <w:top w:val="single" w:sz="8" w:space="0" w:color="auto"/>
              <w:left w:val="nil"/>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Gross kWh Savings</w:t>
            </w:r>
          </w:p>
        </w:tc>
        <w:tc>
          <w:tcPr>
            <w:tcW w:w="1082" w:type="dxa"/>
            <w:tcBorders>
              <w:top w:val="single" w:sz="8" w:space="0" w:color="auto"/>
              <w:left w:val="nil"/>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Realization Rate</w:t>
            </w:r>
          </w:p>
        </w:tc>
        <w:tc>
          <w:tcPr>
            <w:tcW w:w="1037" w:type="dxa"/>
            <w:tcBorders>
              <w:top w:val="single" w:sz="8" w:space="0" w:color="auto"/>
              <w:left w:val="nil"/>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Adjusted Gross Savings</w:t>
            </w:r>
          </w:p>
        </w:tc>
        <w:tc>
          <w:tcPr>
            <w:tcW w:w="1101" w:type="dxa"/>
            <w:tcBorders>
              <w:top w:val="single" w:sz="8" w:space="0" w:color="auto"/>
              <w:left w:val="nil"/>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Net to Gross Percentage</w:t>
            </w:r>
          </w:p>
        </w:tc>
        <w:tc>
          <w:tcPr>
            <w:tcW w:w="883" w:type="dxa"/>
            <w:tcBorders>
              <w:top w:val="single" w:sz="8" w:space="0" w:color="auto"/>
              <w:left w:val="nil"/>
              <w:bottom w:val="single" w:sz="8" w:space="0" w:color="auto"/>
              <w:right w:val="single" w:sz="8" w:space="0" w:color="auto"/>
            </w:tcBorders>
            <w:shd w:val="clear" w:color="000000" w:fill="339966"/>
            <w:hideMark/>
          </w:tcPr>
          <w:p w:rsidR="009C3D09" w:rsidRPr="004B2667" w:rsidRDefault="009C3D09" w:rsidP="009C3D09">
            <w:pPr>
              <w:jc w:val="center"/>
              <w:rPr>
                <w:rFonts w:ascii="Arial Narrow" w:hAnsi="Arial Narrow" w:cs="Arial"/>
                <w:b/>
                <w:bCs/>
                <w:color w:val="FFFFFF"/>
                <w:sz w:val="20"/>
              </w:rPr>
            </w:pPr>
            <w:r w:rsidRPr="004B2667">
              <w:rPr>
                <w:rFonts w:ascii="Arial Narrow" w:hAnsi="Arial Narrow" w:cs="Arial"/>
                <w:b/>
                <w:bCs/>
                <w:color w:val="FFFFFF"/>
                <w:sz w:val="20"/>
              </w:rPr>
              <w:t>Measure Life</w:t>
            </w:r>
          </w:p>
        </w:tc>
      </w:tr>
      <w:tr w:rsidR="009C3D09" w:rsidRPr="004B2667" w:rsidTr="009C3D09">
        <w:trPr>
          <w:trHeight w:val="313"/>
          <w:jc w:val="center"/>
        </w:trPr>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C3D09" w:rsidRPr="004B2667" w:rsidRDefault="009C3D09" w:rsidP="009C3D09">
            <w:pPr>
              <w:jc w:val="center"/>
              <w:rPr>
                <w:rFonts w:ascii="Arial Narrow" w:hAnsi="Arial Narrow" w:cs="Arial"/>
                <w:bCs/>
                <w:sz w:val="20"/>
              </w:rPr>
            </w:pPr>
            <w:r w:rsidRPr="004B2667">
              <w:rPr>
                <w:rFonts w:ascii="Arial Narrow" w:hAnsi="Arial Narrow" w:cs="Arial"/>
                <w:bCs/>
                <w:sz w:val="20"/>
              </w:rPr>
              <w:t>Industrial Measures</w:t>
            </w: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Additional Measures</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1,033,437</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94%</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971,430</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HVAC</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1,023,305</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94%</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961,907</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Lighting</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405,269</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94%</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380,953</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Motors</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810,538</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94%</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761,906</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36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Refrigeration</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13,171,251</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94%</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12,380,975</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33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Compressed Air</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780,143</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94%</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733,334</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Total</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17,223,943</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 </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16,190,506</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 </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 </w:t>
            </w:r>
          </w:p>
        </w:tc>
      </w:tr>
      <w:tr w:rsidR="009C3D09" w:rsidRPr="004B2667" w:rsidTr="009C3D09">
        <w:trPr>
          <w:trHeight w:val="345"/>
          <w:jc w:val="center"/>
        </w:trPr>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C3D09" w:rsidRPr="004B2667" w:rsidRDefault="009C3D09" w:rsidP="009C3D09">
            <w:pPr>
              <w:jc w:val="center"/>
              <w:rPr>
                <w:rFonts w:ascii="Arial Narrow" w:hAnsi="Arial Narrow" w:cs="Arial"/>
                <w:bCs/>
                <w:sz w:val="20"/>
              </w:rPr>
            </w:pPr>
            <w:r w:rsidRPr="004B2667">
              <w:rPr>
                <w:rFonts w:ascii="Arial Narrow" w:hAnsi="Arial Narrow" w:cs="Arial"/>
                <w:bCs/>
                <w:sz w:val="20"/>
              </w:rPr>
              <w:t>Commercial Measures</w:t>
            </w: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Building Shell</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399,086</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100%</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399,086</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HVAC</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798,171</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100%</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798,171</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Lighting</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1,197,257</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100%</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1,197,257</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27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Motors</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598,629</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100%</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598,629</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Pr>
                <w:rFonts w:ascii="Arial Narrow" w:hAnsi="Arial Narrow" w:cs="Arial"/>
                <w:sz w:val="20"/>
              </w:rPr>
              <w:t>100</w:t>
            </w:r>
            <w:r w:rsidRPr="004B2667">
              <w:rPr>
                <w:rFonts w:ascii="Arial Narrow" w:hAnsi="Arial Narrow" w:cs="Arial"/>
                <w:sz w:val="20"/>
              </w:rPr>
              <w:t>%</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14</w:t>
            </w:r>
          </w:p>
        </w:tc>
      </w:tr>
      <w:tr w:rsidR="009C3D09" w:rsidRPr="004B2667" w:rsidTr="009C3D09">
        <w:trPr>
          <w:trHeight w:val="360"/>
          <w:jc w:val="center"/>
        </w:trPr>
        <w:tc>
          <w:tcPr>
            <w:tcW w:w="1091" w:type="dxa"/>
            <w:vMerge/>
            <w:tcBorders>
              <w:top w:val="nil"/>
              <w:left w:val="single" w:sz="8" w:space="0" w:color="auto"/>
              <w:bottom w:val="single" w:sz="8" w:space="0" w:color="000000"/>
              <w:right w:val="single" w:sz="8" w:space="0" w:color="auto"/>
            </w:tcBorders>
            <w:vAlign w:val="center"/>
            <w:hideMark/>
          </w:tcPr>
          <w:p w:rsidR="009C3D09" w:rsidRPr="004B2667" w:rsidRDefault="009C3D09" w:rsidP="009C3D09">
            <w:pPr>
              <w:rPr>
                <w:rFonts w:ascii="Arial Narrow" w:hAnsi="Arial Narrow" w:cs="Arial"/>
                <w:b/>
                <w:bCs/>
                <w:sz w:val="20"/>
              </w:rPr>
            </w:pPr>
          </w:p>
        </w:tc>
        <w:tc>
          <w:tcPr>
            <w:tcW w:w="2009" w:type="dxa"/>
            <w:tcBorders>
              <w:top w:val="nil"/>
              <w:left w:val="nil"/>
              <w:bottom w:val="single" w:sz="8" w:space="0" w:color="auto"/>
              <w:right w:val="single" w:sz="8" w:space="0" w:color="auto"/>
            </w:tcBorders>
            <w:shd w:val="clear" w:color="auto" w:fill="auto"/>
            <w:hideMark/>
          </w:tcPr>
          <w:p w:rsidR="009C3D09" w:rsidRPr="004B2667" w:rsidRDefault="009C3D09" w:rsidP="009C3D09">
            <w:pPr>
              <w:rPr>
                <w:rFonts w:ascii="Arial Narrow" w:hAnsi="Arial Narrow" w:cs="Arial"/>
                <w:sz w:val="20"/>
              </w:rPr>
            </w:pPr>
            <w:r w:rsidRPr="004B2667">
              <w:rPr>
                <w:rFonts w:ascii="Arial Narrow" w:hAnsi="Arial Narrow" w:cs="Arial"/>
                <w:sz w:val="20"/>
              </w:rPr>
              <w:t>Total</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2,993,143</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 </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2,993,143</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 </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sz w:val="20"/>
              </w:rPr>
            </w:pPr>
            <w:r w:rsidRPr="004B2667">
              <w:rPr>
                <w:rFonts w:ascii="Arial Narrow" w:hAnsi="Arial Narrow" w:cs="Arial"/>
                <w:sz w:val="20"/>
              </w:rPr>
              <w:t> </w:t>
            </w:r>
          </w:p>
        </w:tc>
      </w:tr>
      <w:tr w:rsidR="009C3D09" w:rsidRPr="004B2667" w:rsidTr="009C3D09">
        <w:trPr>
          <w:trHeight w:val="525"/>
          <w:jc w:val="center"/>
        </w:trPr>
        <w:tc>
          <w:tcPr>
            <w:tcW w:w="1091" w:type="dxa"/>
            <w:tcBorders>
              <w:top w:val="nil"/>
              <w:left w:val="single" w:sz="8" w:space="0" w:color="auto"/>
              <w:bottom w:val="single" w:sz="8" w:space="0" w:color="auto"/>
              <w:right w:val="single" w:sz="8" w:space="0" w:color="auto"/>
            </w:tcBorders>
            <w:shd w:val="clear" w:color="auto" w:fill="auto"/>
            <w:vAlign w:val="center"/>
            <w:hideMark/>
          </w:tcPr>
          <w:p w:rsidR="009C3D09" w:rsidRPr="004B2667" w:rsidRDefault="009C3D09" w:rsidP="009C3D09">
            <w:pPr>
              <w:jc w:val="center"/>
              <w:rPr>
                <w:rFonts w:ascii="Arial Narrow" w:hAnsi="Arial Narrow" w:cs="Arial"/>
                <w:b/>
                <w:bCs/>
                <w:sz w:val="20"/>
              </w:rPr>
            </w:pPr>
            <w:r w:rsidRPr="004B2667">
              <w:rPr>
                <w:rFonts w:ascii="Arial Narrow" w:hAnsi="Arial Narrow" w:cs="Arial"/>
                <w:b/>
                <w:bCs/>
                <w:sz w:val="20"/>
              </w:rPr>
              <w:t>All Measures</w:t>
            </w:r>
          </w:p>
        </w:tc>
        <w:tc>
          <w:tcPr>
            <w:tcW w:w="2009" w:type="dxa"/>
            <w:tcBorders>
              <w:top w:val="nil"/>
              <w:left w:val="nil"/>
              <w:bottom w:val="single" w:sz="8" w:space="0" w:color="auto"/>
              <w:right w:val="single" w:sz="8" w:space="0" w:color="auto"/>
            </w:tcBorders>
            <w:shd w:val="clear" w:color="auto" w:fill="auto"/>
            <w:hideMark/>
          </w:tcPr>
          <w:p w:rsidR="009C3D09" w:rsidRPr="00AD5347" w:rsidRDefault="009C3D09" w:rsidP="009C3D09">
            <w:pPr>
              <w:rPr>
                <w:rFonts w:ascii="Arial Narrow" w:hAnsi="Arial Narrow" w:cs="Arial"/>
                <w:b/>
                <w:sz w:val="20"/>
              </w:rPr>
            </w:pPr>
            <w:r w:rsidRPr="00AD5347">
              <w:rPr>
                <w:rFonts w:ascii="Arial Narrow" w:hAnsi="Arial Narrow" w:cs="Arial"/>
                <w:b/>
                <w:sz w:val="20"/>
              </w:rPr>
              <w:t>Total</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b/>
                <w:bCs/>
                <w:sz w:val="20"/>
              </w:rPr>
            </w:pPr>
            <w:r w:rsidRPr="004B2667">
              <w:rPr>
                <w:rFonts w:ascii="Arial Narrow" w:hAnsi="Arial Narrow" w:cs="Arial"/>
                <w:b/>
                <w:bCs/>
                <w:sz w:val="20"/>
              </w:rPr>
              <w:t>20,217,086</w:t>
            </w:r>
          </w:p>
        </w:tc>
        <w:tc>
          <w:tcPr>
            <w:tcW w:w="1082"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b/>
                <w:bCs/>
                <w:sz w:val="20"/>
              </w:rPr>
            </w:pPr>
            <w:r w:rsidRPr="004B2667">
              <w:rPr>
                <w:rFonts w:ascii="Arial Narrow" w:hAnsi="Arial Narrow" w:cs="Arial"/>
                <w:b/>
                <w:bCs/>
                <w:sz w:val="20"/>
              </w:rPr>
              <w:t> </w:t>
            </w:r>
          </w:p>
        </w:tc>
        <w:tc>
          <w:tcPr>
            <w:tcW w:w="1037"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b/>
                <w:bCs/>
                <w:sz w:val="20"/>
              </w:rPr>
            </w:pPr>
            <w:r w:rsidRPr="004B2667">
              <w:rPr>
                <w:rFonts w:ascii="Arial Narrow" w:hAnsi="Arial Narrow" w:cs="Arial"/>
                <w:b/>
                <w:bCs/>
                <w:sz w:val="20"/>
              </w:rPr>
              <w:t>19,183,649</w:t>
            </w:r>
          </w:p>
        </w:tc>
        <w:tc>
          <w:tcPr>
            <w:tcW w:w="1101"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b/>
                <w:bCs/>
                <w:sz w:val="20"/>
              </w:rPr>
            </w:pPr>
            <w:r w:rsidRPr="004B2667">
              <w:rPr>
                <w:rFonts w:ascii="Arial Narrow" w:hAnsi="Arial Narrow" w:cs="Arial"/>
                <w:b/>
                <w:bCs/>
                <w:sz w:val="20"/>
              </w:rPr>
              <w:t> </w:t>
            </w:r>
          </w:p>
        </w:tc>
        <w:tc>
          <w:tcPr>
            <w:tcW w:w="883" w:type="dxa"/>
            <w:tcBorders>
              <w:top w:val="nil"/>
              <w:left w:val="nil"/>
              <w:bottom w:val="single" w:sz="8" w:space="0" w:color="auto"/>
              <w:right w:val="single" w:sz="8" w:space="0" w:color="auto"/>
            </w:tcBorders>
            <w:shd w:val="clear" w:color="auto" w:fill="auto"/>
            <w:hideMark/>
          </w:tcPr>
          <w:p w:rsidR="009C3D09" w:rsidRPr="004B2667" w:rsidRDefault="009C3D09" w:rsidP="009C3D09">
            <w:pPr>
              <w:jc w:val="right"/>
              <w:rPr>
                <w:rFonts w:ascii="Arial Narrow" w:hAnsi="Arial Narrow" w:cs="Arial"/>
                <w:b/>
                <w:bCs/>
                <w:sz w:val="20"/>
              </w:rPr>
            </w:pPr>
            <w:r w:rsidRPr="004B2667">
              <w:rPr>
                <w:rFonts w:ascii="Arial Narrow" w:hAnsi="Arial Narrow" w:cs="Arial"/>
                <w:b/>
                <w:bCs/>
                <w:sz w:val="20"/>
              </w:rPr>
              <w:t> </w:t>
            </w:r>
          </w:p>
        </w:tc>
      </w:tr>
    </w:tbl>
    <w:p w:rsidR="009C3D09" w:rsidRDefault="009C3D09" w:rsidP="009C3D09">
      <w:pPr>
        <w:pStyle w:val="tabletitle"/>
        <w:widowControl w:val="0"/>
      </w:pPr>
    </w:p>
    <w:p w:rsidR="009C3D09" w:rsidRDefault="009C3D09" w:rsidP="009C3D09">
      <w:pPr>
        <w:pStyle w:val="tabletitle"/>
        <w:widowControl w:val="0"/>
      </w:pPr>
      <w:r>
        <w:t xml:space="preserve">Table </w:t>
      </w:r>
      <w:fldSimple w:instr=" SEQ Table \* ARABIC ">
        <w:r w:rsidR="00D761BE">
          <w:rPr>
            <w:noProof/>
          </w:rPr>
          <w:t>4</w:t>
        </w:r>
      </w:fldSimple>
      <w:r>
        <w:t>: Energy FinAnswer Cost-Effectiveness, All Years, Entire Program</w:t>
      </w:r>
    </w:p>
    <w:tbl>
      <w:tblPr>
        <w:tblW w:w="9182" w:type="dxa"/>
        <w:jc w:val="center"/>
        <w:tblInd w:w="98" w:type="dxa"/>
        <w:tblLook w:val="04A0"/>
      </w:tblPr>
      <w:tblGrid>
        <w:gridCol w:w="4118"/>
        <w:gridCol w:w="1208"/>
        <w:gridCol w:w="1129"/>
        <w:gridCol w:w="1378"/>
        <w:gridCol w:w="1350"/>
      </w:tblGrid>
      <w:tr w:rsidR="009C3D09" w:rsidRPr="00901F8D" w:rsidTr="0073249B">
        <w:trPr>
          <w:trHeight w:val="270"/>
          <w:jc w:val="center"/>
        </w:trPr>
        <w:tc>
          <w:tcPr>
            <w:tcW w:w="4118" w:type="dxa"/>
            <w:tcBorders>
              <w:top w:val="single" w:sz="8" w:space="0" w:color="auto"/>
              <w:left w:val="single" w:sz="8" w:space="0" w:color="auto"/>
              <w:bottom w:val="nil"/>
              <w:right w:val="nil"/>
            </w:tcBorders>
            <w:shd w:val="clear" w:color="000000" w:fill="339966"/>
            <w:noWrap/>
            <w:hideMark/>
          </w:tcPr>
          <w:p w:rsidR="009C3D09" w:rsidRPr="00901F8D" w:rsidRDefault="009C3D09" w:rsidP="009C3D09">
            <w:pPr>
              <w:rPr>
                <w:rFonts w:ascii="Arial Narrow" w:hAnsi="Arial Narrow" w:cs="Arial"/>
                <w:b/>
                <w:bCs/>
                <w:color w:val="FFFFFF"/>
                <w:sz w:val="20"/>
              </w:rPr>
            </w:pPr>
            <w:r w:rsidRPr="00901F8D">
              <w:rPr>
                <w:rFonts w:ascii="Arial Narrow" w:hAnsi="Arial Narrow" w:cs="Arial"/>
                <w:b/>
                <w:bCs/>
                <w:color w:val="FFFFFF"/>
                <w:sz w:val="20"/>
              </w:rPr>
              <w:t> </w:t>
            </w:r>
          </w:p>
        </w:tc>
        <w:tc>
          <w:tcPr>
            <w:tcW w:w="1208" w:type="dxa"/>
            <w:tcBorders>
              <w:top w:val="single" w:sz="8" w:space="0" w:color="auto"/>
              <w:left w:val="nil"/>
              <w:bottom w:val="nil"/>
              <w:right w:val="nil"/>
            </w:tcBorders>
            <w:shd w:val="clear" w:color="000000" w:fill="339966"/>
            <w:noWrap/>
            <w:hideMark/>
          </w:tcPr>
          <w:p w:rsidR="009C3D09" w:rsidRPr="00901F8D" w:rsidRDefault="009C3D09" w:rsidP="009C3D09">
            <w:pPr>
              <w:rPr>
                <w:rFonts w:ascii="Arial Narrow" w:hAnsi="Arial Narrow" w:cs="Arial"/>
                <w:b/>
                <w:bCs/>
                <w:color w:val="FFFFFF"/>
                <w:sz w:val="20"/>
              </w:rPr>
            </w:pPr>
            <w:r w:rsidRPr="00901F8D">
              <w:rPr>
                <w:rFonts w:ascii="Arial Narrow" w:hAnsi="Arial Narrow" w:cs="Arial"/>
                <w:b/>
                <w:bCs/>
                <w:color w:val="FFFFFF"/>
                <w:sz w:val="20"/>
              </w:rPr>
              <w:t> </w:t>
            </w:r>
          </w:p>
        </w:tc>
        <w:tc>
          <w:tcPr>
            <w:tcW w:w="1128" w:type="dxa"/>
            <w:tcBorders>
              <w:top w:val="single" w:sz="8" w:space="0" w:color="auto"/>
              <w:left w:val="nil"/>
              <w:bottom w:val="nil"/>
              <w:right w:val="nil"/>
            </w:tcBorders>
            <w:shd w:val="clear" w:color="000000" w:fill="339966"/>
            <w:noWrap/>
            <w:hideMark/>
          </w:tcPr>
          <w:p w:rsidR="009C3D09" w:rsidRPr="00901F8D" w:rsidRDefault="009C3D09" w:rsidP="009C3D09">
            <w:pPr>
              <w:rPr>
                <w:rFonts w:ascii="Arial Narrow" w:hAnsi="Arial Narrow" w:cs="Arial"/>
                <w:b/>
                <w:bCs/>
                <w:color w:val="FFFFFF"/>
                <w:sz w:val="20"/>
              </w:rPr>
            </w:pPr>
            <w:r w:rsidRPr="00901F8D">
              <w:rPr>
                <w:rFonts w:ascii="Arial Narrow" w:hAnsi="Arial Narrow" w:cs="Arial"/>
                <w:b/>
                <w:bCs/>
                <w:color w:val="FFFFFF"/>
                <w:sz w:val="20"/>
              </w:rPr>
              <w:t> </w:t>
            </w:r>
          </w:p>
        </w:tc>
        <w:tc>
          <w:tcPr>
            <w:tcW w:w="2728" w:type="dxa"/>
            <w:gridSpan w:val="2"/>
            <w:tcBorders>
              <w:top w:val="single" w:sz="8" w:space="0" w:color="auto"/>
              <w:left w:val="single" w:sz="8" w:space="0" w:color="auto"/>
              <w:bottom w:val="nil"/>
              <w:right w:val="single" w:sz="8" w:space="0" w:color="000000"/>
            </w:tcBorders>
            <w:shd w:val="clear" w:color="000000" w:fill="339966"/>
            <w:noWrap/>
            <w:hideMark/>
          </w:tcPr>
          <w:p w:rsidR="009C3D09" w:rsidRPr="00901F8D" w:rsidRDefault="009C3D09" w:rsidP="009C3D09">
            <w:pPr>
              <w:rPr>
                <w:rFonts w:ascii="Arial Narrow" w:hAnsi="Arial Narrow" w:cs="Arial"/>
                <w:b/>
                <w:bCs/>
                <w:color w:val="FFFFFF"/>
                <w:sz w:val="20"/>
              </w:rPr>
            </w:pPr>
            <w:r w:rsidRPr="00901F8D">
              <w:rPr>
                <w:rFonts w:ascii="Arial Narrow" w:hAnsi="Arial Narrow" w:cs="Arial"/>
                <w:b/>
                <w:bCs/>
                <w:color w:val="FFFFFF"/>
                <w:sz w:val="20"/>
              </w:rPr>
              <w:t>West System 71%</w:t>
            </w:r>
          </w:p>
        </w:tc>
      </w:tr>
      <w:tr w:rsidR="009C3D09" w:rsidRPr="00901F8D" w:rsidTr="0073249B">
        <w:trPr>
          <w:trHeight w:val="255"/>
          <w:jc w:val="center"/>
        </w:trPr>
        <w:tc>
          <w:tcPr>
            <w:tcW w:w="4118"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9C3D09" w:rsidRPr="00901F8D" w:rsidRDefault="009C3D09" w:rsidP="009C3D09">
            <w:pPr>
              <w:rPr>
                <w:rFonts w:ascii="Arial Narrow" w:hAnsi="Arial Narrow" w:cs="Arial"/>
                <w:color w:val="FFFFFF"/>
                <w:sz w:val="20"/>
              </w:rPr>
            </w:pPr>
            <w:r w:rsidRPr="00901F8D">
              <w:rPr>
                <w:rFonts w:ascii="Arial Narrow" w:hAnsi="Arial Narrow" w:cs="Arial"/>
                <w:color w:val="FFFFFF"/>
                <w:sz w:val="20"/>
              </w:rPr>
              <w:t> </w:t>
            </w:r>
          </w:p>
        </w:tc>
        <w:tc>
          <w:tcPr>
            <w:tcW w:w="120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Costs</w:t>
            </w:r>
          </w:p>
        </w:tc>
        <w:tc>
          <w:tcPr>
            <w:tcW w:w="112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Benefits</w:t>
            </w:r>
          </w:p>
        </w:tc>
        <w:tc>
          <w:tcPr>
            <w:tcW w:w="137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Net Benefits</w:t>
            </w:r>
          </w:p>
        </w:tc>
        <w:tc>
          <w:tcPr>
            <w:tcW w:w="1350" w:type="dxa"/>
            <w:tcBorders>
              <w:top w:val="single" w:sz="8" w:space="0" w:color="auto"/>
              <w:left w:val="nil"/>
              <w:bottom w:val="nil"/>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Benefit/Cost</w:t>
            </w:r>
          </w:p>
        </w:tc>
      </w:tr>
      <w:tr w:rsidR="009C3D09" w:rsidRPr="00901F8D" w:rsidTr="0073249B">
        <w:trPr>
          <w:trHeight w:val="270"/>
          <w:jc w:val="center"/>
        </w:trPr>
        <w:tc>
          <w:tcPr>
            <w:tcW w:w="4118" w:type="dxa"/>
            <w:vMerge/>
            <w:tcBorders>
              <w:top w:val="single" w:sz="8" w:space="0" w:color="auto"/>
              <w:left w:val="single" w:sz="8" w:space="0" w:color="auto"/>
              <w:bottom w:val="single" w:sz="8" w:space="0" w:color="000000"/>
              <w:right w:val="single" w:sz="8" w:space="0" w:color="auto"/>
            </w:tcBorders>
            <w:vAlign w:val="center"/>
            <w:hideMark/>
          </w:tcPr>
          <w:p w:rsidR="009C3D09" w:rsidRPr="00901F8D" w:rsidRDefault="009C3D09" w:rsidP="009C3D09">
            <w:pPr>
              <w:rPr>
                <w:rFonts w:ascii="Arial Narrow" w:hAnsi="Arial Narrow" w:cs="Arial"/>
                <w:color w:val="FFFFFF"/>
                <w:sz w:val="20"/>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378"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350" w:type="dxa"/>
            <w:tcBorders>
              <w:top w:val="nil"/>
              <w:left w:val="nil"/>
              <w:bottom w:val="single" w:sz="8" w:space="0" w:color="auto"/>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Ratio</w:t>
            </w:r>
          </w:p>
        </w:tc>
      </w:tr>
      <w:tr w:rsidR="009C3D09" w:rsidRPr="00901F8D" w:rsidTr="0073249B">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901F8D" w:rsidRDefault="009C3D09" w:rsidP="009C3D09">
            <w:pPr>
              <w:rPr>
                <w:rFonts w:ascii="Arial Narrow" w:hAnsi="Arial Narrow" w:cs="Arial"/>
                <w:color w:val="000000"/>
                <w:sz w:val="20"/>
              </w:rPr>
            </w:pPr>
            <w:r w:rsidRPr="00901F8D">
              <w:rPr>
                <w:rFonts w:ascii="Arial Narrow" w:hAnsi="Arial Narrow" w:cs="Arial"/>
                <w:color w:val="000000"/>
                <w:sz w:val="20"/>
              </w:rPr>
              <w:t>Total Resource Cost Test (PTRC) + Conservation Adder</w:t>
            </w:r>
          </w:p>
        </w:tc>
        <w:tc>
          <w:tcPr>
            <w:tcW w:w="120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$9,373,777 </w:t>
            </w:r>
          </w:p>
        </w:tc>
        <w:tc>
          <w:tcPr>
            <w:tcW w:w="112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$19,892,197 </w:t>
            </w:r>
          </w:p>
        </w:tc>
        <w:tc>
          <w:tcPr>
            <w:tcW w:w="137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$10,518,420 </w:t>
            </w:r>
          </w:p>
        </w:tc>
        <w:tc>
          <w:tcPr>
            <w:tcW w:w="1350"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2.12</w:t>
            </w:r>
          </w:p>
        </w:tc>
      </w:tr>
      <w:tr w:rsidR="009C3D09" w:rsidRPr="00901F8D" w:rsidTr="0073249B">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901F8D" w:rsidRDefault="009C3D09" w:rsidP="009C3D09">
            <w:pPr>
              <w:rPr>
                <w:rFonts w:ascii="Arial Narrow" w:hAnsi="Arial Narrow" w:cs="Arial"/>
                <w:color w:val="000000"/>
                <w:sz w:val="20"/>
              </w:rPr>
            </w:pPr>
            <w:r w:rsidRPr="00901F8D">
              <w:rPr>
                <w:rFonts w:ascii="Arial Narrow" w:hAnsi="Arial Narrow" w:cs="Arial"/>
                <w:color w:val="000000"/>
                <w:sz w:val="20"/>
              </w:rPr>
              <w:t>Total Resource Cost Test (TRC) No Adder</w:t>
            </w:r>
          </w:p>
        </w:tc>
        <w:tc>
          <w:tcPr>
            <w:tcW w:w="120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$9,373,777 </w:t>
            </w:r>
          </w:p>
        </w:tc>
        <w:tc>
          <w:tcPr>
            <w:tcW w:w="112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$18,083,815 </w:t>
            </w:r>
          </w:p>
        </w:tc>
        <w:tc>
          <w:tcPr>
            <w:tcW w:w="137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$8,710,039 </w:t>
            </w:r>
          </w:p>
        </w:tc>
        <w:tc>
          <w:tcPr>
            <w:tcW w:w="1350"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1.93</w:t>
            </w:r>
          </w:p>
        </w:tc>
      </w:tr>
      <w:tr w:rsidR="009C3D09" w:rsidRPr="00901F8D" w:rsidTr="0073249B">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901F8D" w:rsidRDefault="009C3D09" w:rsidP="009C3D09">
            <w:pPr>
              <w:rPr>
                <w:rFonts w:ascii="Arial Narrow" w:hAnsi="Arial Narrow" w:cs="Arial"/>
                <w:color w:val="000000"/>
                <w:sz w:val="20"/>
              </w:rPr>
            </w:pPr>
            <w:r w:rsidRPr="00901F8D">
              <w:rPr>
                <w:rFonts w:ascii="Arial Narrow" w:hAnsi="Arial Narrow" w:cs="Arial"/>
                <w:color w:val="000000"/>
                <w:sz w:val="20"/>
              </w:rPr>
              <w:t>Utility Cost Test (UCT)</w:t>
            </w:r>
          </w:p>
        </w:tc>
        <w:tc>
          <w:tcPr>
            <w:tcW w:w="120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$5,974,000 </w:t>
            </w:r>
          </w:p>
        </w:tc>
        <w:tc>
          <w:tcPr>
            <w:tcW w:w="112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$18,083,815 </w:t>
            </w:r>
          </w:p>
        </w:tc>
        <w:tc>
          <w:tcPr>
            <w:tcW w:w="137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$12,109,815 </w:t>
            </w:r>
          </w:p>
        </w:tc>
        <w:tc>
          <w:tcPr>
            <w:tcW w:w="1350"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3.03</w:t>
            </w:r>
          </w:p>
        </w:tc>
      </w:tr>
      <w:tr w:rsidR="009C3D09" w:rsidRPr="00901F8D" w:rsidTr="0073249B">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901F8D" w:rsidRDefault="009C3D09" w:rsidP="009C3D09">
            <w:pPr>
              <w:rPr>
                <w:rFonts w:ascii="Arial Narrow" w:hAnsi="Arial Narrow" w:cs="Arial"/>
                <w:color w:val="000000"/>
                <w:sz w:val="20"/>
              </w:rPr>
            </w:pPr>
            <w:r w:rsidRPr="00901F8D">
              <w:rPr>
                <w:rFonts w:ascii="Arial Narrow" w:hAnsi="Arial Narrow" w:cs="Arial"/>
                <w:color w:val="000000"/>
                <w:sz w:val="20"/>
              </w:rPr>
              <w:t>Rate Impact Test (RIM)</w:t>
            </w:r>
          </w:p>
        </w:tc>
        <w:tc>
          <w:tcPr>
            <w:tcW w:w="120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$18,072,835 </w:t>
            </w:r>
          </w:p>
        </w:tc>
        <w:tc>
          <w:tcPr>
            <w:tcW w:w="112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$18,083,815 </w:t>
            </w:r>
          </w:p>
        </w:tc>
        <w:tc>
          <w:tcPr>
            <w:tcW w:w="137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$10,980 </w:t>
            </w:r>
          </w:p>
        </w:tc>
        <w:tc>
          <w:tcPr>
            <w:tcW w:w="1350"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1.00</w:t>
            </w:r>
          </w:p>
        </w:tc>
      </w:tr>
      <w:tr w:rsidR="009C3D09" w:rsidRPr="00901F8D" w:rsidTr="0073249B">
        <w:trPr>
          <w:trHeight w:val="270"/>
          <w:jc w:val="center"/>
        </w:trPr>
        <w:tc>
          <w:tcPr>
            <w:tcW w:w="4118" w:type="dxa"/>
            <w:tcBorders>
              <w:top w:val="nil"/>
              <w:left w:val="single" w:sz="8" w:space="0" w:color="auto"/>
              <w:bottom w:val="single" w:sz="8" w:space="0" w:color="auto"/>
              <w:right w:val="single" w:sz="8" w:space="0" w:color="auto"/>
            </w:tcBorders>
            <w:shd w:val="clear" w:color="auto" w:fill="auto"/>
            <w:noWrap/>
            <w:hideMark/>
          </w:tcPr>
          <w:p w:rsidR="009C3D09" w:rsidRPr="00901F8D" w:rsidRDefault="009C3D09" w:rsidP="009C3D09">
            <w:pPr>
              <w:rPr>
                <w:rFonts w:ascii="Arial Narrow" w:hAnsi="Arial Narrow" w:cs="Arial"/>
                <w:color w:val="000000"/>
                <w:sz w:val="20"/>
              </w:rPr>
            </w:pPr>
            <w:r w:rsidRPr="00901F8D">
              <w:rPr>
                <w:rFonts w:ascii="Arial Narrow" w:hAnsi="Arial Narrow" w:cs="Arial"/>
                <w:color w:val="000000"/>
                <w:sz w:val="20"/>
              </w:rPr>
              <w:t>Participant Cost Test (PCT)</w:t>
            </w:r>
          </w:p>
        </w:tc>
        <w:tc>
          <w:tcPr>
            <w:tcW w:w="120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$6,267,297 </w:t>
            </w:r>
          </w:p>
        </w:tc>
        <w:tc>
          <w:tcPr>
            <w:tcW w:w="112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$14,966,355 </w:t>
            </w:r>
          </w:p>
        </w:tc>
        <w:tc>
          <w:tcPr>
            <w:tcW w:w="1378"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 xml:space="preserve">$8,699,058 </w:t>
            </w:r>
          </w:p>
        </w:tc>
        <w:tc>
          <w:tcPr>
            <w:tcW w:w="1350" w:type="dxa"/>
            <w:tcBorders>
              <w:top w:val="nil"/>
              <w:left w:val="nil"/>
              <w:bottom w:val="single" w:sz="8" w:space="0" w:color="auto"/>
              <w:right w:val="single" w:sz="8" w:space="0" w:color="auto"/>
            </w:tcBorders>
            <w:shd w:val="clear" w:color="auto" w:fill="auto"/>
            <w:noWrap/>
            <w:hideMark/>
          </w:tcPr>
          <w:p w:rsidR="009C3D09" w:rsidRPr="00901F8D" w:rsidRDefault="009C3D09" w:rsidP="009C3D09">
            <w:pPr>
              <w:jc w:val="right"/>
              <w:rPr>
                <w:rFonts w:ascii="Arial Narrow" w:hAnsi="Arial Narrow" w:cs="Arial"/>
                <w:color w:val="000000"/>
                <w:sz w:val="20"/>
              </w:rPr>
            </w:pPr>
            <w:r w:rsidRPr="00901F8D">
              <w:rPr>
                <w:rFonts w:ascii="Arial Narrow" w:hAnsi="Arial Narrow" w:cs="Arial"/>
                <w:color w:val="000000"/>
                <w:sz w:val="20"/>
              </w:rPr>
              <w:t>2.39</w:t>
            </w:r>
          </w:p>
        </w:tc>
      </w:tr>
    </w:tbl>
    <w:p w:rsidR="009C3D09" w:rsidRDefault="009C3D09" w:rsidP="009C3D09">
      <w:pPr>
        <w:spacing w:after="200" w:line="276" w:lineRule="auto"/>
      </w:pPr>
      <w:r>
        <w:br w:type="page"/>
      </w:r>
    </w:p>
    <w:p w:rsidR="009C3D09" w:rsidRPr="006279B0" w:rsidRDefault="009C3D09" w:rsidP="009C3D09">
      <w:pPr>
        <w:pStyle w:val="memoaddress"/>
      </w:pPr>
      <w:r w:rsidRPr="006279B0">
        <w:t xml:space="preserve">Date: </w:t>
      </w:r>
      <w:r w:rsidRPr="006279B0">
        <w:tab/>
        <w:t>January 27, 2012</w:t>
      </w:r>
    </w:p>
    <w:p w:rsidR="009C3D09" w:rsidRPr="006279B0" w:rsidRDefault="009C3D09" w:rsidP="009C3D09">
      <w:pPr>
        <w:pStyle w:val="memoaddress"/>
        <w:ind w:left="1350" w:hanging="1350"/>
      </w:pPr>
      <w:r w:rsidRPr="006279B0">
        <w:t>To:</w:t>
      </w:r>
      <w:r w:rsidRPr="006279B0">
        <w:tab/>
        <w:t>Don Jones, Jr.</w:t>
      </w:r>
    </w:p>
    <w:p w:rsidR="009C3D09" w:rsidRPr="006279B0" w:rsidRDefault="009C3D09" w:rsidP="009C3D09">
      <w:pPr>
        <w:pStyle w:val="memoaddress"/>
      </w:pPr>
      <w:r w:rsidRPr="006279B0">
        <w:t>From:</w:t>
      </w:r>
      <w:r w:rsidRPr="006279B0">
        <w:tab/>
        <w:t xml:space="preserve"> Aaron Jenniges and Niko Drake-McLaughlin</w:t>
      </w:r>
    </w:p>
    <w:p w:rsidR="009C3D09" w:rsidRPr="006279B0" w:rsidRDefault="009C3D09" w:rsidP="009C3D09">
      <w:pPr>
        <w:pStyle w:val="memoaddress"/>
        <w:ind w:left="1350" w:hanging="1350"/>
      </w:pPr>
      <w:r w:rsidRPr="006279B0">
        <w:t>Re:</w:t>
      </w:r>
      <w:r w:rsidRPr="006279B0">
        <w:tab/>
      </w:r>
      <w:r w:rsidRPr="006279B0">
        <w:rPr>
          <w:bCs/>
        </w:rPr>
        <w:t xml:space="preserve">Washington FinAnswer Express 2012-2013 Cost-Effectiveness </w:t>
      </w:r>
    </w:p>
    <w:p w:rsidR="009C3D09" w:rsidRPr="006279B0" w:rsidRDefault="009C3D09" w:rsidP="009C3D09">
      <w:pPr>
        <w:pBdr>
          <w:bottom w:val="single" w:sz="4" w:space="1" w:color="auto"/>
        </w:pBdr>
      </w:pPr>
    </w:p>
    <w:p w:rsidR="009C3D09" w:rsidRPr="006279B0" w:rsidRDefault="009C3D09" w:rsidP="009C3D09">
      <w:pPr>
        <w:spacing w:before="120" w:after="120"/>
        <w:rPr>
          <w:rFonts w:ascii="Times New Roman" w:hAnsi="Times New Roman"/>
          <w:sz w:val="24"/>
          <w:szCs w:val="24"/>
        </w:rPr>
      </w:pPr>
      <w:r w:rsidRPr="006279B0">
        <w:rPr>
          <w:rFonts w:ascii="Times New Roman" w:hAnsi="Times New Roman"/>
          <w:sz w:val="24"/>
          <w:szCs w:val="24"/>
        </w:rPr>
        <w:t>The tables below present the cost-effectiveness findings of the Washington FinAnswer Express program based on projected 2012 and 2013 costs and gross savings estimates provided by PacifiCorp in a spreadsheet entitled “2011 forecast 7-31-2011 WA 8-25-2011rev”. The Utility discount rate is from the 2011 PacifiCorp Integrated Resource Plan.</w:t>
      </w:r>
    </w:p>
    <w:p w:rsidR="009C3D09" w:rsidRPr="006279B0" w:rsidRDefault="009C3D09" w:rsidP="009C3D09">
      <w:pPr>
        <w:spacing w:before="120" w:after="120"/>
        <w:rPr>
          <w:rFonts w:ascii="Times New Roman" w:hAnsi="Times New Roman"/>
          <w:sz w:val="24"/>
          <w:szCs w:val="24"/>
        </w:rPr>
      </w:pPr>
      <w:r w:rsidRPr="006279B0">
        <w:rPr>
          <w:rFonts w:ascii="Times New Roman" w:hAnsi="Times New Roman"/>
          <w:sz w:val="24"/>
          <w:szCs w:val="24"/>
        </w:rPr>
        <w:t xml:space="preserve">Cost-effectiveness was tested using the 2011 IRP 71% west system load factor decrement. </w:t>
      </w:r>
      <w:fldSimple w:instr=" REF _Ref303606374 \h  \* MERGEFORMAT ">
        <w:r w:rsidR="00D761BE" w:rsidRPr="006279B0">
          <w:rPr>
            <w:rFonts w:ascii="Times New Roman" w:hAnsi="Times New Roman"/>
            <w:sz w:val="24"/>
            <w:szCs w:val="24"/>
          </w:rPr>
          <w:t>Table 5</w:t>
        </w:r>
      </w:fldSimple>
      <w:r w:rsidRPr="006279B0">
        <w:rPr>
          <w:rFonts w:ascii="Times New Roman" w:hAnsi="Times New Roman"/>
          <w:sz w:val="24"/>
          <w:szCs w:val="24"/>
        </w:rPr>
        <w:t xml:space="preserve"> lists modeling inputs, and Table 2 shows the annual cost and savings information provided by PacifiCorp. Table 3 provides measure lives for each bundle, provided by PacifiCorp, as well as realization rates for each bundle’s savings values, taken from the 2005-2008 program evaluation. </w:t>
      </w:r>
      <w:fldSimple w:instr=" REF _Ref303606394 \h  \* MERGEFORMAT ">
        <w:r w:rsidR="00D761BE" w:rsidRPr="006279B0">
          <w:rPr>
            <w:rFonts w:ascii="Times New Roman" w:hAnsi="Times New Roman"/>
            <w:sz w:val="24"/>
            <w:szCs w:val="24"/>
          </w:rPr>
          <w:t>Table 8</w:t>
        </w:r>
      </w:fldSimple>
      <w:r w:rsidRPr="006279B0">
        <w:rPr>
          <w:rFonts w:ascii="Times New Roman" w:hAnsi="Times New Roman"/>
          <w:sz w:val="24"/>
          <w:szCs w:val="24"/>
        </w:rPr>
        <w:t xml:space="preserve"> outlines the administrative costs. </w:t>
      </w:r>
    </w:p>
    <w:p w:rsidR="009C3D09" w:rsidRPr="006279B0" w:rsidRDefault="009C3D09" w:rsidP="009C3D09">
      <w:pPr>
        <w:spacing w:before="120" w:after="120"/>
        <w:rPr>
          <w:rFonts w:ascii="Times New Roman" w:hAnsi="Times New Roman"/>
          <w:sz w:val="24"/>
          <w:szCs w:val="24"/>
        </w:rPr>
      </w:pPr>
      <w:r w:rsidRPr="006279B0">
        <w:rPr>
          <w:rFonts w:ascii="Times New Roman" w:hAnsi="Times New Roman"/>
          <w:sz w:val="24"/>
          <w:szCs w:val="24"/>
        </w:rPr>
        <w:t>Overall, the FinAnswer Express program is cost-effective, passing all five standard cost-benefit tests. Additionally, each component measure bundle is cost-effective as well. Results are shown for the 2012 and 2013 program years combined.</w:t>
      </w:r>
    </w:p>
    <w:p w:rsidR="009C3D09" w:rsidRPr="006279B0" w:rsidRDefault="009C3D09" w:rsidP="009C3D09">
      <w:pPr>
        <w:pStyle w:val="tabletitle"/>
        <w:keepLines/>
        <w:spacing w:before="0"/>
      </w:pPr>
      <w:bookmarkStart w:id="30" w:name="_Ref303606374"/>
      <w:r w:rsidRPr="006279B0">
        <w:t xml:space="preserve">Table </w:t>
      </w:r>
      <w:fldSimple w:instr=" SEQ Table \* ARABIC ">
        <w:r w:rsidR="00D761BE" w:rsidRPr="006279B0">
          <w:rPr>
            <w:noProof/>
          </w:rPr>
          <w:t>5</w:t>
        </w:r>
      </w:fldSimple>
      <w:bookmarkEnd w:id="30"/>
      <w:r w:rsidRPr="006279B0">
        <w:t>: FinAnswer Express Inputs</w:t>
      </w:r>
    </w:p>
    <w:tbl>
      <w:tblPr>
        <w:tblW w:w="3925" w:type="dxa"/>
        <w:jc w:val="center"/>
        <w:tblInd w:w="103" w:type="dxa"/>
        <w:tblLook w:val="04A0"/>
      </w:tblPr>
      <w:tblGrid>
        <w:gridCol w:w="3085"/>
        <w:gridCol w:w="840"/>
      </w:tblGrid>
      <w:tr w:rsidR="009C3D09" w:rsidRPr="006279B0" w:rsidTr="009C3D09">
        <w:trPr>
          <w:trHeight w:val="300"/>
          <w:jc w:val="center"/>
        </w:trPr>
        <w:tc>
          <w:tcPr>
            <w:tcW w:w="3085" w:type="dxa"/>
            <w:tcBorders>
              <w:top w:val="single" w:sz="4" w:space="0" w:color="auto"/>
              <w:left w:val="single" w:sz="4" w:space="0" w:color="auto"/>
              <w:bottom w:val="single" w:sz="4" w:space="0" w:color="auto"/>
              <w:right w:val="single" w:sz="4" w:space="0" w:color="auto"/>
            </w:tcBorders>
            <w:shd w:val="clear" w:color="000000" w:fill="339966"/>
            <w:noWrap/>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Parameter</w:t>
            </w:r>
          </w:p>
        </w:tc>
        <w:tc>
          <w:tcPr>
            <w:tcW w:w="840" w:type="dxa"/>
            <w:tcBorders>
              <w:top w:val="single" w:sz="4" w:space="0" w:color="auto"/>
              <w:left w:val="nil"/>
              <w:bottom w:val="single" w:sz="4" w:space="0" w:color="auto"/>
              <w:right w:val="single" w:sz="4" w:space="0" w:color="auto"/>
            </w:tcBorders>
            <w:shd w:val="clear" w:color="000000" w:fill="339966"/>
            <w:noWrap/>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Value</w:t>
            </w:r>
          </w:p>
        </w:tc>
      </w:tr>
      <w:tr w:rsidR="009C3D09" w:rsidRPr="006279B0" w:rsidTr="009C3D09">
        <w:trPr>
          <w:trHeight w:val="255"/>
          <w:jc w:val="center"/>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Discount Rate</w:t>
            </w:r>
          </w:p>
        </w:tc>
        <w:tc>
          <w:tcPr>
            <w:tcW w:w="840" w:type="dxa"/>
            <w:tcBorders>
              <w:top w:val="single" w:sz="4" w:space="0" w:color="auto"/>
              <w:left w:val="nil"/>
              <w:bottom w:val="single" w:sz="4" w:space="0" w:color="auto"/>
              <w:right w:val="single" w:sz="4" w:space="0" w:color="auto"/>
            </w:tcBorders>
            <w:shd w:val="clear" w:color="auto" w:fill="auto"/>
            <w:noWrap/>
            <w:hideMark/>
          </w:tcPr>
          <w:p w:rsidR="009C3D09" w:rsidRPr="006279B0" w:rsidRDefault="009C3D09" w:rsidP="009C3D09">
            <w:pPr>
              <w:jc w:val="center"/>
              <w:rPr>
                <w:rFonts w:ascii="Arial Narrow" w:hAnsi="Arial Narrow" w:cs="Calibri"/>
                <w:color w:val="000000"/>
                <w:sz w:val="20"/>
              </w:rPr>
            </w:pPr>
            <w:r w:rsidRPr="006279B0">
              <w:rPr>
                <w:rFonts w:ascii="Arial Narrow" w:hAnsi="Arial Narrow" w:cs="Calibri"/>
                <w:color w:val="000000"/>
                <w:sz w:val="20"/>
              </w:rPr>
              <w:t>7.17%</w:t>
            </w:r>
          </w:p>
        </w:tc>
      </w:tr>
      <w:tr w:rsidR="009C3D09" w:rsidRPr="006279B0" w:rsidTr="009C3D09">
        <w:trPr>
          <w:trHeight w:val="255"/>
          <w:jc w:val="center"/>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Commercial line loss</w:t>
            </w:r>
          </w:p>
        </w:tc>
        <w:tc>
          <w:tcPr>
            <w:tcW w:w="840"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center"/>
              <w:rPr>
                <w:rFonts w:ascii="Arial Narrow" w:hAnsi="Arial Narrow" w:cs="Calibri"/>
                <w:color w:val="000000"/>
                <w:sz w:val="20"/>
              </w:rPr>
            </w:pPr>
            <w:r w:rsidRPr="006279B0">
              <w:rPr>
                <w:rFonts w:ascii="Arial Narrow" w:hAnsi="Arial Narrow" w:cs="Calibri"/>
                <w:color w:val="000000"/>
                <w:sz w:val="20"/>
              </w:rPr>
              <w:t>8.73%</w:t>
            </w:r>
          </w:p>
        </w:tc>
      </w:tr>
      <w:tr w:rsidR="009C3D09" w:rsidRPr="006279B0" w:rsidTr="009C3D09">
        <w:trPr>
          <w:trHeight w:val="255"/>
          <w:jc w:val="center"/>
        </w:trPr>
        <w:tc>
          <w:tcPr>
            <w:tcW w:w="3085" w:type="dxa"/>
            <w:tcBorders>
              <w:top w:val="nil"/>
              <w:left w:val="single" w:sz="4" w:space="0" w:color="auto"/>
              <w:bottom w:val="single" w:sz="4" w:space="0" w:color="auto"/>
              <w:right w:val="single" w:sz="4" w:space="0" w:color="auto"/>
            </w:tcBorders>
            <w:shd w:val="clear" w:color="auto" w:fill="auto"/>
            <w:noWrap/>
            <w:vAlign w:val="bottom"/>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Industrial line Loss</w:t>
            </w:r>
          </w:p>
        </w:tc>
        <w:tc>
          <w:tcPr>
            <w:tcW w:w="840"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center"/>
              <w:rPr>
                <w:rFonts w:ascii="Arial Narrow" w:hAnsi="Arial Narrow" w:cs="Calibri"/>
                <w:color w:val="000000"/>
                <w:sz w:val="20"/>
              </w:rPr>
            </w:pPr>
            <w:r w:rsidRPr="006279B0">
              <w:rPr>
                <w:rFonts w:ascii="Arial Narrow" w:hAnsi="Arial Narrow" w:cs="Calibri"/>
                <w:color w:val="000000"/>
                <w:sz w:val="20"/>
              </w:rPr>
              <w:t>7.54%</w:t>
            </w:r>
          </w:p>
        </w:tc>
      </w:tr>
      <w:tr w:rsidR="009C3D09" w:rsidRPr="006279B0" w:rsidTr="009C3D09">
        <w:trPr>
          <w:trHeight w:val="255"/>
          <w:jc w:val="center"/>
        </w:trPr>
        <w:tc>
          <w:tcPr>
            <w:tcW w:w="3085"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pStyle w:val="tabletext"/>
            </w:pPr>
            <w:r w:rsidRPr="006279B0">
              <w:t>Commercial Energy Rate ($/kWh)</w:t>
            </w:r>
            <w:r w:rsidRPr="006279B0">
              <w:br/>
              <w:t>(base year 2010)</w:t>
            </w:r>
          </w:p>
        </w:tc>
        <w:tc>
          <w:tcPr>
            <w:tcW w:w="840" w:type="dxa"/>
            <w:tcBorders>
              <w:top w:val="nil"/>
              <w:left w:val="nil"/>
              <w:bottom w:val="single" w:sz="4" w:space="0" w:color="auto"/>
              <w:right w:val="single" w:sz="4" w:space="0" w:color="auto"/>
            </w:tcBorders>
            <w:shd w:val="clear" w:color="auto" w:fill="auto"/>
            <w:noWrap/>
            <w:vAlign w:val="center"/>
            <w:hideMark/>
          </w:tcPr>
          <w:p w:rsidR="009C3D09" w:rsidRPr="006279B0" w:rsidRDefault="009C3D09" w:rsidP="009C3D09">
            <w:pPr>
              <w:pStyle w:val="tabletext"/>
              <w:jc w:val="center"/>
            </w:pPr>
            <w:r w:rsidRPr="006279B0">
              <w:t>$0.0688</w:t>
            </w:r>
          </w:p>
        </w:tc>
      </w:tr>
      <w:tr w:rsidR="009C3D09" w:rsidRPr="006279B0" w:rsidTr="009C3D09">
        <w:trPr>
          <w:trHeight w:val="255"/>
          <w:jc w:val="center"/>
        </w:trPr>
        <w:tc>
          <w:tcPr>
            <w:tcW w:w="3085"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pStyle w:val="tabletext"/>
            </w:pPr>
            <w:r w:rsidRPr="006279B0">
              <w:t>Industrial Energy Rate ($/kWh)</w:t>
            </w:r>
            <w:r w:rsidRPr="006279B0">
              <w:br/>
              <w:t>(base year 2010)</w:t>
            </w:r>
          </w:p>
        </w:tc>
        <w:tc>
          <w:tcPr>
            <w:tcW w:w="840" w:type="dxa"/>
            <w:tcBorders>
              <w:top w:val="nil"/>
              <w:left w:val="nil"/>
              <w:bottom w:val="single" w:sz="4" w:space="0" w:color="auto"/>
              <w:right w:val="single" w:sz="4" w:space="0" w:color="auto"/>
            </w:tcBorders>
            <w:shd w:val="clear" w:color="auto" w:fill="auto"/>
            <w:noWrap/>
            <w:vAlign w:val="center"/>
            <w:hideMark/>
          </w:tcPr>
          <w:p w:rsidR="009C3D09" w:rsidRPr="006279B0" w:rsidRDefault="009C3D09" w:rsidP="009C3D09">
            <w:pPr>
              <w:pStyle w:val="tabletext"/>
              <w:jc w:val="center"/>
            </w:pPr>
            <w:r w:rsidRPr="006279B0">
              <w:t>$0.0577</w:t>
            </w:r>
          </w:p>
        </w:tc>
      </w:tr>
      <w:tr w:rsidR="009C3D09" w:rsidRPr="006279B0" w:rsidTr="009C3D09">
        <w:trPr>
          <w:trHeight w:val="255"/>
          <w:jc w:val="center"/>
        </w:trPr>
        <w:tc>
          <w:tcPr>
            <w:tcW w:w="3085"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pStyle w:val="tabletext"/>
            </w:pPr>
            <w:r w:rsidRPr="006279B0">
              <w:t>Inflation Rate</w:t>
            </w:r>
            <w:r w:rsidRPr="006279B0">
              <w:rPr>
                <w:rStyle w:val="FootnoteReference"/>
              </w:rPr>
              <w:footnoteReference w:id="11"/>
            </w:r>
          </w:p>
        </w:tc>
        <w:tc>
          <w:tcPr>
            <w:tcW w:w="840" w:type="dxa"/>
            <w:tcBorders>
              <w:top w:val="nil"/>
              <w:left w:val="nil"/>
              <w:bottom w:val="single" w:sz="4" w:space="0" w:color="auto"/>
              <w:right w:val="single" w:sz="4" w:space="0" w:color="auto"/>
            </w:tcBorders>
            <w:shd w:val="clear" w:color="auto" w:fill="auto"/>
            <w:noWrap/>
            <w:vAlign w:val="center"/>
            <w:hideMark/>
          </w:tcPr>
          <w:p w:rsidR="009C3D09" w:rsidRPr="006279B0" w:rsidRDefault="009C3D09" w:rsidP="009C3D09">
            <w:pPr>
              <w:pStyle w:val="tabletext"/>
              <w:jc w:val="center"/>
            </w:pPr>
            <w:r w:rsidRPr="006279B0">
              <w:t>1.8%</w:t>
            </w:r>
          </w:p>
        </w:tc>
      </w:tr>
    </w:tbl>
    <w:p w:rsidR="009C3D09" w:rsidRPr="006279B0" w:rsidRDefault="009C3D09" w:rsidP="009C3D09">
      <w:pPr>
        <w:pStyle w:val="tabletitle"/>
        <w:jc w:val="left"/>
      </w:pPr>
    </w:p>
    <w:p w:rsidR="009C3D09" w:rsidRPr="006279B0" w:rsidRDefault="009C3D09" w:rsidP="009C3D09">
      <w:pPr>
        <w:pStyle w:val="tabletitle"/>
        <w:keepLines/>
        <w:spacing w:before="0"/>
      </w:pPr>
      <w:r w:rsidRPr="006279B0">
        <w:br w:type="page"/>
        <w:t xml:space="preserve">Table </w:t>
      </w:r>
      <w:fldSimple w:instr=" SEQ Table \* ARABIC ">
        <w:r w:rsidR="00D761BE" w:rsidRPr="006279B0">
          <w:rPr>
            <w:noProof/>
          </w:rPr>
          <w:t>6</w:t>
        </w:r>
      </w:fldSimple>
      <w:r w:rsidRPr="006279B0">
        <w:t>: FinAnswer Express Annual Costs and Savings by Year and Measure Type</w:t>
      </w:r>
    </w:p>
    <w:tbl>
      <w:tblPr>
        <w:tblW w:w="9460" w:type="dxa"/>
        <w:jc w:val="center"/>
        <w:tblInd w:w="98" w:type="dxa"/>
        <w:tblLook w:val="04A0"/>
      </w:tblPr>
      <w:tblGrid>
        <w:gridCol w:w="1560"/>
        <w:gridCol w:w="3148"/>
        <w:gridCol w:w="1068"/>
        <w:gridCol w:w="1048"/>
        <w:gridCol w:w="968"/>
        <w:gridCol w:w="1668"/>
      </w:tblGrid>
      <w:tr w:rsidR="009C3D09" w:rsidRPr="006279B0" w:rsidTr="009C3D09">
        <w:trPr>
          <w:trHeight w:val="240"/>
          <w:jc w:val="center"/>
        </w:trPr>
        <w:tc>
          <w:tcPr>
            <w:tcW w:w="1560" w:type="dxa"/>
            <w:vMerge w:val="restart"/>
            <w:tcBorders>
              <w:top w:val="single" w:sz="8" w:space="0" w:color="auto"/>
              <w:left w:val="single" w:sz="8" w:space="0" w:color="auto"/>
              <w:bottom w:val="single" w:sz="8" w:space="0" w:color="000000"/>
              <w:right w:val="nil"/>
            </w:tcBorders>
            <w:shd w:val="clear" w:color="000000" w:fill="339966"/>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FinAnswer Express</w:t>
            </w:r>
          </w:p>
        </w:tc>
        <w:tc>
          <w:tcPr>
            <w:tcW w:w="3148" w:type="dxa"/>
            <w:tcBorders>
              <w:top w:val="single" w:sz="8" w:space="0" w:color="auto"/>
              <w:left w:val="nil"/>
              <w:bottom w:val="nil"/>
              <w:right w:val="single" w:sz="8" w:space="0" w:color="auto"/>
            </w:tcBorders>
            <w:shd w:val="clear" w:color="000000" w:fill="339966"/>
            <w:noWrap/>
            <w:vAlign w:val="bottom"/>
            <w:hideMark/>
          </w:tcPr>
          <w:p w:rsidR="009C3D09" w:rsidRPr="006279B0" w:rsidRDefault="009C3D09" w:rsidP="009C3D09">
            <w:pPr>
              <w:rPr>
                <w:rFonts w:cs="Arial"/>
              </w:rPr>
            </w:pPr>
            <w:r w:rsidRPr="006279B0">
              <w:rPr>
                <w:rFonts w:cs="Arial"/>
              </w:rPr>
              <w:t> </w:t>
            </w:r>
          </w:p>
        </w:tc>
        <w:tc>
          <w:tcPr>
            <w:tcW w:w="1068" w:type="dxa"/>
            <w:tcBorders>
              <w:top w:val="single" w:sz="8" w:space="0" w:color="auto"/>
              <w:left w:val="nil"/>
              <w:bottom w:val="nil"/>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Gross kWh</w:t>
            </w:r>
          </w:p>
        </w:tc>
        <w:tc>
          <w:tcPr>
            <w:tcW w:w="1048" w:type="dxa"/>
            <w:tcBorders>
              <w:top w:val="single" w:sz="8" w:space="0" w:color="auto"/>
              <w:left w:val="nil"/>
              <w:bottom w:val="nil"/>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Gross KW</w:t>
            </w:r>
          </w:p>
        </w:tc>
        <w:tc>
          <w:tcPr>
            <w:tcW w:w="968" w:type="dxa"/>
            <w:tcBorders>
              <w:top w:val="single" w:sz="8" w:space="0" w:color="auto"/>
              <w:left w:val="nil"/>
              <w:bottom w:val="nil"/>
              <w:right w:val="single" w:sz="8" w:space="0" w:color="auto"/>
            </w:tcBorders>
            <w:shd w:val="clear" w:color="000000" w:fill="339966"/>
            <w:noWrap/>
            <w:vAlign w:val="bottom"/>
            <w:hideMark/>
          </w:tcPr>
          <w:p w:rsidR="009C3D09" w:rsidRPr="006279B0" w:rsidRDefault="009C3D09" w:rsidP="009C3D09">
            <w:pPr>
              <w:rPr>
                <w:rFonts w:cs="Arial"/>
              </w:rPr>
            </w:pPr>
            <w:r w:rsidRPr="006279B0">
              <w:rPr>
                <w:rFonts w:cs="Arial"/>
              </w:rPr>
              <w:t> </w:t>
            </w:r>
          </w:p>
        </w:tc>
        <w:tc>
          <w:tcPr>
            <w:tcW w:w="1668" w:type="dxa"/>
            <w:tcBorders>
              <w:top w:val="single" w:sz="8" w:space="0" w:color="auto"/>
              <w:left w:val="nil"/>
              <w:bottom w:val="nil"/>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Participant</w:t>
            </w:r>
          </w:p>
        </w:tc>
      </w:tr>
      <w:tr w:rsidR="009C3D09" w:rsidRPr="006279B0" w:rsidTr="009C3D09">
        <w:trPr>
          <w:trHeight w:val="240"/>
          <w:jc w:val="center"/>
        </w:trPr>
        <w:tc>
          <w:tcPr>
            <w:tcW w:w="1560" w:type="dxa"/>
            <w:vMerge/>
            <w:tcBorders>
              <w:top w:val="single" w:sz="8" w:space="0" w:color="auto"/>
              <w:left w:val="single" w:sz="8" w:space="0" w:color="auto"/>
              <w:bottom w:val="single" w:sz="8" w:space="0" w:color="000000"/>
              <w:right w:val="nil"/>
            </w:tcBorders>
            <w:vAlign w:val="center"/>
            <w:hideMark/>
          </w:tcPr>
          <w:p w:rsidR="009C3D09" w:rsidRPr="006279B0" w:rsidRDefault="009C3D09" w:rsidP="009C3D09">
            <w:pPr>
              <w:rPr>
                <w:rFonts w:ascii="Arial Narrow" w:hAnsi="Arial Narrow" w:cs="Arial"/>
                <w:b/>
                <w:bCs/>
                <w:color w:val="FFFFFF"/>
                <w:sz w:val="18"/>
                <w:szCs w:val="18"/>
              </w:rPr>
            </w:pPr>
          </w:p>
        </w:tc>
        <w:tc>
          <w:tcPr>
            <w:tcW w:w="3148" w:type="dxa"/>
            <w:tcBorders>
              <w:top w:val="nil"/>
              <w:left w:val="nil"/>
              <w:bottom w:val="single" w:sz="8" w:space="0" w:color="auto"/>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End Use</w:t>
            </w:r>
          </w:p>
        </w:tc>
        <w:tc>
          <w:tcPr>
            <w:tcW w:w="1068" w:type="dxa"/>
            <w:tcBorders>
              <w:top w:val="nil"/>
              <w:left w:val="nil"/>
              <w:bottom w:val="single" w:sz="8" w:space="0" w:color="auto"/>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Savings</w:t>
            </w:r>
          </w:p>
        </w:tc>
        <w:tc>
          <w:tcPr>
            <w:tcW w:w="1048" w:type="dxa"/>
            <w:tcBorders>
              <w:top w:val="nil"/>
              <w:left w:val="nil"/>
              <w:bottom w:val="single" w:sz="8" w:space="0" w:color="auto"/>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Savings</w:t>
            </w:r>
          </w:p>
        </w:tc>
        <w:tc>
          <w:tcPr>
            <w:tcW w:w="968" w:type="dxa"/>
            <w:tcBorders>
              <w:top w:val="nil"/>
              <w:left w:val="nil"/>
              <w:bottom w:val="single" w:sz="8" w:space="0" w:color="auto"/>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Incentives</w:t>
            </w:r>
          </w:p>
        </w:tc>
        <w:tc>
          <w:tcPr>
            <w:tcW w:w="1668" w:type="dxa"/>
            <w:tcBorders>
              <w:top w:val="nil"/>
              <w:left w:val="nil"/>
              <w:bottom w:val="single" w:sz="8" w:space="0" w:color="auto"/>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bCs/>
                <w:color w:val="FFFFFF"/>
                <w:sz w:val="18"/>
                <w:szCs w:val="18"/>
              </w:rPr>
            </w:pPr>
            <w:r w:rsidRPr="006279B0">
              <w:rPr>
                <w:rFonts w:ascii="Arial Narrow" w:hAnsi="Arial Narrow" w:cs="Calibri"/>
                <w:b/>
                <w:bCs/>
                <w:color w:val="FFFFFF"/>
                <w:sz w:val="18"/>
                <w:szCs w:val="18"/>
              </w:rPr>
              <w:t>Incremental Cost</w:t>
            </w:r>
          </w:p>
        </w:tc>
      </w:tr>
      <w:tr w:rsidR="009C3D09" w:rsidRPr="006279B0" w:rsidTr="009C3D09">
        <w:trPr>
          <w:trHeight w:val="240"/>
          <w:jc w:val="center"/>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2012</w:t>
            </w: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Appliances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21,968</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$2,000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$4,796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Compressed Air</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288,600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$43,576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$99,107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Envelope</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9,272</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$4,768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$9,914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Dairy/Farm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55,500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$7,565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$15,677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Food Service</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219,126</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57</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$32,170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$78,147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HVAC</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253,608</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73</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$47,424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$160,700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Irrigation</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210,900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$17,652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$54,436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Lighting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4,999,744</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992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$329,251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$1,873,714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Motors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493,430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9</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$31,075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$90,468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Other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11,480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$1,030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$1,480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Non Trade-Ally (project manager projects)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359,029</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$35,903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$95,273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ind w:firstLineChars="100" w:firstLine="181"/>
              <w:rPr>
                <w:rFonts w:ascii="Arial Narrow" w:hAnsi="Arial Narrow" w:cs="Arial"/>
                <w:b/>
                <w:bCs/>
                <w:color w:val="000000"/>
                <w:sz w:val="18"/>
                <w:szCs w:val="18"/>
              </w:rPr>
            </w:pPr>
            <w:r w:rsidRPr="006279B0">
              <w:rPr>
                <w:rFonts w:ascii="Arial Narrow" w:hAnsi="Arial Narrow" w:cs="Calibri"/>
                <w:b/>
                <w:bCs/>
                <w:color w:val="000000"/>
                <w:sz w:val="18"/>
                <w:szCs w:val="18"/>
              </w:rPr>
              <w:t>2012 Total (w/ Admin Cost)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6,922,657</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1,415</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 xml:space="preserve">$552,413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 xml:space="preserve">$2,483,712 </w:t>
            </w:r>
          </w:p>
        </w:tc>
      </w:tr>
      <w:tr w:rsidR="009C3D09" w:rsidRPr="006279B0" w:rsidTr="009C3D09">
        <w:trPr>
          <w:trHeight w:val="240"/>
          <w:jc w:val="center"/>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2013</w:t>
            </w: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Appliances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29,714</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$2,825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$6,857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Compressed Air</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296,400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$44,754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$101,785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Envelope</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19,059</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$8,463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$18,602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Dairy/Farm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57,000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$7,769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$16,100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Food Service</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235,064</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61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$34,960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$83,243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HVAC</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279,891</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82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$52,420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$178,523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Irrigation</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216,600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146</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$18,129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$55,907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Lighting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5,249,732</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1,042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$345,713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$1,967,400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Motors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503,959</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$31,800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$92,337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Other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13,100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$1,100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$1,600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Non Trade-Ally (project manager projects)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180,532</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114</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$18,053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 xml:space="preserve">$47,906 </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ind w:firstLineChars="100" w:firstLine="181"/>
              <w:rPr>
                <w:rFonts w:ascii="Arial Narrow" w:hAnsi="Arial Narrow" w:cs="Arial"/>
                <w:b/>
                <w:bCs/>
                <w:color w:val="000000"/>
                <w:sz w:val="18"/>
                <w:szCs w:val="18"/>
              </w:rPr>
            </w:pPr>
            <w:r w:rsidRPr="006279B0">
              <w:rPr>
                <w:rFonts w:ascii="Arial Narrow" w:hAnsi="Arial Narrow" w:cs="Calibri"/>
                <w:b/>
                <w:bCs/>
                <w:color w:val="000000"/>
                <w:sz w:val="18"/>
                <w:szCs w:val="18"/>
              </w:rPr>
              <w:t>2013 Total (w/ Admin Cost)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7,081,050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1,488</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 xml:space="preserve">$565,987 </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 xml:space="preserve">$2,570,260 </w:t>
            </w:r>
          </w:p>
        </w:tc>
      </w:tr>
      <w:tr w:rsidR="009C3D09" w:rsidRPr="006279B0" w:rsidTr="009C3D09">
        <w:trPr>
          <w:trHeight w:val="240"/>
          <w:jc w:val="center"/>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All Years</w:t>
            </w: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Appliances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51,682</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$4,825</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$11,653</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Compressed Air</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585,000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28</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$88,330</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$200,892</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Envelope</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28,331</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$13,231</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$28,516</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Dairy/Farm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112,500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28</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$15,334</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$31,777</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Food Service</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454,190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118</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$67,130</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$161,390</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HVAC</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533,499</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155</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$99,844</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$339,223</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Irrigation</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427,500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288</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$35,781</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$110,343</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Lighting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10,249,476</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2,034</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$674,964</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$3,841,114</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Motors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997,389</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20</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$62,875</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$182,805</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Other Equipment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24,580</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$2,130</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$3,080</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rPr>
                <w:rFonts w:ascii="Arial Narrow" w:hAnsi="Arial Narrow" w:cs="Arial"/>
                <w:color w:val="000000"/>
                <w:sz w:val="18"/>
                <w:szCs w:val="18"/>
              </w:rPr>
            </w:pPr>
            <w:r w:rsidRPr="006279B0">
              <w:rPr>
                <w:rFonts w:ascii="Arial Narrow" w:hAnsi="Arial Narrow" w:cs="Calibri"/>
                <w:color w:val="000000"/>
                <w:sz w:val="18"/>
                <w:szCs w:val="18"/>
              </w:rPr>
              <w:t>Non Trade-Ally (project manager projects)</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539,561</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225</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$53,956</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color w:val="000000"/>
                <w:sz w:val="18"/>
                <w:szCs w:val="18"/>
              </w:rPr>
            </w:pPr>
            <w:r w:rsidRPr="006279B0">
              <w:rPr>
                <w:rFonts w:ascii="Arial Narrow" w:hAnsi="Arial Narrow" w:cs="Calibri"/>
                <w:color w:val="000000"/>
                <w:sz w:val="18"/>
                <w:szCs w:val="18"/>
              </w:rPr>
              <w:t>$143,179</w:t>
            </w:r>
          </w:p>
        </w:tc>
      </w:tr>
      <w:tr w:rsidR="009C3D09" w:rsidRPr="006279B0" w:rsidTr="009C3D09">
        <w:trPr>
          <w:trHeight w:val="240"/>
          <w:jc w:val="center"/>
        </w:trPr>
        <w:tc>
          <w:tcPr>
            <w:tcW w:w="1560" w:type="dxa"/>
            <w:vMerge/>
            <w:tcBorders>
              <w:top w:val="nil"/>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bCs/>
                <w:color w:val="000000"/>
                <w:sz w:val="18"/>
                <w:szCs w:val="18"/>
              </w:rPr>
            </w:pPr>
          </w:p>
        </w:tc>
        <w:tc>
          <w:tcPr>
            <w:tcW w:w="31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ind w:firstLineChars="100" w:firstLine="181"/>
              <w:rPr>
                <w:rFonts w:ascii="Arial Narrow" w:hAnsi="Arial Narrow" w:cs="Arial"/>
                <w:b/>
                <w:bCs/>
                <w:color w:val="000000"/>
                <w:sz w:val="18"/>
                <w:szCs w:val="18"/>
              </w:rPr>
            </w:pPr>
            <w:r w:rsidRPr="006279B0">
              <w:rPr>
                <w:rFonts w:ascii="Arial Narrow" w:hAnsi="Arial Narrow" w:cs="Calibri"/>
                <w:b/>
                <w:bCs/>
                <w:color w:val="000000"/>
                <w:sz w:val="18"/>
                <w:szCs w:val="18"/>
              </w:rPr>
              <w:t>All Years Total (w/ Admin Cost)</w:t>
            </w:r>
          </w:p>
        </w:tc>
        <w:tc>
          <w:tcPr>
            <w:tcW w:w="10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14,003,707</w:t>
            </w:r>
          </w:p>
        </w:tc>
        <w:tc>
          <w:tcPr>
            <w:tcW w:w="104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b/>
                <w:bCs/>
                <w:color w:val="000000"/>
                <w:sz w:val="18"/>
                <w:szCs w:val="18"/>
              </w:rPr>
              <w:t>2,903</w:t>
            </w:r>
          </w:p>
        </w:tc>
        <w:tc>
          <w:tcPr>
            <w:tcW w:w="9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color w:val="000000"/>
                <w:sz w:val="18"/>
                <w:szCs w:val="18"/>
              </w:rPr>
              <w:t>$</w:t>
            </w:r>
            <w:r w:rsidRPr="006279B0">
              <w:rPr>
                <w:rFonts w:ascii="Arial Narrow" w:hAnsi="Arial Narrow" w:cs="Calibri"/>
                <w:b/>
                <w:bCs/>
                <w:color w:val="000000"/>
                <w:sz w:val="18"/>
                <w:szCs w:val="18"/>
              </w:rPr>
              <w:t>1,118,400</w:t>
            </w:r>
          </w:p>
        </w:tc>
        <w:tc>
          <w:tcPr>
            <w:tcW w:w="1668" w:type="dxa"/>
            <w:tcBorders>
              <w:top w:val="nil"/>
              <w:left w:val="nil"/>
              <w:bottom w:val="single" w:sz="8" w:space="0" w:color="auto"/>
              <w:right w:val="single" w:sz="8" w:space="0" w:color="auto"/>
            </w:tcBorders>
            <w:shd w:val="clear" w:color="auto" w:fill="auto"/>
            <w:noWrap/>
            <w:vAlign w:val="bottom"/>
            <w:hideMark/>
          </w:tcPr>
          <w:p w:rsidR="009C3D09" w:rsidRPr="006279B0" w:rsidRDefault="009C3D09" w:rsidP="009C3D09">
            <w:pPr>
              <w:jc w:val="center"/>
              <w:rPr>
                <w:rFonts w:ascii="Arial Narrow" w:hAnsi="Arial Narrow" w:cs="Arial"/>
                <w:b/>
                <w:bCs/>
                <w:color w:val="000000"/>
                <w:sz w:val="18"/>
                <w:szCs w:val="18"/>
              </w:rPr>
            </w:pPr>
            <w:r w:rsidRPr="006279B0">
              <w:rPr>
                <w:rFonts w:ascii="Arial Narrow" w:hAnsi="Arial Narrow" w:cs="Calibri"/>
                <w:color w:val="000000"/>
                <w:sz w:val="18"/>
                <w:szCs w:val="18"/>
              </w:rPr>
              <w:t>$</w:t>
            </w:r>
            <w:r w:rsidRPr="006279B0">
              <w:rPr>
                <w:rFonts w:ascii="Arial Narrow" w:hAnsi="Arial Narrow" w:cs="Calibri"/>
                <w:b/>
                <w:bCs/>
                <w:color w:val="000000"/>
                <w:sz w:val="18"/>
                <w:szCs w:val="18"/>
              </w:rPr>
              <w:t>5,053,972</w:t>
            </w:r>
          </w:p>
        </w:tc>
      </w:tr>
    </w:tbl>
    <w:p w:rsidR="009C3D09" w:rsidRPr="006279B0" w:rsidRDefault="009C3D09" w:rsidP="009C3D09">
      <w:pPr>
        <w:pStyle w:val="tabletitle"/>
        <w:widowControl w:val="0"/>
      </w:pPr>
      <w:r w:rsidRPr="006279B0">
        <w:br w:type="page"/>
      </w:r>
    </w:p>
    <w:p w:rsidR="009C3D09" w:rsidRPr="006279B0" w:rsidRDefault="009C3D09" w:rsidP="009C3D09">
      <w:pPr>
        <w:pStyle w:val="tabletitle"/>
        <w:widowControl w:val="0"/>
      </w:pPr>
      <w:r w:rsidRPr="006279B0">
        <w:t xml:space="preserve">Table </w:t>
      </w:r>
      <w:fldSimple w:instr=" SEQ Table \* ARABIC ">
        <w:r w:rsidR="00D761BE" w:rsidRPr="006279B0">
          <w:rPr>
            <w:noProof/>
          </w:rPr>
          <w:t>7</w:t>
        </w:r>
      </w:fldSimple>
      <w:r w:rsidRPr="006279B0">
        <w:t>: FinAnswer Express Measure Lives and Realization Rates by Measure Type</w:t>
      </w:r>
    </w:p>
    <w:tbl>
      <w:tblPr>
        <w:tblW w:w="5508" w:type="dxa"/>
        <w:jc w:val="center"/>
        <w:tblLook w:val="04A0"/>
      </w:tblPr>
      <w:tblGrid>
        <w:gridCol w:w="3361"/>
        <w:gridCol w:w="973"/>
        <w:gridCol w:w="1174"/>
      </w:tblGrid>
      <w:tr w:rsidR="009C3D09" w:rsidRPr="006279B0" w:rsidTr="009C3D09">
        <w:trPr>
          <w:trHeight w:val="255"/>
          <w:jc w:val="center"/>
        </w:trPr>
        <w:tc>
          <w:tcPr>
            <w:tcW w:w="3361" w:type="dxa"/>
            <w:tcBorders>
              <w:top w:val="single" w:sz="4" w:space="0" w:color="auto"/>
              <w:left w:val="single" w:sz="4" w:space="0" w:color="auto"/>
              <w:bottom w:val="nil"/>
              <w:right w:val="single" w:sz="4" w:space="0" w:color="auto"/>
            </w:tcBorders>
            <w:shd w:val="clear" w:color="000000" w:fill="339966"/>
            <w:noWrap/>
            <w:vAlign w:val="bottom"/>
            <w:hideMark/>
          </w:tcPr>
          <w:p w:rsidR="009C3D09" w:rsidRPr="006279B0" w:rsidRDefault="009C3D09" w:rsidP="009C3D09">
            <w:pPr>
              <w:rPr>
                <w:rFonts w:ascii="Arial Narrow" w:hAnsi="Arial Narrow" w:cs="Calibri"/>
                <w:b/>
                <w:bCs/>
                <w:color w:val="FFFFFF"/>
                <w:sz w:val="20"/>
              </w:rPr>
            </w:pPr>
            <w:r w:rsidRPr="006279B0">
              <w:rPr>
                <w:rFonts w:ascii="Arial Narrow" w:hAnsi="Arial Narrow" w:cs="Calibri"/>
                <w:b/>
                <w:bCs/>
                <w:color w:val="FFFFFF"/>
                <w:sz w:val="20"/>
              </w:rPr>
              <w:t> </w:t>
            </w:r>
          </w:p>
        </w:tc>
        <w:tc>
          <w:tcPr>
            <w:tcW w:w="973" w:type="dxa"/>
            <w:tcBorders>
              <w:top w:val="single" w:sz="4" w:space="0" w:color="auto"/>
              <w:left w:val="nil"/>
              <w:bottom w:val="nil"/>
              <w:right w:val="single" w:sz="4" w:space="0" w:color="auto"/>
            </w:tcBorders>
            <w:shd w:val="clear" w:color="000000" w:fill="339966"/>
            <w:noWrap/>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Measure</w:t>
            </w:r>
          </w:p>
        </w:tc>
        <w:tc>
          <w:tcPr>
            <w:tcW w:w="1174" w:type="dxa"/>
            <w:tcBorders>
              <w:top w:val="single" w:sz="4" w:space="0" w:color="auto"/>
              <w:left w:val="nil"/>
              <w:bottom w:val="nil"/>
              <w:right w:val="single" w:sz="4" w:space="0" w:color="auto"/>
            </w:tcBorders>
            <w:shd w:val="clear" w:color="000000" w:fill="339966"/>
            <w:noWrap/>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Realization</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000000" w:fill="339966"/>
            <w:noWrap/>
            <w:vAlign w:val="bottom"/>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End Use</w:t>
            </w:r>
          </w:p>
        </w:tc>
        <w:tc>
          <w:tcPr>
            <w:tcW w:w="973" w:type="dxa"/>
            <w:tcBorders>
              <w:top w:val="nil"/>
              <w:left w:val="nil"/>
              <w:bottom w:val="single" w:sz="4" w:space="0" w:color="auto"/>
              <w:right w:val="single" w:sz="4" w:space="0" w:color="auto"/>
            </w:tcBorders>
            <w:shd w:val="clear" w:color="000000" w:fill="339966"/>
            <w:noWrap/>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Life</w:t>
            </w:r>
          </w:p>
        </w:tc>
        <w:tc>
          <w:tcPr>
            <w:tcW w:w="1174" w:type="dxa"/>
            <w:tcBorders>
              <w:top w:val="nil"/>
              <w:left w:val="nil"/>
              <w:bottom w:val="single" w:sz="4" w:space="0" w:color="auto"/>
              <w:right w:val="single" w:sz="4" w:space="0" w:color="auto"/>
            </w:tcBorders>
            <w:shd w:val="clear" w:color="000000" w:fill="339966"/>
            <w:noWrap/>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Calibri"/>
                <w:b/>
                <w:bCs/>
                <w:color w:val="FFFFFF"/>
                <w:sz w:val="20"/>
              </w:rPr>
              <w:t>Rate</w:t>
            </w:r>
          </w:p>
        </w:tc>
      </w:tr>
      <w:tr w:rsidR="009C3D09" w:rsidRPr="006279B0" w:rsidTr="009C3D09">
        <w:trPr>
          <w:trHeight w:val="255"/>
          <w:jc w:val="center"/>
        </w:trPr>
        <w:tc>
          <w:tcPr>
            <w:tcW w:w="3361" w:type="dxa"/>
            <w:tcBorders>
              <w:top w:val="single" w:sz="4" w:space="0" w:color="auto"/>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Appliances</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9</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Compressed Air</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9</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Envelope</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20</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Dairy/Farm Equipment</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10</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Food Service</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12</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HVAC</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15</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0.72</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Irrigation</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5</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Lighting Equipment</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14</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0.98</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Motors</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15</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1.54</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Other Equipment</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5</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r w:rsidR="009C3D09" w:rsidRPr="006279B0" w:rsidTr="009C3D09">
        <w:trPr>
          <w:trHeight w:val="255"/>
          <w:jc w:val="center"/>
        </w:trPr>
        <w:tc>
          <w:tcPr>
            <w:tcW w:w="3361" w:type="dxa"/>
            <w:tcBorders>
              <w:top w:val="nil"/>
              <w:left w:val="single" w:sz="4" w:space="0" w:color="auto"/>
              <w:bottom w:val="single" w:sz="4" w:space="0" w:color="auto"/>
              <w:right w:val="single" w:sz="4" w:space="0" w:color="auto"/>
            </w:tcBorders>
            <w:shd w:val="clear" w:color="auto" w:fill="auto"/>
            <w:noWrap/>
            <w:hideMark/>
          </w:tcPr>
          <w:p w:rsidR="009C3D09" w:rsidRPr="006279B0" w:rsidRDefault="009C3D09" w:rsidP="009C3D09">
            <w:pPr>
              <w:rPr>
                <w:rFonts w:ascii="Arial Narrow" w:hAnsi="Arial Narrow" w:cs="Calibri"/>
                <w:color w:val="000000"/>
                <w:sz w:val="20"/>
              </w:rPr>
            </w:pPr>
            <w:r w:rsidRPr="006279B0">
              <w:rPr>
                <w:rFonts w:ascii="Arial Narrow" w:hAnsi="Arial Narrow" w:cs="Calibri"/>
                <w:color w:val="000000"/>
                <w:sz w:val="20"/>
              </w:rPr>
              <w:t>Non Trade-Ally (project manager projects)</w:t>
            </w:r>
          </w:p>
        </w:tc>
        <w:tc>
          <w:tcPr>
            <w:tcW w:w="973"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14</w:t>
            </w:r>
          </w:p>
        </w:tc>
        <w:tc>
          <w:tcPr>
            <w:tcW w:w="1174" w:type="dxa"/>
            <w:tcBorders>
              <w:top w:val="nil"/>
              <w:left w:val="nil"/>
              <w:bottom w:val="single" w:sz="4" w:space="0" w:color="auto"/>
              <w:right w:val="single" w:sz="4" w:space="0" w:color="auto"/>
            </w:tcBorders>
            <w:shd w:val="clear" w:color="auto" w:fill="auto"/>
            <w:noWrap/>
            <w:vAlign w:val="bottom"/>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Calibri"/>
                <w:color w:val="000000"/>
                <w:sz w:val="20"/>
              </w:rPr>
              <w:t>0.97</w:t>
            </w:r>
          </w:p>
        </w:tc>
      </w:tr>
    </w:tbl>
    <w:p w:rsidR="009C3D09" w:rsidRPr="006279B0" w:rsidRDefault="009C3D09" w:rsidP="009C3D09">
      <w:pPr>
        <w:pStyle w:val="tabletitle"/>
        <w:widowControl w:val="0"/>
      </w:pPr>
      <w:bookmarkStart w:id="31" w:name="_Ref303606394"/>
      <w:r w:rsidRPr="006279B0">
        <w:t xml:space="preserve">Table </w:t>
      </w:r>
      <w:fldSimple w:instr=" SEQ Table \* ARABIC ">
        <w:r w:rsidR="00D761BE" w:rsidRPr="006279B0">
          <w:rPr>
            <w:noProof/>
          </w:rPr>
          <w:t>8</w:t>
        </w:r>
      </w:fldSimple>
      <w:bookmarkEnd w:id="31"/>
      <w:r w:rsidRPr="006279B0">
        <w:t>: Program Costs</w:t>
      </w:r>
    </w:p>
    <w:tbl>
      <w:tblPr>
        <w:tblW w:w="3840" w:type="dxa"/>
        <w:jc w:val="center"/>
        <w:tblInd w:w="93" w:type="dxa"/>
        <w:tblLook w:val="04A0"/>
      </w:tblPr>
      <w:tblGrid>
        <w:gridCol w:w="960"/>
        <w:gridCol w:w="1073"/>
        <w:gridCol w:w="1037"/>
        <w:gridCol w:w="1037"/>
      </w:tblGrid>
      <w:tr w:rsidR="009C3D09" w:rsidRPr="006279B0" w:rsidTr="009C3D09">
        <w:trPr>
          <w:trHeight w:val="960"/>
          <w:jc w:val="center"/>
        </w:trPr>
        <w:tc>
          <w:tcPr>
            <w:tcW w:w="960" w:type="dxa"/>
            <w:tcBorders>
              <w:top w:val="single" w:sz="8" w:space="0" w:color="auto"/>
              <w:left w:val="single" w:sz="8" w:space="0" w:color="auto"/>
              <w:bottom w:val="nil"/>
              <w:right w:val="single" w:sz="8" w:space="0" w:color="auto"/>
            </w:tcBorders>
            <w:shd w:val="clear" w:color="000000" w:fill="339966"/>
            <w:vAlign w:val="center"/>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Arial"/>
                <w:b/>
                <w:bCs/>
                <w:color w:val="FFFFFF"/>
                <w:sz w:val="20"/>
              </w:rPr>
              <w:t>Year</w:t>
            </w:r>
          </w:p>
        </w:tc>
        <w:tc>
          <w:tcPr>
            <w:tcW w:w="960" w:type="dxa"/>
            <w:tcBorders>
              <w:top w:val="single" w:sz="8" w:space="0" w:color="auto"/>
              <w:left w:val="nil"/>
              <w:bottom w:val="nil"/>
              <w:right w:val="single" w:sz="8" w:space="0" w:color="auto"/>
            </w:tcBorders>
            <w:shd w:val="clear" w:color="000000" w:fill="339966"/>
            <w:vAlign w:val="center"/>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Arial"/>
                <w:b/>
                <w:bCs/>
                <w:color w:val="FFFFFF"/>
                <w:sz w:val="20"/>
              </w:rPr>
              <w:t>Program Expenses (Non-Incentives)</w:t>
            </w:r>
          </w:p>
        </w:tc>
        <w:tc>
          <w:tcPr>
            <w:tcW w:w="960" w:type="dxa"/>
            <w:tcBorders>
              <w:top w:val="single" w:sz="8" w:space="0" w:color="auto"/>
              <w:left w:val="nil"/>
              <w:bottom w:val="nil"/>
              <w:right w:val="single" w:sz="8" w:space="0" w:color="auto"/>
            </w:tcBorders>
            <w:shd w:val="clear" w:color="000000" w:fill="339966"/>
            <w:vAlign w:val="center"/>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Arial"/>
                <w:b/>
                <w:bCs/>
                <w:color w:val="FFFFFF"/>
                <w:sz w:val="20"/>
              </w:rPr>
              <w:t>Incentives</w:t>
            </w:r>
          </w:p>
        </w:tc>
        <w:tc>
          <w:tcPr>
            <w:tcW w:w="960" w:type="dxa"/>
            <w:tcBorders>
              <w:top w:val="single" w:sz="8" w:space="0" w:color="auto"/>
              <w:left w:val="nil"/>
              <w:bottom w:val="nil"/>
              <w:right w:val="single" w:sz="8" w:space="0" w:color="auto"/>
            </w:tcBorders>
            <w:shd w:val="clear" w:color="000000" w:fill="339966"/>
            <w:vAlign w:val="center"/>
            <w:hideMark/>
          </w:tcPr>
          <w:p w:rsidR="009C3D09" w:rsidRPr="006279B0" w:rsidRDefault="009C3D09" w:rsidP="009C3D09">
            <w:pPr>
              <w:jc w:val="center"/>
              <w:rPr>
                <w:rFonts w:ascii="Arial Narrow" w:hAnsi="Arial Narrow" w:cs="Calibri"/>
                <w:b/>
                <w:bCs/>
                <w:color w:val="FFFFFF"/>
                <w:sz w:val="20"/>
              </w:rPr>
            </w:pPr>
            <w:r w:rsidRPr="006279B0">
              <w:rPr>
                <w:rFonts w:ascii="Arial Narrow" w:hAnsi="Arial Narrow" w:cs="Arial"/>
                <w:b/>
                <w:bCs/>
                <w:color w:val="FFFFFF"/>
                <w:sz w:val="20"/>
              </w:rPr>
              <w:t>Total</w:t>
            </w:r>
          </w:p>
        </w:tc>
      </w:tr>
      <w:tr w:rsidR="009C3D09" w:rsidRPr="006279B0" w:rsidTr="009C3D0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2012</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 xml:space="preserve">$917,587 </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 xml:space="preserve">$552,413 </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 xml:space="preserve">$1,470,000 </w:t>
            </w:r>
          </w:p>
        </w:tc>
      </w:tr>
      <w:tr w:rsidR="009C3D09" w:rsidRPr="006279B0" w:rsidTr="009C3D0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2013</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 xml:space="preserve">$899,483 </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 xml:space="preserve">$565,987 </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color w:val="000000"/>
                <w:sz w:val="20"/>
              </w:rPr>
            </w:pPr>
            <w:r w:rsidRPr="006279B0">
              <w:rPr>
                <w:rFonts w:ascii="Arial Narrow" w:hAnsi="Arial Narrow" w:cs="Arial"/>
                <w:color w:val="000000"/>
                <w:sz w:val="20"/>
              </w:rPr>
              <w:t xml:space="preserve">$1,465,470 </w:t>
            </w:r>
          </w:p>
        </w:tc>
      </w:tr>
      <w:tr w:rsidR="009C3D09" w:rsidRPr="006279B0" w:rsidTr="009C3D0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rPr>
                <w:rFonts w:ascii="Arial Narrow" w:hAnsi="Arial Narrow" w:cs="Calibri"/>
                <w:b/>
                <w:bCs/>
                <w:color w:val="000000"/>
                <w:sz w:val="20"/>
              </w:rPr>
            </w:pPr>
            <w:r w:rsidRPr="006279B0">
              <w:rPr>
                <w:rFonts w:ascii="Arial Narrow" w:hAnsi="Arial Narrow" w:cs="Arial"/>
                <w:b/>
                <w:bCs/>
                <w:color w:val="000000"/>
                <w:sz w:val="20"/>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b/>
                <w:bCs/>
                <w:color w:val="000000"/>
                <w:sz w:val="20"/>
              </w:rPr>
            </w:pPr>
            <w:r w:rsidRPr="006279B0">
              <w:rPr>
                <w:rFonts w:ascii="Arial Narrow" w:hAnsi="Arial Narrow" w:cs="Arial"/>
                <w:b/>
                <w:bCs/>
                <w:color w:val="000000"/>
                <w:sz w:val="20"/>
              </w:rPr>
              <w:t xml:space="preserve">$1,817,070 </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b/>
                <w:bCs/>
                <w:color w:val="000000"/>
                <w:sz w:val="20"/>
              </w:rPr>
            </w:pPr>
            <w:r w:rsidRPr="006279B0">
              <w:rPr>
                <w:rFonts w:ascii="Arial Narrow" w:hAnsi="Arial Narrow" w:cs="Arial"/>
                <w:b/>
                <w:bCs/>
                <w:color w:val="000000"/>
                <w:sz w:val="20"/>
              </w:rPr>
              <w:t xml:space="preserve">$1,118,400 </w:t>
            </w:r>
          </w:p>
        </w:tc>
        <w:tc>
          <w:tcPr>
            <w:tcW w:w="960"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Calibri"/>
                <w:b/>
                <w:bCs/>
                <w:color w:val="000000"/>
                <w:sz w:val="20"/>
              </w:rPr>
            </w:pPr>
            <w:r w:rsidRPr="006279B0">
              <w:rPr>
                <w:rFonts w:ascii="Arial Narrow" w:hAnsi="Arial Narrow" w:cs="Arial"/>
                <w:b/>
                <w:bCs/>
                <w:color w:val="000000"/>
                <w:sz w:val="20"/>
              </w:rPr>
              <w:t xml:space="preserve">$2,935,470 </w:t>
            </w:r>
          </w:p>
        </w:tc>
      </w:tr>
    </w:tbl>
    <w:p w:rsidR="009C3D09" w:rsidRPr="006279B0" w:rsidRDefault="009C3D09" w:rsidP="009C3D09">
      <w:pPr>
        <w:pStyle w:val="tabletitle"/>
        <w:widowControl w:val="0"/>
      </w:pPr>
    </w:p>
    <w:p w:rsidR="009C3D09" w:rsidRPr="006279B0" w:rsidRDefault="009C3D09" w:rsidP="009C3D09">
      <w:pPr>
        <w:pStyle w:val="tabletitle"/>
        <w:widowControl w:val="0"/>
      </w:pPr>
      <w:bookmarkStart w:id="32" w:name="_Ref303606234"/>
      <w:r w:rsidRPr="006279B0">
        <w:t xml:space="preserve">Table </w:t>
      </w:r>
      <w:fldSimple w:instr=" SEQ Table \* ARABIC ">
        <w:r w:rsidR="00D761BE" w:rsidRPr="006279B0">
          <w:rPr>
            <w:noProof/>
          </w:rPr>
          <w:t>9</w:t>
        </w:r>
      </w:fldSimple>
      <w:bookmarkEnd w:id="32"/>
      <w:r w:rsidRPr="006279B0">
        <w:t>: FinAnswer Express Cost-Effectiveness, All Years, Entire Program</w:t>
      </w:r>
    </w:p>
    <w:tbl>
      <w:tblPr>
        <w:tblW w:w="9793" w:type="dxa"/>
        <w:jc w:val="center"/>
        <w:tblInd w:w="98" w:type="dxa"/>
        <w:tblLook w:val="04A0"/>
      </w:tblPr>
      <w:tblGrid>
        <w:gridCol w:w="4208"/>
        <w:gridCol w:w="1129"/>
        <w:gridCol w:w="1168"/>
        <w:gridCol w:w="1644"/>
        <w:gridCol w:w="1644"/>
      </w:tblGrid>
      <w:tr w:rsidR="009C3D09" w:rsidRPr="006279B0" w:rsidTr="0073249B">
        <w:trPr>
          <w:trHeight w:val="270"/>
          <w:jc w:val="center"/>
        </w:trPr>
        <w:tc>
          <w:tcPr>
            <w:tcW w:w="4208" w:type="dxa"/>
            <w:tcBorders>
              <w:top w:val="single" w:sz="8" w:space="0" w:color="auto"/>
              <w:left w:val="single" w:sz="8" w:space="0" w:color="auto"/>
              <w:bottom w:val="nil"/>
              <w:right w:val="nil"/>
            </w:tcBorders>
            <w:shd w:val="clear" w:color="000000" w:fill="339966"/>
            <w:noWrap/>
            <w:hideMark/>
          </w:tcPr>
          <w:p w:rsidR="009C3D09" w:rsidRPr="006279B0" w:rsidRDefault="009C3D09" w:rsidP="009C3D09">
            <w:pPr>
              <w:rPr>
                <w:rFonts w:ascii="Arial Narrow" w:hAnsi="Arial Narrow" w:cs="Arial"/>
                <w:b/>
                <w:bCs/>
                <w:color w:val="FFFFFF"/>
                <w:sz w:val="20"/>
              </w:rPr>
            </w:pPr>
            <w:r w:rsidRPr="006279B0">
              <w:rPr>
                <w:rFonts w:ascii="Arial Narrow" w:hAnsi="Arial Narrow" w:cs="Arial"/>
                <w:b/>
                <w:bCs/>
                <w:color w:val="FFFFFF"/>
                <w:sz w:val="20"/>
              </w:rPr>
              <w:t>FinAnswer Express - Total Program</w:t>
            </w:r>
          </w:p>
        </w:tc>
        <w:tc>
          <w:tcPr>
            <w:tcW w:w="1129" w:type="dxa"/>
            <w:tcBorders>
              <w:top w:val="single" w:sz="8" w:space="0" w:color="auto"/>
              <w:left w:val="nil"/>
              <w:bottom w:val="nil"/>
              <w:right w:val="nil"/>
            </w:tcBorders>
            <w:shd w:val="clear" w:color="000000" w:fill="339966"/>
            <w:noWrap/>
            <w:hideMark/>
          </w:tcPr>
          <w:p w:rsidR="009C3D09" w:rsidRPr="006279B0" w:rsidRDefault="009C3D09" w:rsidP="009C3D09">
            <w:pPr>
              <w:rPr>
                <w:rFonts w:ascii="Arial Narrow" w:hAnsi="Arial Narrow" w:cs="Arial"/>
                <w:b/>
                <w:bCs/>
                <w:color w:val="FFFFFF"/>
                <w:sz w:val="20"/>
              </w:rPr>
            </w:pPr>
            <w:r w:rsidRPr="006279B0">
              <w:rPr>
                <w:rFonts w:ascii="Arial Narrow" w:hAnsi="Arial Narrow" w:cs="Arial"/>
                <w:b/>
                <w:bCs/>
                <w:color w:val="FFFFFF"/>
                <w:sz w:val="20"/>
              </w:rPr>
              <w:t> </w:t>
            </w:r>
          </w:p>
        </w:tc>
        <w:tc>
          <w:tcPr>
            <w:tcW w:w="1168" w:type="dxa"/>
            <w:tcBorders>
              <w:top w:val="single" w:sz="8" w:space="0" w:color="auto"/>
              <w:left w:val="nil"/>
              <w:bottom w:val="nil"/>
              <w:right w:val="nil"/>
            </w:tcBorders>
            <w:shd w:val="clear" w:color="000000" w:fill="339966"/>
            <w:noWrap/>
            <w:hideMark/>
          </w:tcPr>
          <w:p w:rsidR="009C3D09" w:rsidRPr="006279B0" w:rsidRDefault="009C3D09" w:rsidP="009C3D09">
            <w:pPr>
              <w:rPr>
                <w:rFonts w:ascii="Arial Narrow" w:hAnsi="Arial Narrow" w:cs="Arial"/>
                <w:b/>
                <w:bCs/>
                <w:color w:val="FFFFFF"/>
                <w:sz w:val="20"/>
              </w:rPr>
            </w:pPr>
            <w:r w:rsidRPr="006279B0">
              <w:rPr>
                <w:rFonts w:ascii="Arial Narrow" w:hAnsi="Arial Narrow" w:cs="Arial"/>
                <w:b/>
                <w:bCs/>
                <w:color w:val="FFFFFF"/>
                <w:sz w:val="20"/>
              </w:rPr>
              <w:t> </w:t>
            </w:r>
          </w:p>
        </w:tc>
        <w:tc>
          <w:tcPr>
            <w:tcW w:w="3288" w:type="dxa"/>
            <w:gridSpan w:val="2"/>
            <w:tcBorders>
              <w:top w:val="single" w:sz="8" w:space="0" w:color="auto"/>
              <w:left w:val="single" w:sz="8" w:space="0" w:color="auto"/>
              <w:bottom w:val="nil"/>
              <w:right w:val="single" w:sz="8" w:space="0" w:color="000000"/>
            </w:tcBorders>
            <w:shd w:val="clear" w:color="000000" w:fill="339966"/>
            <w:noWrap/>
            <w:hideMark/>
          </w:tcPr>
          <w:p w:rsidR="009C3D09" w:rsidRPr="006279B0" w:rsidRDefault="009C3D09" w:rsidP="009C3D09">
            <w:pPr>
              <w:rPr>
                <w:rFonts w:ascii="Arial Narrow" w:hAnsi="Arial Narrow" w:cs="Arial"/>
                <w:b/>
                <w:bCs/>
                <w:color w:val="FFFFFF"/>
                <w:sz w:val="20"/>
              </w:rPr>
            </w:pPr>
            <w:r w:rsidRPr="006279B0">
              <w:rPr>
                <w:rFonts w:ascii="Arial Narrow" w:hAnsi="Arial Narrow" w:cs="Arial"/>
                <w:b/>
                <w:bCs/>
                <w:color w:val="FFFFFF"/>
                <w:sz w:val="20"/>
              </w:rPr>
              <w:t>West System 71% (2011 medium)</w:t>
            </w:r>
          </w:p>
        </w:tc>
      </w:tr>
      <w:tr w:rsidR="009C3D09" w:rsidRPr="006279B0" w:rsidTr="0073249B">
        <w:trPr>
          <w:trHeight w:val="255"/>
          <w:jc w:val="center"/>
        </w:trPr>
        <w:tc>
          <w:tcPr>
            <w:tcW w:w="4208"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9C3D09" w:rsidRPr="006279B0" w:rsidRDefault="009C3D09" w:rsidP="009C3D09">
            <w:pPr>
              <w:rPr>
                <w:rFonts w:ascii="Arial Narrow" w:hAnsi="Arial Narrow" w:cs="Arial"/>
                <w:color w:val="FFFFFF"/>
                <w:sz w:val="20"/>
              </w:rPr>
            </w:pPr>
            <w:r w:rsidRPr="006279B0">
              <w:rPr>
                <w:rFonts w:ascii="Arial Narrow" w:hAnsi="Arial Narrow" w:cs="Arial"/>
                <w:color w:val="FFFFFF"/>
                <w:sz w:val="20"/>
              </w:rPr>
              <w:t> </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color w:val="FFFFFF"/>
                <w:sz w:val="20"/>
              </w:rPr>
            </w:pPr>
            <w:r w:rsidRPr="006279B0">
              <w:rPr>
                <w:rFonts w:ascii="Arial Narrow" w:hAnsi="Arial Narrow" w:cs="Arial"/>
                <w:b/>
                <w:color w:val="FFFFFF"/>
                <w:sz w:val="20"/>
              </w:rPr>
              <w:t>Costs</w:t>
            </w:r>
          </w:p>
        </w:tc>
        <w:tc>
          <w:tcPr>
            <w:tcW w:w="1168"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color w:val="FFFFFF"/>
                <w:sz w:val="20"/>
              </w:rPr>
            </w:pPr>
            <w:r w:rsidRPr="006279B0">
              <w:rPr>
                <w:rFonts w:ascii="Arial Narrow" w:hAnsi="Arial Narrow" w:cs="Arial"/>
                <w:b/>
                <w:color w:val="FFFFFF"/>
                <w:sz w:val="20"/>
              </w:rPr>
              <w:t>Benefits</w:t>
            </w:r>
          </w:p>
        </w:tc>
        <w:tc>
          <w:tcPr>
            <w:tcW w:w="1644"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color w:val="FFFFFF"/>
                <w:sz w:val="20"/>
              </w:rPr>
            </w:pPr>
            <w:r w:rsidRPr="006279B0">
              <w:rPr>
                <w:rFonts w:ascii="Arial Narrow" w:hAnsi="Arial Narrow" w:cs="Arial"/>
                <w:b/>
                <w:color w:val="FFFFFF"/>
                <w:sz w:val="20"/>
              </w:rPr>
              <w:t>Net Benefits</w:t>
            </w:r>
          </w:p>
        </w:tc>
        <w:tc>
          <w:tcPr>
            <w:tcW w:w="1644" w:type="dxa"/>
            <w:tcBorders>
              <w:top w:val="single" w:sz="8" w:space="0" w:color="auto"/>
              <w:left w:val="nil"/>
              <w:bottom w:val="nil"/>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color w:val="FFFFFF"/>
                <w:sz w:val="20"/>
              </w:rPr>
            </w:pPr>
            <w:r w:rsidRPr="006279B0">
              <w:rPr>
                <w:rFonts w:ascii="Arial Narrow" w:hAnsi="Arial Narrow" w:cs="Arial"/>
                <w:b/>
                <w:color w:val="FFFFFF"/>
                <w:sz w:val="20"/>
              </w:rPr>
              <w:t>Benefit/Cost</w:t>
            </w:r>
          </w:p>
        </w:tc>
      </w:tr>
      <w:tr w:rsidR="009C3D09" w:rsidRPr="006279B0" w:rsidTr="0073249B">
        <w:trPr>
          <w:trHeight w:val="270"/>
          <w:jc w:val="center"/>
        </w:trPr>
        <w:tc>
          <w:tcPr>
            <w:tcW w:w="4208" w:type="dxa"/>
            <w:vMerge/>
            <w:tcBorders>
              <w:top w:val="single" w:sz="8" w:space="0" w:color="auto"/>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color w:val="FFFFFF"/>
                <w:sz w:val="20"/>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color w:val="FFFFFF"/>
                <w:sz w:val="20"/>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color w:val="FFFFFF"/>
                <w:sz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rsidR="009C3D09" w:rsidRPr="006279B0" w:rsidRDefault="009C3D09" w:rsidP="009C3D09">
            <w:pPr>
              <w:rPr>
                <w:rFonts w:ascii="Arial Narrow" w:hAnsi="Arial Narrow" w:cs="Arial"/>
                <w:b/>
                <w:color w:val="FFFFFF"/>
                <w:sz w:val="20"/>
              </w:rPr>
            </w:pPr>
          </w:p>
        </w:tc>
        <w:tc>
          <w:tcPr>
            <w:tcW w:w="1644" w:type="dxa"/>
            <w:tcBorders>
              <w:top w:val="nil"/>
              <w:left w:val="nil"/>
              <w:bottom w:val="single" w:sz="8" w:space="0" w:color="auto"/>
              <w:right w:val="single" w:sz="8" w:space="0" w:color="auto"/>
            </w:tcBorders>
            <w:shd w:val="clear" w:color="000000" w:fill="339966"/>
            <w:noWrap/>
            <w:vAlign w:val="bottom"/>
            <w:hideMark/>
          </w:tcPr>
          <w:p w:rsidR="009C3D09" w:rsidRPr="006279B0" w:rsidRDefault="009C3D09" w:rsidP="009C3D09">
            <w:pPr>
              <w:jc w:val="center"/>
              <w:rPr>
                <w:rFonts w:ascii="Arial Narrow" w:hAnsi="Arial Narrow" w:cs="Arial"/>
                <w:b/>
                <w:color w:val="FFFFFF"/>
                <w:sz w:val="20"/>
              </w:rPr>
            </w:pPr>
            <w:r w:rsidRPr="006279B0">
              <w:rPr>
                <w:rFonts w:ascii="Arial Narrow" w:hAnsi="Arial Narrow" w:cs="Arial"/>
                <w:b/>
                <w:color w:val="FFFFFF"/>
                <w:sz w:val="20"/>
              </w:rPr>
              <w:t>Ratio</w:t>
            </w:r>
          </w:p>
        </w:tc>
      </w:tr>
      <w:tr w:rsidR="009C3D09" w:rsidRPr="006279B0" w:rsidTr="0073249B">
        <w:trPr>
          <w:trHeight w:val="270"/>
          <w:jc w:val="center"/>
        </w:trPr>
        <w:tc>
          <w:tcPr>
            <w:tcW w:w="4208"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rPr>
                <w:rFonts w:ascii="Arial Narrow" w:hAnsi="Arial Narrow" w:cs="Arial"/>
                <w:color w:val="000000"/>
                <w:sz w:val="20"/>
              </w:rPr>
            </w:pPr>
            <w:r w:rsidRPr="006279B0">
              <w:rPr>
                <w:rFonts w:ascii="Arial Narrow" w:hAnsi="Arial Narrow" w:cs="Arial"/>
                <w:color w:val="000000"/>
                <w:sz w:val="20"/>
              </w:rPr>
              <w:t>Total Resource Cost Test (PTRC) + Conservation Adder</w:t>
            </w:r>
          </w:p>
        </w:tc>
        <w:tc>
          <w:tcPr>
            <w:tcW w:w="1129"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$6,638,905 </w:t>
            </w:r>
          </w:p>
        </w:tc>
        <w:tc>
          <w:tcPr>
            <w:tcW w:w="1168"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$14,291,629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$7,652,724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2.15</w:t>
            </w:r>
          </w:p>
        </w:tc>
      </w:tr>
      <w:tr w:rsidR="009C3D09" w:rsidRPr="006279B0" w:rsidTr="0073249B">
        <w:trPr>
          <w:trHeight w:val="270"/>
          <w:jc w:val="center"/>
        </w:trPr>
        <w:tc>
          <w:tcPr>
            <w:tcW w:w="4208"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rPr>
                <w:rFonts w:ascii="Arial Narrow" w:hAnsi="Arial Narrow" w:cs="Arial"/>
                <w:color w:val="000000"/>
                <w:sz w:val="20"/>
              </w:rPr>
            </w:pPr>
            <w:r w:rsidRPr="006279B0">
              <w:rPr>
                <w:rFonts w:ascii="Arial Narrow" w:hAnsi="Arial Narrow" w:cs="Arial"/>
                <w:color w:val="000000"/>
                <w:sz w:val="20"/>
              </w:rPr>
              <w:t>Total Resource Cost Test (TRC) No Adder</w:t>
            </w:r>
          </w:p>
        </w:tc>
        <w:tc>
          <w:tcPr>
            <w:tcW w:w="1129"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$6,638,905 </w:t>
            </w:r>
          </w:p>
        </w:tc>
        <w:tc>
          <w:tcPr>
            <w:tcW w:w="1168"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$12,992,390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$6,353,485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1.96</w:t>
            </w:r>
          </w:p>
        </w:tc>
      </w:tr>
      <w:tr w:rsidR="009C3D09" w:rsidRPr="006279B0" w:rsidTr="0073249B">
        <w:trPr>
          <w:trHeight w:val="270"/>
          <w:jc w:val="center"/>
        </w:trPr>
        <w:tc>
          <w:tcPr>
            <w:tcW w:w="4208"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rPr>
                <w:rFonts w:ascii="Arial Narrow" w:hAnsi="Arial Narrow" w:cs="Arial"/>
                <w:color w:val="000000"/>
                <w:sz w:val="20"/>
              </w:rPr>
            </w:pPr>
            <w:r w:rsidRPr="006279B0">
              <w:rPr>
                <w:rFonts w:ascii="Arial Narrow" w:hAnsi="Arial Narrow" w:cs="Arial"/>
                <w:color w:val="000000"/>
                <w:sz w:val="20"/>
              </w:rPr>
              <w:t>Utility Cost Test (UCT)</w:t>
            </w:r>
          </w:p>
        </w:tc>
        <w:tc>
          <w:tcPr>
            <w:tcW w:w="1129"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$2,837,426 </w:t>
            </w:r>
          </w:p>
        </w:tc>
        <w:tc>
          <w:tcPr>
            <w:tcW w:w="1168"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$12,992,390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$10,154,964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4.58</w:t>
            </w:r>
          </w:p>
        </w:tc>
      </w:tr>
      <w:tr w:rsidR="009C3D09" w:rsidRPr="006279B0" w:rsidTr="0073249B">
        <w:trPr>
          <w:trHeight w:val="270"/>
          <w:jc w:val="center"/>
        </w:trPr>
        <w:tc>
          <w:tcPr>
            <w:tcW w:w="4208"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rPr>
                <w:rFonts w:ascii="Arial Narrow" w:hAnsi="Arial Narrow" w:cs="Arial"/>
                <w:color w:val="000000"/>
                <w:sz w:val="20"/>
              </w:rPr>
            </w:pPr>
            <w:r w:rsidRPr="006279B0">
              <w:rPr>
                <w:rFonts w:ascii="Arial Narrow" w:hAnsi="Arial Narrow" w:cs="Arial"/>
                <w:color w:val="000000"/>
                <w:sz w:val="20"/>
              </w:rPr>
              <w:t>Rate Impact Test (RIM)</w:t>
            </w:r>
          </w:p>
        </w:tc>
        <w:tc>
          <w:tcPr>
            <w:tcW w:w="1129"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$11,178,250 </w:t>
            </w:r>
          </w:p>
        </w:tc>
        <w:tc>
          <w:tcPr>
            <w:tcW w:w="1168"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$12,992,390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$1,814,140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1.16</w:t>
            </w:r>
          </w:p>
        </w:tc>
      </w:tr>
      <w:tr w:rsidR="009C3D09" w:rsidRPr="00CF34BD" w:rsidTr="0073249B">
        <w:trPr>
          <w:trHeight w:val="270"/>
          <w:jc w:val="center"/>
        </w:trPr>
        <w:tc>
          <w:tcPr>
            <w:tcW w:w="4208" w:type="dxa"/>
            <w:tcBorders>
              <w:top w:val="nil"/>
              <w:left w:val="single" w:sz="8" w:space="0" w:color="auto"/>
              <w:bottom w:val="single" w:sz="8" w:space="0" w:color="auto"/>
              <w:right w:val="single" w:sz="8" w:space="0" w:color="auto"/>
            </w:tcBorders>
            <w:shd w:val="clear" w:color="auto" w:fill="auto"/>
            <w:noWrap/>
            <w:vAlign w:val="center"/>
            <w:hideMark/>
          </w:tcPr>
          <w:p w:rsidR="009C3D09" w:rsidRPr="006279B0" w:rsidRDefault="009C3D09" w:rsidP="009C3D09">
            <w:pPr>
              <w:rPr>
                <w:rFonts w:ascii="Arial Narrow" w:hAnsi="Arial Narrow" w:cs="Arial"/>
                <w:color w:val="000000"/>
                <w:sz w:val="20"/>
              </w:rPr>
            </w:pPr>
            <w:r w:rsidRPr="006279B0">
              <w:rPr>
                <w:rFonts w:ascii="Arial Narrow" w:hAnsi="Arial Narrow" w:cs="Arial"/>
                <w:color w:val="000000"/>
                <w:sz w:val="20"/>
              </w:rPr>
              <w:t>Participant Cost Test (PCT)</w:t>
            </w:r>
          </w:p>
        </w:tc>
        <w:tc>
          <w:tcPr>
            <w:tcW w:w="1129"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$4,882,014 </w:t>
            </w:r>
          </w:p>
        </w:tc>
        <w:tc>
          <w:tcPr>
            <w:tcW w:w="1168"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$9,421,358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6279B0" w:rsidRDefault="009C3D09" w:rsidP="009C3D09">
            <w:pPr>
              <w:jc w:val="right"/>
              <w:rPr>
                <w:rFonts w:ascii="Arial Narrow" w:hAnsi="Arial Narrow" w:cs="Arial"/>
                <w:color w:val="000000"/>
                <w:sz w:val="20"/>
              </w:rPr>
            </w:pPr>
            <w:r w:rsidRPr="006279B0">
              <w:rPr>
                <w:rFonts w:ascii="Arial Narrow" w:hAnsi="Arial Narrow" w:cs="Arial"/>
                <w:color w:val="000000"/>
                <w:sz w:val="20"/>
              </w:rPr>
              <w:t xml:space="preserve">$4,539,344 </w:t>
            </w:r>
          </w:p>
        </w:tc>
        <w:tc>
          <w:tcPr>
            <w:tcW w:w="1644" w:type="dxa"/>
            <w:tcBorders>
              <w:top w:val="nil"/>
              <w:left w:val="nil"/>
              <w:bottom w:val="single" w:sz="8" w:space="0" w:color="auto"/>
              <w:right w:val="single" w:sz="8" w:space="0" w:color="auto"/>
            </w:tcBorders>
            <w:shd w:val="clear" w:color="auto" w:fill="auto"/>
            <w:noWrap/>
            <w:vAlign w:val="center"/>
            <w:hideMark/>
          </w:tcPr>
          <w:p w:rsidR="009C3D09" w:rsidRPr="00FD2558" w:rsidRDefault="009C3D09" w:rsidP="009C3D09">
            <w:pPr>
              <w:jc w:val="right"/>
              <w:rPr>
                <w:rFonts w:ascii="Arial Narrow" w:hAnsi="Arial Narrow" w:cs="Arial"/>
                <w:color w:val="000000"/>
                <w:sz w:val="20"/>
              </w:rPr>
            </w:pPr>
            <w:r w:rsidRPr="006279B0">
              <w:rPr>
                <w:rFonts w:ascii="Arial Narrow" w:hAnsi="Arial Narrow" w:cs="Arial"/>
                <w:color w:val="000000"/>
                <w:sz w:val="20"/>
              </w:rPr>
              <w:t>1.93</w:t>
            </w:r>
          </w:p>
        </w:tc>
      </w:tr>
    </w:tbl>
    <w:p w:rsidR="009C3D09" w:rsidRDefault="009C3D09" w:rsidP="009C3D09">
      <w:pPr>
        <w:spacing w:after="200" w:line="276" w:lineRule="auto"/>
      </w:pPr>
      <w:r>
        <w:br w:type="page"/>
      </w:r>
    </w:p>
    <w:p w:rsidR="009C3D09" w:rsidRDefault="009C3D09" w:rsidP="009C3D09">
      <w:pPr>
        <w:pStyle w:val="memoaddress"/>
      </w:pPr>
      <w:r>
        <w:t xml:space="preserve">Date: </w:t>
      </w:r>
      <w:r>
        <w:tab/>
        <w:t>January 27, 2012</w:t>
      </w:r>
    </w:p>
    <w:p w:rsidR="009C3D09" w:rsidRDefault="009C3D09" w:rsidP="009C3D09">
      <w:pPr>
        <w:pStyle w:val="memoaddress"/>
        <w:ind w:left="1350" w:hanging="1350"/>
      </w:pPr>
      <w:r>
        <w:t>To:</w:t>
      </w:r>
      <w:r>
        <w:tab/>
        <w:t>Don Jones, Jr.</w:t>
      </w:r>
    </w:p>
    <w:p w:rsidR="009C3D09" w:rsidRDefault="009C3D09" w:rsidP="009C3D09">
      <w:pPr>
        <w:pStyle w:val="memoaddress"/>
      </w:pPr>
      <w:r>
        <w:t>From:</w:t>
      </w:r>
      <w:r>
        <w:tab/>
        <w:t>Aaron Jenniges and Niko Drake-McLaughlin</w:t>
      </w:r>
    </w:p>
    <w:p w:rsidR="009C3D09" w:rsidRDefault="009C3D09" w:rsidP="009C3D09">
      <w:pPr>
        <w:pStyle w:val="memoaddress"/>
        <w:ind w:left="1350" w:hanging="1350"/>
      </w:pPr>
      <w:r>
        <w:t>Re:</w:t>
      </w:r>
      <w:r>
        <w:tab/>
      </w:r>
      <w:r>
        <w:rPr>
          <w:bCs/>
        </w:rPr>
        <w:t>Washington NEAA 2012-2013 Cost-Effectiveness</w:t>
      </w:r>
    </w:p>
    <w:p w:rsidR="009C3D09" w:rsidRDefault="009C3D09" w:rsidP="009C3D09">
      <w:pPr>
        <w:pBdr>
          <w:bottom w:val="single" w:sz="4" w:space="1" w:color="auto"/>
        </w:pBdr>
      </w:pP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tables below present the cost-effectiveness findings of the Washington NEAA funding based on 2012-13 costs and savings estimates provided by PacifiCorp in a spreadsheet entitled “Appendix 9 NEEA PAC Report_Savings_Summary v3+ measure life for CE 011312”. The analysis assumed a discount rate of 7.17%, based on the 2011 PacifiCorp Integrated Resource Plan.</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Cost-effectiveness was tested using the IRP 49% west residential whole house load factor decrement. Table 1 lists modeling inputs.</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program is cost-effective from the TRC, PCT, and UCT perspectives. The benefit/cost ratio for the RIM test is less than 1, indicating the program will have an upward influence on rates.</w:t>
      </w:r>
    </w:p>
    <w:p w:rsidR="009C3D09" w:rsidRDefault="009C3D09" w:rsidP="009C3D09">
      <w:pPr>
        <w:pStyle w:val="tabletitle"/>
      </w:pPr>
      <w:r>
        <w:t>Table 1: NEEA Inputs</w:t>
      </w:r>
    </w:p>
    <w:tbl>
      <w:tblPr>
        <w:tblW w:w="0" w:type="auto"/>
        <w:jc w:val="center"/>
        <w:tblInd w:w="2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20"/>
        <w:gridCol w:w="1563"/>
      </w:tblGrid>
      <w:tr w:rsidR="009C3D09" w:rsidTr="009C3D09">
        <w:trPr>
          <w:jc w:val="center"/>
        </w:trPr>
        <w:tc>
          <w:tcPr>
            <w:tcW w:w="3420"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Parameter</w:t>
            </w:r>
          </w:p>
        </w:tc>
        <w:tc>
          <w:tcPr>
            <w:tcW w:w="1563" w:type="dxa"/>
            <w:tcBorders>
              <w:top w:val="single" w:sz="12" w:space="0" w:color="auto"/>
              <w:bottom w:val="single" w:sz="6" w:space="0" w:color="auto"/>
            </w:tcBorders>
            <w:shd w:val="solid" w:color="339966" w:fill="008000"/>
          </w:tcPr>
          <w:p w:rsidR="009C3D09" w:rsidRDefault="009C3D09" w:rsidP="009C3D09">
            <w:pPr>
              <w:pStyle w:val="tabletext"/>
              <w:keepNext/>
              <w:jc w:val="center"/>
              <w:rPr>
                <w:b/>
                <w:bCs/>
                <w:color w:val="FFFFFF"/>
              </w:rPr>
            </w:pPr>
            <w:r>
              <w:rPr>
                <w:b/>
                <w:bCs/>
                <w:color w:val="FFFFFF"/>
              </w:rPr>
              <w:t>Value</w:t>
            </w:r>
          </w:p>
        </w:tc>
      </w:tr>
      <w:tr w:rsidR="009C3D09" w:rsidTr="009C3D09">
        <w:trPr>
          <w:trHeight w:val="135"/>
          <w:jc w:val="center"/>
        </w:trPr>
        <w:tc>
          <w:tcPr>
            <w:tcW w:w="3420" w:type="dxa"/>
          </w:tcPr>
          <w:p w:rsidR="009C3D09" w:rsidRDefault="009C3D09" w:rsidP="009C3D09">
            <w:pPr>
              <w:pStyle w:val="tabletext"/>
            </w:pPr>
            <w:r>
              <w:t xml:space="preserve">Discount Rate </w:t>
            </w:r>
          </w:p>
        </w:tc>
        <w:tc>
          <w:tcPr>
            <w:tcW w:w="1563" w:type="dxa"/>
            <w:shd w:val="clear" w:color="auto" w:fill="auto"/>
          </w:tcPr>
          <w:p w:rsidR="009C3D09" w:rsidRDefault="009C3D09" w:rsidP="009C3D09">
            <w:pPr>
              <w:pStyle w:val="tabletext"/>
              <w:jc w:val="center"/>
            </w:pPr>
            <w:r>
              <w:t>7.17%</w:t>
            </w:r>
          </w:p>
        </w:tc>
      </w:tr>
      <w:tr w:rsidR="009C3D09" w:rsidTr="009C3D09">
        <w:trPr>
          <w:trHeight w:val="135"/>
          <w:jc w:val="center"/>
        </w:trPr>
        <w:tc>
          <w:tcPr>
            <w:tcW w:w="3420" w:type="dxa"/>
          </w:tcPr>
          <w:p w:rsidR="009C3D09" w:rsidRDefault="009C3D09" w:rsidP="009C3D09">
            <w:pPr>
              <w:pStyle w:val="tabletext"/>
            </w:pPr>
            <w:r>
              <w:t>Line Loss</w:t>
            </w:r>
          </w:p>
        </w:tc>
        <w:tc>
          <w:tcPr>
            <w:tcW w:w="1563" w:type="dxa"/>
            <w:shd w:val="clear" w:color="auto" w:fill="auto"/>
          </w:tcPr>
          <w:p w:rsidR="009C3D09" w:rsidRPr="0067323B" w:rsidRDefault="009C3D09" w:rsidP="009C3D09">
            <w:pPr>
              <w:pStyle w:val="tabletext"/>
              <w:jc w:val="center"/>
            </w:pPr>
            <w:r w:rsidRPr="0067323B">
              <w:t>8.87%</w:t>
            </w:r>
          </w:p>
        </w:tc>
      </w:tr>
      <w:tr w:rsidR="009C3D09" w:rsidTr="009C3D09">
        <w:trPr>
          <w:cantSplit/>
          <w:trHeight w:val="90"/>
          <w:jc w:val="center"/>
        </w:trPr>
        <w:tc>
          <w:tcPr>
            <w:tcW w:w="3420" w:type="dxa"/>
          </w:tcPr>
          <w:p w:rsidR="009C3D09" w:rsidRDefault="009C3D09" w:rsidP="009C3D09">
            <w:pPr>
              <w:pStyle w:val="tabletext"/>
            </w:pPr>
            <w:r>
              <w:t xml:space="preserve">Residential Energy Rate ($/kWh) </w:t>
            </w:r>
            <w:r>
              <w:br/>
              <w:t>(base year 2010)</w:t>
            </w:r>
          </w:p>
        </w:tc>
        <w:tc>
          <w:tcPr>
            <w:tcW w:w="1563" w:type="dxa"/>
            <w:shd w:val="clear" w:color="auto" w:fill="auto"/>
          </w:tcPr>
          <w:p w:rsidR="009C3D09" w:rsidRPr="00860E90" w:rsidRDefault="009C3D09" w:rsidP="009C3D09">
            <w:pPr>
              <w:pStyle w:val="tabletext"/>
              <w:jc w:val="center"/>
              <w:rPr>
                <w:highlight w:val="yellow"/>
              </w:rPr>
            </w:pPr>
            <w:r w:rsidRPr="00B026D2">
              <w:t>$0.0767</w:t>
            </w:r>
          </w:p>
        </w:tc>
      </w:tr>
      <w:tr w:rsidR="009C3D09" w:rsidTr="009C3D09">
        <w:trPr>
          <w:cantSplit/>
          <w:trHeight w:val="90"/>
          <w:jc w:val="center"/>
        </w:trPr>
        <w:tc>
          <w:tcPr>
            <w:tcW w:w="3420" w:type="dxa"/>
          </w:tcPr>
          <w:p w:rsidR="009C3D09" w:rsidRDefault="009C3D09" w:rsidP="009C3D09">
            <w:pPr>
              <w:pStyle w:val="tabletext"/>
            </w:pPr>
            <w:r>
              <w:t>Inflation Rate</w:t>
            </w:r>
            <w:r>
              <w:rPr>
                <w:rStyle w:val="FootnoteReference"/>
              </w:rPr>
              <w:footnoteReference w:id="12"/>
            </w:r>
          </w:p>
        </w:tc>
        <w:tc>
          <w:tcPr>
            <w:tcW w:w="1563" w:type="dxa"/>
            <w:shd w:val="clear" w:color="auto" w:fill="auto"/>
            <w:vAlign w:val="center"/>
          </w:tcPr>
          <w:p w:rsidR="009C3D09" w:rsidRDefault="009C3D09" w:rsidP="009C3D09">
            <w:pPr>
              <w:pStyle w:val="tabletext"/>
              <w:jc w:val="center"/>
            </w:pPr>
            <w:r>
              <w:t>1.8%</w:t>
            </w:r>
          </w:p>
        </w:tc>
      </w:tr>
    </w:tbl>
    <w:p w:rsidR="009C3D09" w:rsidRDefault="009C3D09" w:rsidP="009C3D09">
      <w:pPr>
        <w:pStyle w:val="tabletitle"/>
      </w:pPr>
    </w:p>
    <w:p w:rsidR="009C3D09" w:rsidRDefault="009C3D09" w:rsidP="009C3D09">
      <w:pPr>
        <w:pStyle w:val="tabletitle"/>
        <w:keepLines/>
      </w:pPr>
      <w:r>
        <w:t xml:space="preserve">Table 2: NEEA Annual Program Costs </w:t>
      </w:r>
    </w:p>
    <w:tbl>
      <w:tblPr>
        <w:tblW w:w="5658" w:type="dxa"/>
        <w:jc w:val="center"/>
        <w:tblInd w:w="-7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26"/>
        <w:gridCol w:w="1260"/>
        <w:gridCol w:w="1136"/>
        <w:gridCol w:w="1136"/>
      </w:tblGrid>
      <w:tr w:rsidR="009C3D09" w:rsidTr="009C3D09">
        <w:trPr>
          <w:jc w:val="center"/>
        </w:trPr>
        <w:tc>
          <w:tcPr>
            <w:tcW w:w="2126" w:type="dxa"/>
            <w:shd w:val="solid" w:color="339966" w:fill="008000"/>
          </w:tcPr>
          <w:p w:rsidR="009C3D09" w:rsidRDefault="009C3D09" w:rsidP="009C3D09">
            <w:pPr>
              <w:pStyle w:val="tabletext"/>
              <w:keepNext/>
              <w:keepLines/>
              <w:jc w:val="center"/>
              <w:rPr>
                <w:b/>
                <w:bCs/>
                <w:color w:val="FFFFFF"/>
              </w:rPr>
            </w:pPr>
          </w:p>
        </w:tc>
        <w:tc>
          <w:tcPr>
            <w:tcW w:w="1260" w:type="dxa"/>
            <w:shd w:val="solid" w:color="339966" w:fill="008000"/>
          </w:tcPr>
          <w:p w:rsidR="009C3D09" w:rsidRDefault="009C3D09" w:rsidP="009C3D09">
            <w:pPr>
              <w:pStyle w:val="tabletext"/>
              <w:keepNext/>
              <w:keepLines/>
              <w:jc w:val="center"/>
              <w:rPr>
                <w:b/>
                <w:bCs/>
                <w:color w:val="FFFFFF"/>
              </w:rPr>
            </w:pPr>
            <w:r>
              <w:rPr>
                <w:b/>
                <w:bCs/>
                <w:color w:val="FFFFFF"/>
              </w:rPr>
              <w:t>2012</w:t>
            </w:r>
          </w:p>
        </w:tc>
        <w:tc>
          <w:tcPr>
            <w:tcW w:w="1136" w:type="dxa"/>
            <w:shd w:val="solid" w:color="339966" w:fill="008000"/>
          </w:tcPr>
          <w:p w:rsidR="009C3D09" w:rsidRDefault="009C3D09" w:rsidP="009C3D09">
            <w:pPr>
              <w:pStyle w:val="tabletext"/>
              <w:keepNext/>
              <w:keepLines/>
              <w:jc w:val="center"/>
              <w:rPr>
                <w:b/>
                <w:bCs/>
                <w:color w:val="FFFFFF"/>
              </w:rPr>
            </w:pPr>
            <w:r>
              <w:rPr>
                <w:b/>
                <w:bCs/>
                <w:color w:val="FFFFFF"/>
              </w:rPr>
              <w:t>2013</w:t>
            </w:r>
          </w:p>
        </w:tc>
        <w:tc>
          <w:tcPr>
            <w:tcW w:w="1136" w:type="dxa"/>
            <w:shd w:val="solid" w:color="339966" w:fill="008000"/>
          </w:tcPr>
          <w:p w:rsidR="009C3D09" w:rsidRDefault="009C3D09" w:rsidP="009C3D09">
            <w:pPr>
              <w:pStyle w:val="tabletext"/>
              <w:keepNext/>
              <w:keepLines/>
              <w:jc w:val="center"/>
              <w:rPr>
                <w:b/>
                <w:bCs/>
                <w:color w:val="FFFFFF"/>
              </w:rPr>
            </w:pPr>
            <w:r>
              <w:rPr>
                <w:b/>
                <w:bCs/>
                <w:color w:val="FFFFFF"/>
              </w:rPr>
              <w:t>Total</w:t>
            </w:r>
          </w:p>
        </w:tc>
      </w:tr>
      <w:tr w:rsidR="009C3D09" w:rsidTr="009C3D09">
        <w:trPr>
          <w:trHeight w:val="264"/>
          <w:jc w:val="center"/>
        </w:trPr>
        <w:tc>
          <w:tcPr>
            <w:tcW w:w="2126" w:type="dxa"/>
          </w:tcPr>
          <w:p w:rsidR="009C3D09" w:rsidRPr="005E360C" w:rsidRDefault="009C3D09" w:rsidP="009C3D09">
            <w:pPr>
              <w:pStyle w:val="tabletext"/>
              <w:jc w:val="center"/>
            </w:pPr>
            <w:r>
              <w:t>Utility Costs</w:t>
            </w:r>
          </w:p>
        </w:tc>
        <w:tc>
          <w:tcPr>
            <w:tcW w:w="1260" w:type="dxa"/>
          </w:tcPr>
          <w:p w:rsidR="009C3D09" w:rsidRPr="00DD0232" w:rsidRDefault="009C3D09" w:rsidP="009C3D09">
            <w:pPr>
              <w:pStyle w:val="tabletext"/>
              <w:jc w:val="right"/>
            </w:pPr>
            <w:r w:rsidRPr="00DD0232">
              <w:t>$</w:t>
            </w:r>
            <w:r>
              <w:t>1,157,000</w:t>
            </w:r>
          </w:p>
        </w:tc>
        <w:tc>
          <w:tcPr>
            <w:tcW w:w="1136" w:type="dxa"/>
          </w:tcPr>
          <w:p w:rsidR="009C3D09" w:rsidRPr="00DD0232" w:rsidRDefault="009C3D09" w:rsidP="009C3D09">
            <w:pPr>
              <w:pStyle w:val="tabletext"/>
              <w:jc w:val="right"/>
            </w:pPr>
            <w:r>
              <w:t>$1,212,456</w:t>
            </w:r>
          </w:p>
        </w:tc>
        <w:tc>
          <w:tcPr>
            <w:tcW w:w="1136" w:type="dxa"/>
          </w:tcPr>
          <w:p w:rsidR="009C3D09" w:rsidRPr="00DD0232" w:rsidRDefault="009C3D09" w:rsidP="009C3D09">
            <w:pPr>
              <w:pStyle w:val="tabletext"/>
              <w:jc w:val="right"/>
            </w:pPr>
            <w:r w:rsidRPr="00DD0232">
              <w:t>$</w:t>
            </w:r>
            <w:r>
              <w:t>2,369,456</w:t>
            </w:r>
          </w:p>
        </w:tc>
      </w:tr>
    </w:tbl>
    <w:p w:rsidR="009C3D09" w:rsidRDefault="009C3D09" w:rsidP="009C3D09">
      <w:pPr>
        <w:pStyle w:val="tabletitle"/>
        <w:keepLines/>
      </w:pPr>
      <w:r>
        <w:t xml:space="preserve"> Table 3: NEEA Savings</w:t>
      </w:r>
    </w:p>
    <w:tbl>
      <w:tblPr>
        <w:tblW w:w="5732" w:type="dxa"/>
        <w:jc w:val="center"/>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41"/>
        <w:gridCol w:w="1170"/>
        <w:gridCol w:w="1170"/>
        <w:gridCol w:w="1051"/>
      </w:tblGrid>
      <w:tr w:rsidR="009C3D09" w:rsidTr="009C3D09">
        <w:trPr>
          <w:jc w:val="center"/>
        </w:trPr>
        <w:tc>
          <w:tcPr>
            <w:tcW w:w="2341"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p>
        </w:tc>
        <w:tc>
          <w:tcPr>
            <w:tcW w:w="117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2012</w:t>
            </w:r>
          </w:p>
        </w:tc>
        <w:tc>
          <w:tcPr>
            <w:tcW w:w="1170"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2013</w:t>
            </w:r>
          </w:p>
        </w:tc>
        <w:tc>
          <w:tcPr>
            <w:tcW w:w="1051" w:type="dxa"/>
            <w:tcBorders>
              <w:top w:val="single" w:sz="12" w:space="0" w:color="auto"/>
              <w:bottom w:val="single" w:sz="6" w:space="0" w:color="auto"/>
            </w:tcBorders>
            <w:shd w:val="solid" w:color="339966" w:fill="008000"/>
          </w:tcPr>
          <w:p w:rsidR="009C3D09" w:rsidRDefault="009C3D09" w:rsidP="009C3D09">
            <w:pPr>
              <w:pStyle w:val="tabletext"/>
              <w:keepNext/>
              <w:keepLines/>
              <w:jc w:val="center"/>
              <w:rPr>
                <w:b/>
                <w:bCs/>
                <w:color w:val="FFFFFF"/>
              </w:rPr>
            </w:pPr>
            <w:r>
              <w:rPr>
                <w:b/>
                <w:bCs/>
                <w:color w:val="FFFFFF"/>
              </w:rPr>
              <w:t>Total</w:t>
            </w:r>
          </w:p>
        </w:tc>
      </w:tr>
      <w:tr w:rsidR="009C3D09" w:rsidTr="009C3D09">
        <w:trPr>
          <w:trHeight w:val="69"/>
          <w:jc w:val="center"/>
        </w:trPr>
        <w:tc>
          <w:tcPr>
            <w:tcW w:w="2341" w:type="dxa"/>
            <w:tcBorders>
              <w:top w:val="single" w:sz="6" w:space="0" w:color="auto"/>
            </w:tcBorders>
          </w:tcPr>
          <w:p w:rsidR="009C3D09" w:rsidRPr="00FA019A" w:rsidRDefault="009C3D09" w:rsidP="009C3D09">
            <w:pPr>
              <w:pStyle w:val="tabletext"/>
              <w:jc w:val="right"/>
            </w:pPr>
            <w:r>
              <w:t>Savings (kWh)</w:t>
            </w:r>
            <w:r w:rsidRPr="00FA019A">
              <w:t xml:space="preserve"> </w:t>
            </w:r>
          </w:p>
        </w:tc>
        <w:tc>
          <w:tcPr>
            <w:tcW w:w="1170" w:type="dxa"/>
            <w:tcBorders>
              <w:top w:val="single" w:sz="6" w:space="0" w:color="auto"/>
            </w:tcBorders>
            <w:shd w:val="clear" w:color="auto" w:fill="auto"/>
          </w:tcPr>
          <w:p w:rsidR="009C3D09" w:rsidRPr="00DD0232" w:rsidRDefault="009C3D09" w:rsidP="009C3D09">
            <w:pPr>
              <w:pStyle w:val="tabletext"/>
              <w:jc w:val="right"/>
            </w:pPr>
            <w:r>
              <w:t>8,413,980</w:t>
            </w:r>
          </w:p>
        </w:tc>
        <w:tc>
          <w:tcPr>
            <w:tcW w:w="1170" w:type="dxa"/>
            <w:tcBorders>
              <w:top w:val="single" w:sz="6" w:space="0" w:color="auto"/>
            </w:tcBorders>
            <w:shd w:val="clear" w:color="auto" w:fill="auto"/>
          </w:tcPr>
          <w:p w:rsidR="009C3D09" w:rsidRPr="00DD0232" w:rsidRDefault="009C3D09" w:rsidP="009C3D09">
            <w:pPr>
              <w:pStyle w:val="tabletext"/>
              <w:jc w:val="right"/>
            </w:pPr>
            <w:r>
              <w:t>7,669,380</w:t>
            </w:r>
          </w:p>
        </w:tc>
        <w:tc>
          <w:tcPr>
            <w:tcW w:w="1051" w:type="dxa"/>
            <w:tcBorders>
              <w:top w:val="single" w:sz="6" w:space="0" w:color="auto"/>
            </w:tcBorders>
            <w:shd w:val="clear" w:color="auto" w:fill="auto"/>
          </w:tcPr>
          <w:p w:rsidR="009C3D09" w:rsidRPr="00DD0232" w:rsidRDefault="009C3D09" w:rsidP="009C3D09">
            <w:pPr>
              <w:pStyle w:val="tabletext"/>
              <w:jc w:val="right"/>
            </w:pPr>
            <w:r>
              <w:t>16,083,360</w:t>
            </w:r>
          </w:p>
        </w:tc>
      </w:tr>
    </w:tbl>
    <w:p w:rsidR="009C3D09" w:rsidRDefault="009C3D09" w:rsidP="009C3D09">
      <w:pPr>
        <w:pStyle w:val="tabletitle"/>
        <w:keepNext w:val="0"/>
        <w:widowControl w:val="0"/>
      </w:pPr>
    </w:p>
    <w:p w:rsidR="009C3D09" w:rsidRDefault="009C3D09" w:rsidP="009C3D09">
      <w:pPr>
        <w:spacing w:after="200" w:line="276" w:lineRule="auto"/>
        <w:rPr>
          <w:b/>
          <w:bCs/>
        </w:rPr>
      </w:pPr>
      <w:r>
        <w:br w:type="page"/>
      </w:r>
    </w:p>
    <w:p w:rsidR="009C3D09" w:rsidRDefault="009C3D09" w:rsidP="009C3D09">
      <w:pPr>
        <w:pStyle w:val="tabletitle"/>
        <w:keepNext w:val="0"/>
        <w:widowControl w:val="0"/>
      </w:pPr>
      <w:r>
        <w:t>Table 4: NEEA Cost-Effectiveness</w:t>
      </w:r>
    </w:p>
    <w:tbl>
      <w:tblPr>
        <w:tblW w:w="8920" w:type="dxa"/>
        <w:jc w:val="center"/>
        <w:tblInd w:w="98" w:type="dxa"/>
        <w:tblLook w:val="04A0"/>
      </w:tblPr>
      <w:tblGrid>
        <w:gridCol w:w="4188"/>
        <w:gridCol w:w="1129"/>
        <w:gridCol w:w="1129"/>
        <w:gridCol w:w="1204"/>
        <w:gridCol w:w="1270"/>
      </w:tblGrid>
      <w:tr w:rsidR="009C3D09" w:rsidRPr="00941AF8" w:rsidTr="0073249B">
        <w:trPr>
          <w:trHeight w:val="255"/>
          <w:jc w:val="center"/>
        </w:trPr>
        <w:tc>
          <w:tcPr>
            <w:tcW w:w="4188" w:type="dxa"/>
            <w:vMerge w:val="restart"/>
            <w:tcBorders>
              <w:top w:val="single" w:sz="8" w:space="0" w:color="auto"/>
              <w:left w:val="single" w:sz="8" w:space="0" w:color="auto"/>
              <w:bottom w:val="single" w:sz="8" w:space="0" w:color="000000"/>
              <w:right w:val="single" w:sz="8" w:space="0" w:color="auto"/>
            </w:tcBorders>
            <w:shd w:val="clear" w:color="000000" w:fill="339966"/>
            <w:noWrap/>
            <w:hideMark/>
          </w:tcPr>
          <w:p w:rsidR="009C3D09" w:rsidRPr="00941AF8" w:rsidRDefault="009C3D09" w:rsidP="009C3D09">
            <w:pPr>
              <w:rPr>
                <w:rFonts w:ascii="Arial Narrow" w:hAnsi="Arial Narrow" w:cs="Arial"/>
                <w:color w:val="FFFFFF"/>
                <w:sz w:val="20"/>
              </w:rPr>
            </w:pPr>
            <w:r w:rsidRPr="00941AF8">
              <w:rPr>
                <w:rFonts w:ascii="Arial Narrow" w:hAnsi="Arial Narrow" w:cs="Arial"/>
                <w:color w:val="FFFFFF"/>
                <w:sz w:val="20"/>
              </w:rPr>
              <w:t> </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Costs</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Benefits</w:t>
            </w:r>
          </w:p>
        </w:tc>
        <w:tc>
          <w:tcPr>
            <w:tcW w:w="1204" w:type="dxa"/>
            <w:vMerge w:val="restart"/>
            <w:tcBorders>
              <w:top w:val="single" w:sz="8" w:space="0" w:color="auto"/>
              <w:left w:val="single" w:sz="8" w:space="0" w:color="auto"/>
              <w:bottom w:val="single" w:sz="8" w:space="0" w:color="000000"/>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Net Benefits</w:t>
            </w:r>
          </w:p>
        </w:tc>
        <w:tc>
          <w:tcPr>
            <w:tcW w:w="1270" w:type="dxa"/>
            <w:tcBorders>
              <w:top w:val="single" w:sz="8" w:space="0" w:color="auto"/>
              <w:left w:val="nil"/>
              <w:bottom w:val="nil"/>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Benefit/Cost</w:t>
            </w:r>
          </w:p>
        </w:tc>
      </w:tr>
      <w:tr w:rsidR="009C3D09" w:rsidRPr="00941AF8" w:rsidTr="0073249B">
        <w:trPr>
          <w:trHeight w:val="270"/>
          <w:jc w:val="center"/>
        </w:trPr>
        <w:tc>
          <w:tcPr>
            <w:tcW w:w="4188" w:type="dxa"/>
            <w:vMerge/>
            <w:tcBorders>
              <w:top w:val="single" w:sz="8" w:space="0" w:color="auto"/>
              <w:left w:val="single" w:sz="8" w:space="0" w:color="auto"/>
              <w:bottom w:val="single" w:sz="8" w:space="0" w:color="000000"/>
              <w:right w:val="single" w:sz="8" w:space="0" w:color="auto"/>
            </w:tcBorders>
            <w:vAlign w:val="center"/>
            <w:hideMark/>
          </w:tcPr>
          <w:p w:rsidR="009C3D09" w:rsidRPr="00941AF8" w:rsidRDefault="009C3D09" w:rsidP="009C3D09">
            <w:pPr>
              <w:rPr>
                <w:rFonts w:ascii="Arial Narrow" w:hAnsi="Arial Narrow" w:cs="Arial"/>
                <w:color w:val="FFFFFF"/>
                <w:sz w:val="20"/>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9C3D09" w:rsidRPr="0073249B" w:rsidRDefault="009C3D09" w:rsidP="009C3D09">
            <w:pPr>
              <w:rPr>
                <w:rFonts w:ascii="Arial Narrow" w:hAnsi="Arial Narrow" w:cs="Arial"/>
                <w:b/>
                <w:color w:val="FFFFFF"/>
                <w:sz w:val="20"/>
              </w:rPr>
            </w:pPr>
          </w:p>
        </w:tc>
        <w:tc>
          <w:tcPr>
            <w:tcW w:w="1270" w:type="dxa"/>
            <w:tcBorders>
              <w:top w:val="nil"/>
              <w:left w:val="nil"/>
              <w:bottom w:val="single" w:sz="8" w:space="0" w:color="auto"/>
              <w:right w:val="single" w:sz="8" w:space="0" w:color="auto"/>
            </w:tcBorders>
            <w:shd w:val="clear" w:color="000000" w:fill="339966"/>
            <w:noWrap/>
            <w:vAlign w:val="bottom"/>
            <w:hideMark/>
          </w:tcPr>
          <w:p w:rsidR="009C3D09" w:rsidRPr="0073249B" w:rsidRDefault="009C3D09" w:rsidP="009C3D09">
            <w:pPr>
              <w:jc w:val="center"/>
              <w:rPr>
                <w:rFonts w:ascii="Arial Narrow" w:hAnsi="Arial Narrow" w:cs="Arial"/>
                <w:b/>
                <w:color w:val="FFFFFF"/>
                <w:sz w:val="20"/>
              </w:rPr>
            </w:pPr>
            <w:r w:rsidRPr="0073249B">
              <w:rPr>
                <w:rFonts w:ascii="Arial Narrow" w:hAnsi="Arial Narrow" w:cs="Arial"/>
                <w:b/>
                <w:color w:val="FFFFFF"/>
                <w:sz w:val="20"/>
              </w:rPr>
              <w:t>Ratio</w:t>
            </w:r>
          </w:p>
        </w:tc>
      </w:tr>
      <w:tr w:rsidR="009C3D09" w:rsidRPr="00941AF8" w:rsidTr="0073249B">
        <w:trPr>
          <w:trHeight w:val="270"/>
          <w:jc w:val="center"/>
        </w:trPr>
        <w:tc>
          <w:tcPr>
            <w:tcW w:w="4188" w:type="dxa"/>
            <w:tcBorders>
              <w:top w:val="nil"/>
              <w:left w:val="single" w:sz="8" w:space="0" w:color="auto"/>
              <w:bottom w:val="single" w:sz="8" w:space="0" w:color="auto"/>
              <w:right w:val="single" w:sz="8" w:space="0" w:color="auto"/>
            </w:tcBorders>
            <w:shd w:val="clear" w:color="auto" w:fill="auto"/>
            <w:noWrap/>
            <w:hideMark/>
          </w:tcPr>
          <w:p w:rsidR="009C3D09" w:rsidRPr="00941AF8" w:rsidRDefault="009C3D09" w:rsidP="009C3D09">
            <w:pPr>
              <w:rPr>
                <w:rFonts w:ascii="Arial Narrow" w:hAnsi="Arial Narrow" w:cs="Arial"/>
                <w:color w:val="000000"/>
                <w:sz w:val="20"/>
              </w:rPr>
            </w:pPr>
            <w:r w:rsidRPr="00941AF8">
              <w:rPr>
                <w:rFonts w:ascii="Arial Narrow" w:hAnsi="Arial Narrow" w:cs="Arial"/>
                <w:color w:val="000000"/>
                <w:sz w:val="20"/>
              </w:rPr>
              <w:t>Total Resource Cost Test (PTRC) + Conservation Adder</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$2,288,339 </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$11,853,411 </w:t>
            </w:r>
          </w:p>
        </w:tc>
        <w:tc>
          <w:tcPr>
            <w:tcW w:w="1204"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$9,565,072 </w:t>
            </w:r>
          </w:p>
        </w:tc>
        <w:tc>
          <w:tcPr>
            <w:tcW w:w="1270"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5.18</w:t>
            </w:r>
          </w:p>
        </w:tc>
      </w:tr>
      <w:tr w:rsidR="009C3D09" w:rsidRPr="00941AF8" w:rsidTr="0073249B">
        <w:trPr>
          <w:trHeight w:val="270"/>
          <w:jc w:val="center"/>
        </w:trPr>
        <w:tc>
          <w:tcPr>
            <w:tcW w:w="4188" w:type="dxa"/>
            <w:tcBorders>
              <w:top w:val="nil"/>
              <w:left w:val="single" w:sz="8" w:space="0" w:color="auto"/>
              <w:bottom w:val="single" w:sz="8" w:space="0" w:color="auto"/>
              <w:right w:val="single" w:sz="8" w:space="0" w:color="auto"/>
            </w:tcBorders>
            <w:shd w:val="clear" w:color="auto" w:fill="auto"/>
            <w:noWrap/>
            <w:hideMark/>
          </w:tcPr>
          <w:p w:rsidR="009C3D09" w:rsidRPr="00941AF8" w:rsidRDefault="009C3D09" w:rsidP="009C3D09">
            <w:pPr>
              <w:rPr>
                <w:rFonts w:ascii="Arial Narrow" w:hAnsi="Arial Narrow" w:cs="Arial"/>
                <w:color w:val="000000"/>
                <w:sz w:val="20"/>
              </w:rPr>
            </w:pPr>
            <w:r w:rsidRPr="00941AF8">
              <w:rPr>
                <w:rFonts w:ascii="Arial Narrow" w:hAnsi="Arial Narrow" w:cs="Arial"/>
                <w:color w:val="000000"/>
                <w:sz w:val="20"/>
              </w:rPr>
              <w:t>Total Resource Cost Test (TRC) No Adder</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$2,288,339 </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$10,775,828 </w:t>
            </w:r>
          </w:p>
        </w:tc>
        <w:tc>
          <w:tcPr>
            <w:tcW w:w="1204"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$8,487,489 </w:t>
            </w:r>
          </w:p>
        </w:tc>
        <w:tc>
          <w:tcPr>
            <w:tcW w:w="1270"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4.71</w:t>
            </w:r>
          </w:p>
        </w:tc>
      </w:tr>
      <w:tr w:rsidR="009C3D09" w:rsidRPr="00941AF8" w:rsidTr="0073249B">
        <w:trPr>
          <w:trHeight w:val="270"/>
          <w:jc w:val="center"/>
        </w:trPr>
        <w:tc>
          <w:tcPr>
            <w:tcW w:w="4188" w:type="dxa"/>
            <w:tcBorders>
              <w:top w:val="nil"/>
              <w:left w:val="single" w:sz="8" w:space="0" w:color="auto"/>
              <w:bottom w:val="single" w:sz="8" w:space="0" w:color="auto"/>
              <w:right w:val="single" w:sz="8" w:space="0" w:color="auto"/>
            </w:tcBorders>
            <w:shd w:val="clear" w:color="auto" w:fill="auto"/>
            <w:noWrap/>
            <w:hideMark/>
          </w:tcPr>
          <w:p w:rsidR="009C3D09" w:rsidRPr="00941AF8" w:rsidRDefault="009C3D09" w:rsidP="009C3D09">
            <w:pPr>
              <w:rPr>
                <w:rFonts w:ascii="Arial Narrow" w:hAnsi="Arial Narrow" w:cs="Arial"/>
                <w:color w:val="000000"/>
                <w:sz w:val="20"/>
              </w:rPr>
            </w:pPr>
            <w:r w:rsidRPr="00941AF8">
              <w:rPr>
                <w:rFonts w:ascii="Arial Narrow" w:hAnsi="Arial Narrow" w:cs="Arial"/>
                <w:color w:val="000000"/>
                <w:sz w:val="20"/>
              </w:rPr>
              <w:t>Utility Cost Test (UCT)</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$2,288,339 </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$10,775,828 </w:t>
            </w:r>
          </w:p>
        </w:tc>
        <w:tc>
          <w:tcPr>
            <w:tcW w:w="1204"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$8,487,489 </w:t>
            </w:r>
          </w:p>
        </w:tc>
        <w:tc>
          <w:tcPr>
            <w:tcW w:w="1270"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4.71</w:t>
            </w:r>
          </w:p>
        </w:tc>
      </w:tr>
      <w:tr w:rsidR="009C3D09" w:rsidRPr="00941AF8" w:rsidTr="0073249B">
        <w:trPr>
          <w:trHeight w:val="270"/>
          <w:jc w:val="center"/>
        </w:trPr>
        <w:tc>
          <w:tcPr>
            <w:tcW w:w="4188" w:type="dxa"/>
            <w:tcBorders>
              <w:top w:val="nil"/>
              <w:left w:val="single" w:sz="8" w:space="0" w:color="auto"/>
              <w:bottom w:val="single" w:sz="8" w:space="0" w:color="auto"/>
              <w:right w:val="single" w:sz="8" w:space="0" w:color="auto"/>
            </w:tcBorders>
            <w:shd w:val="clear" w:color="auto" w:fill="auto"/>
            <w:noWrap/>
            <w:hideMark/>
          </w:tcPr>
          <w:p w:rsidR="009C3D09" w:rsidRPr="00941AF8" w:rsidRDefault="009C3D09" w:rsidP="009C3D09">
            <w:pPr>
              <w:rPr>
                <w:rFonts w:ascii="Arial Narrow" w:hAnsi="Arial Narrow" w:cs="Arial"/>
                <w:color w:val="000000"/>
                <w:sz w:val="20"/>
              </w:rPr>
            </w:pPr>
            <w:r w:rsidRPr="00941AF8">
              <w:rPr>
                <w:rFonts w:ascii="Arial Narrow" w:hAnsi="Arial Narrow" w:cs="Arial"/>
                <w:color w:val="000000"/>
                <w:sz w:val="20"/>
              </w:rPr>
              <w:t>Rate Impact Test (RIM)</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$11,512,442 </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$10,775,828 </w:t>
            </w:r>
          </w:p>
        </w:tc>
        <w:tc>
          <w:tcPr>
            <w:tcW w:w="1204"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($736,614)</w:t>
            </w:r>
          </w:p>
        </w:tc>
        <w:tc>
          <w:tcPr>
            <w:tcW w:w="1270"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0.94</w:t>
            </w:r>
          </w:p>
        </w:tc>
      </w:tr>
      <w:tr w:rsidR="009C3D09" w:rsidRPr="00941AF8" w:rsidTr="0073249B">
        <w:trPr>
          <w:trHeight w:val="270"/>
          <w:jc w:val="center"/>
        </w:trPr>
        <w:tc>
          <w:tcPr>
            <w:tcW w:w="4188" w:type="dxa"/>
            <w:tcBorders>
              <w:top w:val="nil"/>
              <w:left w:val="single" w:sz="8" w:space="0" w:color="auto"/>
              <w:bottom w:val="single" w:sz="8" w:space="0" w:color="auto"/>
              <w:right w:val="single" w:sz="8" w:space="0" w:color="auto"/>
            </w:tcBorders>
            <w:shd w:val="clear" w:color="auto" w:fill="auto"/>
            <w:noWrap/>
            <w:hideMark/>
          </w:tcPr>
          <w:p w:rsidR="009C3D09" w:rsidRPr="00941AF8" w:rsidRDefault="009C3D09" w:rsidP="009C3D09">
            <w:pPr>
              <w:rPr>
                <w:rFonts w:ascii="Arial Narrow" w:hAnsi="Arial Narrow" w:cs="Arial"/>
                <w:color w:val="000000"/>
                <w:sz w:val="20"/>
              </w:rPr>
            </w:pPr>
            <w:r w:rsidRPr="00941AF8">
              <w:rPr>
                <w:rFonts w:ascii="Arial Narrow" w:hAnsi="Arial Narrow" w:cs="Arial"/>
                <w:color w:val="000000"/>
                <w:sz w:val="20"/>
              </w:rPr>
              <w:t>Participant Cost Test (PCT)</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$0 </w:t>
            </w:r>
          </w:p>
        </w:tc>
        <w:tc>
          <w:tcPr>
            <w:tcW w:w="1129"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$9,224,103 </w:t>
            </w:r>
          </w:p>
        </w:tc>
        <w:tc>
          <w:tcPr>
            <w:tcW w:w="1204"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 xml:space="preserve">$9,224,103 </w:t>
            </w:r>
          </w:p>
        </w:tc>
        <w:tc>
          <w:tcPr>
            <w:tcW w:w="1270" w:type="dxa"/>
            <w:tcBorders>
              <w:top w:val="nil"/>
              <w:left w:val="nil"/>
              <w:bottom w:val="single" w:sz="8" w:space="0" w:color="auto"/>
              <w:right w:val="single" w:sz="8" w:space="0" w:color="auto"/>
            </w:tcBorders>
            <w:shd w:val="clear" w:color="auto" w:fill="auto"/>
            <w:noWrap/>
            <w:hideMark/>
          </w:tcPr>
          <w:p w:rsidR="009C3D09" w:rsidRPr="00941AF8" w:rsidRDefault="009C3D09" w:rsidP="009C3D09">
            <w:pPr>
              <w:jc w:val="right"/>
              <w:rPr>
                <w:rFonts w:ascii="Arial Narrow" w:hAnsi="Arial Narrow" w:cs="Arial"/>
                <w:color w:val="000000"/>
                <w:sz w:val="20"/>
              </w:rPr>
            </w:pPr>
            <w:r w:rsidRPr="00941AF8">
              <w:rPr>
                <w:rFonts w:ascii="Arial Narrow" w:hAnsi="Arial Narrow" w:cs="Arial"/>
                <w:color w:val="000000"/>
                <w:sz w:val="20"/>
              </w:rPr>
              <w:t>N/A</w:t>
            </w:r>
          </w:p>
        </w:tc>
      </w:tr>
    </w:tbl>
    <w:p w:rsidR="009C3D09" w:rsidRPr="00DD0232" w:rsidRDefault="009C3D09" w:rsidP="009C3D09">
      <w:pPr>
        <w:rPr>
          <w:b/>
          <w:bCs/>
        </w:rPr>
      </w:pPr>
    </w:p>
    <w:p w:rsidR="009C3D09" w:rsidRDefault="009C3D09" w:rsidP="009C3D09">
      <w:pPr>
        <w:spacing w:after="200" w:line="276" w:lineRule="auto"/>
      </w:pPr>
      <w:r>
        <w:br w:type="page"/>
      </w:r>
    </w:p>
    <w:p w:rsidR="009C3D09" w:rsidRDefault="009C3D09" w:rsidP="009C3D09">
      <w:pPr>
        <w:pStyle w:val="memoaddress"/>
      </w:pPr>
      <w:r>
        <w:t xml:space="preserve">Date: </w:t>
      </w:r>
      <w:r>
        <w:tab/>
        <w:t>January 27, 2012</w:t>
      </w:r>
    </w:p>
    <w:p w:rsidR="009C3D09" w:rsidRDefault="009C3D09" w:rsidP="009C3D09">
      <w:pPr>
        <w:pStyle w:val="memoaddress"/>
        <w:ind w:left="1350" w:hanging="1350"/>
      </w:pPr>
      <w:r>
        <w:t>To:</w:t>
      </w:r>
      <w:r>
        <w:tab/>
        <w:t>Don Jones, Jr.</w:t>
      </w:r>
    </w:p>
    <w:p w:rsidR="009C3D09" w:rsidRDefault="009C3D09" w:rsidP="009C3D09">
      <w:pPr>
        <w:pStyle w:val="memoaddress"/>
      </w:pPr>
      <w:r>
        <w:t>From:</w:t>
      </w:r>
      <w:r>
        <w:tab/>
        <w:t>Aaron Jenniges and Niko Drake-McLaughlin</w:t>
      </w:r>
    </w:p>
    <w:p w:rsidR="009C3D09" w:rsidRDefault="009C3D09" w:rsidP="009C3D09">
      <w:pPr>
        <w:pStyle w:val="memoaddress"/>
        <w:ind w:left="1350" w:hanging="1350"/>
      </w:pPr>
      <w:r>
        <w:t>Re:</w:t>
      </w:r>
      <w:r>
        <w:tab/>
      </w:r>
      <w:r>
        <w:rPr>
          <w:bCs/>
        </w:rPr>
        <w:t>Washington Distribution Efficiency Cost-Effectiveness</w:t>
      </w:r>
    </w:p>
    <w:p w:rsidR="009C3D09" w:rsidRDefault="009C3D09" w:rsidP="009C3D09">
      <w:pPr>
        <w:pBdr>
          <w:bottom w:val="single" w:sz="4" w:space="1" w:color="auto"/>
        </w:pBdr>
      </w:pP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tables below present the cost-effectiveness findings of the Distribution Efficiency program based on projected 2012 and 2013 costs and savings estimates provided by PacifiCorp in a spreadsheet entitled “DEI – proforma CE inputs – tie to Biz plan 012312.” Savings have been grossed to reflect line losses associated with this distribution system.</w:t>
      </w: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 xml:space="preserve">  </w:t>
      </w:r>
    </w:p>
    <w:p w:rsidR="009C3D09" w:rsidRDefault="000A75FE" w:rsidP="009C3D09">
      <w:pPr>
        <w:spacing w:before="120" w:after="120"/>
      </w:pPr>
      <w:fldSimple w:instr=" REF _Ref312304537 \h  \* MERGEFORMAT ">
        <w:r w:rsidR="00D761BE" w:rsidRPr="00D761BE">
          <w:rPr>
            <w:rFonts w:ascii="Times New Roman" w:hAnsi="Times New Roman"/>
            <w:sz w:val="24"/>
            <w:szCs w:val="24"/>
          </w:rPr>
          <w:t>Table 10</w:t>
        </w:r>
      </w:fldSimple>
      <w:r w:rsidR="009C3D09" w:rsidRPr="0073249B">
        <w:rPr>
          <w:rFonts w:ascii="Times New Roman" w:hAnsi="Times New Roman"/>
          <w:sz w:val="24"/>
          <w:szCs w:val="24"/>
        </w:rPr>
        <w:t xml:space="preserve"> shows the cost and savings assumptions</w:t>
      </w:r>
      <w:r w:rsidR="009C3D09">
        <w:t xml:space="preserve">. </w:t>
      </w:r>
    </w:p>
    <w:p w:rsidR="009C3D09" w:rsidRDefault="009C3D09" w:rsidP="009C3D09">
      <w:pPr>
        <w:pStyle w:val="tabletitle"/>
        <w:keepLines/>
      </w:pPr>
      <w:bookmarkStart w:id="33" w:name="_Ref312304537"/>
      <w:r w:rsidRPr="00237D4A">
        <w:rPr>
          <w:szCs w:val="24"/>
        </w:rPr>
        <w:t xml:space="preserve">Table </w:t>
      </w:r>
      <w:r w:rsidR="000A75FE" w:rsidRPr="00237D4A">
        <w:rPr>
          <w:szCs w:val="24"/>
        </w:rPr>
        <w:fldChar w:fldCharType="begin"/>
      </w:r>
      <w:r w:rsidRPr="00237D4A">
        <w:rPr>
          <w:szCs w:val="24"/>
        </w:rPr>
        <w:instrText xml:space="preserve"> SEQ Table \* ARABIC </w:instrText>
      </w:r>
      <w:r w:rsidR="000A75FE" w:rsidRPr="00237D4A">
        <w:rPr>
          <w:szCs w:val="24"/>
        </w:rPr>
        <w:fldChar w:fldCharType="separate"/>
      </w:r>
      <w:r w:rsidR="00D761BE">
        <w:rPr>
          <w:noProof/>
          <w:szCs w:val="24"/>
        </w:rPr>
        <w:t>10</w:t>
      </w:r>
      <w:r w:rsidR="000A75FE" w:rsidRPr="00237D4A">
        <w:rPr>
          <w:szCs w:val="24"/>
        </w:rPr>
        <w:fldChar w:fldCharType="end"/>
      </w:r>
      <w:bookmarkEnd w:id="33"/>
      <w:r>
        <w:t>: Projects - Costs and Savings</w:t>
      </w:r>
    </w:p>
    <w:tbl>
      <w:tblPr>
        <w:tblW w:w="6131" w:type="dxa"/>
        <w:jc w:val="center"/>
        <w:tblInd w:w="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13"/>
        <w:gridCol w:w="1440"/>
        <w:gridCol w:w="1459"/>
        <w:gridCol w:w="993"/>
        <w:gridCol w:w="1226"/>
      </w:tblGrid>
      <w:tr w:rsidR="009C3D09" w:rsidRPr="00CE59D7" w:rsidTr="009C3D09">
        <w:trPr>
          <w:tblHeader/>
          <w:jc w:val="center"/>
        </w:trPr>
        <w:tc>
          <w:tcPr>
            <w:tcW w:w="1013" w:type="dxa"/>
            <w:shd w:val="clear" w:color="000000" w:fill="339966"/>
          </w:tcPr>
          <w:p w:rsidR="009C3D09" w:rsidRDefault="009C3D09" w:rsidP="009C3D09">
            <w:pPr>
              <w:jc w:val="center"/>
              <w:rPr>
                <w:rFonts w:ascii="Arial Narrow" w:hAnsi="Arial Narrow" w:cs="Arial"/>
                <w:b/>
                <w:bCs/>
                <w:color w:val="FFFFFF"/>
                <w:sz w:val="20"/>
              </w:rPr>
            </w:pPr>
          </w:p>
        </w:tc>
        <w:tc>
          <w:tcPr>
            <w:tcW w:w="1440"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Annual Energy Savings (MWh/yr)</w:t>
            </w:r>
          </w:p>
        </w:tc>
        <w:tc>
          <w:tcPr>
            <w:tcW w:w="1459"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Implementation Costs</w:t>
            </w:r>
          </w:p>
        </w:tc>
        <w:tc>
          <w:tcPr>
            <w:tcW w:w="993" w:type="dxa"/>
            <w:shd w:val="clear" w:color="000000" w:fill="339966"/>
          </w:tcPr>
          <w:p w:rsidR="009C3D09" w:rsidRDefault="009C3D09" w:rsidP="009C3D09">
            <w:pPr>
              <w:jc w:val="center"/>
              <w:rPr>
                <w:rFonts w:ascii="Arial Narrow" w:hAnsi="Arial Narrow" w:cs="Arial"/>
                <w:b/>
                <w:bCs/>
                <w:color w:val="FFFFFF"/>
                <w:sz w:val="20"/>
              </w:rPr>
            </w:pPr>
            <w:r>
              <w:rPr>
                <w:rFonts w:ascii="Arial Narrow" w:hAnsi="Arial Narrow" w:cs="Arial"/>
                <w:b/>
                <w:bCs/>
                <w:color w:val="FFFFFF"/>
                <w:sz w:val="20"/>
              </w:rPr>
              <w:t>PV O&amp;M Costs</w:t>
            </w:r>
          </w:p>
        </w:tc>
        <w:tc>
          <w:tcPr>
            <w:tcW w:w="1226" w:type="dxa"/>
            <w:shd w:val="clear" w:color="000000" w:fill="339966"/>
          </w:tcPr>
          <w:p w:rsidR="009C3D09" w:rsidRDefault="009C3D09" w:rsidP="009C3D09">
            <w:pPr>
              <w:jc w:val="center"/>
              <w:rPr>
                <w:rFonts w:ascii="Arial Narrow" w:hAnsi="Arial Narrow" w:cs="Arial"/>
                <w:b/>
                <w:bCs/>
                <w:color w:val="FFFFFF"/>
                <w:sz w:val="20"/>
              </w:rPr>
            </w:pPr>
            <w:r>
              <w:rPr>
                <w:rFonts w:ascii="Arial Narrow" w:hAnsi="Arial Narrow" w:cs="Arial"/>
                <w:b/>
                <w:bCs/>
                <w:color w:val="FFFFFF"/>
                <w:sz w:val="20"/>
              </w:rPr>
              <w:t>PV Benefits</w:t>
            </w:r>
          </w:p>
        </w:tc>
      </w:tr>
      <w:tr w:rsidR="009C3D09" w:rsidRPr="00407F44" w:rsidTr="009C3D09">
        <w:trPr>
          <w:trHeight w:val="288"/>
          <w:jc w:val="center"/>
        </w:trPr>
        <w:tc>
          <w:tcPr>
            <w:tcW w:w="1013" w:type="dxa"/>
            <w:vAlign w:val="center"/>
          </w:tcPr>
          <w:p w:rsidR="009C3D09" w:rsidRPr="00DE7058" w:rsidRDefault="009C3D09" w:rsidP="009C3D09">
            <w:pPr>
              <w:rPr>
                <w:rFonts w:ascii="Arial Narrow" w:hAnsi="Arial Narrow"/>
                <w:color w:val="000000"/>
                <w:sz w:val="20"/>
              </w:rPr>
            </w:pPr>
            <w:r>
              <w:rPr>
                <w:rFonts w:ascii="Arial Narrow" w:hAnsi="Arial Narrow"/>
                <w:color w:val="000000"/>
                <w:sz w:val="20"/>
              </w:rPr>
              <w:t>2012</w:t>
            </w:r>
          </w:p>
        </w:tc>
        <w:tc>
          <w:tcPr>
            <w:tcW w:w="1440" w:type="dxa"/>
            <w:shd w:val="clear" w:color="auto" w:fill="auto"/>
            <w:vAlign w:val="center"/>
            <w:hideMark/>
          </w:tcPr>
          <w:p w:rsidR="009C3D09" w:rsidRPr="00DE7058" w:rsidRDefault="009C3D09" w:rsidP="009C3D09">
            <w:pPr>
              <w:jc w:val="right"/>
              <w:rPr>
                <w:rFonts w:ascii="Arial Narrow" w:hAnsi="Arial Narrow"/>
                <w:color w:val="000000"/>
                <w:sz w:val="20"/>
              </w:rPr>
            </w:pPr>
            <w:r>
              <w:rPr>
                <w:rFonts w:ascii="Arial Narrow" w:hAnsi="Arial Narrow"/>
                <w:color w:val="000000"/>
                <w:sz w:val="20"/>
              </w:rPr>
              <w:t>972.4</w:t>
            </w:r>
          </w:p>
        </w:tc>
        <w:tc>
          <w:tcPr>
            <w:tcW w:w="1459" w:type="dxa"/>
            <w:shd w:val="clear" w:color="auto" w:fill="auto"/>
            <w:vAlign w:val="center"/>
            <w:hideMark/>
          </w:tcPr>
          <w:p w:rsidR="009C3D09" w:rsidRPr="00DE7058" w:rsidRDefault="009C3D09" w:rsidP="009C3D09">
            <w:pPr>
              <w:jc w:val="right"/>
              <w:rPr>
                <w:rFonts w:ascii="Arial Narrow" w:hAnsi="Arial Narrow"/>
                <w:color w:val="000000"/>
                <w:sz w:val="20"/>
              </w:rPr>
            </w:pPr>
            <w:r>
              <w:rPr>
                <w:rFonts w:ascii="Arial Narrow" w:hAnsi="Arial Narrow"/>
                <w:color w:val="000000"/>
                <w:sz w:val="20"/>
              </w:rPr>
              <w:t>$268,875</w:t>
            </w:r>
          </w:p>
        </w:tc>
        <w:tc>
          <w:tcPr>
            <w:tcW w:w="993" w:type="dxa"/>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$212,523</w:t>
            </w:r>
          </w:p>
        </w:tc>
        <w:tc>
          <w:tcPr>
            <w:tcW w:w="1226" w:type="dxa"/>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$1,362,355</w:t>
            </w:r>
          </w:p>
        </w:tc>
      </w:tr>
      <w:tr w:rsidR="009C3D09" w:rsidRPr="00407F44" w:rsidTr="009C3D09">
        <w:trPr>
          <w:trHeight w:val="288"/>
          <w:jc w:val="center"/>
        </w:trPr>
        <w:tc>
          <w:tcPr>
            <w:tcW w:w="1013" w:type="dxa"/>
            <w:vAlign w:val="center"/>
          </w:tcPr>
          <w:p w:rsidR="009C3D09" w:rsidRDefault="009C3D09" w:rsidP="009C3D09">
            <w:pPr>
              <w:rPr>
                <w:rFonts w:ascii="Arial Narrow" w:hAnsi="Arial Narrow"/>
                <w:color w:val="000000"/>
                <w:sz w:val="20"/>
              </w:rPr>
            </w:pPr>
            <w:r>
              <w:rPr>
                <w:rFonts w:ascii="Arial Narrow" w:hAnsi="Arial Narrow"/>
                <w:color w:val="000000"/>
                <w:sz w:val="20"/>
              </w:rPr>
              <w:t>2013</w:t>
            </w:r>
          </w:p>
        </w:tc>
        <w:tc>
          <w:tcPr>
            <w:tcW w:w="1440" w:type="dxa"/>
            <w:shd w:val="clear" w:color="auto" w:fill="auto"/>
            <w:vAlign w:val="center"/>
          </w:tcPr>
          <w:p w:rsidR="009C3D09" w:rsidRPr="00DE7058" w:rsidRDefault="009C3D09" w:rsidP="009C3D09">
            <w:pPr>
              <w:jc w:val="right"/>
              <w:rPr>
                <w:rFonts w:ascii="Arial Narrow" w:hAnsi="Arial Narrow"/>
                <w:color w:val="000000"/>
                <w:sz w:val="20"/>
              </w:rPr>
            </w:pPr>
            <w:r>
              <w:rPr>
                <w:rFonts w:ascii="Arial Narrow" w:hAnsi="Arial Narrow"/>
                <w:color w:val="000000"/>
                <w:sz w:val="20"/>
              </w:rPr>
              <w:t>2,058.6</w:t>
            </w:r>
          </w:p>
        </w:tc>
        <w:tc>
          <w:tcPr>
            <w:tcW w:w="1459" w:type="dxa"/>
            <w:shd w:val="clear" w:color="auto" w:fill="auto"/>
            <w:vAlign w:val="center"/>
          </w:tcPr>
          <w:p w:rsidR="009C3D09" w:rsidRPr="00DE7058" w:rsidRDefault="009C3D09" w:rsidP="009C3D09">
            <w:pPr>
              <w:jc w:val="right"/>
              <w:rPr>
                <w:rFonts w:ascii="Arial Narrow" w:hAnsi="Arial Narrow"/>
                <w:color w:val="000000"/>
                <w:sz w:val="20"/>
              </w:rPr>
            </w:pPr>
            <w:r>
              <w:rPr>
                <w:rFonts w:ascii="Arial Narrow" w:hAnsi="Arial Narrow"/>
                <w:color w:val="000000"/>
                <w:sz w:val="20"/>
              </w:rPr>
              <w:t>$750,000</w:t>
            </w:r>
          </w:p>
        </w:tc>
        <w:tc>
          <w:tcPr>
            <w:tcW w:w="993" w:type="dxa"/>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$0</w:t>
            </w:r>
          </w:p>
        </w:tc>
        <w:tc>
          <w:tcPr>
            <w:tcW w:w="1226" w:type="dxa"/>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$825,000</w:t>
            </w:r>
          </w:p>
        </w:tc>
      </w:tr>
      <w:tr w:rsidR="009C3D09" w:rsidRPr="00407F44" w:rsidTr="009C3D09">
        <w:trPr>
          <w:trHeight w:val="288"/>
          <w:jc w:val="center"/>
        </w:trPr>
        <w:tc>
          <w:tcPr>
            <w:tcW w:w="1013" w:type="dxa"/>
            <w:vAlign w:val="center"/>
          </w:tcPr>
          <w:p w:rsidR="009C3D09" w:rsidRDefault="009C3D09" w:rsidP="009C3D09">
            <w:pPr>
              <w:rPr>
                <w:rFonts w:ascii="Arial Narrow" w:hAnsi="Arial Narrow"/>
                <w:color w:val="000000"/>
                <w:sz w:val="20"/>
              </w:rPr>
            </w:pPr>
            <w:r>
              <w:rPr>
                <w:rFonts w:ascii="Arial Narrow" w:hAnsi="Arial Narrow"/>
                <w:color w:val="000000"/>
                <w:sz w:val="20"/>
              </w:rPr>
              <w:t>Total</w:t>
            </w:r>
          </w:p>
        </w:tc>
        <w:tc>
          <w:tcPr>
            <w:tcW w:w="1440" w:type="dxa"/>
            <w:shd w:val="clear" w:color="auto" w:fill="auto"/>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3,031.0</w:t>
            </w:r>
          </w:p>
        </w:tc>
        <w:tc>
          <w:tcPr>
            <w:tcW w:w="1459" w:type="dxa"/>
            <w:shd w:val="clear" w:color="auto" w:fill="auto"/>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$1,018,875</w:t>
            </w:r>
          </w:p>
        </w:tc>
        <w:tc>
          <w:tcPr>
            <w:tcW w:w="993" w:type="dxa"/>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$212,523</w:t>
            </w:r>
          </w:p>
        </w:tc>
        <w:tc>
          <w:tcPr>
            <w:tcW w:w="1226" w:type="dxa"/>
            <w:vAlign w:val="center"/>
          </w:tcPr>
          <w:p w:rsidR="009C3D09" w:rsidRDefault="009C3D09" w:rsidP="009C3D09">
            <w:pPr>
              <w:jc w:val="right"/>
              <w:rPr>
                <w:rFonts w:ascii="Arial Narrow" w:hAnsi="Arial Narrow"/>
                <w:color w:val="000000"/>
                <w:sz w:val="20"/>
              </w:rPr>
            </w:pPr>
            <w:r>
              <w:rPr>
                <w:rFonts w:ascii="Arial Narrow" w:hAnsi="Arial Narrow"/>
                <w:color w:val="000000"/>
                <w:sz w:val="20"/>
              </w:rPr>
              <w:t>$2,187,355</w:t>
            </w:r>
          </w:p>
        </w:tc>
      </w:tr>
    </w:tbl>
    <w:p w:rsidR="009C3D09" w:rsidRDefault="009C3D09" w:rsidP="009C3D09"/>
    <w:tbl>
      <w:tblPr>
        <w:tblW w:w="9777" w:type="dxa"/>
        <w:jc w:val="center"/>
        <w:tblInd w:w="93" w:type="dxa"/>
        <w:tblLook w:val="04A0"/>
      </w:tblPr>
      <w:tblGrid>
        <w:gridCol w:w="4416"/>
        <w:gridCol w:w="1035"/>
        <w:gridCol w:w="1035"/>
        <w:gridCol w:w="1536"/>
        <w:gridCol w:w="1821"/>
      </w:tblGrid>
      <w:tr w:rsidR="009C3D09" w:rsidRPr="00FD6123" w:rsidTr="0073249B">
        <w:trPr>
          <w:trHeight w:val="240"/>
          <w:jc w:val="center"/>
        </w:trPr>
        <w:tc>
          <w:tcPr>
            <w:tcW w:w="9777" w:type="dxa"/>
            <w:gridSpan w:val="5"/>
            <w:tcBorders>
              <w:top w:val="nil"/>
              <w:left w:val="nil"/>
              <w:bottom w:val="single" w:sz="8" w:space="0" w:color="auto"/>
              <w:right w:val="nil"/>
            </w:tcBorders>
            <w:shd w:val="clear" w:color="auto" w:fill="auto"/>
            <w:noWrap/>
            <w:vAlign w:val="bottom"/>
            <w:hideMark/>
          </w:tcPr>
          <w:p w:rsidR="009C3D09" w:rsidRDefault="009C3D09" w:rsidP="009C3D09">
            <w:pPr>
              <w:jc w:val="center"/>
              <w:rPr>
                <w:b/>
                <w:bCs/>
                <w:color w:val="000000"/>
                <w:szCs w:val="24"/>
              </w:rPr>
            </w:pPr>
          </w:p>
          <w:p w:rsidR="009C3D09" w:rsidRPr="00FD6123" w:rsidRDefault="009C3D09" w:rsidP="009C3D09">
            <w:pPr>
              <w:jc w:val="center"/>
              <w:rPr>
                <w:b/>
                <w:bCs/>
                <w:color w:val="000000"/>
                <w:szCs w:val="24"/>
              </w:rPr>
            </w:pPr>
            <w:r w:rsidRPr="00F86B02">
              <w:rPr>
                <w:b/>
                <w:bCs/>
                <w:color w:val="000000"/>
                <w:szCs w:val="24"/>
              </w:rPr>
              <w:t xml:space="preserve">Table </w:t>
            </w:r>
            <w:r>
              <w:rPr>
                <w:b/>
                <w:bCs/>
                <w:color w:val="000000"/>
                <w:szCs w:val="24"/>
              </w:rPr>
              <w:t>2</w:t>
            </w:r>
            <w:r w:rsidRPr="00FD6123">
              <w:rPr>
                <w:b/>
                <w:bCs/>
                <w:color w:val="000000"/>
                <w:szCs w:val="24"/>
              </w:rPr>
              <w:t xml:space="preserve">: </w:t>
            </w:r>
            <w:r>
              <w:rPr>
                <w:b/>
                <w:bCs/>
                <w:color w:val="000000"/>
                <w:szCs w:val="24"/>
              </w:rPr>
              <w:t>Distribution Efficiency</w:t>
            </w:r>
            <w:r w:rsidRPr="008E4A91">
              <w:rPr>
                <w:b/>
                <w:bCs/>
                <w:color w:val="000000"/>
                <w:szCs w:val="24"/>
              </w:rPr>
              <w:t xml:space="preserve"> </w:t>
            </w:r>
          </w:p>
        </w:tc>
      </w:tr>
      <w:tr w:rsidR="009C3D09" w:rsidRPr="00FD6123" w:rsidTr="0073249B">
        <w:trPr>
          <w:trHeight w:val="240"/>
          <w:jc w:val="center"/>
        </w:trPr>
        <w:tc>
          <w:tcPr>
            <w:tcW w:w="4425" w:type="dxa"/>
            <w:tcBorders>
              <w:top w:val="nil"/>
              <w:left w:val="single" w:sz="8" w:space="0" w:color="auto"/>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 </w:t>
            </w:r>
          </w:p>
        </w:tc>
        <w:tc>
          <w:tcPr>
            <w:tcW w:w="1037"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Costs</w:t>
            </w:r>
          </w:p>
        </w:tc>
        <w:tc>
          <w:tcPr>
            <w:tcW w:w="951"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Benefits</w:t>
            </w:r>
          </w:p>
        </w:tc>
        <w:tc>
          <w:tcPr>
            <w:tcW w:w="1539"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Net Benefits</w:t>
            </w:r>
          </w:p>
        </w:tc>
        <w:tc>
          <w:tcPr>
            <w:tcW w:w="1825"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 xml:space="preserve"> Benefit/ Cost Ratio </w:t>
            </w:r>
          </w:p>
        </w:tc>
      </w:tr>
      <w:tr w:rsidR="009C3D09" w:rsidRPr="00FD6123" w:rsidTr="0073249B">
        <w:trPr>
          <w:trHeight w:val="240"/>
          <w:jc w:val="center"/>
        </w:trPr>
        <w:tc>
          <w:tcPr>
            <w:tcW w:w="4425" w:type="dxa"/>
            <w:tcBorders>
              <w:top w:val="nil"/>
              <w:left w:val="single" w:sz="8" w:space="0" w:color="auto"/>
              <w:bottom w:val="single" w:sz="8" w:space="0" w:color="auto"/>
              <w:right w:val="single" w:sz="8" w:space="0" w:color="auto"/>
            </w:tcBorders>
            <w:shd w:val="clear" w:color="auto" w:fill="auto"/>
            <w:hideMark/>
          </w:tcPr>
          <w:p w:rsidR="009C3D09" w:rsidRDefault="009C3D09" w:rsidP="009C3D09">
            <w:pPr>
              <w:rPr>
                <w:rFonts w:ascii="Arial Narrow" w:hAnsi="Arial Narrow"/>
                <w:color w:val="000000"/>
                <w:sz w:val="20"/>
              </w:rPr>
            </w:pPr>
            <w:r>
              <w:rPr>
                <w:rFonts w:ascii="Arial Narrow" w:hAnsi="Arial Narrow"/>
                <w:color w:val="000000"/>
                <w:sz w:val="20"/>
              </w:rPr>
              <w:t>Total Resource Cost Test (PTRC) + Conservation Adder</w:t>
            </w:r>
          </w:p>
        </w:tc>
        <w:tc>
          <w:tcPr>
            <w:tcW w:w="1037" w:type="dxa"/>
            <w:tcBorders>
              <w:top w:val="nil"/>
              <w:left w:val="nil"/>
              <w:bottom w:val="single" w:sz="8" w:space="0" w:color="auto"/>
              <w:right w:val="single" w:sz="8" w:space="0" w:color="auto"/>
            </w:tcBorders>
            <w:shd w:val="clear" w:color="auto" w:fill="auto"/>
            <w:noWrap/>
            <w:vAlign w:val="bottom"/>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$1,181,220 </w:t>
            </w:r>
          </w:p>
        </w:tc>
        <w:tc>
          <w:tcPr>
            <w:tcW w:w="951"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$2,132,160 </w:t>
            </w:r>
          </w:p>
        </w:tc>
        <w:tc>
          <w:tcPr>
            <w:tcW w:w="1539"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$950,940 </w:t>
            </w:r>
          </w:p>
        </w:tc>
        <w:tc>
          <w:tcPr>
            <w:tcW w:w="1825"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                            1.81 </w:t>
            </w:r>
          </w:p>
        </w:tc>
      </w:tr>
      <w:tr w:rsidR="009C3D09" w:rsidRPr="00FD6123" w:rsidTr="0073249B">
        <w:trPr>
          <w:trHeight w:val="240"/>
          <w:jc w:val="center"/>
        </w:trPr>
        <w:tc>
          <w:tcPr>
            <w:tcW w:w="4425" w:type="dxa"/>
            <w:tcBorders>
              <w:top w:val="nil"/>
              <w:left w:val="single" w:sz="8" w:space="0" w:color="auto"/>
              <w:bottom w:val="single" w:sz="8" w:space="0" w:color="auto"/>
              <w:right w:val="single" w:sz="8" w:space="0" w:color="auto"/>
            </w:tcBorders>
            <w:shd w:val="clear" w:color="auto" w:fill="auto"/>
            <w:hideMark/>
          </w:tcPr>
          <w:p w:rsidR="009C3D09" w:rsidRDefault="009C3D09" w:rsidP="009C3D09">
            <w:pPr>
              <w:rPr>
                <w:rFonts w:ascii="Arial Narrow" w:hAnsi="Arial Narrow"/>
                <w:color w:val="000000"/>
                <w:sz w:val="20"/>
              </w:rPr>
            </w:pPr>
            <w:r>
              <w:rPr>
                <w:rFonts w:ascii="Arial Narrow" w:hAnsi="Arial Narrow"/>
                <w:color w:val="000000"/>
                <w:sz w:val="20"/>
              </w:rPr>
              <w:t>Total Resource Cost Test (TRC) No Adder</w:t>
            </w:r>
          </w:p>
        </w:tc>
        <w:tc>
          <w:tcPr>
            <w:tcW w:w="1037" w:type="dxa"/>
            <w:tcBorders>
              <w:top w:val="nil"/>
              <w:left w:val="nil"/>
              <w:bottom w:val="single" w:sz="8" w:space="0" w:color="auto"/>
              <w:right w:val="single" w:sz="8" w:space="0" w:color="auto"/>
            </w:tcBorders>
            <w:shd w:val="clear" w:color="auto" w:fill="auto"/>
            <w:noWrap/>
            <w:vAlign w:val="bottom"/>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$1,181,220 </w:t>
            </w:r>
          </w:p>
        </w:tc>
        <w:tc>
          <w:tcPr>
            <w:tcW w:w="951"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$1,938,327 </w:t>
            </w:r>
          </w:p>
        </w:tc>
        <w:tc>
          <w:tcPr>
            <w:tcW w:w="1539"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$757,107 </w:t>
            </w:r>
          </w:p>
        </w:tc>
        <w:tc>
          <w:tcPr>
            <w:tcW w:w="1825"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                            1.64 </w:t>
            </w:r>
          </w:p>
        </w:tc>
      </w:tr>
      <w:tr w:rsidR="009C3D09" w:rsidRPr="00FD6123" w:rsidTr="0073249B">
        <w:trPr>
          <w:trHeight w:val="240"/>
          <w:jc w:val="center"/>
        </w:trPr>
        <w:tc>
          <w:tcPr>
            <w:tcW w:w="4425" w:type="dxa"/>
            <w:tcBorders>
              <w:top w:val="nil"/>
              <w:left w:val="single" w:sz="8" w:space="0" w:color="auto"/>
              <w:bottom w:val="single" w:sz="8" w:space="0" w:color="auto"/>
              <w:right w:val="single" w:sz="8" w:space="0" w:color="auto"/>
            </w:tcBorders>
            <w:shd w:val="clear" w:color="auto" w:fill="auto"/>
            <w:hideMark/>
          </w:tcPr>
          <w:p w:rsidR="009C3D09" w:rsidRDefault="009C3D09" w:rsidP="009C3D09">
            <w:pPr>
              <w:rPr>
                <w:rFonts w:ascii="Arial Narrow" w:hAnsi="Arial Narrow"/>
                <w:color w:val="000000"/>
                <w:sz w:val="20"/>
              </w:rPr>
            </w:pPr>
            <w:r>
              <w:rPr>
                <w:rFonts w:ascii="Arial Narrow" w:hAnsi="Arial Narrow"/>
                <w:color w:val="000000"/>
                <w:sz w:val="20"/>
              </w:rPr>
              <w:t>Utility Cost Test (UCT)</w:t>
            </w:r>
          </w:p>
        </w:tc>
        <w:tc>
          <w:tcPr>
            <w:tcW w:w="1037" w:type="dxa"/>
            <w:tcBorders>
              <w:top w:val="nil"/>
              <w:left w:val="nil"/>
              <w:bottom w:val="single" w:sz="8" w:space="0" w:color="auto"/>
              <w:right w:val="single" w:sz="8" w:space="0" w:color="auto"/>
            </w:tcBorders>
            <w:shd w:val="clear" w:color="auto" w:fill="auto"/>
            <w:noWrap/>
            <w:vAlign w:val="bottom"/>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$1,181,220 </w:t>
            </w:r>
          </w:p>
        </w:tc>
        <w:tc>
          <w:tcPr>
            <w:tcW w:w="951"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$1,938,327 </w:t>
            </w:r>
          </w:p>
        </w:tc>
        <w:tc>
          <w:tcPr>
            <w:tcW w:w="1539"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$757,107 </w:t>
            </w:r>
          </w:p>
        </w:tc>
        <w:tc>
          <w:tcPr>
            <w:tcW w:w="1825"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                            1.64 </w:t>
            </w:r>
          </w:p>
        </w:tc>
      </w:tr>
    </w:tbl>
    <w:p w:rsidR="009C3D09" w:rsidRDefault="009C3D09" w:rsidP="009C3D09"/>
    <w:p w:rsidR="009C3D09" w:rsidRDefault="009C3D09" w:rsidP="009C3D09">
      <w:pPr>
        <w:spacing w:after="200" w:line="276" w:lineRule="auto"/>
      </w:pPr>
      <w:r>
        <w:br w:type="page"/>
      </w:r>
    </w:p>
    <w:p w:rsidR="009C3D09" w:rsidRDefault="009C3D09" w:rsidP="009C3D09">
      <w:pPr>
        <w:pStyle w:val="memoaddress"/>
      </w:pPr>
      <w:r>
        <w:t xml:space="preserve">Date: </w:t>
      </w:r>
      <w:r>
        <w:tab/>
        <w:t>January 27, 2012</w:t>
      </w:r>
    </w:p>
    <w:p w:rsidR="009C3D09" w:rsidRDefault="009C3D09" w:rsidP="009C3D09">
      <w:pPr>
        <w:pStyle w:val="memoaddress"/>
        <w:ind w:left="1350" w:hanging="1350"/>
      </w:pPr>
      <w:r>
        <w:t>To:</w:t>
      </w:r>
      <w:r>
        <w:tab/>
        <w:t>Don Jones, Jr.</w:t>
      </w:r>
    </w:p>
    <w:p w:rsidR="009C3D09" w:rsidRDefault="009C3D09" w:rsidP="009C3D09">
      <w:pPr>
        <w:pStyle w:val="memoaddress"/>
      </w:pPr>
      <w:r>
        <w:t>From:</w:t>
      </w:r>
      <w:r>
        <w:tab/>
        <w:t>Aaron Jenniges and Niko Drake-McLaughlin</w:t>
      </w:r>
    </w:p>
    <w:p w:rsidR="009C3D09" w:rsidRDefault="009C3D09" w:rsidP="009C3D09">
      <w:pPr>
        <w:pStyle w:val="memoaddress"/>
        <w:ind w:left="1350" w:hanging="1350"/>
      </w:pPr>
      <w:r>
        <w:t>Re:</w:t>
      </w:r>
      <w:r>
        <w:tab/>
      </w:r>
      <w:r>
        <w:rPr>
          <w:bCs/>
        </w:rPr>
        <w:t>Washington Production Efficiency Cost-Effectiveness</w:t>
      </w:r>
    </w:p>
    <w:p w:rsidR="009C3D09" w:rsidRDefault="009C3D09" w:rsidP="009C3D09">
      <w:pPr>
        <w:pBdr>
          <w:bottom w:val="single" w:sz="4" w:space="1" w:color="auto"/>
        </w:pBdr>
      </w:pPr>
    </w:p>
    <w:p w:rsidR="009C3D09" w:rsidRPr="0073249B" w:rsidRDefault="009C3D09" w:rsidP="009C3D09">
      <w:pPr>
        <w:spacing w:before="120" w:after="120"/>
        <w:rPr>
          <w:rFonts w:ascii="Times New Roman" w:hAnsi="Times New Roman"/>
          <w:sz w:val="24"/>
          <w:szCs w:val="24"/>
        </w:rPr>
      </w:pPr>
      <w:r w:rsidRPr="0073249B">
        <w:rPr>
          <w:rFonts w:ascii="Times New Roman" w:hAnsi="Times New Roman"/>
          <w:sz w:val="24"/>
          <w:szCs w:val="24"/>
        </w:rPr>
        <w:t>The tables below present the cost-effectiveness findings of the Chehalis Plant projects based on projected 2012 and 2013 costs and savings estimates provided by PacifiCorp in the spreadsheet titled “Chehalis</w:t>
      </w:r>
      <w:r w:rsidRPr="00DE7058">
        <w:t xml:space="preserve"> </w:t>
      </w:r>
      <w:r w:rsidRPr="0073249B">
        <w:rPr>
          <w:rFonts w:ascii="Times New Roman" w:hAnsi="Times New Roman"/>
          <w:sz w:val="24"/>
          <w:szCs w:val="24"/>
        </w:rPr>
        <w:t>Economics - 12-12-11.”</w:t>
      </w:r>
    </w:p>
    <w:p w:rsidR="009C3D09" w:rsidRPr="0073249B" w:rsidRDefault="000A75FE" w:rsidP="009C3D09">
      <w:pPr>
        <w:spacing w:before="120" w:after="120"/>
        <w:rPr>
          <w:rFonts w:ascii="Times New Roman" w:hAnsi="Times New Roman"/>
          <w:sz w:val="24"/>
          <w:szCs w:val="24"/>
        </w:rPr>
      </w:pPr>
      <w:fldSimple w:instr=" REF _Ref312304537 \h  \* MERGEFORMAT ">
        <w:r w:rsidR="00D761BE" w:rsidRPr="00D761BE">
          <w:rPr>
            <w:rFonts w:ascii="Times New Roman" w:hAnsi="Times New Roman"/>
            <w:sz w:val="24"/>
            <w:szCs w:val="24"/>
          </w:rPr>
          <w:t>Table 10</w:t>
        </w:r>
      </w:fldSimple>
      <w:r w:rsidR="009C3D09" w:rsidRPr="0073249B">
        <w:rPr>
          <w:rFonts w:ascii="Times New Roman" w:hAnsi="Times New Roman"/>
          <w:sz w:val="24"/>
          <w:szCs w:val="24"/>
        </w:rPr>
        <w:t xml:space="preserve"> shows the cost and savings assumptions for each project. </w:t>
      </w:r>
    </w:p>
    <w:p w:rsidR="009C3D09" w:rsidRDefault="009C3D09" w:rsidP="009C3D09">
      <w:pPr>
        <w:pStyle w:val="tabletitle"/>
        <w:keepLines/>
      </w:pPr>
      <w:r w:rsidRPr="00237D4A">
        <w:rPr>
          <w:szCs w:val="24"/>
        </w:rPr>
        <w:t xml:space="preserve">Table </w:t>
      </w:r>
      <w:r w:rsidR="000A75FE" w:rsidRPr="00237D4A">
        <w:rPr>
          <w:szCs w:val="24"/>
        </w:rPr>
        <w:fldChar w:fldCharType="begin"/>
      </w:r>
      <w:r w:rsidRPr="00237D4A">
        <w:rPr>
          <w:szCs w:val="24"/>
        </w:rPr>
        <w:instrText xml:space="preserve"> SEQ Table \* ARABIC </w:instrText>
      </w:r>
      <w:r w:rsidR="000A75FE" w:rsidRPr="00237D4A">
        <w:rPr>
          <w:szCs w:val="24"/>
        </w:rPr>
        <w:fldChar w:fldCharType="separate"/>
      </w:r>
      <w:r w:rsidR="00D761BE">
        <w:rPr>
          <w:noProof/>
          <w:szCs w:val="24"/>
        </w:rPr>
        <w:t>11</w:t>
      </w:r>
      <w:r w:rsidR="000A75FE" w:rsidRPr="00237D4A">
        <w:rPr>
          <w:szCs w:val="24"/>
        </w:rPr>
        <w:fldChar w:fldCharType="end"/>
      </w:r>
      <w:r>
        <w:t>: Projects - Costs and Savings</w:t>
      </w:r>
    </w:p>
    <w:tbl>
      <w:tblPr>
        <w:tblW w:w="9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880"/>
        <w:gridCol w:w="900"/>
        <w:gridCol w:w="1089"/>
        <w:gridCol w:w="1071"/>
        <w:gridCol w:w="810"/>
        <w:gridCol w:w="1170"/>
        <w:gridCol w:w="810"/>
        <w:gridCol w:w="1080"/>
      </w:tblGrid>
      <w:tr w:rsidR="009C3D09" w:rsidRPr="00CE59D7" w:rsidTr="009C3D09">
        <w:trPr>
          <w:trHeight w:val="700"/>
          <w:tblHeader/>
        </w:trPr>
        <w:tc>
          <w:tcPr>
            <w:tcW w:w="2880" w:type="dxa"/>
            <w:shd w:val="clear" w:color="000000" w:fill="339966"/>
            <w:hideMark/>
          </w:tcPr>
          <w:p w:rsidR="009C3D09" w:rsidRPr="00CE59D7" w:rsidRDefault="009C3D09" w:rsidP="009C3D09">
            <w:pPr>
              <w:rPr>
                <w:rFonts w:ascii="Arial Narrow" w:hAnsi="Arial Narrow" w:cs="Arial"/>
                <w:b/>
                <w:bCs/>
                <w:color w:val="FFFFFF"/>
                <w:sz w:val="20"/>
              </w:rPr>
            </w:pPr>
            <w:r w:rsidRPr="00CE59D7">
              <w:rPr>
                <w:rFonts w:ascii="Arial Narrow" w:hAnsi="Arial Narrow" w:cs="Arial"/>
                <w:b/>
                <w:bCs/>
                <w:color w:val="FFFFFF"/>
                <w:sz w:val="20"/>
              </w:rPr>
              <w:t> </w:t>
            </w:r>
          </w:p>
        </w:tc>
        <w:tc>
          <w:tcPr>
            <w:tcW w:w="900"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Measure Life</w:t>
            </w:r>
          </w:p>
        </w:tc>
        <w:tc>
          <w:tcPr>
            <w:tcW w:w="1089"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Annual Energy Savings (MWh/yr)</w:t>
            </w:r>
          </w:p>
        </w:tc>
        <w:tc>
          <w:tcPr>
            <w:tcW w:w="1071"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Installed Costs</w:t>
            </w:r>
          </w:p>
        </w:tc>
        <w:tc>
          <w:tcPr>
            <w:tcW w:w="810" w:type="dxa"/>
            <w:shd w:val="clear" w:color="000000" w:fill="339966"/>
          </w:tcPr>
          <w:p w:rsidR="009C3D09" w:rsidRDefault="009C3D09" w:rsidP="009C3D09">
            <w:pPr>
              <w:jc w:val="center"/>
              <w:rPr>
                <w:rFonts w:ascii="Arial Narrow" w:hAnsi="Arial Narrow" w:cs="Arial"/>
                <w:b/>
                <w:bCs/>
                <w:color w:val="FFFFFF"/>
                <w:sz w:val="20"/>
              </w:rPr>
            </w:pPr>
            <w:r>
              <w:rPr>
                <w:rFonts w:ascii="Arial Narrow" w:hAnsi="Arial Narrow" w:cs="Arial"/>
                <w:b/>
                <w:bCs/>
                <w:color w:val="FFFFFF"/>
                <w:sz w:val="20"/>
              </w:rPr>
              <w:t>EM&amp;V Costs</w:t>
            </w:r>
          </w:p>
        </w:tc>
        <w:tc>
          <w:tcPr>
            <w:tcW w:w="1170"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Engineering Fees</w:t>
            </w:r>
          </w:p>
        </w:tc>
        <w:tc>
          <w:tcPr>
            <w:tcW w:w="810"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Spare Parts Cost</w:t>
            </w:r>
          </w:p>
        </w:tc>
        <w:tc>
          <w:tcPr>
            <w:tcW w:w="1080" w:type="dxa"/>
            <w:shd w:val="clear" w:color="000000" w:fill="339966"/>
            <w:hideMark/>
          </w:tcPr>
          <w:p w:rsidR="009C3D09" w:rsidRPr="00CE59D7" w:rsidRDefault="009C3D09" w:rsidP="009C3D09">
            <w:pPr>
              <w:jc w:val="center"/>
              <w:rPr>
                <w:rFonts w:ascii="Arial Narrow" w:hAnsi="Arial Narrow" w:cs="Arial"/>
                <w:b/>
                <w:bCs/>
                <w:color w:val="FFFFFF"/>
                <w:sz w:val="20"/>
              </w:rPr>
            </w:pPr>
            <w:r>
              <w:rPr>
                <w:rFonts w:ascii="Arial Narrow" w:hAnsi="Arial Narrow" w:cs="Arial"/>
                <w:b/>
                <w:bCs/>
                <w:color w:val="FFFFFF"/>
                <w:sz w:val="20"/>
              </w:rPr>
              <w:t>Annual O&amp;M Costs</w:t>
            </w:r>
          </w:p>
        </w:tc>
      </w:tr>
      <w:tr w:rsidR="009C3D09" w:rsidRPr="00407F44" w:rsidTr="009C3D09">
        <w:trPr>
          <w:trHeight w:val="286"/>
        </w:trPr>
        <w:tc>
          <w:tcPr>
            <w:tcW w:w="2880" w:type="dxa"/>
            <w:shd w:val="clear" w:color="auto" w:fill="auto"/>
            <w:vAlign w:val="bottom"/>
            <w:hideMark/>
          </w:tcPr>
          <w:p w:rsidR="009C3D09" w:rsidRPr="00407F44" w:rsidRDefault="009C3D09" w:rsidP="009C3D09">
            <w:pPr>
              <w:rPr>
                <w:rFonts w:ascii="Arial Narrow" w:hAnsi="Arial Narrow" w:cs="Arial"/>
                <w:sz w:val="20"/>
              </w:rPr>
            </w:pPr>
            <w:r>
              <w:rPr>
                <w:rFonts w:ascii="Arial Narrow" w:hAnsi="Arial Narrow" w:cs="Arial"/>
                <w:sz w:val="20"/>
              </w:rPr>
              <w:t>Lighting (2013)</w:t>
            </w:r>
          </w:p>
        </w:tc>
        <w:tc>
          <w:tcPr>
            <w:tcW w:w="90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10</w:t>
            </w:r>
          </w:p>
        </w:tc>
        <w:tc>
          <w:tcPr>
            <w:tcW w:w="1089"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246</w:t>
            </w:r>
          </w:p>
        </w:tc>
        <w:tc>
          <w:tcPr>
            <w:tcW w:w="1071" w:type="dxa"/>
            <w:shd w:val="clear" w:color="auto" w:fill="auto"/>
            <w:vAlign w:val="bottom"/>
            <w:hideMark/>
          </w:tcPr>
          <w:p w:rsidR="009C3D09" w:rsidRPr="00DE7058" w:rsidRDefault="009C3D09" w:rsidP="009C3D09">
            <w:pPr>
              <w:jc w:val="right"/>
              <w:rPr>
                <w:rFonts w:ascii="Arial Narrow" w:hAnsi="Arial Narrow"/>
                <w:color w:val="000000"/>
                <w:sz w:val="20"/>
              </w:rPr>
            </w:pPr>
            <w:r w:rsidRPr="004D7E44">
              <w:rPr>
                <w:rFonts w:ascii="Arial Narrow" w:hAnsi="Arial Narrow"/>
                <w:color w:val="000000"/>
                <w:sz w:val="20"/>
              </w:rPr>
              <w:t>$100,682</w:t>
            </w:r>
          </w:p>
        </w:tc>
        <w:tc>
          <w:tcPr>
            <w:tcW w:w="810" w:type="dxa"/>
            <w:vAlign w:val="bottom"/>
          </w:tcPr>
          <w:p w:rsidR="009C3D09" w:rsidRPr="00DE7058" w:rsidRDefault="009C3D09" w:rsidP="009C3D09">
            <w:pPr>
              <w:jc w:val="right"/>
              <w:rPr>
                <w:rFonts w:ascii="Arial Narrow" w:hAnsi="Arial Narrow"/>
                <w:color w:val="000000"/>
                <w:sz w:val="20"/>
              </w:rPr>
            </w:pPr>
            <w:r w:rsidRPr="004D7E44">
              <w:rPr>
                <w:rFonts w:ascii="Arial Narrow" w:hAnsi="Arial Narrow"/>
                <w:color w:val="000000"/>
                <w:sz w:val="20"/>
              </w:rPr>
              <w:t>$5,034</w:t>
            </w:r>
          </w:p>
        </w:tc>
        <w:tc>
          <w:tcPr>
            <w:tcW w:w="117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$10,068</w:t>
            </w:r>
          </w:p>
        </w:tc>
        <w:tc>
          <w:tcPr>
            <w:tcW w:w="81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$3,020</w:t>
            </w:r>
          </w:p>
        </w:tc>
        <w:tc>
          <w:tcPr>
            <w:tcW w:w="108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$3,020</w:t>
            </w:r>
          </w:p>
        </w:tc>
      </w:tr>
      <w:tr w:rsidR="009C3D09" w:rsidRPr="00407F44" w:rsidTr="009C3D09">
        <w:trPr>
          <w:trHeight w:val="286"/>
        </w:trPr>
        <w:tc>
          <w:tcPr>
            <w:tcW w:w="2880" w:type="dxa"/>
            <w:shd w:val="clear" w:color="auto" w:fill="auto"/>
            <w:vAlign w:val="bottom"/>
            <w:hideMark/>
          </w:tcPr>
          <w:p w:rsidR="009C3D09" w:rsidRPr="00407F44" w:rsidRDefault="009C3D09" w:rsidP="009C3D09">
            <w:pPr>
              <w:rPr>
                <w:rFonts w:ascii="Arial Narrow" w:hAnsi="Arial Narrow" w:cs="Arial"/>
                <w:sz w:val="20"/>
              </w:rPr>
            </w:pPr>
            <w:r>
              <w:rPr>
                <w:rFonts w:ascii="Arial Narrow" w:hAnsi="Arial Narrow" w:cs="Arial"/>
                <w:sz w:val="20"/>
              </w:rPr>
              <w:t>Electric Heat Trace Runtime (2012)</w:t>
            </w:r>
          </w:p>
        </w:tc>
        <w:tc>
          <w:tcPr>
            <w:tcW w:w="90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10</w:t>
            </w:r>
          </w:p>
        </w:tc>
        <w:tc>
          <w:tcPr>
            <w:tcW w:w="1089"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39</w:t>
            </w:r>
          </w:p>
        </w:tc>
        <w:tc>
          <w:tcPr>
            <w:tcW w:w="1071" w:type="dxa"/>
            <w:shd w:val="clear" w:color="auto" w:fill="auto"/>
            <w:vAlign w:val="bottom"/>
            <w:hideMark/>
          </w:tcPr>
          <w:p w:rsidR="009C3D09" w:rsidRPr="004D7E44" w:rsidRDefault="009C3D09" w:rsidP="009C3D09">
            <w:pPr>
              <w:jc w:val="right"/>
              <w:rPr>
                <w:rFonts w:ascii="Arial Narrow" w:hAnsi="Arial Narrow"/>
                <w:color w:val="000000"/>
                <w:sz w:val="20"/>
              </w:rPr>
            </w:pPr>
            <w:r w:rsidRPr="004D7E44">
              <w:rPr>
                <w:rFonts w:ascii="Arial Narrow" w:hAnsi="Arial Narrow"/>
                <w:color w:val="000000"/>
                <w:sz w:val="20"/>
              </w:rPr>
              <w:t>$11,000</w:t>
            </w:r>
          </w:p>
        </w:tc>
        <w:tc>
          <w:tcPr>
            <w:tcW w:w="810" w:type="dxa"/>
            <w:vAlign w:val="bottom"/>
          </w:tcPr>
          <w:p w:rsidR="009C3D09" w:rsidRPr="004D7E44" w:rsidRDefault="009C3D09" w:rsidP="009C3D09">
            <w:pPr>
              <w:jc w:val="right"/>
              <w:rPr>
                <w:rFonts w:ascii="Arial Narrow" w:hAnsi="Arial Narrow"/>
                <w:color w:val="000000"/>
                <w:sz w:val="20"/>
              </w:rPr>
            </w:pPr>
            <w:r w:rsidRPr="004D7E44">
              <w:rPr>
                <w:rFonts w:ascii="Arial Narrow" w:hAnsi="Arial Narrow"/>
                <w:color w:val="000000"/>
                <w:sz w:val="20"/>
              </w:rPr>
              <w:t>$2,500</w:t>
            </w:r>
          </w:p>
        </w:tc>
        <w:tc>
          <w:tcPr>
            <w:tcW w:w="117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$1,100</w:t>
            </w:r>
          </w:p>
        </w:tc>
        <w:tc>
          <w:tcPr>
            <w:tcW w:w="81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$330</w:t>
            </w:r>
          </w:p>
        </w:tc>
        <w:tc>
          <w:tcPr>
            <w:tcW w:w="108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$330</w:t>
            </w:r>
          </w:p>
        </w:tc>
      </w:tr>
      <w:tr w:rsidR="009C3D09" w:rsidRPr="00407F44" w:rsidTr="009C3D09">
        <w:trPr>
          <w:trHeight w:val="286"/>
        </w:trPr>
        <w:tc>
          <w:tcPr>
            <w:tcW w:w="2880" w:type="dxa"/>
            <w:shd w:val="clear" w:color="auto" w:fill="auto"/>
            <w:vAlign w:val="bottom"/>
            <w:hideMark/>
          </w:tcPr>
          <w:p w:rsidR="009C3D09" w:rsidRPr="00407F44" w:rsidRDefault="009C3D09" w:rsidP="009C3D09">
            <w:pPr>
              <w:rPr>
                <w:rFonts w:ascii="Arial Narrow" w:hAnsi="Arial Narrow" w:cs="Arial"/>
                <w:sz w:val="20"/>
              </w:rPr>
            </w:pPr>
            <w:r>
              <w:rPr>
                <w:rFonts w:ascii="Arial Narrow" w:hAnsi="Arial Narrow" w:cs="Arial"/>
                <w:sz w:val="20"/>
              </w:rPr>
              <w:t>Electric Heater Thermostat (2012)</w:t>
            </w:r>
          </w:p>
        </w:tc>
        <w:tc>
          <w:tcPr>
            <w:tcW w:w="90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10</w:t>
            </w:r>
          </w:p>
        </w:tc>
        <w:tc>
          <w:tcPr>
            <w:tcW w:w="1089"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37</w:t>
            </w:r>
          </w:p>
        </w:tc>
        <w:tc>
          <w:tcPr>
            <w:tcW w:w="1071" w:type="dxa"/>
            <w:shd w:val="clear" w:color="auto" w:fill="auto"/>
            <w:vAlign w:val="bottom"/>
            <w:hideMark/>
          </w:tcPr>
          <w:p w:rsidR="009C3D09" w:rsidRPr="004D7E44" w:rsidRDefault="009C3D09" w:rsidP="009C3D09">
            <w:pPr>
              <w:jc w:val="right"/>
              <w:rPr>
                <w:rFonts w:ascii="Arial Narrow" w:hAnsi="Arial Narrow"/>
                <w:color w:val="000000"/>
                <w:sz w:val="20"/>
              </w:rPr>
            </w:pPr>
            <w:r w:rsidRPr="004D7E44">
              <w:rPr>
                <w:rFonts w:ascii="Arial Narrow" w:hAnsi="Arial Narrow"/>
                <w:color w:val="000000"/>
                <w:sz w:val="20"/>
              </w:rPr>
              <w:t>$220</w:t>
            </w:r>
          </w:p>
        </w:tc>
        <w:tc>
          <w:tcPr>
            <w:tcW w:w="810" w:type="dxa"/>
            <w:vAlign w:val="bottom"/>
          </w:tcPr>
          <w:p w:rsidR="009C3D09" w:rsidRPr="004D7E44" w:rsidRDefault="009C3D09" w:rsidP="009C3D09">
            <w:pPr>
              <w:jc w:val="right"/>
              <w:rPr>
                <w:rFonts w:ascii="Arial Narrow" w:hAnsi="Arial Narrow"/>
                <w:color w:val="000000"/>
                <w:sz w:val="20"/>
              </w:rPr>
            </w:pPr>
            <w:r w:rsidRPr="004D7E44">
              <w:rPr>
                <w:rFonts w:ascii="Arial Narrow" w:hAnsi="Arial Narrow"/>
                <w:color w:val="000000"/>
                <w:sz w:val="20"/>
              </w:rPr>
              <w:t>$500</w:t>
            </w:r>
          </w:p>
        </w:tc>
        <w:tc>
          <w:tcPr>
            <w:tcW w:w="117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$0</w:t>
            </w:r>
          </w:p>
        </w:tc>
        <w:tc>
          <w:tcPr>
            <w:tcW w:w="81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$0</w:t>
            </w:r>
          </w:p>
        </w:tc>
        <w:tc>
          <w:tcPr>
            <w:tcW w:w="108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$0</w:t>
            </w:r>
          </w:p>
        </w:tc>
      </w:tr>
      <w:tr w:rsidR="009C3D09" w:rsidRPr="00407F44" w:rsidTr="009C3D09">
        <w:trPr>
          <w:trHeight w:val="286"/>
        </w:trPr>
        <w:tc>
          <w:tcPr>
            <w:tcW w:w="2880" w:type="dxa"/>
            <w:shd w:val="clear" w:color="auto" w:fill="auto"/>
            <w:vAlign w:val="bottom"/>
            <w:hideMark/>
          </w:tcPr>
          <w:p w:rsidR="009C3D09" w:rsidRPr="00407F44" w:rsidRDefault="009C3D09" w:rsidP="009C3D09">
            <w:pPr>
              <w:rPr>
                <w:rFonts w:ascii="Arial Narrow" w:hAnsi="Arial Narrow" w:cs="Arial"/>
                <w:sz w:val="20"/>
              </w:rPr>
            </w:pPr>
            <w:r>
              <w:rPr>
                <w:rFonts w:ascii="Arial Narrow" w:hAnsi="Arial Narrow" w:cs="Arial"/>
                <w:sz w:val="20"/>
              </w:rPr>
              <w:t>Compressed Air Dryer Controls (2012)</w:t>
            </w:r>
          </w:p>
        </w:tc>
        <w:tc>
          <w:tcPr>
            <w:tcW w:w="90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12</w:t>
            </w:r>
          </w:p>
        </w:tc>
        <w:tc>
          <w:tcPr>
            <w:tcW w:w="1089"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29</w:t>
            </w:r>
          </w:p>
        </w:tc>
        <w:tc>
          <w:tcPr>
            <w:tcW w:w="1071" w:type="dxa"/>
            <w:shd w:val="clear" w:color="auto" w:fill="auto"/>
            <w:vAlign w:val="bottom"/>
            <w:hideMark/>
          </w:tcPr>
          <w:p w:rsidR="009C3D09" w:rsidRPr="004D7E44" w:rsidRDefault="009C3D09" w:rsidP="009C3D09">
            <w:pPr>
              <w:jc w:val="right"/>
              <w:rPr>
                <w:rFonts w:ascii="Arial Narrow" w:hAnsi="Arial Narrow"/>
                <w:color w:val="000000"/>
                <w:sz w:val="20"/>
              </w:rPr>
            </w:pPr>
            <w:r w:rsidRPr="004D7E44">
              <w:rPr>
                <w:rFonts w:ascii="Arial Narrow" w:hAnsi="Arial Narrow"/>
                <w:color w:val="000000"/>
                <w:sz w:val="20"/>
              </w:rPr>
              <w:t>$2,420</w:t>
            </w:r>
          </w:p>
        </w:tc>
        <w:tc>
          <w:tcPr>
            <w:tcW w:w="810" w:type="dxa"/>
            <w:vAlign w:val="bottom"/>
          </w:tcPr>
          <w:p w:rsidR="009C3D09" w:rsidRPr="004D7E44" w:rsidRDefault="009C3D09" w:rsidP="009C3D09">
            <w:pPr>
              <w:jc w:val="right"/>
              <w:rPr>
                <w:rFonts w:ascii="Arial Narrow" w:hAnsi="Arial Narrow"/>
                <w:color w:val="000000"/>
                <w:sz w:val="20"/>
              </w:rPr>
            </w:pPr>
            <w:r w:rsidRPr="004D7E44">
              <w:rPr>
                <w:rFonts w:ascii="Arial Narrow" w:hAnsi="Arial Narrow"/>
                <w:color w:val="000000"/>
                <w:sz w:val="20"/>
              </w:rPr>
              <w:t>$500</w:t>
            </w:r>
          </w:p>
        </w:tc>
        <w:tc>
          <w:tcPr>
            <w:tcW w:w="117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$242</w:t>
            </w:r>
          </w:p>
        </w:tc>
        <w:tc>
          <w:tcPr>
            <w:tcW w:w="81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$73</w:t>
            </w:r>
          </w:p>
        </w:tc>
        <w:tc>
          <w:tcPr>
            <w:tcW w:w="1080" w:type="dxa"/>
            <w:shd w:val="clear" w:color="auto" w:fill="auto"/>
            <w:vAlign w:val="bottom"/>
            <w:hideMark/>
          </w:tcPr>
          <w:p w:rsidR="009C3D09" w:rsidRPr="00DE7058" w:rsidRDefault="009C3D09" w:rsidP="009C3D09">
            <w:pPr>
              <w:jc w:val="right"/>
              <w:rPr>
                <w:rFonts w:ascii="Arial Narrow" w:hAnsi="Arial Narrow"/>
                <w:color w:val="000000"/>
                <w:sz w:val="20"/>
              </w:rPr>
            </w:pPr>
            <w:r w:rsidRPr="00DE7058">
              <w:rPr>
                <w:rFonts w:ascii="Arial Narrow" w:hAnsi="Arial Narrow"/>
                <w:color w:val="000000"/>
                <w:sz w:val="20"/>
              </w:rPr>
              <w:t>$73</w:t>
            </w:r>
          </w:p>
        </w:tc>
      </w:tr>
    </w:tbl>
    <w:p w:rsidR="009C3D09" w:rsidRDefault="009C3D09" w:rsidP="009C3D09"/>
    <w:tbl>
      <w:tblPr>
        <w:tblW w:w="9777" w:type="dxa"/>
        <w:tblInd w:w="93" w:type="dxa"/>
        <w:tblLook w:val="04A0"/>
      </w:tblPr>
      <w:tblGrid>
        <w:gridCol w:w="4425"/>
        <w:gridCol w:w="1037"/>
        <w:gridCol w:w="951"/>
        <w:gridCol w:w="1539"/>
        <w:gridCol w:w="1825"/>
      </w:tblGrid>
      <w:tr w:rsidR="009C3D09" w:rsidRPr="00FD6123" w:rsidTr="009C3D09">
        <w:trPr>
          <w:trHeight w:val="240"/>
        </w:trPr>
        <w:tc>
          <w:tcPr>
            <w:tcW w:w="9777" w:type="dxa"/>
            <w:gridSpan w:val="5"/>
            <w:tcBorders>
              <w:top w:val="nil"/>
              <w:left w:val="nil"/>
              <w:bottom w:val="single" w:sz="8" w:space="0" w:color="auto"/>
              <w:right w:val="nil"/>
            </w:tcBorders>
            <w:shd w:val="clear" w:color="auto" w:fill="auto"/>
            <w:noWrap/>
            <w:vAlign w:val="bottom"/>
            <w:hideMark/>
          </w:tcPr>
          <w:p w:rsidR="009C3D09" w:rsidRPr="00FD6123" w:rsidRDefault="009C3D09" w:rsidP="009C3D09">
            <w:pPr>
              <w:jc w:val="center"/>
              <w:rPr>
                <w:b/>
                <w:bCs/>
                <w:color w:val="000000"/>
                <w:szCs w:val="24"/>
              </w:rPr>
            </w:pPr>
            <w:r w:rsidRPr="00F86B02">
              <w:rPr>
                <w:b/>
                <w:bCs/>
                <w:color w:val="000000"/>
                <w:szCs w:val="24"/>
              </w:rPr>
              <w:t xml:space="preserve">Table </w:t>
            </w:r>
            <w:r w:rsidR="000A75FE" w:rsidRPr="00F86B02">
              <w:rPr>
                <w:b/>
                <w:bCs/>
                <w:color w:val="000000"/>
                <w:szCs w:val="24"/>
              </w:rPr>
              <w:fldChar w:fldCharType="begin"/>
            </w:r>
            <w:r w:rsidRPr="00F86B02">
              <w:rPr>
                <w:b/>
                <w:bCs/>
                <w:color w:val="000000"/>
                <w:szCs w:val="24"/>
              </w:rPr>
              <w:instrText xml:space="preserve"> SEQ Table \* ARABIC </w:instrText>
            </w:r>
            <w:r w:rsidR="000A75FE" w:rsidRPr="00F86B02">
              <w:rPr>
                <w:b/>
                <w:bCs/>
                <w:color w:val="000000"/>
                <w:szCs w:val="24"/>
              </w:rPr>
              <w:fldChar w:fldCharType="separate"/>
            </w:r>
            <w:r w:rsidR="00D761BE">
              <w:rPr>
                <w:b/>
                <w:bCs/>
                <w:noProof/>
                <w:color w:val="000000"/>
                <w:szCs w:val="24"/>
              </w:rPr>
              <w:t>12</w:t>
            </w:r>
            <w:r w:rsidR="000A75FE" w:rsidRPr="00F86B02">
              <w:rPr>
                <w:b/>
                <w:bCs/>
                <w:color w:val="000000"/>
                <w:szCs w:val="24"/>
              </w:rPr>
              <w:fldChar w:fldCharType="end"/>
            </w:r>
            <w:r w:rsidRPr="00FD6123">
              <w:rPr>
                <w:b/>
                <w:bCs/>
                <w:color w:val="000000"/>
                <w:szCs w:val="24"/>
              </w:rPr>
              <w:t xml:space="preserve">: </w:t>
            </w:r>
            <w:r w:rsidRPr="008E4A91">
              <w:rPr>
                <w:b/>
                <w:bCs/>
                <w:color w:val="000000"/>
                <w:szCs w:val="24"/>
              </w:rPr>
              <w:t>Production Efficiency, All Years, Entire Program</w:t>
            </w:r>
          </w:p>
        </w:tc>
      </w:tr>
      <w:tr w:rsidR="009C3D09" w:rsidRPr="00FD6123" w:rsidTr="009C3D09">
        <w:trPr>
          <w:trHeight w:val="240"/>
        </w:trPr>
        <w:tc>
          <w:tcPr>
            <w:tcW w:w="4425" w:type="dxa"/>
            <w:tcBorders>
              <w:top w:val="nil"/>
              <w:left w:val="single" w:sz="8" w:space="0" w:color="auto"/>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 </w:t>
            </w:r>
          </w:p>
        </w:tc>
        <w:tc>
          <w:tcPr>
            <w:tcW w:w="1037"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Costs</w:t>
            </w:r>
          </w:p>
        </w:tc>
        <w:tc>
          <w:tcPr>
            <w:tcW w:w="951"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Benefits</w:t>
            </w:r>
          </w:p>
        </w:tc>
        <w:tc>
          <w:tcPr>
            <w:tcW w:w="1539"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Net Benefits</w:t>
            </w:r>
          </w:p>
        </w:tc>
        <w:tc>
          <w:tcPr>
            <w:tcW w:w="1825" w:type="dxa"/>
            <w:tcBorders>
              <w:top w:val="nil"/>
              <w:left w:val="nil"/>
              <w:bottom w:val="single" w:sz="8" w:space="0" w:color="auto"/>
              <w:right w:val="single" w:sz="8" w:space="0" w:color="auto"/>
            </w:tcBorders>
            <w:shd w:val="clear" w:color="000000" w:fill="339966"/>
            <w:noWrap/>
            <w:hideMark/>
          </w:tcPr>
          <w:p w:rsidR="009C3D09" w:rsidRPr="00FD6123" w:rsidRDefault="009C3D09" w:rsidP="009C3D09">
            <w:pPr>
              <w:jc w:val="center"/>
              <w:rPr>
                <w:rFonts w:ascii="Arial Narrow" w:hAnsi="Arial Narrow"/>
                <w:b/>
                <w:bCs/>
                <w:color w:val="FFFFFF"/>
                <w:sz w:val="20"/>
              </w:rPr>
            </w:pPr>
            <w:r w:rsidRPr="00FD6123">
              <w:rPr>
                <w:rFonts w:ascii="Arial Narrow" w:hAnsi="Arial Narrow"/>
                <w:b/>
                <w:bCs/>
                <w:color w:val="FFFFFF"/>
                <w:sz w:val="20"/>
              </w:rPr>
              <w:t xml:space="preserve"> Benefit/ Cost Ratio </w:t>
            </w:r>
          </w:p>
        </w:tc>
      </w:tr>
      <w:tr w:rsidR="009C3D09" w:rsidRPr="00FD6123" w:rsidTr="009C3D09">
        <w:trPr>
          <w:trHeight w:val="240"/>
        </w:trPr>
        <w:tc>
          <w:tcPr>
            <w:tcW w:w="4425" w:type="dxa"/>
            <w:tcBorders>
              <w:top w:val="nil"/>
              <w:left w:val="single" w:sz="8" w:space="0" w:color="auto"/>
              <w:bottom w:val="single" w:sz="8" w:space="0" w:color="auto"/>
              <w:right w:val="single" w:sz="8" w:space="0" w:color="auto"/>
            </w:tcBorders>
            <w:shd w:val="clear" w:color="auto" w:fill="auto"/>
            <w:hideMark/>
          </w:tcPr>
          <w:p w:rsidR="009C3D09" w:rsidRDefault="009C3D09" w:rsidP="009C3D09">
            <w:pPr>
              <w:rPr>
                <w:rFonts w:ascii="Arial Narrow" w:hAnsi="Arial Narrow"/>
                <w:color w:val="000000"/>
                <w:sz w:val="20"/>
              </w:rPr>
            </w:pPr>
            <w:r>
              <w:rPr>
                <w:rFonts w:ascii="Arial Narrow" w:hAnsi="Arial Narrow"/>
                <w:color w:val="000000"/>
                <w:sz w:val="20"/>
              </w:rPr>
              <w:t>Total Resource Cost Test (PTRC) + Conservation Adder</w:t>
            </w:r>
          </w:p>
        </w:tc>
        <w:tc>
          <w:tcPr>
            <w:tcW w:w="1037"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$152,252 </w:t>
            </w:r>
          </w:p>
        </w:tc>
        <w:tc>
          <w:tcPr>
            <w:tcW w:w="951"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$222,047 </w:t>
            </w:r>
          </w:p>
        </w:tc>
        <w:tc>
          <w:tcPr>
            <w:tcW w:w="1539"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$69,795 </w:t>
            </w:r>
          </w:p>
        </w:tc>
        <w:tc>
          <w:tcPr>
            <w:tcW w:w="1825"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                            1.46 </w:t>
            </w:r>
          </w:p>
        </w:tc>
      </w:tr>
      <w:tr w:rsidR="009C3D09" w:rsidRPr="00FD6123" w:rsidTr="009C3D09">
        <w:trPr>
          <w:trHeight w:val="240"/>
        </w:trPr>
        <w:tc>
          <w:tcPr>
            <w:tcW w:w="4425" w:type="dxa"/>
            <w:tcBorders>
              <w:top w:val="nil"/>
              <w:left w:val="single" w:sz="8" w:space="0" w:color="auto"/>
              <w:bottom w:val="single" w:sz="8" w:space="0" w:color="auto"/>
              <w:right w:val="single" w:sz="8" w:space="0" w:color="auto"/>
            </w:tcBorders>
            <w:shd w:val="clear" w:color="auto" w:fill="auto"/>
            <w:hideMark/>
          </w:tcPr>
          <w:p w:rsidR="009C3D09" w:rsidRDefault="009C3D09" w:rsidP="009C3D09">
            <w:pPr>
              <w:rPr>
                <w:rFonts w:ascii="Arial Narrow" w:hAnsi="Arial Narrow"/>
                <w:color w:val="000000"/>
                <w:sz w:val="20"/>
              </w:rPr>
            </w:pPr>
            <w:r>
              <w:rPr>
                <w:rFonts w:ascii="Arial Narrow" w:hAnsi="Arial Narrow"/>
                <w:color w:val="000000"/>
                <w:sz w:val="20"/>
              </w:rPr>
              <w:t>Total Resource Cost Test (TRC) No Adder</w:t>
            </w:r>
          </w:p>
        </w:tc>
        <w:tc>
          <w:tcPr>
            <w:tcW w:w="1037"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$152,252 </w:t>
            </w:r>
          </w:p>
        </w:tc>
        <w:tc>
          <w:tcPr>
            <w:tcW w:w="951"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$201,861 </w:t>
            </w:r>
          </w:p>
        </w:tc>
        <w:tc>
          <w:tcPr>
            <w:tcW w:w="1539"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$49,609 </w:t>
            </w:r>
          </w:p>
        </w:tc>
        <w:tc>
          <w:tcPr>
            <w:tcW w:w="1825"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                            1.33 </w:t>
            </w:r>
          </w:p>
        </w:tc>
      </w:tr>
      <w:tr w:rsidR="009C3D09" w:rsidRPr="00FD6123" w:rsidTr="009C3D09">
        <w:trPr>
          <w:trHeight w:val="240"/>
        </w:trPr>
        <w:tc>
          <w:tcPr>
            <w:tcW w:w="4425" w:type="dxa"/>
            <w:tcBorders>
              <w:top w:val="nil"/>
              <w:left w:val="single" w:sz="8" w:space="0" w:color="auto"/>
              <w:bottom w:val="single" w:sz="8" w:space="0" w:color="auto"/>
              <w:right w:val="single" w:sz="8" w:space="0" w:color="auto"/>
            </w:tcBorders>
            <w:shd w:val="clear" w:color="auto" w:fill="auto"/>
            <w:hideMark/>
          </w:tcPr>
          <w:p w:rsidR="009C3D09" w:rsidRDefault="009C3D09" w:rsidP="009C3D09">
            <w:pPr>
              <w:rPr>
                <w:rFonts w:ascii="Arial Narrow" w:hAnsi="Arial Narrow"/>
                <w:color w:val="000000"/>
                <w:sz w:val="20"/>
              </w:rPr>
            </w:pPr>
            <w:r>
              <w:rPr>
                <w:rFonts w:ascii="Arial Narrow" w:hAnsi="Arial Narrow"/>
                <w:color w:val="000000"/>
                <w:sz w:val="20"/>
              </w:rPr>
              <w:t>Utility Cost Test (UCT)</w:t>
            </w:r>
          </w:p>
        </w:tc>
        <w:tc>
          <w:tcPr>
            <w:tcW w:w="1037"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$152,252 </w:t>
            </w:r>
          </w:p>
        </w:tc>
        <w:tc>
          <w:tcPr>
            <w:tcW w:w="951"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$201,861 </w:t>
            </w:r>
          </w:p>
        </w:tc>
        <w:tc>
          <w:tcPr>
            <w:tcW w:w="1539"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$49,609 </w:t>
            </w:r>
          </w:p>
        </w:tc>
        <w:tc>
          <w:tcPr>
            <w:tcW w:w="1825" w:type="dxa"/>
            <w:tcBorders>
              <w:top w:val="nil"/>
              <w:left w:val="nil"/>
              <w:bottom w:val="single" w:sz="8" w:space="0" w:color="auto"/>
              <w:right w:val="single" w:sz="8" w:space="0" w:color="auto"/>
            </w:tcBorders>
            <w:shd w:val="clear" w:color="auto" w:fill="auto"/>
            <w:noWrap/>
            <w:hideMark/>
          </w:tcPr>
          <w:p w:rsidR="009C3D09" w:rsidRDefault="009C3D09" w:rsidP="009C3D09">
            <w:pPr>
              <w:jc w:val="right"/>
              <w:rPr>
                <w:rFonts w:ascii="Arial Narrow" w:hAnsi="Arial Narrow"/>
                <w:color w:val="000000"/>
                <w:sz w:val="20"/>
              </w:rPr>
            </w:pPr>
            <w:r>
              <w:rPr>
                <w:rFonts w:ascii="Arial Narrow" w:hAnsi="Arial Narrow"/>
                <w:color w:val="000000"/>
                <w:sz w:val="20"/>
              </w:rPr>
              <w:t xml:space="preserve">                            1.33 </w:t>
            </w:r>
          </w:p>
        </w:tc>
      </w:tr>
    </w:tbl>
    <w:p w:rsidR="009C3D09" w:rsidRDefault="009C3D09" w:rsidP="000757FC">
      <w:pPr>
        <w:pStyle w:val="memoaddress"/>
      </w:pPr>
    </w:p>
    <w:sectPr w:rsidR="009C3D09" w:rsidSect="001B376C">
      <w:headerReference w:type="default" r:id="rId68"/>
      <w:type w:val="continuous"/>
      <w:pgSz w:w="12240" w:h="15840" w:code="1"/>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C6" w:rsidRDefault="000859C6" w:rsidP="00860484">
      <w:r>
        <w:separator/>
      </w:r>
    </w:p>
  </w:endnote>
  <w:endnote w:type="continuationSeparator" w:id="0">
    <w:p w:rsidR="000859C6" w:rsidRDefault="000859C6" w:rsidP="008604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pPr>
      <w:pStyle w:val="Footer"/>
      <w:jc w:val="right"/>
    </w:pPr>
  </w:p>
  <w:p w:rsidR="00AA5552" w:rsidRDefault="00AA555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140099">
    <w:pPr>
      <w:pStyle w:val="Footer"/>
      <w:pBdr>
        <w:bottom w:val="single" w:sz="6" w:space="0" w:color="auto"/>
      </w:pBdr>
      <w:tabs>
        <w:tab w:val="clear" w:pos="4680"/>
      </w:tabs>
      <w:ind w:left="900" w:hanging="900"/>
      <w:jc w:val="center"/>
      <w:rPr>
        <w:rFonts w:ascii="Arial" w:hAnsi="Arial" w:cs="Arial"/>
        <w:sz w:val="20"/>
      </w:rPr>
    </w:pPr>
  </w:p>
  <w:p w:rsidR="00AA5552" w:rsidRDefault="00AA5552" w:rsidP="0014009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14009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14009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14009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740160"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1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3606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140099">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743232"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15"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42208"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1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41184"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1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391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381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370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3504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rsidP="00140099">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AA5552" w:rsidRPr="006C2321" w:rsidRDefault="00AA5552" w:rsidP="006C2321">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28421"/>
      <w:docPartObj>
        <w:docPartGallery w:val="Page Numbers (Bottom of Page)"/>
        <w:docPartUnique/>
      </w:docPartObj>
    </w:sdtPr>
    <w:sdtContent>
      <w:p w:rsidR="00AA5552" w:rsidRDefault="000A75FE">
        <w:pPr>
          <w:pStyle w:val="Footer"/>
          <w:jc w:val="right"/>
        </w:pPr>
        <w:fldSimple w:instr=" PAGE   \* MERGEFORMAT ">
          <w:r w:rsidR="00902FCB">
            <w:rPr>
              <w:noProof/>
            </w:rPr>
            <w:t>88</w:t>
          </w:r>
        </w:fldSimple>
      </w:p>
    </w:sdtContent>
  </w:sdt>
  <w:p w:rsidR="00AA5552" w:rsidRPr="000F2169" w:rsidRDefault="00AA5552" w:rsidP="000F2169">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4A79FF" w:rsidRDefault="00AA5552" w:rsidP="004A79FF">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140099">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AA5552" w:rsidRDefault="00AA5552" w:rsidP="00140099">
    <w:pPr>
      <w:pStyle w:val="Footer"/>
      <w:pBdr>
        <w:bottom w:val="single" w:sz="6" w:space="0" w:color="auto"/>
      </w:pBdr>
      <w:tabs>
        <w:tab w:val="clear" w:pos="4680"/>
      </w:tabs>
      <w:ind w:left="900" w:hanging="900"/>
      <w:jc w:val="center"/>
      <w:rPr>
        <w:rFonts w:ascii="Arial" w:hAnsi="Arial" w:cs="Arial"/>
        <w:sz w:val="20"/>
      </w:rPr>
    </w:pPr>
  </w:p>
  <w:p w:rsidR="00AA5552" w:rsidRDefault="00AA5552" w:rsidP="0014009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14009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14009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14009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75347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4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4937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4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140099">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75654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42"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5552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4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5449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5244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4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5142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4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5040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4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4835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4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rsidP="00140099">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AA5552" w:rsidRPr="004A79FF" w:rsidRDefault="00AA5552" w:rsidP="004A79FF">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4A79FF" w:rsidRDefault="00AA5552" w:rsidP="004A79FF">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C06AAC">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AA5552" w:rsidRDefault="00AA5552" w:rsidP="00C06AAC">
    <w:pPr>
      <w:pStyle w:val="Footer"/>
      <w:pBdr>
        <w:bottom w:val="single" w:sz="6" w:space="0" w:color="auto"/>
      </w:pBdr>
      <w:tabs>
        <w:tab w:val="clear" w:pos="4680"/>
      </w:tabs>
      <w:ind w:left="900" w:hanging="900"/>
      <w:jc w:val="center"/>
      <w:rPr>
        <w:rFonts w:ascii="Arial" w:hAnsi="Arial" w:cs="Arial"/>
        <w:sz w:val="20"/>
      </w:rPr>
    </w:pPr>
  </w:p>
  <w:p w:rsidR="00AA5552" w:rsidRDefault="00AA5552" w:rsidP="00C06AA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C06AA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C06AAC">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C06AAC">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777024"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8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292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8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C06AAC">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780096"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87"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9072"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8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8048"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8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600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9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497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91"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395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9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7190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9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rsidP="00C06AA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AA5552" w:rsidRPr="004A79FF" w:rsidRDefault="00AA5552" w:rsidP="004A79F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C06AAC">
    <w:pPr>
      <w:pStyle w:val="Footer"/>
      <w:pBdr>
        <w:bottom w:val="single" w:sz="6" w:space="0" w:color="auto"/>
      </w:pBdr>
      <w:tabs>
        <w:tab w:val="clear" w:pos="4680"/>
      </w:tabs>
      <w:ind w:left="900" w:hanging="900"/>
      <w:jc w:val="center"/>
      <w:rPr>
        <w:rFonts w:ascii="Arial" w:hAnsi="Arial" w:cs="Arial"/>
        <w:sz w:val="20"/>
      </w:rPr>
    </w:pPr>
  </w:p>
  <w:p w:rsidR="00AA5552" w:rsidRDefault="00AA5552" w:rsidP="00C06AA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C06AA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C06AAC">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C06AAC">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787264"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9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31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9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C06AAC">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790336"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196"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9312"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9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8288"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98"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624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9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521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0"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41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1"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7821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02"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rsidP="00C06AA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AA5552" w:rsidRPr="004A79FF" w:rsidRDefault="00AA5552" w:rsidP="004A79FF">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FB1652">
    <w:pPr>
      <w:pStyle w:val="Footer"/>
      <w:pBdr>
        <w:bottom w:val="single" w:sz="6" w:space="0" w:color="auto"/>
      </w:pBdr>
      <w:tabs>
        <w:tab w:val="clear" w:pos="4680"/>
      </w:tabs>
      <w:ind w:left="900" w:hanging="900"/>
      <w:jc w:val="center"/>
      <w:rPr>
        <w:rFonts w:ascii="Arial" w:hAnsi="Arial" w:cs="Arial"/>
        <w:sz w:val="20"/>
      </w:rPr>
    </w:pPr>
  </w:p>
  <w:p w:rsidR="00AA5552" w:rsidRDefault="00AA5552" w:rsidP="00FB165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FB1652">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FB1652">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FB1652">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8190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26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149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6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FB1652">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822080"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68"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210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269"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200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27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179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7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169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72"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159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73"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138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74"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rsidP="00FB1652">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AA5552" w:rsidRPr="004A79FF" w:rsidRDefault="00AA5552" w:rsidP="004A79FF">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A0" w:rsidRPr="00D628A0" w:rsidRDefault="00D628A0" w:rsidP="00D62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28416"/>
      <w:docPartObj>
        <w:docPartGallery w:val="Page Numbers (Bottom of Page)"/>
        <w:docPartUnique/>
      </w:docPartObj>
    </w:sdtPr>
    <w:sdtContent>
      <w:p w:rsidR="00AA5552" w:rsidRDefault="000A75FE">
        <w:pPr>
          <w:pStyle w:val="Footer"/>
          <w:jc w:val="right"/>
        </w:pPr>
        <w:fldSimple w:instr=" PAGE   \* MERGEFORMAT ">
          <w:r w:rsidR="00902FCB">
            <w:rPr>
              <w:noProof/>
            </w:rPr>
            <w:t>1</w:t>
          </w:r>
        </w:fldSimple>
      </w:p>
    </w:sdtContent>
  </w:sdt>
  <w:p w:rsidR="00AA5552" w:rsidRDefault="00AA5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CB" w:rsidRDefault="00902F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9C6DA0">
    <w:pPr>
      <w:pStyle w:val="Footer"/>
    </w:pPr>
  </w:p>
  <w:p w:rsidR="00AA5552" w:rsidRDefault="00AA5552" w:rsidP="009C6DA0">
    <w:pPr>
      <w:pStyle w:val="Footer"/>
      <w:pBdr>
        <w:bottom w:val="single" w:sz="6" w:space="0" w:color="auto"/>
      </w:pBdr>
      <w:tabs>
        <w:tab w:val="clear" w:pos="4680"/>
      </w:tabs>
      <w:ind w:left="900" w:hanging="900"/>
      <w:jc w:val="center"/>
      <w:rPr>
        <w:rFonts w:ascii="Arial" w:hAnsi="Arial" w:cs="Arial"/>
        <w:sz w:val="20"/>
      </w:rPr>
    </w:pPr>
  </w:p>
  <w:p w:rsidR="00AA5552" w:rsidRDefault="00AA5552" w:rsidP="009C6DA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9C6DA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9C6DA0">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9C6DA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864064"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599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9C6DA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867136"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5"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66112"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2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65088"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2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6304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6201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609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589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rsidP="009C6DA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AA5552" w:rsidRDefault="00AA555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9C6DA0" w:rsidRDefault="00AA5552" w:rsidP="009C6DA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9C6DA0" w:rsidRDefault="00AA5552" w:rsidP="009C6DA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D822B6" w:rsidRDefault="00AA5552" w:rsidP="00D822B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7D281E">
    <w:pPr>
      <w:pStyle w:val="Footer"/>
      <w:pBdr>
        <w:bottom w:val="single" w:sz="6" w:space="0" w:color="auto"/>
      </w:pBdr>
      <w:tabs>
        <w:tab w:val="clear" w:pos="4680"/>
      </w:tabs>
      <w:rPr>
        <w:rFonts w:ascii="Arial" w:hAnsi="Arial" w:cs="Arial"/>
        <w:sz w:val="20"/>
      </w:rPr>
    </w:pPr>
  </w:p>
  <w:p w:rsidR="00AA5552" w:rsidRDefault="00AA5552" w:rsidP="007D281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7D281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7D281E">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7D281E">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847680"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6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35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7D281E">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850752"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68"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9728"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69"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8704"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7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665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563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2"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460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3"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425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4"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Default="00AA5552">
    <w:pPr>
      <w:pStyle w:val="Footer"/>
      <w:jc w:val="right"/>
    </w:pPr>
  </w:p>
  <w:p w:rsidR="00AA5552" w:rsidRDefault="00AA555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D822B6">
    <w:pPr>
      <w:pStyle w:val="Footer"/>
      <w:pBdr>
        <w:bottom w:val="single" w:sz="6" w:space="0" w:color="auto"/>
      </w:pBdr>
      <w:tabs>
        <w:tab w:val="clear" w:pos="4680"/>
      </w:tabs>
      <w:rPr>
        <w:rFonts w:ascii="Arial" w:hAnsi="Arial" w:cs="Arial"/>
        <w:sz w:val="20"/>
      </w:rPr>
    </w:pPr>
  </w:p>
  <w:p w:rsidR="00AA5552" w:rsidRDefault="00AA5552" w:rsidP="00D822B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13, 2011</w:t>
    </w:r>
    <w:r>
      <w:rPr>
        <w:rFonts w:ascii="Arial" w:hAnsi="Arial" w:cs="Arial"/>
        <w:sz w:val="20"/>
      </w:rPr>
      <w:tab/>
    </w:r>
    <w:r>
      <w:rPr>
        <w:rFonts w:ascii="Arial" w:hAnsi="Arial" w:cs="Arial"/>
        <w:b/>
        <w:sz w:val="20"/>
      </w:rPr>
      <w:t>Effective:</w:t>
    </w:r>
    <w:r>
      <w:rPr>
        <w:rFonts w:ascii="Arial" w:hAnsi="Arial" w:cs="Arial"/>
        <w:sz w:val="20"/>
      </w:rPr>
      <w:t xml:space="preserve"> June 13, 2011</w:t>
    </w:r>
  </w:p>
  <w:p w:rsidR="00AA5552" w:rsidRDefault="00AA5552" w:rsidP="00D822B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AA5552" w:rsidRDefault="00AA5552" w:rsidP="00D822B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AA5552" w:rsidRDefault="00AA5552" w:rsidP="00D822B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89273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5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8864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5552" w:rsidRPr="004043D5" w:rsidRDefault="00AA5552" w:rsidP="00D822B6">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895808"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6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9478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62"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9376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63"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917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5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906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5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8966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5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88761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5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AA5552" w:rsidRPr="00FC7F1C" w:rsidRDefault="00AA5552" w:rsidP="00FC7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C6" w:rsidRDefault="000859C6" w:rsidP="00860484">
      <w:r>
        <w:separator/>
      </w:r>
    </w:p>
  </w:footnote>
  <w:footnote w:type="continuationSeparator" w:id="0">
    <w:p w:rsidR="000859C6" w:rsidRDefault="000859C6" w:rsidP="00860484">
      <w:r>
        <w:continuationSeparator/>
      </w:r>
    </w:p>
  </w:footnote>
  <w:footnote w:id="1">
    <w:p w:rsidR="00AA5552" w:rsidRPr="00EB5D1F" w:rsidRDefault="00AA5552" w:rsidP="00613158">
      <w:pPr>
        <w:pStyle w:val="FootnoteText"/>
        <w:rPr>
          <w:rFonts w:ascii="Times New Roman" w:hAnsi="Times New Roman"/>
        </w:rPr>
      </w:pPr>
      <w:r w:rsidRPr="00A468A6">
        <w:rPr>
          <w:rStyle w:val="FootnoteReference"/>
          <w:rFonts w:ascii="Times New Roman" w:hAnsi="Times New Roman"/>
        </w:rPr>
        <w:footnoteRef/>
      </w:r>
      <w:r w:rsidRPr="00A468A6">
        <w:rPr>
          <w:rFonts w:ascii="Times New Roman" w:hAnsi="Times New Roman"/>
        </w:rPr>
        <w:t xml:space="preserve"> Final evaluation reports are available</w:t>
      </w:r>
      <w:r>
        <w:rPr>
          <w:rFonts w:ascii="Times New Roman" w:hAnsi="Times New Roman"/>
        </w:rPr>
        <w:t xml:space="preserve"> at</w:t>
      </w:r>
      <w:r w:rsidRPr="00A468A6">
        <w:rPr>
          <w:rFonts w:ascii="Times New Roman" w:hAnsi="Times New Roman"/>
        </w:rPr>
        <w:t xml:space="preserve"> the Company’s website: </w:t>
      </w:r>
      <w:hyperlink r:id="rId1" w:history="1">
        <w:r w:rsidRPr="00A468A6">
          <w:rPr>
            <w:rStyle w:val="Hyperlink"/>
            <w:rFonts w:ascii="Times New Roman" w:hAnsi="Times New Roman"/>
          </w:rPr>
          <w:t>http://www.pacificorp.com/es/dsm/washington.html</w:t>
        </w:r>
      </w:hyperlink>
      <w:r w:rsidRPr="00A468A6">
        <w:rPr>
          <w:rFonts w:ascii="Times New Roman" w:hAnsi="Times New Roman"/>
        </w:rPr>
        <w:t>.</w:t>
      </w:r>
    </w:p>
  </w:footnote>
  <w:footnote w:id="2">
    <w:p w:rsidR="00AA5552" w:rsidRDefault="00AA5552" w:rsidP="00466BCC">
      <w:pPr>
        <w:pStyle w:val="FootnoteText"/>
        <w:jc w:val="both"/>
        <w:rPr>
          <w:rFonts w:ascii="Times New Roman" w:hAnsi="Times New Roman"/>
        </w:rPr>
      </w:pPr>
      <w:r w:rsidRPr="0049463B">
        <w:rPr>
          <w:rStyle w:val="FootnoteReference"/>
          <w:rFonts w:ascii="Times New Roman" w:hAnsi="Times New Roman"/>
        </w:rPr>
        <w:footnoteRef/>
      </w:r>
      <w:r w:rsidRPr="0049463B">
        <w:rPr>
          <w:rFonts w:ascii="Times New Roman" w:hAnsi="Times New Roman"/>
        </w:rPr>
        <w:t xml:space="preserve"> Prior to October 2000, the program offered energy efficiency funding repaid with interest on the customer’s electric bill.</w:t>
      </w:r>
    </w:p>
  </w:footnote>
  <w:footnote w:id="3">
    <w:p w:rsidR="00AA5552" w:rsidRDefault="00AA5552">
      <w:pPr>
        <w:pStyle w:val="FootnoteText"/>
        <w:jc w:val="both"/>
        <w:rPr>
          <w:rFonts w:ascii="Times New Roman" w:hAnsi="Times New Roman"/>
        </w:rPr>
      </w:pPr>
      <w:r w:rsidRPr="002940D7">
        <w:rPr>
          <w:rStyle w:val="FootnoteReference"/>
          <w:rFonts w:ascii="Arial" w:hAnsi="Arial" w:cs="Arial"/>
        </w:rPr>
        <w:footnoteRef/>
      </w:r>
      <w:r w:rsidRPr="002940D7">
        <w:rPr>
          <w:rFonts w:ascii="Arial" w:hAnsi="Arial" w:cs="Arial"/>
        </w:rPr>
        <w:t xml:space="preserve"> </w:t>
      </w:r>
      <w:r w:rsidRPr="0049463B">
        <w:rPr>
          <w:rFonts w:ascii="Times New Roman" w:hAnsi="Times New Roman"/>
        </w:rPr>
        <w:t>Note there are no incentive caps for new construction design assistance projects.</w:t>
      </w:r>
    </w:p>
  </w:footnote>
  <w:footnote w:id="4">
    <w:p w:rsidR="00AA5552" w:rsidRDefault="00AA5552">
      <w:pPr>
        <w:pStyle w:val="FootnoteText"/>
      </w:pPr>
      <w:r>
        <w:rPr>
          <w:rStyle w:val="FootnoteReference"/>
        </w:rPr>
        <w:footnoteRef/>
      </w:r>
      <w:r>
        <w:t xml:space="preserve"> Low Income Weatherization, Refrigerator Recycling, Home Energy Savings, Energy FinAnswer, FinAnswer Express</w:t>
      </w:r>
    </w:p>
  </w:footnote>
  <w:footnote w:id="5">
    <w:p w:rsidR="00AA5552" w:rsidRDefault="00AA5552">
      <w:pPr>
        <w:pStyle w:val="FootnoteText"/>
      </w:pPr>
      <w:r>
        <w:rPr>
          <w:rStyle w:val="FootnoteReference"/>
        </w:rPr>
        <w:footnoteRef/>
      </w:r>
      <w:r>
        <w:t xml:space="preserve"> NEEA, Production Effi</w:t>
      </w:r>
      <w:r w:rsidR="000757FC">
        <w:t>ciency, Distribution Efficiency</w:t>
      </w:r>
    </w:p>
  </w:footnote>
  <w:footnote w:id="6">
    <w:p w:rsidR="00AA5552" w:rsidRDefault="00AA5552" w:rsidP="009C3D09">
      <w:pPr>
        <w:pStyle w:val="FootnoteText"/>
      </w:pPr>
      <w:r>
        <w:rPr>
          <w:rStyle w:val="FootnoteReference"/>
        </w:rPr>
        <w:footnoteRef/>
      </w:r>
      <w:r>
        <w:t xml:space="preserve"> </w:t>
      </w:r>
      <w:proofErr w:type="gramStart"/>
      <w:r>
        <w:t>Used to escalate future year energy rates.</w:t>
      </w:r>
      <w:proofErr w:type="gramEnd"/>
    </w:p>
  </w:footnote>
  <w:footnote w:id="7">
    <w:p w:rsidR="00AA5552" w:rsidRDefault="00AA5552" w:rsidP="009C3D09">
      <w:pPr>
        <w:pStyle w:val="FootnoteText"/>
      </w:pPr>
      <w:r>
        <w:rPr>
          <w:rStyle w:val="FootnoteReference"/>
        </w:rPr>
        <w:footnoteRef/>
      </w:r>
      <w:r>
        <w:t xml:space="preserve"> Used to escalate future year energy rates.</w:t>
      </w:r>
    </w:p>
  </w:footnote>
  <w:footnote w:id="8">
    <w:p w:rsidR="00AA5552" w:rsidRDefault="00AA5552" w:rsidP="000E5724">
      <w:pPr>
        <w:pStyle w:val="FootnoteText"/>
      </w:pPr>
      <w:r>
        <w:rPr>
          <w:rStyle w:val="FootnoteReference"/>
        </w:rPr>
        <w:footnoteRef/>
      </w:r>
      <w:r>
        <w:t xml:space="preserve"> Used to escalate future year energy rates.</w:t>
      </w:r>
    </w:p>
  </w:footnote>
  <w:footnote w:id="9">
    <w:p w:rsidR="00AA5552" w:rsidRDefault="00AA5552" w:rsidP="000E5724">
      <w:pPr>
        <w:pStyle w:val="FootnoteText"/>
      </w:pPr>
      <w:r>
        <w:rPr>
          <w:rStyle w:val="FootnoteReference"/>
        </w:rPr>
        <w:footnoteRef/>
      </w:r>
      <w:r>
        <w:t xml:space="preserve"> Benefits have been adjusted for net-to-gross.</w:t>
      </w:r>
    </w:p>
  </w:footnote>
  <w:footnote w:id="10">
    <w:p w:rsidR="00AA5552" w:rsidRDefault="00AA5552" w:rsidP="009C3D09">
      <w:pPr>
        <w:pStyle w:val="FootnoteText"/>
      </w:pPr>
      <w:r>
        <w:rPr>
          <w:rStyle w:val="FootnoteReference"/>
        </w:rPr>
        <w:footnoteRef/>
      </w:r>
      <w:r>
        <w:t xml:space="preserve"> Used to escalate future year energy rates.</w:t>
      </w:r>
    </w:p>
  </w:footnote>
  <w:footnote w:id="11">
    <w:p w:rsidR="00AA5552" w:rsidRDefault="00AA5552" w:rsidP="009C3D09">
      <w:pPr>
        <w:pStyle w:val="FootnoteText"/>
      </w:pPr>
      <w:r>
        <w:rPr>
          <w:rStyle w:val="FootnoteReference"/>
        </w:rPr>
        <w:footnoteRef/>
      </w:r>
      <w:r>
        <w:t xml:space="preserve"> Used to escalate future year energy rates.</w:t>
      </w:r>
    </w:p>
  </w:footnote>
  <w:footnote w:id="12">
    <w:p w:rsidR="00AA5552" w:rsidRDefault="00AA5552" w:rsidP="009C3D09">
      <w:pPr>
        <w:pStyle w:val="FootnoteText"/>
      </w:pPr>
      <w:r>
        <w:rPr>
          <w:rStyle w:val="FootnoteReference"/>
        </w:rPr>
        <w:footnoteRef/>
      </w:r>
      <w:r>
        <w:t xml:space="preserve"> Used to escalate future year energy rates.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CB" w:rsidRDefault="00902FC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1D5162" w:rsidRDefault="000A75FE" w:rsidP="00D822B6">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21" o:spid="_x0000_s2073" type="#_x0000_t32" style="position:absolute;margin-left:381.75pt;margin-top:-19.45pt;width:0;height:114.75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XyIAIAAD4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"/>
      </w:pict>
    </w:r>
    <w:r w:rsidRPr="000A75FE">
      <w:rPr>
        <w:rFonts w:ascii="Courier New" w:hAnsi="Courier New"/>
        <w:noProof/>
        <w:sz w:val="18"/>
        <w:szCs w:val="20"/>
      </w:rPr>
      <w:pict>
        <v:shape id="AutoShape 22" o:spid="_x0000_s2074" type="#_x0000_t32" style="position:absolute;margin-left:381.75pt;margin-top:-5.65pt;width:0;height:114.7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LeHwIAAD4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"/>
      </w:pict>
    </w:r>
    <w:r w:rsidR="00AA5552">
      <w:rPr>
        <w:rFonts w:ascii="Arial" w:hAnsi="Arial" w:cs="Arial"/>
        <w:b/>
        <w:noProof/>
        <w:sz w:val="24"/>
        <w:szCs w:val="24"/>
      </w:rPr>
      <w:t>PACIFIC POWER &amp; LIGHT COMPANY</w:t>
    </w:r>
  </w:p>
  <w:p w:rsidR="00AA5552" w:rsidRDefault="00AA5552" w:rsidP="00D822B6">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D822B6">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D822B6">
    <w:pPr>
      <w:tabs>
        <w:tab w:val="left" w:pos="7200"/>
      </w:tabs>
      <w:ind w:right="2160"/>
      <w:jc w:val="right"/>
      <w:rPr>
        <w:rFonts w:ascii="Arial" w:hAnsi="Arial" w:cs="Arial"/>
        <w:sz w:val="20"/>
      </w:rPr>
    </w:pPr>
  </w:p>
  <w:p w:rsidR="00AA5552" w:rsidRDefault="00AA5552" w:rsidP="00D822B6">
    <w:pPr>
      <w:tabs>
        <w:tab w:val="left" w:pos="7200"/>
      </w:tabs>
      <w:ind w:right="2160"/>
      <w:jc w:val="right"/>
      <w:rPr>
        <w:rFonts w:ascii="Arial" w:hAnsi="Arial" w:cs="Arial"/>
        <w:sz w:val="20"/>
      </w:rPr>
    </w:pPr>
    <w:r>
      <w:rPr>
        <w:rFonts w:ascii="Arial" w:hAnsi="Arial" w:cs="Arial"/>
        <w:sz w:val="20"/>
      </w:rPr>
      <w:t>Original Sheet No. 114.2</w:t>
    </w:r>
  </w:p>
  <w:p w:rsidR="00AA5552" w:rsidRDefault="00AA5552" w:rsidP="00D822B6">
    <w:pPr>
      <w:rPr>
        <w:rFonts w:ascii="Arial" w:hAnsi="Arial" w:cs="Arial"/>
        <w:sz w:val="20"/>
      </w:rPr>
    </w:pPr>
    <w:r>
      <w:rPr>
        <w:rFonts w:ascii="Arial" w:hAnsi="Arial" w:cs="Arial"/>
        <w:sz w:val="20"/>
      </w:rPr>
      <w:tab/>
    </w:r>
  </w:p>
  <w:p w:rsidR="00AA5552" w:rsidRPr="00CF64E6" w:rsidRDefault="00AA5552" w:rsidP="00D822B6">
    <w:pPr>
      <w:tabs>
        <w:tab w:val="left" w:pos="7200"/>
      </w:tabs>
      <w:ind w:right="2160"/>
      <w:rPr>
        <w:rFonts w:ascii="Arial" w:hAnsi="Arial" w:cs="Arial"/>
        <w:b/>
        <w:sz w:val="24"/>
        <w:szCs w:val="24"/>
      </w:rPr>
    </w:pPr>
    <w:r>
      <w:rPr>
        <w:rFonts w:ascii="Arial" w:hAnsi="Arial" w:cs="Arial"/>
        <w:b/>
        <w:sz w:val="24"/>
        <w:szCs w:val="24"/>
      </w:rPr>
      <w:t>Schedule 114</w:t>
    </w:r>
  </w:p>
  <w:p w:rsidR="00AA5552" w:rsidRDefault="00AA5552" w:rsidP="00D822B6">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AA5552" w:rsidRDefault="00AA5552" w:rsidP="00D822B6">
    <w:pPr>
      <w:pBdr>
        <w:bottom w:val="single" w:sz="12" w:space="1" w:color="auto"/>
      </w:pBdr>
      <w:rPr>
        <w:rFonts w:ascii="Arial" w:hAnsi="Arial" w:cs="Arial"/>
        <w:b/>
        <w:sz w:val="20"/>
      </w:rPr>
    </w:pPr>
    <w:r>
      <w:rPr>
        <w:rFonts w:ascii="Arial" w:hAnsi="Arial" w:cs="Arial"/>
        <w:b/>
        <w:sz w:val="20"/>
      </w:rPr>
      <w:t>LOW INCOME CUSTOMERS</w:t>
    </w:r>
  </w:p>
  <w:p w:rsidR="00AA5552" w:rsidRPr="00735A6B" w:rsidRDefault="00AA5552" w:rsidP="00735A6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1D5162" w:rsidRDefault="000A75FE" w:rsidP="00D822B6">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_x0000_s2075" type="#_x0000_t32" style="position:absolute;margin-left:381.75pt;margin-top:-19.45pt;width:0;height:114.75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XyIAIAAD4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"/>
      </w:pict>
    </w:r>
    <w:r w:rsidRPr="000A75FE">
      <w:rPr>
        <w:rFonts w:ascii="Courier New" w:hAnsi="Courier New"/>
        <w:noProof/>
        <w:sz w:val="18"/>
        <w:szCs w:val="20"/>
      </w:rPr>
      <w:pict>
        <v:shape id="_x0000_s2076" type="#_x0000_t32" style="position:absolute;margin-left:381.75pt;margin-top:-5.65pt;width:0;height:114.7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LeHwIAAD4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"/>
      </w:pict>
    </w:r>
    <w:r w:rsidR="00AA5552">
      <w:rPr>
        <w:rFonts w:ascii="Arial" w:hAnsi="Arial" w:cs="Arial"/>
        <w:b/>
        <w:noProof/>
        <w:sz w:val="24"/>
        <w:szCs w:val="24"/>
      </w:rPr>
      <w:t>PACIFIC POWER &amp; LIGHT COMPANY</w:t>
    </w:r>
  </w:p>
  <w:p w:rsidR="00AA5552" w:rsidRDefault="00AA5552" w:rsidP="00D822B6">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D822B6">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D822B6">
    <w:pPr>
      <w:tabs>
        <w:tab w:val="left" w:pos="7200"/>
      </w:tabs>
      <w:ind w:right="2160"/>
      <w:jc w:val="right"/>
      <w:rPr>
        <w:rFonts w:ascii="Arial" w:hAnsi="Arial" w:cs="Arial"/>
        <w:sz w:val="20"/>
      </w:rPr>
    </w:pPr>
  </w:p>
  <w:p w:rsidR="00AA5552" w:rsidRDefault="00AA5552" w:rsidP="00D822B6">
    <w:pPr>
      <w:tabs>
        <w:tab w:val="left" w:pos="7200"/>
      </w:tabs>
      <w:ind w:right="2160"/>
      <w:jc w:val="right"/>
      <w:rPr>
        <w:rFonts w:ascii="Arial" w:hAnsi="Arial" w:cs="Arial"/>
        <w:sz w:val="20"/>
      </w:rPr>
    </w:pPr>
    <w:r>
      <w:rPr>
        <w:rFonts w:ascii="Arial" w:hAnsi="Arial" w:cs="Arial"/>
        <w:sz w:val="20"/>
      </w:rPr>
      <w:t>Original Sheet No. 114.2</w:t>
    </w:r>
  </w:p>
  <w:p w:rsidR="00AA5552" w:rsidRDefault="00AA5552" w:rsidP="00D822B6">
    <w:pPr>
      <w:rPr>
        <w:rFonts w:ascii="Arial" w:hAnsi="Arial" w:cs="Arial"/>
        <w:sz w:val="20"/>
      </w:rPr>
    </w:pPr>
    <w:r>
      <w:rPr>
        <w:rFonts w:ascii="Arial" w:hAnsi="Arial" w:cs="Arial"/>
        <w:sz w:val="20"/>
      </w:rPr>
      <w:tab/>
    </w:r>
  </w:p>
  <w:p w:rsidR="00AA5552" w:rsidRPr="00CF64E6" w:rsidRDefault="00AA5552" w:rsidP="00D822B6">
    <w:pPr>
      <w:tabs>
        <w:tab w:val="left" w:pos="7200"/>
      </w:tabs>
      <w:ind w:right="2160"/>
      <w:rPr>
        <w:rFonts w:ascii="Arial" w:hAnsi="Arial" w:cs="Arial"/>
        <w:b/>
        <w:sz w:val="24"/>
        <w:szCs w:val="24"/>
      </w:rPr>
    </w:pPr>
    <w:r>
      <w:rPr>
        <w:rFonts w:ascii="Arial" w:hAnsi="Arial" w:cs="Arial"/>
        <w:b/>
        <w:sz w:val="24"/>
        <w:szCs w:val="24"/>
      </w:rPr>
      <w:t>Schedule 114</w:t>
    </w:r>
  </w:p>
  <w:p w:rsidR="00AA5552" w:rsidRDefault="00AA5552" w:rsidP="00D822B6">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AA5552" w:rsidRDefault="00AA5552" w:rsidP="00D822B6">
    <w:pPr>
      <w:pBdr>
        <w:bottom w:val="single" w:sz="12" w:space="1" w:color="auto"/>
      </w:pBdr>
      <w:rPr>
        <w:rFonts w:ascii="Arial" w:hAnsi="Arial" w:cs="Arial"/>
        <w:b/>
        <w:sz w:val="20"/>
      </w:rPr>
    </w:pPr>
    <w:r>
      <w:rPr>
        <w:rFonts w:ascii="Arial" w:hAnsi="Arial" w:cs="Arial"/>
        <w:b/>
        <w:sz w:val="20"/>
      </w:rPr>
      <w:t>LOW INCOME CUSTOMERS</w:t>
    </w:r>
  </w:p>
  <w:p w:rsidR="00AA5552" w:rsidRPr="00735A6B" w:rsidRDefault="00AA5552" w:rsidP="00735A6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B5579A" w:rsidRDefault="000A75FE" w:rsidP="00D822B6">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27" o:spid="_x0000_s2077" type="#_x0000_t32" style="position:absolute;margin-left:383.25pt;margin-top:-19.45pt;width:0;height:114.7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uq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"/>
      </w:pict>
    </w:r>
    <w:r w:rsidRPr="000A75FE">
      <w:rPr>
        <w:rFonts w:ascii="Courier New" w:hAnsi="Courier New"/>
        <w:noProof/>
        <w:sz w:val="18"/>
        <w:szCs w:val="20"/>
      </w:rPr>
      <w:pict>
        <v:shape id="AutoShape 28" o:spid="_x0000_s2078" type="#_x0000_t32" style="position:absolute;margin-left:383.25pt;margin-top:-5.65pt;width:0;height:114.7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JJHwIAAD4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"/>
      </w:pict>
    </w:r>
    <w:r w:rsidR="00AA5552">
      <w:rPr>
        <w:rFonts w:ascii="Arial" w:hAnsi="Arial" w:cs="Arial"/>
        <w:b/>
        <w:noProof/>
        <w:sz w:val="24"/>
        <w:szCs w:val="24"/>
      </w:rPr>
      <w:t>PACIFIC POWER &amp; LIGHT COMPANY</w:t>
    </w:r>
  </w:p>
  <w:p w:rsidR="00AA5552" w:rsidRDefault="00AA5552" w:rsidP="00D822B6">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D822B6">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D822B6">
    <w:pPr>
      <w:tabs>
        <w:tab w:val="left" w:pos="7200"/>
      </w:tabs>
      <w:ind w:right="2160"/>
      <w:jc w:val="right"/>
      <w:rPr>
        <w:rFonts w:ascii="Arial" w:hAnsi="Arial" w:cs="Arial"/>
        <w:sz w:val="20"/>
      </w:rPr>
    </w:pPr>
  </w:p>
  <w:p w:rsidR="00AA5552" w:rsidRDefault="00AA5552" w:rsidP="00D822B6">
    <w:pPr>
      <w:tabs>
        <w:tab w:val="left" w:pos="7200"/>
      </w:tabs>
      <w:ind w:right="2160"/>
      <w:jc w:val="right"/>
      <w:rPr>
        <w:rFonts w:ascii="Arial" w:hAnsi="Arial" w:cs="Arial"/>
        <w:sz w:val="20"/>
      </w:rPr>
    </w:pPr>
    <w:r>
      <w:rPr>
        <w:rFonts w:ascii="Arial" w:hAnsi="Arial" w:cs="Arial"/>
        <w:sz w:val="20"/>
      </w:rPr>
      <w:t>Original Sheet No. 114.3</w:t>
    </w:r>
  </w:p>
  <w:p w:rsidR="00AA5552" w:rsidRDefault="00AA5552" w:rsidP="00D822B6">
    <w:pPr>
      <w:rPr>
        <w:rFonts w:ascii="Arial" w:hAnsi="Arial" w:cs="Arial"/>
        <w:sz w:val="20"/>
      </w:rPr>
    </w:pPr>
    <w:r>
      <w:rPr>
        <w:rFonts w:ascii="Arial" w:hAnsi="Arial" w:cs="Arial"/>
        <w:sz w:val="20"/>
      </w:rPr>
      <w:tab/>
    </w:r>
  </w:p>
  <w:p w:rsidR="00AA5552" w:rsidRPr="00CF64E6" w:rsidRDefault="00AA5552" w:rsidP="00D822B6">
    <w:pPr>
      <w:tabs>
        <w:tab w:val="left" w:pos="7200"/>
      </w:tabs>
      <w:ind w:right="2160"/>
      <w:rPr>
        <w:rFonts w:ascii="Arial" w:hAnsi="Arial" w:cs="Arial"/>
        <w:b/>
        <w:sz w:val="24"/>
        <w:szCs w:val="24"/>
      </w:rPr>
    </w:pPr>
    <w:r>
      <w:rPr>
        <w:rFonts w:ascii="Arial" w:hAnsi="Arial" w:cs="Arial"/>
        <w:b/>
        <w:sz w:val="24"/>
        <w:szCs w:val="24"/>
      </w:rPr>
      <w:t>Schedule 114</w:t>
    </w:r>
  </w:p>
  <w:p w:rsidR="00AA5552" w:rsidRDefault="00AA5552" w:rsidP="00D822B6">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AA5552" w:rsidRPr="006B7902" w:rsidRDefault="00AA5552" w:rsidP="00D822B6">
    <w:pPr>
      <w:pBdr>
        <w:bottom w:val="single" w:sz="12" w:space="1" w:color="auto"/>
      </w:pBdr>
      <w:rPr>
        <w:rFonts w:ascii="Arial" w:hAnsi="Arial" w:cs="Arial"/>
        <w:b/>
        <w:sz w:val="20"/>
      </w:rPr>
    </w:pPr>
    <w:r>
      <w:rPr>
        <w:rFonts w:ascii="Arial" w:hAnsi="Arial" w:cs="Arial"/>
        <w:b/>
        <w:sz w:val="20"/>
      </w:rPr>
      <w:t>LOW INCOME CUSTOMERS</w:t>
    </w:r>
  </w:p>
  <w:p w:rsidR="00AA5552" w:rsidRPr="00D822B6" w:rsidRDefault="00AA5552" w:rsidP="00D822B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7A0BA0" w:rsidRDefault="000A75FE" w:rsidP="00140099">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35" o:spid="_x0000_s2049" type="#_x0000_t32" style="position:absolute;margin-left:381.75pt;margin-top:-19.45pt;width:0;height:114.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"/>
      </w:pict>
    </w:r>
    <w:r w:rsidRPr="000A75FE">
      <w:rPr>
        <w:rFonts w:ascii="Courier New" w:hAnsi="Courier New"/>
        <w:noProof/>
        <w:sz w:val="18"/>
        <w:szCs w:val="20"/>
      </w:rPr>
      <w:pict>
        <v:shape id="AutoShape 36" o:spid="_x0000_s2050" type="#_x0000_t32" style="position:absolute;margin-left:381.75pt;margin-top:-6.4pt;width:0;height:114.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d3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"/>
      </w:pict>
    </w:r>
    <w:r w:rsidR="00AA5552">
      <w:rPr>
        <w:rFonts w:ascii="Arial" w:hAnsi="Arial" w:cs="Arial"/>
        <w:b/>
        <w:noProof/>
        <w:sz w:val="24"/>
        <w:szCs w:val="24"/>
      </w:rPr>
      <w:t>PACIFIC POWER &amp; LIGHT COMPANY</w:t>
    </w:r>
  </w:p>
  <w:p w:rsidR="00AA5552" w:rsidRDefault="00AA5552" w:rsidP="00140099">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140099">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140099">
    <w:pPr>
      <w:tabs>
        <w:tab w:val="left" w:pos="7200"/>
      </w:tabs>
      <w:ind w:right="2160"/>
      <w:jc w:val="right"/>
      <w:rPr>
        <w:rFonts w:ascii="Arial" w:hAnsi="Arial" w:cs="Arial"/>
        <w:sz w:val="20"/>
      </w:rPr>
    </w:pPr>
  </w:p>
  <w:p w:rsidR="00AA5552" w:rsidRDefault="00AA5552" w:rsidP="00140099">
    <w:pPr>
      <w:tabs>
        <w:tab w:val="left" w:pos="7200"/>
      </w:tabs>
      <w:ind w:right="2160"/>
      <w:jc w:val="right"/>
      <w:rPr>
        <w:rFonts w:ascii="Arial" w:hAnsi="Arial" w:cs="Arial"/>
        <w:sz w:val="20"/>
      </w:rPr>
    </w:pPr>
    <w:r>
      <w:rPr>
        <w:rFonts w:ascii="Arial" w:hAnsi="Arial" w:cs="Arial"/>
        <w:sz w:val="20"/>
      </w:rPr>
      <w:t>Original Sheet No. 114.3</w:t>
    </w:r>
  </w:p>
  <w:p w:rsidR="00AA5552" w:rsidRDefault="00AA5552" w:rsidP="00140099">
    <w:pPr>
      <w:rPr>
        <w:rFonts w:ascii="Arial" w:hAnsi="Arial" w:cs="Arial"/>
        <w:sz w:val="20"/>
      </w:rPr>
    </w:pPr>
    <w:r>
      <w:rPr>
        <w:rFonts w:ascii="Arial" w:hAnsi="Arial" w:cs="Arial"/>
        <w:sz w:val="20"/>
      </w:rPr>
      <w:tab/>
    </w:r>
  </w:p>
  <w:p w:rsidR="00AA5552" w:rsidRPr="00CF64E6" w:rsidRDefault="00AA5552" w:rsidP="00140099">
    <w:pPr>
      <w:tabs>
        <w:tab w:val="left" w:pos="7200"/>
      </w:tabs>
      <w:ind w:right="2160"/>
      <w:rPr>
        <w:rFonts w:ascii="Arial" w:hAnsi="Arial" w:cs="Arial"/>
        <w:b/>
        <w:sz w:val="24"/>
        <w:szCs w:val="24"/>
      </w:rPr>
    </w:pPr>
    <w:r>
      <w:rPr>
        <w:rFonts w:ascii="Arial" w:hAnsi="Arial" w:cs="Arial"/>
        <w:b/>
        <w:sz w:val="24"/>
        <w:szCs w:val="24"/>
      </w:rPr>
      <w:t>Schedule 114</w:t>
    </w:r>
  </w:p>
  <w:p w:rsidR="00AA5552" w:rsidRDefault="00AA5552" w:rsidP="00140099">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AA5552" w:rsidRDefault="00AA5552" w:rsidP="00140099">
    <w:pPr>
      <w:pBdr>
        <w:bottom w:val="single" w:sz="12" w:space="1" w:color="auto"/>
      </w:pBdr>
      <w:rPr>
        <w:rFonts w:ascii="Arial" w:hAnsi="Arial" w:cs="Arial"/>
        <w:b/>
        <w:sz w:val="20"/>
      </w:rPr>
    </w:pPr>
    <w:r>
      <w:rPr>
        <w:rFonts w:ascii="Arial" w:hAnsi="Arial" w:cs="Arial"/>
        <w:b/>
        <w:sz w:val="20"/>
      </w:rPr>
      <w:t>LOW INCOME CUSTOMERS</w:t>
    </w:r>
  </w:p>
  <w:p w:rsidR="00AA5552" w:rsidRPr="006C2321" w:rsidRDefault="00AA5552" w:rsidP="006C232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1D5162" w:rsidRDefault="000A75FE" w:rsidP="001D7972">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_x0000_s2067" type="#_x0000_t32" style="position:absolute;margin-left:381.75pt;margin-top:-19.45pt;width:0;height:114.7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XyIAIAAD4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"/>
      </w:pict>
    </w:r>
    <w:r w:rsidRPr="000A75FE">
      <w:rPr>
        <w:rFonts w:ascii="Courier New" w:hAnsi="Courier New"/>
        <w:noProof/>
        <w:sz w:val="18"/>
        <w:szCs w:val="20"/>
      </w:rPr>
      <w:pict>
        <v:shape id="_x0000_s2068" type="#_x0000_t32" style="position:absolute;margin-left:381.75pt;margin-top:-5.65pt;width:0;height:114.7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LeHwIAAD4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"/>
      </w:pict>
    </w:r>
    <w:r w:rsidR="00AA5552">
      <w:rPr>
        <w:rFonts w:ascii="Arial" w:hAnsi="Arial" w:cs="Arial"/>
        <w:b/>
        <w:noProof/>
        <w:sz w:val="24"/>
        <w:szCs w:val="24"/>
      </w:rPr>
      <w:t>PACIFIC POWER &amp; LIGHT COMPANY</w:t>
    </w:r>
  </w:p>
  <w:p w:rsidR="00AA5552" w:rsidRDefault="00AA5552" w:rsidP="001D7972">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1D7972">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1D7972">
    <w:pPr>
      <w:tabs>
        <w:tab w:val="left" w:pos="7200"/>
      </w:tabs>
      <w:ind w:right="2160"/>
      <w:jc w:val="right"/>
      <w:rPr>
        <w:rFonts w:ascii="Arial" w:hAnsi="Arial" w:cs="Arial"/>
        <w:sz w:val="20"/>
      </w:rPr>
    </w:pPr>
  </w:p>
  <w:p w:rsidR="00AA5552" w:rsidRDefault="00AA5552" w:rsidP="001D7972">
    <w:pPr>
      <w:tabs>
        <w:tab w:val="left" w:pos="7200"/>
      </w:tabs>
      <w:ind w:right="2160"/>
      <w:jc w:val="right"/>
      <w:rPr>
        <w:rFonts w:ascii="Arial" w:hAnsi="Arial" w:cs="Arial"/>
        <w:sz w:val="20"/>
      </w:rPr>
    </w:pPr>
    <w:r>
      <w:rPr>
        <w:rFonts w:ascii="Arial" w:hAnsi="Arial" w:cs="Arial"/>
        <w:sz w:val="20"/>
      </w:rPr>
      <w:t>Original Sheet No. 114.5</w:t>
    </w:r>
  </w:p>
  <w:p w:rsidR="00AA5552" w:rsidRDefault="00AA5552" w:rsidP="001D7972">
    <w:pPr>
      <w:rPr>
        <w:rFonts w:ascii="Arial" w:hAnsi="Arial" w:cs="Arial"/>
        <w:sz w:val="20"/>
      </w:rPr>
    </w:pPr>
    <w:r>
      <w:rPr>
        <w:rFonts w:ascii="Arial" w:hAnsi="Arial" w:cs="Arial"/>
        <w:sz w:val="20"/>
      </w:rPr>
      <w:tab/>
    </w:r>
  </w:p>
  <w:p w:rsidR="00AA5552" w:rsidRPr="00CF64E6" w:rsidRDefault="00AA5552" w:rsidP="001D7972">
    <w:pPr>
      <w:tabs>
        <w:tab w:val="left" w:pos="7200"/>
      </w:tabs>
      <w:ind w:right="2160"/>
      <w:rPr>
        <w:rFonts w:ascii="Arial" w:hAnsi="Arial" w:cs="Arial"/>
        <w:b/>
        <w:sz w:val="24"/>
        <w:szCs w:val="24"/>
      </w:rPr>
    </w:pPr>
    <w:r>
      <w:rPr>
        <w:rFonts w:ascii="Arial" w:hAnsi="Arial" w:cs="Arial"/>
        <w:b/>
        <w:sz w:val="24"/>
        <w:szCs w:val="24"/>
      </w:rPr>
      <w:t>Schedule 114</w:t>
    </w:r>
  </w:p>
  <w:p w:rsidR="00AA5552" w:rsidRDefault="00AA5552" w:rsidP="001D7972">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AA5552" w:rsidRDefault="00AA5552" w:rsidP="001D7972">
    <w:pPr>
      <w:pBdr>
        <w:bottom w:val="single" w:sz="12" w:space="1" w:color="auto"/>
      </w:pBdr>
      <w:rPr>
        <w:rFonts w:ascii="Arial" w:hAnsi="Arial" w:cs="Arial"/>
        <w:b/>
        <w:sz w:val="20"/>
      </w:rPr>
    </w:pPr>
    <w:r>
      <w:rPr>
        <w:rFonts w:ascii="Arial" w:hAnsi="Arial" w:cs="Arial"/>
        <w:b/>
        <w:sz w:val="20"/>
      </w:rPr>
      <w:t>LOW INCOME CUSTOMERS</w:t>
    </w:r>
  </w:p>
  <w:p w:rsidR="00AA5552" w:rsidRDefault="00AA5552">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7A0BA0" w:rsidRDefault="000A75FE" w:rsidP="00140099">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_x0000_s2069" type="#_x0000_t32" style="position:absolute;margin-left:381.75pt;margin-top:-19.45pt;width:0;height:114.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"/>
      </w:pict>
    </w:r>
    <w:r w:rsidRPr="000A75FE">
      <w:rPr>
        <w:rFonts w:ascii="Courier New" w:hAnsi="Courier New"/>
        <w:noProof/>
        <w:sz w:val="18"/>
        <w:szCs w:val="20"/>
      </w:rPr>
      <w:pict>
        <v:shape id="_x0000_s2070" type="#_x0000_t32" style="position:absolute;margin-left:381.75pt;margin-top:-6.4pt;width:0;height:114.7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d3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"/>
      </w:pict>
    </w:r>
    <w:r w:rsidR="00AA5552">
      <w:rPr>
        <w:rFonts w:ascii="Arial" w:hAnsi="Arial" w:cs="Arial"/>
        <w:b/>
        <w:noProof/>
        <w:sz w:val="24"/>
        <w:szCs w:val="24"/>
      </w:rPr>
      <w:t>PACIFIC POWER &amp; LIGHT COMPANY</w:t>
    </w:r>
  </w:p>
  <w:p w:rsidR="00AA5552" w:rsidRDefault="00AA5552" w:rsidP="00140099">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140099">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140099">
    <w:pPr>
      <w:tabs>
        <w:tab w:val="left" w:pos="7200"/>
      </w:tabs>
      <w:ind w:right="2160"/>
      <w:jc w:val="right"/>
      <w:rPr>
        <w:rFonts w:ascii="Arial" w:hAnsi="Arial" w:cs="Arial"/>
        <w:sz w:val="20"/>
      </w:rPr>
    </w:pPr>
  </w:p>
  <w:p w:rsidR="00AA5552" w:rsidRDefault="00AA5552" w:rsidP="00140099">
    <w:pPr>
      <w:tabs>
        <w:tab w:val="left" w:pos="7200"/>
      </w:tabs>
      <w:ind w:right="2160"/>
      <w:jc w:val="right"/>
      <w:rPr>
        <w:rFonts w:ascii="Arial" w:hAnsi="Arial" w:cs="Arial"/>
        <w:sz w:val="20"/>
      </w:rPr>
    </w:pPr>
    <w:r>
      <w:rPr>
        <w:rFonts w:ascii="Arial" w:hAnsi="Arial" w:cs="Arial"/>
        <w:sz w:val="20"/>
      </w:rPr>
      <w:t>Original Sheet No. 114.4</w:t>
    </w:r>
  </w:p>
  <w:p w:rsidR="00AA5552" w:rsidRDefault="00AA5552" w:rsidP="00140099">
    <w:pPr>
      <w:rPr>
        <w:rFonts w:ascii="Arial" w:hAnsi="Arial" w:cs="Arial"/>
        <w:sz w:val="20"/>
      </w:rPr>
    </w:pPr>
    <w:r>
      <w:rPr>
        <w:rFonts w:ascii="Arial" w:hAnsi="Arial" w:cs="Arial"/>
        <w:sz w:val="20"/>
      </w:rPr>
      <w:tab/>
    </w:r>
  </w:p>
  <w:p w:rsidR="00AA5552" w:rsidRPr="00CF64E6" w:rsidRDefault="00AA5552" w:rsidP="00140099">
    <w:pPr>
      <w:tabs>
        <w:tab w:val="left" w:pos="7200"/>
      </w:tabs>
      <w:ind w:right="2160"/>
      <w:rPr>
        <w:rFonts w:ascii="Arial" w:hAnsi="Arial" w:cs="Arial"/>
        <w:b/>
        <w:sz w:val="24"/>
        <w:szCs w:val="24"/>
      </w:rPr>
    </w:pPr>
    <w:r>
      <w:rPr>
        <w:rFonts w:ascii="Arial" w:hAnsi="Arial" w:cs="Arial"/>
        <w:b/>
        <w:sz w:val="24"/>
        <w:szCs w:val="24"/>
      </w:rPr>
      <w:t>Schedule 114</w:t>
    </w:r>
  </w:p>
  <w:p w:rsidR="00AA5552" w:rsidRDefault="00AA5552" w:rsidP="00140099">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AA5552" w:rsidRDefault="00AA5552" w:rsidP="00140099">
    <w:pPr>
      <w:pBdr>
        <w:bottom w:val="single" w:sz="12" w:space="1" w:color="auto"/>
      </w:pBdr>
      <w:rPr>
        <w:rFonts w:ascii="Arial" w:hAnsi="Arial" w:cs="Arial"/>
        <w:b/>
        <w:sz w:val="20"/>
      </w:rPr>
    </w:pPr>
    <w:r>
      <w:rPr>
        <w:rFonts w:ascii="Arial" w:hAnsi="Arial" w:cs="Arial"/>
        <w:b/>
        <w:sz w:val="20"/>
      </w:rPr>
      <w:t>LOW INCOME CUSTOMERS</w:t>
    </w:r>
  </w:p>
  <w:p w:rsidR="00AA5552" w:rsidRPr="006C2321" w:rsidRDefault="00AA5552" w:rsidP="006C2321">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7D281E" w:rsidRDefault="00AA5552" w:rsidP="007D281E">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4A79FF" w:rsidRDefault="00AA5552" w:rsidP="004A79FF">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6C7F49" w:rsidRDefault="000A75FE" w:rsidP="00140099">
    <w:pPr>
      <w:pStyle w:val="Header"/>
      <w:tabs>
        <w:tab w:val="clear" w:pos="4680"/>
        <w:tab w:val="right" w:pos="7200"/>
      </w:tabs>
      <w:ind w:right="2160"/>
      <w:rPr>
        <w:rFonts w:ascii="Arial" w:hAnsi="Arial" w:cs="Arial"/>
        <w:b/>
        <w:noProof/>
        <w:sz w:val="24"/>
        <w:szCs w:val="24"/>
      </w:rPr>
    </w:pPr>
    <w:r w:rsidRPr="000A75FE">
      <w:rPr>
        <w:rFonts w:ascii="Courier New" w:hAnsi="Courier New"/>
        <w:noProof/>
        <w:sz w:val="18"/>
        <w:szCs w:val="20"/>
      </w:rPr>
      <w:pict>
        <v:shapetype id="_x0000_t32" coordsize="21600,21600" o:spt="32" o:oned="t" path="m,l21600,21600e" filled="f">
          <v:path arrowok="t" fillok="f" o:connecttype="none"/>
          <o:lock v:ext="edit" shapetype="t"/>
        </v:shapetype>
        <v:shape id="AutoShape 40" o:spid="_x0000_s2052" type="#_x0000_t32" style="position:absolute;margin-left:381pt;margin-top:-4.15pt;width:0;height:114.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"/>
      </w:pict>
    </w:r>
    <w:r w:rsidRPr="000A75FE">
      <w:rPr>
        <w:rFonts w:ascii="Arial" w:hAnsi="Arial" w:cs="Arial"/>
        <w:noProof/>
        <w:sz w:val="20"/>
        <w:szCs w:val="20"/>
        <w:u w:val="single"/>
      </w:rPr>
      <w:pict>
        <v:shape id="AutoShape 39" o:spid="_x0000_s2051" type="#_x0000_t32" style="position:absolute;margin-left:381pt;margin-top:-19.45pt;width:0;height:114.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XL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"/>
      </w:pict>
    </w:r>
    <w:r w:rsidR="00AA5552">
      <w:rPr>
        <w:rFonts w:ascii="Arial" w:hAnsi="Arial" w:cs="Arial"/>
        <w:b/>
        <w:noProof/>
        <w:sz w:val="24"/>
        <w:szCs w:val="24"/>
      </w:rPr>
      <w:t>PACIFIC POWER &amp; LIGHT COMPANY</w:t>
    </w:r>
  </w:p>
  <w:p w:rsidR="00AA5552" w:rsidRDefault="00AA5552" w:rsidP="00140099">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140099">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140099">
    <w:pPr>
      <w:tabs>
        <w:tab w:val="left" w:pos="7200"/>
      </w:tabs>
      <w:ind w:right="2160"/>
      <w:jc w:val="right"/>
      <w:rPr>
        <w:rFonts w:ascii="Arial" w:hAnsi="Arial" w:cs="Arial"/>
        <w:sz w:val="20"/>
      </w:rPr>
    </w:pPr>
  </w:p>
  <w:p w:rsidR="00AA5552" w:rsidRDefault="00AA5552" w:rsidP="00140099">
    <w:pPr>
      <w:tabs>
        <w:tab w:val="left" w:pos="7200"/>
      </w:tabs>
      <w:ind w:right="2160"/>
      <w:jc w:val="right"/>
      <w:rPr>
        <w:rFonts w:ascii="Arial" w:hAnsi="Arial" w:cs="Arial"/>
        <w:sz w:val="20"/>
      </w:rPr>
    </w:pPr>
    <w:r>
      <w:rPr>
        <w:rFonts w:ascii="Arial" w:hAnsi="Arial" w:cs="Arial"/>
        <w:sz w:val="20"/>
      </w:rPr>
      <w:t>Original Sheet No. 115.1</w:t>
    </w:r>
  </w:p>
  <w:p w:rsidR="00AA5552" w:rsidRDefault="00AA5552" w:rsidP="00140099">
    <w:pPr>
      <w:rPr>
        <w:rFonts w:ascii="Arial" w:hAnsi="Arial" w:cs="Arial"/>
        <w:sz w:val="20"/>
      </w:rPr>
    </w:pPr>
    <w:r>
      <w:rPr>
        <w:rFonts w:ascii="Arial" w:hAnsi="Arial" w:cs="Arial"/>
        <w:sz w:val="20"/>
      </w:rPr>
      <w:tab/>
    </w:r>
  </w:p>
  <w:p w:rsidR="00AA5552" w:rsidRPr="00CF64E6" w:rsidRDefault="00AA5552" w:rsidP="00140099">
    <w:pPr>
      <w:tabs>
        <w:tab w:val="left" w:pos="7200"/>
      </w:tabs>
      <w:ind w:right="2160"/>
      <w:rPr>
        <w:rFonts w:ascii="Arial" w:hAnsi="Arial" w:cs="Arial"/>
        <w:b/>
        <w:sz w:val="24"/>
        <w:szCs w:val="24"/>
      </w:rPr>
    </w:pPr>
    <w:r>
      <w:rPr>
        <w:rFonts w:ascii="Arial" w:hAnsi="Arial" w:cs="Arial"/>
        <w:b/>
        <w:sz w:val="24"/>
        <w:szCs w:val="24"/>
      </w:rPr>
      <w:t>Schedule 115</w:t>
    </w:r>
  </w:p>
  <w:p w:rsidR="00AA5552" w:rsidRDefault="00AA5552" w:rsidP="00140099">
    <w:pPr>
      <w:pBdr>
        <w:bottom w:val="single" w:sz="12" w:space="1" w:color="auto"/>
      </w:pBdr>
      <w:rPr>
        <w:rFonts w:ascii="Arial" w:hAnsi="Arial" w:cs="Arial"/>
        <w:b/>
        <w:sz w:val="20"/>
      </w:rPr>
    </w:pPr>
    <w:r>
      <w:rPr>
        <w:rFonts w:ascii="Arial" w:hAnsi="Arial" w:cs="Arial"/>
        <w:b/>
        <w:sz w:val="20"/>
      </w:rPr>
      <w:t xml:space="preserve">COMMERCIAL &amp; INDUSTRIAL ENERGY EFFICIENCY INCENTIVES – </w:t>
    </w:r>
  </w:p>
  <w:p w:rsidR="00AA5552" w:rsidRDefault="00AA5552" w:rsidP="00140099">
    <w:pPr>
      <w:pBdr>
        <w:bottom w:val="single" w:sz="12" w:space="1" w:color="auto"/>
      </w:pBdr>
      <w:rPr>
        <w:rFonts w:ascii="Arial" w:hAnsi="Arial" w:cs="Arial"/>
        <w:b/>
        <w:sz w:val="20"/>
      </w:rPr>
    </w:pPr>
    <w:r>
      <w:rPr>
        <w:rFonts w:ascii="Arial" w:hAnsi="Arial" w:cs="Arial"/>
        <w:b/>
        <w:sz w:val="20"/>
      </w:rPr>
      <w:t>OPTIONAL FOR QUALIFYING CUSTOMERS</w:t>
    </w:r>
  </w:p>
  <w:p w:rsidR="00AA5552" w:rsidRPr="004A79FF" w:rsidRDefault="00AA5552" w:rsidP="004A79FF">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C06AAC" w:rsidRDefault="00AA5552" w:rsidP="00C06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CB" w:rsidRDefault="00902FCB">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B93986" w:rsidRDefault="000A75FE" w:rsidP="00FC665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47" o:spid="_x0000_s2055" type="#_x0000_t32" style="position:absolute;margin-left:367.5pt;margin-top:-19.45pt;width:0;height:114.7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UGHg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"/>
      </w:pict>
    </w:r>
    <w:r w:rsidRPr="000A75FE">
      <w:rPr>
        <w:rFonts w:ascii="Courier New" w:hAnsi="Courier New"/>
        <w:noProof/>
        <w:sz w:val="18"/>
        <w:szCs w:val="20"/>
      </w:rPr>
      <w:pict>
        <v:shape id="AutoShape 48" o:spid="_x0000_s2056" type="#_x0000_t32" style="position:absolute;margin-left:367.5pt;margin-top:-4.9pt;width:0;height:114.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Jl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"/>
      </w:pict>
    </w:r>
    <w:r w:rsidR="00AA5552">
      <w:rPr>
        <w:rFonts w:ascii="Arial" w:hAnsi="Arial" w:cs="Arial"/>
        <w:b/>
        <w:noProof/>
        <w:sz w:val="24"/>
        <w:szCs w:val="24"/>
      </w:rPr>
      <w:t>PACIFIC POWER &amp; LIGHT COMPANY</w:t>
    </w:r>
  </w:p>
  <w:p w:rsidR="00AA5552" w:rsidRDefault="00AA5552" w:rsidP="00FC6657">
    <w:pPr>
      <w:pStyle w:val="Header"/>
      <w:tabs>
        <w:tab w:val="clear" w:pos="4680"/>
        <w:tab w:val="clear" w:pos="9360"/>
      </w:tabs>
      <w:ind w:left="2880" w:right="2160" w:firstLine="2880"/>
      <w:jc w:val="center"/>
      <w:rPr>
        <w:rFonts w:ascii="Arial" w:hAnsi="Arial" w:cs="Arial"/>
        <w:sz w:val="20"/>
      </w:rPr>
    </w:pPr>
    <w:r>
      <w:rPr>
        <w:rFonts w:ascii="Arial" w:hAnsi="Arial" w:cs="Arial"/>
        <w:sz w:val="20"/>
      </w:rPr>
      <w:t xml:space="preserve">     WN U-75</w:t>
    </w:r>
  </w:p>
  <w:p w:rsidR="00AA5552" w:rsidRPr="00CD01ED" w:rsidRDefault="00AA5552" w:rsidP="00FC665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FC6657">
    <w:pPr>
      <w:tabs>
        <w:tab w:val="left" w:pos="7200"/>
      </w:tabs>
      <w:ind w:right="2160"/>
      <w:jc w:val="right"/>
      <w:rPr>
        <w:rFonts w:ascii="Arial" w:hAnsi="Arial" w:cs="Arial"/>
        <w:sz w:val="20"/>
      </w:rPr>
    </w:pPr>
  </w:p>
  <w:p w:rsidR="00AA5552" w:rsidRDefault="00AA5552" w:rsidP="00FC6657">
    <w:pPr>
      <w:tabs>
        <w:tab w:val="left" w:pos="1965"/>
        <w:tab w:val="right" w:pos="7200"/>
      </w:tabs>
      <w:ind w:right="2160"/>
      <w:rPr>
        <w:rFonts w:ascii="Arial" w:hAnsi="Arial" w:cs="Arial"/>
        <w:sz w:val="20"/>
      </w:rPr>
    </w:pPr>
    <w:r>
      <w:rPr>
        <w:rFonts w:ascii="Arial" w:hAnsi="Arial" w:cs="Arial"/>
        <w:sz w:val="20"/>
      </w:rPr>
      <w:tab/>
    </w:r>
    <w:r>
      <w:rPr>
        <w:rFonts w:ascii="Arial" w:hAnsi="Arial" w:cs="Arial"/>
        <w:sz w:val="20"/>
      </w:rPr>
      <w:tab/>
      <w:t>Original Sheet No. 125.1</w:t>
    </w:r>
    <w:r>
      <w:rPr>
        <w:rFonts w:ascii="Arial" w:hAnsi="Arial" w:cs="Arial"/>
        <w:sz w:val="20"/>
      </w:rPr>
      <w:tab/>
    </w:r>
  </w:p>
  <w:p w:rsidR="00AA5552" w:rsidRPr="00CF64E6" w:rsidRDefault="00AA5552" w:rsidP="00FC6657">
    <w:pPr>
      <w:tabs>
        <w:tab w:val="left" w:pos="7200"/>
      </w:tabs>
      <w:ind w:right="2160"/>
      <w:rPr>
        <w:rFonts w:ascii="Arial" w:hAnsi="Arial" w:cs="Arial"/>
        <w:b/>
        <w:sz w:val="24"/>
        <w:szCs w:val="24"/>
      </w:rPr>
    </w:pPr>
    <w:r>
      <w:rPr>
        <w:rFonts w:ascii="Arial" w:hAnsi="Arial" w:cs="Arial"/>
        <w:b/>
        <w:sz w:val="24"/>
        <w:szCs w:val="24"/>
      </w:rPr>
      <w:t>Schedule 125</w:t>
    </w:r>
  </w:p>
  <w:p w:rsidR="00AA5552" w:rsidRDefault="00AA5552" w:rsidP="00FC6657">
    <w:pPr>
      <w:pBdr>
        <w:bottom w:val="single" w:sz="12" w:space="1" w:color="auto"/>
      </w:pBdr>
      <w:rPr>
        <w:rFonts w:ascii="Arial" w:hAnsi="Arial" w:cs="Arial"/>
        <w:b/>
        <w:sz w:val="20"/>
      </w:rPr>
    </w:pPr>
    <w:r>
      <w:rPr>
        <w:rFonts w:ascii="Arial" w:hAnsi="Arial" w:cs="Arial"/>
        <w:b/>
        <w:sz w:val="20"/>
      </w:rPr>
      <w:t>COMMERCIAL &amp; INDUSTRIAL ENERGY SERVICES – OPTIONAL FOR</w:t>
    </w:r>
  </w:p>
  <w:p w:rsidR="00AA5552" w:rsidRPr="00FC6657" w:rsidRDefault="00AA5552" w:rsidP="00FC6657">
    <w:pPr>
      <w:pBdr>
        <w:bottom w:val="single" w:sz="12" w:space="1" w:color="auto"/>
      </w:pBdr>
      <w:rPr>
        <w:rFonts w:ascii="Arial" w:hAnsi="Arial" w:cs="Arial"/>
        <w:b/>
        <w:sz w:val="20"/>
      </w:rPr>
    </w:pPr>
    <w:r>
      <w:rPr>
        <w:rFonts w:ascii="Arial" w:hAnsi="Arial" w:cs="Arial"/>
        <w:b/>
        <w:sz w:val="20"/>
      </w:rPr>
      <w:t>QUALIFYING CUSTOMERS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6D131F" w:rsidRDefault="000A75FE" w:rsidP="00FC665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49" o:spid="_x0000_s2057" type="#_x0000_t32" style="position:absolute;margin-left:381.75pt;margin-top:-19.45pt;width:0;height:114.7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ov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"/>
      </w:pict>
    </w:r>
    <w:r w:rsidRPr="000A75FE">
      <w:rPr>
        <w:rFonts w:ascii="Courier New" w:hAnsi="Courier New"/>
        <w:noProof/>
        <w:sz w:val="18"/>
        <w:szCs w:val="20"/>
      </w:rPr>
      <w:pict>
        <v:shape id="AutoShape 50" o:spid="_x0000_s2058" type="#_x0000_t32" style="position:absolute;margin-left:381.75pt;margin-top:-4.9pt;width:0;height:114.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BSHgIAAD0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"/>
      </w:pict>
    </w:r>
    <w:r w:rsidR="00AA5552">
      <w:rPr>
        <w:rFonts w:ascii="Arial" w:hAnsi="Arial" w:cs="Arial"/>
        <w:b/>
        <w:noProof/>
        <w:sz w:val="24"/>
        <w:szCs w:val="24"/>
      </w:rPr>
      <w:t>PACIFIC POWER &amp; LIGHT COMPANY</w:t>
    </w:r>
  </w:p>
  <w:p w:rsidR="00AA5552" w:rsidRDefault="00AA5552" w:rsidP="00FC665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FC665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FC6657">
    <w:pPr>
      <w:tabs>
        <w:tab w:val="left" w:pos="7200"/>
      </w:tabs>
      <w:ind w:right="2160"/>
      <w:jc w:val="right"/>
      <w:rPr>
        <w:rFonts w:ascii="Arial" w:hAnsi="Arial" w:cs="Arial"/>
        <w:sz w:val="20"/>
      </w:rPr>
    </w:pPr>
  </w:p>
  <w:p w:rsidR="00AA5552" w:rsidRDefault="00AA5552" w:rsidP="00FC6657">
    <w:pPr>
      <w:tabs>
        <w:tab w:val="left" w:pos="7200"/>
      </w:tabs>
      <w:ind w:right="2160"/>
      <w:jc w:val="right"/>
      <w:rPr>
        <w:rFonts w:ascii="Arial" w:hAnsi="Arial" w:cs="Arial"/>
        <w:sz w:val="20"/>
      </w:rPr>
    </w:pPr>
    <w:r>
      <w:rPr>
        <w:rFonts w:ascii="Arial" w:hAnsi="Arial" w:cs="Arial"/>
        <w:sz w:val="20"/>
      </w:rPr>
      <w:t>Original Sheet No. 125.2</w:t>
    </w:r>
  </w:p>
  <w:p w:rsidR="00AA5552" w:rsidRDefault="00AA5552" w:rsidP="00FC6657">
    <w:pPr>
      <w:rPr>
        <w:rFonts w:ascii="Arial" w:hAnsi="Arial" w:cs="Arial"/>
        <w:sz w:val="20"/>
      </w:rPr>
    </w:pPr>
    <w:r>
      <w:rPr>
        <w:rFonts w:ascii="Arial" w:hAnsi="Arial" w:cs="Arial"/>
        <w:sz w:val="20"/>
      </w:rPr>
      <w:tab/>
    </w:r>
  </w:p>
  <w:p w:rsidR="00AA5552" w:rsidRPr="00CF64E6" w:rsidRDefault="00AA5552" w:rsidP="00FC6657">
    <w:pPr>
      <w:tabs>
        <w:tab w:val="left" w:pos="7200"/>
      </w:tabs>
      <w:ind w:right="2160"/>
      <w:rPr>
        <w:rFonts w:ascii="Arial" w:hAnsi="Arial" w:cs="Arial"/>
        <w:b/>
        <w:sz w:val="24"/>
        <w:szCs w:val="24"/>
      </w:rPr>
    </w:pPr>
    <w:r>
      <w:rPr>
        <w:rFonts w:ascii="Arial" w:hAnsi="Arial" w:cs="Arial"/>
        <w:b/>
        <w:sz w:val="24"/>
        <w:szCs w:val="24"/>
      </w:rPr>
      <w:t>Schedule 125</w:t>
    </w:r>
  </w:p>
  <w:p w:rsidR="00AA5552" w:rsidRDefault="00AA5552" w:rsidP="00FC6657">
    <w:pPr>
      <w:pBdr>
        <w:bottom w:val="single" w:sz="12" w:space="1" w:color="auto"/>
      </w:pBdr>
      <w:rPr>
        <w:rFonts w:ascii="Arial" w:hAnsi="Arial" w:cs="Arial"/>
        <w:b/>
        <w:sz w:val="20"/>
      </w:rPr>
    </w:pPr>
    <w:r>
      <w:rPr>
        <w:rFonts w:ascii="Arial" w:hAnsi="Arial" w:cs="Arial"/>
        <w:b/>
        <w:sz w:val="20"/>
      </w:rPr>
      <w:t>COMMERCIAL &amp; INDUSTRIAL ENERGY SERVICES – OPTIONAL FOR</w:t>
    </w:r>
  </w:p>
  <w:p w:rsidR="00AA5552" w:rsidRPr="00FC6657" w:rsidRDefault="00AA5552" w:rsidP="00FC6657">
    <w:pPr>
      <w:pBdr>
        <w:bottom w:val="single" w:sz="12" w:space="1" w:color="auto"/>
      </w:pBdr>
      <w:rPr>
        <w:rFonts w:ascii="Arial" w:hAnsi="Arial" w:cs="Arial"/>
        <w:b/>
        <w:sz w:val="20"/>
      </w:rPr>
    </w:pPr>
    <w:r>
      <w:rPr>
        <w:rFonts w:ascii="Arial" w:hAnsi="Arial" w:cs="Arial"/>
        <w:b/>
        <w:sz w:val="20"/>
      </w:rPr>
      <w:t>QUALIFYING CUSTOMERS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5F551F" w:rsidRDefault="000A75FE" w:rsidP="00FC665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53" o:spid="_x0000_s2059" type="#_x0000_t32" style="position:absolute;margin-left:381.75pt;margin-top:-19.45pt;width:0;height:114.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"/>
      </w:pict>
    </w:r>
    <w:r w:rsidRPr="000A75FE">
      <w:rPr>
        <w:rFonts w:ascii="Courier New" w:hAnsi="Courier New"/>
        <w:noProof/>
        <w:sz w:val="18"/>
        <w:szCs w:val="20"/>
      </w:rPr>
      <w:pict>
        <v:shape id="AutoShape 54" o:spid="_x0000_s2060" type="#_x0000_t32" style="position:absolute;margin-left:381.75pt;margin-top:-4.9pt;width:0;height:114.7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o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"/>
      </w:pict>
    </w:r>
    <w:r w:rsidR="00AA5552">
      <w:rPr>
        <w:rFonts w:ascii="Arial" w:hAnsi="Arial" w:cs="Arial"/>
        <w:b/>
        <w:noProof/>
        <w:sz w:val="24"/>
        <w:szCs w:val="24"/>
      </w:rPr>
      <w:t>PACIFIC POWER &amp; LIGHT COMPANY</w:t>
    </w:r>
  </w:p>
  <w:p w:rsidR="00AA5552" w:rsidRDefault="00AA5552" w:rsidP="00FC665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FC665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FC6657">
    <w:pPr>
      <w:tabs>
        <w:tab w:val="left" w:pos="7200"/>
      </w:tabs>
      <w:ind w:right="2160"/>
      <w:jc w:val="right"/>
      <w:rPr>
        <w:rFonts w:ascii="Arial" w:hAnsi="Arial" w:cs="Arial"/>
        <w:sz w:val="20"/>
      </w:rPr>
    </w:pPr>
  </w:p>
  <w:p w:rsidR="00AA5552" w:rsidRDefault="00AA5552" w:rsidP="00FC6657">
    <w:pPr>
      <w:tabs>
        <w:tab w:val="left" w:pos="7200"/>
      </w:tabs>
      <w:ind w:right="2160"/>
      <w:jc w:val="right"/>
      <w:rPr>
        <w:rFonts w:ascii="Arial" w:hAnsi="Arial" w:cs="Arial"/>
        <w:sz w:val="20"/>
      </w:rPr>
    </w:pPr>
    <w:r>
      <w:rPr>
        <w:rFonts w:ascii="Arial" w:hAnsi="Arial" w:cs="Arial"/>
        <w:sz w:val="20"/>
      </w:rPr>
      <w:t>Original Sheet No. 125.3</w:t>
    </w:r>
  </w:p>
  <w:p w:rsidR="00AA5552" w:rsidRDefault="00AA5552" w:rsidP="00FC6657">
    <w:pPr>
      <w:rPr>
        <w:rFonts w:ascii="Arial" w:hAnsi="Arial" w:cs="Arial"/>
        <w:sz w:val="20"/>
      </w:rPr>
    </w:pPr>
    <w:r>
      <w:rPr>
        <w:rFonts w:ascii="Arial" w:hAnsi="Arial" w:cs="Arial"/>
        <w:sz w:val="20"/>
      </w:rPr>
      <w:tab/>
    </w:r>
  </w:p>
  <w:p w:rsidR="00AA5552" w:rsidRPr="00CF64E6" w:rsidRDefault="00AA5552" w:rsidP="00FC6657">
    <w:pPr>
      <w:tabs>
        <w:tab w:val="left" w:pos="7200"/>
      </w:tabs>
      <w:ind w:right="2160"/>
      <w:rPr>
        <w:rFonts w:ascii="Arial" w:hAnsi="Arial" w:cs="Arial"/>
        <w:b/>
        <w:sz w:val="24"/>
        <w:szCs w:val="24"/>
      </w:rPr>
    </w:pPr>
    <w:r>
      <w:rPr>
        <w:rFonts w:ascii="Arial" w:hAnsi="Arial" w:cs="Arial"/>
        <w:b/>
        <w:sz w:val="24"/>
        <w:szCs w:val="24"/>
      </w:rPr>
      <w:t>Schedule 125</w:t>
    </w:r>
  </w:p>
  <w:p w:rsidR="00AA5552" w:rsidRDefault="00AA5552" w:rsidP="00FC6657">
    <w:pPr>
      <w:pBdr>
        <w:bottom w:val="single" w:sz="12" w:space="1" w:color="auto"/>
      </w:pBdr>
      <w:rPr>
        <w:rFonts w:ascii="Arial" w:hAnsi="Arial" w:cs="Arial"/>
        <w:b/>
        <w:sz w:val="20"/>
      </w:rPr>
    </w:pPr>
    <w:r>
      <w:rPr>
        <w:rFonts w:ascii="Arial" w:hAnsi="Arial" w:cs="Arial"/>
        <w:b/>
        <w:sz w:val="20"/>
      </w:rPr>
      <w:t>COMMERCIAL &amp; INDUSTRIAL ENERGY SERVICES – OPTIONAL FOR</w:t>
    </w:r>
  </w:p>
  <w:p w:rsidR="00AA5552" w:rsidRPr="009B779C" w:rsidRDefault="00AA5552" w:rsidP="00FC6657">
    <w:pPr>
      <w:pBdr>
        <w:bottom w:val="single" w:sz="12" w:space="1" w:color="auto"/>
      </w:pBdr>
      <w:rPr>
        <w:rFonts w:ascii="Arial" w:hAnsi="Arial" w:cs="Arial"/>
        <w:b/>
        <w:sz w:val="20"/>
      </w:rPr>
    </w:pPr>
    <w:r>
      <w:rPr>
        <w:rFonts w:ascii="Arial" w:hAnsi="Arial" w:cs="Arial"/>
        <w:b/>
        <w:sz w:val="20"/>
      </w:rPr>
      <w:t>QUALIFYING CUSTOMERS</w:t>
    </w:r>
  </w:p>
  <w:p w:rsidR="00AA5552" w:rsidRPr="004A79FF" w:rsidRDefault="00AA5552" w:rsidP="004A79F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143D4A" w:rsidRDefault="000A75FE" w:rsidP="00FC665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55" o:spid="_x0000_s2061" type="#_x0000_t32" style="position:absolute;margin-left:383.25pt;margin-top:-19.45pt;width:0;height:114.7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ARHQIAADw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"/>
      </w:pict>
    </w:r>
    <w:r w:rsidRPr="000A75FE">
      <w:rPr>
        <w:rFonts w:ascii="Courier New" w:hAnsi="Courier New"/>
        <w:noProof/>
        <w:sz w:val="18"/>
        <w:szCs w:val="20"/>
      </w:rPr>
      <w:pict>
        <v:shape id="AutoShape 56" o:spid="_x0000_s2062" type="#_x0000_t32" style="position:absolute;margin-left:383.25pt;margin-top:-5.65pt;width:0;height:114.7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c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"/>
      </w:pict>
    </w:r>
    <w:r w:rsidR="00AA5552">
      <w:rPr>
        <w:rFonts w:ascii="Arial" w:hAnsi="Arial" w:cs="Arial"/>
        <w:b/>
        <w:noProof/>
        <w:sz w:val="24"/>
        <w:szCs w:val="24"/>
      </w:rPr>
      <w:t>PACIFIC POWER &amp; LIGHT COMPANY</w:t>
    </w:r>
  </w:p>
  <w:p w:rsidR="00AA5552" w:rsidRDefault="00AA5552" w:rsidP="00FC665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FC665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FC6657">
    <w:pPr>
      <w:tabs>
        <w:tab w:val="left" w:pos="7200"/>
      </w:tabs>
      <w:ind w:right="2160"/>
      <w:jc w:val="right"/>
      <w:rPr>
        <w:rFonts w:ascii="Arial" w:hAnsi="Arial" w:cs="Arial"/>
        <w:sz w:val="20"/>
      </w:rPr>
    </w:pPr>
  </w:p>
  <w:p w:rsidR="00AA5552" w:rsidRDefault="00AA5552" w:rsidP="00FC6657">
    <w:pPr>
      <w:tabs>
        <w:tab w:val="left" w:pos="7200"/>
      </w:tabs>
      <w:ind w:right="2160"/>
      <w:jc w:val="right"/>
      <w:rPr>
        <w:rFonts w:ascii="Arial" w:hAnsi="Arial" w:cs="Arial"/>
        <w:sz w:val="20"/>
      </w:rPr>
    </w:pPr>
    <w:r>
      <w:rPr>
        <w:rFonts w:ascii="Arial" w:hAnsi="Arial" w:cs="Arial"/>
        <w:sz w:val="20"/>
      </w:rPr>
      <w:t>Original Sheet No. 125.5</w:t>
    </w:r>
  </w:p>
  <w:p w:rsidR="00AA5552" w:rsidRDefault="00AA5552" w:rsidP="00FC6657">
    <w:pPr>
      <w:rPr>
        <w:rFonts w:ascii="Arial" w:hAnsi="Arial" w:cs="Arial"/>
        <w:sz w:val="20"/>
      </w:rPr>
    </w:pPr>
    <w:r>
      <w:rPr>
        <w:rFonts w:ascii="Arial" w:hAnsi="Arial" w:cs="Arial"/>
        <w:sz w:val="20"/>
      </w:rPr>
      <w:tab/>
    </w:r>
  </w:p>
  <w:p w:rsidR="00AA5552" w:rsidRPr="00CF64E6" w:rsidRDefault="00AA5552" w:rsidP="00FC6657">
    <w:pPr>
      <w:tabs>
        <w:tab w:val="left" w:pos="7200"/>
      </w:tabs>
      <w:ind w:right="2160"/>
      <w:rPr>
        <w:rFonts w:ascii="Arial" w:hAnsi="Arial" w:cs="Arial"/>
        <w:b/>
        <w:sz w:val="24"/>
        <w:szCs w:val="24"/>
      </w:rPr>
    </w:pPr>
    <w:r>
      <w:rPr>
        <w:rFonts w:ascii="Arial" w:hAnsi="Arial" w:cs="Arial"/>
        <w:b/>
        <w:sz w:val="24"/>
        <w:szCs w:val="24"/>
      </w:rPr>
      <w:t>Schedule 125</w:t>
    </w:r>
  </w:p>
  <w:p w:rsidR="00AA5552" w:rsidRDefault="00AA5552" w:rsidP="00FC6657">
    <w:pPr>
      <w:pBdr>
        <w:bottom w:val="single" w:sz="12" w:space="1" w:color="auto"/>
      </w:pBdr>
      <w:rPr>
        <w:rFonts w:ascii="Arial" w:hAnsi="Arial" w:cs="Arial"/>
        <w:b/>
        <w:sz w:val="20"/>
      </w:rPr>
    </w:pPr>
    <w:r>
      <w:rPr>
        <w:rFonts w:ascii="Arial" w:hAnsi="Arial" w:cs="Arial"/>
        <w:b/>
        <w:sz w:val="20"/>
      </w:rPr>
      <w:t>COMMERCIAL &amp; INDUSTRIAL ENERGY SERVICES – OPTIONAL FOR</w:t>
    </w:r>
  </w:p>
  <w:p w:rsidR="00AA5552" w:rsidRPr="001342D3" w:rsidRDefault="00AA5552" w:rsidP="001342D3">
    <w:pPr>
      <w:pBdr>
        <w:bottom w:val="single" w:sz="12" w:space="1" w:color="auto"/>
      </w:pBdr>
      <w:rPr>
        <w:rFonts w:ascii="Arial" w:hAnsi="Arial" w:cs="Arial"/>
        <w:b/>
        <w:sz w:val="20"/>
      </w:rPr>
    </w:pPr>
    <w:r>
      <w:rPr>
        <w:rFonts w:ascii="Arial" w:hAnsi="Arial" w:cs="Arial"/>
        <w:b/>
        <w:sz w:val="20"/>
      </w:rPr>
      <w:t>QUALIFYING CUSTOMERS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EA0957" w:rsidRDefault="000A75FE" w:rsidP="00FC6657">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59" o:spid="_x0000_s2063" type="#_x0000_t32" style="position:absolute;margin-left:383.25pt;margin-top:-19.45pt;width:0;height:114.7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hh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"/>
      </w:pict>
    </w:r>
    <w:r w:rsidRPr="000A75FE">
      <w:rPr>
        <w:rFonts w:ascii="Courier New" w:hAnsi="Courier New"/>
        <w:noProof/>
        <w:sz w:val="18"/>
        <w:szCs w:val="20"/>
      </w:rPr>
      <w:pict>
        <v:shape id="AutoShape 60" o:spid="_x0000_s2064" type="#_x0000_t32" style="position:absolute;margin-left:383.25pt;margin-top:-5.65pt;width:0;height:114.7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l0HQIAADw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"/>
      </w:pict>
    </w:r>
    <w:r w:rsidR="00AA5552">
      <w:rPr>
        <w:rFonts w:ascii="Arial" w:hAnsi="Arial" w:cs="Arial"/>
        <w:b/>
        <w:noProof/>
        <w:sz w:val="24"/>
        <w:szCs w:val="24"/>
      </w:rPr>
      <w:t>PACIFIC POWER &amp; LIGHT COMPANY</w:t>
    </w:r>
  </w:p>
  <w:p w:rsidR="00AA5552" w:rsidRDefault="00AA5552" w:rsidP="00FC665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FC665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FC6657">
    <w:pPr>
      <w:tabs>
        <w:tab w:val="left" w:pos="7200"/>
      </w:tabs>
      <w:ind w:right="2160"/>
      <w:jc w:val="right"/>
      <w:rPr>
        <w:rFonts w:ascii="Arial" w:hAnsi="Arial" w:cs="Arial"/>
        <w:sz w:val="20"/>
      </w:rPr>
    </w:pPr>
  </w:p>
  <w:p w:rsidR="00AA5552" w:rsidRDefault="00AA5552" w:rsidP="00FC6657">
    <w:pPr>
      <w:tabs>
        <w:tab w:val="left" w:pos="7200"/>
      </w:tabs>
      <w:ind w:right="2160"/>
      <w:jc w:val="right"/>
      <w:rPr>
        <w:rFonts w:ascii="Arial" w:hAnsi="Arial" w:cs="Arial"/>
        <w:sz w:val="20"/>
      </w:rPr>
    </w:pPr>
    <w:r>
      <w:rPr>
        <w:rFonts w:ascii="Arial" w:hAnsi="Arial" w:cs="Arial"/>
        <w:sz w:val="20"/>
      </w:rPr>
      <w:t>Original Sheet No. 125.6</w:t>
    </w:r>
  </w:p>
  <w:p w:rsidR="00AA5552" w:rsidRDefault="00AA5552" w:rsidP="00FC6657">
    <w:pPr>
      <w:rPr>
        <w:rFonts w:ascii="Arial" w:hAnsi="Arial" w:cs="Arial"/>
        <w:sz w:val="20"/>
      </w:rPr>
    </w:pPr>
    <w:r>
      <w:rPr>
        <w:rFonts w:ascii="Arial" w:hAnsi="Arial" w:cs="Arial"/>
        <w:sz w:val="20"/>
      </w:rPr>
      <w:tab/>
    </w:r>
  </w:p>
  <w:p w:rsidR="00AA5552" w:rsidRPr="00CF64E6" w:rsidRDefault="00AA5552" w:rsidP="00FC6657">
    <w:pPr>
      <w:tabs>
        <w:tab w:val="left" w:pos="7200"/>
      </w:tabs>
      <w:ind w:right="2160"/>
      <w:rPr>
        <w:rFonts w:ascii="Arial" w:hAnsi="Arial" w:cs="Arial"/>
        <w:b/>
        <w:sz w:val="24"/>
        <w:szCs w:val="24"/>
      </w:rPr>
    </w:pPr>
    <w:r>
      <w:rPr>
        <w:rFonts w:ascii="Arial" w:hAnsi="Arial" w:cs="Arial"/>
        <w:b/>
        <w:sz w:val="24"/>
        <w:szCs w:val="24"/>
      </w:rPr>
      <w:t>Schedule 125</w:t>
    </w:r>
  </w:p>
  <w:p w:rsidR="00AA5552" w:rsidRDefault="00AA5552" w:rsidP="00FC6657">
    <w:pPr>
      <w:pBdr>
        <w:bottom w:val="single" w:sz="12" w:space="1" w:color="auto"/>
      </w:pBdr>
      <w:rPr>
        <w:rFonts w:ascii="Arial" w:hAnsi="Arial" w:cs="Arial"/>
        <w:b/>
        <w:sz w:val="20"/>
      </w:rPr>
    </w:pPr>
    <w:r>
      <w:rPr>
        <w:rFonts w:ascii="Arial" w:hAnsi="Arial" w:cs="Arial"/>
        <w:b/>
        <w:sz w:val="20"/>
      </w:rPr>
      <w:t>COMMERCIAL &amp; INDUSTRIAL ENERGY SERVICES – OPTIONAL FOR</w:t>
    </w:r>
  </w:p>
  <w:p w:rsidR="00AA5552" w:rsidRPr="009B779C" w:rsidRDefault="00AA5552" w:rsidP="00FC6657">
    <w:pPr>
      <w:pBdr>
        <w:bottom w:val="single" w:sz="12" w:space="1" w:color="auto"/>
      </w:pBdr>
      <w:rPr>
        <w:rFonts w:ascii="Arial" w:hAnsi="Arial" w:cs="Arial"/>
        <w:b/>
        <w:sz w:val="20"/>
      </w:rPr>
    </w:pPr>
    <w:r>
      <w:rPr>
        <w:rFonts w:ascii="Arial" w:hAnsi="Arial" w:cs="Arial"/>
        <w:b/>
        <w:sz w:val="20"/>
      </w:rPr>
      <w:t>QUALIFYING CUSTOMERS</w:t>
    </w:r>
  </w:p>
  <w:p w:rsidR="00AA5552" w:rsidRPr="00FC6657" w:rsidRDefault="00AA5552" w:rsidP="00FC6657">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B227BF" w:rsidRDefault="000A75FE" w:rsidP="00C06AAC">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43" o:spid="_x0000_s2053" type="#_x0000_t32" style="position:absolute;margin-left:384pt;margin-top:-19.45pt;width:0;height:114.7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UwHQIAADw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"/>
      </w:pict>
    </w:r>
    <w:r w:rsidRPr="000A75FE">
      <w:rPr>
        <w:rFonts w:ascii="Courier New" w:hAnsi="Courier New"/>
        <w:noProof/>
        <w:sz w:val="18"/>
        <w:szCs w:val="20"/>
      </w:rPr>
      <w:pict>
        <v:shape id="AutoShape 44" o:spid="_x0000_s2054" type="#_x0000_t32" style="position:absolute;margin-left:384pt;margin-top:-4.9pt;width:0;height:114.7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hZ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"/>
      </w:pict>
    </w:r>
    <w:r w:rsidR="00AA5552">
      <w:rPr>
        <w:rFonts w:ascii="Arial" w:hAnsi="Arial" w:cs="Arial"/>
        <w:b/>
        <w:noProof/>
        <w:sz w:val="24"/>
        <w:szCs w:val="24"/>
      </w:rPr>
      <w:t>PACIFIC POWER &amp; LIGHT COMPANY</w:t>
    </w:r>
  </w:p>
  <w:p w:rsidR="00AA5552" w:rsidRDefault="00AA5552" w:rsidP="00C06AAC">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C06AAC">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C06AAC">
    <w:pPr>
      <w:tabs>
        <w:tab w:val="left" w:pos="7200"/>
      </w:tabs>
      <w:ind w:right="2160"/>
      <w:jc w:val="right"/>
      <w:rPr>
        <w:rFonts w:ascii="Arial" w:hAnsi="Arial" w:cs="Arial"/>
        <w:sz w:val="20"/>
      </w:rPr>
    </w:pPr>
  </w:p>
  <w:p w:rsidR="00AA5552" w:rsidRDefault="00AA5552" w:rsidP="00C06AAC">
    <w:pPr>
      <w:tabs>
        <w:tab w:val="left" w:pos="7200"/>
      </w:tabs>
      <w:ind w:right="2160"/>
      <w:jc w:val="right"/>
      <w:rPr>
        <w:rFonts w:ascii="Arial" w:hAnsi="Arial" w:cs="Arial"/>
        <w:sz w:val="20"/>
      </w:rPr>
    </w:pPr>
    <w:r>
      <w:rPr>
        <w:rFonts w:ascii="Arial" w:hAnsi="Arial" w:cs="Arial"/>
        <w:sz w:val="20"/>
      </w:rPr>
      <w:t>Original Sheet No. 125.7</w:t>
    </w:r>
  </w:p>
  <w:p w:rsidR="00AA5552" w:rsidRDefault="00AA5552" w:rsidP="00C06AAC">
    <w:pPr>
      <w:rPr>
        <w:rFonts w:ascii="Arial" w:hAnsi="Arial" w:cs="Arial"/>
        <w:sz w:val="20"/>
      </w:rPr>
    </w:pPr>
    <w:r>
      <w:rPr>
        <w:rFonts w:ascii="Arial" w:hAnsi="Arial" w:cs="Arial"/>
        <w:sz w:val="20"/>
      </w:rPr>
      <w:tab/>
    </w:r>
  </w:p>
  <w:p w:rsidR="00AA5552" w:rsidRPr="00CF64E6" w:rsidRDefault="00AA5552" w:rsidP="00C06AAC">
    <w:pPr>
      <w:tabs>
        <w:tab w:val="left" w:pos="7200"/>
      </w:tabs>
      <w:ind w:right="2160"/>
      <w:rPr>
        <w:rFonts w:ascii="Arial" w:hAnsi="Arial" w:cs="Arial"/>
        <w:b/>
        <w:sz w:val="24"/>
        <w:szCs w:val="24"/>
      </w:rPr>
    </w:pPr>
    <w:r>
      <w:rPr>
        <w:rFonts w:ascii="Arial" w:hAnsi="Arial" w:cs="Arial"/>
        <w:b/>
        <w:sz w:val="24"/>
        <w:szCs w:val="24"/>
      </w:rPr>
      <w:t>Schedule 125</w:t>
    </w:r>
  </w:p>
  <w:p w:rsidR="00AA5552" w:rsidRDefault="00AA5552" w:rsidP="00C06AAC">
    <w:pPr>
      <w:pBdr>
        <w:bottom w:val="single" w:sz="12" w:space="1" w:color="auto"/>
      </w:pBdr>
      <w:rPr>
        <w:rFonts w:ascii="Arial" w:hAnsi="Arial" w:cs="Arial"/>
        <w:b/>
        <w:sz w:val="20"/>
      </w:rPr>
    </w:pPr>
    <w:r>
      <w:rPr>
        <w:rFonts w:ascii="Arial" w:hAnsi="Arial" w:cs="Arial"/>
        <w:b/>
        <w:sz w:val="20"/>
      </w:rPr>
      <w:t>COMMERCIAL &amp; INDUSTRIAL ENERGY SERVICES – OPTIONAL FOR</w:t>
    </w:r>
  </w:p>
  <w:p w:rsidR="00AA5552" w:rsidRPr="009B779C" w:rsidRDefault="00AA5552" w:rsidP="00C06AAC">
    <w:pPr>
      <w:pBdr>
        <w:bottom w:val="single" w:sz="12" w:space="1" w:color="auto"/>
      </w:pBdr>
      <w:rPr>
        <w:rFonts w:ascii="Arial" w:hAnsi="Arial" w:cs="Arial"/>
        <w:b/>
        <w:sz w:val="20"/>
      </w:rPr>
    </w:pPr>
    <w:r>
      <w:rPr>
        <w:rFonts w:ascii="Arial" w:hAnsi="Arial" w:cs="Arial"/>
        <w:b/>
        <w:sz w:val="20"/>
      </w:rPr>
      <w:t>QUALIFYING CUSTOMERS</w:t>
    </w:r>
  </w:p>
  <w:p w:rsidR="00AA5552" w:rsidRPr="004A79FF" w:rsidRDefault="00AA5552" w:rsidP="004A79F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5939CA" w:rsidRDefault="000A75FE" w:rsidP="00FB1652">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61" o:spid="_x0000_s2065" type="#_x0000_t32" style="position:absolute;margin-left:381.75pt;margin-top:-19.45pt;width:0;height:114.7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kFHgIAADw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"/>
      </w:pict>
    </w:r>
    <w:r w:rsidRPr="000A75FE">
      <w:rPr>
        <w:rFonts w:ascii="Courier New" w:hAnsi="Courier New"/>
        <w:noProof/>
        <w:sz w:val="18"/>
        <w:szCs w:val="20"/>
      </w:rPr>
      <w:pict>
        <v:shape id="AutoShape 62" o:spid="_x0000_s2066" type="#_x0000_t32" style="position:absolute;margin-left:381.75pt;margin-top:-6.4pt;width:0;height:114.7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4pHQ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"/>
      </w:pict>
    </w:r>
    <w:r w:rsidR="00AA5552">
      <w:rPr>
        <w:rFonts w:ascii="Arial" w:hAnsi="Arial" w:cs="Arial"/>
        <w:b/>
        <w:noProof/>
        <w:sz w:val="24"/>
        <w:szCs w:val="24"/>
      </w:rPr>
      <w:t>PACIFIC POWER &amp; LIGHT COMPANY</w:t>
    </w:r>
  </w:p>
  <w:p w:rsidR="00AA5552" w:rsidRDefault="00AA5552" w:rsidP="00FB1652">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FB1652">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FB1652">
    <w:pPr>
      <w:tabs>
        <w:tab w:val="left" w:pos="7200"/>
      </w:tabs>
      <w:ind w:right="2160"/>
      <w:jc w:val="right"/>
      <w:rPr>
        <w:rFonts w:ascii="Arial" w:hAnsi="Arial" w:cs="Arial"/>
        <w:sz w:val="20"/>
      </w:rPr>
    </w:pPr>
  </w:p>
  <w:p w:rsidR="00AA5552" w:rsidRDefault="00AA5552" w:rsidP="00FB1652">
    <w:pPr>
      <w:tabs>
        <w:tab w:val="left" w:pos="7200"/>
      </w:tabs>
      <w:ind w:right="2160"/>
      <w:jc w:val="right"/>
      <w:rPr>
        <w:rFonts w:ascii="Arial" w:hAnsi="Arial" w:cs="Arial"/>
        <w:sz w:val="20"/>
      </w:rPr>
    </w:pPr>
    <w:r>
      <w:rPr>
        <w:rFonts w:ascii="Arial" w:hAnsi="Arial" w:cs="Arial"/>
        <w:sz w:val="20"/>
      </w:rPr>
      <w:t>Original Sheet No. 113.1</w:t>
    </w:r>
  </w:p>
  <w:p w:rsidR="00AA5552" w:rsidRDefault="00AA5552" w:rsidP="00FB1652">
    <w:pPr>
      <w:rPr>
        <w:rFonts w:ascii="Arial" w:hAnsi="Arial" w:cs="Arial"/>
        <w:sz w:val="20"/>
      </w:rPr>
    </w:pPr>
    <w:r>
      <w:rPr>
        <w:rFonts w:ascii="Arial" w:hAnsi="Arial" w:cs="Arial"/>
        <w:sz w:val="20"/>
      </w:rPr>
      <w:tab/>
    </w:r>
  </w:p>
  <w:p w:rsidR="00AA5552" w:rsidRPr="00CF64E6" w:rsidRDefault="00AA5552" w:rsidP="00FB1652">
    <w:pPr>
      <w:tabs>
        <w:tab w:val="left" w:pos="7200"/>
      </w:tabs>
      <w:ind w:right="2160"/>
      <w:rPr>
        <w:rFonts w:ascii="Arial" w:hAnsi="Arial" w:cs="Arial"/>
        <w:b/>
        <w:sz w:val="24"/>
        <w:szCs w:val="24"/>
      </w:rPr>
    </w:pPr>
    <w:r>
      <w:rPr>
        <w:rFonts w:ascii="Arial" w:hAnsi="Arial" w:cs="Arial"/>
        <w:b/>
        <w:sz w:val="24"/>
        <w:szCs w:val="24"/>
      </w:rPr>
      <w:t>Schedule 113</w:t>
    </w:r>
  </w:p>
  <w:p w:rsidR="00AA5552" w:rsidRDefault="00AA5552" w:rsidP="00FB1652">
    <w:pPr>
      <w:pBdr>
        <w:bottom w:val="single" w:sz="12" w:space="1" w:color="auto"/>
      </w:pBdr>
      <w:rPr>
        <w:rFonts w:ascii="Arial" w:hAnsi="Arial" w:cs="Arial"/>
        <w:b/>
        <w:sz w:val="20"/>
      </w:rPr>
    </w:pPr>
    <w:r>
      <w:rPr>
        <w:rFonts w:ascii="Arial" w:hAnsi="Arial" w:cs="Arial"/>
        <w:b/>
        <w:sz w:val="20"/>
      </w:rPr>
      <w:t xml:space="preserve">RESIDENTIAL ENERGY EFFICIENCY PROGRAM – ENERGY EDUCATION IN </w:t>
    </w:r>
  </w:p>
  <w:p w:rsidR="00AA5552" w:rsidRDefault="00AA5552" w:rsidP="00FB1652">
    <w:pPr>
      <w:pBdr>
        <w:bottom w:val="single" w:sz="12" w:space="1" w:color="auto"/>
      </w:pBdr>
      <w:rPr>
        <w:rFonts w:ascii="Arial" w:hAnsi="Arial" w:cs="Arial"/>
        <w:b/>
        <w:sz w:val="20"/>
      </w:rPr>
    </w:pPr>
    <w:r>
      <w:rPr>
        <w:rFonts w:ascii="Arial" w:hAnsi="Arial" w:cs="Arial"/>
        <w:b/>
        <w:sz w:val="20"/>
      </w:rPr>
      <w:t>SCHOOLS</w:t>
    </w:r>
  </w:p>
  <w:p w:rsidR="00AA5552" w:rsidRPr="004A79FF" w:rsidRDefault="00AA5552" w:rsidP="004A79FF">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4A79FF" w:rsidRDefault="00AA5552" w:rsidP="009C3D09">
    <w:pPr>
      <w:pStyle w:val="Header"/>
      <w:jc w:val="cent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4A79FF" w:rsidRDefault="00AA5552" w:rsidP="009C3D0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CB" w:rsidRDefault="00902F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Default="00AA5552" w:rsidP="008D7B7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AA2EF1" w:rsidRDefault="000A75FE" w:rsidP="009C6DA0">
    <w:pPr>
      <w:pStyle w:val="Header"/>
      <w:tabs>
        <w:tab w:val="clear" w:pos="4680"/>
        <w:tab w:val="right" w:pos="7200"/>
      </w:tabs>
      <w:ind w:right="2160"/>
      <w:rPr>
        <w:rFonts w:ascii="Arial" w:hAnsi="Arial" w:cs="Arial"/>
        <w:b/>
        <w:noProof/>
        <w:sz w:val="24"/>
        <w:szCs w:val="24"/>
      </w:rPr>
    </w:pPr>
    <w:r w:rsidRPr="000A75FE">
      <w:rPr>
        <w:rFonts w:ascii="Arial" w:hAnsi="Arial" w:cs="Arial"/>
        <w:noProof/>
        <w:sz w:val="20"/>
        <w:szCs w:val="20"/>
        <w:u w:val="single"/>
      </w:rPr>
      <w:pict>
        <v:shapetype id="_x0000_t32" coordsize="21600,21600" o:spt="32" o:oned="t" path="m,l21600,21600e" filled="f">
          <v:path arrowok="t" fillok="f" o:connecttype="none"/>
          <o:lock v:ext="edit" shapetype="t"/>
        </v:shapetype>
        <v:shape id="AutoShape 7" o:spid="_x0000_s2071" type="#_x0000_t32" style="position:absolute;margin-left:383.25pt;margin-top:-19.45pt;width:0;height:114.7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D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8wx&#10;kqSDIT0fnQq50aNvUK9tBn6F3BtfIj3LV/2i6HeLpCoaImsenN8uGmITHxHdhfiN1ZDm0H9WDHwI&#10;4Id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"/>
      </w:pict>
    </w:r>
    <w:r w:rsidRPr="000A75FE">
      <w:rPr>
        <w:rFonts w:ascii="Courier New" w:hAnsi="Courier New"/>
        <w:noProof/>
        <w:sz w:val="18"/>
        <w:szCs w:val="20"/>
      </w:rPr>
      <w:pict>
        <v:shape id="AutoShape 8" o:spid="_x0000_s2072" type="#_x0000_t32" style="position:absolute;margin-left:383.25pt;margin-top:-5.65pt;width:0;height:114.7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VN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"/>
      </w:pict>
    </w:r>
    <w:r w:rsidR="00AA5552">
      <w:rPr>
        <w:rFonts w:ascii="Arial" w:hAnsi="Arial" w:cs="Arial"/>
        <w:b/>
        <w:noProof/>
        <w:sz w:val="24"/>
        <w:szCs w:val="24"/>
      </w:rPr>
      <w:t>PACIFIC POWER &amp; LIGHT COMPANY</w:t>
    </w:r>
  </w:p>
  <w:p w:rsidR="00AA5552" w:rsidRDefault="00AA5552" w:rsidP="009C6DA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AA5552" w:rsidRPr="00CD01ED" w:rsidRDefault="00AA5552" w:rsidP="009C6DA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A5552" w:rsidRDefault="00AA5552" w:rsidP="009C6DA0">
    <w:pPr>
      <w:tabs>
        <w:tab w:val="left" w:pos="7200"/>
      </w:tabs>
      <w:ind w:right="2160"/>
      <w:jc w:val="right"/>
      <w:rPr>
        <w:rFonts w:ascii="Arial" w:hAnsi="Arial" w:cs="Arial"/>
        <w:sz w:val="20"/>
      </w:rPr>
    </w:pPr>
  </w:p>
  <w:p w:rsidR="00AA5552" w:rsidRDefault="00AA5552" w:rsidP="009C6DA0">
    <w:pPr>
      <w:tabs>
        <w:tab w:val="left" w:pos="7200"/>
      </w:tabs>
      <w:ind w:right="2160"/>
      <w:jc w:val="right"/>
      <w:rPr>
        <w:rFonts w:ascii="Arial" w:hAnsi="Arial" w:cs="Arial"/>
        <w:sz w:val="20"/>
      </w:rPr>
    </w:pPr>
    <w:r>
      <w:rPr>
        <w:rFonts w:ascii="Arial" w:hAnsi="Arial" w:cs="Arial"/>
        <w:sz w:val="20"/>
      </w:rPr>
      <w:t>Original Sheet No. 107.1</w:t>
    </w:r>
  </w:p>
  <w:p w:rsidR="00AA5552" w:rsidRDefault="00AA5552" w:rsidP="009C6DA0">
    <w:pPr>
      <w:rPr>
        <w:rFonts w:ascii="Arial" w:hAnsi="Arial" w:cs="Arial"/>
        <w:sz w:val="20"/>
      </w:rPr>
    </w:pPr>
    <w:r>
      <w:rPr>
        <w:rFonts w:ascii="Arial" w:hAnsi="Arial" w:cs="Arial"/>
        <w:sz w:val="20"/>
      </w:rPr>
      <w:tab/>
    </w:r>
  </w:p>
  <w:p w:rsidR="00AA5552" w:rsidRPr="00CF64E6" w:rsidRDefault="00AA5552" w:rsidP="009C6DA0">
    <w:pPr>
      <w:tabs>
        <w:tab w:val="left" w:pos="7200"/>
      </w:tabs>
      <w:ind w:right="2160"/>
      <w:rPr>
        <w:rFonts w:ascii="Arial" w:hAnsi="Arial" w:cs="Arial"/>
        <w:b/>
        <w:sz w:val="24"/>
        <w:szCs w:val="24"/>
      </w:rPr>
    </w:pPr>
    <w:r>
      <w:rPr>
        <w:rFonts w:ascii="Arial" w:hAnsi="Arial" w:cs="Arial"/>
        <w:b/>
        <w:sz w:val="24"/>
        <w:szCs w:val="24"/>
      </w:rPr>
      <w:t>Schedule 107</w:t>
    </w:r>
  </w:p>
  <w:p w:rsidR="00AA5552" w:rsidRDefault="00AA5552" w:rsidP="009C6DA0">
    <w:pPr>
      <w:pBdr>
        <w:bottom w:val="single" w:sz="12" w:space="1" w:color="auto"/>
      </w:pBdr>
      <w:rPr>
        <w:rFonts w:ascii="Arial" w:hAnsi="Arial" w:cs="Arial"/>
        <w:b/>
        <w:sz w:val="20"/>
      </w:rPr>
    </w:pPr>
    <w:r>
      <w:rPr>
        <w:rFonts w:ascii="Arial" w:hAnsi="Arial" w:cs="Arial"/>
        <w:b/>
        <w:sz w:val="20"/>
      </w:rPr>
      <w:t>RESIDENTIAL REFRIGERATOR RECYCLING PROGRAM – RESIDENTIAL</w:t>
    </w:r>
  </w:p>
  <w:p w:rsidR="00AA5552" w:rsidRDefault="00AA5552" w:rsidP="009C6DA0">
    <w:pPr>
      <w:pBdr>
        <w:bottom w:val="single" w:sz="12" w:space="1" w:color="auto"/>
      </w:pBdr>
      <w:rPr>
        <w:rFonts w:ascii="Arial" w:hAnsi="Arial" w:cs="Arial"/>
        <w:b/>
        <w:sz w:val="20"/>
      </w:rPr>
    </w:pPr>
    <w:r>
      <w:rPr>
        <w:rFonts w:ascii="Arial" w:hAnsi="Arial" w:cs="Arial"/>
        <w:b/>
        <w:sz w:val="20"/>
      </w:rPr>
      <w:t xml:space="preserve">SERVICE OPTIONAL FOR QUALIFYING CUSTOMERS </w:t>
    </w:r>
  </w:p>
  <w:p w:rsidR="00AA5552" w:rsidRPr="009C6DA0" w:rsidRDefault="00AA5552" w:rsidP="008D7B72">
    <w:pPr>
      <w:pStyle w:val="Header"/>
      <w:rPr>
        <w:sz w:val="16"/>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9C6DA0" w:rsidRDefault="00AA5552" w:rsidP="009C6DA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FC7F1C" w:rsidRDefault="00AA5552" w:rsidP="008F682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FC7F1C" w:rsidRDefault="00AA5552" w:rsidP="00FC7F1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52" w:rsidRPr="00D822B6" w:rsidRDefault="00AA5552" w:rsidP="00D822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BFB"/>
    <w:multiLevelType w:val="singleLevel"/>
    <w:tmpl w:val="DF927BC6"/>
    <w:lvl w:ilvl="0">
      <w:start w:val="8"/>
      <w:numFmt w:val="decimal"/>
      <w:lvlText w:val="(%1)"/>
      <w:lvlJc w:val="left"/>
      <w:pPr>
        <w:tabs>
          <w:tab w:val="num" w:pos="840"/>
        </w:tabs>
        <w:ind w:left="840" w:hanging="720"/>
      </w:pPr>
      <w:rPr>
        <w:rFonts w:ascii="Arial" w:hAnsi="Arial" w:cs="Arial" w:hint="default"/>
        <w:b w:val="0"/>
        <w:i w:val="0"/>
        <w:sz w:val="20"/>
      </w:rPr>
    </w:lvl>
  </w:abstractNum>
  <w:abstractNum w:abstractNumId="1">
    <w:nsid w:val="10430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DC756D"/>
    <w:multiLevelType w:val="singleLevel"/>
    <w:tmpl w:val="3D3EFEF8"/>
    <w:lvl w:ilvl="0">
      <w:start w:val="4"/>
      <w:numFmt w:val="decimal"/>
      <w:lvlText w:val="(%1)"/>
      <w:lvlJc w:val="left"/>
      <w:pPr>
        <w:tabs>
          <w:tab w:val="num" w:pos="360"/>
        </w:tabs>
        <w:ind w:left="360" w:hanging="360"/>
      </w:pPr>
      <w:rPr>
        <w:rFonts w:hint="default"/>
      </w:rPr>
    </w:lvl>
  </w:abstractNum>
  <w:abstractNum w:abstractNumId="3">
    <w:nsid w:val="14941F05"/>
    <w:multiLevelType w:val="hybridMultilevel"/>
    <w:tmpl w:val="DA4AF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2734B"/>
    <w:multiLevelType w:val="singleLevel"/>
    <w:tmpl w:val="B52A972C"/>
    <w:lvl w:ilvl="0">
      <w:start w:val="1"/>
      <w:numFmt w:val="lowerLetter"/>
      <w:lvlText w:val="(%1)"/>
      <w:lvlJc w:val="left"/>
      <w:pPr>
        <w:tabs>
          <w:tab w:val="num" w:pos="720"/>
        </w:tabs>
        <w:ind w:left="720" w:hanging="360"/>
      </w:pPr>
      <w:rPr>
        <w:rFonts w:hint="default"/>
      </w:rPr>
    </w:lvl>
  </w:abstractNum>
  <w:abstractNum w:abstractNumId="5">
    <w:nsid w:val="18C60FD1"/>
    <w:multiLevelType w:val="singleLevel"/>
    <w:tmpl w:val="FEC8D74E"/>
    <w:lvl w:ilvl="0">
      <w:start w:val="4"/>
      <w:numFmt w:val="decimal"/>
      <w:lvlText w:val="(%1)"/>
      <w:lvlJc w:val="left"/>
      <w:pPr>
        <w:tabs>
          <w:tab w:val="num" w:pos="720"/>
        </w:tabs>
        <w:ind w:left="720" w:hanging="720"/>
      </w:pPr>
      <w:rPr>
        <w:rFonts w:hint="default"/>
      </w:rPr>
    </w:lvl>
  </w:abstractNum>
  <w:abstractNum w:abstractNumId="6">
    <w:nsid w:val="1C7E504C"/>
    <w:multiLevelType w:val="singleLevel"/>
    <w:tmpl w:val="8C52AD10"/>
    <w:lvl w:ilvl="0">
      <w:start w:val="4"/>
      <w:numFmt w:val="decimal"/>
      <w:lvlText w:val="(%1)"/>
      <w:lvlJc w:val="left"/>
      <w:pPr>
        <w:tabs>
          <w:tab w:val="num" w:pos="360"/>
        </w:tabs>
        <w:ind w:left="360" w:hanging="360"/>
      </w:pPr>
      <w:rPr>
        <w:rFonts w:hint="default"/>
        <w:b w:val="0"/>
      </w:rPr>
    </w:lvl>
  </w:abstractNum>
  <w:abstractNum w:abstractNumId="7">
    <w:nsid w:val="29B948E4"/>
    <w:multiLevelType w:val="singleLevel"/>
    <w:tmpl w:val="23CCAA18"/>
    <w:lvl w:ilvl="0">
      <w:start w:val="5"/>
      <w:numFmt w:val="decimal"/>
      <w:lvlText w:val="(%1)"/>
      <w:lvlJc w:val="left"/>
      <w:pPr>
        <w:tabs>
          <w:tab w:val="num" w:pos="720"/>
        </w:tabs>
        <w:ind w:left="720" w:hanging="720"/>
      </w:pPr>
      <w:rPr>
        <w:rFonts w:hint="default"/>
      </w:rPr>
    </w:lvl>
  </w:abstractNum>
  <w:abstractNum w:abstractNumId="8">
    <w:nsid w:val="2AD31AA1"/>
    <w:multiLevelType w:val="hybridMultilevel"/>
    <w:tmpl w:val="DC8EB4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625A1"/>
    <w:multiLevelType w:val="hybridMultilevel"/>
    <w:tmpl w:val="1A9AEE68"/>
    <w:lvl w:ilvl="0" w:tplc="914A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B1CC1"/>
    <w:multiLevelType w:val="hybridMultilevel"/>
    <w:tmpl w:val="54B04730"/>
    <w:lvl w:ilvl="0" w:tplc="E8E8C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56BDE"/>
    <w:multiLevelType w:val="hybridMultilevel"/>
    <w:tmpl w:val="F906E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052F9D"/>
    <w:multiLevelType w:val="hybridMultilevel"/>
    <w:tmpl w:val="CCF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FE4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DC7ECB"/>
    <w:multiLevelType w:val="hybridMultilevel"/>
    <w:tmpl w:val="21F28B96"/>
    <w:lvl w:ilvl="0" w:tplc="929E54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051F66"/>
    <w:multiLevelType w:val="hybridMultilevel"/>
    <w:tmpl w:val="5E4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436094"/>
    <w:multiLevelType w:val="hybridMultilevel"/>
    <w:tmpl w:val="C6B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74044"/>
    <w:multiLevelType w:val="singleLevel"/>
    <w:tmpl w:val="514C311A"/>
    <w:lvl w:ilvl="0">
      <w:start w:val="1"/>
      <w:numFmt w:val="decimal"/>
      <w:lvlText w:val="(%1)"/>
      <w:lvlJc w:val="left"/>
      <w:pPr>
        <w:tabs>
          <w:tab w:val="num" w:pos="720"/>
        </w:tabs>
        <w:ind w:left="720" w:hanging="720"/>
      </w:pPr>
      <w:rPr>
        <w:rFonts w:hint="default"/>
      </w:rPr>
    </w:lvl>
  </w:abstractNum>
  <w:abstractNum w:abstractNumId="18">
    <w:nsid w:val="5BA754DB"/>
    <w:multiLevelType w:val="hybridMultilevel"/>
    <w:tmpl w:val="4670ADE8"/>
    <w:lvl w:ilvl="0" w:tplc="069E474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97440D"/>
    <w:multiLevelType w:val="singleLevel"/>
    <w:tmpl w:val="ACD84C0E"/>
    <w:lvl w:ilvl="0">
      <w:start w:val="2"/>
      <w:numFmt w:val="decimal"/>
      <w:lvlText w:val="(%1)"/>
      <w:lvlJc w:val="left"/>
      <w:pPr>
        <w:tabs>
          <w:tab w:val="num" w:pos="720"/>
        </w:tabs>
        <w:ind w:left="720" w:hanging="720"/>
      </w:pPr>
      <w:rPr>
        <w:rFonts w:hint="default"/>
      </w:rPr>
    </w:lvl>
  </w:abstractNum>
  <w:abstractNum w:abstractNumId="21">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74D12"/>
    <w:multiLevelType w:val="hybridMultilevel"/>
    <w:tmpl w:val="E412347A"/>
    <w:lvl w:ilvl="0" w:tplc="0B52A5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757E10"/>
    <w:multiLevelType w:val="hybridMultilevel"/>
    <w:tmpl w:val="0A1C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0"/>
  </w:num>
  <w:num w:numId="4">
    <w:abstractNumId w:val="12"/>
  </w:num>
  <w:num w:numId="5">
    <w:abstractNumId w:val="24"/>
  </w:num>
  <w:num w:numId="6">
    <w:abstractNumId w:val="14"/>
  </w:num>
  <w:num w:numId="7">
    <w:abstractNumId w:val="15"/>
  </w:num>
  <w:num w:numId="8">
    <w:abstractNumId w:val="7"/>
  </w:num>
  <w:num w:numId="9">
    <w:abstractNumId w:val="20"/>
  </w:num>
  <w:num w:numId="10">
    <w:abstractNumId w:val="17"/>
  </w:num>
  <w:num w:numId="11">
    <w:abstractNumId w:val="2"/>
  </w:num>
  <w:num w:numId="12">
    <w:abstractNumId w:val="5"/>
  </w:num>
  <w:num w:numId="13">
    <w:abstractNumId w:val="18"/>
  </w:num>
  <w:num w:numId="14">
    <w:abstractNumId w:val="0"/>
  </w:num>
  <w:num w:numId="15">
    <w:abstractNumId w:val="22"/>
  </w:num>
  <w:num w:numId="16">
    <w:abstractNumId w:val="4"/>
  </w:num>
  <w:num w:numId="17">
    <w:abstractNumId w:val="6"/>
  </w:num>
  <w:num w:numId="18">
    <w:abstractNumId w:val="9"/>
  </w:num>
  <w:num w:numId="19">
    <w:abstractNumId w:val="1"/>
  </w:num>
  <w:num w:numId="20">
    <w:abstractNumId w:val="13"/>
  </w:num>
  <w:num w:numId="21">
    <w:abstractNumId w:val="19"/>
  </w:num>
  <w:num w:numId="22">
    <w:abstractNumId w:val="21"/>
  </w:num>
  <w:num w:numId="23">
    <w:abstractNumId w:val="8"/>
  </w:num>
  <w:num w:numId="24">
    <w:abstractNumId w:val="16"/>
  </w:num>
  <w:num w:numId="25">
    <w:abstractNumId w:val="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79"/>
    <o:shapelayout v:ext="edit">
      <o:idmap v:ext="edit" data="2"/>
      <o:rules v:ext="edit">
        <o:r id="V:Rule31" type="connector" idref="#AutoShape 27"/>
        <o:r id="V:Rule32" type="connector" idref="#AutoShape 47"/>
        <o:r id="V:Rule33" type="connector" idref="#AutoShape 8"/>
        <o:r id="V:Rule34" type="connector" idref="#AutoShape 49"/>
        <o:r id="V:Rule35" type="connector" idref="#_x0000_s2070"/>
        <o:r id="V:Rule36" type="connector" idref="#AutoShape 44"/>
        <o:r id="V:Rule37" type="connector" idref="#AutoShape 59"/>
        <o:r id="V:Rule38" type="connector" idref="#AutoShape 21"/>
        <o:r id="V:Rule39" type="connector" idref="#_x0000_s2075"/>
        <o:r id="V:Rule40" type="connector" idref="#AutoShape 55"/>
        <o:r id="V:Rule41" type="connector" idref="#AutoShape 56"/>
        <o:r id="V:Rule42" type="connector" idref="#AutoShape 48"/>
        <o:r id="V:Rule43" type="connector" idref="#AutoShape 62"/>
        <o:r id="V:Rule44" type="connector" idref="#AutoShape 54"/>
        <o:r id="V:Rule45" type="connector" idref="#AutoShape 22"/>
        <o:r id="V:Rule46" type="connector" idref="#AutoShape 39"/>
        <o:r id="V:Rule47" type="connector" idref="#AutoShape 61"/>
        <o:r id="V:Rule48" type="connector" idref="#_x0000_s2068"/>
        <o:r id="V:Rule49" type="connector" idref="#AutoShape 36"/>
        <o:r id="V:Rule50" type="connector" idref="#_x0000_s2069"/>
        <o:r id="V:Rule51" type="connector" idref="#AutoShape 43"/>
        <o:r id="V:Rule52" type="connector" idref="#AutoShape 28"/>
        <o:r id="V:Rule53" type="connector" idref="#AutoShape 35"/>
        <o:r id="V:Rule54" type="connector" idref="#AutoShape 50"/>
        <o:r id="V:Rule55" type="connector" idref="#_x0000_s2076"/>
        <o:r id="V:Rule56" type="connector" idref="#AutoShape 60"/>
        <o:r id="V:Rule57" type="connector" idref="#AutoShape 40"/>
        <o:r id="V:Rule58" type="connector" idref="#_x0000_s2067"/>
        <o:r id="V:Rule59" type="connector" idref="#AutoShape 7"/>
        <o:r id="V:Rule60" type="connector" idref="#AutoShape 53"/>
      </o:rules>
    </o:shapelayout>
  </w:hdrShapeDefaults>
  <w:footnotePr>
    <w:footnote w:id="-1"/>
    <w:footnote w:id="0"/>
  </w:footnotePr>
  <w:endnotePr>
    <w:endnote w:id="-1"/>
    <w:endnote w:id="0"/>
  </w:endnotePr>
  <w:compat/>
  <w:rsids>
    <w:rsidRoot w:val="00E42A53"/>
    <w:rsid w:val="00000C11"/>
    <w:rsid w:val="00000D9D"/>
    <w:rsid w:val="000015F2"/>
    <w:rsid w:val="00002A49"/>
    <w:rsid w:val="00003198"/>
    <w:rsid w:val="000048F7"/>
    <w:rsid w:val="0000511A"/>
    <w:rsid w:val="00005767"/>
    <w:rsid w:val="00006C41"/>
    <w:rsid w:val="0001086E"/>
    <w:rsid w:val="00011632"/>
    <w:rsid w:val="000125F2"/>
    <w:rsid w:val="00012FC7"/>
    <w:rsid w:val="000148EA"/>
    <w:rsid w:val="00015B16"/>
    <w:rsid w:val="00016700"/>
    <w:rsid w:val="00016BF3"/>
    <w:rsid w:val="000179FF"/>
    <w:rsid w:val="00017EA4"/>
    <w:rsid w:val="000200D5"/>
    <w:rsid w:val="00020FF4"/>
    <w:rsid w:val="0002134F"/>
    <w:rsid w:val="00021BDD"/>
    <w:rsid w:val="000223B0"/>
    <w:rsid w:val="000231F4"/>
    <w:rsid w:val="00023A0B"/>
    <w:rsid w:val="00024B95"/>
    <w:rsid w:val="000257C2"/>
    <w:rsid w:val="00025ACD"/>
    <w:rsid w:val="00025D0B"/>
    <w:rsid w:val="00025FD5"/>
    <w:rsid w:val="0002775E"/>
    <w:rsid w:val="00027849"/>
    <w:rsid w:val="00030F53"/>
    <w:rsid w:val="00031204"/>
    <w:rsid w:val="0003206F"/>
    <w:rsid w:val="000322BC"/>
    <w:rsid w:val="0003254D"/>
    <w:rsid w:val="00032B13"/>
    <w:rsid w:val="00035640"/>
    <w:rsid w:val="0003565D"/>
    <w:rsid w:val="00036BD3"/>
    <w:rsid w:val="0003747C"/>
    <w:rsid w:val="000418D9"/>
    <w:rsid w:val="0004207E"/>
    <w:rsid w:val="00042AC9"/>
    <w:rsid w:val="00042EB5"/>
    <w:rsid w:val="000455E7"/>
    <w:rsid w:val="00045FE4"/>
    <w:rsid w:val="000479AD"/>
    <w:rsid w:val="00047E45"/>
    <w:rsid w:val="00050BD3"/>
    <w:rsid w:val="00051B6D"/>
    <w:rsid w:val="000522CA"/>
    <w:rsid w:val="00054DCA"/>
    <w:rsid w:val="000576BD"/>
    <w:rsid w:val="00061C22"/>
    <w:rsid w:val="00062130"/>
    <w:rsid w:val="000628EE"/>
    <w:rsid w:val="0006488C"/>
    <w:rsid w:val="000654AF"/>
    <w:rsid w:val="00065C9A"/>
    <w:rsid w:val="00067A4D"/>
    <w:rsid w:val="00070923"/>
    <w:rsid w:val="00070B14"/>
    <w:rsid w:val="00074C21"/>
    <w:rsid w:val="000750D1"/>
    <w:rsid w:val="000757FC"/>
    <w:rsid w:val="0007710D"/>
    <w:rsid w:val="00077480"/>
    <w:rsid w:val="00080864"/>
    <w:rsid w:val="000809AB"/>
    <w:rsid w:val="0008305B"/>
    <w:rsid w:val="000830C0"/>
    <w:rsid w:val="00083677"/>
    <w:rsid w:val="00085297"/>
    <w:rsid w:val="000859C6"/>
    <w:rsid w:val="00086402"/>
    <w:rsid w:val="000872E7"/>
    <w:rsid w:val="000873CA"/>
    <w:rsid w:val="00087ECD"/>
    <w:rsid w:val="00095C57"/>
    <w:rsid w:val="00096864"/>
    <w:rsid w:val="00096CB3"/>
    <w:rsid w:val="00097ADF"/>
    <w:rsid w:val="000A09CF"/>
    <w:rsid w:val="000A0F61"/>
    <w:rsid w:val="000A1B87"/>
    <w:rsid w:val="000A2F46"/>
    <w:rsid w:val="000A52CB"/>
    <w:rsid w:val="000A5C8E"/>
    <w:rsid w:val="000A75FE"/>
    <w:rsid w:val="000B210C"/>
    <w:rsid w:val="000B292E"/>
    <w:rsid w:val="000B30A8"/>
    <w:rsid w:val="000B3991"/>
    <w:rsid w:val="000B4DBF"/>
    <w:rsid w:val="000B5E11"/>
    <w:rsid w:val="000B7FF7"/>
    <w:rsid w:val="000C13D9"/>
    <w:rsid w:val="000C184D"/>
    <w:rsid w:val="000C1D75"/>
    <w:rsid w:val="000C2A39"/>
    <w:rsid w:val="000C312B"/>
    <w:rsid w:val="000C3A56"/>
    <w:rsid w:val="000C43F0"/>
    <w:rsid w:val="000C46CF"/>
    <w:rsid w:val="000C5355"/>
    <w:rsid w:val="000C5E34"/>
    <w:rsid w:val="000C69DD"/>
    <w:rsid w:val="000D1384"/>
    <w:rsid w:val="000D2CE0"/>
    <w:rsid w:val="000D30BA"/>
    <w:rsid w:val="000D3DD0"/>
    <w:rsid w:val="000D3ED8"/>
    <w:rsid w:val="000D4615"/>
    <w:rsid w:val="000D5659"/>
    <w:rsid w:val="000D5E2B"/>
    <w:rsid w:val="000D61FA"/>
    <w:rsid w:val="000D72E2"/>
    <w:rsid w:val="000D7453"/>
    <w:rsid w:val="000E0D9A"/>
    <w:rsid w:val="000E1E31"/>
    <w:rsid w:val="000E2100"/>
    <w:rsid w:val="000E2872"/>
    <w:rsid w:val="000E3632"/>
    <w:rsid w:val="000E3A9A"/>
    <w:rsid w:val="000E3D73"/>
    <w:rsid w:val="000E5724"/>
    <w:rsid w:val="000E74FE"/>
    <w:rsid w:val="000F0116"/>
    <w:rsid w:val="000F2169"/>
    <w:rsid w:val="000F23C0"/>
    <w:rsid w:val="000F247A"/>
    <w:rsid w:val="000F4098"/>
    <w:rsid w:val="000F5BFE"/>
    <w:rsid w:val="000F63DA"/>
    <w:rsid w:val="000F7F81"/>
    <w:rsid w:val="001002D6"/>
    <w:rsid w:val="00100D81"/>
    <w:rsid w:val="00103E41"/>
    <w:rsid w:val="00104179"/>
    <w:rsid w:val="00104FE3"/>
    <w:rsid w:val="001054FA"/>
    <w:rsid w:val="00105C30"/>
    <w:rsid w:val="00106DD6"/>
    <w:rsid w:val="001077E3"/>
    <w:rsid w:val="00107BC7"/>
    <w:rsid w:val="00110721"/>
    <w:rsid w:val="00110ED7"/>
    <w:rsid w:val="001113FF"/>
    <w:rsid w:val="00111C21"/>
    <w:rsid w:val="00111D82"/>
    <w:rsid w:val="001152E9"/>
    <w:rsid w:val="001165A5"/>
    <w:rsid w:val="00116B45"/>
    <w:rsid w:val="001170DA"/>
    <w:rsid w:val="00120218"/>
    <w:rsid w:val="00120370"/>
    <w:rsid w:val="00120B67"/>
    <w:rsid w:val="00122210"/>
    <w:rsid w:val="0012229C"/>
    <w:rsid w:val="001226C2"/>
    <w:rsid w:val="0012329C"/>
    <w:rsid w:val="00124724"/>
    <w:rsid w:val="0012495F"/>
    <w:rsid w:val="00124DBD"/>
    <w:rsid w:val="00125717"/>
    <w:rsid w:val="001266FD"/>
    <w:rsid w:val="00126F57"/>
    <w:rsid w:val="001342D3"/>
    <w:rsid w:val="00134734"/>
    <w:rsid w:val="00135729"/>
    <w:rsid w:val="0013620B"/>
    <w:rsid w:val="0013759C"/>
    <w:rsid w:val="00137CAE"/>
    <w:rsid w:val="00140099"/>
    <w:rsid w:val="00140AE2"/>
    <w:rsid w:val="00142227"/>
    <w:rsid w:val="00143898"/>
    <w:rsid w:val="0014471D"/>
    <w:rsid w:val="001455F9"/>
    <w:rsid w:val="0014726E"/>
    <w:rsid w:val="00147C09"/>
    <w:rsid w:val="0015053E"/>
    <w:rsid w:val="0015071A"/>
    <w:rsid w:val="00152A45"/>
    <w:rsid w:val="00152AE5"/>
    <w:rsid w:val="00152F6F"/>
    <w:rsid w:val="00153917"/>
    <w:rsid w:val="00153F6D"/>
    <w:rsid w:val="001543A0"/>
    <w:rsid w:val="00155E46"/>
    <w:rsid w:val="00156A80"/>
    <w:rsid w:val="00156F15"/>
    <w:rsid w:val="0015749D"/>
    <w:rsid w:val="00157FDF"/>
    <w:rsid w:val="0016071D"/>
    <w:rsid w:val="00161825"/>
    <w:rsid w:val="00161C89"/>
    <w:rsid w:val="00162BC6"/>
    <w:rsid w:val="001646F4"/>
    <w:rsid w:val="001650E7"/>
    <w:rsid w:val="00166283"/>
    <w:rsid w:val="00166A98"/>
    <w:rsid w:val="00170E15"/>
    <w:rsid w:val="00173501"/>
    <w:rsid w:val="00174387"/>
    <w:rsid w:val="00174DC9"/>
    <w:rsid w:val="00175B9D"/>
    <w:rsid w:val="00175E29"/>
    <w:rsid w:val="00176BD2"/>
    <w:rsid w:val="00180CDB"/>
    <w:rsid w:val="001815CB"/>
    <w:rsid w:val="00181727"/>
    <w:rsid w:val="001818BF"/>
    <w:rsid w:val="00183E21"/>
    <w:rsid w:val="0018488D"/>
    <w:rsid w:val="0018502B"/>
    <w:rsid w:val="00185762"/>
    <w:rsid w:val="00187009"/>
    <w:rsid w:val="001902AB"/>
    <w:rsid w:val="001906AD"/>
    <w:rsid w:val="00192172"/>
    <w:rsid w:val="0019276D"/>
    <w:rsid w:val="001930F8"/>
    <w:rsid w:val="00193F6A"/>
    <w:rsid w:val="00194674"/>
    <w:rsid w:val="0019615A"/>
    <w:rsid w:val="00196281"/>
    <w:rsid w:val="00197005"/>
    <w:rsid w:val="001A00D6"/>
    <w:rsid w:val="001A03EB"/>
    <w:rsid w:val="001A0917"/>
    <w:rsid w:val="001A0FB8"/>
    <w:rsid w:val="001A2539"/>
    <w:rsid w:val="001A2697"/>
    <w:rsid w:val="001A2C5A"/>
    <w:rsid w:val="001A2C7A"/>
    <w:rsid w:val="001A2D97"/>
    <w:rsid w:val="001A4005"/>
    <w:rsid w:val="001A54FE"/>
    <w:rsid w:val="001A576F"/>
    <w:rsid w:val="001A6A79"/>
    <w:rsid w:val="001A7C1F"/>
    <w:rsid w:val="001B0AE4"/>
    <w:rsid w:val="001B0F0D"/>
    <w:rsid w:val="001B1291"/>
    <w:rsid w:val="001B202B"/>
    <w:rsid w:val="001B222D"/>
    <w:rsid w:val="001B23D9"/>
    <w:rsid w:val="001B376C"/>
    <w:rsid w:val="001B4706"/>
    <w:rsid w:val="001B6302"/>
    <w:rsid w:val="001B6B85"/>
    <w:rsid w:val="001B6B8B"/>
    <w:rsid w:val="001B733A"/>
    <w:rsid w:val="001C1000"/>
    <w:rsid w:val="001C1541"/>
    <w:rsid w:val="001C23D0"/>
    <w:rsid w:val="001C246E"/>
    <w:rsid w:val="001C2992"/>
    <w:rsid w:val="001C33FA"/>
    <w:rsid w:val="001C3F77"/>
    <w:rsid w:val="001C4055"/>
    <w:rsid w:val="001C4905"/>
    <w:rsid w:val="001C665C"/>
    <w:rsid w:val="001C773F"/>
    <w:rsid w:val="001D1B70"/>
    <w:rsid w:val="001D49F5"/>
    <w:rsid w:val="001D52DE"/>
    <w:rsid w:val="001D68F0"/>
    <w:rsid w:val="001D7972"/>
    <w:rsid w:val="001D79BC"/>
    <w:rsid w:val="001E0206"/>
    <w:rsid w:val="001E081E"/>
    <w:rsid w:val="001E114E"/>
    <w:rsid w:val="001E12F0"/>
    <w:rsid w:val="001E1D4F"/>
    <w:rsid w:val="001E5CB1"/>
    <w:rsid w:val="001E6AA3"/>
    <w:rsid w:val="001E73C7"/>
    <w:rsid w:val="001E74CB"/>
    <w:rsid w:val="001E7BF3"/>
    <w:rsid w:val="001E7C5E"/>
    <w:rsid w:val="001F0242"/>
    <w:rsid w:val="001F05A5"/>
    <w:rsid w:val="001F08F0"/>
    <w:rsid w:val="001F09D9"/>
    <w:rsid w:val="001F1995"/>
    <w:rsid w:val="001F1DC6"/>
    <w:rsid w:val="001F3D2F"/>
    <w:rsid w:val="001F404C"/>
    <w:rsid w:val="001F50C7"/>
    <w:rsid w:val="001F6E02"/>
    <w:rsid w:val="002040A9"/>
    <w:rsid w:val="00204CAA"/>
    <w:rsid w:val="002061A9"/>
    <w:rsid w:val="002100D1"/>
    <w:rsid w:val="002108D1"/>
    <w:rsid w:val="00211ED4"/>
    <w:rsid w:val="00213FED"/>
    <w:rsid w:val="0021451D"/>
    <w:rsid w:val="002202A6"/>
    <w:rsid w:val="00220382"/>
    <w:rsid w:val="002211EE"/>
    <w:rsid w:val="0022233D"/>
    <w:rsid w:val="002223BB"/>
    <w:rsid w:val="002227F9"/>
    <w:rsid w:val="002235A4"/>
    <w:rsid w:val="002240E7"/>
    <w:rsid w:val="00225252"/>
    <w:rsid w:val="00230EDB"/>
    <w:rsid w:val="002317F8"/>
    <w:rsid w:val="00231FBE"/>
    <w:rsid w:val="00233A2B"/>
    <w:rsid w:val="00234211"/>
    <w:rsid w:val="002351EB"/>
    <w:rsid w:val="00235439"/>
    <w:rsid w:val="00235604"/>
    <w:rsid w:val="00237444"/>
    <w:rsid w:val="002400B5"/>
    <w:rsid w:val="00240A4F"/>
    <w:rsid w:val="0024533E"/>
    <w:rsid w:val="00246325"/>
    <w:rsid w:val="00246625"/>
    <w:rsid w:val="00252296"/>
    <w:rsid w:val="002534BA"/>
    <w:rsid w:val="0025415C"/>
    <w:rsid w:val="002549B2"/>
    <w:rsid w:val="00257723"/>
    <w:rsid w:val="0026118E"/>
    <w:rsid w:val="00261CBD"/>
    <w:rsid w:val="00263318"/>
    <w:rsid w:val="00263789"/>
    <w:rsid w:val="0026790D"/>
    <w:rsid w:val="00270206"/>
    <w:rsid w:val="00271151"/>
    <w:rsid w:val="0027396C"/>
    <w:rsid w:val="00274446"/>
    <w:rsid w:val="00275885"/>
    <w:rsid w:val="00275C2E"/>
    <w:rsid w:val="00276B92"/>
    <w:rsid w:val="00276FC2"/>
    <w:rsid w:val="002837F7"/>
    <w:rsid w:val="00283A73"/>
    <w:rsid w:val="00283BAF"/>
    <w:rsid w:val="00284667"/>
    <w:rsid w:val="00284CC3"/>
    <w:rsid w:val="002856B0"/>
    <w:rsid w:val="0028615E"/>
    <w:rsid w:val="00286D51"/>
    <w:rsid w:val="0028776B"/>
    <w:rsid w:val="002902B2"/>
    <w:rsid w:val="00290C21"/>
    <w:rsid w:val="00290FDB"/>
    <w:rsid w:val="0029102E"/>
    <w:rsid w:val="00292B5A"/>
    <w:rsid w:val="00293545"/>
    <w:rsid w:val="002953FE"/>
    <w:rsid w:val="00295A54"/>
    <w:rsid w:val="00295CDE"/>
    <w:rsid w:val="00296800"/>
    <w:rsid w:val="00296B1B"/>
    <w:rsid w:val="0029764A"/>
    <w:rsid w:val="00297C5D"/>
    <w:rsid w:val="002A112A"/>
    <w:rsid w:val="002A2D1F"/>
    <w:rsid w:val="002A4E5E"/>
    <w:rsid w:val="002A50EB"/>
    <w:rsid w:val="002A7820"/>
    <w:rsid w:val="002A7A2E"/>
    <w:rsid w:val="002A7EA7"/>
    <w:rsid w:val="002B0CEF"/>
    <w:rsid w:val="002B114F"/>
    <w:rsid w:val="002B3570"/>
    <w:rsid w:val="002B436E"/>
    <w:rsid w:val="002B4A2F"/>
    <w:rsid w:val="002C1143"/>
    <w:rsid w:val="002C4230"/>
    <w:rsid w:val="002C6467"/>
    <w:rsid w:val="002C6CCE"/>
    <w:rsid w:val="002C7F22"/>
    <w:rsid w:val="002D0642"/>
    <w:rsid w:val="002D0945"/>
    <w:rsid w:val="002D0B11"/>
    <w:rsid w:val="002D6CFE"/>
    <w:rsid w:val="002E1FFA"/>
    <w:rsid w:val="002E2073"/>
    <w:rsid w:val="002E2139"/>
    <w:rsid w:val="002E5E37"/>
    <w:rsid w:val="002E7E1D"/>
    <w:rsid w:val="002F0C2C"/>
    <w:rsid w:val="002F1915"/>
    <w:rsid w:val="002F2496"/>
    <w:rsid w:val="002F27BF"/>
    <w:rsid w:val="002F3C7B"/>
    <w:rsid w:val="002F4E95"/>
    <w:rsid w:val="00302FD9"/>
    <w:rsid w:val="00303266"/>
    <w:rsid w:val="003036BC"/>
    <w:rsid w:val="003038E7"/>
    <w:rsid w:val="0030447E"/>
    <w:rsid w:val="003056FD"/>
    <w:rsid w:val="00305875"/>
    <w:rsid w:val="00306039"/>
    <w:rsid w:val="003076DD"/>
    <w:rsid w:val="00307EA4"/>
    <w:rsid w:val="003105DE"/>
    <w:rsid w:val="003122C6"/>
    <w:rsid w:val="003122C7"/>
    <w:rsid w:val="00312BE9"/>
    <w:rsid w:val="00313725"/>
    <w:rsid w:val="003201C7"/>
    <w:rsid w:val="003204EB"/>
    <w:rsid w:val="003205D6"/>
    <w:rsid w:val="00320D61"/>
    <w:rsid w:val="00320F2F"/>
    <w:rsid w:val="00320FD2"/>
    <w:rsid w:val="00324943"/>
    <w:rsid w:val="003302D2"/>
    <w:rsid w:val="00332501"/>
    <w:rsid w:val="00332688"/>
    <w:rsid w:val="00333049"/>
    <w:rsid w:val="00333784"/>
    <w:rsid w:val="00333AD7"/>
    <w:rsid w:val="00334481"/>
    <w:rsid w:val="00335A79"/>
    <w:rsid w:val="0033659D"/>
    <w:rsid w:val="003368E2"/>
    <w:rsid w:val="003376E5"/>
    <w:rsid w:val="00337A83"/>
    <w:rsid w:val="003407EC"/>
    <w:rsid w:val="00341AA4"/>
    <w:rsid w:val="00341F10"/>
    <w:rsid w:val="003426DD"/>
    <w:rsid w:val="00343415"/>
    <w:rsid w:val="00343697"/>
    <w:rsid w:val="00344803"/>
    <w:rsid w:val="00344EB4"/>
    <w:rsid w:val="00345723"/>
    <w:rsid w:val="00346F73"/>
    <w:rsid w:val="003513D9"/>
    <w:rsid w:val="00355635"/>
    <w:rsid w:val="003559FD"/>
    <w:rsid w:val="00355BE9"/>
    <w:rsid w:val="00355C73"/>
    <w:rsid w:val="0035686B"/>
    <w:rsid w:val="00360314"/>
    <w:rsid w:val="00363C32"/>
    <w:rsid w:val="00364D9A"/>
    <w:rsid w:val="003668E6"/>
    <w:rsid w:val="00366C3C"/>
    <w:rsid w:val="00370A5C"/>
    <w:rsid w:val="00371E58"/>
    <w:rsid w:val="00371FAE"/>
    <w:rsid w:val="00372603"/>
    <w:rsid w:val="00372C31"/>
    <w:rsid w:val="00372F73"/>
    <w:rsid w:val="003730C6"/>
    <w:rsid w:val="0037330B"/>
    <w:rsid w:val="00375691"/>
    <w:rsid w:val="003765B3"/>
    <w:rsid w:val="003769AE"/>
    <w:rsid w:val="00376C96"/>
    <w:rsid w:val="00376F98"/>
    <w:rsid w:val="00381D6D"/>
    <w:rsid w:val="00382FD1"/>
    <w:rsid w:val="0038341E"/>
    <w:rsid w:val="00384823"/>
    <w:rsid w:val="00384959"/>
    <w:rsid w:val="00384960"/>
    <w:rsid w:val="00386DD2"/>
    <w:rsid w:val="00387425"/>
    <w:rsid w:val="00391DFB"/>
    <w:rsid w:val="00392223"/>
    <w:rsid w:val="00392FED"/>
    <w:rsid w:val="00394037"/>
    <w:rsid w:val="00397DE5"/>
    <w:rsid w:val="003A032F"/>
    <w:rsid w:val="003A05B7"/>
    <w:rsid w:val="003A0C2F"/>
    <w:rsid w:val="003A14EE"/>
    <w:rsid w:val="003A22CB"/>
    <w:rsid w:val="003A2AB6"/>
    <w:rsid w:val="003A2EDA"/>
    <w:rsid w:val="003A4F05"/>
    <w:rsid w:val="003A6571"/>
    <w:rsid w:val="003A70BB"/>
    <w:rsid w:val="003A7107"/>
    <w:rsid w:val="003B0B33"/>
    <w:rsid w:val="003B34F1"/>
    <w:rsid w:val="003B37D5"/>
    <w:rsid w:val="003B3F9A"/>
    <w:rsid w:val="003B4675"/>
    <w:rsid w:val="003B4BA8"/>
    <w:rsid w:val="003B5CCF"/>
    <w:rsid w:val="003B5EB3"/>
    <w:rsid w:val="003B608B"/>
    <w:rsid w:val="003B7ABD"/>
    <w:rsid w:val="003C0157"/>
    <w:rsid w:val="003C02DC"/>
    <w:rsid w:val="003C0DC7"/>
    <w:rsid w:val="003C2DF2"/>
    <w:rsid w:val="003C31CF"/>
    <w:rsid w:val="003C55C7"/>
    <w:rsid w:val="003C5FF0"/>
    <w:rsid w:val="003C6563"/>
    <w:rsid w:val="003C75B6"/>
    <w:rsid w:val="003C7EC8"/>
    <w:rsid w:val="003D04D3"/>
    <w:rsid w:val="003D0E66"/>
    <w:rsid w:val="003D2007"/>
    <w:rsid w:val="003D2043"/>
    <w:rsid w:val="003D3BCE"/>
    <w:rsid w:val="003D65A3"/>
    <w:rsid w:val="003D7BEF"/>
    <w:rsid w:val="003E032C"/>
    <w:rsid w:val="003E0B4E"/>
    <w:rsid w:val="003E10D6"/>
    <w:rsid w:val="003E1722"/>
    <w:rsid w:val="003E2935"/>
    <w:rsid w:val="003E2EB6"/>
    <w:rsid w:val="003E2FEF"/>
    <w:rsid w:val="003E3479"/>
    <w:rsid w:val="003E36B4"/>
    <w:rsid w:val="003E3DDD"/>
    <w:rsid w:val="003E47DB"/>
    <w:rsid w:val="003E51AD"/>
    <w:rsid w:val="003E526D"/>
    <w:rsid w:val="003E5381"/>
    <w:rsid w:val="003E67E5"/>
    <w:rsid w:val="003F019C"/>
    <w:rsid w:val="003F06BE"/>
    <w:rsid w:val="003F207F"/>
    <w:rsid w:val="003F3766"/>
    <w:rsid w:val="003F37F3"/>
    <w:rsid w:val="003F4FCB"/>
    <w:rsid w:val="003F597D"/>
    <w:rsid w:val="003F6538"/>
    <w:rsid w:val="003F68D2"/>
    <w:rsid w:val="004021E1"/>
    <w:rsid w:val="00402CEB"/>
    <w:rsid w:val="00403710"/>
    <w:rsid w:val="00405384"/>
    <w:rsid w:val="0040558E"/>
    <w:rsid w:val="004063F6"/>
    <w:rsid w:val="00410BC0"/>
    <w:rsid w:val="004127E1"/>
    <w:rsid w:val="00413819"/>
    <w:rsid w:val="00415359"/>
    <w:rsid w:val="004169A6"/>
    <w:rsid w:val="00421DDB"/>
    <w:rsid w:val="0042232C"/>
    <w:rsid w:val="004240C5"/>
    <w:rsid w:val="00425AF2"/>
    <w:rsid w:val="00425B1B"/>
    <w:rsid w:val="004264B6"/>
    <w:rsid w:val="00427758"/>
    <w:rsid w:val="004304ED"/>
    <w:rsid w:val="0043291A"/>
    <w:rsid w:val="004332A4"/>
    <w:rsid w:val="00434ECC"/>
    <w:rsid w:val="004363E9"/>
    <w:rsid w:val="00436BA3"/>
    <w:rsid w:val="004406E6"/>
    <w:rsid w:val="00442403"/>
    <w:rsid w:val="004472FA"/>
    <w:rsid w:val="00450329"/>
    <w:rsid w:val="00451263"/>
    <w:rsid w:val="00454CC5"/>
    <w:rsid w:val="00456155"/>
    <w:rsid w:val="00456CA2"/>
    <w:rsid w:val="00456DA0"/>
    <w:rsid w:val="004570B1"/>
    <w:rsid w:val="0046123D"/>
    <w:rsid w:val="00461B1A"/>
    <w:rsid w:val="00461DDD"/>
    <w:rsid w:val="00463260"/>
    <w:rsid w:val="004658C4"/>
    <w:rsid w:val="004667E0"/>
    <w:rsid w:val="00466A2D"/>
    <w:rsid w:val="00466BCC"/>
    <w:rsid w:val="004677C8"/>
    <w:rsid w:val="00471556"/>
    <w:rsid w:val="0047230D"/>
    <w:rsid w:val="0047330F"/>
    <w:rsid w:val="00473BDB"/>
    <w:rsid w:val="00473EF2"/>
    <w:rsid w:val="00476E47"/>
    <w:rsid w:val="00477652"/>
    <w:rsid w:val="00480311"/>
    <w:rsid w:val="00480F67"/>
    <w:rsid w:val="0048148D"/>
    <w:rsid w:val="0048381B"/>
    <w:rsid w:val="00484373"/>
    <w:rsid w:val="004875CF"/>
    <w:rsid w:val="004907D3"/>
    <w:rsid w:val="0049237A"/>
    <w:rsid w:val="00492E73"/>
    <w:rsid w:val="004945D0"/>
    <w:rsid w:val="0049463B"/>
    <w:rsid w:val="00495AAF"/>
    <w:rsid w:val="00496225"/>
    <w:rsid w:val="004962BA"/>
    <w:rsid w:val="00496AF4"/>
    <w:rsid w:val="00497916"/>
    <w:rsid w:val="00497EEC"/>
    <w:rsid w:val="004A0386"/>
    <w:rsid w:val="004A0B0D"/>
    <w:rsid w:val="004A34E2"/>
    <w:rsid w:val="004A45C8"/>
    <w:rsid w:val="004A53B0"/>
    <w:rsid w:val="004A6C96"/>
    <w:rsid w:val="004A721D"/>
    <w:rsid w:val="004A79FF"/>
    <w:rsid w:val="004A7A9D"/>
    <w:rsid w:val="004A7CFB"/>
    <w:rsid w:val="004B05A1"/>
    <w:rsid w:val="004B0C97"/>
    <w:rsid w:val="004B0DC1"/>
    <w:rsid w:val="004B1849"/>
    <w:rsid w:val="004B1B6E"/>
    <w:rsid w:val="004B260C"/>
    <w:rsid w:val="004B3D62"/>
    <w:rsid w:val="004B408E"/>
    <w:rsid w:val="004B501A"/>
    <w:rsid w:val="004B6744"/>
    <w:rsid w:val="004B7CEA"/>
    <w:rsid w:val="004C1190"/>
    <w:rsid w:val="004C3C25"/>
    <w:rsid w:val="004C44C4"/>
    <w:rsid w:val="004C570E"/>
    <w:rsid w:val="004D0519"/>
    <w:rsid w:val="004D1C5F"/>
    <w:rsid w:val="004D1CB3"/>
    <w:rsid w:val="004D39A0"/>
    <w:rsid w:val="004D3FE0"/>
    <w:rsid w:val="004D40D8"/>
    <w:rsid w:val="004D640B"/>
    <w:rsid w:val="004D71AA"/>
    <w:rsid w:val="004D7B77"/>
    <w:rsid w:val="004D7C37"/>
    <w:rsid w:val="004D7E61"/>
    <w:rsid w:val="004E23D8"/>
    <w:rsid w:val="004E3EB2"/>
    <w:rsid w:val="004E4487"/>
    <w:rsid w:val="004E4704"/>
    <w:rsid w:val="004E4BE1"/>
    <w:rsid w:val="004E5E63"/>
    <w:rsid w:val="004E6E2D"/>
    <w:rsid w:val="004E789F"/>
    <w:rsid w:val="004F0F30"/>
    <w:rsid w:val="004F1619"/>
    <w:rsid w:val="004F1E86"/>
    <w:rsid w:val="004F2A0F"/>
    <w:rsid w:val="004F366C"/>
    <w:rsid w:val="004F384D"/>
    <w:rsid w:val="004F4C65"/>
    <w:rsid w:val="004F5F88"/>
    <w:rsid w:val="004F6731"/>
    <w:rsid w:val="0050056A"/>
    <w:rsid w:val="00500AF8"/>
    <w:rsid w:val="0050449A"/>
    <w:rsid w:val="00504740"/>
    <w:rsid w:val="005050A6"/>
    <w:rsid w:val="00505985"/>
    <w:rsid w:val="00506565"/>
    <w:rsid w:val="005121CE"/>
    <w:rsid w:val="00516D61"/>
    <w:rsid w:val="00517748"/>
    <w:rsid w:val="0052016F"/>
    <w:rsid w:val="0052024B"/>
    <w:rsid w:val="00521599"/>
    <w:rsid w:val="00521C2D"/>
    <w:rsid w:val="005239BA"/>
    <w:rsid w:val="0052435D"/>
    <w:rsid w:val="00524A34"/>
    <w:rsid w:val="00524C63"/>
    <w:rsid w:val="00530E55"/>
    <w:rsid w:val="00531C70"/>
    <w:rsid w:val="00533129"/>
    <w:rsid w:val="00533C0B"/>
    <w:rsid w:val="00534B5D"/>
    <w:rsid w:val="00534ECF"/>
    <w:rsid w:val="00536F08"/>
    <w:rsid w:val="00543F51"/>
    <w:rsid w:val="00544EF1"/>
    <w:rsid w:val="00545DCA"/>
    <w:rsid w:val="005461FB"/>
    <w:rsid w:val="0054634A"/>
    <w:rsid w:val="00546EEF"/>
    <w:rsid w:val="0055191C"/>
    <w:rsid w:val="005529F5"/>
    <w:rsid w:val="0055305E"/>
    <w:rsid w:val="005542E3"/>
    <w:rsid w:val="00554D5B"/>
    <w:rsid w:val="0056071A"/>
    <w:rsid w:val="005608E5"/>
    <w:rsid w:val="0056332A"/>
    <w:rsid w:val="00563806"/>
    <w:rsid w:val="005643A8"/>
    <w:rsid w:val="00564DDE"/>
    <w:rsid w:val="0056552D"/>
    <w:rsid w:val="00566C55"/>
    <w:rsid w:val="005678F3"/>
    <w:rsid w:val="00571235"/>
    <w:rsid w:val="005712C7"/>
    <w:rsid w:val="00571A95"/>
    <w:rsid w:val="00572734"/>
    <w:rsid w:val="005736BA"/>
    <w:rsid w:val="00573834"/>
    <w:rsid w:val="00574AFD"/>
    <w:rsid w:val="005751EB"/>
    <w:rsid w:val="00576581"/>
    <w:rsid w:val="00577327"/>
    <w:rsid w:val="0057790F"/>
    <w:rsid w:val="00581256"/>
    <w:rsid w:val="0058186B"/>
    <w:rsid w:val="00583C87"/>
    <w:rsid w:val="00583FD9"/>
    <w:rsid w:val="00584E2B"/>
    <w:rsid w:val="00587682"/>
    <w:rsid w:val="00591452"/>
    <w:rsid w:val="00592958"/>
    <w:rsid w:val="00596209"/>
    <w:rsid w:val="00596D2A"/>
    <w:rsid w:val="0059735B"/>
    <w:rsid w:val="00597529"/>
    <w:rsid w:val="00597A6A"/>
    <w:rsid w:val="00597B4F"/>
    <w:rsid w:val="005A04ED"/>
    <w:rsid w:val="005A0EE4"/>
    <w:rsid w:val="005A13DD"/>
    <w:rsid w:val="005A1ECE"/>
    <w:rsid w:val="005A24BE"/>
    <w:rsid w:val="005A2C46"/>
    <w:rsid w:val="005A4E09"/>
    <w:rsid w:val="005A5084"/>
    <w:rsid w:val="005A6248"/>
    <w:rsid w:val="005A6F30"/>
    <w:rsid w:val="005A7450"/>
    <w:rsid w:val="005B095C"/>
    <w:rsid w:val="005B2828"/>
    <w:rsid w:val="005B308F"/>
    <w:rsid w:val="005B33A5"/>
    <w:rsid w:val="005B4346"/>
    <w:rsid w:val="005B4958"/>
    <w:rsid w:val="005B5236"/>
    <w:rsid w:val="005B6176"/>
    <w:rsid w:val="005B6E38"/>
    <w:rsid w:val="005B72EB"/>
    <w:rsid w:val="005B7C84"/>
    <w:rsid w:val="005C008E"/>
    <w:rsid w:val="005C00DE"/>
    <w:rsid w:val="005C0CF8"/>
    <w:rsid w:val="005C3522"/>
    <w:rsid w:val="005C3AA1"/>
    <w:rsid w:val="005C491F"/>
    <w:rsid w:val="005C521D"/>
    <w:rsid w:val="005C5783"/>
    <w:rsid w:val="005C75A6"/>
    <w:rsid w:val="005C7B15"/>
    <w:rsid w:val="005C7C77"/>
    <w:rsid w:val="005D0FB8"/>
    <w:rsid w:val="005D1046"/>
    <w:rsid w:val="005D106E"/>
    <w:rsid w:val="005D1DDC"/>
    <w:rsid w:val="005D1DEC"/>
    <w:rsid w:val="005D38C2"/>
    <w:rsid w:val="005D43C6"/>
    <w:rsid w:val="005D51BE"/>
    <w:rsid w:val="005D53C5"/>
    <w:rsid w:val="005D5F2E"/>
    <w:rsid w:val="005E008F"/>
    <w:rsid w:val="005E0D2D"/>
    <w:rsid w:val="005E0D69"/>
    <w:rsid w:val="005E11B9"/>
    <w:rsid w:val="005E313B"/>
    <w:rsid w:val="005E4D1A"/>
    <w:rsid w:val="005E6B55"/>
    <w:rsid w:val="005F0EBE"/>
    <w:rsid w:val="005F140C"/>
    <w:rsid w:val="005F36D3"/>
    <w:rsid w:val="005F3BDE"/>
    <w:rsid w:val="005F4C17"/>
    <w:rsid w:val="005F4EFE"/>
    <w:rsid w:val="005F505C"/>
    <w:rsid w:val="005F520E"/>
    <w:rsid w:val="005F6A2E"/>
    <w:rsid w:val="005F72A5"/>
    <w:rsid w:val="005F7947"/>
    <w:rsid w:val="00601021"/>
    <w:rsid w:val="0060309F"/>
    <w:rsid w:val="00603F6C"/>
    <w:rsid w:val="00604001"/>
    <w:rsid w:val="00604FFD"/>
    <w:rsid w:val="00607AFD"/>
    <w:rsid w:val="0061067F"/>
    <w:rsid w:val="006106C1"/>
    <w:rsid w:val="00611EAF"/>
    <w:rsid w:val="00613158"/>
    <w:rsid w:val="00613DE9"/>
    <w:rsid w:val="0061470A"/>
    <w:rsid w:val="00615222"/>
    <w:rsid w:val="0061639F"/>
    <w:rsid w:val="006169EA"/>
    <w:rsid w:val="006173AC"/>
    <w:rsid w:val="00617BC1"/>
    <w:rsid w:val="00620818"/>
    <w:rsid w:val="0062179C"/>
    <w:rsid w:val="0062229C"/>
    <w:rsid w:val="0062288F"/>
    <w:rsid w:val="0062571F"/>
    <w:rsid w:val="0062592B"/>
    <w:rsid w:val="00626930"/>
    <w:rsid w:val="006279B0"/>
    <w:rsid w:val="006300D3"/>
    <w:rsid w:val="00630106"/>
    <w:rsid w:val="006305E1"/>
    <w:rsid w:val="00630649"/>
    <w:rsid w:val="00630ED2"/>
    <w:rsid w:val="00632304"/>
    <w:rsid w:val="00633EB9"/>
    <w:rsid w:val="00634D8F"/>
    <w:rsid w:val="00636056"/>
    <w:rsid w:val="0064040B"/>
    <w:rsid w:val="00640CC8"/>
    <w:rsid w:val="00642DF1"/>
    <w:rsid w:val="00644ABE"/>
    <w:rsid w:val="00644CB0"/>
    <w:rsid w:val="006450B9"/>
    <w:rsid w:val="006451F6"/>
    <w:rsid w:val="00646324"/>
    <w:rsid w:val="0064707C"/>
    <w:rsid w:val="00650199"/>
    <w:rsid w:val="00650C8B"/>
    <w:rsid w:val="00652F93"/>
    <w:rsid w:val="006545D0"/>
    <w:rsid w:val="00654FB2"/>
    <w:rsid w:val="0065536A"/>
    <w:rsid w:val="006554F0"/>
    <w:rsid w:val="00661427"/>
    <w:rsid w:val="00661448"/>
    <w:rsid w:val="00663093"/>
    <w:rsid w:val="00664972"/>
    <w:rsid w:val="00664D38"/>
    <w:rsid w:val="006652CB"/>
    <w:rsid w:val="00665B04"/>
    <w:rsid w:val="00666223"/>
    <w:rsid w:val="00666BC2"/>
    <w:rsid w:val="00666BE6"/>
    <w:rsid w:val="00671698"/>
    <w:rsid w:val="00671B0F"/>
    <w:rsid w:val="006736F5"/>
    <w:rsid w:val="0067375E"/>
    <w:rsid w:val="00674005"/>
    <w:rsid w:val="0067427D"/>
    <w:rsid w:val="00674602"/>
    <w:rsid w:val="00674D3A"/>
    <w:rsid w:val="006755F7"/>
    <w:rsid w:val="00675C24"/>
    <w:rsid w:val="00676608"/>
    <w:rsid w:val="00676956"/>
    <w:rsid w:val="006776D7"/>
    <w:rsid w:val="00680ACA"/>
    <w:rsid w:val="00681745"/>
    <w:rsid w:val="00685CA7"/>
    <w:rsid w:val="00686991"/>
    <w:rsid w:val="00686EFF"/>
    <w:rsid w:val="00690457"/>
    <w:rsid w:val="00692224"/>
    <w:rsid w:val="00692864"/>
    <w:rsid w:val="00692D4F"/>
    <w:rsid w:val="0069350D"/>
    <w:rsid w:val="00694FF5"/>
    <w:rsid w:val="0069608B"/>
    <w:rsid w:val="00696139"/>
    <w:rsid w:val="00696765"/>
    <w:rsid w:val="00696BEA"/>
    <w:rsid w:val="00697D34"/>
    <w:rsid w:val="006A1442"/>
    <w:rsid w:val="006A25EF"/>
    <w:rsid w:val="006B030F"/>
    <w:rsid w:val="006B1169"/>
    <w:rsid w:val="006B1DFB"/>
    <w:rsid w:val="006B28A5"/>
    <w:rsid w:val="006B4097"/>
    <w:rsid w:val="006B4AA7"/>
    <w:rsid w:val="006B6A75"/>
    <w:rsid w:val="006B7902"/>
    <w:rsid w:val="006B7E2F"/>
    <w:rsid w:val="006C0EB0"/>
    <w:rsid w:val="006C1464"/>
    <w:rsid w:val="006C204E"/>
    <w:rsid w:val="006C2321"/>
    <w:rsid w:val="006C3D6C"/>
    <w:rsid w:val="006C4056"/>
    <w:rsid w:val="006C6754"/>
    <w:rsid w:val="006D1C91"/>
    <w:rsid w:val="006D293B"/>
    <w:rsid w:val="006D3D66"/>
    <w:rsid w:val="006D4FB5"/>
    <w:rsid w:val="006D7CCC"/>
    <w:rsid w:val="006D7D18"/>
    <w:rsid w:val="006E068A"/>
    <w:rsid w:val="006E2C74"/>
    <w:rsid w:val="006E3561"/>
    <w:rsid w:val="006E4B7A"/>
    <w:rsid w:val="006E5EEE"/>
    <w:rsid w:val="006E5FD0"/>
    <w:rsid w:val="006E6A9E"/>
    <w:rsid w:val="006E7DCC"/>
    <w:rsid w:val="006F00C9"/>
    <w:rsid w:val="006F0DE7"/>
    <w:rsid w:val="006F0DFD"/>
    <w:rsid w:val="006F1D3F"/>
    <w:rsid w:val="006F2869"/>
    <w:rsid w:val="006F39FB"/>
    <w:rsid w:val="006F43AD"/>
    <w:rsid w:val="006F4656"/>
    <w:rsid w:val="006F6487"/>
    <w:rsid w:val="006F722F"/>
    <w:rsid w:val="007003DC"/>
    <w:rsid w:val="0070208D"/>
    <w:rsid w:val="007050E6"/>
    <w:rsid w:val="007100ED"/>
    <w:rsid w:val="007125D7"/>
    <w:rsid w:val="00712937"/>
    <w:rsid w:val="00714C5B"/>
    <w:rsid w:val="007156A3"/>
    <w:rsid w:val="00715B6B"/>
    <w:rsid w:val="00717479"/>
    <w:rsid w:val="007201FF"/>
    <w:rsid w:val="00721C26"/>
    <w:rsid w:val="00722089"/>
    <w:rsid w:val="0072211F"/>
    <w:rsid w:val="007223E3"/>
    <w:rsid w:val="00722821"/>
    <w:rsid w:val="0072395B"/>
    <w:rsid w:val="00724A55"/>
    <w:rsid w:val="00726269"/>
    <w:rsid w:val="00727127"/>
    <w:rsid w:val="007278D8"/>
    <w:rsid w:val="0073249B"/>
    <w:rsid w:val="007324AF"/>
    <w:rsid w:val="00732E7B"/>
    <w:rsid w:val="00733D6E"/>
    <w:rsid w:val="00734140"/>
    <w:rsid w:val="0073414E"/>
    <w:rsid w:val="007356F4"/>
    <w:rsid w:val="00735A6B"/>
    <w:rsid w:val="0073620B"/>
    <w:rsid w:val="0073652C"/>
    <w:rsid w:val="007373AA"/>
    <w:rsid w:val="00737CA5"/>
    <w:rsid w:val="00740ADE"/>
    <w:rsid w:val="00741CA5"/>
    <w:rsid w:val="0074397B"/>
    <w:rsid w:val="007449EA"/>
    <w:rsid w:val="007465CD"/>
    <w:rsid w:val="00746792"/>
    <w:rsid w:val="0074751A"/>
    <w:rsid w:val="00747CA5"/>
    <w:rsid w:val="00752A99"/>
    <w:rsid w:val="00754248"/>
    <w:rsid w:val="00754973"/>
    <w:rsid w:val="007573F3"/>
    <w:rsid w:val="00757AD5"/>
    <w:rsid w:val="0076028E"/>
    <w:rsid w:val="00761BA9"/>
    <w:rsid w:val="007633A9"/>
    <w:rsid w:val="00766E74"/>
    <w:rsid w:val="0076760E"/>
    <w:rsid w:val="00767874"/>
    <w:rsid w:val="00770C02"/>
    <w:rsid w:val="007712A5"/>
    <w:rsid w:val="00772633"/>
    <w:rsid w:val="0077311A"/>
    <w:rsid w:val="0077437E"/>
    <w:rsid w:val="007748B2"/>
    <w:rsid w:val="0077532D"/>
    <w:rsid w:val="00775EA4"/>
    <w:rsid w:val="007765C7"/>
    <w:rsid w:val="00776A2B"/>
    <w:rsid w:val="00776E34"/>
    <w:rsid w:val="00777058"/>
    <w:rsid w:val="007829DA"/>
    <w:rsid w:val="00783182"/>
    <w:rsid w:val="007860D6"/>
    <w:rsid w:val="007866E8"/>
    <w:rsid w:val="00786EBA"/>
    <w:rsid w:val="00787648"/>
    <w:rsid w:val="00790075"/>
    <w:rsid w:val="00791E06"/>
    <w:rsid w:val="007923E3"/>
    <w:rsid w:val="00793425"/>
    <w:rsid w:val="007935FE"/>
    <w:rsid w:val="0079414F"/>
    <w:rsid w:val="00794540"/>
    <w:rsid w:val="00796E7E"/>
    <w:rsid w:val="00797303"/>
    <w:rsid w:val="007A31DE"/>
    <w:rsid w:val="007A3F40"/>
    <w:rsid w:val="007A59F2"/>
    <w:rsid w:val="007A5CCE"/>
    <w:rsid w:val="007A63F9"/>
    <w:rsid w:val="007A7438"/>
    <w:rsid w:val="007A7724"/>
    <w:rsid w:val="007B27FE"/>
    <w:rsid w:val="007B3D85"/>
    <w:rsid w:val="007B4914"/>
    <w:rsid w:val="007B4B88"/>
    <w:rsid w:val="007B7994"/>
    <w:rsid w:val="007C021B"/>
    <w:rsid w:val="007C0C1D"/>
    <w:rsid w:val="007C0F9A"/>
    <w:rsid w:val="007C29D6"/>
    <w:rsid w:val="007C2FFB"/>
    <w:rsid w:val="007C302F"/>
    <w:rsid w:val="007C38D0"/>
    <w:rsid w:val="007C4581"/>
    <w:rsid w:val="007C53E5"/>
    <w:rsid w:val="007C594E"/>
    <w:rsid w:val="007C5FF1"/>
    <w:rsid w:val="007C74BD"/>
    <w:rsid w:val="007C7F1F"/>
    <w:rsid w:val="007D14BD"/>
    <w:rsid w:val="007D2354"/>
    <w:rsid w:val="007D281E"/>
    <w:rsid w:val="007D48EF"/>
    <w:rsid w:val="007D5E42"/>
    <w:rsid w:val="007D6A2E"/>
    <w:rsid w:val="007D7D69"/>
    <w:rsid w:val="007E092D"/>
    <w:rsid w:val="007E09CF"/>
    <w:rsid w:val="007E0C96"/>
    <w:rsid w:val="007E1CC9"/>
    <w:rsid w:val="007E2EE6"/>
    <w:rsid w:val="007E45BE"/>
    <w:rsid w:val="007E4B17"/>
    <w:rsid w:val="007F0B1F"/>
    <w:rsid w:val="007F0DD1"/>
    <w:rsid w:val="007F3007"/>
    <w:rsid w:val="007F34D1"/>
    <w:rsid w:val="007F3AC6"/>
    <w:rsid w:val="007F6FFA"/>
    <w:rsid w:val="007F7945"/>
    <w:rsid w:val="007F7E01"/>
    <w:rsid w:val="0080053C"/>
    <w:rsid w:val="00801481"/>
    <w:rsid w:val="00802DBD"/>
    <w:rsid w:val="00803E3C"/>
    <w:rsid w:val="00803F21"/>
    <w:rsid w:val="0081230B"/>
    <w:rsid w:val="00812D8B"/>
    <w:rsid w:val="008134A7"/>
    <w:rsid w:val="00814446"/>
    <w:rsid w:val="00814A30"/>
    <w:rsid w:val="008154D4"/>
    <w:rsid w:val="008158A5"/>
    <w:rsid w:val="008164B9"/>
    <w:rsid w:val="008239F0"/>
    <w:rsid w:val="0082426E"/>
    <w:rsid w:val="00824F7C"/>
    <w:rsid w:val="008263C6"/>
    <w:rsid w:val="00830CE6"/>
    <w:rsid w:val="00832510"/>
    <w:rsid w:val="0083482E"/>
    <w:rsid w:val="00834F7E"/>
    <w:rsid w:val="00835148"/>
    <w:rsid w:val="008352C0"/>
    <w:rsid w:val="00835920"/>
    <w:rsid w:val="00835995"/>
    <w:rsid w:val="00836DDB"/>
    <w:rsid w:val="008375A0"/>
    <w:rsid w:val="00841293"/>
    <w:rsid w:val="00841656"/>
    <w:rsid w:val="00841B77"/>
    <w:rsid w:val="00843D85"/>
    <w:rsid w:val="0084456F"/>
    <w:rsid w:val="008465B1"/>
    <w:rsid w:val="00847A0A"/>
    <w:rsid w:val="00847DE8"/>
    <w:rsid w:val="00860484"/>
    <w:rsid w:val="0086212D"/>
    <w:rsid w:val="008641D0"/>
    <w:rsid w:val="00864A03"/>
    <w:rsid w:val="00865180"/>
    <w:rsid w:val="00866501"/>
    <w:rsid w:val="008670CE"/>
    <w:rsid w:val="00867BAC"/>
    <w:rsid w:val="008704B0"/>
    <w:rsid w:val="00870B3E"/>
    <w:rsid w:val="00872425"/>
    <w:rsid w:val="00872CD0"/>
    <w:rsid w:val="00873514"/>
    <w:rsid w:val="008742C6"/>
    <w:rsid w:val="00874A25"/>
    <w:rsid w:val="00875222"/>
    <w:rsid w:val="008800FC"/>
    <w:rsid w:val="008840C2"/>
    <w:rsid w:val="00886399"/>
    <w:rsid w:val="00886893"/>
    <w:rsid w:val="00886E4D"/>
    <w:rsid w:val="00887B3C"/>
    <w:rsid w:val="00887C28"/>
    <w:rsid w:val="00890B6E"/>
    <w:rsid w:val="00891129"/>
    <w:rsid w:val="0089316F"/>
    <w:rsid w:val="008946D1"/>
    <w:rsid w:val="008A07C4"/>
    <w:rsid w:val="008A0C1A"/>
    <w:rsid w:val="008A1B47"/>
    <w:rsid w:val="008A1F0C"/>
    <w:rsid w:val="008A26F5"/>
    <w:rsid w:val="008A29BD"/>
    <w:rsid w:val="008A2F51"/>
    <w:rsid w:val="008A2FFE"/>
    <w:rsid w:val="008A463F"/>
    <w:rsid w:val="008A4C5B"/>
    <w:rsid w:val="008A5B87"/>
    <w:rsid w:val="008A79C8"/>
    <w:rsid w:val="008B207F"/>
    <w:rsid w:val="008B406B"/>
    <w:rsid w:val="008B475C"/>
    <w:rsid w:val="008B6D49"/>
    <w:rsid w:val="008C089D"/>
    <w:rsid w:val="008C1396"/>
    <w:rsid w:val="008C4517"/>
    <w:rsid w:val="008C5CB9"/>
    <w:rsid w:val="008C5CE9"/>
    <w:rsid w:val="008C60F7"/>
    <w:rsid w:val="008C64A8"/>
    <w:rsid w:val="008C6824"/>
    <w:rsid w:val="008C6FEC"/>
    <w:rsid w:val="008C7056"/>
    <w:rsid w:val="008C7AE7"/>
    <w:rsid w:val="008D0565"/>
    <w:rsid w:val="008D0CDA"/>
    <w:rsid w:val="008D0FF6"/>
    <w:rsid w:val="008D1681"/>
    <w:rsid w:val="008D4E36"/>
    <w:rsid w:val="008D6198"/>
    <w:rsid w:val="008D6666"/>
    <w:rsid w:val="008D6873"/>
    <w:rsid w:val="008D73D1"/>
    <w:rsid w:val="008D7B72"/>
    <w:rsid w:val="008E01BE"/>
    <w:rsid w:val="008E09E7"/>
    <w:rsid w:val="008E399E"/>
    <w:rsid w:val="008E4846"/>
    <w:rsid w:val="008E601F"/>
    <w:rsid w:val="008E6BD0"/>
    <w:rsid w:val="008F1412"/>
    <w:rsid w:val="008F274F"/>
    <w:rsid w:val="008F3725"/>
    <w:rsid w:val="008F46C2"/>
    <w:rsid w:val="008F6429"/>
    <w:rsid w:val="008F6826"/>
    <w:rsid w:val="008F723A"/>
    <w:rsid w:val="008F789A"/>
    <w:rsid w:val="0090087E"/>
    <w:rsid w:val="0090187F"/>
    <w:rsid w:val="00901972"/>
    <w:rsid w:val="00902439"/>
    <w:rsid w:val="00902FCB"/>
    <w:rsid w:val="00903921"/>
    <w:rsid w:val="009078CE"/>
    <w:rsid w:val="00910044"/>
    <w:rsid w:val="0091071F"/>
    <w:rsid w:val="00911024"/>
    <w:rsid w:val="009111A6"/>
    <w:rsid w:val="00911D74"/>
    <w:rsid w:val="0091240E"/>
    <w:rsid w:val="009137CE"/>
    <w:rsid w:val="00913CB3"/>
    <w:rsid w:val="00914137"/>
    <w:rsid w:val="009141E8"/>
    <w:rsid w:val="00914C77"/>
    <w:rsid w:val="00914E9C"/>
    <w:rsid w:val="0091549F"/>
    <w:rsid w:val="00916789"/>
    <w:rsid w:val="009174FB"/>
    <w:rsid w:val="00917660"/>
    <w:rsid w:val="00921600"/>
    <w:rsid w:val="00923225"/>
    <w:rsid w:val="009236D6"/>
    <w:rsid w:val="009244BB"/>
    <w:rsid w:val="009259DC"/>
    <w:rsid w:val="0092646E"/>
    <w:rsid w:val="009270C3"/>
    <w:rsid w:val="00930447"/>
    <w:rsid w:val="00930721"/>
    <w:rsid w:val="00932C67"/>
    <w:rsid w:val="009330AB"/>
    <w:rsid w:val="0093395E"/>
    <w:rsid w:val="00933993"/>
    <w:rsid w:val="009350F8"/>
    <w:rsid w:val="0093537D"/>
    <w:rsid w:val="009355B2"/>
    <w:rsid w:val="009355E1"/>
    <w:rsid w:val="00935A9E"/>
    <w:rsid w:val="00941D07"/>
    <w:rsid w:val="00943524"/>
    <w:rsid w:val="00946409"/>
    <w:rsid w:val="00947168"/>
    <w:rsid w:val="009477DE"/>
    <w:rsid w:val="009478F0"/>
    <w:rsid w:val="00947D5A"/>
    <w:rsid w:val="009503FC"/>
    <w:rsid w:val="0095108B"/>
    <w:rsid w:val="0095295A"/>
    <w:rsid w:val="00952CF1"/>
    <w:rsid w:val="009539FC"/>
    <w:rsid w:val="009557FD"/>
    <w:rsid w:val="00955FFC"/>
    <w:rsid w:val="00956797"/>
    <w:rsid w:val="009575B2"/>
    <w:rsid w:val="009617CE"/>
    <w:rsid w:val="00962709"/>
    <w:rsid w:val="00962A46"/>
    <w:rsid w:val="00962BCE"/>
    <w:rsid w:val="0096362C"/>
    <w:rsid w:val="00963F33"/>
    <w:rsid w:val="0096738F"/>
    <w:rsid w:val="009705AE"/>
    <w:rsid w:val="00970FFE"/>
    <w:rsid w:val="00974CE2"/>
    <w:rsid w:val="00975850"/>
    <w:rsid w:val="00982AFA"/>
    <w:rsid w:val="00982D3F"/>
    <w:rsid w:val="00982E50"/>
    <w:rsid w:val="009849D8"/>
    <w:rsid w:val="00987D73"/>
    <w:rsid w:val="00990965"/>
    <w:rsid w:val="00990A88"/>
    <w:rsid w:val="00990D5D"/>
    <w:rsid w:val="009917DF"/>
    <w:rsid w:val="00991ABB"/>
    <w:rsid w:val="00991C45"/>
    <w:rsid w:val="00992316"/>
    <w:rsid w:val="00992C56"/>
    <w:rsid w:val="00994023"/>
    <w:rsid w:val="00994674"/>
    <w:rsid w:val="009961B7"/>
    <w:rsid w:val="00996771"/>
    <w:rsid w:val="009A1F9D"/>
    <w:rsid w:val="009A2FDC"/>
    <w:rsid w:val="009A4666"/>
    <w:rsid w:val="009A73B3"/>
    <w:rsid w:val="009A757A"/>
    <w:rsid w:val="009A7F87"/>
    <w:rsid w:val="009B206E"/>
    <w:rsid w:val="009B2AFA"/>
    <w:rsid w:val="009B4564"/>
    <w:rsid w:val="009B6328"/>
    <w:rsid w:val="009B686E"/>
    <w:rsid w:val="009B6A55"/>
    <w:rsid w:val="009B7132"/>
    <w:rsid w:val="009C3D09"/>
    <w:rsid w:val="009C4B63"/>
    <w:rsid w:val="009C5388"/>
    <w:rsid w:val="009C69BC"/>
    <w:rsid w:val="009C6DA0"/>
    <w:rsid w:val="009D1CAA"/>
    <w:rsid w:val="009D3A0A"/>
    <w:rsid w:val="009D3D5A"/>
    <w:rsid w:val="009D3F89"/>
    <w:rsid w:val="009D4A82"/>
    <w:rsid w:val="009D545B"/>
    <w:rsid w:val="009D6BF6"/>
    <w:rsid w:val="009E0228"/>
    <w:rsid w:val="009E1CE4"/>
    <w:rsid w:val="009E3E54"/>
    <w:rsid w:val="009E4C22"/>
    <w:rsid w:val="009E4E48"/>
    <w:rsid w:val="009E66F6"/>
    <w:rsid w:val="009F145E"/>
    <w:rsid w:val="009F20DA"/>
    <w:rsid w:val="009F38CC"/>
    <w:rsid w:val="00A018FE"/>
    <w:rsid w:val="00A01CAC"/>
    <w:rsid w:val="00A020DA"/>
    <w:rsid w:val="00A0226F"/>
    <w:rsid w:val="00A03C46"/>
    <w:rsid w:val="00A04369"/>
    <w:rsid w:val="00A04A5E"/>
    <w:rsid w:val="00A06B29"/>
    <w:rsid w:val="00A070E2"/>
    <w:rsid w:val="00A10898"/>
    <w:rsid w:val="00A138D8"/>
    <w:rsid w:val="00A13F37"/>
    <w:rsid w:val="00A14608"/>
    <w:rsid w:val="00A202DD"/>
    <w:rsid w:val="00A21A3E"/>
    <w:rsid w:val="00A22235"/>
    <w:rsid w:val="00A244C4"/>
    <w:rsid w:val="00A249B1"/>
    <w:rsid w:val="00A24BF8"/>
    <w:rsid w:val="00A26C90"/>
    <w:rsid w:val="00A27C3F"/>
    <w:rsid w:val="00A27F0A"/>
    <w:rsid w:val="00A317E2"/>
    <w:rsid w:val="00A320C8"/>
    <w:rsid w:val="00A32E78"/>
    <w:rsid w:val="00A34900"/>
    <w:rsid w:val="00A359A7"/>
    <w:rsid w:val="00A3620F"/>
    <w:rsid w:val="00A36C4F"/>
    <w:rsid w:val="00A37591"/>
    <w:rsid w:val="00A37A13"/>
    <w:rsid w:val="00A4019B"/>
    <w:rsid w:val="00A401CD"/>
    <w:rsid w:val="00A41A72"/>
    <w:rsid w:val="00A41F46"/>
    <w:rsid w:val="00A42467"/>
    <w:rsid w:val="00A442B7"/>
    <w:rsid w:val="00A456EA"/>
    <w:rsid w:val="00A461B2"/>
    <w:rsid w:val="00A468A6"/>
    <w:rsid w:val="00A50389"/>
    <w:rsid w:val="00A50AF5"/>
    <w:rsid w:val="00A54577"/>
    <w:rsid w:val="00A553B8"/>
    <w:rsid w:val="00A5542F"/>
    <w:rsid w:val="00A61E08"/>
    <w:rsid w:val="00A65D84"/>
    <w:rsid w:val="00A66024"/>
    <w:rsid w:val="00A6730B"/>
    <w:rsid w:val="00A674BA"/>
    <w:rsid w:val="00A71EEF"/>
    <w:rsid w:val="00A74E55"/>
    <w:rsid w:val="00A74F73"/>
    <w:rsid w:val="00A7525F"/>
    <w:rsid w:val="00A76A3B"/>
    <w:rsid w:val="00A82540"/>
    <w:rsid w:val="00A82A51"/>
    <w:rsid w:val="00A82AF8"/>
    <w:rsid w:val="00A836F1"/>
    <w:rsid w:val="00A84273"/>
    <w:rsid w:val="00A857AD"/>
    <w:rsid w:val="00A877D2"/>
    <w:rsid w:val="00A87DF7"/>
    <w:rsid w:val="00A92537"/>
    <w:rsid w:val="00A92B9A"/>
    <w:rsid w:val="00A92EA1"/>
    <w:rsid w:val="00A930ED"/>
    <w:rsid w:val="00A93B70"/>
    <w:rsid w:val="00A93F85"/>
    <w:rsid w:val="00A954ED"/>
    <w:rsid w:val="00A960A7"/>
    <w:rsid w:val="00A97758"/>
    <w:rsid w:val="00A9781E"/>
    <w:rsid w:val="00AA14A5"/>
    <w:rsid w:val="00AA1BEC"/>
    <w:rsid w:val="00AA1C36"/>
    <w:rsid w:val="00AA40D3"/>
    <w:rsid w:val="00AA4985"/>
    <w:rsid w:val="00AA5552"/>
    <w:rsid w:val="00AA628D"/>
    <w:rsid w:val="00AA797A"/>
    <w:rsid w:val="00AA7F28"/>
    <w:rsid w:val="00AB3CEB"/>
    <w:rsid w:val="00AB6E2E"/>
    <w:rsid w:val="00AB74F1"/>
    <w:rsid w:val="00AB7D97"/>
    <w:rsid w:val="00AC052D"/>
    <w:rsid w:val="00AC0AC7"/>
    <w:rsid w:val="00AC6EB1"/>
    <w:rsid w:val="00AC7786"/>
    <w:rsid w:val="00AD0804"/>
    <w:rsid w:val="00AD30D6"/>
    <w:rsid w:val="00AD7A25"/>
    <w:rsid w:val="00AE064E"/>
    <w:rsid w:val="00AE0E05"/>
    <w:rsid w:val="00AE2332"/>
    <w:rsid w:val="00AE248E"/>
    <w:rsid w:val="00AE345A"/>
    <w:rsid w:val="00AE45D1"/>
    <w:rsid w:val="00AE5BEC"/>
    <w:rsid w:val="00AE6A3C"/>
    <w:rsid w:val="00AE6C53"/>
    <w:rsid w:val="00AF0371"/>
    <w:rsid w:val="00AF055A"/>
    <w:rsid w:val="00AF3889"/>
    <w:rsid w:val="00AF4E8E"/>
    <w:rsid w:val="00B017DE"/>
    <w:rsid w:val="00B01BB0"/>
    <w:rsid w:val="00B029CE"/>
    <w:rsid w:val="00B04D89"/>
    <w:rsid w:val="00B05238"/>
    <w:rsid w:val="00B05CE2"/>
    <w:rsid w:val="00B063F5"/>
    <w:rsid w:val="00B06A69"/>
    <w:rsid w:val="00B1207D"/>
    <w:rsid w:val="00B124CC"/>
    <w:rsid w:val="00B127E6"/>
    <w:rsid w:val="00B12EF6"/>
    <w:rsid w:val="00B13546"/>
    <w:rsid w:val="00B13D36"/>
    <w:rsid w:val="00B13DB4"/>
    <w:rsid w:val="00B218DC"/>
    <w:rsid w:val="00B235DB"/>
    <w:rsid w:val="00B2470B"/>
    <w:rsid w:val="00B24EAE"/>
    <w:rsid w:val="00B25F0C"/>
    <w:rsid w:val="00B2627B"/>
    <w:rsid w:val="00B262E4"/>
    <w:rsid w:val="00B26EF5"/>
    <w:rsid w:val="00B27231"/>
    <w:rsid w:val="00B27C90"/>
    <w:rsid w:val="00B3168C"/>
    <w:rsid w:val="00B318D8"/>
    <w:rsid w:val="00B32124"/>
    <w:rsid w:val="00B32388"/>
    <w:rsid w:val="00B323B5"/>
    <w:rsid w:val="00B32AF5"/>
    <w:rsid w:val="00B32BE6"/>
    <w:rsid w:val="00B3399A"/>
    <w:rsid w:val="00B35334"/>
    <w:rsid w:val="00B3645C"/>
    <w:rsid w:val="00B42761"/>
    <w:rsid w:val="00B42BD2"/>
    <w:rsid w:val="00B454D1"/>
    <w:rsid w:val="00B512B0"/>
    <w:rsid w:val="00B51983"/>
    <w:rsid w:val="00B52CD2"/>
    <w:rsid w:val="00B5339E"/>
    <w:rsid w:val="00B546C9"/>
    <w:rsid w:val="00B56C2F"/>
    <w:rsid w:val="00B56EFF"/>
    <w:rsid w:val="00B608DF"/>
    <w:rsid w:val="00B60CAB"/>
    <w:rsid w:val="00B62E92"/>
    <w:rsid w:val="00B672F3"/>
    <w:rsid w:val="00B673DE"/>
    <w:rsid w:val="00B673F4"/>
    <w:rsid w:val="00B70FED"/>
    <w:rsid w:val="00B71413"/>
    <w:rsid w:val="00B71A82"/>
    <w:rsid w:val="00B72BFB"/>
    <w:rsid w:val="00B77059"/>
    <w:rsid w:val="00B77CBE"/>
    <w:rsid w:val="00B81986"/>
    <w:rsid w:val="00B8241D"/>
    <w:rsid w:val="00B82500"/>
    <w:rsid w:val="00B82945"/>
    <w:rsid w:val="00B833F8"/>
    <w:rsid w:val="00B867A1"/>
    <w:rsid w:val="00B86A39"/>
    <w:rsid w:val="00B90037"/>
    <w:rsid w:val="00B902C7"/>
    <w:rsid w:val="00B904F9"/>
    <w:rsid w:val="00B922B3"/>
    <w:rsid w:val="00B937D7"/>
    <w:rsid w:val="00B93A33"/>
    <w:rsid w:val="00BA0539"/>
    <w:rsid w:val="00BA12C2"/>
    <w:rsid w:val="00BA1DF7"/>
    <w:rsid w:val="00BA354B"/>
    <w:rsid w:val="00BA4244"/>
    <w:rsid w:val="00BA4519"/>
    <w:rsid w:val="00BA6D56"/>
    <w:rsid w:val="00BB0B59"/>
    <w:rsid w:val="00BB0BEB"/>
    <w:rsid w:val="00BB2360"/>
    <w:rsid w:val="00BB2448"/>
    <w:rsid w:val="00BB2A60"/>
    <w:rsid w:val="00BB48B5"/>
    <w:rsid w:val="00BB4F84"/>
    <w:rsid w:val="00BB64DA"/>
    <w:rsid w:val="00BC0238"/>
    <w:rsid w:val="00BC0F9F"/>
    <w:rsid w:val="00BC220A"/>
    <w:rsid w:val="00BC25F4"/>
    <w:rsid w:val="00BC3196"/>
    <w:rsid w:val="00BC39E4"/>
    <w:rsid w:val="00BC3C7C"/>
    <w:rsid w:val="00BC3D0B"/>
    <w:rsid w:val="00BC43B8"/>
    <w:rsid w:val="00BC4FE3"/>
    <w:rsid w:val="00BC53F3"/>
    <w:rsid w:val="00BC5BB7"/>
    <w:rsid w:val="00BC5CC3"/>
    <w:rsid w:val="00BC60BC"/>
    <w:rsid w:val="00BC678B"/>
    <w:rsid w:val="00BC690E"/>
    <w:rsid w:val="00BD07C0"/>
    <w:rsid w:val="00BD1126"/>
    <w:rsid w:val="00BD3B08"/>
    <w:rsid w:val="00BD3E57"/>
    <w:rsid w:val="00BD5783"/>
    <w:rsid w:val="00BD5913"/>
    <w:rsid w:val="00BD6E61"/>
    <w:rsid w:val="00BE0ED3"/>
    <w:rsid w:val="00BE2060"/>
    <w:rsid w:val="00BE2EE6"/>
    <w:rsid w:val="00BE5B26"/>
    <w:rsid w:val="00BE6871"/>
    <w:rsid w:val="00BF0AFB"/>
    <w:rsid w:val="00BF0DEE"/>
    <w:rsid w:val="00BF38B7"/>
    <w:rsid w:val="00BF3987"/>
    <w:rsid w:val="00BF522A"/>
    <w:rsid w:val="00BF5DFC"/>
    <w:rsid w:val="00BF713C"/>
    <w:rsid w:val="00C02610"/>
    <w:rsid w:val="00C0432F"/>
    <w:rsid w:val="00C048F2"/>
    <w:rsid w:val="00C04E60"/>
    <w:rsid w:val="00C06161"/>
    <w:rsid w:val="00C06AAC"/>
    <w:rsid w:val="00C06B19"/>
    <w:rsid w:val="00C07DC1"/>
    <w:rsid w:val="00C1001B"/>
    <w:rsid w:val="00C112A2"/>
    <w:rsid w:val="00C13A5D"/>
    <w:rsid w:val="00C14683"/>
    <w:rsid w:val="00C16530"/>
    <w:rsid w:val="00C172C1"/>
    <w:rsid w:val="00C21C71"/>
    <w:rsid w:val="00C2429F"/>
    <w:rsid w:val="00C243F0"/>
    <w:rsid w:val="00C270BA"/>
    <w:rsid w:val="00C301EE"/>
    <w:rsid w:val="00C32E7E"/>
    <w:rsid w:val="00C33FEE"/>
    <w:rsid w:val="00C3431C"/>
    <w:rsid w:val="00C343EA"/>
    <w:rsid w:val="00C35025"/>
    <w:rsid w:val="00C35180"/>
    <w:rsid w:val="00C359AC"/>
    <w:rsid w:val="00C35B27"/>
    <w:rsid w:val="00C37D0E"/>
    <w:rsid w:val="00C4058D"/>
    <w:rsid w:val="00C44270"/>
    <w:rsid w:val="00C4536D"/>
    <w:rsid w:val="00C45CA0"/>
    <w:rsid w:val="00C468E6"/>
    <w:rsid w:val="00C47BC5"/>
    <w:rsid w:val="00C5069F"/>
    <w:rsid w:val="00C50DAB"/>
    <w:rsid w:val="00C52B19"/>
    <w:rsid w:val="00C547CC"/>
    <w:rsid w:val="00C55712"/>
    <w:rsid w:val="00C5641D"/>
    <w:rsid w:val="00C569A4"/>
    <w:rsid w:val="00C575CE"/>
    <w:rsid w:val="00C60804"/>
    <w:rsid w:val="00C60B16"/>
    <w:rsid w:val="00C60B2C"/>
    <w:rsid w:val="00C60C0E"/>
    <w:rsid w:val="00C62514"/>
    <w:rsid w:val="00C63C02"/>
    <w:rsid w:val="00C64F52"/>
    <w:rsid w:val="00C65605"/>
    <w:rsid w:val="00C67CEE"/>
    <w:rsid w:val="00C67FB6"/>
    <w:rsid w:val="00C70A2A"/>
    <w:rsid w:val="00C727FB"/>
    <w:rsid w:val="00C72FAA"/>
    <w:rsid w:val="00C74872"/>
    <w:rsid w:val="00C75EFB"/>
    <w:rsid w:val="00C76813"/>
    <w:rsid w:val="00C77310"/>
    <w:rsid w:val="00C77A06"/>
    <w:rsid w:val="00C80E66"/>
    <w:rsid w:val="00C81C96"/>
    <w:rsid w:val="00C82499"/>
    <w:rsid w:val="00C83488"/>
    <w:rsid w:val="00C83E6E"/>
    <w:rsid w:val="00C84489"/>
    <w:rsid w:val="00C84B2A"/>
    <w:rsid w:val="00C85F9B"/>
    <w:rsid w:val="00C86D0F"/>
    <w:rsid w:val="00C900BD"/>
    <w:rsid w:val="00C900CF"/>
    <w:rsid w:val="00C91940"/>
    <w:rsid w:val="00C92575"/>
    <w:rsid w:val="00C93351"/>
    <w:rsid w:val="00C9386D"/>
    <w:rsid w:val="00C941C7"/>
    <w:rsid w:val="00C945DB"/>
    <w:rsid w:val="00C95A91"/>
    <w:rsid w:val="00C975A1"/>
    <w:rsid w:val="00CA058C"/>
    <w:rsid w:val="00CA05C6"/>
    <w:rsid w:val="00CA1586"/>
    <w:rsid w:val="00CA253D"/>
    <w:rsid w:val="00CA2819"/>
    <w:rsid w:val="00CA458B"/>
    <w:rsid w:val="00CA491A"/>
    <w:rsid w:val="00CA58C8"/>
    <w:rsid w:val="00CA5D9B"/>
    <w:rsid w:val="00CA5EE1"/>
    <w:rsid w:val="00CA7861"/>
    <w:rsid w:val="00CB18A1"/>
    <w:rsid w:val="00CB38FF"/>
    <w:rsid w:val="00CB5259"/>
    <w:rsid w:val="00CB5A01"/>
    <w:rsid w:val="00CB7D14"/>
    <w:rsid w:val="00CC01E5"/>
    <w:rsid w:val="00CC267A"/>
    <w:rsid w:val="00CC3C84"/>
    <w:rsid w:val="00CC6249"/>
    <w:rsid w:val="00CC6CC3"/>
    <w:rsid w:val="00CC7BB0"/>
    <w:rsid w:val="00CD218A"/>
    <w:rsid w:val="00CD36E6"/>
    <w:rsid w:val="00CD3941"/>
    <w:rsid w:val="00CD5697"/>
    <w:rsid w:val="00CD613D"/>
    <w:rsid w:val="00CD6D33"/>
    <w:rsid w:val="00CD7669"/>
    <w:rsid w:val="00CE0889"/>
    <w:rsid w:val="00CE186A"/>
    <w:rsid w:val="00CE24E2"/>
    <w:rsid w:val="00CE2A1D"/>
    <w:rsid w:val="00CE2DEF"/>
    <w:rsid w:val="00CE37AE"/>
    <w:rsid w:val="00CE6CE4"/>
    <w:rsid w:val="00CE7413"/>
    <w:rsid w:val="00CE7910"/>
    <w:rsid w:val="00CF00A9"/>
    <w:rsid w:val="00CF0997"/>
    <w:rsid w:val="00CF1617"/>
    <w:rsid w:val="00CF4AD3"/>
    <w:rsid w:val="00CF4DC9"/>
    <w:rsid w:val="00CF5862"/>
    <w:rsid w:val="00CF5F2A"/>
    <w:rsid w:val="00CF60E9"/>
    <w:rsid w:val="00CF6693"/>
    <w:rsid w:val="00CF66B8"/>
    <w:rsid w:val="00CF6F22"/>
    <w:rsid w:val="00CF78DB"/>
    <w:rsid w:val="00CF7A8C"/>
    <w:rsid w:val="00D012C4"/>
    <w:rsid w:val="00D0186E"/>
    <w:rsid w:val="00D02048"/>
    <w:rsid w:val="00D02BD9"/>
    <w:rsid w:val="00D056AB"/>
    <w:rsid w:val="00D05CEB"/>
    <w:rsid w:val="00D0610E"/>
    <w:rsid w:val="00D0632E"/>
    <w:rsid w:val="00D109B2"/>
    <w:rsid w:val="00D13F29"/>
    <w:rsid w:val="00D14064"/>
    <w:rsid w:val="00D1432E"/>
    <w:rsid w:val="00D14E88"/>
    <w:rsid w:val="00D14EB1"/>
    <w:rsid w:val="00D169F8"/>
    <w:rsid w:val="00D16AD5"/>
    <w:rsid w:val="00D207F2"/>
    <w:rsid w:val="00D2205C"/>
    <w:rsid w:val="00D22AC0"/>
    <w:rsid w:val="00D22BD2"/>
    <w:rsid w:val="00D22F42"/>
    <w:rsid w:val="00D2377C"/>
    <w:rsid w:val="00D23E61"/>
    <w:rsid w:val="00D24E3E"/>
    <w:rsid w:val="00D25163"/>
    <w:rsid w:val="00D27AAC"/>
    <w:rsid w:val="00D30D82"/>
    <w:rsid w:val="00D335C8"/>
    <w:rsid w:val="00D33908"/>
    <w:rsid w:val="00D353A8"/>
    <w:rsid w:val="00D36A33"/>
    <w:rsid w:val="00D374C4"/>
    <w:rsid w:val="00D3761D"/>
    <w:rsid w:val="00D37E15"/>
    <w:rsid w:val="00D4086F"/>
    <w:rsid w:val="00D40C15"/>
    <w:rsid w:val="00D431B0"/>
    <w:rsid w:val="00D47CBB"/>
    <w:rsid w:val="00D51773"/>
    <w:rsid w:val="00D5246A"/>
    <w:rsid w:val="00D527CD"/>
    <w:rsid w:val="00D542AB"/>
    <w:rsid w:val="00D54D5F"/>
    <w:rsid w:val="00D553FA"/>
    <w:rsid w:val="00D556D5"/>
    <w:rsid w:val="00D55E17"/>
    <w:rsid w:val="00D57929"/>
    <w:rsid w:val="00D615F6"/>
    <w:rsid w:val="00D628A0"/>
    <w:rsid w:val="00D63213"/>
    <w:rsid w:val="00D63B81"/>
    <w:rsid w:val="00D63FB5"/>
    <w:rsid w:val="00D642CD"/>
    <w:rsid w:val="00D65BEC"/>
    <w:rsid w:val="00D67223"/>
    <w:rsid w:val="00D709A9"/>
    <w:rsid w:val="00D72AF5"/>
    <w:rsid w:val="00D72DF9"/>
    <w:rsid w:val="00D743AA"/>
    <w:rsid w:val="00D75461"/>
    <w:rsid w:val="00D75EEB"/>
    <w:rsid w:val="00D761BE"/>
    <w:rsid w:val="00D80BA9"/>
    <w:rsid w:val="00D820DC"/>
    <w:rsid w:val="00D82111"/>
    <w:rsid w:val="00D821FC"/>
    <w:rsid w:val="00D822B6"/>
    <w:rsid w:val="00D8255F"/>
    <w:rsid w:val="00D82CFD"/>
    <w:rsid w:val="00D836DC"/>
    <w:rsid w:val="00D841DA"/>
    <w:rsid w:val="00D84334"/>
    <w:rsid w:val="00D848F6"/>
    <w:rsid w:val="00D86B07"/>
    <w:rsid w:val="00D87BFE"/>
    <w:rsid w:val="00D90462"/>
    <w:rsid w:val="00D90A2D"/>
    <w:rsid w:val="00D91357"/>
    <w:rsid w:val="00D948B0"/>
    <w:rsid w:val="00D96017"/>
    <w:rsid w:val="00DA01A8"/>
    <w:rsid w:val="00DA0769"/>
    <w:rsid w:val="00DA3562"/>
    <w:rsid w:val="00DA3586"/>
    <w:rsid w:val="00DA3E62"/>
    <w:rsid w:val="00DA4975"/>
    <w:rsid w:val="00DA5087"/>
    <w:rsid w:val="00DA755D"/>
    <w:rsid w:val="00DB1064"/>
    <w:rsid w:val="00DB1246"/>
    <w:rsid w:val="00DB1C07"/>
    <w:rsid w:val="00DB26A5"/>
    <w:rsid w:val="00DB2A8E"/>
    <w:rsid w:val="00DB3A44"/>
    <w:rsid w:val="00DB617D"/>
    <w:rsid w:val="00DB72C8"/>
    <w:rsid w:val="00DB7589"/>
    <w:rsid w:val="00DC18E0"/>
    <w:rsid w:val="00DC2F52"/>
    <w:rsid w:val="00DC3762"/>
    <w:rsid w:val="00DC4ECD"/>
    <w:rsid w:val="00DC7BD5"/>
    <w:rsid w:val="00DD1D99"/>
    <w:rsid w:val="00DD2B05"/>
    <w:rsid w:val="00DD2BE8"/>
    <w:rsid w:val="00DD308E"/>
    <w:rsid w:val="00DD51AA"/>
    <w:rsid w:val="00DD5C75"/>
    <w:rsid w:val="00DD5FD9"/>
    <w:rsid w:val="00DD7482"/>
    <w:rsid w:val="00DE22F2"/>
    <w:rsid w:val="00DE2C9A"/>
    <w:rsid w:val="00DE5087"/>
    <w:rsid w:val="00DE5D9D"/>
    <w:rsid w:val="00DE5F4B"/>
    <w:rsid w:val="00DE606C"/>
    <w:rsid w:val="00DE628F"/>
    <w:rsid w:val="00DE6296"/>
    <w:rsid w:val="00DE74B9"/>
    <w:rsid w:val="00DE793F"/>
    <w:rsid w:val="00DF2D04"/>
    <w:rsid w:val="00DF30A8"/>
    <w:rsid w:val="00DF33E5"/>
    <w:rsid w:val="00DF3EC4"/>
    <w:rsid w:val="00DF4BA5"/>
    <w:rsid w:val="00DF6A2F"/>
    <w:rsid w:val="00E0033B"/>
    <w:rsid w:val="00E00A84"/>
    <w:rsid w:val="00E01603"/>
    <w:rsid w:val="00E03503"/>
    <w:rsid w:val="00E036F8"/>
    <w:rsid w:val="00E03A2F"/>
    <w:rsid w:val="00E0469D"/>
    <w:rsid w:val="00E04B9E"/>
    <w:rsid w:val="00E04EE1"/>
    <w:rsid w:val="00E051D2"/>
    <w:rsid w:val="00E07E6C"/>
    <w:rsid w:val="00E11189"/>
    <w:rsid w:val="00E12F21"/>
    <w:rsid w:val="00E172BB"/>
    <w:rsid w:val="00E20CF8"/>
    <w:rsid w:val="00E21B65"/>
    <w:rsid w:val="00E22293"/>
    <w:rsid w:val="00E22605"/>
    <w:rsid w:val="00E2420C"/>
    <w:rsid w:val="00E24369"/>
    <w:rsid w:val="00E252CF"/>
    <w:rsid w:val="00E25BA3"/>
    <w:rsid w:val="00E31394"/>
    <w:rsid w:val="00E31579"/>
    <w:rsid w:val="00E333FA"/>
    <w:rsid w:val="00E34650"/>
    <w:rsid w:val="00E346F3"/>
    <w:rsid w:val="00E34703"/>
    <w:rsid w:val="00E357CA"/>
    <w:rsid w:val="00E37898"/>
    <w:rsid w:val="00E40068"/>
    <w:rsid w:val="00E414F3"/>
    <w:rsid w:val="00E41655"/>
    <w:rsid w:val="00E41F53"/>
    <w:rsid w:val="00E42A53"/>
    <w:rsid w:val="00E43261"/>
    <w:rsid w:val="00E435CA"/>
    <w:rsid w:val="00E45C01"/>
    <w:rsid w:val="00E469A1"/>
    <w:rsid w:val="00E4778B"/>
    <w:rsid w:val="00E5064B"/>
    <w:rsid w:val="00E5091E"/>
    <w:rsid w:val="00E50A92"/>
    <w:rsid w:val="00E514CF"/>
    <w:rsid w:val="00E5467F"/>
    <w:rsid w:val="00E54AA3"/>
    <w:rsid w:val="00E56671"/>
    <w:rsid w:val="00E57851"/>
    <w:rsid w:val="00E61221"/>
    <w:rsid w:val="00E61871"/>
    <w:rsid w:val="00E62169"/>
    <w:rsid w:val="00E624D5"/>
    <w:rsid w:val="00E628B8"/>
    <w:rsid w:val="00E63B0A"/>
    <w:rsid w:val="00E64CE5"/>
    <w:rsid w:val="00E64E77"/>
    <w:rsid w:val="00E65620"/>
    <w:rsid w:val="00E666DE"/>
    <w:rsid w:val="00E700B6"/>
    <w:rsid w:val="00E7156C"/>
    <w:rsid w:val="00E71E46"/>
    <w:rsid w:val="00E77CE0"/>
    <w:rsid w:val="00E80257"/>
    <w:rsid w:val="00E803E0"/>
    <w:rsid w:val="00E8135F"/>
    <w:rsid w:val="00E819BB"/>
    <w:rsid w:val="00E822FB"/>
    <w:rsid w:val="00E8332C"/>
    <w:rsid w:val="00E8413F"/>
    <w:rsid w:val="00E861FE"/>
    <w:rsid w:val="00E8660E"/>
    <w:rsid w:val="00E868FF"/>
    <w:rsid w:val="00E87E10"/>
    <w:rsid w:val="00E9009C"/>
    <w:rsid w:val="00E924E8"/>
    <w:rsid w:val="00E92DD8"/>
    <w:rsid w:val="00E9500B"/>
    <w:rsid w:val="00E9598F"/>
    <w:rsid w:val="00E974DD"/>
    <w:rsid w:val="00EA0976"/>
    <w:rsid w:val="00EA165F"/>
    <w:rsid w:val="00EA1FBB"/>
    <w:rsid w:val="00EA2372"/>
    <w:rsid w:val="00EA525E"/>
    <w:rsid w:val="00EA5809"/>
    <w:rsid w:val="00EA6CD5"/>
    <w:rsid w:val="00EB0028"/>
    <w:rsid w:val="00EB0380"/>
    <w:rsid w:val="00EB1561"/>
    <w:rsid w:val="00EB3133"/>
    <w:rsid w:val="00EB322C"/>
    <w:rsid w:val="00EB39B8"/>
    <w:rsid w:val="00EB3D22"/>
    <w:rsid w:val="00EB470B"/>
    <w:rsid w:val="00EB4DBB"/>
    <w:rsid w:val="00EB5D1F"/>
    <w:rsid w:val="00EB5D9D"/>
    <w:rsid w:val="00EB6189"/>
    <w:rsid w:val="00EB6286"/>
    <w:rsid w:val="00EC0226"/>
    <w:rsid w:val="00EC166B"/>
    <w:rsid w:val="00EC1891"/>
    <w:rsid w:val="00EC2A0D"/>
    <w:rsid w:val="00EC31DE"/>
    <w:rsid w:val="00EC33C2"/>
    <w:rsid w:val="00EC3E4C"/>
    <w:rsid w:val="00EC4B43"/>
    <w:rsid w:val="00EC6F2B"/>
    <w:rsid w:val="00ED0C40"/>
    <w:rsid w:val="00ED1062"/>
    <w:rsid w:val="00ED16F4"/>
    <w:rsid w:val="00ED192E"/>
    <w:rsid w:val="00ED2392"/>
    <w:rsid w:val="00ED2548"/>
    <w:rsid w:val="00ED2D31"/>
    <w:rsid w:val="00ED2D64"/>
    <w:rsid w:val="00ED32A3"/>
    <w:rsid w:val="00ED34EA"/>
    <w:rsid w:val="00ED5677"/>
    <w:rsid w:val="00ED56BB"/>
    <w:rsid w:val="00ED5744"/>
    <w:rsid w:val="00ED581D"/>
    <w:rsid w:val="00EE0F7F"/>
    <w:rsid w:val="00EE0FEC"/>
    <w:rsid w:val="00EE3466"/>
    <w:rsid w:val="00EE495E"/>
    <w:rsid w:val="00EF01BA"/>
    <w:rsid w:val="00EF111C"/>
    <w:rsid w:val="00EF13E7"/>
    <w:rsid w:val="00EF2A66"/>
    <w:rsid w:val="00EF33EC"/>
    <w:rsid w:val="00EF3BC0"/>
    <w:rsid w:val="00EF4810"/>
    <w:rsid w:val="00EF53CB"/>
    <w:rsid w:val="00EF5872"/>
    <w:rsid w:val="00EF6384"/>
    <w:rsid w:val="00EF7165"/>
    <w:rsid w:val="00EF723D"/>
    <w:rsid w:val="00EF7874"/>
    <w:rsid w:val="00F00BE7"/>
    <w:rsid w:val="00F031CF"/>
    <w:rsid w:val="00F03FF0"/>
    <w:rsid w:val="00F04917"/>
    <w:rsid w:val="00F052C6"/>
    <w:rsid w:val="00F07297"/>
    <w:rsid w:val="00F07AB4"/>
    <w:rsid w:val="00F129A9"/>
    <w:rsid w:val="00F13218"/>
    <w:rsid w:val="00F1574E"/>
    <w:rsid w:val="00F2370A"/>
    <w:rsid w:val="00F2454B"/>
    <w:rsid w:val="00F25789"/>
    <w:rsid w:val="00F25D68"/>
    <w:rsid w:val="00F26BB6"/>
    <w:rsid w:val="00F26BD4"/>
    <w:rsid w:val="00F26C66"/>
    <w:rsid w:val="00F27F07"/>
    <w:rsid w:val="00F3051F"/>
    <w:rsid w:val="00F31802"/>
    <w:rsid w:val="00F31E1F"/>
    <w:rsid w:val="00F32B8C"/>
    <w:rsid w:val="00F35068"/>
    <w:rsid w:val="00F36439"/>
    <w:rsid w:val="00F37E6D"/>
    <w:rsid w:val="00F4178A"/>
    <w:rsid w:val="00F41D81"/>
    <w:rsid w:val="00F42597"/>
    <w:rsid w:val="00F436BA"/>
    <w:rsid w:val="00F50B03"/>
    <w:rsid w:val="00F50FE4"/>
    <w:rsid w:val="00F5195D"/>
    <w:rsid w:val="00F53A40"/>
    <w:rsid w:val="00F543C2"/>
    <w:rsid w:val="00F54DBD"/>
    <w:rsid w:val="00F579E3"/>
    <w:rsid w:val="00F605B3"/>
    <w:rsid w:val="00F61018"/>
    <w:rsid w:val="00F61A81"/>
    <w:rsid w:val="00F62B1D"/>
    <w:rsid w:val="00F6356F"/>
    <w:rsid w:val="00F64BFC"/>
    <w:rsid w:val="00F650C9"/>
    <w:rsid w:val="00F65F3E"/>
    <w:rsid w:val="00F6671C"/>
    <w:rsid w:val="00F66777"/>
    <w:rsid w:val="00F6737F"/>
    <w:rsid w:val="00F67847"/>
    <w:rsid w:val="00F678E9"/>
    <w:rsid w:val="00F713AC"/>
    <w:rsid w:val="00F72241"/>
    <w:rsid w:val="00F725C8"/>
    <w:rsid w:val="00F725FB"/>
    <w:rsid w:val="00F72BEB"/>
    <w:rsid w:val="00F7791F"/>
    <w:rsid w:val="00F8106E"/>
    <w:rsid w:val="00F8294B"/>
    <w:rsid w:val="00F82F27"/>
    <w:rsid w:val="00F83805"/>
    <w:rsid w:val="00F83C97"/>
    <w:rsid w:val="00F84154"/>
    <w:rsid w:val="00F84A7B"/>
    <w:rsid w:val="00F85803"/>
    <w:rsid w:val="00F85896"/>
    <w:rsid w:val="00F86AD1"/>
    <w:rsid w:val="00F87903"/>
    <w:rsid w:val="00F903B1"/>
    <w:rsid w:val="00F90C9E"/>
    <w:rsid w:val="00F92DA9"/>
    <w:rsid w:val="00F93F0A"/>
    <w:rsid w:val="00F94067"/>
    <w:rsid w:val="00F94440"/>
    <w:rsid w:val="00F94D8D"/>
    <w:rsid w:val="00F94D9F"/>
    <w:rsid w:val="00F94E35"/>
    <w:rsid w:val="00F96506"/>
    <w:rsid w:val="00F96906"/>
    <w:rsid w:val="00F97095"/>
    <w:rsid w:val="00F970B0"/>
    <w:rsid w:val="00FA149A"/>
    <w:rsid w:val="00FA2CD9"/>
    <w:rsid w:val="00FA4341"/>
    <w:rsid w:val="00FA4565"/>
    <w:rsid w:val="00FA456A"/>
    <w:rsid w:val="00FA4C36"/>
    <w:rsid w:val="00FA61DA"/>
    <w:rsid w:val="00FA6E5B"/>
    <w:rsid w:val="00FA7AAF"/>
    <w:rsid w:val="00FB1652"/>
    <w:rsid w:val="00FB19D5"/>
    <w:rsid w:val="00FB47DC"/>
    <w:rsid w:val="00FB5C4C"/>
    <w:rsid w:val="00FB662A"/>
    <w:rsid w:val="00FB780D"/>
    <w:rsid w:val="00FC061B"/>
    <w:rsid w:val="00FC0B53"/>
    <w:rsid w:val="00FC171B"/>
    <w:rsid w:val="00FC31D5"/>
    <w:rsid w:val="00FC4884"/>
    <w:rsid w:val="00FC4B7F"/>
    <w:rsid w:val="00FC51EA"/>
    <w:rsid w:val="00FC576D"/>
    <w:rsid w:val="00FC5F78"/>
    <w:rsid w:val="00FC65B9"/>
    <w:rsid w:val="00FC6657"/>
    <w:rsid w:val="00FC7F1C"/>
    <w:rsid w:val="00FD034C"/>
    <w:rsid w:val="00FD28B7"/>
    <w:rsid w:val="00FD37B9"/>
    <w:rsid w:val="00FD39D7"/>
    <w:rsid w:val="00FD3B65"/>
    <w:rsid w:val="00FD4F86"/>
    <w:rsid w:val="00FD569F"/>
    <w:rsid w:val="00FD78EF"/>
    <w:rsid w:val="00FE0761"/>
    <w:rsid w:val="00FE154F"/>
    <w:rsid w:val="00FE16B0"/>
    <w:rsid w:val="00FE26C8"/>
    <w:rsid w:val="00FE3520"/>
    <w:rsid w:val="00FE3563"/>
    <w:rsid w:val="00FE39A1"/>
    <w:rsid w:val="00FE41F2"/>
    <w:rsid w:val="00FE43D3"/>
    <w:rsid w:val="00FF07B8"/>
    <w:rsid w:val="00FF0B72"/>
    <w:rsid w:val="00FF3D58"/>
    <w:rsid w:val="00FF46A4"/>
    <w:rsid w:val="00FF4943"/>
    <w:rsid w:val="00FF49C6"/>
    <w:rsid w:val="00FF49F7"/>
    <w:rsid w:val="00FF50C7"/>
    <w:rsid w:val="00FF6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79"/>
    <o:shapelayout v:ext="edit">
      <o:idmap v:ext="edit" data="1"/>
      <o:rules v:ext="edit">
        <o:r id="V:Rule15" type="connector" idref="#AutoShape 8"/>
        <o:r id="V:Rule16" type="connector" idref="#AutoShape 29"/>
        <o:r id="V:Rule17" type="connector" idref="#AutoShape 23"/>
        <o:r id="V:Rule18" type="connector" idref="#AutoShape 36"/>
        <o:r id="V:Rule19" type="connector" idref="#AutoShape 7"/>
        <o:r id="V:Rule20" type="connector" idref="#AutoShape 9"/>
        <o:r id="V:Rule21" type="connector" idref="#AutoShape 32"/>
        <o:r id="V:Rule22" type="connector" idref="#AutoShape 31"/>
        <o:r id="V:Rule23" type="connector" idref="#AutoShape 35"/>
        <o:r id="V:Rule24" type="connector" idref="#AutoShape 30"/>
        <o:r id="V:Rule25" type="connector" idref="#AutoShape 10"/>
        <o:r id="V:Rule26" type="connector" idref="#AutoShape 33"/>
        <o:r id="V:Rule27" type="connector" idref="#AutoShape 34"/>
        <o:r id="V:Rule28"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uiPriority w:val="9"/>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5"/>
    <w:qFormat/>
    <w:rsid w:val="002C7F22"/>
    <w:pPr>
      <w:ind w:left="720"/>
      <w:contextualSpacing/>
    </w:pPr>
  </w:style>
  <w:style w:type="paragraph" w:styleId="FootnoteText">
    <w:name w:val="footnote text"/>
    <w:basedOn w:val="Normal"/>
    <w:link w:val="FootnoteTextChar"/>
    <w:unhideWhenUsed/>
    <w:rsid w:val="00860484"/>
    <w:rPr>
      <w:sz w:val="20"/>
      <w:szCs w:val="20"/>
    </w:rPr>
  </w:style>
  <w:style w:type="character" w:customStyle="1" w:styleId="FootnoteTextChar">
    <w:name w:val="Footnote Text Char"/>
    <w:basedOn w:val="DefaultParagraphFont"/>
    <w:link w:val="FootnoteText"/>
    <w:rsid w:val="00860484"/>
    <w:rPr>
      <w:sz w:val="20"/>
      <w:szCs w:val="20"/>
    </w:rPr>
  </w:style>
  <w:style w:type="character" w:styleId="FootnoteReference">
    <w:name w:val="footnote reference"/>
    <w:basedOn w:val="DefaultParagraphFont"/>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nhideWhenUsed/>
    <w:rsid w:val="00DD2B05"/>
    <w:pPr>
      <w:tabs>
        <w:tab w:val="center" w:pos="4680"/>
        <w:tab w:val="right" w:pos="9360"/>
      </w:tabs>
    </w:pPr>
  </w:style>
  <w:style w:type="character" w:customStyle="1" w:styleId="HeaderChar">
    <w:name w:val="Header Char"/>
    <w:basedOn w:val="DefaultParagraphFont"/>
    <w:link w:val="Header"/>
    <w:uiPriority w:val="99"/>
    <w:rsid w:val="00DD2B05"/>
  </w:style>
  <w:style w:type="paragraph" w:styleId="Footer">
    <w:name w:val="footer"/>
    <w:basedOn w:val="Normal"/>
    <w:link w:val="FooterChar"/>
    <w:uiPriority w:val="99"/>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uiPriority w:val="99"/>
    <w:semiHidden/>
    <w:unhideWhenUsed/>
    <w:rsid w:val="008670CE"/>
    <w:rPr>
      <w:sz w:val="16"/>
      <w:szCs w:val="16"/>
    </w:rPr>
  </w:style>
  <w:style w:type="paragraph" w:styleId="CommentText">
    <w:name w:val="annotation text"/>
    <w:basedOn w:val="Normal"/>
    <w:link w:val="CommentTextChar"/>
    <w:uiPriority w:val="99"/>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rsid w:val="00ED581D"/>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paragraph" w:customStyle="1" w:styleId="MemoFrame">
    <w:name w:val="Memo Frame"/>
    <w:basedOn w:val="Normal"/>
    <w:rsid w:val="00ED2D31"/>
    <w:pPr>
      <w:spacing w:line="240" w:lineRule="exact"/>
    </w:pPr>
    <w:rPr>
      <w:rFonts w:ascii="Arial Narrow" w:eastAsia="Times New Roman" w:hAnsi="Arial Narrow"/>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uiPriority w:val="9"/>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34"/>
    <w:qFormat/>
    <w:rsid w:val="002C7F22"/>
    <w:pPr>
      <w:ind w:left="720"/>
      <w:contextualSpacing/>
    </w:pPr>
  </w:style>
  <w:style w:type="paragraph" w:styleId="FootnoteText">
    <w:name w:val="footnote text"/>
    <w:basedOn w:val="Normal"/>
    <w:link w:val="FootnoteTextChar"/>
    <w:unhideWhenUsed/>
    <w:rsid w:val="00860484"/>
    <w:rPr>
      <w:sz w:val="20"/>
      <w:szCs w:val="20"/>
    </w:rPr>
  </w:style>
  <w:style w:type="character" w:customStyle="1" w:styleId="FootnoteTextChar">
    <w:name w:val="Footnote Text Char"/>
    <w:basedOn w:val="DefaultParagraphFont"/>
    <w:link w:val="FootnoteText"/>
    <w:rsid w:val="00860484"/>
    <w:rPr>
      <w:sz w:val="20"/>
      <w:szCs w:val="20"/>
    </w:rPr>
  </w:style>
  <w:style w:type="character" w:styleId="FootnoteReference">
    <w:name w:val="footnote reference"/>
    <w:basedOn w:val="DefaultParagraphFont"/>
    <w:unhideWhenUsed/>
    <w:rsid w:val="00860484"/>
    <w:rPr>
      <w:vertAlign w:val="superscript"/>
    </w:rPr>
  </w:style>
  <w:style w:type="paragraph" w:styleId="BalloonText">
    <w:name w:val="Balloon Text"/>
    <w:basedOn w:val="Normal"/>
    <w:link w:val="BalloonTextChar"/>
    <w:uiPriority w:val="99"/>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DD2B05"/>
    <w:pPr>
      <w:tabs>
        <w:tab w:val="center" w:pos="4680"/>
        <w:tab w:val="right" w:pos="9360"/>
      </w:tabs>
    </w:pPr>
  </w:style>
  <w:style w:type="character" w:customStyle="1" w:styleId="HeaderChar">
    <w:name w:val="Header Char"/>
    <w:basedOn w:val="DefaultParagraphFont"/>
    <w:link w:val="Header"/>
    <w:uiPriority w:val="99"/>
    <w:rsid w:val="00DD2B05"/>
  </w:style>
  <w:style w:type="paragraph" w:styleId="Footer">
    <w:name w:val="footer"/>
    <w:basedOn w:val="Normal"/>
    <w:link w:val="FooterChar"/>
    <w:uiPriority w:val="99"/>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rsid w:val="00ED581D"/>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7335794">
      <w:bodyDiv w:val="1"/>
      <w:marLeft w:val="0"/>
      <w:marRight w:val="0"/>
      <w:marTop w:val="0"/>
      <w:marBottom w:val="0"/>
      <w:divBdr>
        <w:top w:val="none" w:sz="0" w:space="0" w:color="auto"/>
        <w:left w:val="none" w:sz="0" w:space="0" w:color="auto"/>
        <w:bottom w:val="none" w:sz="0" w:space="0" w:color="auto"/>
        <w:right w:val="none" w:sz="0" w:space="0" w:color="auto"/>
      </w:divBdr>
    </w:div>
    <w:div w:id="35588981">
      <w:bodyDiv w:val="1"/>
      <w:marLeft w:val="0"/>
      <w:marRight w:val="0"/>
      <w:marTop w:val="0"/>
      <w:marBottom w:val="0"/>
      <w:divBdr>
        <w:top w:val="none" w:sz="0" w:space="0" w:color="auto"/>
        <w:left w:val="none" w:sz="0" w:space="0" w:color="auto"/>
        <w:bottom w:val="none" w:sz="0" w:space="0" w:color="auto"/>
        <w:right w:val="none" w:sz="0" w:space="0" w:color="auto"/>
      </w:divBdr>
    </w:div>
    <w:div w:id="106389968">
      <w:bodyDiv w:val="1"/>
      <w:marLeft w:val="0"/>
      <w:marRight w:val="0"/>
      <w:marTop w:val="0"/>
      <w:marBottom w:val="0"/>
      <w:divBdr>
        <w:top w:val="none" w:sz="0" w:space="0" w:color="auto"/>
        <w:left w:val="none" w:sz="0" w:space="0" w:color="auto"/>
        <w:bottom w:val="none" w:sz="0" w:space="0" w:color="auto"/>
        <w:right w:val="none" w:sz="0" w:space="0" w:color="auto"/>
      </w:divBdr>
    </w:div>
    <w:div w:id="114106729">
      <w:bodyDiv w:val="1"/>
      <w:marLeft w:val="0"/>
      <w:marRight w:val="0"/>
      <w:marTop w:val="0"/>
      <w:marBottom w:val="0"/>
      <w:divBdr>
        <w:top w:val="none" w:sz="0" w:space="0" w:color="auto"/>
        <w:left w:val="none" w:sz="0" w:space="0" w:color="auto"/>
        <w:bottom w:val="none" w:sz="0" w:space="0" w:color="auto"/>
        <w:right w:val="none" w:sz="0" w:space="0" w:color="auto"/>
      </w:divBdr>
    </w:div>
    <w:div w:id="116948795">
      <w:bodyDiv w:val="1"/>
      <w:marLeft w:val="0"/>
      <w:marRight w:val="0"/>
      <w:marTop w:val="0"/>
      <w:marBottom w:val="0"/>
      <w:divBdr>
        <w:top w:val="none" w:sz="0" w:space="0" w:color="auto"/>
        <w:left w:val="none" w:sz="0" w:space="0" w:color="auto"/>
        <w:bottom w:val="none" w:sz="0" w:space="0" w:color="auto"/>
        <w:right w:val="none" w:sz="0" w:space="0" w:color="auto"/>
      </w:divBdr>
    </w:div>
    <w:div w:id="145631614">
      <w:bodyDiv w:val="1"/>
      <w:marLeft w:val="0"/>
      <w:marRight w:val="0"/>
      <w:marTop w:val="0"/>
      <w:marBottom w:val="0"/>
      <w:divBdr>
        <w:top w:val="none" w:sz="0" w:space="0" w:color="auto"/>
        <w:left w:val="none" w:sz="0" w:space="0" w:color="auto"/>
        <w:bottom w:val="none" w:sz="0" w:space="0" w:color="auto"/>
        <w:right w:val="none" w:sz="0" w:space="0" w:color="auto"/>
      </w:divBdr>
    </w:div>
    <w:div w:id="200023993">
      <w:bodyDiv w:val="1"/>
      <w:marLeft w:val="0"/>
      <w:marRight w:val="0"/>
      <w:marTop w:val="0"/>
      <w:marBottom w:val="0"/>
      <w:divBdr>
        <w:top w:val="none" w:sz="0" w:space="0" w:color="auto"/>
        <w:left w:val="none" w:sz="0" w:space="0" w:color="auto"/>
        <w:bottom w:val="none" w:sz="0" w:space="0" w:color="auto"/>
        <w:right w:val="none" w:sz="0" w:space="0" w:color="auto"/>
      </w:divBdr>
    </w:div>
    <w:div w:id="214394649">
      <w:bodyDiv w:val="1"/>
      <w:marLeft w:val="0"/>
      <w:marRight w:val="0"/>
      <w:marTop w:val="0"/>
      <w:marBottom w:val="0"/>
      <w:divBdr>
        <w:top w:val="none" w:sz="0" w:space="0" w:color="auto"/>
        <w:left w:val="none" w:sz="0" w:space="0" w:color="auto"/>
        <w:bottom w:val="none" w:sz="0" w:space="0" w:color="auto"/>
        <w:right w:val="none" w:sz="0" w:space="0" w:color="auto"/>
      </w:divBdr>
    </w:div>
    <w:div w:id="226041306">
      <w:bodyDiv w:val="1"/>
      <w:marLeft w:val="0"/>
      <w:marRight w:val="0"/>
      <w:marTop w:val="0"/>
      <w:marBottom w:val="0"/>
      <w:divBdr>
        <w:top w:val="none" w:sz="0" w:space="0" w:color="auto"/>
        <w:left w:val="none" w:sz="0" w:space="0" w:color="auto"/>
        <w:bottom w:val="none" w:sz="0" w:space="0" w:color="auto"/>
        <w:right w:val="none" w:sz="0" w:space="0" w:color="auto"/>
      </w:divBdr>
    </w:div>
    <w:div w:id="239872710">
      <w:bodyDiv w:val="1"/>
      <w:marLeft w:val="0"/>
      <w:marRight w:val="0"/>
      <w:marTop w:val="0"/>
      <w:marBottom w:val="0"/>
      <w:divBdr>
        <w:top w:val="none" w:sz="0" w:space="0" w:color="auto"/>
        <w:left w:val="none" w:sz="0" w:space="0" w:color="auto"/>
        <w:bottom w:val="none" w:sz="0" w:space="0" w:color="auto"/>
        <w:right w:val="none" w:sz="0" w:space="0" w:color="auto"/>
      </w:divBdr>
    </w:div>
    <w:div w:id="290786378">
      <w:bodyDiv w:val="1"/>
      <w:marLeft w:val="0"/>
      <w:marRight w:val="0"/>
      <w:marTop w:val="0"/>
      <w:marBottom w:val="0"/>
      <w:divBdr>
        <w:top w:val="none" w:sz="0" w:space="0" w:color="auto"/>
        <w:left w:val="none" w:sz="0" w:space="0" w:color="auto"/>
        <w:bottom w:val="none" w:sz="0" w:space="0" w:color="auto"/>
        <w:right w:val="none" w:sz="0" w:space="0" w:color="auto"/>
      </w:divBdr>
    </w:div>
    <w:div w:id="292640516">
      <w:bodyDiv w:val="1"/>
      <w:marLeft w:val="0"/>
      <w:marRight w:val="0"/>
      <w:marTop w:val="0"/>
      <w:marBottom w:val="0"/>
      <w:divBdr>
        <w:top w:val="none" w:sz="0" w:space="0" w:color="auto"/>
        <w:left w:val="none" w:sz="0" w:space="0" w:color="auto"/>
        <w:bottom w:val="none" w:sz="0" w:space="0" w:color="auto"/>
        <w:right w:val="none" w:sz="0" w:space="0" w:color="auto"/>
      </w:divBdr>
    </w:div>
    <w:div w:id="307630716">
      <w:bodyDiv w:val="1"/>
      <w:marLeft w:val="0"/>
      <w:marRight w:val="0"/>
      <w:marTop w:val="0"/>
      <w:marBottom w:val="0"/>
      <w:divBdr>
        <w:top w:val="none" w:sz="0" w:space="0" w:color="auto"/>
        <w:left w:val="none" w:sz="0" w:space="0" w:color="auto"/>
        <w:bottom w:val="none" w:sz="0" w:space="0" w:color="auto"/>
        <w:right w:val="none" w:sz="0" w:space="0" w:color="auto"/>
      </w:divBdr>
    </w:div>
    <w:div w:id="317851165">
      <w:bodyDiv w:val="1"/>
      <w:marLeft w:val="0"/>
      <w:marRight w:val="0"/>
      <w:marTop w:val="0"/>
      <w:marBottom w:val="0"/>
      <w:divBdr>
        <w:top w:val="none" w:sz="0" w:space="0" w:color="auto"/>
        <w:left w:val="none" w:sz="0" w:space="0" w:color="auto"/>
        <w:bottom w:val="none" w:sz="0" w:space="0" w:color="auto"/>
        <w:right w:val="none" w:sz="0" w:space="0" w:color="auto"/>
      </w:divBdr>
    </w:div>
    <w:div w:id="320738120">
      <w:bodyDiv w:val="1"/>
      <w:marLeft w:val="0"/>
      <w:marRight w:val="0"/>
      <w:marTop w:val="0"/>
      <w:marBottom w:val="0"/>
      <w:divBdr>
        <w:top w:val="none" w:sz="0" w:space="0" w:color="auto"/>
        <w:left w:val="none" w:sz="0" w:space="0" w:color="auto"/>
        <w:bottom w:val="none" w:sz="0" w:space="0" w:color="auto"/>
        <w:right w:val="none" w:sz="0" w:space="0" w:color="auto"/>
      </w:divBdr>
    </w:div>
    <w:div w:id="363755219">
      <w:bodyDiv w:val="1"/>
      <w:marLeft w:val="0"/>
      <w:marRight w:val="0"/>
      <w:marTop w:val="0"/>
      <w:marBottom w:val="0"/>
      <w:divBdr>
        <w:top w:val="none" w:sz="0" w:space="0" w:color="auto"/>
        <w:left w:val="none" w:sz="0" w:space="0" w:color="auto"/>
        <w:bottom w:val="none" w:sz="0" w:space="0" w:color="auto"/>
        <w:right w:val="none" w:sz="0" w:space="0" w:color="auto"/>
      </w:divBdr>
      <w:divsChild>
        <w:div w:id="1034118425">
          <w:marLeft w:val="547"/>
          <w:marRight w:val="0"/>
          <w:marTop w:val="0"/>
          <w:marBottom w:val="0"/>
          <w:divBdr>
            <w:top w:val="none" w:sz="0" w:space="0" w:color="auto"/>
            <w:left w:val="none" w:sz="0" w:space="0" w:color="auto"/>
            <w:bottom w:val="none" w:sz="0" w:space="0" w:color="auto"/>
            <w:right w:val="none" w:sz="0" w:space="0" w:color="auto"/>
          </w:divBdr>
        </w:div>
      </w:divsChild>
    </w:div>
    <w:div w:id="403571547">
      <w:bodyDiv w:val="1"/>
      <w:marLeft w:val="0"/>
      <w:marRight w:val="0"/>
      <w:marTop w:val="0"/>
      <w:marBottom w:val="0"/>
      <w:divBdr>
        <w:top w:val="none" w:sz="0" w:space="0" w:color="auto"/>
        <w:left w:val="none" w:sz="0" w:space="0" w:color="auto"/>
        <w:bottom w:val="none" w:sz="0" w:space="0" w:color="auto"/>
        <w:right w:val="none" w:sz="0" w:space="0" w:color="auto"/>
      </w:divBdr>
    </w:div>
    <w:div w:id="413091075">
      <w:bodyDiv w:val="1"/>
      <w:marLeft w:val="0"/>
      <w:marRight w:val="0"/>
      <w:marTop w:val="0"/>
      <w:marBottom w:val="0"/>
      <w:divBdr>
        <w:top w:val="none" w:sz="0" w:space="0" w:color="auto"/>
        <w:left w:val="none" w:sz="0" w:space="0" w:color="auto"/>
        <w:bottom w:val="none" w:sz="0" w:space="0" w:color="auto"/>
        <w:right w:val="none" w:sz="0" w:space="0" w:color="auto"/>
      </w:divBdr>
    </w:div>
    <w:div w:id="466167819">
      <w:bodyDiv w:val="1"/>
      <w:marLeft w:val="0"/>
      <w:marRight w:val="0"/>
      <w:marTop w:val="0"/>
      <w:marBottom w:val="0"/>
      <w:divBdr>
        <w:top w:val="none" w:sz="0" w:space="0" w:color="auto"/>
        <w:left w:val="none" w:sz="0" w:space="0" w:color="auto"/>
        <w:bottom w:val="none" w:sz="0" w:space="0" w:color="auto"/>
        <w:right w:val="none" w:sz="0" w:space="0" w:color="auto"/>
      </w:divBdr>
    </w:div>
    <w:div w:id="523328759">
      <w:bodyDiv w:val="1"/>
      <w:marLeft w:val="0"/>
      <w:marRight w:val="0"/>
      <w:marTop w:val="0"/>
      <w:marBottom w:val="0"/>
      <w:divBdr>
        <w:top w:val="none" w:sz="0" w:space="0" w:color="auto"/>
        <w:left w:val="none" w:sz="0" w:space="0" w:color="auto"/>
        <w:bottom w:val="none" w:sz="0" w:space="0" w:color="auto"/>
        <w:right w:val="none" w:sz="0" w:space="0" w:color="auto"/>
      </w:divBdr>
    </w:div>
    <w:div w:id="631054375">
      <w:bodyDiv w:val="1"/>
      <w:marLeft w:val="0"/>
      <w:marRight w:val="0"/>
      <w:marTop w:val="0"/>
      <w:marBottom w:val="0"/>
      <w:divBdr>
        <w:top w:val="none" w:sz="0" w:space="0" w:color="auto"/>
        <w:left w:val="none" w:sz="0" w:space="0" w:color="auto"/>
        <w:bottom w:val="none" w:sz="0" w:space="0" w:color="auto"/>
        <w:right w:val="none" w:sz="0" w:space="0" w:color="auto"/>
      </w:divBdr>
    </w:div>
    <w:div w:id="658389451">
      <w:bodyDiv w:val="1"/>
      <w:marLeft w:val="0"/>
      <w:marRight w:val="0"/>
      <w:marTop w:val="0"/>
      <w:marBottom w:val="0"/>
      <w:divBdr>
        <w:top w:val="none" w:sz="0" w:space="0" w:color="auto"/>
        <w:left w:val="none" w:sz="0" w:space="0" w:color="auto"/>
        <w:bottom w:val="none" w:sz="0" w:space="0" w:color="auto"/>
        <w:right w:val="none" w:sz="0" w:space="0" w:color="auto"/>
      </w:divBdr>
    </w:div>
    <w:div w:id="665941484">
      <w:bodyDiv w:val="1"/>
      <w:marLeft w:val="0"/>
      <w:marRight w:val="0"/>
      <w:marTop w:val="0"/>
      <w:marBottom w:val="0"/>
      <w:divBdr>
        <w:top w:val="none" w:sz="0" w:space="0" w:color="auto"/>
        <w:left w:val="none" w:sz="0" w:space="0" w:color="auto"/>
        <w:bottom w:val="none" w:sz="0" w:space="0" w:color="auto"/>
        <w:right w:val="none" w:sz="0" w:space="0" w:color="auto"/>
      </w:divBdr>
      <w:divsChild>
        <w:div w:id="1530994771">
          <w:marLeft w:val="0"/>
          <w:marRight w:val="0"/>
          <w:marTop w:val="0"/>
          <w:marBottom w:val="0"/>
          <w:divBdr>
            <w:top w:val="none" w:sz="0" w:space="0" w:color="auto"/>
            <w:left w:val="none" w:sz="0" w:space="0" w:color="auto"/>
            <w:bottom w:val="none" w:sz="0" w:space="0" w:color="auto"/>
            <w:right w:val="none" w:sz="0" w:space="0" w:color="auto"/>
          </w:divBdr>
          <w:divsChild>
            <w:div w:id="514274677">
              <w:marLeft w:val="0"/>
              <w:marRight w:val="0"/>
              <w:marTop w:val="0"/>
              <w:marBottom w:val="0"/>
              <w:divBdr>
                <w:top w:val="none" w:sz="0" w:space="0" w:color="auto"/>
                <w:left w:val="none" w:sz="0" w:space="0" w:color="auto"/>
                <w:bottom w:val="none" w:sz="0" w:space="0" w:color="auto"/>
                <w:right w:val="none" w:sz="0" w:space="0" w:color="auto"/>
              </w:divBdr>
              <w:divsChild>
                <w:div w:id="13558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5768">
      <w:bodyDiv w:val="1"/>
      <w:marLeft w:val="0"/>
      <w:marRight w:val="0"/>
      <w:marTop w:val="0"/>
      <w:marBottom w:val="0"/>
      <w:divBdr>
        <w:top w:val="none" w:sz="0" w:space="0" w:color="auto"/>
        <w:left w:val="none" w:sz="0" w:space="0" w:color="auto"/>
        <w:bottom w:val="none" w:sz="0" w:space="0" w:color="auto"/>
        <w:right w:val="none" w:sz="0" w:space="0" w:color="auto"/>
      </w:divBdr>
    </w:div>
    <w:div w:id="695303346">
      <w:bodyDiv w:val="1"/>
      <w:marLeft w:val="0"/>
      <w:marRight w:val="0"/>
      <w:marTop w:val="0"/>
      <w:marBottom w:val="0"/>
      <w:divBdr>
        <w:top w:val="none" w:sz="0" w:space="0" w:color="auto"/>
        <w:left w:val="none" w:sz="0" w:space="0" w:color="auto"/>
        <w:bottom w:val="none" w:sz="0" w:space="0" w:color="auto"/>
        <w:right w:val="none" w:sz="0" w:space="0" w:color="auto"/>
      </w:divBdr>
    </w:div>
    <w:div w:id="858199716">
      <w:bodyDiv w:val="1"/>
      <w:marLeft w:val="0"/>
      <w:marRight w:val="0"/>
      <w:marTop w:val="0"/>
      <w:marBottom w:val="0"/>
      <w:divBdr>
        <w:top w:val="none" w:sz="0" w:space="0" w:color="auto"/>
        <w:left w:val="none" w:sz="0" w:space="0" w:color="auto"/>
        <w:bottom w:val="none" w:sz="0" w:space="0" w:color="auto"/>
        <w:right w:val="none" w:sz="0" w:space="0" w:color="auto"/>
      </w:divBdr>
    </w:div>
    <w:div w:id="976951063">
      <w:bodyDiv w:val="1"/>
      <w:marLeft w:val="0"/>
      <w:marRight w:val="0"/>
      <w:marTop w:val="0"/>
      <w:marBottom w:val="0"/>
      <w:divBdr>
        <w:top w:val="none" w:sz="0" w:space="0" w:color="auto"/>
        <w:left w:val="none" w:sz="0" w:space="0" w:color="auto"/>
        <w:bottom w:val="none" w:sz="0" w:space="0" w:color="auto"/>
        <w:right w:val="none" w:sz="0" w:space="0" w:color="auto"/>
      </w:divBdr>
    </w:div>
    <w:div w:id="1012147717">
      <w:bodyDiv w:val="1"/>
      <w:marLeft w:val="0"/>
      <w:marRight w:val="0"/>
      <w:marTop w:val="0"/>
      <w:marBottom w:val="0"/>
      <w:divBdr>
        <w:top w:val="none" w:sz="0" w:space="0" w:color="auto"/>
        <w:left w:val="none" w:sz="0" w:space="0" w:color="auto"/>
        <w:bottom w:val="none" w:sz="0" w:space="0" w:color="auto"/>
        <w:right w:val="none" w:sz="0" w:space="0" w:color="auto"/>
      </w:divBdr>
    </w:div>
    <w:div w:id="1030759388">
      <w:bodyDiv w:val="1"/>
      <w:marLeft w:val="0"/>
      <w:marRight w:val="0"/>
      <w:marTop w:val="0"/>
      <w:marBottom w:val="0"/>
      <w:divBdr>
        <w:top w:val="none" w:sz="0" w:space="0" w:color="auto"/>
        <w:left w:val="none" w:sz="0" w:space="0" w:color="auto"/>
        <w:bottom w:val="none" w:sz="0" w:space="0" w:color="auto"/>
        <w:right w:val="none" w:sz="0" w:space="0" w:color="auto"/>
      </w:divBdr>
    </w:div>
    <w:div w:id="1100638305">
      <w:bodyDiv w:val="1"/>
      <w:marLeft w:val="0"/>
      <w:marRight w:val="0"/>
      <w:marTop w:val="0"/>
      <w:marBottom w:val="0"/>
      <w:divBdr>
        <w:top w:val="none" w:sz="0" w:space="0" w:color="auto"/>
        <w:left w:val="none" w:sz="0" w:space="0" w:color="auto"/>
        <w:bottom w:val="none" w:sz="0" w:space="0" w:color="auto"/>
        <w:right w:val="none" w:sz="0" w:space="0" w:color="auto"/>
      </w:divBdr>
    </w:div>
    <w:div w:id="1148087541">
      <w:bodyDiv w:val="1"/>
      <w:marLeft w:val="0"/>
      <w:marRight w:val="0"/>
      <w:marTop w:val="0"/>
      <w:marBottom w:val="0"/>
      <w:divBdr>
        <w:top w:val="none" w:sz="0" w:space="0" w:color="auto"/>
        <w:left w:val="none" w:sz="0" w:space="0" w:color="auto"/>
        <w:bottom w:val="none" w:sz="0" w:space="0" w:color="auto"/>
        <w:right w:val="none" w:sz="0" w:space="0" w:color="auto"/>
      </w:divBdr>
    </w:div>
    <w:div w:id="1172530442">
      <w:bodyDiv w:val="1"/>
      <w:marLeft w:val="0"/>
      <w:marRight w:val="0"/>
      <w:marTop w:val="0"/>
      <w:marBottom w:val="0"/>
      <w:divBdr>
        <w:top w:val="none" w:sz="0" w:space="0" w:color="auto"/>
        <w:left w:val="none" w:sz="0" w:space="0" w:color="auto"/>
        <w:bottom w:val="none" w:sz="0" w:space="0" w:color="auto"/>
        <w:right w:val="none" w:sz="0" w:space="0" w:color="auto"/>
      </w:divBdr>
    </w:div>
    <w:div w:id="1178156862">
      <w:bodyDiv w:val="1"/>
      <w:marLeft w:val="0"/>
      <w:marRight w:val="0"/>
      <w:marTop w:val="0"/>
      <w:marBottom w:val="0"/>
      <w:divBdr>
        <w:top w:val="none" w:sz="0" w:space="0" w:color="auto"/>
        <w:left w:val="none" w:sz="0" w:space="0" w:color="auto"/>
        <w:bottom w:val="none" w:sz="0" w:space="0" w:color="auto"/>
        <w:right w:val="none" w:sz="0" w:space="0" w:color="auto"/>
      </w:divBdr>
    </w:div>
    <w:div w:id="1203128451">
      <w:bodyDiv w:val="1"/>
      <w:marLeft w:val="0"/>
      <w:marRight w:val="0"/>
      <w:marTop w:val="0"/>
      <w:marBottom w:val="0"/>
      <w:divBdr>
        <w:top w:val="none" w:sz="0" w:space="0" w:color="auto"/>
        <w:left w:val="none" w:sz="0" w:space="0" w:color="auto"/>
        <w:bottom w:val="none" w:sz="0" w:space="0" w:color="auto"/>
        <w:right w:val="none" w:sz="0" w:space="0" w:color="auto"/>
      </w:divBdr>
    </w:div>
    <w:div w:id="1223448321">
      <w:bodyDiv w:val="1"/>
      <w:marLeft w:val="0"/>
      <w:marRight w:val="0"/>
      <w:marTop w:val="0"/>
      <w:marBottom w:val="0"/>
      <w:divBdr>
        <w:top w:val="none" w:sz="0" w:space="0" w:color="auto"/>
        <w:left w:val="none" w:sz="0" w:space="0" w:color="auto"/>
        <w:bottom w:val="none" w:sz="0" w:space="0" w:color="auto"/>
        <w:right w:val="none" w:sz="0" w:space="0" w:color="auto"/>
      </w:divBdr>
    </w:div>
    <w:div w:id="1231307548">
      <w:bodyDiv w:val="1"/>
      <w:marLeft w:val="0"/>
      <w:marRight w:val="0"/>
      <w:marTop w:val="0"/>
      <w:marBottom w:val="0"/>
      <w:divBdr>
        <w:top w:val="none" w:sz="0" w:space="0" w:color="auto"/>
        <w:left w:val="none" w:sz="0" w:space="0" w:color="auto"/>
        <w:bottom w:val="none" w:sz="0" w:space="0" w:color="auto"/>
        <w:right w:val="none" w:sz="0" w:space="0" w:color="auto"/>
      </w:divBdr>
    </w:div>
    <w:div w:id="1232621842">
      <w:bodyDiv w:val="1"/>
      <w:marLeft w:val="0"/>
      <w:marRight w:val="0"/>
      <w:marTop w:val="0"/>
      <w:marBottom w:val="0"/>
      <w:divBdr>
        <w:top w:val="none" w:sz="0" w:space="0" w:color="auto"/>
        <w:left w:val="none" w:sz="0" w:space="0" w:color="auto"/>
        <w:bottom w:val="none" w:sz="0" w:space="0" w:color="auto"/>
        <w:right w:val="none" w:sz="0" w:space="0" w:color="auto"/>
      </w:divBdr>
    </w:div>
    <w:div w:id="1255699397">
      <w:bodyDiv w:val="1"/>
      <w:marLeft w:val="0"/>
      <w:marRight w:val="0"/>
      <w:marTop w:val="0"/>
      <w:marBottom w:val="0"/>
      <w:divBdr>
        <w:top w:val="none" w:sz="0" w:space="0" w:color="auto"/>
        <w:left w:val="none" w:sz="0" w:space="0" w:color="auto"/>
        <w:bottom w:val="none" w:sz="0" w:space="0" w:color="auto"/>
        <w:right w:val="none" w:sz="0" w:space="0" w:color="auto"/>
      </w:divBdr>
    </w:div>
    <w:div w:id="1263953234">
      <w:bodyDiv w:val="1"/>
      <w:marLeft w:val="0"/>
      <w:marRight w:val="0"/>
      <w:marTop w:val="0"/>
      <w:marBottom w:val="0"/>
      <w:divBdr>
        <w:top w:val="none" w:sz="0" w:space="0" w:color="auto"/>
        <w:left w:val="none" w:sz="0" w:space="0" w:color="auto"/>
        <w:bottom w:val="none" w:sz="0" w:space="0" w:color="auto"/>
        <w:right w:val="none" w:sz="0" w:space="0" w:color="auto"/>
      </w:divBdr>
    </w:div>
    <w:div w:id="1287271124">
      <w:bodyDiv w:val="1"/>
      <w:marLeft w:val="0"/>
      <w:marRight w:val="0"/>
      <w:marTop w:val="0"/>
      <w:marBottom w:val="0"/>
      <w:divBdr>
        <w:top w:val="none" w:sz="0" w:space="0" w:color="auto"/>
        <w:left w:val="none" w:sz="0" w:space="0" w:color="auto"/>
        <w:bottom w:val="none" w:sz="0" w:space="0" w:color="auto"/>
        <w:right w:val="none" w:sz="0" w:space="0" w:color="auto"/>
      </w:divBdr>
    </w:div>
    <w:div w:id="1294097076">
      <w:bodyDiv w:val="1"/>
      <w:marLeft w:val="0"/>
      <w:marRight w:val="0"/>
      <w:marTop w:val="0"/>
      <w:marBottom w:val="0"/>
      <w:divBdr>
        <w:top w:val="none" w:sz="0" w:space="0" w:color="auto"/>
        <w:left w:val="none" w:sz="0" w:space="0" w:color="auto"/>
        <w:bottom w:val="none" w:sz="0" w:space="0" w:color="auto"/>
        <w:right w:val="none" w:sz="0" w:space="0" w:color="auto"/>
      </w:divBdr>
    </w:div>
    <w:div w:id="1306548625">
      <w:bodyDiv w:val="1"/>
      <w:marLeft w:val="0"/>
      <w:marRight w:val="0"/>
      <w:marTop w:val="0"/>
      <w:marBottom w:val="0"/>
      <w:divBdr>
        <w:top w:val="none" w:sz="0" w:space="0" w:color="auto"/>
        <w:left w:val="none" w:sz="0" w:space="0" w:color="auto"/>
        <w:bottom w:val="none" w:sz="0" w:space="0" w:color="auto"/>
        <w:right w:val="none" w:sz="0" w:space="0" w:color="auto"/>
      </w:divBdr>
    </w:div>
    <w:div w:id="1343820858">
      <w:bodyDiv w:val="1"/>
      <w:marLeft w:val="0"/>
      <w:marRight w:val="0"/>
      <w:marTop w:val="0"/>
      <w:marBottom w:val="0"/>
      <w:divBdr>
        <w:top w:val="none" w:sz="0" w:space="0" w:color="auto"/>
        <w:left w:val="none" w:sz="0" w:space="0" w:color="auto"/>
        <w:bottom w:val="none" w:sz="0" w:space="0" w:color="auto"/>
        <w:right w:val="none" w:sz="0" w:space="0" w:color="auto"/>
      </w:divBdr>
    </w:div>
    <w:div w:id="1348674082">
      <w:bodyDiv w:val="1"/>
      <w:marLeft w:val="0"/>
      <w:marRight w:val="0"/>
      <w:marTop w:val="0"/>
      <w:marBottom w:val="0"/>
      <w:divBdr>
        <w:top w:val="none" w:sz="0" w:space="0" w:color="auto"/>
        <w:left w:val="none" w:sz="0" w:space="0" w:color="auto"/>
        <w:bottom w:val="none" w:sz="0" w:space="0" w:color="auto"/>
        <w:right w:val="none" w:sz="0" w:space="0" w:color="auto"/>
      </w:divBdr>
    </w:div>
    <w:div w:id="1368487777">
      <w:bodyDiv w:val="1"/>
      <w:marLeft w:val="0"/>
      <w:marRight w:val="0"/>
      <w:marTop w:val="0"/>
      <w:marBottom w:val="0"/>
      <w:divBdr>
        <w:top w:val="none" w:sz="0" w:space="0" w:color="auto"/>
        <w:left w:val="none" w:sz="0" w:space="0" w:color="auto"/>
        <w:bottom w:val="none" w:sz="0" w:space="0" w:color="auto"/>
        <w:right w:val="none" w:sz="0" w:space="0" w:color="auto"/>
      </w:divBdr>
    </w:div>
    <w:div w:id="1387528631">
      <w:bodyDiv w:val="1"/>
      <w:marLeft w:val="0"/>
      <w:marRight w:val="0"/>
      <w:marTop w:val="0"/>
      <w:marBottom w:val="0"/>
      <w:divBdr>
        <w:top w:val="none" w:sz="0" w:space="0" w:color="auto"/>
        <w:left w:val="none" w:sz="0" w:space="0" w:color="auto"/>
        <w:bottom w:val="none" w:sz="0" w:space="0" w:color="auto"/>
        <w:right w:val="none" w:sz="0" w:space="0" w:color="auto"/>
      </w:divBdr>
    </w:div>
    <w:div w:id="1391419282">
      <w:bodyDiv w:val="1"/>
      <w:marLeft w:val="0"/>
      <w:marRight w:val="0"/>
      <w:marTop w:val="0"/>
      <w:marBottom w:val="0"/>
      <w:divBdr>
        <w:top w:val="none" w:sz="0" w:space="0" w:color="auto"/>
        <w:left w:val="none" w:sz="0" w:space="0" w:color="auto"/>
        <w:bottom w:val="none" w:sz="0" w:space="0" w:color="auto"/>
        <w:right w:val="none" w:sz="0" w:space="0" w:color="auto"/>
      </w:divBdr>
    </w:div>
    <w:div w:id="1424952000">
      <w:bodyDiv w:val="1"/>
      <w:marLeft w:val="0"/>
      <w:marRight w:val="0"/>
      <w:marTop w:val="0"/>
      <w:marBottom w:val="0"/>
      <w:divBdr>
        <w:top w:val="none" w:sz="0" w:space="0" w:color="auto"/>
        <w:left w:val="none" w:sz="0" w:space="0" w:color="auto"/>
        <w:bottom w:val="none" w:sz="0" w:space="0" w:color="auto"/>
        <w:right w:val="none" w:sz="0" w:space="0" w:color="auto"/>
      </w:divBdr>
      <w:divsChild>
        <w:div w:id="140848770">
          <w:marLeft w:val="1800"/>
          <w:marRight w:val="0"/>
          <w:marTop w:val="86"/>
          <w:marBottom w:val="0"/>
          <w:divBdr>
            <w:top w:val="none" w:sz="0" w:space="0" w:color="auto"/>
            <w:left w:val="none" w:sz="0" w:space="0" w:color="auto"/>
            <w:bottom w:val="none" w:sz="0" w:space="0" w:color="auto"/>
            <w:right w:val="none" w:sz="0" w:space="0" w:color="auto"/>
          </w:divBdr>
        </w:div>
        <w:div w:id="985861173">
          <w:marLeft w:val="1800"/>
          <w:marRight w:val="0"/>
          <w:marTop w:val="86"/>
          <w:marBottom w:val="0"/>
          <w:divBdr>
            <w:top w:val="none" w:sz="0" w:space="0" w:color="auto"/>
            <w:left w:val="none" w:sz="0" w:space="0" w:color="auto"/>
            <w:bottom w:val="none" w:sz="0" w:space="0" w:color="auto"/>
            <w:right w:val="none" w:sz="0" w:space="0" w:color="auto"/>
          </w:divBdr>
        </w:div>
        <w:div w:id="1122042516">
          <w:marLeft w:val="2520"/>
          <w:marRight w:val="0"/>
          <w:marTop w:val="86"/>
          <w:marBottom w:val="0"/>
          <w:divBdr>
            <w:top w:val="none" w:sz="0" w:space="0" w:color="auto"/>
            <w:left w:val="none" w:sz="0" w:space="0" w:color="auto"/>
            <w:bottom w:val="none" w:sz="0" w:space="0" w:color="auto"/>
            <w:right w:val="none" w:sz="0" w:space="0" w:color="auto"/>
          </w:divBdr>
        </w:div>
        <w:div w:id="1147935374">
          <w:marLeft w:val="1800"/>
          <w:marRight w:val="0"/>
          <w:marTop w:val="86"/>
          <w:marBottom w:val="0"/>
          <w:divBdr>
            <w:top w:val="none" w:sz="0" w:space="0" w:color="auto"/>
            <w:left w:val="none" w:sz="0" w:space="0" w:color="auto"/>
            <w:bottom w:val="none" w:sz="0" w:space="0" w:color="auto"/>
            <w:right w:val="none" w:sz="0" w:space="0" w:color="auto"/>
          </w:divBdr>
        </w:div>
        <w:div w:id="1249775732">
          <w:marLeft w:val="1166"/>
          <w:marRight w:val="0"/>
          <w:marTop w:val="96"/>
          <w:marBottom w:val="0"/>
          <w:divBdr>
            <w:top w:val="none" w:sz="0" w:space="0" w:color="auto"/>
            <w:left w:val="none" w:sz="0" w:space="0" w:color="auto"/>
            <w:bottom w:val="none" w:sz="0" w:space="0" w:color="auto"/>
            <w:right w:val="none" w:sz="0" w:space="0" w:color="auto"/>
          </w:divBdr>
        </w:div>
        <w:div w:id="1387100881">
          <w:marLeft w:val="547"/>
          <w:marRight w:val="0"/>
          <w:marTop w:val="115"/>
          <w:marBottom w:val="0"/>
          <w:divBdr>
            <w:top w:val="none" w:sz="0" w:space="0" w:color="auto"/>
            <w:left w:val="none" w:sz="0" w:space="0" w:color="auto"/>
            <w:bottom w:val="none" w:sz="0" w:space="0" w:color="auto"/>
            <w:right w:val="none" w:sz="0" w:space="0" w:color="auto"/>
          </w:divBdr>
        </w:div>
        <w:div w:id="1591430429">
          <w:marLeft w:val="1800"/>
          <w:marRight w:val="0"/>
          <w:marTop w:val="86"/>
          <w:marBottom w:val="0"/>
          <w:divBdr>
            <w:top w:val="none" w:sz="0" w:space="0" w:color="auto"/>
            <w:left w:val="none" w:sz="0" w:space="0" w:color="auto"/>
            <w:bottom w:val="none" w:sz="0" w:space="0" w:color="auto"/>
            <w:right w:val="none" w:sz="0" w:space="0" w:color="auto"/>
          </w:divBdr>
        </w:div>
        <w:div w:id="1593539272">
          <w:marLeft w:val="1166"/>
          <w:marRight w:val="0"/>
          <w:marTop w:val="96"/>
          <w:marBottom w:val="0"/>
          <w:divBdr>
            <w:top w:val="none" w:sz="0" w:space="0" w:color="auto"/>
            <w:left w:val="none" w:sz="0" w:space="0" w:color="auto"/>
            <w:bottom w:val="none" w:sz="0" w:space="0" w:color="auto"/>
            <w:right w:val="none" w:sz="0" w:space="0" w:color="auto"/>
          </w:divBdr>
        </w:div>
        <w:div w:id="2058896968">
          <w:marLeft w:val="1166"/>
          <w:marRight w:val="0"/>
          <w:marTop w:val="96"/>
          <w:marBottom w:val="0"/>
          <w:divBdr>
            <w:top w:val="none" w:sz="0" w:space="0" w:color="auto"/>
            <w:left w:val="none" w:sz="0" w:space="0" w:color="auto"/>
            <w:bottom w:val="none" w:sz="0" w:space="0" w:color="auto"/>
            <w:right w:val="none" w:sz="0" w:space="0" w:color="auto"/>
          </w:divBdr>
        </w:div>
      </w:divsChild>
    </w:div>
    <w:div w:id="1429231783">
      <w:bodyDiv w:val="1"/>
      <w:marLeft w:val="0"/>
      <w:marRight w:val="0"/>
      <w:marTop w:val="0"/>
      <w:marBottom w:val="0"/>
      <w:divBdr>
        <w:top w:val="none" w:sz="0" w:space="0" w:color="auto"/>
        <w:left w:val="none" w:sz="0" w:space="0" w:color="auto"/>
        <w:bottom w:val="none" w:sz="0" w:space="0" w:color="auto"/>
        <w:right w:val="none" w:sz="0" w:space="0" w:color="auto"/>
      </w:divBdr>
    </w:div>
    <w:div w:id="1450708280">
      <w:bodyDiv w:val="1"/>
      <w:marLeft w:val="0"/>
      <w:marRight w:val="0"/>
      <w:marTop w:val="0"/>
      <w:marBottom w:val="0"/>
      <w:divBdr>
        <w:top w:val="none" w:sz="0" w:space="0" w:color="auto"/>
        <w:left w:val="none" w:sz="0" w:space="0" w:color="auto"/>
        <w:bottom w:val="none" w:sz="0" w:space="0" w:color="auto"/>
        <w:right w:val="none" w:sz="0" w:space="0" w:color="auto"/>
      </w:divBdr>
    </w:div>
    <w:div w:id="1463419506">
      <w:bodyDiv w:val="1"/>
      <w:marLeft w:val="0"/>
      <w:marRight w:val="0"/>
      <w:marTop w:val="0"/>
      <w:marBottom w:val="0"/>
      <w:divBdr>
        <w:top w:val="none" w:sz="0" w:space="0" w:color="auto"/>
        <w:left w:val="none" w:sz="0" w:space="0" w:color="auto"/>
        <w:bottom w:val="none" w:sz="0" w:space="0" w:color="auto"/>
        <w:right w:val="none" w:sz="0" w:space="0" w:color="auto"/>
      </w:divBdr>
    </w:div>
    <w:div w:id="1463841208">
      <w:bodyDiv w:val="1"/>
      <w:marLeft w:val="0"/>
      <w:marRight w:val="0"/>
      <w:marTop w:val="0"/>
      <w:marBottom w:val="0"/>
      <w:divBdr>
        <w:top w:val="none" w:sz="0" w:space="0" w:color="auto"/>
        <w:left w:val="none" w:sz="0" w:space="0" w:color="auto"/>
        <w:bottom w:val="none" w:sz="0" w:space="0" w:color="auto"/>
        <w:right w:val="none" w:sz="0" w:space="0" w:color="auto"/>
      </w:divBdr>
    </w:div>
    <w:div w:id="1488670249">
      <w:bodyDiv w:val="1"/>
      <w:marLeft w:val="0"/>
      <w:marRight w:val="0"/>
      <w:marTop w:val="0"/>
      <w:marBottom w:val="0"/>
      <w:divBdr>
        <w:top w:val="none" w:sz="0" w:space="0" w:color="auto"/>
        <w:left w:val="none" w:sz="0" w:space="0" w:color="auto"/>
        <w:bottom w:val="none" w:sz="0" w:space="0" w:color="auto"/>
        <w:right w:val="none" w:sz="0" w:space="0" w:color="auto"/>
      </w:divBdr>
    </w:div>
    <w:div w:id="1498766492">
      <w:bodyDiv w:val="1"/>
      <w:marLeft w:val="0"/>
      <w:marRight w:val="0"/>
      <w:marTop w:val="0"/>
      <w:marBottom w:val="0"/>
      <w:divBdr>
        <w:top w:val="none" w:sz="0" w:space="0" w:color="auto"/>
        <w:left w:val="none" w:sz="0" w:space="0" w:color="auto"/>
        <w:bottom w:val="none" w:sz="0" w:space="0" w:color="auto"/>
        <w:right w:val="none" w:sz="0" w:space="0" w:color="auto"/>
      </w:divBdr>
    </w:div>
    <w:div w:id="1579556069">
      <w:bodyDiv w:val="1"/>
      <w:marLeft w:val="0"/>
      <w:marRight w:val="0"/>
      <w:marTop w:val="0"/>
      <w:marBottom w:val="0"/>
      <w:divBdr>
        <w:top w:val="none" w:sz="0" w:space="0" w:color="auto"/>
        <w:left w:val="none" w:sz="0" w:space="0" w:color="auto"/>
        <w:bottom w:val="none" w:sz="0" w:space="0" w:color="auto"/>
        <w:right w:val="none" w:sz="0" w:space="0" w:color="auto"/>
      </w:divBdr>
    </w:div>
    <w:div w:id="1627658286">
      <w:bodyDiv w:val="1"/>
      <w:marLeft w:val="0"/>
      <w:marRight w:val="0"/>
      <w:marTop w:val="0"/>
      <w:marBottom w:val="0"/>
      <w:divBdr>
        <w:top w:val="none" w:sz="0" w:space="0" w:color="auto"/>
        <w:left w:val="none" w:sz="0" w:space="0" w:color="auto"/>
        <w:bottom w:val="none" w:sz="0" w:space="0" w:color="auto"/>
        <w:right w:val="none" w:sz="0" w:space="0" w:color="auto"/>
      </w:divBdr>
    </w:div>
    <w:div w:id="1654219379">
      <w:bodyDiv w:val="1"/>
      <w:marLeft w:val="0"/>
      <w:marRight w:val="0"/>
      <w:marTop w:val="0"/>
      <w:marBottom w:val="0"/>
      <w:divBdr>
        <w:top w:val="none" w:sz="0" w:space="0" w:color="auto"/>
        <w:left w:val="none" w:sz="0" w:space="0" w:color="auto"/>
        <w:bottom w:val="none" w:sz="0" w:space="0" w:color="auto"/>
        <w:right w:val="none" w:sz="0" w:space="0" w:color="auto"/>
      </w:divBdr>
    </w:div>
    <w:div w:id="1695841434">
      <w:bodyDiv w:val="1"/>
      <w:marLeft w:val="0"/>
      <w:marRight w:val="0"/>
      <w:marTop w:val="0"/>
      <w:marBottom w:val="0"/>
      <w:divBdr>
        <w:top w:val="none" w:sz="0" w:space="0" w:color="auto"/>
        <w:left w:val="none" w:sz="0" w:space="0" w:color="auto"/>
        <w:bottom w:val="none" w:sz="0" w:space="0" w:color="auto"/>
        <w:right w:val="none" w:sz="0" w:space="0" w:color="auto"/>
      </w:divBdr>
    </w:div>
    <w:div w:id="1735204215">
      <w:bodyDiv w:val="1"/>
      <w:marLeft w:val="0"/>
      <w:marRight w:val="0"/>
      <w:marTop w:val="0"/>
      <w:marBottom w:val="0"/>
      <w:divBdr>
        <w:top w:val="none" w:sz="0" w:space="0" w:color="auto"/>
        <w:left w:val="none" w:sz="0" w:space="0" w:color="auto"/>
        <w:bottom w:val="none" w:sz="0" w:space="0" w:color="auto"/>
        <w:right w:val="none" w:sz="0" w:space="0" w:color="auto"/>
      </w:divBdr>
    </w:div>
    <w:div w:id="1786342201">
      <w:bodyDiv w:val="1"/>
      <w:marLeft w:val="0"/>
      <w:marRight w:val="0"/>
      <w:marTop w:val="0"/>
      <w:marBottom w:val="0"/>
      <w:divBdr>
        <w:top w:val="none" w:sz="0" w:space="0" w:color="auto"/>
        <w:left w:val="none" w:sz="0" w:space="0" w:color="auto"/>
        <w:bottom w:val="none" w:sz="0" w:space="0" w:color="auto"/>
        <w:right w:val="none" w:sz="0" w:space="0" w:color="auto"/>
      </w:divBdr>
    </w:div>
    <w:div w:id="1830631101">
      <w:bodyDiv w:val="1"/>
      <w:marLeft w:val="0"/>
      <w:marRight w:val="0"/>
      <w:marTop w:val="0"/>
      <w:marBottom w:val="0"/>
      <w:divBdr>
        <w:top w:val="none" w:sz="0" w:space="0" w:color="auto"/>
        <w:left w:val="none" w:sz="0" w:space="0" w:color="auto"/>
        <w:bottom w:val="none" w:sz="0" w:space="0" w:color="auto"/>
        <w:right w:val="none" w:sz="0" w:space="0" w:color="auto"/>
      </w:divBdr>
    </w:div>
    <w:div w:id="1866019777">
      <w:bodyDiv w:val="1"/>
      <w:marLeft w:val="0"/>
      <w:marRight w:val="0"/>
      <w:marTop w:val="0"/>
      <w:marBottom w:val="0"/>
      <w:divBdr>
        <w:top w:val="none" w:sz="0" w:space="0" w:color="auto"/>
        <w:left w:val="none" w:sz="0" w:space="0" w:color="auto"/>
        <w:bottom w:val="none" w:sz="0" w:space="0" w:color="auto"/>
        <w:right w:val="none" w:sz="0" w:space="0" w:color="auto"/>
      </w:divBdr>
    </w:div>
    <w:div w:id="1872259975">
      <w:bodyDiv w:val="1"/>
      <w:marLeft w:val="0"/>
      <w:marRight w:val="0"/>
      <w:marTop w:val="0"/>
      <w:marBottom w:val="0"/>
      <w:divBdr>
        <w:top w:val="none" w:sz="0" w:space="0" w:color="auto"/>
        <w:left w:val="none" w:sz="0" w:space="0" w:color="auto"/>
        <w:bottom w:val="none" w:sz="0" w:space="0" w:color="auto"/>
        <w:right w:val="none" w:sz="0" w:space="0" w:color="auto"/>
      </w:divBdr>
    </w:div>
    <w:div w:id="1904750714">
      <w:bodyDiv w:val="1"/>
      <w:marLeft w:val="0"/>
      <w:marRight w:val="0"/>
      <w:marTop w:val="0"/>
      <w:marBottom w:val="0"/>
      <w:divBdr>
        <w:top w:val="none" w:sz="0" w:space="0" w:color="auto"/>
        <w:left w:val="none" w:sz="0" w:space="0" w:color="auto"/>
        <w:bottom w:val="none" w:sz="0" w:space="0" w:color="auto"/>
        <w:right w:val="none" w:sz="0" w:space="0" w:color="auto"/>
      </w:divBdr>
    </w:div>
    <w:div w:id="1976829242">
      <w:bodyDiv w:val="1"/>
      <w:marLeft w:val="0"/>
      <w:marRight w:val="0"/>
      <w:marTop w:val="0"/>
      <w:marBottom w:val="0"/>
      <w:divBdr>
        <w:top w:val="none" w:sz="0" w:space="0" w:color="auto"/>
        <w:left w:val="none" w:sz="0" w:space="0" w:color="auto"/>
        <w:bottom w:val="none" w:sz="0" w:space="0" w:color="auto"/>
        <w:right w:val="none" w:sz="0" w:space="0" w:color="auto"/>
      </w:divBdr>
    </w:div>
    <w:div w:id="2033070854">
      <w:bodyDiv w:val="1"/>
      <w:marLeft w:val="0"/>
      <w:marRight w:val="0"/>
      <w:marTop w:val="0"/>
      <w:marBottom w:val="0"/>
      <w:divBdr>
        <w:top w:val="none" w:sz="0" w:space="0" w:color="auto"/>
        <w:left w:val="none" w:sz="0" w:space="0" w:color="auto"/>
        <w:bottom w:val="none" w:sz="0" w:space="0" w:color="auto"/>
        <w:right w:val="none" w:sz="0" w:space="0" w:color="auto"/>
      </w:divBdr>
      <w:divsChild>
        <w:div w:id="285477397">
          <w:marLeft w:val="1800"/>
          <w:marRight w:val="0"/>
          <w:marTop w:val="86"/>
          <w:marBottom w:val="0"/>
          <w:divBdr>
            <w:top w:val="none" w:sz="0" w:space="0" w:color="auto"/>
            <w:left w:val="none" w:sz="0" w:space="0" w:color="auto"/>
            <w:bottom w:val="none" w:sz="0" w:space="0" w:color="auto"/>
            <w:right w:val="none" w:sz="0" w:space="0" w:color="auto"/>
          </w:divBdr>
        </w:div>
        <w:div w:id="879437062">
          <w:marLeft w:val="1800"/>
          <w:marRight w:val="0"/>
          <w:marTop w:val="86"/>
          <w:marBottom w:val="0"/>
          <w:divBdr>
            <w:top w:val="none" w:sz="0" w:space="0" w:color="auto"/>
            <w:left w:val="none" w:sz="0" w:space="0" w:color="auto"/>
            <w:bottom w:val="none" w:sz="0" w:space="0" w:color="auto"/>
            <w:right w:val="none" w:sz="0" w:space="0" w:color="auto"/>
          </w:divBdr>
        </w:div>
        <w:div w:id="884831768">
          <w:marLeft w:val="1166"/>
          <w:marRight w:val="0"/>
          <w:marTop w:val="96"/>
          <w:marBottom w:val="0"/>
          <w:divBdr>
            <w:top w:val="none" w:sz="0" w:space="0" w:color="auto"/>
            <w:left w:val="none" w:sz="0" w:space="0" w:color="auto"/>
            <w:bottom w:val="none" w:sz="0" w:space="0" w:color="auto"/>
            <w:right w:val="none" w:sz="0" w:space="0" w:color="auto"/>
          </w:divBdr>
        </w:div>
        <w:div w:id="1092315547">
          <w:marLeft w:val="1166"/>
          <w:marRight w:val="0"/>
          <w:marTop w:val="96"/>
          <w:marBottom w:val="0"/>
          <w:divBdr>
            <w:top w:val="none" w:sz="0" w:space="0" w:color="auto"/>
            <w:left w:val="none" w:sz="0" w:space="0" w:color="auto"/>
            <w:bottom w:val="none" w:sz="0" w:space="0" w:color="auto"/>
            <w:right w:val="none" w:sz="0" w:space="0" w:color="auto"/>
          </w:divBdr>
        </w:div>
        <w:div w:id="1384982245">
          <w:marLeft w:val="1800"/>
          <w:marRight w:val="0"/>
          <w:marTop w:val="86"/>
          <w:marBottom w:val="0"/>
          <w:divBdr>
            <w:top w:val="none" w:sz="0" w:space="0" w:color="auto"/>
            <w:left w:val="none" w:sz="0" w:space="0" w:color="auto"/>
            <w:bottom w:val="none" w:sz="0" w:space="0" w:color="auto"/>
            <w:right w:val="none" w:sz="0" w:space="0" w:color="auto"/>
          </w:divBdr>
        </w:div>
        <w:div w:id="1500998716">
          <w:marLeft w:val="547"/>
          <w:marRight w:val="0"/>
          <w:marTop w:val="115"/>
          <w:marBottom w:val="0"/>
          <w:divBdr>
            <w:top w:val="none" w:sz="0" w:space="0" w:color="auto"/>
            <w:left w:val="none" w:sz="0" w:space="0" w:color="auto"/>
            <w:bottom w:val="none" w:sz="0" w:space="0" w:color="auto"/>
            <w:right w:val="none" w:sz="0" w:space="0" w:color="auto"/>
          </w:divBdr>
        </w:div>
        <w:div w:id="1578858284">
          <w:marLeft w:val="2520"/>
          <w:marRight w:val="0"/>
          <w:marTop w:val="86"/>
          <w:marBottom w:val="0"/>
          <w:divBdr>
            <w:top w:val="none" w:sz="0" w:space="0" w:color="auto"/>
            <w:left w:val="none" w:sz="0" w:space="0" w:color="auto"/>
            <w:bottom w:val="none" w:sz="0" w:space="0" w:color="auto"/>
            <w:right w:val="none" w:sz="0" w:space="0" w:color="auto"/>
          </w:divBdr>
        </w:div>
        <w:div w:id="1903710042">
          <w:marLeft w:val="1800"/>
          <w:marRight w:val="0"/>
          <w:marTop w:val="86"/>
          <w:marBottom w:val="0"/>
          <w:divBdr>
            <w:top w:val="none" w:sz="0" w:space="0" w:color="auto"/>
            <w:left w:val="none" w:sz="0" w:space="0" w:color="auto"/>
            <w:bottom w:val="none" w:sz="0" w:space="0" w:color="auto"/>
            <w:right w:val="none" w:sz="0" w:space="0" w:color="auto"/>
          </w:divBdr>
        </w:div>
        <w:div w:id="1920559942">
          <w:marLeft w:val="1166"/>
          <w:marRight w:val="0"/>
          <w:marTop w:val="96"/>
          <w:marBottom w:val="0"/>
          <w:divBdr>
            <w:top w:val="none" w:sz="0" w:space="0" w:color="auto"/>
            <w:left w:val="none" w:sz="0" w:space="0" w:color="auto"/>
            <w:bottom w:val="none" w:sz="0" w:space="0" w:color="auto"/>
            <w:right w:val="none" w:sz="0" w:space="0" w:color="auto"/>
          </w:divBdr>
        </w:div>
      </w:divsChild>
    </w:div>
    <w:div w:id="2050565589">
      <w:bodyDiv w:val="1"/>
      <w:marLeft w:val="0"/>
      <w:marRight w:val="0"/>
      <w:marTop w:val="0"/>
      <w:marBottom w:val="0"/>
      <w:divBdr>
        <w:top w:val="none" w:sz="0" w:space="0" w:color="auto"/>
        <w:left w:val="none" w:sz="0" w:space="0" w:color="auto"/>
        <w:bottom w:val="none" w:sz="0" w:space="0" w:color="auto"/>
        <w:right w:val="none" w:sz="0" w:space="0" w:color="auto"/>
      </w:divBdr>
    </w:div>
    <w:div w:id="2068651244">
      <w:bodyDiv w:val="1"/>
      <w:marLeft w:val="0"/>
      <w:marRight w:val="0"/>
      <w:marTop w:val="0"/>
      <w:marBottom w:val="0"/>
      <w:divBdr>
        <w:top w:val="none" w:sz="0" w:space="0" w:color="auto"/>
        <w:left w:val="none" w:sz="0" w:space="0" w:color="auto"/>
        <w:bottom w:val="none" w:sz="0" w:space="0" w:color="auto"/>
        <w:right w:val="none" w:sz="0" w:space="0" w:color="auto"/>
      </w:divBdr>
    </w:div>
    <w:div w:id="2070877702">
      <w:bodyDiv w:val="1"/>
      <w:marLeft w:val="0"/>
      <w:marRight w:val="0"/>
      <w:marTop w:val="0"/>
      <w:marBottom w:val="0"/>
      <w:divBdr>
        <w:top w:val="none" w:sz="0" w:space="0" w:color="auto"/>
        <w:left w:val="none" w:sz="0" w:space="0" w:color="auto"/>
        <w:bottom w:val="none" w:sz="0" w:space="0" w:color="auto"/>
        <w:right w:val="none" w:sz="0" w:space="0" w:color="auto"/>
      </w:divBdr>
    </w:div>
    <w:div w:id="2091073361">
      <w:bodyDiv w:val="1"/>
      <w:marLeft w:val="0"/>
      <w:marRight w:val="0"/>
      <w:marTop w:val="0"/>
      <w:marBottom w:val="0"/>
      <w:divBdr>
        <w:top w:val="none" w:sz="0" w:space="0" w:color="auto"/>
        <w:left w:val="none" w:sz="0" w:space="0" w:color="auto"/>
        <w:bottom w:val="none" w:sz="0" w:space="0" w:color="auto"/>
        <w:right w:val="none" w:sz="0" w:space="0" w:color="auto"/>
      </w:divBdr>
    </w:div>
    <w:div w:id="2120182077">
      <w:bodyDiv w:val="1"/>
      <w:marLeft w:val="0"/>
      <w:marRight w:val="0"/>
      <w:marTop w:val="0"/>
      <w:marBottom w:val="0"/>
      <w:divBdr>
        <w:top w:val="none" w:sz="0" w:space="0" w:color="auto"/>
        <w:left w:val="none" w:sz="0" w:space="0" w:color="auto"/>
        <w:bottom w:val="none" w:sz="0" w:space="0" w:color="auto"/>
        <w:right w:val="none" w:sz="0" w:space="0" w:color="auto"/>
      </w:divBdr>
    </w:div>
    <w:div w:id="21358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5.xml"/><Relationship Id="rId42" Type="http://schemas.openxmlformats.org/officeDocument/2006/relationships/hyperlink" Target="http://www.pacificpower.net/content/dam/pacific_power/doc/Business/Save_Energy_Money/WA_FinAnswer_Express_NCMR_Brochure_and_Incentive_Tables.pdf" TargetMode="External"/><Relationship Id="rId47" Type="http://schemas.openxmlformats.org/officeDocument/2006/relationships/footer" Target="footer11.xml"/><Relationship Id="rId63" Type="http://schemas.openxmlformats.org/officeDocument/2006/relationships/hyperlink" Target="http://neea.org/news_media/mediaroom/neea_current_initiatives.pdf" TargetMode="External"/><Relationship Id="rId6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8.xml"/><Relationship Id="rId11" Type="http://schemas.openxmlformats.org/officeDocument/2006/relationships/image" Target="media/image3.emf"/><Relationship Id="rId24" Type="http://schemas.openxmlformats.org/officeDocument/2006/relationships/hyperlink" Target="http://www.pacificpower.net/wattsmart"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header" Target="header24.xml"/><Relationship Id="rId66" Type="http://schemas.openxmlformats.org/officeDocument/2006/relationships/header" Target="header27.xm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www.pacificpower.net/content/dam/pacific_power/doc/Business/Save_Energy_Money/FinAnswer_Express_29.pdf" TargetMode="External"/><Relationship Id="rId48" Type="http://schemas.openxmlformats.org/officeDocument/2006/relationships/footer" Target="footer12.xml"/><Relationship Id="rId56" Type="http://schemas.openxmlformats.org/officeDocument/2006/relationships/header" Target="header22.xml"/><Relationship Id="rId64" Type="http://schemas.openxmlformats.org/officeDocument/2006/relationships/hyperlink" Target="http://neea.org/participate/docs/NEEA_BusinessPlan_Board-Approved.pdf"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7.xml"/><Relationship Id="rId59" Type="http://schemas.openxmlformats.org/officeDocument/2006/relationships/header" Target="header25.xml"/><Relationship Id="rId67" Type="http://schemas.openxmlformats.org/officeDocument/2006/relationships/footer" Target="footer18.xml"/><Relationship Id="rId20" Type="http://schemas.openxmlformats.org/officeDocument/2006/relationships/image" Target="media/image4.jpeg"/><Relationship Id="rId41" Type="http://schemas.openxmlformats.org/officeDocument/2006/relationships/hyperlink" Target="http://www.pacificpower.net/content/dam/pacific_power/doc/Business/Save_Energy_Money/WA_FinAnswer_Express_Retrofits_Brochure_and_Incentive_Tables.pdf" TargetMode="External"/><Relationship Id="rId54" Type="http://schemas.openxmlformats.org/officeDocument/2006/relationships/footer" Target="footer15.xml"/><Relationship Id="rId62" Type="http://schemas.openxmlformats.org/officeDocument/2006/relationships/footer" Target="footer17.xml"/><Relationship Id="rId70" Type="http://schemas.openxmlformats.org/officeDocument/2006/relationships/theme" Target="theme/theme1.xml"/><Relationship Id="rId75"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homeenergysavings.net" TargetMode="External"/><Relationship Id="rId28" Type="http://schemas.openxmlformats.org/officeDocument/2006/relationships/footer" Target="footer6.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3.xml"/><Relationship Id="rId10" Type="http://schemas.openxmlformats.org/officeDocument/2006/relationships/image" Target="media/image2.jpeg"/><Relationship Id="rId31" Type="http://schemas.openxmlformats.org/officeDocument/2006/relationships/header" Target="header9.xml"/><Relationship Id="rId44" Type="http://schemas.openxmlformats.org/officeDocument/2006/relationships/hyperlink" Target="http://www.pacificpower.net/content/dam/pacific_power/doc/Business/Save_Energy_Money/WA_FinAnswer_Express_Custom_Incentives.pdf" TargetMode="Externa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hyperlink" Target="http://neea.org/participate/docs/NEEAStrategicPlan_FinalVersion.pdf"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www.pacificpower.net/res/sem/epi/washington/roa.html" TargetMode="External"/><Relationship Id="rId39" Type="http://schemas.openxmlformats.org/officeDocument/2006/relationships/header" Target="header14.xml"/><Relationship Id="rId34" Type="http://schemas.openxmlformats.org/officeDocument/2006/relationships/footer" Target="footer9.xml"/><Relationship Id="rId50" Type="http://schemas.openxmlformats.org/officeDocument/2006/relationships/footer" Target="footer13.xml"/><Relationship Id="rId55" Type="http://schemas.openxmlformats.org/officeDocument/2006/relationships/header" Target="header21.xml"/><Relationship Id="rId7" Type="http://schemas.openxmlformats.org/officeDocument/2006/relationships/endnotes" Target="endnotes.xml"/><Relationship Id="rId71" Type="http://schemas.microsoft.com/office/2007/relationships/stylesWithEffects" Target="stylesWithEffects.xml"/></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13.xml.rels><?xml version="1.0" encoding="UTF-8" standalone="yes"?>
<Relationships xmlns="http://schemas.openxmlformats.org/package/2006/relationships"><Relationship Id="rId1" Type="http://schemas.openxmlformats.org/officeDocument/2006/relationships/image" Target="media/image4.jpeg"/></Relationships>
</file>

<file path=word/_rels/footer15.xml.rels><?xml version="1.0" encoding="UTF-8" standalone="yes"?>
<Relationships xmlns="http://schemas.openxmlformats.org/package/2006/relationships"><Relationship Id="rId1" Type="http://schemas.openxmlformats.org/officeDocument/2006/relationships/image" Target="media/image4.jpeg"/></Relationships>
</file>

<file path=word/_rels/footer16.xml.rels><?xml version="1.0" encoding="UTF-8" standalone="yes"?>
<Relationships xmlns="http://schemas.openxmlformats.org/package/2006/relationships"><Relationship Id="rId1" Type="http://schemas.openxmlformats.org/officeDocument/2006/relationships/image" Target="media/image4.jpeg"/></Relationships>
</file>

<file path=word/_rels/footer17.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pacificorp.com/es/dsm/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C838C-61E7-4039-837D-D5FE8F5DBEF0}"/>
</file>

<file path=customXml/itemProps2.xml><?xml version="1.0" encoding="utf-8"?>
<ds:datastoreItem xmlns:ds="http://schemas.openxmlformats.org/officeDocument/2006/customXml" ds:itemID="{1E451DA6-D9CC-4A01-8B66-760FA965A387}"/>
</file>

<file path=customXml/itemProps3.xml><?xml version="1.0" encoding="utf-8"?>
<ds:datastoreItem xmlns:ds="http://schemas.openxmlformats.org/officeDocument/2006/customXml" ds:itemID="{3F776603-8343-4771-9700-E3A3ACB177A4}"/>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2DD236E5-D3E3-4B0C-B882-8E79EE52B8B0}"/>
</file>

<file path=docProps/app.xml><?xml version="1.0" encoding="utf-8"?>
<Properties xmlns="http://schemas.openxmlformats.org/officeDocument/2006/extended-properties" xmlns:vt="http://schemas.openxmlformats.org/officeDocument/2006/docPropsVTypes">
  <Template>Normal.dotm</Template>
  <TotalTime>0</TotalTime>
  <Pages>89</Pages>
  <Words>23328</Words>
  <Characters>132976</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155993</CharactersWithSpaces>
  <SharedDoc>false</SharedDoc>
  <HLinks>
    <vt:vector size="36" baseType="variant">
      <vt:variant>
        <vt:i4>65656</vt:i4>
      </vt:variant>
      <vt:variant>
        <vt:i4>15</vt:i4>
      </vt:variant>
      <vt:variant>
        <vt:i4>0</vt:i4>
      </vt:variant>
      <vt:variant>
        <vt:i4>5</vt:i4>
      </vt:variant>
      <vt:variant>
        <vt:lpwstr>http://www.pacificpower.net/content/dam/pacific_power/doc/Business/Save_Energy_Money/WA_FinExpress_Custom_Incentives_10302009.pdf</vt:lpwstr>
      </vt:variant>
      <vt:variant>
        <vt:lpwstr/>
      </vt:variant>
      <vt:variant>
        <vt:i4>4915259</vt:i4>
      </vt:variant>
      <vt:variant>
        <vt:i4>12</vt:i4>
      </vt:variant>
      <vt:variant>
        <vt:i4>0</vt:i4>
      </vt:variant>
      <vt:variant>
        <vt:i4>5</vt:i4>
      </vt:variant>
      <vt:variant>
        <vt:lpwstr>http://www.pacificpower.net/content/dam/pacific_power/doc/Business/Save_Energy_Money/FinAnswer_Express_29.pdf</vt:lpwstr>
      </vt:variant>
      <vt:variant>
        <vt:lpwstr/>
      </vt:variant>
      <vt:variant>
        <vt:i4>4849693</vt:i4>
      </vt:variant>
      <vt:variant>
        <vt:i4>9</vt:i4>
      </vt:variant>
      <vt:variant>
        <vt:i4>0</vt:i4>
      </vt:variant>
      <vt:variant>
        <vt:i4>5</vt:i4>
      </vt:variant>
      <vt:variant>
        <vt:lpwstr>http://www.pacificpower.net/content/dam/pacific_power/doc/Business/Save_Energy_Money/WA_FinAnswer_Express_NCMR_Brochure_and_Incentive_Tables.pdf</vt:lpwstr>
      </vt:variant>
      <vt:variant>
        <vt:lpwstr/>
      </vt:variant>
      <vt:variant>
        <vt:i4>1245254</vt:i4>
      </vt:variant>
      <vt:variant>
        <vt:i4>6</vt:i4>
      </vt:variant>
      <vt:variant>
        <vt:i4>0</vt:i4>
      </vt:variant>
      <vt:variant>
        <vt:i4>5</vt:i4>
      </vt:variant>
      <vt:variant>
        <vt:lpwstr>http://www.pacificpower.net/content/dam/pacific_power/doc/Business/Save_Energy_Money/WA_FinAnswer_Express_Retrofits_Brochure_and_Incentive_Tables.pdf</vt:lpwstr>
      </vt:variant>
      <vt:variant>
        <vt:lpwstr/>
      </vt:variant>
      <vt:variant>
        <vt:i4>3473451</vt:i4>
      </vt:variant>
      <vt:variant>
        <vt:i4>3</vt:i4>
      </vt:variant>
      <vt:variant>
        <vt:i4>0</vt:i4>
      </vt:variant>
      <vt:variant>
        <vt:i4>5</vt:i4>
      </vt:variant>
      <vt:variant>
        <vt:lpwstr>http://www.homeenergysavings.net/Washington/forms.html</vt:lpwstr>
      </vt:variant>
      <vt:variant>
        <vt:lpwstr/>
      </vt:variant>
      <vt:variant>
        <vt:i4>5832783</vt:i4>
      </vt:variant>
      <vt:variant>
        <vt:i4>0</vt:i4>
      </vt:variant>
      <vt:variant>
        <vt:i4>0</vt:i4>
      </vt:variant>
      <vt:variant>
        <vt:i4>5</vt:i4>
      </vt:variant>
      <vt:variant>
        <vt:lpwstr>http://www.pacificpower.net/wattsmart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2012-06-04T21:21:00Z</dcterms:created>
  <dcterms:modified xsi:type="dcterms:W3CDTF">2012-06-04T22:24:00Z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