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spacing w:line="240" w:lineRule="auto"/>
        <w:jc w:val="center"/>
      </w:pPr>
      <w:r>
        <w:t xml:space="preserve">BEFORE THE WASHINGTON UTILITIES </w:t>
      </w:r>
    </w:p>
    <w:p w:rsidR="007369C7" w:rsidRDefault="007369C7">
      <w:pPr>
        <w:spacing w:line="240" w:lineRule="auto"/>
        <w:jc w:val="center"/>
      </w:pPr>
      <w:r>
        <w:t>AND TRANSPORTATION COMMISSION</w:t>
      </w:r>
    </w:p>
    <w:p w:rsidR="007369C7" w:rsidRDefault="007369C7">
      <w:pPr>
        <w:pStyle w:val="FirmName"/>
        <w:spacing w:line="240" w:lineRule="auto"/>
      </w:pPr>
    </w:p>
    <w:tbl>
      <w:tblPr>
        <w:tblW w:w="9515" w:type="dxa"/>
        <w:tblInd w:w="8" w:type="dxa"/>
        <w:tblLayout w:type="fixed"/>
        <w:tblCellMar>
          <w:left w:w="0" w:type="dxa"/>
          <w:right w:w="0" w:type="dxa"/>
        </w:tblCellMar>
        <w:tblLook w:val="0000"/>
      </w:tblPr>
      <w:tblGrid>
        <w:gridCol w:w="4672"/>
        <w:gridCol w:w="450"/>
        <w:gridCol w:w="4393"/>
      </w:tblGrid>
      <w:tr w:rsidR="007369C7" w:rsidTr="00E118ED">
        <w:tc>
          <w:tcPr>
            <w:tcW w:w="4672" w:type="dxa"/>
            <w:tcBorders>
              <w:bottom w:val="single" w:sz="4" w:space="0" w:color="auto"/>
              <w:right w:val="single" w:sz="4" w:space="0" w:color="auto"/>
            </w:tcBorders>
          </w:tcPr>
          <w:p w:rsidR="007369C7" w:rsidRDefault="007369C7">
            <w:pPr>
              <w:spacing w:line="240" w:lineRule="auto"/>
            </w:pPr>
            <w:bookmarkStart w:id="0" w:name="Parties"/>
            <w:bookmarkEnd w:id="0"/>
            <w:r>
              <w:t>In the Matter of:</w:t>
            </w:r>
          </w:p>
          <w:p w:rsidR="007369C7" w:rsidRDefault="007369C7">
            <w:pPr>
              <w:spacing w:line="240" w:lineRule="auto"/>
            </w:pPr>
          </w:p>
          <w:p w:rsidR="007369C7" w:rsidRDefault="007369C7">
            <w:pPr>
              <w:spacing w:line="240" w:lineRule="auto"/>
            </w:pPr>
            <w:r>
              <w:t>Waste Management of Washington, Inc. d/b/a Waste Management of SnoKing</w:t>
            </w:r>
          </w:p>
          <w:p w:rsidR="007369C7" w:rsidRDefault="007369C7">
            <w:pPr>
              <w:spacing w:line="240" w:lineRule="auto"/>
            </w:pPr>
          </w:p>
          <w:p w:rsidR="007369C7" w:rsidRDefault="007369C7">
            <w:pPr>
              <w:spacing w:line="240" w:lineRule="auto"/>
            </w:pPr>
            <w:r>
              <w:t>Re WAC 480</w:t>
            </w:r>
            <w:r>
              <w:noBreakHyphen/>
              <w:t>07</w:t>
            </w:r>
            <w:r>
              <w:noBreakHyphen/>
              <w:t>520(4)</w:t>
            </w:r>
          </w:p>
          <w:p w:rsidR="007369C7" w:rsidRDefault="007369C7">
            <w:pPr>
              <w:tabs>
                <w:tab w:val="left" w:pos="2880"/>
              </w:tabs>
              <w:spacing w:line="240" w:lineRule="auto"/>
            </w:pPr>
          </w:p>
          <w:p w:rsidR="007369C7" w:rsidRDefault="007369C7">
            <w:pPr>
              <w:tabs>
                <w:tab w:val="left" w:pos="2880"/>
              </w:tabs>
              <w:spacing w:line="240" w:lineRule="auto"/>
            </w:pPr>
          </w:p>
        </w:tc>
        <w:tc>
          <w:tcPr>
            <w:tcW w:w="450" w:type="dxa"/>
            <w:tcBorders>
              <w:left w:val="single" w:sz="4" w:space="0" w:color="auto"/>
            </w:tcBorders>
          </w:tcPr>
          <w:p w:rsidR="007369C7" w:rsidRDefault="007369C7">
            <w:pPr>
              <w:pStyle w:val="SingleSpacing"/>
              <w:spacing w:line="240" w:lineRule="auto"/>
            </w:pPr>
          </w:p>
        </w:tc>
        <w:tc>
          <w:tcPr>
            <w:tcW w:w="4393" w:type="dxa"/>
          </w:tcPr>
          <w:p w:rsidR="007369C7" w:rsidRDefault="007369C7">
            <w:pPr>
              <w:pStyle w:val="SingleSpacing"/>
              <w:spacing w:line="240" w:lineRule="auto"/>
            </w:pPr>
            <w:bookmarkStart w:id="1" w:name="CaseNumber"/>
            <w:bookmarkEnd w:id="1"/>
          </w:p>
          <w:p w:rsidR="007369C7" w:rsidRDefault="007369C7">
            <w:pPr>
              <w:pStyle w:val="SingleSpacing"/>
              <w:spacing w:line="240" w:lineRule="auto"/>
            </w:pPr>
            <w:r>
              <w:t xml:space="preserve">CASE NO.  </w:t>
            </w:r>
          </w:p>
          <w:p w:rsidR="007369C7" w:rsidRDefault="007369C7">
            <w:pPr>
              <w:pStyle w:val="SingleSpacing"/>
              <w:spacing w:line="240" w:lineRule="auto"/>
            </w:pPr>
          </w:p>
          <w:p w:rsidR="007369C7" w:rsidRDefault="00E118ED">
            <w:pPr>
              <w:pStyle w:val="PleadingTitle"/>
            </w:pPr>
            <w:r>
              <w:t xml:space="preserve">petitioner’s reply to Commission staff’s response to Waste management of washington’s </w:t>
            </w:r>
            <w:r w:rsidR="007369C7">
              <w:t>PETITION FOR RULE INTERPRETATION OR ALTERNATIVELY FOR MODIFICATION OR EXEMPTION</w:t>
            </w:r>
          </w:p>
        </w:tc>
      </w:tr>
    </w:tbl>
    <w:p w:rsidR="007369C7" w:rsidRDefault="007369C7">
      <w:pPr>
        <w:spacing w:line="240" w:lineRule="auto"/>
      </w:pPr>
    </w:p>
    <w:p w:rsidR="002F6D6C" w:rsidRDefault="002F6D6C" w:rsidP="003F17E4">
      <w:pPr>
        <w:pStyle w:val="Heading1"/>
        <w:keepNext/>
      </w:pPr>
      <w:r>
        <w:t>introduction</w:t>
      </w:r>
    </w:p>
    <w:p w:rsidR="00E07863" w:rsidRDefault="006D3E06" w:rsidP="00E07863">
      <w:pPr>
        <w:pStyle w:val="ParaNumbered"/>
      </w:pPr>
      <w:r>
        <w:t xml:space="preserve">The purpose of </w:t>
      </w:r>
      <w:r w:rsidR="00E118ED">
        <w:t>WAC 480</w:t>
      </w:r>
      <w:r w:rsidR="00E118ED">
        <w:noBreakHyphen/>
        <w:t>07</w:t>
      </w:r>
      <w:r w:rsidR="00E118ED">
        <w:noBreakHyphen/>
        <w:t xml:space="preserve">520 </w:t>
      </w:r>
      <w:r>
        <w:t xml:space="preserve">is to require that </w:t>
      </w:r>
      <w:r w:rsidR="00E118ED">
        <w:t xml:space="preserve">a general rate increase </w:t>
      </w:r>
      <w:r w:rsidR="002D0E70">
        <w:t xml:space="preserve">filing </w:t>
      </w:r>
      <w:r w:rsidR="00E118ED">
        <w:t xml:space="preserve">include work papers </w:t>
      </w:r>
      <w:r w:rsidR="002F6D6C">
        <w:t>that give</w:t>
      </w:r>
      <w:r>
        <w:t xml:space="preserve"> the Commission’s auditors</w:t>
      </w:r>
      <w:r w:rsidR="002D0E70">
        <w:t xml:space="preserve"> financial data necessary to evaluate a </w:t>
      </w:r>
      <w:r w:rsidR="00E118ED">
        <w:t>tariff</w:t>
      </w:r>
      <w:r w:rsidR="002D0E70">
        <w:t xml:space="preserve"> request</w:t>
      </w:r>
      <w:r w:rsidR="00E118ED">
        <w:t xml:space="preserve">.  </w:t>
      </w:r>
      <w:r w:rsidR="008C4822">
        <w:t>The regulation</w:t>
      </w:r>
      <w:r w:rsidR="002D0E70">
        <w:t xml:space="preserve"> should be interpreted </w:t>
      </w:r>
      <w:r w:rsidR="00D2079B">
        <w:t xml:space="preserve">and applied </w:t>
      </w:r>
      <w:r w:rsidR="002D0E70">
        <w:t xml:space="preserve">with that goal in mind.  </w:t>
      </w:r>
      <w:r w:rsidR="00B710D5">
        <w:t xml:space="preserve">Staff’s argument on the rule interpretation </w:t>
      </w:r>
      <w:r w:rsidR="00E118ED">
        <w:t xml:space="preserve">ignores the purpose of the </w:t>
      </w:r>
      <w:r w:rsidR="008C4822">
        <w:t>filing requirements</w:t>
      </w:r>
      <w:r w:rsidR="00E118ED">
        <w:t xml:space="preserve">, and instead suggests </w:t>
      </w:r>
      <w:r w:rsidR="00B710D5">
        <w:t xml:space="preserve">a meaning </w:t>
      </w:r>
      <w:r w:rsidR="002D0E70">
        <w:t>that would lead to absurd results</w:t>
      </w:r>
      <w:r>
        <w:t xml:space="preserve"> – </w:t>
      </w:r>
      <w:r w:rsidR="00B710D5">
        <w:t xml:space="preserve">which </w:t>
      </w:r>
      <w:r w:rsidR="00E118ED">
        <w:t>therefore</w:t>
      </w:r>
      <w:r w:rsidR="00B710D5">
        <w:t xml:space="preserve"> is </w:t>
      </w:r>
      <w:r w:rsidR="005F4445">
        <w:t xml:space="preserve">probably </w:t>
      </w:r>
      <w:r w:rsidR="00E118ED">
        <w:t>not what the Commission intended</w:t>
      </w:r>
      <w:r>
        <w:t xml:space="preserve"> when the rule was adopted in 1992</w:t>
      </w:r>
      <w:r w:rsidR="00B710D5">
        <w:t>.  In contrast, Staff’s position on the rule exemption squarely co</w:t>
      </w:r>
      <w:r w:rsidR="00940348">
        <w:t>m</w:t>
      </w:r>
      <w:r w:rsidR="005F4445">
        <w:t>ports with</w:t>
      </w:r>
      <w:r w:rsidR="002F6D6C">
        <w:t xml:space="preserve"> the</w:t>
      </w:r>
      <w:r w:rsidR="005F4445">
        <w:t xml:space="preserve"> purpose of the rule and </w:t>
      </w:r>
      <w:r w:rsidR="00940348">
        <w:t>offers a practical and well-founded application of the tariff filing requirements</w:t>
      </w:r>
      <w:r w:rsidR="005F4445">
        <w:t xml:space="preserve"> – which is consistent with the actual work papers WMW filed in the Sno</w:t>
      </w:r>
      <w:r w:rsidR="00AE5172">
        <w:noBreakHyphen/>
      </w:r>
      <w:r w:rsidR="005F4445">
        <w:t>King tariff request, and with how the rule has been administered for seventeen years</w:t>
      </w:r>
      <w:r w:rsidR="00940348">
        <w:t xml:space="preserve">.  </w:t>
      </w:r>
      <w:r w:rsidR="002F6D6C">
        <w:t xml:space="preserve">However, there should be no need </w:t>
      </w:r>
      <w:r w:rsidR="00940348">
        <w:t>to resort to an exemption when the rule itself su</w:t>
      </w:r>
      <w:r w:rsidR="00E07863">
        <w:t>pports the same outcome</w:t>
      </w:r>
      <w:r w:rsidR="00676C4D">
        <w:t>.  Indeed, requesting a</w:t>
      </w:r>
      <w:r w:rsidR="005F4445">
        <w:t xml:space="preserve"> rule interpretation </w:t>
      </w:r>
      <w:r w:rsidR="00676C4D">
        <w:t>should not be necessary</w:t>
      </w:r>
      <w:r w:rsidR="002F6D6C">
        <w:t>, either,</w:t>
      </w:r>
      <w:r w:rsidR="00676C4D">
        <w:t xml:space="preserve"> </w:t>
      </w:r>
      <w:r w:rsidR="005F4445">
        <w:t>when</w:t>
      </w:r>
      <w:r w:rsidR="00AE5172">
        <w:t xml:space="preserve"> the parties </w:t>
      </w:r>
      <w:r w:rsidR="002F6D6C">
        <w:t xml:space="preserve">are apparently in agreement that WMW filings </w:t>
      </w:r>
      <w:r w:rsidR="00AE5172">
        <w:t>have satisfied the purpose of the</w:t>
      </w:r>
      <w:r w:rsidR="005F4445">
        <w:t xml:space="preserve"> </w:t>
      </w:r>
      <w:r w:rsidR="00AE5172">
        <w:t>regulation</w:t>
      </w:r>
      <w:r w:rsidR="005F4445">
        <w:t xml:space="preserve"> for decades now</w:t>
      </w:r>
      <w:r w:rsidR="00E07863">
        <w:t>.</w:t>
      </w:r>
    </w:p>
    <w:p w:rsidR="00CA501C" w:rsidRDefault="00CA501C" w:rsidP="003F17E4">
      <w:pPr>
        <w:pStyle w:val="Heading1"/>
        <w:keepNext/>
      </w:pPr>
      <w:r>
        <w:lastRenderedPageBreak/>
        <w:t>analysis</w:t>
      </w:r>
    </w:p>
    <w:p w:rsidR="00E07863" w:rsidRDefault="00E07863" w:rsidP="00E07863">
      <w:pPr>
        <w:pStyle w:val="ParaNumbered"/>
      </w:pPr>
      <w:r>
        <w:t>WMW does not seek a new interpretation of WAC 480</w:t>
      </w:r>
      <w:r>
        <w:noBreakHyphen/>
        <w:t>07</w:t>
      </w:r>
      <w:r>
        <w:noBreakHyphen/>
        <w:t xml:space="preserve">520(4).  It does not suggest that the rule be narrowly construed to apply to WMW’s unique corporate structure.  It asks the Commission </w:t>
      </w:r>
      <w:r w:rsidR="00D2079B">
        <w:t xml:space="preserve">continue to </w:t>
      </w:r>
      <w:r w:rsidR="00AE5172">
        <w:t>administer</w:t>
      </w:r>
      <w:r w:rsidR="00D2079B">
        <w:t xml:space="preserve"> the </w:t>
      </w:r>
      <w:r>
        <w:t xml:space="preserve">rule </w:t>
      </w:r>
      <w:r w:rsidR="00D2079B">
        <w:t xml:space="preserve">to achieve the regulatory objective of requiring companies filing a general rate increase to provide work papers that present the financial information necessary to scrutinize the request.  Viewed with this </w:t>
      </w:r>
      <w:r>
        <w:t xml:space="preserve">proper </w:t>
      </w:r>
      <w:r w:rsidR="00D2079B">
        <w:t xml:space="preserve">perspective, </w:t>
      </w:r>
      <w:r>
        <w:t xml:space="preserve">the past practice of the last </w:t>
      </w:r>
      <w:r w:rsidR="00CA501C">
        <w:t>seventeen</w:t>
      </w:r>
      <w:r>
        <w:t xml:space="preserve"> years reflects the </w:t>
      </w:r>
      <w:r w:rsidR="00AE5172">
        <w:t>correct</w:t>
      </w:r>
      <w:r>
        <w:t xml:space="preserve"> </w:t>
      </w:r>
      <w:r w:rsidR="00AE5172">
        <w:t>meaning</w:t>
      </w:r>
      <w:r>
        <w:t xml:space="preserve"> of the filing </w:t>
      </w:r>
      <w:r w:rsidR="008C4822">
        <w:t>regulation</w:t>
      </w:r>
      <w:r>
        <w:t>.</w:t>
      </w:r>
      <w:r w:rsidR="00D2079B">
        <w:t xml:space="preserve">  The rule language supports the outcome described in Staff’s exemption analysis, </w:t>
      </w:r>
      <w:r w:rsidR="00AE5172">
        <w:t>but</w:t>
      </w:r>
      <w:r w:rsidR="00D2079B">
        <w:t xml:space="preserve"> neither an interpretation nor an exemption should </w:t>
      </w:r>
      <w:r w:rsidR="00AE5172">
        <w:t xml:space="preserve">have been </w:t>
      </w:r>
      <w:r w:rsidR="00D2079B">
        <w:t>necessary</w:t>
      </w:r>
      <w:r w:rsidR="00AE5172">
        <w:t xml:space="preserve"> to achieve that result</w:t>
      </w:r>
      <w:r w:rsidR="00D2079B">
        <w:t>.</w:t>
      </w:r>
    </w:p>
    <w:p w:rsidR="00E07863" w:rsidRDefault="00E07863" w:rsidP="00E07863">
      <w:pPr>
        <w:pStyle w:val="ParaNumbered"/>
      </w:pPr>
      <w:r>
        <w:t>Presumably, solid waste collection companies regulated by the Commission come in all sorts of corporate packages.  WMW happens to operate under the auspices of a single corporate entity for Washington.  According to the intervener, Washington Refuse and Recycling Association (WRRA), other regulated companies have a similar structure.</w:t>
      </w:r>
      <w:r w:rsidR="003D3DC4">
        <w:t xml:space="preserve">  </w:t>
      </w:r>
      <w:r w:rsidR="00CA501C">
        <w:t>In contrast, some</w:t>
      </w:r>
      <w:r w:rsidR="003D3DC4">
        <w:t xml:space="preserve"> companies </w:t>
      </w:r>
      <w:r w:rsidR="00676C4D">
        <w:t xml:space="preserve">apparently </w:t>
      </w:r>
      <w:r w:rsidR="00CA501C">
        <w:t xml:space="preserve">have </w:t>
      </w:r>
      <w:r w:rsidR="003D3DC4">
        <w:t>chose</w:t>
      </w:r>
      <w:r w:rsidR="00CA501C">
        <w:t>n</w:t>
      </w:r>
      <w:r w:rsidR="003D3DC4">
        <w:t xml:space="preserve"> to separately incorporate each of their distinct operations.  The regulation should be interpreted in a manner that allows it to be applied to each company’s unique structure in the context of the overall objective.</w:t>
      </w:r>
      <w:r w:rsidR="00AE5172">
        <w:t xml:space="preserve">  WMW does not request an interpretation that makes the rule fit only its corporate structure.  The rule requires each filing entity to provide work papers that provide financial analysis necessary to scrutinize the expenses and the revenue needs of each tariff request.  What that means for each unique hauler’s financial and corporate structure will necessarily differ.  The rule allows for those differences now.  Staff’s approach would lead to the need for a series of</w:t>
      </w:r>
      <w:r w:rsidR="00CA501C">
        <w:t xml:space="preserve"> petitions for exemption, whenever the tariff filing entity’s corporate structure varies from the interpretation driven by the existence of one state-wide corporation.  Or Staff’s interpretation </w:t>
      </w:r>
      <w:r w:rsidR="006A1077">
        <w:t>c</w:t>
      </w:r>
      <w:r w:rsidR="00CA501C">
        <w:t xml:space="preserve">ould lead to a series </w:t>
      </w:r>
      <w:r w:rsidR="00AE5172">
        <w:t>rules, each directed to the myriad of organizational configurations currently and potentially</w:t>
      </w:r>
      <w:r w:rsidR="00CA501C">
        <w:t xml:space="preserve"> existing. </w:t>
      </w:r>
    </w:p>
    <w:p w:rsidR="00992869" w:rsidRDefault="003F17E4" w:rsidP="003F17E4">
      <w:pPr>
        <w:pStyle w:val="Heading2"/>
        <w:keepNext/>
      </w:pPr>
      <w:r>
        <w:lastRenderedPageBreak/>
        <w:t>The general rate filing requirements have been administered in accordance with the language of WAC 480</w:t>
      </w:r>
      <w:r>
        <w:noBreakHyphen/>
        <w:t>07</w:t>
      </w:r>
      <w:r>
        <w:noBreakHyphen/>
        <w:t>520 since the rule was adopted in 1992.</w:t>
      </w:r>
    </w:p>
    <w:p w:rsidR="00992869" w:rsidRDefault="00992869" w:rsidP="00992869">
      <w:pPr>
        <w:pStyle w:val="ParaNumbered"/>
      </w:pPr>
      <w:r>
        <w:t>WMW does not believe WAC 480</w:t>
      </w:r>
      <w:r>
        <w:noBreakHyphen/>
        <w:t>07</w:t>
      </w:r>
      <w:r>
        <w:noBreakHyphen/>
        <w:t>520 should require the Commission’s interpretation.  The language in the rule is consistent with the manner in which both Commission Staff and WMW personnel have been applying it to WMW.</w:t>
      </w:r>
      <w:r w:rsidR="003F17E4">
        <w:t xml:space="preserve">  The rule was first adopted in 1992.  </w:t>
      </w:r>
      <w:r w:rsidR="003F17E4">
        <w:rPr>
          <w:i/>
        </w:rPr>
        <w:t>See</w:t>
      </w:r>
      <w:r w:rsidR="003F17E4">
        <w:t xml:space="preserve"> </w:t>
      </w:r>
      <w:r w:rsidR="003F17E4">
        <w:rPr>
          <w:i/>
        </w:rPr>
        <w:t>In the matter of amending WAC 480-09-300 and 310 and adopting WAC 480-09-335, relating to Solid Waste Rate Increases</w:t>
      </w:r>
      <w:r w:rsidR="003F17E4">
        <w:t>, Docket No. TG-92-0486, General Order No. R-380 (December 7, 1992).  All WMW filings since that time have consistently provided essentially the same kind of work papers as were submitted with the Sno</w:t>
      </w:r>
      <w:r w:rsidR="003F17E4">
        <w:noBreakHyphen/>
        <w:t>King filing.</w:t>
      </w:r>
    </w:p>
    <w:p w:rsidR="00E143EE" w:rsidRDefault="00E143EE" w:rsidP="00992869">
      <w:pPr>
        <w:pStyle w:val="ParaNumbered"/>
      </w:pPr>
      <w:r w:rsidRPr="00E143EE">
        <w:t>Waste M</w:t>
      </w:r>
      <w:r>
        <w:t>anagement of Washington, Inc. (herein, WMW</w:t>
      </w:r>
      <w:r w:rsidRPr="00E143EE">
        <w:t>) is a corporate subsidiary of Waste Management, Inc. that performs full-service waste handling throughout Washington-state.  Corporate headquarters for Waste Management, Inc. are in Houston, Texas; the Western Group offices are in Scottsdale, Arizona; and WMW, based in Kirkland, Washington, is one of nine corporations operating in the Pacific Northwest Market Area.</w:t>
      </w:r>
    </w:p>
    <w:p w:rsidR="00992869" w:rsidRDefault="003F17E4" w:rsidP="00992869">
      <w:pPr>
        <w:pStyle w:val="ParaNumbered"/>
      </w:pPr>
      <w:r>
        <w:t xml:space="preserve">Currently, and </w:t>
      </w:r>
      <w:r w:rsidR="002F001B">
        <w:t xml:space="preserve">since the rule </w:t>
      </w:r>
      <w:r w:rsidR="00E143EE">
        <w:t xml:space="preserve">governing filing requirements for solid waste collection company tariff requests </w:t>
      </w:r>
      <w:r w:rsidR="002F001B">
        <w:t>was adopted,</w:t>
      </w:r>
      <w:r>
        <w:t xml:space="preserve"> </w:t>
      </w:r>
      <w:r w:rsidR="00992869">
        <w:t xml:space="preserve">WMW’s collection operations </w:t>
      </w:r>
      <w:r w:rsidR="00E143EE">
        <w:t xml:space="preserve">have </w:t>
      </w:r>
      <w:r w:rsidR="00992869">
        <w:t>operate</w:t>
      </w:r>
      <w:r w:rsidR="00E143EE">
        <w:t>d</w:t>
      </w:r>
      <w:r w:rsidR="00992869">
        <w:t xml:space="preserve"> under the auspices of a single state-wide corporation.  </w:t>
      </w:r>
      <w:r w:rsidR="002F001B">
        <w:t>The company took steps to streamline its corporate structure and began consolidating its collection operations by rolling up subsidiaries into a single entity</w:t>
      </w:r>
      <w:r w:rsidR="00A932E0">
        <w:t xml:space="preserve"> around 1992.  </w:t>
      </w:r>
      <w:r w:rsidR="00992869">
        <w:t xml:space="preserve">Somewhere in and around 1999, an internal analysis of revenues and expenses revealed that the corporate structure was producing double taxation of state business and occupation (B&amp;O) taxes by having a corporate entity for solid waste collection, on the one hand, dealing with separate corporations providing solid waste handling services, on the other.  To illustrate, when the Wenatchee collection operations delivered solid waste to the Greater Wenatchee Landfill, both corporations would have paid B&amp;O taxes on the same dollars because the collection company would pay for the revenues produced by customers paying tariff rates that included the disposal fees, and the landfill would pay for the revenues attributable to the disposal fees paid by the collection company.  The company, and its customers, was incurring that double taxation unnecessarily.  To minimize that tax burden, the company began merging all of its Washington operations into one corporation, Waste Management of Washington, Inc. </w:t>
      </w:r>
      <w:r>
        <w:t>(herein, WMW).</w:t>
      </w:r>
    </w:p>
    <w:p w:rsidR="00992869" w:rsidRDefault="00992869" w:rsidP="00992869">
      <w:pPr>
        <w:pStyle w:val="ParaNumbered"/>
      </w:pPr>
      <w:r>
        <w:t xml:space="preserve">For </w:t>
      </w:r>
      <w:r w:rsidR="003F17E4">
        <w:t>over seventeen</w:t>
      </w:r>
      <w:r>
        <w:t xml:space="preserve"> years, WMW has filed general rate increase requests for changes to rates in individual tariffs published specifically for each operational unit</w:t>
      </w:r>
      <w:r w:rsidR="003764AC">
        <w:t>.  C</w:t>
      </w:r>
      <w:r>
        <w:t xml:space="preserve">osts differ among various tariff territories </w:t>
      </w:r>
      <w:r w:rsidR="003764AC">
        <w:t>and thus</w:t>
      </w:r>
      <w:r>
        <w:t xml:space="preserve"> supporting work papers provided financial data about the tariff filing entity</w:t>
      </w:r>
      <w:r w:rsidR="003764AC">
        <w:t xml:space="preserve"> only</w:t>
      </w:r>
      <w:r>
        <w:t xml:space="preserve">.  </w:t>
      </w:r>
    </w:p>
    <w:p w:rsidR="00992869" w:rsidRDefault="00992869" w:rsidP="00992869">
      <w:pPr>
        <w:pStyle w:val="ParaNumbered"/>
      </w:pPr>
      <w:r>
        <w:t>Corporate consolidation had no practical effect on tariff filings.  The information contained in the work papers provided to the Co</w:t>
      </w:r>
      <w:r w:rsidR="003F17E4">
        <w:t>mmission in compliance with WAC 480</w:t>
      </w:r>
      <w:r w:rsidR="003F17E4">
        <w:noBreakHyphen/>
        <w:t>07</w:t>
      </w:r>
      <w:r w:rsidR="003F17E4">
        <w:noBreakHyphen/>
      </w:r>
      <w:r>
        <w:t xml:space="preserve">520 did not materially change, because each tariff entity continued to operate as a separate revenue center.  Following consolidation, each of the tariff entities continued to keep its own general ledger.  Equipment is not shared, and if any vehicles or containers are transferred from one collection unit to another, the asset is taken off the books of the one and put on the books of the other.  Operational employees work for one entity only, and labor rates differ for each collection unit, most of which have their own separate collective bargaining agreement for garbage collection drivers.  For the most part, each collection entity has its own office and facilities – and if offices were shared with other operational units the method of assigning the expenses remained unchanged after the corporate consolidation.  </w:t>
      </w:r>
    </w:p>
    <w:p w:rsidR="00992869" w:rsidRDefault="00992869" w:rsidP="00992869">
      <w:pPr>
        <w:pStyle w:val="ParaNumbered"/>
      </w:pPr>
      <w:r>
        <w:t xml:space="preserve">The only costs that are common among all the various corporations that operate under the Waste Management umbrella are for general and administrative (G&amp;A) overhead.  The separate collection business units in Washington – as well as the non-collection, unregulated solid waste handling operations – share expenses only in the allocations of G&amp;A costs.  When submitting a general rate request in accordance with </w:t>
      </w:r>
      <w:r w:rsidR="003F17E4">
        <w:t>WAC 480</w:t>
      </w:r>
      <w:r w:rsidR="003F17E4">
        <w:noBreakHyphen/>
        <w:t>07</w:t>
      </w:r>
      <w:r w:rsidR="003F17E4">
        <w:noBreakHyphen/>
        <w:t>520</w:t>
      </w:r>
      <w:r>
        <w:t>, the company has historically included financial data detailing the G&amp;A costs allocated from the Corporate, Group and Market Area offices.  Spreadsheets with line items for all of the G&amp;A costs from each level of company management have been provided with WMW filings, as th</w:t>
      </w:r>
      <w:r w:rsidR="00E143EE">
        <w:t>ey were with the Sno</w:t>
      </w:r>
      <w:r w:rsidR="00E143EE">
        <w:noBreakHyphen/>
      </w:r>
      <w:r>
        <w:t>King filing.  Work papers have documented the bases for allocating those costs out to the tariff entity.  For example, proportionate expenses of providing Market Area custome</w:t>
      </w:r>
      <w:r w:rsidR="00E143EE">
        <w:t>r services are allocated to Sno</w:t>
      </w:r>
      <w:r w:rsidR="00E143EE">
        <w:noBreakHyphen/>
      </w:r>
      <w:r>
        <w:t>King based on the number of customers it serves, in relation to the total number of customers served in the Market Area.  Another example is that costs for human resource services are allocated based on the number of employees.  Similarly, fleet and safety costs are allocated based on the number of routes.  Explanation and support for each of the expenses and the relevant basis of allocation has always been included with the work papers file</w:t>
      </w:r>
      <w:r w:rsidR="00E143EE">
        <w:t>d, as it was again with the Sno</w:t>
      </w:r>
      <w:r w:rsidR="00E143EE">
        <w:noBreakHyphen/>
      </w:r>
      <w:r>
        <w:t>King filing.</w:t>
      </w:r>
    </w:p>
    <w:p w:rsidR="00992869" w:rsidRDefault="00992869" w:rsidP="00992869">
      <w:pPr>
        <w:pStyle w:val="ParaNumbered"/>
      </w:pPr>
      <w:r>
        <w:t xml:space="preserve">To the extent these G&amp;A costs are incurred by WMW and its operating entities as a result of administrative services performed by the parent company, an affiliated interest arrangement between WMW and Waste Management, Inc. exists.  Since </w:t>
      </w:r>
      <w:r w:rsidR="003F17E4">
        <w:t>WAC 480</w:t>
      </w:r>
      <w:r w:rsidR="003F17E4">
        <w:noBreakHyphen/>
        <w:t>70</w:t>
      </w:r>
      <w:r w:rsidR="003F17E4">
        <w:noBreakHyphen/>
      </w:r>
      <w:r>
        <w:t xml:space="preserve">079 was adopted in 2005, WMW </w:t>
      </w:r>
      <w:r w:rsidR="003F17E4">
        <w:t>has</w:t>
      </w:r>
      <w:r>
        <w:t xml:space="preserve"> filed annual reports detailing the nature of this arrangement in accordanc</w:t>
      </w:r>
      <w:r w:rsidR="00E143EE">
        <w:t xml:space="preserve">e with the regulation.  </w:t>
      </w:r>
    </w:p>
    <w:p w:rsidR="00992869" w:rsidRDefault="00992869" w:rsidP="00992869">
      <w:pPr>
        <w:pStyle w:val="ParaNumbered"/>
      </w:pPr>
      <w:r>
        <w:t>Due to its corporate structure, intra-company transactions between the various collection entities and the non-collection solid waste handling operations are not “affiliated interest” transactions.  WMW’s unregulated, non-collection solid waste handling facilities interact with its collection entities in the following manner:</w:t>
      </w:r>
    </w:p>
    <w:p w:rsidR="00992869" w:rsidRDefault="00992869" w:rsidP="00992869">
      <w:pPr>
        <w:pStyle w:val="ParaNumbered"/>
        <w:numPr>
          <w:ilvl w:val="0"/>
          <w:numId w:val="0"/>
        </w:numPr>
        <w:ind w:left="360"/>
      </w:pPr>
      <w:r>
        <w:t>•</w:t>
      </w:r>
      <w:r>
        <w:tab/>
        <w:t>Eastmont Transfer Station in Seattle (Seattle Collection)</w:t>
      </w:r>
    </w:p>
    <w:p w:rsidR="00992869" w:rsidRDefault="00992869" w:rsidP="00992869">
      <w:pPr>
        <w:pStyle w:val="ParaNumbered"/>
        <w:numPr>
          <w:ilvl w:val="0"/>
          <w:numId w:val="0"/>
        </w:numPr>
        <w:ind w:left="360"/>
      </w:pPr>
      <w:r>
        <w:t>•</w:t>
      </w:r>
      <w:r>
        <w:tab/>
        <w:t>Kennewick Transfer Station (Kennewick Collection)</w:t>
      </w:r>
    </w:p>
    <w:p w:rsidR="00992869" w:rsidRDefault="00992869" w:rsidP="00992869">
      <w:pPr>
        <w:pStyle w:val="ParaNumbered"/>
        <w:numPr>
          <w:ilvl w:val="0"/>
          <w:numId w:val="0"/>
        </w:numPr>
        <w:ind w:left="360"/>
      </w:pPr>
      <w:r>
        <w:t>•</w:t>
      </w:r>
      <w:r>
        <w:tab/>
        <w:t>Ellensburg Transfer Station (Ellensburg Collection)</w:t>
      </w:r>
    </w:p>
    <w:p w:rsidR="00992869" w:rsidRDefault="00992869" w:rsidP="00992869">
      <w:pPr>
        <w:pStyle w:val="ParaNumbered"/>
        <w:numPr>
          <w:ilvl w:val="0"/>
          <w:numId w:val="0"/>
        </w:numPr>
        <w:ind w:left="360"/>
      </w:pPr>
      <w:r>
        <w:t>•</w:t>
      </w:r>
      <w:r>
        <w:tab/>
        <w:t>Cle Elem Transfer Station (Ellensburg Collection)</w:t>
      </w:r>
    </w:p>
    <w:p w:rsidR="00992869" w:rsidRDefault="00992869" w:rsidP="00992869">
      <w:pPr>
        <w:pStyle w:val="ParaNumbered"/>
        <w:numPr>
          <w:ilvl w:val="0"/>
          <w:numId w:val="0"/>
        </w:numPr>
        <w:ind w:left="360"/>
      </w:pPr>
      <w:r>
        <w:t>•</w:t>
      </w:r>
      <w:r>
        <w:tab/>
        <w:t>Wenatchee Transfer Station (Wenatchee Collection)</w:t>
      </w:r>
    </w:p>
    <w:p w:rsidR="00992869" w:rsidRDefault="00992869" w:rsidP="00793C58">
      <w:pPr>
        <w:pStyle w:val="ParaNumbered"/>
        <w:numPr>
          <w:ilvl w:val="0"/>
          <w:numId w:val="0"/>
        </w:numPr>
        <w:ind w:left="720" w:hanging="360"/>
      </w:pPr>
      <w:r>
        <w:t>•</w:t>
      </w:r>
      <w:r>
        <w:tab/>
        <w:t>Alaska Street Transfer Station (None – Non-regulated transfer of CDL; soils and other materials to the Columbia Ridge Landfill in Oregon)</w:t>
      </w:r>
    </w:p>
    <w:p w:rsidR="00992869" w:rsidRDefault="00992869" w:rsidP="00992869">
      <w:pPr>
        <w:pStyle w:val="ParaNumbered"/>
        <w:numPr>
          <w:ilvl w:val="0"/>
          <w:numId w:val="0"/>
        </w:numPr>
        <w:ind w:left="360"/>
      </w:pPr>
      <w:r>
        <w:t>•</w:t>
      </w:r>
      <w:r>
        <w:tab/>
        <w:t>Cascade Recycling Center MRF (Seattle, Northwest, Sno-King, Skagit Collections)</w:t>
      </w:r>
    </w:p>
    <w:p w:rsidR="00992869" w:rsidRDefault="00992869" w:rsidP="00992869">
      <w:pPr>
        <w:pStyle w:val="ParaNumbered"/>
        <w:numPr>
          <w:ilvl w:val="0"/>
          <w:numId w:val="0"/>
        </w:numPr>
        <w:ind w:left="360"/>
      </w:pPr>
      <w:r>
        <w:t>•</w:t>
      </w:r>
      <w:r>
        <w:tab/>
        <w:t>Ellensburg MRF (Ellensburg Collection)</w:t>
      </w:r>
    </w:p>
    <w:p w:rsidR="00992869" w:rsidRDefault="00992869" w:rsidP="00992869">
      <w:pPr>
        <w:pStyle w:val="ParaNumbered"/>
        <w:numPr>
          <w:ilvl w:val="0"/>
          <w:numId w:val="0"/>
        </w:numPr>
        <w:ind w:left="360"/>
      </w:pPr>
      <w:r>
        <w:t>•</w:t>
      </w:r>
      <w:r>
        <w:tab/>
        <w:t>RNW Recycling MRF (South Sound Collection)</w:t>
      </w:r>
    </w:p>
    <w:p w:rsidR="00992869" w:rsidRDefault="00992869" w:rsidP="00992869">
      <w:pPr>
        <w:pStyle w:val="ParaNumbered"/>
        <w:numPr>
          <w:ilvl w:val="0"/>
          <w:numId w:val="0"/>
        </w:numPr>
        <w:ind w:left="360"/>
      </w:pPr>
      <w:r>
        <w:t>•</w:t>
      </w:r>
      <w:r>
        <w:tab/>
        <w:t>Peninsula Recycling MRF (Brem-Air Collection)</w:t>
      </w:r>
    </w:p>
    <w:p w:rsidR="00992869" w:rsidRDefault="00992869" w:rsidP="00992869">
      <w:pPr>
        <w:pStyle w:val="ParaNumbered"/>
        <w:numPr>
          <w:ilvl w:val="0"/>
          <w:numId w:val="0"/>
        </w:numPr>
        <w:ind w:left="360"/>
      </w:pPr>
      <w:r>
        <w:t>•</w:t>
      </w:r>
      <w:r>
        <w:tab/>
        <w:t>Greater Wenatchee Landfill (Wenatchee and Ellensburg Collections)</w:t>
      </w:r>
    </w:p>
    <w:p w:rsidR="00992869" w:rsidRDefault="00992869" w:rsidP="00992869">
      <w:pPr>
        <w:pStyle w:val="ParaNumbered"/>
        <w:numPr>
          <w:ilvl w:val="0"/>
          <w:numId w:val="0"/>
        </w:numPr>
        <w:ind w:left="360"/>
      </w:pPr>
      <w:r>
        <w:t>•</w:t>
      </w:r>
      <w:r>
        <w:tab/>
        <w:t>Graham Road Landfill (Spokane Collection – CDL only)</w:t>
      </w:r>
    </w:p>
    <w:p w:rsidR="00992869" w:rsidRDefault="00992869" w:rsidP="00992869">
      <w:pPr>
        <w:pStyle w:val="ParaNumbered"/>
        <w:numPr>
          <w:ilvl w:val="0"/>
          <w:numId w:val="0"/>
        </w:numPr>
        <w:ind w:left="360"/>
      </w:pPr>
      <w:r>
        <w:t>•</w:t>
      </w:r>
      <w:r>
        <w:tab/>
        <w:t>Olympic View Landfill (closed site) (previously Brem-Air Collection)</w:t>
      </w:r>
    </w:p>
    <w:p w:rsidR="00992869" w:rsidRDefault="00E143EE" w:rsidP="00992869">
      <w:pPr>
        <w:pStyle w:val="ParaNumbered"/>
      </w:pPr>
      <w:r>
        <w:t>As Staff agrees, t</w:t>
      </w:r>
      <w:r w:rsidR="00992869">
        <w:t>hese are not affiliated interest transactions.  Regardless, whenever any of the tariff entities have filed a general rate increase, work papers have included financial data for Commission auditors to determine whether the intra-company charges are an appropriate expense for including in the rate base.  In these instances, the company has provided information about the relevant non-collection, unregulated operation</w:t>
      </w:r>
      <w:r w:rsidR="00DE3FB7">
        <w:t>.  For example, the Sno</w:t>
      </w:r>
      <w:r w:rsidR="00DE3FB7">
        <w:noBreakHyphen/>
      </w:r>
      <w:r w:rsidR="008B21D7">
        <w:t>K</w:t>
      </w:r>
      <w:r w:rsidR="00DE3FB7">
        <w:t>ing filing included information about Cascade Recycling Center, its material recovery facility to which Sno</w:t>
      </w:r>
      <w:r w:rsidR="00DE3FB7">
        <w:noBreakHyphen/>
        <w:t>King delivers recyclable materials</w:t>
      </w:r>
      <w:r w:rsidR="00992869">
        <w:t xml:space="preserve">.  </w:t>
      </w:r>
    </w:p>
    <w:p w:rsidR="00992869" w:rsidRDefault="00992869" w:rsidP="00992869">
      <w:pPr>
        <w:pStyle w:val="ParaNumbered"/>
      </w:pPr>
      <w:r>
        <w:t>If there is a transaction involving tipping fees, then the filings have included information for Commission auditors to evaluate whether the total cost of disposal, including waste transfer, transport, and disposal charges, is equal to or lower than any other reasonable and currently available option, in accordance with the standards set forth in RCW 81.77.160.  Where the disposal price at the WMW-owned transfer station or landfill is established by contract with a local government, then no financial data other than the established fees has been provided.</w:t>
      </w:r>
    </w:p>
    <w:p w:rsidR="00992869" w:rsidRDefault="00992869" w:rsidP="00992869">
      <w:pPr>
        <w:pStyle w:val="ParaNumbered"/>
      </w:pPr>
      <w:r>
        <w:t>Otherwise, where there is no financial nexus between the tariff entity seeking a rate adjustment and any of the unregulated, non-collection operations, financial information about those unregulated solid waste handling facilities has not been included by WMW in its work papers.  No filing has</w:t>
      </w:r>
      <w:r w:rsidR="003D049B">
        <w:t xml:space="preserve"> ever</w:t>
      </w:r>
      <w:r>
        <w:t xml:space="preserve"> included an “income statement” for WMW as a whole.  </w:t>
      </w:r>
    </w:p>
    <w:p w:rsidR="008C3FF5" w:rsidRDefault="00E143EE" w:rsidP="008C3FF5">
      <w:pPr>
        <w:pStyle w:val="ParaNumbered"/>
      </w:pPr>
      <w:r>
        <w:t>Nothing in the language of WAC 480</w:t>
      </w:r>
      <w:r>
        <w:noBreakHyphen/>
        <w:t>07</w:t>
      </w:r>
      <w:r>
        <w:noBreakHyphen/>
        <w:t>520 mandates a different approach than the one that WMW and Commission Staff have shared in its implementation.</w:t>
      </w:r>
      <w:r w:rsidR="008C3FF5">
        <w:t xml:space="preserve">  WMW completely agrees with the </w:t>
      </w:r>
      <w:r w:rsidR="00DE3FB7">
        <w:t xml:space="preserve">policy underlying </w:t>
      </w:r>
      <w:r w:rsidR="008C3FF5">
        <w:t>the rule stated in Staff’s Response.  It is indeed necessary for ratemaking purposes for the Commission’s auditors to understand how expenses are allocated, and to scrutinize the various methods of allocating commons costs.  WMW has provided that information in its work papers for seventeen years.  Until this filing, there has been no disagreement about what the rule requires.</w:t>
      </w:r>
    </w:p>
    <w:p w:rsidR="008C3FF5" w:rsidRDefault="008C3FF5" w:rsidP="008C3FF5">
      <w:pPr>
        <w:pStyle w:val="ParaNumbered"/>
      </w:pPr>
      <w:r w:rsidRPr="008C3FF5">
        <w:t xml:space="preserve">In April of 2009, Executive Secretary and Director Danner sent a letter to all solid waste collection companies regulated by the Commission, informing the industry of the agency’s intention to “strictly enforce” certain specified rules, stating that although they have been in effect for many years, “enforcement of these rules has been inconsistent.”  </w:t>
      </w:r>
    </w:p>
    <w:p w:rsidR="003764AC" w:rsidRDefault="008C3FF5" w:rsidP="0095538E">
      <w:pPr>
        <w:pStyle w:val="ParaNumbered"/>
      </w:pPr>
      <w:r>
        <w:t>When WMW submitted its original filing for Sno</w:t>
      </w:r>
      <w:r>
        <w:noBreakHyphen/>
        <w:t>King on November 30, 2009, Staff reviewed it for compliance with WAC 480</w:t>
      </w:r>
      <w:r>
        <w:noBreakHyphen/>
        <w:t>07</w:t>
      </w:r>
      <w:r>
        <w:noBreakHyphen/>
        <w:t xml:space="preserve">520, and </w:t>
      </w:r>
      <w:r w:rsidR="0095538E">
        <w:t>found</w:t>
      </w:r>
      <w:r>
        <w:t xml:space="preserve"> it was missing several components.  </w:t>
      </w:r>
      <w:r w:rsidR="0095538E">
        <w:t xml:space="preserve">Many of the deficiencies were procedural rather than substantive.  Almost all of the defects were capable of being easily corrected.  </w:t>
      </w:r>
    </w:p>
    <w:p w:rsidR="0095538E" w:rsidRDefault="0095538E" w:rsidP="0095538E">
      <w:pPr>
        <w:pStyle w:val="ParaNumbered"/>
      </w:pPr>
      <w:r>
        <w:t>However, Staff and the company did not agree about two specific subsections in the filing regulation</w:t>
      </w:r>
      <w:r w:rsidR="003764AC">
        <w:t xml:space="preserve">, </w:t>
      </w:r>
      <w:r>
        <w:t>WAC 480</w:t>
      </w:r>
      <w:r>
        <w:noBreakHyphen/>
        <w:t>07</w:t>
      </w:r>
      <w:r>
        <w:noBreakHyphen/>
        <w:t>520(4)(d)</w:t>
      </w:r>
      <w:r w:rsidR="003764AC">
        <w:t xml:space="preserve"> (requiring </w:t>
      </w:r>
      <w:r>
        <w:t>a separation of revenues and expenses between regulated and non-regulated operations</w:t>
      </w:r>
      <w:r w:rsidR="003764AC">
        <w:t xml:space="preserve">) and </w:t>
      </w:r>
      <w:r>
        <w:t>WAC 480</w:t>
      </w:r>
      <w:r>
        <w:noBreakHyphen/>
        <w:t>07</w:t>
      </w:r>
      <w:r>
        <w:noBreakHyphen/>
        <w:t>520 (4)(h)</w:t>
      </w:r>
      <w:r w:rsidR="003764AC">
        <w:t xml:space="preserve"> (calling </w:t>
      </w:r>
      <w:r>
        <w:t>for a</w:t>
      </w:r>
      <w:r w:rsidR="003764AC">
        <w:t xml:space="preserve"> detailed depreciation schedule).  For the first time, in Staff’s Response, WMW is informed that its filing was deficient not just with regard to these two subsections, but </w:t>
      </w:r>
      <w:r w:rsidR="00D31FA8">
        <w:t xml:space="preserve">Staff now takes the position that </w:t>
      </w:r>
      <w:r w:rsidR="003764AC">
        <w:t>almost all of the tariff-specific work papers would require an exemption for the Sno</w:t>
      </w:r>
      <w:r w:rsidR="003764AC">
        <w:noBreakHyphen/>
        <w:t>King filing to be in compliance with the general rate filing regulation.</w:t>
      </w:r>
    </w:p>
    <w:p w:rsidR="00DE3FB7" w:rsidRDefault="0095538E" w:rsidP="00DE3FB7">
      <w:pPr>
        <w:pStyle w:val="ParaNumbered"/>
      </w:pPr>
      <w:r>
        <w:t>The fact that Staff has reversed its long-held interpretation of WAC 480</w:t>
      </w:r>
      <w:r>
        <w:noBreakHyphen/>
        <w:t>07</w:t>
      </w:r>
      <w:r>
        <w:noBreakHyphen/>
        <w:t xml:space="preserve">520 in the first general rate case submitted by WMW since the April Letter is noteworthy.  </w:t>
      </w:r>
      <w:r w:rsidR="00D31FA8">
        <w:t>T</w:t>
      </w:r>
      <w:r>
        <w:t xml:space="preserve">he filing compliance being demanded by Staff in this matter is not just </w:t>
      </w:r>
      <w:r w:rsidRPr="0095538E">
        <w:t xml:space="preserve">a </w:t>
      </w:r>
      <w:r>
        <w:t xml:space="preserve">question of </w:t>
      </w:r>
      <w:r w:rsidRPr="0095538E">
        <w:t>more closely following the rule</w:t>
      </w:r>
      <w:r>
        <w:t xml:space="preserve"> or requiring </w:t>
      </w:r>
      <w:r w:rsidRPr="0095538E">
        <w:t xml:space="preserve">strict compliance with filing requirements that were previously ignored.  </w:t>
      </w:r>
      <w:r>
        <w:t xml:space="preserve">In mandating that </w:t>
      </w:r>
      <w:r w:rsidRPr="0095538E">
        <w:t xml:space="preserve">WMW expand the scope of analysis presented in its </w:t>
      </w:r>
      <w:r>
        <w:t xml:space="preserve">prior filings, </w:t>
      </w:r>
      <w:r w:rsidRPr="0095538E">
        <w:t xml:space="preserve">Staff is not merely reinstating a requirement that has historically been excused.  Instead, Staff is interpreting the rule requirement differently than it has in the past.  Staff’s position in this filing is a change of practice.  </w:t>
      </w:r>
      <w:r w:rsidR="00D31FA8">
        <w:t xml:space="preserve">WMW believes, however, that the party’s practice evidence that for over seventeen </w:t>
      </w:r>
      <w:r w:rsidRPr="0095538E">
        <w:t xml:space="preserve">years, Staff </w:t>
      </w:r>
      <w:r w:rsidR="00D31FA8">
        <w:t>and WMW shared an interpretation of the rule that furthered the objective of providing the financial analysis needed to scrutinize a rate filing.  It is only after the April Letter that Staff has apparently concluded it was not interpreting the filing rule properly.  However, “rigorously enforcing” previously overlooked filing requirement is significantly different from changing the basic interpretation of the rule and its policy objectives.  The April Letter did not suggest that previously sound interpretations be called into question, but it has apparently prompted that result.</w:t>
      </w:r>
    </w:p>
    <w:p w:rsidR="003764AC" w:rsidRDefault="003764AC" w:rsidP="003764AC">
      <w:pPr>
        <w:pStyle w:val="ParaNumbered"/>
        <w:numPr>
          <w:ilvl w:val="0"/>
          <w:numId w:val="0"/>
        </w:numPr>
        <w:ind w:left="360"/>
      </w:pPr>
    </w:p>
    <w:p w:rsidR="00676C4D" w:rsidRDefault="00E143EE" w:rsidP="003764AC">
      <w:pPr>
        <w:pStyle w:val="Heading2"/>
        <w:keepNext/>
      </w:pPr>
      <w:r>
        <w:t>Staff’s proposed r</w:t>
      </w:r>
      <w:r w:rsidR="00676C4D">
        <w:t xml:space="preserve">ule </w:t>
      </w:r>
      <w:r w:rsidR="00992869">
        <w:t>exemption</w:t>
      </w:r>
      <w:r>
        <w:t xml:space="preserve"> corroborates the conclusion that the rule has historically been interpreted correctly.</w:t>
      </w:r>
    </w:p>
    <w:p w:rsidR="00676C4D" w:rsidRDefault="002F6D6C" w:rsidP="00E07863">
      <w:pPr>
        <w:pStyle w:val="ParaNumbered"/>
      </w:pPr>
      <w:r>
        <w:t xml:space="preserve">There </w:t>
      </w:r>
      <w:r w:rsidR="00D31FA8">
        <w:t xml:space="preserve">should be </w:t>
      </w:r>
      <w:r>
        <w:t>no need for a rule interpretation prior to this Sno</w:t>
      </w:r>
      <w:r>
        <w:noBreakHyphen/>
        <w:t xml:space="preserve">King tariff filing.  WMW has heretofore consistently provided work papers that gave Commission auditors the information needed to scrutinize </w:t>
      </w:r>
      <w:r w:rsidR="00596D45">
        <w:t>its rate filings</w:t>
      </w:r>
      <w:r>
        <w:t xml:space="preserve">.  </w:t>
      </w:r>
      <w:r w:rsidR="00907DCA">
        <w:t>T</w:t>
      </w:r>
      <w:r w:rsidR="00676C4D">
        <w:t xml:space="preserve">he following </w:t>
      </w:r>
      <w:r w:rsidR="00907DCA">
        <w:t xml:space="preserve">discussion of </w:t>
      </w:r>
      <w:r w:rsidR="00676C4D">
        <w:t>each rule provision specifically</w:t>
      </w:r>
      <w:r>
        <w:t xml:space="preserve">, </w:t>
      </w:r>
      <w:r w:rsidR="00907DCA">
        <w:t>summarizing</w:t>
      </w:r>
      <w:r w:rsidR="00676C4D">
        <w:t xml:space="preserve"> </w:t>
      </w:r>
      <w:r w:rsidR="00907DCA">
        <w:t xml:space="preserve">what WMW submitted, discussing </w:t>
      </w:r>
      <w:r>
        <w:t xml:space="preserve">Staff’s new interpretation of </w:t>
      </w:r>
      <w:r w:rsidR="00907DCA">
        <w:t xml:space="preserve">each of </w:t>
      </w:r>
      <w:r>
        <w:t>the filing requirements</w:t>
      </w:r>
      <w:r w:rsidR="00907DCA">
        <w:t xml:space="preserve">, and comparing both with </w:t>
      </w:r>
      <w:r>
        <w:t>what Staff says it really needs in the proposed exemption</w:t>
      </w:r>
      <w:r w:rsidR="00907DCA">
        <w:t>, illustrates how unnecessary WMW’s Petition should have been.</w:t>
      </w:r>
    </w:p>
    <w:p w:rsidR="00676C4D" w:rsidRPr="00992869" w:rsidRDefault="00676C4D" w:rsidP="00676C4D">
      <w:pPr>
        <w:pStyle w:val="ParaNumbered"/>
      </w:pPr>
      <w:r w:rsidRPr="00992869">
        <w:t xml:space="preserve">WAC 480 07 520(4)(a):  WM </w:t>
      </w:r>
      <w:r w:rsidR="00AE5172" w:rsidRPr="00992869">
        <w:t>filed</w:t>
      </w:r>
      <w:r w:rsidRPr="00992869">
        <w:t xml:space="preserve"> a pro forma income statement separated among Sno</w:t>
      </w:r>
      <w:r w:rsidR="00AE5172" w:rsidRPr="00992869">
        <w:noBreakHyphen/>
      </w:r>
      <w:r w:rsidRPr="00992869">
        <w:t>King’s solid waste, single family residential recycling, multifamily recycling, and yard waste operations, with restating actual and pro forma adjustments, including all supporting calculations and documentation for all adjustments.</w:t>
      </w:r>
      <w:r w:rsidR="00AE5172" w:rsidRPr="00992869">
        <w:t xml:space="preserve">  This is exactly what Staff is requesting in its proposed exemption</w:t>
      </w:r>
      <w:r w:rsidR="00907DCA" w:rsidRPr="00992869">
        <w:t>, and what WMW has filed in work papers for past general rate requests</w:t>
      </w:r>
      <w:r w:rsidR="00AE5172" w:rsidRPr="00992869">
        <w:t xml:space="preserve">.  Staff’s </w:t>
      </w:r>
      <w:r w:rsidR="00907DCA" w:rsidRPr="00992869">
        <w:t xml:space="preserve">new </w:t>
      </w:r>
      <w:r w:rsidR="00AE5172" w:rsidRPr="00992869">
        <w:t xml:space="preserve">interpretation of the rule would require a breakdown of the regulated solid waste activities for the entire statewide operations of WMW.  </w:t>
      </w:r>
      <w:r w:rsidR="002F6D6C" w:rsidRPr="00992869">
        <w:t>A composite of the</w:t>
      </w:r>
      <w:r w:rsidR="00907DCA" w:rsidRPr="00992869">
        <w:t xml:space="preserve"> general ledger information for WMW’s</w:t>
      </w:r>
      <w:r w:rsidR="002F6D6C" w:rsidRPr="00992869">
        <w:t xml:space="preserve"> nine different tariff entit</w:t>
      </w:r>
      <w:r w:rsidR="00907DCA" w:rsidRPr="00992869">
        <w:t>ies</w:t>
      </w:r>
      <w:r w:rsidR="002F6D6C" w:rsidRPr="00992869">
        <w:t>’ yard waste</w:t>
      </w:r>
      <w:r w:rsidR="00907DCA" w:rsidRPr="00992869">
        <w:t xml:space="preserve"> operations</w:t>
      </w:r>
      <w:r w:rsidR="002F6D6C" w:rsidRPr="00992869">
        <w:t xml:space="preserve">, for example, would be needed to meet Staff’s view of the rule.  </w:t>
      </w:r>
      <w:r w:rsidR="00AE5172" w:rsidRPr="00992869">
        <w:t>Staff offers no explanation for how that information would be relevant to evaluating the Sno</w:t>
      </w:r>
      <w:r w:rsidR="003D049B">
        <w:noBreakHyphen/>
      </w:r>
      <w:r w:rsidR="00AE5172" w:rsidRPr="00992869">
        <w:t>King tariff request.</w:t>
      </w:r>
    </w:p>
    <w:p w:rsidR="00676C4D" w:rsidRPr="00992869" w:rsidRDefault="00676C4D" w:rsidP="00676C4D">
      <w:pPr>
        <w:pStyle w:val="ParaNumbered"/>
      </w:pPr>
      <w:r w:rsidRPr="00992869">
        <w:t xml:space="preserve">WAC 480 07 520(4)(b):  </w:t>
      </w:r>
      <w:r w:rsidR="002F6D6C" w:rsidRPr="00992869">
        <w:t xml:space="preserve">The absurdity of </w:t>
      </w:r>
      <w:r w:rsidR="00AE5172" w:rsidRPr="00992869">
        <w:t xml:space="preserve">Staff’s </w:t>
      </w:r>
      <w:r w:rsidR="002F6D6C" w:rsidRPr="00992869">
        <w:t xml:space="preserve">new </w:t>
      </w:r>
      <w:r w:rsidR="00AE5172" w:rsidRPr="00992869">
        <w:t xml:space="preserve">interpretation </w:t>
      </w:r>
      <w:r w:rsidR="002F6D6C" w:rsidRPr="00992869">
        <w:t xml:space="preserve">is particularly illustrated </w:t>
      </w:r>
      <w:r w:rsidR="00907DCA" w:rsidRPr="00992869">
        <w:t>here.  T</w:t>
      </w:r>
      <w:r w:rsidR="002F6D6C" w:rsidRPr="00992869">
        <w:t xml:space="preserve">he revenue impact of the </w:t>
      </w:r>
      <w:r w:rsidR="00907DCA" w:rsidRPr="00992869">
        <w:t xml:space="preserve">increased rates sought in the </w:t>
      </w:r>
      <w:r w:rsidR="002F6D6C" w:rsidRPr="00992869">
        <w:t>Sno</w:t>
      </w:r>
      <w:r w:rsidR="002F6D6C" w:rsidRPr="00992869">
        <w:noBreakHyphen/>
        <w:t xml:space="preserve">King filing </w:t>
      </w:r>
      <w:r w:rsidR="00907DCA" w:rsidRPr="00992869">
        <w:t>on</w:t>
      </w:r>
      <w:r w:rsidR="002F6D6C" w:rsidRPr="00992869">
        <w:t xml:space="preserve"> </w:t>
      </w:r>
      <w:r w:rsidR="00907DCA" w:rsidRPr="00992869">
        <w:t xml:space="preserve">WMW’s </w:t>
      </w:r>
      <w:r w:rsidR="002F6D6C" w:rsidRPr="00992869">
        <w:t xml:space="preserve">statewide </w:t>
      </w:r>
      <w:r w:rsidR="00907DCA" w:rsidRPr="00992869">
        <w:t xml:space="preserve">regulated collection </w:t>
      </w:r>
      <w:r w:rsidR="002F6D6C" w:rsidRPr="00992869">
        <w:t xml:space="preserve">operations </w:t>
      </w:r>
      <w:r w:rsidR="00907DCA" w:rsidRPr="00992869">
        <w:t>woul</w:t>
      </w:r>
      <w:r w:rsidR="002F6D6C" w:rsidRPr="00992869">
        <w:t xml:space="preserve">d be infinitesimal, and the calculation meaningless. </w:t>
      </w:r>
      <w:r w:rsidR="00907DCA" w:rsidRPr="00992869">
        <w:t xml:space="preserve"> </w:t>
      </w:r>
      <w:r w:rsidR="002F6D6C" w:rsidRPr="00992869">
        <w:t>Again,</w:t>
      </w:r>
      <w:r w:rsidR="00AE5172" w:rsidRPr="00992869">
        <w:t xml:space="preserve"> Staff offers no explanation for </w:t>
      </w:r>
      <w:r w:rsidR="00907DCA" w:rsidRPr="00992869">
        <w:t>why the auditors</w:t>
      </w:r>
      <w:r w:rsidR="002F6D6C" w:rsidRPr="00992869">
        <w:t xml:space="preserve"> - or the Sno</w:t>
      </w:r>
      <w:r w:rsidR="002F6D6C" w:rsidRPr="00992869">
        <w:noBreakHyphen/>
        <w:t>King customers – would be better able to put the tariff filing in context if the state-wide revenue impact calcula</w:t>
      </w:r>
      <w:r w:rsidR="00907DCA" w:rsidRPr="00992869">
        <w:t xml:space="preserve">tion were provided.  Instead, work papers included </w:t>
      </w:r>
      <w:r w:rsidR="002F6D6C" w:rsidRPr="00992869">
        <w:t>a calculation of the revenue impact of the proposed tariff changes to Sno</w:t>
      </w:r>
      <w:r w:rsidR="002F6D6C" w:rsidRPr="00992869">
        <w:noBreakHyphen/>
        <w:t xml:space="preserve">King’s operations. </w:t>
      </w:r>
      <w:r w:rsidR="00907DCA" w:rsidRPr="00992869">
        <w:t xml:space="preserve"> </w:t>
      </w:r>
      <w:r w:rsidR="002F6D6C" w:rsidRPr="00992869">
        <w:t xml:space="preserve">This is exactly what Staff is requesting in its proposed exemption, but surely an exemption </w:t>
      </w:r>
      <w:r w:rsidR="00907DCA" w:rsidRPr="00992869">
        <w:t>should</w:t>
      </w:r>
      <w:r w:rsidR="002F6D6C" w:rsidRPr="00992869">
        <w:t xml:space="preserve"> not </w:t>
      </w:r>
      <w:r w:rsidR="00907DCA" w:rsidRPr="00992869">
        <w:t xml:space="preserve">be </w:t>
      </w:r>
      <w:r w:rsidR="002F6D6C" w:rsidRPr="00992869">
        <w:t>needed here.</w:t>
      </w:r>
    </w:p>
    <w:p w:rsidR="00676C4D" w:rsidRPr="00992869" w:rsidRDefault="00676C4D" w:rsidP="00676C4D">
      <w:pPr>
        <w:pStyle w:val="ParaNumbered"/>
      </w:pPr>
      <w:r w:rsidRPr="00992869">
        <w:t xml:space="preserve">WAC 480 07 520(4)(c):  </w:t>
      </w:r>
      <w:r w:rsidR="00907DCA" w:rsidRPr="00992869">
        <w:t>WMW submitted a</w:t>
      </w:r>
      <w:r w:rsidRPr="00992869">
        <w:t xml:space="preserve"> monthly income statement listing all Sno</w:t>
      </w:r>
      <w:r w:rsidRPr="00992869">
        <w:noBreakHyphen/>
        <w:t>King’s revenue and expense accounts by month.</w:t>
      </w:r>
      <w:r w:rsidR="00907DCA" w:rsidRPr="00992869">
        <w:t xml:space="preserve">  Staff’s new interpretation would require a consolidated statement for all of the WMW operations in Washington.  </w:t>
      </w:r>
      <w:r w:rsidR="00631527">
        <w:t>This information is not readily available.  To comply with Staff’s interpretation, a separate monthly income statement would need to be prepared for each business entity, and manually add them together.</w:t>
      </w:r>
      <w:r w:rsidR="00631527" w:rsidRPr="00631527">
        <w:t xml:space="preserve"> </w:t>
      </w:r>
      <w:r w:rsidR="00631527" w:rsidRPr="00992869">
        <w:t>Again, Staff suggests no meaningful utility for that information, it simply asserts that the rule requires this for the state-wide corporation.</w:t>
      </w:r>
      <w:r w:rsidR="00631527">
        <w:t xml:space="preserve">  </w:t>
      </w:r>
    </w:p>
    <w:p w:rsidR="00631527" w:rsidRDefault="00676C4D" w:rsidP="00676C4D">
      <w:pPr>
        <w:pStyle w:val="ParaNumbered"/>
      </w:pPr>
      <w:r w:rsidRPr="00992869">
        <w:t xml:space="preserve">WAC 480 07 520(4)(d):  </w:t>
      </w:r>
      <w:r w:rsidR="00F2480C" w:rsidRPr="00992869">
        <w:t>As Staff points out, WMW believed this subsection to be one of only two disputed provisions, and a significant portion of its Petition is specifically direct</w:t>
      </w:r>
      <w:r w:rsidR="007515CF" w:rsidRPr="00992869">
        <w:t>ed t</w:t>
      </w:r>
      <w:r w:rsidR="00631527">
        <w:t xml:space="preserve">o this work paper element.  To comply with Staff’s new interpretation of requiring a detailed separation of expenses and revenues for </w:t>
      </w:r>
      <w:r w:rsidR="00631527" w:rsidRPr="00631527">
        <w:rPr>
          <w:u w:val="single"/>
        </w:rPr>
        <w:t>all</w:t>
      </w:r>
      <w:r w:rsidR="00631527">
        <w:t xml:space="preserve"> WMW Washington operations, preparing work papers for each filing would require the information from each of the business unit’s general ledgers to be manually compiled and analyzed.  The burden of undertaking that exercise for each filing would be enormous.</w:t>
      </w:r>
    </w:p>
    <w:p w:rsidR="007515CF" w:rsidRPr="00992869" w:rsidRDefault="00631527" w:rsidP="00676C4D">
      <w:pPr>
        <w:pStyle w:val="ParaNumbered"/>
      </w:pPr>
      <w:r>
        <w:t xml:space="preserve"> </w:t>
      </w:r>
      <w:r w:rsidR="007515CF" w:rsidRPr="00992869">
        <w:t>Yet, even though Staff expressed a new-found disagreement with WMW’s interpretation of what this subsection required, and even though Staff now reads the rule as requiring something different than what has been included in WMW’s general rate requests for the past seventeen years, ironically Staff’s proposed exemption requires even less than what WMW actually included in the Sno</w:t>
      </w:r>
      <w:r w:rsidR="007515CF" w:rsidRPr="00992869">
        <w:noBreakHyphen/>
        <w:t>King filing.</w:t>
      </w:r>
    </w:p>
    <w:p w:rsidR="007515CF" w:rsidRPr="00992869" w:rsidRDefault="007515CF" w:rsidP="00676C4D">
      <w:pPr>
        <w:pStyle w:val="ParaNumbered"/>
      </w:pPr>
      <w:r w:rsidRPr="00992869">
        <w:t xml:space="preserve">First, </w:t>
      </w:r>
      <w:r w:rsidR="00F2480C" w:rsidRPr="00992869">
        <w:t xml:space="preserve">WMW included a </w:t>
      </w:r>
      <w:r w:rsidR="00676C4D" w:rsidRPr="00992869">
        <w:t>detailed separation of all revenues and expenses between Sno</w:t>
      </w:r>
      <w:r w:rsidR="00676C4D" w:rsidRPr="00992869">
        <w:noBreakHyphen/>
        <w:t xml:space="preserve">King’s regulated and non-regulated operations in the income statement </w:t>
      </w:r>
      <w:r w:rsidR="00F2480C" w:rsidRPr="00992869">
        <w:t xml:space="preserve">that was </w:t>
      </w:r>
      <w:r w:rsidR="00676C4D" w:rsidRPr="00992869">
        <w:t xml:space="preserve">submitted in </w:t>
      </w:r>
      <w:r w:rsidR="00F2480C" w:rsidRPr="00992869">
        <w:t xml:space="preserve">compliance </w:t>
      </w:r>
      <w:r w:rsidR="00676C4D" w:rsidRPr="00992869">
        <w:t>with subsection (4)(a</w:t>
      </w:r>
      <w:r w:rsidRPr="00992869">
        <w:t>).  Staff’s proposed exemption requests this analysis about Sno</w:t>
      </w:r>
      <w:r w:rsidRPr="00992869">
        <w:noBreakHyphen/>
        <w:t xml:space="preserve">King, and WMW already provided it.  WMW’s work papers have at all times included a detailed separation of all revenue and expenses for the business unit operating under the tariff that is the subject of the filing.  Especially in light of the current controversy over allocations of expenses between regulated collection of solid waste collection and unregulated transportation of commercial recyclables, WMW anticipated the need for this careful analysis.  Again, an exemption would not seem necessary to perpetuate past practice.  </w:t>
      </w:r>
    </w:p>
    <w:p w:rsidR="007515CF" w:rsidRPr="00992869" w:rsidRDefault="00676C4D" w:rsidP="00676C4D">
      <w:pPr>
        <w:pStyle w:val="ParaNumbered"/>
      </w:pPr>
      <w:r w:rsidRPr="00992869">
        <w:t xml:space="preserve">Also, in response to </w:t>
      </w:r>
      <w:r w:rsidR="007515CF" w:rsidRPr="00992869">
        <w:t>the</w:t>
      </w:r>
      <w:r w:rsidRPr="00992869">
        <w:t xml:space="preserve"> </w:t>
      </w:r>
      <w:r w:rsidR="00F2480C" w:rsidRPr="00992869">
        <w:t>c</w:t>
      </w:r>
      <w:r w:rsidR="007515CF" w:rsidRPr="00992869">
        <w:t>urrent c</w:t>
      </w:r>
      <w:r w:rsidR="00F2480C" w:rsidRPr="00992869">
        <w:t>oncern</w:t>
      </w:r>
      <w:r w:rsidR="007515CF" w:rsidRPr="00992869">
        <w:t>s about treatment of expenses for commercial recycling operations</w:t>
      </w:r>
      <w:r w:rsidRPr="00992869">
        <w:t xml:space="preserve"> specifically, </w:t>
      </w:r>
      <w:r w:rsidR="00F2480C" w:rsidRPr="00992869">
        <w:t>WMW’s Sno</w:t>
      </w:r>
      <w:r w:rsidR="00F2480C" w:rsidRPr="00992869">
        <w:noBreakHyphen/>
        <w:t>King</w:t>
      </w:r>
      <w:r w:rsidRPr="00992869">
        <w:t xml:space="preserve"> </w:t>
      </w:r>
      <w:r w:rsidR="007515CF" w:rsidRPr="00992869">
        <w:t>work papers</w:t>
      </w:r>
      <w:r w:rsidR="004E56DE" w:rsidRPr="00992869">
        <w:t xml:space="preserve"> </w:t>
      </w:r>
      <w:r w:rsidRPr="00992869">
        <w:t xml:space="preserve">included a detailed separation of all revenues and expenses for each of the other </w:t>
      </w:r>
      <w:r w:rsidR="007515CF" w:rsidRPr="00992869">
        <w:t xml:space="preserve">business units performing </w:t>
      </w:r>
      <w:r w:rsidRPr="00992869">
        <w:t>collection operations</w:t>
      </w:r>
      <w:r w:rsidR="007515CF" w:rsidRPr="00992869">
        <w:t xml:space="preserve">.  The </w:t>
      </w:r>
      <w:r w:rsidR="004E56DE" w:rsidRPr="00992869">
        <w:t>analysis</w:t>
      </w:r>
      <w:r w:rsidR="007515CF" w:rsidRPr="00992869">
        <w:t xml:space="preserve"> allocated </w:t>
      </w:r>
      <w:r w:rsidRPr="00992869">
        <w:t>expense</w:t>
      </w:r>
      <w:r w:rsidR="007515CF" w:rsidRPr="00992869">
        <w:t>s</w:t>
      </w:r>
      <w:r w:rsidRPr="00992869">
        <w:t xml:space="preserve"> proportionately on the basis of regulated and unregulated revenues for each </w:t>
      </w:r>
      <w:r w:rsidR="007515CF" w:rsidRPr="00992869">
        <w:t>of the nine other units besides Sno</w:t>
      </w:r>
      <w:r w:rsidR="007515CF" w:rsidRPr="00992869">
        <w:noBreakHyphen/>
        <w:t xml:space="preserve">King.  </w:t>
      </w:r>
      <w:r w:rsidR="00F2480C" w:rsidRPr="00992869">
        <w:t xml:space="preserve">This element of the work papers </w:t>
      </w:r>
      <w:r w:rsidR="004E56DE" w:rsidRPr="00992869">
        <w:t>has</w:t>
      </w:r>
      <w:r w:rsidR="00F2480C" w:rsidRPr="00992869">
        <w:t xml:space="preserve"> </w:t>
      </w:r>
      <w:r w:rsidR="00F2480C" w:rsidRPr="00992869">
        <w:rPr>
          <w:u w:val="single"/>
        </w:rPr>
        <w:t>not</w:t>
      </w:r>
      <w:r w:rsidR="00F2480C" w:rsidRPr="00992869">
        <w:t xml:space="preserve"> historically </w:t>
      </w:r>
      <w:r w:rsidR="004E56DE" w:rsidRPr="00992869">
        <w:t xml:space="preserve">been </w:t>
      </w:r>
      <w:r w:rsidR="00F2480C" w:rsidRPr="00992869">
        <w:t xml:space="preserve">included in WMW’s rate filings, but was provided </w:t>
      </w:r>
      <w:r w:rsidR="007515CF" w:rsidRPr="00992869">
        <w:t>with the Sno</w:t>
      </w:r>
      <w:r w:rsidR="007515CF" w:rsidRPr="00992869">
        <w:noBreakHyphen/>
        <w:t xml:space="preserve">King work papers </w:t>
      </w:r>
      <w:r w:rsidR="00F2480C" w:rsidRPr="00992869">
        <w:t xml:space="preserve">in anticipation of heightened scrutiny on the allocation between regulated and unregulated collection of common operational expenses to the captive rate payers.  </w:t>
      </w:r>
      <w:r w:rsidR="007515CF" w:rsidRPr="00992869">
        <w:t>It is not mentioned in Staff’s proposed exemption</w:t>
      </w:r>
      <w:r w:rsidR="004E56DE" w:rsidRPr="00992869">
        <w:t>.  P</w:t>
      </w:r>
      <w:r w:rsidR="007515CF" w:rsidRPr="00992869">
        <w:t xml:space="preserve">resumably WMW filed more information than the auditors actually need.  </w:t>
      </w:r>
    </w:p>
    <w:p w:rsidR="004E56DE" w:rsidRPr="00992869" w:rsidRDefault="007515CF" w:rsidP="00676C4D">
      <w:pPr>
        <w:pStyle w:val="ParaNumbered"/>
      </w:pPr>
      <w:r w:rsidRPr="00992869">
        <w:t>Additionally</w:t>
      </w:r>
      <w:r w:rsidR="00F2480C" w:rsidRPr="00992869">
        <w:t>, t</w:t>
      </w:r>
      <w:r w:rsidR="00676C4D" w:rsidRPr="00992869">
        <w:t xml:space="preserve">he </w:t>
      </w:r>
      <w:r w:rsidRPr="00992869">
        <w:t>Sno</w:t>
      </w:r>
      <w:r w:rsidRPr="00992869">
        <w:noBreakHyphen/>
        <w:t xml:space="preserve">King </w:t>
      </w:r>
      <w:r w:rsidR="00676C4D" w:rsidRPr="00992869">
        <w:t>filing included a combined statement of detailed revenues and expenses for all of WMW’s unregulated, non-collection operations added together.</w:t>
      </w:r>
      <w:r w:rsidR="00F2480C" w:rsidRPr="00992869">
        <w:t xml:space="preserve">  The work papers did not offer a statement for each transfer station, each landfill, or each material recovery facility.  It included that information only in a combined statement for all, with each expense line item separately stated albeit in a combined total.  Staff does not mention </w:t>
      </w:r>
      <w:r w:rsidRPr="00992869">
        <w:t>this submittal</w:t>
      </w:r>
      <w:r w:rsidR="004E56DE" w:rsidRPr="00992869">
        <w:t xml:space="preserve">.  In an attempt to respond to Staff’s demands for financial information about the unregulated, non-collection business units within WMW’s state-wide umbrella, WMW apparently provided more information than what the auditors needed.  </w:t>
      </w:r>
    </w:p>
    <w:p w:rsidR="007515CF" w:rsidRPr="00992869" w:rsidRDefault="004E56DE" w:rsidP="00676C4D">
      <w:pPr>
        <w:pStyle w:val="ParaNumbered"/>
      </w:pPr>
      <w:r w:rsidRPr="00992869">
        <w:t>Instead, under the auspices of WAC 480</w:t>
      </w:r>
      <w:r w:rsidRPr="00992869">
        <w:noBreakHyphen/>
        <w:t>07</w:t>
      </w:r>
      <w:r w:rsidRPr="00992869">
        <w:noBreakHyphen/>
        <w:t xml:space="preserve">520(4)(d), </w:t>
      </w:r>
      <w:r w:rsidR="007515CF" w:rsidRPr="00992869">
        <w:t>Staff’s proposed exemption asks for a detailed separation for “any business units within WMW with which the business unit(s) providing the tariff services has intra-company transactions or arrangement that, but for the fact that the business units are not separate corporations, would constitute affiliated interest transactions.”  Because Sno</w:t>
      </w:r>
      <w:r w:rsidR="007515CF" w:rsidRPr="00992869">
        <w:noBreakHyphen/>
        <w:t xml:space="preserve">King delivers recyclable materials </w:t>
      </w:r>
      <w:r w:rsidRPr="00992869">
        <w:t xml:space="preserve">to the </w:t>
      </w:r>
      <w:r w:rsidR="007515CF" w:rsidRPr="00992869">
        <w:t xml:space="preserve"> Cascade Recycling Center, WMW’s Woodinville material recovery facility, financial information about that non-collection, nonregulated operation was included in the work papers.  WMW does not dispute the need for this information</w:t>
      </w:r>
      <w:r w:rsidRPr="00992869">
        <w:t>, and provided it in its filing</w:t>
      </w:r>
      <w:r w:rsidR="007515CF" w:rsidRPr="00992869">
        <w:t xml:space="preserve">.  Again, neither a rule interpretation nor exemption should have been </w:t>
      </w:r>
      <w:r w:rsidRPr="00992869">
        <w:t>necessary</w:t>
      </w:r>
      <w:r w:rsidR="007515CF" w:rsidRPr="00992869">
        <w:t xml:space="preserve"> since both the auditors and WMW’s financial analyst apparently shared a view that </w:t>
      </w:r>
      <w:r w:rsidRPr="00992869">
        <w:t>WAC 480</w:t>
      </w:r>
      <w:r w:rsidRPr="00992869">
        <w:noBreakHyphen/>
        <w:t>07</w:t>
      </w:r>
      <w:r w:rsidRPr="00992869">
        <w:noBreakHyphen/>
        <w:t xml:space="preserve">520 required </w:t>
      </w:r>
      <w:r w:rsidR="007515CF" w:rsidRPr="00992869">
        <w:t xml:space="preserve">this information </w:t>
      </w:r>
      <w:r w:rsidRPr="00992869">
        <w:t xml:space="preserve">in the work papers for </w:t>
      </w:r>
      <w:r w:rsidR="007515CF" w:rsidRPr="00992869">
        <w:t xml:space="preserve">the </w:t>
      </w:r>
      <w:r w:rsidRPr="00992869">
        <w:t>Sno</w:t>
      </w:r>
      <w:r w:rsidRPr="00992869">
        <w:noBreakHyphen/>
        <w:t xml:space="preserve">King </w:t>
      </w:r>
      <w:r w:rsidR="007515CF" w:rsidRPr="00992869">
        <w:t xml:space="preserve">tariff request. </w:t>
      </w:r>
    </w:p>
    <w:p w:rsidR="00676C4D" w:rsidRPr="00992869" w:rsidRDefault="00676C4D" w:rsidP="00676C4D">
      <w:pPr>
        <w:pStyle w:val="ParaNumbered"/>
      </w:pPr>
      <w:r w:rsidRPr="00992869">
        <w:t xml:space="preserve">WAC 480 07 520(4)(e):  </w:t>
      </w:r>
      <w:r w:rsidR="004E56DE" w:rsidRPr="00992869">
        <w:t>WMW provided a</w:t>
      </w:r>
      <w:r w:rsidRPr="00992869">
        <w:t xml:space="preserve"> detailed list of all Sno</w:t>
      </w:r>
      <w:r w:rsidRPr="00992869">
        <w:noBreakHyphen/>
        <w:t>King’s nonregulated operations, including the rates charged for the services rendered.</w:t>
      </w:r>
      <w:r w:rsidR="004E56DE" w:rsidRPr="00992869">
        <w:t xml:space="preserve">  The company did not provide a list of all nonregulated operations within Washington state.  </w:t>
      </w:r>
      <w:r w:rsidR="00B12C6A" w:rsidRPr="00992869">
        <w:t xml:space="preserve">Staff’s proposed exemption offers no relief from this requirement, saying, “It is important for Staff to have a clear understanding of all business units with which the business unit providing regulated services </w:t>
      </w:r>
      <w:r w:rsidR="00B12C6A" w:rsidRPr="00992869">
        <w:rPr>
          <w:i/>
        </w:rPr>
        <w:t>might</w:t>
      </w:r>
      <w:r w:rsidR="00B12C6A" w:rsidRPr="00992869">
        <w:t xml:space="preserve"> have common costs.”  WMW has 38 different municipal collection contracts, and it does not understand how listing each of those and providing Staff with its contract rates would be relevant to a tariff filing for Sno</w:t>
      </w:r>
      <w:r w:rsidR="00B12C6A" w:rsidRPr="00992869">
        <w:noBreakHyphen/>
        <w:t>King.  As discussed below, information necessary to evaluate how the rate filing treats allocations of overhead are obviously needed.  Beyond that, unless there is an intra-company transaction relevant to the filing, WMW does not understand how operations that are functionally unrelated would be useful in evaluating an individual business unit’s tariff.  WAC 480</w:t>
      </w:r>
      <w:r w:rsidR="00B12C6A" w:rsidRPr="00992869">
        <w:noBreakHyphen/>
        <w:t>07</w:t>
      </w:r>
      <w:r w:rsidR="00B12C6A" w:rsidRPr="00992869">
        <w:noBreakHyphen/>
        <w:t>520(4) does not authorize Staff to go on that sort of a fishing expedition.</w:t>
      </w:r>
    </w:p>
    <w:p w:rsidR="00676C4D" w:rsidRPr="00992869" w:rsidRDefault="00676C4D" w:rsidP="00676C4D">
      <w:pPr>
        <w:pStyle w:val="ParaNumbered"/>
      </w:pPr>
      <w:r w:rsidRPr="00992869">
        <w:t xml:space="preserve">WAC 480 07 520(4)(f):  </w:t>
      </w:r>
      <w:r w:rsidR="0017164A" w:rsidRPr="00992869">
        <w:t>Staff’s suggestion that an exemption is needed to excuse the requirement for providing a d</w:t>
      </w:r>
      <w:r w:rsidRPr="00992869">
        <w:t xml:space="preserve">etailed price-out information that reconciles within five percent, without adjustment, to the test period </w:t>
      </w:r>
      <w:r w:rsidR="0017164A" w:rsidRPr="00992869">
        <w:t xml:space="preserve">all of WMW’s </w:t>
      </w:r>
      <w:r w:rsidRPr="00992869">
        <w:t xml:space="preserve">booked revenue, including the test period customer count by </w:t>
      </w:r>
      <w:r w:rsidR="0017164A" w:rsidRPr="00992869">
        <w:t xml:space="preserve">all of WMW’s various </w:t>
      </w:r>
      <w:r w:rsidRPr="00992869">
        <w:t>tariff item</w:t>
      </w:r>
      <w:r w:rsidR="0017164A" w:rsidRPr="00992869">
        <w:t>s is nonsensical.  Staff’s proposed exemption instead asks for exactly what WMW provided: work papers that address this analysis for Sno</w:t>
      </w:r>
      <w:r w:rsidR="0017164A" w:rsidRPr="00992869">
        <w:noBreakHyphen/>
        <w:t>King only</w:t>
      </w:r>
      <w:r w:rsidRPr="00992869">
        <w:t>.</w:t>
      </w:r>
    </w:p>
    <w:p w:rsidR="00676C4D" w:rsidRPr="00992869" w:rsidRDefault="00676C4D" w:rsidP="00676C4D">
      <w:pPr>
        <w:pStyle w:val="ParaNumbered"/>
      </w:pPr>
      <w:r w:rsidRPr="00992869">
        <w:t xml:space="preserve">WAC 480 07 520(4)(g):  </w:t>
      </w:r>
      <w:r w:rsidR="0017164A" w:rsidRPr="00992869">
        <w:t>WMW filed a</w:t>
      </w:r>
      <w:r w:rsidRPr="00992869">
        <w:t xml:space="preserve"> consolidated balance sheet for Sno</w:t>
      </w:r>
      <w:r w:rsidRPr="00992869">
        <w:noBreakHyphen/>
        <w:t xml:space="preserve">King and an annual report </w:t>
      </w:r>
      <w:r w:rsidR="0017164A" w:rsidRPr="00992869">
        <w:t xml:space="preserve">(including a consolidated balance sheet) for Waste Management, Inc.  On this work paper requirement, Staff does not offer an exemption.  </w:t>
      </w:r>
      <w:r w:rsidR="00631527">
        <w:t xml:space="preserve">WMW has never included a consolidated balance sheet for the Washington corporate, because it does not have any </w:t>
      </w:r>
      <w:r w:rsidR="003D049B" w:rsidRPr="003D049B">
        <w:t>debt-to-equity, ratio; it is only held by the parent.</w:t>
      </w:r>
    </w:p>
    <w:p w:rsidR="00676C4D" w:rsidRPr="00992869" w:rsidRDefault="00676C4D" w:rsidP="00676C4D">
      <w:pPr>
        <w:pStyle w:val="ParaNumbered"/>
      </w:pPr>
      <w:r w:rsidRPr="00992869">
        <w:t xml:space="preserve">WAC 480 07 520(4)(h):  </w:t>
      </w:r>
      <w:r w:rsidR="0017164A" w:rsidRPr="00992869">
        <w:t>Here again, WMW continued past practice and included a</w:t>
      </w:r>
      <w:r w:rsidRPr="00992869">
        <w:t xml:space="preserve"> detailed depreciation schedule listing all used and useful assets held by Sno</w:t>
      </w:r>
      <w:r w:rsidRPr="00992869">
        <w:noBreakHyphen/>
        <w:t xml:space="preserve">King during the test period, including the date of purchase, the cost at purchase, the depreciable life, the salvage value, depreciation expense, and accumulated depreciation expense at the end of the test period. </w:t>
      </w:r>
      <w:r w:rsidR="0017164A" w:rsidRPr="00992869">
        <w:t xml:space="preserve"> Staff’s Response for the first time concedes that filing information be limited to only the assets utilized by the business unit that provides the services under the relevant tariff.  WMW is gratified to see that Staff agrees with its analysis, and that a depreciation schedule for all of WMW is not necessary.  Again, however, WMW believes that is what the rule says, that is how the rule has historically been implemented, and that is consistent with the policy objectives of the rate filing regulation.  As such, WMW should not have had to file a Petition to achieve this agreed-upon outcome.</w:t>
      </w:r>
    </w:p>
    <w:p w:rsidR="00676C4D" w:rsidRPr="00992869" w:rsidRDefault="00676C4D" w:rsidP="00676C4D">
      <w:pPr>
        <w:pStyle w:val="ParaNumbered"/>
      </w:pPr>
      <w:r w:rsidRPr="00992869">
        <w:t xml:space="preserve">WAC 480 07 520(4)(i):  </w:t>
      </w:r>
      <w:r w:rsidR="004928E3" w:rsidRPr="00992869">
        <w:t>WMW’s work papers c</w:t>
      </w:r>
      <w:r w:rsidRPr="00992869">
        <w:t>omputed average investment for Sno</w:t>
      </w:r>
      <w:r w:rsidRPr="00992869">
        <w:noBreakHyphen/>
        <w:t>King.</w:t>
      </w:r>
      <w:r w:rsidR="004928E3" w:rsidRPr="00992869">
        <w:t xml:space="preserve">  This is exactly what Staff is requesting in its proposed exemption, and what WMW has filed in work papers for past general rate requests.  Staff’s new interpretation of the rule would require an artificial analysis of the computed average investment for the entire Washington state operations of WMW.  </w:t>
      </w:r>
    </w:p>
    <w:p w:rsidR="00676C4D" w:rsidRPr="00793C58" w:rsidRDefault="00676C4D" w:rsidP="00676C4D">
      <w:pPr>
        <w:pStyle w:val="ParaNumbered"/>
      </w:pPr>
      <w:r w:rsidRPr="00793C58">
        <w:t xml:space="preserve">WAC 480 07 520(4)(j):  </w:t>
      </w:r>
      <w:r w:rsidR="004928E3" w:rsidRPr="00793C58">
        <w:t>Staff’s proposed exemption appears to be merely a restatement of the legal requirements involving affiliated interests.  Staff seeks information about affiliated interest transactions limited to “those between the business unit or units that provide services under the tariff that the Company is seeking to amend, on the one hand, and affiliates of WMW, including Waste Management, Inc., on the other.”  WMW fails to understand how this is an exemption.  With the Sno</w:t>
      </w:r>
      <w:r w:rsidR="004928E3" w:rsidRPr="00793C58">
        <w:noBreakHyphen/>
        <w:t>King filing, perpetuating past practice, WMW has included</w:t>
      </w:r>
      <w:r w:rsidRPr="00793C58">
        <w:t xml:space="preserve"> information about the allocations to Sno</w:t>
      </w:r>
      <w:r w:rsidRPr="00793C58">
        <w:noBreakHyphen/>
        <w:t xml:space="preserve">King of general and administrative costs from Waste Management, Inc. for </w:t>
      </w:r>
      <w:r w:rsidR="004928E3" w:rsidRPr="00793C58">
        <w:t xml:space="preserve">G&amp;A </w:t>
      </w:r>
      <w:r w:rsidRPr="00793C58">
        <w:t xml:space="preserve">services provided in its Corporate headquarters </w:t>
      </w:r>
      <w:r w:rsidR="004928E3" w:rsidRPr="00793C58">
        <w:t xml:space="preserve">in Houston and its </w:t>
      </w:r>
      <w:r w:rsidRPr="00793C58">
        <w:t>Western Group headquarters</w:t>
      </w:r>
      <w:r w:rsidR="004928E3" w:rsidRPr="00793C58">
        <w:t xml:space="preserve"> in Scottsdale</w:t>
      </w:r>
      <w:r w:rsidRPr="00793C58">
        <w:t xml:space="preserve">.  </w:t>
      </w:r>
      <w:r w:rsidR="00524E53" w:rsidRPr="00793C58">
        <w:t xml:space="preserve">WMW believes the regulation requires this analysis, and if so then an exemption is not necessary.  </w:t>
      </w:r>
      <w:r w:rsidRPr="00793C58">
        <w:t xml:space="preserve">Additionally, </w:t>
      </w:r>
      <w:r w:rsidR="00524E53" w:rsidRPr="00793C58">
        <w:t>t</w:t>
      </w:r>
      <w:r w:rsidRPr="00793C58">
        <w:t>he filing included information about G&amp;A allocated to Sno</w:t>
      </w:r>
      <w:r w:rsidRPr="00793C58">
        <w:noBreakHyphen/>
        <w:t>King by WMW for Market Area overhead and services</w:t>
      </w:r>
      <w:r w:rsidR="00524E53" w:rsidRPr="00793C58">
        <w:t>.  Although this Staff and WMW apparently agree that this is not an affiliated interest transaction, nonetheless WMW provided the information.</w:t>
      </w:r>
      <w:r w:rsidRPr="00793C58">
        <w:t xml:space="preserve">  </w:t>
      </w:r>
    </w:p>
    <w:p w:rsidR="00B710D5" w:rsidRDefault="002F6D6C" w:rsidP="000B7F0A">
      <w:pPr>
        <w:pStyle w:val="ParaNumbered"/>
      </w:pPr>
      <w:r>
        <w:t>For the past twenty years, apparently without regard to its corporate structure, WMW has been including information about the overhead allocations.</w:t>
      </w:r>
      <w:r w:rsidR="00032182">
        <w:t xml:space="preserve">  </w:t>
      </w:r>
      <w:r w:rsidR="003D3DC4">
        <w:t>WMW has consistently provided work papers that allow auditors to scrutinize how common costs are allocated</w:t>
      </w:r>
      <w:r w:rsidR="00032182">
        <w:t>, and to review intra-company transactions</w:t>
      </w:r>
      <w:r w:rsidR="003D3DC4">
        <w:t xml:space="preserve">.  </w:t>
      </w:r>
      <w:r w:rsidR="00D31FA8">
        <w:t>As discussed above, for the most part WMW finds the proposed exemption offered in Staff’s Response to be a fair assessment of the financial documentation necessary to support a general rate request for Sno</w:t>
      </w:r>
      <w:r w:rsidR="00D31FA8">
        <w:noBreakHyphen/>
        <w:t xml:space="preserve">King.  However, if the Commission concludes that an exemption is necessary, WMW submits that the terms of the proposed exemption </w:t>
      </w:r>
      <w:r w:rsidR="00032182">
        <w:t xml:space="preserve">should </w:t>
      </w:r>
      <w:r w:rsidR="00D31FA8">
        <w:t xml:space="preserve">be made generally applicable to its future filings.  To require a petition for a rule exemption for each filing would be administratively inefficient and costly to both the company and its rate payers.  If the exemption is conditioned on meeting the filing standards identified in Staff’s proposal, then unless there is a change of corporate circumstances, the </w:t>
      </w:r>
      <w:r w:rsidR="000B7F0A">
        <w:t>exemption should be applied not just in this filing, but in any future filings by WMW as well.</w:t>
      </w:r>
    </w:p>
    <w:p w:rsidR="007369C7" w:rsidRDefault="007369C7">
      <w:pPr>
        <w:keepNext/>
        <w:suppressAutoHyphens/>
        <w:spacing w:line="480" w:lineRule="exact"/>
        <w:ind w:firstLine="720"/>
      </w:pPr>
    </w:p>
    <w:p w:rsidR="007369C7" w:rsidRDefault="007369C7">
      <w:pPr>
        <w:keepNext/>
        <w:suppressAutoHyphens/>
        <w:spacing w:line="480" w:lineRule="exact"/>
        <w:ind w:firstLine="720"/>
        <w:rPr>
          <w:spacing w:val="-3"/>
        </w:rPr>
      </w:pPr>
      <w:r>
        <w:rPr>
          <w:spacing w:val="-3"/>
        </w:rPr>
        <w:t>DATED this _________day of __________________, 20</w:t>
      </w:r>
      <w:r w:rsidR="008B21D7">
        <w:rPr>
          <w:spacing w:val="-3"/>
        </w:rPr>
        <w:t>1</w:t>
      </w:r>
      <w:r>
        <w:rPr>
          <w:spacing w:val="-3"/>
        </w:rPr>
        <w:t>0.</w:t>
      </w:r>
    </w:p>
    <w:p w:rsidR="007369C7" w:rsidRDefault="007369C7">
      <w:pPr>
        <w:spacing w:line="240" w:lineRule="auto"/>
        <w:ind w:left="4717"/>
        <w:rPr>
          <w:spacing w:val="-3"/>
        </w:rPr>
      </w:pPr>
    </w:p>
    <w:p w:rsidR="007369C7" w:rsidRDefault="007369C7">
      <w:pPr>
        <w:spacing w:line="240" w:lineRule="auto"/>
        <w:ind w:left="4717"/>
        <w:rPr>
          <w:spacing w:val="-3"/>
        </w:rPr>
      </w:pPr>
    </w:p>
    <w:p w:rsidR="007369C7" w:rsidRDefault="007369C7">
      <w:pPr>
        <w:spacing w:line="240" w:lineRule="auto"/>
        <w:ind w:left="4717"/>
        <w:rPr>
          <w:spacing w:val="-3"/>
        </w:rPr>
      </w:pPr>
    </w:p>
    <w:p w:rsidR="007369C7" w:rsidRDefault="007369C7">
      <w:pPr>
        <w:tabs>
          <w:tab w:val="right" w:pos="9405"/>
        </w:tabs>
        <w:spacing w:line="240" w:lineRule="auto"/>
        <w:ind w:left="4717"/>
        <w:rPr>
          <w:spacing w:val="-3"/>
        </w:rPr>
      </w:pPr>
      <w:r>
        <w:rPr>
          <w:spacing w:val="-3"/>
        </w:rPr>
        <w:t xml:space="preserve">By </w:t>
      </w:r>
      <w:r>
        <w:rPr>
          <w:spacing w:val="-3"/>
          <w:u w:val="single"/>
        </w:rPr>
        <w:tab/>
      </w:r>
    </w:p>
    <w:p w:rsidR="007369C7" w:rsidRDefault="007369C7">
      <w:pPr>
        <w:spacing w:line="240" w:lineRule="auto"/>
        <w:ind w:left="5073"/>
        <w:rPr>
          <w:spacing w:val="-3"/>
        </w:rPr>
      </w:pPr>
      <w:r>
        <w:rPr>
          <w:spacing w:val="-3"/>
        </w:rPr>
        <w:t>Polly L. McNeill, WSBA # 17437</w:t>
      </w:r>
    </w:p>
    <w:p w:rsidR="007369C7" w:rsidRDefault="007369C7">
      <w:pPr>
        <w:spacing w:line="240" w:lineRule="auto"/>
        <w:ind w:left="5073"/>
        <w:rPr>
          <w:spacing w:val="-3"/>
        </w:rPr>
      </w:pPr>
      <w:r>
        <w:rPr>
          <w:spacing w:val="-3"/>
        </w:rPr>
        <w:t>SUMMIT LAW GROUP PLLC</w:t>
      </w:r>
    </w:p>
    <w:p w:rsidR="007369C7" w:rsidRDefault="007369C7">
      <w:pPr>
        <w:spacing w:line="240" w:lineRule="auto"/>
        <w:ind w:left="5073"/>
        <w:rPr>
          <w:spacing w:val="-3"/>
        </w:rPr>
      </w:pPr>
      <w:r>
        <w:rPr>
          <w:spacing w:val="-3"/>
        </w:rPr>
        <w:t>315 Fifth Avenue South, Suite 1000</w:t>
      </w:r>
    </w:p>
    <w:p w:rsidR="007369C7" w:rsidRDefault="007369C7">
      <w:pPr>
        <w:spacing w:line="240" w:lineRule="auto"/>
        <w:ind w:left="5073"/>
        <w:rPr>
          <w:spacing w:val="-3"/>
        </w:rPr>
      </w:pPr>
      <w:r>
        <w:rPr>
          <w:spacing w:val="-3"/>
        </w:rPr>
        <w:t>Seattle, WA  98104</w:t>
      </w:r>
    </w:p>
    <w:p w:rsidR="007369C7" w:rsidRDefault="007369C7">
      <w:pPr>
        <w:spacing w:line="240" w:lineRule="auto"/>
        <w:ind w:left="5073"/>
        <w:rPr>
          <w:spacing w:val="-3"/>
        </w:rPr>
      </w:pPr>
      <w:r>
        <w:rPr>
          <w:spacing w:val="-3"/>
        </w:rPr>
        <w:t>T:  (206) 676-7000</w:t>
      </w:r>
    </w:p>
    <w:p w:rsidR="007369C7" w:rsidRDefault="007369C7">
      <w:pPr>
        <w:spacing w:line="240" w:lineRule="auto"/>
        <w:ind w:left="5073"/>
        <w:rPr>
          <w:spacing w:val="-3"/>
        </w:rPr>
      </w:pPr>
      <w:r>
        <w:rPr>
          <w:spacing w:val="-3"/>
        </w:rPr>
        <w:t>F:  (206) 676-7001</w:t>
      </w:r>
    </w:p>
    <w:p w:rsidR="007369C7" w:rsidRDefault="007369C7">
      <w:pPr>
        <w:spacing w:line="240" w:lineRule="auto"/>
        <w:ind w:left="5073"/>
        <w:rPr>
          <w:spacing w:val="-3"/>
        </w:rPr>
      </w:pPr>
      <w:r>
        <w:rPr>
          <w:spacing w:val="-3"/>
        </w:rPr>
        <w:t xml:space="preserve">Attorneys for </w:t>
      </w:r>
      <w:r w:rsidR="00032182">
        <w:rPr>
          <w:spacing w:val="-3"/>
        </w:rPr>
        <w:t xml:space="preserve">Petitioner </w:t>
      </w:r>
      <w:r>
        <w:rPr>
          <w:spacing w:val="-3"/>
        </w:rPr>
        <w:t xml:space="preserve">Waste Management </w:t>
      </w:r>
      <w:r w:rsidR="00032182">
        <w:rPr>
          <w:spacing w:val="-3"/>
        </w:rPr>
        <w:t>of Washington</w:t>
      </w:r>
      <w:r>
        <w:rPr>
          <w:spacing w:val="-3"/>
        </w:rPr>
        <w:t>, Inc.</w:t>
      </w:r>
    </w:p>
    <w:p w:rsidR="007369C7" w:rsidRDefault="007369C7">
      <w:pPr>
        <w:spacing w:line="240" w:lineRule="auto"/>
        <w:ind w:left="5073"/>
        <w:rPr>
          <w:spacing w:val="-3"/>
          <w:szCs w:val="24"/>
        </w:rPr>
      </w:pPr>
    </w:p>
    <w:sectPr w:rsidR="007369C7" w:rsidSect="00BF039F">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584"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FB7" w:rsidRDefault="00DE3FB7">
      <w:r>
        <w:separator/>
      </w:r>
    </w:p>
  </w:endnote>
  <w:endnote w:type="continuationSeparator" w:id="0">
    <w:p w:rsidR="00DE3FB7" w:rsidRDefault="00DE3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10" w:rsidRDefault="00801E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DE3FB7">
      <w:trPr>
        <w:cantSplit/>
        <w:trHeight w:hRule="exact" w:val="1089"/>
      </w:trPr>
      <w:tc>
        <w:tcPr>
          <w:tcW w:w="5270" w:type="dxa"/>
        </w:tcPr>
        <w:p w:rsidR="00DE3FB7" w:rsidRDefault="00E5757D">
          <w:pPr>
            <w:spacing w:line="200" w:lineRule="exact"/>
            <w:rPr>
              <w:caps/>
              <w:sz w:val="20"/>
            </w:rPr>
          </w:pPr>
          <w:r>
            <w:rPr>
              <w:caps/>
              <w:sz w:val="20"/>
            </w:rPr>
            <w:fldChar w:fldCharType="begin"/>
          </w:r>
          <w:r w:rsidR="00DE3FB7">
            <w:rPr>
              <w:caps/>
              <w:sz w:val="20"/>
            </w:rPr>
            <w:instrText xml:space="preserve"> STYLEREF PleadingTitle \* CHARFORMAT </w:instrText>
          </w:r>
          <w:r>
            <w:rPr>
              <w:caps/>
              <w:sz w:val="20"/>
            </w:rPr>
            <w:fldChar w:fldCharType="separate"/>
          </w:r>
          <w:r w:rsidR="00EF6FFA">
            <w:rPr>
              <w:caps/>
              <w:noProof/>
              <w:sz w:val="20"/>
            </w:rPr>
            <w:t>petitioner’s reply to Commission staff’s response to Waste management of washington’s PETITION FOR RULE INTERPRETATION OR ALTERNATIVELY FOR MODIFICATION OR EXEMPTION</w:t>
          </w:r>
          <w:r>
            <w:rPr>
              <w:caps/>
              <w:noProof/>
              <w:sz w:val="20"/>
            </w:rPr>
            <w:fldChar w:fldCharType="end"/>
          </w:r>
          <w:r w:rsidR="00DE3FB7">
            <w:rPr>
              <w:caps/>
              <w:noProof/>
              <w:sz w:val="20"/>
            </w:rPr>
            <w:t> - </w:t>
          </w:r>
          <w:r>
            <w:rPr>
              <w:caps/>
              <w:noProof/>
              <w:sz w:val="20"/>
            </w:rPr>
            <w:fldChar w:fldCharType="begin"/>
          </w:r>
          <w:r w:rsidR="00DE3FB7">
            <w:rPr>
              <w:caps/>
              <w:sz w:val="20"/>
            </w:rPr>
            <w:instrText xml:space="preserve"> PAGE  \* MERGEFORMAT </w:instrText>
          </w:r>
          <w:r>
            <w:rPr>
              <w:caps/>
              <w:sz w:val="20"/>
            </w:rPr>
            <w:fldChar w:fldCharType="separate"/>
          </w:r>
          <w:r w:rsidR="00EF6FFA">
            <w:rPr>
              <w:caps/>
              <w:noProof/>
              <w:sz w:val="20"/>
            </w:rPr>
            <w:t>1</w:t>
          </w:r>
          <w:r>
            <w:rPr>
              <w:caps/>
              <w:sz w:val="20"/>
            </w:rPr>
            <w:fldChar w:fldCharType="end"/>
          </w:r>
        </w:p>
      </w:tc>
      <w:tc>
        <w:tcPr>
          <w:tcW w:w="875" w:type="dxa"/>
        </w:tcPr>
        <w:p w:rsidR="00DE3FB7" w:rsidRDefault="00DE3FB7"/>
      </w:tc>
      <w:tc>
        <w:tcPr>
          <w:tcW w:w="3510" w:type="dxa"/>
        </w:tcPr>
        <w:p w:rsidR="00DE3FB7" w:rsidRDefault="00DE3FB7">
          <w:pPr>
            <w:pStyle w:val="FirmName"/>
            <w:spacing w:line="240" w:lineRule="auto"/>
            <w:rPr>
              <w:rFonts w:ascii="Garamond" w:hAnsi="Garamond"/>
              <w:smallCaps/>
              <w:sz w:val="28"/>
            </w:rPr>
          </w:pPr>
          <w:bookmarkStart w:id="2" w:name="FirmName"/>
          <w:bookmarkEnd w:id="2"/>
          <w:r>
            <w:rPr>
              <w:rFonts w:ascii="Garamond" w:hAnsi="Garamond"/>
              <w:smallCaps/>
              <w:sz w:val="28"/>
            </w:rPr>
            <w:t>Summit Law Group pllc</w:t>
          </w:r>
        </w:p>
        <w:p w:rsidR="00DE3FB7" w:rsidRDefault="00DE3FB7">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DE3FB7" w:rsidRDefault="00DE3FB7">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DE3FB7" w:rsidRDefault="00DE3FB7">
          <w:pPr>
            <w:pStyle w:val="FirmName"/>
            <w:spacing w:line="240" w:lineRule="auto"/>
            <w:rPr>
              <w:rFonts w:ascii="Garamond" w:hAnsi="Garamond"/>
              <w:sz w:val="16"/>
            </w:rPr>
          </w:pPr>
          <w:r>
            <w:rPr>
              <w:rFonts w:ascii="Garamond" w:hAnsi="Garamond"/>
              <w:sz w:val="16"/>
            </w:rPr>
            <w:t>Telephone:  (206) 676-7000</w:t>
          </w:r>
        </w:p>
        <w:p w:rsidR="00DE3FB7" w:rsidRDefault="00DE3FB7">
          <w:pPr>
            <w:jc w:val="center"/>
            <w:rPr>
              <w:rFonts w:ascii="Garamond" w:hAnsi="Garamond"/>
              <w:sz w:val="16"/>
            </w:rPr>
          </w:pPr>
          <w:r>
            <w:rPr>
              <w:rFonts w:ascii="Garamond" w:hAnsi="Garamond"/>
              <w:sz w:val="16"/>
            </w:rPr>
            <w:t>Fax:   (206) 676-7001</w:t>
          </w:r>
        </w:p>
      </w:tc>
    </w:tr>
  </w:tbl>
  <w:p w:rsidR="00DE3FB7" w:rsidRDefault="00DE3FB7">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10" w:rsidRDefault="00801E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FB7" w:rsidRDefault="00DE3FB7">
      <w:r>
        <w:separator/>
      </w:r>
    </w:p>
  </w:footnote>
  <w:footnote w:type="continuationSeparator" w:id="0">
    <w:p w:rsidR="00DE3FB7" w:rsidRDefault="00DE3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10" w:rsidRDefault="00801E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FB7" w:rsidRDefault="00E5757D">
    <w:pPr>
      <w:pStyle w:val="Header"/>
      <w:tabs>
        <w:tab w:val="clear" w:pos="4320"/>
        <w:tab w:val="clear" w:pos="8640"/>
      </w:tabs>
    </w:pPr>
    <w:r>
      <w:rPr>
        <w:noProof/>
      </w:rPr>
      <w:pict>
        <v:line id="RightBorder" o:spid="_x0000_s2051" style="position:absolute;z-index:251658240;mso-position-horizontal-relative:margin;mso-position-vertical-relative:page" from="480.6pt,-.6pt" to="480.6pt,791.4pt" o:allowincell="f">
          <w10:wrap anchorx="margin" anchory="page"/>
        </v:line>
      </w:pict>
    </w:r>
    <w:r>
      <w:rPr>
        <w:noProof/>
      </w:rP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DE3FB7" w:rsidRDefault="00DE3FB7">
                <w:pPr>
                  <w:pStyle w:val="LineNumbers"/>
                </w:pPr>
                <w:r>
                  <w:t>1</w:t>
                </w:r>
              </w:p>
              <w:p w:rsidR="00DE3FB7" w:rsidRDefault="00DE3FB7">
                <w:pPr>
                  <w:pStyle w:val="LineNumbers"/>
                </w:pPr>
                <w:r>
                  <w:t>2</w:t>
                </w:r>
              </w:p>
              <w:p w:rsidR="00DE3FB7" w:rsidRDefault="00DE3FB7">
                <w:pPr>
                  <w:pStyle w:val="LineNumbers"/>
                </w:pPr>
                <w:r>
                  <w:t>3</w:t>
                </w:r>
              </w:p>
              <w:p w:rsidR="00DE3FB7" w:rsidRDefault="00DE3FB7">
                <w:pPr>
                  <w:pStyle w:val="LineNumbers"/>
                </w:pPr>
                <w:r>
                  <w:t>4</w:t>
                </w:r>
              </w:p>
              <w:p w:rsidR="00DE3FB7" w:rsidRDefault="00DE3FB7">
                <w:pPr>
                  <w:pStyle w:val="LineNumbers"/>
                </w:pPr>
                <w:r>
                  <w:t>5</w:t>
                </w:r>
              </w:p>
              <w:p w:rsidR="00DE3FB7" w:rsidRDefault="00DE3FB7">
                <w:pPr>
                  <w:pStyle w:val="LineNumbers"/>
                </w:pPr>
                <w:r>
                  <w:t>6</w:t>
                </w:r>
              </w:p>
              <w:p w:rsidR="00DE3FB7" w:rsidRDefault="00DE3FB7">
                <w:pPr>
                  <w:pStyle w:val="LineNumbers"/>
                </w:pPr>
                <w:r>
                  <w:t>7</w:t>
                </w:r>
              </w:p>
              <w:p w:rsidR="00DE3FB7" w:rsidRDefault="00DE3FB7">
                <w:pPr>
                  <w:pStyle w:val="LineNumbers"/>
                </w:pPr>
                <w:r>
                  <w:t>8</w:t>
                </w:r>
              </w:p>
              <w:p w:rsidR="00DE3FB7" w:rsidRDefault="00DE3FB7">
                <w:pPr>
                  <w:pStyle w:val="LineNumbers"/>
                </w:pPr>
                <w:r>
                  <w:t>9</w:t>
                </w:r>
              </w:p>
              <w:p w:rsidR="00DE3FB7" w:rsidRDefault="00DE3FB7">
                <w:pPr>
                  <w:pStyle w:val="LineNumbers"/>
                </w:pPr>
                <w:r>
                  <w:t>10</w:t>
                </w:r>
              </w:p>
              <w:p w:rsidR="00DE3FB7" w:rsidRDefault="00DE3FB7">
                <w:pPr>
                  <w:pStyle w:val="LineNumbers"/>
                </w:pPr>
                <w:r>
                  <w:t>11</w:t>
                </w:r>
              </w:p>
              <w:p w:rsidR="00DE3FB7" w:rsidRDefault="00DE3FB7">
                <w:pPr>
                  <w:pStyle w:val="LineNumbers"/>
                </w:pPr>
                <w:r>
                  <w:t>12</w:t>
                </w:r>
              </w:p>
              <w:p w:rsidR="00DE3FB7" w:rsidRDefault="00DE3FB7">
                <w:pPr>
                  <w:pStyle w:val="LineNumbers"/>
                </w:pPr>
                <w:r>
                  <w:t>13</w:t>
                </w:r>
              </w:p>
              <w:p w:rsidR="00DE3FB7" w:rsidRDefault="00DE3FB7">
                <w:pPr>
                  <w:pStyle w:val="LineNumbers"/>
                </w:pPr>
                <w:r>
                  <w:t>14</w:t>
                </w:r>
              </w:p>
              <w:p w:rsidR="00DE3FB7" w:rsidRDefault="00DE3FB7">
                <w:pPr>
                  <w:pStyle w:val="LineNumbers"/>
                </w:pPr>
                <w:r>
                  <w:t>15</w:t>
                </w:r>
              </w:p>
              <w:p w:rsidR="00DE3FB7" w:rsidRDefault="00DE3FB7">
                <w:pPr>
                  <w:pStyle w:val="LineNumbers"/>
                </w:pPr>
                <w:r>
                  <w:t>16</w:t>
                </w:r>
              </w:p>
              <w:p w:rsidR="00DE3FB7" w:rsidRDefault="00DE3FB7">
                <w:pPr>
                  <w:pStyle w:val="LineNumbers"/>
                </w:pPr>
                <w:r>
                  <w:t>17</w:t>
                </w:r>
              </w:p>
              <w:p w:rsidR="00DE3FB7" w:rsidRDefault="00DE3FB7">
                <w:pPr>
                  <w:pStyle w:val="LineNumbers"/>
                </w:pPr>
                <w:r>
                  <w:t>18</w:t>
                </w:r>
              </w:p>
              <w:p w:rsidR="00DE3FB7" w:rsidRDefault="00DE3FB7">
                <w:pPr>
                  <w:pStyle w:val="LineNumbers"/>
                </w:pPr>
                <w:r>
                  <w:t>19</w:t>
                </w:r>
              </w:p>
              <w:p w:rsidR="00DE3FB7" w:rsidRDefault="00DE3FB7">
                <w:pPr>
                  <w:pStyle w:val="LineNumbers"/>
                </w:pPr>
                <w:r>
                  <w:t>20</w:t>
                </w:r>
              </w:p>
              <w:p w:rsidR="00DE3FB7" w:rsidRDefault="00DE3FB7">
                <w:pPr>
                  <w:pStyle w:val="LineNumbers"/>
                </w:pPr>
                <w:r>
                  <w:t>21</w:t>
                </w:r>
              </w:p>
              <w:p w:rsidR="00DE3FB7" w:rsidRDefault="00DE3FB7">
                <w:pPr>
                  <w:pStyle w:val="LineNumbers"/>
                </w:pPr>
                <w:r>
                  <w:t>22</w:t>
                </w:r>
              </w:p>
              <w:p w:rsidR="00DE3FB7" w:rsidRDefault="00DE3FB7">
                <w:pPr>
                  <w:pStyle w:val="LineNumbers"/>
                </w:pPr>
                <w:r>
                  <w:t>23</w:t>
                </w:r>
              </w:p>
              <w:p w:rsidR="00DE3FB7" w:rsidRDefault="00DE3FB7">
                <w:pPr>
                  <w:pStyle w:val="LineNumbers"/>
                </w:pPr>
                <w:r>
                  <w:t>24</w:t>
                </w:r>
              </w:p>
              <w:p w:rsidR="00DE3FB7" w:rsidRDefault="00DE3FB7">
                <w:pPr>
                  <w:pStyle w:val="LineNumbers"/>
                </w:pPr>
                <w:r>
                  <w:t>25</w:t>
                </w:r>
              </w:p>
              <w:p w:rsidR="00DE3FB7" w:rsidRDefault="00DE3FB7">
                <w:pPr>
                  <w:pStyle w:val="LineNumbers"/>
                </w:pPr>
                <w:r>
                  <w:t>26</w:t>
                </w:r>
              </w:p>
            </w:txbxContent>
          </v:textbox>
          <w10:wrap anchorx="margin" anchory="margin"/>
        </v:shape>
      </w:pict>
    </w:r>
    <w:r>
      <w:rPr>
        <w:noProof/>
      </w:rPr>
      <w:pict>
        <v:line id="LeftBorder2" o:spid="_x0000_s2050" style="position:absolute;z-index:251657216;mso-position-horizontal-relative:margin;mso-position-vertical-relative:page" from="-7.2pt,0" to="-7.2pt,11in">
          <w10:wrap anchorx="margin" anchory="page"/>
        </v:line>
      </w:pict>
    </w:r>
    <w:r>
      <w:rPr>
        <w:noProof/>
      </w:rP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10" w:rsidRDefault="00801E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3E14E3B2">
      <w:start w:val="1"/>
      <w:numFmt w:val="bullet"/>
      <w:lvlText w:val=""/>
      <w:lvlJc w:val="left"/>
      <w:pPr>
        <w:tabs>
          <w:tab w:val="num" w:pos="1440"/>
        </w:tabs>
        <w:ind w:left="1440" w:hanging="360"/>
      </w:pPr>
      <w:rPr>
        <w:rFonts w:ascii="Symbol" w:hAnsi="Symbol" w:hint="default"/>
      </w:rPr>
    </w:lvl>
    <w:lvl w:ilvl="1" w:tplc="CB90D372" w:tentative="1">
      <w:start w:val="1"/>
      <w:numFmt w:val="bullet"/>
      <w:lvlText w:val="o"/>
      <w:lvlJc w:val="left"/>
      <w:pPr>
        <w:tabs>
          <w:tab w:val="num" w:pos="2160"/>
        </w:tabs>
        <w:ind w:left="2160" w:hanging="360"/>
      </w:pPr>
      <w:rPr>
        <w:rFonts w:ascii="Courier New" w:hAnsi="Courier New" w:cs="Courier New" w:hint="default"/>
      </w:rPr>
    </w:lvl>
    <w:lvl w:ilvl="2" w:tplc="50820B80" w:tentative="1">
      <w:start w:val="1"/>
      <w:numFmt w:val="bullet"/>
      <w:lvlText w:val=""/>
      <w:lvlJc w:val="left"/>
      <w:pPr>
        <w:tabs>
          <w:tab w:val="num" w:pos="2880"/>
        </w:tabs>
        <w:ind w:left="2880" w:hanging="360"/>
      </w:pPr>
      <w:rPr>
        <w:rFonts w:ascii="Wingdings" w:hAnsi="Wingdings" w:hint="default"/>
      </w:rPr>
    </w:lvl>
    <w:lvl w:ilvl="3" w:tplc="6CC89578" w:tentative="1">
      <w:start w:val="1"/>
      <w:numFmt w:val="bullet"/>
      <w:lvlText w:val=""/>
      <w:lvlJc w:val="left"/>
      <w:pPr>
        <w:tabs>
          <w:tab w:val="num" w:pos="3600"/>
        </w:tabs>
        <w:ind w:left="3600" w:hanging="360"/>
      </w:pPr>
      <w:rPr>
        <w:rFonts w:ascii="Symbol" w:hAnsi="Symbol" w:hint="default"/>
      </w:rPr>
    </w:lvl>
    <w:lvl w:ilvl="4" w:tplc="9E106D64" w:tentative="1">
      <w:start w:val="1"/>
      <w:numFmt w:val="bullet"/>
      <w:lvlText w:val="o"/>
      <w:lvlJc w:val="left"/>
      <w:pPr>
        <w:tabs>
          <w:tab w:val="num" w:pos="4320"/>
        </w:tabs>
        <w:ind w:left="4320" w:hanging="360"/>
      </w:pPr>
      <w:rPr>
        <w:rFonts w:ascii="Courier New" w:hAnsi="Courier New" w:cs="Courier New" w:hint="default"/>
      </w:rPr>
    </w:lvl>
    <w:lvl w:ilvl="5" w:tplc="FCC6CCCA" w:tentative="1">
      <w:start w:val="1"/>
      <w:numFmt w:val="bullet"/>
      <w:lvlText w:val=""/>
      <w:lvlJc w:val="left"/>
      <w:pPr>
        <w:tabs>
          <w:tab w:val="num" w:pos="5040"/>
        </w:tabs>
        <w:ind w:left="5040" w:hanging="360"/>
      </w:pPr>
      <w:rPr>
        <w:rFonts w:ascii="Wingdings" w:hAnsi="Wingdings" w:hint="default"/>
      </w:rPr>
    </w:lvl>
    <w:lvl w:ilvl="6" w:tplc="E1E0EB74" w:tentative="1">
      <w:start w:val="1"/>
      <w:numFmt w:val="bullet"/>
      <w:lvlText w:val=""/>
      <w:lvlJc w:val="left"/>
      <w:pPr>
        <w:tabs>
          <w:tab w:val="num" w:pos="5760"/>
        </w:tabs>
        <w:ind w:left="5760" w:hanging="360"/>
      </w:pPr>
      <w:rPr>
        <w:rFonts w:ascii="Symbol" w:hAnsi="Symbol" w:hint="default"/>
      </w:rPr>
    </w:lvl>
    <w:lvl w:ilvl="7" w:tplc="869C9E74" w:tentative="1">
      <w:start w:val="1"/>
      <w:numFmt w:val="bullet"/>
      <w:lvlText w:val="o"/>
      <w:lvlJc w:val="left"/>
      <w:pPr>
        <w:tabs>
          <w:tab w:val="num" w:pos="6480"/>
        </w:tabs>
        <w:ind w:left="6480" w:hanging="360"/>
      </w:pPr>
      <w:rPr>
        <w:rFonts w:ascii="Courier New" w:hAnsi="Courier New" w:cs="Courier New" w:hint="default"/>
      </w:rPr>
    </w:lvl>
    <w:lvl w:ilvl="8" w:tplc="3FE23F02" w:tentative="1">
      <w:start w:val="1"/>
      <w:numFmt w:val="bullet"/>
      <w:lvlText w:val=""/>
      <w:lvlJc w:val="left"/>
      <w:pPr>
        <w:tabs>
          <w:tab w:val="num" w:pos="7200"/>
        </w:tabs>
        <w:ind w:left="7200" w:hanging="360"/>
      </w:pPr>
      <w:rPr>
        <w:rFonts w:ascii="Wingdings" w:hAnsi="Wingdings" w:hint="default"/>
      </w:rPr>
    </w:lvl>
  </w:abstractNum>
  <w:abstractNum w:abstractNumId="12">
    <w:nsid w:val="1E902ABD"/>
    <w:multiLevelType w:val="hybridMultilevel"/>
    <w:tmpl w:val="34EEDA58"/>
    <w:lvl w:ilvl="0" w:tplc="F59AAE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185AF5"/>
    <w:multiLevelType w:val="hybridMultilevel"/>
    <w:tmpl w:val="69A67F32"/>
    <w:lvl w:ilvl="0" w:tplc="45566072">
      <w:start w:val="1"/>
      <w:numFmt w:val="upperLetter"/>
      <w:pStyle w:val="ParaAlpha"/>
      <w:lvlText w:val="%1."/>
      <w:lvlJc w:val="left"/>
      <w:pPr>
        <w:tabs>
          <w:tab w:val="num" w:pos="0"/>
        </w:tabs>
        <w:ind w:left="0" w:firstLine="720"/>
      </w:pPr>
      <w:rPr>
        <w:rFonts w:cs="Arial" w:hint="default"/>
        <w:bCs w:val="0"/>
        <w:iCs w:val="0"/>
        <w:color w:val="auto"/>
        <w:szCs w:val="24"/>
      </w:rPr>
    </w:lvl>
    <w:lvl w:ilvl="1" w:tplc="6DD4E8C4" w:tentative="1">
      <w:start w:val="1"/>
      <w:numFmt w:val="lowerLetter"/>
      <w:lvlText w:val="%2."/>
      <w:lvlJc w:val="left"/>
      <w:pPr>
        <w:tabs>
          <w:tab w:val="num" w:pos="1440"/>
        </w:tabs>
        <w:ind w:left="1440" w:hanging="360"/>
      </w:pPr>
    </w:lvl>
    <w:lvl w:ilvl="2" w:tplc="56EC1C14" w:tentative="1">
      <w:start w:val="1"/>
      <w:numFmt w:val="lowerRoman"/>
      <w:lvlText w:val="%3."/>
      <w:lvlJc w:val="right"/>
      <w:pPr>
        <w:tabs>
          <w:tab w:val="num" w:pos="2160"/>
        </w:tabs>
        <w:ind w:left="2160" w:hanging="180"/>
      </w:pPr>
    </w:lvl>
    <w:lvl w:ilvl="3" w:tplc="7470735C" w:tentative="1">
      <w:start w:val="1"/>
      <w:numFmt w:val="decimal"/>
      <w:lvlText w:val="%4."/>
      <w:lvlJc w:val="left"/>
      <w:pPr>
        <w:tabs>
          <w:tab w:val="num" w:pos="2880"/>
        </w:tabs>
        <w:ind w:left="2880" w:hanging="360"/>
      </w:pPr>
    </w:lvl>
    <w:lvl w:ilvl="4" w:tplc="28025604" w:tentative="1">
      <w:start w:val="1"/>
      <w:numFmt w:val="lowerLetter"/>
      <w:lvlText w:val="%5."/>
      <w:lvlJc w:val="left"/>
      <w:pPr>
        <w:tabs>
          <w:tab w:val="num" w:pos="3600"/>
        </w:tabs>
        <w:ind w:left="3600" w:hanging="360"/>
      </w:pPr>
    </w:lvl>
    <w:lvl w:ilvl="5" w:tplc="73586DD2" w:tentative="1">
      <w:start w:val="1"/>
      <w:numFmt w:val="lowerRoman"/>
      <w:lvlText w:val="%6."/>
      <w:lvlJc w:val="right"/>
      <w:pPr>
        <w:tabs>
          <w:tab w:val="num" w:pos="4320"/>
        </w:tabs>
        <w:ind w:left="4320" w:hanging="180"/>
      </w:pPr>
    </w:lvl>
    <w:lvl w:ilvl="6" w:tplc="AA3689BE" w:tentative="1">
      <w:start w:val="1"/>
      <w:numFmt w:val="decimal"/>
      <w:lvlText w:val="%7."/>
      <w:lvlJc w:val="left"/>
      <w:pPr>
        <w:tabs>
          <w:tab w:val="num" w:pos="5040"/>
        </w:tabs>
        <w:ind w:left="5040" w:hanging="360"/>
      </w:pPr>
    </w:lvl>
    <w:lvl w:ilvl="7" w:tplc="A44ED71E" w:tentative="1">
      <w:start w:val="1"/>
      <w:numFmt w:val="lowerLetter"/>
      <w:lvlText w:val="%8."/>
      <w:lvlJc w:val="left"/>
      <w:pPr>
        <w:tabs>
          <w:tab w:val="num" w:pos="5760"/>
        </w:tabs>
        <w:ind w:left="5760" w:hanging="360"/>
      </w:pPr>
    </w:lvl>
    <w:lvl w:ilvl="8" w:tplc="181AE75E" w:tentative="1">
      <w:start w:val="1"/>
      <w:numFmt w:val="lowerRoman"/>
      <w:lvlText w:val="%9."/>
      <w:lvlJc w:val="right"/>
      <w:pPr>
        <w:tabs>
          <w:tab w:val="num" w:pos="6480"/>
        </w:tabs>
        <w:ind w:left="6480" w:hanging="180"/>
      </w:pPr>
    </w:lvl>
  </w:abstractNum>
  <w:abstractNum w:abstractNumId="14">
    <w:nsid w:val="25AD1184"/>
    <w:multiLevelType w:val="hybridMultilevel"/>
    <w:tmpl w:val="FC34FDD4"/>
    <w:lvl w:ilvl="0" w:tplc="9FD0817E">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6">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8">
    <w:nsid w:val="3C5B2245"/>
    <w:multiLevelType w:val="hybridMultilevel"/>
    <w:tmpl w:val="5C523904"/>
    <w:lvl w:ilvl="0" w:tplc="6B90E3F4">
      <w:start w:val="1"/>
      <w:numFmt w:val="upperRoman"/>
      <w:lvlText w:val="%1."/>
      <w:lvlJc w:val="left"/>
      <w:pPr>
        <w:tabs>
          <w:tab w:val="num" w:pos="1080"/>
        </w:tabs>
        <w:ind w:left="1080" w:hanging="720"/>
      </w:pPr>
      <w:rPr>
        <w:rFonts w:hint="default"/>
      </w:rPr>
    </w:lvl>
    <w:lvl w:ilvl="1" w:tplc="CDB8B922" w:tentative="1">
      <w:start w:val="1"/>
      <w:numFmt w:val="lowerLetter"/>
      <w:lvlText w:val="%2."/>
      <w:lvlJc w:val="left"/>
      <w:pPr>
        <w:tabs>
          <w:tab w:val="num" w:pos="1440"/>
        </w:tabs>
        <w:ind w:left="1440" w:hanging="360"/>
      </w:pPr>
    </w:lvl>
    <w:lvl w:ilvl="2" w:tplc="F1D63C0A" w:tentative="1">
      <w:start w:val="1"/>
      <w:numFmt w:val="lowerRoman"/>
      <w:lvlText w:val="%3."/>
      <w:lvlJc w:val="right"/>
      <w:pPr>
        <w:tabs>
          <w:tab w:val="num" w:pos="2160"/>
        </w:tabs>
        <w:ind w:left="2160" w:hanging="180"/>
      </w:pPr>
    </w:lvl>
    <w:lvl w:ilvl="3" w:tplc="9AF07584" w:tentative="1">
      <w:start w:val="1"/>
      <w:numFmt w:val="decimal"/>
      <w:lvlText w:val="%4."/>
      <w:lvlJc w:val="left"/>
      <w:pPr>
        <w:tabs>
          <w:tab w:val="num" w:pos="2880"/>
        </w:tabs>
        <w:ind w:left="2880" w:hanging="360"/>
      </w:pPr>
    </w:lvl>
    <w:lvl w:ilvl="4" w:tplc="C1322C88" w:tentative="1">
      <w:start w:val="1"/>
      <w:numFmt w:val="lowerLetter"/>
      <w:lvlText w:val="%5."/>
      <w:lvlJc w:val="left"/>
      <w:pPr>
        <w:tabs>
          <w:tab w:val="num" w:pos="3600"/>
        </w:tabs>
        <w:ind w:left="3600" w:hanging="360"/>
      </w:pPr>
    </w:lvl>
    <w:lvl w:ilvl="5" w:tplc="A94065DC" w:tentative="1">
      <w:start w:val="1"/>
      <w:numFmt w:val="lowerRoman"/>
      <w:lvlText w:val="%6."/>
      <w:lvlJc w:val="right"/>
      <w:pPr>
        <w:tabs>
          <w:tab w:val="num" w:pos="4320"/>
        </w:tabs>
        <w:ind w:left="4320" w:hanging="180"/>
      </w:pPr>
    </w:lvl>
    <w:lvl w:ilvl="6" w:tplc="19448A6A" w:tentative="1">
      <w:start w:val="1"/>
      <w:numFmt w:val="decimal"/>
      <w:lvlText w:val="%7."/>
      <w:lvlJc w:val="left"/>
      <w:pPr>
        <w:tabs>
          <w:tab w:val="num" w:pos="5040"/>
        </w:tabs>
        <w:ind w:left="5040" w:hanging="360"/>
      </w:pPr>
    </w:lvl>
    <w:lvl w:ilvl="7" w:tplc="ACD63B4A" w:tentative="1">
      <w:start w:val="1"/>
      <w:numFmt w:val="lowerLetter"/>
      <w:lvlText w:val="%8."/>
      <w:lvlJc w:val="left"/>
      <w:pPr>
        <w:tabs>
          <w:tab w:val="num" w:pos="5760"/>
        </w:tabs>
        <w:ind w:left="5760" w:hanging="360"/>
      </w:pPr>
    </w:lvl>
    <w:lvl w:ilvl="8" w:tplc="DA8A6768" w:tentative="1">
      <w:start w:val="1"/>
      <w:numFmt w:val="lowerRoman"/>
      <w:lvlText w:val="%9."/>
      <w:lvlJc w:val="right"/>
      <w:pPr>
        <w:tabs>
          <w:tab w:val="num" w:pos="6480"/>
        </w:tabs>
        <w:ind w:left="6480" w:hanging="180"/>
      </w:pPr>
    </w:lvl>
  </w:abstractNum>
  <w:abstractNum w:abstractNumId="19">
    <w:nsid w:val="3D441A45"/>
    <w:multiLevelType w:val="multilevel"/>
    <w:tmpl w:val="3C7AA14A"/>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w:hAnsi="Times New Roman" w:hint="default"/>
        <w:b/>
        <w:i w:val="0"/>
        <w:sz w:val="24"/>
      </w:rPr>
    </w:lvl>
    <w:lvl w:ilvl="4">
      <w:start w:val="1"/>
      <w:numFmt w:val="lowerRoman"/>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0">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1">
    <w:nsid w:val="5A9137D1"/>
    <w:multiLevelType w:val="hybridMultilevel"/>
    <w:tmpl w:val="7AC08192"/>
    <w:lvl w:ilvl="0" w:tplc="F27E931A">
      <w:start w:val="1"/>
      <w:numFmt w:val="decimal"/>
      <w:lvlRestart w:val="0"/>
      <w:lvlText w:val="%1."/>
      <w:lvlJc w:val="left"/>
      <w:pPr>
        <w:tabs>
          <w:tab w:val="num" w:pos="1080"/>
        </w:tabs>
        <w:ind w:left="0" w:firstLine="720"/>
      </w:pPr>
      <w:rPr>
        <w:rFonts w:hint="default"/>
      </w:rPr>
    </w:lvl>
    <w:lvl w:ilvl="1" w:tplc="DBB65E1A" w:tentative="1">
      <w:start w:val="1"/>
      <w:numFmt w:val="lowerLetter"/>
      <w:lvlText w:val="%2."/>
      <w:lvlJc w:val="left"/>
      <w:pPr>
        <w:tabs>
          <w:tab w:val="num" w:pos="1440"/>
        </w:tabs>
        <w:ind w:left="1440" w:hanging="360"/>
      </w:pPr>
    </w:lvl>
    <w:lvl w:ilvl="2" w:tplc="6520F438" w:tentative="1">
      <w:start w:val="1"/>
      <w:numFmt w:val="lowerRoman"/>
      <w:lvlText w:val="%3."/>
      <w:lvlJc w:val="right"/>
      <w:pPr>
        <w:tabs>
          <w:tab w:val="num" w:pos="2160"/>
        </w:tabs>
        <w:ind w:left="2160" w:hanging="180"/>
      </w:pPr>
    </w:lvl>
    <w:lvl w:ilvl="3" w:tplc="87DA17DA" w:tentative="1">
      <w:start w:val="1"/>
      <w:numFmt w:val="decimal"/>
      <w:lvlText w:val="%4."/>
      <w:lvlJc w:val="left"/>
      <w:pPr>
        <w:tabs>
          <w:tab w:val="num" w:pos="2880"/>
        </w:tabs>
        <w:ind w:left="2880" w:hanging="360"/>
      </w:pPr>
    </w:lvl>
    <w:lvl w:ilvl="4" w:tplc="83BE85EE" w:tentative="1">
      <w:start w:val="1"/>
      <w:numFmt w:val="lowerLetter"/>
      <w:lvlText w:val="%5."/>
      <w:lvlJc w:val="left"/>
      <w:pPr>
        <w:tabs>
          <w:tab w:val="num" w:pos="3600"/>
        </w:tabs>
        <w:ind w:left="3600" w:hanging="360"/>
      </w:pPr>
    </w:lvl>
    <w:lvl w:ilvl="5" w:tplc="70E0C306" w:tentative="1">
      <w:start w:val="1"/>
      <w:numFmt w:val="lowerRoman"/>
      <w:lvlText w:val="%6."/>
      <w:lvlJc w:val="right"/>
      <w:pPr>
        <w:tabs>
          <w:tab w:val="num" w:pos="4320"/>
        </w:tabs>
        <w:ind w:left="4320" w:hanging="180"/>
      </w:pPr>
    </w:lvl>
    <w:lvl w:ilvl="6" w:tplc="458A4C82" w:tentative="1">
      <w:start w:val="1"/>
      <w:numFmt w:val="decimal"/>
      <w:lvlText w:val="%7."/>
      <w:lvlJc w:val="left"/>
      <w:pPr>
        <w:tabs>
          <w:tab w:val="num" w:pos="5040"/>
        </w:tabs>
        <w:ind w:left="5040" w:hanging="360"/>
      </w:pPr>
    </w:lvl>
    <w:lvl w:ilvl="7" w:tplc="9B907A02" w:tentative="1">
      <w:start w:val="1"/>
      <w:numFmt w:val="lowerLetter"/>
      <w:lvlText w:val="%8."/>
      <w:lvlJc w:val="left"/>
      <w:pPr>
        <w:tabs>
          <w:tab w:val="num" w:pos="5760"/>
        </w:tabs>
        <w:ind w:left="5760" w:hanging="360"/>
      </w:pPr>
    </w:lvl>
    <w:lvl w:ilvl="8" w:tplc="43E410CA" w:tentative="1">
      <w:start w:val="1"/>
      <w:numFmt w:val="lowerRoman"/>
      <w:lvlText w:val="%9."/>
      <w:lvlJc w:val="right"/>
      <w:pPr>
        <w:tabs>
          <w:tab w:val="num" w:pos="6480"/>
        </w:tabs>
        <w:ind w:left="6480" w:hanging="180"/>
      </w:pPr>
    </w:lvl>
  </w:abstractNum>
  <w:abstractNum w:abstractNumId="22">
    <w:nsid w:val="5D2A69CC"/>
    <w:multiLevelType w:val="hybridMultilevel"/>
    <w:tmpl w:val="246234F2"/>
    <w:lvl w:ilvl="0" w:tplc="3EFA7F54">
      <w:start w:val="1"/>
      <w:numFmt w:val="upperLetter"/>
      <w:lvlText w:val="%1."/>
      <w:lvlJc w:val="left"/>
      <w:pPr>
        <w:tabs>
          <w:tab w:val="num" w:pos="720"/>
        </w:tabs>
        <w:ind w:left="720" w:hanging="360"/>
      </w:pPr>
      <w:rPr>
        <w:rFonts w:hint="default"/>
      </w:rPr>
    </w:lvl>
    <w:lvl w:ilvl="1" w:tplc="366299B2">
      <w:start w:val="1"/>
      <w:numFmt w:val="decimal"/>
      <w:lvlText w:val="%2."/>
      <w:lvlJc w:val="left"/>
      <w:pPr>
        <w:tabs>
          <w:tab w:val="num" w:pos="1440"/>
        </w:tabs>
        <w:ind w:left="1440" w:hanging="360"/>
      </w:pPr>
      <w:rPr>
        <w:rFonts w:hint="default"/>
      </w:rPr>
    </w:lvl>
    <w:lvl w:ilvl="2" w:tplc="D218715A">
      <w:start w:val="1"/>
      <w:numFmt w:val="lowerLetter"/>
      <w:lvlText w:val="(%3)"/>
      <w:lvlJc w:val="left"/>
      <w:pPr>
        <w:tabs>
          <w:tab w:val="num" w:pos="2340"/>
        </w:tabs>
        <w:ind w:left="2340" w:hanging="360"/>
      </w:pPr>
      <w:rPr>
        <w:rFonts w:hint="default"/>
      </w:rPr>
    </w:lvl>
    <w:lvl w:ilvl="3" w:tplc="E918F69A" w:tentative="1">
      <w:start w:val="1"/>
      <w:numFmt w:val="decimal"/>
      <w:lvlText w:val="%4."/>
      <w:lvlJc w:val="left"/>
      <w:pPr>
        <w:tabs>
          <w:tab w:val="num" w:pos="2880"/>
        </w:tabs>
        <w:ind w:left="2880" w:hanging="360"/>
      </w:pPr>
    </w:lvl>
    <w:lvl w:ilvl="4" w:tplc="2948FBD4" w:tentative="1">
      <w:start w:val="1"/>
      <w:numFmt w:val="lowerLetter"/>
      <w:lvlText w:val="%5."/>
      <w:lvlJc w:val="left"/>
      <w:pPr>
        <w:tabs>
          <w:tab w:val="num" w:pos="3600"/>
        </w:tabs>
        <w:ind w:left="3600" w:hanging="360"/>
      </w:pPr>
    </w:lvl>
    <w:lvl w:ilvl="5" w:tplc="BF0014DA" w:tentative="1">
      <w:start w:val="1"/>
      <w:numFmt w:val="lowerRoman"/>
      <w:lvlText w:val="%6."/>
      <w:lvlJc w:val="right"/>
      <w:pPr>
        <w:tabs>
          <w:tab w:val="num" w:pos="4320"/>
        </w:tabs>
        <w:ind w:left="4320" w:hanging="180"/>
      </w:pPr>
    </w:lvl>
    <w:lvl w:ilvl="6" w:tplc="6B341B68" w:tentative="1">
      <w:start w:val="1"/>
      <w:numFmt w:val="decimal"/>
      <w:lvlText w:val="%7."/>
      <w:lvlJc w:val="left"/>
      <w:pPr>
        <w:tabs>
          <w:tab w:val="num" w:pos="5040"/>
        </w:tabs>
        <w:ind w:left="5040" w:hanging="360"/>
      </w:pPr>
    </w:lvl>
    <w:lvl w:ilvl="7" w:tplc="A9DAAC74" w:tentative="1">
      <w:start w:val="1"/>
      <w:numFmt w:val="lowerLetter"/>
      <w:lvlText w:val="%8."/>
      <w:lvlJc w:val="left"/>
      <w:pPr>
        <w:tabs>
          <w:tab w:val="num" w:pos="5760"/>
        </w:tabs>
        <w:ind w:left="5760" w:hanging="360"/>
      </w:pPr>
    </w:lvl>
    <w:lvl w:ilvl="8" w:tplc="6EFAC5F8" w:tentative="1">
      <w:start w:val="1"/>
      <w:numFmt w:val="lowerRoman"/>
      <w:lvlText w:val="%9."/>
      <w:lvlJc w:val="right"/>
      <w:pPr>
        <w:tabs>
          <w:tab w:val="num" w:pos="6480"/>
        </w:tabs>
        <w:ind w:left="6480" w:hanging="180"/>
      </w:pPr>
    </w:lvl>
  </w:abstractNum>
  <w:abstractNum w:abstractNumId="23">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4">
    <w:nsid w:val="611D655B"/>
    <w:multiLevelType w:val="hybridMultilevel"/>
    <w:tmpl w:val="3C18E9DA"/>
    <w:lvl w:ilvl="0" w:tplc="5608D390">
      <w:start w:val="1"/>
      <w:numFmt w:val="decimal"/>
      <w:lvlText w:val="(%1)"/>
      <w:lvlJc w:val="left"/>
      <w:pPr>
        <w:tabs>
          <w:tab w:val="num" w:pos="1440"/>
        </w:tabs>
        <w:ind w:left="1440" w:hanging="720"/>
      </w:pPr>
      <w:rPr>
        <w:rFonts w:hint="default"/>
      </w:rPr>
    </w:lvl>
    <w:lvl w:ilvl="1" w:tplc="FD3EBF3C" w:tentative="1">
      <w:start w:val="1"/>
      <w:numFmt w:val="lowerLetter"/>
      <w:lvlText w:val="%2."/>
      <w:lvlJc w:val="left"/>
      <w:pPr>
        <w:tabs>
          <w:tab w:val="num" w:pos="2160"/>
        </w:tabs>
        <w:ind w:left="2160" w:hanging="360"/>
      </w:pPr>
    </w:lvl>
    <w:lvl w:ilvl="2" w:tplc="05F8507C" w:tentative="1">
      <w:start w:val="1"/>
      <w:numFmt w:val="lowerRoman"/>
      <w:lvlText w:val="%3."/>
      <w:lvlJc w:val="right"/>
      <w:pPr>
        <w:tabs>
          <w:tab w:val="num" w:pos="2880"/>
        </w:tabs>
        <w:ind w:left="2880" w:hanging="180"/>
      </w:pPr>
    </w:lvl>
    <w:lvl w:ilvl="3" w:tplc="0F965910" w:tentative="1">
      <w:start w:val="1"/>
      <w:numFmt w:val="decimal"/>
      <w:lvlText w:val="%4."/>
      <w:lvlJc w:val="left"/>
      <w:pPr>
        <w:tabs>
          <w:tab w:val="num" w:pos="3600"/>
        </w:tabs>
        <w:ind w:left="3600" w:hanging="360"/>
      </w:pPr>
    </w:lvl>
    <w:lvl w:ilvl="4" w:tplc="206C585A" w:tentative="1">
      <w:start w:val="1"/>
      <w:numFmt w:val="lowerLetter"/>
      <w:lvlText w:val="%5."/>
      <w:lvlJc w:val="left"/>
      <w:pPr>
        <w:tabs>
          <w:tab w:val="num" w:pos="4320"/>
        </w:tabs>
        <w:ind w:left="4320" w:hanging="360"/>
      </w:pPr>
    </w:lvl>
    <w:lvl w:ilvl="5" w:tplc="EB722F68" w:tentative="1">
      <w:start w:val="1"/>
      <w:numFmt w:val="lowerRoman"/>
      <w:lvlText w:val="%6."/>
      <w:lvlJc w:val="right"/>
      <w:pPr>
        <w:tabs>
          <w:tab w:val="num" w:pos="5040"/>
        </w:tabs>
        <w:ind w:left="5040" w:hanging="180"/>
      </w:pPr>
    </w:lvl>
    <w:lvl w:ilvl="6" w:tplc="0FC40EB0" w:tentative="1">
      <w:start w:val="1"/>
      <w:numFmt w:val="decimal"/>
      <w:lvlText w:val="%7."/>
      <w:lvlJc w:val="left"/>
      <w:pPr>
        <w:tabs>
          <w:tab w:val="num" w:pos="5760"/>
        </w:tabs>
        <w:ind w:left="5760" w:hanging="360"/>
      </w:pPr>
    </w:lvl>
    <w:lvl w:ilvl="7" w:tplc="B8D08B28" w:tentative="1">
      <w:start w:val="1"/>
      <w:numFmt w:val="lowerLetter"/>
      <w:lvlText w:val="%8."/>
      <w:lvlJc w:val="left"/>
      <w:pPr>
        <w:tabs>
          <w:tab w:val="num" w:pos="6480"/>
        </w:tabs>
        <w:ind w:left="6480" w:hanging="360"/>
      </w:pPr>
    </w:lvl>
    <w:lvl w:ilvl="8" w:tplc="EF423CD0" w:tentative="1">
      <w:start w:val="1"/>
      <w:numFmt w:val="lowerRoman"/>
      <w:lvlText w:val="%9."/>
      <w:lvlJc w:val="right"/>
      <w:pPr>
        <w:tabs>
          <w:tab w:val="num" w:pos="7200"/>
        </w:tabs>
        <w:ind w:left="7200" w:hanging="180"/>
      </w:pPr>
    </w:lvl>
  </w:abstractNum>
  <w:abstractNum w:abstractNumId="25">
    <w:nsid w:val="62FD4736"/>
    <w:multiLevelType w:val="hybridMultilevel"/>
    <w:tmpl w:val="118A568C"/>
    <w:lvl w:ilvl="0" w:tplc="1812E6D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620E7B"/>
    <w:multiLevelType w:val="hybridMultilevel"/>
    <w:tmpl w:val="6F1267DE"/>
    <w:lvl w:ilvl="0" w:tplc="04090015">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7"/>
  </w:num>
  <w:num w:numId="2">
    <w:abstractNumId w:val="27"/>
  </w:num>
  <w:num w:numId="3">
    <w:abstractNumId w:val="27"/>
  </w:num>
  <w:num w:numId="4">
    <w:abstractNumId w:val="27"/>
  </w:num>
  <w:num w:numId="5">
    <w:abstractNumId w:val="27"/>
  </w:num>
  <w:num w:numId="6">
    <w:abstractNumId w:val="10"/>
  </w:num>
  <w:num w:numId="7">
    <w:abstractNumId w:val="2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7"/>
  </w:num>
  <w:num w:numId="11">
    <w:abstractNumId w:val="27"/>
  </w:num>
  <w:num w:numId="12">
    <w:abstractNumId w:val="27"/>
  </w:num>
  <w:num w:numId="13">
    <w:abstractNumId w:val="27"/>
  </w:num>
  <w:num w:numId="14">
    <w:abstractNumId w:val="27"/>
  </w:num>
  <w:num w:numId="15">
    <w:abstractNumId w:val="14"/>
  </w:num>
  <w:num w:numId="16">
    <w:abstractNumId w:val="21"/>
  </w:num>
  <w:num w:numId="17">
    <w:abstractNumId w:val="27"/>
  </w:num>
  <w:num w:numId="18">
    <w:abstractNumId w:val="27"/>
  </w:num>
  <w:num w:numId="19">
    <w:abstractNumId w:val="27"/>
  </w:num>
  <w:num w:numId="20">
    <w:abstractNumId w:val="27"/>
  </w:num>
  <w:num w:numId="21">
    <w:abstractNumId w:val="27"/>
  </w:num>
  <w:num w:numId="22">
    <w:abstractNumId w:val="26"/>
  </w:num>
  <w:num w:numId="23">
    <w:abstractNumId w:val="11"/>
  </w:num>
  <w:num w:numId="24">
    <w:abstractNumId w:val="18"/>
  </w:num>
  <w:num w:numId="25">
    <w:abstractNumId w:val="22"/>
  </w:num>
  <w:num w:numId="26">
    <w:abstractNumId w:val="25"/>
  </w:num>
  <w:num w:numId="27">
    <w:abstractNumId w:val="23"/>
  </w:num>
  <w:num w:numId="28">
    <w:abstractNumId w:val="27"/>
  </w:num>
  <w:num w:numId="29">
    <w:abstractNumId w:val="2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20"/>
  </w:num>
  <w:num w:numId="42">
    <w:abstractNumId w:val="15"/>
  </w:num>
  <w:num w:numId="43">
    <w:abstractNumId w:val="17"/>
  </w:num>
  <w:num w:numId="44">
    <w:abstractNumId w:val="16"/>
  </w:num>
  <w:num w:numId="45">
    <w:abstractNumId w:val="19"/>
  </w:num>
  <w:num w:numId="46">
    <w:abstractNumId w:val="27"/>
  </w:num>
  <w:num w:numId="47">
    <w:abstractNumId w:val="27"/>
  </w:num>
  <w:num w:numId="48">
    <w:abstractNumId w:val="27"/>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5F40CC"/>
    <w:rsid w:val="00026844"/>
    <w:rsid w:val="00032182"/>
    <w:rsid w:val="00040F6D"/>
    <w:rsid w:val="000A5DAE"/>
    <w:rsid w:val="000B7F0A"/>
    <w:rsid w:val="0010307D"/>
    <w:rsid w:val="0017164A"/>
    <w:rsid w:val="002D0E70"/>
    <w:rsid w:val="002F001B"/>
    <w:rsid w:val="002F06E4"/>
    <w:rsid w:val="002F6D6C"/>
    <w:rsid w:val="003764AC"/>
    <w:rsid w:val="00387D1F"/>
    <w:rsid w:val="003C28A4"/>
    <w:rsid w:val="003D049B"/>
    <w:rsid w:val="003D3DC4"/>
    <w:rsid w:val="003F17E4"/>
    <w:rsid w:val="004305C1"/>
    <w:rsid w:val="004928E3"/>
    <w:rsid w:val="004E56DE"/>
    <w:rsid w:val="00524E53"/>
    <w:rsid w:val="00596D45"/>
    <w:rsid w:val="005F40CC"/>
    <w:rsid w:val="005F4445"/>
    <w:rsid w:val="00631527"/>
    <w:rsid w:val="006650CA"/>
    <w:rsid w:val="00676C4D"/>
    <w:rsid w:val="006A1077"/>
    <w:rsid w:val="006C048D"/>
    <w:rsid w:val="006D3E06"/>
    <w:rsid w:val="007369C7"/>
    <w:rsid w:val="007515CF"/>
    <w:rsid w:val="00793C58"/>
    <w:rsid w:val="00801E10"/>
    <w:rsid w:val="008B21D7"/>
    <w:rsid w:val="008C3FF5"/>
    <w:rsid w:val="008C4822"/>
    <w:rsid w:val="00905D10"/>
    <w:rsid w:val="00907DCA"/>
    <w:rsid w:val="00940348"/>
    <w:rsid w:val="00945E09"/>
    <w:rsid w:val="0095538E"/>
    <w:rsid w:val="00990D4F"/>
    <w:rsid w:val="00992869"/>
    <w:rsid w:val="00A932E0"/>
    <w:rsid w:val="00AB1407"/>
    <w:rsid w:val="00AE5172"/>
    <w:rsid w:val="00B12C6A"/>
    <w:rsid w:val="00B710D5"/>
    <w:rsid w:val="00BA5A64"/>
    <w:rsid w:val="00BF039F"/>
    <w:rsid w:val="00BF370A"/>
    <w:rsid w:val="00C91F7E"/>
    <w:rsid w:val="00CA501C"/>
    <w:rsid w:val="00CE644B"/>
    <w:rsid w:val="00D2079B"/>
    <w:rsid w:val="00D31FA8"/>
    <w:rsid w:val="00D370B2"/>
    <w:rsid w:val="00D556D2"/>
    <w:rsid w:val="00DE3FB7"/>
    <w:rsid w:val="00E02A90"/>
    <w:rsid w:val="00E07863"/>
    <w:rsid w:val="00E118ED"/>
    <w:rsid w:val="00E143EE"/>
    <w:rsid w:val="00E55D10"/>
    <w:rsid w:val="00E5757D"/>
    <w:rsid w:val="00E60A4C"/>
    <w:rsid w:val="00EF6FFA"/>
    <w:rsid w:val="00F2480C"/>
    <w:rsid w:val="00F33C07"/>
    <w:rsid w:val="00F71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39F"/>
    <w:pPr>
      <w:spacing w:line="240" w:lineRule="exact"/>
    </w:pPr>
    <w:rPr>
      <w:sz w:val="24"/>
    </w:rPr>
  </w:style>
  <w:style w:type="paragraph" w:styleId="Heading1">
    <w:name w:val="heading 1"/>
    <w:basedOn w:val="Normal"/>
    <w:next w:val="ParaNumbered"/>
    <w:qFormat/>
    <w:rsid w:val="00BF039F"/>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BF039F"/>
    <w:pPr>
      <w:numPr>
        <w:ilvl w:val="1"/>
        <w:numId w:val="17"/>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BF039F"/>
    <w:pPr>
      <w:numPr>
        <w:ilvl w:val="2"/>
        <w:numId w:val="17"/>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BF039F"/>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BF039F"/>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BF039F"/>
    <w:pPr>
      <w:numPr>
        <w:ilvl w:val="5"/>
        <w:numId w:val="17"/>
      </w:numPr>
      <w:spacing w:line="480" w:lineRule="exact"/>
      <w:outlineLvl w:val="5"/>
    </w:pPr>
    <w:rPr>
      <w:bCs/>
      <w:szCs w:val="22"/>
    </w:rPr>
  </w:style>
  <w:style w:type="paragraph" w:styleId="Heading7">
    <w:name w:val="heading 7"/>
    <w:basedOn w:val="Normal"/>
    <w:qFormat/>
    <w:rsid w:val="00BF039F"/>
    <w:pPr>
      <w:numPr>
        <w:ilvl w:val="6"/>
        <w:numId w:val="17"/>
      </w:numPr>
      <w:spacing w:line="480" w:lineRule="exact"/>
      <w:outlineLvl w:val="6"/>
    </w:pPr>
    <w:rPr>
      <w:szCs w:val="24"/>
    </w:rPr>
  </w:style>
  <w:style w:type="paragraph" w:styleId="Heading8">
    <w:name w:val="heading 8"/>
    <w:basedOn w:val="Normal"/>
    <w:qFormat/>
    <w:rsid w:val="00BF039F"/>
    <w:pPr>
      <w:numPr>
        <w:ilvl w:val="7"/>
        <w:numId w:val="17"/>
      </w:numPr>
      <w:spacing w:line="480" w:lineRule="exact"/>
      <w:outlineLvl w:val="7"/>
    </w:pPr>
    <w:rPr>
      <w:iCs/>
      <w:szCs w:val="24"/>
    </w:rPr>
  </w:style>
  <w:style w:type="paragraph" w:styleId="Heading9">
    <w:name w:val="heading 9"/>
    <w:basedOn w:val="Normal"/>
    <w:qFormat/>
    <w:rsid w:val="00BF039F"/>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039F"/>
    <w:pPr>
      <w:spacing w:line="480" w:lineRule="exact"/>
      <w:ind w:firstLine="720"/>
    </w:pPr>
  </w:style>
  <w:style w:type="paragraph" w:styleId="Title">
    <w:name w:val="Title"/>
    <w:basedOn w:val="Normal"/>
    <w:next w:val="BodyText"/>
    <w:qFormat/>
    <w:rsid w:val="00BF039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F039F"/>
    <w:pPr>
      <w:spacing w:line="480" w:lineRule="exact"/>
      <w:jc w:val="right"/>
    </w:pPr>
  </w:style>
  <w:style w:type="paragraph" w:styleId="EnvelopeAddress">
    <w:name w:val="envelope address"/>
    <w:basedOn w:val="Normal"/>
    <w:semiHidden/>
    <w:rsid w:val="00BF039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F039F"/>
    <w:pPr>
      <w:spacing w:line="480" w:lineRule="exact"/>
      <w:ind w:left="1440" w:hanging="720"/>
    </w:pPr>
  </w:style>
  <w:style w:type="character" w:styleId="EndnoteReference">
    <w:name w:val="endnote reference"/>
    <w:basedOn w:val="DefaultParagraphFont"/>
    <w:semiHidden/>
    <w:rsid w:val="00BF039F"/>
    <w:rPr>
      <w:vertAlign w:val="superscript"/>
    </w:rPr>
  </w:style>
  <w:style w:type="paragraph" w:styleId="Header">
    <w:name w:val="header"/>
    <w:basedOn w:val="Normal"/>
    <w:semiHidden/>
    <w:rsid w:val="00BF039F"/>
    <w:pPr>
      <w:tabs>
        <w:tab w:val="center" w:pos="4320"/>
        <w:tab w:val="right" w:pos="8640"/>
      </w:tabs>
      <w:spacing w:line="240" w:lineRule="auto"/>
    </w:pPr>
  </w:style>
  <w:style w:type="paragraph" w:styleId="Footer">
    <w:name w:val="footer"/>
    <w:basedOn w:val="Normal"/>
    <w:semiHidden/>
    <w:rsid w:val="00BF039F"/>
    <w:pPr>
      <w:tabs>
        <w:tab w:val="center" w:pos="4680"/>
        <w:tab w:val="right" w:pos="9360"/>
      </w:tabs>
      <w:ind w:right="3600"/>
    </w:pPr>
  </w:style>
  <w:style w:type="character" w:styleId="PageNumber">
    <w:name w:val="page number"/>
    <w:basedOn w:val="DefaultParagraphFont"/>
    <w:semiHidden/>
    <w:rsid w:val="00BF039F"/>
  </w:style>
  <w:style w:type="paragraph" w:styleId="TOAHeading">
    <w:name w:val="toa heading"/>
    <w:basedOn w:val="Normal"/>
    <w:next w:val="Normal"/>
    <w:semiHidden/>
    <w:rsid w:val="00BF039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F039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F039F"/>
    <w:pPr>
      <w:tabs>
        <w:tab w:val="right" w:leader="dot" w:pos="9346"/>
      </w:tabs>
      <w:spacing w:after="240" w:line="240" w:lineRule="auto"/>
      <w:ind w:left="1440" w:right="720" w:hanging="720"/>
    </w:pPr>
    <w:rPr>
      <w:szCs w:val="24"/>
    </w:rPr>
  </w:style>
  <w:style w:type="paragraph" w:styleId="EndnoteText">
    <w:name w:val="endnote text"/>
    <w:basedOn w:val="Normal"/>
    <w:semiHidden/>
    <w:rsid w:val="00BF039F"/>
    <w:pPr>
      <w:spacing w:line="240" w:lineRule="auto"/>
    </w:pPr>
    <w:rPr>
      <w:sz w:val="20"/>
    </w:rPr>
  </w:style>
  <w:style w:type="paragraph" w:customStyle="1" w:styleId="Quotation">
    <w:name w:val="Quotation"/>
    <w:basedOn w:val="Normal"/>
    <w:next w:val="BodyTextLeft"/>
    <w:rsid w:val="00BF039F"/>
    <w:pPr>
      <w:spacing w:after="240" w:line="240" w:lineRule="auto"/>
      <w:ind w:left="1440" w:right="1440"/>
    </w:pPr>
    <w:rPr>
      <w:szCs w:val="24"/>
    </w:rPr>
  </w:style>
  <w:style w:type="paragraph" w:styleId="TOC3">
    <w:name w:val="toc 3"/>
    <w:basedOn w:val="Normal"/>
    <w:next w:val="Normal"/>
    <w:semiHidden/>
    <w:rsid w:val="00BF039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F039F"/>
    <w:rPr>
      <w:vertAlign w:val="superscript"/>
    </w:rPr>
  </w:style>
  <w:style w:type="paragraph" w:styleId="FootnoteText">
    <w:name w:val="footnote text"/>
    <w:basedOn w:val="Normal"/>
    <w:rsid w:val="00BF039F"/>
    <w:pPr>
      <w:spacing w:after="120" w:line="240" w:lineRule="auto"/>
      <w:ind w:firstLine="187"/>
    </w:pPr>
    <w:rPr>
      <w:sz w:val="20"/>
    </w:rPr>
  </w:style>
  <w:style w:type="paragraph" w:styleId="TOC4">
    <w:name w:val="toc 4"/>
    <w:basedOn w:val="Normal"/>
    <w:next w:val="Normal"/>
    <w:semiHidden/>
    <w:rsid w:val="00BF039F"/>
    <w:pPr>
      <w:tabs>
        <w:tab w:val="right" w:leader="dot" w:pos="9346"/>
      </w:tabs>
      <w:spacing w:after="240" w:line="240" w:lineRule="auto"/>
      <w:ind w:left="2880" w:right="720" w:hanging="720"/>
    </w:pPr>
    <w:rPr>
      <w:szCs w:val="24"/>
    </w:rPr>
  </w:style>
  <w:style w:type="paragraph" w:styleId="Signature">
    <w:name w:val="Signature"/>
    <w:basedOn w:val="Normal"/>
    <w:semiHidden/>
    <w:rsid w:val="00BF039F"/>
    <w:pPr>
      <w:tabs>
        <w:tab w:val="left" w:pos="4806"/>
        <w:tab w:val="right" w:pos="9360"/>
      </w:tabs>
      <w:ind w:left="4320"/>
    </w:pPr>
  </w:style>
  <w:style w:type="paragraph" w:styleId="TOC5">
    <w:name w:val="toc 5"/>
    <w:basedOn w:val="Normal"/>
    <w:next w:val="Normal"/>
    <w:semiHidden/>
    <w:rsid w:val="00BF039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F039F"/>
    <w:pPr>
      <w:ind w:right="346"/>
    </w:pPr>
    <w:rPr>
      <w:caps/>
    </w:rPr>
  </w:style>
  <w:style w:type="paragraph" w:customStyle="1" w:styleId="BodyTextLeft">
    <w:name w:val="Body Text Left"/>
    <w:basedOn w:val="BodyText"/>
    <w:next w:val="BodyText"/>
    <w:rsid w:val="00BF039F"/>
    <w:pPr>
      <w:ind w:firstLine="0"/>
    </w:pPr>
  </w:style>
  <w:style w:type="paragraph" w:customStyle="1" w:styleId="BodyTextSingle">
    <w:name w:val="Body Text Single"/>
    <w:basedOn w:val="BodyText"/>
    <w:rsid w:val="00BF039F"/>
    <w:pPr>
      <w:spacing w:after="240" w:line="240" w:lineRule="exact"/>
    </w:pPr>
  </w:style>
  <w:style w:type="paragraph" w:styleId="Date">
    <w:name w:val="Date"/>
    <w:basedOn w:val="BodyText"/>
    <w:next w:val="Signature"/>
    <w:semiHidden/>
    <w:rsid w:val="00BF039F"/>
    <w:pPr>
      <w:keepNext/>
      <w:keepLines/>
    </w:pPr>
  </w:style>
  <w:style w:type="character" w:customStyle="1" w:styleId="CaseNumber">
    <w:name w:val="CaseNumber"/>
    <w:basedOn w:val="DefaultParagraphFont"/>
    <w:semiHidden/>
    <w:rsid w:val="00BF039F"/>
  </w:style>
  <w:style w:type="paragraph" w:customStyle="1" w:styleId="DoubleSpacing">
    <w:name w:val="Double Spacing"/>
    <w:basedOn w:val="Normal"/>
    <w:semiHidden/>
    <w:rsid w:val="00BF039F"/>
    <w:pPr>
      <w:spacing w:line="508" w:lineRule="exact"/>
    </w:pPr>
  </w:style>
  <w:style w:type="paragraph" w:customStyle="1" w:styleId="SingleSpacing">
    <w:name w:val="Single Spacing"/>
    <w:basedOn w:val="Normal"/>
    <w:rsid w:val="00BF039F"/>
    <w:pPr>
      <w:spacing w:line="254" w:lineRule="exact"/>
    </w:pPr>
  </w:style>
  <w:style w:type="paragraph" w:customStyle="1" w:styleId="FirmName">
    <w:name w:val="Firm Name"/>
    <w:basedOn w:val="Normal"/>
    <w:semiHidden/>
    <w:rsid w:val="00BF039F"/>
    <w:pPr>
      <w:spacing w:line="254" w:lineRule="exact"/>
      <w:jc w:val="center"/>
    </w:pPr>
  </w:style>
  <w:style w:type="paragraph" w:customStyle="1" w:styleId="AttorneyName">
    <w:name w:val="Attorney Name"/>
    <w:basedOn w:val="SingleSpacing"/>
    <w:semiHidden/>
    <w:rsid w:val="00BF039F"/>
  </w:style>
  <w:style w:type="paragraph" w:customStyle="1" w:styleId="FirmNameSLG">
    <w:name w:val="Firm Name SLG"/>
    <w:basedOn w:val="Normal"/>
    <w:semiHidden/>
    <w:rsid w:val="00BF039F"/>
    <w:pPr>
      <w:spacing w:line="240" w:lineRule="auto"/>
      <w:ind w:left="4680"/>
    </w:pPr>
  </w:style>
  <w:style w:type="paragraph" w:styleId="TableofAuthorities">
    <w:name w:val="table of authorities"/>
    <w:basedOn w:val="Normal"/>
    <w:next w:val="Normal"/>
    <w:semiHidden/>
    <w:rsid w:val="00BF039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F039F"/>
    <w:pPr>
      <w:spacing w:after="160"/>
    </w:pPr>
    <w:rPr>
      <w:rFonts w:ascii="Verdana" w:hAnsi="Verdana" w:cs="Verdana"/>
      <w:sz w:val="20"/>
    </w:rPr>
  </w:style>
  <w:style w:type="paragraph" w:customStyle="1" w:styleId="ParaAlpha">
    <w:name w:val="Para Alpha"/>
    <w:basedOn w:val="Normal"/>
    <w:rsid w:val="00BF039F"/>
    <w:pPr>
      <w:numPr>
        <w:numId w:val="40"/>
      </w:numPr>
      <w:tabs>
        <w:tab w:val="clear" w:pos="0"/>
      </w:tabs>
      <w:spacing w:line="480" w:lineRule="exact"/>
    </w:pPr>
  </w:style>
  <w:style w:type="paragraph" w:customStyle="1" w:styleId="ParaNumbered">
    <w:name w:val="Para Numbered"/>
    <w:basedOn w:val="Normal"/>
    <w:rsid w:val="00BF039F"/>
    <w:pPr>
      <w:numPr>
        <w:numId w:val="41"/>
      </w:numPr>
      <w:spacing w:line="480" w:lineRule="exact"/>
      <w:ind w:left="360" w:hanging="360"/>
    </w:pPr>
    <w:rPr>
      <w:szCs w:val="24"/>
    </w:rPr>
  </w:style>
  <w:style w:type="paragraph" w:styleId="BalloonText">
    <w:name w:val="Balloon Text"/>
    <w:basedOn w:val="Normal"/>
    <w:link w:val="BalloonTextChar"/>
    <w:semiHidden/>
    <w:rsid w:val="00BF039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F039F"/>
    <w:rPr>
      <w:rFonts w:ascii="Tahoma" w:hAnsi="Tahoma" w:cs="Tahoma"/>
      <w:sz w:val="16"/>
      <w:szCs w:val="16"/>
    </w:rPr>
  </w:style>
  <w:style w:type="paragraph" w:styleId="Subtitle">
    <w:name w:val="Subtitle"/>
    <w:basedOn w:val="Normal"/>
    <w:next w:val="Normal"/>
    <w:link w:val="SubtitleChar"/>
    <w:uiPriority w:val="11"/>
    <w:qFormat/>
    <w:rsid w:val="00BF039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F039F"/>
    <w:rPr>
      <w:rFonts w:ascii="Times New Roman Bold" w:eastAsia="Times New Roman" w:hAnsi="Times New Roman Bold" w:cs="Times New Roman"/>
      <w:b/>
      <w:iCs/>
      <w:sz w:val="24"/>
      <w:szCs w:val="24"/>
    </w:rPr>
  </w:style>
  <w:style w:type="table" w:styleId="TableGrid">
    <w:name w:val="Table Grid"/>
    <w:basedOn w:val="TableNormal"/>
    <w:rsid w:val="00BF039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F039F"/>
    <w:rPr>
      <w:szCs w:val="24"/>
    </w:rPr>
  </w:style>
  <w:style w:type="character" w:styleId="Hyperlink">
    <w:name w:val="Hyperlink"/>
    <w:basedOn w:val="DefaultParagraphFont"/>
    <w:rsid w:val="00BF039F"/>
    <w:rPr>
      <w:color w:val="0000FF"/>
      <w:u w:val="single"/>
    </w:rPr>
  </w:style>
  <w:style w:type="paragraph" w:styleId="BodyTextIndent2">
    <w:name w:val="Body Text Indent 2"/>
    <w:basedOn w:val="Normal"/>
    <w:link w:val="BodyTextIndent2Char"/>
    <w:rsid w:val="00BF039F"/>
    <w:pPr>
      <w:spacing w:after="120" w:line="480" w:lineRule="auto"/>
      <w:ind w:left="360"/>
    </w:pPr>
  </w:style>
  <w:style w:type="character" w:customStyle="1" w:styleId="BodyTextIndent2Char">
    <w:name w:val="Body Text Indent 2 Char"/>
    <w:basedOn w:val="DefaultParagraphFont"/>
    <w:link w:val="BodyTextIndent2"/>
    <w:rsid w:val="00BF039F"/>
    <w:rPr>
      <w:sz w:val="24"/>
    </w:rPr>
  </w:style>
  <w:style w:type="paragraph" w:styleId="DocumentMap">
    <w:name w:val="Document Map"/>
    <w:basedOn w:val="Normal"/>
    <w:semiHidden/>
    <w:rsid w:val="002F06E4"/>
    <w:pPr>
      <w:shd w:val="clear" w:color="auto" w:fill="000080"/>
    </w:pPr>
    <w:rPr>
      <w:rFonts w:ascii="Tahoma" w:hAnsi="Tahoma" w:cs="Tahoma"/>
      <w:sz w:val="20"/>
    </w:rPr>
  </w:style>
  <w:style w:type="paragraph" w:styleId="ListParagraph">
    <w:name w:val="List Paragraph"/>
    <w:basedOn w:val="Normal"/>
    <w:uiPriority w:val="34"/>
    <w:qFormat/>
    <w:rsid w:val="00676C4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AAA301D737444B8579B9A1037663C7" ma:contentTypeVersion="131" ma:contentTypeDescription="" ma:contentTypeScope="" ma:versionID="739f1e887ab20b0f7190271bf5ce8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2009-12-17T08:00:00+00:00</OpenedDate>
    <Date1 xmlns="dc463f71-b30c-4ab2-9473-d307f9d35888">2010-02-03T08:00:00+00:00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233222-D355-4E59-A26B-799CDBBD954F}"/>
</file>

<file path=customXml/itemProps2.xml><?xml version="1.0" encoding="utf-8"?>
<ds:datastoreItem xmlns:ds="http://schemas.openxmlformats.org/officeDocument/2006/customXml" ds:itemID="{36119D6D-8A92-4F59-8224-C2A8278A107E}"/>
</file>

<file path=customXml/itemProps3.xml><?xml version="1.0" encoding="utf-8"?>
<ds:datastoreItem xmlns:ds="http://schemas.openxmlformats.org/officeDocument/2006/customXml" ds:itemID="{29257735-4BFA-47FF-867D-3497AFE447DC}"/>
</file>

<file path=customXml/itemProps4.xml><?xml version="1.0" encoding="utf-8"?>
<ds:datastoreItem xmlns:ds="http://schemas.openxmlformats.org/officeDocument/2006/customXml" ds:itemID="{F6241D4B-3166-4CD9-93F7-6CE102D96106}"/>
</file>

<file path=docProps/app.xml><?xml version="1.0" encoding="utf-8"?>
<Properties xmlns="http://schemas.openxmlformats.org/officeDocument/2006/extended-properties" xmlns:vt="http://schemas.openxmlformats.org/officeDocument/2006/docPropsVTypes">
  <Template>Normal.dotm</Template>
  <TotalTime>0</TotalTime>
  <Pages>3</Pages>
  <Words>4262</Words>
  <Characters>23967</Characters>
  <Application>Microsoft Office Word</Application>
  <DocSecurity>0</DocSecurity>
  <Lines>373</Lines>
  <Paragraphs>69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2008-08-12T23:11:00Z</cp:lastPrinted>
  <dcterms:created xsi:type="dcterms:W3CDTF">2010-02-03T23:51:00Z</dcterms:created>
  <dcterms:modified xsi:type="dcterms:W3CDTF">2010-02-03T23:51:00Z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0x0101006E56B4D1795A2E4DB2F0B01679ED314A00A8AAA301D737444B8579B9A1037663C7</vt:lpwstr>
  </property>
  <property fmtid="{D5CDD505-2E9C-101B-9397-08002B2CF9AE}" pid="3" name="_docset_NoMedatataSyncRequired">
    <vt:lpwstr>False</vt:lpwstr>
  </property>
</Properties>
</file>