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9F" w:rsidRDefault="008C262D" w:rsidP="00C015DB">
      <w:pPr>
        <w:rPr>
          <w:szCs w:val="20"/>
        </w:rPr>
      </w:pPr>
      <w:r w:rsidRPr="008C262D">
        <w:rPr>
          <w:noProof/>
        </w:rPr>
        <w:drawing>
          <wp:inline distT="0" distB="0" distL="0" distR="0">
            <wp:extent cx="3905969" cy="45849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07350" cy="458655"/>
                    </a:xfrm>
                    <a:prstGeom prst="rect">
                      <a:avLst/>
                    </a:prstGeom>
                    <a:noFill/>
                    <a:ln w="9525">
                      <a:noFill/>
                      <a:miter lim="800000"/>
                      <a:headEnd/>
                      <a:tailEnd/>
                    </a:ln>
                  </pic:spPr>
                </pic:pic>
              </a:graphicData>
            </a:graphic>
          </wp:inline>
        </w:drawing>
      </w:r>
    </w:p>
    <w:tbl>
      <w:tblPr>
        <w:tblW w:w="13338" w:type="dxa"/>
        <w:tblInd w:w="94" w:type="dxa"/>
        <w:tblBorders>
          <w:bottom w:val="single" w:sz="4" w:space="0" w:color="808080" w:themeColor="background1" w:themeShade="80"/>
        </w:tblBorders>
        <w:tblLook w:val="04A0"/>
      </w:tblPr>
      <w:tblGrid>
        <w:gridCol w:w="1458"/>
        <w:gridCol w:w="1493"/>
        <w:gridCol w:w="1567"/>
        <w:gridCol w:w="6300"/>
        <w:gridCol w:w="1260"/>
        <w:gridCol w:w="1260"/>
      </w:tblGrid>
      <w:tr w:rsidR="008C262D" w:rsidRPr="008C262D" w:rsidTr="00B96D07">
        <w:trPr>
          <w:trHeight w:val="255"/>
          <w:tblHeader/>
        </w:trPr>
        <w:tc>
          <w:tcPr>
            <w:tcW w:w="1458" w:type="dxa"/>
            <w:tcBorders>
              <w:top w:val="double" w:sz="6" w:space="0" w:color="auto"/>
              <w:left w:val="single" w:sz="4" w:space="0" w:color="auto"/>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493" w:type="dxa"/>
            <w:tcBorders>
              <w:top w:val="double" w:sz="6" w:space="0" w:color="auto"/>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567" w:type="dxa"/>
            <w:tcBorders>
              <w:top w:val="double" w:sz="6" w:space="0" w:color="auto"/>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6300" w:type="dxa"/>
            <w:tcBorders>
              <w:top w:val="double" w:sz="6" w:space="0" w:color="auto"/>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top w:val="double" w:sz="6" w:space="0" w:color="auto"/>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top w:val="double" w:sz="6" w:space="0" w:color="auto"/>
              <w:bottom w:val="nil"/>
              <w:right w:val="single" w:sz="4" w:space="0" w:color="auto"/>
            </w:tcBorders>
            <w:shd w:val="clear" w:color="000000" w:fill="1C230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r>
      <w:tr w:rsidR="008C262D" w:rsidRPr="008C262D" w:rsidTr="00B96D07">
        <w:trPr>
          <w:trHeight w:val="255"/>
          <w:tblHeader/>
        </w:trPr>
        <w:tc>
          <w:tcPr>
            <w:tcW w:w="1458" w:type="dxa"/>
            <w:tcBorders>
              <w:left w:val="single" w:sz="4" w:space="0" w:color="auto"/>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c>
          <w:tcPr>
            <w:tcW w:w="1493"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c>
          <w:tcPr>
            <w:tcW w:w="1567"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Revenue</w:t>
            </w:r>
          </w:p>
        </w:tc>
        <w:tc>
          <w:tcPr>
            <w:tcW w:w="6300"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c>
          <w:tcPr>
            <w:tcW w:w="1260"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c>
          <w:tcPr>
            <w:tcW w:w="1260" w:type="dxa"/>
            <w:tcBorders>
              <w:bottom w:val="nil"/>
              <w:right w:val="single" w:sz="4" w:space="0" w:color="auto"/>
            </w:tcBorders>
            <w:shd w:val="clear" w:color="000000" w:fill="1C230F"/>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r>
      <w:tr w:rsidR="008C262D" w:rsidRPr="008C262D" w:rsidTr="00B96D07">
        <w:trPr>
          <w:trHeight w:val="255"/>
          <w:tblHeader/>
        </w:trPr>
        <w:tc>
          <w:tcPr>
            <w:tcW w:w="1458" w:type="dxa"/>
            <w:tcBorders>
              <w:left w:val="single" w:sz="4" w:space="0" w:color="auto"/>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Company</w:t>
            </w:r>
          </w:p>
        </w:tc>
        <w:tc>
          <w:tcPr>
            <w:tcW w:w="1493"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Docket/</w:t>
            </w:r>
          </w:p>
        </w:tc>
        <w:tc>
          <w:tcPr>
            <w:tcW w:w="1567"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Decoupling</w:t>
            </w:r>
          </w:p>
        </w:tc>
        <w:tc>
          <w:tcPr>
            <w:tcW w:w="6300"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c>
          <w:tcPr>
            <w:tcW w:w="1260"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Case</w:t>
            </w:r>
          </w:p>
        </w:tc>
        <w:tc>
          <w:tcPr>
            <w:tcW w:w="1260" w:type="dxa"/>
            <w:tcBorders>
              <w:bottom w:val="nil"/>
              <w:right w:val="single" w:sz="4" w:space="0" w:color="auto"/>
            </w:tcBorders>
            <w:shd w:val="clear" w:color="000000" w:fill="1C230F"/>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r>
      <w:tr w:rsidR="008C262D" w:rsidRPr="008C262D" w:rsidTr="00B96D07">
        <w:trPr>
          <w:trHeight w:val="255"/>
          <w:tblHeader/>
        </w:trPr>
        <w:tc>
          <w:tcPr>
            <w:tcW w:w="1458" w:type="dxa"/>
            <w:tcBorders>
              <w:left w:val="single" w:sz="4" w:space="0" w:color="auto"/>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(Jurisdiction)</w:t>
            </w:r>
          </w:p>
        </w:tc>
        <w:tc>
          <w:tcPr>
            <w:tcW w:w="1493"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Case</w:t>
            </w:r>
          </w:p>
        </w:tc>
        <w:tc>
          <w:tcPr>
            <w:tcW w:w="1567"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Mechanism</w:t>
            </w:r>
          </w:p>
        </w:tc>
        <w:tc>
          <w:tcPr>
            <w:tcW w:w="6300"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Cost of Capital Proposal</w:t>
            </w:r>
          </w:p>
        </w:tc>
        <w:tc>
          <w:tcPr>
            <w:tcW w:w="1260" w:type="dxa"/>
            <w:tcBorders>
              <w:bottom w:val="nil"/>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Decided</w:t>
            </w:r>
          </w:p>
        </w:tc>
        <w:tc>
          <w:tcPr>
            <w:tcW w:w="1260" w:type="dxa"/>
            <w:tcBorders>
              <w:bottom w:val="nil"/>
              <w:right w:val="single" w:sz="4" w:space="0" w:color="auto"/>
            </w:tcBorders>
            <w:shd w:val="clear" w:color="000000" w:fill="1C230F"/>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Outcome</w:t>
            </w:r>
          </w:p>
        </w:tc>
      </w:tr>
      <w:tr w:rsidR="008C262D" w:rsidRPr="008C262D" w:rsidTr="00B96D07">
        <w:trPr>
          <w:trHeight w:val="120"/>
          <w:tblHeader/>
        </w:trPr>
        <w:tc>
          <w:tcPr>
            <w:tcW w:w="1458" w:type="dxa"/>
            <w:tcBorders>
              <w:left w:val="single" w:sz="4" w:space="0" w:color="auto"/>
              <w:bottom w:val="double" w:sz="6" w:space="0" w:color="auto"/>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c>
          <w:tcPr>
            <w:tcW w:w="1493" w:type="dxa"/>
            <w:tcBorders>
              <w:bottom w:val="double" w:sz="6" w:space="0" w:color="auto"/>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c>
          <w:tcPr>
            <w:tcW w:w="1567" w:type="dxa"/>
            <w:tcBorders>
              <w:bottom w:val="double" w:sz="6" w:space="0" w:color="auto"/>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c>
          <w:tcPr>
            <w:tcW w:w="6300" w:type="dxa"/>
            <w:tcBorders>
              <w:bottom w:val="double" w:sz="6" w:space="0" w:color="auto"/>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c>
          <w:tcPr>
            <w:tcW w:w="1260" w:type="dxa"/>
            <w:tcBorders>
              <w:bottom w:val="double" w:sz="6" w:space="0" w:color="auto"/>
            </w:tcBorders>
            <w:shd w:val="clear" w:color="000000" w:fill="1C230F"/>
            <w:noWrap/>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c>
          <w:tcPr>
            <w:tcW w:w="1260" w:type="dxa"/>
            <w:tcBorders>
              <w:bottom w:val="double" w:sz="6" w:space="0" w:color="auto"/>
              <w:right w:val="single" w:sz="4" w:space="0" w:color="auto"/>
            </w:tcBorders>
            <w:shd w:val="clear" w:color="000000" w:fill="1C230F"/>
            <w:vAlign w:val="bottom"/>
            <w:hideMark/>
          </w:tcPr>
          <w:p w:rsidR="008C262D" w:rsidRPr="008C262D" w:rsidRDefault="008C262D" w:rsidP="008C262D">
            <w:pPr>
              <w:spacing w:after="0" w:line="240" w:lineRule="auto"/>
              <w:rPr>
                <w:rFonts w:ascii="Times New Roman" w:eastAsia="Times New Roman" w:hAnsi="Times New Roman"/>
                <w:b/>
                <w:bCs/>
                <w:color w:val="FFFFFF"/>
                <w:sz w:val="20"/>
                <w:szCs w:val="20"/>
              </w:rPr>
            </w:pPr>
            <w:r w:rsidRPr="008C262D">
              <w:rPr>
                <w:rFonts w:ascii="Times New Roman" w:eastAsia="Times New Roman" w:hAnsi="Times New Roman"/>
                <w:b/>
                <w:bCs/>
                <w:color w:val="FFFFFF"/>
                <w:sz w:val="20"/>
                <w:szCs w:val="20"/>
              </w:rPr>
              <w:t> </w:t>
            </w:r>
          </w:p>
        </w:tc>
      </w:tr>
      <w:tr w:rsidR="008C262D" w:rsidRPr="008C262D" w:rsidTr="00B96D07">
        <w:trPr>
          <w:trHeight w:val="120"/>
        </w:trPr>
        <w:tc>
          <w:tcPr>
            <w:tcW w:w="1458" w:type="dxa"/>
            <w:tcBorders>
              <w:top w:val="double" w:sz="6" w:space="0" w:color="auto"/>
              <w:left w:val="single" w:sz="4" w:space="0" w:color="auto"/>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b/>
                <w:bCs/>
                <w:color w:val="000000"/>
                <w:sz w:val="20"/>
                <w:szCs w:val="20"/>
              </w:rPr>
            </w:pPr>
            <w:r w:rsidRPr="008C262D">
              <w:rPr>
                <w:rFonts w:ascii="Times New Roman" w:eastAsia="Times New Roman" w:hAnsi="Times New Roman"/>
                <w:b/>
                <w:bCs/>
                <w:color w:val="000000"/>
                <w:sz w:val="20"/>
                <w:szCs w:val="20"/>
              </w:rPr>
              <w:t> </w:t>
            </w:r>
          </w:p>
        </w:tc>
        <w:tc>
          <w:tcPr>
            <w:tcW w:w="1493" w:type="dxa"/>
            <w:tcBorders>
              <w:top w:val="double" w:sz="6" w:space="0" w:color="auto"/>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567" w:type="dxa"/>
            <w:tcBorders>
              <w:top w:val="double" w:sz="6" w:space="0" w:color="auto"/>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6300" w:type="dxa"/>
            <w:tcBorders>
              <w:top w:val="double" w:sz="6" w:space="0" w:color="auto"/>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top w:val="double" w:sz="6" w:space="0" w:color="auto"/>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top w:val="double" w:sz="6" w:space="0" w:color="auto"/>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r>
      <w:tr w:rsidR="008C262D" w:rsidRPr="008C262D" w:rsidTr="00B96D07">
        <w:trPr>
          <w:trHeight w:val="255"/>
        </w:trPr>
        <w:tc>
          <w:tcPr>
            <w:tcW w:w="2951" w:type="dxa"/>
            <w:gridSpan w:val="2"/>
            <w:tcBorders>
              <w:left w:val="single" w:sz="4" w:space="0" w:color="auto"/>
              <w:bottom w:val="nil"/>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b/>
                <w:bCs/>
                <w:color w:val="000000"/>
                <w:sz w:val="20"/>
                <w:szCs w:val="20"/>
              </w:rPr>
              <w:t>NATURAL GAS</w:t>
            </w:r>
            <w:r w:rsidRPr="008C262D">
              <w:rPr>
                <w:rFonts w:ascii="Times New Roman" w:eastAsia="Times New Roman" w:hAnsi="Times New Roman"/>
                <w:color w:val="000000"/>
                <w:sz w:val="20"/>
                <w:szCs w:val="20"/>
              </w:rPr>
              <w:t> </w:t>
            </w:r>
          </w:p>
        </w:tc>
        <w:tc>
          <w:tcPr>
            <w:tcW w:w="1567" w:type="dxa"/>
            <w:tcBorders>
              <w:bottom w:val="nil"/>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6300" w:type="dxa"/>
            <w:tcBorders>
              <w:bottom w:val="nil"/>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bottom w:val="nil"/>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bottom w:val="nil"/>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r>
      <w:tr w:rsidR="001C7B76" w:rsidRPr="008C262D" w:rsidTr="00B96D07">
        <w:trPr>
          <w:trHeight w:val="1095"/>
        </w:trPr>
        <w:tc>
          <w:tcPr>
            <w:tcW w:w="1458" w:type="dxa"/>
            <w:tcBorders>
              <w:left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Arkansas Oklahoma Gas (AR)</w:t>
            </w:r>
          </w:p>
        </w:tc>
        <w:tc>
          <w:tcPr>
            <w:tcW w:w="1493" w:type="dxa"/>
            <w:tcBorders>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07-026-U</w:t>
            </w:r>
          </w:p>
        </w:tc>
        <w:tc>
          <w:tcPr>
            <w:tcW w:w="1567" w:type="dxa"/>
            <w:tcBorders>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Billing Determinant Adjustment</w:t>
            </w:r>
          </w:p>
        </w:tc>
        <w:tc>
          <w:tcPr>
            <w:tcW w:w="6300" w:type="dxa"/>
            <w:tcBorders>
              <w:bottom w:val="single" w:sz="4" w:space="0" w:color="808080" w:themeColor="background1" w:themeShade="80"/>
            </w:tcBorders>
            <w:shd w:val="clear" w:color="000000" w:fill="FFFFFF"/>
            <w:vAlign w:val="bottom"/>
            <w:hideMark/>
          </w:tcPr>
          <w:p w:rsidR="001C7B76" w:rsidRDefault="001C7B76" w:rsidP="001C7B76">
            <w:pPr>
              <w:spacing w:after="12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Staff recommended a 25 basis point discount which "recognizes the reduced risk associated with adoption of a decoupling rate mechanism."  </w:t>
            </w:r>
          </w:p>
          <w:p w:rsidR="001C7B76" w:rsidRPr="008C262D" w:rsidRDefault="001C7B76" w:rsidP="001C7B76">
            <w:pPr>
              <w:spacing w:after="0"/>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AG stated that a "significant reduction of the return on equity must accompany a rider of this type, because a lower risk equals a lower return."</w:t>
            </w:r>
          </w:p>
        </w:tc>
        <w:tc>
          <w:tcPr>
            <w:tcW w:w="1260" w:type="dxa"/>
            <w:tcBorders>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bottom w:val="single" w:sz="4" w:space="0" w:color="808080" w:themeColor="background1" w:themeShade="80"/>
              <w:right w:val="single" w:sz="4" w:space="0" w:color="auto"/>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10 basis points</w:t>
            </w:r>
          </w:p>
        </w:tc>
      </w:tr>
      <w:tr w:rsidR="001C7B76" w:rsidRPr="008C262D" w:rsidTr="00B96D07">
        <w:trPr>
          <w:trHeight w:val="945"/>
        </w:trPr>
        <w:tc>
          <w:tcPr>
            <w:tcW w:w="145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Arkansas Western (AR)</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06-124-U</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Billing Determinant Adjustment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1C7B76">
            <w:pPr>
              <w:spacing w:after="12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Staff recommended that "a commensurate reduction of 25 basis points should be made to </w:t>
            </w:r>
            <w:proofErr w:type="spellStart"/>
            <w:r w:rsidRPr="008C262D">
              <w:rPr>
                <w:rFonts w:ascii="Times New Roman" w:eastAsia="Times New Roman" w:hAnsi="Times New Roman"/>
                <w:color w:val="000000"/>
                <w:sz w:val="20"/>
                <w:szCs w:val="20"/>
              </w:rPr>
              <w:t>AWG's</w:t>
            </w:r>
            <w:proofErr w:type="spellEnd"/>
            <w:r w:rsidRPr="008C262D">
              <w:rPr>
                <w:rFonts w:ascii="Times New Roman" w:eastAsia="Times New Roman" w:hAnsi="Times New Roman"/>
                <w:color w:val="000000"/>
                <w:sz w:val="20"/>
                <w:szCs w:val="20"/>
              </w:rPr>
              <w:t xml:space="preserve"> return on equity."</w:t>
            </w:r>
          </w:p>
          <w:p w:rsidR="001C7B76" w:rsidRPr="008C262D" w:rsidRDefault="001C7B76" w:rsidP="001C7B76">
            <w:pPr>
              <w:spacing w:after="0"/>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AG also recommended 25 basis point </w:t>
            </w:r>
            <w:proofErr w:type="gramStart"/>
            <w:r w:rsidRPr="008C262D">
              <w:rPr>
                <w:rFonts w:ascii="Times New Roman" w:eastAsia="Times New Roman" w:hAnsi="Times New Roman"/>
                <w:color w:val="000000"/>
                <w:sz w:val="20"/>
                <w:szCs w:val="20"/>
              </w:rPr>
              <w:t>reduction</w:t>
            </w:r>
            <w:proofErr w:type="gramEnd"/>
            <w:r w:rsidRPr="008C262D">
              <w:rPr>
                <w:rFonts w:ascii="Times New Roman" w:eastAsia="Times New Roman" w:hAnsi="Times New Roman"/>
                <w:color w:val="000000"/>
                <w:sz w:val="20"/>
                <w:szCs w:val="20"/>
              </w:rPr>
              <w:t>.</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25 basis points</w:t>
            </w:r>
          </w:p>
        </w:tc>
      </w:tr>
      <w:tr w:rsidR="008C262D" w:rsidRPr="008C262D" w:rsidTr="00B96D07">
        <w:trPr>
          <w:trHeight w:val="720"/>
        </w:trPr>
        <w:tc>
          <w:tcPr>
            <w:tcW w:w="145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CenterPoint</w:t>
            </w:r>
            <w:proofErr w:type="spellEnd"/>
            <w:r w:rsidRPr="008C262D">
              <w:rPr>
                <w:rFonts w:ascii="Times New Roman" w:eastAsia="Times New Roman" w:hAnsi="Times New Roman"/>
                <w:color w:val="000000"/>
                <w:sz w:val="20"/>
                <w:szCs w:val="20"/>
              </w:rPr>
              <w:t xml:space="preserve"> Energy (AR)</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06-161-U</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Billing Determinant Adjustment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Staff recommended "a further reduction of 25 basis points" if the </w:t>
            </w:r>
            <w:proofErr w:type="spellStart"/>
            <w:r w:rsidRPr="008C262D">
              <w:rPr>
                <w:rFonts w:ascii="Times New Roman" w:eastAsia="Times New Roman" w:hAnsi="Times New Roman"/>
                <w:color w:val="000000"/>
                <w:sz w:val="20"/>
                <w:szCs w:val="20"/>
              </w:rPr>
              <w:t>BDA</w:t>
            </w:r>
            <w:proofErr w:type="spellEnd"/>
            <w:r w:rsidRPr="008C262D">
              <w:rPr>
                <w:rFonts w:ascii="Times New Roman" w:eastAsia="Times New Roman" w:hAnsi="Times New Roman"/>
                <w:color w:val="000000"/>
                <w:sz w:val="20"/>
                <w:szCs w:val="20"/>
              </w:rPr>
              <w:t xml:space="preserve"> tariff is approved.</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10 basis points</w:t>
            </w:r>
          </w:p>
        </w:tc>
      </w:tr>
      <w:tr w:rsidR="008C262D" w:rsidRPr="008C262D" w:rsidTr="00B96D07">
        <w:trPr>
          <w:trHeight w:val="1620"/>
        </w:trPr>
        <w:tc>
          <w:tcPr>
            <w:tcW w:w="145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Southwest Gas (AZ)</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G-01551A-07-0504</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Staff witness testified that "the only thing the Company wants to achieve through its proposed rate design is avoidance of financial risk, nothing more nothing less." Staff argued that the shift of risk from shareholders to ratepayers, if decoupling were to be adopted, would necessitate a downward adjustment to the authorized return on equity.</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Decoupling was not adopted, no adjustment was made</w:t>
            </w:r>
          </w:p>
        </w:tc>
      </w:tr>
      <w:tr w:rsidR="008C262D" w:rsidRPr="008C262D" w:rsidTr="00B96D07">
        <w:trPr>
          <w:trHeight w:val="960"/>
        </w:trPr>
        <w:tc>
          <w:tcPr>
            <w:tcW w:w="145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Public Service Company of Colorado (CO)</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06S-656G</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Partial Decoupling Rate Adjustment Mechanism</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OCC witness recommended a lower ROE if the Commission approved Public Service's decoupling proposal.</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8C262D" w:rsidRPr="008C262D" w:rsidTr="00B96D07">
        <w:trPr>
          <w:trHeight w:val="1200"/>
        </w:trPr>
        <w:tc>
          <w:tcPr>
            <w:tcW w:w="145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lastRenderedPageBreak/>
              <w:t>Connecticut Natural Gas (CT)</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08-12-06</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OCC witness testified that “[t]</w:t>
            </w:r>
            <w:proofErr w:type="gramStart"/>
            <w:r w:rsidRPr="008C262D">
              <w:rPr>
                <w:rFonts w:ascii="Times New Roman" w:eastAsia="Times New Roman" w:hAnsi="Times New Roman"/>
                <w:color w:val="000000"/>
                <w:sz w:val="20"/>
                <w:szCs w:val="20"/>
              </w:rPr>
              <w:t>he</w:t>
            </w:r>
            <w:proofErr w:type="gramEnd"/>
            <w:r w:rsidRPr="008C262D">
              <w:rPr>
                <w:rFonts w:ascii="Times New Roman" w:eastAsia="Times New Roman" w:hAnsi="Times New Roman"/>
                <w:color w:val="000000"/>
                <w:sz w:val="20"/>
                <w:szCs w:val="20"/>
              </w:rPr>
              <w:t xml:space="preserve"> adoption of such a mechanism should serve to reduce the volatility of a company’s revenues and earned ROE.  A reduction in volatility reduces the riskiness of an enterprise.”  OCC recommended a 25 basis point reduction in the authorized ROE “to reflect the reduction in risk.”</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Decoupling was not adopted, no adjustment was made</w:t>
            </w:r>
          </w:p>
        </w:tc>
      </w:tr>
      <w:tr w:rsidR="008C262D" w:rsidRPr="008C262D" w:rsidTr="00B96D07">
        <w:trPr>
          <w:trHeight w:val="1728"/>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Delmarva Power &amp; Light Company (DE)</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06-284</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Bill Stabilization Adjustment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Delmarva witness recommended "the adoption of an overall return on investment of 8.08% and a rate of return on common equity of 11.0% on </w:t>
            </w:r>
            <w:proofErr w:type="spellStart"/>
            <w:r w:rsidRPr="008C262D">
              <w:rPr>
                <w:rFonts w:ascii="Times New Roman" w:eastAsia="Times New Roman" w:hAnsi="Times New Roman"/>
                <w:color w:val="000000"/>
                <w:sz w:val="20"/>
                <w:szCs w:val="20"/>
              </w:rPr>
              <w:t>DP&amp;L's</w:t>
            </w:r>
            <w:proofErr w:type="spellEnd"/>
            <w:r w:rsidRPr="008C262D">
              <w:rPr>
                <w:rFonts w:ascii="Times New Roman" w:eastAsia="Times New Roman" w:hAnsi="Times New Roman"/>
                <w:color w:val="000000"/>
                <w:sz w:val="20"/>
                <w:szCs w:val="20"/>
              </w:rPr>
              <w:t xml:space="preserve"> natural gas delivery operations, assuming that the Bill Stabilization Adjustment ("</w:t>
            </w:r>
            <w:proofErr w:type="spellStart"/>
            <w:r w:rsidRPr="008C262D">
              <w:rPr>
                <w:rFonts w:ascii="Times New Roman" w:eastAsia="Times New Roman" w:hAnsi="Times New Roman"/>
                <w:color w:val="000000"/>
                <w:sz w:val="20"/>
                <w:szCs w:val="20"/>
              </w:rPr>
              <w:t>BSA</w:t>
            </w:r>
            <w:proofErr w:type="spellEnd"/>
            <w:r w:rsidRPr="008C262D">
              <w:rPr>
                <w:rFonts w:ascii="Times New Roman" w:eastAsia="Times New Roman" w:hAnsi="Times New Roman"/>
                <w:color w:val="000000"/>
                <w:sz w:val="20"/>
                <w:szCs w:val="20"/>
              </w:rPr>
              <w:t xml:space="preserve">") is adopted.  If the </w:t>
            </w:r>
            <w:proofErr w:type="spellStart"/>
            <w:r w:rsidRPr="008C262D">
              <w:rPr>
                <w:rFonts w:ascii="Times New Roman" w:eastAsia="Times New Roman" w:hAnsi="Times New Roman"/>
                <w:color w:val="000000"/>
                <w:sz w:val="20"/>
                <w:szCs w:val="20"/>
              </w:rPr>
              <w:t>BSA</w:t>
            </w:r>
            <w:proofErr w:type="spellEnd"/>
            <w:r w:rsidRPr="008C262D">
              <w:rPr>
                <w:rFonts w:ascii="Times New Roman" w:eastAsia="Times New Roman" w:hAnsi="Times New Roman"/>
                <w:color w:val="000000"/>
                <w:sz w:val="20"/>
                <w:szCs w:val="20"/>
              </w:rPr>
              <w:t xml:space="preserve"> adopted is not approved, I recommend the adoption of an overall return on investment of 8.20% and a rate of return on common equity of 11.25% on </w:t>
            </w:r>
            <w:proofErr w:type="spellStart"/>
            <w:r w:rsidRPr="008C262D">
              <w:rPr>
                <w:rFonts w:ascii="Times New Roman" w:eastAsia="Times New Roman" w:hAnsi="Times New Roman"/>
                <w:color w:val="000000"/>
                <w:sz w:val="20"/>
                <w:szCs w:val="20"/>
              </w:rPr>
              <w:t>DP&amp;L's</w:t>
            </w:r>
            <w:proofErr w:type="spellEnd"/>
            <w:r w:rsidRPr="008C262D">
              <w:rPr>
                <w:rFonts w:ascii="Times New Roman" w:eastAsia="Times New Roman" w:hAnsi="Times New Roman"/>
                <w:color w:val="000000"/>
                <w:sz w:val="20"/>
                <w:szCs w:val="20"/>
              </w:rPr>
              <w:t xml:space="preserve"> natural gas delivery operations."</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BSA</w:t>
            </w:r>
            <w:proofErr w:type="spellEnd"/>
            <w:r w:rsidRPr="008C262D">
              <w:rPr>
                <w:rFonts w:ascii="Times New Roman" w:eastAsia="Times New Roman" w:hAnsi="Times New Roman"/>
                <w:color w:val="000000"/>
                <w:sz w:val="20"/>
                <w:szCs w:val="20"/>
              </w:rPr>
              <w:t xml:space="preserve"> was not adopted, no adjustment was made</w:t>
            </w:r>
          </w:p>
        </w:tc>
      </w:tr>
      <w:tr w:rsidR="001C7B76" w:rsidRPr="008C262D" w:rsidTr="00B96D07">
        <w:trPr>
          <w:trHeight w:val="1728"/>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North Shore Gas Company; and Peoples Gas Light and Coke (IL)</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07-241 and 07-242</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Volume Balancing Adjustment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1C7B76">
            <w:pPr>
              <w:spacing w:after="12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Staff and City-CUB argue that authorized rates of return should be reduced to reflect the resulting reduced risk. “In particular, Staff asserts the riders would reduce operating risk, which the Utilities acknowledge is part of investment risk.”</w:t>
            </w:r>
          </w:p>
          <w:p w:rsidR="001C7B76" w:rsidRPr="008C262D" w:rsidRDefault="001C7B76" w:rsidP="001C7B76">
            <w:pPr>
              <w:spacing w:after="0"/>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Commission finds that Rider VBA “will lesson Utilities’ risk associated with their cash flow” and “this warrants a reduction.”</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10 basis points</w:t>
            </w:r>
          </w:p>
        </w:tc>
      </w:tr>
      <w:tr w:rsidR="008C262D" w:rsidRPr="008C262D" w:rsidTr="00B96D07">
        <w:trPr>
          <w:trHeight w:val="1200"/>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NICOR</w:t>
            </w:r>
            <w:proofErr w:type="spellEnd"/>
            <w:r w:rsidRPr="008C262D">
              <w:rPr>
                <w:rFonts w:ascii="Times New Roman" w:eastAsia="Times New Roman" w:hAnsi="Times New Roman"/>
                <w:color w:val="000000"/>
                <w:sz w:val="20"/>
                <w:szCs w:val="20"/>
              </w:rPr>
              <w:t xml:space="preserve"> Gas (IL)</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08-0363</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80% </w:t>
            </w:r>
            <w:proofErr w:type="spellStart"/>
            <w:r w:rsidRPr="008C262D">
              <w:rPr>
                <w:rFonts w:ascii="Times New Roman" w:eastAsia="Times New Roman" w:hAnsi="Times New Roman"/>
                <w:color w:val="000000"/>
                <w:sz w:val="20"/>
                <w:szCs w:val="20"/>
              </w:rPr>
              <w:t>SFV</w:t>
            </w:r>
            <w:proofErr w:type="spellEnd"/>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Commission stated “that adopting this rate design will clearly reduce </w:t>
            </w:r>
            <w:proofErr w:type="spellStart"/>
            <w:r w:rsidRPr="008C262D">
              <w:rPr>
                <w:rFonts w:ascii="Times New Roman" w:eastAsia="Times New Roman" w:hAnsi="Times New Roman"/>
                <w:color w:val="000000"/>
                <w:sz w:val="20"/>
                <w:szCs w:val="20"/>
              </w:rPr>
              <w:t>Nicor‘s</w:t>
            </w:r>
            <w:proofErr w:type="spellEnd"/>
            <w:r w:rsidRPr="008C262D">
              <w:rPr>
                <w:rFonts w:ascii="Times New Roman" w:eastAsia="Times New Roman" w:hAnsi="Times New Roman"/>
                <w:color w:val="000000"/>
                <w:sz w:val="20"/>
                <w:szCs w:val="20"/>
              </w:rPr>
              <w:t xml:space="preserve"> risk.” “Thus, in determining </w:t>
            </w:r>
            <w:proofErr w:type="spellStart"/>
            <w:r w:rsidRPr="008C262D">
              <w:rPr>
                <w:rFonts w:ascii="Times New Roman" w:eastAsia="Times New Roman" w:hAnsi="Times New Roman"/>
                <w:color w:val="000000"/>
                <w:sz w:val="20"/>
                <w:szCs w:val="20"/>
              </w:rPr>
              <w:t>Nicor‘s</w:t>
            </w:r>
            <w:proofErr w:type="spellEnd"/>
            <w:r w:rsidRPr="008C262D">
              <w:rPr>
                <w:rFonts w:ascii="Times New Roman" w:eastAsia="Times New Roman" w:hAnsi="Times New Roman"/>
                <w:color w:val="000000"/>
                <w:sz w:val="20"/>
                <w:szCs w:val="20"/>
              </w:rPr>
              <w:t xml:space="preserve"> authorized return on common equity in this proceeding, we conclude that it necessary and appropriate to deduct 6.5 basis points to reflect the reduction in </w:t>
            </w:r>
            <w:proofErr w:type="spellStart"/>
            <w:r w:rsidRPr="008C262D">
              <w:rPr>
                <w:rFonts w:ascii="Times New Roman" w:eastAsia="Times New Roman" w:hAnsi="Times New Roman"/>
                <w:color w:val="000000"/>
                <w:sz w:val="20"/>
                <w:szCs w:val="20"/>
              </w:rPr>
              <w:t>Nicor's</w:t>
            </w:r>
            <w:proofErr w:type="spellEnd"/>
            <w:r w:rsidRPr="008C262D">
              <w:rPr>
                <w:rFonts w:ascii="Times New Roman" w:eastAsia="Times New Roman" w:hAnsi="Times New Roman"/>
                <w:color w:val="000000"/>
                <w:sz w:val="20"/>
                <w:szCs w:val="20"/>
              </w:rPr>
              <w:t xml:space="preserve"> risk.”</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6.5 basis points</w:t>
            </w:r>
          </w:p>
        </w:tc>
      </w:tr>
      <w:tr w:rsidR="008C262D" w:rsidRPr="008C262D" w:rsidTr="00B96D07">
        <w:trPr>
          <w:trHeight w:val="2016"/>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Vectren</w:t>
            </w:r>
            <w:proofErr w:type="spellEnd"/>
            <w:r w:rsidRPr="008C262D">
              <w:rPr>
                <w:rFonts w:ascii="Times New Roman" w:eastAsia="Times New Roman" w:hAnsi="Times New Roman"/>
                <w:color w:val="000000"/>
                <w:sz w:val="20"/>
                <w:szCs w:val="20"/>
              </w:rPr>
              <w:t xml:space="preserve"> Indiana Gas and </w:t>
            </w:r>
            <w:proofErr w:type="spellStart"/>
            <w:r w:rsidRPr="008C262D">
              <w:rPr>
                <w:rFonts w:ascii="Times New Roman" w:eastAsia="Times New Roman" w:hAnsi="Times New Roman"/>
                <w:color w:val="000000"/>
                <w:sz w:val="20"/>
                <w:szCs w:val="20"/>
              </w:rPr>
              <w:t>Vectren</w:t>
            </w:r>
            <w:proofErr w:type="spellEnd"/>
            <w:r w:rsidRPr="008C262D">
              <w:rPr>
                <w:rFonts w:ascii="Times New Roman" w:eastAsia="Times New Roman" w:hAnsi="Times New Roman"/>
                <w:color w:val="000000"/>
                <w:sz w:val="20"/>
                <w:szCs w:val="20"/>
              </w:rPr>
              <w:t xml:space="preserve"> Southern Indiana Gas (IN)</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Cause No. 42943 and 43046</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Energy Efficiency Rider with Sales Reconciliation Component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Commission stated that by approving the riders “we are once again approving mechanisms that alleviate risk for Petitioners. When asked by the presiding judge whether Petitioners believe that this will result in a reduction in risk, Petitioner's witness </w:t>
            </w:r>
            <w:proofErr w:type="spellStart"/>
            <w:r w:rsidRPr="008C262D">
              <w:rPr>
                <w:rFonts w:ascii="Times New Roman" w:eastAsia="Times New Roman" w:hAnsi="Times New Roman"/>
                <w:color w:val="000000"/>
                <w:sz w:val="20"/>
                <w:szCs w:val="20"/>
              </w:rPr>
              <w:t>Benkert</w:t>
            </w:r>
            <w:proofErr w:type="spellEnd"/>
            <w:r w:rsidRPr="008C262D">
              <w:rPr>
                <w:rFonts w:ascii="Times New Roman" w:eastAsia="Times New Roman" w:hAnsi="Times New Roman"/>
                <w:color w:val="000000"/>
                <w:sz w:val="20"/>
                <w:szCs w:val="20"/>
              </w:rPr>
              <w:t xml:space="preserve"> responded "yes".  We have not as yet required a corresponding reduction in the cost of equity, as have some states. The benefits that inure to Petitioners by approving this Plan are clear. We find that there needs to be a corresponding benefit to the consumers.”</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8C262D" w:rsidRPr="008C262D" w:rsidTr="00B96D07">
        <w:trPr>
          <w:trHeight w:val="2016"/>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lastRenderedPageBreak/>
              <w:t>Vectren</w:t>
            </w:r>
            <w:proofErr w:type="spellEnd"/>
            <w:r w:rsidRPr="008C262D">
              <w:rPr>
                <w:rFonts w:ascii="Times New Roman" w:eastAsia="Times New Roman" w:hAnsi="Times New Roman"/>
                <w:color w:val="000000"/>
                <w:sz w:val="20"/>
                <w:szCs w:val="20"/>
              </w:rPr>
              <w:t xml:space="preserve"> Indiana Gas and </w:t>
            </w:r>
            <w:proofErr w:type="spellStart"/>
            <w:r w:rsidRPr="008C262D">
              <w:rPr>
                <w:rFonts w:ascii="Times New Roman" w:eastAsia="Times New Roman" w:hAnsi="Times New Roman"/>
                <w:color w:val="000000"/>
                <w:sz w:val="20"/>
                <w:szCs w:val="20"/>
              </w:rPr>
              <w:t>Vectren</w:t>
            </w:r>
            <w:proofErr w:type="spellEnd"/>
            <w:r w:rsidRPr="008C262D">
              <w:rPr>
                <w:rFonts w:ascii="Times New Roman" w:eastAsia="Times New Roman" w:hAnsi="Times New Roman"/>
                <w:color w:val="000000"/>
                <w:sz w:val="20"/>
                <w:szCs w:val="20"/>
              </w:rPr>
              <w:t xml:space="preserve"> Southern Indiana Gas (IN)</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Cause No. 43839</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Energy Efficiency Rider with Sales Reconciliation Component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"We find that continuing </w:t>
            </w:r>
            <w:proofErr w:type="spellStart"/>
            <w:r w:rsidRPr="008C262D">
              <w:rPr>
                <w:rFonts w:ascii="Times New Roman" w:eastAsia="Times New Roman" w:hAnsi="Times New Roman"/>
                <w:color w:val="000000"/>
                <w:sz w:val="20"/>
                <w:szCs w:val="20"/>
              </w:rPr>
              <w:t>Vectren</w:t>
            </w:r>
            <w:proofErr w:type="spellEnd"/>
            <w:r w:rsidRPr="008C262D">
              <w:rPr>
                <w:rFonts w:ascii="Times New Roman" w:eastAsia="Times New Roman" w:hAnsi="Times New Roman"/>
                <w:color w:val="000000"/>
                <w:sz w:val="20"/>
                <w:szCs w:val="20"/>
              </w:rPr>
              <w:t xml:space="preserve"> South's current ROE of 10.40% would be reasonable for purposes of determining </w:t>
            </w:r>
            <w:proofErr w:type="spellStart"/>
            <w:r w:rsidRPr="008C262D">
              <w:rPr>
                <w:rFonts w:ascii="Times New Roman" w:eastAsia="Times New Roman" w:hAnsi="Times New Roman"/>
                <w:color w:val="000000"/>
                <w:sz w:val="20"/>
                <w:szCs w:val="20"/>
              </w:rPr>
              <w:t>Vectren</w:t>
            </w:r>
            <w:proofErr w:type="spellEnd"/>
            <w:r w:rsidRPr="008C262D">
              <w:rPr>
                <w:rFonts w:ascii="Times New Roman" w:eastAsia="Times New Roman" w:hAnsi="Times New Roman"/>
                <w:color w:val="000000"/>
                <w:sz w:val="20"/>
                <w:szCs w:val="20"/>
              </w:rPr>
              <w:t xml:space="preserve"> South's cost of capital and rate of return. Our ROE finding is within the reasonable and appropriate range of 9.90% to 10.50%. Our ROE finding also gives consideration to </w:t>
            </w:r>
            <w:proofErr w:type="spellStart"/>
            <w:r w:rsidRPr="008C262D">
              <w:rPr>
                <w:rFonts w:ascii="Times New Roman" w:eastAsia="Times New Roman" w:hAnsi="Times New Roman"/>
                <w:color w:val="000000"/>
                <w:sz w:val="20"/>
                <w:szCs w:val="20"/>
              </w:rPr>
              <w:t>Vectren</w:t>
            </w:r>
            <w:proofErr w:type="spellEnd"/>
            <w:r w:rsidRPr="008C262D">
              <w:rPr>
                <w:rFonts w:ascii="Times New Roman" w:eastAsia="Times New Roman" w:hAnsi="Times New Roman"/>
                <w:color w:val="000000"/>
                <w:sz w:val="20"/>
                <w:szCs w:val="20"/>
              </w:rPr>
              <w:t xml:space="preserve"> South's company-specific risks including its small size, its manufacturing dependent service area, and its coal-based generation fleet. In addition, the Commission believes </w:t>
            </w:r>
            <w:proofErr w:type="spellStart"/>
            <w:r w:rsidRPr="008C262D">
              <w:rPr>
                <w:rFonts w:ascii="Times New Roman" w:eastAsia="Times New Roman" w:hAnsi="Times New Roman"/>
                <w:color w:val="000000"/>
                <w:sz w:val="20"/>
                <w:szCs w:val="20"/>
              </w:rPr>
              <w:t>Vectren</w:t>
            </w:r>
            <w:proofErr w:type="spellEnd"/>
            <w:r w:rsidRPr="008C262D">
              <w:rPr>
                <w:rFonts w:ascii="Times New Roman" w:eastAsia="Times New Roman" w:hAnsi="Times New Roman"/>
                <w:color w:val="000000"/>
                <w:sz w:val="20"/>
                <w:szCs w:val="20"/>
              </w:rPr>
              <w:t xml:space="preserve"> South's strong credit rating is supported, at least in part, by its current authorized ROE."</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8C262D" w:rsidRPr="008C262D" w:rsidTr="00B96D07">
        <w:trPr>
          <w:trHeight w:val="76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Kansas General Investigation</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08-GIMX-441-GIV</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“As with decoupling, the Commission anticipates considering some reduction in rate of return as a result of the decreased risk.”</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To be determined</w:t>
            </w:r>
          </w:p>
        </w:tc>
      </w:tr>
      <w:tr w:rsidR="008C262D" w:rsidRPr="008C262D" w:rsidTr="00B96D07">
        <w:trPr>
          <w:trHeight w:val="960"/>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Bay State Gas (MA)</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Docket No.    </w:t>
            </w:r>
            <w:proofErr w:type="spellStart"/>
            <w:r w:rsidRPr="008C262D">
              <w:rPr>
                <w:rFonts w:ascii="Times New Roman" w:eastAsia="Times New Roman" w:hAnsi="Times New Roman"/>
                <w:color w:val="000000"/>
                <w:sz w:val="20"/>
                <w:szCs w:val="20"/>
              </w:rPr>
              <w:t>D.P.U.</w:t>
            </w:r>
            <w:proofErr w:type="spellEnd"/>
            <w:r w:rsidRPr="008C262D">
              <w:rPr>
                <w:rFonts w:ascii="Times New Roman" w:eastAsia="Times New Roman" w:hAnsi="Times New Roman"/>
                <w:color w:val="000000"/>
                <w:sz w:val="20"/>
                <w:szCs w:val="20"/>
              </w:rPr>
              <w:t xml:space="preserve"> 09-30</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AG’s witness “estimated the equity capital cost of the Company’s gas utility operations should be reduced by at least 50 basis points to account for the reduction in operating risk afforded by decoupling.”</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8C262D" w:rsidRPr="008C262D" w:rsidTr="00825859">
        <w:trPr>
          <w:trHeight w:val="945"/>
        </w:trPr>
        <w:tc>
          <w:tcPr>
            <w:tcW w:w="1458" w:type="dxa"/>
            <w:tcBorders>
              <w:top w:val="single" w:sz="4" w:space="0" w:color="808080" w:themeColor="background1" w:themeShade="80"/>
              <w:left w:val="single" w:sz="4" w:space="0" w:color="auto"/>
              <w:bottom w:val="single" w:sz="6"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Missouri Gas Energy (MO)</w:t>
            </w:r>
          </w:p>
        </w:tc>
        <w:tc>
          <w:tcPr>
            <w:tcW w:w="1493" w:type="dxa"/>
            <w:tcBorders>
              <w:top w:val="single" w:sz="4" w:space="0" w:color="808080" w:themeColor="background1" w:themeShade="80"/>
              <w:bottom w:val="single" w:sz="6"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GR-2006-0422</w:t>
            </w:r>
          </w:p>
        </w:tc>
        <w:tc>
          <w:tcPr>
            <w:tcW w:w="1567" w:type="dxa"/>
            <w:tcBorders>
              <w:top w:val="single" w:sz="4" w:space="0" w:color="808080" w:themeColor="background1" w:themeShade="80"/>
              <w:bottom w:val="single" w:sz="6"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SFV</w:t>
            </w:r>
            <w:proofErr w:type="spellEnd"/>
          </w:p>
        </w:tc>
        <w:tc>
          <w:tcPr>
            <w:tcW w:w="6300" w:type="dxa"/>
            <w:tcBorders>
              <w:top w:val="single" w:sz="4" w:space="0" w:color="808080" w:themeColor="background1" w:themeShade="80"/>
              <w:bottom w:val="single" w:sz="6"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“Staff and </w:t>
            </w:r>
            <w:proofErr w:type="spellStart"/>
            <w:r w:rsidRPr="008C262D">
              <w:rPr>
                <w:rFonts w:ascii="Times New Roman" w:eastAsia="Times New Roman" w:hAnsi="Times New Roman"/>
                <w:color w:val="000000"/>
                <w:sz w:val="20"/>
                <w:szCs w:val="20"/>
              </w:rPr>
              <w:t>MGE</w:t>
            </w:r>
            <w:proofErr w:type="spellEnd"/>
            <w:r w:rsidRPr="008C262D">
              <w:rPr>
                <w:rFonts w:ascii="Times New Roman" w:eastAsia="Times New Roman" w:hAnsi="Times New Roman"/>
                <w:color w:val="000000"/>
                <w:sz w:val="20"/>
                <w:szCs w:val="20"/>
              </w:rPr>
              <w:t xml:space="preserve"> agree that the value of the </w:t>
            </w:r>
            <w:proofErr w:type="spellStart"/>
            <w:r w:rsidRPr="008C262D">
              <w:rPr>
                <w:rFonts w:ascii="Times New Roman" w:eastAsia="Times New Roman" w:hAnsi="Times New Roman"/>
                <w:color w:val="000000"/>
                <w:sz w:val="20"/>
                <w:szCs w:val="20"/>
              </w:rPr>
              <w:t>SFV</w:t>
            </w:r>
            <w:proofErr w:type="spellEnd"/>
            <w:r w:rsidRPr="008C262D">
              <w:rPr>
                <w:rFonts w:ascii="Times New Roman" w:eastAsia="Times New Roman" w:hAnsi="Times New Roman"/>
                <w:color w:val="000000"/>
                <w:sz w:val="20"/>
                <w:szCs w:val="20"/>
              </w:rPr>
              <w:t xml:space="preserve"> rate design is 30-35 basis points. As these suggestions are estimates, the Commission finds that the value of the </w:t>
            </w:r>
            <w:proofErr w:type="spellStart"/>
            <w:r w:rsidRPr="008C262D">
              <w:rPr>
                <w:rFonts w:ascii="Times New Roman" w:eastAsia="Times New Roman" w:hAnsi="Times New Roman"/>
                <w:color w:val="000000"/>
                <w:sz w:val="20"/>
                <w:szCs w:val="20"/>
              </w:rPr>
              <w:t>SFV</w:t>
            </w:r>
            <w:proofErr w:type="spellEnd"/>
            <w:r w:rsidRPr="008C262D">
              <w:rPr>
                <w:rFonts w:ascii="Times New Roman" w:eastAsia="Times New Roman" w:hAnsi="Times New Roman"/>
                <w:color w:val="000000"/>
                <w:sz w:val="20"/>
                <w:szCs w:val="20"/>
              </w:rPr>
              <w:t xml:space="preserve"> rate design is 32.5 points.”</w:t>
            </w:r>
          </w:p>
        </w:tc>
        <w:tc>
          <w:tcPr>
            <w:tcW w:w="1260" w:type="dxa"/>
            <w:tcBorders>
              <w:top w:val="single" w:sz="4" w:space="0" w:color="808080" w:themeColor="background1" w:themeShade="80"/>
              <w:bottom w:val="single" w:sz="6"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6"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32.5 basis points.</w:t>
            </w:r>
          </w:p>
        </w:tc>
      </w:tr>
      <w:tr w:rsidR="00B96D07" w:rsidRPr="008C262D" w:rsidTr="00825859">
        <w:trPr>
          <w:trHeight w:val="2928"/>
        </w:trPr>
        <w:tc>
          <w:tcPr>
            <w:tcW w:w="1458" w:type="dxa"/>
            <w:tcBorders>
              <w:top w:val="single" w:sz="6" w:space="0" w:color="808080" w:themeColor="background1" w:themeShade="80"/>
              <w:left w:val="single" w:sz="4" w:space="0" w:color="auto"/>
              <w:bottom w:val="single" w:sz="4" w:space="0" w:color="808080" w:themeColor="background1" w:themeShade="80"/>
            </w:tcBorders>
            <w:shd w:val="clear" w:color="000000" w:fill="FFFFFF"/>
            <w:vAlign w:val="bottom"/>
            <w:hideMark/>
          </w:tcPr>
          <w:p w:rsidR="00B96D07" w:rsidRPr="008C262D" w:rsidRDefault="00B96D07" w:rsidP="001C7B76">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Missouri Gas Energy (MO) </w:t>
            </w:r>
          </w:p>
        </w:tc>
        <w:tc>
          <w:tcPr>
            <w:tcW w:w="1493" w:type="dxa"/>
            <w:tcBorders>
              <w:top w:val="single" w:sz="6" w:space="0" w:color="808080" w:themeColor="background1" w:themeShade="80"/>
              <w:bottom w:val="single" w:sz="4" w:space="0" w:color="808080" w:themeColor="background1" w:themeShade="80"/>
            </w:tcBorders>
            <w:shd w:val="clear" w:color="000000" w:fill="FFFFFF"/>
            <w:vAlign w:val="bottom"/>
            <w:hideMark/>
          </w:tcPr>
          <w:p w:rsidR="00B96D07" w:rsidRPr="008C262D" w:rsidRDefault="00B96D07" w:rsidP="001C7B76">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GR-2009-0355 </w:t>
            </w:r>
          </w:p>
        </w:tc>
        <w:tc>
          <w:tcPr>
            <w:tcW w:w="1567" w:type="dxa"/>
            <w:tcBorders>
              <w:top w:val="single" w:sz="6" w:space="0" w:color="808080" w:themeColor="background1" w:themeShade="80"/>
              <w:bottom w:val="single" w:sz="4" w:space="0" w:color="808080" w:themeColor="background1" w:themeShade="80"/>
            </w:tcBorders>
            <w:shd w:val="clear" w:color="000000" w:fill="FFFFFF"/>
            <w:vAlign w:val="bottom"/>
            <w:hideMark/>
          </w:tcPr>
          <w:p w:rsidR="00B96D07" w:rsidRPr="008C262D" w:rsidRDefault="00B96D07"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p w:rsidR="00B96D07" w:rsidRPr="008C262D" w:rsidRDefault="00B96D07" w:rsidP="008C262D">
            <w:pPr>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6300" w:type="dxa"/>
            <w:tcBorders>
              <w:top w:val="single" w:sz="6" w:space="0" w:color="808080" w:themeColor="background1" w:themeShade="80"/>
              <w:bottom w:val="single" w:sz="4" w:space="0" w:color="808080" w:themeColor="background1" w:themeShade="80"/>
            </w:tcBorders>
            <w:shd w:val="clear" w:color="000000" w:fill="FFFFFF"/>
            <w:vAlign w:val="bottom"/>
            <w:hideMark/>
          </w:tcPr>
          <w:p w:rsidR="00B96D07" w:rsidRPr="008C262D" w:rsidRDefault="00B96D07" w:rsidP="001C7B76">
            <w:pPr>
              <w:spacing w:after="12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"Mr. Lawton proposed a 50 basis point reduction in his ROE recommendation if the Commission authorizes a straight fixed variable (</w:t>
            </w:r>
            <w:proofErr w:type="spellStart"/>
            <w:r w:rsidRPr="008C262D">
              <w:rPr>
                <w:rFonts w:ascii="Times New Roman" w:eastAsia="Times New Roman" w:hAnsi="Times New Roman"/>
                <w:color w:val="000000"/>
                <w:sz w:val="20"/>
                <w:szCs w:val="20"/>
              </w:rPr>
              <w:t>SFV</w:t>
            </w:r>
            <w:proofErr w:type="spellEnd"/>
            <w:r w:rsidRPr="008C262D">
              <w:rPr>
                <w:rFonts w:ascii="Times New Roman" w:eastAsia="Times New Roman" w:hAnsi="Times New Roman"/>
                <w:color w:val="000000"/>
                <w:sz w:val="20"/>
                <w:szCs w:val="20"/>
              </w:rPr>
              <w:t xml:space="preserve">) rate design for </w:t>
            </w:r>
            <w:proofErr w:type="spellStart"/>
            <w:r w:rsidRPr="008C262D">
              <w:rPr>
                <w:rFonts w:ascii="Times New Roman" w:eastAsia="Times New Roman" w:hAnsi="Times New Roman"/>
                <w:color w:val="000000"/>
                <w:sz w:val="20"/>
                <w:szCs w:val="20"/>
              </w:rPr>
              <w:t>MGE</w:t>
            </w:r>
            <w:proofErr w:type="spellEnd"/>
            <w:r w:rsidRPr="008C262D">
              <w:rPr>
                <w:rFonts w:ascii="Times New Roman" w:eastAsia="Times New Roman" w:hAnsi="Times New Roman"/>
                <w:color w:val="000000"/>
                <w:sz w:val="20"/>
                <w:szCs w:val="20"/>
              </w:rPr>
              <w:t xml:space="preserve">. However, a majority of the companies in Mr. Lawton's proxy group have significant portions of their revenues either wholly or partially decoupled. The Commission finds the decreased risk associated with having a </w:t>
            </w:r>
            <w:proofErr w:type="spellStart"/>
            <w:r w:rsidRPr="008C262D">
              <w:rPr>
                <w:rFonts w:ascii="Times New Roman" w:eastAsia="Times New Roman" w:hAnsi="Times New Roman"/>
                <w:color w:val="000000"/>
                <w:sz w:val="20"/>
                <w:szCs w:val="20"/>
              </w:rPr>
              <w:t>SFV</w:t>
            </w:r>
            <w:proofErr w:type="spellEnd"/>
            <w:r w:rsidRPr="008C262D">
              <w:rPr>
                <w:rFonts w:ascii="Times New Roman" w:eastAsia="Times New Roman" w:hAnsi="Times New Roman"/>
                <w:color w:val="000000"/>
                <w:sz w:val="20"/>
                <w:szCs w:val="20"/>
              </w:rPr>
              <w:t xml:space="preserve"> rate design is already accounted for in Mr. Lawton's return on equity calculation, and no additional adjustment is necessary."</w:t>
            </w:r>
          </w:p>
          <w:p w:rsidR="00B96D07" w:rsidRPr="008C262D" w:rsidRDefault="00B96D07" w:rsidP="00B96D07">
            <w:pPr>
              <w:spacing w:after="0"/>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"Even if a 50 basis point reduction were made t</w:t>
            </w:r>
            <w:r>
              <w:rPr>
                <w:rFonts w:ascii="Times New Roman" w:eastAsia="Times New Roman" w:hAnsi="Times New Roman"/>
                <w:color w:val="000000"/>
                <w:sz w:val="20"/>
                <w:szCs w:val="20"/>
              </w:rPr>
              <w:t xml:space="preserve">he </w:t>
            </w:r>
            <w:r w:rsidRPr="008C262D">
              <w:rPr>
                <w:rFonts w:ascii="Times New Roman" w:eastAsia="Times New Roman" w:hAnsi="Times New Roman"/>
                <w:color w:val="000000"/>
                <w:sz w:val="20"/>
                <w:szCs w:val="20"/>
              </w:rPr>
              <w:t xml:space="preserve">recommended ROE range of 9.5 to 10.5%, an ROE of 10.0% would still be within the range he recommended as reasonable and appropriate for </w:t>
            </w:r>
            <w:proofErr w:type="spellStart"/>
            <w:r w:rsidRPr="008C262D">
              <w:rPr>
                <w:rFonts w:ascii="Times New Roman" w:eastAsia="Times New Roman" w:hAnsi="Times New Roman"/>
                <w:color w:val="000000"/>
                <w:sz w:val="20"/>
                <w:szCs w:val="20"/>
              </w:rPr>
              <w:t>MGE</w:t>
            </w:r>
            <w:proofErr w:type="spellEnd"/>
            <w:r w:rsidRPr="008C262D">
              <w:rPr>
                <w:rFonts w:ascii="Times New Roman" w:eastAsia="Times New Roman" w:hAnsi="Times New Roman"/>
                <w:color w:val="000000"/>
                <w:sz w:val="20"/>
                <w:szCs w:val="20"/>
              </w:rPr>
              <w:t xml:space="preserve"> in this case</w:t>
            </w:r>
            <w:proofErr w:type="gramStart"/>
            <w:r w:rsidRPr="008C262D">
              <w:rPr>
                <w:rFonts w:ascii="Times New Roman" w:eastAsia="Times New Roman" w:hAnsi="Times New Roman"/>
                <w:color w:val="000000"/>
                <w:sz w:val="20"/>
                <w:szCs w:val="20"/>
              </w:rPr>
              <w:t>. "</w:t>
            </w:r>
            <w:proofErr w:type="gramEnd"/>
          </w:p>
        </w:tc>
        <w:tc>
          <w:tcPr>
            <w:tcW w:w="1260" w:type="dxa"/>
            <w:tcBorders>
              <w:top w:val="single" w:sz="6" w:space="0" w:color="808080" w:themeColor="background1" w:themeShade="80"/>
              <w:bottom w:val="single" w:sz="4" w:space="0" w:color="808080" w:themeColor="background1" w:themeShade="80"/>
            </w:tcBorders>
            <w:shd w:val="clear" w:color="000000" w:fill="FFFFFF"/>
            <w:vAlign w:val="bottom"/>
            <w:hideMark/>
          </w:tcPr>
          <w:p w:rsidR="00B96D07" w:rsidRPr="008C262D" w:rsidRDefault="00B96D07" w:rsidP="00B96D07">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 </w:t>
            </w:r>
          </w:p>
        </w:tc>
        <w:tc>
          <w:tcPr>
            <w:tcW w:w="1260" w:type="dxa"/>
            <w:tcBorders>
              <w:top w:val="single" w:sz="6"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B96D07" w:rsidRPr="008C262D" w:rsidRDefault="00B96D07" w:rsidP="00B96D07">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 </w:t>
            </w:r>
          </w:p>
        </w:tc>
      </w:tr>
      <w:tr w:rsidR="008C262D" w:rsidRPr="008C262D" w:rsidTr="00825859">
        <w:trPr>
          <w:trHeight w:val="1699"/>
        </w:trPr>
        <w:tc>
          <w:tcPr>
            <w:tcW w:w="1458" w:type="dxa"/>
            <w:tcBorders>
              <w:top w:val="single" w:sz="4" w:space="0" w:color="808080" w:themeColor="background1" w:themeShade="80"/>
              <w:left w:val="single" w:sz="4" w:space="0" w:color="000000" w:themeColor="text1"/>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Southwest Gas (NV)</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09-04003</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“Southwest acknowledged that revenue stabilization mechanisms, such as decoupling, reduce risk and proposed a minimal reduction of 10 basis points to the ROE.”  Staff testified that the reduction should be between 20 and 70 points. The Commission found that “a 25 basis point reduction is adequate to maintain Southwest’s financial viability and is sufficient to allow it to raise the capital necessary to provide adequate, safe and reliable service.”</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25 basis points.</w:t>
            </w:r>
          </w:p>
        </w:tc>
      </w:tr>
      <w:tr w:rsidR="008C262D" w:rsidRPr="008C262D" w:rsidTr="00B96D07">
        <w:trPr>
          <w:trHeight w:val="945"/>
        </w:trPr>
        <w:tc>
          <w:tcPr>
            <w:tcW w:w="1458" w:type="dxa"/>
            <w:tcBorders>
              <w:top w:val="single" w:sz="4" w:space="0" w:color="808080" w:themeColor="background1" w:themeShade="80"/>
              <w:left w:val="single" w:sz="4" w:space="0" w:color="000000" w:themeColor="text1"/>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Consolidated Edison (NY)</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Case No.     06-G-1332</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 Mechanism (</w:t>
            </w:r>
            <w:proofErr w:type="spellStart"/>
            <w:r w:rsidRPr="008C262D">
              <w:rPr>
                <w:rFonts w:ascii="Times New Roman" w:eastAsia="Times New Roman" w:hAnsi="Times New Roman"/>
                <w:color w:val="000000"/>
                <w:sz w:val="20"/>
                <w:szCs w:val="20"/>
              </w:rPr>
              <w:t>RDM</w:t>
            </w:r>
            <w:proofErr w:type="spellEnd"/>
            <w:r w:rsidRPr="008C262D">
              <w:rPr>
                <w:rFonts w:ascii="Times New Roman" w:eastAsia="Times New Roman" w:hAnsi="Times New Roman"/>
                <w:color w:val="000000"/>
                <w:sz w:val="20"/>
                <w:szCs w:val="20"/>
              </w:rPr>
              <w: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Public Utility Law Project notes that the existence of an </w:t>
            </w:r>
            <w:proofErr w:type="spellStart"/>
            <w:r w:rsidRPr="008C262D">
              <w:rPr>
                <w:rFonts w:ascii="Times New Roman" w:eastAsia="Times New Roman" w:hAnsi="Times New Roman"/>
                <w:color w:val="000000"/>
                <w:sz w:val="20"/>
                <w:szCs w:val="20"/>
              </w:rPr>
              <w:t>RDM</w:t>
            </w:r>
            <w:proofErr w:type="spellEnd"/>
            <w:r w:rsidRPr="008C262D">
              <w:rPr>
                <w:rFonts w:ascii="Times New Roman" w:eastAsia="Times New Roman" w:hAnsi="Times New Roman"/>
                <w:color w:val="000000"/>
                <w:sz w:val="20"/>
                <w:szCs w:val="20"/>
              </w:rPr>
              <w:t xml:space="preserve"> “shifts a substantial risk of revenue shortfalls from the utility to the ratepayers” and the ROE should be reduced proportionately.</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1C7B76" w:rsidRPr="008C262D" w:rsidTr="00B96D07">
        <w:trPr>
          <w:trHeight w:val="2089"/>
        </w:trPr>
        <w:tc>
          <w:tcPr>
            <w:tcW w:w="1458" w:type="dxa"/>
            <w:tcBorders>
              <w:top w:val="single" w:sz="4" w:space="0" w:color="808080" w:themeColor="background1" w:themeShade="80"/>
              <w:left w:val="single" w:sz="4" w:space="0" w:color="000000" w:themeColor="text1"/>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National Fuel Gas Distribution Co (NY)</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Case No.     07-G-0141</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 Mechanism (</w:t>
            </w:r>
            <w:proofErr w:type="spellStart"/>
            <w:r w:rsidRPr="008C262D">
              <w:rPr>
                <w:rFonts w:ascii="Times New Roman" w:eastAsia="Times New Roman" w:hAnsi="Times New Roman"/>
                <w:color w:val="000000"/>
                <w:sz w:val="20"/>
                <w:szCs w:val="20"/>
              </w:rPr>
              <w:t>RDM</w:t>
            </w:r>
            <w:proofErr w:type="spellEnd"/>
            <w:r w:rsidRPr="008C262D">
              <w:rPr>
                <w:rFonts w:ascii="Times New Roman" w:eastAsia="Times New Roman" w:hAnsi="Times New Roman"/>
                <w:color w:val="000000"/>
                <w:sz w:val="20"/>
                <w:szCs w:val="20"/>
              </w:rPr>
              <w: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1C7B76">
            <w:pPr>
              <w:spacing w:after="12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Staff, multiple </w:t>
            </w:r>
            <w:proofErr w:type="spellStart"/>
            <w:r w:rsidRPr="008C262D">
              <w:rPr>
                <w:rFonts w:ascii="Times New Roman" w:eastAsia="Times New Roman" w:hAnsi="Times New Roman"/>
                <w:color w:val="000000"/>
                <w:sz w:val="20"/>
                <w:szCs w:val="20"/>
              </w:rPr>
              <w:t>intervenors</w:t>
            </w:r>
            <w:proofErr w:type="spellEnd"/>
            <w:r w:rsidRPr="008C262D">
              <w:rPr>
                <w:rFonts w:ascii="Times New Roman" w:eastAsia="Times New Roman" w:hAnsi="Times New Roman"/>
                <w:color w:val="000000"/>
                <w:sz w:val="20"/>
                <w:szCs w:val="20"/>
              </w:rPr>
              <w:t xml:space="preserve"> and </w:t>
            </w:r>
            <w:proofErr w:type="spellStart"/>
            <w:r w:rsidRPr="008C262D">
              <w:rPr>
                <w:rFonts w:ascii="Times New Roman" w:eastAsia="Times New Roman" w:hAnsi="Times New Roman"/>
                <w:color w:val="000000"/>
                <w:sz w:val="20"/>
                <w:szCs w:val="20"/>
              </w:rPr>
              <w:t>CPB</w:t>
            </w:r>
            <w:proofErr w:type="spellEnd"/>
            <w:r w:rsidRPr="008C262D">
              <w:rPr>
                <w:rFonts w:ascii="Times New Roman" w:eastAsia="Times New Roman" w:hAnsi="Times New Roman"/>
                <w:color w:val="000000"/>
                <w:sz w:val="20"/>
                <w:szCs w:val="20"/>
              </w:rPr>
              <w:t xml:space="preserve"> support a 25 basis point reduction to the allowed rate of return.</w:t>
            </w:r>
          </w:p>
          <w:p w:rsidR="001C7B76" w:rsidRPr="008C262D" w:rsidRDefault="001C7B76" w:rsidP="001C7B76">
            <w:pPr>
              <w:spacing w:after="0"/>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Commission stated that given it is adopting the </w:t>
            </w:r>
            <w:proofErr w:type="spellStart"/>
            <w:r w:rsidRPr="008C262D">
              <w:rPr>
                <w:rFonts w:ascii="Times New Roman" w:eastAsia="Times New Roman" w:hAnsi="Times New Roman"/>
                <w:color w:val="000000"/>
                <w:sz w:val="20"/>
                <w:szCs w:val="20"/>
              </w:rPr>
              <w:t>RDM</w:t>
            </w:r>
            <w:proofErr w:type="spellEnd"/>
            <w:r w:rsidRPr="008C262D">
              <w:rPr>
                <w:rFonts w:ascii="Times New Roman" w:eastAsia="Times New Roman" w:hAnsi="Times New Roman"/>
                <w:color w:val="000000"/>
                <w:sz w:val="20"/>
                <w:szCs w:val="20"/>
              </w:rPr>
              <w:t xml:space="preserve"> “that most of the companies in Staff’s proxy group do not have revenue decoupling mechanisms, and that the effects of revenue decoupling mechanisms have long been considered by investors and factored into the financial market data for natural gas firms, we will apply a 10 basis points reduction.”</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10 basis points</w:t>
            </w:r>
          </w:p>
        </w:tc>
      </w:tr>
      <w:tr w:rsidR="008C262D" w:rsidRPr="008C262D" w:rsidTr="00B96D07">
        <w:trPr>
          <w:trHeight w:val="1200"/>
        </w:trPr>
        <w:tc>
          <w:tcPr>
            <w:tcW w:w="1458" w:type="dxa"/>
            <w:tcBorders>
              <w:top w:val="single" w:sz="4" w:space="0" w:color="808080" w:themeColor="background1" w:themeShade="80"/>
              <w:left w:val="single" w:sz="4" w:space="0" w:color="000000" w:themeColor="text1"/>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Chattanooga Gas (TN)</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06-00175</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Conservation and Usage Adjustment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Chattanooga witness stated, “[</w:t>
            </w:r>
            <w:proofErr w:type="spellStart"/>
            <w:r w:rsidRPr="008C262D">
              <w:rPr>
                <w:rFonts w:ascii="Times New Roman" w:eastAsia="Times New Roman" w:hAnsi="Times New Roman"/>
                <w:color w:val="000000"/>
                <w:sz w:val="20"/>
                <w:szCs w:val="20"/>
              </w:rPr>
              <w:t>i</w:t>
            </w:r>
            <w:proofErr w:type="spellEnd"/>
            <w:r w:rsidRPr="008C262D">
              <w:rPr>
                <w:rFonts w:ascii="Times New Roman" w:eastAsia="Times New Roman" w:hAnsi="Times New Roman"/>
                <w:color w:val="000000"/>
                <w:sz w:val="20"/>
                <w:szCs w:val="20"/>
              </w:rPr>
              <w:t xml:space="preserve">]f the proposed </w:t>
            </w:r>
            <w:proofErr w:type="spellStart"/>
            <w:r w:rsidRPr="008C262D">
              <w:rPr>
                <w:rFonts w:ascii="Times New Roman" w:eastAsia="Times New Roman" w:hAnsi="Times New Roman"/>
                <w:color w:val="000000"/>
                <w:sz w:val="20"/>
                <w:szCs w:val="20"/>
              </w:rPr>
              <w:t>CUA</w:t>
            </w:r>
            <w:proofErr w:type="spellEnd"/>
            <w:r w:rsidRPr="008C262D">
              <w:rPr>
                <w:rFonts w:ascii="Times New Roman" w:eastAsia="Times New Roman" w:hAnsi="Times New Roman"/>
                <w:color w:val="000000"/>
                <w:sz w:val="20"/>
                <w:szCs w:val="20"/>
              </w:rPr>
              <w:t xml:space="preserve"> and </w:t>
            </w:r>
            <w:proofErr w:type="spellStart"/>
            <w:r w:rsidRPr="008C262D">
              <w:rPr>
                <w:rFonts w:ascii="Times New Roman" w:eastAsia="Times New Roman" w:hAnsi="Times New Roman"/>
                <w:color w:val="000000"/>
                <w:sz w:val="20"/>
                <w:szCs w:val="20"/>
              </w:rPr>
              <w:t>PRP</w:t>
            </w:r>
            <w:proofErr w:type="spellEnd"/>
            <w:r w:rsidRPr="008C262D">
              <w:rPr>
                <w:rFonts w:ascii="Times New Roman" w:eastAsia="Times New Roman" w:hAnsi="Times New Roman"/>
                <w:color w:val="000000"/>
                <w:sz w:val="20"/>
                <w:szCs w:val="20"/>
              </w:rPr>
              <w:t xml:space="preserve"> mechanisms are approved, the Company’s risk will be reduced, and the cost of common equity capital likely will decline by some 50 basis points from 11.5% to 11.0%.” </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CUA</w:t>
            </w:r>
            <w:proofErr w:type="spellEnd"/>
            <w:r w:rsidRPr="008C262D">
              <w:rPr>
                <w:rFonts w:ascii="Times New Roman" w:eastAsia="Times New Roman" w:hAnsi="Times New Roman"/>
                <w:color w:val="000000"/>
                <w:sz w:val="20"/>
                <w:szCs w:val="20"/>
              </w:rPr>
              <w:t xml:space="preserve"> was not adopted, no adjustment was made</w:t>
            </w:r>
          </w:p>
        </w:tc>
      </w:tr>
      <w:tr w:rsidR="008C262D" w:rsidRPr="008C262D" w:rsidTr="00B96D07">
        <w:trPr>
          <w:trHeight w:val="1122"/>
        </w:trPr>
        <w:tc>
          <w:tcPr>
            <w:tcW w:w="1458" w:type="dxa"/>
            <w:tcBorders>
              <w:top w:val="single" w:sz="4" w:space="0" w:color="808080" w:themeColor="background1" w:themeShade="80"/>
              <w:left w:val="single" w:sz="4" w:space="0" w:color="000000" w:themeColor="text1"/>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Piedmont Gas (TN)</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09-00104</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Margin Decoupling Tracker</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Consumer Advocate recommended an evaluation of Piedmont's rate of return in a general rate case; or a reduction of 100 basis points.</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Decoupling was not adopted, no adjustment was made</w:t>
            </w:r>
          </w:p>
        </w:tc>
      </w:tr>
      <w:tr w:rsidR="008C262D" w:rsidRPr="008C262D" w:rsidTr="00B96D07">
        <w:trPr>
          <w:trHeight w:val="199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1C7B76">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Chattanooga Gas (TN)</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1C7B76">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09-00183</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1C7B76">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Usage Adjustment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1C7B76">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Commission found that "…the evidence presented by the parties made clear that decoupling impacts the return on equity by reducing risks, although both parties presented different views on both the direction and magnitude of the required adjustment.  Having carefully reviewed the record, the panel voted unanimously to adopt the conservative estimate of a twenty-five basis point reduction to equity return based upon the rate design adopted by the panel."</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1C7B76">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1C7B76">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adjusted downward by 25 basis points</w:t>
            </w:r>
          </w:p>
        </w:tc>
      </w:tr>
      <w:tr w:rsidR="008C262D" w:rsidRPr="008C262D" w:rsidTr="00B96D07">
        <w:trPr>
          <w:trHeight w:val="142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Questar</w:t>
            </w:r>
            <w:proofErr w:type="spellEnd"/>
            <w:r w:rsidRPr="008C262D">
              <w:rPr>
                <w:rFonts w:ascii="Times New Roman" w:eastAsia="Times New Roman" w:hAnsi="Times New Roman"/>
                <w:color w:val="000000"/>
                <w:sz w:val="20"/>
                <w:szCs w:val="20"/>
              </w:rPr>
              <w:t xml:space="preserve"> Gas Company (WY)</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30010-94-GR-08</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Conservation Enabling Tariff</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w:t>
            </w:r>
            <w:proofErr w:type="spellStart"/>
            <w:r w:rsidRPr="008C262D">
              <w:rPr>
                <w:rFonts w:ascii="Times New Roman" w:eastAsia="Times New Roman" w:hAnsi="Times New Roman"/>
                <w:color w:val="000000"/>
                <w:sz w:val="20"/>
                <w:szCs w:val="20"/>
              </w:rPr>
              <w:t>OCA</w:t>
            </w:r>
            <w:proofErr w:type="spellEnd"/>
            <w:r w:rsidRPr="008C262D">
              <w:rPr>
                <w:rFonts w:ascii="Times New Roman" w:eastAsia="Times New Roman" w:hAnsi="Times New Roman"/>
                <w:color w:val="000000"/>
                <w:sz w:val="20"/>
                <w:szCs w:val="20"/>
              </w:rPr>
              <w:t xml:space="preserve"> witness recommended a downward adjustment to ROE by 25 points; however, the Commission rejected this adjustment, agreeing that the proposed </w:t>
            </w:r>
            <w:proofErr w:type="spellStart"/>
            <w:r w:rsidRPr="008C262D">
              <w:rPr>
                <w:rFonts w:ascii="Times New Roman" w:eastAsia="Times New Roman" w:hAnsi="Times New Roman"/>
                <w:color w:val="000000"/>
                <w:sz w:val="20"/>
                <w:szCs w:val="20"/>
              </w:rPr>
              <w:t>CET</w:t>
            </w:r>
            <w:proofErr w:type="spellEnd"/>
            <w:r w:rsidRPr="008C262D">
              <w:rPr>
                <w:rFonts w:ascii="Times New Roman" w:eastAsia="Times New Roman" w:hAnsi="Times New Roman"/>
                <w:color w:val="000000"/>
                <w:sz w:val="20"/>
                <w:szCs w:val="20"/>
              </w:rPr>
              <w:t xml:space="preserve"> may reduce Company risk, but that the </w:t>
            </w:r>
            <w:proofErr w:type="spellStart"/>
            <w:r w:rsidRPr="008C262D">
              <w:rPr>
                <w:rFonts w:ascii="Times New Roman" w:eastAsia="Times New Roman" w:hAnsi="Times New Roman"/>
                <w:color w:val="000000"/>
                <w:sz w:val="20"/>
                <w:szCs w:val="20"/>
              </w:rPr>
              <w:t>OCA</w:t>
            </w:r>
            <w:proofErr w:type="spellEnd"/>
            <w:r w:rsidRPr="008C262D">
              <w:rPr>
                <w:rFonts w:ascii="Times New Roman" w:eastAsia="Times New Roman" w:hAnsi="Times New Roman"/>
                <w:color w:val="000000"/>
                <w:sz w:val="20"/>
                <w:szCs w:val="20"/>
              </w:rPr>
              <w:t xml:space="preserve"> did not provide a logical basis "...on which to derive or apply the 25 basis point reduction in this docket."</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8C262D" w:rsidRPr="008C262D" w:rsidTr="00B96D07">
        <w:trPr>
          <w:trHeight w:val="298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Piedmont Natural Gas Company, Inc. (NC)</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G-9</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Margin Decoupling Tracker</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Attorney General argued that customer </w:t>
            </w:r>
            <w:proofErr w:type="gramStart"/>
            <w:r w:rsidRPr="008C262D">
              <w:rPr>
                <w:rFonts w:ascii="Times New Roman" w:eastAsia="Times New Roman" w:hAnsi="Times New Roman"/>
                <w:color w:val="000000"/>
                <w:sz w:val="20"/>
                <w:szCs w:val="20"/>
              </w:rPr>
              <w:t>receive</w:t>
            </w:r>
            <w:proofErr w:type="gramEnd"/>
            <w:r w:rsidRPr="008C262D">
              <w:rPr>
                <w:rFonts w:ascii="Times New Roman" w:eastAsia="Times New Roman" w:hAnsi="Times New Roman"/>
                <w:color w:val="000000"/>
                <w:sz w:val="20"/>
                <w:szCs w:val="20"/>
              </w:rPr>
              <w:t xml:space="preserve"> no benefit from the MDT.  However, in this rate case, Piedmont witness Carpenter stated that the Company would not have accepted the settlement package, which includes the 10.60% return on equity, without the MDT, although he stated that there was no "quantification on any impact" relating to the MDT.  The Commission has testimony before it that the Company agreed to give up a higher return on equity and higher monthly charges in exchange for the MDT.  The Commission accepts this testimony, so that the Commission cannot agree with the Attorney General's assertion that customers will receive no benefit."</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8C262D" w:rsidRPr="008C262D" w:rsidTr="00B96D07">
        <w:trPr>
          <w:trHeight w:val="20"/>
        </w:trPr>
        <w:tc>
          <w:tcPr>
            <w:tcW w:w="1458" w:type="dxa"/>
            <w:tcBorders>
              <w:top w:val="single" w:sz="4" w:space="0" w:color="808080" w:themeColor="background1" w:themeShade="80"/>
              <w:lef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493" w:type="dxa"/>
            <w:tcBorders>
              <w:top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567" w:type="dxa"/>
            <w:tcBorders>
              <w:top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6300" w:type="dxa"/>
            <w:tcBorders>
              <w:top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top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top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r>
      <w:tr w:rsidR="008C262D" w:rsidRPr="008C262D" w:rsidTr="00B96D07">
        <w:trPr>
          <w:trHeight w:val="120"/>
        </w:trPr>
        <w:tc>
          <w:tcPr>
            <w:tcW w:w="1458" w:type="dxa"/>
            <w:tcBorders>
              <w:lef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493" w:type="dxa"/>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567" w:type="dxa"/>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6300" w:type="dxa"/>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r>
      <w:tr w:rsidR="008C262D" w:rsidRPr="008C262D" w:rsidTr="00B96D07">
        <w:trPr>
          <w:trHeight w:val="255"/>
        </w:trPr>
        <w:tc>
          <w:tcPr>
            <w:tcW w:w="1458" w:type="dxa"/>
            <w:tcBorders>
              <w:left w:val="single" w:sz="4" w:space="0" w:color="auto"/>
              <w:bottom w:val="nil"/>
            </w:tcBorders>
            <w:shd w:val="clear" w:color="000000" w:fill="FFFFFF"/>
            <w:vAlign w:val="bottom"/>
            <w:hideMark/>
          </w:tcPr>
          <w:p w:rsidR="001C7B76" w:rsidRDefault="001C7B76" w:rsidP="008C262D">
            <w:pPr>
              <w:spacing w:after="0" w:line="240" w:lineRule="auto"/>
              <w:rPr>
                <w:rFonts w:ascii="Times New Roman" w:eastAsia="Times New Roman" w:hAnsi="Times New Roman"/>
                <w:b/>
                <w:bCs/>
                <w:color w:val="000000"/>
                <w:sz w:val="20"/>
                <w:szCs w:val="20"/>
              </w:rPr>
            </w:pPr>
          </w:p>
          <w:p w:rsidR="001C7B76" w:rsidRDefault="001C7B76" w:rsidP="008C262D">
            <w:pPr>
              <w:spacing w:after="0" w:line="240" w:lineRule="auto"/>
              <w:rPr>
                <w:rFonts w:ascii="Times New Roman" w:eastAsia="Times New Roman" w:hAnsi="Times New Roman"/>
                <w:b/>
                <w:bCs/>
                <w:color w:val="000000"/>
                <w:sz w:val="20"/>
                <w:szCs w:val="20"/>
              </w:rPr>
            </w:pPr>
          </w:p>
          <w:p w:rsidR="001C7B76" w:rsidRDefault="001C7B76" w:rsidP="008C262D">
            <w:pPr>
              <w:spacing w:after="0" w:line="240" w:lineRule="auto"/>
              <w:rPr>
                <w:rFonts w:ascii="Times New Roman" w:eastAsia="Times New Roman" w:hAnsi="Times New Roman"/>
                <w:b/>
                <w:bCs/>
                <w:color w:val="000000"/>
                <w:sz w:val="20"/>
                <w:szCs w:val="20"/>
              </w:rPr>
            </w:pPr>
          </w:p>
          <w:p w:rsidR="001C7B76" w:rsidRDefault="001C7B76" w:rsidP="008C262D">
            <w:pPr>
              <w:spacing w:after="0" w:line="240" w:lineRule="auto"/>
              <w:rPr>
                <w:rFonts w:ascii="Times New Roman" w:eastAsia="Times New Roman" w:hAnsi="Times New Roman"/>
                <w:b/>
                <w:bCs/>
                <w:color w:val="000000"/>
                <w:sz w:val="20"/>
                <w:szCs w:val="20"/>
              </w:rPr>
            </w:pPr>
          </w:p>
          <w:p w:rsidR="001C7B76" w:rsidRDefault="001C7B76" w:rsidP="008C262D">
            <w:pPr>
              <w:spacing w:after="0" w:line="240" w:lineRule="auto"/>
              <w:rPr>
                <w:rFonts w:ascii="Times New Roman" w:eastAsia="Times New Roman" w:hAnsi="Times New Roman"/>
                <w:b/>
                <w:bCs/>
                <w:color w:val="000000"/>
                <w:sz w:val="20"/>
                <w:szCs w:val="20"/>
              </w:rPr>
            </w:pPr>
          </w:p>
          <w:p w:rsidR="008C262D" w:rsidRPr="008C262D" w:rsidRDefault="008C262D" w:rsidP="008C262D">
            <w:pPr>
              <w:spacing w:after="0" w:line="240" w:lineRule="auto"/>
              <w:rPr>
                <w:rFonts w:ascii="Times New Roman" w:eastAsia="Times New Roman" w:hAnsi="Times New Roman"/>
                <w:b/>
                <w:bCs/>
                <w:color w:val="000000"/>
                <w:sz w:val="20"/>
                <w:szCs w:val="20"/>
              </w:rPr>
            </w:pPr>
            <w:r w:rsidRPr="008C262D">
              <w:rPr>
                <w:rFonts w:ascii="Times New Roman" w:eastAsia="Times New Roman" w:hAnsi="Times New Roman"/>
                <w:b/>
                <w:bCs/>
                <w:color w:val="000000"/>
                <w:sz w:val="20"/>
                <w:szCs w:val="20"/>
              </w:rPr>
              <w:t>ELECTRIC</w:t>
            </w:r>
          </w:p>
        </w:tc>
        <w:tc>
          <w:tcPr>
            <w:tcW w:w="1493" w:type="dxa"/>
            <w:tcBorders>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567" w:type="dxa"/>
            <w:tcBorders>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6300" w:type="dxa"/>
            <w:tcBorders>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bottom w:val="nil"/>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r>
      <w:tr w:rsidR="008C262D" w:rsidRPr="008C262D" w:rsidTr="00B96D07">
        <w:trPr>
          <w:trHeight w:val="1905"/>
        </w:trPr>
        <w:tc>
          <w:tcPr>
            <w:tcW w:w="1458" w:type="dxa"/>
            <w:tcBorders>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Connecticut Light &amp; Power (CT)</w:t>
            </w:r>
          </w:p>
        </w:tc>
        <w:tc>
          <w:tcPr>
            <w:tcW w:w="1493" w:type="dxa"/>
            <w:tcBorders>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09-12-05</w:t>
            </w:r>
          </w:p>
        </w:tc>
        <w:tc>
          <w:tcPr>
            <w:tcW w:w="1567" w:type="dxa"/>
            <w:tcBorders>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Decoupling</w:t>
            </w:r>
          </w:p>
        </w:tc>
        <w:tc>
          <w:tcPr>
            <w:tcW w:w="6300" w:type="dxa"/>
            <w:tcBorders>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OCC witness recommended a downward equity cost rate adjustment to reflect the risk reduction attributes of decoupling.  The AG advocated a 50-basis point adjustment should decoupling be adopted.  The Department stated, "While the Department finds that the implementation of a decoupling mechanism further reduces the overall risk profile of the Company, the Department did not establish a decoupling mechanism in this proceeding."</w:t>
            </w:r>
          </w:p>
        </w:tc>
        <w:tc>
          <w:tcPr>
            <w:tcW w:w="1260" w:type="dxa"/>
            <w:tcBorders>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Decoupling was not adopted, no adjustment was made</w:t>
            </w:r>
          </w:p>
        </w:tc>
      </w:tr>
      <w:tr w:rsidR="008C262D" w:rsidRPr="008C262D" w:rsidTr="00B96D07">
        <w:trPr>
          <w:trHeight w:val="2529"/>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United Illuminating (CT)</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08-07-04</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Although the Department did not explicitly make a downward adjustment to the ROE to account for a decoupling mechanism, it confirmed a lower ROE is necessary in this proceeding: “[t]</w:t>
            </w:r>
            <w:proofErr w:type="gramStart"/>
            <w:r w:rsidRPr="008C262D">
              <w:rPr>
                <w:rFonts w:ascii="Times New Roman" w:eastAsia="Times New Roman" w:hAnsi="Times New Roman"/>
                <w:color w:val="000000"/>
                <w:sz w:val="20"/>
                <w:szCs w:val="20"/>
              </w:rPr>
              <w:t>he</w:t>
            </w:r>
            <w:proofErr w:type="gramEnd"/>
            <w:r w:rsidRPr="008C262D">
              <w:rPr>
                <w:rFonts w:ascii="Times New Roman" w:eastAsia="Times New Roman" w:hAnsi="Times New Roman"/>
                <w:color w:val="000000"/>
                <w:sz w:val="20"/>
                <w:szCs w:val="20"/>
              </w:rPr>
              <w:t xml:space="preserve"> implementation of a decoupling mechanism further mitigates the earnings pressure of the Company having the impact of reducing the overall risk profile of UI.  Risk is also reduced in this proceeding since the portion of distribution costs collected through fixed customer service and demand charges was increased. The collection of costs through fixed charges rather than energy charges reduces the variability of earnings associated with sales.”</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Unidentified</w:t>
            </w:r>
          </w:p>
        </w:tc>
      </w:tr>
      <w:tr w:rsidR="008C262D" w:rsidRPr="008C262D" w:rsidTr="00B96D07">
        <w:trPr>
          <w:trHeight w:val="115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Idaho Power (ID)</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Case No.    IPC-E-04-15</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Fixed Cost Adjustment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ICAN</w:t>
            </w:r>
            <w:proofErr w:type="spellEnd"/>
            <w:r w:rsidRPr="008C262D">
              <w:rPr>
                <w:rFonts w:ascii="Times New Roman" w:eastAsia="Times New Roman" w:hAnsi="Times New Roman"/>
                <w:color w:val="000000"/>
                <w:sz w:val="20"/>
                <w:szCs w:val="20"/>
              </w:rPr>
              <w:t xml:space="preserve"> recommended an adjustment of 50 basis points.  The Commission stated that the recommended ROE adjustment is a general rate case issue and can be addressed in the Company’s next rate case.</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To be determined</w:t>
            </w:r>
          </w:p>
        </w:tc>
      </w:tr>
      <w:tr w:rsidR="008C262D" w:rsidRPr="008C262D" w:rsidTr="00B96D07">
        <w:trPr>
          <w:trHeight w:val="1740"/>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National Grid (MA)</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09-39</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AG witness stated: "[t]he adoption of such a mechanism should serve to reduce the volatility of a company’s revenues and earned ROE. A reduction in volatility reduces the riskiness of an enterprise. Under the presumption that the Commission does include a decoupling mechanism, I recommend a 25 basis point reduction in the authorized return on equity to reflect the reduction in risk.</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8C262D" w:rsidRPr="008C262D" w:rsidTr="00B96D07">
        <w:trPr>
          <w:trHeight w:val="810"/>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Delmarva Power and Light (MD)</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Case No. 9093</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Bill Stabilization Adjustment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w:t>
            </w:r>
            <w:proofErr w:type="spellStart"/>
            <w:r w:rsidRPr="008C262D">
              <w:rPr>
                <w:rFonts w:ascii="Times New Roman" w:eastAsia="Times New Roman" w:hAnsi="Times New Roman"/>
                <w:color w:val="000000"/>
                <w:sz w:val="20"/>
                <w:szCs w:val="20"/>
              </w:rPr>
              <w:t>BSA</w:t>
            </w:r>
            <w:proofErr w:type="spellEnd"/>
            <w:r w:rsidRPr="008C262D">
              <w:rPr>
                <w:rFonts w:ascii="Times New Roman" w:eastAsia="Times New Roman" w:hAnsi="Times New Roman"/>
                <w:color w:val="000000"/>
                <w:sz w:val="20"/>
                <w:szCs w:val="20"/>
              </w:rPr>
              <w:t xml:space="preserve"> reduces the risks faced by the Company, and thus allows us to reduce the return on equity by 50 basis points.”</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50 basis points</w:t>
            </w:r>
          </w:p>
        </w:tc>
      </w:tr>
      <w:tr w:rsidR="008C262D" w:rsidRPr="008C262D" w:rsidTr="00B96D07">
        <w:trPr>
          <w:trHeight w:val="930"/>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Potomac Electric Power Company (MD)</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Case No. 9092</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Bill Stabilization Adjustment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w:t>
            </w:r>
            <w:proofErr w:type="spellStart"/>
            <w:r w:rsidRPr="008C262D">
              <w:rPr>
                <w:rFonts w:ascii="Times New Roman" w:eastAsia="Times New Roman" w:hAnsi="Times New Roman"/>
                <w:color w:val="000000"/>
                <w:sz w:val="20"/>
                <w:szCs w:val="20"/>
              </w:rPr>
              <w:t>BSA</w:t>
            </w:r>
            <w:proofErr w:type="spellEnd"/>
            <w:r w:rsidRPr="008C262D">
              <w:rPr>
                <w:rFonts w:ascii="Times New Roman" w:eastAsia="Times New Roman" w:hAnsi="Times New Roman"/>
                <w:color w:val="000000"/>
                <w:sz w:val="20"/>
                <w:szCs w:val="20"/>
              </w:rPr>
              <w:t xml:space="preserve"> reduces the risks faced by the Company, and thus allows us to reduce the return on equity by 50 basis points.”</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50 basis points</w:t>
            </w:r>
          </w:p>
        </w:tc>
      </w:tr>
      <w:tr w:rsidR="008C262D" w:rsidRPr="008C262D" w:rsidTr="00B96D07">
        <w:trPr>
          <w:trHeight w:val="2040"/>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Detroit Edison (MI)</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Case No. U-15768; and    U-15751</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w:t>
            </w:r>
            <w:proofErr w:type="spellStart"/>
            <w:r w:rsidRPr="008C262D">
              <w:rPr>
                <w:rFonts w:ascii="Times New Roman" w:eastAsia="Times New Roman" w:hAnsi="Times New Roman"/>
                <w:color w:val="000000"/>
                <w:sz w:val="20"/>
                <w:szCs w:val="20"/>
              </w:rPr>
              <w:t>PSC</w:t>
            </w:r>
            <w:proofErr w:type="spellEnd"/>
            <w:r w:rsidRPr="008C262D">
              <w:rPr>
                <w:rFonts w:ascii="Times New Roman" w:eastAsia="Times New Roman" w:hAnsi="Times New Roman"/>
                <w:color w:val="000000"/>
                <w:sz w:val="20"/>
                <w:szCs w:val="20"/>
              </w:rPr>
              <w:t xml:space="preserve"> found that a reduction in ROE merits careful consideration.  "The adoption of trackers for </w:t>
            </w:r>
            <w:proofErr w:type="spellStart"/>
            <w:r w:rsidRPr="008C262D">
              <w:rPr>
                <w:rFonts w:ascii="Times New Roman" w:eastAsia="Times New Roman" w:hAnsi="Times New Roman"/>
                <w:color w:val="000000"/>
                <w:sz w:val="20"/>
                <w:szCs w:val="20"/>
              </w:rPr>
              <w:t>uncollectibles</w:t>
            </w:r>
            <w:proofErr w:type="spellEnd"/>
            <w:r w:rsidRPr="008C262D">
              <w:rPr>
                <w:rFonts w:ascii="Times New Roman" w:eastAsia="Times New Roman" w:hAnsi="Times New Roman"/>
                <w:color w:val="000000"/>
                <w:sz w:val="20"/>
                <w:szCs w:val="20"/>
              </w:rPr>
              <w:t xml:space="preserve">, storm expense, and revenue decoupling in particular, may have an effect on the risk profile of the company, such that a reduction in ROE may be justified as more risk is shifted from the company to its ratepayers." However, this is a pilot program and changes in risk cannot be assessed without information on actual performance of the </w:t>
            </w:r>
            <w:proofErr w:type="spellStart"/>
            <w:r w:rsidRPr="008C262D">
              <w:rPr>
                <w:rFonts w:ascii="Times New Roman" w:eastAsia="Times New Roman" w:hAnsi="Times New Roman"/>
                <w:color w:val="000000"/>
                <w:sz w:val="20"/>
                <w:szCs w:val="20"/>
              </w:rPr>
              <w:t>RDM</w:t>
            </w:r>
            <w:proofErr w:type="spellEnd"/>
            <w:r w:rsidRPr="008C262D">
              <w:rPr>
                <w:rFonts w:ascii="Times New Roman" w:eastAsia="Times New Roman" w:hAnsi="Times New Roman"/>
                <w:color w:val="000000"/>
                <w:sz w:val="20"/>
                <w:szCs w:val="20"/>
              </w:rPr>
              <w:t xml:space="preserve">.  The </w:t>
            </w:r>
            <w:proofErr w:type="spellStart"/>
            <w:r w:rsidRPr="008C262D">
              <w:rPr>
                <w:rFonts w:ascii="Times New Roman" w:eastAsia="Times New Roman" w:hAnsi="Times New Roman"/>
                <w:color w:val="000000"/>
                <w:sz w:val="20"/>
                <w:szCs w:val="20"/>
              </w:rPr>
              <w:t>PSC</w:t>
            </w:r>
            <w:proofErr w:type="spellEnd"/>
            <w:r w:rsidRPr="008C262D">
              <w:rPr>
                <w:rFonts w:ascii="Times New Roman" w:eastAsia="Times New Roman" w:hAnsi="Times New Roman"/>
                <w:color w:val="000000"/>
                <w:sz w:val="20"/>
                <w:szCs w:val="20"/>
              </w:rPr>
              <w:t xml:space="preserve"> encourages Staff and other </w:t>
            </w:r>
            <w:proofErr w:type="spellStart"/>
            <w:r w:rsidRPr="008C262D">
              <w:rPr>
                <w:rFonts w:ascii="Times New Roman" w:eastAsia="Times New Roman" w:hAnsi="Times New Roman"/>
                <w:color w:val="000000"/>
                <w:sz w:val="20"/>
                <w:szCs w:val="20"/>
              </w:rPr>
              <w:t>intervenors</w:t>
            </w:r>
            <w:proofErr w:type="spellEnd"/>
            <w:r w:rsidRPr="008C262D">
              <w:rPr>
                <w:rFonts w:ascii="Times New Roman" w:eastAsia="Times New Roman" w:hAnsi="Times New Roman"/>
                <w:color w:val="000000"/>
                <w:sz w:val="20"/>
                <w:szCs w:val="20"/>
              </w:rPr>
              <w:t xml:space="preserve"> to submit analyses in the next rate case.</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1C7B76" w:rsidRPr="008C262D" w:rsidTr="00B96D07">
        <w:trPr>
          <w:trHeight w:val="2110"/>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Green Mountain Power (VT)</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7175</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Alternative Regulation Plan</w:t>
            </w:r>
          </w:p>
        </w:tc>
        <w:tc>
          <w:tcPr>
            <w:tcW w:w="6300" w:type="dxa"/>
            <w:tcBorders>
              <w:top w:val="single" w:sz="4" w:space="0" w:color="808080" w:themeColor="background1" w:themeShade="80"/>
            </w:tcBorders>
            <w:shd w:val="clear" w:color="000000" w:fill="FFFFFF"/>
            <w:vAlign w:val="bottom"/>
            <w:hideMark/>
          </w:tcPr>
          <w:p w:rsidR="001C7B76" w:rsidRPr="008C262D" w:rsidRDefault="001C7B76" w:rsidP="001C7B76">
            <w:pPr>
              <w:spacing w:after="12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“There is no question that </w:t>
            </w:r>
            <w:proofErr w:type="spellStart"/>
            <w:r w:rsidRPr="008C262D">
              <w:rPr>
                <w:rFonts w:ascii="Times New Roman" w:eastAsia="Times New Roman" w:hAnsi="Times New Roman"/>
                <w:color w:val="000000"/>
                <w:sz w:val="20"/>
                <w:szCs w:val="20"/>
              </w:rPr>
              <w:t>GMP</w:t>
            </w:r>
            <w:proofErr w:type="spellEnd"/>
            <w:r w:rsidRPr="008C262D">
              <w:rPr>
                <w:rFonts w:ascii="Times New Roman" w:eastAsia="Times New Roman" w:hAnsi="Times New Roman"/>
                <w:color w:val="000000"/>
                <w:sz w:val="20"/>
                <w:szCs w:val="20"/>
              </w:rPr>
              <w:t xml:space="preserve"> will shed substantial risk, which will now be passed on to ratepayers … The Company originally recommended an adjustment of 90 basis points … </w:t>
            </w:r>
            <w:proofErr w:type="spellStart"/>
            <w:r w:rsidRPr="008C262D">
              <w:rPr>
                <w:rFonts w:ascii="Times New Roman" w:eastAsia="Times New Roman" w:hAnsi="Times New Roman"/>
                <w:color w:val="000000"/>
                <w:sz w:val="20"/>
                <w:szCs w:val="20"/>
              </w:rPr>
              <w:t>GMP</w:t>
            </w:r>
            <w:proofErr w:type="spellEnd"/>
            <w:r w:rsidRPr="008C262D">
              <w:rPr>
                <w:rFonts w:ascii="Times New Roman" w:eastAsia="Times New Roman" w:hAnsi="Times New Roman"/>
                <w:color w:val="000000"/>
                <w:sz w:val="20"/>
                <w:szCs w:val="20"/>
              </w:rPr>
              <w:t xml:space="preserve"> and the Department now recommend a smaller, 50-basis-point adjustment.”</w:t>
            </w:r>
          </w:p>
          <w:p w:rsidR="001C7B76" w:rsidRPr="008C262D" w:rsidRDefault="001C7B76" w:rsidP="001C7B76">
            <w:pPr>
              <w:spacing w:after="0"/>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Commission also stated, “Due to this uncertainty, it is not clear that the reduction of </w:t>
            </w:r>
            <w:proofErr w:type="spellStart"/>
            <w:r w:rsidRPr="008C262D">
              <w:rPr>
                <w:rFonts w:ascii="Times New Roman" w:eastAsia="Times New Roman" w:hAnsi="Times New Roman"/>
                <w:color w:val="000000"/>
                <w:sz w:val="20"/>
                <w:szCs w:val="20"/>
              </w:rPr>
              <w:t>GMP's</w:t>
            </w:r>
            <w:proofErr w:type="spellEnd"/>
            <w:r w:rsidRPr="008C262D">
              <w:rPr>
                <w:rFonts w:ascii="Times New Roman" w:eastAsia="Times New Roman" w:hAnsi="Times New Roman"/>
                <w:color w:val="000000"/>
                <w:sz w:val="20"/>
                <w:szCs w:val="20"/>
              </w:rPr>
              <w:t xml:space="preserve"> ROE by 50 basis points fully compensates ratepayers for the changes in risk.</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Settlement</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1C7B76" w:rsidRPr="008C262D" w:rsidRDefault="001C7B76"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50 basis points</w:t>
            </w:r>
          </w:p>
        </w:tc>
      </w:tr>
      <w:tr w:rsidR="008C262D" w:rsidRPr="008C262D" w:rsidTr="00B96D07">
        <w:trPr>
          <w:trHeight w:val="145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Massachusetts Electric Company (MA)</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D.P.U.</w:t>
            </w:r>
            <w:proofErr w:type="spellEnd"/>
            <w:r w:rsidRPr="008C262D">
              <w:rPr>
                <w:rFonts w:ascii="Times New Roman" w:eastAsia="Times New Roman" w:hAnsi="Times New Roman"/>
                <w:color w:val="000000"/>
                <w:sz w:val="20"/>
                <w:szCs w:val="20"/>
              </w:rPr>
              <w:t xml:space="preserve"> 09-39</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w:t>
            </w:r>
            <w:proofErr w:type="spellStart"/>
            <w:r w:rsidRPr="008C262D">
              <w:rPr>
                <w:rFonts w:ascii="Times New Roman" w:eastAsia="Times New Roman" w:hAnsi="Times New Roman"/>
                <w:color w:val="000000"/>
                <w:sz w:val="20"/>
                <w:szCs w:val="20"/>
              </w:rPr>
              <w:t>DPU</w:t>
            </w:r>
            <w:proofErr w:type="spellEnd"/>
            <w:r w:rsidRPr="008C262D">
              <w:rPr>
                <w:rFonts w:ascii="Times New Roman" w:eastAsia="Times New Roman" w:hAnsi="Times New Roman"/>
                <w:color w:val="000000"/>
                <w:sz w:val="20"/>
                <w:szCs w:val="20"/>
              </w:rPr>
              <w:t xml:space="preserve"> recognized "...that the revenue decoupling mechanism we have approved in this case will reduce variability of the Company's revenues and, accordingly, reduce its risks and its investors' return requirement."  However, no specific reduction to allowed ROE is tied specifically to the Company's Revenue Decoupling mechanism.</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Unidentified reduction</w:t>
            </w:r>
          </w:p>
        </w:tc>
      </w:tr>
      <w:tr w:rsidR="008C262D" w:rsidRPr="008C262D" w:rsidTr="00B96D07">
        <w:trPr>
          <w:trHeight w:val="1950"/>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Fitchburg Gas and Electric Light Company d/b/a </w:t>
            </w:r>
            <w:proofErr w:type="spellStart"/>
            <w:r w:rsidRPr="008C262D">
              <w:rPr>
                <w:rFonts w:ascii="Times New Roman" w:eastAsia="Times New Roman" w:hAnsi="Times New Roman"/>
                <w:color w:val="000000"/>
                <w:sz w:val="20"/>
                <w:szCs w:val="20"/>
              </w:rPr>
              <w:t>Unitil</w:t>
            </w:r>
            <w:proofErr w:type="spellEnd"/>
            <w:r w:rsidRPr="008C262D">
              <w:rPr>
                <w:rFonts w:ascii="Times New Roman" w:eastAsia="Times New Roman" w:hAnsi="Times New Roman"/>
                <w:color w:val="000000"/>
                <w:sz w:val="20"/>
                <w:szCs w:val="20"/>
              </w:rPr>
              <w:t xml:space="preserve"> (MA)</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D.P.U.</w:t>
            </w:r>
            <w:proofErr w:type="spellEnd"/>
            <w:r w:rsidRPr="008C262D">
              <w:rPr>
                <w:rFonts w:ascii="Times New Roman" w:eastAsia="Times New Roman" w:hAnsi="Times New Roman"/>
                <w:color w:val="000000"/>
                <w:sz w:val="20"/>
                <w:szCs w:val="20"/>
              </w:rPr>
              <w:t xml:space="preserve"> 11-01</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auto" w:fill="auto"/>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Attorney General submits that a reduction in earnings volatility should reduce risks to shareholders and, thereby, lower the required ROE (Attorney General Brief at 155, citing </w:t>
            </w:r>
            <w:proofErr w:type="spellStart"/>
            <w:r w:rsidRPr="008C262D">
              <w:rPr>
                <w:rFonts w:ascii="Times New Roman" w:eastAsia="Times New Roman" w:hAnsi="Times New Roman"/>
                <w:color w:val="000000"/>
                <w:sz w:val="20"/>
                <w:szCs w:val="20"/>
              </w:rPr>
              <w:t>D.P.U.</w:t>
            </w:r>
            <w:proofErr w:type="spellEnd"/>
            <w:r w:rsidRPr="008C262D">
              <w:rPr>
                <w:rFonts w:ascii="Times New Roman" w:eastAsia="Times New Roman" w:hAnsi="Times New Roman"/>
                <w:color w:val="000000"/>
                <w:sz w:val="20"/>
                <w:szCs w:val="20"/>
              </w:rPr>
              <w:t xml:space="preserve"> 07-50-A, at 72-73). The Attorney General argues that if the Department approves an electric revenue decoupling mechanism for Fitchburg, then the Company's ROE must recognize the lower risk to its electric operations as a result (Attorney General Brief at 155)."</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B96D07" w:rsidRPr="008C262D" w:rsidTr="00825859">
        <w:trPr>
          <w:trHeight w:val="4032"/>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B96D07" w:rsidRPr="008C262D" w:rsidRDefault="00B96D07"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Hawaiian Electric Company, Inc. (HI)</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B96D07" w:rsidRPr="008C262D" w:rsidRDefault="00B96D07"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2008-0083</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B96D07" w:rsidRPr="008C262D" w:rsidRDefault="00B96D07"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B96D07" w:rsidRPr="008C262D" w:rsidRDefault="00B96D07" w:rsidP="00B96D07">
            <w:pPr>
              <w:spacing w:after="12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"In addition, DOD discussed downward adjustments between 25 to 50 basis points to recognize reduced risk to </w:t>
            </w:r>
            <w:proofErr w:type="spellStart"/>
            <w:r w:rsidRPr="008C262D">
              <w:rPr>
                <w:rFonts w:ascii="Times New Roman" w:eastAsia="Times New Roman" w:hAnsi="Times New Roman"/>
                <w:color w:val="000000"/>
                <w:sz w:val="20"/>
                <w:szCs w:val="20"/>
              </w:rPr>
              <w:t>HECO</w:t>
            </w:r>
            <w:proofErr w:type="spellEnd"/>
            <w:r w:rsidRPr="008C262D">
              <w:rPr>
                <w:rFonts w:ascii="Times New Roman" w:eastAsia="Times New Roman" w:hAnsi="Times New Roman"/>
                <w:color w:val="000000"/>
                <w:sz w:val="20"/>
                <w:szCs w:val="20"/>
              </w:rPr>
              <w:t xml:space="preserve"> if the commission approves any part of the </w:t>
            </w:r>
            <w:proofErr w:type="spellStart"/>
            <w:r w:rsidRPr="008C262D">
              <w:rPr>
                <w:rFonts w:ascii="Times New Roman" w:eastAsia="Times New Roman" w:hAnsi="Times New Roman"/>
                <w:color w:val="000000"/>
                <w:sz w:val="20"/>
                <w:szCs w:val="20"/>
              </w:rPr>
              <w:t>HCEI</w:t>
            </w:r>
            <w:proofErr w:type="spellEnd"/>
            <w:r w:rsidRPr="008C262D">
              <w:rPr>
                <w:rFonts w:ascii="Times New Roman" w:eastAsia="Times New Roman" w:hAnsi="Times New Roman"/>
                <w:color w:val="000000"/>
                <w:sz w:val="20"/>
                <w:szCs w:val="20"/>
              </w:rPr>
              <w:t xml:space="preserve"> mechanisms. Specifically, DOD recommended a 25 basis points reduction if only the </w:t>
            </w:r>
            <w:proofErr w:type="spellStart"/>
            <w:r w:rsidRPr="008C262D">
              <w:rPr>
                <w:rFonts w:ascii="Times New Roman" w:eastAsia="Times New Roman" w:hAnsi="Times New Roman"/>
                <w:color w:val="000000"/>
                <w:sz w:val="20"/>
                <w:szCs w:val="20"/>
              </w:rPr>
              <w:t>REIP</w:t>
            </w:r>
            <w:proofErr w:type="spellEnd"/>
            <w:r w:rsidRPr="008C262D">
              <w:rPr>
                <w:rFonts w:ascii="Times New Roman" w:eastAsia="Times New Roman" w:hAnsi="Times New Roman"/>
                <w:color w:val="000000"/>
                <w:sz w:val="20"/>
                <w:szCs w:val="20"/>
              </w:rPr>
              <w:t xml:space="preserve"> Surcharge and </w:t>
            </w:r>
            <w:proofErr w:type="spellStart"/>
            <w:r w:rsidRPr="008C262D">
              <w:rPr>
                <w:rFonts w:ascii="Times New Roman" w:eastAsia="Times New Roman" w:hAnsi="Times New Roman"/>
                <w:color w:val="000000"/>
                <w:sz w:val="20"/>
                <w:szCs w:val="20"/>
              </w:rPr>
              <w:t>PPAC</w:t>
            </w:r>
            <w:proofErr w:type="spellEnd"/>
            <w:r w:rsidRPr="008C262D">
              <w:rPr>
                <w:rFonts w:ascii="Times New Roman" w:eastAsia="Times New Roman" w:hAnsi="Times New Roman"/>
                <w:color w:val="000000"/>
                <w:sz w:val="20"/>
                <w:szCs w:val="20"/>
              </w:rPr>
              <w:t xml:space="preserve"> are approved (without decoupling). If all of the </w:t>
            </w:r>
            <w:proofErr w:type="spellStart"/>
            <w:r w:rsidRPr="008C262D">
              <w:rPr>
                <w:rFonts w:ascii="Times New Roman" w:eastAsia="Times New Roman" w:hAnsi="Times New Roman"/>
                <w:color w:val="000000"/>
                <w:sz w:val="20"/>
                <w:szCs w:val="20"/>
              </w:rPr>
              <w:t>HCEI</w:t>
            </w:r>
            <w:proofErr w:type="spellEnd"/>
            <w:r w:rsidRPr="008C262D">
              <w:rPr>
                <w:rFonts w:ascii="Times New Roman" w:eastAsia="Times New Roman" w:hAnsi="Times New Roman"/>
                <w:color w:val="000000"/>
                <w:sz w:val="20"/>
                <w:szCs w:val="20"/>
              </w:rPr>
              <w:t xml:space="preserve"> mechanisms are approved, including decoupling, DOD recommended a 50 basis points downward reduction."</w:t>
            </w:r>
          </w:p>
          <w:p w:rsidR="00B96D07" w:rsidRPr="008C262D" w:rsidRDefault="00B96D07" w:rsidP="00B96D07">
            <w:pPr>
              <w:spacing w:after="0"/>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"As discussed above, the commission has determined herein a fair and reasonable ROE for </w:t>
            </w:r>
            <w:proofErr w:type="spellStart"/>
            <w:r w:rsidRPr="008C262D">
              <w:rPr>
                <w:rFonts w:ascii="Times New Roman" w:eastAsia="Times New Roman" w:hAnsi="Times New Roman"/>
                <w:color w:val="000000"/>
                <w:sz w:val="20"/>
                <w:szCs w:val="20"/>
              </w:rPr>
              <w:t>HECO</w:t>
            </w:r>
            <w:proofErr w:type="spellEnd"/>
            <w:r w:rsidRPr="008C262D">
              <w:rPr>
                <w:rFonts w:ascii="Times New Roman" w:eastAsia="Times New Roman" w:hAnsi="Times New Roman"/>
                <w:color w:val="000000"/>
                <w:sz w:val="20"/>
                <w:szCs w:val="20"/>
              </w:rPr>
              <w:t xml:space="preserve"> of 10.00% that takes into account approval of a decoupling mechanism, and other risk-reducing surcharge mechanisms, for </w:t>
            </w:r>
            <w:proofErr w:type="spellStart"/>
            <w:r w:rsidRPr="008C262D">
              <w:rPr>
                <w:rFonts w:ascii="Times New Roman" w:eastAsia="Times New Roman" w:hAnsi="Times New Roman"/>
                <w:color w:val="000000"/>
                <w:sz w:val="20"/>
                <w:szCs w:val="20"/>
              </w:rPr>
              <w:t>HECO</w:t>
            </w:r>
            <w:proofErr w:type="spellEnd"/>
            <w:r w:rsidRPr="008C262D">
              <w:rPr>
                <w:rFonts w:ascii="Times New Roman" w:eastAsia="Times New Roman" w:hAnsi="Times New Roman"/>
                <w:color w:val="000000"/>
                <w:sz w:val="20"/>
                <w:szCs w:val="20"/>
              </w:rPr>
              <w:t xml:space="preserve">. The commission further finds that the Parties' adjustment to sales reflects the most recent numbers available to determine test year sales. During the course of the hearing, witnesses from </w:t>
            </w:r>
            <w:proofErr w:type="spellStart"/>
            <w:r w:rsidRPr="008C262D">
              <w:rPr>
                <w:rFonts w:ascii="Times New Roman" w:eastAsia="Times New Roman" w:hAnsi="Times New Roman"/>
                <w:color w:val="000000"/>
                <w:sz w:val="20"/>
                <w:szCs w:val="20"/>
              </w:rPr>
              <w:t>HECO</w:t>
            </w:r>
            <w:proofErr w:type="spellEnd"/>
            <w:r w:rsidRPr="008C262D">
              <w:rPr>
                <w:rFonts w:ascii="Times New Roman" w:eastAsia="Times New Roman" w:hAnsi="Times New Roman"/>
                <w:color w:val="000000"/>
                <w:sz w:val="20"/>
                <w:szCs w:val="20"/>
              </w:rPr>
              <w:t xml:space="preserve"> and the Consumer Advocate testified that, other than the contested reduction in </w:t>
            </w:r>
            <w:proofErr w:type="spellStart"/>
            <w:r w:rsidRPr="008C262D">
              <w:rPr>
                <w:rFonts w:ascii="Times New Roman" w:eastAsia="Times New Roman" w:hAnsi="Times New Roman"/>
                <w:color w:val="000000"/>
                <w:sz w:val="20"/>
                <w:szCs w:val="20"/>
              </w:rPr>
              <w:t>HECO's</w:t>
            </w:r>
            <w:proofErr w:type="spellEnd"/>
            <w:r w:rsidRPr="008C262D">
              <w:rPr>
                <w:rFonts w:ascii="Times New Roman" w:eastAsia="Times New Roman" w:hAnsi="Times New Roman"/>
                <w:color w:val="000000"/>
                <w:sz w:val="20"/>
                <w:szCs w:val="20"/>
              </w:rPr>
              <w:t xml:space="preserve"> </w:t>
            </w:r>
            <w:proofErr w:type="spellStart"/>
            <w:r w:rsidRPr="008C262D">
              <w:rPr>
                <w:rFonts w:ascii="Times New Roman" w:eastAsia="Times New Roman" w:hAnsi="Times New Roman"/>
                <w:color w:val="000000"/>
                <w:sz w:val="20"/>
                <w:szCs w:val="20"/>
              </w:rPr>
              <w:t>ROR</w:t>
            </w:r>
            <w:proofErr w:type="spellEnd"/>
            <w:r w:rsidRPr="008C262D">
              <w:rPr>
                <w:rFonts w:ascii="Times New Roman" w:eastAsia="Times New Roman" w:hAnsi="Times New Roman"/>
                <w:color w:val="000000"/>
                <w:sz w:val="20"/>
                <w:szCs w:val="20"/>
              </w:rPr>
              <w:t>, no further adjustments were required for decoupling to be implemented."</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B96D07" w:rsidRPr="008C262D" w:rsidRDefault="00B96D07" w:rsidP="00B96D07">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 </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B96D07" w:rsidRPr="008C262D" w:rsidRDefault="00B96D07" w:rsidP="00B96D07">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 </w:t>
            </w:r>
          </w:p>
        </w:tc>
      </w:tr>
      <w:tr w:rsidR="008C262D" w:rsidRPr="008C262D" w:rsidTr="00825859">
        <w:trPr>
          <w:trHeight w:val="115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Potomac Electric Power Company (DC)</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Formal Case No. 1076; Order No. 15710</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auto" w:fill="auto"/>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"A 50 basis point reduction in Pepco's return on equity (ROE) was ordered, as part of the approval of the </w:t>
            </w:r>
            <w:proofErr w:type="spellStart"/>
            <w:r w:rsidRPr="008C262D">
              <w:rPr>
                <w:rFonts w:ascii="Times New Roman" w:eastAsia="Times New Roman" w:hAnsi="Times New Roman"/>
                <w:color w:val="000000"/>
                <w:sz w:val="20"/>
                <w:szCs w:val="20"/>
              </w:rPr>
              <w:t>BSA</w:t>
            </w:r>
            <w:proofErr w:type="spellEnd"/>
            <w:r w:rsidRPr="008C262D">
              <w:rPr>
                <w:rFonts w:ascii="Times New Roman" w:eastAsia="Times New Roman" w:hAnsi="Times New Roman"/>
                <w:color w:val="000000"/>
                <w:sz w:val="20"/>
                <w:szCs w:val="20"/>
              </w:rPr>
              <w:t>, to provide a balance of benefits to consumers in exchange for the benefit to the Company and shareholders of reaping lowered business risk."</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reduced 50 basis points</w:t>
            </w:r>
          </w:p>
        </w:tc>
      </w:tr>
      <w:tr w:rsidR="008C262D" w:rsidRPr="008C262D" w:rsidTr="00825859">
        <w:trPr>
          <w:trHeight w:val="172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Niagara Mohawk Power Corporation d/b/a National Grid Electric (NY)</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Case 08-E-0827</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auto" w:fill="auto"/>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The Commission rejected arguments that an adjustment be made to account for the Company's Revenue Decoupling Mechanism, finding that with similar mechanisms becoming common place with Company proxy group companies, "...there is a declining risk difference between the prosy group and Niagara Mohawk..."</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8C262D" w:rsidRPr="008C262D" w:rsidTr="00B96D07">
        <w:trPr>
          <w:trHeight w:val="85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Central Hudson Gas &amp; Electric Corporation (NY)</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Case 08-E-0887</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In approving the Company's Decoupling Mechanism, the Commission adopted "…the credit quality adjustment supported by Staff, as well as its </w:t>
            </w:r>
            <w:proofErr w:type="spellStart"/>
            <w:r w:rsidRPr="008C262D">
              <w:rPr>
                <w:rFonts w:ascii="Times New Roman" w:eastAsia="Times New Roman" w:hAnsi="Times New Roman"/>
                <w:color w:val="000000"/>
                <w:sz w:val="20"/>
                <w:szCs w:val="20"/>
              </w:rPr>
              <w:t>RDM</w:t>
            </w:r>
            <w:proofErr w:type="spellEnd"/>
            <w:r w:rsidRPr="008C262D">
              <w:rPr>
                <w:rFonts w:ascii="Times New Roman" w:eastAsia="Times New Roman" w:hAnsi="Times New Roman"/>
                <w:color w:val="000000"/>
                <w:sz w:val="20"/>
                <w:szCs w:val="20"/>
              </w:rPr>
              <w:t xml:space="preserve"> adjustment."</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Unidentified reduction</w:t>
            </w:r>
          </w:p>
        </w:tc>
      </w:tr>
      <w:tr w:rsidR="008C262D" w:rsidRPr="008C262D" w:rsidTr="00B96D07">
        <w:trPr>
          <w:trHeight w:val="115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Consolidated Edison Company of New York, Inc. (NY)</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Case 08-E-0539</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"No </w:t>
            </w:r>
            <w:proofErr w:type="spellStart"/>
            <w:r w:rsidRPr="008C262D">
              <w:rPr>
                <w:rFonts w:ascii="Times New Roman" w:eastAsia="Times New Roman" w:hAnsi="Times New Roman"/>
                <w:color w:val="000000"/>
                <w:sz w:val="20"/>
                <w:szCs w:val="20"/>
              </w:rPr>
              <w:t>RDM</w:t>
            </w:r>
            <w:proofErr w:type="spellEnd"/>
            <w:r w:rsidRPr="008C262D">
              <w:rPr>
                <w:rFonts w:ascii="Times New Roman" w:eastAsia="Times New Roman" w:hAnsi="Times New Roman"/>
                <w:color w:val="000000"/>
                <w:sz w:val="20"/>
                <w:szCs w:val="20"/>
              </w:rPr>
              <w:t xml:space="preserve"> adjustment is proposed or is being made to the ROE since the risk reducing effects of the </w:t>
            </w:r>
            <w:proofErr w:type="spellStart"/>
            <w:r w:rsidRPr="008C262D">
              <w:rPr>
                <w:rFonts w:ascii="Times New Roman" w:eastAsia="Times New Roman" w:hAnsi="Times New Roman"/>
                <w:color w:val="000000"/>
                <w:sz w:val="20"/>
                <w:szCs w:val="20"/>
              </w:rPr>
              <w:t>RDM</w:t>
            </w:r>
            <w:proofErr w:type="spellEnd"/>
            <w:r w:rsidRPr="008C262D">
              <w:rPr>
                <w:rFonts w:ascii="Times New Roman" w:eastAsia="Times New Roman" w:hAnsi="Times New Roman"/>
                <w:color w:val="000000"/>
                <w:sz w:val="20"/>
                <w:szCs w:val="20"/>
              </w:rPr>
              <w:t xml:space="preserve"> are already reflected in the Company's credit ratings."</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8C262D" w:rsidRPr="008C262D" w:rsidTr="00B96D07">
        <w:trPr>
          <w:trHeight w:val="1440"/>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Sierra Pacific Power Company d/b/a NV Energy (NV)</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10-06001; 10-06003</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Revenue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Staff witnesses proposed allowed ROE percentages reflecting a downward adjustment of 17 basis points to reflect lower risk accompanied with the Company's decoupling mechanism.  However, the Commission rejected the approach.</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adjustment was made</w:t>
            </w:r>
          </w:p>
        </w:tc>
      </w:tr>
      <w:tr w:rsidR="008C262D" w:rsidRPr="008C262D" w:rsidTr="00B96D07">
        <w:trPr>
          <w:trHeight w:val="1995"/>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proofErr w:type="spellStart"/>
            <w:r w:rsidRPr="008C262D">
              <w:rPr>
                <w:rFonts w:ascii="Times New Roman" w:eastAsia="Times New Roman" w:hAnsi="Times New Roman"/>
                <w:color w:val="000000"/>
                <w:sz w:val="20"/>
                <w:szCs w:val="20"/>
              </w:rPr>
              <w:t>NorthWestern</w:t>
            </w:r>
            <w:proofErr w:type="spellEnd"/>
            <w:r w:rsidRPr="008C262D">
              <w:rPr>
                <w:rFonts w:ascii="Times New Roman" w:eastAsia="Times New Roman" w:hAnsi="Times New Roman"/>
                <w:color w:val="000000"/>
                <w:sz w:val="20"/>
                <w:szCs w:val="20"/>
              </w:rPr>
              <w:t xml:space="preserve"> Energy (MT)</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D2009.9.129, D2007.7.82</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Lost Revenue Adjustment Mechanism (Partial Decoupling)</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Commission agrees with </w:t>
            </w:r>
            <w:proofErr w:type="spellStart"/>
            <w:r w:rsidRPr="008C262D">
              <w:rPr>
                <w:rFonts w:ascii="Times New Roman" w:eastAsia="Times New Roman" w:hAnsi="Times New Roman"/>
                <w:color w:val="000000"/>
                <w:sz w:val="20"/>
                <w:szCs w:val="20"/>
              </w:rPr>
              <w:t>MCC</w:t>
            </w:r>
            <w:proofErr w:type="spellEnd"/>
            <w:r w:rsidRPr="008C262D">
              <w:rPr>
                <w:rFonts w:ascii="Times New Roman" w:eastAsia="Times New Roman" w:hAnsi="Times New Roman"/>
                <w:color w:val="000000"/>
                <w:sz w:val="20"/>
                <w:szCs w:val="20"/>
              </w:rPr>
              <w:t xml:space="preserve"> that adopting a modified </w:t>
            </w:r>
            <w:proofErr w:type="spellStart"/>
            <w:r w:rsidRPr="008C262D">
              <w:rPr>
                <w:rFonts w:ascii="Times New Roman" w:eastAsia="Times New Roman" w:hAnsi="Times New Roman"/>
                <w:color w:val="000000"/>
                <w:sz w:val="20"/>
                <w:szCs w:val="20"/>
              </w:rPr>
              <w:t>LRAM</w:t>
            </w:r>
            <w:proofErr w:type="spellEnd"/>
            <w:r w:rsidRPr="008C262D">
              <w:rPr>
                <w:rFonts w:ascii="Times New Roman" w:eastAsia="Times New Roman" w:hAnsi="Times New Roman"/>
                <w:color w:val="000000"/>
                <w:sz w:val="20"/>
                <w:szCs w:val="20"/>
              </w:rPr>
              <w:t xml:space="preserve"> will serve to shift risk from NEW to its customers.  The </w:t>
            </w:r>
            <w:proofErr w:type="spellStart"/>
            <w:r w:rsidRPr="008C262D">
              <w:rPr>
                <w:rFonts w:ascii="Times New Roman" w:eastAsia="Times New Roman" w:hAnsi="Times New Roman"/>
                <w:color w:val="000000"/>
                <w:sz w:val="20"/>
                <w:szCs w:val="20"/>
              </w:rPr>
              <w:t>PSC</w:t>
            </w:r>
            <w:proofErr w:type="spellEnd"/>
            <w:r w:rsidRPr="008C262D">
              <w:rPr>
                <w:rFonts w:ascii="Times New Roman" w:eastAsia="Times New Roman" w:hAnsi="Times New Roman"/>
                <w:color w:val="000000"/>
                <w:sz w:val="20"/>
                <w:szCs w:val="20"/>
              </w:rPr>
              <w:t xml:space="preserve"> already limits risk to NEW through the use of monthly electric and natural gas trackers as well as the annual property tax tracker filings.  The modified </w:t>
            </w:r>
            <w:proofErr w:type="spellStart"/>
            <w:r w:rsidRPr="008C262D">
              <w:rPr>
                <w:rFonts w:ascii="Times New Roman" w:eastAsia="Times New Roman" w:hAnsi="Times New Roman"/>
                <w:color w:val="000000"/>
                <w:sz w:val="20"/>
                <w:szCs w:val="20"/>
              </w:rPr>
              <w:t>LRAM</w:t>
            </w:r>
            <w:proofErr w:type="spellEnd"/>
            <w:r w:rsidRPr="008C262D">
              <w:rPr>
                <w:rFonts w:ascii="Times New Roman" w:eastAsia="Times New Roman" w:hAnsi="Times New Roman"/>
                <w:color w:val="000000"/>
                <w:sz w:val="20"/>
                <w:szCs w:val="20"/>
              </w:rPr>
              <w:t xml:space="preserve"> further reduces </w:t>
            </w:r>
            <w:proofErr w:type="spellStart"/>
            <w:r w:rsidRPr="008C262D">
              <w:rPr>
                <w:rFonts w:ascii="Times New Roman" w:eastAsia="Times New Roman" w:hAnsi="Times New Roman"/>
                <w:color w:val="000000"/>
                <w:sz w:val="20"/>
                <w:szCs w:val="20"/>
              </w:rPr>
              <w:t>NWE's</w:t>
            </w:r>
            <w:proofErr w:type="spellEnd"/>
            <w:r w:rsidRPr="008C262D">
              <w:rPr>
                <w:rFonts w:ascii="Times New Roman" w:eastAsia="Times New Roman" w:hAnsi="Times New Roman"/>
                <w:color w:val="000000"/>
                <w:sz w:val="20"/>
                <w:szCs w:val="20"/>
              </w:rPr>
              <w:t xml:space="preserve"> risk The Commission finds that a 25 basis point reduction to the electric utility's ROE is appropriate as a result of adopting the modified </w:t>
            </w:r>
            <w:proofErr w:type="spellStart"/>
            <w:r w:rsidRPr="008C262D">
              <w:rPr>
                <w:rFonts w:ascii="Times New Roman" w:eastAsia="Times New Roman" w:hAnsi="Times New Roman"/>
                <w:color w:val="000000"/>
                <w:sz w:val="20"/>
                <w:szCs w:val="20"/>
              </w:rPr>
              <w:t>LRAM</w:t>
            </w:r>
            <w:proofErr w:type="spellEnd"/>
            <w:r w:rsidRPr="008C262D">
              <w:rPr>
                <w:rFonts w:ascii="Times New Roman" w:eastAsia="Times New Roman" w:hAnsi="Times New Roman"/>
                <w:color w:val="000000"/>
                <w:sz w:val="20"/>
                <w:szCs w:val="20"/>
              </w:rPr>
              <w:t>."</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adjusted downward by 25 basis points</w:t>
            </w:r>
          </w:p>
        </w:tc>
      </w:tr>
      <w:tr w:rsidR="008C262D" w:rsidRPr="008C262D" w:rsidTr="00B96D07">
        <w:trPr>
          <w:trHeight w:val="3210"/>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Portland General Electric Company (OR)</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Order 09-020</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Sales Normalization Adjustment</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final overall argument is that the </w:t>
            </w:r>
            <w:proofErr w:type="spellStart"/>
            <w:r w:rsidRPr="008C262D">
              <w:rPr>
                <w:rFonts w:ascii="Times New Roman" w:eastAsia="Times New Roman" w:hAnsi="Times New Roman"/>
                <w:color w:val="000000"/>
                <w:sz w:val="20"/>
                <w:szCs w:val="20"/>
              </w:rPr>
              <w:t>SNA</w:t>
            </w:r>
            <w:proofErr w:type="spellEnd"/>
            <w:r w:rsidRPr="008C262D">
              <w:rPr>
                <w:rFonts w:ascii="Times New Roman" w:eastAsia="Times New Roman" w:hAnsi="Times New Roman"/>
                <w:color w:val="000000"/>
                <w:sz w:val="20"/>
                <w:szCs w:val="20"/>
              </w:rPr>
              <w:t xml:space="preserve"> shifts risk to customers and allows PGE to recover more than its fixed costs.  Although PGE argues that there is no shift in risk from the Company to its customers, there is general agreement that PGE's risk will go down, raising the question as to whether the Company's authorized ROE should be reduced to reflect the risk reduction.  We also agree that, under the </w:t>
            </w:r>
            <w:proofErr w:type="spellStart"/>
            <w:r w:rsidRPr="008C262D">
              <w:rPr>
                <w:rFonts w:ascii="Times New Roman" w:eastAsia="Times New Roman" w:hAnsi="Times New Roman"/>
                <w:color w:val="000000"/>
                <w:sz w:val="20"/>
                <w:szCs w:val="20"/>
              </w:rPr>
              <w:t>SNA</w:t>
            </w:r>
            <w:proofErr w:type="spellEnd"/>
            <w:r w:rsidRPr="008C262D">
              <w:rPr>
                <w:rFonts w:ascii="Times New Roman" w:eastAsia="Times New Roman" w:hAnsi="Times New Roman"/>
                <w:color w:val="000000"/>
                <w:sz w:val="20"/>
                <w:szCs w:val="20"/>
              </w:rPr>
              <w:t>, PGE may be able to recovery more than its fixed cost if customer growth exceeds what was assumed in setting rates (assuming those costs really are fixed and do not increase with the customer count).  We have taken these benefits to PGE into account in conditioning our decoupling proposal below on a ten-basis point reduction in the Company's authorized ROE."</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Final Order</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ROE adjusted downward by 10 basis points</w:t>
            </w:r>
          </w:p>
        </w:tc>
      </w:tr>
      <w:tr w:rsidR="008C262D" w:rsidRPr="008C262D" w:rsidTr="00B96D07">
        <w:trPr>
          <w:trHeight w:val="20"/>
        </w:trPr>
        <w:tc>
          <w:tcPr>
            <w:tcW w:w="1458" w:type="dxa"/>
            <w:tcBorders>
              <w:top w:val="single" w:sz="4" w:space="0" w:color="808080" w:themeColor="background1" w:themeShade="80"/>
              <w:lef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493" w:type="dxa"/>
            <w:tcBorders>
              <w:top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567" w:type="dxa"/>
            <w:tcBorders>
              <w:top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6300" w:type="dxa"/>
            <w:tcBorders>
              <w:top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top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top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r>
      <w:tr w:rsidR="008C262D" w:rsidRPr="008C262D" w:rsidTr="00825859">
        <w:trPr>
          <w:trHeight w:val="432"/>
        </w:trPr>
        <w:tc>
          <w:tcPr>
            <w:tcW w:w="1458" w:type="dxa"/>
            <w:tcBorders>
              <w:left w:val="single" w:sz="4" w:space="0" w:color="auto"/>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b/>
                <w:bCs/>
                <w:color w:val="000000"/>
                <w:sz w:val="20"/>
                <w:szCs w:val="20"/>
              </w:rPr>
            </w:pPr>
            <w:r w:rsidRPr="008C262D">
              <w:rPr>
                <w:rFonts w:ascii="Times New Roman" w:eastAsia="Times New Roman" w:hAnsi="Times New Roman"/>
                <w:b/>
                <w:bCs/>
                <w:color w:val="000000"/>
                <w:sz w:val="20"/>
                <w:szCs w:val="20"/>
              </w:rPr>
              <w:t>FEDERAL</w:t>
            </w:r>
          </w:p>
        </w:tc>
        <w:tc>
          <w:tcPr>
            <w:tcW w:w="1493" w:type="dxa"/>
            <w:tcBorders>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567" w:type="dxa"/>
            <w:tcBorders>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6300" w:type="dxa"/>
            <w:tcBorders>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bottom w:val="nil"/>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r>
      <w:tr w:rsidR="008C262D" w:rsidRPr="008C262D" w:rsidTr="00825859">
        <w:trPr>
          <w:trHeight w:val="3195"/>
        </w:trPr>
        <w:tc>
          <w:tcPr>
            <w:tcW w:w="1458" w:type="dxa"/>
            <w:tcBorders>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Texas Eastern Transmission Corporation (FERC)</w:t>
            </w:r>
          </w:p>
        </w:tc>
        <w:tc>
          <w:tcPr>
            <w:tcW w:w="1493" w:type="dxa"/>
            <w:tcBorders>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 CP87-312-008</w:t>
            </w:r>
          </w:p>
        </w:tc>
        <w:tc>
          <w:tcPr>
            <w:tcW w:w="1567" w:type="dxa"/>
            <w:tcBorders>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Straight Fixed Variable</w:t>
            </w:r>
          </w:p>
        </w:tc>
        <w:tc>
          <w:tcPr>
            <w:tcW w:w="6300" w:type="dxa"/>
            <w:tcBorders>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Texas Eastern challenges the Commission's decision to reduce the return on equity by 25 basis points.  Texas Eastern submits that here the Commission failed to consider factors such as capital structure, service profile, competitive risks, operational risk, etc., in computing the appropriate return on equity.  The Commission response explains that "[t]traditional </w:t>
            </w:r>
            <w:proofErr w:type="spellStart"/>
            <w:r w:rsidRPr="008C262D">
              <w:rPr>
                <w:rFonts w:ascii="Times New Roman" w:eastAsia="Times New Roman" w:hAnsi="Times New Roman"/>
                <w:color w:val="000000"/>
                <w:sz w:val="20"/>
                <w:szCs w:val="20"/>
              </w:rPr>
              <w:t>MFV</w:t>
            </w:r>
            <w:proofErr w:type="spellEnd"/>
            <w:r w:rsidRPr="008C262D">
              <w:rPr>
                <w:rFonts w:ascii="Times New Roman" w:eastAsia="Times New Roman" w:hAnsi="Times New Roman"/>
                <w:color w:val="000000"/>
                <w:sz w:val="20"/>
                <w:szCs w:val="20"/>
              </w:rPr>
              <w:t xml:space="preserve"> rate design places a pipeline's return on equity and the taxes related to that return, which are fixed costs, in the commodity component of rates. If service is not used at the level projected by the Commission, these fixed costs will not be recovered. Under a straight fixed-variable rate design, all fixed costs, including return and equity and related taxes, are included in the demand component of the rates. Thus, under </w:t>
            </w:r>
            <w:proofErr w:type="gramStart"/>
            <w:r w:rsidRPr="008C262D">
              <w:rPr>
                <w:rFonts w:ascii="Times New Roman" w:eastAsia="Times New Roman" w:hAnsi="Times New Roman"/>
                <w:color w:val="000000"/>
                <w:sz w:val="20"/>
                <w:szCs w:val="20"/>
              </w:rPr>
              <w:t>an</w:t>
            </w:r>
            <w:proofErr w:type="gramEnd"/>
            <w:r w:rsidRPr="008C262D">
              <w:rPr>
                <w:rFonts w:ascii="Times New Roman" w:eastAsia="Times New Roman" w:hAnsi="Times New Roman"/>
                <w:color w:val="000000"/>
                <w:sz w:val="20"/>
                <w:szCs w:val="20"/>
              </w:rPr>
              <w:t xml:space="preserve"> straight fixed-variable rate design the equity investor's assurance of recovery approaches that of a bondholder."</w:t>
            </w:r>
          </w:p>
        </w:tc>
        <w:tc>
          <w:tcPr>
            <w:tcW w:w="1260" w:type="dxa"/>
            <w:tcBorders>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0.25 reduction to cost of equity</w:t>
            </w:r>
          </w:p>
        </w:tc>
      </w:tr>
      <w:tr w:rsidR="008C262D" w:rsidRPr="008C262D" w:rsidTr="00825859">
        <w:trPr>
          <w:trHeight w:val="2879"/>
        </w:trPr>
        <w:tc>
          <w:tcPr>
            <w:tcW w:w="1458" w:type="dxa"/>
            <w:tcBorders>
              <w:top w:val="single" w:sz="4" w:space="0" w:color="808080" w:themeColor="background1" w:themeShade="80"/>
              <w:left w:val="single" w:sz="4" w:space="0" w:color="auto"/>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Columbia Gas Transmission Corporation; Columbia Gulf Transmission Company (FERC)</w:t>
            </w:r>
          </w:p>
        </w:tc>
        <w:tc>
          <w:tcPr>
            <w:tcW w:w="1493"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Docket Nos. RP91-161-011, RP92-3-000, RP90-108-016, RP91-82-008, and RS92-5-000, RP91-160-000, RP92-2-000, RP90-107-013, and RS92-6-000</w:t>
            </w:r>
          </w:p>
        </w:tc>
        <w:tc>
          <w:tcPr>
            <w:tcW w:w="1567"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Straight Fixed Variable</w:t>
            </w:r>
          </w:p>
        </w:tc>
        <w:tc>
          <w:tcPr>
            <w:tcW w:w="630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 The Cities believe that the failure to adjust the return on equity as a result of the change of rate design raises an issue of material fact, and that on cross examination they would have demonstrated that consistent with the Commission's determination in Transco, the returns on equity must be reduced to reflect the reduction of risk which accompanies the shift in rate design from </w:t>
            </w:r>
            <w:proofErr w:type="spellStart"/>
            <w:r w:rsidRPr="008C262D">
              <w:rPr>
                <w:rFonts w:ascii="Times New Roman" w:eastAsia="Times New Roman" w:hAnsi="Times New Roman"/>
                <w:color w:val="000000"/>
                <w:sz w:val="20"/>
                <w:szCs w:val="20"/>
              </w:rPr>
              <w:t>MFV</w:t>
            </w:r>
            <w:proofErr w:type="spellEnd"/>
            <w:r w:rsidRPr="008C262D">
              <w:rPr>
                <w:rFonts w:ascii="Times New Roman" w:eastAsia="Times New Roman" w:hAnsi="Times New Roman"/>
                <w:color w:val="000000"/>
                <w:sz w:val="20"/>
                <w:szCs w:val="20"/>
              </w:rPr>
              <w:t xml:space="preserve"> to </w:t>
            </w:r>
            <w:proofErr w:type="spellStart"/>
            <w:r w:rsidRPr="008C262D">
              <w:rPr>
                <w:rFonts w:ascii="Times New Roman" w:eastAsia="Times New Roman" w:hAnsi="Times New Roman"/>
                <w:color w:val="000000"/>
                <w:sz w:val="20"/>
                <w:szCs w:val="20"/>
              </w:rPr>
              <w:t>SFV</w:t>
            </w:r>
            <w:proofErr w:type="spellEnd"/>
            <w:r w:rsidRPr="008C262D">
              <w:rPr>
                <w:rFonts w:ascii="Times New Roman" w:eastAsia="Times New Roman" w:hAnsi="Times New Roman"/>
                <w:color w:val="000000"/>
                <w:sz w:val="20"/>
                <w:szCs w:val="20"/>
              </w:rPr>
              <w:t>.  Cities cites for example, Transcontinental Gas Pipe Line Corp., 56 FERC P61,037 (1991) (Transco), contending that the Commission imposed a 25 basis point reduction in the approved return on equity to reflect the possibility of lower risk.</w:t>
            </w:r>
          </w:p>
        </w:tc>
        <w:tc>
          <w:tcPr>
            <w:tcW w:w="1260" w:type="dxa"/>
            <w:tcBorders>
              <w:top w:val="single" w:sz="4" w:space="0" w:color="808080" w:themeColor="background1" w:themeShade="80"/>
              <w:bottom w:val="single" w:sz="4" w:space="0" w:color="808080" w:themeColor="background1" w:themeShade="80"/>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top w:val="single" w:sz="4" w:space="0" w:color="808080" w:themeColor="background1" w:themeShade="80"/>
              <w:bottom w:val="single" w:sz="4" w:space="0" w:color="808080" w:themeColor="background1" w:themeShade="80"/>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0.25 reduction to cost of equity</w:t>
            </w:r>
          </w:p>
        </w:tc>
      </w:tr>
      <w:tr w:rsidR="008C262D" w:rsidRPr="008C262D" w:rsidTr="00B96D07">
        <w:trPr>
          <w:trHeight w:val="2393"/>
        </w:trPr>
        <w:tc>
          <w:tcPr>
            <w:tcW w:w="1458" w:type="dxa"/>
            <w:tcBorders>
              <w:top w:val="single" w:sz="4" w:space="0" w:color="808080" w:themeColor="background1" w:themeShade="80"/>
              <w:left w:val="single" w:sz="4" w:space="0" w:color="auto"/>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United Distribution Companies, Petitioner v. FERC, Respondent (U.S.  Court of Appeals, D.C. Circuit)</w:t>
            </w:r>
          </w:p>
        </w:tc>
        <w:tc>
          <w:tcPr>
            <w:tcW w:w="1493" w:type="dxa"/>
            <w:tcBorders>
              <w:top w:val="single" w:sz="4" w:space="0" w:color="808080" w:themeColor="background1" w:themeShade="80"/>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No. 92-1485</w:t>
            </w:r>
          </w:p>
        </w:tc>
        <w:tc>
          <w:tcPr>
            <w:tcW w:w="1567" w:type="dxa"/>
            <w:tcBorders>
              <w:top w:val="single" w:sz="4" w:space="0" w:color="808080" w:themeColor="background1" w:themeShade="80"/>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Order 636 </w:t>
            </w:r>
            <w:proofErr w:type="spellStart"/>
            <w:r w:rsidRPr="008C262D">
              <w:rPr>
                <w:rFonts w:ascii="Times New Roman" w:eastAsia="Times New Roman" w:hAnsi="Times New Roman"/>
                <w:color w:val="000000"/>
                <w:sz w:val="20"/>
                <w:szCs w:val="20"/>
              </w:rPr>
              <w:t>SFV</w:t>
            </w:r>
            <w:proofErr w:type="spellEnd"/>
            <w:r w:rsidRPr="008C262D">
              <w:rPr>
                <w:rFonts w:ascii="Times New Roman" w:eastAsia="Times New Roman" w:hAnsi="Times New Roman"/>
                <w:color w:val="000000"/>
                <w:sz w:val="20"/>
                <w:szCs w:val="20"/>
              </w:rPr>
              <w:t xml:space="preserve"> Rate Design</w:t>
            </w:r>
          </w:p>
        </w:tc>
        <w:tc>
          <w:tcPr>
            <w:tcW w:w="6300" w:type="dxa"/>
            <w:tcBorders>
              <w:top w:val="single" w:sz="4" w:space="0" w:color="808080" w:themeColor="background1" w:themeShade="80"/>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xml:space="preserve">"The </w:t>
            </w:r>
            <w:proofErr w:type="spellStart"/>
            <w:r w:rsidRPr="008C262D">
              <w:rPr>
                <w:rFonts w:ascii="Times New Roman" w:eastAsia="Times New Roman" w:hAnsi="Times New Roman"/>
                <w:color w:val="000000"/>
                <w:sz w:val="20"/>
                <w:szCs w:val="20"/>
              </w:rPr>
              <w:t>PUCs</w:t>
            </w:r>
            <w:proofErr w:type="spellEnd"/>
            <w:r w:rsidRPr="008C262D">
              <w:rPr>
                <w:rFonts w:ascii="Times New Roman" w:eastAsia="Times New Roman" w:hAnsi="Times New Roman"/>
                <w:color w:val="000000"/>
                <w:sz w:val="20"/>
                <w:szCs w:val="20"/>
              </w:rPr>
              <w:t xml:space="preserve"> argue that FERC should have reduced the pipelines' rate of return because the pipelines will be able to recover all of their fixed costs and return on investment through demand and reservation charges instead of facing the uncertainty of recovering a portion of their fixed costs and return through gas sales throughout the year. ...Specifically, the </w:t>
            </w:r>
            <w:proofErr w:type="spellStart"/>
            <w:r w:rsidRPr="008C262D">
              <w:rPr>
                <w:rFonts w:ascii="Times New Roman" w:eastAsia="Times New Roman" w:hAnsi="Times New Roman"/>
                <w:color w:val="000000"/>
                <w:sz w:val="20"/>
                <w:szCs w:val="20"/>
              </w:rPr>
              <w:t>PUCs</w:t>
            </w:r>
            <w:proofErr w:type="spellEnd"/>
            <w:r w:rsidRPr="008C262D">
              <w:rPr>
                <w:rFonts w:ascii="Times New Roman" w:eastAsia="Times New Roman" w:hAnsi="Times New Roman"/>
                <w:color w:val="000000"/>
                <w:sz w:val="20"/>
                <w:szCs w:val="20"/>
              </w:rPr>
              <w:t xml:space="preserve"> contend that FERC should have followed its decision in Transcontinental Gas Pipe Line Corp</w:t>
            </w:r>
            <w:proofErr w:type="gramStart"/>
            <w:r w:rsidRPr="008C262D">
              <w:rPr>
                <w:rFonts w:ascii="Times New Roman" w:eastAsia="Times New Roman" w:hAnsi="Times New Roman"/>
                <w:color w:val="000000"/>
                <w:sz w:val="20"/>
                <w:szCs w:val="20"/>
              </w:rPr>
              <w:t>., ...and</w:t>
            </w:r>
            <w:proofErr w:type="gramEnd"/>
            <w:r w:rsidRPr="008C262D">
              <w:rPr>
                <w:rFonts w:ascii="Times New Roman" w:eastAsia="Times New Roman" w:hAnsi="Times New Roman"/>
                <w:color w:val="000000"/>
                <w:sz w:val="20"/>
                <w:szCs w:val="20"/>
              </w:rPr>
              <w:t xml:space="preserve"> imposed a 25 basis point reduction in pipelines' return on equity to reflect the lower risk under </w:t>
            </w:r>
            <w:proofErr w:type="spellStart"/>
            <w:r w:rsidRPr="008C262D">
              <w:rPr>
                <w:rFonts w:ascii="Times New Roman" w:eastAsia="Times New Roman" w:hAnsi="Times New Roman"/>
                <w:color w:val="000000"/>
                <w:sz w:val="20"/>
                <w:szCs w:val="20"/>
              </w:rPr>
              <w:t>SFV</w:t>
            </w:r>
            <w:proofErr w:type="spellEnd"/>
            <w:r w:rsidRPr="008C262D">
              <w:rPr>
                <w:rFonts w:ascii="Times New Roman" w:eastAsia="Times New Roman" w:hAnsi="Times New Roman"/>
                <w:color w:val="000000"/>
                <w:sz w:val="20"/>
                <w:szCs w:val="20"/>
              </w:rPr>
              <w:t xml:space="preserve"> rate design. "</w:t>
            </w:r>
          </w:p>
        </w:tc>
        <w:tc>
          <w:tcPr>
            <w:tcW w:w="1260" w:type="dxa"/>
            <w:tcBorders>
              <w:top w:val="single" w:sz="4" w:space="0" w:color="808080" w:themeColor="background1" w:themeShade="80"/>
              <w:bottom w:val="nil"/>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top w:val="single" w:sz="4" w:space="0" w:color="808080" w:themeColor="background1" w:themeShade="80"/>
              <w:bottom w:val="nil"/>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0.25 reduction to cost of equity</w:t>
            </w:r>
          </w:p>
        </w:tc>
      </w:tr>
      <w:tr w:rsidR="008C262D" w:rsidRPr="008C262D" w:rsidTr="00B96D07">
        <w:trPr>
          <w:trHeight w:val="81"/>
        </w:trPr>
        <w:tc>
          <w:tcPr>
            <w:tcW w:w="1458" w:type="dxa"/>
            <w:tcBorders>
              <w:left w:val="single" w:sz="4" w:space="0" w:color="auto"/>
              <w:bottom w:val="double" w:sz="6" w:space="0" w:color="auto"/>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493" w:type="dxa"/>
            <w:tcBorders>
              <w:bottom w:val="double" w:sz="6" w:space="0" w:color="auto"/>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567" w:type="dxa"/>
            <w:tcBorders>
              <w:bottom w:val="double" w:sz="6" w:space="0" w:color="auto"/>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6300" w:type="dxa"/>
            <w:tcBorders>
              <w:bottom w:val="double" w:sz="6" w:space="0" w:color="auto"/>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bottom w:val="double" w:sz="6" w:space="0" w:color="auto"/>
            </w:tcBorders>
            <w:shd w:val="clear" w:color="000000" w:fill="FFFFFF"/>
            <w:noWrap/>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c>
          <w:tcPr>
            <w:tcW w:w="1260" w:type="dxa"/>
            <w:tcBorders>
              <w:bottom w:val="double" w:sz="6" w:space="0" w:color="auto"/>
              <w:right w:val="single" w:sz="4" w:space="0" w:color="auto"/>
            </w:tcBorders>
            <w:shd w:val="clear" w:color="000000" w:fill="FFFFFF"/>
            <w:vAlign w:val="bottom"/>
            <w:hideMark/>
          </w:tcPr>
          <w:p w:rsidR="008C262D" w:rsidRPr="008C262D" w:rsidRDefault="008C262D" w:rsidP="008C262D">
            <w:pPr>
              <w:spacing w:after="0" w:line="240" w:lineRule="auto"/>
              <w:rPr>
                <w:rFonts w:ascii="Times New Roman" w:eastAsia="Times New Roman" w:hAnsi="Times New Roman"/>
                <w:color w:val="000000"/>
                <w:sz w:val="20"/>
                <w:szCs w:val="20"/>
              </w:rPr>
            </w:pPr>
            <w:r w:rsidRPr="008C262D">
              <w:rPr>
                <w:rFonts w:ascii="Times New Roman" w:eastAsia="Times New Roman" w:hAnsi="Times New Roman"/>
                <w:color w:val="000000"/>
                <w:sz w:val="20"/>
                <w:szCs w:val="20"/>
              </w:rPr>
              <w:t> </w:t>
            </w:r>
          </w:p>
        </w:tc>
      </w:tr>
    </w:tbl>
    <w:p w:rsidR="008C262D" w:rsidRPr="00C015DB" w:rsidRDefault="008C262D" w:rsidP="00C015DB">
      <w:pPr>
        <w:rPr>
          <w:szCs w:val="20"/>
        </w:rPr>
      </w:pPr>
    </w:p>
    <w:sectPr w:rsidR="008C262D" w:rsidRPr="00C015DB" w:rsidSect="008C262D">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62D" w:rsidRDefault="008C262D" w:rsidP="00581D2B">
      <w:pPr>
        <w:spacing w:after="0" w:line="240" w:lineRule="auto"/>
      </w:pPr>
      <w:r>
        <w:separator/>
      </w:r>
    </w:p>
  </w:endnote>
  <w:endnote w:type="continuationSeparator" w:id="1">
    <w:p w:rsidR="008C262D" w:rsidRDefault="008C262D" w:rsidP="00581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2D" w:rsidRPr="001A7DAB" w:rsidRDefault="008C262D" w:rsidP="00581D2B">
    <w:pPr>
      <w:pStyle w:val="Footer"/>
      <w:jc w:val="right"/>
      <w:rPr>
        <w:rFonts w:ascii="Times New Roman" w:hAnsi="Times New Roman"/>
      </w:rPr>
    </w:pPr>
    <w:r w:rsidRPr="001A7DAB">
      <w:rPr>
        <w:rFonts w:ascii="Times New Roman" w:hAnsi="Times New Roman"/>
        <w:sz w:val="20"/>
        <w:szCs w:val="20"/>
      </w:rPr>
      <w:t xml:space="preserve">Page </w:t>
    </w:r>
    <w:sdt>
      <w:sdtPr>
        <w:rPr>
          <w:rFonts w:ascii="Times New Roman" w:hAnsi="Times New Roman"/>
          <w:sz w:val="20"/>
          <w:szCs w:val="20"/>
        </w:rPr>
        <w:id w:val="23654016"/>
        <w:docPartObj>
          <w:docPartGallery w:val="Page Numbers (Bottom of Page)"/>
          <w:docPartUnique/>
        </w:docPartObj>
      </w:sdtPr>
      <w:sdtEndPr>
        <w:rPr>
          <w:sz w:val="22"/>
          <w:szCs w:val="22"/>
        </w:rPr>
      </w:sdtEndPr>
      <w:sdtContent>
        <w:r w:rsidR="00B47096" w:rsidRPr="001A7DAB">
          <w:rPr>
            <w:rFonts w:ascii="Times New Roman" w:hAnsi="Times New Roman"/>
            <w:sz w:val="20"/>
            <w:szCs w:val="20"/>
          </w:rPr>
          <w:fldChar w:fldCharType="begin"/>
        </w:r>
        <w:r w:rsidRPr="001A7DAB">
          <w:rPr>
            <w:rFonts w:ascii="Times New Roman" w:hAnsi="Times New Roman"/>
            <w:sz w:val="20"/>
            <w:szCs w:val="20"/>
          </w:rPr>
          <w:instrText xml:space="preserve"> PAGE   \* MERGEFORMAT </w:instrText>
        </w:r>
        <w:r w:rsidR="00B47096" w:rsidRPr="001A7DAB">
          <w:rPr>
            <w:rFonts w:ascii="Times New Roman" w:hAnsi="Times New Roman"/>
            <w:sz w:val="20"/>
            <w:szCs w:val="20"/>
          </w:rPr>
          <w:fldChar w:fldCharType="separate"/>
        </w:r>
        <w:r w:rsidR="00E46C2E">
          <w:rPr>
            <w:rFonts w:ascii="Times New Roman" w:hAnsi="Times New Roman"/>
            <w:noProof/>
            <w:sz w:val="20"/>
            <w:szCs w:val="20"/>
          </w:rPr>
          <w:t>1</w:t>
        </w:r>
        <w:r w:rsidR="00B47096" w:rsidRPr="001A7DAB">
          <w:rPr>
            <w:rFonts w:ascii="Times New Roman" w:hAnsi="Times New Roman"/>
            <w:sz w:val="20"/>
            <w:szCs w:val="20"/>
          </w:rPr>
          <w:fldChar w:fldCharType="end"/>
        </w:r>
      </w:sdtContent>
    </w:sdt>
  </w:p>
  <w:p w:rsidR="008C262D" w:rsidRDefault="008C26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62D" w:rsidRDefault="008C262D" w:rsidP="00581D2B">
      <w:pPr>
        <w:spacing w:after="0" w:line="240" w:lineRule="auto"/>
      </w:pPr>
      <w:r>
        <w:separator/>
      </w:r>
    </w:p>
  </w:footnote>
  <w:footnote w:type="continuationSeparator" w:id="1">
    <w:p w:rsidR="008C262D" w:rsidRDefault="008C262D" w:rsidP="00581D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2D" w:rsidRPr="009F479F" w:rsidRDefault="008C262D" w:rsidP="00581D2B">
    <w:pPr>
      <w:pStyle w:val="Header"/>
      <w:jc w:val="right"/>
      <w:rPr>
        <w:rFonts w:ascii="Times New Roman" w:hAnsi="Times New Roman"/>
        <w:sz w:val="20"/>
        <w:szCs w:val="20"/>
      </w:rPr>
    </w:pPr>
    <w:r w:rsidRPr="009F479F">
      <w:rPr>
        <w:rFonts w:ascii="Times New Roman" w:hAnsi="Times New Roman"/>
        <w:sz w:val="20"/>
        <w:szCs w:val="20"/>
      </w:rPr>
      <w:t>Exhibit No.___ (DED-</w:t>
    </w:r>
    <w:r w:rsidR="00E46C2E">
      <w:rPr>
        <w:rFonts w:ascii="Times New Roman" w:hAnsi="Times New Roman"/>
        <w:sz w:val="20"/>
        <w:szCs w:val="20"/>
      </w:rPr>
      <w:t>6</w:t>
    </w:r>
    <w:r w:rsidRPr="009F479F">
      <w:rPr>
        <w:rFonts w:ascii="Times New Roman" w:hAnsi="Times New Roman"/>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1D2B"/>
    <w:rsid w:val="001450C5"/>
    <w:rsid w:val="001A7DAB"/>
    <w:rsid w:val="001C7B76"/>
    <w:rsid w:val="0028131B"/>
    <w:rsid w:val="00581D2B"/>
    <w:rsid w:val="00630830"/>
    <w:rsid w:val="006C1D59"/>
    <w:rsid w:val="007231C3"/>
    <w:rsid w:val="0077083D"/>
    <w:rsid w:val="00780174"/>
    <w:rsid w:val="007F50CC"/>
    <w:rsid w:val="00825859"/>
    <w:rsid w:val="00852DA8"/>
    <w:rsid w:val="008C262D"/>
    <w:rsid w:val="00957BC0"/>
    <w:rsid w:val="0098278E"/>
    <w:rsid w:val="009F479F"/>
    <w:rsid w:val="00A326DA"/>
    <w:rsid w:val="00B1314E"/>
    <w:rsid w:val="00B47096"/>
    <w:rsid w:val="00B91A52"/>
    <w:rsid w:val="00B96D07"/>
    <w:rsid w:val="00C015DB"/>
    <w:rsid w:val="00C81158"/>
    <w:rsid w:val="00CD3E12"/>
    <w:rsid w:val="00D50D0E"/>
    <w:rsid w:val="00E46C2E"/>
    <w:rsid w:val="00F66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59"/>
    <w:pPr>
      <w:spacing w:after="200" w:line="276" w:lineRule="auto"/>
    </w:pPr>
    <w:rPr>
      <w:sz w:val="22"/>
      <w:szCs w:val="22"/>
    </w:rPr>
  </w:style>
  <w:style w:type="paragraph" w:styleId="Heading1">
    <w:name w:val="heading 1"/>
    <w:basedOn w:val="Normal"/>
    <w:next w:val="Normal"/>
    <w:link w:val="Heading1Char"/>
    <w:uiPriority w:val="9"/>
    <w:qFormat/>
    <w:rsid w:val="006C1D5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C1D5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C1D59"/>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6C1D59"/>
    <w:pPr>
      <w:ind w:left="720"/>
      <w:contextualSpacing/>
    </w:pPr>
    <w:rPr>
      <w:rFonts w:asciiTheme="minorHAnsi" w:eastAsiaTheme="minorHAnsi" w:hAnsiTheme="minorHAnsi" w:cstheme="minorBidi"/>
    </w:rPr>
  </w:style>
  <w:style w:type="paragraph" w:styleId="TOCHeading">
    <w:name w:val="TOC Heading"/>
    <w:basedOn w:val="Heading1"/>
    <w:next w:val="Normal"/>
    <w:uiPriority w:val="39"/>
    <w:semiHidden/>
    <w:unhideWhenUsed/>
    <w:qFormat/>
    <w:rsid w:val="006C1D59"/>
    <w:pPr>
      <w:keepLines/>
      <w:spacing w:before="480" w:after="0"/>
      <w:outlineLvl w:val="9"/>
    </w:pPr>
    <w:rPr>
      <w:color w:val="365F91" w:themeColor="accent1" w:themeShade="BF"/>
      <w:kern w:val="0"/>
      <w:sz w:val="28"/>
      <w:szCs w:val="28"/>
    </w:rPr>
  </w:style>
  <w:style w:type="paragraph" w:styleId="Header">
    <w:name w:val="header"/>
    <w:basedOn w:val="Normal"/>
    <w:link w:val="HeaderChar"/>
    <w:uiPriority w:val="99"/>
    <w:semiHidden/>
    <w:unhideWhenUsed/>
    <w:rsid w:val="00581D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1D2B"/>
    <w:rPr>
      <w:sz w:val="22"/>
      <w:szCs w:val="22"/>
    </w:rPr>
  </w:style>
  <w:style w:type="paragraph" w:styleId="Footer">
    <w:name w:val="footer"/>
    <w:basedOn w:val="Normal"/>
    <w:link w:val="FooterChar"/>
    <w:uiPriority w:val="99"/>
    <w:unhideWhenUsed/>
    <w:rsid w:val="00581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D2B"/>
    <w:rPr>
      <w:sz w:val="22"/>
      <w:szCs w:val="22"/>
    </w:rPr>
  </w:style>
  <w:style w:type="paragraph" w:styleId="BalloonText">
    <w:name w:val="Balloon Text"/>
    <w:basedOn w:val="Normal"/>
    <w:link w:val="BalloonTextChar"/>
    <w:uiPriority w:val="99"/>
    <w:semiHidden/>
    <w:unhideWhenUsed/>
    <w:rsid w:val="00852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A8"/>
    <w:rPr>
      <w:rFonts w:ascii="Tahoma" w:hAnsi="Tahoma" w:cs="Tahoma"/>
      <w:sz w:val="16"/>
      <w:szCs w:val="16"/>
    </w:rPr>
  </w:style>
  <w:style w:type="paragraph" w:styleId="NormalWeb">
    <w:name w:val="Normal (Web)"/>
    <w:basedOn w:val="Normal"/>
    <w:uiPriority w:val="99"/>
    <w:semiHidden/>
    <w:unhideWhenUsed/>
    <w:rsid w:val="009F479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5662851">
      <w:bodyDiv w:val="1"/>
      <w:marLeft w:val="0"/>
      <w:marRight w:val="0"/>
      <w:marTop w:val="0"/>
      <w:marBottom w:val="0"/>
      <w:divBdr>
        <w:top w:val="none" w:sz="0" w:space="0" w:color="auto"/>
        <w:left w:val="none" w:sz="0" w:space="0" w:color="auto"/>
        <w:bottom w:val="none" w:sz="0" w:space="0" w:color="auto"/>
        <w:right w:val="none" w:sz="0" w:space="0" w:color="auto"/>
      </w:divBdr>
    </w:div>
    <w:div w:id="185776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2012-02-24T08:00:00+00:00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A490AC-93C7-4355-8ABE-CFCA9623906F}"/>
</file>

<file path=customXml/itemProps2.xml><?xml version="1.0" encoding="utf-8"?>
<ds:datastoreItem xmlns:ds="http://schemas.openxmlformats.org/officeDocument/2006/customXml" ds:itemID="{732BC469-76FB-414B-A86D-E0B74490312C}"/>
</file>

<file path=customXml/itemProps3.xml><?xml version="1.0" encoding="utf-8"?>
<ds:datastoreItem xmlns:ds="http://schemas.openxmlformats.org/officeDocument/2006/customXml" ds:itemID="{66FAA035-867E-4140-B9BD-FFC92AD6C596}"/>
</file>

<file path=customXml/itemProps4.xml><?xml version="1.0" encoding="utf-8"?>
<ds:datastoreItem xmlns:ds="http://schemas.openxmlformats.org/officeDocument/2006/customXml" ds:itemID="{296EED1F-CE0E-488E-9FEA-285169C7F43A}"/>
</file>

<file path=docProps/app.xml><?xml version="1.0" encoding="utf-8"?>
<Properties xmlns="http://schemas.openxmlformats.org/officeDocument/2006/extended-properties" xmlns:vt="http://schemas.openxmlformats.org/officeDocument/2006/docPropsVTypes">
  <Template>Normal.dotm</Template>
  <TotalTime>0</TotalTime>
  <Pages>11</Pages>
  <Words>3374</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Beth</cp:lastModifiedBy>
  <cp:revision>2</cp:revision>
  <dcterms:created xsi:type="dcterms:W3CDTF">2012-02-22T23:52:00Z</dcterms:created>
  <dcterms:modified xsi:type="dcterms:W3CDTF">2012-02-22T23:52:00Z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