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40" w:rsidRPr="00AF1040" w:rsidRDefault="0082752D" w:rsidP="0082752D">
      <w:pPr>
        <w:pStyle w:val="Heading1"/>
        <w:keepNext w:val="0"/>
        <w:spacing w:after="0"/>
        <w:jc w:val="center"/>
        <w:rPr>
          <w:b w:val="0"/>
        </w:rPr>
      </w:pPr>
      <w:bookmarkStart w:id="0" w:name="_Toc157416846"/>
      <w:bookmarkStart w:id="1" w:name="_Toc264111720"/>
      <w:bookmarkStart w:id="2" w:name="_Toc264303511"/>
      <w:bookmarkStart w:id="3" w:name="_Toc264373150"/>
      <w:bookmarkStart w:id="4" w:name="_Toc317009200"/>
      <w:bookmarkStart w:id="5" w:name="_Toc327343933"/>
      <w:bookmarkStart w:id="6" w:name="_GoBack"/>
      <w:bookmarkEnd w:id="6"/>
      <w:r>
        <w:rPr>
          <w:b w:val="0"/>
        </w:rPr>
        <w:t>BEFORE THE WASHINGTON</w:t>
      </w:r>
      <w:r>
        <w:rPr>
          <w:b w:val="0"/>
        </w:rPr>
        <w:br/>
        <w:t>UTILITIES AND TRANSPORTATION COMMISSION</w:t>
      </w:r>
    </w:p>
    <w:p w:rsidR="00AF1040" w:rsidRDefault="00AF1040" w:rsidP="00AF1040">
      <w:pPr>
        <w:spacing w:line="240" w:lineRule="auto"/>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60"/>
        <w:gridCol w:w="3690"/>
      </w:tblGrid>
      <w:tr w:rsidR="0082752D" w:rsidTr="00B90D05">
        <w:tc>
          <w:tcPr>
            <w:tcW w:w="4320" w:type="dxa"/>
          </w:tcPr>
          <w:p w:rsidR="0082752D" w:rsidRDefault="0082752D" w:rsidP="00AF1040">
            <w:pPr>
              <w:spacing w:line="240" w:lineRule="auto"/>
              <w:ind w:left="0" w:firstLine="0"/>
            </w:pPr>
            <w:r>
              <w:t xml:space="preserve">In the </w:t>
            </w:r>
            <w:r w:rsidR="00770EF9">
              <w:t xml:space="preserve">Matter </w:t>
            </w:r>
            <w:r>
              <w:t>of Frontier Communications Northwest Inc.’s Petition to be Regulated as a Competitive Telecommunications Company Pursuant to RCW 80.26.320</w:t>
            </w:r>
          </w:p>
        </w:tc>
        <w:tc>
          <w:tcPr>
            <w:tcW w:w="360" w:type="dxa"/>
          </w:tcPr>
          <w:p w:rsidR="0082752D" w:rsidRDefault="0082752D" w:rsidP="00AF1040">
            <w:pPr>
              <w:spacing w:line="240" w:lineRule="auto"/>
              <w:ind w:left="0" w:firstLine="0"/>
            </w:pPr>
            <w:r>
              <w:t>)</w:t>
            </w:r>
          </w:p>
          <w:p w:rsidR="0082752D" w:rsidRDefault="0082752D" w:rsidP="00AF1040">
            <w:pPr>
              <w:spacing w:line="240" w:lineRule="auto"/>
              <w:ind w:left="0" w:firstLine="0"/>
            </w:pPr>
            <w:r>
              <w:t>)</w:t>
            </w:r>
          </w:p>
          <w:p w:rsidR="0082752D" w:rsidRDefault="0082752D" w:rsidP="00AF1040">
            <w:pPr>
              <w:spacing w:line="240" w:lineRule="auto"/>
              <w:ind w:left="0" w:firstLine="0"/>
            </w:pPr>
            <w:r>
              <w:t>)</w:t>
            </w:r>
          </w:p>
          <w:p w:rsidR="0082752D" w:rsidRDefault="0082752D" w:rsidP="00AF1040">
            <w:pPr>
              <w:spacing w:line="240" w:lineRule="auto"/>
              <w:ind w:left="0" w:firstLine="0"/>
            </w:pPr>
            <w:r>
              <w:t>)</w:t>
            </w:r>
          </w:p>
        </w:tc>
        <w:tc>
          <w:tcPr>
            <w:tcW w:w="3690" w:type="dxa"/>
          </w:tcPr>
          <w:p w:rsidR="0082752D" w:rsidRDefault="0082752D" w:rsidP="00AF1040">
            <w:pPr>
              <w:spacing w:line="240" w:lineRule="auto"/>
              <w:ind w:left="0" w:firstLine="0"/>
            </w:pPr>
          </w:p>
          <w:p w:rsidR="0082752D" w:rsidRDefault="0082752D" w:rsidP="00AF1040">
            <w:pPr>
              <w:spacing w:line="240" w:lineRule="auto"/>
              <w:ind w:left="0" w:firstLine="0"/>
            </w:pPr>
            <w:r>
              <w:tab/>
              <w:t>UT-121994</w:t>
            </w:r>
          </w:p>
        </w:tc>
      </w:tr>
    </w:tbl>
    <w:p w:rsidR="0082752D" w:rsidRDefault="0082752D" w:rsidP="00AF1040">
      <w:pPr>
        <w:spacing w:line="240" w:lineRule="auto"/>
      </w:pPr>
    </w:p>
    <w:p w:rsidR="00AF1040" w:rsidRDefault="00AF1040" w:rsidP="00AF1040">
      <w:pPr>
        <w:spacing w:line="240" w:lineRule="auto"/>
      </w:pPr>
    </w:p>
    <w:p w:rsidR="0082752D" w:rsidRDefault="0082752D" w:rsidP="00AF1040">
      <w:pPr>
        <w:spacing w:line="240" w:lineRule="auto"/>
      </w:pPr>
    </w:p>
    <w:p w:rsidR="0082752D" w:rsidRDefault="0082752D" w:rsidP="00DA1700">
      <w:pPr>
        <w:ind w:left="0" w:firstLine="0"/>
        <w:jc w:val="center"/>
        <w:rPr>
          <w:b/>
        </w:rPr>
      </w:pPr>
      <w:r>
        <w:rPr>
          <w:b/>
        </w:rPr>
        <w:t>TESTIMONY OF DON J. WOOD</w:t>
      </w:r>
      <w:r w:rsidR="00770EF9">
        <w:rPr>
          <w:b/>
        </w:rPr>
        <w:br/>
        <w:t>ON BEHALF OF</w:t>
      </w:r>
    </w:p>
    <w:p w:rsidR="0082752D" w:rsidRDefault="0082752D" w:rsidP="0082752D">
      <w:pPr>
        <w:ind w:left="0" w:firstLine="0"/>
        <w:jc w:val="center"/>
        <w:rPr>
          <w:b/>
        </w:rPr>
      </w:pPr>
      <w:r>
        <w:rPr>
          <w:b/>
        </w:rPr>
        <w:t>CBEYOND COMMUNICATIONS, LLC;</w:t>
      </w:r>
      <w:r>
        <w:rPr>
          <w:b/>
        </w:rPr>
        <w:br/>
        <w:t>CHARTER FIBERLINK WA-CCVII, LLC</w:t>
      </w:r>
      <w:r w:rsidR="00770EF9">
        <w:rPr>
          <w:b/>
        </w:rPr>
        <w:t>;</w:t>
      </w:r>
      <w:r>
        <w:rPr>
          <w:b/>
        </w:rPr>
        <w:br/>
        <w:t>LEVEL 3 COMMUNICATIONS, LLC; AND</w:t>
      </w:r>
      <w:r>
        <w:rPr>
          <w:b/>
        </w:rPr>
        <w:br/>
        <w:t>TW TELECOM OF WASHINGTON, LLC</w:t>
      </w:r>
      <w:r w:rsidR="00965EED">
        <w:rPr>
          <w:b/>
        </w:rPr>
        <w:t>,</w:t>
      </w:r>
    </w:p>
    <w:p w:rsidR="0082752D" w:rsidRDefault="00965EED" w:rsidP="0082752D">
      <w:pPr>
        <w:ind w:left="0" w:firstLine="0"/>
        <w:jc w:val="center"/>
        <w:rPr>
          <w:b/>
        </w:rPr>
      </w:pPr>
      <w:r>
        <w:rPr>
          <w:b/>
        </w:rPr>
        <w:t>IN SUPPORT OF</w:t>
      </w:r>
    </w:p>
    <w:p w:rsidR="00965EED" w:rsidRDefault="00965EED" w:rsidP="0082752D">
      <w:pPr>
        <w:ind w:left="0" w:firstLine="0"/>
        <w:jc w:val="center"/>
        <w:rPr>
          <w:b/>
        </w:rPr>
      </w:pPr>
      <w:r>
        <w:rPr>
          <w:b/>
        </w:rPr>
        <w:t>FRONTIER-CLEC SETTLEMENT AGREEMENT</w:t>
      </w:r>
    </w:p>
    <w:p w:rsidR="0082752D" w:rsidRDefault="0082752D" w:rsidP="00965EED">
      <w:pPr>
        <w:spacing w:line="240" w:lineRule="auto"/>
        <w:ind w:left="0" w:firstLine="0"/>
        <w:jc w:val="center"/>
        <w:rPr>
          <w:b/>
        </w:rPr>
      </w:pPr>
    </w:p>
    <w:p w:rsidR="00965EED" w:rsidRDefault="00965EED" w:rsidP="00965EED">
      <w:pPr>
        <w:spacing w:line="240" w:lineRule="auto"/>
        <w:ind w:left="0" w:firstLine="0"/>
        <w:jc w:val="center"/>
        <w:rPr>
          <w:b/>
        </w:rPr>
      </w:pPr>
    </w:p>
    <w:p w:rsidR="00965EED" w:rsidRDefault="00965EED" w:rsidP="00965EED">
      <w:pPr>
        <w:spacing w:line="240" w:lineRule="auto"/>
        <w:ind w:left="0" w:firstLine="0"/>
        <w:jc w:val="center"/>
        <w:rPr>
          <w:b/>
        </w:rPr>
      </w:pPr>
    </w:p>
    <w:p w:rsidR="00965EED" w:rsidRPr="0082752D" w:rsidRDefault="00965EED" w:rsidP="00965EED">
      <w:pPr>
        <w:spacing w:line="240" w:lineRule="auto"/>
        <w:ind w:left="0" w:firstLine="0"/>
        <w:jc w:val="center"/>
        <w:rPr>
          <w:b/>
        </w:rPr>
      </w:pPr>
      <w:r>
        <w:rPr>
          <w:b/>
        </w:rPr>
        <w:t>April 25, 2013</w:t>
      </w:r>
    </w:p>
    <w:p w:rsidR="0082752D" w:rsidRDefault="0082752D" w:rsidP="00AF1040">
      <w:pPr>
        <w:spacing w:line="240" w:lineRule="auto"/>
      </w:pPr>
    </w:p>
    <w:p w:rsidR="00AF1040" w:rsidRDefault="00AF1040" w:rsidP="00AF1040">
      <w:pPr>
        <w:spacing w:line="240" w:lineRule="auto"/>
      </w:pPr>
    </w:p>
    <w:p w:rsidR="00AF1040" w:rsidRDefault="00AF1040" w:rsidP="00AF1040">
      <w:pPr>
        <w:spacing w:line="240" w:lineRule="auto"/>
      </w:pPr>
    </w:p>
    <w:p w:rsidR="00AF1040" w:rsidRDefault="00AF1040" w:rsidP="00AF1040">
      <w:pPr>
        <w:spacing w:line="240" w:lineRule="auto"/>
      </w:pPr>
    </w:p>
    <w:p w:rsidR="00AF1040" w:rsidRDefault="00AF1040" w:rsidP="00AF1040">
      <w:pPr>
        <w:spacing w:line="240" w:lineRule="auto"/>
        <w:sectPr w:rsidR="00AF1040" w:rsidSect="00AF104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2448" w:header="720" w:footer="720" w:gutter="0"/>
          <w:cols w:space="720"/>
          <w:docGrid w:linePitch="360"/>
        </w:sectPr>
      </w:pPr>
    </w:p>
    <w:p w:rsidR="00AF1040" w:rsidRPr="00AF1040" w:rsidRDefault="00AF1040" w:rsidP="00AF1040">
      <w:pPr>
        <w:spacing w:line="240" w:lineRule="auto"/>
        <w:jc w:val="center"/>
        <w:rPr>
          <w:b/>
        </w:rPr>
      </w:pPr>
      <w:r w:rsidRPr="00AF1040">
        <w:rPr>
          <w:b/>
        </w:rPr>
        <w:lastRenderedPageBreak/>
        <w:t>TABLE</w:t>
      </w:r>
      <w:r>
        <w:rPr>
          <w:b/>
        </w:rPr>
        <w:t xml:space="preserve"> </w:t>
      </w:r>
      <w:r w:rsidRPr="00AF1040">
        <w:rPr>
          <w:b/>
        </w:rPr>
        <w:t>OF CONTENTS</w:t>
      </w:r>
    </w:p>
    <w:p w:rsidR="00AF1040" w:rsidRDefault="00AF1040" w:rsidP="00AF1040">
      <w:pPr>
        <w:spacing w:line="240" w:lineRule="auto"/>
      </w:pPr>
    </w:p>
    <w:p w:rsidR="00AF1040" w:rsidRDefault="00AF1040" w:rsidP="00ED019F">
      <w:pPr>
        <w:pStyle w:val="TOC1"/>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hyperlink w:anchor="_Toc354663249" w:history="1">
        <w:r w:rsidRPr="003D6FA1">
          <w:rPr>
            <w:rStyle w:val="Hyperlink"/>
            <w:noProof/>
          </w:rPr>
          <w:t>I.</w:t>
        </w:r>
        <w:r>
          <w:rPr>
            <w:rFonts w:asciiTheme="minorHAnsi" w:eastAsiaTheme="minorEastAsia" w:hAnsiTheme="minorHAnsi" w:cstheme="minorBidi"/>
            <w:noProof/>
            <w:snapToGrid/>
            <w:sz w:val="22"/>
            <w:szCs w:val="22"/>
          </w:rPr>
          <w:tab/>
        </w:r>
        <w:r w:rsidRPr="003D6FA1">
          <w:rPr>
            <w:rStyle w:val="Hyperlink"/>
            <w:noProof/>
          </w:rPr>
          <w:t>Introduction and Qualifications</w:t>
        </w:r>
        <w:r>
          <w:rPr>
            <w:noProof/>
            <w:webHidden/>
          </w:rPr>
          <w:tab/>
        </w:r>
        <w:r>
          <w:rPr>
            <w:noProof/>
            <w:webHidden/>
          </w:rPr>
          <w:fldChar w:fldCharType="begin"/>
        </w:r>
        <w:r>
          <w:rPr>
            <w:noProof/>
            <w:webHidden/>
          </w:rPr>
          <w:instrText xml:space="preserve"> PAGEREF _Toc354663249 \h </w:instrText>
        </w:r>
        <w:r>
          <w:rPr>
            <w:noProof/>
            <w:webHidden/>
          </w:rPr>
        </w:r>
        <w:r>
          <w:rPr>
            <w:noProof/>
            <w:webHidden/>
          </w:rPr>
          <w:fldChar w:fldCharType="separate"/>
        </w:r>
        <w:r w:rsidR="00E21680">
          <w:rPr>
            <w:noProof/>
            <w:webHidden/>
          </w:rPr>
          <w:t>1</w:t>
        </w:r>
        <w:r>
          <w:rPr>
            <w:noProof/>
            <w:webHidden/>
          </w:rPr>
          <w:fldChar w:fldCharType="end"/>
        </w:r>
      </w:hyperlink>
    </w:p>
    <w:p w:rsidR="00AF1040" w:rsidRDefault="00D5023A" w:rsidP="00ED019F">
      <w:pPr>
        <w:pStyle w:val="TOC1"/>
        <w:rPr>
          <w:rFonts w:asciiTheme="minorHAnsi" w:eastAsiaTheme="minorEastAsia" w:hAnsiTheme="minorHAnsi" w:cstheme="minorBidi"/>
          <w:noProof/>
          <w:snapToGrid/>
          <w:sz w:val="22"/>
          <w:szCs w:val="22"/>
        </w:rPr>
      </w:pPr>
      <w:hyperlink w:anchor="_Toc354663250" w:history="1">
        <w:r w:rsidR="00AF1040" w:rsidRPr="003D6FA1">
          <w:rPr>
            <w:rStyle w:val="Hyperlink"/>
            <w:noProof/>
          </w:rPr>
          <w:t>II.</w:t>
        </w:r>
        <w:r w:rsidR="00AF1040">
          <w:rPr>
            <w:rFonts w:asciiTheme="minorHAnsi" w:eastAsiaTheme="minorEastAsia" w:hAnsiTheme="minorHAnsi" w:cstheme="minorBidi"/>
            <w:noProof/>
            <w:snapToGrid/>
            <w:sz w:val="22"/>
            <w:szCs w:val="22"/>
          </w:rPr>
          <w:tab/>
        </w:r>
        <w:r w:rsidR="00AF1040" w:rsidRPr="003D6FA1">
          <w:rPr>
            <w:rStyle w:val="Hyperlink"/>
            <w:noProof/>
          </w:rPr>
          <w:t>Purpose and Summary of Testimony</w:t>
        </w:r>
        <w:r w:rsidR="00AF1040">
          <w:rPr>
            <w:noProof/>
            <w:webHidden/>
          </w:rPr>
          <w:tab/>
        </w:r>
        <w:r w:rsidR="00AF1040">
          <w:rPr>
            <w:noProof/>
            <w:webHidden/>
          </w:rPr>
          <w:fldChar w:fldCharType="begin"/>
        </w:r>
        <w:r w:rsidR="00AF1040">
          <w:rPr>
            <w:noProof/>
            <w:webHidden/>
          </w:rPr>
          <w:instrText xml:space="preserve"> PAGEREF _Toc354663250 \h </w:instrText>
        </w:r>
        <w:r w:rsidR="00AF1040">
          <w:rPr>
            <w:noProof/>
            <w:webHidden/>
          </w:rPr>
        </w:r>
        <w:r w:rsidR="00AF1040">
          <w:rPr>
            <w:noProof/>
            <w:webHidden/>
          </w:rPr>
          <w:fldChar w:fldCharType="separate"/>
        </w:r>
        <w:r w:rsidR="00E21680">
          <w:rPr>
            <w:noProof/>
            <w:webHidden/>
          </w:rPr>
          <w:t>2</w:t>
        </w:r>
        <w:r w:rsidR="00AF1040">
          <w:rPr>
            <w:noProof/>
            <w:webHidden/>
          </w:rPr>
          <w:fldChar w:fldCharType="end"/>
        </w:r>
      </w:hyperlink>
    </w:p>
    <w:p w:rsidR="00AF1040" w:rsidRDefault="00D5023A" w:rsidP="00ED019F">
      <w:pPr>
        <w:pStyle w:val="TOC1"/>
        <w:rPr>
          <w:rFonts w:asciiTheme="minorHAnsi" w:eastAsiaTheme="minorEastAsia" w:hAnsiTheme="minorHAnsi" w:cstheme="minorBidi"/>
          <w:noProof/>
          <w:snapToGrid/>
          <w:sz w:val="22"/>
          <w:szCs w:val="22"/>
        </w:rPr>
      </w:pPr>
      <w:hyperlink w:anchor="_Toc354663251" w:history="1">
        <w:r w:rsidR="00AF1040" w:rsidRPr="003D6FA1">
          <w:rPr>
            <w:rStyle w:val="Hyperlink"/>
            <w:noProof/>
          </w:rPr>
          <w:t>III.</w:t>
        </w:r>
        <w:r w:rsidR="00AF1040">
          <w:rPr>
            <w:rFonts w:asciiTheme="minorHAnsi" w:eastAsiaTheme="minorEastAsia" w:hAnsiTheme="minorHAnsi" w:cstheme="minorBidi"/>
            <w:noProof/>
            <w:snapToGrid/>
            <w:sz w:val="22"/>
            <w:szCs w:val="22"/>
          </w:rPr>
          <w:tab/>
        </w:r>
        <w:r w:rsidR="00AF1040" w:rsidRPr="003D6FA1">
          <w:rPr>
            <w:rStyle w:val="Hyperlink"/>
            <w:noProof/>
          </w:rPr>
          <w:t>The Importance of Wholesale Services to the Availability of End User Alternatives</w:t>
        </w:r>
        <w:r w:rsidR="00AF1040">
          <w:rPr>
            <w:noProof/>
            <w:webHidden/>
          </w:rPr>
          <w:tab/>
        </w:r>
        <w:r w:rsidR="00AF1040">
          <w:rPr>
            <w:noProof/>
            <w:webHidden/>
          </w:rPr>
          <w:fldChar w:fldCharType="begin"/>
        </w:r>
        <w:r w:rsidR="00AF1040">
          <w:rPr>
            <w:noProof/>
            <w:webHidden/>
          </w:rPr>
          <w:instrText xml:space="preserve"> PAGEREF _Toc354663251 \h </w:instrText>
        </w:r>
        <w:r w:rsidR="00AF1040">
          <w:rPr>
            <w:noProof/>
            <w:webHidden/>
          </w:rPr>
        </w:r>
        <w:r w:rsidR="00AF1040">
          <w:rPr>
            <w:noProof/>
            <w:webHidden/>
          </w:rPr>
          <w:fldChar w:fldCharType="separate"/>
        </w:r>
        <w:r w:rsidR="00E21680">
          <w:rPr>
            <w:noProof/>
            <w:webHidden/>
          </w:rPr>
          <w:t>4</w:t>
        </w:r>
        <w:r w:rsidR="00AF1040">
          <w:rPr>
            <w:noProof/>
            <w:webHidden/>
          </w:rPr>
          <w:fldChar w:fldCharType="end"/>
        </w:r>
      </w:hyperlink>
    </w:p>
    <w:p w:rsidR="00AF1040" w:rsidRDefault="00D5023A" w:rsidP="00ED019F">
      <w:pPr>
        <w:pStyle w:val="TOC1"/>
        <w:rPr>
          <w:rFonts w:asciiTheme="minorHAnsi" w:eastAsiaTheme="minorEastAsia" w:hAnsiTheme="minorHAnsi" w:cstheme="minorBidi"/>
          <w:noProof/>
          <w:snapToGrid/>
          <w:sz w:val="22"/>
          <w:szCs w:val="22"/>
        </w:rPr>
      </w:pPr>
      <w:hyperlink w:anchor="_Toc354663252" w:history="1">
        <w:r w:rsidR="00AF1040" w:rsidRPr="003D6FA1">
          <w:rPr>
            <w:rStyle w:val="Hyperlink"/>
            <w:noProof/>
          </w:rPr>
          <w:t>IV.</w:t>
        </w:r>
        <w:r w:rsidR="00AF1040">
          <w:rPr>
            <w:rFonts w:asciiTheme="minorHAnsi" w:eastAsiaTheme="minorEastAsia" w:hAnsiTheme="minorHAnsi" w:cstheme="minorBidi"/>
            <w:noProof/>
            <w:snapToGrid/>
            <w:sz w:val="22"/>
            <w:szCs w:val="22"/>
          </w:rPr>
          <w:tab/>
        </w:r>
        <w:r w:rsidR="00AF1040" w:rsidRPr="003D6FA1">
          <w:rPr>
            <w:rStyle w:val="Hyperlink"/>
            <w:noProof/>
          </w:rPr>
          <w:t>The Importance of Individual Settlement Agreement Terms</w:t>
        </w:r>
        <w:r w:rsidR="00AF1040">
          <w:rPr>
            <w:noProof/>
            <w:webHidden/>
          </w:rPr>
          <w:tab/>
        </w:r>
        <w:r w:rsidR="00AF1040">
          <w:rPr>
            <w:noProof/>
            <w:webHidden/>
          </w:rPr>
          <w:fldChar w:fldCharType="begin"/>
        </w:r>
        <w:r w:rsidR="00AF1040">
          <w:rPr>
            <w:noProof/>
            <w:webHidden/>
          </w:rPr>
          <w:instrText xml:space="preserve"> PAGEREF _Toc354663252 \h </w:instrText>
        </w:r>
        <w:r w:rsidR="00AF1040">
          <w:rPr>
            <w:noProof/>
            <w:webHidden/>
          </w:rPr>
        </w:r>
        <w:r w:rsidR="00AF1040">
          <w:rPr>
            <w:noProof/>
            <w:webHidden/>
          </w:rPr>
          <w:fldChar w:fldCharType="separate"/>
        </w:r>
        <w:r w:rsidR="00E21680">
          <w:rPr>
            <w:noProof/>
            <w:webHidden/>
          </w:rPr>
          <w:t>12</w:t>
        </w:r>
        <w:r w:rsidR="00AF1040">
          <w:rPr>
            <w:noProof/>
            <w:webHidden/>
          </w:rPr>
          <w:fldChar w:fldCharType="end"/>
        </w:r>
      </w:hyperlink>
    </w:p>
    <w:p w:rsidR="00AF1040" w:rsidRDefault="00D5023A" w:rsidP="00ED019F">
      <w:pPr>
        <w:pStyle w:val="TOC2"/>
        <w:spacing w:after="240"/>
        <w:rPr>
          <w:noProof/>
        </w:rPr>
      </w:pPr>
      <w:hyperlink w:anchor="_Toc354663253" w:history="1">
        <w:r w:rsidR="00AF1040" w:rsidRPr="003D6FA1">
          <w:rPr>
            <w:rStyle w:val="Hyperlink"/>
            <w:noProof/>
          </w:rPr>
          <w:t>Generally Applicable Terms</w:t>
        </w:r>
        <w:r w:rsidR="00AF1040">
          <w:rPr>
            <w:noProof/>
            <w:webHidden/>
          </w:rPr>
          <w:tab/>
        </w:r>
        <w:r w:rsidR="00AF1040">
          <w:rPr>
            <w:noProof/>
            <w:webHidden/>
          </w:rPr>
          <w:fldChar w:fldCharType="begin"/>
        </w:r>
        <w:r w:rsidR="00AF1040">
          <w:rPr>
            <w:noProof/>
            <w:webHidden/>
          </w:rPr>
          <w:instrText xml:space="preserve"> PAGEREF _Toc354663253 \h </w:instrText>
        </w:r>
        <w:r w:rsidR="00AF1040">
          <w:rPr>
            <w:noProof/>
            <w:webHidden/>
          </w:rPr>
        </w:r>
        <w:r w:rsidR="00AF1040">
          <w:rPr>
            <w:noProof/>
            <w:webHidden/>
          </w:rPr>
          <w:fldChar w:fldCharType="separate"/>
        </w:r>
        <w:r w:rsidR="00E21680">
          <w:rPr>
            <w:noProof/>
            <w:webHidden/>
          </w:rPr>
          <w:t>13</w:t>
        </w:r>
        <w:r w:rsidR="00AF1040">
          <w:rPr>
            <w:noProof/>
            <w:webHidden/>
          </w:rPr>
          <w:fldChar w:fldCharType="end"/>
        </w:r>
      </w:hyperlink>
    </w:p>
    <w:p w:rsidR="00AF1040" w:rsidRDefault="00D5023A" w:rsidP="00ED019F">
      <w:pPr>
        <w:pStyle w:val="TOC2"/>
        <w:spacing w:after="240"/>
        <w:rPr>
          <w:noProof/>
        </w:rPr>
      </w:pPr>
      <w:hyperlink w:anchor="_Toc354663254" w:history="1">
        <w:r w:rsidR="00AF1040" w:rsidRPr="003D6FA1">
          <w:rPr>
            <w:rStyle w:val="Hyperlink"/>
            <w:noProof/>
          </w:rPr>
          <w:t xml:space="preserve">Terms Related to Wholesale Services Provided Pursuant to an </w:t>
        </w:r>
        <w:r w:rsidR="00ED019F">
          <w:rPr>
            <w:rStyle w:val="Hyperlink"/>
            <w:noProof/>
          </w:rPr>
          <w:br/>
        </w:r>
        <w:r w:rsidR="00AF1040" w:rsidRPr="003D6FA1">
          <w:rPr>
            <w:rStyle w:val="Hyperlink"/>
            <w:noProof/>
          </w:rPr>
          <w:t>Interconnection Agreement</w:t>
        </w:r>
        <w:r w:rsidR="00AF1040">
          <w:rPr>
            <w:noProof/>
            <w:webHidden/>
          </w:rPr>
          <w:tab/>
        </w:r>
        <w:r w:rsidR="00AF1040">
          <w:rPr>
            <w:noProof/>
            <w:webHidden/>
          </w:rPr>
          <w:fldChar w:fldCharType="begin"/>
        </w:r>
        <w:r w:rsidR="00AF1040">
          <w:rPr>
            <w:noProof/>
            <w:webHidden/>
          </w:rPr>
          <w:instrText xml:space="preserve"> PAGEREF _Toc354663254 \h </w:instrText>
        </w:r>
        <w:r w:rsidR="00AF1040">
          <w:rPr>
            <w:noProof/>
            <w:webHidden/>
          </w:rPr>
        </w:r>
        <w:r w:rsidR="00AF1040">
          <w:rPr>
            <w:noProof/>
            <w:webHidden/>
          </w:rPr>
          <w:fldChar w:fldCharType="separate"/>
        </w:r>
        <w:r w:rsidR="00E21680">
          <w:rPr>
            <w:noProof/>
            <w:webHidden/>
          </w:rPr>
          <w:t>20</w:t>
        </w:r>
        <w:r w:rsidR="00AF1040">
          <w:rPr>
            <w:noProof/>
            <w:webHidden/>
          </w:rPr>
          <w:fldChar w:fldCharType="end"/>
        </w:r>
      </w:hyperlink>
    </w:p>
    <w:p w:rsidR="00AF1040" w:rsidRDefault="00D5023A" w:rsidP="00ED019F">
      <w:pPr>
        <w:pStyle w:val="TOC2"/>
        <w:spacing w:after="240"/>
        <w:rPr>
          <w:noProof/>
        </w:rPr>
      </w:pPr>
      <w:hyperlink w:anchor="_Toc354663255" w:history="1">
        <w:r w:rsidR="00AF1040" w:rsidRPr="003D6FA1">
          <w:rPr>
            <w:rStyle w:val="Hyperlink"/>
            <w:noProof/>
          </w:rPr>
          <w:t>Terms Related to Wholesale Services Not Provided Pursuant to an Interconnection Agreement</w:t>
        </w:r>
        <w:r w:rsidR="00AF1040">
          <w:rPr>
            <w:noProof/>
            <w:webHidden/>
          </w:rPr>
          <w:tab/>
        </w:r>
        <w:r w:rsidR="00AF1040">
          <w:rPr>
            <w:noProof/>
            <w:webHidden/>
          </w:rPr>
          <w:fldChar w:fldCharType="begin"/>
        </w:r>
        <w:r w:rsidR="00AF1040">
          <w:rPr>
            <w:noProof/>
            <w:webHidden/>
          </w:rPr>
          <w:instrText xml:space="preserve"> PAGEREF _Toc354663255 \h </w:instrText>
        </w:r>
        <w:r w:rsidR="00AF1040">
          <w:rPr>
            <w:noProof/>
            <w:webHidden/>
          </w:rPr>
        </w:r>
        <w:r w:rsidR="00AF1040">
          <w:rPr>
            <w:noProof/>
            <w:webHidden/>
          </w:rPr>
          <w:fldChar w:fldCharType="separate"/>
        </w:r>
        <w:r w:rsidR="00E21680">
          <w:rPr>
            <w:noProof/>
            <w:webHidden/>
          </w:rPr>
          <w:t>25</w:t>
        </w:r>
        <w:r w:rsidR="00AF1040">
          <w:rPr>
            <w:noProof/>
            <w:webHidden/>
          </w:rPr>
          <w:fldChar w:fldCharType="end"/>
        </w:r>
      </w:hyperlink>
    </w:p>
    <w:p w:rsidR="00AF1040" w:rsidRDefault="00AF1040" w:rsidP="00AF1040">
      <w:pPr>
        <w:spacing w:line="240" w:lineRule="auto"/>
      </w:pPr>
      <w:r>
        <w:fldChar w:fldCharType="end"/>
      </w:r>
    </w:p>
    <w:p w:rsidR="00AF1040" w:rsidRDefault="00AF1040" w:rsidP="00AF1040">
      <w:pPr>
        <w:spacing w:line="240" w:lineRule="auto"/>
      </w:pPr>
    </w:p>
    <w:p w:rsidR="00AF1040" w:rsidRDefault="00AF1040" w:rsidP="00AF1040">
      <w:pPr>
        <w:spacing w:line="240" w:lineRule="auto"/>
      </w:pPr>
    </w:p>
    <w:p w:rsidR="00AF1040" w:rsidRPr="00AF1040" w:rsidRDefault="00AF1040" w:rsidP="00AF1040">
      <w:pPr>
        <w:sectPr w:rsidR="00AF1040" w:rsidRPr="00AF1040" w:rsidSect="00AF1040">
          <w:headerReference w:type="default" r:id="rId14"/>
          <w:footerReference w:type="default" r:id="rId15"/>
          <w:pgSz w:w="12240" w:h="15840" w:code="1"/>
          <w:pgMar w:top="1440" w:right="1440" w:bottom="1440" w:left="2448" w:header="720" w:footer="720" w:gutter="0"/>
          <w:cols w:space="720"/>
          <w:docGrid w:linePitch="360"/>
        </w:sectPr>
      </w:pPr>
    </w:p>
    <w:p w:rsidR="000C3B5C" w:rsidRPr="000C3B5C" w:rsidRDefault="00702BC3" w:rsidP="00CA26A8">
      <w:pPr>
        <w:pStyle w:val="Heading1"/>
      </w:pPr>
      <w:bookmarkStart w:id="7" w:name="_Toc354663249"/>
      <w:r w:rsidRPr="00FA56B1">
        <w:lastRenderedPageBreak/>
        <w:t>I.</w:t>
      </w:r>
      <w:r w:rsidR="00657095">
        <w:tab/>
      </w:r>
      <w:r w:rsidR="000758A6" w:rsidRPr="00FA56B1">
        <w:t>Introducti</w:t>
      </w:r>
      <w:bookmarkEnd w:id="0"/>
      <w:bookmarkEnd w:id="1"/>
      <w:bookmarkEnd w:id="2"/>
      <w:bookmarkEnd w:id="3"/>
      <w:bookmarkEnd w:id="4"/>
      <w:bookmarkEnd w:id="5"/>
      <w:r w:rsidR="00D20AFE" w:rsidRPr="00FA56B1">
        <w:t>on and Qualifications</w:t>
      </w:r>
      <w:bookmarkEnd w:id="7"/>
    </w:p>
    <w:p w:rsidR="000758A6" w:rsidRDefault="000758A6">
      <w:pPr>
        <w:tabs>
          <w:tab w:val="left" w:pos="-1440"/>
        </w:tabs>
        <w:jc w:val="both"/>
      </w:pPr>
      <w:r>
        <w:t>Q</w:t>
      </w:r>
      <w:r>
        <w:rPr>
          <w:bCs/>
          <w:iCs/>
        </w:rPr>
        <w:t>.</w:t>
      </w:r>
      <w:r>
        <w:tab/>
        <w:t>PLEASE STATE YOUR NAME AND BUSINESS ADDRESS.</w:t>
      </w:r>
    </w:p>
    <w:p w:rsidR="000758A6" w:rsidRDefault="000758A6" w:rsidP="00737785">
      <w:pPr>
        <w:tabs>
          <w:tab w:val="left" w:pos="-1440"/>
        </w:tabs>
      </w:pPr>
      <w:r>
        <w:t>A.</w:t>
      </w:r>
      <w:r>
        <w:tab/>
        <w:t xml:space="preserve">My name is Don J. Wood.  I am a principal in the firm of Wood &amp; Wood, an economic and financial consulting </w:t>
      </w:r>
      <w:r w:rsidR="001E511F">
        <w:t>firm.  My business address is 914 Stream Valley Trail</w:t>
      </w:r>
      <w:r>
        <w:t>, Alpharetta, Georgia 30022.  I provide economic and regulatory analysis of telecommunications and related convergence industries with an emphasis on economic and regulatory policy, competitive market development, and cost-of-service issues.</w:t>
      </w:r>
    </w:p>
    <w:p w:rsidR="005C4D2D" w:rsidRDefault="005C4D2D" w:rsidP="00737785">
      <w:pPr>
        <w:tabs>
          <w:tab w:val="left" w:pos="-1440"/>
        </w:tabs>
      </w:pPr>
    </w:p>
    <w:p w:rsidR="000758A6" w:rsidRDefault="000758A6">
      <w:pPr>
        <w:tabs>
          <w:tab w:val="left" w:pos="-1440"/>
        </w:tabs>
      </w:pPr>
      <w:r>
        <w:t>Q.</w:t>
      </w:r>
      <w:r>
        <w:tab/>
        <w:t>PLEASE DESCRIBE YOUR BACKGROUND AND EXPERIENCE.</w:t>
      </w:r>
    </w:p>
    <w:p w:rsidR="000758A6" w:rsidRDefault="000758A6">
      <w:pPr>
        <w:tabs>
          <w:tab w:val="left" w:pos="-1440"/>
        </w:tabs>
      </w:pPr>
      <w:r>
        <w:t>A.</w:t>
      </w:r>
      <w:r>
        <w:tab/>
        <w:t xml:space="preserve">I received a BBA in Finance with distinction from Emory University and an MBA with concentrations in Finance and Microeconomics from the College of William and Mary.  My telecommunications experience includes employment at both a Regional </w:t>
      </w:r>
      <w:r w:rsidR="00552059">
        <w:t xml:space="preserve">Bell Operating Company </w:t>
      </w:r>
      <w:r>
        <w:t xml:space="preserve">and </w:t>
      </w:r>
      <w:r w:rsidR="00552059">
        <w:t>an Interexchange Carrier</w:t>
      </w:r>
      <w:r>
        <w:t>.</w:t>
      </w:r>
    </w:p>
    <w:p w:rsidR="000758A6" w:rsidRDefault="000758A6" w:rsidP="00863AB1">
      <w:pPr>
        <w:tabs>
          <w:tab w:val="left" w:pos="-1440"/>
        </w:tabs>
      </w:pPr>
      <w:r>
        <w:tab/>
      </w:r>
      <w:r>
        <w:tab/>
        <w:t>Specifically, I was employed in the local exchange industry by BellSouth Services, Inc.</w:t>
      </w:r>
      <w:r w:rsidR="00D25C23">
        <w:t>,</w:t>
      </w:r>
      <w:r>
        <w:t xml:space="preserve"> in its Pricing and Economics, Service Cost Division.  My responsibilities included performing cost analyses of new and existing services, </w:t>
      </w:r>
      <w:r w:rsidR="00863AB1">
        <w:t xml:space="preserve">and </w:t>
      </w:r>
      <w:r>
        <w:t>preparing documentation for filings with state regulatory commissions and the Federal Co</w:t>
      </w:r>
      <w:r w:rsidR="00863AB1">
        <w:t>mmunications Commission ("FCC")</w:t>
      </w:r>
      <w:r>
        <w:t xml:space="preserve">.  </w:t>
      </w:r>
    </w:p>
    <w:p w:rsidR="000758A6" w:rsidRDefault="000758A6" w:rsidP="00737785">
      <w:pPr>
        <w:tabs>
          <w:tab w:val="left" w:pos="-1440"/>
        </w:tabs>
      </w:pPr>
      <w:r>
        <w:tab/>
      </w:r>
      <w:r>
        <w:tab/>
        <w:t>I was employed in the interexchange industry by MCI Telecommunications Corporation, as Manager of Regulatory Analysis for the Southern Division.  In this capacity I was responsible for the development and implementation of regulatory policy for operations in the southern U. S.  I then served as a Manager in MCI’s Economic Analysis and Regulatory Affairs Organization, where I participated in the development of regulatory policy for national issues.</w:t>
      </w:r>
    </w:p>
    <w:p w:rsidR="005C4D2D" w:rsidRDefault="005C4D2D" w:rsidP="00737785">
      <w:pPr>
        <w:tabs>
          <w:tab w:val="left" w:pos="-1440"/>
        </w:tabs>
      </w:pPr>
    </w:p>
    <w:p w:rsidR="000758A6" w:rsidRDefault="000758A6">
      <w:pPr>
        <w:tabs>
          <w:tab w:val="left" w:pos="-1440"/>
        </w:tabs>
      </w:pPr>
      <w:r>
        <w:t>Q.</w:t>
      </w:r>
      <w:r>
        <w:tab/>
        <w:t>HAVE YOU PREVIOUSLY PRESENTED TESTIMONY BEFORE STATE REGULATORS?</w:t>
      </w:r>
    </w:p>
    <w:p w:rsidR="000F2082" w:rsidRPr="005B379D" w:rsidRDefault="000758A6" w:rsidP="00BB4A76">
      <w:pPr>
        <w:tabs>
          <w:tab w:val="left" w:pos="-1440"/>
        </w:tabs>
      </w:pPr>
      <w:r>
        <w:t>A.</w:t>
      </w:r>
      <w:r>
        <w:tab/>
        <w:t xml:space="preserve">Yes. </w:t>
      </w:r>
      <w:r w:rsidR="00ED1964">
        <w:t xml:space="preserve"> </w:t>
      </w:r>
      <w:r>
        <w:t>I have testified on telecommunications issues before the regulatory co</w:t>
      </w:r>
      <w:r w:rsidR="00022C7D">
        <w:t xml:space="preserve">mmissions of </w:t>
      </w:r>
      <w:r w:rsidR="00D25C23">
        <w:t xml:space="preserve">43 </w:t>
      </w:r>
      <w:r>
        <w:t xml:space="preserve">states, Puerto Rico, and the District of Columbia.  I have also presented testimony regarding telecommunications issues in state, federal, and overseas courts, before alternative dispute resolution tribunals, and at the FCC.  A </w:t>
      </w:r>
      <w:r w:rsidR="00863AB1">
        <w:t xml:space="preserve">description of </w:t>
      </w:r>
      <w:r w:rsidR="00096683">
        <w:t xml:space="preserve">my </w:t>
      </w:r>
      <w:r w:rsidR="00863AB1">
        <w:t xml:space="preserve">qualifications and a </w:t>
      </w:r>
      <w:r>
        <w:t xml:space="preserve">list of my previous testimony </w:t>
      </w:r>
      <w:r w:rsidR="007C422F">
        <w:t>are</w:t>
      </w:r>
      <w:r>
        <w:t xml:space="preserve"> attached as Exhibit </w:t>
      </w:r>
      <w:r w:rsidR="008C2C16">
        <w:t xml:space="preserve">No. ___ </w:t>
      </w:r>
      <w:r w:rsidR="00CF1C51">
        <w:t>(</w:t>
      </w:r>
      <w:r w:rsidR="008C2C16">
        <w:t>DJW-2</w:t>
      </w:r>
      <w:r w:rsidR="00CF1C51">
        <w:t>)</w:t>
      </w:r>
      <w:r>
        <w:t>.</w:t>
      </w:r>
    </w:p>
    <w:p w:rsidR="00863AB1" w:rsidRDefault="00863AB1" w:rsidP="00737785">
      <w:pPr>
        <w:tabs>
          <w:tab w:val="left" w:pos="-1440"/>
        </w:tabs>
        <w:rPr>
          <w:bCs/>
        </w:rPr>
      </w:pPr>
    </w:p>
    <w:p w:rsidR="00FA56B1" w:rsidRPr="00FA56B1" w:rsidRDefault="002B2BC9" w:rsidP="00FA56B1">
      <w:pPr>
        <w:pStyle w:val="Heading1"/>
      </w:pPr>
      <w:bookmarkStart w:id="8" w:name="_Toc327343934"/>
      <w:bookmarkStart w:id="9" w:name="_Toc354663250"/>
      <w:r>
        <w:t>II.</w:t>
      </w:r>
      <w:r w:rsidR="00657095">
        <w:tab/>
      </w:r>
      <w:r>
        <w:t xml:space="preserve">Purpose and Summary </w:t>
      </w:r>
      <w:r w:rsidR="00863AB1">
        <w:t>of Testimony</w:t>
      </w:r>
      <w:bookmarkEnd w:id="8"/>
      <w:bookmarkEnd w:id="9"/>
    </w:p>
    <w:p w:rsidR="00552059" w:rsidRDefault="00D42542" w:rsidP="00BB4A76">
      <w:pPr>
        <w:tabs>
          <w:tab w:val="left" w:pos="-1440"/>
        </w:tabs>
        <w:rPr>
          <w:bCs/>
        </w:rPr>
      </w:pPr>
      <w:r>
        <w:rPr>
          <w:bCs/>
        </w:rPr>
        <w:t>Q.</w:t>
      </w:r>
      <w:r>
        <w:rPr>
          <w:bCs/>
        </w:rPr>
        <w:tab/>
        <w:t>WHAT IS THE PURPOSE OF YOUR TESTIMONY?</w:t>
      </w:r>
    </w:p>
    <w:p w:rsidR="00D42542" w:rsidRDefault="00D42542" w:rsidP="00BB4A76">
      <w:pPr>
        <w:tabs>
          <w:tab w:val="left" w:pos="-1440"/>
        </w:tabs>
        <w:rPr>
          <w:bCs/>
        </w:rPr>
      </w:pPr>
      <w:r>
        <w:rPr>
          <w:bCs/>
        </w:rPr>
        <w:t>A.</w:t>
      </w:r>
      <w:r>
        <w:rPr>
          <w:bCs/>
        </w:rPr>
        <w:tab/>
      </w:r>
      <w:r w:rsidR="00530BBC">
        <w:rPr>
          <w:bCs/>
        </w:rPr>
        <w:t xml:space="preserve">I was initially asked by Cbeyond Communications, LLC (“Cbeyond”); Charter Fiberlink WA-CCVII, LLC (“Charter Fiberlink”); Level 3 Communications, LLC </w:t>
      </w:r>
      <w:r w:rsidR="008C2C16">
        <w:rPr>
          <w:bCs/>
        </w:rPr>
        <w:t>(“Level 3”), and tw telecom of washington, llc (“t</w:t>
      </w:r>
      <w:r w:rsidR="00530BBC">
        <w:rPr>
          <w:bCs/>
        </w:rPr>
        <w:t xml:space="preserve">w telecom”) (collectively, “CLEC Intervenors”) to </w:t>
      </w:r>
      <w:r w:rsidR="008B4432">
        <w:rPr>
          <w:bCs/>
        </w:rPr>
        <w:t xml:space="preserve">provide testimony in support of their opposition to </w:t>
      </w:r>
      <w:r w:rsidR="00530BBC">
        <w:rPr>
          <w:bCs/>
        </w:rPr>
        <w:t>the Petition of Frontier Communications Northwest Inc. (“Frontier”)</w:t>
      </w:r>
      <w:r w:rsidR="00530BBC">
        <w:rPr>
          <w:rStyle w:val="FootnoteReference"/>
          <w:bCs/>
        </w:rPr>
        <w:footnoteReference w:id="1"/>
      </w:r>
      <w:r w:rsidR="00530BBC">
        <w:rPr>
          <w:bCs/>
        </w:rPr>
        <w:t xml:space="preserve"> for classification as a competitive telecommunications company pursuant to RCW 80.36.320 and WAC 480-121-061.</w:t>
      </w:r>
    </w:p>
    <w:p w:rsidR="002B2BC9" w:rsidRDefault="002B2BC9" w:rsidP="00BB4A76">
      <w:pPr>
        <w:tabs>
          <w:tab w:val="left" w:pos="-1440"/>
        </w:tabs>
        <w:rPr>
          <w:bCs/>
        </w:rPr>
      </w:pPr>
      <w:r>
        <w:rPr>
          <w:bCs/>
        </w:rPr>
        <w:tab/>
      </w:r>
      <w:r>
        <w:rPr>
          <w:bCs/>
        </w:rPr>
        <w:tab/>
      </w:r>
      <w:r w:rsidR="00A548AF">
        <w:t xml:space="preserve">The CLEC Intervenors and Frontier have subsequently entered into a </w:t>
      </w:r>
      <w:r w:rsidR="00B27FDF">
        <w:t>settlement agreement</w:t>
      </w:r>
      <w:r w:rsidR="00A548AF">
        <w:t xml:space="preserve"> that contains a number of safeguards intended to ensure </w:t>
      </w:r>
      <w:r w:rsidR="00A548AF" w:rsidRPr="00A548AF">
        <w:t>that, in the event the Commission grants Frontier’s petition in this</w:t>
      </w:r>
      <w:r w:rsidR="00A548AF">
        <w:t xml:space="preserve"> docket, such relief would not</w:t>
      </w:r>
      <w:r w:rsidR="00D25C23">
        <w:t xml:space="preserve"> </w:t>
      </w:r>
      <w:r w:rsidR="00A548AF" w:rsidRPr="00A548AF">
        <w:t>eliminate or substantially hamper the CLECs’ ability to make functionally equivalent or substitute services readily available in the relevant retail market at competitive rates, terms, and conditions</w:t>
      </w:r>
      <w:r w:rsidR="00962194">
        <w:rPr>
          <w:bCs/>
        </w:rPr>
        <w:t>.</w:t>
      </w:r>
      <w:r>
        <w:rPr>
          <w:bCs/>
        </w:rPr>
        <w:t xml:space="preserve">  A copy of the </w:t>
      </w:r>
      <w:r w:rsidR="001559BA">
        <w:rPr>
          <w:bCs/>
        </w:rPr>
        <w:t xml:space="preserve">Frontier-CLEC </w:t>
      </w:r>
      <w:r>
        <w:rPr>
          <w:bCs/>
        </w:rPr>
        <w:t>Settlement Agreement</w:t>
      </w:r>
      <w:r w:rsidR="001559BA">
        <w:rPr>
          <w:bCs/>
        </w:rPr>
        <w:t xml:space="preserve"> (“Settlement</w:t>
      </w:r>
      <w:r w:rsidR="000337E8">
        <w:rPr>
          <w:bCs/>
        </w:rPr>
        <w:t xml:space="preserve"> Agreement</w:t>
      </w:r>
      <w:r w:rsidR="001559BA">
        <w:rPr>
          <w:bCs/>
        </w:rPr>
        <w:t>”)</w:t>
      </w:r>
      <w:r>
        <w:rPr>
          <w:bCs/>
        </w:rPr>
        <w:t xml:space="preserve"> is attached as Exhibit </w:t>
      </w:r>
      <w:r w:rsidR="008C2C16">
        <w:rPr>
          <w:bCs/>
        </w:rPr>
        <w:t xml:space="preserve">No. ___ </w:t>
      </w:r>
      <w:r w:rsidR="00CF1C51">
        <w:rPr>
          <w:bCs/>
        </w:rPr>
        <w:t>(</w:t>
      </w:r>
      <w:r w:rsidR="008C2C16">
        <w:rPr>
          <w:bCs/>
        </w:rPr>
        <w:t>DJW-3</w:t>
      </w:r>
      <w:r w:rsidR="00CF1C51">
        <w:rPr>
          <w:bCs/>
        </w:rPr>
        <w:t>)</w:t>
      </w:r>
      <w:r>
        <w:rPr>
          <w:bCs/>
        </w:rPr>
        <w:t>.</w:t>
      </w:r>
      <w:r w:rsidR="00684BB1">
        <w:rPr>
          <w:bCs/>
        </w:rPr>
        <w:t xml:space="preserve">  My testimony addresses the </w:t>
      </w:r>
      <w:r w:rsidR="00AB67B0">
        <w:rPr>
          <w:bCs/>
        </w:rPr>
        <w:t xml:space="preserve">purpose </w:t>
      </w:r>
      <w:r w:rsidR="00684BB1">
        <w:rPr>
          <w:bCs/>
        </w:rPr>
        <w:t xml:space="preserve">of the Settlement </w:t>
      </w:r>
      <w:r w:rsidR="000337E8">
        <w:rPr>
          <w:bCs/>
        </w:rPr>
        <w:t xml:space="preserve">Agreement </w:t>
      </w:r>
      <w:r w:rsidR="00684BB1">
        <w:rPr>
          <w:bCs/>
        </w:rPr>
        <w:t>terms and explains why the adoption of these terms is important.</w:t>
      </w:r>
    </w:p>
    <w:p w:rsidR="002B2BC9" w:rsidRDefault="002B2BC9" w:rsidP="00BB4A76">
      <w:pPr>
        <w:tabs>
          <w:tab w:val="left" w:pos="-1440"/>
        </w:tabs>
        <w:rPr>
          <w:bCs/>
        </w:rPr>
      </w:pPr>
    </w:p>
    <w:p w:rsidR="002B2BC9" w:rsidRDefault="002B2BC9" w:rsidP="00BB4A76">
      <w:pPr>
        <w:tabs>
          <w:tab w:val="left" w:pos="-1440"/>
        </w:tabs>
        <w:rPr>
          <w:bCs/>
        </w:rPr>
      </w:pPr>
      <w:r>
        <w:rPr>
          <w:bCs/>
        </w:rPr>
        <w:t>Q.</w:t>
      </w:r>
      <w:r>
        <w:rPr>
          <w:bCs/>
        </w:rPr>
        <w:tab/>
        <w:t xml:space="preserve">WHAT COMMISSION ACTION IS BEING SOUGHT BY THE PARTIES TO THE </w:t>
      </w:r>
      <w:r w:rsidR="001559BA">
        <w:rPr>
          <w:bCs/>
        </w:rPr>
        <w:t xml:space="preserve">SETTLEMENT </w:t>
      </w:r>
      <w:r>
        <w:rPr>
          <w:bCs/>
        </w:rPr>
        <w:t>AGREEMENT?</w:t>
      </w:r>
    </w:p>
    <w:p w:rsidR="002B2BC9" w:rsidRDefault="002B2BC9" w:rsidP="00BB4A76">
      <w:pPr>
        <w:tabs>
          <w:tab w:val="left" w:pos="-1440"/>
        </w:tabs>
        <w:rPr>
          <w:bCs/>
        </w:rPr>
      </w:pPr>
      <w:r>
        <w:rPr>
          <w:bCs/>
        </w:rPr>
        <w:t>A.</w:t>
      </w:r>
      <w:r>
        <w:rPr>
          <w:bCs/>
        </w:rPr>
        <w:tab/>
        <w:t xml:space="preserve">Frontier and the CLEC Intervenors are asking the Commission to </w:t>
      </w:r>
      <w:r w:rsidR="001559BA">
        <w:rPr>
          <w:bCs/>
        </w:rPr>
        <w:t xml:space="preserve">adopt the Settlement </w:t>
      </w:r>
      <w:r w:rsidR="000337E8">
        <w:rPr>
          <w:bCs/>
        </w:rPr>
        <w:t xml:space="preserve">Agreement </w:t>
      </w:r>
      <w:r w:rsidR="00E71BDD">
        <w:rPr>
          <w:bCs/>
        </w:rPr>
        <w:t xml:space="preserve">in its entirety </w:t>
      </w:r>
      <w:r w:rsidR="001559BA">
        <w:rPr>
          <w:bCs/>
        </w:rPr>
        <w:t xml:space="preserve">and to incorporate the Settlement </w:t>
      </w:r>
      <w:r w:rsidR="000337E8">
        <w:rPr>
          <w:bCs/>
        </w:rPr>
        <w:t xml:space="preserve">Agreement </w:t>
      </w:r>
      <w:r w:rsidR="001559BA">
        <w:rPr>
          <w:bCs/>
        </w:rPr>
        <w:t>terms and conditions, including the wholesale conditions set forth in the Settlement</w:t>
      </w:r>
      <w:r w:rsidR="000337E8">
        <w:rPr>
          <w:bCs/>
        </w:rPr>
        <w:t xml:space="preserve"> Agreement</w:t>
      </w:r>
      <w:r w:rsidR="001559BA">
        <w:rPr>
          <w:bCs/>
        </w:rPr>
        <w:t>, into any Commission Order issued in this docket.</w:t>
      </w:r>
    </w:p>
    <w:p w:rsidR="001559BA" w:rsidRDefault="001559BA" w:rsidP="00BB4A76">
      <w:pPr>
        <w:tabs>
          <w:tab w:val="left" w:pos="-1440"/>
        </w:tabs>
        <w:rPr>
          <w:bCs/>
        </w:rPr>
      </w:pPr>
    </w:p>
    <w:p w:rsidR="001559BA" w:rsidRDefault="001559BA" w:rsidP="00BB4A76">
      <w:pPr>
        <w:tabs>
          <w:tab w:val="left" w:pos="-1440"/>
        </w:tabs>
        <w:rPr>
          <w:bCs/>
        </w:rPr>
      </w:pPr>
      <w:r>
        <w:rPr>
          <w:bCs/>
        </w:rPr>
        <w:t>Q.</w:t>
      </w:r>
      <w:r>
        <w:rPr>
          <w:bCs/>
        </w:rPr>
        <w:tab/>
        <w:t>PLEASE SUMMARIZE YOUR TESTIMONY.</w:t>
      </w:r>
    </w:p>
    <w:p w:rsidR="001559BA" w:rsidRDefault="001559BA" w:rsidP="00BB4A76">
      <w:pPr>
        <w:tabs>
          <w:tab w:val="left" w:pos="-1440"/>
        </w:tabs>
        <w:rPr>
          <w:bCs/>
        </w:rPr>
      </w:pPr>
      <w:r>
        <w:rPr>
          <w:bCs/>
        </w:rPr>
        <w:t>A.</w:t>
      </w:r>
      <w:r>
        <w:rPr>
          <w:bCs/>
        </w:rPr>
        <w:tab/>
      </w:r>
      <w:r w:rsidR="00F4087F">
        <w:rPr>
          <w:bCs/>
        </w:rPr>
        <w:t xml:space="preserve">Frontier-provided wholesale services, at currently available rates, terms, and conditions, are an integral part of any retail service alternatives that are available today in the Frontier service area.  My testimony does not address the question of whether Frontier’s Petition should be granted, but instead focuses on the </w:t>
      </w:r>
      <w:r w:rsidR="000C3B5C">
        <w:rPr>
          <w:bCs/>
        </w:rPr>
        <w:t xml:space="preserve">fundamental </w:t>
      </w:r>
      <w:r w:rsidR="00F4087F">
        <w:rPr>
          <w:bCs/>
        </w:rPr>
        <w:t xml:space="preserve">link between wholesale services and retail competitive alternatives.  </w:t>
      </w:r>
      <w:r w:rsidR="00CA26A8">
        <w:rPr>
          <w:bCs/>
        </w:rPr>
        <w:t>T</w:t>
      </w:r>
      <w:r w:rsidR="000C3B5C">
        <w:rPr>
          <w:bCs/>
        </w:rPr>
        <w:t>he existence of competitive retail services depends upon the continued availability of wholesale services at just, fair and reasonable rates, terms</w:t>
      </w:r>
      <w:r w:rsidR="00CA26A8">
        <w:rPr>
          <w:bCs/>
        </w:rPr>
        <w:t>,</w:t>
      </w:r>
      <w:r w:rsidR="000C3B5C">
        <w:rPr>
          <w:bCs/>
        </w:rPr>
        <w:t xml:space="preserve"> and conditions.</w:t>
      </w:r>
    </w:p>
    <w:p w:rsidR="003439B3" w:rsidRDefault="003439B3" w:rsidP="00BB4A76">
      <w:pPr>
        <w:tabs>
          <w:tab w:val="left" w:pos="-1440"/>
        </w:tabs>
        <w:rPr>
          <w:bCs/>
        </w:rPr>
      </w:pPr>
      <w:r>
        <w:rPr>
          <w:bCs/>
        </w:rPr>
        <w:tab/>
      </w:r>
      <w:r>
        <w:rPr>
          <w:bCs/>
        </w:rPr>
        <w:tab/>
        <w:t>The Settlement Agreement entered into by Frontier and the CLEC Intervenors includes important</w:t>
      </w:r>
      <w:r w:rsidR="000C3B5C">
        <w:rPr>
          <w:bCs/>
        </w:rPr>
        <w:t xml:space="preserve"> wholesale service</w:t>
      </w:r>
      <w:r>
        <w:rPr>
          <w:bCs/>
        </w:rPr>
        <w:t xml:space="preserve"> safeguards that the Commission should adopt in their entirety if it concludes that a competitive classification is appropriate.  These safeguards will help to provide a smooth transition from tariffed wholesale services to the proposed service catalog, will provide for an important period of stability in the markets for wholesale se</w:t>
      </w:r>
      <w:r w:rsidR="008C2C16">
        <w:rPr>
          <w:bCs/>
        </w:rPr>
        <w:t>rvices, and will help to control</w:t>
      </w:r>
      <w:r>
        <w:rPr>
          <w:bCs/>
        </w:rPr>
        <w:t xml:space="preserve"> anticompetitive pricing.  The adoption of these safeguards is essential in order to protect both competitive markets and end</w:t>
      </w:r>
      <w:r w:rsidR="00046F1E">
        <w:rPr>
          <w:bCs/>
        </w:rPr>
        <w:t xml:space="preserve"> </w:t>
      </w:r>
      <w:r>
        <w:rPr>
          <w:bCs/>
        </w:rPr>
        <w:t xml:space="preserve">user </w:t>
      </w:r>
      <w:r w:rsidR="000C3B5C">
        <w:rPr>
          <w:bCs/>
        </w:rPr>
        <w:t xml:space="preserve">retail </w:t>
      </w:r>
      <w:r>
        <w:rPr>
          <w:bCs/>
        </w:rPr>
        <w:t xml:space="preserve">customers </w:t>
      </w:r>
      <w:r w:rsidR="000C3B5C">
        <w:rPr>
          <w:bCs/>
        </w:rPr>
        <w:t>in</w:t>
      </w:r>
      <w:r>
        <w:rPr>
          <w:bCs/>
        </w:rPr>
        <w:t xml:space="preserve"> Frontier</w:t>
      </w:r>
      <w:r w:rsidR="000C3B5C">
        <w:rPr>
          <w:bCs/>
        </w:rPr>
        <w:t>’s service territory</w:t>
      </w:r>
      <w:r>
        <w:rPr>
          <w:bCs/>
        </w:rPr>
        <w:t>.</w:t>
      </w:r>
    </w:p>
    <w:p w:rsidR="00530BBC" w:rsidRDefault="00530BBC" w:rsidP="00295BB7">
      <w:pPr>
        <w:pStyle w:val="Heading1"/>
      </w:pPr>
      <w:bookmarkStart w:id="10" w:name="_Toc327343935"/>
    </w:p>
    <w:p w:rsidR="00FA56B1" w:rsidRPr="00FA56B1" w:rsidRDefault="00283C2C" w:rsidP="00657095">
      <w:pPr>
        <w:pStyle w:val="Heading1"/>
        <w:ind w:left="720" w:hanging="720"/>
      </w:pPr>
      <w:bookmarkStart w:id="11" w:name="_Toc354663251"/>
      <w:r w:rsidRPr="00FA56B1">
        <w:t>III.</w:t>
      </w:r>
      <w:bookmarkEnd w:id="10"/>
      <w:r w:rsidR="00657095">
        <w:tab/>
      </w:r>
      <w:r w:rsidR="00530BBC" w:rsidRPr="00FA56B1">
        <w:t xml:space="preserve">The Importance of Wholesale Services </w:t>
      </w:r>
      <w:r w:rsidR="00FA56B1" w:rsidRPr="00FA56B1">
        <w:t>to the Availability of End User Alternatives</w:t>
      </w:r>
      <w:bookmarkEnd w:id="11"/>
    </w:p>
    <w:p w:rsidR="009E246E" w:rsidRDefault="001559BA" w:rsidP="001C4E57">
      <w:r>
        <w:t>Q.</w:t>
      </w:r>
      <w:r>
        <w:tab/>
        <w:t>WHAT IS FRONTIER SEEKING IN ITS PETITION?</w:t>
      </w:r>
    </w:p>
    <w:p w:rsidR="001559BA" w:rsidRDefault="001559BA" w:rsidP="001C4E57">
      <w:r>
        <w:t>A.</w:t>
      </w:r>
      <w:r>
        <w:tab/>
        <w:t xml:space="preserve">Frontier is seeking competitive classification pursuant to RCW 80.36.320 and WAC 480-121-061.  The request, as I understand the Petition, is quite broad: Frontier is asking the Commission to conclude that </w:t>
      </w:r>
      <w:r w:rsidR="004D6631">
        <w:t xml:space="preserve">effective competition exists for all of the services currently provided by Frontier, and that this effective competition exists throughout Frontier’s entire service area in Washington (the area covered by </w:t>
      </w:r>
      <w:r w:rsidR="008B4432">
        <w:t xml:space="preserve">the </w:t>
      </w:r>
      <w:r w:rsidR="004D6631">
        <w:t>102 wire centers</w:t>
      </w:r>
      <w:r w:rsidR="008B4432">
        <w:t xml:space="preserve"> Frontier serves</w:t>
      </w:r>
      <w:r w:rsidR="004D6631">
        <w:t>).  As cited by Frontier at ¶4 of the Petition, RCW 80.36.320(1) defines “effective competition” to mean “that the company’s customers have reasonably available alternatives and that the company does not have a significant captive customer base.”</w:t>
      </w:r>
    </w:p>
    <w:p w:rsidR="004D6631" w:rsidRDefault="004D6631" w:rsidP="001C4E57"/>
    <w:p w:rsidR="004D6631" w:rsidRDefault="004D6631" w:rsidP="001C4E57">
      <w:r>
        <w:t>Q.</w:t>
      </w:r>
      <w:r>
        <w:tab/>
        <w:t>DOES YOUR TESTIMONY ADDRESS THE QUESTION</w:t>
      </w:r>
      <w:r w:rsidR="008B5BB9">
        <w:t>S</w:t>
      </w:r>
      <w:r>
        <w:t xml:space="preserve"> OF WHETHER FRONTIER HAS DEMONSTRAT</w:t>
      </w:r>
      <w:r w:rsidR="008B4432">
        <w:t>ED</w:t>
      </w:r>
      <w:r>
        <w:t xml:space="preserve"> THAT ITS CUSTOMERS HAVE “</w:t>
      </w:r>
      <w:r w:rsidRPr="004D6631">
        <w:t>REASONABLY AVAILABLE ALTERNATIVES</w:t>
      </w:r>
      <w:r w:rsidR="00BB67B2">
        <w:t>,</w:t>
      </w:r>
      <w:r>
        <w:t>” AND THAT IT DOES NOT HAVE A “SIGNIFICANT CAPTIVE CUSTOMER BASE</w:t>
      </w:r>
      <w:r w:rsidR="00BB67B2">
        <w:t>,</w:t>
      </w:r>
      <w:r>
        <w:t>” FOR ALL SERVICES IN ALL SERVICE AREAS?</w:t>
      </w:r>
    </w:p>
    <w:p w:rsidR="004D6631" w:rsidRDefault="004D6631" w:rsidP="001C4E57">
      <w:r>
        <w:t>A.</w:t>
      </w:r>
      <w:r>
        <w:tab/>
        <w:t xml:space="preserve">No.  It is not my intention to address these issues in my testimony.  </w:t>
      </w:r>
    </w:p>
    <w:p w:rsidR="00684BB1" w:rsidRDefault="00684BB1" w:rsidP="001C4E57">
      <w:r>
        <w:tab/>
      </w:r>
      <w:r>
        <w:tab/>
      </w:r>
      <w:r w:rsidR="00827C9F">
        <w:t xml:space="preserve">Instead, my testimony focuses on the importance of Frontier-provided wholesale services and the </w:t>
      </w:r>
      <w:r w:rsidR="008B4432">
        <w:t xml:space="preserve">direct relationship between </w:t>
      </w:r>
      <w:r w:rsidR="00827C9F">
        <w:t>the current availability of these wholesale services</w:t>
      </w:r>
      <w:r w:rsidR="004C7397">
        <w:t xml:space="preserve"> at the</w:t>
      </w:r>
      <w:r w:rsidR="008B4432">
        <w:t>ir</w:t>
      </w:r>
      <w:r w:rsidR="004C7397">
        <w:t xml:space="preserve"> current </w:t>
      </w:r>
      <w:r w:rsidR="008B4432">
        <w:t xml:space="preserve">rates, </w:t>
      </w:r>
      <w:r w:rsidR="004C7397">
        <w:t>terms</w:t>
      </w:r>
      <w:r w:rsidR="001A6D44">
        <w:t>,</w:t>
      </w:r>
      <w:r w:rsidR="004C7397">
        <w:t xml:space="preserve"> and conditions</w:t>
      </w:r>
      <w:r w:rsidR="008B4432">
        <w:t>, and the level of retail competition in Frontier’s 102 wire centers</w:t>
      </w:r>
      <w:r w:rsidR="00827C9F">
        <w:t xml:space="preserve">.  Any information provided by Frontier in this case regarding the current level of competition for retail services in a given geographic area </w:t>
      </w:r>
      <w:r w:rsidR="00624876">
        <w:t>–</w:t>
      </w:r>
      <w:r w:rsidR="00827C9F">
        <w:t xml:space="preserve">‒ whether in support of a claim that “reasonably available alternatives” </w:t>
      </w:r>
      <w:r w:rsidR="002A2BDF">
        <w:t>exist</w:t>
      </w:r>
      <w:r w:rsidR="00827C9F">
        <w:t xml:space="preserve"> or a claim that no “significant captive customer base” exists in any of these areas </w:t>
      </w:r>
      <w:r w:rsidR="00624876">
        <w:t>–‒</w:t>
      </w:r>
      <w:r w:rsidR="00827C9F">
        <w:t xml:space="preserve"> is </w:t>
      </w:r>
      <w:r w:rsidR="008B4432">
        <w:t xml:space="preserve">tied </w:t>
      </w:r>
      <w:r w:rsidR="00827C9F">
        <w:t xml:space="preserve">directly </w:t>
      </w:r>
      <w:r w:rsidR="008B4432">
        <w:t xml:space="preserve">to </w:t>
      </w:r>
      <w:r w:rsidR="00827C9F">
        <w:t xml:space="preserve">the existing level of </w:t>
      </w:r>
      <w:r w:rsidR="00EA2A45">
        <w:t>availability for</w:t>
      </w:r>
      <w:r w:rsidR="00827C9F">
        <w:t xml:space="preserve"> wholesale services.  </w:t>
      </w:r>
      <w:r w:rsidR="00827C9F" w:rsidRPr="00827C9F">
        <w:rPr>
          <w:i/>
        </w:rPr>
        <w:t>If</w:t>
      </w:r>
      <w:r w:rsidR="00827C9F">
        <w:t xml:space="preserve"> the Commission were to ultimately conclude that Frontier has demonstrated the existence of effective competition for all services in all of Frontier’s 102 wire centers, it should reach such a conclusion </w:t>
      </w:r>
      <w:r w:rsidR="00827C9F" w:rsidRPr="00EA2A45">
        <w:rPr>
          <w:i/>
        </w:rPr>
        <w:t>only</w:t>
      </w:r>
      <w:r w:rsidR="00827C9F">
        <w:t xml:space="preserve"> with fu</w:t>
      </w:r>
      <w:r w:rsidR="00B54F1D">
        <w:t xml:space="preserve">ll recognition </w:t>
      </w:r>
      <w:r w:rsidR="008B4432">
        <w:t xml:space="preserve">that the availability of </w:t>
      </w:r>
      <w:r w:rsidR="00827C9F">
        <w:t>Frontier-provided wholesale services</w:t>
      </w:r>
      <w:r w:rsidR="008B4432">
        <w:t xml:space="preserve"> ha</w:t>
      </w:r>
      <w:r w:rsidR="00624876">
        <w:t>s</w:t>
      </w:r>
      <w:r w:rsidR="008B4432">
        <w:t xml:space="preserve"> a direct correlation</w:t>
      </w:r>
      <w:r w:rsidR="00827C9F">
        <w:t xml:space="preserve"> to the existing level of competitive alternatives for retail services.  </w:t>
      </w:r>
      <w:r w:rsidR="00B54F1D">
        <w:t xml:space="preserve">If competitive market forces are to be relied upon to protect </w:t>
      </w:r>
      <w:r w:rsidR="00EA2A45">
        <w:t>end</w:t>
      </w:r>
      <w:r w:rsidR="00046F1E">
        <w:t xml:space="preserve"> </w:t>
      </w:r>
      <w:r w:rsidR="00EA2A45">
        <w:t>user customers of</w:t>
      </w:r>
      <w:r w:rsidR="00B54F1D">
        <w:t xml:space="preserve"> retail </w:t>
      </w:r>
      <w:r w:rsidR="00EA2A45">
        <w:t xml:space="preserve">telecommunications </w:t>
      </w:r>
      <w:r w:rsidR="00B54F1D">
        <w:t xml:space="preserve">services, it is particularly important to adopt </w:t>
      </w:r>
      <w:r w:rsidR="00E71BDD">
        <w:t xml:space="preserve">all </w:t>
      </w:r>
      <w:r w:rsidR="00B54F1D">
        <w:t xml:space="preserve">necessary safeguards to ensure that competitive market forces will </w:t>
      </w:r>
      <w:r w:rsidR="00EA2A45">
        <w:t>continue to operate</w:t>
      </w:r>
      <w:r w:rsidR="00B54F1D">
        <w:t xml:space="preserve">.  The wholesale conditions, agreed to by Frontier and CLEC Intervenors and set forth in the terms of the </w:t>
      </w:r>
      <w:r w:rsidR="000337E8">
        <w:t>Settlement Agreement</w:t>
      </w:r>
      <w:r w:rsidR="00D87A5E">
        <w:t xml:space="preserve">, represent such </w:t>
      </w:r>
      <w:r w:rsidR="00B54F1D">
        <w:t xml:space="preserve">safeguards.  While I am not taking a position regarding whether the Commission should or should not grant Frontier’s Petition, I am urging the Commission to adopt the agreed-upon safeguards in its Order in this case in order to help ensure the viability of competitive markets and </w:t>
      </w:r>
      <w:r w:rsidR="00624876">
        <w:t>–‒</w:t>
      </w:r>
      <w:r w:rsidR="00B54F1D">
        <w:t xml:space="preserve"> if the requested relief is granted </w:t>
      </w:r>
      <w:r w:rsidR="00624876">
        <w:t>–‒</w:t>
      </w:r>
      <w:r w:rsidR="00B54F1D">
        <w:t xml:space="preserve"> in order to</w:t>
      </w:r>
      <w:r w:rsidR="00EA2A45">
        <w:t xml:space="preserve"> adequately</w:t>
      </w:r>
      <w:r w:rsidR="00B54F1D">
        <w:t xml:space="preserve"> protect the </w:t>
      </w:r>
      <w:r w:rsidR="008B4432">
        <w:t xml:space="preserve">retail </w:t>
      </w:r>
      <w:r w:rsidR="00624876">
        <w:t>end</w:t>
      </w:r>
      <w:r w:rsidR="00046F1E">
        <w:t xml:space="preserve"> </w:t>
      </w:r>
      <w:r w:rsidR="00B54F1D">
        <w:t>user customers of telecommunications services in Frontier’s service territory.</w:t>
      </w:r>
    </w:p>
    <w:p w:rsidR="00B54F1D" w:rsidRDefault="00B54F1D" w:rsidP="001C4E57"/>
    <w:p w:rsidR="00BB67B2" w:rsidRDefault="00B54F1D" w:rsidP="001C4E57">
      <w:r>
        <w:t>Q.</w:t>
      </w:r>
      <w:r>
        <w:tab/>
      </w:r>
      <w:r w:rsidR="00BB67B2">
        <w:t xml:space="preserve">DOES ANY </w:t>
      </w:r>
      <w:r w:rsidR="00BB67B2" w:rsidRPr="003D4850">
        <w:t>METRIC</w:t>
      </w:r>
      <w:r w:rsidR="00BB67B2">
        <w:t xml:space="preserve"> REGARDING THE LEVEL OF COMPETITION IN A GIVEN RETAIL MARKET HAVE MEANING INDEPENDENT OF A CONSIDERATION OF THE AVAILABILITY OF WHOLESALE SERVICES</w:t>
      </w:r>
      <w:r w:rsidR="005C12D2">
        <w:t xml:space="preserve"> AT CURRENT</w:t>
      </w:r>
      <w:r w:rsidR="008B4432">
        <w:t xml:space="preserve"> RATES</w:t>
      </w:r>
      <w:r w:rsidR="004F7A1A">
        <w:t xml:space="preserve">, </w:t>
      </w:r>
      <w:r w:rsidR="005C12D2">
        <w:t>TERMS AND CONDITIONS</w:t>
      </w:r>
      <w:r w:rsidR="00BB67B2">
        <w:t>?</w:t>
      </w:r>
    </w:p>
    <w:p w:rsidR="00BB67B2" w:rsidRDefault="00BB67B2" w:rsidP="001C4E57">
      <w:r>
        <w:t>A.</w:t>
      </w:r>
      <w:r>
        <w:tab/>
      </w:r>
      <w:r w:rsidR="0047617F">
        <w:t xml:space="preserve">No.  </w:t>
      </w:r>
      <w:r>
        <w:t>In</w:t>
      </w:r>
      <w:r w:rsidR="0047617F">
        <w:t xml:space="preserve"> </w:t>
      </w:r>
      <w:r>
        <w:t>support of the Petition, Frontier</w:t>
      </w:r>
      <w:r w:rsidR="0047617F">
        <w:t xml:space="preserve"> </w:t>
      </w:r>
      <w:r>
        <w:t>provides a number of market share</w:t>
      </w:r>
      <w:r w:rsidR="0047617F">
        <w:t xml:space="preserve"> statistics and claims that it </w:t>
      </w:r>
      <w:r>
        <w:t xml:space="preserve">faces competition from a number of different </w:t>
      </w:r>
      <w:r w:rsidR="003D4850">
        <w:t>type</w:t>
      </w:r>
      <w:r>
        <w:t>s of service providers.  Setting aside the question of whether the information p</w:t>
      </w:r>
      <w:r w:rsidR="0047617F">
        <w:t>rovided by Frontier</w:t>
      </w:r>
      <w:r>
        <w:t xml:space="preserve"> is sufficient to justify the relief requested in the Petition, </w:t>
      </w:r>
      <w:r w:rsidR="0047617F">
        <w:t>it is essential to recognize that each of</w:t>
      </w:r>
      <w:r w:rsidR="005C12D2">
        <w:t xml:space="preserve"> the</w:t>
      </w:r>
      <w:r w:rsidR="0047617F">
        <w:t xml:space="preserve"> market power metrics relied upon by Frontier</w:t>
      </w:r>
      <w:r w:rsidR="008B5BB9">
        <w:t xml:space="preserve"> is inextricably intertwined with</w:t>
      </w:r>
      <w:r w:rsidR="0047617F">
        <w:t xml:space="preserve"> the existing availability of wholesale services </w:t>
      </w:r>
      <w:r w:rsidR="00D87A5E">
        <w:t>in Frontier’s service territory,</w:t>
      </w:r>
      <w:r w:rsidR="008B5BB9">
        <w:t xml:space="preserve"> </w:t>
      </w:r>
      <w:r w:rsidR="0047617F">
        <w:t xml:space="preserve">and </w:t>
      </w:r>
      <w:r w:rsidR="00D87A5E">
        <w:t xml:space="preserve">each </w:t>
      </w:r>
      <w:r w:rsidR="0047617F">
        <w:t xml:space="preserve">would be </w:t>
      </w:r>
      <w:r w:rsidR="00EA2A45">
        <w:t xml:space="preserve">a </w:t>
      </w:r>
      <w:r w:rsidR="008B5BB9">
        <w:t xml:space="preserve">wholly </w:t>
      </w:r>
      <w:r w:rsidR="0047617F">
        <w:t xml:space="preserve">unreliable </w:t>
      </w:r>
      <w:r w:rsidR="00EA2A45">
        <w:t xml:space="preserve">measure of Frontier’s market power </w:t>
      </w:r>
      <w:r w:rsidR="0047617F">
        <w:t>if the availability of wholesale services changes.</w:t>
      </w:r>
    </w:p>
    <w:p w:rsidR="0047617F" w:rsidRDefault="0047617F" w:rsidP="001C4E57"/>
    <w:p w:rsidR="00D113D3" w:rsidRDefault="00D113D3" w:rsidP="001C4E57">
      <w:r>
        <w:t>Q.</w:t>
      </w:r>
      <w:r>
        <w:tab/>
      </w:r>
      <w:r w:rsidR="00F51ADE">
        <w:t>TO WHAT EXTENT DO PROVIDERS OF</w:t>
      </w:r>
      <w:r>
        <w:t xml:space="preserve"> COMPETITIVE RETAIL SERVICE RELY ON FRONTIER-PROVIDED WHOLESALE SERVICES?</w:t>
      </w:r>
    </w:p>
    <w:p w:rsidR="00D113D3" w:rsidRDefault="00D113D3" w:rsidP="001C4E57">
      <w:r>
        <w:t>A.</w:t>
      </w:r>
      <w:r>
        <w:tab/>
        <w:t>Different carriers may utilize different wholesale services:</w:t>
      </w:r>
      <w:r w:rsidR="00307DB2">
        <w:t xml:space="preserve">  </w:t>
      </w:r>
      <w:r>
        <w:t>some rely on §251-related services</w:t>
      </w:r>
      <w:r w:rsidR="00E71BDD">
        <w:rPr>
          <w:rStyle w:val="FootnoteReference"/>
        </w:rPr>
        <w:footnoteReference w:id="2"/>
      </w:r>
      <w:r>
        <w:t xml:space="preserve">, including </w:t>
      </w:r>
      <w:r w:rsidR="00E71BDD">
        <w:t xml:space="preserve">interconnection, </w:t>
      </w:r>
      <w:r w:rsidR="002A2BDF">
        <w:t>u</w:t>
      </w:r>
      <w:r>
        <w:t xml:space="preserve">nbundled </w:t>
      </w:r>
      <w:r w:rsidR="002A2BDF">
        <w:t>n</w:t>
      </w:r>
      <w:r>
        <w:t xml:space="preserve">etwork </w:t>
      </w:r>
      <w:r w:rsidR="002A2BDF">
        <w:t>e</w:t>
      </w:r>
      <w:r>
        <w:t xml:space="preserve">lements (“UNEs”), </w:t>
      </w:r>
      <w:r w:rsidR="00C619FD">
        <w:t xml:space="preserve">collocation, and resale; </w:t>
      </w:r>
      <w:r>
        <w:t>some rely on access services (switched and special access</w:t>
      </w:r>
      <w:r w:rsidR="00C619FD">
        <w:t>);</w:t>
      </w:r>
      <w:r>
        <w:t xml:space="preserve"> </w:t>
      </w:r>
      <w:r w:rsidR="00EA2A45">
        <w:t xml:space="preserve">some rely on services obtained through negotiated commercial agreements; </w:t>
      </w:r>
      <w:r>
        <w:t>and some rely on different combinations of these</w:t>
      </w:r>
      <w:r w:rsidR="00EA2A45">
        <w:t xml:space="preserve"> strategies</w:t>
      </w:r>
      <w:r>
        <w:t xml:space="preserve"> in different geographic areas.  I am not aware of any competitor for a Frontier retail service that does not </w:t>
      </w:r>
      <w:r w:rsidR="00C619FD">
        <w:t xml:space="preserve">currently </w:t>
      </w:r>
      <w:r>
        <w:t xml:space="preserve">rely on some wholesale service provided by Frontier.  </w:t>
      </w:r>
      <w:r w:rsidR="00CA26A8">
        <w:t>E</w:t>
      </w:r>
      <w:r w:rsidR="004738FF">
        <w:t>ven “full” facilities-based providers like the cable-based CLECs in Washington (w</w:t>
      </w:r>
      <w:r w:rsidR="00CA26A8">
        <w:t>hich include Charter Fiberlink)</w:t>
      </w:r>
      <w:r w:rsidR="004738FF">
        <w:t xml:space="preserve"> rely upon Frontier for access to the public switched telephone network (i.e., interconnection pursuant to Section 251</w:t>
      </w:r>
      <w:r w:rsidR="00113CA2">
        <w:t>)</w:t>
      </w:r>
      <w:r w:rsidR="00CA26A8">
        <w:t>, and related</w:t>
      </w:r>
      <w:r w:rsidR="004738FF">
        <w:t xml:space="preserve"> </w:t>
      </w:r>
      <w:r w:rsidR="00113CA2">
        <w:t>251 obligations, such as number porting, access to directories, listings and related databases.</w:t>
      </w:r>
    </w:p>
    <w:p w:rsidR="00C619FD" w:rsidRDefault="00C619FD" w:rsidP="001C4E57"/>
    <w:p w:rsidR="00C619FD" w:rsidRDefault="00C619FD" w:rsidP="001C4E57">
      <w:r>
        <w:t>Q.</w:t>
      </w:r>
      <w:r>
        <w:tab/>
        <w:t xml:space="preserve">IS IT YOUR TESTIMONY THAT THE COMMISSION </w:t>
      </w:r>
      <w:r w:rsidR="00F51ADE">
        <w:t xml:space="preserve">SHOULD NOT </w:t>
      </w:r>
      <w:r w:rsidR="007A60B0">
        <w:t>GRANT A PETITION FOR COMPETITIVE CLASSIFICATION WITHOUT ADOPTING SAFEGUARDS TO ENSURE THE CONTINUED AVAILABILITY OF WHOLESALE SERVICES?</w:t>
      </w:r>
    </w:p>
    <w:p w:rsidR="007A60B0" w:rsidRDefault="007A60B0" w:rsidP="001C4E57">
      <w:r>
        <w:t>A.</w:t>
      </w:r>
      <w:r>
        <w:tab/>
      </w:r>
      <w:r w:rsidR="00F51ADE">
        <w:t xml:space="preserve">Yes.  </w:t>
      </w:r>
      <w:r>
        <w:t>Granting competitive classification means that the Commission is</w:t>
      </w:r>
      <w:r w:rsidR="00EA2A45">
        <w:t xml:space="preserve"> turning over many</w:t>
      </w:r>
      <w:r>
        <w:t xml:space="preserve"> consumer protections to competitive market forces.  Before doing so, it would be prudent to take steps</w:t>
      </w:r>
      <w:r w:rsidR="00D87A5E">
        <w:t xml:space="preserve"> (including the adoption of the wholesale conditions contained in the settlement agreement)</w:t>
      </w:r>
      <w:r>
        <w:t xml:space="preserve"> that will increase the likelihood that any competitive market forces assumed</w:t>
      </w:r>
      <w:r w:rsidR="00DF6EE8">
        <w:t xml:space="preserve"> to </w:t>
      </w:r>
      <w:r>
        <w:t>exist today will continue to exist in the future.  Otherwise, adequate consumer protection cannot be assured going forward.</w:t>
      </w:r>
    </w:p>
    <w:p w:rsidR="00EA2A45" w:rsidRDefault="00EA2A45" w:rsidP="001C4E57"/>
    <w:p w:rsidR="007C77E9" w:rsidRDefault="007C77E9" w:rsidP="001C4E57">
      <w:r>
        <w:t>Q.</w:t>
      </w:r>
      <w:r>
        <w:tab/>
        <w:t xml:space="preserve">ARE YOU FAMILIAR WITH THE COMMISSION </w:t>
      </w:r>
      <w:r w:rsidRPr="007C77E9">
        <w:rPr>
          <w:i/>
        </w:rPr>
        <w:t>ORDER 04</w:t>
      </w:r>
      <w:r>
        <w:t xml:space="preserve"> IN THIS PROCEEDING?</w:t>
      </w:r>
    </w:p>
    <w:p w:rsidR="007C77E9" w:rsidRDefault="007C77E9" w:rsidP="001C4E57">
      <w:r>
        <w:t>A.</w:t>
      </w:r>
      <w:r>
        <w:tab/>
        <w:t>Yes.  While I am not an attorney and it is not my intention</w:t>
      </w:r>
      <w:r w:rsidR="00EA2A45">
        <w:t xml:space="preserve"> to </w:t>
      </w:r>
      <w:r>
        <w:t xml:space="preserve">address legal issues, </w:t>
      </w:r>
      <w:r w:rsidR="00EA2A45">
        <w:t>the recommendations in my testimony are</w:t>
      </w:r>
      <w:r>
        <w:t xml:space="preserve"> consistent with my understanding of the Commission’</w:t>
      </w:r>
      <w:r w:rsidR="00F90FF5">
        <w:t xml:space="preserve">s conclusion that its analysis </w:t>
      </w:r>
      <w:r w:rsidR="00EA2A45">
        <w:t xml:space="preserve">in this case </w:t>
      </w:r>
      <w:r w:rsidR="00F90FF5">
        <w:t>should focus on competitive alternatives to Frontier’s retail services</w:t>
      </w:r>
      <w:r>
        <w:t xml:space="preserve">.  </w:t>
      </w:r>
    </w:p>
    <w:p w:rsidR="007C77E9" w:rsidRDefault="007C77E9" w:rsidP="001C4E57">
      <w:r>
        <w:tab/>
      </w:r>
      <w:r>
        <w:tab/>
      </w:r>
      <w:r w:rsidR="00E71BDD">
        <w:t xml:space="preserve">At paragraph 12 of </w:t>
      </w:r>
      <w:r w:rsidRPr="001A6D44">
        <w:rPr>
          <w:i/>
        </w:rPr>
        <w:t>Order</w:t>
      </w:r>
      <w:r w:rsidR="00E71BDD" w:rsidRPr="001A6D44">
        <w:rPr>
          <w:i/>
        </w:rPr>
        <w:t xml:space="preserve"> 04</w:t>
      </w:r>
      <w:r>
        <w:t xml:space="preserve">, the Commission </w:t>
      </w:r>
      <w:r w:rsidR="00E71BDD">
        <w:t xml:space="preserve">quotes from the Surreply Brief of the </w:t>
      </w:r>
      <w:r>
        <w:t>CLEC Intervenors: “</w:t>
      </w:r>
      <w:r w:rsidR="00F90FF5">
        <w:t xml:space="preserve">the focus of the captive customer base test for effective competition is whether there are a sufficient number of alternative suppliers of retail, facilities-based, competitive services to the end user.”  The Commission goes on to conclude </w:t>
      </w:r>
      <w:r w:rsidR="00E71BDD">
        <w:t xml:space="preserve">in paragraph </w:t>
      </w:r>
      <w:r w:rsidR="00F90FF5">
        <w:t>14</w:t>
      </w:r>
      <w:r w:rsidR="00E71BDD">
        <w:t xml:space="preserve"> of </w:t>
      </w:r>
      <w:r w:rsidR="00E71BDD" w:rsidRPr="001A6D44">
        <w:rPr>
          <w:i/>
        </w:rPr>
        <w:t>Order 04</w:t>
      </w:r>
      <w:r w:rsidR="00F90FF5">
        <w:t xml:space="preserve"> that it “must determine whether a company’s end user customers have reasonably available alternatives to the company’s services, regardless of the extent to which the company also provides services to other carriers.”  The salient question is not an isolated one of whether Frontier provides services to other carriers, but whether the identified “reasonably available alternatives” to end users ‒ particularly if the availability of those alternatives forms the basis for a decision to grant competitive classification and to surrender many consumer protections to market forces ‒ depend on Frontier’s continued provisioning of wholesale services </w:t>
      </w:r>
      <w:r w:rsidR="001377BD">
        <w:t>to other carriers at</w:t>
      </w:r>
      <w:r w:rsidR="00F90FF5">
        <w:t xml:space="preserve"> current rates, terms, and conditions.  </w:t>
      </w:r>
      <w:r w:rsidR="001377BD">
        <w:t xml:space="preserve">To date, no evidence has been presented to support a conclusion that </w:t>
      </w:r>
      <w:r w:rsidR="001377BD" w:rsidRPr="00EA2A45">
        <w:t>any</w:t>
      </w:r>
      <w:r w:rsidR="001377BD">
        <w:t xml:space="preserve"> of the “reasonably available alternatives” identified by Frontier is being provided </w:t>
      </w:r>
      <w:r w:rsidR="001377BD" w:rsidRPr="00CA26A8">
        <w:t>completely independent of Frontier-provided wholesale service</w:t>
      </w:r>
      <w:r w:rsidR="00241044" w:rsidRPr="00CA26A8">
        <w:t>s</w:t>
      </w:r>
      <w:r w:rsidR="001377BD">
        <w:t xml:space="preserve">, and </w:t>
      </w:r>
      <w:r w:rsidR="00E9748E">
        <w:t xml:space="preserve">there is </w:t>
      </w:r>
      <w:r w:rsidR="001377BD">
        <w:t>no evidence that any alternative</w:t>
      </w:r>
      <w:r w:rsidR="00E9748E">
        <w:t xml:space="preserve"> retail service</w:t>
      </w:r>
      <w:r w:rsidR="001377BD">
        <w:t xml:space="preserve"> would continue to be reasonably available if adequate wholesale safeguards are not adopted.</w:t>
      </w:r>
    </w:p>
    <w:p w:rsidR="001377BD" w:rsidRDefault="001377BD" w:rsidP="001C4E57">
      <w:r>
        <w:tab/>
      </w:r>
      <w:r>
        <w:tab/>
        <w:t xml:space="preserve">In summary, </w:t>
      </w:r>
      <w:r w:rsidR="00096B8B">
        <w:t xml:space="preserve">the Commission’s decision to focus its analysis on the availability of reasonably available alternatives to end user customers </w:t>
      </w:r>
      <w:r w:rsidR="00241044">
        <w:t xml:space="preserve">(rather than to carrier customers) </w:t>
      </w:r>
      <w:r w:rsidR="00096B8B">
        <w:t xml:space="preserve">does not diminish the importance of the continued availability of Frontier’s wholesale services.  To the contrary, a decision to relax regulatory oversight and to rely on competitive market forces to provide consumer protections should only be made after first considering all necessary steps to ensure that competitive market forces exist now </w:t>
      </w:r>
      <w:r w:rsidR="00096B8B" w:rsidRPr="00096B8B">
        <w:rPr>
          <w:i/>
        </w:rPr>
        <w:t xml:space="preserve">and will continue to exist </w:t>
      </w:r>
      <w:r w:rsidR="00096B8B">
        <w:t xml:space="preserve">in the future.  The wholesale conditions agreed to by both Frontier and </w:t>
      </w:r>
      <w:r w:rsidR="002A2BDF">
        <w:t xml:space="preserve">the </w:t>
      </w:r>
      <w:r w:rsidR="00096B8B">
        <w:t>CLEC Intervenors represent such necessary steps.</w:t>
      </w:r>
    </w:p>
    <w:p w:rsidR="00096B8B" w:rsidRDefault="00096B8B" w:rsidP="001C4E57"/>
    <w:p w:rsidR="00E44584" w:rsidRDefault="007A187B" w:rsidP="001C4E57">
      <w:r>
        <w:t>Q.</w:t>
      </w:r>
      <w:r>
        <w:tab/>
      </w:r>
      <w:r w:rsidR="001377BD">
        <w:t xml:space="preserve">IT HAS BEEN SUGGESTED THAT EXISTING FEDERAL LAW </w:t>
      </w:r>
      <w:r w:rsidR="007C77E9">
        <w:t>PROVIDE</w:t>
      </w:r>
      <w:r w:rsidR="001377BD">
        <w:t>S</w:t>
      </w:r>
      <w:r w:rsidR="007C77E9">
        <w:t xml:space="preserve"> ADEQUATE ASSURANCE </w:t>
      </w:r>
      <w:r w:rsidR="001377BD">
        <w:t>THAT WHOLESALE SERVICES WILL CONTINUE TO BE PROVIDED AT THE RATES, TERMS, AND CONDITIONS NECESSARY TO ENSURE THE CONTINUED AVAILABILITY OF “REASONABLY AVAILABLE ALTERNATIVES.”  DO YOU AGREE?</w:t>
      </w:r>
    </w:p>
    <w:p w:rsidR="007C77E9" w:rsidRDefault="007C77E9" w:rsidP="001C4E57">
      <w:r>
        <w:t>A.</w:t>
      </w:r>
      <w:r>
        <w:tab/>
        <w:t xml:space="preserve">No.  </w:t>
      </w:r>
      <w:r w:rsidR="000E5E1C">
        <w:t xml:space="preserve">While existing federal requirements are important, they are not sufficient.  As I explain in the next section of my testimony, the </w:t>
      </w:r>
      <w:r w:rsidR="000337E8">
        <w:t>Settlement Agreement</w:t>
      </w:r>
      <w:r w:rsidR="000E5E1C">
        <w:t xml:space="preserve"> addresses a number of issues that are not fully addressed in </w:t>
      </w:r>
      <w:r w:rsidR="00E44584">
        <w:t>the Act or FCC rules regarding interconnection ag</w:t>
      </w:r>
      <w:r w:rsidR="00D87A5E">
        <w:t>reement terms and conditions.  In addition, c</w:t>
      </w:r>
      <w:r w:rsidR="00E44584">
        <w:t>arriers who rely on Frontier-p</w:t>
      </w:r>
      <w:r w:rsidR="00D87A5E">
        <w:t>rovided access services are</w:t>
      </w:r>
      <w:r w:rsidR="00E44584">
        <w:t xml:space="preserve"> not </w:t>
      </w:r>
      <w:r w:rsidR="00241044">
        <w:t xml:space="preserve">fully </w:t>
      </w:r>
      <w:r w:rsidR="00E44584">
        <w:t>protected by federal requirements.</w:t>
      </w:r>
    </w:p>
    <w:p w:rsidR="000E5E1C" w:rsidRDefault="000E5E1C" w:rsidP="001C4E57">
      <w:r>
        <w:tab/>
      </w:r>
      <w:r>
        <w:tab/>
        <w:t>It is also important to note that if wholesale safe</w:t>
      </w:r>
      <w:r w:rsidR="00E44584">
        <w:t>guards are not addressed in an o</w:t>
      </w:r>
      <w:r>
        <w:t xml:space="preserve">rder granting competitive classification, Frontier could use the language of the order to obtain </w:t>
      </w:r>
      <w:r w:rsidR="00E44584">
        <w:t>regulatory relief from the FCC, even though the competitive classification may have been granted based on an assumption that federal requirements would continue to apply.  An order finding that all Frontier customers have reasonably available alternatives and that Frontier does not have, in any location, a significant captive customer base could be used by Frontier to support a petition to the FCC for a finding of non-impairment in a given wire center.  Such an order could also be used by Frontier to se</w:t>
      </w:r>
      <w:r w:rsidR="00241044">
        <w:t>ek regulatory for</w:t>
      </w:r>
      <w:r w:rsidR="00E44584">
        <w:t>bearance from the FCC.</w:t>
      </w:r>
      <w:r w:rsidR="00241044">
        <w:t xml:space="preserve">  Either scenario would result in fewer wholesale alternatives being made available to carriers, and would directly impact the availability of</w:t>
      </w:r>
      <w:r w:rsidR="00D87A5E">
        <w:t xml:space="preserve"> retail</w:t>
      </w:r>
      <w:r w:rsidR="00241044">
        <w:t xml:space="preserve"> competitive alternatives to end users.</w:t>
      </w:r>
    </w:p>
    <w:p w:rsidR="004D6631" w:rsidRDefault="004D6631" w:rsidP="001C4E57"/>
    <w:p w:rsidR="00EC50AB" w:rsidRDefault="00EC50AB" w:rsidP="001C4E57">
      <w:r>
        <w:t>Q.</w:t>
      </w:r>
      <w:r>
        <w:tab/>
      </w:r>
      <w:r w:rsidR="009213A6">
        <w:t>YOU STATED THAT CLEC INTERVENORS ALSO RELY ON SPECIAL ACCESS SERVICES PROVIDED BY FRONTIER IN ORDER TO PROVIDE SERVICES TO END USERS.  WHY IS SPECIAL ACCESS SERVICE IMPORTANT?</w:t>
      </w:r>
    </w:p>
    <w:p w:rsidR="009213A6" w:rsidRDefault="009213A6" w:rsidP="001C4E57">
      <w:r>
        <w:t>A.</w:t>
      </w:r>
      <w:r>
        <w:tab/>
        <w:t>The rates, terms, and conditions associated with Frontier-provided special acce</w:t>
      </w:r>
      <w:r w:rsidR="003439B3">
        <w:t>ss service are important for a number of</w:t>
      </w:r>
      <w:r>
        <w:t xml:space="preserve"> reasons.</w:t>
      </w:r>
    </w:p>
    <w:p w:rsidR="009213A6" w:rsidRDefault="003439B3" w:rsidP="001C4E57">
      <w:r>
        <w:tab/>
      </w:r>
      <w:r>
        <w:tab/>
        <w:t>C</w:t>
      </w:r>
      <w:r w:rsidR="009213A6">
        <w:t xml:space="preserve">arriers rely on the transport and local loop functionality of special access service to provide services to customer premises locations.  If UNEs are not available in a given geographic area, special access often represents a carrier’s only means of reaching </w:t>
      </w:r>
      <w:r w:rsidR="008C2C16">
        <w:t>these customers.  Special access services may</w:t>
      </w:r>
      <w:r w:rsidR="009213A6">
        <w:t xml:space="preserve"> become even more important</w:t>
      </w:r>
      <w:r w:rsidR="008C2C16">
        <w:t xml:space="preserve"> if copper loop retirement continues to reduce the addressable broadband market of UNEs.</w:t>
      </w:r>
    </w:p>
    <w:p w:rsidR="003439B3" w:rsidRDefault="003439B3" w:rsidP="001C4E57">
      <w:r>
        <w:tab/>
      </w:r>
      <w:r>
        <w:tab/>
        <w:t>Special access also</w:t>
      </w:r>
      <w:r w:rsidR="006B6FFA">
        <w:t xml:space="preserve"> represents an important means of serving customers near wire centers where collocation is unavailable.  Even in wire centers where collocation is potentially available, timing can be an issue.  A CLEC may have a short window in which to initiate service in order to win a customer, and special access often represents the only wholesale service with a provisioning interval that will allow the customer’s needs to be met.</w:t>
      </w:r>
    </w:p>
    <w:p w:rsidR="006B6FFA" w:rsidRDefault="006B6FFA" w:rsidP="001C4E57">
      <w:r>
        <w:tab/>
      </w:r>
      <w:r>
        <w:tab/>
        <w:t>Special access also has service quality standards and billing options that are often not available with unbundled elements, making it an important wholesale alternative.</w:t>
      </w:r>
    </w:p>
    <w:p w:rsidR="00D87A5E" w:rsidRDefault="00D87A5E" w:rsidP="00D87A5E">
      <w:pPr>
        <w:ind w:firstLine="0"/>
      </w:pPr>
      <w:r>
        <w:tab/>
        <w:t>In addition, in some circumstances special access is used for interconnection purposes.  For example, some of Frontier’s interconnection agreements in Washington state that Frontier will provision an entrance facility (used to interconnect the CLEC network with the Frontier network) at rates, terms or conditions set forth in the Frontier intrastate special access tariff.  In this way special access is also used for Section 251 interconnection facilities</w:t>
      </w:r>
      <w:r w:rsidR="00143225">
        <w:t>, which Frontier would otherwise be obliged to provide.</w:t>
      </w:r>
    </w:p>
    <w:p w:rsidR="00874E24" w:rsidRDefault="009213A6" w:rsidP="001C4E57">
      <w:r>
        <w:tab/>
      </w:r>
      <w:r>
        <w:tab/>
      </w:r>
      <w:r w:rsidR="006B6FFA">
        <w:t>Finally</w:t>
      </w:r>
      <w:r w:rsidR="00D87A5E">
        <w:t>,</w:t>
      </w:r>
      <w:r w:rsidR="006B6FFA">
        <w:t xml:space="preserve"> s</w:t>
      </w:r>
      <w:r>
        <w:t xml:space="preserve">pecial access </w:t>
      </w:r>
      <w:r w:rsidR="006B6FFA">
        <w:t>pricing is important because the service is provided on</w:t>
      </w:r>
      <w:r>
        <w:t xml:space="preserve"> both </w:t>
      </w:r>
      <w:r w:rsidR="006B6FFA">
        <w:t>a wholesale and a retail basis</w:t>
      </w:r>
      <w:r>
        <w:t>.  Retail pricing flexibility without competitive safeguards would create the opportunity for Frontier to engage in a price squeeze strategy that would limit the availabil</w:t>
      </w:r>
      <w:r w:rsidR="00133E94">
        <w:t>ity of competitive alternatives.</w:t>
      </w:r>
    </w:p>
    <w:p w:rsidR="00133E94" w:rsidRDefault="00133E94" w:rsidP="001C4E57"/>
    <w:p w:rsidR="00FA56B1" w:rsidRDefault="00C33DB4" w:rsidP="00FA56B1">
      <w:pPr>
        <w:pStyle w:val="Heading1"/>
      </w:pPr>
      <w:bookmarkStart w:id="12" w:name="_Toc327343937"/>
      <w:bookmarkStart w:id="13" w:name="_Toc354663252"/>
      <w:r>
        <w:t>I</w:t>
      </w:r>
      <w:r w:rsidR="00EC2CFA">
        <w:t>V.</w:t>
      </w:r>
      <w:bookmarkEnd w:id="12"/>
      <w:r w:rsidR="00657095">
        <w:tab/>
      </w:r>
      <w:r w:rsidR="00530BBC">
        <w:t xml:space="preserve">The Importance of Individual </w:t>
      </w:r>
      <w:r w:rsidR="000337E8">
        <w:t>Settlement Agreement</w:t>
      </w:r>
      <w:r w:rsidR="00530BBC">
        <w:t xml:space="preserve"> Terms</w:t>
      </w:r>
      <w:bookmarkEnd w:id="13"/>
    </w:p>
    <w:p w:rsidR="00FA56B1" w:rsidRDefault="00FA56B1" w:rsidP="00FA56B1">
      <w:r>
        <w:t>Q.</w:t>
      </w:r>
      <w:r>
        <w:tab/>
        <w:t xml:space="preserve">HAVE YOU REVIEWED THE DETAILS OF THE </w:t>
      </w:r>
      <w:r>
        <w:rPr>
          <w:bCs/>
        </w:rPr>
        <w:t>FRONTIER-CLEC SETTLEMENT AGREEMENT</w:t>
      </w:r>
      <w:r>
        <w:t>?</w:t>
      </w:r>
    </w:p>
    <w:p w:rsidR="002160A9" w:rsidRDefault="00FA56B1" w:rsidP="00FA56B1">
      <w:r>
        <w:t>A.</w:t>
      </w:r>
      <w:r>
        <w:tab/>
        <w:t>Yes.</w:t>
      </w:r>
      <w:r w:rsidR="009A3EF7">
        <w:t xml:space="preserve">  In this section of my testimony, I will identify important terms of the </w:t>
      </w:r>
      <w:r w:rsidR="000337E8">
        <w:t>Settlement Agreement and explain why these safeguard</w:t>
      </w:r>
      <w:r w:rsidR="009A3EF7">
        <w:t>s are important.</w:t>
      </w:r>
      <w:r w:rsidR="000337E8">
        <w:t xml:space="preserve">  I have grouped the Settlement Agreement terms into three broad categories: those that are generally applicable (this includes terms set forth in the initial paragraphs of the Settlement Agreement and those in Section IV), those that apply specifically to wholesale services provided pursuant to Interconnection Agreements (set forth in Section II of the Settlement Agreement), and those that apply to wholesale services provided outside of Interconnection Agreements (set forth in Section III of the Settlement Agreement</w:t>
      </w:r>
      <w:r w:rsidR="00A73F60">
        <w:t xml:space="preserve"> and referred to in the agreement as Non-ICA Wholesale Services</w:t>
      </w:r>
      <w:r w:rsidR="000337E8">
        <w:t>).</w:t>
      </w:r>
    </w:p>
    <w:p w:rsidR="002160A9" w:rsidRDefault="002160A9" w:rsidP="00FA56B1"/>
    <w:p w:rsidR="00065174" w:rsidRPr="00065174" w:rsidRDefault="002160A9" w:rsidP="00065174">
      <w:pPr>
        <w:pStyle w:val="Heading2"/>
      </w:pPr>
      <w:bookmarkStart w:id="14" w:name="_Toc354663253"/>
      <w:r w:rsidRPr="00065174">
        <w:t>Generally Applicable Terms</w:t>
      </w:r>
      <w:bookmarkEnd w:id="14"/>
    </w:p>
    <w:p w:rsidR="00247E90" w:rsidRDefault="00247E90" w:rsidP="00FA56B1">
      <w:r>
        <w:t>Q.</w:t>
      </w:r>
      <w:r>
        <w:tab/>
        <w:t>WHAT TYPES OF GENERALLY APPLICABLE TERMS ARE INCLUDED IN THE SETTLEMENT AGREEMENT?</w:t>
      </w:r>
    </w:p>
    <w:p w:rsidR="00247E90" w:rsidRDefault="00247E90" w:rsidP="00FA56B1">
      <w:r>
        <w:t>A.</w:t>
      </w:r>
      <w:r>
        <w:tab/>
        <w:t>Generally applicable terms (contained in the initial paragraphs and in Section IV) address th</w:t>
      </w:r>
      <w:r w:rsidR="00332B14">
        <w:t xml:space="preserve">e enforcement of the agreement, </w:t>
      </w:r>
      <w:r>
        <w:t>help to create stability in the markets of Frontier-provided wholesale services</w:t>
      </w:r>
      <w:r w:rsidR="00332B14">
        <w:t xml:space="preserve">, and </w:t>
      </w:r>
      <w:r w:rsidR="00B44447">
        <w:t xml:space="preserve">reduce the potential for Frontier to engage in </w:t>
      </w:r>
      <w:r w:rsidR="00332B14">
        <w:t>anticompetitive pricing of wholesale services</w:t>
      </w:r>
      <w:r w:rsidR="000D141D">
        <w:t xml:space="preserve"> that would impact the availability of retail service alternatives to end user customers</w:t>
      </w:r>
      <w:r>
        <w:t>.</w:t>
      </w:r>
    </w:p>
    <w:p w:rsidR="00247E90" w:rsidRDefault="00247E90" w:rsidP="00FA56B1"/>
    <w:p w:rsidR="00A92752" w:rsidRDefault="00A92752" w:rsidP="00FA56B1">
      <w:r>
        <w:t>Q.</w:t>
      </w:r>
      <w:r>
        <w:tab/>
        <w:t xml:space="preserve">PLEASE DESCRIBE THE TERMS </w:t>
      </w:r>
      <w:r w:rsidR="00032E28">
        <w:t xml:space="preserve">THAT ADDRESS ENFORCEMENT OF THE SETTLEMENT AGREEMENT, </w:t>
      </w:r>
      <w:r>
        <w:t>AND EXPLAIN WHY THEY ARE IMPORTANT.</w:t>
      </w:r>
    </w:p>
    <w:p w:rsidR="00A92752" w:rsidRDefault="00A92752" w:rsidP="00FA56B1">
      <w:r>
        <w:t>A.</w:t>
      </w:r>
      <w:r>
        <w:tab/>
        <w:t>The Settlement Agreement contains a number of terms intended to ensure that the safeguards will be properly applied and to reduce the likelihood of</w:t>
      </w:r>
      <w:r w:rsidR="00032E28">
        <w:t xml:space="preserve"> conflicts </w:t>
      </w:r>
      <w:r>
        <w:t>going forward.</w:t>
      </w:r>
    </w:p>
    <w:p w:rsidR="00A92752" w:rsidRDefault="00A92752" w:rsidP="00FA56B1">
      <w:r>
        <w:tab/>
      </w:r>
      <w:r>
        <w:tab/>
      </w:r>
      <w:r w:rsidR="00032E28">
        <w:t>Paragraph III</w:t>
      </w:r>
      <w:r>
        <w:t xml:space="preserve"> contains the following language:</w:t>
      </w:r>
    </w:p>
    <w:p w:rsidR="00A92752" w:rsidRPr="00AA0A19" w:rsidRDefault="00E36B76" w:rsidP="00AA0A19">
      <w:pPr>
        <w:pStyle w:val="Quote"/>
      </w:pPr>
      <w:r>
        <w:tab/>
      </w:r>
      <w:r w:rsidR="00A92752" w:rsidRPr="00AA0A19">
        <w:t>The parties agree that a breach by Frontier of any of the Settlement terms and conditions or any of the Wholesale Conditions would constitute a violation of the Commission Order.</w:t>
      </w:r>
    </w:p>
    <w:p w:rsidR="00A92752" w:rsidRDefault="00A92752" w:rsidP="00FA56B1"/>
    <w:p w:rsidR="00A92752" w:rsidRDefault="00A92752" w:rsidP="00FA56B1">
      <w:r>
        <w:tab/>
      </w:r>
      <w:r>
        <w:tab/>
        <w:t xml:space="preserve">This term </w:t>
      </w:r>
      <w:r w:rsidR="0035489C">
        <w:t xml:space="preserve">(and the related terms described below) </w:t>
      </w:r>
      <w:r>
        <w:t>is important because it recognizes the essential link between end user alternatives and the continued availability of the Frontier-provided wholesale services that make those</w:t>
      </w:r>
      <w:r w:rsidR="0035489C">
        <w:t xml:space="preserve"> retail alternatives possible.  Because of the interrelationship between wholesale safeguards and the availability </w:t>
      </w:r>
      <w:r w:rsidR="00E36B76">
        <w:t xml:space="preserve">of </w:t>
      </w:r>
      <w:r w:rsidR="0035489C">
        <w:t xml:space="preserve">service alternatives for end users, it is important that </w:t>
      </w:r>
      <w:r w:rsidR="003D3EB5">
        <w:t xml:space="preserve">Frontier and the CLECs affirm and acknowledge that </w:t>
      </w:r>
      <w:r w:rsidR="0035489C">
        <w:t xml:space="preserve">the Commission </w:t>
      </w:r>
      <w:r w:rsidR="003D3EB5">
        <w:t>will retain</w:t>
      </w:r>
      <w:r w:rsidR="0035489C">
        <w:t xml:space="preserve"> the </w:t>
      </w:r>
      <w:r w:rsidR="003D3EB5">
        <w:t xml:space="preserve">authority and </w:t>
      </w:r>
      <w:r w:rsidR="0035489C">
        <w:t>ability to enforce the terms of the Settlement Agreement in this docket.  Such enforcement is necessary in order to protect both competitors and end user customers.</w:t>
      </w:r>
    </w:p>
    <w:p w:rsidR="0035489C" w:rsidRDefault="0035489C" w:rsidP="00FA56B1">
      <w:r>
        <w:tab/>
      </w:r>
      <w:r>
        <w:tab/>
        <w:t>Paragraph IV contains the following language:</w:t>
      </w:r>
    </w:p>
    <w:p w:rsidR="0035489C" w:rsidRPr="0035489C" w:rsidRDefault="00E36B76" w:rsidP="00AA0A19">
      <w:pPr>
        <w:pStyle w:val="Quote"/>
      </w:pPr>
      <w:r>
        <w:tab/>
      </w:r>
      <w:r w:rsidR="0035489C" w:rsidRPr="0035489C">
        <w:t xml:space="preserve">The parties agree that CLEC Intervenors, Frontier or any other aggrieved party, may file a complaint with the Commission, pursuant to applicable authority including, but not limited to RCW 80.04.110, alleging one or more violations of the Settlement terms and conditions or </w:t>
      </w:r>
      <w:r w:rsidR="00EE7F83">
        <w:t>any of the Wholesale Conditions,</w:t>
      </w:r>
    </w:p>
    <w:p w:rsidR="0035489C" w:rsidRDefault="0035489C" w:rsidP="00FA56B1"/>
    <w:p w:rsidR="0035489C" w:rsidRDefault="00A92752" w:rsidP="00FA56B1">
      <w:r>
        <w:tab/>
      </w:r>
      <w:r w:rsidR="0035489C">
        <w:tab/>
      </w:r>
      <w:r w:rsidR="00EE7F83">
        <w:t xml:space="preserve">and </w:t>
      </w:r>
      <w:r w:rsidR="0035489C">
        <w:t xml:space="preserve">Paragraph </w:t>
      </w:r>
      <w:r w:rsidR="00EE7F83">
        <w:t xml:space="preserve">12 </w:t>
      </w:r>
      <w:r w:rsidR="0035489C">
        <w:t>contains the following related language:</w:t>
      </w:r>
    </w:p>
    <w:p w:rsidR="0035489C" w:rsidRPr="0035489C" w:rsidRDefault="00E36B76" w:rsidP="00AA0A19">
      <w:pPr>
        <w:pStyle w:val="Quote"/>
      </w:pPr>
      <w:r>
        <w:tab/>
      </w:r>
      <w:r w:rsidR="0035489C" w:rsidRPr="0035489C">
        <w:t>Frontier agrees that any of the CLEC Intervenors, or any other aggrieved entity, may file a complaint with the Commission, pursuant to RCW 80.04.110, alleging one or more violations of any term or condition of the Settlement Agreement or any of the Wholesale Conditions.  Frontier agrees that it will not argue in this docket or any future proceeding that the Commission lacks jurisdiction to consider such a complaint.  Frontier further agrees that the provisions of RCW 80.04.110(1)(b) do not apply to any such complaint and agrees not to argue that the provisions of RCW 80.04.110(1)(b) apply to any such complaint.  Frontier further agrees that nothing in the Settlement Agreement, the Wholesale Conditions or the Commission Order in any way negates the right of the CLEC Intervenors, or any other aggrieved entity, to file a complaint pursuant to RCW 80.04.110(1)(c).</w:t>
      </w:r>
    </w:p>
    <w:p w:rsidR="00133E94" w:rsidRDefault="00133E94" w:rsidP="00FA56B1">
      <w:pPr>
        <w:rPr>
          <w:i/>
        </w:rPr>
      </w:pPr>
    </w:p>
    <w:p w:rsidR="00EE7F83" w:rsidRDefault="0035489C" w:rsidP="00FA56B1">
      <w:r>
        <w:tab/>
      </w:r>
      <w:r>
        <w:tab/>
        <w:t xml:space="preserve">In order for the </w:t>
      </w:r>
      <w:r w:rsidR="003D3EB5">
        <w:t xml:space="preserve">wholesale </w:t>
      </w:r>
      <w:r>
        <w:t xml:space="preserve">safeguards set forth in the Settlement Agreement to be effective, it is important that </w:t>
      </w:r>
      <w:r w:rsidR="00EE7F83">
        <w:t>CLEC Intervenors (or other purchasers of Frontier-provided wholesale services) have the opportunity to bring any alleged violation of these safeguards to the Commission’s attention through the complaint process, and for the Commission to have the ability to enforce the terms of the agreement through this process</w:t>
      </w:r>
      <w:r w:rsidR="003D3EB5">
        <w:t xml:space="preserve"> pursuant to existing statutory authority and procedures</w:t>
      </w:r>
      <w:r w:rsidR="00EE7F83">
        <w:t xml:space="preserve">.  A violation of a term of the Settlement Agreement could have an immediate adverse impact on the ability of CLECs and other providers to make retail service alternatives available to end users, and an effective enforcement mechanism is needed to </w:t>
      </w:r>
      <w:r w:rsidR="00032E28">
        <w:t>ensure that the safeguards operate as intended.</w:t>
      </w:r>
    </w:p>
    <w:p w:rsidR="00032E28" w:rsidRDefault="00032E28" w:rsidP="00FA56B1">
      <w:r>
        <w:tab/>
      </w:r>
      <w:r>
        <w:tab/>
        <w:t>Paragraph V contains the following language:</w:t>
      </w:r>
    </w:p>
    <w:p w:rsidR="00032E28" w:rsidRPr="00AA0A19" w:rsidRDefault="00E36B76" w:rsidP="00AA0A19">
      <w:pPr>
        <w:pStyle w:val="Quote"/>
      </w:pPr>
      <w:r>
        <w:tab/>
      </w:r>
      <w:r w:rsidR="00032E28" w:rsidRPr="00AA0A19">
        <w:t>The parties agree that the Commission has the authority to resolve any such complaint and grant any and all appropriate relief, including but not limited to the imposition of penalties pursuant to RCW 80.04.380 through 80.04.405.</w:t>
      </w:r>
    </w:p>
    <w:p w:rsidR="000D141D" w:rsidRPr="00032E28" w:rsidRDefault="000D141D" w:rsidP="000D141D">
      <w:pPr>
        <w:spacing w:line="240" w:lineRule="auto"/>
        <w:ind w:left="1440" w:right="1440" w:firstLine="0"/>
      </w:pPr>
    </w:p>
    <w:p w:rsidR="00032E28" w:rsidRDefault="00247E90" w:rsidP="00FA56B1">
      <w:r>
        <w:tab/>
      </w:r>
      <w:r>
        <w:tab/>
        <w:t>This language seeks to avoid any future dispute regarding the Commission’s authority to enforce the terms of the agreement through the complaint process.</w:t>
      </w:r>
    </w:p>
    <w:p w:rsidR="00247E90" w:rsidRDefault="00247E90" w:rsidP="00FA56B1">
      <w:r>
        <w:tab/>
      </w:r>
      <w:r>
        <w:tab/>
        <w:t>Collectively, the above terms create a straightforward enforcement mechanism for the safeguards contained in the Settlement Agreement.  As noted in paragraph 14, the terms of the Settlement Agreement will not take effect if the Commission denies Frontier’s Petition for competitive classification.  But i</w:t>
      </w:r>
      <w:r w:rsidRPr="00A548AF">
        <w:t>n the event the Commission grants Frontier’s petition in this</w:t>
      </w:r>
      <w:r>
        <w:t xml:space="preserve"> docket, effective enforcement of the Settlement Agreement </w:t>
      </w:r>
      <w:r w:rsidR="003D3EB5">
        <w:t xml:space="preserve">wholesale </w:t>
      </w:r>
      <w:r>
        <w:t>safeguards would help to ensure that the relief requested by Frontier would not </w:t>
      </w:r>
      <w:r w:rsidRPr="00A548AF">
        <w:t>eliminate or substantially hamper the CLECs’ ability to make functionally equivalent or substitute services readily available in the relevant retail market at competitive rates, terms, and conditions</w:t>
      </w:r>
      <w:r>
        <w:t xml:space="preserve">.  </w:t>
      </w:r>
    </w:p>
    <w:p w:rsidR="003D0475" w:rsidRDefault="003D0475" w:rsidP="00EE7F83"/>
    <w:p w:rsidR="003D0475" w:rsidRDefault="003D0475" w:rsidP="003D0475">
      <w:r>
        <w:t>Q.</w:t>
      </w:r>
      <w:r>
        <w:tab/>
        <w:t>YOU STATED THAT THE AGREEMENT INCLUDES TERMS INTENDED TO CREATE STABILITY IN THE MARKETS FOR FRONTIER-PROVIDED WHOLESALE SERVICES.  PLEASE DESCRIBE THESE TERMS AND EXPLAIN WHY THEY ARE IMPORTANT.</w:t>
      </w:r>
    </w:p>
    <w:p w:rsidR="003D0475" w:rsidRDefault="003D0475" w:rsidP="003D0475">
      <w:r>
        <w:t>A.</w:t>
      </w:r>
      <w:r>
        <w:tab/>
        <w:t>Paragraph VI contains the following language:</w:t>
      </w:r>
    </w:p>
    <w:p w:rsidR="003D0475" w:rsidRDefault="00E36B76" w:rsidP="00AA0A19">
      <w:pPr>
        <w:pStyle w:val="Quote"/>
      </w:pPr>
      <w:r>
        <w:tab/>
      </w:r>
      <w:r w:rsidR="003D0475">
        <w:t>The parties agree that, should Frontier desire to amend any of the Settlement terms and conditions or any of the Wholesale Conditions, Frontier would be required to file a petition in this docket seeking modification to the particular Settlement term or condition or Wholesale Condition</w:t>
      </w:r>
      <w:r w:rsidR="003D3EB5">
        <w:t>; […]</w:t>
      </w:r>
    </w:p>
    <w:p w:rsidR="000D141D" w:rsidRDefault="000D141D" w:rsidP="000D141D">
      <w:pPr>
        <w:spacing w:line="240" w:lineRule="auto"/>
        <w:ind w:left="1440" w:right="1440"/>
      </w:pPr>
    </w:p>
    <w:p w:rsidR="003D0475" w:rsidRDefault="003D0475" w:rsidP="003D0475">
      <w:pPr>
        <w:spacing w:after="240" w:line="240" w:lineRule="auto"/>
        <w:ind w:left="1440"/>
      </w:pPr>
      <w:r>
        <w:t>and Paragraph VI also contains the following related language:</w:t>
      </w:r>
    </w:p>
    <w:p w:rsidR="003D0475" w:rsidRDefault="00E36B76" w:rsidP="00AA0A19">
      <w:pPr>
        <w:pStyle w:val="Quote"/>
        <w:rPr>
          <w:snapToGrid/>
        </w:rPr>
      </w:pPr>
      <w:r>
        <w:rPr>
          <w:snapToGrid/>
        </w:rPr>
        <w:tab/>
      </w:r>
      <w:r w:rsidR="003D0475" w:rsidRPr="003D0475">
        <w:rPr>
          <w:snapToGrid/>
        </w:rPr>
        <w:t>The parties further agree that, in the event Frontier seeks to be relieved of any of the conditions in this Settlement Agreement, Frontier shall have the burden of demonstrating that relief from such condition is in the public interest.  The parties agree that the Commission has the authority to consider any such petition and to grant any and all appropriate relief consistent with RCW 80.04.210 and WAC 480-07-875.</w:t>
      </w:r>
    </w:p>
    <w:p w:rsidR="000D141D" w:rsidRPr="003D0475" w:rsidRDefault="000D141D" w:rsidP="000D141D">
      <w:pPr>
        <w:spacing w:line="240" w:lineRule="auto"/>
        <w:ind w:left="1440" w:right="1440" w:firstLine="0"/>
        <w:rPr>
          <w:snapToGrid/>
          <w:szCs w:val="24"/>
        </w:rPr>
      </w:pPr>
    </w:p>
    <w:p w:rsidR="00332B14" w:rsidRDefault="003D0475" w:rsidP="003D0475">
      <w:r>
        <w:tab/>
      </w:r>
      <w:r>
        <w:tab/>
        <w:t>This language creates stability by limiting Frontier’s opportunity to make changes to, or to obtain relief from, the safeguards contained in the agreement.  Before changing or eliminating a safeguard, Frontier would be required to demonstrate to the Commission that such a change is in the public interest.  This process would give the Commission the opportunity to assess how Frontier’s proposal to restrict or eliminate safeguards would impact the ability of other service providers to co</w:t>
      </w:r>
      <w:r w:rsidR="00E36B76">
        <w:t xml:space="preserve">ntinue to provide </w:t>
      </w:r>
      <w:r>
        <w:t xml:space="preserve">alternatives to end </w:t>
      </w:r>
      <w:r w:rsidR="00332B14">
        <w:t>user customers.</w:t>
      </w:r>
    </w:p>
    <w:p w:rsidR="00332B14" w:rsidRDefault="00332B14" w:rsidP="003D0475">
      <w:r>
        <w:tab/>
      </w:r>
      <w:r>
        <w:tab/>
        <w:t>Paragraph VI also contains the following language:</w:t>
      </w:r>
    </w:p>
    <w:p w:rsidR="00332B14" w:rsidRDefault="00E36B76" w:rsidP="00AA0A19">
      <w:pPr>
        <w:pStyle w:val="Quote"/>
      </w:pPr>
      <w:r>
        <w:rPr>
          <w:snapToGrid/>
        </w:rPr>
        <w:tab/>
      </w:r>
      <w:r w:rsidR="00332B14" w:rsidRPr="00332B14">
        <w:rPr>
          <w:snapToGrid/>
        </w:rPr>
        <w:t>Frontier agrees that it will not seek to implement any price increase or change of any term or condition of any “ICA Wholesale Service” or “Non-ICA Wholesale Service”, as those terms are defined in the Wholesale Conditions, or seek to implement relief of any of the conditions of this Settlement Agreement, until at least July 1,</w:t>
      </w:r>
      <w:r w:rsidR="002A2BDF">
        <w:rPr>
          <w:snapToGrid/>
        </w:rPr>
        <w:t xml:space="preserve"> </w:t>
      </w:r>
      <w:r w:rsidR="00332B14" w:rsidRPr="00332B14">
        <w:rPr>
          <w:snapToGrid/>
        </w:rPr>
        <w:t xml:space="preserve">2017.  The parties further agree that, except as otherwise required by federal law, Frontier shall have the burden of demonstrating that any proposed changes to rates, terms or conditions of any “ICA Wholesale Services” </w:t>
      </w:r>
      <w:r w:rsidR="00332B14" w:rsidRPr="00332B14">
        <w:t xml:space="preserve">or “Non-ICA Wholesale Services” will be fair, just and reasonable. </w:t>
      </w:r>
    </w:p>
    <w:p w:rsidR="000D141D" w:rsidRPr="00332B14" w:rsidRDefault="000D141D" w:rsidP="000D141D">
      <w:pPr>
        <w:spacing w:line="240" w:lineRule="auto"/>
        <w:ind w:left="1440" w:right="1440"/>
      </w:pPr>
    </w:p>
    <w:p w:rsidR="000D141D" w:rsidRDefault="00332B14" w:rsidP="00332B14">
      <w:r>
        <w:tab/>
      </w:r>
      <w:r>
        <w:tab/>
      </w:r>
      <w:r w:rsidRPr="00332B14">
        <w:t xml:space="preserve">This language </w:t>
      </w:r>
      <w:r>
        <w:t>will allow two important objectives to be met.</w:t>
      </w:r>
      <w:r w:rsidRPr="00332B14">
        <w:t xml:space="preserve">  First, it creates a </w:t>
      </w:r>
      <w:r>
        <w:t xml:space="preserve">period of stability in which Frontier-provided wholesale services will continue to be available at existing rates, terms, and conditions.  CLECs and other service providers will be able to continue to invest in their Washington networks and expand their retail service offerings during this period of stability.  Second, before </w:t>
      </w:r>
      <w:r w:rsidR="00191FC4">
        <w:t xml:space="preserve">any </w:t>
      </w:r>
      <w:r w:rsidR="003D3EB5">
        <w:t xml:space="preserve">attempt to </w:t>
      </w:r>
      <w:r w:rsidR="00E90D9E">
        <w:t>increas</w:t>
      </w:r>
      <w:r w:rsidR="003D3EB5">
        <w:t>e</w:t>
      </w:r>
      <w:r w:rsidR="00E90D9E">
        <w:t xml:space="preserve"> </w:t>
      </w:r>
      <w:r>
        <w:t>the rates</w:t>
      </w:r>
      <w:r w:rsidR="00E90D9E">
        <w:t xml:space="preserve"> or chang</w:t>
      </w:r>
      <w:r w:rsidR="003D3EB5">
        <w:t>e</w:t>
      </w:r>
      <w:r w:rsidR="00E90D9E">
        <w:t xml:space="preserve"> the</w:t>
      </w:r>
      <w:r>
        <w:t xml:space="preserve"> terms or conditions for a wholesale service, Frontier would be required to demonstrate that the proposed change is fair, just, and reasonable.  This process will allow the Commission to ensure that any proposed wholesale rate </w:t>
      </w:r>
      <w:r w:rsidR="00E90D9E">
        <w:t xml:space="preserve">increase or </w:t>
      </w:r>
      <w:r>
        <w:t>change</w:t>
      </w:r>
      <w:r w:rsidR="00E90D9E">
        <w:t xml:space="preserve"> of terms or conditions</w:t>
      </w:r>
      <w:r>
        <w:t xml:space="preserve"> will not adversely impact the availability of service alternatives to end user customers.</w:t>
      </w:r>
    </w:p>
    <w:p w:rsidR="000D141D" w:rsidRDefault="000D141D" w:rsidP="00332B14"/>
    <w:p w:rsidR="000D141D" w:rsidRDefault="000D141D" w:rsidP="00332B14">
      <w:r>
        <w:t>Q.</w:t>
      </w:r>
      <w:r>
        <w:tab/>
        <w:t>PLEASE DESCRIBE THE TERMS THAT HELP TO AVOID ANTICOMPETITIVE PRICING OF WHOLESALE SERVICES, AND EXPLAIN WHY THEY ARE IMPORTANT.</w:t>
      </w:r>
    </w:p>
    <w:p w:rsidR="000D141D" w:rsidRDefault="000D141D" w:rsidP="00332B14">
      <w:r>
        <w:t>A.</w:t>
      </w:r>
      <w:r>
        <w:tab/>
        <w:t>Paragraph 9 contains the following language:</w:t>
      </w:r>
    </w:p>
    <w:p w:rsidR="000D141D" w:rsidRPr="000D141D" w:rsidRDefault="00E36B76" w:rsidP="00AA0A19">
      <w:pPr>
        <w:pStyle w:val="Quote"/>
        <w:rPr>
          <w:snapToGrid/>
        </w:rPr>
      </w:pPr>
      <w:r>
        <w:rPr>
          <w:snapToGrid/>
        </w:rPr>
        <w:tab/>
      </w:r>
      <w:r w:rsidR="000D141D" w:rsidRPr="000D141D">
        <w:rPr>
          <w:snapToGrid/>
        </w:rPr>
        <w:t>Except as otherwise allowed under federal or Washington law, all rates, tolls, contracts and charges, rules and regulations of Frontier for services rendered and equipment and facilities supplied to CLECs shall be fair, just, reasonable and sufficient, and the service so to be rendered any CLEC by Frontier shall be rendered and performed in a prompt, expeditious and efficient manner and the facilities, instrumentalities and equipment furnished by Frontier shall be safe, kept in good condition and repair, and its appliances, instrumentalities and service shall be modern, adequate, sufficient and efficient.</w:t>
      </w:r>
    </w:p>
    <w:p w:rsidR="000D141D" w:rsidRDefault="000D141D" w:rsidP="00332B14"/>
    <w:p w:rsidR="00A30C3A" w:rsidRDefault="00A30C3A" w:rsidP="00332B14">
      <w:r>
        <w:tab/>
      </w:r>
      <w:r>
        <w:tab/>
        <w:t>This language creates an important safeguard to ensure that the rates for Frontier-provided wholesale services remain fair, just, and reasonable, and to ensure that Frontier does not provide a wholesale service in a way that will limit the ability of a CLEC to use the Frontier wholesale service to provide a high quality retail service to end users.</w:t>
      </w:r>
    </w:p>
    <w:p w:rsidR="00A30C3A" w:rsidRDefault="00A30C3A" w:rsidP="00332B14">
      <w:r>
        <w:tab/>
      </w:r>
      <w:r>
        <w:tab/>
        <w:t>Paragraphs 10 and 11 contain the following language:</w:t>
      </w:r>
    </w:p>
    <w:p w:rsidR="000D141D" w:rsidRDefault="00E36B76" w:rsidP="00AA0A19">
      <w:pPr>
        <w:pStyle w:val="Quote"/>
        <w:rPr>
          <w:snapToGrid/>
        </w:rPr>
      </w:pPr>
      <w:r>
        <w:rPr>
          <w:snapToGrid/>
        </w:rPr>
        <w:tab/>
      </w:r>
      <w:r w:rsidR="000D141D">
        <w:rPr>
          <w:snapToGrid/>
        </w:rPr>
        <w:t xml:space="preserve">10. </w:t>
      </w:r>
      <w:r w:rsidR="000D141D" w:rsidRPr="000D141D">
        <w:rPr>
          <w:snapToGrid/>
        </w:rPr>
        <w:t>Except as otherwise required under federal law, including but not limited to 47 U.S.C. Sections 251 and 252, Frontier shall not make or give any undue or unreasonable preference or advantage to any person, corporation or locality, or subject any particular person, corporation or locality to any undue or unreasonable prejudice or disadvantage in any respect whatsoever. Frontier agrees that the Commission shall have primary jurisdiction to determine whether any of its rates, regulations, or pr</w:t>
      </w:r>
      <w:r w:rsidR="000D141D">
        <w:rPr>
          <w:snapToGrid/>
        </w:rPr>
        <w:t>actices violates this condition.</w:t>
      </w:r>
    </w:p>
    <w:p w:rsidR="000D141D" w:rsidRDefault="000D141D" w:rsidP="000D141D"/>
    <w:p w:rsidR="000D141D" w:rsidRPr="000D141D" w:rsidRDefault="00E36B76" w:rsidP="00AA0A19">
      <w:pPr>
        <w:pStyle w:val="Quote"/>
      </w:pPr>
      <w:r>
        <w:rPr>
          <w:snapToGrid/>
        </w:rPr>
        <w:tab/>
      </w:r>
      <w:r w:rsidR="000D141D">
        <w:rPr>
          <w:snapToGrid/>
        </w:rPr>
        <w:t xml:space="preserve">11. </w:t>
      </w:r>
      <w:r w:rsidR="000D141D" w:rsidRPr="000D141D">
        <w:rPr>
          <w:snapToGrid/>
        </w:rPr>
        <w:t>As to the pricing of or access to Wholesale Services, except as otherwise required under federal law, including but not limited to 47 U.S.C. Sections 251 and 252, Frontier shall not make or grant any undue or unreasonable preference or advantage to itself or to any other person providing telecommunications service, nor subject any telecommunications company to any undue or unreasonable prejudice or competitive disadvantage.  Frontier agrees that the Commission shall have primary jurisdiction to determine whether any of its rates, regulations, or practices violates this condition.</w:t>
      </w:r>
    </w:p>
    <w:p w:rsidR="000D141D" w:rsidRDefault="000D141D" w:rsidP="000D141D">
      <w:pPr>
        <w:rPr>
          <w:snapToGrid/>
          <w:szCs w:val="24"/>
        </w:rPr>
      </w:pPr>
    </w:p>
    <w:p w:rsidR="00AA0A19" w:rsidRDefault="000D141D" w:rsidP="000D141D">
      <w:pPr>
        <w:rPr>
          <w:snapToGrid/>
          <w:szCs w:val="24"/>
        </w:rPr>
      </w:pPr>
      <w:r>
        <w:rPr>
          <w:snapToGrid/>
          <w:szCs w:val="24"/>
        </w:rPr>
        <w:tab/>
      </w:r>
      <w:r>
        <w:rPr>
          <w:snapToGrid/>
          <w:szCs w:val="24"/>
        </w:rPr>
        <w:tab/>
      </w:r>
      <w:r w:rsidR="00A30C3A">
        <w:rPr>
          <w:snapToGrid/>
          <w:szCs w:val="24"/>
        </w:rPr>
        <w:t xml:space="preserve">This language recognizes the dual role of Frontier as both a provider of retail services to end user customers and as a provider of wholesale services to retail service competitors.  In order for retail service alternatives to be available, it is essential that Frontier not engage in any discriminatory behavior that creates an artificial competitive advantage for its own retail services, including but not limited to a price squeeze.  This language </w:t>
      </w:r>
      <w:r w:rsidR="003D3EB5">
        <w:rPr>
          <w:snapToGrid/>
          <w:szCs w:val="24"/>
        </w:rPr>
        <w:t xml:space="preserve">also </w:t>
      </w:r>
      <w:r w:rsidR="00A30C3A">
        <w:rPr>
          <w:snapToGrid/>
          <w:szCs w:val="24"/>
        </w:rPr>
        <w:t>creates safeguards intended to preve</w:t>
      </w:r>
      <w:r w:rsidR="00E36B76">
        <w:rPr>
          <w:snapToGrid/>
          <w:szCs w:val="24"/>
        </w:rPr>
        <w:t>nt such discriminatory behavior</w:t>
      </w:r>
      <w:r w:rsidR="00A30C3A">
        <w:rPr>
          <w:snapToGrid/>
          <w:szCs w:val="24"/>
        </w:rPr>
        <w:t xml:space="preserve"> and clarifies that the Commission has primary jurisdiction to determine whether any Frontier rates, regulations, or practices </w:t>
      </w:r>
      <w:r w:rsidR="00AA0A19">
        <w:rPr>
          <w:snapToGrid/>
          <w:szCs w:val="24"/>
        </w:rPr>
        <w:t>violate this condition.</w:t>
      </w:r>
    </w:p>
    <w:p w:rsidR="00AA0A19" w:rsidRDefault="00AA0A19" w:rsidP="000D141D">
      <w:pPr>
        <w:rPr>
          <w:snapToGrid/>
          <w:szCs w:val="24"/>
        </w:rPr>
      </w:pPr>
    </w:p>
    <w:p w:rsidR="00065174" w:rsidRDefault="00065174" w:rsidP="00065174">
      <w:pPr>
        <w:pStyle w:val="Heading2"/>
        <w:rPr>
          <w:snapToGrid/>
        </w:rPr>
      </w:pPr>
      <w:bookmarkStart w:id="15" w:name="_Toc354663254"/>
      <w:r>
        <w:rPr>
          <w:snapToGrid/>
        </w:rPr>
        <w:t>Terms Related to Wholesale Services Provided Pursuant to an Interconnection Agreement</w:t>
      </w:r>
      <w:bookmarkEnd w:id="15"/>
    </w:p>
    <w:p w:rsidR="00065174" w:rsidRDefault="00065174" w:rsidP="00065174">
      <w:pPr>
        <w:rPr>
          <w:snapToGrid/>
        </w:rPr>
      </w:pPr>
      <w:r>
        <w:rPr>
          <w:snapToGrid/>
        </w:rPr>
        <w:t>Q.</w:t>
      </w:r>
      <w:r>
        <w:rPr>
          <w:snapToGrid/>
        </w:rPr>
        <w:tab/>
        <w:t>WHAT TYPES OF INTERCONNECTION AGREEMENT-RELATED TERMS ARE INCLUDED IN THE SETTLEMENT AGREEMENT?</w:t>
      </w:r>
    </w:p>
    <w:p w:rsidR="00065174" w:rsidRDefault="00065174" w:rsidP="00065174">
      <w:pPr>
        <w:rPr>
          <w:snapToGrid/>
        </w:rPr>
      </w:pPr>
      <w:r>
        <w:rPr>
          <w:snapToGrid/>
        </w:rPr>
        <w:t>A.</w:t>
      </w:r>
      <w:r>
        <w:rPr>
          <w:snapToGrid/>
        </w:rPr>
        <w:tab/>
        <w:t xml:space="preserve">Section II </w:t>
      </w:r>
      <w:r w:rsidR="00A86D0C">
        <w:rPr>
          <w:snapToGrid/>
        </w:rPr>
        <w:t xml:space="preserve">of the Settlement Agreement </w:t>
      </w:r>
      <w:r>
        <w:rPr>
          <w:snapToGrid/>
        </w:rPr>
        <w:t xml:space="preserve">includes </w:t>
      </w:r>
      <w:r w:rsidR="003D3EB5">
        <w:rPr>
          <w:snapToGrid/>
        </w:rPr>
        <w:t xml:space="preserve">several </w:t>
      </w:r>
      <w:r>
        <w:rPr>
          <w:snapToGrid/>
        </w:rPr>
        <w:t xml:space="preserve">important safeguards related to wholesale services provided pursuant to an Interconnection Agreement between Frontier and a CLEC.  In its Petition, Frontier proposes to de-tariff its wholesale service offerings and to move the rates, terms, and conditions for these services to a </w:t>
      </w:r>
      <w:r w:rsidR="000B33E6">
        <w:rPr>
          <w:snapToGrid/>
        </w:rPr>
        <w:t>“</w:t>
      </w:r>
      <w:r>
        <w:rPr>
          <w:snapToGrid/>
        </w:rPr>
        <w:t>Service Catalog</w:t>
      </w:r>
      <w:r w:rsidR="000B33E6">
        <w:rPr>
          <w:snapToGrid/>
        </w:rPr>
        <w:t>ue</w:t>
      </w:r>
      <w:r>
        <w:rPr>
          <w:snapToGrid/>
        </w:rPr>
        <w:t>.</w:t>
      </w:r>
      <w:r w:rsidR="000B33E6">
        <w:rPr>
          <w:snapToGrid/>
        </w:rPr>
        <w:t>”</w:t>
      </w:r>
      <w:r>
        <w:rPr>
          <w:snapToGrid/>
        </w:rPr>
        <w:t xml:space="preserve">  Because the Interconnection Agreements currently in place typically</w:t>
      </w:r>
      <w:r w:rsidR="003D3EB5">
        <w:rPr>
          <w:snapToGrid/>
        </w:rPr>
        <w:t xml:space="preserve"> incorporate by</w:t>
      </w:r>
      <w:r>
        <w:rPr>
          <w:snapToGrid/>
        </w:rPr>
        <w:t xml:space="preserve"> reference </w:t>
      </w:r>
      <w:r w:rsidR="003D3EB5">
        <w:rPr>
          <w:snapToGrid/>
        </w:rPr>
        <w:t xml:space="preserve">certain rates, terms and conditions of Frontier’s </w:t>
      </w:r>
      <w:r>
        <w:rPr>
          <w:snapToGrid/>
        </w:rPr>
        <w:t>existing tariffs,</w:t>
      </w:r>
      <w:r w:rsidR="000F495B">
        <w:rPr>
          <w:rStyle w:val="FootnoteReference"/>
          <w:snapToGrid/>
        </w:rPr>
        <w:footnoteReference w:id="3"/>
      </w:r>
      <w:r>
        <w:rPr>
          <w:snapToGrid/>
        </w:rPr>
        <w:t xml:space="preserve"> safeguards are needed to manage the de-tariffing process and to ensure that CLECs continue to receive services pursuant to the terms of their </w:t>
      </w:r>
      <w:r w:rsidR="00E36B76">
        <w:rPr>
          <w:snapToGrid/>
        </w:rPr>
        <w:t xml:space="preserve">respective </w:t>
      </w:r>
      <w:r>
        <w:rPr>
          <w:snapToGrid/>
        </w:rPr>
        <w:t>Interconnection Agreement</w:t>
      </w:r>
      <w:r w:rsidR="00E36B76">
        <w:rPr>
          <w:snapToGrid/>
        </w:rPr>
        <w:t>s</w:t>
      </w:r>
      <w:r w:rsidR="003D3EB5">
        <w:rPr>
          <w:snapToGrid/>
        </w:rPr>
        <w:t xml:space="preserve"> (including terms incorporated from Frontier’s existing tariffs)</w:t>
      </w:r>
      <w:r>
        <w:rPr>
          <w:snapToGrid/>
        </w:rPr>
        <w:t xml:space="preserve">.  This section also adopts safeguards that limit Frontier’s ability to change the rates, terms, and conditions of services that are currently tariffed </w:t>
      </w:r>
      <w:r w:rsidR="00A57C6C">
        <w:rPr>
          <w:snapToGrid/>
        </w:rPr>
        <w:t>but that would be de-tariffed if</w:t>
      </w:r>
      <w:r>
        <w:rPr>
          <w:snapToGrid/>
        </w:rPr>
        <w:t xml:space="preserve"> the relief </w:t>
      </w:r>
      <w:r w:rsidR="00A57C6C">
        <w:rPr>
          <w:snapToGrid/>
        </w:rPr>
        <w:t xml:space="preserve">sought </w:t>
      </w:r>
      <w:r>
        <w:rPr>
          <w:snapToGrid/>
        </w:rPr>
        <w:t>in the Petition is granted.</w:t>
      </w:r>
      <w:r w:rsidR="003D3EB5">
        <w:rPr>
          <w:snapToGrid/>
        </w:rPr>
        <w:t xml:space="preserve">  In addition, this section </w:t>
      </w:r>
      <w:r w:rsidR="00C802C9">
        <w:rPr>
          <w:snapToGrid/>
        </w:rPr>
        <w:t>also reaffirms that approval of Frontier’s Petition shall not impact its continuing obligations under Sections 251 and 252 of the Telecommunications Act of 1996 (“Act”)</w:t>
      </w:r>
      <w:r w:rsidR="00CA26A8">
        <w:rPr>
          <w:snapToGrid/>
        </w:rPr>
        <w:t>,</w:t>
      </w:r>
      <w:r w:rsidR="00C802C9">
        <w:rPr>
          <w:snapToGrid/>
        </w:rPr>
        <w:t xml:space="preserve"> clarifies that Frontier will not introduce any new rates or charges for services or functions already provided under existing interconnection agreements</w:t>
      </w:r>
      <w:r w:rsidR="00CA26A8">
        <w:rPr>
          <w:snapToGrid/>
        </w:rPr>
        <w:t>,</w:t>
      </w:r>
      <w:r w:rsidR="00C802C9">
        <w:rPr>
          <w:snapToGrid/>
        </w:rPr>
        <w:t xml:space="preserve"> and affirms that Frontier will not attempt to seek classification as a rural provider pursuant to Sections 251(f)(1) or (f)(2) of the Act.</w:t>
      </w:r>
    </w:p>
    <w:p w:rsidR="00065174" w:rsidRDefault="00065174" w:rsidP="00065174">
      <w:pPr>
        <w:rPr>
          <w:snapToGrid/>
        </w:rPr>
      </w:pPr>
    </w:p>
    <w:p w:rsidR="000B33E6" w:rsidRDefault="00065174" w:rsidP="00065174">
      <w:pPr>
        <w:rPr>
          <w:snapToGrid/>
        </w:rPr>
      </w:pPr>
      <w:r>
        <w:rPr>
          <w:snapToGrid/>
        </w:rPr>
        <w:t>Q.</w:t>
      </w:r>
      <w:r>
        <w:rPr>
          <w:snapToGrid/>
        </w:rPr>
        <w:tab/>
      </w:r>
      <w:r w:rsidR="000B33E6">
        <w:rPr>
          <w:snapToGrid/>
        </w:rPr>
        <w:t>HOW DOES THE SETTLEMENT AGREEMENT HELP TO MANAGE THE TRANSITION FROM TARIFFS TO THE PROPOSED SERVICE CATALOGUE?</w:t>
      </w:r>
    </w:p>
    <w:p w:rsidR="000B33E6" w:rsidRDefault="000B33E6" w:rsidP="00065174">
      <w:pPr>
        <w:rPr>
          <w:snapToGrid/>
        </w:rPr>
      </w:pPr>
      <w:r>
        <w:rPr>
          <w:snapToGrid/>
        </w:rPr>
        <w:t>A.</w:t>
      </w:r>
      <w:r>
        <w:rPr>
          <w:snapToGrid/>
        </w:rPr>
        <w:tab/>
        <w:t>Paragraph 1 contains the following language:</w:t>
      </w:r>
    </w:p>
    <w:p w:rsidR="000B33E6" w:rsidRDefault="000B33E6" w:rsidP="000B33E6">
      <w:pPr>
        <w:pStyle w:val="Quote"/>
      </w:pPr>
      <w:r>
        <w:tab/>
        <w:t xml:space="preserve">Within thirty (30) days of the Commission Order in this docket adopting the Settlement Agreement and these Wholesale Conditions, Frontier will provide the proposed Service Catalogue to the CLEC Intervenors for review and comment.  The CLEC Intervenors will have thirty (30) days to identify and notify Frontier in writing of any substantive deviation between the terms, conditions or rates in the former tariff and the Service Catalogue.  Within ten days of receiving written notice of an identified discrepancy Frontier shall either: </w:t>
      </w:r>
      <w:r w:rsidR="00046F1E">
        <w:t xml:space="preserve"> </w:t>
      </w:r>
      <w:r>
        <w:t>i) revise the Service Catalogue to correct the identified discrepancy or ii) advise the CLECs that it will seek resolution of the identified discrepancy with the Commission, during which time the identified term, condition or rate shall not go into effect in the Service Catalogue.</w:t>
      </w:r>
    </w:p>
    <w:p w:rsidR="000B33E6" w:rsidRDefault="000B33E6" w:rsidP="000B33E6">
      <w:pPr>
        <w:rPr>
          <w:snapToGrid/>
        </w:rPr>
      </w:pPr>
    </w:p>
    <w:p w:rsidR="000B33E6" w:rsidRDefault="000B33E6" w:rsidP="000B33E6">
      <w:pPr>
        <w:rPr>
          <w:snapToGrid/>
        </w:rPr>
      </w:pPr>
      <w:r>
        <w:rPr>
          <w:snapToGrid/>
        </w:rPr>
        <w:tab/>
      </w:r>
      <w:r>
        <w:rPr>
          <w:snapToGrid/>
        </w:rPr>
        <w:tab/>
        <w:t>This provision will give CLECs the opportunity to review the language of the proposed “Service Catalogue” in order to ensure consistency with the language of existing tariffs.  If a discrepancy is found, Frontier will either correct the language or seek resolution of the disputed language from the Commission.  The disputed term, condition or rate will not go into effect until the dispute is resolved.  This safeguard is important because it helps to ensure that the rates, terms, and conditions contained in existing tariffs are not changed during a transition to the proposed “Service Catalogue.”</w:t>
      </w:r>
    </w:p>
    <w:p w:rsidR="00A57C6C" w:rsidRDefault="000B33E6" w:rsidP="000B33E6">
      <w:pPr>
        <w:rPr>
          <w:snapToGrid/>
        </w:rPr>
      </w:pPr>
      <w:r>
        <w:rPr>
          <w:snapToGrid/>
        </w:rPr>
        <w:tab/>
      </w:r>
      <w:r>
        <w:rPr>
          <w:snapToGrid/>
        </w:rPr>
        <w:tab/>
        <w:t xml:space="preserve">Paragraph 1 contains additional language </w:t>
      </w:r>
      <w:r w:rsidR="00A57C6C">
        <w:rPr>
          <w:snapToGrid/>
        </w:rPr>
        <w:t>to guide the administrative process of making the necessary modifications to Interconnection Agreement contracts:</w:t>
      </w:r>
    </w:p>
    <w:p w:rsidR="00A57C6C" w:rsidRPr="00A57C6C" w:rsidRDefault="00A57C6C" w:rsidP="00A57C6C">
      <w:pPr>
        <w:pStyle w:val="Quote"/>
        <w:rPr>
          <w:snapToGrid/>
        </w:rPr>
      </w:pPr>
      <w:r>
        <w:rPr>
          <w:snapToGrid/>
        </w:rPr>
        <w:tab/>
      </w:r>
      <w:r w:rsidRPr="00A57C6C">
        <w:rPr>
          <w:snapToGrid/>
        </w:rPr>
        <w:t xml:space="preserve">for each and every interconnection agreement in Washington in effect at the time that expressly references services in the above-referenced Frontier Washington tariffs, or otherwise references any “applicable tariffs,” Frontier shall propose an amendment that expressly incorporates by reference the rates, terms and conditions of the ICA Service Catalogues.  </w:t>
      </w:r>
    </w:p>
    <w:p w:rsidR="00A57C6C" w:rsidRDefault="00A57C6C" w:rsidP="000B33E6">
      <w:pPr>
        <w:rPr>
          <w:snapToGrid/>
        </w:rPr>
      </w:pPr>
    </w:p>
    <w:p w:rsidR="00A57C6C" w:rsidRDefault="00A57C6C" w:rsidP="000B33E6">
      <w:pPr>
        <w:rPr>
          <w:snapToGrid/>
        </w:rPr>
      </w:pPr>
      <w:r>
        <w:rPr>
          <w:snapToGrid/>
        </w:rPr>
        <w:tab/>
      </w:r>
      <w:r>
        <w:rPr>
          <w:snapToGrid/>
        </w:rPr>
        <w:tab/>
        <w:t xml:space="preserve">This term will help to ensure a smooth transition.  Interconnection Agreements typically refer to existing tariffs, and often </w:t>
      </w:r>
      <w:r w:rsidR="00154C53">
        <w:rPr>
          <w:snapToGrid/>
        </w:rPr>
        <w:t xml:space="preserve">incorporate </w:t>
      </w:r>
      <w:r>
        <w:rPr>
          <w:snapToGrid/>
        </w:rPr>
        <w:t>specific tariff</w:t>
      </w:r>
      <w:r w:rsidR="00154C53">
        <w:rPr>
          <w:snapToGrid/>
        </w:rPr>
        <w:t xml:space="preserve"> provisions</w:t>
      </w:r>
      <w:r>
        <w:rPr>
          <w:snapToGrid/>
        </w:rPr>
        <w:t>.  It will be necessary to amend this language so that the</w:t>
      </w:r>
      <w:r w:rsidR="00154C53">
        <w:rPr>
          <w:snapToGrid/>
        </w:rPr>
        <w:t xml:space="preserve"> rates, terms and conditions set forth in</w:t>
      </w:r>
      <w:r w:rsidR="009207FD">
        <w:rPr>
          <w:snapToGrid/>
        </w:rPr>
        <w:t xml:space="preserve"> existing effective</w:t>
      </w:r>
      <w:r>
        <w:rPr>
          <w:snapToGrid/>
        </w:rPr>
        <w:t xml:space="preserve"> Interconnection Agreements </w:t>
      </w:r>
      <w:r w:rsidR="009207FD">
        <w:rPr>
          <w:snapToGrid/>
        </w:rPr>
        <w:t xml:space="preserve">are not modified or otherwise </w:t>
      </w:r>
      <w:r w:rsidR="007E0E92">
        <w:rPr>
          <w:snapToGrid/>
        </w:rPr>
        <w:t xml:space="preserve">adversely </w:t>
      </w:r>
      <w:r w:rsidR="009207FD">
        <w:rPr>
          <w:snapToGrid/>
        </w:rPr>
        <w:t>affected by Frontier’s proposed de-tariffing actions</w:t>
      </w:r>
      <w:r>
        <w:rPr>
          <w:snapToGrid/>
        </w:rPr>
        <w:t xml:space="preserve">.  </w:t>
      </w:r>
    </w:p>
    <w:p w:rsidR="000F495B" w:rsidRDefault="000F495B" w:rsidP="000B33E6">
      <w:pPr>
        <w:rPr>
          <w:snapToGrid/>
        </w:rPr>
      </w:pPr>
    </w:p>
    <w:p w:rsidR="000F495B" w:rsidRDefault="000F495B" w:rsidP="000B33E6">
      <w:pPr>
        <w:rPr>
          <w:snapToGrid/>
        </w:rPr>
      </w:pPr>
      <w:r>
        <w:rPr>
          <w:snapToGrid/>
        </w:rPr>
        <w:t>Q.</w:t>
      </w:r>
      <w:r>
        <w:rPr>
          <w:snapToGrid/>
        </w:rPr>
        <w:tab/>
        <w:t>HOW DOES THE SETTLEMENT AGREEMENT LIMIT FRONTIER’S ABILITY TO MAKE CHANGES TO IMPORTANT RATES, TERMS, AND CONDITIONS WHEN WHOLESALE SERVICES ARE DE-TARIFFED?</w:t>
      </w:r>
    </w:p>
    <w:p w:rsidR="006E709E" w:rsidRDefault="000F495B" w:rsidP="000B33E6">
      <w:pPr>
        <w:rPr>
          <w:snapToGrid/>
        </w:rPr>
      </w:pPr>
      <w:r>
        <w:rPr>
          <w:snapToGrid/>
        </w:rPr>
        <w:t>A.</w:t>
      </w:r>
      <w:r w:rsidR="00A57C6C">
        <w:rPr>
          <w:snapToGrid/>
        </w:rPr>
        <w:tab/>
        <w:t>Paragraph</w:t>
      </w:r>
      <w:r w:rsidR="00E36B76">
        <w:rPr>
          <w:snapToGrid/>
        </w:rPr>
        <w:t xml:space="preserve"> </w:t>
      </w:r>
      <w:r>
        <w:rPr>
          <w:snapToGrid/>
        </w:rPr>
        <w:t>1 contains an</w:t>
      </w:r>
      <w:r w:rsidR="00A57C6C">
        <w:rPr>
          <w:snapToGrid/>
        </w:rPr>
        <w:t xml:space="preserve"> important safeguard designed to ensure that the rates, terms, and conditions in the exi</w:t>
      </w:r>
      <w:r w:rsidR="006E709E">
        <w:rPr>
          <w:snapToGrid/>
        </w:rPr>
        <w:t>sting tariff remain in effect:</w:t>
      </w:r>
    </w:p>
    <w:p w:rsidR="006E709E" w:rsidRPr="006E709E" w:rsidRDefault="006E709E" w:rsidP="006E709E">
      <w:pPr>
        <w:pStyle w:val="Quote"/>
        <w:rPr>
          <w:snapToGrid/>
        </w:rPr>
      </w:pPr>
      <w:r>
        <w:rPr>
          <w:snapToGrid/>
        </w:rPr>
        <w:tab/>
      </w:r>
      <w:r w:rsidRPr="006E709E">
        <w:rPr>
          <w:snapToGrid/>
        </w:rPr>
        <w:t>In the event there is a discrepancy between rates, terms or conditions contained in the Service Catalogue and a CLEC’s Interconnection Agreement, the rates, terms and conditions in the Interconnection Agreement will control.</w:t>
      </w:r>
    </w:p>
    <w:p w:rsidR="006E709E" w:rsidRPr="006E709E" w:rsidRDefault="006E709E" w:rsidP="006E709E">
      <w:pPr>
        <w:spacing w:line="240" w:lineRule="auto"/>
        <w:ind w:left="0" w:firstLine="0"/>
        <w:rPr>
          <w:snapToGrid/>
          <w:szCs w:val="24"/>
        </w:rPr>
      </w:pPr>
    </w:p>
    <w:p w:rsidR="006E709E" w:rsidRDefault="006E709E" w:rsidP="000B33E6">
      <w:pPr>
        <w:rPr>
          <w:snapToGrid/>
        </w:rPr>
      </w:pPr>
      <w:r>
        <w:rPr>
          <w:snapToGrid/>
        </w:rPr>
        <w:tab/>
      </w:r>
      <w:r>
        <w:rPr>
          <w:snapToGrid/>
        </w:rPr>
        <w:tab/>
        <w:t xml:space="preserve">This language is important because the terms and conditions associated with §251 interconnection arrangements are as important as the rates themselves.  These terms and conditions may have been adopted by the Commission and included in the existing tariff, or may have been part of the negotiated agreement between Frontier and a given CLEC.  </w:t>
      </w:r>
      <w:r w:rsidR="009207FD">
        <w:rPr>
          <w:snapToGrid/>
        </w:rPr>
        <w:t>As noted above, i</w:t>
      </w:r>
      <w:r>
        <w:rPr>
          <w:snapToGrid/>
        </w:rPr>
        <w:t xml:space="preserve">t is important that these terms and conditions are not omitted or changed when the services are de-tariffed and moved to an unregulated </w:t>
      </w:r>
      <w:r w:rsidR="009207FD">
        <w:rPr>
          <w:snapToGrid/>
        </w:rPr>
        <w:t xml:space="preserve">service </w:t>
      </w:r>
      <w:r>
        <w:rPr>
          <w:snapToGrid/>
        </w:rPr>
        <w:t>catalog.  This safeguard helps to ensure that important terms and conditions are not unilaterally changed when the services are de-tariffed.</w:t>
      </w:r>
    </w:p>
    <w:p w:rsidR="006E709E" w:rsidRDefault="006E709E" w:rsidP="000B33E6">
      <w:pPr>
        <w:rPr>
          <w:snapToGrid/>
        </w:rPr>
      </w:pPr>
      <w:r>
        <w:rPr>
          <w:snapToGrid/>
        </w:rPr>
        <w:tab/>
      </w:r>
      <w:r>
        <w:rPr>
          <w:snapToGrid/>
        </w:rPr>
        <w:tab/>
        <w:t>Paragraph 2 contains the following related language:</w:t>
      </w:r>
    </w:p>
    <w:p w:rsidR="006E709E" w:rsidRPr="006E709E" w:rsidRDefault="006E709E" w:rsidP="006E709E">
      <w:pPr>
        <w:pStyle w:val="Quote"/>
        <w:rPr>
          <w:snapToGrid/>
        </w:rPr>
      </w:pPr>
      <w:r>
        <w:rPr>
          <w:snapToGrid/>
        </w:rPr>
        <w:tab/>
      </w:r>
      <w:r w:rsidRPr="006E709E">
        <w:rPr>
          <w:snapToGrid/>
        </w:rPr>
        <w:t>Frontier acknowledges and agrees that any changes to any rate, term or condition in any interconnection agreement, including any change to a rate, term or condition contained in an ICA Service Catalogue incorporated by reference in an interconnection agreement, must be effectuated pursuant to the terms of such interconnection agreement and subject to 47 U.S.C. §§ 251-252 and the approval of the Commission; provided, however, that Frontier may seek Commission approval of changes to any such rates in a generic cost docket.</w:t>
      </w:r>
    </w:p>
    <w:p w:rsidR="006E709E" w:rsidRDefault="006E709E" w:rsidP="000B33E6">
      <w:pPr>
        <w:rPr>
          <w:snapToGrid/>
        </w:rPr>
      </w:pPr>
    </w:p>
    <w:p w:rsidR="000F495B" w:rsidRDefault="006E709E" w:rsidP="00332B14">
      <w:pPr>
        <w:rPr>
          <w:snapToGrid/>
        </w:rPr>
      </w:pPr>
      <w:r>
        <w:rPr>
          <w:snapToGrid/>
        </w:rPr>
        <w:tab/>
      </w:r>
      <w:r>
        <w:rPr>
          <w:snapToGrid/>
        </w:rPr>
        <w:tab/>
        <w:t>This safeguard seeks to ensure that the rates, terms, and conditions associated with wholesale services provided pursuant to an Interconnection Agreement are changed only in the manner currently permitted</w:t>
      </w:r>
      <w:r w:rsidR="000F495B">
        <w:rPr>
          <w:snapToGrid/>
        </w:rPr>
        <w:t xml:space="preserve"> (through negotiation with a CLEC when an Interconnection Agreement is </w:t>
      </w:r>
      <w:r w:rsidR="002A2BDF">
        <w:rPr>
          <w:snapToGrid/>
        </w:rPr>
        <w:t xml:space="preserve">amended or </w:t>
      </w:r>
      <w:r w:rsidR="000F495B">
        <w:rPr>
          <w:snapToGrid/>
        </w:rPr>
        <w:t>renewed or through Commission approval in a generic cost docket)</w:t>
      </w:r>
      <w:r>
        <w:rPr>
          <w:snapToGrid/>
        </w:rPr>
        <w:t xml:space="preserve">, and that the de-tariffing of these wholesale services does not create an opportunity for Frontier to unilaterally make changes to such rates, terms, and conditions either at the time the unregulated catalog is created or through subsequent </w:t>
      </w:r>
      <w:r w:rsidR="000F495B">
        <w:rPr>
          <w:snapToGrid/>
        </w:rPr>
        <w:t>changes to the catalog.</w:t>
      </w:r>
    </w:p>
    <w:p w:rsidR="000F495B" w:rsidRDefault="000F495B" w:rsidP="00332B14">
      <w:pPr>
        <w:rPr>
          <w:snapToGrid/>
        </w:rPr>
      </w:pPr>
      <w:r>
        <w:rPr>
          <w:snapToGrid/>
        </w:rPr>
        <w:tab/>
      </w:r>
      <w:r>
        <w:rPr>
          <w:snapToGrid/>
        </w:rPr>
        <w:tab/>
      </w:r>
      <w:r w:rsidR="009207FD">
        <w:rPr>
          <w:snapToGrid/>
        </w:rPr>
        <w:t xml:space="preserve">The wholesale safeguards also ensure that </w:t>
      </w:r>
      <w:r>
        <w:rPr>
          <w:snapToGrid/>
        </w:rPr>
        <w:t xml:space="preserve">Frontier </w:t>
      </w:r>
      <w:r w:rsidR="009207FD">
        <w:rPr>
          <w:snapToGrid/>
        </w:rPr>
        <w:t>cannot</w:t>
      </w:r>
      <w:r>
        <w:rPr>
          <w:snapToGrid/>
        </w:rPr>
        <w:t xml:space="preserve"> effectively change rates, terms, and conditions by introducing new rate elements or charges that are not currently applicable.  Paragraph 3 contains the following language:</w:t>
      </w:r>
    </w:p>
    <w:p w:rsidR="000F495B" w:rsidRPr="000F495B" w:rsidRDefault="000F495B" w:rsidP="000F495B">
      <w:pPr>
        <w:pStyle w:val="Quote"/>
        <w:rPr>
          <w:snapToGrid/>
        </w:rPr>
      </w:pPr>
      <w:r>
        <w:rPr>
          <w:snapToGrid/>
        </w:rPr>
        <w:tab/>
      </w:r>
      <w:r w:rsidRPr="000F495B">
        <w:rPr>
          <w:snapToGrid/>
        </w:rPr>
        <w:t>Nor will Frontier create any new rate elements or charges for services, facilities or functionalities that are currently already provided under existing rates, terms or conditions of existing ICAs or the rates terms and conditions contained in the following Washington Frontier tariffs as of the date Frontier filed its Petition in this docket:  WN-U-18 Network Interconnection Access Service, WN-U-20 Collocation Service, WN-U-21-Unbundled Network Elements, WN-U-22 Resale Local Exchange Services.</w:t>
      </w:r>
    </w:p>
    <w:p w:rsidR="000F495B" w:rsidRDefault="000F495B" w:rsidP="000F495B">
      <w:pPr>
        <w:rPr>
          <w:snapToGrid/>
        </w:rPr>
      </w:pPr>
    </w:p>
    <w:p w:rsidR="00A86D0C" w:rsidRDefault="000F495B" w:rsidP="000F495B">
      <w:pPr>
        <w:rPr>
          <w:snapToGrid/>
        </w:rPr>
      </w:pPr>
      <w:r>
        <w:rPr>
          <w:snapToGrid/>
        </w:rPr>
        <w:tab/>
      </w:r>
      <w:r>
        <w:rPr>
          <w:snapToGrid/>
        </w:rPr>
        <w:tab/>
        <w:t>This safeguard would prevent Frontier from effectively increasing wholesale rates or from making substantive changes to the terms and conditions associated with these wholesale services by unilaterally adding rate elements to its “Service Catalogue.”</w:t>
      </w:r>
    </w:p>
    <w:p w:rsidR="00C8587A" w:rsidRDefault="00C8587A" w:rsidP="000F495B">
      <w:pPr>
        <w:rPr>
          <w:snapToGrid/>
        </w:rPr>
      </w:pPr>
      <w:r>
        <w:rPr>
          <w:snapToGrid/>
        </w:rPr>
        <w:tab/>
      </w:r>
      <w:r>
        <w:rPr>
          <w:snapToGrid/>
        </w:rPr>
        <w:tab/>
        <w:t>Finally, language in Paragraph 4 provides that Frontier will not attempt to seek classification as a rural provider pursuant to Sections 251(f)(1) or (f)(2) of the Act.  This is necessary to en</w:t>
      </w:r>
      <w:r w:rsidR="007E0E92">
        <w:rPr>
          <w:snapToGrid/>
        </w:rPr>
        <w:t>sure that Frontier does not attempt</w:t>
      </w:r>
      <w:r>
        <w:rPr>
          <w:snapToGrid/>
        </w:rPr>
        <w:t xml:space="preserve"> to avoid or reduce its wholesale obligations under federal law by seeking designation as a rural provider that is exempt from certain duties under Section 251.</w:t>
      </w:r>
    </w:p>
    <w:p w:rsidR="00A86D0C" w:rsidRDefault="00A86D0C" w:rsidP="000F495B">
      <w:pPr>
        <w:rPr>
          <w:snapToGrid/>
        </w:rPr>
      </w:pPr>
    </w:p>
    <w:p w:rsidR="00A86D0C" w:rsidRDefault="00A86D0C" w:rsidP="00514B0E">
      <w:pPr>
        <w:pStyle w:val="Heading2"/>
        <w:rPr>
          <w:snapToGrid/>
        </w:rPr>
      </w:pPr>
      <w:bookmarkStart w:id="16" w:name="_Toc354663255"/>
      <w:r>
        <w:rPr>
          <w:snapToGrid/>
        </w:rPr>
        <w:t xml:space="preserve">Terms Related to Wholesale Services </w:t>
      </w:r>
      <w:r w:rsidRPr="00A86D0C">
        <w:rPr>
          <w:i w:val="0"/>
          <w:snapToGrid/>
        </w:rPr>
        <w:t>Not</w:t>
      </w:r>
      <w:r>
        <w:rPr>
          <w:snapToGrid/>
        </w:rPr>
        <w:t xml:space="preserve"> Provided Pursuant to an Interconnection Agreement</w:t>
      </w:r>
      <w:bookmarkEnd w:id="16"/>
    </w:p>
    <w:p w:rsidR="00A86D0C" w:rsidRDefault="00A86D0C" w:rsidP="000F495B">
      <w:pPr>
        <w:rPr>
          <w:snapToGrid/>
        </w:rPr>
      </w:pPr>
      <w:r>
        <w:rPr>
          <w:snapToGrid/>
        </w:rPr>
        <w:t>Q.</w:t>
      </w:r>
      <w:r>
        <w:rPr>
          <w:snapToGrid/>
        </w:rPr>
        <w:tab/>
        <w:t>WHAT TYPES OF TERMS ARE INCLUDED IN THE SETTLEMENT AGREEMENT TO ADDRESS WHOLESALE SERVICES NOT PROVIDED PURSUANT TO AN INTERCONNECTION AGREEMENT?</w:t>
      </w:r>
    </w:p>
    <w:p w:rsidR="00A86D0C" w:rsidRDefault="00A86D0C" w:rsidP="000F495B">
      <w:pPr>
        <w:rPr>
          <w:snapToGrid/>
        </w:rPr>
      </w:pPr>
      <w:r>
        <w:rPr>
          <w:snapToGrid/>
        </w:rPr>
        <w:t>A.</w:t>
      </w:r>
      <w:r>
        <w:rPr>
          <w:snapToGrid/>
        </w:rPr>
        <w:tab/>
        <w:t xml:space="preserve">As noted earlier in my testimony, a number of </w:t>
      </w:r>
      <w:r w:rsidR="00E36B76">
        <w:rPr>
          <w:snapToGrid/>
        </w:rPr>
        <w:t>Non-ICA W</w:t>
      </w:r>
      <w:r>
        <w:rPr>
          <w:snapToGrid/>
        </w:rPr>
        <w:t>hol</w:t>
      </w:r>
      <w:r w:rsidR="00E36B76">
        <w:rPr>
          <w:snapToGrid/>
        </w:rPr>
        <w:t xml:space="preserve">esale Services </w:t>
      </w:r>
      <w:r>
        <w:rPr>
          <w:snapToGrid/>
        </w:rPr>
        <w:t xml:space="preserve">represent an increasingly important means for providers to offer alternative services to retail end user customers.  </w:t>
      </w:r>
    </w:p>
    <w:p w:rsidR="00616DCE" w:rsidRDefault="00A86D0C" w:rsidP="00A86D0C">
      <w:pPr>
        <w:rPr>
          <w:snapToGrid/>
        </w:rPr>
      </w:pPr>
      <w:r>
        <w:rPr>
          <w:snapToGrid/>
        </w:rPr>
        <w:tab/>
      </w:r>
      <w:r>
        <w:rPr>
          <w:snapToGrid/>
        </w:rPr>
        <w:tab/>
        <w:t>Section III of the Settlement Agreement includes three important safeguards related to wholesale services that are not provided pursuant to an Interconnection Agreement between Frontier and a CLEC, but instead ar</w:t>
      </w:r>
      <w:r w:rsidR="00616DCE">
        <w:rPr>
          <w:snapToGrid/>
        </w:rPr>
        <w:t>e provided pursuant to either</w:t>
      </w:r>
      <w:r>
        <w:rPr>
          <w:snapToGrid/>
        </w:rPr>
        <w:t xml:space="preserve"> existing tariff</w:t>
      </w:r>
      <w:r w:rsidR="00616DCE">
        <w:rPr>
          <w:snapToGrid/>
        </w:rPr>
        <w:t>s</w:t>
      </w:r>
      <w:r w:rsidR="00616DCE">
        <w:rPr>
          <w:rStyle w:val="FootnoteReference"/>
          <w:snapToGrid/>
        </w:rPr>
        <w:footnoteReference w:id="4"/>
      </w:r>
      <w:r>
        <w:rPr>
          <w:snapToGrid/>
        </w:rPr>
        <w:t xml:space="preserve"> o</w:t>
      </w:r>
      <w:r w:rsidR="002A2BDF">
        <w:rPr>
          <w:snapToGrid/>
        </w:rPr>
        <w:t>r</w:t>
      </w:r>
      <w:r>
        <w:rPr>
          <w:snapToGrid/>
        </w:rPr>
        <w:t xml:space="preserve"> a </w:t>
      </w:r>
      <w:r w:rsidR="002A2BDF">
        <w:rPr>
          <w:snapToGrid/>
        </w:rPr>
        <w:t xml:space="preserve">term and volume </w:t>
      </w:r>
      <w:r>
        <w:rPr>
          <w:snapToGrid/>
        </w:rPr>
        <w:t>contract.  As was the case with wholesale services provided pursuant to an Interconnection Agreement, Frontier proposes to de-tariff other wholesale service offerings and to move the rates, terms, and conditions for these services to a “Service Catalogue.”  Safeguards are needed to manage the de-tariffing process and to ensure that providers continue to receive services at rates, terms, and conditions consistent</w:t>
      </w:r>
      <w:r w:rsidR="00283E9B">
        <w:rPr>
          <w:snapToGrid/>
        </w:rPr>
        <w:t xml:space="preserve"> with either existing tariffs or</w:t>
      </w:r>
      <w:r>
        <w:rPr>
          <w:snapToGrid/>
        </w:rPr>
        <w:t xml:space="preserve"> contracts in effect at the time Frontier’s requested relief is granted.  </w:t>
      </w:r>
      <w:r w:rsidR="00616DCE">
        <w:rPr>
          <w:snapToGrid/>
        </w:rPr>
        <w:t xml:space="preserve">Like Section II, Section III of the Settlement Agreement </w:t>
      </w:r>
      <w:r>
        <w:rPr>
          <w:snapToGrid/>
        </w:rPr>
        <w:t>adopts safeguards that limit Frontier’s ability to change the rates, terms, and conditions of services that are currently tariffed but that would be de-tariffed if the relief sought in the Petition is granted.</w:t>
      </w:r>
      <w:r w:rsidR="00616DCE">
        <w:rPr>
          <w:snapToGrid/>
        </w:rPr>
        <w:t xml:space="preserve">  </w:t>
      </w:r>
    </w:p>
    <w:p w:rsidR="004F449B" w:rsidRDefault="004F449B" w:rsidP="00A86D0C">
      <w:pPr>
        <w:rPr>
          <w:snapToGrid/>
        </w:rPr>
      </w:pPr>
    </w:p>
    <w:p w:rsidR="00616DCE" w:rsidRDefault="00616DCE" w:rsidP="00A86D0C">
      <w:pPr>
        <w:rPr>
          <w:snapToGrid/>
        </w:rPr>
      </w:pPr>
      <w:r>
        <w:rPr>
          <w:snapToGrid/>
        </w:rPr>
        <w:t>Q.</w:t>
      </w:r>
      <w:r>
        <w:rPr>
          <w:snapToGrid/>
        </w:rPr>
        <w:tab/>
        <w:t>HOW DOES THIS SECTION OF THE SETTLEMENT AGREEMENT HELP TO MANAGE THE TRANSITION FROM TARIFFS TO AN UNREGULATED SERVICE CATALOG?</w:t>
      </w:r>
    </w:p>
    <w:p w:rsidR="00616DCE" w:rsidRDefault="00616DCE" w:rsidP="00A86D0C">
      <w:pPr>
        <w:rPr>
          <w:snapToGrid/>
        </w:rPr>
      </w:pPr>
      <w:r>
        <w:rPr>
          <w:snapToGrid/>
        </w:rPr>
        <w:t>A.</w:t>
      </w:r>
      <w:r>
        <w:rPr>
          <w:snapToGrid/>
        </w:rPr>
        <w:tab/>
        <w:t>Paragraph 5 contains the following language:</w:t>
      </w:r>
    </w:p>
    <w:p w:rsidR="00616DCE" w:rsidRDefault="00616DCE" w:rsidP="00616DCE">
      <w:pPr>
        <w:pStyle w:val="Quote"/>
        <w:rPr>
          <w:snapToGrid/>
        </w:rPr>
      </w:pPr>
      <w:r>
        <w:tab/>
        <w:t>Within thirty (30) days of the Commission Order in this docket adopting the Settlement Agreement and these Wholesale Conditions, Frontier will provide the proposed Service Catalogue to the CLEC Intervenors for review and comment.  The CLEC Intervenors will have thirty (30) days to identify and notify Frontier in writing of any substantive deviation between the terms, conditions or rates in the former tariff and the Service Catalogue.  Within ten days of receiving written notice of an identified discrepancy Frontier shall either: i) revise the Service Catalogue to correct the identified discrepancy or ii) advise the CLECs that it will seek resolution of the identified discrepancy with the Commission, during which time the identified term, condition or rate shall not go into effect in the Service Catalogue.</w:t>
      </w:r>
    </w:p>
    <w:p w:rsidR="00616DCE" w:rsidRDefault="00616DCE" w:rsidP="000F495B">
      <w:pPr>
        <w:rPr>
          <w:snapToGrid/>
        </w:rPr>
      </w:pPr>
    </w:p>
    <w:p w:rsidR="00616DCE" w:rsidRDefault="00616DCE" w:rsidP="00616DCE">
      <w:pPr>
        <w:rPr>
          <w:snapToGrid/>
        </w:rPr>
      </w:pPr>
      <w:r>
        <w:rPr>
          <w:snapToGrid/>
        </w:rPr>
        <w:tab/>
      </w:r>
      <w:r>
        <w:rPr>
          <w:snapToGrid/>
        </w:rPr>
        <w:tab/>
        <w:t>Consistent with the language in Paragraph 1, this provision will give providers who uti</w:t>
      </w:r>
      <w:r w:rsidR="00283E9B">
        <w:rPr>
          <w:snapToGrid/>
        </w:rPr>
        <w:t>lize Non-ICA Wholesale Services</w:t>
      </w:r>
      <w:r>
        <w:rPr>
          <w:snapToGrid/>
        </w:rPr>
        <w:t xml:space="preserve"> the opportunity to review the language of the proposed “Service Catalogue” in order to ensure consistency with the language of existing tariffs.  If a discrepancy is found, Frontier will either correct the language or seek resolution of the disputed language from the Commission.  The disputed term, condition or rate will not go into effect until the dispute is resolved.  This safeguard helps to ensure that the rates, terms, and conditions contained in existing tariffs are not changed during a transition to the proposed “Service Catalogue.”</w:t>
      </w:r>
    </w:p>
    <w:p w:rsidR="00283E9B" w:rsidRDefault="00283E9B" w:rsidP="00616DCE">
      <w:pPr>
        <w:rPr>
          <w:snapToGrid/>
        </w:rPr>
      </w:pPr>
    </w:p>
    <w:p w:rsidR="00283E9B" w:rsidRDefault="00283E9B" w:rsidP="00616DCE">
      <w:pPr>
        <w:rPr>
          <w:snapToGrid/>
        </w:rPr>
      </w:pPr>
      <w:r>
        <w:rPr>
          <w:snapToGrid/>
        </w:rPr>
        <w:t>Q.</w:t>
      </w:r>
      <w:r>
        <w:rPr>
          <w:snapToGrid/>
        </w:rPr>
        <w:tab/>
      </w:r>
      <w:r w:rsidR="00E36B76">
        <w:rPr>
          <w:snapToGrid/>
        </w:rPr>
        <w:t>HOW DOES THE SETTLEMENT AGREEMENT LIMIT FRONTIER’S ABILITY TO MAKE CHANGES TO IMPORTANT RATES, TERMS AND CONDITIONS WHEN NON-ICA WHOLESALE SERVICES ARE DE-TARIFFED?</w:t>
      </w:r>
    </w:p>
    <w:p w:rsidR="00E36B76" w:rsidRDefault="00E36B76" w:rsidP="00616DCE">
      <w:pPr>
        <w:rPr>
          <w:snapToGrid/>
        </w:rPr>
      </w:pPr>
      <w:r>
        <w:rPr>
          <w:snapToGrid/>
        </w:rPr>
        <w:t>A.</w:t>
      </w:r>
      <w:r>
        <w:rPr>
          <w:snapToGrid/>
        </w:rPr>
        <w:tab/>
        <w:t>The agreement includes four important safeguards that address this issue.</w:t>
      </w:r>
    </w:p>
    <w:p w:rsidR="00E36B76" w:rsidRDefault="00E36B76" w:rsidP="00616DCE">
      <w:pPr>
        <w:rPr>
          <w:snapToGrid/>
        </w:rPr>
      </w:pPr>
      <w:r>
        <w:rPr>
          <w:snapToGrid/>
        </w:rPr>
        <w:tab/>
      </w:r>
      <w:r>
        <w:rPr>
          <w:snapToGrid/>
        </w:rPr>
        <w:tab/>
        <w:t>Paragraph 7 contains the following language:</w:t>
      </w:r>
    </w:p>
    <w:p w:rsidR="00E36B76" w:rsidRDefault="00E36B76" w:rsidP="00E36B76">
      <w:pPr>
        <w:pStyle w:val="Quote"/>
      </w:pPr>
      <w:r>
        <w:tab/>
        <w:t>Frontier will continue to offer to competitive carriers any and all Non-ICA Wholesale Services, as that term is defined herein, offered as of the date Frontier filed its Petition in this docket, under the same rates, terms and conditions as they were offered on the date Frontier filed its Petition in this docket; provided, however, that Frontier will be permitted to lower the rates for any such services offered to competitive carriers without seeking prior approval from the Commission.</w:t>
      </w:r>
    </w:p>
    <w:p w:rsidR="00E36B76" w:rsidRPr="00E36B76" w:rsidRDefault="00E36B76" w:rsidP="00E36B76"/>
    <w:p w:rsidR="00E36B76" w:rsidRDefault="00E36B76" w:rsidP="000F495B">
      <w:pPr>
        <w:rPr>
          <w:snapToGrid/>
        </w:rPr>
      </w:pPr>
      <w:r>
        <w:rPr>
          <w:snapToGrid/>
        </w:rPr>
        <w:tab/>
      </w:r>
      <w:r>
        <w:rPr>
          <w:snapToGrid/>
        </w:rPr>
        <w:tab/>
        <w:t xml:space="preserve">This term will ensure that the rates, terms, and conditions for Non-ICA Wholesale Services that were effective at the time Frontier filed its Petition will remain in place if the requested relief is granted.  This will prevent Frontier from unilaterally </w:t>
      </w:r>
      <w:r w:rsidR="00CD2949">
        <w:rPr>
          <w:snapToGrid/>
        </w:rPr>
        <w:t xml:space="preserve">increasing </w:t>
      </w:r>
      <w:r>
        <w:rPr>
          <w:snapToGrid/>
        </w:rPr>
        <w:t>the rates</w:t>
      </w:r>
      <w:r w:rsidR="00CD2949">
        <w:rPr>
          <w:snapToGrid/>
        </w:rPr>
        <w:t xml:space="preserve"> or making changes to</w:t>
      </w:r>
      <w:r>
        <w:rPr>
          <w:snapToGrid/>
        </w:rPr>
        <w:t xml:space="preserve"> terms and conditions of these services in its unregulated service catalog.</w:t>
      </w:r>
      <w:r w:rsidR="00F4087F">
        <w:rPr>
          <w:snapToGrid/>
        </w:rPr>
        <w:t xml:space="preserve">  </w:t>
      </w:r>
      <w:r w:rsidR="00CD2949">
        <w:rPr>
          <w:snapToGrid/>
        </w:rPr>
        <w:t>Frontier will</w:t>
      </w:r>
      <w:r w:rsidR="00F4087F">
        <w:rPr>
          <w:snapToGrid/>
        </w:rPr>
        <w:t>, however,</w:t>
      </w:r>
      <w:r w:rsidR="00CD2949">
        <w:rPr>
          <w:snapToGrid/>
        </w:rPr>
        <w:t xml:space="preserve"> have the flexibility to decrease rates should it so choose.  This </w:t>
      </w:r>
      <w:r w:rsidR="00F4087F">
        <w:rPr>
          <w:snapToGrid/>
        </w:rPr>
        <w:t>safeguard will help to ensure that</w:t>
      </w:r>
      <w:r w:rsidR="00CD2949">
        <w:rPr>
          <w:snapToGrid/>
        </w:rPr>
        <w:t xml:space="preserve"> competitors will not face prices, terms, and conditions for critical wholesale services that are worse than they are today.</w:t>
      </w:r>
    </w:p>
    <w:p w:rsidR="00717F15" w:rsidRDefault="00E36B76" w:rsidP="000F495B">
      <w:pPr>
        <w:rPr>
          <w:snapToGrid/>
        </w:rPr>
      </w:pPr>
      <w:r>
        <w:rPr>
          <w:snapToGrid/>
        </w:rPr>
        <w:tab/>
      </w:r>
      <w:r>
        <w:rPr>
          <w:snapToGrid/>
        </w:rPr>
        <w:tab/>
        <w:t xml:space="preserve">As noted in the previous section, </w:t>
      </w:r>
      <w:r w:rsidR="00717F15">
        <w:rPr>
          <w:snapToGrid/>
        </w:rPr>
        <w:t>Frontier could also effectively change the rates, terms, or conditions for a service by introducing new rate elements that are not currently applicable when the service is purchased through an existing tariff.  Paragraph 7 also contains the following language:</w:t>
      </w:r>
    </w:p>
    <w:p w:rsidR="00717F15" w:rsidRPr="00717F15" w:rsidRDefault="00717F15" w:rsidP="00717F15">
      <w:pPr>
        <w:pStyle w:val="Quote"/>
      </w:pPr>
      <w:r>
        <w:tab/>
        <w:t xml:space="preserve">Nor will Frontier create any new rate elements or charges for facilities or functionalities that are currently already provided under existing rates, terms or conditions. </w:t>
      </w:r>
    </w:p>
    <w:p w:rsidR="00717F15" w:rsidRDefault="00717F15" w:rsidP="00717F15">
      <w:pPr>
        <w:rPr>
          <w:snapToGrid/>
        </w:rPr>
      </w:pPr>
    </w:p>
    <w:p w:rsidR="00717F15" w:rsidRDefault="00717F15" w:rsidP="00717F15">
      <w:pPr>
        <w:rPr>
          <w:snapToGrid/>
        </w:rPr>
      </w:pPr>
      <w:r>
        <w:rPr>
          <w:snapToGrid/>
        </w:rPr>
        <w:tab/>
      </w:r>
      <w:r>
        <w:rPr>
          <w:snapToGrid/>
        </w:rPr>
        <w:tab/>
        <w:t>This safeguard would prevent Frontier from effectively increasing the rates for Non-ICA Wholesale Services, or from making substantive changes to the terms and conditions associated with these services, by unilaterally adding rate elements to its “Service Catalogue.”</w:t>
      </w:r>
    </w:p>
    <w:p w:rsidR="00717F15" w:rsidRDefault="00717F15" w:rsidP="00717F15">
      <w:pPr>
        <w:rPr>
          <w:snapToGrid/>
        </w:rPr>
      </w:pPr>
      <w:r>
        <w:rPr>
          <w:snapToGrid/>
        </w:rPr>
        <w:tab/>
      </w:r>
      <w:r>
        <w:rPr>
          <w:snapToGrid/>
        </w:rPr>
        <w:tab/>
        <w:t>Paragraph 7 also contains a safeguard that would prevent Frontier from discontinuing any currently</w:t>
      </w:r>
      <w:r w:rsidR="00046F1E">
        <w:rPr>
          <w:snapToGrid/>
        </w:rPr>
        <w:t xml:space="preserve"> a</w:t>
      </w:r>
      <w:r>
        <w:rPr>
          <w:snapToGrid/>
        </w:rPr>
        <w:t>pplicable term and volume discounts for Non-ICA Wholesale Services:</w:t>
      </w:r>
    </w:p>
    <w:p w:rsidR="00717F15" w:rsidRPr="00717F15" w:rsidRDefault="00717F15" w:rsidP="00717F15">
      <w:pPr>
        <w:pStyle w:val="Quote"/>
        <w:rPr>
          <w:snapToGrid/>
        </w:rPr>
      </w:pPr>
      <w:r>
        <w:rPr>
          <w:snapToGrid/>
        </w:rPr>
        <w:tab/>
      </w:r>
      <w:r w:rsidRPr="00717F15">
        <w:rPr>
          <w:snapToGrid/>
        </w:rPr>
        <w:t xml:space="preserve">Frontier will continue to offer any currently offered Term and Volume Discount plans identified in WN U-16 Facilities for Intrastate Access, and WN U-23 Advanced Data Services.  Frontier will honor any existing contracts for Non-ICA Services on an individualized term pricing plan arrangement for the duration of the contracted term.  </w:t>
      </w:r>
    </w:p>
    <w:p w:rsidR="00717F15" w:rsidRDefault="00717F15" w:rsidP="00717F15">
      <w:pPr>
        <w:rPr>
          <w:snapToGrid/>
        </w:rPr>
      </w:pPr>
    </w:p>
    <w:p w:rsidR="00717F15" w:rsidRDefault="00717F15" w:rsidP="00717F15">
      <w:pPr>
        <w:rPr>
          <w:snapToGrid/>
        </w:rPr>
      </w:pPr>
      <w:r>
        <w:rPr>
          <w:snapToGrid/>
        </w:rPr>
        <w:tab/>
      </w:r>
      <w:r>
        <w:rPr>
          <w:snapToGrid/>
        </w:rPr>
        <w:tab/>
        <w:t>As the rates, terms, and conditions for these services are transitioned into the proposed “Service Catalogue,” this language ensures that term and volume discounts are not unilaterally eliminated.  These discounts currently exist in tariffs and in negotiated contracts.  Pursuant to this safeguard</w:t>
      </w:r>
      <w:r w:rsidR="007E0E92">
        <w:rPr>
          <w:snapToGrid/>
        </w:rPr>
        <w:t>,</w:t>
      </w:r>
      <w:r>
        <w:rPr>
          <w:snapToGrid/>
        </w:rPr>
        <w:t xml:space="preserve"> tariffed discount options would be </w:t>
      </w:r>
      <w:r w:rsidR="007E0E92">
        <w:rPr>
          <w:snapToGrid/>
        </w:rPr>
        <w:t>included in the service catalog</w:t>
      </w:r>
      <w:r>
        <w:rPr>
          <w:snapToGrid/>
        </w:rPr>
        <w:t xml:space="preserve"> and contract terms would be continue to be in place for the duration of the contract term.</w:t>
      </w:r>
    </w:p>
    <w:p w:rsidR="00F94B34" w:rsidRDefault="00717F15" w:rsidP="00717F15">
      <w:pPr>
        <w:rPr>
          <w:snapToGrid/>
        </w:rPr>
      </w:pPr>
      <w:r>
        <w:rPr>
          <w:snapToGrid/>
        </w:rPr>
        <w:tab/>
      </w:r>
      <w:r>
        <w:rPr>
          <w:snapToGrid/>
        </w:rPr>
        <w:tab/>
        <w:t xml:space="preserve">The Settlement Agreement also sets forth the conditions under which </w:t>
      </w:r>
      <w:r w:rsidR="00536258">
        <w:rPr>
          <w:snapToGrid/>
        </w:rPr>
        <w:t>F</w:t>
      </w:r>
      <w:r>
        <w:rPr>
          <w:snapToGrid/>
        </w:rPr>
        <w:t xml:space="preserve">rontier can request a change to </w:t>
      </w:r>
      <w:r w:rsidR="00F94B34">
        <w:rPr>
          <w:snapToGrid/>
        </w:rPr>
        <w:t>rates, terms, and conditions for Non-ICA Wholesale Services:</w:t>
      </w:r>
    </w:p>
    <w:p w:rsidR="00F94B34" w:rsidRDefault="00F94B34" w:rsidP="00F94B34">
      <w:pPr>
        <w:pStyle w:val="Quote"/>
      </w:pPr>
      <w:r>
        <w:tab/>
        <w:t>If Frontier wishes to increase the price or change any term or condition of any Non-ICA Wholesale Service offered to competitive carriers as of the date Frontier filed its Petition in this docket, Frontier must file a petition in this docket seeking modification of the particular Settlement term or condition or Wholesale Condition and demonstrate that the requested change is in the public interest</w:t>
      </w:r>
    </w:p>
    <w:p w:rsidR="00F94B34" w:rsidRDefault="00F94B34" w:rsidP="00F94B34">
      <w:pPr>
        <w:pStyle w:val="Quote"/>
      </w:pPr>
    </w:p>
    <w:p w:rsidR="00F94B34" w:rsidRDefault="00F94B34" w:rsidP="00F94B34">
      <w:pPr>
        <w:rPr>
          <w:snapToGrid/>
        </w:rPr>
      </w:pPr>
      <w:r>
        <w:rPr>
          <w:snapToGrid/>
        </w:rPr>
        <w:tab/>
      </w:r>
      <w:r>
        <w:rPr>
          <w:snapToGrid/>
        </w:rPr>
        <w:tab/>
        <w:t>This language limits Frontier’s ability to unilaterally change the rates, terms, and conditions for Non-ICA Wholesale Services in its unregulated catalog from those in effect in tariffs at the time the Petition was filed.  In order to make such a change, Frontier would need to file a petition and demonstrate to the Commission that the requested change is in the public interest.  This process will allow the Commission to evaluate how the proposed change could affect the ability for competing providers to provide retail services and if the proposed change would impact the availability of service alternatives to end users.</w:t>
      </w:r>
    </w:p>
    <w:p w:rsidR="00F94B34" w:rsidRDefault="00F94B34" w:rsidP="00F94B34">
      <w:pPr>
        <w:rPr>
          <w:snapToGrid/>
        </w:rPr>
      </w:pPr>
      <w:r>
        <w:rPr>
          <w:snapToGrid/>
        </w:rPr>
        <w:tab/>
      </w:r>
      <w:r>
        <w:rPr>
          <w:snapToGrid/>
        </w:rPr>
        <w:tab/>
        <w:t>Paragraph 7 also contains the following language:</w:t>
      </w:r>
    </w:p>
    <w:p w:rsidR="000D141D" w:rsidRPr="006E709E" w:rsidRDefault="00F94B34" w:rsidP="00F94B34">
      <w:pPr>
        <w:pStyle w:val="Quote"/>
        <w:rPr>
          <w:snapToGrid/>
        </w:rPr>
      </w:pPr>
      <w:r>
        <w:rPr>
          <w:snapToGrid/>
        </w:rPr>
        <w:tab/>
      </w:r>
      <w:r>
        <w:t>Frontier agrees that it will not seek to implement any price increase or change of any term or condition of any Non-ICA Wholesale Service, or seek to implement relief from any condition in this Settlement Agreement, until at least July 1,</w:t>
      </w:r>
      <w:r w:rsidR="007E0E92">
        <w:t xml:space="preserve"> </w:t>
      </w:r>
      <w:r>
        <w:t>2017.</w:t>
      </w:r>
    </w:p>
    <w:p w:rsidR="0035489C" w:rsidRDefault="0035489C" w:rsidP="00FA56B1"/>
    <w:p w:rsidR="00F94B34" w:rsidRDefault="00F94B34" w:rsidP="00FA56B1">
      <w:r>
        <w:tab/>
      </w:r>
      <w:r>
        <w:tab/>
        <w:t>This safeguard will provide for a period of stability in which providers know that rates, terms, and conditions for important wholesale services will not be changed in a way that would limit their ability to provide competitively</w:t>
      </w:r>
      <w:r w:rsidR="00046F1E">
        <w:t xml:space="preserve"> </w:t>
      </w:r>
      <w:r>
        <w:t xml:space="preserve">priced, high-quality retail services.  CLECs and other service providers will be able to continue to invest in their Washington networks and expand their retail service offerings </w:t>
      </w:r>
      <w:r w:rsidR="00874E24">
        <w:t>during this period of stability.</w:t>
      </w:r>
    </w:p>
    <w:p w:rsidR="00874E24" w:rsidRDefault="00874E24" w:rsidP="00FA56B1"/>
    <w:p w:rsidR="00874E24" w:rsidRDefault="00874E24" w:rsidP="00FA56B1">
      <w:r>
        <w:t>Q.</w:t>
      </w:r>
      <w:r>
        <w:tab/>
        <w:t>DOES THE SETTLEMENT AGREEMENT ALSO ADDRESS SWITCHED ACCESS CHARGES?</w:t>
      </w:r>
    </w:p>
    <w:p w:rsidR="00874E24" w:rsidRDefault="00874E24" w:rsidP="00FA56B1">
      <w:r>
        <w:t>A.</w:t>
      </w:r>
      <w:r>
        <w:tab/>
        <w:t xml:space="preserve">Yes.  While the FCC addresses both interstate and intrastate switched access rates in its </w:t>
      </w:r>
      <w:r w:rsidRPr="00874E24">
        <w:rPr>
          <w:i/>
        </w:rPr>
        <w:t>ICC Transformation Order</w:t>
      </w:r>
      <w:r>
        <w:t>, this order is limited in scope and has been appealed.   Paragraph 7 of the settlement agreement contains the following language regarding intrastate switched access:</w:t>
      </w:r>
    </w:p>
    <w:p w:rsidR="00874E24" w:rsidRDefault="00874E24" w:rsidP="007A030C">
      <w:pPr>
        <w:pStyle w:val="Quote"/>
      </w:pPr>
      <w:r>
        <w:tab/>
        <w:t>Subject to and in accordance with the ICC Transformation Order, Frontier will cap and continue to maintain the existing service rates for intrastate originating switched access, and transition terminating switched access services as provided in the ICC Transformation Order.</w:t>
      </w:r>
    </w:p>
    <w:p w:rsidR="007A030C" w:rsidRPr="007A030C" w:rsidRDefault="007A030C" w:rsidP="007A030C"/>
    <w:p w:rsidR="007A030C" w:rsidRDefault="00874E24" w:rsidP="00FA56B1">
      <w:r>
        <w:tab/>
      </w:r>
      <w:r>
        <w:tab/>
      </w:r>
      <w:r w:rsidR="007A030C">
        <w:t>This language caps originating switched access rates at current levels, and adopts the FCC’s phase-down of terminating switched access rates.</w:t>
      </w:r>
    </w:p>
    <w:p w:rsidR="00874E24" w:rsidRDefault="007A030C" w:rsidP="00FA56B1">
      <w:r>
        <w:tab/>
      </w:r>
      <w:r>
        <w:tab/>
      </w:r>
      <w:r w:rsidR="00874E24">
        <w:t>In order to reduce uncertainty regarding future rates for Frontier-provided intrastate switched access service, Paragraph 7 addresses how rates will be constrained if the FCC order is overturned:</w:t>
      </w:r>
    </w:p>
    <w:p w:rsidR="007A030C" w:rsidRDefault="007A030C" w:rsidP="007A030C">
      <w:pPr>
        <w:pStyle w:val="Quote"/>
        <w:rPr>
          <w:snapToGrid/>
        </w:rPr>
      </w:pPr>
      <w:r>
        <w:rPr>
          <w:snapToGrid/>
        </w:rPr>
        <w:tab/>
      </w:r>
      <w:r w:rsidRPr="007A030C">
        <w:rPr>
          <w:snapToGrid/>
        </w:rPr>
        <w:t>If a court by final order not thereafter appealable overturns the ICC Transformation Order, Frontier agrees to not increase the aggregate intrastate switched access rates beyond the aggregate rates in effect on December 29, 2011, without first petitioning and obtaining approval from the Commission to increase the intrastate switched access rates.</w:t>
      </w:r>
    </w:p>
    <w:p w:rsidR="007A030C" w:rsidRPr="007A030C" w:rsidRDefault="007A030C" w:rsidP="007A030C"/>
    <w:p w:rsidR="007A030C" w:rsidRDefault="007A030C" w:rsidP="00FA56B1">
      <w:r>
        <w:tab/>
      </w:r>
      <w:r>
        <w:tab/>
        <w:t>This language provides stability and certainty by limiting rate increases for switched access charges.  In order to increase switched access rates above the aggregate rate in effect on December 29, 2011, Frontier would be required to first petition and obtain approval from the Commission.</w:t>
      </w:r>
    </w:p>
    <w:p w:rsidR="004F449B" w:rsidRDefault="004F449B" w:rsidP="001C4E57"/>
    <w:p w:rsidR="00D25413" w:rsidRPr="001C4E57" w:rsidRDefault="00D25413" w:rsidP="001C4E57">
      <w:r>
        <w:t>Q.</w:t>
      </w:r>
      <w:r w:rsidR="00E44584">
        <w:tab/>
        <w:t xml:space="preserve">DOES THIS CONCLUDE YOUR </w:t>
      </w:r>
      <w:r>
        <w:t>TESTIMONY?</w:t>
      </w:r>
    </w:p>
    <w:p w:rsidR="00D25413" w:rsidRPr="00F06ACD" w:rsidRDefault="00D25413" w:rsidP="00DF1670">
      <w:r>
        <w:t>A.</w:t>
      </w:r>
      <w:r>
        <w:tab/>
        <w:t>Yes.</w:t>
      </w:r>
    </w:p>
    <w:sectPr w:rsidR="00D25413" w:rsidRPr="00F06ACD" w:rsidSect="00AF1040">
      <w:headerReference w:type="default" r:id="rId16"/>
      <w:footerReference w:type="default" r:id="rId17"/>
      <w:headerReference w:type="first" r:id="rId18"/>
      <w:footerReference w:type="first" r:id="rId19"/>
      <w:pgSz w:w="12240" w:h="15840" w:code="1"/>
      <w:pgMar w:top="1440" w:right="1440" w:bottom="1440" w:left="2448" w:header="720" w:footer="720" w:gutter="0"/>
      <w:lnNumType w:countBy="1"/>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B32" w:rsidRDefault="004A2B32">
      <w:r>
        <w:separator/>
      </w:r>
    </w:p>
  </w:endnote>
  <w:endnote w:type="continuationSeparator" w:id="0">
    <w:p w:rsidR="004A2B32" w:rsidRDefault="004A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CE" w:rsidRDefault="00616D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6DCE" w:rsidRDefault="00E21680">
    <w:pPr>
      <w:pStyle w:val="Footer"/>
    </w:pPr>
    <w:r w:rsidRPr="00E21680">
      <w:rPr>
        <w:rStyle w:val="DocID"/>
      </w:rPr>
      <w:t>DWT 21749873v2 0056259-000032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FC2" w:rsidRDefault="00E70FC2">
    <w:pPr>
      <w:pStyle w:val="Footer"/>
      <w:jc w:val="center"/>
    </w:pPr>
  </w:p>
  <w:p w:rsidR="00616DCE" w:rsidRDefault="00E21680">
    <w:pPr>
      <w:pStyle w:val="Footer"/>
    </w:pPr>
    <w:r w:rsidRPr="00E21680">
      <w:rPr>
        <w:rStyle w:val="DocID"/>
      </w:rPr>
      <w:t>DWT 21749873v2 0056259-000032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AD" w:rsidRDefault="00E21680">
    <w:pPr>
      <w:pStyle w:val="Footer"/>
    </w:pPr>
    <w:r w:rsidRPr="00E21680">
      <w:rPr>
        <w:rStyle w:val="DocID"/>
      </w:rPr>
      <w:t>DWT 21749873v2 0056259-000032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34" w:rsidRDefault="00326934" w:rsidP="00E27EFD">
    <w:pPr>
      <w:pStyle w:val="Footer"/>
    </w:pPr>
  </w:p>
  <w:p w:rsidR="00352BF7" w:rsidRDefault="00E21680">
    <w:pPr>
      <w:pStyle w:val="Footer"/>
    </w:pPr>
    <w:r w:rsidRPr="00E21680">
      <w:rPr>
        <w:rStyle w:val="DocID"/>
      </w:rPr>
      <w:t>DWT 21749873v2 0056259-000032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468971"/>
      <w:docPartObj>
        <w:docPartGallery w:val="Page Numbers (Bottom of Page)"/>
        <w:docPartUnique/>
      </w:docPartObj>
    </w:sdtPr>
    <w:sdtEndPr>
      <w:rPr>
        <w:noProof/>
      </w:rPr>
    </w:sdtEndPr>
    <w:sdtContent>
      <w:p w:rsidR="00E27EFD" w:rsidRDefault="00E27EFD">
        <w:pPr>
          <w:pStyle w:val="Footer"/>
          <w:jc w:val="center"/>
        </w:pPr>
        <w:r>
          <w:fldChar w:fldCharType="begin"/>
        </w:r>
        <w:r>
          <w:instrText xml:space="preserve"> PAGE   \* MERGEFORMAT </w:instrText>
        </w:r>
        <w:r>
          <w:fldChar w:fldCharType="separate"/>
        </w:r>
        <w:r w:rsidR="00E21680">
          <w:rPr>
            <w:noProof/>
          </w:rPr>
          <w:t>31</w:t>
        </w:r>
        <w:r>
          <w:rPr>
            <w:noProof/>
          </w:rPr>
          <w:fldChar w:fldCharType="end"/>
        </w:r>
      </w:p>
    </w:sdtContent>
  </w:sdt>
  <w:p w:rsidR="00E27EFD" w:rsidRDefault="00E21680">
    <w:pPr>
      <w:pStyle w:val="Footer"/>
    </w:pPr>
    <w:r w:rsidRPr="00E21680">
      <w:rPr>
        <w:rStyle w:val="DocID"/>
      </w:rPr>
      <w:t>DWT 21749873v2 0056259-000032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41847"/>
      <w:docPartObj>
        <w:docPartGallery w:val="Page Numbers (Bottom of Page)"/>
        <w:docPartUnique/>
      </w:docPartObj>
    </w:sdtPr>
    <w:sdtEndPr>
      <w:rPr>
        <w:noProof/>
      </w:rPr>
    </w:sdtEndPr>
    <w:sdtContent>
      <w:p w:rsidR="00AF1040" w:rsidRDefault="00AF1040">
        <w:pPr>
          <w:pStyle w:val="Footer"/>
          <w:jc w:val="center"/>
        </w:pPr>
        <w:r>
          <w:fldChar w:fldCharType="begin"/>
        </w:r>
        <w:r>
          <w:instrText xml:space="preserve"> PAGE   \* MERGEFORMAT </w:instrText>
        </w:r>
        <w:r>
          <w:fldChar w:fldCharType="separate"/>
        </w:r>
        <w:r w:rsidR="00E21680">
          <w:rPr>
            <w:noProof/>
          </w:rPr>
          <w:t>1</w:t>
        </w:r>
        <w:r>
          <w:rPr>
            <w:noProof/>
          </w:rPr>
          <w:fldChar w:fldCharType="end"/>
        </w:r>
      </w:p>
    </w:sdtContent>
  </w:sdt>
  <w:p w:rsidR="00AF1040" w:rsidRDefault="00E21680">
    <w:pPr>
      <w:pStyle w:val="Footer"/>
    </w:pPr>
    <w:r w:rsidRPr="00E21680">
      <w:rPr>
        <w:rStyle w:val="DocID"/>
      </w:rPr>
      <w:t>DWT 21749873v2 0056259-000032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B32" w:rsidRDefault="004A2B32">
      <w:r>
        <w:separator/>
      </w:r>
    </w:p>
  </w:footnote>
  <w:footnote w:type="continuationSeparator" w:id="0">
    <w:p w:rsidR="004A2B32" w:rsidRDefault="004A2B32">
      <w:r>
        <w:continuationSeparator/>
      </w:r>
    </w:p>
  </w:footnote>
  <w:footnote w:id="1">
    <w:p w:rsidR="00616DCE" w:rsidRPr="00530BBC" w:rsidRDefault="00616DCE" w:rsidP="00F4087F">
      <w:pPr>
        <w:pStyle w:val="FootnoteText"/>
        <w:ind w:left="0" w:firstLine="0"/>
      </w:pPr>
      <w:r>
        <w:rPr>
          <w:rStyle w:val="FootnoteReference"/>
        </w:rPr>
        <w:footnoteRef/>
      </w:r>
      <w:r>
        <w:t xml:space="preserve"> </w:t>
      </w:r>
      <w:r w:rsidRPr="002B2BC9">
        <w:rPr>
          <w:i/>
        </w:rPr>
        <w:t>Frontier Communications Northwest Inc.’s Replacement Amended Petition for Approval of Minimal Regulation in Accordance with RCW 80.36.320</w:t>
      </w:r>
      <w:r>
        <w:t>, dated January 23, 2013.</w:t>
      </w:r>
    </w:p>
  </w:footnote>
  <w:footnote w:id="2">
    <w:p w:rsidR="00616DCE" w:rsidRPr="001A6D44" w:rsidRDefault="00616DCE">
      <w:pPr>
        <w:pStyle w:val="FootnoteText"/>
        <w:rPr>
          <w:i/>
        </w:rPr>
      </w:pPr>
      <w:r>
        <w:rPr>
          <w:rStyle w:val="FootnoteReference"/>
        </w:rPr>
        <w:footnoteRef/>
      </w:r>
      <w:r>
        <w:t xml:space="preserve"> </w:t>
      </w:r>
      <w:r>
        <w:rPr>
          <w:i/>
        </w:rPr>
        <w:t xml:space="preserve">See </w:t>
      </w:r>
      <w:r>
        <w:t xml:space="preserve">47 U.S.C. § 251, </w:t>
      </w:r>
      <w:r>
        <w:rPr>
          <w:i/>
        </w:rPr>
        <w:t>et seq.</w:t>
      </w:r>
    </w:p>
  </w:footnote>
  <w:footnote w:id="3">
    <w:p w:rsidR="00616DCE" w:rsidRPr="000F495B" w:rsidRDefault="00616DCE" w:rsidP="000F495B">
      <w:pPr>
        <w:pStyle w:val="FootnoteText"/>
        <w:ind w:left="0" w:firstLine="0"/>
      </w:pPr>
      <w:r>
        <w:rPr>
          <w:rStyle w:val="FootnoteReference"/>
        </w:rPr>
        <w:footnoteRef/>
      </w:r>
      <w:r>
        <w:t xml:space="preserve"> </w:t>
      </w:r>
      <w:r w:rsidRPr="000F495B">
        <w:t>WN-U-18 Network Interconnection Access Service, WN-U-20 Collocation Service, WN-U-21-Unbundled Network Elements, WN-U-22 Resale Local Exchange Services</w:t>
      </w:r>
      <w:r>
        <w:t xml:space="preserve"> are tariffs typically referenced in Interconnection Agreements.</w:t>
      </w:r>
    </w:p>
  </w:footnote>
  <w:footnote w:id="4">
    <w:p w:rsidR="00616DCE" w:rsidRPr="00616DCE" w:rsidRDefault="00616DCE" w:rsidP="00616DCE">
      <w:pPr>
        <w:pStyle w:val="FootnoteText"/>
        <w:ind w:left="0" w:firstLine="0"/>
      </w:pPr>
      <w:r>
        <w:rPr>
          <w:rStyle w:val="FootnoteReference"/>
        </w:rPr>
        <w:footnoteRef/>
      </w:r>
      <w:r>
        <w:t xml:space="preserve"> </w:t>
      </w:r>
      <w:r w:rsidRPr="00616DCE">
        <w:t>These tariffs include WN U-16 Facilities for Intrastate Access and WN U-23 Advanced Data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680" w:rsidRDefault="00E216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2D" w:rsidRDefault="0082752D" w:rsidP="0082752D">
    <w:pPr>
      <w:pStyle w:val="Header"/>
      <w:spacing w:line="240" w:lineRule="auto"/>
      <w:ind w:left="0" w:firstLine="0"/>
      <w:jc w:val="right"/>
    </w:pPr>
    <w:r>
      <w:t>EXHIBIT NO. ___ (DJW-1T)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680" w:rsidRDefault="00E216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BD" w:rsidRPr="000645BD" w:rsidRDefault="000645BD" w:rsidP="000645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BD" w:rsidRDefault="000645BD" w:rsidP="000645BD">
    <w:pPr>
      <w:pStyle w:val="Header"/>
      <w:spacing w:line="240" w:lineRule="auto"/>
      <w:ind w:left="0" w:firstLine="0"/>
      <w:jc w:val="right"/>
    </w:pPr>
    <w:r>
      <w:t>DOCKET UT-121994</w:t>
    </w:r>
  </w:p>
  <w:p w:rsidR="000645BD" w:rsidRDefault="000645BD" w:rsidP="000645BD">
    <w:pPr>
      <w:pStyle w:val="Header"/>
      <w:spacing w:line="240" w:lineRule="auto"/>
      <w:ind w:left="0" w:firstLine="0"/>
      <w:jc w:val="right"/>
    </w:pPr>
    <w:r>
      <w:t>EXHIBIT NO. ___ (DJW-1T)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40" w:rsidRDefault="00AF1040" w:rsidP="00AF1040">
    <w:pPr>
      <w:pStyle w:val="Header"/>
      <w:spacing w:line="240" w:lineRule="auto"/>
      <w:ind w:left="0" w:firstLine="0"/>
      <w:jc w:val="right"/>
    </w:pPr>
    <w:r>
      <w:t>DOCKET UT-121994</w:t>
    </w:r>
  </w:p>
  <w:p w:rsidR="00AF1040" w:rsidRDefault="00AF1040" w:rsidP="00AF1040">
    <w:pPr>
      <w:pStyle w:val="Header"/>
      <w:spacing w:line="240" w:lineRule="auto"/>
      <w:ind w:left="0" w:firstLine="0"/>
      <w:jc w:val="right"/>
    </w:pPr>
    <w:r>
      <w:t>EXHIBIT NO. ___ (DJW-1T)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ECC4CA"/>
    <w:lvl w:ilvl="0">
      <w:start w:val="1"/>
      <w:numFmt w:val="decimal"/>
      <w:lvlText w:val="%1."/>
      <w:lvlJc w:val="left"/>
      <w:pPr>
        <w:tabs>
          <w:tab w:val="num" w:pos="1800"/>
        </w:tabs>
        <w:ind w:left="1800" w:hanging="360"/>
      </w:pPr>
    </w:lvl>
  </w:abstractNum>
  <w:abstractNum w:abstractNumId="1">
    <w:nsid w:val="FFFFFF7D"/>
    <w:multiLevelType w:val="singleLevel"/>
    <w:tmpl w:val="2000E750"/>
    <w:lvl w:ilvl="0">
      <w:start w:val="1"/>
      <w:numFmt w:val="decimal"/>
      <w:lvlText w:val="%1."/>
      <w:lvlJc w:val="left"/>
      <w:pPr>
        <w:tabs>
          <w:tab w:val="num" w:pos="1440"/>
        </w:tabs>
        <w:ind w:left="1440" w:hanging="360"/>
      </w:pPr>
    </w:lvl>
  </w:abstractNum>
  <w:abstractNum w:abstractNumId="2">
    <w:nsid w:val="FFFFFF7E"/>
    <w:multiLevelType w:val="singleLevel"/>
    <w:tmpl w:val="DCA68800"/>
    <w:lvl w:ilvl="0">
      <w:start w:val="1"/>
      <w:numFmt w:val="decimal"/>
      <w:lvlText w:val="%1."/>
      <w:lvlJc w:val="left"/>
      <w:pPr>
        <w:tabs>
          <w:tab w:val="num" w:pos="1080"/>
        </w:tabs>
        <w:ind w:left="1080" w:hanging="360"/>
      </w:pPr>
    </w:lvl>
  </w:abstractNum>
  <w:abstractNum w:abstractNumId="3">
    <w:nsid w:val="FFFFFF7F"/>
    <w:multiLevelType w:val="singleLevel"/>
    <w:tmpl w:val="13D65FA4"/>
    <w:lvl w:ilvl="0">
      <w:start w:val="1"/>
      <w:numFmt w:val="decimal"/>
      <w:lvlText w:val="%1."/>
      <w:lvlJc w:val="left"/>
      <w:pPr>
        <w:tabs>
          <w:tab w:val="num" w:pos="720"/>
        </w:tabs>
        <w:ind w:left="720" w:hanging="360"/>
      </w:pPr>
    </w:lvl>
  </w:abstractNum>
  <w:abstractNum w:abstractNumId="4">
    <w:nsid w:val="FFFFFF80"/>
    <w:multiLevelType w:val="singleLevel"/>
    <w:tmpl w:val="8E62E0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F454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CC89C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86EA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D2F414"/>
    <w:lvl w:ilvl="0">
      <w:start w:val="1"/>
      <w:numFmt w:val="decimal"/>
      <w:lvlText w:val="%1."/>
      <w:lvlJc w:val="left"/>
      <w:pPr>
        <w:tabs>
          <w:tab w:val="num" w:pos="360"/>
        </w:tabs>
        <w:ind w:left="360" w:hanging="360"/>
      </w:pPr>
    </w:lvl>
  </w:abstractNum>
  <w:abstractNum w:abstractNumId="9">
    <w:nsid w:val="FFFFFF89"/>
    <w:multiLevelType w:val="singleLevel"/>
    <w:tmpl w:val="466895DE"/>
    <w:lvl w:ilvl="0">
      <w:start w:val="1"/>
      <w:numFmt w:val="bullet"/>
      <w:lvlText w:val=""/>
      <w:lvlJc w:val="left"/>
      <w:pPr>
        <w:tabs>
          <w:tab w:val="num" w:pos="360"/>
        </w:tabs>
        <w:ind w:left="360" w:hanging="360"/>
      </w:pPr>
      <w:rPr>
        <w:rFonts w:ascii="Symbol" w:hAnsi="Symbol" w:hint="default"/>
      </w:rPr>
    </w:lvl>
  </w:abstractNum>
  <w:abstractNum w:abstractNumId="10">
    <w:nsid w:val="3FB83E39"/>
    <w:multiLevelType w:val="hybridMultilevel"/>
    <w:tmpl w:val="DCA8D3DE"/>
    <w:lvl w:ilvl="0" w:tplc="E83845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BF08F9"/>
    <w:multiLevelType w:val="hybridMultilevel"/>
    <w:tmpl w:val="38F465B2"/>
    <w:lvl w:ilvl="0" w:tplc="369452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AE131B7"/>
    <w:multiLevelType w:val="hybridMultilevel"/>
    <w:tmpl w:val="D2745728"/>
    <w:lvl w:ilvl="0" w:tplc="BDFE4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en-US" w:vendorID="64" w:dllVersion="131077"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A6"/>
    <w:rsid w:val="00002D32"/>
    <w:rsid w:val="000037ED"/>
    <w:rsid w:val="00003968"/>
    <w:rsid w:val="00007EC7"/>
    <w:rsid w:val="0001561A"/>
    <w:rsid w:val="00020409"/>
    <w:rsid w:val="00022C7D"/>
    <w:rsid w:val="0003254A"/>
    <w:rsid w:val="00032E28"/>
    <w:rsid w:val="000337E8"/>
    <w:rsid w:val="0004413C"/>
    <w:rsid w:val="00046E8F"/>
    <w:rsid w:val="00046F1E"/>
    <w:rsid w:val="00054186"/>
    <w:rsid w:val="00055343"/>
    <w:rsid w:val="00055AB0"/>
    <w:rsid w:val="000561DC"/>
    <w:rsid w:val="000567B7"/>
    <w:rsid w:val="00060846"/>
    <w:rsid w:val="000645BD"/>
    <w:rsid w:val="00065174"/>
    <w:rsid w:val="000669D7"/>
    <w:rsid w:val="00067397"/>
    <w:rsid w:val="0007553E"/>
    <w:rsid w:val="000758A6"/>
    <w:rsid w:val="0008062E"/>
    <w:rsid w:val="0008080C"/>
    <w:rsid w:val="00081134"/>
    <w:rsid w:val="00082B42"/>
    <w:rsid w:val="0008533B"/>
    <w:rsid w:val="000856FC"/>
    <w:rsid w:val="000877D8"/>
    <w:rsid w:val="00090D8A"/>
    <w:rsid w:val="000915FA"/>
    <w:rsid w:val="00095289"/>
    <w:rsid w:val="00096683"/>
    <w:rsid w:val="00096B8B"/>
    <w:rsid w:val="00097098"/>
    <w:rsid w:val="000A2A61"/>
    <w:rsid w:val="000A5266"/>
    <w:rsid w:val="000A7BFB"/>
    <w:rsid w:val="000B2D3C"/>
    <w:rsid w:val="000B33E6"/>
    <w:rsid w:val="000B531C"/>
    <w:rsid w:val="000B5F98"/>
    <w:rsid w:val="000C0F2B"/>
    <w:rsid w:val="000C3ABE"/>
    <w:rsid w:val="000C3B5C"/>
    <w:rsid w:val="000D141D"/>
    <w:rsid w:val="000D1B75"/>
    <w:rsid w:val="000D6175"/>
    <w:rsid w:val="000E1F75"/>
    <w:rsid w:val="000E57B1"/>
    <w:rsid w:val="000E5E1C"/>
    <w:rsid w:val="000F143D"/>
    <w:rsid w:val="000F2082"/>
    <w:rsid w:val="000F495B"/>
    <w:rsid w:val="0010031C"/>
    <w:rsid w:val="001028D9"/>
    <w:rsid w:val="001052E0"/>
    <w:rsid w:val="001054D7"/>
    <w:rsid w:val="00107CAD"/>
    <w:rsid w:val="00113CA2"/>
    <w:rsid w:val="001300EE"/>
    <w:rsid w:val="001331BE"/>
    <w:rsid w:val="00133E94"/>
    <w:rsid w:val="00133F89"/>
    <w:rsid w:val="001377BD"/>
    <w:rsid w:val="00143225"/>
    <w:rsid w:val="001462F8"/>
    <w:rsid w:val="00151C50"/>
    <w:rsid w:val="0015262C"/>
    <w:rsid w:val="00153038"/>
    <w:rsid w:val="00153E0A"/>
    <w:rsid w:val="00154C53"/>
    <w:rsid w:val="00155708"/>
    <w:rsid w:val="00155829"/>
    <w:rsid w:val="001559BA"/>
    <w:rsid w:val="0016475F"/>
    <w:rsid w:val="00175376"/>
    <w:rsid w:val="001803EE"/>
    <w:rsid w:val="00180F3C"/>
    <w:rsid w:val="0018133D"/>
    <w:rsid w:val="00187515"/>
    <w:rsid w:val="00190871"/>
    <w:rsid w:val="00191FC4"/>
    <w:rsid w:val="00194AB6"/>
    <w:rsid w:val="001A05CF"/>
    <w:rsid w:val="001A4CE6"/>
    <w:rsid w:val="001A6023"/>
    <w:rsid w:val="001A6D44"/>
    <w:rsid w:val="001B052F"/>
    <w:rsid w:val="001B136A"/>
    <w:rsid w:val="001B163D"/>
    <w:rsid w:val="001B2446"/>
    <w:rsid w:val="001B3696"/>
    <w:rsid w:val="001B7FCB"/>
    <w:rsid w:val="001C02F4"/>
    <w:rsid w:val="001C23B3"/>
    <w:rsid w:val="001C2FCD"/>
    <w:rsid w:val="001C4E57"/>
    <w:rsid w:val="001C5C6D"/>
    <w:rsid w:val="001D0C76"/>
    <w:rsid w:val="001D719D"/>
    <w:rsid w:val="001E0363"/>
    <w:rsid w:val="001E511F"/>
    <w:rsid w:val="001E5851"/>
    <w:rsid w:val="001F2C18"/>
    <w:rsid w:val="001F34EE"/>
    <w:rsid w:val="001F4658"/>
    <w:rsid w:val="001F73D3"/>
    <w:rsid w:val="002017B2"/>
    <w:rsid w:val="00202F11"/>
    <w:rsid w:val="0020363E"/>
    <w:rsid w:val="002041AA"/>
    <w:rsid w:val="00205175"/>
    <w:rsid w:val="00207053"/>
    <w:rsid w:val="00210DAF"/>
    <w:rsid w:val="00212A03"/>
    <w:rsid w:val="00212F34"/>
    <w:rsid w:val="00215CAD"/>
    <w:rsid w:val="002160A9"/>
    <w:rsid w:val="00220737"/>
    <w:rsid w:val="00230920"/>
    <w:rsid w:val="002310D7"/>
    <w:rsid w:val="00232DC9"/>
    <w:rsid w:val="002331EB"/>
    <w:rsid w:val="00233F87"/>
    <w:rsid w:val="00236ADD"/>
    <w:rsid w:val="00237A30"/>
    <w:rsid w:val="002407C2"/>
    <w:rsid w:val="0024085F"/>
    <w:rsid w:val="00241044"/>
    <w:rsid w:val="00241570"/>
    <w:rsid w:val="002441AF"/>
    <w:rsid w:val="00245C41"/>
    <w:rsid w:val="00247E90"/>
    <w:rsid w:val="00251F0F"/>
    <w:rsid w:val="002531C9"/>
    <w:rsid w:val="00254E0F"/>
    <w:rsid w:val="00257FE8"/>
    <w:rsid w:val="00260C97"/>
    <w:rsid w:val="00273B96"/>
    <w:rsid w:val="00275A9D"/>
    <w:rsid w:val="00276FD4"/>
    <w:rsid w:val="00283C2C"/>
    <w:rsid w:val="00283E9B"/>
    <w:rsid w:val="002869FC"/>
    <w:rsid w:val="00291314"/>
    <w:rsid w:val="00292A05"/>
    <w:rsid w:val="00295BB7"/>
    <w:rsid w:val="002A2822"/>
    <w:rsid w:val="002A2BDF"/>
    <w:rsid w:val="002B2BC9"/>
    <w:rsid w:val="002B2C0A"/>
    <w:rsid w:val="002B4FE2"/>
    <w:rsid w:val="002C11AF"/>
    <w:rsid w:val="002C4539"/>
    <w:rsid w:val="002C771B"/>
    <w:rsid w:val="002D344D"/>
    <w:rsid w:val="002D59EA"/>
    <w:rsid w:val="002D67EF"/>
    <w:rsid w:val="002E09A5"/>
    <w:rsid w:val="002E6DAF"/>
    <w:rsid w:val="00301393"/>
    <w:rsid w:val="00303FCA"/>
    <w:rsid w:val="003062C4"/>
    <w:rsid w:val="00307DB2"/>
    <w:rsid w:val="003100E8"/>
    <w:rsid w:val="003114D3"/>
    <w:rsid w:val="00315166"/>
    <w:rsid w:val="003258FC"/>
    <w:rsid w:val="00326934"/>
    <w:rsid w:val="00331005"/>
    <w:rsid w:val="0033293E"/>
    <w:rsid w:val="00332B14"/>
    <w:rsid w:val="003332AD"/>
    <w:rsid w:val="0033604D"/>
    <w:rsid w:val="003439B3"/>
    <w:rsid w:val="003471E4"/>
    <w:rsid w:val="00352BF7"/>
    <w:rsid w:val="00353502"/>
    <w:rsid w:val="0035489C"/>
    <w:rsid w:val="003555B1"/>
    <w:rsid w:val="00361246"/>
    <w:rsid w:val="003639CA"/>
    <w:rsid w:val="003650D7"/>
    <w:rsid w:val="00372111"/>
    <w:rsid w:val="00383B41"/>
    <w:rsid w:val="003856D5"/>
    <w:rsid w:val="00385F21"/>
    <w:rsid w:val="003861DC"/>
    <w:rsid w:val="003871DD"/>
    <w:rsid w:val="0039116C"/>
    <w:rsid w:val="00391546"/>
    <w:rsid w:val="0039254B"/>
    <w:rsid w:val="003A0CA1"/>
    <w:rsid w:val="003A4183"/>
    <w:rsid w:val="003A7FDA"/>
    <w:rsid w:val="003B3E7D"/>
    <w:rsid w:val="003C398A"/>
    <w:rsid w:val="003C77CF"/>
    <w:rsid w:val="003D0475"/>
    <w:rsid w:val="003D2299"/>
    <w:rsid w:val="003D3EB5"/>
    <w:rsid w:val="003D4850"/>
    <w:rsid w:val="003D63CD"/>
    <w:rsid w:val="003E3F5F"/>
    <w:rsid w:val="003E55CB"/>
    <w:rsid w:val="003F6562"/>
    <w:rsid w:val="004016F1"/>
    <w:rsid w:val="0040582A"/>
    <w:rsid w:val="004059C2"/>
    <w:rsid w:val="0041482C"/>
    <w:rsid w:val="00424187"/>
    <w:rsid w:val="00430141"/>
    <w:rsid w:val="00430553"/>
    <w:rsid w:val="00432A8A"/>
    <w:rsid w:val="00434472"/>
    <w:rsid w:val="00443418"/>
    <w:rsid w:val="00456ED9"/>
    <w:rsid w:val="00457E6B"/>
    <w:rsid w:val="00461416"/>
    <w:rsid w:val="004632E6"/>
    <w:rsid w:val="0046399D"/>
    <w:rsid w:val="004646E5"/>
    <w:rsid w:val="00464AC9"/>
    <w:rsid w:val="00465C0B"/>
    <w:rsid w:val="00465D0E"/>
    <w:rsid w:val="0046645A"/>
    <w:rsid w:val="00467348"/>
    <w:rsid w:val="004738FF"/>
    <w:rsid w:val="0047617F"/>
    <w:rsid w:val="004761C8"/>
    <w:rsid w:val="004847AC"/>
    <w:rsid w:val="00485352"/>
    <w:rsid w:val="004919E1"/>
    <w:rsid w:val="00492B50"/>
    <w:rsid w:val="00493E3D"/>
    <w:rsid w:val="00493F55"/>
    <w:rsid w:val="00494A26"/>
    <w:rsid w:val="0049749F"/>
    <w:rsid w:val="004A2B32"/>
    <w:rsid w:val="004C7397"/>
    <w:rsid w:val="004D6631"/>
    <w:rsid w:val="004E1C44"/>
    <w:rsid w:val="004E35A4"/>
    <w:rsid w:val="004E400E"/>
    <w:rsid w:val="004E58D4"/>
    <w:rsid w:val="004E6EDF"/>
    <w:rsid w:val="004F2725"/>
    <w:rsid w:val="004F449B"/>
    <w:rsid w:val="004F467A"/>
    <w:rsid w:val="004F7A1A"/>
    <w:rsid w:val="005055B0"/>
    <w:rsid w:val="00514B0E"/>
    <w:rsid w:val="00514C5C"/>
    <w:rsid w:val="005155F0"/>
    <w:rsid w:val="005223DF"/>
    <w:rsid w:val="0052354F"/>
    <w:rsid w:val="00527819"/>
    <w:rsid w:val="00527D7A"/>
    <w:rsid w:val="00530BBC"/>
    <w:rsid w:val="00531FD8"/>
    <w:rsid w:val="00536258"/>
    <w:rsid w:val="005363AF"/>
    <w:rsid w:val="00542387"/>
    <w:rsid w:val="00545533"/>
    <w:rsid w:val="00552059"/>
    <w:rsid w:val="00553BF9"/>
    <w:rsid w:val="005546D3"/>
    <w:rsid w:val="005559D5"/>
    <w:rsid w:val="00557943"/>
    <w:rsid w:val="0056022A"/>
    <w:rsid w:val="00560F54"/>
    <w:rsid w:val="00561CA8"/>
    <w:rsid w:val="005632BE"/>
    <w:rsid w:val="00563336"/>
    <w:rsid w:val="005665CB"/>
    <w:rsid w:val="00577237"/>
    <w:rsid w:val="00582E82"/>
    <w:rsid w:val="00582F9A"/>
    <w:rsid w:val="005865A6"/>
    <w:rsid w:val="005872D1"/>
    <w:rsid w:val="00593D61"/>
    <w:rsid w:val="0059628E"/>
    <w:rsid w:val="00596EC7"/>
    <w:rsid w:val="005A4AE0"/>
    <w:rsid w:val="005A577B"/>
    <w:rsid w:val="005B1793"/>
    <w:rsid w:val="005B379D"/>
    <w:rsid w:val="005B3C8F"/>
    <w:rsid w:val="005C12D2"/>
    <w:rsid w:val="005C18C4"/>
    <w:rsid w:val="005C4D2D"/>
    <w:rsid w:val="005D1E62"/>
    <w:rsid w:val="005D434E"/>
    <w:rsid w:val="005E10B5"/>
    <w:rsid w:val="005E21EB"/>
    <w:rsid w:val="005E562F"/>
    <w:rsid w:val="005F5944"/>
    <w:rsid w:val="0060264F"/>
    <w:rsid w:val="0060457A"/>
    <w:rsid w:val="00604C29"/>
    <w:rsid w:val="00605312"/>
    <w:rsid w:val="006066F4"/>
    <w:rsid w:val="00610988"/>
    <w:rsid w:val="00613A85"/>
    <w:rsid w:val="00616DCE"/>
    <w:rsid w:val="00620A38"/>
    <w:rsid w:val="00624876"/>
    <w:rsid w:val="0062592E"/>
    <w:rsid w:val="00626302"/>
    <w:rsid w:val="00627192"/>
    <w:rsid w:val="006335CA"/>
    <w:rsid w:val="00635E9F"/>
    <w:rsid w:val="00640FA3"/>
    <w:rsid w:val="00641E71"/>
    <w:rsid w:val="0064348E"/>
    <w:rsid w:val="00653305"/>
    <w:rsid w:val="00653627"/>
    <w:rsid w:val="0065544C"/>
    <w:rsid w:val="00656F61"/>
    <w:rsid w:val="00656FAE"/>
    <w:rsid w:val="00657095"/>
    <w:rsid w:val="00657786"/>
    <w:rsid w:val="00666D96"/>
    <w:rsid w:val="006708DD"/>
    <w:rsid w:val="00672403"/>
    <w:rsid w:val="00675532"/>
    <w:rsid w:val="00684BB1"/>
    <w:rsid w:val="00687891"/>
    <w:rsid w:val="00687959"/>
    <w:rsid w:val="006904FB"/>
    <w:rsid w:val="00691BB1"/>
    <w:rsid w:val="0069424A"/>
    <w:rsid w:val="006978CD"/>
    <w:rsid w:val="00697CE4"/>
    <w:rsid w:val="006A1D0D"/>
    <w:rsid w:val="006A7E3C"/>
    <w:rsid w:val="006B112E"/>
    <w:rsid w:val="006B39EA"/>
    <w:rsid w:val="006B5A85"/>
    <w:rsid w:val="006B6FFA"/>
    <w:rsid w:val="006C0CBB"/>
    <w:rsid w:val="006C523C"/>
    <w:rsid w:val="006D334C"/>
    <w:rsid w:val="006D406D"/>
    <w:rsid w:val="006D6C25"/>
    <w:rsid w:val="006E2E64"/>
    <w:rsid w:val="006E6A26"/>
    <w:rsid w:val="006E709E"/>
    <w:rsid w:val="006F09D7"/>
    <w:rsid w:val="00702BC3"/>
    <w:rsid w:val="00710E1F"/>
    <w:rsid w:val="00715C9C"/>
    <w:rsid w:val="00717F15"/>
    <w:rsid w:val="0072213B"/>
    <w:rsid w:val="00723128"/>
    <w:rsid w:val="00724C2E"/>
    <w:rsid w:val="00724C7A"/>
    <w:rsid w:val="00725157"/>
    <w:rsid w:val="0072572A"/>
    <w:rsid w:val="0072714D"/>
    <w:rsid w:val="00731451"/>
    <w:rsid w:val="00733816"/>
    <w:rsid w:val="00737785"/>
    <w:rsid w:val="00740906"/>
    <w:rsid w:val="00746314"/>
    <w:rsid w:val="00755093"/>
    <w:rsid w:val="007618EC"/>
    <w:rsid w:val="00761E89"/>
    <w:rsid w:val="0076314C"/>
    <w:rsid w:val="00763ED9"/>
    <w:rsid w:val="00770EF9"/>
    <w:rsid w:val="00771AE8"/>
    <w:rsid w:val="00773296"/>
    <w:rsid w:val="00777136"/>
    <w:rsid w:val="00780F70"/>
    <w:rsid w:val="0078289B"/>
    <w:rsid w:val="0078760A"/>
    <w:rsid w:val="007908F1"/>
    <w:rsid w:val="00793D84"/>
    <w:rsid w:val="00793ECE"/>
    <w:rsid w:val="00794865"/>
    <w:rsid w:val="007A030C"/>
    <w:rsid w:val="007A187B"/>
    <w:rsid w:val="007A60B0"/>
    <w:rsid w:val="007B37E6"/>
    <w:rsid w:val="007C39D7"/>
    <w:rsid w:val="007C422F"/>
    <w:rsid w:val="007C73AF"/>
    <w:rsid w:val="007C77E9"/>
    <w:rsid w:val="007D6D8C"/>
    <w:rsid w:val="007D75B7"/>
    <w:rsid w:val="007D77D3"/>
    <w:rsid w:val="007D7C8B"/>
    <w:rsid w:val="007E0E92"/>
    <w:rsid w:val="007F2D8A"/>
    <w:rsid w:val="008017B1"/>
    <w:rsid w:val="00801A92"/>
    <w:rsid w:val="00816A9A"/>
    <w:rsid w:val="008201BF"/>
    <w:rsid w:val="0082752D"/>
    <w:rsid w:val="00827C9F"/>
    <w:rsid w:val="00831099"/>
    <w:rsid w:val="008315CA"/>
    <w:rsid w:val="00840089"/>
    <w:rsid w:val="00845FF3"/>
    <w:rsid w:val="00853216"/>
    <w:rsid w:val="00853E57"/>
    <w:rsid w:val="00863AB1"/>
    <w:rsid w:val="00863BF8"/>
    <w:rsid w:val="00866B99"/>
    <w:rsid w:val="00870574"/>
    <w:rsid w:val="00870773"/>
    <w:rsid w:val="00874E24"/>
    <w:rsid w:val="008763C8"/>
    <w:rsid w:val="0088295D"/>
    <w:rsid w:val="008831C6"/>
    <w:rsid w:val="00885EEE"/>
    <w:rsid w:val="00892BD7"/>
    <w:rsid w:val="0089468F"/>
    <w:rsid w:val="00894D05"/>
    <w:rsid w:val="00897A36"/>
    <w:rsid w:val="008A1B91"/>
    <w:rsid w:val="008A4CDC"/>
    <w:rsid w:val="008A7D0A"/>
    <w:rsid w:val="008B39CC"/>
    <w:rsid w:val="008B4432"/>
    <w:rsid w:val="008B5BB9"/>
    <w:rsid w:val="008C2C16"/>
    <w:rsid w:val="008C3451"/>
    <w:rsid w:val="008C4BE1"/>
    <w:rsid w:val="008C4D54"/>
    <w:rsid w:val="008C5DDB"/>
    <w:rsid w:val="008D4B95"/>
    <w:rsid w:val="008D6505"/>
    <w:rsid w:val="008E59B7"/>
    <w:rsid w:val="008E5CFB"/>
    <w:rsid w:val="008E7F74"/>
    <w:rsid w:val="008F5134"/>
    <w:rsid w:val="008F654C"/>
    <w:rsid w:val="008F7742"/>
    <w:rsid w:val="00910356"/>
    <w:rsid w:val="00910692"/>
    <w:rsid w:val="00914B73"/>
    <w:rsid w:val="009207FD"/>
    <w:rsid w:val="009213A6"/>
    <w:rsid w:val="009213C3"/>
    <w:rsid w:val="00921B4E"/>
    <w:rsid w:val="00921C1D"/>
    <w:rsid w:val="00922614"/>
    <w:rsid w:val="00924CB6"/>
    <w:rsid w:val="0092523E"/>
    <w:rsid w:val="009352ED"/>
    <w:rsid w:val="009356C0"/>
    <w:rsid w:val="00936166"/>
    <w:rsid w:val="009513CA"/>
    <w:rsid w:val="00952A96"/>
    <w:rsid w:val="00952DB9"/>
    <w:rsid w:val="00962194"/>
    <w:rsid w:val="00962748"/>
    <w:rsid w:val="00964257"/>
    <w:rsid w:val="00964699"/>
    <w:rsid w:val="00965EED"/>
    <w:rsid w:val="00981A65"/>
    <w:rsid w:val="009828C6"/>
    <w:rsid w:val="00984150"/>
    <w:rsid w:val="00990AB0"/>
    <w:rsid w:val="009912AD"/>
    <w:rsid w:val="0099673C"/>
    <w:rsid w:val="009A3EF7"/>
    <w:rsid w:val="009B5F5E"/>
    <w:rsid w:val="009C05CA"/>
    <w:rsid w:val="009C5AFF"/>
    <w:rsid w:val="009C6875"/>
    <w:rsid w:val="009D27A1"/>
    <w:rsid w:val="009D76B7"/>
    <w:rsid w:val="009E01F7"/>
    <w:rsid w:val="009E246E"/>
    <w:rsid w:val="009E3A30"/>
    <w:rsid w:val="009F0FAA"/>
    <w:rsid w:val="009F1176"/>
    <w:rsid w:val="009F27F4"/>
    <w:rsid w:val="009F71EC"/>
    <w:rsid w:val="009F7AAD"/>
    <w:rsid w:val="009F7ACE"/>
    <w:rsid w:val="009F7C25"/>
    <w:rsid w:val="00A01DED"/>
    <w:rsid w:val="00A038F0"/>
    <w:rsid w:val="00A04314"/>
    <w:rsid w:val="00A044DC"/>
    <w:rsid w:val="00A04AAC"/>
    <w:rsid w:val="00A060E8"/>
    <w:rsid w:val="00A07E56"/>
    <w:rsid w:val="00A11BBB"/>
    <w:rsid w:val="00A15829"/>
    <w:rsid w:val="00A16C7E"/>
    <w:rsid w:val="00A21760"/>
    <w:rsid w:val="00A22469"/>
    <w:rsid w:val="00A22E23"/>
    <w:rsid w:val="00A30C3A"/>
    <w:rsid w:val="00A31BA6"/>
    <w:rsid w:val="00A34306"/>
    <w:rsid w:val="00A349F0"/>
    <w:rsid w:val="00A35BEB"/>
    <w:rsid w:val="00A41765"/>
    <w:rsid w:val="00A535F8"/>
    <w:rsid w:val="00A548AF"/>
    <w:rsid w:val="00A57385"/>
    <w:rsid w:val="00A57C6C"/>
    <w:rsid w:val="00A64F30"/>
    <w:rsid w:val="00A67DAE"/>
    <w:rsid w:val="00A73F60"/>
    <w:rsid w:val="00A74F97"/>
    <w:rsid w:val="00A848B1"/>
    <w:rsid w:val="00A8562D"/>
    <w:rsid w:val="00A86D0C"/>
    <w:rsid w:val="00A876AC"/>
    <w:rsid w:val="00A92752"/>
    <w:rsid w:val="00A92B53"/>
    <w:rsid w:val="00AA0A19"/>
    <w:rsid w:val="00AA37C7"/>
    <w:rsid w:val="00AA3A46"/>
    <w:rsid w:val="00AB32B8"/>
    <w:rsid w:val="00AB391C"/>
    <w:rsid w:val="00AB441A"/>
    <w:rsid w:val="00AB4521"/>
    <w:rsid w:val="00AB67B0"/>
    <w:rsid w:val="00AC03C1"/>
    <w:rsid w:val="00AC32C9"/>
    <w:rsid w:val="00AC6CFC"/>
    <w:rsid w:val="00AD3772"/>
    <w:rsid w:val="00AD38DD"/>
    <w:rsid w:val="00AD7C80"/>
    <w:rsid w:val="00AE0C13"/>
    <w:rsid w:val="00AE2F30"/>
    <w:rsid w:val="00AE2F61"/>
    <w:rsid w:val="00AE4889"/>
    <w:rsid w:val="00AE585C"/>
    <w:rsid w:val="00AF1040"/>
    <w:rsid w:val="00AF26BB"/>
    <w:rsid w:val="00AF612A"/>
    <w:rsid w:val="00B031F3"/>
    <w:rsid w:val="00B03979"/>
    <w:rsid w:val="00B062D8"/>
    <w:rsid w:val="00B064DE"/>
    <w:rsid w:val="00B13663"/>
    <w:rsid w:val="00B22D9D"/>
    <w:rsid w:val="00B25DB5"/>
    <w:rsid w:val="00B2631B"/>
    <w:rsid w:val="00B27B2D"/>
    <w:rsid w:val="00B27FDF"/>
    <w:rsid w:val="00B33ED7"/>
    <w:rsid w:val="00B3499E"/>
    <w:rsid w:val="00B404B4"/>
    <w:rsid w:val="00B43CD9"/>
    <w:rsid w:val="00B44447"/>
    <w:rsid w:val="00B50AEB"/>
    <w:rsid w:val="00B50AF8"/>
    <w:rsid w:val="00B54F1D"/>
    <w:rsid w:val="00B65BFB"/>
    <w:rsid w:val="00B706AD"/>
    <w:rsid w:val="00B713B2"/>
    <w:rsid w:val="00B83A35"/>
    <w:rsid w:val="00B8452A"/>
    <w:rsid w:val="00B90D05"/>
    <w:rsid w:val="00B9190E"/>
    <w:rsid w:val="00B96672"/>
    <w:rsid w:val="00BA6E60"/>
    <w:rsid w:val="00BA701C"/>
    <w:rsid w:val="00BB04B6"/>
    <w:rsid w:val="00BB2ABF"/>
    <w:rsid w:val="00BB38F9"/>
    <w:rsid w:val="00BB437F"/>
    <w:rsid w:val="00BB4A76"/>
    <w:rsid w:val="00BB5FDC"/>
    <w:rsid w:val="00BB67B2"/>
    <w:rsid w:val="00BC67D6"/>
    <w:rsid w:val="00BD1E8E"/>
    <w:rsid w:val="00BD38B4"/>
    <w:rsid w:val="00BD730B"/>
    <w:rsid w:val="00BF46B0"/>
    <w:rsid w:val="00BF5A8A"/>
    <w:rsid w:val="00BF77DD"/>
    <w:rsid w:val="00C00AA6"/>
    <w:rsid w:val="00C02525"/>
    <w:rsid w:val="00C0410B"/>
    <w:rsid w:val="00C04575"/>
    <w:rsid w:val="00C11CF6"/>
    <w:rsid w:val="00C12DB8"/>
    <w:rsid w:val="00C17AC2"/>
    <w:rsid w:val="00C22DA6"/>
    <w:rsid w:val="00C24F99"/>
    <w:rsid w:val="00C26E99"/>
    <w:rsid w:val="00C277E1"/>
    <w:rsid w:val="00C33DB4"/>
    <w:rsid w:val="00C35CF3"/>
    <w:rsid w:val="00C40F5C"/>
    <w:rsid w:val="00C438CC"/>
    <w:rsid w:val="00C5217D"/>
    <w:rsid w:val="00C5531D"/>
    <w:rsid w:val="00C55EE7"/>
    <w:rsid w:val="00C578AC"/>
    <w:rsid w:val="00C60C0A"/>
    <w:rsid w:val="00C619FD"/>
    <w:rsid w:val="00C621CB"/>
    <w:rsid w:val="00C62F7B"/>
    <w:rsid w:val="00C63BD9"/>
    <w:rsid w:val="00C70E8F"/>
    <w:rsid w:val="00C71C18"/>
    <w:rsid w:val="00C73AA9"/>
    <w:rsid w:val="00C740DC"/>
    <w:rsid w:val="00C7686A"/>
    <w:rsid w:val="00C802C9"/>
    <w:rsid w:val="00C8587A"/>
    <w:rsid w:val="00C85A64"/>
    <w:rsid w:val="00C91B56"/>
    <w:rsid w:val="00C96FF3"/>
    <w:rsid w:val="00C970FF"/>
    <w:rsid w:val="00CA26A8"/>
    <w:rsid w:val="00CA71E4"/>
    <w:rsid w:val="00CA77EB"/>
    <w:rsid w:val="00CB364A"/>
    <w:rsid w:val="00CB4AD5"/>
    <w:rsid w:val="00CC1A9B"/>
    <w:rsid w:val="00CC3A44"/>
    <w:rsid w:val="00CC7938"/>
    <w:rsid w:val="00CD2949"/>
    <w:rsid w:val="00CD3ABD"/>
    <w:rsid w:val="00CD561C"/>
    <w:rsid w:val="00CD65F0"/>
    <w:rsid w:val="00CE038F"/>
    <w:rsid w:val="00CE0AF9"/>
    <w:rsid w:val="00CE1BD2"/>
    <w:rsid w:val="00CF0963"/>
    <w:rsid w:val="00CF1C51"/>
    <w:rsid w:val="00CF1C71"/>
    <w:rsid w:val="00CF4EB9"/>
    <w:rsid w:val="00D068F4"/>
    <w:rsid w:val="00D07154"/>
    <w:rsid w:val="00D113D3"/>
    <w:rsid w:val="00D124DD"/>
    <w:rsid w:val="00D13D6F"/>
    <w:rsid w:val="00D1513B"/>
    <w:rsid w:val="00D17EB7"/>
    <w:rsid w:val="00D20AFE"/>
    <w:rsid w:val="00D25413"/>
    <w:rsid w:val="00D25C23"/>
    <w:rsid w:val="00D26771"/>
    <w:rsid w:val="00D33E77"/>
    <w:rsid w:val="00D40CCF"/>
    <w:rsid w:val="00D42542"/>
    <w:rsid w:val="00D478BD"/>
    <w:rsid w:val="00D5023A"/>
    <w:rsid w:val="00D517D1"/>
    <w:rsid w:val="00D549B5"/>
    <w:rsid w:val="00D56669"/>
    <w:rsid w:val="00D62494"/>
    <w:rsid w:val="00D65E4E"/>
    <w:rsid w:val="00D715DD"/>
    <w:rsid w:val="00D74F1D"/>
    <w:rsid w:val="00D75EE1"/>
    <w:rsid w:val="00D7763A"/>
    <w:rsid w:val="00D8019F"/>
    <w:rsid w:val="00D8332D"/>
    <w:rsid w:val="00D842DB"/>
    <w:rsid w:val="00D87A5E"/>
    <w:rsid w:val="00D96013"/>
    <w:rsid w:val="00D96DFF"/>
    <w:rsid w:val="00DA1700"/>
    <w:rsid w:val="00DA2900"/>
    <w:rsid w:val="00DA693C"/>
    <w:rsid w:val="00DA7146"/>
    <w:rsid w:val="00DA76C4"/>
    <w:rsid w:val="00DC0153"/>
    <w:rsid w:val="00DC049D"/>
    <w:rsid w:val="00DC0B6B"/>
    <w:rsid w:val="00DC4E02"/>
    <w:rsid w:val="00DC5D9B"/>
    <w:rsid w:val="00DC6297"/>
    <w:rsid w:val="00DD0EC0"/>
    <w:rsid w:val="00DD7CB2"/>
    <w:rsid w:val="00DD7EB8"/>
    <w:rsid w:val="00DE2042"/>
    <w:rsid w:val="00DE29F2"/>
    <w:rsid w:val="00DE4CEC"/>
    <w:rsid w:val="00DF0713"/>
    <w:rsid w:val="00DF1670"/>
    <w:rsid w:val="00DF4E68"/>
    <w:rsid w:val="00DF58A3"/>
    <w:rsid w:val="00DF68A1"/>
    <w:rsid w:val="00DF6EE8"/>
    <w:rsid w:val="00E012C6"/>
    <w:rsid w:val="00E11063"/>
    <w:rsid w:val="00E1698D"/>
    <w:rsid w:val="00E21680"/>
    <w:rsid w:val="00E23B9E"/>
    <w:rsid w:val="00E24257"/>
    <w:rsid w:val="00E27C81"/>
    <w:rsid w:val="00E27EFD"/>
    <w:rsid w:val="00E31E48"/>
    <w:rsid w:val="00E33D98"/>
    <w:rsid w:val="00E36063"/>
    <w:rsid w:val="00E36B76"/>
    <w:rsid w:val="00E371E2"/>
    <w:rsid w:val="00E43F8E"/>
    <w:rsid w:val="00E44584"/>
    <w:rsid w:val="00E51D9C"/>
    <w:rsid w:val="00E61B26"/>
    <w:rsid w:val="00E62F73"/>
    <w:rsid w:val="00E6622D"/>
    <w:rsid w:val="00E665FC"/>
    <w:rsid w:val="00E70FC2"/>
    <w:rsid w:val="00E715F0"/>
    <w:rsid w:val="00E71A7E"/>
    <w:rsid w:val="00E71BDD"/>
    <w:rsid w:val="00E75AD0"/>
    <w:rsid w:val="00E806EB"/>
    <w:rsid w:val="00E83E6E"/>
    <w:rsid w:val="00E9089B"/>
    <w:rsid w:val="00E90D9E"/>
    <w:rsid w:val="00E96473"/>
    <w:rsid w:val="00E9748E"/>
    <w:rsid w:val="00EA2A45"/>
    <w:rsid w:val="00EA4B29"/>
    <w:rsid w:val="00EB25E5"/>
    <w:rsid w:val="00EB4541"/>
    <w:rsid w:val="00EB6007"/>
    <w:rsid w:val="00EB6968"/>
    <w:rsid w:val="00EB6C05"/>
    <w:rsid w:val="00EB795C"/>
    <w:rsid w:val="00EC2CFA"/>
    <w:rsid w:val="00EC50AB"/>
    <w:rsid w:val="00ED019F"/>
    <w:rsid w:val="00ED1964"/>
    <w:rsid w:val="00ED56B2"/>
    <w:rsid w:val="00ED5C6E"/>
    <w:rsid w:val="00EE2121"/>
    <w:rsid w:val="00EE315A"/>
    <w:rsid w:val="00EE38BD"/>
    <w:rsid w:val="00EE6B84"/>
    <w:rsid w:val="00EE74AC"/>
    <w:rsid w:val="00EE7F83"/>
    <w:rsid w:val="00EF6600"/>
    <w:rsid w:val="00EF7F9D"/>
    <w:rsid w:val="00F03580"/>
    <w:rsid w:val="00F03A06"/>
    <w:rsid w:val="00F03A9B"/>
    <w:rsid w:val="00F04FB5"/>
    <w:rsid w:val="00F06ACD"/>
    <w:rsid w:val="00F11CB2"/>
    <w:rsid w:val="00F20894"/>
    <w:rsid w:val="00F21663"/>
    <w:rsid w:val="00F232DF"/>
    <w:rsid w:val="00F2453A"/>
    <w:rsid w:val="00F31188"/>
    <w:rsid w:val="00F379D4"/>
    <w:rsid w:val="00F37BF9"/>
    <w:rsid w:val="00F4087F"/>
    <w:rsid w:val="00F51ADE"/>
    <w:rsid w:val="00F5260F"/>
    <w:rsid w:val="00F60826"/>
    <w:rsid w:val="00F72AD6"/>
    <w:rsid w:val="00F7514D"/>
    <w:rsid w:val="00F85DA6"/>
    <w:rsid w:val="00F90FF5"/>
    <w:rsid w:val="00F92AE1"/>
    <w:rsid w:val="00F94B34"/>
    <w:rsid w:val="00F96496"/>
    <w:rsid w:val="00FA13BA"/>
    <w:rsid w:val="00FA56B1"/>
    <w:rsid w:val="00FB0848"/>
    <w:rsid w:val="00FB2724"/>
    <w:rsid w:val="00FB2EE8"/>
    <w:rsid w:val="00FB3586"/>
    <w:rsid w:val="00FC1FBE"/>
    <w:rsid w:val="00FC2A76"/>
    <w:rsid w:val="00FC2DAA"/>
    <w:rsid w:val="00FC3914"/>
    <w:rsid w:val="00FC4C62"/>
    <w:rsid w:val="00FC6AC0"/>
    <w:rsid w:val="00FD4748"/>
    <w:rsid w:val="00FD737C"/>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174"/>
    <w:pPr>
      <w:spacing w:line="480" w:lineRule="auto"/>
      <w:ind w:left="720" w:hanging="720"/>
    </w:pPr>
    <w:rPr>
      <w:snapToGrid w:val="0"/>
      <w:sz w:val="24"/>
    </w:rPr>
  </w:style>
  <w:style w:type="paragraph" w:styleId="Heading1">
    <w:name w:val="heading 1"/>
    <w:basedOn w:val="Normal"/>
    <w:next w:val="Normal"/>
    <w:qFormat/>
    <w:rsid w:val="00514B0E"/>
    <w:pPr>
      <w:keepNext/>
      <w:spacing w:after="240" w:line="240" w:lineRule="auto"/>
      <w:ind w:left="0" w:firstLine="0"/>
      <w:outlineLvl w:val="0"/>
    </w:pPr>
    <w:rPr>
      <w:b/>
    </w:rPr>
  </w:style>
  <w:style w:type="paragraph" w:styleId="Heading2">
    <w:name w:val="heading 2"/>
    <w:basedOn w:val="Normal"/>
    <w:next w:val="Normal"/>
    <w:link w:val="Heading2Char"/>
    <w:unhideWhenUsed/>
    <w:qFormat/>
    <w:rsid w:val="00514B0E"/>
    <w:pPr>
      <w:keepNext/>
      <w:keepLines/>
      <w:spacing w:after="240" w:line="240" w:lineRule="auto"/>
      <w:ind w:left="0" w:firstLine="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Footnote Text Char2 Char"/>
    <w:basedOn w:val="Normal"/>
    <w:uiPriority w:val="99"/>
    <w:semiHidden/>
    <w:rsid w:val="00530BBC"/>
    <w:pPr>
      <w:spacing w:line="240" w:lineRule="auto"/>
    </w:pPr>
    <w:rPr>
      <w:sz w:val="22"/>
    </w:rPr>
  </w:style>
  <w:style w:type="character" w:styleId="FootnoteReference">
    <w:name w:val="footnote reference"/>
    <w:uiPriority w:val="99"/>
    <w:semiHidden/>
    <w:rPr>
      <w:vertAlign w:val="superscript"/>
    </w:rPr>
  </w:style>
  <w:style w:type="character" w:customStyle="1" w:styleId="FootnoteTextChar2Char1">
    <w:name w:val="Footnote Text Char2 Char1"/>
    <w:aliases w:val="Footnote Text Char Char Char,Footnote Text Char2 Char Char Char,Footnote Text Char1 Char Char Char Char,Footnote Text Char Char2 Char Char Char Char,Footnote Text Char4 Char Char Char Char Char Char,Footnote Text Char Char1"/>
    <w:rPr>
      <w:snapToGrid w:val="0"/>
      <w:sz w:val="24"/>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sz w:val="20"/>
    </w:rPr>
  </w:style>
  <w:style w:type="paragraph" w:styleId="TOC1">
    <w:name w:val="toc 1"/>
    <w:basedOn w:val="Normal"/>
    <w:next w:val="Normal"/>
    <w:autoRedefine/>
    <w:uiPriority w:val="39"/>
    <w:rsid w:val="00ED019F"/>
    <w:pPr>
      <w:tabs>
        <w:tab w:val="right" w:leader="dot" w:pos="8342"/>
      </w:tabs>
      <w:spacing w:after="240" w:line="240" w:lineRule="auto"/>
    </w:pPr>
  </w:style>
  <w:style w:type="character" w:styleId="Hyperlink">
    <w:name w:val="Hyperlink"/>
    <w:uiPriority w:val="99"/>
    <w:rPr>
      <w:color w:val="0000FF"/>
      <w:u w:val="single"/>
    </w:rPr>
  </w:style>
  <w:style w:type="paragraph" w:customStyle="1" w:styleId="StyleParaNum11pt1CharCharCharCharCharChar">
    <w:name w:val="Style ParaNum + 11 pt1 Char Char Char Char Char Char"/>
    <w:basedOn w:val="Normal"/>
    <w:pPr>
      <w:tabs>
        <w:tab w:val="num" w:pos="720"/>
        <w:tab w:val="left" w:pos="1080"/>
      </w:tabs>
      <w:spacing w:after="240" w:line="240" w:lineRule="auto"/>
      <w:ind w:firstLine="360"/>
    </w:pPr>
    <w:rPr>
      <w:kern w:val="28"/>
      <w:sz w:val="22"/>
      <w:szCs w:val="22"/>
    </w:rPr>
  </w:style>
  <w:style w:type="character" w:customStyle="1" w:styleId="StyleParaNum11pt1CharCharCharCharCharCharChar">
    <w:name w:val="Style ParaNum + 11 pt1 Char Char Char Char Char Char Char"/>
    <w:rPr>
      <w:snapToGrid w:val="0"/>
      <w:kern w:val="28"/>
      <w:sz w:val="22"/>
      <w:szCs w:val="22"/>
      <w:lang w:val="en-US" w:eastAsia="en-US" w:bidi="ar-SA"/>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paragraph" w:styleId="TOCHeading">
    <w:name w:val="TOC Heading"/>
    <w:basedOn w:val="Heading1"/>
    <w:next w:val="Normal"/>
    <w:uiPriority w:val="39"/>
    <w:semiHidden/>
    <w:unhideWhenUsed/>
    <w:qFormat/>
    <w:rsid w:val="00990AB0"/>
    <w:pPr>
      <w:keepLines/>
      <w:spacing w:before="480" w:line="276" w:lineRule="auto"/>
      <w:outlineLvl w:val="9"/>
    </w:pPr>
    <w:rPr>
      <w:rFonts w:ascii="Cambria" w:eastAsia="MS Gothic" w:hAnsi="Cambria"/>
      <w:bCs/>
      <w:snapToGrid/>
      <w:color w:val="365F91"/>
      <w:sz w:val="28"/>
      <w:szCs w:val="28"/>
      <w:lang w:eastAsia="ja-JP"/>
    </w:rPr>
  </w:style>
  <w:style w:type="paragraph" w:styleId="ListParagraph">
    <w:name w:val="List Paragraph"/>
    <w:basedOn w:val="Normal"/>
    <w:uiPriority w:val="34"/>
    <w:qFormat/>
    <w:rsid w:val="00635E9F"/>
    <w:pPr>
      <w:spacing w:line="240" w:lineRule="auto"/>
      <w:contextualSpacing/>
      <w:jc w:val="both"/>
    </w:pPr>
    <w:rPr>
      <w:rFonts w:ascii="Calibri" w:eastAsia="Calibri" w:hAnsi="Calibri"/>
      <w:snapToGrid/>
      <w:sz w:val="22"/>
      <w:szCs w:val="22"/>
    </w:rPr>
  </w:style>
  <w:style w:type="paragraph" w:styleId="CommentText">
    <w:name w:val="annotation text"/>
    <w:basedOn w:val="Normal"/>
    <w:link w:val="CommentTextChar"/>
    <w:rsid w:val="002E09A5"/>
    <w:rPr>
      <w:sz w:val="20"/>
      <w:lang w:val="x-none" w:eastAsia="x-none"/>
    </w:rPr>
  </w:style>
  <w:style w:type="character" w:customStyle="1" w:styleId="CommentTextChar">
    <w:name w:val="Comment Text Char"/>
    <w:link w:val="CommentText"/>
    <w:rsid w:val="002E09A5"/>
    <w:rPr>
      <w:snapToGrid w:val="0"/>
    </w:rPr>
  </w:style>
  <w:style w:type="character" w:styleId="CommentReference">
    <w:name w:val="annotation reference"/>
    <w:rsid w:val="002E09A5"/>
    <w:rPr>
      <w:sz w:val="16"/>
      <w:szCs w:val="16"/>
    </w:rPr>
  </w:style>
  <w:style w:type="paragraph" w:styleId="CommentSubject">
    <w:name w:val="annotation subject"/>
    <w:basedOn w:val="CommentText"/>
    <w:next w:val="CommentText"/>
    <w:link w:val="CommentSubjectChar"/>
    <w:rsid w:val="00F96496"/>
    <w:rPr>
      <w:b/>
      <w:bCs/>
    </w:rPr>
  </w:style>
  <w:style w:type="character" w:customStyle="1" w:styleId="CommentSubjectChar">
    <w:name w:val="Comment Subject Char"/>
    <w:link w:val="CommentSubject"/>
    <w:rsid w:val="00F96496"/>
    <w:rPr>
      <w:b/>
      <w:bCs/>
      <w:snapToGrid w:val="0"/>
    </w:rPr>
  </w:style>
  <w:style w:type="paragraph" w:styleId="Revision">
    <w:name w:val="Revision"/>
    <w:hidden/>
    <w:uiPriority w:val="99"/>
    <w:semiHidden/>
    <w:rsid w:val="00DE4CEC"/>
    <w:rPr>
      <w:snapToGrid w:val="0"/>
      <w:sz w:val="24"/>
    </w:rPr>
  </w:style>
  <w:style w:type="character" w:customStyle="1" w:styleId="Heading2Char">
    <w:name w:val="Heading 2 Char"/>
    <w:basedOn w:val="DefaultParagraphFont"/>
    <w:link w:val="Heading2"/>
    <w:rsid w:val="00514B0E"/>
    <w:rPr>
      <w:rFonts w:eastAsiaTheme="majorEastAsia" w:cstheme="majorBidi"/>
      <w:bCs/>
      <w:i/>
      <w:snapToGrid w:val="0"/>
      <w:sz w:val="24"/>
      <w:szCs w:val="26"/>
    </w:rPr>
  </w:style>
  <w:style w:type="paragraph" w:styleId="Quote">
    <w:name w:val="Quote"/>
    <w:basedOn w:val="Normal"/>
    <w:next w:val="Normal"/>
    <w:link w:val="QuoteChar"/>
    <w:uiPriority w:val="29"/>
    <w:qFormat/>
    <w:rsid w:val="00AA0A19"/>
    <w:pPr>
      <w:spacing w:line="240" w:lineRule="auto"/>
      <w:ind w:left="1440" w:right="1440"/>
    </w:pPr>
    <w:rPr>
      <w:iCs/>
      <w:color w:val="000000" w:themeColor="text1"/>
    </w:rPr>
  </w:style>
  <w:style w:type="character" w:customStyle="1" w:styleId="QuoteChar">
    <w:name w:val="Quote Char"/>
    <w:basedOn w:val="DefaultParagraphFont"/>
    <w:link w:val="Quote"/>
    <w:uiPriority w:val="29"/>
    <w:rsid w:val="00AA0A19"/>
    <w:rPr>
      <w:iCs/>
      <w:snapToGrid w:val="0"/>
      <w:color w:val="000000" w:themeColor="text1"/>
      <w:sz w:val="24"/>
    </w:rPr>
  </w:style>
  <w:style w:type="character" w:customStyle="1" w:styleId="HeaderChar">
    <w:name w:val="Header Char"/>
    <w:basedOn w:val="DefaultParagraphFont"/>
    <w:link w:val="Header"/>
    <w:uiPriority w:val="99"/>
    <w:rsid w:val="008C2C16"/>
    <w:rPr>
      <w:snapToGrid w:val="0"/>
      <w:sz w:val="24"/>
    </w:rPr>
  </w:style>
  <w:style w:type="character" w:customStyle="1" w:styleId="DocID">
    <w:name w:val="DocID"/>
    <w:basedOn w:val="DefaultParagraphFont"/>
    <w:uiPriority w:val="99"/>
    <w:semiHidden/>
    <w:rsid w:val="00107CAD"/>
    <w:rPr>
      <w:rFonts w:ascii="Times New Roman" w:hAnsi="Times New Roman"/>
      <w:sz w:val="16"/>
    </w:rPr>
  </w:style>
  <w:style w:type="character" w:customStyle="1" w:styleId="FooterChar">
    <w:name w:val="Footer Char"/>
    <w:basedOn w:val="DefaultParagraphFont"/>
    <w:link w:val="Footer"/>
    <w:uiPriority w:val="99"/>
    <w:rsid w:val="00AF1040"/>
    <w:rPr>
      <w:snapToGrid w:val="0"/>
      <w:sz w:val="24"/>
    </w:rPr>
  </w:style>
  <w:style w:type="paragraph" w:styleId="TOC2">
    <w:name w:val="toc 2"/>
    <w:basedOn w:val="Normal"/>
    <w:next w:val="Normal"/>
    <w:autoRedefine/>
    <w:uiPriority w:val="39"/>
    <w:rsid w:val="00ED019F"/>
    <w:pPr>
      <w:tabs>
        <w:tab w:val="right" w:leader="dot" w:pos="8342"/>
      </w:tabs>
      <w:spacing w:after="100" w:line="240" w:lineRule="auto"/>
      <w:ind w:firstLine="29"/>
    </w:pPr>
  </w:style>
  <w:style w:type="table" w:styleId="TableGrid">
    <w:name w:val="Table Grid"/>
    <w:basedOn w:val="TableNormal"/>
    <w:rsid w:val="00827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174"/>
    <w:pPr>
      <w:spacing w:line="480" w:lineRule="auto"/>
      <w:ind w:left="720" w:hanging="720"/>
    </w:pPr>
    <w:rPr>
      <w:snapToGrid w:val="0"/>
      <w:sz w:val="24"/>
    </w:rPr>
  </w:style>
  <w:style w:type="paragraph" w:styleId="Heading1">
    <w:name w:val="heading 1"/>
    <w:basedOn w:val="Normal"/>
    <w:next w:val="Normal"/>
    <w:qFormat/>
    <w:rsid w:val="00514B0E"/>
    <w:pPr>
      <w:keepNext/>
      <w:spacing w:after="240" w:line="240" w:lineRule="auto"/>
      <w:ind w:left="0" w:firstLine="0"/>
      <w:outlineLvl w:val="0"/>
    </w:pPr>
    <w:rPr>
      <w:b/>
    </w:rPr>
  </w:style>
  <w:style w:type="paragraph" w:styleId="Heading2">
    <w:name w:val="heading 2"/>
    <w:basedOn w:val="Normal"/>
    <w:next w:val="Normal"/>
    <w:link w:val="Heading2Char"/>
    <w:unhideWhenUsed/>
    <w:qFormat/>
    <w:rsid w:val="00514B0E"/>
    <w:pPr>
      <w:keepNext/>
      <w:keepLines/>
      <w:spacing w:after="240" w:line="240" w:lineRule="auto"/>
      <w:ind w:left="0" w:firstLine="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Footnote Text Char2 Char"/>
    <w:basedOn w:val="Normal"/>
    <w:uiPriority w:val="99"/>
    <w:semiHidden/>
    <w:rsid w:val="00530BBC"/>
    <w:pPr>
      <w:spacing w:line="240" w:lineRule="auto"/>
    </w:pPr>
    <w:rPr>
      <w:sz w:val="22"/>
    </w:rPr>
  </w:style>
  <w:style w:type="character" w:styleId="FootnoteReference">
    <w:name w:val="footnote reference"/>
    <w:uiPriority w:val="99"/>
    <w:semiHidden/>
    <w:rPr>
      <w:vertAlign w:val="superscript"/>
    </w:rPr>
  </w:style>
  <w:style w:type="character" w:customStyle="1" w:styleId="FootnoteTextChar2Char1">
    <w:name w:val="Footnote Text Char2 Char1"/>
    <w:aliases w:val="Footnote Text Char Char Char,Footnote Text Char2 Char Char Char,Footnote Text Char1 Char Char Char Char,Footnote Text Char Char2 Char Char Char Char,Footnote Text Char4 Char Char Char Char Char Char,Footnote Text Char Char1"/>
    <w:rPr>
      <w:snapToGrid w:val="0"/>
      <w:sz w:val="24"/>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sz w:val="20"/>
    </w:rPr>
  </w:style>
  <w:style w:type="paragraph" w:styleId="TOC1">
    <w:name w:val="toc 1"/>
    <w:basedOn w:val="Normal"/>
    <w:next w:val="Normal"/>
    <w:autoRedefine/>
    <w:uiPriority w:val="39"/>
    <w:rsid w:val="00ED019F"/>
    <w:pPr>
      <w:tabs>
        <w:tab w:val="right" w:leader="dot" w:pos="8342"/>
      </w:tabs>
      <w:spacing w:after="240" w:line="240" w:lineRule="auto"/>
    </w:pPr>
  </w:style>
  <w:style w:type="character" w:styleId="Hyperlink">
    <w:name w:val="Hyperlink"/>
    <w:uiPriority w:val="99"/>
    <w:rPr>
      <w:color w:val="0000FF"/>
      <w:u w:val="single"/>
    </w:rPr>
  </w:style>
  <w:style w:type="paragraph" w:customStyle="1" w:styleId="StyleParaNum11pt1CharCharCharCharCharChar">
    <w:name w:val="Style ParaNum + 11 pt1 Char Char Char Char Char Char"/>
    <w:basedOn w:val="Normal"/>
    <w:pPr>
      <w:tabs>
        <w:tab w:val="num" w:pos="720"/>
        <w:tab w:val="left" w:pos="1080"/>
      </w:tabs>
      <w:spacing w:after="240" w:line="240" w:lineRule="auto"/>
      <w:ind w:firstLine="360"/>
    </w:pPr>
    <w:rPr>
      <w:kern w:val="28"/>
      <w:sz w:val="22"/>
      <w:szCs w:val="22"/>
    </w:rPr>
  </w:style>
  <w:style w:type="character" w:customStyle="1" w:styleId="StyleParaNum11pt1CharCharCharCharCharCharChar">
    <w:name w:val="Style ParaNum + 11 pt1 Char Char Char Char Char Char Char"/>
    <w:rPr>
      <w:snapToGrid w:val="0"/>
      <w:kern w:val="28"/>
      <w:sz w:val="22"/>
      <w:szCs w:val="22"/>
      <w:lang w:val="en-US" w:eastAsia="en-US" w:bidi="ar-SA"/>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paragraph" w:styleId="TOCHeading">
    <w:name w:val="TOC Heading"/>
    <w:basedOn w:val="Heading1"/>
    <w:next w:val="Normal"/>
    <w:uiPriority w:val="39"/>
    <w:semiHidden/>
    <w:unhideWhenUsed/>
    <w:qFormat/>
    <w:rsid w:val="00990AB0"/>
    <w:pPr>
      <w:keepLines/>
      <w:spacing w:before="480" w:line="276" w:lineRule="auto"/>
      <w:outlineLvl w:val="9"/>
    </w:pPr>
    <w:rPr>
      <w:rFonts w:ascii="Cambria" w:eastAsia="MS Gothic" w:hAnsi="Cambria"/>
      <w:bCs/>
      <w:snapToGrid/>
      <w:color w:val="365F91"/>
      <w:sz w:val="28"/>
      <w:szCs w:val="28"/>
      <w:lang w:eastAsia="ja-JP"/>
    </w:rPr>
  </w:style>
  <w:style w:type="paragraph" w:styleId="ListParagraph">
    <w:name w:val="List Paragraph"/>
    <w:basedOn w:val="Normal"/>
    <w:uiPriority w:val="34"/>
    <w:qFormat/>
    <w:rsid w:val="00635E9F"/>
    <w:pPr>
      <w:spacing w:line="240" w:lineRule="auto"/>
      <w:contextualSpacing/>
      <w:jc w:val="both"/>
    </w:pPr>
    <w:rPr>
      <w:rFonts w:ascii="Calibri" w:eastAsia="Calibri" w:hAnsi="Calibri"/>
      <w:snapToGrid/>
      <w:sz w:val="22"/>
      <w:szCs w:val="22"/>
    </w:rPr>
  </w:style>
  <w:style w:type="paragraph" w:styleId="CommentText">
    <w:name w:val="annotation text"/>
    <w:basedOn w:val="Normal"/>
    <w:link w:val="CommentTextChar"/>
    <w:rsid w:val="002E09A5"/>
    <w:rPr>
      <w:sz w:val="20"/>
      <w:lang w:val="x-none" w:eastAsia="x-none"/>
    </w:rPr>
  </w:style>
  <w:style w:type="character" w:customStyle="1" w:styleId="CommentTextChar">
    <w:name w:val="Comment Text Char"/>
    <w:link w:val="CommentText"/>
    <w:rsid w:val="002E09A5"/>
    <w:rPr>
      <w:snapToGrid w:val="0"/>
    </w:rPr>
  </w:style>
  <w:style w:type="character" w:styleId="CommentReference">
    <w:name w:val="annotation reference"/>
    <w:rsid w:val="002E09A5"/>
    <w:rPr>
      <w:sz w:val="16"/>
      <w:szCs w:val="16"/>
    </w:rPr>
  </w:style>
  <w:style w:type="paragraph" w:styleId="CommentSubject">
    <w:name w:val="annotation subject"/>
    <w:basedOn w:val="CommentText"/>
    <w:next w:val="CommentText"/>
    <w:link w:val="CommentSubjectChar"/>
    <w:rsid w:val="00F96496"/>
    <w:rPr>
      <w:b/>
      <w:bCs/>
    </w:rPr>
  </w:style>
  <w:style w:type="character" w:customStyle="1" w:styleId="CommentSubjectChar">
    <w:name w:val="Comment Subject Char"/>
    <w:link w:val="CommentSubject"/>
    <w:rsid w:val="00F96496"/>
    <w:rPr>
      <w:b/>
      <w:bCs/>
      <w:snapToGrid w:val="0"/>
    </w:rPr>
  </w:style>
  <w:style w:type="paragraph" w:styleId="Revision">
    <w:name w:val="Revision"/>
    <w:hidden/>
    <w:uiPriority w:val="99"/>
    <w:semiHidden/>
    <w:rsid w:val="00DE4CEC"/>
    <w:rPr>
      <w:snapToGrid w:val="0"/>
      <w:sz w:val="24"/>
    </w:rPr>
  </w:style>
  <w:style w:type="character" w:customStyle="1" w:styleId="Heading2Char">
    <w:name w:val="Heading 2 Char"/>
    <w:basedOn w:val="DefaultParagraphFont"/>
    <w:link w:val="Heading2"/>
    <w:rsid w:val="00514B0E"/>
    <w:rPr>
      <w:rFonts w:eastAsiaTheme="majorEastAsia" w:cstheme="majorBidi"/>
      <w:bCs/>
      <w:i/>
      <w:snapToGrid w:val="0"/>
      <w:sz w:val="24"/>
      <w:szCs w:val="26"/>
    </w:rPr>
  </w:style>
  <w:style w:type="paragraph" w:styleId="Quote">
    <w:name w:val="Quote"/>
    <w:basedOn w:val="Normal"/>
    <w:next w:val="Normal"/>
    <w:link w:val="QuoteChar"/>
    <w:uiPriority w:val="29"/>
    <w:qFormat/>
    <w:rsid w:val="00AA0A19"/>
    <w:pPr>
      <w:spacing w:line="240" w:lineRule="auto"/>
      <w:ind w:left="1440" w:right="1440"/>
    </w:pPr>
    <w:rPr>
      <w:iCs/>
      <w:color w:val="000000" w:themeColor="text1"/>
    </w:rPr>
  </w:style>
  <w:style w:type="character" w:customStyle="1" w:styleId="QuoteChar">
    <w:name w:val="Quote Char"/>
    <w:basedOn w:val="DefaultParagraphFont"/>
    <w:link w:val="Quote"/>
    <w:uiPriority w:val="29"/>
    <w:rsid w:val="00AA0A19"/>
    <w:rPr>
      <w:iCs/>
      <w:snapToGrid w:val="0"/>
      <w:color w:val="000000" w:themeColor="text1"/>
      <w:sz w:val="24"/>
    </w:rPr>
  </w:style>
  <w:style w:type="character" w:customStyle="1" w:styleId="HeaderChar">
    <w:name w:val="Header Char"/>
    <w:basedOn w:val="DefaultParagraphFont"/>
    <w:link w:val="Header"/>
    <w:uiPriority w:val="99"/>
    <w:rsid w:val="008C2C16"/>
    <w:rPr>
      <w:snapToGrid w:val="0"/>
      <w:sz w:val="24"/>
    </w:rPr>
  </w:style>
  <w:style w:type="character" w:customStyle="1" w:styleId="DocID">
    <w:name w:val="DocID"/>
    <w:basedOn w:val="DefaultParagraphFont"/>
    <w:uiPriority w:val="99"/>
    <w:semiHidden/>
    <w:rsid w:val="00107CAD"/>
    <w:rPr>
      <w:rFonts w:ascii="Times New Roman" w:hAnsi="Times New Roman"/>
      <w:sz w:val="16"/>
    </w:rPr>
  </w:style>
  <w:style w:type="character" w:customStyle="1" w:styleId="FooterChar">
    <w:name w:val="Footer Char"/>
    <w:basedOn w:val="DefaultParagraphFont"/>
    <w:link w:val="Footer"/>
    <w:uiPriority w:val="99"/>
    <w:rsid w:val="00AF1040"/>
    <w:rPr>
      <w:snapToGrid w:val="0"/>
      <w:sz w:val="24"/>
    </w:rPr>
  </w:style>
  <w:style w:type="paragraph" w:styleId="TOC2">
    <w:name w:val="toc 2"/>
    <w:basedOn w:val="Normal"/>
    <w:next w:val="Normal"/>
    <w:autoRedefine/>
    <w:uiPriority w:val="39"/>
    <w:rsid w:val="00ED019F"/>
    <w:pPr>
      <w:tabs>
        <w:tab w:val="right" w:leader="dot" w:pos="8342"/>
      </w:tabs>
      <w:spacing w:after="100" w:line="240" w:lineRule="auto"/>
      <w:ind w:firstLine="29"/>
    </w:pPr>
  </w:style>
  <w:style w:type="table" w:styleId="TableGrid">
    <w:name w:val="Table Grid"/>
    <w:basedOn w:val="TableNormal"/>
    <w:rsid w:val="00827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8734">
      <w:bodyDiv w:val="1"/>
      <w:marLeft w:val="0"/>
      <w:marRight w:val="0"/>
      <w:marTop w:val="0"/>
      <w:marBottom w:val="0"/>
      <w:divBdr>
        <w:top w:val="none" w:sz="0" w:space="0" w:color="auto"/>
        <w:left w:val="none" w:sz="0" w:space="0" w:color="auto"/>
        <w:bottom w:val="none" w:sz="0" w:space="0" w:color="auto"/>
        <w:right w:val="none" w:sz="0" w:space="0" w:color="auto"/>
      </w:divBdr>
    </w:div>
    <w:div w:id="249848811">
      <w:bodyDiv w:val="1"/>
      <w:marLeft w:val="0"/>
      <w:marRight w:val="0"/>
      <w:marTop w:val="0"/>
      <w:marBottom w:val="0"/>
      <w:divBdr>
        <w:top w:val="none" w:sz="0" w:space="0" w:color="auto"/>
        <w:left w:val="none" w:sz="0" w:space="0" w:color="auto"/>
        <w:bottom w:val="none" w:sz="0" w:space="0" w:color="auto"/>
        <w:right w:val="none" w:sz="0" w:space="0" w:color="auto"/>
      </w:divBdr>
    </w:div>
    <w:div w:id="407583415">
      <w:bodyDiv w:val="1"/>
      <w:marLeft w:val="0"/>
      <w:marRight w:val="0"/>
      <w:marTop w:val="0"/>
      <w:marBottom w:val="0"/>
      <w:divBdr>
        <w:top w:val="none" w:sz="0" w:space="0" w:color="auto"/>
        <w:left w:val="none" w:sz="0" w:space="0" w:color="auto"/>
        <w:bottom w:val="none" w:sz="0" w:space="0" w:color="auto"/>
        <w:right w:val="none" w:sz="0" w:space="0" w:color="auto"/>
      </w:divBdr>
    </w:div>
    <w:div w:id="437411580">
      <w:bodyDiv w:val="1"/>
      <w:marLeft w:val="0"/>
      <w:marRight w:val="0"/>
      <w:marTop w:val="0"/>
      <w:marBottom w:val="0"/>
      <w:divBdr>
        <w:top w:val="none" w:sz="0" w:space="0" w:color="auto"/>
        <w:left w:val="none" w:sz="0" w:space="0" w:color="auto"/>
        <w:bottom w:val="none" w:sz="0" w:space="0" w:color="auto"/>
        <w:right w:val="none" w:sz="0" w:space="0" w:color="auto"/>
      </w:divBdr>
    </w:div>
    <w:div w:id="583296194">
      <w:bodyDiv w:val="1"/>
      <w:marLeft w:val="0"/>
      <w:marRight w:val="0"/>
      <w:marTop w:val="0"/>
      <w:marBottom w:val="0"/>
      <w:divBdr>
        <w:top w:val="none" w:sz="0" w:space="0" w:color="auto"/>
        <w:left w:val="none" w:sz="0" w:space="0" w:color="auto"/>
        <w:bottom w:val="none" w:sz="0" w:space="0" w:color="auto"/>
        <w:right w:val="none" w:sz="0" w:space="0" w:color="auto"/>
      </w:divBdr>
    </w:div>
    <w:div w:id="803080209">
      <w:bodyDiv w:val="1"/>
      <w:marLeft w:val="0"/>
      <w:marRight w:val="0"/>
      <w:marTop w:val="0"/>
      <w:marBottom w:val="0"/>
      <w:divBdr>
        <w:top w:val="none" w:sz="0" w:space="0" w:color="auto"/>
        <w:left w:val="none" w:sz="0" w:space="0" w:color="auto"/>
        <w:bottom w:val="none" w:sz="0" w:space="0" w:color="auto"/>
        <w:right w:val="none" w:sz="0" w:space="0" w:color="auto"/>
      </w:divBdr>
    </w:div>
    <w:div w:id="14941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EB99AEE-F709-4441-9F27-097799FD7263}"/>
</file>

<file path=customXml/itemProps2.xml><?xml version="1.0" encoding="utf-8"?>
<ds:datastoreItem xmlns:ds="http://schemas.openxmlformats.org/officeDocument/2006/customXml" ds:itemID="{0A5A3E3B-EB13-423A-825C-CF8C2DE24AF9}"/>
</file>

<file path=customXml/itemProps3.xml><?xml version="1.0" encoding="utf-8"?>
<ds:datastoreItem xmlns:ds="http://schemas.openxmlformats.org/officeDocument/2006/customXml" ds:itemID="{B1B3C9AD-372B-431B-ABB5-71956E864932}"/>
</file>

<file path=customXml/itemProps4.xml><?xml version="1.0" encoding="utf-8"?>
<ds:datastoreItem xmlns:ds="http://schemas.openxmlformats.org/officeDocument/2006/customXml" ds:itemID="{486D65EF-8628-4BAB-A1FD-D3FF5535D93B}"/>
</file>

<file path=docProps/app.xml><?xml version="1.0" encoding="utf-8"?>
<Properties xmlns="http://schemas.openxmlformats.org/officeDocument/2006/extended-properties" xmlns:vt="http://schemas.openxmlformats.org/officeDocument/2006/docPropsVTypes">
  <Template>Normal.dotm</Template>
  <TotalTime>0</TotalTime>
  <Pages>3</Pages>
  <Words>7087</Words>
  <Characters>40193</Characters>
  <Application>Microsoft Office Word</Application>
  <DocSecurity>0</DocSecurity>
  <Lines>843</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cp:revision>
  <dcterms:created xsi:type="dcterms:W3CDTF">2013-04-26T00:01:01Z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