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879" w:rsidRDefault="00742879" w:rsidP="004F7E1F">
      <w:pPr>
        <w:pStyle w:val="Question"/>
      </w:pPr>
      <w:r>
        <w:t>Introduction and Purpose of Testimony</w:t>
      </w:r>
    </w:p>
    <w:p w:rsidR="004F7E1F" w:rsidRDefault="004F7E1F" w:rsidP="004F7E1F">
      <w:pPr>
        <w:pStyle w:val="Question"/>
      </w:pPr>
      <w:r>
        <w:t>Q.</w:t>
      </w:r>
      <w:r>
        <w:tab/>
        <w:t xml:space="preserve">Are you the same Samuel C. Hadaway who submitted </w:t>
      </w:r>
      <w:r w:rsidR="00734B3E">
        <w:t>d</w:t>
      </w:r>
      <w:r>
        <w:t xml:space="preserve">irect </w:t>
      </w:r>
      <w:r w:rsidR="00734B3E">
        <w:t>t</w:t>
      </w:r>
      <w:r>
        <w:t>estimony in this proceeding?</w:t>
      </w:r>
    </w:p>
    <w:p w:rsidR="004F7E1F" w:rsidRDefault="004F7E1F" w:rsidP="004F7E1F">
      <w:pPr>
        <w:pStyle w:val="Answer0"/>
      </w:pPr>
      <w:r>
        <w:t>A.</w:t>
      </w:r>
      <w:r>
        <w:tab/>
        <w:t>Yes.</w:t>
      </w:r>
    </w:p>
    <w:p w:rsidR="004F7E1F" w:rsidRPr="004F7E1F" w:rsidRDefault="004F7E1F" w:rsidP="004F7E1F">
      <w:pPr>
        <w:pStyle w:val="FootnoteText"/>
        <w:rPr>
          <w:rFonts w:ascii="Times New Roman" w:hAnsi="Times New Roman"/>
          <w:b/>
          <w:color w:val="000000"/>
          <w:sz w:val="24"/>
          <w:szCs w:val="24"/>
        </w:rPr>
      </w:pPr>
      <w:r w:rsidRPr="004F7E1F">
        <w:rPr>
          <w:rFonts w:ascii="Times New Roman" w:hAnsi="Times New Roman"/>
          <w:b/>
          <w:color w:val="000000"/>
          <w:sz w:val="24"/>
          <w:szCs w:val="24"/>
        </w:rPr>
        <w:t>Q</w:t>
      </w:r>
      <w:r w:rsidR="00027B2C">
        <w:rPr>
          <w:rFonts w:ascii="Times New Roman" w:hAnsi="Times New Roman"/>
          <w:b/>
          <w:color w:val="000000"/>
          <w:sz w:val="24"/>
          <w:szCs w:val="24"/>
        </w:rPr>
        <w:t>.</w:t>
      </w:r>
      <w:r w:rsidRPr="004F7E1F">
        <w:rPr>
          <w:rFonts w:ascii="Times New Roman" w:hAnsi="Times New Roman"/>
          <w:b/>
          <w:color w:val="000000"/>
          <w:sz w:val="24"/>
          <w:szCs w:val="24"/>
        </w:rPr>
        <w:tab/>
        <w:t>What is the purpose of your rebuttal testimony?</w:t>
      </w:r>
    </w:p>
    <w:p w:rsidR="004F7E1F" w:rsidRPr="004F7E1F" w:rsidRDefault="00027B2C" w:rsidP="004F7E1F">
      <w:pPr>
        <w:pStyle w:val="FootnoteText"/>
        <w:rPr>
          <w:rFonts w:ascii="Times New Roman" w:hAnsi="Times New Roman"/>
          <w:color w:val="000000"/>
          <w:sz w:val="24"/>
          <w:szCs w:val="24"/>
        </w:rPr>
      </w:pPr>
      <w:r>
        <w:rPr>
          <w:rFonts w:ascii="Times New Roman" w:hAnsi="Times New Roman"/>
          <w:color w:val="000000"/>
          <w:sz w:val="24"/>
          <w:szCs w:val="24"/>
        </w:rPr>
        <w:t>A.</w:t>
      </w:r>
      <w:r w:rsidR="004F7E1F" w:rsidRPr="004F7E1F">
        <w:rPr>
          <w:rFonts w:ascii="Times New Roman" w:hAnsi="Times New Roman"/>
          <w:color w:val="000000"/>
          <w:sz w:val="24"/>
          <w:szCs w:val="24"/>
        </w:rPr>
        <w:tab/>
        <w:t xml:space="preserve">The purpose of my rebuttal testimony is to respond to the rate of return on equity (ROE) recommendations offered by </w:t>
      </w:r>
      <w:r w:rsidR="00420358">
        <w:rPr>
          <w:rFonts w:ascii="Times New Roman" w:hAnsi="Times New Roman"/>
          <w:color w:val="000000"/>
          <w:sz w:val="24"/>
          <w:szCs w:val="24"/>
        </w:rPr>
        <w:t xml:space="preserve">Washington </w:t>
      </w:r>
      <w:r w:rsidR="00160F05">
        <w:rPr>
          <w:rFonts w:ascii="Times New Roman" w:hAnsi="Times New Roman"/>
          <w:color w:val="000000"/>
          <w:sz w:val="24"/>
          <w:szCs w:val="24"/>
        </w:rPr>
        <w:t xml:space="preserve">Utilities and </w:t>
      </w:r>
      <w:r w:rsidR="00420358">
        <w:rPr>
          <w:rFonts w:ascii="Times New Roman" w:hAnsi="Times New Roman"/>
          <w:color w:val="000000"/>
          <w:sz w:val="24"/>
          <w:szCs w:val="24"/>
        </w:rPr>
        <w:t xml:space="preserve">Transportation </w:t>
      </w:r>
      <w:r w:rsidR="004F7E1F" w:rsidRPr="004F7E1F">
        <w:rPr>
          <w:rFonts w:ascii="Times New Roman" w:hAnsi="Times New Roman"/>
          <w:color w:val="000000"/>
          <w:sz w:val="24"/>
          <w:szCs w:val="24"/>
        </w:rPr>
        <w:t>Commission Staff</w:t>
      </w:r>
      <w:r w:rsidR="00420358">
        <w:rPr>
          <w:rFonts w:ascii="Times New Roman" w:hAnsi="Times New Roman"/>
          <w:color w:val="000000"/>
          <w:sz w:val="24"/>
          <w:szCs w:val="24"/>
        </w:rPr>
        <w:t xml:space="preserve"> </w:t>
      </w:r>
      <w:r w:rsidR="00734B3E">
        <w:rPr>
          <w:rFonts w:ascii="Times New Roman" w:hAnsi="Times New Roman"/>
          <w:color w:val="000000"/>
          <w:sz w:val="24"/>
          <w:szCs w:val="24"/>
        </w:rPr>
        <w:t xml:space="preserve">(Staff) </w:t>
      </w:r>
      <w:r w:rsidR="004F7E1F" w:rsidRPr="004F7E1F">
        <w:rPr>
          <w:rFonts w:ascii="Times New Roman" w:hAnsi="Times New Roman"/>
          <w:color w:val="000000"/>
          <w:sz w:val="24"/>
          <w:szCs w:val="24"/>
        </w:rPr>
        <w:t>witness</w:t>
      </w:r>
      <w:r w:rsidR="00420358">
        <w:rPr>
          <w:rFonts w:ascii="Times New Roman" w:hAnsi="Times New Roman"/>
          <w:color w:val="000000"/>
          <w:sz w:val="24"/>
          <w:szCs w:val="24"/>
        </w:rPr>
        <w:t xml:space="preserve"> </w:t>
      </w:r>
      <w:r w:rsidR="003723E3">
        <w:rPr>
          <w:rFonts w:ascii="Times New Roman" w:hAnsi="Times New Roman"/>
          <w:color w:val="000000"/>
          <w:sz w:val="24"/>
          <w:szCs w:val="24"/>
        </w:rPr>
        <w:t xml:space="preserve">Mr. </w:t>
      </w:r>
      <w:r w:rsidR="00160F05" w:rsidRPr="00160F05">
        <w:rPr>
          <w:rFonts w:ascii="Times New Roman" w:hAnsi="Times New Roman"/>
          <w:bCs/>
          <w:sz w:val="24"/>
          <w:szCs w:val="24"/>
        </w:rPr>
        <w:t>Kenneth L. Elgin</w:t>
      </w:r>
      <w:r w:rsidR="004F7E1F" w:rsidRPr="004F7E1F">
        <w:rPr>
          <w:rFonts w:ascii="Times New Roman" w:hAnsi="Times New Roman"/>
          <w:color w:val="000000"/>
          <w:sz w:val="24"/>
          <w:szCs w:val="24"/>
        </w:rPr>
        <w:t xml:space="preserve"> and </w:t>
      </w:r>
      <w:r w:rsidR="00160F05">
        <w:rPr>
          <w:rFonts w:ascii="Times New Roman" w:hAnsi="Times New Roman"/>
          <w:color w:val="000000"/>
          <w:sz w:val="24"/>
          <w:szCs w:val="24"/>
        </w:rPr>
        <w:t>Industrial C</w:t>
      </w:r>
      <w:r w:rsidR="00B24127">
        <w:rPr>
          <w:rFonts w:ascii="Times New Roman" w:hAnsi="Times New Roman"/>
          <w:color w:val="000000"/>
          <w:sz w:val="24"/>
          <w:szCs w:val="24"/>
        </w:rPr>
        <w:t>ustomers of Northwest Utilities</w:t>
      </w:r>
      <w:r w:rsidR="00160F05">
        <w:rPr>
          <w:rFonts w:ascii="Times New Roman" w:hAnsi="Times New Roman"/>
          <w:color w:val="000000"/>
          <w:sz w:val="24"/>
          <w:szCs w:val="24"/>
        </w:rPr>
        <w:t xml:space="preserve"> (</w:t>
      </w:r>
      <w:r w:rsidR="00B71C94">
        <w:rPr>
          <w:rFonts w:ascii="Times New Roman" w:hAnsi="Times New Roman"/>
          <w:color w:val="000000"/>
          <w:sz w:val="24"/>
          <w:szCs w:val="24"/>
        </w:rPr>
        <w:t>ICNU</w:t>
      </w:r>
      <w:r w:rsidR="00160F05">
        <w:rPr>
          <w:rFonts w:ascii="Times New Roman" w:hAnsi="Times New Roman"/>
          <w:color w:val="000000"/>
          <w:sz w:val="24"/>
          <w:szCs w:val="24"/>
        </w:rPr>
        <w:t xml:space="preserve">) witness </w:t>
      </w:r>
      <w:r w:rsidR="003723E3">
        <w:rPr>
          <w:rFonts w:ascii="Times New Roman" w:hAnsi="Times New Roman"/>
          <w:color w:val="000000"/>
          <w:sz w:val="24"/>
          <w:szCs w:val="24"/>
        </w:rPr>
        <w:t xml:space="preserve">Mr. </w:t>
      </w:r>
      <w:r w:rsidR="00160F05">
        <w:rPr>
          <w:rFonts w:ascii="Times New Roman" w:hAnsi="Times New Roman"/>
          <w:color w:val="000000"/>
          <w:sz w:val="24"/>
          <w:szCs w:val="24"/>
        </w:rPr>
        <w:t>Michael P. Gorman.</w:t>
      </w:r>
      <w:r w:rsidR="004F7E1F" w:rsidRPr="004F7E1F">
        <w:rPr>
          <w:rFonts w:ascii="Times New Roman" w:hAnsi="Times New Roman"/>
          <w:color w:val="000000"/>
          <w:sz w:val="24"/>
          <w:szCs w:val="24"/>
        </w:rPr>
        <w:t xml:space="preserve">  In my analysis, I will </w:t>
      </w:r>
      <w:r w:rsidR="00502933">
        <w:rPr>
          <w:rFonts w:ascii="Times New Roman" w:hAnsi="Times New Roman"/>
          <w:color w:val="000000"/>
          <w:sz w:val="24"/>
          <w:szCs w:val="24"/>
        </w:rPr>
        <w:t>demonstrate that</w:t>
      </w:r>
      <w:r w:rsidR="004F7E1F" w:rsidRPr="004F7E1F">
        <w:rPr>
          <w:rFonts w:ascii="Times New Roman" w:hAnsi="Times New Roman"/>
          <w:color w:val="000000"/>
          <w:sz w:val="24"/>
          <w:szCs w:val="24"/>
        </w:rPr>
        <w:t xml:space="preserve"> their rate of return recommendations are not consistent with the ongoing equity market volatility</w:t>
      </w:r>
      <w:r w:rsidR="00160F05">
        <w:rPr>
          <w:rFonts w:ascii="Times New Roman" w:hAnsi="Times New Roman"/>
          <w:color w:val="000000"/>
          <w:sz w:val="24"/>
          <w:szCs w:val="24"/>
        </w:rPr>
        <w:t xml:space="preserve"> or the </w:t>
      </w:r>
      <w:r w:rsidR="002A0803">
        <w:rPr>
          <w:rFonts w:ascii="Times New Roman" w:hAnsi="Times New Roman"/>
          <w:color w:val="000000"/>
          <w:sz w:val="24"/>
          <w:szCs w:val="24"/>
        </w:rPr>
        <w:t xml:space="preserve">continuing </w:t>
      </w:r>
      <w:r w:rsidR="00160F05">
        <w:rPr>
          <w:rFonts w:ascii="Times New Roman" w:hAnsi="Times New Roman"/>
          <w:color w:val="000000"/>
          <w:sz w:val="24"/>
          <w:szCs w:val="24"/>
        </w:rPr>
        <w:t xml:space="preserve">financial distress </w:t>
      </w:r>
      <w:r w:rsidR="002A0803">
        <w:rPr>
          <w:rFonts w:ascii="Times New Roman" w:hAnsi="Times New Roman"/>
          <w:color w:val="000000"/>
          <w:sz w:val="24"/>
          <w:szCs w:val="24"/>
        </w:rPr>
        <w:t xml:space="preserve">that </w:t>
      </w:r>
      <w:r w:rsidR="00160F05">
        <w:rPr>
          <w:rFonts w:ascii="Times New Roman" w:hAnsi="Times New Roman"/>
          <w:color w:val="000000"/>
          <w:sz w:val="24"/>
          <w:szCs w:val="24"/>
        </w:rPr>
        <w:t>the U.S. economy is undergoing.</w:t>
      </w:r>
      <w:r w:rsidR="004F7E1F" w:rsidRPr="004F7E1F">
        <w:rPr>
          <w:rFonts w:ascii="Times New Roman" w:hAnsi="Times New Roman"/>
          <w:color w:val="000000"/>
          <w:sz w:val="24"/>
          <w:szCs w:val="24"/>
        </w:rPr>
        <w:t xml:space="preserve">  I will also respond to the other witnesses</w:t>
      </w:r>
      <w:r w:rsidR="003C18EA">
        <w:rPr>
          <w:rFonts w:ascii="Times New Roman" w:hAnsi="Times New Roman"/>
          <w:color w:val="000000"/>
          <w:sz w:val="24"/>
          <w:szCs w:val="24"/>
        </w:rPr>
        <w:t>’</w:t>
      </w:r>
      <w:r w:rsidR="004F7E1F" w:rsidRPr="004F7E1F">
        <w:rPr>
          <w:rFonts w:ascii="Times New Roman" w:hAnsi="Times New Roman"/>
          <w:color w:val="000000"/>
          <w:sz w:val="24"/>
          <w:szCs w:val="24"/>
        </w:rPr>
        <w:t xml:space="preserve"> comments on the methodology I used in my </w:t>
      </w:r>
      <w:r w:rsidR="00734B3E">
        <w:rPr>
          <w:rFonts w:ascii="Times New Roman" w:hAnsi="Times New Roman"/>
          <w:color w:val="000000"/>
          <w:sz w:val="24"/>
          <w:szCs w:val="24"/>
        </w:rPr>
        <w:t>d</w:t>
      </w:r>
      <w:r w:rsidR="004F7E1F" w:rsidRPr="004F7E1F">
        <w:rPr>
          <w:rFonts w:ascii="Times New Roman" w:hAnsi="Times New Roman"/>
          <w:color w:val="000000"/>
          <w:sz w:val="24"/>
          <w:szCs w:val="24"/>
        </w:rPr>
        <w:t xml:space="preserve">irect </w:t>
      </w:r>
      <w:r w:rsidR="00734B3E">
        <w:rPr>
          <w:rFonts w:ascii="Times New Roman" w:hAnsi="Times New Roman"/>
          <w:color w:val="000000"/>
          <w:sz w:val="24"/>
          <w:szCs w:val="24"/>
        </w:rPr>
        <w:t>t</w:t>
      </w:r>
      <w:r w:rsidR="004F7E1F" w:rsidRPr="004F7E1F">
        <w:rPr>
          <w:rFonts w:ascii="Times New Roman" w:hAnsi="Times New Roman"/>
          <w:color w:val="000000"/>
          <w:sz w:val="24"/>
          <w:szCs w:val="24"/>
        </w:rPr>
        <w:t xml:space="preserve">estimony to estimate </w:t>
      </w:r>
      <w:r w:rsidR="003C18EA">
        <w:rPr>
          <w:rFonts w:ascii="Times New Roman" w:hAnsi="Times New Roman"/>
          <w:color w:val="000000"/>
          <w:sz w:val="24"/>
          <w:szCs w:val="24"/>
        </w:rPr>
        <w:t>PacifiCorp’s</w:t>
      </w:r>
      <w:r w:rsidR="003C18EA" w:rsidRPr="004F7E1F">
        <w:rPr>
          <w:rFonts w:ascii="Times New Roman" w:hAnsi="Times New Roman"/>
          <w:color w:val="000000"/>
          <w:sz w:val="24"/>
          <w:szCs w:val="24"/>
        </w:rPr>
        <w:t xml:space="preserve"> </w:t>
      </w:r>
      <w:r w:rsidR="004F7E1F" w:rsidRPr="004F7E1F">
        <w:rPr>
          <w:rFonts w:ascii="Times New Roman" w:hAnsi="Times New Roman"/>
          <w:color w:val="000000"/>
          <w:sz w:val="24"/>
          <w:szCs w:val="24"/>
        </w:rPr>
        <w:t>cost of equity and I will update my ROE analysis for current market costs and conditions.</w:t>
      </w:r>
    </w:p>
    <w:p w:rsidR="00742879" w:rsidRDefault="0034397E" w:rsidP="00160F05">
      <w:pPr>
        <w:pStyle w:val="FootnoteText"/>
        <w:rPr>
          <w:rFonts w:ascii="Times New Roman" w:hAnsi="Times New Roman"/>
          <w:b/>
          <w:color w:val="000000"/>
          <w:sz w:val="24"/>
          <w:szCs w:val="24"/>
        </w:rPr>
      </w:pPr>
      <w:r>
        <w:rPr>
          <w:rFonts w:ascii="Times New Roman" w:hAnsi="Times New Roman"/>
          <w:b/>
          <w:color w:val="000000"/>
          <w:sz w:val="24"/>
          <w:szCs w:val="24"/>
        </w:rPr>
        <w:t xml:space="preserve">Review of </w:t>
      </w:r>
      <w:r w:rsidR="00742879">
        <w:rPr>
          <w:rFonts w:ascii="Times New Roman" w:hAnsi="Times New Roman"/>
          <w:b/>
          <w:color w:val="000000"/>
          <w:sz w:val="24"/>
          <w:szCs w:val="24"/>
        </w:rPr>
        <w:t>Other Parties</w:t>
      </w:r>
      <w:r w:rsidR="003C18EA">
        <w:rPr>
          <w:rFonts w:ascii="Times New Roman" w:hAnsi="Times New Roman"/>
          <w:b/>
          <w:color w:val="000000"/>
          <w:sz w:val="24"/>
          <w:szCs w:val="24"/>
        </w:rPr>
        <w:t>’</w:t>
      </w:r>
      <w:r w:rsidR="00742879">
        <w:rPr>
          <w:rFonts w:ascii="Times New Roman" w:hAnsi="Times New Roman"/>
          <w:b/>
          <w:color w:val="000000"/>
          <w:sz w:val="24"/>
          <w:szCs w:val="24"/>
        </w:rPr>
        <w:t xml:space="preserve"> Recommendations</w:t>
      </w:r>
    </w:p>
    <w:p w:rsidR="004F7E1F" w:rsidRPr="00160F05" w:rsidRDefault="004F7E1F" w:rsidP="00160F05">
      <w:pPr>
        <w:pStyle w:val="FootnoteText"/>
        <w:rPr>
          <w:rFonts w:ascii="Times New Roman" w:hAnsi="Times New Roman"/>
          <w:b/>
          <w:color w:val="000000"/>
          <w:sz w:val="24"/>
          <w:szCs w:val="24"/>
        </w:rPr>
      </w:pPr>
      <w:r w:rsidRPr="00160F05">
        <w:rPr>
          <w:rFonts w:ascii="Times New Roman" w:hAnsi="Times New Roman"/>
          <w:b/>
          <w:color w:val="000000"/>
          <w:sz w:val="24"/>
          <w:szCs w:val="24"/>
        </w:rPr>
        <w:t>Q</w:t>
      </w:r>
      <w:r w:rsidR="00160F05">
        <w:rPr>
          <w:rFonts w:ascii="Times New Roman" w:hAnsi="Times New Roman"/>
          <w:b/>
          <w:color w:val="000000"/>
          <w:sz w:val="24"/>
          <w:szCs w:val="24"/>
        </w:rPr>
        <w:t>.</w:t>
      </w:r>
      <w:r w:rsidRPr="00160F05">
        <w:rPr>
          <w:rFonts w:ascii="Times New Roman" w:hAnsi="Times New Roman"/>
          <w:b/>
          <w:color w:val="000000"/>
          <w:sz w:val="24"/>
          <w:szCs w:val="24"/>
        </w:rPr>
        <w:tab/>
        <w:t>What are the parties</w:t>
      </w:r>
      <w:r w:rsidR="003C18EA">
        <w:rPr>
          <w:rFonts w:ascii="Times New Roman" w:hAnsi="Times New Roman"/>
          <w:b/>
          <w:color w:val="000000"/>
          <w:sz w:val="24"/>
          <w:szCs w:val="24"/>
        </w:rPr>
        <w:t>’</w:t>
      </w:r>
      <w:r w:rsidRPr="00160F05">
        <w:rPr>
          <w:rFonts w:ascii="Times New Roman" w:hAnsi="Times New Roman"/>
          <w:b/>
          <w:color w:val="000000"/>
          <w:sz w:val="24"/>
          <w:szCs w:val="24"/>
        </w:rPr>
        <w:t xml:space="preserve"> ROE recommendations?</w:t>
      </w:r>
    </w:p>
    <w:p w:rsidR="004F7E1F" w:rsidRPr="00B24127" w:rsidRDefault="004F7E1F" w:rsidP="00160F05">
      <w:pPr>
        <w:pStyle w:val="FootnoteText"/>
        <w:rPr>
          <w:rFonts w:ascii="Times New Roman" w:hAnsi="Times New Roman"/>
          <w:color w:val="000000"/>
          <w:sz w:val="24"/>
          <w:szCs w:val="24"/>
        </w:rPr>
      </w:pPr>
      <w:r w:rsidRPr="00160F05">
        <w:rPr>
          <w:rFonts w:ascii="Times New Roman" w:hAnsi="Times New Roman"/>
          <w:color w:val="000000"/>
          <w:sz w:val="24"/>
          <w:szCs w:val="24"/>
        </w:rPr>
        <w:t>A</w:t>
      </w:r>
      <w:r w:rsidR="00160F05" w:rsidRPr="00160F05">
        <w:rPr>
          <w:rFonts w:ascii="Times New Roman" w:hAnsi="Times New Roman"/>
          <w:color w:val="000000"/>
          <w:sz w:val="24"/>
          <w:szCs w:val="24"/>
        </w:rPr>
        <w:t>.</w:t>
      </w:r>
      <w:r w:rsidRPr="00160F05">
        <w:rPr>
          <w:rFonts w:ascii="Times New Roman" w:hAnsi="Times New Roman"/>
          <w:color w:val="000000"/>
          <w:sz w:val="24"/>
          <w:szCs w:val="24"/>
        </w:rPr>
        <w:tab/>
        <w:t>M</w:t>
      </w:r>
      <w:r w:rsidR="00160F05" w:rsidRPr="00160F05">
        <w:rPr>
          <w:rFonts w:ascii="Times New Roman" w:hAnsi="Times New Roman"/>
          <w:color w:val="000000"/>
          <w:sz w:val="24"/>
          <w:szCs w:val="24"/>
        </w:rPr>
        <w:t>ess</w:t>
      </w:r>
      <w:r w:rsidRPr="00160F05">
        <w:rPr>
          <w:rFonts w:ascii="Times New Roman" w:hAnsi="Times New Roman"/>
          <w:color w:val="000000"/>
          <w:sz w:val="24"/>
          <w:szCs w:val="24"/>
        </w:rPr>
        <w:t>r</w:t>
      </w:r>
      <w:r w:rsidR="00160F05" w:rsidRPr="00160F05">
        <w:rPr>
          <w:rFonts w:ascii="Times New Roman" w:hAnsi="Times New Roman"/>
          <w:color w:val="000000"/>
          <w:sz w:val="24"/>
          <w:szCs w:val="24"/>
        </w:rPr>
        <w:t>s</w:t>
      </w:r>
      <w:r w:rsidRPr="00160F05">
        <w:rPr>
          <w:rFonts w:ascii="Times New Roman" w:hAnsi="Times New Roman"/>
          <w:color w:val="000000"/>
          <w:sz w:val="24"/>
          <w:szCs w:val="24"/>
        </w:rPr>
        <w:t xml:space="preserve">. </w:t>
      </w:r>
      <w:r w:rsidR="00160F05" w:rsidRPr="00160F05">
        <w:rPr>
          <w:rFonts w:ascii="Times New Roman" w:hAnsi="Times New Roman"/>
          <w:color w:val="000000"/>
          <w:sz w:val="24"/>
          <w:szCs w:val="24"/>
        </w:rPr>
        <w:t xml:space="preserve">Elgin and </w:t>
      </w:r>
      <w:r w:rsidRPr="00160F05">
        <w:rPr>
          <w:rFonts w:ascii="Times New Roman" w:hAnsi="Times New Roman"/>
          <w:color w:val="000000"/>
          <w:sz w:val="24"/>
          <w:szCs w:val="24"/>
        </w:rPr>
        <w:t>G</w:t>
      </w:r>
      <w:r w:rsidR="00160F05" w:rsidRPr="00160F05">
        <w:rPr>
          <w:rFonts w:ascii="Times New Roman" w:hAnsi="Times New Roman"/>
          <w:color w:val="000000"/>
          <w:sz w:val="24"/>
          <w:szCs w:val="24"/>
        </w:rPr>
        <w:t>orman</w:t>
      </w:r>
      <w:r w:rsidRPr="00160F05">
        <w:rPr>
          <w:rFonts w:ascii="Times New Roman" w:hAnsi="Times New Roman"/>
          <w:color w:val="000000"/>
          <w:sz w:val="24"/>
          <w:szCs w:val="24"/>
        </w:rPr>
        <w:t xml:space="preserve"> </w:t>
      </w:r>
      <w:r w:rsidR="00160F05" w:rsidRPr="00160F05">
        <w:rPr>
          <w:rFonts w:ascii="Times New Roman" w:hAnsi="Times New Roman"/>
          <w:color w:val="000000"/>
          <w:sz w:val="24"/>
          <w:szCs w:val="24"/>
        </w:rPr>
        <w:t xml:space="preserve">both </w:t>
      </w:r>
      <w:r w:rsidRPr="00160F05">
        <w:rPr>
          <w:rFonts w:ascii="Times New Roman" w:hAnsi="Times New Roman"/>
          <w:color w:val="000000"/>
          <w:sz w:val="24"/>
          <w:szCs w:val="24"/>
        </w:rPr>
        <w:t xml:space="preserve">recommend an ROE of </w:t>
      </w:r>
      <w:r w:rsidR="00160F05" w:rsidRPr="00160F05">
        <w:rPr>
          <w:rFonts w:ascii="Times New Roman" w:hAnsi="Times New Roman"/>
          <w:color w:val="000000"/>
          <w:sz w:val="24"/>
          <w:szCs w:val="24"/>
        </w:rPr>
        <w:t xml:space="preserve">only </w:t>
      </w:r>
      <w:r w:rsidRPr="00160F05">
        <w:rPr>
          <w:rFonts w:ascii="Times New Roman" w:hAnsi="Times New Roman"/>
          <w:color w:val="000000"/>
          <w:sz w:val="24"/>
          <w:szCs w:val="24"/>
        </w:rPr>
        <w:t>9.</w:t>
      </w:r>
      <w:r w:rsidR="00160F05" w:rsidRPr="00160F05">
        <w:rPr>
          <w:rFonts w:ascii="Times New Roman" w:hAnsi="Times New Roman"/>
          <w:color w:val="000000"/>
          <w:sz w:val="24"/>
          <w:szCs w:val="24"/>
        </w:rPr>
        <w:t>5</w:t>
      </w:r>
      <w:r w:rsidRPr="00160F05">
        <w:rPr>
          <w:rFonts w:ascii="Times New Roman" w:hAnsi="Times New Roman"/>
          <w:color w:val="000000"/>
          <w:sz w:val="24"/>
          <w:szCs w:val="24"/>
        </w:rPr>
        <w:t xml:space="preserve"> percent</w:t>
      </w:r>
      <w:r w:rsidR="00160F05" w:rsidRPr="00160F05">
        <w:rPr>
          <w:rFonts w:ascii="Times New Roman" w:hAnsi="Times New Roman"/>
          <w:color w:val="000000"/>
          <w:sz w:val="24"/>
          <w:szCs w:val="24"/>
        </w:rPr>
        <w:t>.</w:t>
      </w:r>
      <w:r w:rsidRPr="00160F05">
        <w:rPr>
          <w:rFonts w:ascii="Times New Roman" w:hAnsi="Times New Roman"/>
          <w:color w:val="000000"/>
          <w:sz w:val="24"/>
          <w:szCs w:val="24"/>
        </w:rPr>
        <w:t xml:space="preserve"> </w:t>
      </w:r>
      <w:r w:rsidR="003723E3">
        <w:rPr>
          <w:rFonts w:ascii="Times New Roman" w:hAnsi="Times New Roman"/>
          <w:color w:val="000000"/>
          <w:sz w:val="24"/>
          <w:szCs w:val="24"/>
        </w:rPr>
        <w:t xml:space="preserve"> </w:t>
      </w:r>
      <w:r w:rsidRPr="00160F05">
        <w:rPr>
          <w:rFonts w:ascii="Times New Roman" w:hAnsi="Times New Roman"/>
          <w:color w:val="000000"/>
          <w:sz w:val="24"/>
          <w:szCs w:val="24"/>
        </w:rPr>
        <w:t xml:space="preserve">As I will explain in my updated ROE analysis, the </w:t>
      </w:r>
      <w:r w:rsidR="002A0803">
        <w:rPr>
          <w:rFonts w:ascii="Times New Roman" w:hAnsi="Times New Roman"/>
          <w:color w:val="000000"/>
          <w:sz w:val="24"/>
          <w:szCs w:val="24"/>
        </w:rPr>
        <w:t>Company</w:t>
      </w:r>
      <w:r w:rsidR="00646C6D">
        <w:rPr>
          <w:rFonts w:ascii="Times New Roman" w:hAnsi="Times New Roman"/>
          <w:color w:val="000000"/>
          <w:sz w:val="24"/>
          <w:szCs w:val="24"/>
        </w:rPr>
        <w:t>’s</w:t>
      </w:r>
      <w:r w:rsidR="002A0803">
        <w:rPr>
          <w:rFonts w:ascii="Times New Roman" w:hAnsi="Times New Roman"/>
          <w:color w:val="000000"/>
          <w:sz w:val="24"/>
          <w:szCs w:val="24"/>
        </w:rPr>
        <w:t xml:space="preserve"> </w:t>
      </w:r>
      <w:r w:rsidR="00B965FD">
        <w:rPr>
          <w:rFonts w:ascii="Times New Roman" w:hAnsi="Times New Roman"/>
          <w:color w:val="000000"/>
          <w:sz w:val="24"/>
          <w:szCs w:val="24"/>
        </w:rPr>
        <w:t xml:space="preserve">initially requested </w:t>
      </w:r>
      <w:r w:rsidR="00160F05" w:rsidRPr="00160F05">
        <w:rPr>
          <w:rFonts w:ascii="Times New Roman" w:hAnsi="Times New Roman"/>
          <w:color w:val="000000"/>
          <w:sz w:val="24"/>
          <w:szCs w:val="24"/>
        </w:rPr>
        <w:t xml:space="preserve">10.6 percent ROE </w:t>
      </w:r>
      <w:r w:rsidR="002A0803">
        <w:rPr>
          <w:rFonts w:ascii="Times New Roman" w:hAnsi="Times New Roman"/>
          <w:color w:val="000000"/>
          <w:sz w:val="24"/>
          <w:szCs w:val="24"/>
        </w:rPr>
        <w:t xml:space="preserve">request </w:t>
      </w:r>
      <w:r w:rsidR="00160F05" w:rsidRPr="00160F05">
        <w:rPr>
          <w:rFonts w:ascii="Times New Roman" w:hAnsi="Times New Roman"/>
          <w:color w:val="000000"/>
          <w:sz w:val="24"/>
          <w:szCs w:val="24"/>
        </w:rPr>
        <w:t>remains well supported by my updated DCF analysis</w:t>
      </w:r>
      <w:r w:rsidR="00732EA2">
        <w:rPr>
          <w:rFonts w:ascii="Times New Roman" w:hAnsi="Times New Roman"/>
          <w:color w:val="000000"/>
          <w:sz w:val="24"/>
          <w:szCs w:val="24"/>
        </w:rPr>
        <w:t xml:space="preserve">.  </w:t>
      </w:r>
      <w:r w:rsidR="00B24127" w:rsidRPr="00B24127">
        <w:rPr>
          <w:rFonts w:ascii="Times New Roman" w:hAnsi="Times New Roman"/>
        </w:rPr>
        <w:t xml:space="preserve"> </w:t>
      </w:r>
      <w:r w:rsidR="00B24127" w:rsidRPr="00B24127">
        <w:rPr>
          <w:rFonts w:ascii="Times New Roman" w:hAnsi="Times New Roman"/>
          <w:sz w:val="24"/>
          <w:szCs w:val="24"/>
        </w:rPr>
        <w:t xml:space="preserve">Although my risk premium </w:t>
      </w:r>
      <w:r w:rsidR="00B24127">
        <w:rPr>
          <w:rFonts w:ascii="Times New Roman" w:hAnsi="Times New Roman"/>
          <w:sz w:val="24"/>
          <w:szCs w:val="24"/>
        </w:rPr>
        <w:t>results are lower,</w:t>
      </w:r>
      <w:r w:rsidR="00B24127" w:rsidRPr="00B24127">
        <w:rPr>
          <w:rFonts w:ascii="Times New Roman" w:hAnsi="Times New Roman"/>
          <w:sz w:val="24"/>
          <w:szCs w:val="24"/>
        </w:rPr>
        <w:t xml:space="preserve"> I discount those results due to </w:t>
      </w:r>
      <w:r w:rsidR="00B24127">
        <w:rPr>
          <w:rFonts w:ascii="Times New Roman" w:hAnsi="Times New Roman"/>
          <w:sz w:val="24"/>
          <w:szCs w:val="24"/>
        </w:rPr>
        <w:t xml:space="preserve">the </w:t>
      </w:r>
      <w:r w:rsidR="00B24127" w:rsidRPr="00B24127">
        <w:rPr>
          <w:rFonts w:ascii="Times New Roman" w:hAnsi="Times New Roman"/>
          <w:sz w:val="24"/>
          <w:szCs w:val="24"/>
        </w:rPr>
        <w:t xml:space="preserve">ongoing </w:t>
      </w:r>
      <w:r w:rsidR="00B24127">
        <w:rPr>
          <w:rFonts w:ascii="Times New Roman" w:hAnsi="Times New Roman"/>
          <w:sz w:val="24"/>
          <w:szCs w:val="24"/>
        </w:rPr>
        <w:t xml:space="preserve">equity </w:t>
      </w:r>
      <w:r w:rsidR="00B24127" w:rsidRPr="00B24127">
        <w:rPr>
          <w:rFonts w:ascii="Times New Roman" w:hAnsi="Times New Roman"/>
          <w:sz w:val="24"/>
          <w:szCs w:val="24"/>
        </w:rPr>
        <w:t xml:space="preserve">market turmoil and </w:t>
      </w:r>
      <w:r w:rsidR="00B24127">
        <w:rPr>
          <w:rFonts w:ascii="Times New Roman" w:hAnsi="Times New Roman"/>
          <w:sz w:val="24"/>
          <w:szCs w:val="24"/>
        </w:rPr>
        <w:t xml:space="preserve">the </w:t>
      </w:r>
      <w:r w:rsidR="00CE6C16">
        <w:rPr>
          <w:rFonts w:ascii="Times New Roman" w:hAnsi="Times New Roman"/>
          <w:sz w:val="24"/>
          <w:szCs w:val="24"/>
        </w:rPr>
        <w:t xml:space="preserve">artificially </w:t>
      </w:r>
      <w:r w:rsidR="00B24127">
        <w:rPr>
          <w:rFonts w:ascii="Times New Roman" w:hAnsi="Times New Roman"/>
          <w:sz w:val="24"/>
          <w:szCs w:val="24"/>
        </w:rPr>
        <w:t xml:space="preserve">low interest rates that are </w:t>
      </w:r>
      <w:r w:rsidR="00734B3E">
        <w:rPr>
          <w:rFonts w:ascii="Times New Roman" w:hAnsi="Times New Roman"/>
          <w:sz w:val="24"/>
          <w:szCs w:val="24"/>
        </w:rPr>
        <w:t xml:space="preserve">the </w:t>
      </w:r>
      <w:r w:rsidR="00B24127">
        <w:rPr>
          <w:rFonts w:ascii="Times New Roman" w:hAnsi="Times New Roman"/>
          <w:sz w:val="24"/>
          <w:szCs w:val="24"/>
        </w:rPr>
        <w:lastRenderedPageBreak/>
        <w:t>result</w:t>
      </w:r>
      <w:r w:rsidR="00734B3E">
        <w:rPr>
          <w:rFonts w:ascii="Times New Roman" w:hAnsi="Times New Roman"/>
          <w:sz w:val="24"/>
          <w:szCs w:val="24"/>
        </w:rPr>
        <w:t xml:space="preserve"> of</w:t>
      </w:r>
      <w:r w:rsidR="00CE6C16">
        <w:rPr>
          <w:rFonts w:ascii="Times New Roman" w:hAnsi="Times New Roman"/>
          <w:sz w:val="24"/>
          <w:szCs w:val="24"/>
        </w:rPr>
        <w:t xml:space="preserve"> the government</w:t>
      </w:r>
      <w:r w:rsidR="003C18EA">
        <w:rPr>
          <w:rFonts w:ascii="Times New Roman" w:hAnsi="Times New Roman"/>
          <w:sz w:val="24"/>
          <w:szCs w:val="24"/>
        </w:rPr>
        <w:t>’</w:t>
      </w:r>
      <w:r w:rsidR="00CE6C16">
        <w:rPr>
          <w:rFonts w:ascii="Times New Roman" w:hAnsi="Times New Roman"/>
          <w:sz w:val="24"/>
          <w:szCs w:val="24"/>
        </w:rPr>
        <w:t>s</w:t>
      </w:r>
      <w:r w:rsidR="00B24127">
        <w:rPr>
          <w:rFonts w:ascii="Times New Roman" w:hAnsi="Times New Roman"/>
          <w:sz w:val="24"/>
          <w:szCs w:val="24"/>
        </w:rPr>
        <w:t xml:space="preserve"> </w:t>
      </w:r>
      <w:r w:rsidR="00CE6C16">
        <w:rPr>
          <w:rFonts w:ascii="Times New Roman" w:hAnsi="Times New Roman"/>
          <w:sz w:val="24"/>
          <w:szCs w:val="24"/>
        </w:rPr>
        <w:t xml:space="preserve">expansionary </w:t>
      </w:r>
      <w:r w:rsidR="00B24127" w:rsidRPr="00B24127">
        <w:rPr>
          <w:rFonts w:ascii="Times New Roman" w:hAnsi="Times New Roman"/>
          <w:sz w:val="24"/>
          <w:szCs w:val="24"/>
        </w:rPr>
        <w:t>monetary policy, which I will discuss later in this testimony</w:t>
      </w:r>
      <w:r w:rsidR="00B24127">
        <w:rPr>
          <w:rFonts w:ascii="Times New Roman" w:hAnsi="Times New Roman"/>
          <w:sz w:val="24"/>
          <w:szCs w:val="24"/>
        </w:rPr>
        <w:t>.</w:t>
      </w:r>
      <w:r w:rsidR="00B24127" w:rsidRPr="00B24127">
        <w:rPr>
          <w:rFonts w:ascii="Times New Roman" w:hAnsi="Times New Roman"/>
          <w:color w:val="000000"/>
          <w:sz w:val="24"/>
          <w:szCs w:val="24"/>
        </w:rPr>
        <w:t xml:space="preserve"> </w:t>
      </w:r>
    </w:p>
    <w:p w:rsidR="004F7E1F" w:rsidRPr="00916930" w:rsidRDefault="004F7E1F" w:rsidP="00916930">
      <w:pPr>
        <w:pStyle w:val="FootnoteText"/>
        <w:rPr>
          <w:rFonts w:ascii="Times New Roman" w:hAnsi="Times New Roman"/>
          <w:b/>
          <w:color w:val="000000"/>
          <w:sz w:val="24"/>
          <w:szCs w:val="24"/>
        </w:rPr>
      </w:pPr>
      <w:r w:rsidRPr="00916930">
        <w:rPr>
          <w:rFonts w:ascii="Times New Roman" w:hAnsi="Times New Roman"/>
          <w:b/>
          <w:color w:val="000000"/>
          <w:sz w:val="24"/>
          <w:szCs w:val="24"/>
        </w:rPr>
        <w:t>Q</w:t>
      </w:r>
      <w:r w:rsidR="00916930">
        <w:rPr>
          <w:rFonts w:ascii="Times New Roman" w:hAnsi="Times New Roman"/>
          <w:b/>
          <w:color w:val="000000"/>
          <w:sz w:val="24"/>
          <w:szCs w:val="24"/>
        </w:rPr>
        <w:t>.</w:t>
      </w:r>
      <w:r w:rsidRPr="00916930">
        <w:rPr>
          <w:rFonts w:ascii="Times New Roman" w:hAnsi="Times New Roman"/>
          <w:b/>
          <w:color w:val="000000"/>
          <w:sz w:val="24"/>
          <w:szCs w:val="24"/>
        </w:rPr>
        <w:tab/>
        <w:t>What is your general assessment of the other parties</w:t>
      </w:r>
      <w:r w:rsidR="003C18EA">
        <w:rPr>
          <w:rFonts w:ascii="Times New Roman" w:hAnsi="Times New Roman"/>
          <w:b/>
          <w:color w:val="000000"/>
          <w:sz w:val="24"/>
          <w:szCs w:val="24"/>
        </w:rPr>
        <w:t>’</w:t>
      </w:r>
      <w:r w:rsidRPr="00916930">
        <w:rPr>
          <w:rFonts w:ascii="Times New Roman" w:hAnsi="Times New Roman"/>
          <w:b/>
          <w:color w:val="000000"/>
          <w:sz w:val="24"/>
          <w:szCs w:val="24"/>
        </w:rPr>
        <w:t xml:space="preserve"> ROE recommendations?</w:t>
      </w:r>
    </w:p>
    <w:p w:rsidR="004F7E1F" w:rsidRPr="00571B7E" w:rsidRDefault="004F7E1F" w:rsidP="00571B7E">
      <w:pPr>
        <w:pStyle w:val="FootnoteText"/>
        <w:rPr>
          <w:rFonts w:ascii="Times New Roman" w:hAnsi="Times New Roman"/>
          <w:color w:val="000000"/>
          <w:sz w:val="24"/>
          <w:szCs w:val="24"/>
        </w:rPr>
      </w:pPr>
      <w:r w:rsidRPr="00571B7E">
        <w:rPr>
          <w:rFonts w:ascii="Times New Roman" w:hAnsi="Times New Roman"/>
          <w:color w:val="000000"/>
          <w:sz w:val="24"/>
          <w:szCs w:val="24"/>
        </w:rPr>
        <w:t>A</w:t>
      </w:r>
      <w:r w:rsidR="00571B7E" w:rsidRPr="00571B7E">
        <w:rPr>
          <w:rFonts w:ascii="Times New Roman" w:hAnsi="Times New Roman"/>
          <w:color w:val="000000"/>
          <w:sz w:val="24"/>
          <w:szCs w:val="24"/>
        </w:rPr>
        <w:t>.</w:t>
      </w:r>
      <w:r w:rsidRPr="00571B7E">
        <w:rPr>
          <w:rFonts w:ascii="Times New Roman" w:hAnsi="Times New Roman"/>
          <w:color w:val="000000"/>
          <w:sz w:val="24"/>
          <w:szCs w:val="24"/>
        </w:rPr>
        <w:tab/>
        <w:t xml:space="preserve">Their recommendations are well below </w:t>
      </w:r>
      <w:r w:rsidR="00571B7E" w:rsidRPr="00571B7E">
        <w:rPr>
          <w:rFonts w:ascii="Times New Roman" w:hAnsi="Times New Roman"/>
          <w:color w:val="000000"/>
          <w:sz w:val="24"/>
          <w:szCs w:val="24"/>
        </w:rPr>
        <w:t>PacifiCorp</w:t>
      </w:r>
      <w:r w:rsidR="003C18EA">
        <w:rPr>
          <w:rFonts w:ascii="Times New Roman" w:hAnsi="Times New Roman"/>
          <w:color w:val="000000"/>
          <w:sz w:val="24"/>
          <w:szCs w:val="24"/>
        </w:rPr>
        <w:t>’</w:t>
      </w:r>
      <w:r w:rsidR="00571B7E" w:rsidRPr="00571B7E">
        <w:rPr>
          <w:rFonts w:ascii="Times New Roman" w:hAnsi="Times New Roman"/>
          <w:color w:val="000000"/>
          <w:sz w:val="24"/>
          <w:szCs w:val="24"/>
        </w:rPr>
        <w:t>s</w:t>
      </w:r>
      <w:r w:rsidRPr="00571B7E">
        <w:rPr>
          <w:rFonts w:ascii="Times New Roman" w:hAnsi="Times New Roman"/>
          <w:color w:val="000000"/>
          <w:sz w:val="24"/>
          <w:szCs w:val="24"/>
        </w:rPr>
        <w:t xml:space="preserve"> market cost of equity capital.  </w:t>
      </w:r>
      <w:r w:rsidR="008A5040">
        <w:rPr>
          <w:rFonts w:ascii="Times New Roman" w:hAnsi="Times New Roman"/>
          <w:color w:val="000000"/>
          <w:sz w:val="24"/>
          <w:szCs w:val="24"/>
        </w:rPr>
        <w:t>T</w:t>
      </w:r>
      <w:r w:rsidRPr="00571B7E">
        <w:rPr>
          <w:rFonts w:ascii="Times New Roman" w:hAnsi="Times New Roman"/>
          <w:color w:val="000000"/>
          <w:sz w:val="24"/>
          <w:szCs w:val="24"/>
        </w:rPr>
        <w:t xml:space="preserve">heir recommendations are </w:t>
      </w:r>
      <w:r w:rsidR="008A5040">
        <w:rPr>
          <w:rFonts w:ascii="Times New Roman" w:hAnsi="Times New Roman"/>
          <w:color w:val="000000"/>
          <w:sz w:val="24"/>
          <w:szCs w:val="24"/>
        </w:rPr>
        <w:t>much lower</w:t>
      </w:r>
      <w:r w:rsidRPr="00571B7E">
        <w:rPr>
          <w:rFonts w:ascii="Times New Roman" w:hAnsi="Times New Roman"/>
          <w:color w:val="000000"/>
          <w:sz w:val="24"/>
          <w:szCs w:val="24"/>
        </w:rPr>
        <w:t xml:space="preserve"> </w:t>
      </w:r>
      <w:r w:rsidR="008A5040">
        <w:rPr>
          <w:rFonts w:ascii="Times New Roman" w:hAnsi="Times New Roman"/>
          <w:color w:val="000000"/>
          <w:sz w:val="24"/>
          <w:szCs w:val="24"/>
        </w:rPr>
        <w:t xml:space="preserve">than recent </w:t>
      </w:r>
      <w:r w:rsidRPr="00571B7E">
        <w:rPr>
          <w:rFonts w:ascii="Times New Roman" w:hAnsi="Times New Roman"/>
          <w:color w:val="000000"/>
          <w:sz w:val="24"/>
          <w:szCs w:val="24"/>
        </w:rPr>
        <w:t xml:space="preserve">allowed ROEs for other electric utilities </w:t>
      </w:r>
      <w:r w:rsidR="008A5040">
        <w:rPr>
          <w:rFonts w:ascii="Times New Roman" w:hAnsi="Times New Roman"/>
          <w:color w:val="000000"/>
          <w:sz w:val="24"/>
          <w:szCs w:val="24"/>
        </w:rPr>
        <w:t xml:space="preserve">in the State of Washington and </w:t>
      </w:r>
      <w:r w:rsidRPr="00571B7E">
        <w:rPr>
          <w:rFonts w:ascii="Times New Roman" w:hAnsi="Times New Roman"/>
          <w:color w:val="000000"/>
          <w:sz w:val="24"/>
          <w:szCs w:val="24"/>
        </w:rPr>
        <w:t>around the country.  I will show that their analyses and recommendations are f</w:t>
      </w:r>
      <w:r w:rsidR="002A0803">
        <w:rPr>
          <w:rFonts w:ascii="Times New Roman" w:hAnsi="Times New Roman"/>
          <w:color w:val="000000"/>
          <w:sz w:val="24"/>
          <w:szCs w:val="24"/>
        </w:rPr>
        <w:t>aulty</w:t>
      </w:r>
      <w:r w:rsidRPr="00571B7E">
        <w:rPr>
          <w:rFonts w:ascii="Times New Roman" w:hAnsi="Times New Roman"/>
          <w:color w:val="000000"/>
          <w:sz w:val="24"/>
          <w:szCs w:val="24"/>
        </w:rPr>
        <w:t xml:space="preserve"> because </w:t>
      </w:r>
      <w:r w:rsidR="00B965FD">
        <w:rPr>
          <w:rFonts w:ascii="Times New Roman" w:hAnsi="Times New Roman"/>
          <w:color w:val="000000"/>
          <w:sz w:val="24"/>
          <w:szCs w:val="24"/>
        </w:rPr>
        <w:t xml:space="preserve">they are based on negatively biased model inputs and </w:t>
      </w:r>
      <w:r w:rsidRPr="00571B7E">
        <w:rPr>
          <w:rFonts w:ascii="Times New Roman" w:hAnsi="Times New Roman"/>
          <w:color w:val="000000"/>
          <w:sz w:val="24"/>
          <w:szCs w:val="24"/>
        </w:rPr>
        <w:t xml:space="preserve">they fail to </w:t>
      </w:r>
      <w:r w:rsidR="008A5040">
        <w:rPr>
          <w:rFonts w:ascii="Times New Roman" w:hAnsi="Times New Roman"/>
          <w:color w:val="000000"/>
          <w:sz w:val="24"/>
          <w:szCs w:val="24"/>
        </w:rPr>
        <w:t xml:space="preserve">reasonably </w:t>
      </w:r>
      <w:r w:rsidRPr="00571B7E">
        <w:rPr>
          <w:rFonts w:ascii="Times New Roman" w:hAnsi="Times New Roman"/>
          <w:color w:val="000000"/>
          <w:sz w:val="24"/>
          <w:szCs w:val="24"/>
        </w:rPr>
        <w:t>consider the ongoing effects of the recent financial crisis.</w:t>
      </w:r>
      <w:r w:rsidR="00B965FD">
        <w:rPr>
          <w:rFonts w:ascii="Times New Roman" w:hAnsi="Times New Roman"/>
          <w:color w:val="000000"/>
          <w:sz w:val="24"/>
          <w:szCs w:val="24"/>
        </w:rPr>
        <w:t xml:space="preserve"> </w:t>
      </w:r>
      <w:r w:rsidRPr="00571B7E">
        <w:rPr>
          <w:rFonts w:ascii="Times New Roman" w:hAnsi="Times New Roman"/>
          <w:color w:val="000000"/>
          <w:sz w:val="24"/>
          <w:szCs w:val="24"/>
        </w:rPr>
        <w:t xml:space="preserve"> </w:t>
      </w:r>
      <w:r w:rsidR="002A0803">
        <w:rPr>
          <w:rFonts w:ascii="Times New Roman" w:hAnsi="Times New Roman"/>
          <w:color w:val="000000"/>
          <w:sz w:val="24"/>
          <w:szCs w:val="24"/>
        </w:rPr>
        <w:t xml:space="preserve">Additionally, </w:t>
      </w:r>
      <w:r w:rsidRPr="00571B7E">
        <w:rPr>
          <w:rFonts w:ascii="Times New Roman" w:hAnsi="Times New Roman"/>
          <w:color w:val="000000"/>
          <w:sz w:val="24"/>
          <w:szCs w:val="24"/>
        </w:rPr>
        <w:t xml:space="preserve">I will provide updated data </w:t>
      </w:r>
      <w:r w:rsidR="002A0803">
        <w:rPr>
          <w:rFonts w:ascii="Times New Roman" w:hAnsi="Times New Roman"/>
          <w:color w:val="000000"/>
          <w:sz w:val="24"/>
          <w:szCs w:val="24"/>
        </w:rPr>
        <w:t xml:space="preserve">and analysis, </w:t>
      </w:r>
      <w:r w:rsidRPr="00571B7E">
        <w:rPr>
          <w:rFonts w:ascii="Times New Roman" w:hAnsi="Times New Roman"/>
          <w:color w:val="000000"/>
          <w:sz w:val="24"/>
          <w:szCs w:val="24"/>
        </w:rPr>
        <w:t xml:space="preserve">which show that </w:t>
      </w:r>
      <w:r w:rsidR="00571B7E" w:rsidRPr="00571B7E">
        <w:rPr>
          <w:rFonts w:ascii="Times New Roman" w:hAnsi="Times New Roman"/>
          <w:color w:val="000000"/>
          <w:sz w:val="24"/>
          <w:szCs w:val="24"/>
        </w:rPr>
        <w:t>PacifiCorp</w:t>
      </w:r>
      <w:r w:rsidR="003C18EA">
        <w:rPr>
          <w:rFonts w:ascii="Times New Roman" w:hAnsi="Times New Roman"/>
          <w:color w:val="000000"/>
          <w:sz w:val="24"/>
          <w:szCs w:val="24"/>
        </w:rPr>
        <w:t>’</w:t>
      </w:r>
      <w:r w:rsidR="00571B7E" w:rsidRPr="00571B7E">
        <w:rPr>
          <w:rFonts w:ascii="Times New Roman" w:hAnsi="Times New Roman"/>
          <w:color w:val="000000"/>
          <w:sz w:val="24"/>
          <w:szCs w:val="24"/>
        </w:rPr>
        <w:t xml:space="preserve">s </w:t>
      </w:r>
      <w:r w:rsidRPr="00571B7E">
        <w:rPr>
          <w:rFonts w:ascii="Times New Roman" w:hAnsi="Times New Roman"/>
          <w:color w:val="000000"/>
          <w:sz w:val="24"/>
          <w:szCs w:val="24"/>
        </w:rPr>
        <w:t>current cost of equity is in the range of 10.</w:t>
      </w:r>
      <w:r w:rsidR="00C94F38">
        <w:rPr>
          <w:rFonts w:ascii="Times New Roman" w:hAnsi="Times New Roman"/>
          <w:color w:val="000000"/>
          <w:sz w:val="24"/>
          <w:szCs w:val="24"/>
        </w:rPr>
        <w:t>3</w:t>
      </w:r>
      <w:r w:rsidRPr="00571B7E">
        <w:rPr>
          <w:rFonts w:ascii="Times New Roman" w:hAnsi="Times New Roman"/>
          <w:color w:val="000000"/>
          <w:sz w:val="24"/>
          <w:szCs w:val="24"/>
        </w:rPr>
        <w:t xml:space="preserve"> percent to 1</w:t>
      </w:r>
      <w:r w:rsidR="002A0803">
        <w:rPr>
          <w:rFonts w:ascii="Times New Roman" w:hAnsi="Times New Roman"/>
          <w:color w:val="000000"/>
          <w:sz w:val="24"/>
          <w:szCs w:val="24"/>
        </w:rPr>
        <w:t>0.8</w:t>
      </w:r>
      <w:r w:rsidR="00B965FD">
        <w:rPr>
          <w:rFonts w:ascii="Times New Roman" w:hAnsi="Times New Roman"/>
          <w:color w:val="000000"/>
          <w:sz w:val="24"/>
          <w:szCs w:val="24"/>
        </w:rPr>
        <w:t xml:space="preserve"> percent.  T</w:t>
      </w:r>
      <w:r w:rsidRPr="00571B7E">
        <w:rPr>
          <w:rFonts w:ascii="Times New Roman" w:hAnsi="Times New Roman"/>
          <w:color w:val="000000"/>
          <w:sz w:val="24"/>
          <w:szCs w:val="24"/>
        </w:rPr>
        <w:t xml:space="preserve">hese factors </w:t>
      </w:r>
      <w:r w:rsidR="002A0803">
        <w:rPr>
          <w:rFonts w:ascii="Times New Roman" w:hAnsi="Times New Roman"/>
          <w:color w:val="000000"/>
          <w:sz w:val="24"/>
          <w:szCs w:val="24"/>
        </w:rPr>
        <w:t>demonstrate</w:t>
      </w:r>
      <w:r w:rsidRPr="00571B7E">
        <w:rPr>
          <w:rFonts w:ascii="Times New Roman" w:hAnsi="Times New Roman"/>
          <w:color w:val="000000"/>
          <w:sz w:val="24"/>
          <w:szCs w:val="24"/>
        </w:rPr>
        <w:t xml:space="preserve"> that the other parties</w:t>
      </w:r>
      <w:r w:rsidR="003C18EA">
        <w:rPr>
          <w:rFonts w:ascii="Times New Roman" w:hAnsi="Times New Roman"/>
          <w:color w:val="000000"/>
          <w:sz w:val="24"/>
          <w:szCs w:val="24"/>
        </w:rPr>
        <w:t>’</w:t>
      </w:r>
      <w:r w:rsidRPr="00571B7E">
        <w:rPr>
          <w:rFonts w:ascii="Times New Roman" w:hAnsi="Times New Roman"/>
          <w:color w:val="000000"/>
          <w:sz w:val="24"/>
          <w:szCs w:val="24"/>
        </w:rPr>
        <w:t xml:space="preserve"> ROE recommendation</w:t>
      </w:r>
      <w:r w:rsidR="00502933">
        <w:rPr>
          <w:rFonts w:ascii="Times New Roman" w:hAnsi="Times New Roman"/>
          <w:color w:val="000000"/>
          <w:sz w:val="24"/>
          <w:szCs w:val="24"/>
        </w:rPr>
        <w:t>s are</w:t>
      </w:r>
      <w:r w:rsidRPr="00571B7E">
        <w:rPr>
          <w:rFonts w:ascii="Times New Roman" w:hAnsi="Times New Roman"/>
          <w:color w:val="000000"/>
          <w:sz w:val="24"/>
          <w:szCs w:val="24"/>
        </w:rPr>
        <w:t xml:space="preserve"> unreasonably low.</w:t>
      </w:r>
    </w:p>
    <w:p w:rsidR="004F7E1F" w:rsidRDefault="004F7E1F" w:rsidP="00571B7E">
      <w:pPr>
        <w:pStyle w:val="FootnoteText"/>
        <w:rPr>
          <w:rFonts w:ascii="Times New Roman" w:hAnsi="Times New Roman"/>
          <w:b/>
          <w:color w:val="000000"/>
          <w:sz w:val="24"/>
          <w:szCs w:val="24"/>
        </w:rPr>
      </w:pPr>
      <w:r w:rsidRPr="00571B7E">
        <w:rPr>
          <w:rFonts w:ascii="Times New Roman" w:hAnsi="Times New Roman"/>
          <w:b/>
          <w:color w:val="000000"/>
          <w:sz w:val="24"/>
          <w:szCs w:val="24"/>
        </w:rPr>
        <w:t>Q</w:t>
      </w:r>
      <w:r w:rsidR="00571B7E" w:rsidRPr="00571B7E">
        <w:rPr>
          <w:rFonts w:ascii="Times New Roman" w:hAnsi="Times New Roman"/>
          <w:b/>
          <w:color w:val="000000"/>
          <w:sz w:val="24"/>
          <w:szCs w:val="24"/>
        </w:rPr>
        <w:t>.</w:t>
      </w:r>
      <w:r w:rsidRPr="00571B7E">
        <w:rPr>
          <w:rFonts w:ascii="Times New Roman" w:hAnsi="Times New Roman"/>
          <w:b/>
          <w:color w:val="000000"/>
          <w:sz w:val="24"/>
          <w:szCs w:val="24"/>
        </w:rPr>
        <w:tab/>
        <w:t xml:space="preserve">Why </w:t>
      </w:r>
      <w:r w:rsidR="00571B7E" w:rsidRPr="00571B7E">
        <w:rPr>
          <w:rFonts w:ascii="Times New Roman" w:hAnsi="Times New Roman"/>
          <w:b/>
          <w:color w:val="000000"/>
          <w:sz w:val="24"/>
          <w:szCs w:val="24"/>
        </w:rPr>
        <w:t>are</w:t>
      </w:r>
      <w:r w:rsidRPr="00571B7E">
        <w:rPr>
          <w:rFonts w:ascii="Times New Roman" w:hAnsi="Times New Roman"/>
          <w:b/>
          <w:color w:val="000000"/>
          <w:sz w:val="24"/>
          <w:szCs w:val="24"/>
        </w:rPr>
        <w:t xml:space="preserve"> the other parties</w:t>
      </w:r>
      <w:r w:rsidR="003C18EA">
        <w:rPr>
          <w:rFonts w:ascii="Times New Roman" w:hAnsi="Times New Roman"/>
          <w:b/>
          <w:color w:val="000000"/>
          <w:sz w:val="24"/>
          <w:szCs w:val="24"/>
        </w:rPr>
        <w:t>’</w:t>
      </w:r>
      <w:r w:rsidRPr="00571B7E">
        <w:rPr>
          <w:rFonts w:ascii="Times New Roman" w:hAnsi="Times New Roman"/>
          <w:b/>
          <w:color w:val="000000"/>
          <w:sz w:val="24"/>
          <w:szCs w:val="24"/>
        </w:rPr>
        <w:t xml:space="preserve"> ROE recommendations </w:t>
      </w:r>
      <w:r w:rsidR="002843F4">
        <w:rPr>
          <w:rFonts w:ascii="Times New Roman" w:hAnsi="Times New Roman"/>
          <w:b/>
          <w:color w:val="000000"/>
          <w:sz w:val="24"/>
          <w:szCs w:val="24"/>
        </w:rPr>
        <w:t xml:space="preserve">not </w:t>
      </w:r>
      <w:r w:rsidRPr="00571B7E">
        <w:rPr>
          <w:rFonts w:ascii="Times New Roman" w:hAnsi="Times New Roman"/>
          <w:b/>
          <w:color w:val="000000"/>
          <w:sz w:val="24"/>
          <w:szCs w:val="24"/>
        </w:rPr>
        <w:t xml:space="preserve">consistent with current capital market conditions </w:t>
      </w:r>
      <w:r w:rsidR="002A0803">
        <w:rPr>
          <w:rFonts w:ascii="Times New Roman" w:hAnsi="Times New Roman"/>
          <w:b/>
          <w:color w:val="000000"/>
          <w:sz w:val="24"/>
          <w:szCs w:val="24"/>
        </w:rPr>
        <w:t>and below</w:t>
      </w:r>
      <w:r w:rsidRPr="00571B7E">
        <w:rPr>
          <w:rFonts w:ascii="Times New Roman" w:hAnsi="Times New Roman"/>
          <w:b/>
          <w:color w:val="000000"/>
          <w:sz w:val="24"/>
          <w:szCs w:val="24"/>
        </w:rPr>
        <w:t xml:space="preserve"> the reasonable range?</w:t>
      </w:r>
    </w:p>
    <w:p w:rsidR="005A0C4E" w:rsidRPr="00571B7E" w:rsidRDefault="00571B7E" w:rsidP="005A0C4E">
      <w:pPr>
        <w:pStyle w:val="FootnoteText"/>
        <w:rPr>
          <w:rFonts w:ascii="Times New Roman" w:hAnsi="Times New Roman"/>
          <w:color w:val="000000"/>
          <w:sz w:val="24"/>
          <w:szCs w:val="24"/>
        </w:rPr>
      </w:pPr>
      <w:r>
        <w:rPr>
          <w:rFonts w:ascii="Times New Roman" w:hAnsi="Times New Roman"/>
          <w:color w:val="000000"/>
          <w:sz w:val="24"/>
          <w:szCs w:val="24"/>
        </w:rPr>
        <w:t>A.</w:t>
      </w:r>
      <w:r w:rsidRPr="00571B7E">
        <w:rPr>
          <w:rFonts w:ascii="Times New Roman" w:hAnsi="Times New Roman"/>
          <w:color w:val="000000"/>
          <w:sz w:val="24"/>
          <w:szCs w:val="24"/>
        </w:rPr>
        <w:tab/>
      </w:r>
      <w:r w:rsidR="005A0C4E" w:rsidRPr="00571B7E">
        <w:rPr>
          <w:rFonts w:ascii="Times New Roman" w:hAnsi="Times New Roman"/>
          <w:color w:val="000000"/>
          <w:sz w:val="24"/>
          <w:szCs w:val="24"/>
        </w:rPr>
        <w:t>Contrary to the other parties</w:t>
      </w:r>
      <w:r w:rsidR="003C18EA">
        <w:rPr>
          <w:rFonts w:ascii="Times New Roman" w:hAnsi="Times New Roman"/>
          <w:color w:val="000000"/>
          <w:sz w:val="24"/>
          <w:szCs w:val="24"/>
        </w:rPr>
        <w:t>’</w:t>
      </w:r>
      <w:r w:rsidR="005A0C4E" w:rsidRPr="00571B7E">
        <w:rPr>
          <w:rFonts w:ascii="Times New Roman" w:hAnsi="Times New Roman"/>
          <w:color w:val="000000"/>
          <w:sz w:val="24"/>
          <w:szCs w:val="24"/>
        </w:rPr>
        <w:t xml:space="preserve"> </w:t>
      </w:r>
      <w:r w:rsidR="005A0C4E">
        <w:rPr>
          <w:rFonts w:ascii="Times New Roman" w:hAnsi="Times New Roman"/>
          <w:color w:val="000000"/>
          <w:sz w:val="24"/>
          <w:szCs w:val="24"/>
        </w:rPr>
        <w:t>apparent beliefs</w:t>
      </w:r>
      <w:r w:rsidR="005A0C4E" w:rsidRPr="00571B7E">
        <w:rPr>
          <w:rFonts w:ascii="Times New Roman" w:hAnsi="Times New Roman"/>
          <w:color w:val="000000"/>
          <w:sz w:val="24"/>
          <w:szCs w:val="24"/>
        </w:rPr>
        <w:t xml:space="preserve">, the cost of equity cannot be measured by simply </w:t>
      </w:r>
      <w:r w:rsidR="005A0C4E">
        <w:rPr>
          <w:rFonts w:ascii="Times New Roman" w:hAnsi="Times New Roman"/>
          <w:color w:val="000000"/>
          <w:sz w:val="24"/>
          <w:szCs w:val="24"/>
        </w:rPr>
        <w:t xml:space="preserve">extrapolating artificially low, government policy induced </w:t>
      </w:r>
      <w:r w:rsidR="005A0C4E" w:rsidRPr="00571B7E">
        <w:rPr>
          <w:rFonts w:ascii="Times New Roman" w:hAnsi="Times New Roman"/>
          <w:color w:val="000000"/>
          <w:sz w:val="24"/>
          <w:szCs w:val="24"/>
        </w:rPr>
        <w:t xml:space="preserve">interest rates </w:t>
      </w:r>
      <w:r w:rsidR="005A0C4E">
        <w:rPr>
          <w:rFonts w:ascii="Times New Roman" w:hAnsi="Times New Roman"/>
          <w:color w:val="000000"/>
          <w:sz w:val="24"/>
          <w:szCs w:val="24"/>
        </w:rPr>
        <w:t>to ROE.</w:t>
      </w:r>
      <w:r w:rsidR="005A0C4E" w:rsidRPr="00571B7E">
        <w:rPr>
          <w:rFonts w:ascii="Times New Roman" w:hAnsi="Times New Roman"/>
          <w:color w:val="000000"/>
          <w:sz w:val="24"/>
          <w:szCs w:val="24"/>
        </w:rPr>
        <w:t xml:space="preserve">  When current market conditions are more </w:t>
      </w:r>
      <w:r w:rsidR="005A0C4E">
        <w:rPr>
          <w:rFonts w:ascii="Times New Roman" w:hAnsi="Times New Roman"/>
          <w:color w:val="000000"/>
          <w:sz w:val="24"/>
          <w:szCs w:val="24"/>
        </w:rPr>
        <w:t xml:space="preserve">realistically </w:t>
      </w:r>
      <w:r w:rsidR="005A0C4E" w:rsidRPr="00571B7E">
        <w:rPr>
          <w:rFonts w:ascii="Times New Roman" w:hAnsi="Times New Roman"/>
          <w:color w:val="000000"/>
          <w:sz w:val="24"/>
          <w:szCs w:val="24"/>
        </w:rPr>
        <w:t xml:space="preserve">considered and when </w:t>
      </w:r>
      <w:r w:rsidR="005A0C4E">
        <w:rPr>
          <w:rFonts w:ascii="Times New Roman" w:hAnsi="Times New Roman"/>
          <w:color w:val="000000"/>
          <w:sz w:val="24"/>
          <w:szCs w:val="24"/>
        </w:rPr>
        <w:t xml:space="preserve">more plausible </w:t>
      </w:r>
      <w:r w:rsidR="005A0C4E" w:rsidRPr="00571B7E">
        <w:rPr>
          <w:rFonts w:ascii="Times New Roman" w:hAnsi="Times New Roman"/>
          <w:color w:val="000000"/>
          <w:sz w:val="24"/>
          <w:szCs w:val="24"/>
        </w:rPr>
        <w:t>input assumptions</w:t>
      </w:r>
      <w:r w:rsidR="005A0C4E">
        <w:rPr>
          <w:rFonts w:ascii="Times New Roman" w:hAnsi="Times New Roman"/>
          <w:color w:val="000000"/>
          <w:sz w:val="24"/>
          <w:szCs w:val="24"/>
        </w:rPr>
        <w:t xml:space="preserve"> are used,</w:t>
      </w:r>
      <w:r w:rsidR="005A0C4E" w:rsidRPr="00571B7E">
        <w:rPr>
          <w:rFonts w:ascii="Times New Roman" w:hAnsi="Times New Roman"/>
          <w:color w:val="000000"/>
          <w:sz w:val="24"/>
          <w:szCs w:val="24"/>
        </w:rPr>
        <w:t xml:space="preserve"> the other parties</w:t>
      </w:r>
      <w:r w:rsidR="003C18EA">
        <w:rPr>
          <w:rFonts w:ascii="Times New Roman" w:hAnsi="Times New Roman"/>
          <w:color w:val="000000"/>
          <w:sz w:val="24"/>
          <w:szCs w:val="24"/>
        </w:rPr>
        <w:t>’</w:t>
      </w:r>
      <w:r w:rsidR="005A0C4E" w:rsidRPr="00571B7E">
        <w:rPr>
          <w:rFonts w:ascii="Times New Roman" w:hAnsi="Times New Roman"/>
          <w:color w:val="000000"/>
          <w:sz w:val="24"/>
          <w:szCs w:val="24"/>
        </w:rPr>
        <w:t xml:space="preserve"> ROE recommendations </w:t>
      </w:r>
      <w:r w:rsidR="005A0C4E">
        <w:rPr>
          <w:rFonts w:ascii="Times New Roman" w:hAnsi="Times New Roman"/>
          <w:color w:val="000000"/>
          <w:sz w:val="24"/>
          <w:szCs w:val="24"/>
        </w:rPr>
        <w:t xml:space="preserve">are shown to be well below the reasonable range.  Thus, relative to currently low </w:t>
      </w:r>
      <w:r w:rsidR="005A0C4E" w:rsidRPr="00571B7E">
        <w:rPr>
          <w:rFonts w:ascii="Times New Roman" w:hAnsi="Times New Roman"/>
          <w:color w:val="000000"/>
          <w:sz w:val="24"/>
          <w:szCs w:val="24"/>
        </w:rPr>
        <w:t xml:space="preserve">rates on </w:t>
      </w:r>
      <w:r w:rsidR="005A0C4E">
        <w:rPr>
          <w:rFonts w:ascii="Times New Roman" w:hAnsi="Times New Roman"/>
          <w:color w:val="000000"/>
          <w:sz w:val="24"/>
          <w:szCs w:val="24"/>
        </w:rPr>
        <w:t xml:space="preserve">U.S. </w:t>
      </w:r>
      <w:r w:rsidR="005A0C4E" w:rsidRPr="00571B7E">
        <w:rPr>
          <w:rFonts w:ascii="Times New Roman" w:hAnsi="Times New Roman"/>
          <w:color w:val="000000"/>
          <w:sz w:val="24"/>
          <w:szCs w:val="24"/>
        </w:rPr>
        <w:t xml:space="preserve">Treasury securities and </w:t>
      </w:r>
      <w:r w:rsidR="005A0C4E">
        <w:rPr>
          <w:rFonts w:ascii="Times New Roman" w:hAnsi="Times New Roman"/>
          <w:color w:val="000000"/>
          <w:sz w:val="24"/>
          <w:szCs w:val="24"/>
        </w:rPr>
        <w:t xml:space="preserve">low </w:t>
      </w:r>
      <w:r w:rsidR="005A0C4E" w:rsidRPr="00571B7E">
        <w:rPr>
          <w:rFonts w:ascii="Times New Roman" w:hAnsi="Times New Roman"/>
          <w:color w:val="000000"/>
          <w:sz w:val="24"/>
          <w:szCs w:val="24"/>
        </w:rPr>
        <w:t xml:space="preserve">yields on </w:t>
      </w:r>
      <w:r w:rsidR="005A0C4E">
        <w:rPr>
          <w:rFonts w:ascii="Times New Roman" w:hAnsi="Times New Roman"/>
          <w:color w:val="000000"/>
          <w:sz w:val="24"/>
          <w:szCs w:val="24"/>
        </w:rPr>
        <w:t>high</w:t>
      </w:r>
      <w:r w:rsidR="005A0C4E" w:rsidRPr="00571B7E">
        <w:rPr>
          <w:rFonts w:ascii="Times New Roman" w:hAnsi="Times New Roman"/>
          <w:color w:val="000000"/>
          <w:sz w:val="24"/>
          <w:szCs w:val="24"/>
        </w:rPr>
        <w:t xml:space="preserve"> grade utility bonds, the cost of equity </w:t>
      </w:r>
      <w:r w:rsidR="005A0C4E">
        <w:rPr>
          <w:rFonts w:ascii="Times New Roman" w:hAnsi="Times New Roman"/>
          <w:color w:val="000000"/>
          <w:sz w:val="24"/>
          <w:szCs w:val="24"/>
        </w:rPr>
        <w:t xml:space="preserve">as found for other utilities has not declined as much.  </w:t>
      </w:r>
    </w:p>
    <w:p w:rsidR="00346C70" w:rsidRDefault="002843F4">
      <w:pPr>
        <w:pStyle w:val="FootnoteText"/>
        <w:ind w:firstLine="720"/>
        <w:rPr>
          <w:rFonts w:ascii="Times New Roman" w:hAnsi="Times New Roman"/>
          <w:color w:val="000000"/>
          <w:sz w:val="24"/>
          <w:szCs w:val="24"/>
        </w:rPr>
      </w:pPr>
      <w:r>
        <w:rPr>
          <w:rFonts w:ascii="Times New Roman" w:hAnsi="Times New Roman"/>
          <w:color w:val="000000"/>
          <w:sz w:val="24"/>
          <w:szCs w:val="24"/>
        </w:rPr>
        <w:lastRenderedPageBreak/>
        <w:t>Mr. Elgin and Mr. Gorman</w:t>
      </w:r>
      <w:r w:rsidR="00571B7E" w:rsidRPr="00571B7E">
        <w:rPr>
          <w:rFonts w:ascii="Times New Roman" w:hAnsi="Times New Roman"/>
          <w:color w:val="000000"/>
          <w:sz w:val="24"/>
          <w:szCs w:val="24"/>
        </w:rPr>
        <w:t xml:space="preserve"> appear to be</w:t>
      </w:r>
      <w:r w:rsidR="005B6964">
        <w:rPr>
          <w:rFonts w:ascii="Times New Roman" w:hAnsi="Times New Roman"/>
          <w:color w:val="000000"/>
          <w:sz w:val="24"/>
          <w:szCs w:val="24"/>
        </w:rPr>
        <w:t>lieve that</w:t>
      </w:r>
      <w:r w:rsidR="00571B7E" w:rsidRPr="00571B7E">
        <w:rPr>
          <w:rFonts w:ascii="Times New Roman" w:hAnsi="Times New Roman"/>
          <w:color w:val="000000"/>
          <w:sz w:val="24"/>
          <w:szCs w:val="24"/>
        </w:rPr>
        <w:t xml:space="preserve"> the cost of equity has dropped in lockstep with declining interest rates</w:t>
      </w:r>
      <w:r w:rsidR="008A5040">
        <w:rPr>
          <w:rFonts w:ascii="Times New Roman" w:hAnsi="Times New Roman"/>
          <w:color w:val="000000"/>
          <w:sz w:val="24"/>
          <w:szCs w:val="24"/>
        </w:rPr>
        <w:t>.</w:t>
      </w:r>
      <w:r w:rsidR="00571B7E" w:rsidRPr="00571B7E">
        <w:rPr>
          <w:rFonts w:ascii="Times New Roman" w:hAnsi="Times New Roman"/>
          <w:color w:val="000000"/>
          <w:sz w:val="24"/>
          <w:szCs w:val="24"/>
        </w:rPr>
        <w:t xml:space="preserve">  This contention is simply wrong.  The most recently reported data </w:t>
      </w:r>
      <w:r w:rsidR="008A5040">
        <w:rPr>
          <w:rFonts w:ascii="Times New Roman" w:hAnsi="Times New Roman"/>
          <w:color w:val="000000"/>
          <w:sz w:val="24"/>
          <w:szCs w:val="24"/>
        </w:rPr>
        <w:t xml:space="preserve">from </w:t>
      </w:r>
      <w:r w:rsidR="002A0803">
        <w:rPr>
          <w:rFonts w:ascii="Times New Roman" w:hAnsi="Times New Roman"/>
          <w:color w:val="000000"/>
          <w:sz w:val="24"/>
          <w:szCs w:val="24"/>
        </w:rPr>
        <w:t xml:space="preserve">Regulatory Research Associates </w:t>
      </w:r>
      <w:r w:rsidR="00571B7E" w:rsidRPr="00571B7E">
        <w:rPr>
          <w:rFonts w:ascii="Times New Roman" w:hAnsi="Times New Roman"/>
          <w:color w:val="000000"/>
          <w:sz w:val="24"/>
          <w:szCs w:val="24"/>
        </w:rPr>
        <w:t>show</w:t>
      </w:r>
      <w:r w:rsidR="008C4632">
        <w:rPr>
          <w:rFonts w:ascii="Times New Roman" w:hAnsi="Times New Roman"/>
          <w:color w:val="000000"/>
          <w:sz w:val="24"/>
          <w:szCs w:val="24"/>
        </w:rPr>
        <w:t>s</w:t>
      </w:r>
      <w:r w:rsidR="00571B7E" w:rsidRPr="00571B7E">
        <w:rPr>
          <w:rFonts w:ascii="Times New Roman" w:hAnsi="Times New Roman"/>
          <w:color w:val="000000"/>
          <w:sz w:val="24"/>
          <w:szCs w:val="24"/>
        </w:rPr>
        <w:t xml:space="preserve"> that for the first </w:t>
      </w:r>
      <w:r w:rsidR="00571B7E">
        <w:rPr>
          <w:rFonts w:ascii="Times New Roman" w:hAnsi="Times New Roman"/>
          <w:color w:val="000000"/>
          <w:sz w:val="24"/>
          <w:szCs w:val="24"/>
        </w:rPr>
        <w:t xml:space="preserve">nine </w:t>
      </w:r>
      <w:r w:rsidR="00571B7E" w:rsidRPr="00571B7E">
        <w:rPr>
          <w:rFonts w:ascii="Times New Roman" w:hAnsi="Times New Roman"/>
          <w:color w:val="000000"/>
          <w:sz w:val="24"/>
          <w:szCs w:val="24"/>
        </w:rPr>
        <w:t>months of 2010, the average allowed ROE for electric utilities was 10.</w:t>
      </w:r>
      <w:r w:rsidR="00571B7E">
        <w:rPr>
          <w:rFonts w:ascii="Times New Roman" w:hAnsi="Times New Roman"/>
          <w:color w:val="000000"/>
          <w:sz w:val="24"/>
          <w:szCs w:val="24"/>
        </w:rPr>
        <w:t>36</w:t>
      </w:r>
      <w:r w:rsidR="00571B7E" w:rsidRPr="00571B7E">
        <w:rPr>
          <w:rFonts w:ascii="Times New Roman" w:hAnsi="Times New Roman"/>
          <w:color w:val="000000"/>
          <w:sz w:val="24"/>
          <w:szCs w:val="24"/>
        </w:rPr>
        <w:t xml:space="preserve"> percent</w:t>
      </w:r>
      <w:r w:rsidR="008C4632">
        <w:rPr>
          <w:rFonts w:ascii="Times New Roman" w:hAnsi="Times New Roman"/>
          <w:color w:val="000000"/>
          <w:sz w:val="24"/>
          <w:szCs w:val="24"/>
        </w:rPr>
        <w:t xml:space="preserve"> and the most recent contested case in Washington was 10.1 percent</w:t>
      </w:r>
      <w:r w:rsidR="00571B7E" w:rsidRPr="00571B7E">
        <w:rPr>
          <w:rFonts w:ascii="Times New Roman" w:hAnsi="Times New Roman"/>
          <w:color w:val="000000"/>
          <w:sz w:val="24"/>
          <w:szCs w:val="24"/>
        </w:rPr>
        <w:t>.</w:t>
      </w:r>
      <w:r w:rsidR="008C4632" w:rsidRPr="00571B7E">
        <w:rPr>
          <w:rStyle w:val="FootnoteReference"/>
          <w:rFonts w:ascii="Times New Roman" w:hAnsi="Times New Roman"/>
          <w:color w:val="000000"/>
          <w:sz w:val="24"/>
          <w:szCs w:val="24"/>
          <w:vertAlign w:val="superscript"/>
        </w:rPr>
        <w:footnoteReference w:id="1"/>
      </w:r>
      <w:r w:rsidR="00571B7E" w:rsidRPr="00571B7E">
        <w:rPr>
          <w:rFonts w:ascii="Times New Roman" w:hAnsi="Times New Roman"/>
          <w:color w:val="000000"/>
          <w:sz w:val="24"/>
          <w:szCs w:val="24"/>
        </w:rPr>
        <w:t xml:space="preserve">  </w:t>
      </w:r>
    </w:p>
    <w:p w:rsidR="00742879" w:rsidRDefault="00742879" w:rsidP="00D252C6">
      <w:pPr>
        <w:pStyle w:val="FootnoteText"/>
        <w:rPr>
          <w:rFonts w:ascii="Times New Roman" w:hAnsi="Times New Roman"/>
          <w:b/>
          <w:color w:val="000000"/>
          <w:sz w:val="24"/>
          <w:szCs w:val="24"/>
        </w:rPr>
      </w:pPr>
      <w:r>
        <w:rPr>
          <w:rFonts w:ascii="Times New Roman" w:hAnsi="Times New Roman"/>
          <w:b/>
          <w:color w:val="000000"/>
          <w:sz w:val="24"/>
          <w:szCs w:val="24"/>
        </w:rPr>
        <w:t>Economic and Market Conditions</w:t>
      </w:r>
    </w:p>
    <w:p w:rsidR="004F7E1F" w:rsidRPr="00D252C6" w:rsidRDefault="004F7E1F" w:rsidP="00D252C6">
      <w:pPr>
        <w:pStyle w:val="FootnoteText"/>
        <w:rPr>
          <w:rFonts w:ascii="Times New Roman" w:hAnsi="Times New Roman"/>
          <w:b/>
          <w:color w:val="000000"/>
          <w:sz w:val="24"/>
          <w:szCs w:val="24"/>
        </w:rPr>
      </w:pPr>
      <w:r w:rsidRPr="00D252C6">
        <w:rPr>
          <w:rFonts w:ascii="Times New Roman" w:hAnsi="Times New Roman"/>
          <w:b/>
          <w:color w:val="000000"/>
          <w:sz w:val="24"/>
          <w:szCs w:val="24"/>
        </w:rPr>
        <w:t>Q</w:t>
      </w:r>
      <w:r w:rsidR="00D252C6" w:rsidRPr="00D252C6">
        <w:rPr>
          <w:rFonts w:ascii="Times New Roman" w:hAnsi="Times New Roman"/>
          <w:b/>
          <w:color w:val="000000"/>
          <w:sz w:val="24"/>
          <w:szCs w:val="24"/>
        </w:rPr>
        <w:t>.</w:t>
      </w:r>
      <w:r w:rsidRPr="00D252C6">
        <w:rPr>
          <w:rFonts w:ascii="Times New Roman" w:hAnsi="Times New Roman"/>
          <w:b/>
          <w:color w:val="000000"/>
          <w:sz w:val="24"/>
          <w:szCs w:val="24"/>
        </w:rPr>
        <w:tab/>
      </w:r>
      <w:proofErr w:type="gramStart"/>
      <w:r w:rsidRPr="00D252C6">
        <w:rPr>
          <w:rFonts w:ascii="Times New Roman" w:hAnsi="Times New Roman"/>
          <w:b/>
          <w:color w:val="000000"/>
          <w:sz w:val="24"/>
          <w:szCs w:val="24"/>
        </w:rPr>
        <w:t>In</w:t>
      </w:r>
      <w:proofErr w:type="gramEnd"/>
      <w:r w:rsidRPr="00D252C6">
        <w:rPr>
          <w:rFonts w:ascii="Times New Roman" w:hAnsi="Times New Roman"/>
          <w:b/>
          <w:color w:val="000000"/>
          <w:sz w:val="24"/>
          <w:szCs w:val="24"/>
        </w:rPr>
        <w:t xml:space="preserve"> your </w:t>
      </w:r>
      <w:r w:rsidR="003C18EA">
        <w:rPr>
          <w:rFonts w:ascii="Times New Roman" w:hAnsi="Times New Roman"/>
          <w:b/>
          <w:color w:val="000000"/>
          <w:sz w:val="24"/>
          <w:szCs w:val="24"/>
        </w:rPr>
        <w:t>d</w:t>
      </w:r>
      <w:r w:rsidR="003B4E27">
        <w:rPr>
          <w:rFonts w:ascii="Times New Roman" w:hAnsi="Times New Roman"/>
          <w:b/>
          <w:color w:val="000000"/>
          <w:sz w:val="24"/>
          <w:szCs w:val="24"/>
        </w:rPr>
        <w:t xml:space="preserve">irect </w:t>
      </w:r>
      <w:r w:rsidR="003C18EA">
        <w:rPr>
          <w:rFonts w:ascii="Times New Roman" w:hAnsi="Times New Roman"/>
          <w:b/>
          <w:color w:val="000000"/>
          <w:sz w:val="24"/>
          <w:szCs w:val="24"/>
        </w:rPr>
        <w:t>t</w:t>
      </w:r>
      <w:r w:rsidRPr="00D252C6">
        <w:rPr>
          <w:rFonts w:ascii="Times New Roman" w:hAnsi="Times New Roman"/>
          <w:b/>
          <w:color w:val="000000"/>
          <w:sz w:val="24"/>
          <w:szCs w:val="24"/>
        </w:rPr>
        <w:t xml:space="preserve">estimony, you provided data </w:t>
      </w:r>
      <w:r w:rsidR="002843F4">
        <w:rPr>
          <w:rFonts w:ascii="Times New Roman" w:hAnsi="Times New Roman"/>
          <w:b/>
          <w:color w:val="000000"/>
          <w:sz w:val="24"/>
          <w:szCs w:val="24"/>
        </w:rPr>
        <w:t>to</w:t>
      </w:r>
      <w:r w:rsidRPr="00D252C6">
        <w:rPr>
          <w:rFonts w:ascii="Times New Roman" w:hAnsi="Times New Roman"/>
          <w:b/>
          <w:color w:val="000000"/>
          <w:sz w:val="24"/>
          <w:szCs w:val="24"/>
        </w:rPr>
        <w:t xml:space="preserve"> illustrate interest rate trends and the spreads between </w:t>
      </w:r>
      <w:smartTag w:uri="urn:schemas-microsoft-com:office:smarttags" w:element="country-region">
        <w:smartTag w:uri="urn:schemas-microsoft-com:office:smarttags" w:element="place">
          <w:r w:rsidRPr="00D252C6">
            <w:rPr>
              <w:rFonts w:ascii="Times New Roman" w:hAnsi="Times New Roman"/>
              <w:b/>
              <w:color w:val="000000"/>
              <w:sz w:val="24"/>
              <w:szCs w:val="24"/>
            </w:rPr>
            <w:t>U.S.</w:t>
          </w:r>
        </w:smartTag>
      </w:smartTag>
      <w:r w:rsidRPr="00D252C6">
        <w:rPr>
          <w:rFonts w:ascii="Times New Roman" w:hAnsi="Times New Roman"/>
          <w:b/>
          <w:color w:val="000000"/>
          <w:sz w:val="24"/>
          <w:szCs w:val="24"/>
        </w:rPr>
        <w:t xml:space="preserve"> Treasury bond</w:t>
      </w:r>
      <w:r w:rsidR="00646C6D">
        <w:rPr>
          <w:rFonts w:ascii="Times New Roman" w:hAnsi="Times New Roman"/>
          <w:b/>
          <w:color w:val="000000"/>
          <w:sz w:val="24"/>
          <w:szCs w:val="24"/>
        </w:rPr>
        <w:t>s</w:t>
      </w:r>
      <w:r w:rsidRPr="00D252C6">
        <w:rPr>
          <w:rFonts w:ascii="Times New Roman" w:hAnsi="Times New Roman"/>
          <w:b/>
          <w:color w:val="000000"/>
          <w:sz w:val="24"/>
          <w:szCs w:val="24"/>
        </w:rPr>
        <w:t xml:space="preserve"> and </w:t>
      </w:r>
      <w:r w:rsidR="003B4E27">
        <w:rPr>
          <w:rFonts w:ascii="Times New Roman" w:hAnsi="Times New Roman"/>
          <w:b/>
          <w:color w:val="000000"/>
          <w:sz w:val="24"/>
          <w:szCs w:val="24"/>
        </w:rPr>
        <w:t>single-A</w:t>
      </w:r>
      <w:r w:rsidRPr="00D252C6">
        <w:rPr>
          <w:rFonts w:ascii="Times New Roman" w:hAnsi="Times New Roman"/>
          <w:b/>
          <w:color w:val="000000"/>
          <w:sz w:val="24"/>
          <w:szCs w:val="24"/>
        </w:rPr>
        <w:t xml:space="preserve"> rated utility bonds.  Have you updated that information?</w:t>
      </w:r>
    </w:p>
    <w:p w:rsidR="004F7E1F" w:rsidRDefault="004F7E1F" w:rsidP="00D252C6">
      <w:pPr>
        <w:pStyle w:val="FootnoteText"/>
        <w:rPr>
          <w:rFonts w:ascii="Times New Roman" w:hAnsi="Times New Roman"/>
          <w:color w:val="000000"/>
          <w:sz w:val="24"/>
          <w:szCs w:val="24"/>
        </w:rPr>
      </w:pPr>
      <w:r w:rsidRPr="00D252C6">
        <w:rPr>
          <w:rFonts w:ascii="Times New Roman" w:hAnsi="Times New Roman"/>
          <w:color w:val="000000"/>
          <w:sz w:val="24"/>
          <w:szCs w:val="24"/>
        </w:rPr>
        <w:t>A</w:t>
      </w:r>
      <w:r w:rsidR="00734B3E">
        <w:rPr>
          <w:rFonts w:ascii="Times New Roman" w:hAnsi="Times New Roman"/>
          <w:color w:val="000000"/>
          <w:sz w:val="24"/>
          <w:szCs w:val="24"/>
        </w:rPr>
        <w:t>.</w:t>
      </w:r>
      <w:r w:rsidRPr="00D252C6">
        <w:rPr>
          <w:rFonts w:ascii="Times New Roman" w:hAnsi="Times New Roman"/>
          <w:color w:val="000000"/>
          <w:sz w:val="24"/>
          <w:szCs w:val="24"/>
        </w:rPr>
        <w:tab/>
        <w:t xml:space="preserve">Yes.  </w:t>
      </w:r>
      <w:r w:rsidR="002843F4">
        <w:rPr>
          <w:rFonts w:ascii="Times New Roman" w:hAnsi="Times New Roman"/>
          <w:color w:val="000000"/>
          <w:sz w:val="24"/>
          <w:szCs w:val="24"/>
        </w:rPr>
        <w:t>I provide that data in</w:t>
      </w:r>
      <w:r w:rsidR="00D252C6">
        <w:rPr>
          <w:rFonts w:ascii="Times New Roman" w:hAnsi="Times New Roman"/>
          <w:color w:val="000000"/>
          <w:sz w:val="24"/>
          <w:szCs w:val="24"/>
        </w:rPr>
        <w:t xml:space="preserve"> Exhibit </w:t>
      </w:r>
      <w:r w:rsidR="00C94F38">
        <w:rPr>
          <w:rFonts w:ascii="Times New Roman" w:hAnsi="Times New Roman"/>
          <w:color w:val="000000"/>
          <w:sz w:val="24"/>
          <w:szCs w:val="24"/>
        </w:rPr>
        <w:t>No.___(</w:t>
      </w:r>
      <w:r w:rsidR="00D252C6">
        <w:rPr>
          <w:rFonts w:ascii="Times New Roman" w:hAnsi="Times New Roman"/>
          <w:color w:val="000000"/>
          <w:sz w:val="24"/>
          <w:szCs w:val="24"/>
        </w:rPr>
        <w:t>SCH</w:t>
      </w:r>
      <w:r w:rsidR="00D252C6" w:rsidRPr="003723E3">
        <w:rPr>
          <w:rFonts w:ascii="Times New Roman" w:hAnsi="Times New Roman"/>
          <w:color w:val="000000"/>
          <w:sz w:val="24"/>
          <w:szCs w:val="24"/>
        </w:rPr>
        <w:t>-</w:t>
      </w:r>
      <w:r w:rsidR="004010D4" w:rsidRPr="003723E3">
        <w:rPr>
          <w:rFonts w:ascii="Times New Roman" w:hAnsi="Times New Roman"/>
          <w:color w:val="000000"/>
          <w:sz w:val="24"/>
          <w:szCs w:val="24"/>
        </w:rPr>
        <w:t>9</w:t>
      </w:r>
      <w:r w:rsidR="00C94F38" w:rsidRPr="003723E3">
        <w:rPr>
          <w:rFonts w:ascii="Times New Roman" w:hAnsi="Times New Roman"/>
          <w:color w:val="000000"/>
          <w:sz w:val="24"/>
          <w:szCs w:val="24"/>
        </w:rPr>
        <w:t>)</w:t>
      </w:r>
      <w:r w:rsidRPr="00D252C6">
        <w:rPr>
          <w:rFonts w:ascii="Times New Roman" w:hAnsi="Times New Roman"/>
          <w:color w:val="000000"/>
          <w:sz w:val="24"/>
          <w:szCs w:val="24"/>
        </w:rPr>
        <w:t>, page 1</w:t>
      </w:r>
      <w:r w:rsidR="002843F4">
        <w:rPr>
          <w:rFonts w:ascii="Times New Roman" w:hAnsi="Times New Roman"/>
          <w:color w:val="000000"/>
          <w:sz w:val="24"/>
          <w:szCs w:val="24"/>
        </w:rPr>
        <w:t>.</w:t>
      </w:r>
      <w:r w:rsidRPr="00D252C6">
        <w:rPr>
          <w:rFonts w:ascii="Times New Roman" w:hAnsi="Times New Roman"/>
          <w:color w:val="000000"/>
          <w:sz w:val="24"/>
          <w:szCs w:val="24"/>
        </w:rPr>
        <w:t xml:space="preserve">  Table 1 below</w:t>
      </w:r>
      <w:r w:rsidR="002843F4">
        <w:rPr>
          <w:rFonts w:ascii="Times New Roman" w:hAnsi="Times New Roman"/>
          <w:color w:val="000000"/>
          <w:sz w:val="24"/>
          <w:szCs w:val="24"/>
        </w:rPr>
        <w:t xml:space="preserve"> summarizes the results</w:t>
      </w:r>
      <w:r w:rsidRPr="00D252C6">
        <w:rPr>
          <w:rFonts w:ascii="Times New Roman" w:hAnsi="Times New Roman"/>
          <w:color w:val="000000"/>
          <w:sz w:val="24"/>
          <w:szCs w:val="24"/>
        </w:rPr>
        <w:t>.</w:t>
      </w:r>
    </w:p>
    <w:p w:rsidR="000F0939" w:rsidRDefault="000F0939" w:rsidP="000F0939">
      <w:pPr>
        <w:pStyle w:val="FootnoteText"/>
        <w:suppressLineNumbers/>
        <w:rPr>
          <w:rFonts w:ascii="Times New Roman" w:hAnsi="Times New Roman"/>
          <w:color w:val="000000"/>
          <w:sz w:val="24"/>
          <w:szCs w:val="24"/>
        </w:rPr>
      </w:pPr>
    </w:p>
    <w:p w:rsidR="000F0939" w:rsidRDefault="000F0939" w:rsidP="000F0939">
      <w:pPr>
        <w:pStyle w:val="FootnoteText"/>
        <w:suppressLineNumbers/>
        <w:rPr>
          <w:rFonts w:ascii="Times New Roman" w:hAnsi="Times New Roman"/>
          <w:color w:val="000000"/>
          <w:sz w:val="24"/>
          <w:szCs w:val="24"/>
        </w:rPr>
      </w:pPr>
    </w:p>
    <w:p w:rsidR="000F0939" w:rsidRDefault="000F0939" w:rsidP="000F0939">
      <w:pPr>
        <w:pStyle w:val="FootnoteText"/>
        <w:suppressLineNumbers/>
        <w:rPr>
          <w:rFonts w:ascii="Times New Roman" w:hAnsi="Times New Roman"/>
          <w:color w:val="000000"/>
          <w:sz w:val="24"/>
          <w:szCs w:val="24"/>
        </w:rPr>
      </w:pPr>
    </w:p>
    <w:p w:rsidR="000F0939" w:rsidRDefault="000F0939" w:rsidP="000F0939">
      <w:pPr>
        <w:pStyle w:val="FootnoteText"/>
        <w:suppressLineNumbers/>
        <w:rPr>
          <w:rFonts w:ascii="Times New Roman" w:hAnsi="Times New Roman"/>
          <w:color w:val="000000"/>
          <w:sz w:val="24"/>
          <w:szCs w:val="24"/>
        </w:rPr>
      </w:pPr>
    </w:p>
    <w:p w:rsidR="000F0939" w:rsidRDefault="000F0939" w:rsidP="000F0939">
      <w:pPr>
        <w:pStyle w:val="FootnoteText"/>
        <w:suppressLineNumbers/>
        <w:rPr>
          <w:rFonts w:ascii="Times New Roman" w:hAnsi="Times New Roman"/>
          <w:color w:val="000000"/>
          <w:sz w:val="24"/>
          <w:szCs w:val="24"/>
        </w:rPr>
      </w:pPr>
    </w:p>
    <w:p w:rsidR="000F0939" w:rsidRDefault="000F0939" w:rsidP="000F0939">
      <w:pPr>
        <w:pStyle w:val="FootnoteText"/>
        <w:suppressLineNumbers/>
        <w:rPr>
          <w:rFonts w:ascii="Times New Roman" w:hAnsi="Times New Roman"/>
          <w:color w:val="000000"/>
          <w:sz w:val="24"/>
          <w:szCs w:val="24"/>
        </w:rPr>
      </w:pPr>
    </w:p>
    <w:p w:rsidR="000F0939" w:rsidRDefault="000F0939" w:rsidP="000F0939">
      <w:pPr>
        <w:pStyle w:val="FootnoteText"/>
        <w:suppressLineNumbers/>
        <w:rPr>
          <w:rFonts w:ascii="Times New Roman" w:hAnsi="Times New Roman"/>
          <w:color w:val="000000"/>
          <w:sz w:val="24"/>
          <w:szCs w:val="24"/>
        </w:rPr>
      </w:pPr>
    </w:p>
    <w:p w:rsidR="000F0939" w:rsidRDefault="000F0939" w:rsidP="000F0939">
      <w:pPr>
        <w:pStyle w:val="FootnoteText"/>
        <w:suppressLineNumbers/>
        <w:rPr>
          <w:rFonts w:ascii="Times New Roman" w:hAnsi="Times New Roman"/>
          <w:color w:val="000000"/>
          <w:sz w:val="24"/>
          <w:szCs w:val="24"/>
        </w:rPr>
      </w:pPr>
    </w:p>
    <w:p w:rsidR="000F0939" w:rsidRPr="00D252C6" w:rsidRDefault="000F0939" w:rsidP="000F0939">
      <w:pPr>
        <w:pStyle w:val="FootnoteText"/>
        <w:suppressLineNumbers/>
        <w:rPr>
          <w:rFonts w:ascii="Times New Roman" w:hAnsi="Times New Roman"/>
          <w:color w:val="000000"/>
          <w:sz w:val="24"/>
          <w:szCs w:val="24"/>
        </w:rPr>
      </w:pPr>
    </w:p>
    <w:p w:rsidR="004F7E1F" w:rsidRPr="00C959FA" w:rsidRDefault="004F7E1F" w:rsidP="003723E3">
      <w:pPr>
        <w:pStyle w:val="FootnoteText"/>
        <w:suppressLineNumbers/>
        <w:jc w:val="both"/>
        <w:rPr>
          <w:color w:val="000000"/>
          <w:sz w:val="24"/>
          <w:szCs w:val="24"/>
        </w:rPr>
      </w:pPr>
      <w:r>
        <w:rPr>
          <w:color w:val="000000"/>
          <w:sz w:val="24"/>
          <w:szCs w:val="24"/>
        </w:rPr>
        <w:tab/>
      </w:r>
      <w:r w:rsidR="0017579E">
        <w:rPr>
          <w:noProof/>
          <w:szCs w:val="24"/>
        </w:rPr>
        <w:drawing>
          <wp:inline distT="0" distB="0" distL="0" distR="0">
            <wp:extent cx="4143375" cy="7639050"/>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4143375" cy="7639050"/>
                    </a:xfrm>
                    <a:prstGeom prst="rect">
                      <a:avLst/>
                    </a:prstGeom>
                    <a:noFill/>
                    <a:ln w="9525">
                      <a:noFill/>
                      <a:miter lim="800000"/>
                      <a:headEnd/>
                      <a:tailEnd/>
                    </a:ln>
                  </pic:spPr>
                </pic:pic>
              </a:graphicData>
            </a:graphic>
          </wp:inline>
        </w:drawing>
      </w:r>
    </w:p>
    <w:p w:rsidR="004F7E1F" w:rsidRPr="00C07959" w:rsidRDefault="004F7E1F" w:rsidP="003B4E27">
      <w:pPr>
        <w:pStyle w:val="FootnoteText"/>
        <w:rPr>
          <w:rFonts w:ascii="Times New Roman" w:hAnsi="Times New Roman"/>
          <w:b/>
          <w:color w:val="000000"/>
          <w:sz w:val="24"/>
          <w:szCs w:val="24"/>
        </w:rPr>
      </w:pPr>
      <w:r w:rsidRPr="00C07959">
        <w:rPr>
          <w:color w:val="000000"/>
          <w:sz w:val="24"/>
          <w:szCs w:val="24"/>
        </w:rPr>
        <w:tab/>
      </w:r>
      <w:r w:rsidR="00C07959" w:rsidRPr="00C07959">
        <w:rPr>
          <w:rFonts w:ascii="Times New Roman" w:hAnsi="Times New Roman"/>
          <w:sz w:val="24"/>
          <w:szCs w:val="24"/>
        </w:rPr>
        <w:t xml:space="preserve">The data in Table 1 vividly illustrate the market turmoil that has occurred.  </w:t>
      </w:r>
      <w:r w:rsidR="00027B2C">
        <w:rPr>
          <w:rFonts w:ascii="Times New Roman" w:hAnsi="Times New Roman"/>
          <w:sz w:val="24"/>
          <w:szCs w:val="24"/>
        </w:rPr>
        <w:t xml:space="preserve">Over the past two years, interest rates have fluctuated widely.  </w:t>
      </w:r>
      <w:r w:rsidR="00C07959" w:rsidRPr="00C07959">
        <w:rPr>
          <w:rFonts w:ascii="Times New Roman" w:hAnsi="Times New Roman"/>
          <w:sz w:val="24"/>
          <w:szCs w:val="24"/>
        </w:rPr>
        <w:t>The Federal Reserve</w:t>
      </w:r>
      <w:r w:rsidR="003C18EA">
        <w:rPr>
          <w:rFonts w:ascii="Times New Roman" w:hAnsi="Times New Roman"/>
          <w:sz w:val="24"/>
          <w:szCs w:val="24"/>
        </w:rPr>
        <w:t>’</w:t>
      </w:r>
      <w:r w:rsidR="00C07959" w:rsidRPr="00C07959">
        <w:rPr>
          <w:rFonts w:ascii="Times New Roman" w:hAnsi="Times New Roman"/>
          <w:sz w:val="24"/>
          <w:szCs w:val="24"/>
        </w:rPr>
        <w:t>s efforts to reduce borrowing costs for banks (the Fed Funds rate) and lower rates on U.S. Treasury bonds have now extended to high quality corporate borrowers as well.  While the effects of market turbulence may not be easily captured in financial models for estimating the rate of return, equity market turbulence and continuing elevated risk aversion should be considered explicitly in estimates of the cost of equity capital.</w:t>
      </w:r>
    </w:p>
    <w:p w:rsidR="004F7E1F" w:rsidRPr="00AA55E5" w:rsidRDefault="004F7E1F" w:rsidP="00AA55E5">
      <w:pPr>
        <w:pStyle w:val="FootnoteText"/>
        <w:rPr>
          <w:rFonts w:ascii="Times New Roman" w:hAnsi="Times New Roman"/>
          <w:b/>
          <w:color w:val="000000"/>
          <w:sz w:val="24"/>
          <w:szCs w:val="24"/>
        </w:rPr>
      </w:pPr>
      <w:r w:rsidRPr="00AA55E5">
        <w:rPr>
          <w:rFonts w:ascii="Times New Roman" w:hAnsi="Times New Roman"/>
          <w:b/>
          <w:color w:val="000000"/>
          <w:sz w:val="24"/>
          <w:szCs w:val="24"/>
        </w:rPr>
        <w:t>Q</w:t>
      </w:r>
      <w:r w:rsidR="00AA55E5" w:rsidRPr="00AA55E5">
        <w:rPr>
          <w:rFonts w:ascii="Times New Roman" w:hAnsi="Times New Roman"/>
          <w:b/>
          <w:color w:val="000000"/>
          <w:sz w:val="24"/>
          <w:szCs w:val="24"/>
        </w:rPr>
        <w:t>.</w:t>
      </w:r>
      <w:r w:rsidRPr="00AA55E5">
        <w:rPr>
          <w:rFonts w:ascii="Times New Roman" w:hAnsi="Times New Roman"/>
          <w:b/>
          <w:color w:val="000000"/>
          <w:sz w:val="24"/>
          <w:szCs w:val="24"/>
        </w:rPr>
        <w:tab/>
        <w:t xml:space="preserve">Do the smaller spreads between </w:t>
      </w:r>
      <w:r w:rsidR="00027B2C">
        <w:rPr>
          <w:rFonts w:ascii="Times New Roman" w:hAnsi="Times New Roman"/>
          <w:b/>
          <w:color w:val="000000"/>
          <w:sz w:val="24"/>
          <w:szCs w:val="24"/>
        </w:rPr>
        <w:t xml:space="preserve">yields on </w:t>
      </w:r>
      <w:r w:rsidR="00C07959">
        <w:rPr>
          <w:rFonts w:ascii="Times New Roman" w:hAnsi="Times New Roman"/>
          <w:b/>
          <w:color w:val="000000"/>
          <w:sz w:val="24"/>
          <w:szCs w:val="24"/>
        </w:rPr>
        <w:t>single-A</w:t>
      </w:r>
      <w:r w:rsidRPr="00AA55E5">
        <w:rPr>
          <w:rFonts w:ascii="Times New Roman" w:hAnsi="Times New Roman"/>
          <w:b/>
          <w:color w:val="000000"/>
          <w:sz w:val="24"/>
          <w:szCs w:val="24"/>
        </w:rPr>
        <w:t xml:space="preserve"> utility bond</w:t>
      </w:r>
      <w:r w:rsidR="00027B2C">
        <w:rPr>
          <w:rFonts w:ascii="Times New Roman" w:hAnsi="Times New Roman"/>
          <w:b/>
          <w:color w:val="000000"/>
          <w:sz w:val="24"/>
          <w:szCs w:val="24"/>
        </w:rPr>
        <w:t>s</w:t>
      </w:r>
      <w:r w:rsidRPr="00AA55E5">
        <w:rPr>
          <w:rFonts w:ascii="Times New Roman" w:hAnsi="Times New Roman"/>
          <w:b/>
          <w:color w:val="000000"/>
          <w:sz w:val="24"/>
          <w:szCs w:val="24"/>
        </w:rPr>
        <w:t xml:space="preserve"> and </w:t>
      </w:r>
      <w:smartTag w:uri="urn:schemas-microsoft-com:office:smarttags" w:element="country-region">
        <w:smartTag w:uri="urn:schemas-microsoft-com:office:smarttags" w:element="place">
          <w:r w:rsidRPr="00AA55E5">
            <w:rPr>
              <w:rFonts w:ascii="Times New Roman" w:hAnsi="Times New Roman"/>
              <w:b/>
              <w:color w:val="000000"/>
              <w:sz w:val="24"/>
              <w:szCs w:val="24"/>
            </w:rPr>
            <w:t>U.S.</w:t>
          </w:r>
        </w:smartTag>
      </w:smartTag>
      <w:r w:rsidRPr="00AA55E5">
        <w:rPr>
          <w:rFonts w:ascii="Times New Roman" w:hAnsi="Times New Roman"/>
          <w:b/>
          <w:color w:val="000000"/>
          <w:sz w:val="24"/>
          <w:szCs w:val="24"/>
        </w:rPr>
        <w:t xml:space="preserve"> Treasury bonds mean that the markets have fully recovered from the economic turmoil that resulted from the financial crisis?</w:t>
      </w:r>
    </w:p>
    <w:p w:rsidR="004F7E1F" w:rsidRPr="00B84D2B" w:rsidRDefault="004F7E1F" w:rsidP="00B84D2B">
      <w:pPr>
        <w:pStyle w:val="FootnoteText"/>
        <w:rPr>
          <w:rFonts w:ascii="Times New Roman" w:hAnsi="Times New Roman"/>
          <w:color w:val="000000"/>
          <w:sz w:val="24"/>
          <w:szCs w:val="24"/>
        </w:rPr>
      </w:pPr>
      <w:r w:rsidRPr="00B84D2B">
        <w:rPr>
          <w:rFonts w:ascii="Times New Roman" w:hAnsi="Times New Roman"/>
          <w:color w:val="000000"/>
          <w:sz w:val="24"/>
          <w:szCs w:val="24"/>
        </w:rPr>
        <w:t>A</w:t>
      </w:r>
      <w:r w:rsidR="00AA55E5" w:rsidRPr="00B84D2B">
        <w:rPr>
          <w:rFonts w:ascii="Times New Roman" w:hAnsi="Times New Roman"/>
          <w:color w:val="000000"/>
          <w:sz w:val="24"/>
          <w:szCs w:val="24"/>
        </w:rPr>
        <w:t>.</w:t>
      </w:r>
      <w:r w:rsidRPr="00B84D2B">
        <w:rPr>
          <w:rFonts w:ascii="Times New Roman" w:hAnsi="Times New Roman"/>
          <w:color w:val="000000"/>
          <w:sz w:val="24"/>
          <w:szCs w:val="24"/>
        </w:rPr>
        <w:tab/>
        <w:t xml:space="preserve">No.  While markets have stabilized </w:t>
      </w:r>
      <w:r w:rsidR="00027B2C">
        <w:rPr>
          <w:rFonts w:ascii="Times New Roman" w:hAnsi="Times New Roman"/>
          <w:color w:val="000000"/>
          <w:sz w:val="24"/>
          <w:szCs w:val="24"/>
        </w:rPr>
        <w:t>from</w:t>
      </w:r>
      <w:r w:rsidRPr="00B84D2B">
        <w:rPr>
          <w:rFonts w:ascii="Times New Roman" w:hAnsi="Times New Roman"/>
          <w:color w:val="000000"/>
          <w:sz w:val="24"/>
          <w:szCs w:val="24"/>
        </w:rPr>
        <w:t xml:space="preserve"> the near-chaotic conditions that existed in late 2008, investors remain concerned about high unemployment, large federal deficits, and the potential for further fallout from foreclosures and other effects of the financial crisis.  Although it is difficult to measure these </w:t>
      </w:r>
      <w:r w:rsidR="00027B2C">
        <w:rPr>
          <w:rFonts w:ascii="Times New Roman" w:hAnsi="Times New Roman"/>
          <w:color w:val="000000"/>
          <w:sz w:val="24"/>
          <w:szCs w:val="24"/>
        </w:rPr>
        <w:t>factors</w:t>
      </w:r>
      <w:r w:rsidRPr="00B84D2B">
        <w:rPr>
          <w:rFonts w:ascii="Times New Roman" w:hAnsi="Times New Roman"/>
          <w:color w:val="000000"/>
          <w:sz w:val="24"/>
          <w:szCs w:val="24"/>
        </w:rPr>
        <w:t xml:space="preserve"> direct</w:t>
      </w:r>
      <w:r w:rsidR="00AA55E5" w:rsidRPr="00B84D2B">
        <w:rPr>
          <w:rFonts w:ascii="Times New Roman" w:hAnsi="Times New Roman"/>
          <w:color w:val="000000"/>
          <w:sz w:val="24"/>
          <w:szCs w:val="24"/>
        </w:rPr>
        <w:t>ly, they should not be ignored</w:t>
      </w:r>
      <w:r w:rsidR="00B84D2B" w:rsidRPr="00B84D2B">
        <w:rPr>
          <w:rFonts w:ascii="Times New Roman" w:hAnsi="Times New Roman"/>
          <w:color w:val="000000"/>
          <w:sz w:val="24"/>
          <w:szCs w:val="24"/>
        </w:rPr>
        <w:t xml:space="preserve"> as Mr. Elgin and Mr. Gorman have done</w:t>
      </w:r>
      <w:r w:rsidR="00AA55E5" w:rsidRPr="00B84D2B">
        <w:rPr>
          <w:rFonts w:ascii="Times New Roman" w:hAnsi="Times New Roman"/>
          <w:color w:val="000000"/>
          <w:sz w:val="24"/>
          <w:szCs w:val="24"/>
        </w:rPr>
        <w:t>.</w:t>
      </w:r>
    </w:p>
    <w:p w:rsidR="004F7E1F" w:rsidRPr="00B84D2B" w:rsidRDefault="004F7E1F" w:rsidP="00B84D2B">
      <w:pPr>
        <w:pStyle w:val="FootnoteText"/>
        <w:rPr>
          <w:rFonts w:ascii="Times New Roman" w:hAnsi="Times New Roman"/>
          <w:b/>
          <w:color w:val="000000"/>
          <w:sz w:val="24"/>
          <w:szCs w:val="24"/>
        </w:rPr>
      </w:pPr>
      <w:r w:rsidRPr="00B84D2B">
        <w:rPr>
          <w:rFonts w:ascii="Times New Roman" w:hAnsi="Times New Roman"/>
          <w:b/>
          <w:color w:val="000000"/>
          <w:sz w:val="24"/>
          <w:szCs w:val="24"/>
        </w:rPr>
        <w:t>Q</w:t>
      </w:r>
      <w:r w:rsidR="00B84D2B">
        <w:rPr>
          <w:rFonts w:ascii="Times New Roman" w:hAnsi="Times New Roman"/>
          <w:b/>
          <w:color w:val="000000"/>
          <w:sz w:val="24"/>
          <w:szCs w:val="24"/>
        </w:rPr>
        <w:t>.</w:t>
      </w:r>
      <w:r w:rsidRPr="00B84D2B">
        <w:rPr>
          <w:rFonts w:ascii="Times New Roman" w:hAnsi="Times New Roman"/>
          <w:b/>
          <w:color w:val="000000"/>
          <w:sz w:val="24"/>
          <w:szCs w:val="24"/>
        </w:rPr>
        <w:tab/>
        <w:t>What do econom</w:t>
      </w:r>
      <w:r w:rsidR="00027B2C">
        <w:rPr>
          <w:rFonts w:ascii="Times New Roman" w:hAnsi="Times New Roman"/>
          <w:b/>
          <w:color w:val="000000"/>
          <w:sz w:val="24"/>
          <w:szCs w:val="24"/>
        </w:rPr>
        <w:t>ic</w:t>
      </w:r>
      <w:r w:rsidRPr="00B84D2B">
        <w:rPr>
          <w:rFonts w:ascii="Times New Roman" w:hAnsi="Times New Roman"/>
          <w:b/>
          <w:color w:val="000000"/>
          <w:sz w:val="24"/>
          <w:szCs w:val="24"/>
        </w:rPr>
        <w:t xml:space="preserve"> and interest rate</w:t>
      </w:r>
      <w:r w:rsidR="00027B2C">
        <w:rPr>
          <w:rFonts w:ascii="Times New Roman" w:hAnsi="Times New Roman"/>
          <w:b/>
          <w:color w:val="000000"/>
          <w:sz w:val="24"/>
          <w:szCs w:val="24"/>
        </w:rPr>
        <w:t xml:space="preserve"> forecasts</w:t>
      </w:r>
      <w:r w:rsidRPr="00B84D2B">
        <w:rPr>
          <w:rFonts w:ascii="Times New Roman" w:hAnsi="Times New Roman"/>
          <w:b/>
          <w:color w:val="000000"/>
          <w:sz w:val="24"/>
          <w:szCs w:val="24"/>
        </w:rPr>
        <w:t xml:space="preserve"> show for the coming year?</w:t>
      </w:r>
    </w:p>
    <w:p w:rsidR="00041AC2" w:rsidRDefault="00041AC2" w:rsidP="00041AC2">
      <w:pPr>
        <w:widowControl w:val="0"/>
        <w:jc w:val="left"/>
        <w:rPr>
          <w:rFonts w:ascii="Times New Roman" w:hAnsi="Times New Roman"/>
        </w:rPr>
      </w:pPr>
      <w:r>
        <w:rPr>
          <w:rFonts w:ascii="Times New Roman" w:hAnsi="Times New Roman"/>
          <w:bCs/>
        </w:rPr>
        <w:t>A.</w:t>
      </w:r>
      <w:r>
        <w:rPr>
          <w:rFonts w:ascii="Times New Roman" w:hAnsi="Times New Roman"/>
          <w:bCs/>
        </w:rPr>
        <w:tab/>
      </w:r>
      <w:r w:rsidR="002843F4">
        <w:rPr>
          <w:rFonts w:ascii="Times New Roman" w:hAnsi="Times New Roman"/>
          <w:bCs/>
        </w:rPr>
        <w:t xml:space="preserve">In </w:t>
      </w:r>
      <w:r w:rsidRPr="000D30BC">
        <w:rPr>
          <w:rFonts w:ascii="Times New Roman" w:hAnsi="Times New Roman"/>
          <w:bCs/>
        </w:rPr>
        <w:t xml:space="preserve">Exhibit </w:t>
      </w:r>
      <w:r>
        <w:rPr>
          <w:rFonts w:ascii="Times New Roman" w:hAnsi="Times New Roman"/>
          <w:bCs/>
        </w:rPr>
        <w:t>No.__</w:t>
      </w:r>
      <w:r w:rsidR="00AB7BDC">
        <w:rPr>
          <w:rFonts w:ascii="Times New Roman" w:hAnsi="Times New Roman"/>
          <w:bCs/>
        </w:rPr>
        <w:t>_</w:t>
      </w:r>
      <w:r>
        <w:rPr>
          <w:rFonts w:ascii="Times New Roman" w:hAnsi="Times New Roman"/>
          <w:bCs/>
        </w:rPr>
        <w:t>(</w:t>
      </w:r>
      <w:smartTag w:uri="urn:schemas-microsoft-com:office:smarttags" w:element="stockticker">
        <w:r>
          <w:rPr>
            <w:rFonts w:ascii="Times New Roman" w:hAnsi="Times New Roman"/>
            <w:bCs/>
          </w:rPr>
          <w:t>SCH</w:t>
        </w:r>
      </w:smartTag>
      <w:r w:rsidR="002843F4">
        <w:rPr>
          <w:rFonts w:ascii="Times New Roman" w:hAnsi="Times New Roman"/>
          <w:bCs/>
        </w:rPr>
        <w:t>-</w:t>
      </w:r>
      <w:r w:rsidR="004010D4" w:rsidRPr="003723E3">
        <w:rPr>
          <w:rFonts w:ascii="Times New Roman" w:hAnsi="Times New Roman"/>
          <w:bCs/>
        </w:rPr>
        <w:t>9</w:t>
      </w:r>
      <w:r w:rsidR="002843F4">
        <w:rPr>
          <w:rFonts w:ascii="Times New Roman" w:hAnsi="Times New Roman"/>
          <w:bCs/>
        </w:rPr>
        <w:t>), page 2</w:t>
      </w:r>
      <w:r>
        <w:rPr>
          <w:rFonts w:ascii="Times New Roman" w:hAnsi="Times New Roman"/>
          <w:bCs/>
        </w:rPr>
        <w:t>,</w:t>
      </w:r>
      <w:r w:rsidRPr="000D30BC">
        <w:rPr>
          <w:rFonts w:ascii="Times New Roman" w:hAnsi="Times New Roman"/>
          <w:bCs/>
        </w:rPr>
        <w:t xml:space="preserve"> </w:t>
      </w:r>
      <w:r w:rsidR="002843F4">
        <w:rPr>
          <w:rFonts w:ascii="Times New Roman" w:hAnsi="Times New Roman"/>
          <w:bCs/>
        </w:rPr>
        <w:t xml:space="preserve">I </w:t>
      </w:r>
      <w:r w:rsidRPr="000D30BC">
        <w:rPr>
          <w:rFonts w:ascii="Times New Roman" w:hAnsi="Times New Roman"/>
        </w:rPr>
        <w:t xml:space="preserve">provide </w:t>
      </w:r>
      <w:r w:rsidR="00027B2C">
        <w:rPr>
          <w:rFonts w:ascii="Times New Roman" w:hAnsi="Times New Roman"/>
        </w:rPr>
        <w:t>Standard and Poor</w:t>
      </w:r>
      <w:r w:rsidR="003C18EA">
        <w:rPr>
          <w:rFonts w:ascii="Times New Roman" w:hAnsi="Times New Roman"/>
        </w:rPr>
        <w:t>’</w:t>
      </w:r>
      <w:r w:rsidR="00027B2C">
        <w:rPr>
          <w:rFonts w:ascii="Times New Roman" w:hAnsi="Times New Roman"/>
        </w:rPr>
        <w:t>s (</w:t>
      </w:r>
      <w:r w:rsidRPr="000D30BC">
        <w:rPr>
          <w:rFonts w:ascii="Times New Roman" w:hAnsi="Times New Roman"/>
        </w:rPr>
        <w:t>S&amp;P</w:t>
      </w:r>
      <w:r w:rsidR="00027B2C">
        <w:rPr>
          <w:rFonts w:ascii="Times New Roman" w:hAnsi="Times New Roman"/>
        </w:rPr>
        <w:t>)</w:t>
      </w:r>
      <w:r w:rsidRPr="000D30BC">
        <w:rPr>
          <w:rFonts w:ascii="Times New Roman" w:hAnsi="Times New Roman"/>
        </w:rPr>
        <w:t xml:space="preserve"> most recent economic forecast from its </w:t>
      </w:r>
      <w:r w:rsidRPr="000D30BC">
        <w:rPr>
          <w:rFonts w:ascii="Times New Roman" w:hAnsi="Times New Roman"/>
          <w:i/>
        </w:rPr>
        <w:t>Trends &amp; Projection</w:t>
      </w:r>
      <w:r w:rsidRPr="000D30BC">
        <w:rPr>
          <w:rFonts w:ascii="Times New Roman" w:hAnsi="Times New Roman"/>
        </w:rPr>
        <w:t xml:space="preserve">s publication for </w:t>
      </w:r>
      <w:r>
        <w:rPr>
          <w:rFonts w:ascii="Times New Roman" w:hAnsi="Times New Roman"/>
        </w:rPr>
        <w:t>September 2010</w:t>
      </w:r>
      <w:r w:rsidRPr="000D30BC">
        <w:rPr>
          <w:rFonts w:ascii="Times New Roman" w:hAnsi="Times New Roman"/>
        </w:rPr>
        <w:t xml:space="preserve">.  </w:t>
      </w:r>
      <w:r>
        <w:rPr>
          <w:rFonts w:ascii="Times New Roman" w:hAnsi="Times New Roman"/>
        </w:rPr>
        <w:t xml:space="preserve">The </w:t>
      </w:r>
      <w:r w:rsidRPr="000D30BC">
        <w:rPr>
          <w:rFonts w:ascii="Times New Roman" w:hAnsi="Times New Roman"/>
        </w:rPr>
        <w:t>S&amp;P forecast</w:t>
      </w:r>
      <w:r>
        <w:rPr>
          <w:rFonts w:ascii="Times New Roman" w:hAnsi="Times New Roman"/>
        </w:rPr>
        <w:t xml:space="preserve"> reflects the</w:t>
      </w:r>
      <w:r w:rsidRPr="000D30BC">
        <w:rPr>
          <w:rFonts w:ascii="Times New Roman" w:hAnsi="Times New Roman"/>
        </w:rPr>
        <w:t xml:space="preserve"> </w:t>
      </w:r>
      <w:r>
        <w:rPr>
          <w:rFonts w:ascii="Times New Roman" w:hAnsi="Times New Roman"/>
        </w:rPr>
        <w:t xml:space="preserve">significant economic contraction that occurred in 2009, with a drop in real GDP of 2.6 percent.  For all of 2010 and 2011, S&amp;P forecasts that real </w:t>
      </w:r>
      <w:smartTag w:uri="urn:schemas-microsoft-com:office:smarttags" w:element="stockticker">
        <w:r>
          <w:rPr>
            <w:rFonts w:ascii="Times New Roman" w:hAnsi="Times New Roman"/>
          </w:rPr>
          <w:t>GDP</w:t>
        </w:r>
      </w:smartTag>
      <w:r>
        <w:rPr>
          <w:rFonts w:ascii="Times New Roman" w:hAnsi="Times New Roman"/>
        </w:rPr>
        <w:t xml:space="preserve"> will increase by 2.6 percent and 2.4 percent, respectively.  While this forecast does not reflect a full </w:t>
      </w:r>
      <w:r w:rsidR="008C3926">
        <w:rPr>
          <w:rFonts w:ascii="Times New Roman" w:hAnsi="Times New Roman"/>
        </w:rPr>
        <w:t>“</w:t>
      </w:r>
      <w:r>
        <w:rPr>
          <w:rFonts w:ascii="Times New Roman" w:hAnsi="Times New Roman"/>
        </w:rPr>
        <w:t>double-dip</w:t>
      </w:r>
      <w:r w:rsidR="003C18EA">
        <w:rPr>
          <w:rFonts w:ascii="Times New Roman" w:hAnsi="Times New Roman"/>
        </w:rPr>
        <w:t>”</w:t>
      </w:r>
      <w:r>
        <w:rPr>
          <w:rFonts w:ascii="Times New Roman" w:hAnsi="Times New Roman"/>
        </w:rPr>
        <w:t xml:space="preserve"> recession for the remainder of 2010 and into 2011, the lack of further expansion in 2011 is a more pessimistic outlook than S&amp;P had previously provided.  </w:t>
      </w:r>
      <w:r w:rsidR="00027B2C">
        <w:rPr>
          <w:rFonts w:ascii="Times New Roman" w:hAnsi="Times New Roman"/>
        </w:rPr>
        <w:t xml:space="preserve">The </w:t>
      </w:r>
      <w:r>
        <w:rPr>
          <w:rFonts w:ascii="Times New Roman" w:hAnsi="Times New Roman"/>
        </w:rPr>
        <w:t xml:space="preserve">S&amp;P </w:t>
      </w:r>
      <w:r w:rsidR="00027B2C">
        <w:rPr>
          <w:rFonts w:ascii="Times New Roman" w:hAnsi="Times New Roman"/>
        </w:rPr>
        <w:t xml:space="preserve">forecast </w:t>
      </w:r>
      <w:r>
        <w:rPr>
          <w:rFonts w:ascii="Times New Roman" w:hAnsi="Times New Roman"/>
        </w:rPr>
        <w:t xml:space="preserve">now </w:t>
      </w:r>
      <w:r w:rsidR="00027B2C">
        <w:rPr>
          <w:rFonts w:ascii="Times New Roman" w:hAnsi="Times New Roman"/>
        </w:rPr>
        <w:t>delays the resumption of</w:t>
      </w:r>
      <w:r>
        <w:rPr>
          <w:rFonts w:ascii="Times New Roman" w:hAnsi="Times New Roman"/>
        </w:rPr>
        <w:t xml:space="preserve"> more robust growth until the 3</w:t>
      </w:r>
      <w:r w:rsidR="00C94F38" w:rsidRPr="00C94F38">
        <w:rPr>
          <w:rFonts w:ascii="Times New Roman" w:hAnsi="Times New Roman"/>
          <w:vertAlign w:val="superscript"/>
        </w:rPr>
        <w:t>rd</w:t>
      </w:r>
      <w:r>
        <w:rPr>
          <w:rFonts w:ascii="Times New Roman" w:hAnsi="Times New Roman"/>
        </w:rPr>
        <w:t xml:space="preserve"> and 4</w:t>
      </w:r>
      <w:r w:rsidRPr="00EA33E1">
        <w:rPr>
          <w:rFonts w:ascii="Times New Roman" w:hAnsi="Times New Roman"/>
          <w:vertAlign w:val="superscript"/>
        </w:rPr>
        <w:t>th</w:t>
      </w:r>
      <w:r>
        <w:rPr>
          <w:rFonts w:ascii="Times New Roman" w:hAnsi="Times New Roman"/>
        </w:rPr>
        <w:t xml:space="preserve"> Quarters of 2011.</w:t>
      </w:r>
    </w:p>
    <w:p w:rsidR="00041AC2" w:rsidRPr="000D30BC" w:rsidRDefault="00041AC2" w:rsidP="00041AC2">
      <w:pPr>
        <w:ind w:firstLine="720"/>
        <w:jc w:val="left"/>
        <w:rPr>
          <w:rFonts w:ascii="Times New Roman" w:hAnsi="Times New Roman"/>
        </w:rPr>
      </w:pPr>
      <w:r>
        <w:rPr>
          <w:rFonts w:ascii="Times New Roman" w:hAnsi="Times New Roman"/>
        </w:rPr>
        <w:t xml:space="preserve">Consistent with </w:t>
      </w:r>
      <w:r w:rsidRPr="000D30BC">
        <w:rPr>
          <w:rFonts w:ascii="Times New Roman" w:hAnsi="Times New Roman"/>
        </w:rPr>
        <w:t>S&amp;P</w:t>
      </w:r>
      <w:r w:rsidR="003C18EA">
        <w:rPr>
          <w:rFonts w:ascii="Times New Roman" w:hAnsi="Times New Roman"/>
        </w:rPr>
        <w:t>’</w:t>
      </w:r>
      <w:r>
        <w:rPr>
          <w:rFonts w:ascii="Times New Roman" w:hAnsi="Times New Roman"/>
        </w:rPr>
        <w:t>s pessimistic outlook for the econom</w:t>
      </w:r>
      <w:r w:rsidR="00027B2C">
        <w:rPr>
          <w:rFonts w:ascii="Times New Roman" w:hAnsi="Times New Roman"/>
        </w:rPr>
        <w:t>y</w:t>
      </w:r>
      <w:r>
        <w:rPr>
          <w:rFonts w:ascii="Times New Roman" w:hAnsi="Times New Roman"/>
        </w:rPr>
        <w:t>, its</w:t>
      </w:r>
      <w:r w:rsidRPr="000D30BC">
        <w:rPr>
          <w:rFonts w:ascii="Times New Roman" w:hAnsi="Times New Roman"/>
        </w:rPr>
        <w:t xml:space="preserve"> </w:t>
      </w:r>
      <w:r>
        <w:rPr>
          <w:rFonts w:ascii="Times New Roman" w:hAnsi="Times New Roman"/>
        </w:rPr>
        <w:t xml:space="preserve">long-term </w:t>
      </w:r>
      <w:r w:rsidRPr="000D30BC">
        <w:rPr>
          <w:rFonts w:ascii="Times New Roman" w:hAnsi="Times New Roman"/>
        </w:rPr>
        <w:t>interest rate</w:t>
      </w:r>
      <w:r w:rsidR="00027B2C">
        <w:rPr>
          <w:rFonts w:ascii="Times New Roman" w:hAnsi="Times New Roman"/>
        </w:rPr>
        <w:t xml:space="preserve"> forecast</w:t>
      </w:r>
      <w:r w:rsidRPr="000D30BC">
        <w:rPr>
          <w:rFonts w:ascii="Times New Roman" w:hAnsi="Times New Roman"/>
        </w:rPr>
        <w:t xml:space="preserve">s </w:t>
      </w:r>
      <w:r>
        <w:rPr>
          <w:rFonts w:ascii="Times New Roman" w:hAnsi="Times New Roman"/>
        </w:rPr>
        <w:t>have also declined.</w:t>
      </w:r>
      <w:r w:rsidRPr="000D30BC">
        <w:rPr>
          <w:rFonts w:ascii="Times New Roman" w:hAnsi="Times New Roman"/>
        </w:rPr>
        <w:t xml:space="preserve">  T</w:t>
      </w:r>
      <w:r w:rsidR="00455600">
        <w:rPr>
          <w:rFonts w:ascii="Times New Roman" w:hAnsi="Times New Roman"/>
        </w:rPr>
        <w:t>able 2 below summarizes the interest rate forecasts:</w:t>
      </w:r>
    </w:p>
    <w:p w:rsidR="00041AC2" w:rsidRPr="003D3AF0" w:rsidRDefault="00041AC2" w:rsidP="00041AC2">
      <w:pPr>
        <w:keepNext/>
        <w:spacing w:line="240" w:lineRule="auto"/>
        <w:jc w:val="center"/>
        <w:rPr>
          <w:rFonts w:ascii="Times New Roman" w:hAnsi="Times New Roman"/>
          <w:b/>
          <w:bCs/>
          <w:szCs w:val="24"/>
        </w:rPr>
      </w:pPr>
      <w:bookmarkStart w:id="0" w:name="OLE_LINK3"/>
      <w:bookmarkStart w:id="1" w:name="OLE_LINK4"/>
      <w:r w:rsidRPr="003D3AF0">
        <w:rPr>
          <w:rFonts w:ascii="Times New Roman" w:hAnsi="Times New Roman"/>
          <w:b/>
          <w:bCs/>
          <w:szCs w:val="24"/>
        </w:rPr>
        <w:t>Table 2</w:t>
      </w:r>
    </w:p>
    <w:bookmarkEnd w:id="0"/>
    <w:bookmarkEnd w:id="1"/>
    <w:p w:rsidR="00041AC2" w:rsidRPr="0073530C" w:rsidRDefault="00041AC2" w:rsidP="00041AC2">
      <w:pPr>
        <w:keepNext/>
        <w:keepLines/>
        <w:spacing w:line="240" w:lineRule="auto"/>
        <w:ind w:left="1440" w:right="1080"/>
        <w:jc w:val="center"/>
        <w:rPr>
          <w:rFonts w:ascii="Times New Roman" w:hAnsi="Times New Roman"/>
          <w:b/>
          <w:bCs/>
          <w:szCs w:val="24"/>
        </w:rPr>
      </w:pPr>
      <w:r w:rsidRPr="0073530C">
        <w:rPr>
          <w:rFonts w:ascii="Times New Roman" w:hAnsi="Times New Roman"/>
          <w:b/>
          <w:bCs/>
          <w:szCs w:val="24"/>
        </w:rPr>
        <w:t>Standard &amp; Poor</w:t>
      </w:r>
      <w:r w:rsidR="003C18EA">
        <w:rPr>
          <w:rFonts w:ascii="Times New Roman" w:hAnsi="Times New Roman"/>
          <w:b/>
          <w:bCs/>
          <w:szCs w:val="24"/>
        </w:rPr>
        <w:t>’</w:t>
      </w:r>
      <w:r w:rsidRPr="0073530C">
        <w:rPr>
          <w:rFonts w:ascii="Times New Roman" w:hAnsi="Times New Roman"/>
          <w:b/>
          <w:bCs/>
          <w:szCs w:val="24"/>
        </w:rPr>
        <w:t>s Interest Rate Forecast</w:t>
      </w:r>
    </w:p>
    <w:p w:rsidR="00041AC2" w:rsidRPr="0073530C" w:rsidRDefault="00041AC2" w:rsidP="00041AC2">
      <w:pPr>
        <w:keepNext/>
        <w:keepLines/>
        <w:tabs>
          <w:tab w:val="right" w:pos="4410"/>
          <w:tab w:val="right" w:pos="5760"/>
          <w:tab w:val="right" w:pos="7110"/>
        </w:tabs>
        <w:spacing w:line="240" w:lineRule="auto"/>
        <w:ind w:left="1440"/>
        <w:rPr>
          <w:rFonts w:ascii="Times New Roman" w:hAnsi="Times New Roman"/>
          <w:bCs/>
        </w:rPr>
      </w:pPr>
      <w:r>
        <w:rPr>
          <w:rFonts w:ascii="Times New Roman" w:hAnsi="Times New Roman"/>
          <w:bCs/>
        </w:rPr>
        <w:tab/>
      </w:r>
      <w:r>
        <w:rPr>
          <w:rFonts w:ascii="Times New Roman" w:hAnsi="Times New Roman"/>
          <w:bCs/>
        </w:rPr>
        <w:tab/>
        <w:t>Sep</w:t>
      </w:r>
      <w:r w:rsidRPr="0073530C">
        <w:rPr>
          <w:rFonts w:ascii="Times New Roman" w:hAnsi="Times New Roman"/>
          <w:bCs/>
        </w:rPr>
        <w:t>. 20</w:t>
      </w:r>
      <w:r>
        <w:rPr>
          <w:rFonts w:ascii="Times New Roman" w:hAnsi="Times New Roman"/>
          <w:bCs/>
        </w:rPr>
        <w:t>10</w:t>
      </w:r>
      <w:r w:rsidRPr="0073530C">
        <w:rPr>
          <w:rFonts w:ascii="Times New Roman" w:hAnsi="Times New Roman"/>
          <w:bCs/>
        </w:rPr>
        <w:tab/>
        <w:t>Average</w:t>
      </w:r>
      <w:r w:rsidRPr="0073530C">
        <w:rPr>
          <w:rFonts w:ascii="Times New Roman" w:hAnsi="Times New Roman"/>
          <w:bCs/>
        </w:rPr>
        <w:tab/>
        <w:t>Average</w:t>
      </w:r>
    </w:p>
    <w:p w:rsidR="00041AC2" w:rsidRPr="0073530C" w:rsidRDefault="00041AC2" w:rsidP="00041AC2">
      <w:pPr>
        <w:keepNext/>
        <w:keepLines/>
        <w:tabs>
          <w:tab w:val="right" w:pos="4320"/>
          <w:tab w:val="right" w:pos="5760"/>
          <w:tab w:val="right" w:pos="7200"/>
        </w:tabs>
        <w:spacing w:line="240" w:lineRule="auto"/>
        <w:ind w:left="1440"/>
        <w:rPr>
          <w:rFonts w:ascii="Times New Roman" w:hAnsi="Times New Roman"/>
          <w:bCs/>
        </w:rPr>
      </w:pPr>
      <w:r w:rsidRPr="0073530C">
        <w:rPr>
          <w:rFonts w:ascii="Times New Roman" w:hAnsi="Times New Roman"/>
          <w:bCs/>
          <w:u w:val="single"/>
        </w:rPr>
        <w:tab/>
      </w:r>
      <w:r w:rsidRPr="0073530C">
        <w:rPr>
          <w:rFonts w:ascii="Times New Roman" w:hAnsi="Times New Roman"/>
          <w:bCs/>
          <w:u w:val="single"/>
        </w:rPr>
        <w:tab/>
        <w:t>Average</w:t>
      </w:r>
      <w:r w:rsidRPr="0073530C">
        <w:rPr>
          <w:rFonts w:ascii="Times New Roman" w:hAnsi="Times New Roman"/>
          <w:bCs/>
          <w:u w:val="single"/>
        </w:rPr>
        <w:tab/>
        <w:t>20</w:t>
      </w:r>
      <w:r>
        <w:rPr>
          <w:rFonts w:ascii="Times New Roman" w:hAnsi="Times New Roman"/>
          <w:bCs/>
          <w:u w:val="single"/>
        </w:rPr>
        <w:t>10</w:t>
      </w:r>
      <w:r w:rsidRPr="0073530C">
        <w:rPr>
          <w:rFonts w:ascii="Times New Roman" w:hAnsi="Times New Roman"/>
          <w:bCs/>
          <w:u w:val="single"/>
        </w:rPr>
        <w:t xml:space="preserve"> Est.</w:t>
      </w:r>
      <w:r w:rsidRPr="0073530C">
        <w:rPr>
          <w:rFonts w:ascii="Times New Roman" w:hAnsi="Times New Roman"/>
          <w:bCs/>
          <w:u w:val="single"/>
        </w:rPr>
        <w:tab/>
        <w:t>201</w:t>
      </w:r>
      <w:r>
        <w:rPr>
          <w:rFonts w:ascii="Times New Roman" w:hAnsi="Times New Roman"/>
          <w:bCs/>
          <w:u w:val="single"/>
        </w:rPr>
        <w:t>1</w:t>
      </w:r>
      <w:r w:rsidRPr="0073530C">
        <w:rPr>
          <w:rFonts w:ascii="Times New Roman" w:hAnsi="Times New Roman"/>
          <w:bCs/>
          <w:u w:val="single"/>
        </w:rPr>
        <w:t xml:space="preserve"> Est.</w:t>
      </w:r>
    </w:p>
    <w:p w:rsidR="00041AC2" w:rsidRPr="0073530C" w:rsidRDefault="00041AC2" w:rsidP="00041AC2">
      <w:pPr>
        <w:keepNext/>
        <w:keepLines/>
        <w:tabs>
          <w:tab w:val="right" w:pos="4320"/>
          <w:tab w:val="right" w:pos="5760"/>
          <w:tab w:val="right" w:pos="7200"/>
        </w:tabs>
        <w:spacing w:line="240" w:lineRule="auto"/>
        <w:ind w:left="1440"/>
        <w:rPr>
          <w:rFonts w:ascii="Times New Roman" w:hAnsi="Times New Roman"/>
          <w:bCs/>
        </w:rPr>
      </w:pPr>
      <w:r w:rsidRPr="0073530C">
        <w:rPr>
          <w:rFonts w:ascii="Times New Roman" w:hAnsi="Times New Roman"/>
          <w:bCs/>
        </w:rPr>
        <w:t>Treasury Bills</w:t>
      </w:r>
      <w:r w:rsidRPr="0073530C">
        <w:rPr>
          <w:rFonts w:ascii="Times New Roman" w:hAnsi="Times New Roman"/>
          <w:bCs/>
        </w:rPr>
        <w:tab/>
        <w:t>0.</w:t>
      </w:r>
      <w:r>
        <w:rPr>
          <w:rFonts w:ascii="Times New Roman" w:hAnsi="Times New Roman"/>
          <w:bCs/>
        </w:rPr>
        <w:t>2</w:t>
      </w:r>
      <w:r w:rsidRPr="0073530C">
        <w:rPr>
          <w:rFonts w:ascii="Times New Roman" w:hAnsi="Times New Roman"/>
          <w:bCs/>
        </w:rPr>
        <w:t>%</w:t>
      </w:r>
      <w:r w:rsidRPr="0073530C">
        <w:rPr>
          <w:rFonts w:ascii="Times New Roman" w:hAnsi="Times New Roman"/>
          <w:bCs/>
        </w:rPr>
        <w:tab/>
        <w:t>0.</w:t>
      </w:r>
      <w:r>
        <w:rPr>
          <w:rFonts w:ascii="Times New Roman" w:hAnsi="Times New Roman"/>
          <w:bCs/>
        </w:rPr>
        <w:t>1</w:t>
      </w:r>
      <w:r w:rsidRPr="0073530C">
        <w:rPr>
          <w:rFonts w:ascii="Times New Roman" w:hAnsi="Times New Roman"/>
          <w:bCs/>
        </w:rPr>
        <w:t>%</w:t>
      </w:r>
      <w:r w:rsidRPr="0073530C">
        <w:rPr>
          <w:rFonts w:ascii="Times New Roman" w:hAnsi="Times New Roman"/>
          <w:bCs/>
        </w:rPr>
        <w:tab/>
        <w:t>0.</w:t>
      </w:r>
      <w:r>
        <w:rPr>
          <w:rFonts w:ascii="Times New Roman" w:hAnsi="Times New Roman"/>
          <w:bCs/>
        </w:rPr>
        <w:t>3</w:t>
      </w:r>
      <w:r w:rsidRPr="0073530C">
        <w:rPr>
          <w:rFonts w:ascii="Times New Roman" w:hAnsi="Times New Roman"/>
          <w:bCs/>
        </w:rPr>
        <w:t>%</w:t>
      </w:r>
    </w:p>
    <w:p w:rsidR="00041AC2" w:rsidRPr="0073530C" w:rsidRDefault="00041AC2" w:rsidP="00041AC2">
      <w:pPr>
        <w:keepNext/>
        <w:keepLines/>
        <w:tabs>
          <w:tab w:val="right" w:pos="4320"/>
          <w:tab w:val="right" w:pos="5760"/>
          <w:tab w:val="right" w:pos="7200"/>
        </w:tabs>
        <w:spacing w:line="240" w:lineRule="auto"/>
        <w:ind w:left="1440"/>
        <w:rPr>
          <w:rFonts w:ascii="Times New Roman" w:hAnsi="Times New Roman"/>
          <w:bCs/>
        </w:rPr>
      </w:pPr>
      <w:r w:rsidRPr="0073530C">
        <w:rPr>
          <w:rFonts w:ascii="Times New Roman" w:hAnsi="Times New Roman"/>
          <w:bCs/>
        </w:rPr>
        <w:t>10-Yr. T</w:t>
      </w:r>
      <w:r>
        <w:rPr>
          <w:rFonts w:ascii="Times New Roman" w:hAnsi="Times New Roman"/>
          <w:bCs/>
        </w:rPr>
        <w:t>-Bonds</w:t>
      </w:r>
      <w:r>
        <w:rPr>
          <w:rFonts w:ascii="Times New Roman" w:hAnsi="Times New Roman"/>
          <w:bCs/>
        </w:rPr>
        <w:tab/>
        <w:t>2.7</w:t>
      </w:r>
      <w:r w:rsidRPr="0073530C">
        <w:rPr>
          <w:rFonts w:ascii="Times New Roman" w:hAnsi="Times New Roman"/>
          <w:bCs/>
        </w:rPr>
        <w:t>%</w:t>
      </w:r>
      <w:r w:rsidRPr="0073530C">
        <w:rPr>
          <w:rFonts w:ascii="Times New Roman" w:hAnsi="Times New Roman"/>
          <w:bCs/>
        </w:rPr>
        <w:tab/>
        <w:t>3.</w:t>
      </w:r>
      <w:r>
        <w:rPr>
          <w:rFonts w:ascii="Times New Roman" w:hAnsi="Times New Roman"/>
          <w:bCs/>
        </w:rPr>
        <w:t>1</w:t>
      </w:r>
      <w:r w:rsidRPr="0073530C">
        <w:rPr>
          <w:rFonts w:ascii="Times New Roman" w:hAnsi="Times New Roman"/>
          <w:bCs/>
        </w:rPr>
        <w:t>%</w:t>
      </w:r>
      <w:r w:rsidRPr="0073530C">
        <w:rPr>
          <w:rFonts w:ascii="Times New Roman" w:hAnsi="Times New Roman"/>
          <w:bCs/>
        </w:rPr>
        <w:tab/>
      </w:r>
      <w:r>
        <w:rPr>
          <w:rFonts w:ascii="Times New Roman" w:hAnsi="Times New Roman"/>
          <w:bCs/>
        </w:rPr>
        <w:t>2.6</w:t>
      </w:r>
      <w:r w:rsidRPr="0073530C">
        <w:rPr>
          <w:rFonts w:ascii="Times New Roman" w:hAnsi="Times New Roman"/>
          <w:bCs/>
        </w:rPr>
        <w:t>%</w:t>
      </w:r>
    </w:p>
    <w:p w:rsidR="00041AC2" w:rsidRPr="0073530C" w:rsidRDefault="00041AC2" w:rsidP="00041AC2">
      <w:pPr>
        <w:keepNext/>
        <w:keepLines/>
        <w:tabs>
          <w:tab w:val="right" w:pos="4320"/>
          <w:tab w:val="right" w:pos="5760"/>
          <w:tab w:val="right" w:pos="7200"/>
        </w:tabs>
        <w:spacing w:line="240" w:lineRule="auto"/>
        <w:ind w:left="1440"/>
        <w:rPr>
          <w:rFonts w:ascii="Times New Roman" w:hAnsi="Times New Roman"/>
          <w:bCs/>
        </w:rPr>
      </w:pPr>
      <w:r>
        <w:rPr>
          <w:rFonts w:ascii="Times New Roman" w:hAnsi="Times New Roman"/>
          <w:bCs/>
        </w:rPr>
        <w:t>30-Yr. T-Bonds</w:t>
      </w:r>
      <w:r>
        <w:rPr>
          <w:rFonts w:ascii="Times New Roman" w:hAnsi="Times New Roman"/>
          <w:bCs/>
        </w:rPr>
        <w:tab/>
        <w:t>3.8%</w:t>
      </w:r>
      <w:r>
        <w:rPr>
          <w:rFonts w:ascii="Times New Roman" w:hAnsi="Times New Roman"/>
          <w:bCs/>
        </w:rPr>
        <w:tab/>
        <w:t>4.1%</w:t>
      </w:r>
      <w:r>
        <w:rPr>
          <w:rFonts w:ascii="Times New Roman" w:hAnsi="Times New Roman"/>
          <w:bCs/>
        </w:rPr>
        <w:tab/>
        <w:t>3.5</w:t>
      </w:r>
      <w:r w:rsidRPr="0073530C">
        <w:rPr>
          <w:rFonts w:ascii="Times New Roman" w:hAnsi="Times New Roman"/>
          <w:bCs/>
        </w:rPr>
        <w:t>%</w:t>
      </w:r>
    </w:p>
    <w:p w:rsidR="00041AC2" w:rsidRPr="0073530C" w:rsidRDefault="00041AC2" w:rsidP="00041AC2">
      <w:pPr>
        <w:keepNext/>
        <w:keepLines/>
        <w:tabs>
          <w:tab w:val="right" w:pos="4320"/>
          <w:tab w:val="right" w:pos="5760"/>
          <w:tab w:val="right" w:pos="7200"/>
        </w:tabs>
        <w:spacing w:line="240" w:lineRule="auto"/>
        <w:ind w:left="1440"/>
        <w:rPr>
          <w:rFonts w:ascii="Times New Roman" w:hAnsi="Times New Roman"/>
          <w:bCs/>
          <w:u w:val="single"/>
        </w:rPr>
      </w:pPr>
      <w:r>
        <w:rPr>
          <w:rFonts w:ascii="Times New Roman" w:hAnsi="Times New Roman"/>
          <w:bCs/>
          <w:u w:val="single"/>
        </w:rPr>
        <w:t>Aaa Corporate Bonds</w:t>
      </w:r>
      <w:r>
        <w:rPr>
          <w:rFonts w:ascii="Times New Roman" w:hAnsi="Times New Roman"/>
          <w:bCs/>
          <w:u w:val="single"/>
        </w:rPr>
        <w:tab/>
        <w:t>4.5%</w:t>
      </w:r>
      <w:r>
        <w:rPr>
          <w:rFonts w:ascii="Times New Roman" w:hAnsi="Times New Roman"/>
          <w:bCs/>
          <w:u w:val="single"/>
        </w:rPr>
        <w:tab/>
        <w:t>4.8</w:t>
      </w:r>
      <w:r w:rsidRPr="0073530C">
        <w:rPr>
          <w:rFonts w:ascii="Times New Roman" w:hAnsi="Times New Roman"/>
          <w:bCs/>
          <w:u w:val="single"/>
        </w:rPr>
        <w:t>%</w:t>
      </w:r>
      <w:r w:rsidRPr="0073530C">
        <w:rPr>
          <w:rFonts w:ascii="Times New Roman" w:hAnsi="Times New Roman"/>
          <w:bCs/>
          <w:u w:val="single"/>
        </w:rPr>
        <w:tab/>
      </w:r>
      <w:r>
        <w:rPr>
          <w:rFonts w:ascii="Times New Roman" w:hAnsi="Times New Roman"/>
          <w:bCs/>
          <w:u w:val="single"/>
        </w:rPr>
        <w:t>4.3</w:t>
      </w:r>
      <w:r w:rsidRPr="0073530C">
        <w:rPr>
          <w:rFonts w:ascii="Times New Roman" w:hAnsi="Times New Roman"/>
          <w:bCs/>
          <w:u w:val="single"/>
        </w:rPr>
        <w:t>%</w:t>
      </w:r>
    </w:p>
    <w:p w:rsidR="00041AC2" w:rsidRPr="0073530C" w:rsidRDefault="00041AC2" w:rsidP="00041AC2">
      <w:pPr>
        <w:keepNext/>
        <w:keepLines/>
        <w:spacing w:line="240" w:lineRule="auto"/>
        <w:ind w:right="720" w:firstLine="0"/>
        <w:rPr>
          <w:rFonts w:ascii="Times New Roman" w:hAnsi="Times New Roman"/>
          <w:bCs/>
        </w:rPr>
      </w:pPr>
      <w:r w:rsidRPr="0073530C">
        <w:rPr>
          <w:rFonts w:ascii="Times New Roman" w:hAnsi="Times New Roman"/>
          <w:bCs/>
        </w:rPr>
        <w:t xml:space="preserve">Sources:  </w:t>
      </w:r>
      <w:hyperlink r:id="rId8" w:history="1">
        <w:r w:rsidRPr="0073530C">
          <w:rPr>
            <w:rStyle w:val="Hyperlink"/>
            <w:rFonts w:ascii="Times New Roman" w:hAnsi="Times New Roman"/>
            <w:bCs/>
            <w:color w:val="auto"/>
          </w:rPr>
          <w:t>www.federalreserve.gov</w:t>
        </w:r>
      </w:hyperlink>
      <w:r w:rsidRPr="0073530C">
        <w:rPr>
          <w:rFonts w:ascii="Times New Roman" w:hAnsi="Times New Roman"/>
          <w:bCs/>
        </w:rPr>
        <w:t>, (Current Rates).  Standard &amp; Poor</w:t>
      </w:r>
      <w:r w:rsidR="003C18EA">
        <w:rPr>
          <w:rFonts w:ascii="Times New Roman" w:hAnsi="Times New Roman"/>
          <w:bCs/>
        </w:rPr>
        <w:t>’</w:t>
      </w:r>
      <w:r w:rsidRPr="0073530C">
        <w:rPr>
          <w:rFonts w:ascii="Times New Roman" w:hAnsi="Times New Roman"/>
          <w:bCs/>
        </w:rPr>
        <w:t xml:space="preserve">s </w:t>
      </w:r>
      <w:r w:rsidRPr="0073530C">
        <w:rPr>
          <w:rFonts w:ascii="Times New Roman" w:hAnsi="Times New Roman"/>
          <w:bCs/>
          <w:i/>
        </w:rPr>
        <w:t>Trends &amp; Projections</w:t>
      </w:r>
      <w:r w:rsidRPr="0073530C">
        <w:rPr>
          <w:rFonts w:ascii="Times New Roman" w:hAnsi="Times New Roman"/>
          <w:bCs/>
        </w:rPr>
        <w:t xml:space="preserve">, </w:t>
      </w:r>
      <w:r>
        <w:rPr>
          <w:rFonts w:ascii="Times New Roman" w:hAnsi="Times New Roman"/>
          <w:bCs/>
        </w:rPr>
        <w:t xml:space="preserve">September </w:t>
      </w:r>
      <w:r w:rsidRPr="0073530C">
        <w:rPr>
          <w:rFonts w:ascii="Times New Roman" w:hAnsi="Times New Roman"/>
          <w:bCs/>
        </w:rPr>
        <w:t>20</w:t>
      </w:r>
      <w:r>
        <w:rPr>
          <w:rFonts w:ascii="Times New Roman" w:hAnsi="Times New Roman"/>
          <w:bCs/>
        </w:rPr>
        <w:t>10</w:t>
      </w:r>
      <w:r w:rsidRPr="0073530C">
        <w:rPr>
          <w:rFonts w:ascii="Times New Roman" w:hAnsi="Times New Roman"/>
          <w:bCs/>
        </w:rPr>
        <w:t>, page 8 (Projected Rates).</w:t>
      </w:r>
    </w:p>
    <w:p w:rsidR="00041AC2" w:rsidRPr="0073530C" w:rsidRDefault="00041AC2" w:rsidP="00041AC2">
      <w:pPr>
        <w:spacing w:before="240"/>
        <w:ind w:firstLine="0"/>
        <w:jc w:val="left"/>
        <w:rPr>
          <w:rFonts w:ascii="Times New Roman" w:hAnsi="Times New Roman"/>
          <w:bCs/>
        </w:rPr>
      </w:pPr>
      <w:r w:rsidRPr="0073530C">
        <w:rPr>
          <w:rFonts w:ascii="Times New Roman" w:hAnsi="Times New Roman"/>
        </w:rPr>
        <w:t>The data in Ta</w:t>
      </w:r>
      <w:r>
        <w:rPr>
          <w:rFonts w:ascii="Times New Roman" w:hAnsi="Times New Roman"/>
        </w:rPr>
        <w:t>ble 2</w:t>
      </w:r>
      <w:r w:rsidRPr="0073530C">
        <w:rPr>
          <w:rFonts w:ascii="Times New Roman" w:hAnsi="Times New Roman"/>
        </w:rPr>
        <w:t xml:space="preserve"> show that </w:t>
      </w:r>
      <w:r>
        <w:rPr>
          <w:rFonts w:ascii="Times New Roman" w:hAnsi="Times New Roman"/>
        </w:rPr>
        <w:t xml:space="preserve">S&amp;P expects, during 2011, that </w:t>
      </w:r>
      <w:r w:rsidRPr="0073530C">
        <w:rPr>
          <w:rFonts w:ascii="Times New Roman" w:hAnsi="Times New Roman"/>
        </w:rPr>
        <w:t xml:space="preserve">long-term Treasury interest rates </w:t>
      </w:r>
      <w:r>
        <w:rPr>
          <w:rFonts w:ascii="Times New Roman" w:hAnsi="Times New Roman"/>
        </w:rPr>
        <w:t xml:space="preserve">will drop an additional 30 basis points from their current (September 2010) low levels. </w:t>
      </w:r>
      <w:r w:rsidRPr="0073530C">
        <w:rPr>
          <w:rFonts w:ascii="Times New Roman" w:hAnsi="Times New Roman"/>
        </w:rPr>
        <w:t xml:space="preserve"> Although in the turbulent market environment it </w:t>
      </w:r>
      <w:r>
        <w:rPr>
          <w:rFonts w:ascii="Times New Roman" w:hAnsi="Times New Roman"/>
        </w:rPr>
        <w:t>is</w:t>
      </w:r>
      <w:r w:rsidRPr="0073530C">
        <w:rPr>
          <w:rFonts w:ascii="Times New Roman" w:hAnsi="Times New Roman"/>
        </w:rPr>
        <w:t xml:space="preserve"> difficult to project </w:t>
      </w:r>
      <w:r>
        <w:rPr>
          <w:rFonts w:ascii="Times New Roman" w:hAnsi="Times New Roman"/>
        </w:rPr>
        <w:t xml:space="preserve">interest </w:t>
      </w:r>
      <w:r w:rsidRPr="0073530C">
        <w:rPr>
          <w:rFonts w:ascii="Times New Roman" w:hAnsi="Times New Roman"/>
        </w:rPr>
        <w:t>rates</w:t>
      </w:r>
      <w:r>
        <w:rPr>
          <w:rFonts w:ascii="Times New Roman" w:hAnsi="Times New Roman"/>
        </w:rPr>
        <w:t xml:space="preserve">, a much slower economic recovery and continuing government </w:t>
      </w:r>
      <w:r w:rsidR="00EC0DE4">
        <w:rPr>
          <w:rFonts w:ascii="Times New Roman" w:hAnsi="Times New Roman"/>
        </w:rPr>
        <w:t>“</w:t>
      </w:r>
      <w:r>
        <w:rPr>
          <w:rFonts w:ascii="Times New Roman" w:hAnsi="Times New Roman"/>
        </w:rPr>
        <w:t>easy money</w:t>
      </w:r>
      <w:r w:rsidR="003C18EA">
        <w:rPr>
          <w:rFonts w:ascii="Times New Roman" w:hAnsi="Times New Roman"/>
        </w:rPr>
        <w:t>”</w:t>
      </w:r>
      <w:r>
        <w:rPr>
          <w:rFonts w:ascii="Times New Roman" w:hAnsi="Times New Roman"/>
        </w:rPr>
        <w:t xml:space="preserve"> policies are reflected in S&amp;P</w:t>
      </w:r>
      <w:r w:rsidR="003C18EA">
        <w:rPr>
          <w:rFonts w:ascii="Times New Roman" w:hAnsi="Times New Roman"/>
        </w:rPr>
        <w:t>’</w:t>
      </w:r>
      <w:r>
        <w:rPr>
          <w:rFonts w:ascii="Times New Roman" w:hAnsi="Times New Roman"/>
        </w:rPr>
        <w:t>s projections.</w:t>
      </w:r>
    </w:p>
    <w:p w:rsidR="004F7E1F" w:rsidRDefault="00041AC2" w:rsidP="00041AC2">
      <w:pPr>
        <w:pStyle w:val="FootnoteText"/>
        <w:rPr>
          <w:rFonts w:ascii="Times New Roman" w:hAnsi="Times New Roman"/>
          <w:b/>
          <w:color w:val="000000"/>
          <w:sz w:val="24"/>
          <w:szCs w:val="24"/>
        </w:rPr>
      </w:pPr>
      <w:r>
        <w:rPr>
          <w:rFonts w:ascii="Times New Roman" w:hAnsi="Times New Roman"/>
          <w:b/>
          <w:color w:val="000000"/>
          <w:sz w:val="24"/>
          <w:szCs w:val="24"/>
        </w:rPr>
        <w:t>Q.</w:t>
      </w:r>
      <w:r w:rsidR="004F7E1F" w:rsidRPr="00041AC2">
        <w:rPr>
          <w:rFonts w:ascii="Times New Roman" w:hAnsi="Times New Roman"/>
          <w:b/>
          <w:color w:val="000000"/>
          <w:sz w:val="24"/>
          <w:szCs w:val="24"/>
        </w:rPr>
        <w:tab/>
        <w:t>Have you updated the graph from your direct testimony that shows how utility stocks have performed during the past several years?</w:t>
      </w:r>
    </w:p>
    <w:p w:rsidR="00734B3E" w:rsidRDefault="00041AC2">
      <w:pPr>
        <w:pStyle w:val="answer"/>
        <w:spacing w:line="480" w:lineRule="auto"/>
        <w:jc w:val="left"/>
        <w:rPr>
          <w:rFonts w:ascii="Times New Roman" w:hAnsi="Times New Roman"/>
        </w:rPr>
      </w:pPr>
      <w:r w:rsidRPr="0070348F">
        <w:rPr>
          <w:rFonts w:ascii="Times New Roman" w:hAnsi="Times New Roman"/>
        </w:rPr>
        <w:t>A.</w:t>
      </w:r>
      <w:r w:rsidRPr="0070348F">
        <w:rPr>
          <w:rFonts w:ascii="Times New Roman" w:hAnsi="Times New Roman"/>
        </w:rPr>
        <w:tab/>
      </w:r>
      <w:r w:rsidR="00027B2C">
        <w:rPr>
          <w:rFonts w:ascii="Times New Roman" w:hAnsi="Times New Roman"/>
        </w:rPr>
        <w:t xml:space="preserve">Yes.  </w:t>
      </w:r>
      <w:r w:rsidRPr="0070348F">
        <w:rPr>
          <w:rFonts w:ascii="Times New Roman" w:hAnsi="Times New Roman"/>
        </w:rPr>
        <w:t xml:space="preserve">Utility stock prices </w:t>
      </w:r>
      <w:r w:rsidR="00027B2C">
        <w:rPr>
          <w:rFonts w:ascii="Times New Roman" w:hAnsi="Times New Roman"/>
        </w:rPr>
        <w:t xml:space="preserve">have </w:t>
      </w:r>
      <w:r w:rsidR="00502933">
        <w:rPr>
          <w:rFonts w:ascii="Times New Roman" w:hAnsi="Times New Roman"/>
        </w:rPr>
        <w:t xml:space="preserve">continued to </w:t>
      </w:r>
      <w:r w:rsidR="002E0CD7">
        <w:rPr>
          <w:rFonts w:ascii="Times New Roman" w:hAnsi="Times New Roman"/>
        </w:rPr>
        <w:t>remain</w:t>
      </w:r>
      <w:r w:rsidR="00502933">
        <w:rPr>
          <w:rFonts w:ascii="Times New Roman" w:hAnsi="Times New Roman"/>
        </w:rPr>
        <w:t xml:space="preserve"> </w:t>
      </w:r>
      <w:r w:rsidR="002E0CD7">
        <w:rPr>
          <w:rFonts w:ascii="Times New Roman" w:hAnsi="Times New Roman"/>
        </w:rPr>
        <w:t xml:space="preserve">well below their pre-financial crisis levels. </w:t>
      </w:r>
      <w:r>
        <w:rPr>
          <w:rFonts w:ascii="Times New Roman" w:hAnsi="Times New Roman"/>
        </w:rPr>
        <w:t xml:space="preserve"> While </w:t>
      </w:r>
      <w:r w:rsidR="00AF3EAF">
        <w:rPr>
          <w:rFonts w:ascii="Times New Roman" w:hAnsi="Times New Roman"/>
        </w:rPr>
        <w:t>prices</w:t>
      </w:r>
      <w:r>
        <w:rPr>
          <w:rFonts w:ascii="Times New Roman" w:hAnsi="Times New Roman"/>
        </w:rPr>
        <w:t xml:space="preserve"> have recovered somewhat, t</w:t>
      </w:r>
      <w:r w:rsidRPr="0070348F">
        <w:rPr>
          <w:rFonts w:ascii="Times New Roman" w:hAnsi="Times New Roman"/>
        </w:rPr>
        <w:t>he D</w:t>
      </w:r>
      <w:r w:rsidR="00AF3EAF">
        <w:rPr>
          <w:rFonts w:ascii="Times New Roman" w:hAnsi="Times New Roman"/>
        </w:rPr>
        <w:t>ow Jones Utility Average (D</w:t>
      </w:r>
      <w:r w:rsidRPr="0070348F">
        <w:rPr>
          <w:rFonts w:ascii="Times New Roman" w:hAnsi="Times New Roman"/>
        </w:rPr>
        <w:t>JUA</w:t>
      </w:r>
      <w:r w:rsidR="00AF3EAF">
        <w:rPr>
          <w:rFonts w:ascii="Times New Roman" w:hAnsi="Times New Roman"/>
        </w:rPr>
        <w:t>)</w:t>
      </w:r>
      <w:r w:rsidRPr="0070348F">
        <w:rPr>
          <w:rFonts w:ascii="Times New Roman" w:hAnsi="Times New Roman"/>
        </w:rPr>
        <w:t xml:space="preserve"> </w:t>
      </w:r>
      <w:r w:rsidR="00AF3EAF">
        <w:rPr>
          <w:rFonts w:ascii="Times New Roman" w:hAnsi="Times New Roman"/>
        </w:rPr>
        <w:t>remains</w:t>
      </w:r>
      <w:r w:rsidRPr="0070348F">
        <w:rPr>
          <w:rFonts w:ascii="Times New Roman" w:hAnsi="Times New Roman"/>
        </w:rPr>
        <w:t xml:space="preserve"> </w:t>
      </w:r>
      <w:r>
        <w:rPr>
          <w:rFonts w:ascii="Times New Roman" w:hAnsi="Times New Roman"/>
        </w:rPr>
        <w:t>almost 26</w:t>
      </w:r>
      <w:r w:rsidRPr="0070348F">
        <w:rPr>
          <w:rFonts w:ascii="Times New Roman" w:hAnsi="Times New Roman"/>
        </w:rPr>
        <w:t xml:space="preserve"> percent</w:t>
      </w:r>
      <w:r w:rsidR="005C64A6">
        <w:rPr>
          <w:rFonts w:ascii="Times New Roman" w:hAnsi="Times New Roman"/>
        </w:rPr>
        <w:t xml:space="preserve"> (25.6</w:t>
      </w:r>
      <w:r w:rsidR="0040715E">
        <w:rPr>
          <w:rFonts w:ascii="Times New Roman" w:hAnsi="Times New Roman"/>
        </w:rPr>
        <w:t>%</w:t>
      </w:r>
      <w:r>
        <w:rPr>
          <w:rFonts w:ascii="Times New Roman" w:hAnsi="Times New Roman"/>
        </w:rPr>
        <w:t>)</w:t>
      </w:r>
      <w:r w:rsidRPr="0070348F">
        <w:rPr>
          <w:rFonts w:ascii="Times New Roman" w:hAnsi="Times New Roman"/>
        </w:rPr>
        <w:t xml:space="preserve"> below the </w:t>
      </w:r>
      <w:r w:rsidR="00AF3EAF">
        <w:rPr>
          <w:rFonts w:ascii="Times New Roman" w:hAnsi="Times New Roman"/>
        </w:rPr>
        <w:t>level</w:t>
      </w:r>
      <w:r w:rsidRPr="0070348F">
        <w:rPr>
          <w:rFonts w:ascii="Times New Roman" w:hAnsi="Times New Roman"/>
        </w:rPr>
        <w:t xml:space="preserve"> </w:t>
      </w:r>
      <w:r>
        <w:rPr>
          <w:rFonts w:ascii="Times New Roman" w:hAnsi="Times New Roman"/>
        </w:rPr>
        <w:t>it</w:t>
      </w:r>
      <w:r w:rsidRPr="0070348F">
        <w:rPr>
          <w:rFonts w:ascii="Times New Roman" w:hAnsi="Times New Roman"/>
        </w:rPr>
        <w:t xml:space="preserve"> attained in 2007</w:t>
      </w:r>
      <w:r>
        <w:rPr>
          <w:rFonts w:ascii="Times New Roman" w:hAnsi="Times New Roman"/>
        </w:rPr>
        <w:t>.</w:t>
      </w:r>
      <w:r w:rsidRPr="0070348F">
        <w:rPr>
          <w:rFonts w:ascii="Times New Roman" w:hAnsi="Times New Roman"/>
        </w:rPr>
        <w:t xml:space="preserve">  The wider fluctuations in more recent years are vividly illustrated in </w:t>
      </w:r>
      <w:r w:rsidR="004734E0">
        <w:rPr>
          <w:rFonts w:ascii="Times New Roman" w:hAnsi="Times New Roman"/>
        </w:rPr>
        <w:t>the following G</w:t>
      </w:r>
      <w:r w:rsidRPr="0070348F">
        <w:rPr>
          <w:rFonts w:ascii="Times New Roman" w:hAnsi="Times New Roman"/>
        </w:rPr>
        <w:t>raph</w:t>
      </w:r>
      <w:r w:rsidR="004734E0">
        <w:rPr>
          <w:rFonts w:ascii="Times New Roman" w:hAnsi="Times New Roman"/>
        </w:rPr>
        <w:t xml:space="preserve"> 1</w:t>
      </w:r>
      <w:r w:rsidRPr="0070348F">
        <w:rPr>
          <w:rFonts w:ascii="Times New Roman" w:hAnsi="Times New Roman"/>
        </w:rPr>
        <w:t xml:space="preserve">, which depicts DJUA prices over the past 25 years.  </w:t>
      </w:r>
    </w:p>
    <w:p w:rsidR="00041AC2" w:rsidRDefault="00041AC2" w:rsidP="005C64A6">
      <w:pPr>
        <w:pStyle w:val="answer"/>
        <w:suppressLineNumbers/>
        <w:spacing w:line="240" w:lineRule="auto"/>
      </w:pPr>
      <w:r>
        <w:tab/>
      </w:r>
      <w:r w:rsidR="0017579E">
        <w:rPr>
          <w:noProof/>
        </w:rPr>
        <w:drawing>
          <wp:inline distT="0" distB="0" distL="0" distR="0">
            <wp:extent cx="5010150" cy="393382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010150" cy="3933825"/>
                    </a:xfrm>
                    <a:prstGeom prst="rect">
                      <a:avLst/>
                    </a:prstGeom>
                    <a:noFill/>
                    <a:ln w="9525">
                      <a:noFill/>
                      <a:miter lim="800000"/>
                      <a:headEnd/>
                      <a:tailEnd/>
                    </a:ln>
                  </pic:spPr>
                </pic:pic>
              </a:graphicData>
            </a:graphic>
          </wp:inline>
        </w:drawing>
      </w:r>
    </w:p>
    <w:p w:rsidR="00041AC2" w:rsidRDefault="00041AC2" w:rsidP="00041AC2">
      <w:pPr>
        <w:pStyle w:val="answer"/>
        <w:spacing w:before="240" w:line="480" w:lineRule="auto"/>
        <w:ind w:firstLine="0"/>
        <w:jc w:val="left"/>
        <w:rPr>
          <w:rFonts w:ascii="Times New Roman" w:hAnsi="Times New Roman"/>
        </w:rPr>
      </w:pPr>
      <w:r w:rsidRPr="0070348F">
        <w:rPr>
          <w:rFonts w:ascii="Times New Roman" w:hAnsi="Times New Roman"/>
        </w:rPr>
        <w:t>In this environment, investors’ return expectations and requirements for providing capital to the utility industry remain high relative to the longer-term</w:t>
      </w:r>
      <w:r w:rsidR="00AF3EAF">
        <w:rPr>
          <w:rFonts w:ascii="Times New Roman" w:hAnsi="Times New Roman"/>
        </w:rPr>
        <w:t>,</w:t>
      </w:r>
      <w:r w:rsidRPr="0070348F">
        <w:rPr>
          <w:rFonts w:ascii="Times New Roman" w:hAnsi="Times New Roman"/>
        </w:rPr>
        <w:t xml:space="preserve"> traditional view of the utility industry.  Increased market volatility for utility shares causes investors to require a higher rate of return.</w:t>
      </w:r>
    </w:p>
    <w:p w:rsidR="00041AC2" w:rsidRPr="00DC3422" w:rsidRDefault="00041AC2" w:rsidP="00041AC2">
      <w:pPr>
        <w:pStyle w:val="answer"/>
        <w:spacing w:line="480" w:lineRule="auto"/>
        <w:jc w:val="left"/>
        <w:rPr>
          <w:rFonts w:ascii="Times New Roman" w:hAnsi="Times New Roman"/>
          <w:b/>
        </w:rPr>
      </w:pPr>
      <w:r w:rsidRPr="00DC3422">
        <w:rPr>
          <w:rFonts w:ascii="Times New Roman" w:hAnsi="Times New Roman"/>
          <w:b/>
        </w:rPr>
        <w:t>Q.</w:t>
      </w:r>
      <w:r w:rsidRPr="00DC3422">
        <w:rPr>
          <w:rFonts w:ascii="Times New Roman" w:hAnsi="Times New Roman"/>
          <w:b/>
        </w:rPr>
        <w:tab/>
        <w:t xml:space="preserve">How have utility stocks performed relative to the overall market recovery </w:t>
      </w:r>
      <w:r>
        <w:rPr>
          <w:rFonts w:ascii="Times New Roman" w:hAnsi="Times New Roman"/>
          <w:b/>
        </w:rPr>
        <w:t>since March 2009</w:t>
      </w:r>
      <w:r w:rsidRPr="00DC3422">
        <w:rPr>
          <w:rFonts w:ascii="Times New Roman" w:hAnsi="Times New Roman"/>
          <w:b/>
        </w:rPr>
        <w:t>?</w:t>
      </w:r>
    </w:p>
    <w:p w:rsidR="00041AC2" w:rsidRDefault="00041AC2" w:rsidP="00041AC2">
      <w:pPr>
        <w:pStyle w:val="answer"/>
        <w:spacing w:line="480" w:lineRule="auto"/>
        <w:jc w:val="left"/>
        <w:rPr>
          <w:rFonts w:ascii="Times New Roman" w:hAnsi="Times New Roman"/>
        </w:rPr>
      </w:pPr>
      <w:r>
        <w:rPr>
          <w:rFonts w:ascii="Times New Roman" w:hAnsi="Times New Roman"/>
        </w:rPr>
        <w:t>A.</w:t>
      </w:r>
      <w:r>
        <w:rPr>
          <w:rFonts w:ascii="Times New Roman" w:hAnsi="Times New Roman"/>
        </w:rPr>
        <w:tab/>
        <w:t xml:space="preserve">Utility stock prices have lagged behind the overall market </w:t>
      </w:r>
      <w:r w:rsidR="002E0CD7">
        <w:rPr>
          <w:rFonts w:ascii="Times New Roman" w:hAnsi="Times New Roman"/>
        </w:rPr>
        <w:t>as well.</w:t>
      </w:r>
      <w:r>
        <w:rPr>
          <w:rFonts w:ascii="Times New Roman" w:hAnsi="Times New Roman"/>
        </w:rPr>
        <w:t xml:space="preserve">  Graph 2 shows the monthly levels for the DJUA versus the broader market S&amp;P 500 index since the market lows that occurred in February and March of 2009.</w:t>
      </w:r>
    </w:p>
    <w:p w:rsidR="00041AC2" w:rsidRDefault="0017579E" w:rsidP="005C64A6">
      <w:pPr>
        <w:pStyle w:val="answer"/>
        <w:suppressLineNumbers/>
        <w:spacing w:line="480" w:lineRule="auto"/>
        <w:ind w:firstLine="0"/>
        <w:rPr>
          <w:rFonts w:ascii="Times New Roman" w:hAnsi="Times New Roman"/>
        </w:rPr>
      </w:pPr>
      <w:r>
        <w:rPr>
          <w:noProof/>
        </w:rPr>
        <w:drawing>
          <wp:inline distT="0" distB="0" distL="0" distR="0">
            <wp:extent cx="5086350" cy="361950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086350" cy="3619500"/>
                    </a:xfrm>
                    <a:prstGeom prst="rect">
                      <a:avLst/>
                    </a:prstGeom>
                    <a:noFill/>
                    <a:ln w="9525">
                      <a:noFill/>
                      <a:miter lim="800000"/>
                      <a:headEnd/>
                      <a:tailEnd/>
                    </a:ln>
                  </pic:spPr>
                </pic:pic>
              </a:graphicData>
            </a:graphic>
          </wp:inline>
        </w:drawing>
      </w:r>
    </w:p>
    <w:p w:rsidR="00041AC2" w:rsidRPr="005D63E2" w:rsidRDefault="00041AC2" w:rsidP="00041AC2">
      <w:pPr>
        <w:pStyle w:val="answer"/>
        <w:spacing w:line="480" w:lineRule="auto"/>
        <w:ind w:firstLine="0"/>
        <w:jc w:val="left"/>
        <w:rPr>
          <w:rFonts w:ascii="Times New Roman" w:hAnsi="Times New Roman"/>
        </w:rPr>
      </w:pPr>
      <w:r w:rsidRPr="005D63E2">
        <w:rPr>
          <w:rFonts w:ascii="Times New Roman" w:hAnsi="Times New Roman"/>
        </w:rPr>
        <w:t xml:space="preserve">While the S&amp;P 500 has increased </w:t>
      </w:r>
      <w:r>
        <w:rPr>
          <w:rFonts w:ascii="Times New Roman" w:hAnsi="Times New Roman"/>
        </w:rPr>
        <w:t>significantly since its lowest level in March 2009</w:t>
      </w:r>
      <w:r w:rsidRPr="005D63E2">
        <w:rPr>
          <w:rFonts w:ascii="Times New Roman" w:hAnsi="Times New Roman"/>
        </w:rPr>
        <w:t xml:space="preserve">, utility prices have </w:t>
      </w:r>
      <w:r>
        <w:rPr>
          <w:rFonts w:ascii="Times New Roman" w:hAnsi="Times New Roman"/>
        </w:rPr>
        <w:t xml:space="preserve">remained relatively flat. </w:t>
      </w:r>
      <w:r w:rsidR="005C64A6">
        <w:rPr>
          <w:rFonts w:ascii="Times New Roman" w:hAnsi="Times New Roman"/>
        </w:rPr>
        <w:t xml:space="preserve"> </w:t>
      </w:r>
      <w:r w:rsidRPr="005D63E2">
        <w:rPr>
          <w:rFonts w:ascii="Times New Roman" w:hAnsi="Times New Roman"/>
        </w:rPr>
        <w:t>This result is a further indication that the cost of equity for utility companies has not declined to the same extent that interest rates have fallen or to the same extent that the cost of equity may have come down for the broader equity market.  The relatively lower prices for utility shares indicate that the cost of capital for utilities is higher.</w:t>
      </w:r>
    </w:p>
    <w:p w:rsidR="00041AC2" w:rsidRDefault="00041AC2" w:rsidP="00041AC2">
      <w:pPr>
        <w:pStyle w:val="answer"/>
        <w:spacing w:line="480" w:lineRule="auto"/>
        <w:ind w:firstLine="720"/>
        <w:jc w:val="left"/>
        <w:rPr>
          <w:rFonts w:ascii="Times New Roman" w:hAnsi="Times New Roman"/>
        </w:rPr>
      </w:pPr>
      <w:r>
        <w:rPr>
          <w:rFonts w:ascii="Times New Roman" w:hAnsi="Times New Roman"/>
        </w:rPr>
        <w:t>Graph 3 further illustrates this result by showing the cumulative percentage change in the two equity indexes since the March 2009 lows.</w:t>
      </w:r>
    </w:p>
    <w:p w:rsidR="00041AC2" w:rsidRPr="0050697C" w:rsidRDefault="0017579E" w:rsidP="005C64A6">
      <w:pPr>
        <w:pStyle w:val="answer"/>
        <w:suppressLineNumbers/>
        <w:spacing w:line="480" w:lineRule="auto"/>
        <w:ind w:firstLine="0"/>
        <w:rPr>
          <w:rFonts w:ascii="Times New Roman" w:hAnsi="Times New Roman"/>
        </w:rPr>
      </w:pPr>
      <w:r>
        <w:rPr>
          <w:noProof/>
        </w:rPr>
        <w:drawing>
          <wp:inline distT="0" distB="0" distL="0" distR="0">
            <wp:extent cx="5038725" cy="3448050"/>
            <wp:effectExtent l="19050" t="0" r="952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038725" cy="3448050"/>
                    </a:xfrm>
                    <a:prstGeom prst="rect">
                      <a:avLst/>
                    </a:prstGeom>
                    <a:noFill/>
                    <a:ln w="9525">
                      <a:noFill/>
                      <a:miter lim="800000"/>
                      <a:headEnd/>
                      <a:tailEnd/>
                    </a:ln>
                  </pic:spPr>
                </pic:pic>
              </a:graphicData>
            </a:graphic>
          </wp:inline>
        </w:drawing>
      </w:r>
    </w:p>
    <w:p w:rsidR="00041AC2" w:rsidRPr="00DC3422" w:rsidRDefault="00041AC2" w:rsidP="005B7CDA">
      <w:pPr>
        <w:pStyle w:val="answer"/>
        <w:spacing w:line="480" w:lineRule="auto"/>
        <w:jc w:val="left"/>
        <w:rPr>
          <w:rFonts w:ascii="Times New Roman" w:hAnsi="Times New Roman"/>
        </w:rPr>
      </w:pPr>
      <w:r>
        <w:rPr>
          <w:rFonts w:ascii="Times New Roman" w:hAnsi="Times New Roman"/>
        </w:rPr>
        <w:tab/>
      </w:r>
      <w:r w:rsidRPr="005D63E2">
        <w:rPr>
          <w:rFonts w:ascii="Times New Roman" w:hAnsi="Times New Roman"/>
        </w:rPr>
        <w:t xml:space="preserve">While the S&amp;P 500 has recovered </w:t>
      </w:r>
      <w:r>
        <w:rPr>
          <w:rFonts w:ascii="Times New Roman" w:hAnsi="Times New Roman"/>
        </w:rPr>
        <w:t>over</w:t>
      </w:r>
      <w:r w:rsidRPr="005D63E2">
        <w:rPr>
          <w:rFonts w:ascii="Times New Roman" w:hAnsi="Times New Roman"/>
        </w:rPr>
        <w:t xml:space="preserve"> </w:t>
      </w:r>
      <w:r>
        <w:rPr>
          <w:rFonts w:ascii="Times New Roman" w:hAnsi="Times New Roman"/>
        </w:rPr>
        <w:t>55</w:t>
      </w:r>
      <w:r w:rsidRPr="005D63E2">
        <w:rPr>
          <w:rFonts w:ascii="Times New Roman" w:hAnsi="Times New Roman"/>
        </w:rPr>
        <w:t xml:space="preserve"> percent (</w:t>
      </w:r>
      <w:r>
        <w:rPr>
          <w:rFonts w:ascii="Times New Roman" w:hAnsi="Times New Roman"/>
        </w:rPr>
        <w:t>55.25</w:t>
      </w:r>
      <w:r w:rsidR="0040715E">
        <w:rPr>
          <w:rFonts w:ascii="Times New Roman" w:hAnsi="Times New Roman"/>
        </w:rPr>
        <w:t>%</w:t>
      </w:r>
      <w:r w:rsidRPr="005D63E2">
        <w:rPr>
          <w:rFonts w:ascii="Times New Roman" w:hAnsi="Times New Roman"/>
        </w:rPr>
        <w:t>) from its March 2009 lows, utility stock prices have increased by</w:t>
      </w:r>
      <w:r w:rsidR="005C64A6">
        <w:rPr>
          <w:rFonts w:ascii="Times New Roman" w:hAnsi="Times New Roman"/>
        </w:rPr>
        <w:t xml:space="preserve"> only about 23 percent (22.92</w:t>
      </w:r>
      <w:r w:rsidR="0040715E">
        <w:rPr>
          <w:rFonts w:ascii="Times New Roman" w:hAnsi="Times New Roman"/>
        </w:rPr>
        <w:t>%</w:t>
      </w:r>
      <w:r>
        <w:rPr>
          <w:rFonts w:ascii="Times New Roman" w:hAnsi="Times New Roman"/>
        </w:rPr>
        <w:t xml:space="preserve">).  </w:t>
      </w:r>
      <w:r w:rsidRPr="005D63E2">
        <w:rPr>
          <w:rFonts w:ascii="Times New Roman" w:hAnsi="Times New Roman"/>
        </w:rPr>
        <w:t xml:space="preserve">This result again </w:t>
      </w:r>
      <w:r>
        <w:rPr>
          <w:rFonts w:ascii="Times New Roman" w:hAnsi="Times New Roman"/>
        </w:rPr>
        <w:t>points out</w:t>
      </w:r>
      <w:r w:rsidRPr="005D63E2">
        <w:rPr>
          <w:rFonts w:ascii="Times New Roman" w:hAnsi="Times New Roman"/>
        </w:rPr>
        <w:t xml:space="preserve"> the market difficulties that utilities face and the continuing relatively higher cost of equity </w:t>
      </w:r>
      <w:r>
        <w:rPr>
          <w:rFonts w:ascii="Times New Roman" w:hAnsi="Times New Roman"/>
        </w:rPr>
        <w:t>for</w:t>
      </w:r>
      <w:r w:rsidRPr="005D63E2">
        <w:rPr>
          <w:rFonts w:ascii="Times New Roman" w:hAnsi="Times New Roman"/>
        </w:rPr>
        <w:t xml:space="preserve"> utility companies.</w:t>
      </w:r>
    </w:p>
    <w:p w:rsidR="004F7E1F" w:rsidRPr="002E0CD7" w:rsidRDefault="004F7E1F" w:rsidP="002E0CD7">
      <w:pPr>
        <w:pStyle w:val="FootnoteText"/>
        <w:rPr>
          <w:rFonts w:ascii="Times New Roman" w:hAnsi="Times New Roman"/>
          <w:b/>
          <w:color w:val="000000"/>
          <w:sz w:val="24"/>
          <w:szCs w:val="24"/>
        </w:rPr>
      </w:pPr>
      <w:r w:rsidRPr="002E0CD7">
        <w:rPr>
          <w:rFonts w:ascii="Times New Roman" w:hAnsi="Times New Roman"/>
          <w:b/>
          <w:color w:val="000000"/>
          <w:sz w:val="24"/>
          <w:szCs w:val="24"/>
        </w:rPr>
        <w:t>Q</w:t>
      </w:r>
      <w:r w:rsidR="002E0CD7">
        <w:rPr>
          <w:rFonts w:ascii="Times New Roman" w:hAnsi="Times New Roman"/>
          <w:b/>
          <w:color w:val="000000"/>
          <w:sz w:val="24"/>
          <w:szCs w:val="24"/>
        </w:rPr>
        <w:t>.</w:t>
      </w:r>
      <w:r w:rsidRPr="002E0CD7">
        <w:rPr>
          <w:rFonts w:ascii="Times New Roman" w:hAnsi="Times New Roman"/>
          <w:b/>
          <w:color w:val="000000"/>
          <w:sz w:val="24"/>
          <w:szCs w:val="24"/>
        </w:rPr>
        <w:tab/>
        <w:t>How do the other parties</w:t>
      </w:r>
      <w:r w:rsidR="003C18EA">
        <w:rPr>
          <w:rFonts w:ascii="Times New Roman" w:hAnsi="Times New Roman"/>
          <w:b/>
          <w:color w:val="000000"/>
          <w:sz w:val="24"/>
          <w:szCs w:val="24"/>
        </w:rPr>
        <w:t>’</w:t>
      </w:r>
      <w:r w:rsidRPr="002E0CD7">
        <w:rPr>
          <w:rFonts w:ascii="Times New Roman" w:hAnsi="Times New Roman"/>
          <w:b/>
          <w:color w:val="000000"/>
          <w:sz w:val="24"/>
          <w:szCs w:val="24"/>
        </w:rPr>
        <w:t xml:space="preserve"> ROE recommendations in this case compare to the rates of return authorized by other state utility commissions around the country?</w:t>
      </w:r>
    </w:p>
    <w:p w:rsidR="00734B3E" w:rsidRDefault="002E0CD7">
      <w:pPr>
        <w:pStyle w:val="BodyTextIndent2"/>
        <w:spacing w:before="0"/>
        <w:jc w:val="left"/>
        <w:rPr>
          <w:rFonts w:ascii="Times New Roman" w:hAnsi="Times New Roman" w:cs="Arial"/>
          <w:b w:val="0"/>
          <w:szCs w:val="24"/>
        </w:rPr>
      </w:pPr>
      <w:r w:rsidRPr="002E0CD7">
        <w:rPr>
          <w:rFonts w:ascii="Times New Roman" w:hAnsi="Times New Roman"/>
          <w:b w:val="0"/>
          <w:color w:val="000000"/>
          <w:szCs w:val="24"/>
        </w:rPr>
        <w:t>A.</w:t>
      </w:r>
      <w:r w:rsidR="004F7E1F" w:rsidRPr="002E0CD7">
        <w:rPr>
          <w:rFonts w:ascii="Times New Roman" w:hAnsi="Times New Roman"/>
          <w:b w:val="0"/>
          <w:color w:val="000000"/>
          <w:szCs w:val="24"/>
        </w:rPr>
        <w:tab/>
        <w:t xml:space="preserve">They are substantially lower.  </w:t>
      </w:r>
      <w:r>
        <w:rPr>
          <w:rFonts w:ascii="Times New Roman" w:hAnsi="Times New Roman" w:cs="Arial"/>
          <w:b w:val="0"/>
        </w:rPr>
        <w:t>Over the past five years, quarterly average</w:t>
      </w:r>
      <w:r w:rsidR="00AF3EAF">
        <w:rPr>
          <w:rFonts w:ascii="Times New Roman" w:hAnsi="Times New Roman" w:cs="Arial"/>
          <w:b w:val="0"/>
        </w:rPr>
        <w:t xml:space="preserve"> allowed ROE</w:t>
      </w:r>
      <w:r>
        <w:rPr>
          <w:rFonts w:ascii="Times New Roman" w:hAnsi="Times New Roman" w:cs="Arial"/>
          <w:b w:val="0"/>
        </w:rPr>
        <w:t>s have generally been in the 10.4 percent to 10.5 percent range.</w:t>
      </w:r>
      <w:r w:rsidR="00AF3EAF">
        <w:rPr>
          <w:rFonts w:ascii="Times New Roman" w:hAnsi="Times New Roman" w:cs="Arial"/>
          <w:b w:val="0"/>
        </w:rPr>
        <w:t xml:space="preserve">  Recently allowed</w:t>
      </w:r>
      <w:r>
        <w:rPr>
          <w:rFonts w:ascii="Times New Roman" w:hAnsi="Times New Roman" w:cs="Arial"/>
          <w:b w:val="0"/>
          <w:szCs w:val="24"/>
        </w:rPr>
        <w:t xml:space="preserve"> average</w:t>
      </w:r>
      <w:r w:rsidR="00AF3EAF">
        <w:rPr>
          <w:rFonts w:ascii="Times New Roman" w:hAnsi="Times New Roman" w:cs="Arial"/>
          <w:b w:val="0"/>
          <w:szCs w:val="24"/>
        </w:rPr>
        <w:t xml:space="preserve"> </w:t>
      </w:r>
      <w:r>
        <w:rPr>
          <w:rFonts w:ascii="Times New Roman" w:hAnsi="Times New Roman" w:cs="Arial"/>
          <w:b w:val="0"/>
          <w:szCs w:val="24"/>
        </w:rPr>
        <w:t>rates</w:t>
      </w:r>
      <w:r w:rsidR="00AF3EAF">
        <w:rPr>
          <w:rFonts w:ascii="Times New Roman" w:hAnsi="Times New Roman" w:cs="Arial"/>
          <w:b w:val="0"/>
          <w:szCs w:val="24"/>
        </w:rPr>
        <w:t xml:space="preserve"> for</w:t>
      </w:r>
      <w:r>
        <w:rPr>
          <w:rFonts w:ascii="Times New Roman" w:hAnsi="Times New Roman" w:cs="Arial"/>
          <w:b w:val="0"/>
          <w:szCs w:val="24"/>
        </w:rPr>
        <w:t xml:space="preserve"> integrated electric utilit</w:t>
      </w:r>
      <w:r w:rsidR="00AF3EAF">
        <w:rPr>
          <w:rFonts w:ascii="Times New Roman" w:hAnsi="Times New Roman" w:cs="Arial"/>
          <w:b w:val="0"/>
          <w:szCs w:val="24"/>
        </w:rPr>
        <w:t>ies</w:t>
      </w:r>
      <w:r>
        <w:rPr>
          <w:rFonts w:ascii="Times New Roman" w:hAnsi="Times New Roman" w:cs="Arial"/>
          <w:b w:val="0"/>
          <w:szCs w:val="24"/>
        </w:rPr>
        <w:t xml:space="preserve"> </w:t>
      </w:r>
      <w:r w:rsidR="00AF3EAF">
        <w:rPr>
          <w:rFonts w:ascii="Times New Roman" w:hAnsi="Times New Roman" w:cs="Arial"/>
          <w:b w:val="0"/>
          <w:szCs w:val="24"/>
        </w:rPr>
        <w:t>have been</w:t>
      </w:r>
      <w:r>
        <w:rPr>
          <w:rFonts w:ascii="Times New Roman" w:hAnsi="Times New Roman" w:cs="Arial"/>
          <w:b w:val="0"/>
          <w:szCs w:val="24"/>
        </w:rPr>
        <w:t xml:space="preserve"> approximately 10.</w:t>
      </w:r>
      <w:r w:rsidR="00C94F38">
        <w:rPr>
          <w:rFonts w:ascii="Times New Roman" w:hAnsi="Times New Roman" w:cs="Arial"/>
          <w:b w:val="0"/>
          <w:szCs w:val="24"/>
        </w:rPr>
        <w:t>4</w:t>
      </w:r>
      <w:r>
        <w:rPr>
          <w:rFonts w:ascii="Times New Roman" w:hAnsi="Times New Roman" w:cs="Arial"/>
          <w:b w:val="0"/>
          <w:szCs w:val="24"/>
        </w:rPr>
        <w:t xml:space="preserve"> percent</w:t>
      </w:r>
      <w:r w:rsidR="00742879">
        <w:rPr>
          <w:rFonts w:ascii="Times New Roman" w:hAnsi="Times New Roman" w:cs="Arial"/>
          <w:b w:val="0"/>
          <w:szCs w:val="24"/>
        </w:rPr>
        <w:t>.</w:t>
      </w:r>
      <w:r w:rsidR="00EF45D7">
        <w:rPr>
          <w:rStyle w:val="FootnoteReference"/>
          <w:rFonts w:ascii="Times New Roman" w:hAnsi="Times New Roman" w:cs="Arial"/>
          <w:b w:val="0"/>
          <w:szCs w:val="24"/>
        </w:rPr>
        <w:footnoteReference w:id="2"/>
      </w:r>
      <w:r>
        <w:rPr>
          <w:rFonts w:ascii="Times New Roman" w:hAnsi="Times New Roman" w:cs="Arial"/>
          <w:b w:val="0"/>
          <w:szCs w:val="24"/>
        </w:rPr>
        <w:t xml:space="preserve">  Table 3 below summarizes the ROE data</w:t>
      </w:r>
      <w:r w:rsidR="00EF45D7">
        <w:rPr>
          <w:rFonts w:ascii="Times New Roman" w:hAnsi="Times New Roman" w:cs="Arial"/>
          <w:b w:val="0"/>
          <w:szCs w:val="24"/>
        </w:rPr>
        <w:t>, including both delivery and fully integrated companies</w:t>
      </w:r>
      <w:r>
        <w:rPr>
          <w:rFonts w:ascii="Times New Roman" w:hAnsi="Times New Roman" w:cs="Arial"/>
          <w:b w:val="0"/>
          <w:szCs w:val="24"/>
        </w:rPr>
        <w:t>:</w:t>
      </w:r>
    </w:p>
    <w:p w:rsidR="002E0CD7" w:rsidRPr="00544689" w:rsidRDefault="002E0CD7" w:rsidP="002E0CD7">
      <w:pPr>
        <w:pStyle w:val="BodyTextIndent2"/>
        <w:keepNext/>
        <w:tabs>
          <w:tab w:val="left" w:pos="720"/>
        </w:tabs>
        <w:spacing w:before="0" w:line="240" w:lineRule="auto"/>
        <w:jc w:val="center"/>
        <w:rPr>
          <w:rFonts w:ascii="Times New Roman" w:hAnsi="Times New Roman"/>
          <w:b w:val="0"/>
        </w:rPr>
      </w:pPr>
      <w:r w:rsidRPr="00544689">
        <w:rPr>
          <w:rFonts w:ascii="Times New Roman" w:hAnsi="Times New Roman"/>
          <w:b w:val="0"/>
        </w:rPr>
        <w:t>Table 3</w:t>
      </w:r>
    </w:p>
    <w:p w:rsidR="002E0CD7" w:rsidRPr="00544689" w:rsidRDefault="002E0CD7" w:rsidP="002E0CD7">
      <w:pPr>
        <w:pStyle w:val="BodyTextIndent2"/>
        <w:keepNext/>
        <w:tabs>
          <w:tab w:val="left" w:pos="720"/>
          <w:tab w:val="right" w:pos="7560"/>
        </w:tabs>
        <w:spacing w:before="0" w:line="240" w:lineRule="auto"/>
        <w:jc w:val="center"/>
        <w:rPr>
          <w:rFonts w:ascii="Times New Roman" w:hAnsi="Times New Roman"/>
          <w:b w:val="0"/>
        </w:rPr>
      </w:pPr>
      <w:r w:rsidRPr="00544689">
        <w:rPr>
          <w:rFonts w:ascii="Times New Roman" w:hAnsi="Times New Roman"/>
          <w:b w:val="0"/>
        </w:rPr>
        <w:t>Authorized Electric Utility Equity Returns</w:t>
      </w:r>
    </w:p>
    <w:p w:rsidR="002E0CD7" w:rsidRDefault="002E0CD7" w:rsidP="002E0CD7">
      <w:pPr>
        <w:keepNext/>
        <w:keepLines/>
        <w:tabs>
          <w:tab w:val="left" w:pos="720"/>
          <w:tab w:val="right" w:pos="2160"/>
          <w:tab w:val="right" w:pos="3420"/>
          <w:tab w:val="right" w:pos="4770"/>
          <w:tab w:val="right" w:pos="6120"/>
          <w:tab w:val="right" w:pos="7380"/>
          <w:tab w:val="right" w:pos="8460"/>
          <w:tab w:val="right" w:pos="8640"/>
        </w:tabs>
        <w:spacing w:line="240" w:lineRule="auto"/>
        <w:rPr>
          <w:rFonts w:ascii="Times New Roman" w:hAnsi="Times New Roman"/>
          <w:u w:val="single"/>
        </w:rPr>
      </w:pPr>
      <w:r>
        <w:rPr>
          <w:rFonts w:ascii="Times New Roman" w:hAnsi="Times New Roman"/>
          <w:b/>
        </w:rPr>
        <w:tab/>
      </w:r>
      <w:r>
        <w:rPr>
          <w:rFonts w:ascii="Times New Roman" w:hAnsi="Times New Roman"/>
        </w:rPr>
        <w:tab/>
      </w:r>
      <w:r>
        <w:rPr>
          <w:rFonts w:ascii="Times New Roman" w:hAnsi="Times New Roman"/>
          <w:u w:val="single"/>
        </w:rPr>
        <w:tab/>
        <w:t>2006</w:t>
      </w:r>
      <w:r>
        <w:rPr>
          <w:rFonts w:ascii="Times New Roman" w:hAnsi="Times New Roman"/>
          <w:u w:val="single"/>
        </w:rPr>
        <w:tab/>
        <w:t>2007</w:t>
      </w:r>
      <w:r>
        <w:rPr>
          <w:rFonts w:ascii="Times New Roman" w:hAnsi="Times New Roman"/>
          <w:u w:val="single"/>
        </w:rPr>
        <w:tab/>
        <w:t>2008</w:t>
      </w:r>
      <w:r>
        <w:rPr>
          <w:rFonts w:ascii="Times New Roman" w:hAnsi="Times New Roman"/>
          <w:u w:val="single"/>
        </w:rPr>
        <w:tab/>
        <w:t>2009</w:t>
      </w:r>
      <w:r>
        <w:rPr>
          <w:rFonts w:ascii="Times New Roman" w:hAnsi="Times New Roman"/>
          <w:u w:val="single"/>
        </w:rPr>
        <w:tab/>
        <w:t>2010</w:t>
      </w:r>
      <w:r>
        <w:rPr>
          <w:rFonts w:ascii="Times New Roman" w:hAnsi="Times New Roman"/>
          <w:u w:val="single"/>
        </w:rPr>
        <w:tab/>
      </w:r>
    </w:p>
    <w:p w:rsidR="002E0CD7" w:rsidRDefault="002E0CD7" w:rsidP="002E0CD7">
      <w:pPr>
        <w:keepNext/>
        <w:keepLines/>
        <w:tabs>
          <w:tab w:val="left" w:pos="720"/>
          <w:tab w:val="right" w:pos="3600"/>
          <w:tab w:val="right" w:pos="4950"/>
          <w:tab w:val="right" w:pos="6300"/>
          <w:tab w:val="right" w:pos="7560"/>
          <w:tab w:val="right" w:pos="8640"/>
        </w:tabs>
        <w:spacing w:line="240" w:lineRule="auto"/>
        <w:rPr>
          <w:rFonts w:ascii="Times New Roman" w:hAnsi="Times New Roman"/>
        </w:rPr>
      </w:pPr>
      <w:r>
        <w:rPr>
          <w:rFonts w:ascii="Times New Roman" w:hAnsi="Times New Roman"/>
        </w:rPr>
        <w:tab/>
        <w:t>1</w:t>
      </w:r>
      <w:r>
        <w:rPr>
          <w:rFonts w:ascii="Times New Roman" w:hAnsi="Times New Roman"/>
          <w:vertAlign w:val="superscript"/>
        </w:rPr>
        <w:t>st</w:t>
      </w:r>
      <w:r>
        <w:rPr>
          <w:rFonts w:ascii="Times New Roman" w:hAnsi="Times New Roman"/>
        </w:rPr>
        <w:t xml:space="preserve"> Quarter</w:t>
      </w:r>
      <w:r>
        <w:rPr>
          <w:rFonts w:ascii="Times New Roman" w:hAnsi="Times New Roman"/>
        </w:rPr>
        <w:tab/>
        <w:t>10.38%</w:t>
      </w:r>
      <w:r>
        <w:rPr>
          <w:rFonts w:ascii="Times New Roman" w:hAnsi="Times New Roman"/>
        </w:rPr>
        <w:tab/>
        <w:t>10.27%</w:t>
      </w:r>
      <w:r>
        <w:rPr>
          <w:rFonts w:ascii="Times New Roman" w:hAnsi="Times New Roman"/>
        </w:rPr>
        <w:tab/>
        <w:t>10.45%</w:t>
      </w:r>
      <w:r>
        <w:rPr>
          <w:rFonts w:ascii="Times New Roman" w:hAnsi="Times New Roman"/>
        </w:rPr>
        <w:tab/>
        <w:t>10.29%</w:t>
      </w:r>
      <w:r>
        <w:rPr>
          <w:rFonts w:ascii="Times New Roman" w:hAnsi="Times New Roman"/>
        </w:rPr>
        <w:tab/>
        <w:t>10.66%</w:t>
      </w:r>
    </w:p>
    <w:p w:rsidR="002E0CD7" w:rsidRDefault="002E0CD7" w:rsidP="002E0CD7">
      <w:pPr>
        <w:keepNext/>
        <w:keepLines/>
        <w:tabs>
          <w:tab w:val="left" w:pos="720"/>
          <w:tab w:val="right" w:pos="3600"/>
          <w:tab w:val="right" w:pos="4950"/>
          <w:tab w:val="right" w:pos="6300"/>
          <w:tab w:val="right" w:pos="7560"/>
          <w:tab w:val="right" w:pos="8640"/>
        </w:tabs>
        <w:spacing w:line="240" w:lineRule="auto"/>
        <w:rPr>
          <w:rFonts w:ascii="Times New Roman" w:hAnsi="Times New Roman"/>
        </w:rPr>
      </w:pPr>
      <w:r>
        <w:rPr>
          <w:rFonts w:ascii="Times New Roman" w:hAnsi="Times New Roman"/>
        </w:rPr>
        <w:tab/>
        <w:t>2</w:t>
      </w:r>
      <w:r>
        <w:rPr>
          <w:rFonts w:ascii="Times New Roman" w:hAnsi="Times New Roman"/>
          <w:vertAlign w:val="superscript"/>
        </w:rPr>
        <w:t>nd</w:t>
      </w:r>
      <w:r>
        <w:rPr>
          <w:rFonts w:ascii="Times New Roman" w:hAnsi="Times New Roman"/>
        </w:rPr>
        <w:t xml:space="preserve"> Quarter</w:t>
      </w:r>
      <w:r>
        <w:rPr>
          <w:rFonts w:ascii="Times New Roman" w:hAnsi="Times New Roman"/>
        </w:rPr>
        <w:tab/>
        <w:t>10.68%</w:t>
      </w:r>
      <w:r>
        <w:rPr>
          <w:rFonts w:ascii="Times New Roman" w:hAnsi="Times New Roman"/>
        </w:rPr>
        <w:tab/>
        <w:t>10.27%</w:t>
      </w:r>
      <w:r>
        <w:rPr>
          <w:rFonts w:ascii="Times New Roman" w:hAnsi="Times New Roman"/>
        </w:rPr>
        <w:tab/>
        <w:t>10.57%</w:t>
      </w:r>
      <w:r>
        <w:rPr>
          <w:rFonts w:ascii="Times New Roman" w:hAnsi="Times New Roman"/>
        </w:rPr>
        <w:tab/>
        <w:t>10.55%</w:t>
      </w:r>
      <w:r>
        <w:rPr>
          <w:rFonts w:ascii="Times New Roman" w:hAnsi="Times New Roman"/>
        </w:rPr>
        <w:tab/>
        <w:t>10.08%</w:t>
      </w:r>
    </w:p>
    <w:p w:rsidR="002E0CD7" w:rsidRDefault="002E0CD7" w:rsidP="002E0CD7">
      <w:pPr>
        <w:keepNext/>
        <w:keepLines/>
        <w:tabs>
          <w:tab w:val="left" w:pos="720"/>
          <w:tab w:val="right" w:pos="3600"/>
          <w:tab w:val="right" w:pos="4950"/>
          <w:tab w:val="right" w:pos="6300"/>
          <w:tab w:val="right" w:pos="7560"/>
          <w:tab w:val="right" w:pos="8640"/>
        </w:tabs>
        <w:spacing w:line="240" w:lineRule="auto"/>
        <w:rPr>
          <w:rFonts w:ascii="Times New Roman" w:hAnsi="Times New Roman"/>
        </w:rPr>
      </w:pPr>
      <w:r>
        <w:rPr>
          <w:rFonts w:ascii="Times New Roman" w:hAnsi="Times New Roman"/>
        </w:rPr>
        <w:tab/>
        <w:t>3</w:t>
      </w:r>
      <w:r>
        <w:rPr>
          <w:rFonts w:ascii="Times New Roman" w:hAnsi="Times New Roman"/>
          <w:vertAlign w:val="superscript"/>
        </w:rPr>
        <w:t>rd</w:t>
      </w:r>
      <w:r>
        <w:rPr>
          <w:rFonts w:ascii="Times New Roman" w:hAnsi="Times New Roman"/>
        </w:rPr>
        <w:t xml:space="preserve"> Quarter</w:t>
      </w:r>
      <w:r>
        <w:rPr>
          <w:rFonts w:ascii="Times New Roman" w:hAnsi="Times New Roman"/>
        </w:rPr>
        <w:tab/>
        <w:t>10.06%</w:t>
      </w:r>
      <w:r>
        <w:rPr>
          <w:rFonts w:ascii="Times New Roman" w:hAnsi="Times New Roman"/>
        </w:rPr>
        <w:tab/>
        <w:t>10.02%</w:t>
      </w:r>
      <w:r>
        <w:rPr>
          <w:rFonts w:ascii="Times New Roman" w:hAnsi="Times New Roman"/>
        </w:rPr>
        <w:tab/>
        <w:t>10.47%</w:t>
      </w:r>
      <w:r>
        <w:rPr>
          <w:rFonts w:ascii="Times New Roman" w:hAnsi="Times New Roman"/>
        </w:rPr>
        <w:tab/>
        <w:t>10.46%</w:t>
      </w:r>
      <w:r>
        <w:rPr>
          <w:rFonts w:ascii="Times New Roman" w:hAnsi="Times New Roman"/>
        </w:rPr>
        <w:tab/>
        <w:t>10.27%</w:t>
      </w:r>
    </w:p>
    <w:p w:rsidR="002E0CD7" w:rsidRDefault="002E0CD7" w:rsidP="002E0CD7">
      <w:pPr>
        <w:keepNext/>
        <w:keepLines/>
        <w:tabs>
          <w:tab w:val="left" w:pos="720"/>
          <w:tab w:val="right" w:pos="3600"/>
          <w:tab w:val="right" w:pos="4950"/>
          <w:tab w:val="right" w:pos="6300"/>
          <w:tab w:val="right" w:pos="7560"/>
          <w:tab w:val="right" w:pos="8640"/>
        </w:tabs>
        <w:spacing w:line="240" w:lineRule="auto"/>
        <w:rPr>
          <w:rFonts w:ascii="Times New Roman" w:hAnsi="Times New Roman"/>
          <w:u w:val="single"/>
        </w:rPr>
      </w:pPr>
      <w:r>
        <w:rPr>
          <w:rFonts w:ascii="Times New Roman" w:hAnsi="Times New Roman"/>
        </w:rPr>
        <w:tab/>
      </w:r>
      <w:r>
        <w:rPr>
          <w:rFonts w:ascii="Times New Roman" w:hAnsi="Times New Roman"/>
          <w:u w:val="single"/>
        </w:rPr>
        <w:t>4</w:t>
      </w:r>
      <w:r>
        <w:rPr>
          <w:rFonts w:ascii="Times New Roman" w:hAnsi="Times New Roman"/>
          <w:u w:val="single"/>
          <w:vertAlign w:val="superscript"/>
        </w:rPr>
        <w:t>th</w:t>
      </w:r>
      <w:r>
        <w:rPr>
          <w:rFonts w:ascii="Times New Roman" w:hAnsi="Times New Roman"/>
          <w:u w:val="single"/>
        </w:rPr>
        <w:t xml:space="preserve"> Quarter</w:t>
      </w:r>
      <w:r>
        <w:rPr>
          <w:rFonts w:ascii="Times New Roman" w:hAnsi="Times New Roman"/>
          <w:u w:val="single"/>
        </w:rPr>
        <w:tab/>
        <w:t>10.39%</w:t>
      </w:r>
      <w:r>
        <w:rPr>
          <w:rFonts w:ascii="Times New Roman" w:hAnsi="Times New Roman"/>
          <w:u w:val="single"/>
        </w:rPr>
        <w:tab/>
        <w:t>10.56%</w:t>
      </w:r>
      <w:r>
        <w:rPr>
          <w:rFonts w:ascii="Times New Roman" w:hAnsi="Times New Roman"/>
          <w:u w:val="single"/>
        </w:rPr>
        <w:tab/>
        <w:t>10.33%</w:t>
      </w:r>
      <w:r>
        <w:rPr>
          <w:rFonts w:ascii="Times New Roman" w:hAnsi="Times New Roman"/>
          <w:u w:val="single"/>
        </w:rPr>
        <w:tab/>
        <w:t>10.54%</w:t>
      </w:r>
      <w:r>
        <w:rPr>
          <w:rFonts w:ascii="Times New Roman" w:hAnsi="Times New Roman"/>
          <w:u w:val="single"/>
        </w:rPr>
        <w:tab/>
      </w:r>
    </w:p>
    <w:p w:rsidR="002E0CD7" w:rsidRDefault="002E0CD7" w:rsidP="002E0CD7">
      <w:pPr>
        <w:keepNext/>
        <w:keepLines/>
        <w:tabs>
          <w:tab w:val="left" w:pos="720"/>
          <w:tab w:val="left" w:pos="1170"/>
          <w:tab w:val="right" w:pos="2160"/>
          <w:tab w:val="right" w:pos="3600"/>
          <w:tab w:val="right" w:pos="4950"/>
          <w:tab w:val="right" w:pos="6300"/>
          <w:tab w:val="right" w:pos="7560"/>
          <w:tab w:val="right" w:pos="8640"/>
        </w:tabs>
        <w:spacing w:line="240" w:lineRule="auto"/>
        <w:rPr>
          <w:rFonts w:ascii="Times New Roman" w:hAnsi="Times New Roman"/>
        </w:rPr>
      </w:pPr>
      <w:r>
        <w:rPr>
          <w:rFonts w:ascii="Times New Roman" w:hAnsi="Times New Roman"/>
        </w:rPr>
        <w:tab/>
        <w:t>Full Year Average</w:t>
      </w:r>
      <w:r>
        <w:rPr>
          <w:rFonts w:ascii="Times New Roman" w:hAnsi="Times New Roman"/>
        </w:rPr>
        <w:tab/>
        <w:t>10.36%</w:t>
      </w:r>
      <w:r>
        <w:rPr>
          <w:rFonts w:ascii="Times New Roman" w:hAnsi="Times New Roman"/>
        </w:rPr>
        <w:tab/>
        <w:t>10.36%</w:t>
      </w:r>
      <w:r>
        <w:rPr>
          <w:rFonts w:ascii="Times New Roman" w:hAnsi="Times New Roman"/>
        </w:rPr>
        <w:tab/>
        <w:t>10.46%</w:t>
      </w:r>
      <w:r>
        <w:rPr>
          <w:rFonts w:ascii="Times New Roman" w:hAnsi="Times New Roman"/>
        </w:rPr>
        <w:tab/>
        <w:t>10.48%</w:t>
      </w:r>
      <w:r>
        <w:rPr>
          <w:rFonts w:ascii="Times New Roman" w:hAnsi="Times New Roman"/>
        </w:rPr>
        <w:tab/>
        <w:t>10.36%</w:t>
      </w:r>
    </w:p>
    <w:p w:rsidR="002E0CD7" w:rsidRDefault="002E0CD7" w:rsidP="002E0CD7">
      <w:pPr>
        <w:keepNext/>
        <w:keepLines/>
        <w:tabs>
          <w:tab w:val="left" w:pos="720"/>
          <w:tab w:val="left" w:pos="1170"/>
          <w:tab w:val="right" w:pos="7560"/>
        </w:tabs>
        <w:spacing w:line="240" w:lineRule="auto"/>
        <w:ind w:right="-180"/>
        <w:rPr>
          <w:rFonts w:ascii="Times New Roman" w:hAnsi="Times New Roman"/>
        </w:rPr>
      </w:pPr>
      <w:r>
        <w:rPr>
          <w:rFonts w:ascii="Times New Roman" w:hAnsi="Times New Roman"/>
        </w:rPr>
        <w:tab/>
        <w:t>Average Utility</w:t>
      </w:r>
    </w:p>
    <w:p w:rsidR="002E0CD7" w:rsidRDefault="002E0CD7" w:rsidP="002E0CD7">
      <w:pPr>
        <w:keepNext/>
        <w:keepLines/>
        <w:tabs>
          <w:tab w:val="left" w:pos="720"/>
          <w:tab w:val="right" w:pos="3600"/>
          <w:tab w:val="right" w:pos="4950"/>
          <w:tab w:val="right" w:pos="6300"/>
          <w:tab w:val="right" w:pos="7560"/>
          <w:tab w:val="right" w:pos="8640"/>
        </w:tabs>
        <w:spacing w:line="240" w:lineRule="auto"/>
        <w:rPr>
          <w:rFonts w:ascii="Times New Roman" w:hAnsi="Times New Roman"/>
        </w:rPr>
      </w:pPr>
      <w:r>
        <w:rPr>
          <w:rFonts w:ascii="Times New Roman" w:hAnsi="Times New Roman"/>
        </w:rPr>
        <w:tab/>
        <w:t>Debt Cost</w:t>
      </w:r>
      <w:r>
        <w:rPr>
          <w:rFonts w:ascii="Times New Roman" w:hAnsi="Times New Roman"/>
        </w:rPr>
        <w:tab/>
        <w:t>6.08%</w:t>
      </w:r>
      <w:r>
        <w:rPr>
          <w:rFonts w:ascii="Times New Roman" w:hAnsi="Times New Roman"/>
        </w:rPr>
        <w:tab/>
        <w:t>6.11%</w:t>
      </w:r>
      <w:r>
        <w:rPr>
          <w:rFonts w:ascii="Times New Roman" w:hAnsi="Times New Roman"/>
        </w:rPr>
        <w:tab/>
        <w:t>6.65%</w:t>
      </w:r>
      <w:r>
        <w:rPr>
          <w:rFonts w:ascii="Times New Roman" w:hAnsi="Times New Roman"/>
        </w:rPr>
        <w:tab/>
        <w:t>6.28%</w:t>
      </w:r>
      <w:r>
        <w:rPr>
          <w:rFonts w:ascii="Times New Roman" w:hAnsi="Times New Roman"/>
        </w:rPr>
        <w:tab/>
        <w:t>5.59%</w:t>
      </w:r>
    </w:p>
    <w:p w:rsidR="002E0CD7" w:rsidRDefault="002E0CD7" w:rsidP="002E0CD7">
      <w:pPr>
        <w:keepNext/>
        <w:keepLines/>
        <w:tabs>
          <w:tab w:val="left" w:pos="720"/>
          <w:tab w:val="left" w:pos="1170"/>
          <w:tab w:val="right" w:pos="2160"/>
          <w:tab w:val="right" w:pos="3600"/>
          <w:tab w:val="right" w:pos="4950"/>
          <w:tab w:val="right" w:pos="6390"/>
          <w:tab w:val="right" w:pos="7560"/>
          <w:tab w:val="right" w:pos="7830"/>
          <w:tab w:val="right" w:pos="8820"/>
        </w:tabs>
        <w:spacing w:line="240" w:lineRule="auto"/>
        <w:ind w:right="-180"/>
        <w:rPr>
          <w:rFonts w:ascii="Times New Roman" w:hAnsi="Times New Roman"/>
        </w:rPr>
      </w:pPr>
      <w:r>
        <w:rPr>
          <w:rFonts w:ascii="Times New Roman" w:hAnsi="Times New Roman"/>
        </w:rPr>
        <w:tab/>
        <w:t>Indicated Average</w:t>
      </w:r>
    </w:p>
    <w:p w:rsidR="002E0CD7" w:rsidRDefault="002E0CD7" w:rsidP="002E0CD7">
      <w:pPr>
        <w:keepNext/>
        <w:keepLines/>
        <w:tabs>
          <w:tab w:val="left" w:pos="720"/>
          <w:tab w:val="right" w:pos="3600"/>
          <w:tab w:val="right" w:pos="4950"/>
          <w:tab w:val="right" w:pos="6300"/>
          <w:tab w:val="right" w:pos="7560"/>
          <w:tab w:val="right" w:pos="8640"/>
        </w:tabs>
        <w:spacing w:line="240" w:lineRule="auto"/>
        <w:rPr>
          <w:rFonts w:ascii="Times New Roman" w:hAnsi="Times New Roman"/>
        </w:rPr>
      </w:pPr>
      <w:r>
        <w:rPr>
          <w:rFonts w:ascii="Times New Roman" w:hAnsi="Times New Roman"/>
        </w:rPr>
        <w:tab/>
        <w:t>Risk Premium</w:t>
      </w:r>
      <w:r>
        <w:rPr>
          <w:rFonts w:ascii="Times New Roman" w:hAnsi="Times New Roman"/>
        </w:rPr>
        <w:tab/>
        <w:t>4.28%</w:t>
      </w:r>
      <w:r>
        <w:rPr>
          <w:rFonts w:ascii="Times New Roman" w:hAnsi="Times New Roman"/>
        </w:rPr>
        <w:tab/>
        <w:t>4.25%</w:t>
      </w:r>
      <w:r>
        <w:rPr>
          <w:rFonts w:ascii="Times New Roman" w:hAnsi="Times New Roman"/>
        </w:rPr>
        <w:tab/>
        <w:t>3.81%</w:t>
      </w:r>
      <w:r>
        <w:rPr>
          <w:rFonts w:ascii="Times New Roman" w:hAnsi="Times New Roman"/>
        </w:rPr>
        <w:tab/>
        <w:t>4.20%</w:t>
      </w:r>
      <w:r>
        <w:rPr>
          <w:rFonts w:ascii="Times New Roman" w:hAnsi="Times New Roman"/>
        </w:rPr>
        <w:tab/>
        <w:t>4.77%</w:t>
      </w:r>
    </w:p>
    <w:p w:rsidR="002E0CD7" w:rsidRDefault="002E0CD7" w:rsidP="002E0CD7">
      <w:pPr>
        <w:keepNext/>
        <w:keepLines/>
        <w:tabs>
          <w:tab w:val="left" w:pos="720"/>
          <w:tab w:val="right" w:pos="3600"/>
          <w:tab w:val="right" w:pos="4950"/>
          <w:tab w:val="right" w:pos="6390"/>
          <w:tab w:val="right" w:pos="7560"/>
          <w:tab w:val="right" w:pos="8640"/>
        </w:tabs>
        <w:spacing w:line="240" w:lineRule="auto"/>
        <w:rPr>
          <w:rFonts w:ascii="Times New Roman" w:hAnsi="Times New Roman"/>
          <w:u w:val="single"/>
        </w:rPr>
      </w:pP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2E0CD7" w:rsidRPr="004D6988" w:rsidRDefault="002E0CD7" w:rsidP="002E0CD7">
      <w:pPr>
        <w:pStyle w:val="BodyTextIndent2"/>
        <w:keepNext/>
        <w:tabs>
          <w:tab w:val="left" w:pos="720"/>
        </w:tabs>
        <w:spacing w:before="0" w:line="240" w:lineRule="auto"/>
        <w:jc w:val="left"/>
        <w:rPr>
          <w:rFonts w:ascii="Times New Roman" w:hAnsi="Times New Roman"/>
          <w:b w:val="0"/>
        </w:rPr>
      </w:pPr>
      <w:r w:rsidRPr="004D6988">
        <w:rPr>
          <w:rFonts w:ascii="Times New Roman" w:hAnsi="Times New Roman"/>
          <w:b w:val="0"/>
        </w:rPr>
        <w:tab/>
        <w:t xml:space="preserve">Source:  Regulatory Focus, Regulatory Research Associates, Inc., Major Rate Case Decisions, </w:t>
      </w:r>
      <w:r>
        <w:rPr>
          <w:rFonts w:ascii="Times New Roman" w:hAnsi="Times New Roman"/>
          <w:b w:val="0"/>
        </w:rPr>
        <w:t>October 4</w:t>
      </w:r>
      <w:r w:rsidRPr="004D6988">
        <w:rPr>
          <w:rFonts w:ascii="Times New Roman" w:hAnsi="Times New Roman"/>
          <w:b w:val="0"/>
        </w:rPr>
        <w:t xml:space="preserve">, 2010.  Utility debt costs are the </w:t>
      </w:r>
      <w:r w:rsidR="003C18EA">
        <w:rPr>
          <w:rFonts w:ascii="Times New Roman" w:hAnsi="Times New Roman"/>
          <w:b w:val="0"/>
        </w:rPr>
        <w:t>“</w:t>
      </w:r>
      <w:r w:rsidRPr="004D6988">
        <w:rPr>
          <w:rFonts w:ascii="Times New Roman" w:hAnsi="Times New Roman"/>
          <w:b w:val="0"/>
        </w:rPr>
        <w:t>average</w:t>
      </w:r>
      <w:r w:rsidR="003C18EA">
        <w:rPr>
          <w:rFonts w:ascii="Times New Roman" w:hAnsi="Times New Roman"/>
          <w:b w:val="0"/>
        </w:rPr>
        <w:t>”</w:t>
      </w:r>
      <w:r w:rsidRPr="004D6988">
        <w:rPr>
          <w:rFonts w:ascii="Times New Roman" w:hAnsi="Times New Roman"/>
          <w:b w:val="0"/>
        </w:rPr>
        <w:t xml:space="preserve"> public utility bond yields as reported by Moody</w:t>
      </w:r>
      <w:r w:rsidR="003C18EA">
        <w:rPr>
          <w:rFonts w:ascii="Times New Roman" w:hAnsi="Times New Roman"/>
          <w:b w:val="0"/>
        </w:rPr>
        <w:t>’</w:t>
      </w:r>
      <w:r w:rsidRPr="004D6988">
        <w:rPr>
          <w:rFonts w:ascii="Times New Roman" w:hAnsi="Times New Roman"/>
          <w:b w:val="0"/>
        </w:rPr>
        <w:t>s.</w:t>
      </w:r>
    </w:p>
    <w:p w:rsidR="002E0CD7" w:rsidRDefault="002E0CD7" w:rsidP="002E0CD7">
      <w:pPr>
        <w:pStyle w:val="BodyTextIndent2"/>
        <w:tabs>
          <w:tab w:val="left" w:pos="720"/>
        </w:tabs>
        <w:jc w:val="left"/>
        <w:rPr>
          <w:rFonts w:ascii="Times New Roman" w:hAnsi="Times New Roman"/>
          <w:b w:val="0"/>
        </w:rPr>
      </w:pPr>
      <w:r w:rsidRPr="004D6988">
        <w:rPr>
          <w:rFonts w:ascii="Times New Roman" w:hAnsi="Times New Roman"/>
          <w:b w:val="0"/>
        </w:rPr>
        <w:tab/>
      </w:r>
      <w:r>
        <w:rPr>
          <w:rFonts w:ascii="Times New Roman" w:hAnsi="Times New Roman"/>
          <w:b w:val="0"/>
        </w:rPr>
        <w:t xml:space="preserve">The 9.5 percent ROE recommended by Mr. Elgin and Mr. Gorman is in stark contrast to the cost of equity capital deemed appropriate by state regulators around the country.  </w:t>
      </w:r>
    </w:p>
    <w:p w:rsidR="00637AD6" w:rsidRPr="00637AD6" w:rsidRDefault="00A75AE4" w:rsidP="00637AD6">
      <w:pPr>
        <w:pStyle w:val="BodyTextIndent2"/>
        <w:tabs>
          <w:tab w:val="left" w:pos="720"/>
        </w:tabs>
        <w:spacing w:before="0"/>
        <w:jc w:val="left"/>
        <w:rPr>
          <w:rFonts w:ascii="Times New Roman" w:hAnsi="Times New Roman"/>
        </w:rPr>
      </w:pPr>
      <w:r>
        <w:rPr>
          <w:rFonts w:ascii="Times New Roman" w:hAnsi="Times New Roman"/>
        </w:rPr>
        <w:t xml:space="preserve">Current </w:t>
      </w:r>
      <w:r w:rsidR="00637AD6" w:rsidRPr="00637AD6">
        <w:rPr>
          <w:rFonts w:ascii="Times New Roman" w:hAnsi="Times New Roman"/>
        </w:rPr>
        <w:t>Deficiencies of the CAPM</w:t>
      </w:r>
      <w:r>
        <w:rPr>
          <w:rFonts w:ascii="Times New Roman" w:hAnsi="Times New Roman"/>
        </w:rPr>
        <w:t xml:space="preserve"> and Other Equity Risk Premium Model</w:t>
      </w:r>
    </w:p>
    <w:p w:rsidR="004F7E1F" w:rsidRPr="00742879" w:rsidRDefault="004F7E1F" w:rsidP="00742879">
      <w:pPr>
        <w:pStyle w:val="FootnoteText"/>
        <w:rPr>
          <w:rFonts w:ascii="Times New Roman" w:hAnsi="Times New Roman"/>
          <w:b/>
          <w:color w:val="000000"/>
          <w:sz w:val="24"/>
          <w:szCs w:val="24"/>
        </w:rPr>
      </w:pPr>
      <w:r w:rsidRPr="00742879">
        <w:rPr>
          <w:rFonts w:ascii="Times New Roman" w:hAnsi="Times New Roman"/>
          <w:b/>
          <w:color w:val="000000"/>
          <w:sz w:val="24"/>
          <w:szCs w:val="24"/>
        </w:rPr>
        <w:t>Q</w:t>
      </w:r>
      <w:r w:rsidR="00742879" w:rsidRPr="00742879">
        <w:rPr>
          <w:rFonts w:ascii="Times New Roman" w:hAnsi="Times New Roman"/>
          <w:b/>
          <w:color w:val="000000"/>
          <w:sz w:val="24"/>
          <w:szCs w:val="24"/>
        </w:rPr>
        <w:t>.</w:t>
      </w:r>
      <w:r w:rsidRPr="00742879">
        <w:rPr>
          <w:rFonts w:ascii="Times New Roman" w:hAnsi="Times New Roman"/>
          <w:b/>
          <w:color w:val="000000"/>
          <w:sz w:val="24"/>
          <w:szCs w:val="24"/>
        </w:rPr>
        <w:tab/>
      </w:r>
      <w:r w:rsidR="00AF3EAF">
        <w:rPr>
          <w:rFonts w:ascii="Times New Roman" w:hAnsi="Times New Roman"/>
          <w:b/>
          <w:color w:val="000000"/>
          <w:sz w:val="24"/>
          <w:szCs w:val="24"/>
        </w:rPr>
        <w:t>T</w:t>
      </w:r>
      <w:r w:rsidRPr="00742879">
        <w:rPr>
          <w:rFonts w:ascii="Times New Roman" w:hAnsi="Times New Roman"/>
          <w:b/>
          <w:color w:val="000000"/>
          <w:sz w:val="24"/>
          <w:szCs w:val="24"/>
        </w:rPr>
        <w:t xml:space="preserve">he other witnesses </w:t>
      </w:r>
      <w:r w:rsidR="00455600">
        <w:rPr>
          <w:rFonts w:ascii="Times New Roman" w:hAnsi="Times New Roman"/>
          <w:b/>
          <w:color w:val="000000"/>
          <w:sz w:val="24"/>
          <w:szCs w:val="24"/>
        </w:rPr>
        <w:t>use the</w:t>
      </w:r>
      <w:r w:rsidRPr="00742879">
        <w:rPr>
          <w:rFonts w:ascii="Times New Roman" w:hAnsi="Times New Roman"/>
          <w:b/>
          <w:color w:val="000000"/>
          <w:sz w:val="24"/>
          <w:szCs w:val="24"/>
        </w:rPr>
        <w:t xml:space="preserve"> CAPM to estimate ROE.  Can you explain why the CAPM currently understates ROE and why CAPM estimates should not </w:t>
      </w:r>
      <w:r w:rsidR="00AF3EAF">
        <w:rPr>
          <w:rFonts w:ascii="Times New Roman" w:hAnsi="Times New Roman"/>
          <w:b/>
          <w:color w:val="000000"/>
          <w:sz w:val="24"/>
          <w:szCs w:val="24"/>
        </w:rPr>
        <w:t xml:space="preserve">currently </w:t>
      </w:r>
      <w:r w:rsidRPr="00742879">
        <w:rPr>
          <w:rFonts w:ascii="Times New Roman" w:hAnsi="Times New Roman"/>
          <w:b/>
          <w:color w:val="000000"/>
          <w:sz w:val="24"/>
          <w:szCs w:val="24"/>
        </w:rPr>
        <w:t>be included?</w:t>
      </w:r>
    </w:p>
    <w:p w:rsidR="004F7E1F" w:rsidRPr="00742879" w:rsidRDefault="004F7E1F" w:rsidP="00742879">
      <w:pPr>
        <w:pStyle w:val="FootnoteText"/>
        <w:rPr>
          <w:rFonts w:ascii="Times New Roman" w:hAnsi="Times New Roman"/>
          <w:color w:val="000000"/>
          <w:sz w:val="24"/>
          <w:szCs w:val="24"/>
        </w:rPr>
      </w:pPr>
      <w:r w:rsidRPr="00742879">
        <w:rPr>
          <w:rFonts w:ascii="Times New Roman" w:hAnsi="Times New Roman"/>
          <w:color w:val="000000"/>
          <w:sz w:val="24"/>
          <w:szCs w:val="24"/>
        </w:rPr>
        <w:t>A</w:t>
      </w:r>
      <w:r w:rsidR="00742879" w:rsidRPr="00742879">
        <w:rPr>
          <w:rFonts w:ascii="Times New Roman" w:hAnsi="Times New Roman"/>
          <w:color w:val="000000"/>
          <w:sz w:val="24"/>
          <w:szCs w:val="24"/>
        </w:rPr>
        <w:t>.</w:t>
      </w:r>
      <w:r w:rsidRPr="00742879">
        <w:rPr>
          <w:rFonts w:ascii="Times New Roman" w:hAnsi="Times New Roman"/>
          <w:color w:val="000000"/>
          <w:sz w:val="24"/>
          <w:szCs w:val="24"/>
        </w:rPr>
        <w:tab/>
        <w:t>Yes.  The CAPM requires three inputs to estimate ROE:</w:t>
      </w:r>
    </w:p>
    <w:p w:rsidR="004F7E1F" w:rsidRPr="00742879" w:rsidRDefault="004F7E1F" w:rsidP="00742879">
      <w:pPr>
        <w:pStyle w:val="FootnoteText"/>
        <w:ind w:firstLine="0"/>
        <w:rPr>
          <w:rFonts w:ascii="Times New Roman" w:hAnsi="Times New Roman"/>
          <w:color w:val="000000"/>
          <w:sz w:val="24"/>
          <w:szCs w:val="24"/>
        </w:rPr>
      </w:pPr>
      <w:r w:rsidRPr="00742879">
        <w:rPr>
          <w:rFonts w:ascii="Times New Roman" w:hAnsi="Times New Roman"/>
          <w:color w:val="000000"/>
          <w:sz w:val="24"/>
          <w:szCs w:val="24"/>
        </w:rPr>
        <w:t>1) the risk-free interest rate (R</w:t>
      </w:r>
      <w:r w:rsidRPr="00742879">
        <w:rPr>
          <w:rFonts w:ascii="Times New Roman" w:hAnsi="Times New Roman"/>
          <w:color w:val="000000"/>
          <w:sz w:val="24"/>
          <w:szCs w:val="24"/>
          <w:vertAlign w:val="subscript"/>
        </w:rPr>
        <w:t>f</w:t>
      </w:r>
      <w:r w:rsidRPr="00742879">
        <w:rPr>
          <w:rFonts w:ascii="Times New Roman" w:hAnsi="Times New Roman"/>
          <w:color w:val="000000"/>
          <w:sz w:val="24"/>
          <w:szCs w:val="24"/>
        </w:rPr>
        <w:t>);</w:t>
      </w:r>
    </w:p>
    <w:p w:rsidR="004F7E1F" w:rsidRPr="00742879" w:rsidRDefault="004F7E1F" w:rsidP="00742879">
      <w:pPr>
        <w:pStyle w:val="FootnoteText"/>
        <w:ind w:firstLine="0"/>
        <w:rPr>
          <w:rFonts w:ascii="Times New Roman" w:hAnsi="Times New Roman"/>
          <w:color w:val="000000"/>
          <w:sz w:val="24"/>
          <w:szCs w:val="24"/>
        </w:rPr>
      </w:pPr>
      <w:r w:rsidRPr="00742879">
        <w:rPr>
          <w:rFonts w:ascii="Times New Roman" w:hAnsi="Times New Roman"/>
          <w:color w:val="000000"/>
          <w:sz w:val="24"/>
          <w:szCs w:val="24"/>
        </w:rPr>
        <w:t>2) the market risk premium for stocks relative to the risk-free rate (R</w:t>
      </w:r>
      <w:r w:rsidRPr="00742879">
        <w:rPr>
          <w:rFonts w:ascii="Times New Roman" w:hAnsi="Times New Roman"/>
          <w:color w:val="000000"/>
          <w:sz w:val="24"/>
          <w:szCs w:val="24"/>
          <w:vertAlign w:val="subscript"/>
        </w:rPr>
        <w:t>m</w:t>
      </w:r>
      <w:r w:rsidRPr="00742879">
        <w:rPr>
          <w:rFonts w:ascii="Times New Roman" w:hAnsi="Times New Roman"/>
          <w:color w:val="000000"/>
          <w:sz w:val="24"/>
          <w:szCs w:val="24"/>
        </w:rPr>
        <w:t xml:space="preserve"> - R</w:t>
      </w:r>
      <w:r w:rsidRPr="00742879">
        <w:rPr>
          <w:rFonts w:ascii="Times New Roman" w:hAnsi="Times New Roman"/>
          <w:color w:val="000000"/>
          <w:sz w:val="24"/>
          <w:szCs w:val="24"/>
          <w:vertAlign w:val="subscript"/>
        </w:rPr>
        <w:t>f</w:t>
      </w:r>
      <w:r w:rsidRPr="00742879">
        <w:rPr>
          <w:rFonts w:ascii="Times New Roman" w:hAnsi="Times New Roman"/>
          <w:color w:val="000000"/>
          <w:sz w:val="24"/>
          <w:szCs w:val="24"/>
        </w:rPr>
        <w:t>); and</w:t>
      </w:r>
    </w:p>
    <w:p w:rsidR="004F7E1F" w:rsidRPr="00742879" w:rsidRDefault="004F7E1F" w:rsidP="00742879">
      <w:pPr>
        <w:pStyle w:val="FootnoteText"/>
        <w:ind w:firstLine="0"/>
        <w:rPr>
          <w:rFonts w:ascii="Times New Roman" w:hAnsi="Times New Roman"/>
          <w:color w:val="000000"/>
          <w:sz w:val="24"/>
          <w:szCs w:val="24"/>
        </w:rPr>
      </w:pPr>
      <w:r w:rsidRPr="00742879">
        <w:rPr>
          <w:rFonts w:ascii="Times New Roman" w:hAnsi="Times New Roman"/>
          <w:color w:val="000000"/>
          <w:sz w:val="24"/>
          <w:szCs w:val="24"/>
        </w:rPr>
        <w:t>3) a measure of market-related, or nondiversifiable, risk (β or beta).</w:t>
      </w:r>
    </w:p>
    <w:p w:rsidR="004F7E1F" w:rsidRPr="00742879" w:rsidRDefault="004F7E1F" w:rsidP="00742879">
      <w:pPr>
        <w:pStyle w:val="FootnoteText"/>
        <w:rPr>
          <w:rFonts w:ascii="Times New Roman" w:hAnsi="Times New Roman"/>
          <w:color w:val="000000"/>
          <w:sz w:val="24"/>
          <w:szCs w:val="24"/>
        </w:rPr>
      </w:pPr>
      <w:r w:rsidRPr="00742879">
        <w:rPr>
          <w:rFonts w:ascii="Times New Roman" w:hAnsi="Times New Roman"/>
          <w:color w:val="000000"/>
          <w:sz w:val="24"/>
          <w:szCs w:val="24"/>
        </w:rPr>
        <w:tab/>
        <w:t>The CAPM estimate of ROE is calculated from the following equation:</w:t>
      </w:r>
    </w:p>
    <w:p w:rsidR="004F7E1F" w:rsidRPr="00742879" w:rsidRDefault="004F7E1F" w:rsidP="00742879">
      <w:pPr>
        <w:pStyle w:val="FootnoteText"/>
        <w:ind w:firstLine="720"/>
        <w:rPr>
          <w:rFonts w:ascii="Times New Roman" w:hAnsi="Times New Roman"/>
          <w:color w:val="000000"/>
          <w:sz w:val="24"/>
          <w:szCs w:val="24"/>
        </w:rPr>
      </w:pPr>
      <w:r w:rsidRPr="00742879">
        <w:rPr>
          <w:rFonts w:ascii="Times New Roman" w:hAnsi="Times New Roman"/>
          <w:color w:val="000000"/>
          <w:sz w:val="24"/>
          <w:szCs w:val="24"/>
        </w:rPr>
        <w:t>ROE = R</w:t>
      </w:r>
      <w:r w:rsidRPr="00742879">
        <w:rPr>
          <w:rFonts w:ascii="Times New Roman" w:hAnsi="Times New Roman"/>
          <w:color w:val="000000"/>
          <w:sz w:val="24"/>
          <w:szCs w:val="24"/>
          <w:vertAlign w:val="subscript"/>
        </w:rPr>
        <w:t>f</w:t>
      </w:r>
      <w:r w:rsidRPr="00742879">
        <w:rPr>
          <w:rFonts w:ascii="Times New Roman" w:hAnsi="Times New Roman"/>
          <w:color w:val="000000"/>
          <w:sz w:val="24"/>
          <w:szCs w:val="24"/>
        </w:rPr>
        <w:t xml:space="preserve"> + β(R</w:t>
      </w:r>
      <w:r w:rsidRPr="00742879">
        <w:rPr>
          <w:rFonts w:ascii="Times New Roman" w:hAnsi="Times New Roman"/>
          <w:color w:val="000000"/>
          <w:sz w:val="24"/>
          <w:szCs w:val="24"/>
          <w:vertAlign w:val="subscript"/>
        </w:rPr>
        <w:t>m</w:t>
      </w:r>
      <w:r w:rsidRPr="00742879">
        <w:rPr>
          <w:rFonts w:ascii="Times New Roman" w:hAnsi="Times New Roman"/>
          <w:color w:val="000000"/>
          <w:sz w:val="24"/>
          <w:szCs w:val="24"/>
        </w:rPr>
        <w:t xml:space="preserve"> – R</w:t>
      </w:r>
      <w:r w:rsidRPr="00742879">
        <w:rPr>
          <w:rFonts w:ascii="Times New Roman" w:hAnsi="Times New Roman"/>
          <w:color w:val="000000"/>
          <w:sz w:val="24"/>
          <w:szCs w:val="24"/>
          <w:vertAlign w:val="subscript"/>
        </w:rPr>
        <w:t>f</w:t>
      </w:r>
      <w:r w:rsidRPr="00742879">
        <w:rPr>
          <w:rFonts w:ascii="Times New Roman" w:hAnsi="Times New Roman"/>
          <w:color w:val="000000"/>
          <w:sz w:val="24"/>
          <w:szCs w:val="24"/>
        </w:rPr>
        <w:t>)</w:t>
      </w:r>
    </w:p>
    <w:p w:rsidR="004F7E1F" w:rsidRDefault="004F7E1F" w:rsidP="00742879">
      <w:pPr>
        <w:pStyle w:val="FootnoteText"/>
        <w:ind w:firstLine="0"/>
        <w:rPr>
          <w:rFonts w:ascii="Times New Roman" w:hAnsi="Times New Roman"/>
          <w:color w:val="000000"/>
          <w:sz w:val="24"/>
          <w:szCs w:val="24"/>
        </w:rPr>
      </w:pPr>
      <w:r w:rsidRPr="00742879">
        <w:rPr>
          <w:rFonts w:ascii="Times New Roman" w:hAnsi="Times New Roman"/>
          <w:color w:val="000000"/>
          <w:sz w:val="24"/>
          <w:szCs w:val="24"/>
        </w:rPr>
        <w:t>Under present market conditions, and as applied by the other parties in their CAPM analyses, all three of the CAPM inputs tend to understate ROE.  The risk-free rate, R</w:t>
      </w:r>
      <w:r w:rsidRPr="00742879">
        <w:rPr>
          <w:rFonts w:ascii="Times New Roman" w:hAnsi="Times New Roman"/>
          <w:color w:val="000000"/>
          <w:sz w:val="24"/>
          <w:szCs w:val="24"/>
          <w:vertAlign w:val="subscript"/>
        </w:rPr>
        <w:t>f</w:t>
      </w:r>
      <w:r w:rsidRPr="00742879">
        <w:rPr>
          <w:rFonts w:ascii="Times New Roman" w:hAnsi="Times New Roman"/>
          <w:color w:val="000000"/>
          <w:sz w:val="24"/>
          <w:szCs w:val="24"/>
        </w:rPr>
        <w:t xml:space="preserve">, is understated because, due to the </w:t>
      </w:r>
      <w:r w:rsidR="00734B3E" w:rsidRPr="00742879">
        <w:rPr>
          <w:rFonts w:ascii="Times New Roman" w:hAnsi="Times New Roman"/>
          <w:color w:val="000000"/>
          <w:sz w:val="24"/>
          <w:szCs w:val="24"/>
        </w:rPr>
        <w:t>government</w:t>
      </w:r>
      <w:r w:rsidR="00734B3E">
        <w:rPr>
          <w:rFonts w:ascii="Times New Roman" w:hAnsi="Times New Roman"/>
          <w:color w:val="000000"/>
          <w:sz w:val="24"/>
          <w:szCs w:val="24"/>
        </w:rPr>
        <w:t>’</w:t>
      </w:r>
      <w:r w:rsidR="00734B3E" w:rsidRPr="00742879">
        <w:rPr>
          <w:rFonts w:ascii="Times New Roman" w:hAnsi="Times New Roman"/>
          <w:color w:val="000000"/>
          <w:sz w:val="24"/>
          <w:szCs w:val="24"/>
        </w:rPr>
        <w:t xml:space="preserve">s </w:t>
      </w:r>
      <w:r w:rsidRPr="00742879">
        <w:rPr>
          <w:rFonts w:ascii="Times New Roman" w:hAnsi="Times New Roman"/>
          <w:color w:val="000000"/>
          <w:sz w:val="24"/>
          <w:szCs w:val="24"/>
        </w:rPr>
        <w:t>easy money policies and investors</w:t>
      </w:r>
      <w:r w:rsidR="00734B3E">
        <w:rPr>
          <w:rFonts w:ascii="Times New Roman" w:hAnsi="Times New Roman"/>
          <w:color w:val="000000"/>
          <w:sz w:val="24"/>
          <w:szCs w:val="24"/>
        </w:rPr>
        <w:t>’</w:t>
      </w:r>
      <w:r w:rsidRPr="00742879">
        <w:rPr>
          <w:rFonts w:ascii="Times New Roman" w:hAnsi="Times New Roman"/>
          <w:color w:val="000000"/>
          <w:sz w:val="24"/>
          <w:szCs w:val="24"/>
        </w:rPr>
        <w:t xml:space="preserve"> flight to safety, the U.S. Treasury rates used for R</w:t>
      </w:r>
      <w:r w:rsidRPr="00742879">
        <w:rPr>
          <w:rFonts w:ascii="Times New Roman" w:hAnsi="Times New Roman"/>
          <w:color w:val="000000"/>
          <w:sz w:val="24"/>
          <w:szCs w:val="24"/>
          <w:vertAlign w:val="subscript"/>
        </w:rPr>
        <w:t>f</w:t>
      </w:r>
      <w:r w:rsidRPr="00742879">
        <w:rPr>
          <w:rFonts w:ascii="Times New Roman" w:hAnsi="Times New Roman"/>
          <w:color w:val="000000"/>
          <w:sz w:val="24"/>
          <w:szCs w:val="24"/>
        </w:rPr>
        <w:t xml:space="preserve"> are artificially low.  The second input, the market risk premium (R</w:t>
      </w:r>
      <w:r w:rsidRPr="00742879">
        <w:rPr>
          <w:rFonts w:ascii="Times New Roman" w:hAnsi="Times New Roman"/>
          <w:color w:val="000000"/>
          <w:sz w:val="24"/>
          <w:szCs w:val="24"/>
          <w:vertAlign w:val="subscript"/>
        </w:rPr>
        <w:t>m</w:t>
      </w:r>
      <w:r w:rsidRPr="00742879">
        <w:rPr>
          <w:rFonts w:ascii="Times New Roman" w:hAnsi="Times New Roman"/>
          <w:color w:val="000000"/>
          <w:sz w:val="24"/>
          <w:szCs w:val="24"/>
        </w:rPr>
        <w:t xml:space="preserve"> - R</w:t>
      </w:r>
      <w:r w:rsidRPr="00742879">
        <w:rPr>
          <w:rFonts w:ascii="Times New Roman" w:hAnsi="Times New Roman"/>
          <w:color w:val="000000"/>
          <w:sz w:val="24"/>
          <w:szCs w:val="24"/>
          <w:vertAlign w:val="subscript"/>
        </w:rPr>
        <w:t>f</w:t>
      </w:r>
      <w:r w:rsidRPr="00742879">
        <w:rPr>
          <w:rFonts w:ascii="Times New Roman" w:hAnsi="Times New Roman"/>
          <w:color w:val="000000"/>
          <w:sz w:val="24"/>
          <w:szCs w:val="24"/>
        </w:rPr>
        <w:t>) is also understated.  This is the case because the other parties base their market risk premium estimates on historical data and prior academic studies that cannot possibly reflect the recent market turmoil.  While there is no objective source for measuring the widening equity risk premium phenomenon, the volatil</w:t>
      </w:r>
      <w:r w:rsidR="00455600">
        <w:rPr>
          <w:rFonts w:ascii="Times New Roman" w:hAnsi="Times New Roman"/>
          <w:color w:val="000000"/>
          <w:sz w:val="24"/>
          <w:szCs w:val="24"/>
        </w:rPr>
        <w:t xml:space="preserve">ity of </w:t>
      </w:r>
      <w:r w:rsidRPr="00742879">
        <w:rPr>
          <w:rFonts w:ascii="Times New Roman" w:hAnsi="Times New Roman"/>
          <w:color w:val="000000"/>
          <w:sz w:val="24"/>
          <w:szCs w:val="24"/>
        </w:rPr>
        <w:t xml:space="preserve">utility </w:t>
      </w:r>
      <w:r w:rsidR="00455600">
        <w:rPr>
          <w:rFonts w:ascii="Times New Roman" w:hAnsi="Times New Roman"/>
          <w:color w:val="000000"/>
          <w:sz w:val="24"/>
          <w:szCs w:val="24"/>
        </w:rPr>
        <w:t>stock</w:t>
      </w:r>
      <w:r w:rsidRPr="00742879">
        <w:rPr>
          <w:rFonts w:ascii="Times New Roman" w:hAnsi="Times New Roman"/>
          <w:color w:val="000000"/>
          <w:sz w:val="24"/>
          <w:szCs w:val="24"/>
        </w:rPr>
        <w:t xml:space="preserve"> prices demonstrated in the graphs above are indicative of the effect.  Finally, the CAPM</w:t>
      </w:r>
      <w:r w:rsidR="003C18EA">
        <w:rPr>
          <w:rFonts w:ascii="Times New Roman" w:hAnsi="Times New Roman"/>
          <w:color w:val="000000"/>
          <w:sz w:val="24"/>
          <w:szCs w:val="24"/>
        </w:rPr>
        <w:t>’</w:t>
      </w:r>
      <w:r w:rsidRPr="00742879">
        <w:rPr>
          <w:rFonts w:ascii="Times New Roman" w:hAnsi="Times New Roman"/>
          <w:color w:val="000000"/>
          <w:sz w:val="24"/>
          <w:szCs w:val="24"/>
        </w:rPr>
        <w:t xml:space="preserve">s market risk factor, </w:t>
      </w:r>
      <w:r w:rsidRPr="00742879">
        <w:rPr>
          <w:rFonts w:ascii="Times New Roman" w:hAnsi="Times New Roman"/>
          <w:color w:val="000000"/>
          <w:sz w:val="24"/>
          <w:szCs w:val="24"/>
        </w:rPr>
        <w:sym w:font="Symbol" w:char="F062"/>
      </w:r>
      <w:r w:rsidRPr="00742879">
        <w:rPr>
          <w:rFonts w:ascii="Times New Roman" w:hAnsi="Times New Roman"/>
          <w:color w:val="000000"/>
          <w:sz w:val="24"/>
          <w:szCs w:val="24"/>
        </w:rPr>
        <w:t xml:space="preserve">, is depressed by the relatively poor market performance that utilities have provided.  In this environment, CAPM </w:t>
      </w:r>
      <w:r w:rsidR="00CE6C16">
        <w:rPr>
          <w:rFonts w:ascii="Times New Roman" w:hAnsi="Times New Roman"/>
          <w:color w:val="000000"/>
          <w:sz w:val="24"/>
          <w:szCs w:val="24"/>
        </w:rPr>
        <w:t xml:space="preserve">and other equity risk premium </w:t>
      </w:r>
      <w:r w:rsidRPr="00742879">
        <w:rPr>
          <w:rFonts w:ascii="Times New Roman" w:hAnsi="Times New Roman"/>
          <w:color w:val="000000"/>
          <w:sz w:val="24"/>
          <w:szCs w:val="24"/>
        </w:rPr>
        <w:t xml:space="preserve">estimates of ROE </w:t>
      </w:r>
      <w:r w:rsidR="00742879" w:rsidRPr="00742879">
        <w:rPr>
          <w:rFonts w:ascii="Times New Roman" w:hAnsi="Times New Roman"/>
          <w:color w:val="000000"/>
          <w:sz w:val="24"/>
          <w:szCs w:val="24"/>
        </w:rPr>
        <w:t>understate the cost of equity.</w:t>
      </w:r>
    </w:p>
    <w:p w:rsidR="00734B3E" w:rsidRDefault="004010D4">
      <w:pPr>
        <w:pStyle w:val="FootnoteText"/>
        <w:rPr>
          <w:rFonts w:ascii="Times New Roman" w:hAnsi="Times New Roman"/>
          <w:b/>
          <w:color w:val="000000"/>
          <w:sz w:val="24"/>
          <w:szCs w:val="24"/>
        </w:rPr>
      </w:pPr>
      <w:r w:rsidRPr="004010D4">
        <w:rPr>
          <w:rFonts w:ascii="Times New Roman" w:hAnsi="Times New Roman"/>
          <w:b/>
          <w:color w:val="000000"/>
          <w:sz w:val="24"/>
          <w:szCs w:val="24"/>
        </w:rPr>
        <w:t>Q.</w:t>
      </w:r>
      <w:r w:rsidRPr="004010D4">
        <w:rPr>
          <w:rFonts w:ascii="Times New Roman" w:hAnsi="Times New Roman"/>
          <w:b/>
          <w:color w:val="000000"/>
          <w:sz w:val="24"/>
          <w:szCs w:val="24"/>
        </w:rPr>
        <w:tab/>
        <w:t>Has the Commission acknowledged the diminished usefulness of CAPM in current economic conditions?</w:t>
      </w:r>
    </w:p>
    <w:p w:rsidR="00734B3E" w:rsidRDefault="00271308">
      <w:pPr>
        <w:pStyle w:val="FootnoteText"/>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z w:val="24"/>
          <w:szCs w:val="24"/>
        </w:rPr>
        <w:tab/>
        <w:t>Yes.  In the Commission’s order in the most recent Puget Sound Energy case, the Commission noted that it would accord CAPM results diminished weight</w:t>
      </w:r>
      <w:r w:rsidR="00100543">
        <w:rPr>
          <w:rFonts w:ascii="Times New Roman" w:hAnsi="Times New Roman"/>
          <w:color w:val="000000"/>
          <w:sz w:val="24"/>
          <w:szCs w:val="24"/>
        </w:rPr>
        <w:t xml:space="preserve"> in these unusual financial circumstances</w:t>
      </w:r>
      <w:r>
        <w:rPr>
          <w:rFonts w:ascii="Times New Roman" w:hAnsi="Times New Roman"/>
          <w:color w:val="000000"/>
          <w:sz w:val="24"/>
          <w:szCs w:val="24"/>
        </w:rPr>
        <w:t>.</w:t>
      </w:r>
      <w:r>
        <w:rPr>
          <w:rStyle w:val="FootnoteReference"/>
          <w:rFonts w:ascii="Times New Roman" w:hAnsi="Times New Roman"/>
          <w:color w:val="000000"/>
          <w:szCs w:val="24"/>
        </w:rPr>
        <w:footnoteReference w:id="3"/>
      </w:r>
      <w:r>
        <w:rPr>
          <w:rFonts w:ascii="Times New Roman" w:hAnsi="Times New Roman"/>
          <w:color w:val="000000"/>
          <w:sz w:val="24"/>
          <w:szCs w:val="24"/>
        </w:rPr>
        <w:t xml:space="preserve">   </w:t>
      </w:r>
    </w:p>
    <w:p w:rsidR="006843CC" w:rsidRDefault="006843CC" w:rsidP="006843CC">
      <w:pPr>
        <w:pStyle w:val="FootnoteText"/>
        <w:suppressLineNumbers/>
        <w:rPr>
          <w:rFonts w:ascii="Times New Roman" w:hAnsi="Times New Roman"/>
          <w:color w:val="000000"/>
          <w:sz w:val="24"/>
          <w:szCs w:val="24"/>
        </w:rPr>
      </w:pPr>
    </w:p>
    <w:p w:rsidR="00A75AE4" w:rsidRPr="00F424BA" w:rsidRDefault="00A75AE4" w:rsidP="00A75AE4">
      <w:pPr>
        <w:pStyle w:val="FootnoteText"/>
        <w:rPr>
          <w:rFonts w:ascii="Times New Roman" w:hAnsi="Times New Roman"/>
          <w:b/>
          <w:color w:val="000000"/>
          <w:sz w:val="24"/>
          <w:szCs w:val="24"/>
        </w:rPr>
      </w:pPr>
      <w:r w:rsidRPr="00F424BA">
        <w:rPr>
          <w:rFonts w:ascii="Times New Roman" w:hAnsi="Times New Roman"/>
          <w:b/>
          <w:color w:val="000000"/>
          <w:sz w:val="24"/>
          <w:szCs w:val="24"/>
        </w:rPr>
        <w:t>Q.</w:t>
      </w:r>
      <w:r w:rsidRPr="00F424BA">
        <w:rPr>
          <w:rFonts w:ascii="Times New Roman" w:hAnsi="Times New Roman"/>
          <w:b/>
          <w:color w:val="000000"/>
          <w:sz w:val="24"/>
          <w:szCs w:val="24"/>
        </w:rPr>
        <w:tab/>
        <w:t>Do many of these same issue</w:t>
      </w:r>
      <w:r w:rsidR="00F424BA">
        <w:rPr>
          <w:rFonts w:ascii="Times New Roman" w:hAnsi="Times New Roman"/>
          <w:b/>
          <w:color w:val="000000"/>
          <w:sz w:val="24"/>
          <w:szCs w:val="24"/>
        </w:rPr>
        <w:t>s</w:t>
      </w:r>
      <w:r w:rsidRPr="00F424BA">
        <w:rPr>
          <w:rFonts w:ascii="Times New Roman" w:hAnsi="Times New Roman"/>
          <w:b/>
          <w:color w:val="000000"/>
          <w:sz w:val="24"/>
          <w:szCs w:val="24"/>
        </w:rPr>
        <w:t xml:space="preserve"> affect </w:t>
      </w:r>
      <w:r w:rsidR="00F424BA" w:rsidRPr="00F424BA">
        <w:rPr>
          <w:rFonts w:ascii="Times New Roman" w:hAnsi="Times New Roman"/>
          <w:b/>
          <w:color w:val="000000"/>
          <w:sz w:val="24"/>
          <w:szCs w:val="24"/>
        </w:rPr>
        <w:t>tradition</w:t>
      </w:r>
      <w:r w:rsidR="004010D4" w:rsidRPr="006843CC">
        <w:rPr>
          <w:rFonts w:ascii="Times New Roman" w:hAnsi="Times New Roman"/>
          <w:b/>
          <w:color w:val="000000"/>
          <w:sz w:val="24"/>
          <w:szCs w:val="24"/>
        </w:rPr>
        <w:t>al</w:t>
      </w:r>
      <w:r w:rsidR="00F424BA" w:rsidRPr="00F424BA">
        <w:rPr>
          <w:rFonts w:ascii="Times New Roman" w:hAnsi="Times New Roman"/>
          <w:b/>
          <w:color w:val="000000"/>
          <w:sz w:val="24"/>
          <w:szCs w:val="24"/>
        </w:rPr>
        <w:t xml:space="preserve"> bond-yield plus equity-risk premium estimates of ROE?</w:t>
      </w:r>
    </w:p>
    <w:p w:rsidR="00F424BA" w:rsidRDefault="00F424BA" w:rsidP="00A75AE4">
      <w:pPr>
        <w:pStyle w:val="FootnoteText"/>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t xml:space="preserve">Yes.  </w:t>
      </w:r>
      <w:r w:rsidR="002A2EEF">
        <w:rPr>
          <w:rFonts w:ascii="Times New Roman" w:hAnsi="Times New Roman"/>
          <w:color w:val="000000"/>
          <w:sz w:val="24"/>
          <w:szCs w:val="24"/>
        </w:rPr>
        <w:t xml:space="preserve">Government and utility bond interest rates are </w:t>
      </w:r>
      <w:r w:rsidR="009B4A02">
        <w:rPr>
          <w:rFonts w:ascii="Times New Roman" w:hAnsi="Times New Roman"/>
          <w:color w:val="000000"/>
          <w:sz w:val="24"/>
          <w:szCs w:val="24"/>
        </w:rPr>
        <w:t xml:space="preserve">typically </w:t>
      </w:r>
      <w:r w:rsidR="002A2EEF">
        <w:rPr>
          <w:rFonts w:ascii="Times New Roman" w:hAnsi="Times New Roman"/>
          <w:color w:val="000000"/>
          <w:sz w:val="24"/>
          <w:szCs w:val="24"/>
        </w:rPr>
        <w:t xml:space="preserve">the foundation for </w:t>
      </w:r>
      <w:r>
        <w:rPr>
          <w:rFonts w:ascii="Times New Roman" w:hAnsi="Times New Roman"/>
          <w:color w:val="000000"/>
          <w:sz w:val="24"/>
          <w:szCs w:val="24"/>
        </w:rPr>
        <w:t>traditional equity risk premium models</w:t>
      </w:r>
      <w:r w:rsidR="009B4A02">
        <w:rPr>
          <w:rFonts w:ascii="Times New Roman" w:hAnsi="Times New Roman"/>
          <w:color w:val="000000"/>
          <w:sz w:val="24"/>
          <w:szCs w:val="24"/>
        </w:rPr>
        <w:t>.  To the extent that such rates are</w:t>
      </w:r>
      <w:r>
        <w:rPr>
          <w:rFonts w:ascii="Times New Roman" w:hAnsi="Times New Roman"/>
          <w:color w:val="000000"/>
          <w:sz w:val="24"/>
          <w:szCs w:val="24"/>
        </w:rPr>
        <w:t xml:space="preserve"> artificially </w:t>
      </w:r>
      <w:r w:rsidR="009B4A02">
        <w:rPr>
          <w:rFonts w:ascii="Times New Roman" w:hAnsi="Times New Roman"/>
          <w:color w:val="000000"/>
          <w:sz w:val="24"/>
          <w:szCs w:val="24"/>
        </w:rPr>
        <w:t>reduced by</w:t>
      </w:r>
      <w:r>
        <w:rPr>
          <w:rFonts w:ascii="Times New Roman" w:hAnsi="Times New Roman"/>
          <w:color w:val="000000"/>
          <w:sz w:val="24"/>
          <w:szCs w:val="24"/>
        </w:rPr>
        <w:t xml:space="preserve"> </w:t>
      </w:r>
      <w:r w:rsidR="009B4A02">
        <w:rPr>
          <w:rFonts w:ascii="Times New Roman" w:hAnsi="Times New Roman"/>
          <w:color w:val="000000"/>
          <w:sz w:val="24"/>
          <w:szCs w:val="24"/>
        </w:rPr>
        <w:t xml:space="preserve">the </w:t>
      </w:r>
      <w:r>
        <w:rPr>
          <w:rFonts w:ascii="Times New Roman" w:hAnsi="Times New Roman"/>
          <w:color w:val="000000"/>
          <w:sz w:val="24"/>
          <w:szCs w:val="24"/>
        </w:rPr>
        <w:t>government</w:t>
      </w:r>
      <w:r w:rsidR="003C18EA">
        <w:rPr>
          <w:rFonts w:ascii="Times New Roman" w:hAnsi="Times New Roman"/>
          <w:color w:val="000000"/>
          <w:sz w:val="24"/>
          <w:szCs w:val="24"/>
        </w:rPr>
        <w:t>’</w:t>
      </w:r>
      <w:r w:rsidR="009B4A02">
        <w:rPr>
          <w:rFonts w:ascii="Times New Roman" w:hAnsi="Times New Roman"/>
          <w:color w:val="000000"/>
          <w:sz w:val="24"/>
          <w:szCs w:val="24"/>
        </w:rPr>
        <w:t>s</w:t>
      </w:r>
      <w:r>
        <w:rPr>
          <w:rFonts w:ascii="Times New Roman" w:hAnsi="Times New Roman"/>
          <w:color w:val="000000"/>
          <w:sz w:val="24"/>
          <w:szCs w:val="24"/>
        </w:rPr>
        <w:t xml:space="preserve"> </w:t>
      </w:r>
      <w:r w:rsidR="009B4A02">
        <w:rPr>
          <w:rFonts w:ascii="Times New Roman" w:hAnsi="Times New Roman"/>
          <w:color w:val="000000"/>
          <w:sz w:val="24"/>
          <w:szCs w:val="24"/>
        </w:rPr>
        <w:t xml:space="preserve">expansive monetary policy, </w:t>
      </w:r>
      <w:r>
        <w:rPr>
          <w:rFonts w:ascii="Times New Roman" w:hAnsi="Times New Roman"/>
          <w:color w:val="000000"/>
          <w:sz w:val="24"/>
          <w:szCs w:val="24"/>
        </w:rPr>
        <w:t xml:space="preserve">risk premium estimates of ROE </w:t>
      </w:r>
      <w:r w:rsidR="009B4A02">
        <w:rPr>
          <w:rFonts w:ascii="Times New Roman" w:hAnsi="Times New Roman"/>
          <w:color w:val="000000"/>
          <w:sz w:val="24"/>
          <w:szCs w:val="24"/>
        </w:rPr>
        <w:t>will be</w:t>
      </w:r>
      <w:r>
        <w:rPr>
          <w:rFonts w:ascii="Times New Roman" w:hAnsi="Times New Roman"/>
          <w:color w:val="000000"/>
          <w:sz w:val="24"/>
          <w:szCs w:val="24"/>
        </w:rPr>
        <w:t xml:space="preserve"> understated.</w:t>
      </w:r>
      <w:r w:rsidR="001E38BC">
        <w:rPr>
          <w:rFonts w:ascii="Times New Roman" w:hAnsi="Times New Roman"/>
          <w:color w:val="000000"/>
          <w:sz w:val="24"/>
          <w:szCs w:val="24"/>
        </w:rPr>
        <w:t xml:space="preserve"> </w:t>
      </w:r>
      <w:r w:rsidR="009B4A02">
        <w:rPr>
          <w:rFonts w:ascii="Times New Roman" w:hAnsi="Times New Roman"/>
          <w:color w:val="000000"/>
          <w:sz w:val="24"/>
          <w:szCs w:val="24"/>
        </w:rPr>
        <w:t xml:space="preserve"> The wide divergence between DCF model results and equity risk premium results is a reflection of this condition.  While there is no model to measure the wider equity risk premiums that would be required to balance this anomaly, it is clear that both the CAPM and traditional equity risk premium models currently understate the cost of equity capital.</w:t>
      </w:r>
    </w:p>
    <w:p w:rsidR="00637AD6" w:rsidRPr="00637AD6" w:rsidRDefault="00637AD6" w:rsidP="00637AD6">
      <w:pPr>
        <w:pStyle w:val="FootnoteText"/>
        <w:rPr>
          <w:rFonts w:ascii="Times New Roman" w:hAnsi="Times New Roman"/>
          <w:b/>
          <w:color w:val="000000"/>
          <w:sz w:val="24"/>
          <w:szCs w:val="24"/>
        </w:rPr>
      </w:pPr>
      <w:r w:rsidRPr="00637AD6">
        <w:rPr>
          <w:rFonts w:ascii="Times New Roman" w:hAnsi="Times New Roman"/>
          <w:b/>
          <w:color w:val="000000"/>
          <w:sz w:val="24"/>
          <w:szCs w:val="24"/>
        </w:rPr>
        <w:t>Rebuttal of Staff Witness Elgin</w:t>
      </w:r>
    </w:p>
    <w:p w:rsidR="00BD21FE" w:rsidRPr="000D3232" w:rsidRDefault="00BD21FE" w:rsidP="00BD21FE">
      <w:pPr>
        <w:pStyle w:val="EntergyQuestion"/>
        <w:jc w:val="left"/>
        <w:rPr>
          <w:rFonts w:ascii="Times New Roman" w:hAnsi="Times New Roman" w:cs="Times New Roman"/>
          <w:b/>
        </w:rPr>
      </w:pPr>
      <w:r w:rsidRPr="000D3232">
        <w:rPr>
          <w:rFonts w:ascii="Times New Roman" w:hAnsi="Times New Roman" w:cs="Times New Roman"/>
          <w:b/>
          <w:caps w:val="0"/>
        </w:rPr>
        <w:t>Q</w:t>
      </w:r>
      <w:r>
        <w:rPr>
          <w:rFonts w:ascii="Times New Roman" w:hAnsi="Times New Roman" w:cs="Times New Roman"/>
          <w:b/>
          <w:caps w:val="0"/>
        </w:rPr>
        <w:t>.</w:t>
      </w:r>
      <w:r w:rsidRPr="000D3232">
        <w:rPr>
          <w:rFonts w:ascii="Times New Roman" w:hAnsi="Times New Roman" w:cs="Times New Roman"/>
          <w:b/>
          <w:caps w:val="0"/>
        </w:rPr>
        <w:tab/>
        <w:t xml:space="preserve">What is the basis for Mr. </w:t>
      </w:r>
      <w:r>
        <w:rPr>
          <w:rFonts w:ascii="Times New Roman" w:hAnsi="Times New Roman" w:cs="Times New Roman"/>
          <w:b/>
          <w:caps w:val="0"/>
        </w:rPr>
        <w:t>Elgin</w:t>
      </w:r>
      <w:r w:rsidR="003C18EA">
        <w:rPr>
          <w:rFonts w:ascii="Times New Roman" w:hAnsi="Times New Roman" w:cs="Times New Roman"/>
          <w:b/>
          <w:caps w:val="0"/>
        </w:rPr>
        <w:t>’</w:t>
      </w:r>
      <w:r>
        <w:rPr>
          <w:rFonts w:ascii="Times New Roman" w:hAnsi="Times New Roman" w:cs="Times New Roman"/>
          <w:b/>
          <w:caps w:val="0"/>
        </w:rPr>
        <w:t>s</w:t>
      </w:r>
      <w:r w:rsidRPr="000D3232">
        <w:rPr>
          <w:rFonts w:ascii="Times New Roman" w:hAnsi="Times New Roman" w:cs="Times New Roman"/>
          <w:b/>
        </w:rPr>
        <w:t xml:space="preserve"> 9.</w:t>
      </w:r>
      <w:r>
        <w:rPr>
          <w:rFonts w:ascii="Times New Roman" w:hAnsi="Times New Roman" w:cs="Times New Roman"/>
          <w:b/>
        </w:rPr>
        <w:t>5</w:t>
      </w:r>
      <w:r w:rsidRPr="000D3232">
        <w:rPr>
          <w:rFonts w:ascii="Times New Roman" w:hAnsi="Times New Roman" w:cs="Times New Roman"/>
          <w:b/>
        </w:rPr>
        <w:t>0</w:t>
      </w:r>
      <w:r>
        <w:rPr>
          <w:rFonts w:ascii="Times New Roman" w:hAnsi="Times New Roman" w:cs="Times New Roman"/>
          <w:b/>
          <w:caps w:val="0"/>
        </w:rPr>
        <w:t xml:space="preserve"> percent ROE</w:t>
      </w:r>
      <w:r w:rsidRPr="000D3232">
        <w:rPr>
          <w:rFonts w:ascii="Times New Roman" w:hAnsi="Times New Roman" w:cs="Times New Roman"/>
          <w:b/>
          <w:caps w:val="0"/>
        </w:rPr>
        <w:t>?</w:t>
      </w:r>
    </w:p>
    <w:p w:rsidR="00BD21FE" w:rsidRDefault="00BD21FE" w:rsidP="00BD21FE">
      <w:pPr>
        <w:pStyle w:val="EntergyTestimony"/>
        <w:jc w:val="left"/>
        <w:rPr>
          <w:rFonts w:ascii="Times New Roman" w:hAnsi="Times New Roman" w:cs="Times New Roman"/>
        </w:rPr>
      </w:pPr>
      <w:r w:rsidRPr="003805B3">
        <w:rPr>
          <w:rFonts w:ascii="Times New Roman" w:hAnsi="Times New Roman" w:cs="Times New Roman"/>
        </w:rPr>
        <w:t>A</w:t>
      </w:r>
      <w:r w:rsidRPr="003805B3">
        <w:rPr>
          <w:rFonts w:ascii="Times New Roman" w:hAnsi="Times New Roman" w:cs="Times New Roman"/>
        </w:rPr>
        <w:tab/>
        <w:t xml:space="preserve">Mr. </w:t>
      </w:r>
      <w:r>
        <w:rPr>
          <w:rFonts w:ascii="Times New Roman" w:hAnsi="Times New Roman" w:cs="Times New Roman"/>
        </w:rPr>
        <w:t>Elgin</w:t>
      </w:r>
      <w:r w:rsidRPr="003805B3">
        <w:rPr>
          <w:rFonts w:ascii="Times New Roman" w:hAnsi="Times New Roman" w:cs="Times New Roman"/>
        </w:rPr>
        <w:t xml:space="preserve"> </w:t>
      </w:r>
      <w:r>
        <w:rPr>
          <w:rFonts w:ascii="Times New Roman" w:hAnsi="Times New Roman" w:cs="Times New Roman"/>
        </w:rPr>
        <w:t xml:space="preserve">relies primarily on the traditional constant growth DCF model.  As a check on his DCF results, he also </w:t>
      </w:r>
      <w:r w:rsidRPr="003805B3">
        <w:rPr>
          <w:rFonts w:ascii="Times New Roman" w:hAnsi="Times New Roman" w:cs="Times New Roman"/>
        </w:rPr>
        <w:t xml:space="preserve">performs CAPM </w:t>
      </w:r>
      <w:r>
        <w:rPr>
          <w:rFonts w:ascii="Times New Roman" w:hAnsi="Times New Roman" w:cs="Times New Roman"/>
        </w:rPr>
        <w:t xml:space="preserve">and risk premium </w:t>
      </w:r>
      <w:r w:rsidRPr="003805B3">
        <w:rPr>
          <w:rFonts w:ascii="Times New Roman" w:hAnsi="Times New Roman" w:cs="Times New Roman"/>
        </w:rPr>
        <w:t xml:space="preserve">analyses. </w:t>
      </w:r>
      <w:r>
        <w:rPr>
          <w:rFonts w:ascii="Times New Roman" w:hAnsi="Times New Roman" w:cs="Times New Roman"/>
        </w:rPr>
        <w:t xml:space="preserve">(Elgin Direct </w:t>
      </w:r>
      <w:r w:rsidR="00AF3EAF">
        <w:rPr>
          <w:rFonts w:ascii="Times New Roman" w:hAnsi="Times New Roman" w:cs="Times New Roman"/>
        </w:rPr>
        <w:t>at</w:t>
      </w:r>
      <w:r>
        <w:rPr>
          <w:rFonts w:ascii="Times New Roman" w:hAnsi="Times New Roman" w:cs="Times New Roman"/>
        </w:rPr>
        <w:t xml:space="preserve"> 6, lines 10-20.) </w:t>
      </w:r>
      <w:r w:rsidRPr="003805B3">
        <w:rPr>
          <w:rFonts w:ascii="Times New Roman" w:hAnsi="Times New Roman" w:cs="Times New Roman"/>
        </w:rPr>
        <w:t xml:space="preserve"> </w:t>
      </w:r>
      <w:r>
        <w:rPr>
          <w:rFonts w:ascii="Times New Roman" w:hAnsi="Times New Roman" w:cs="Times New Roman"/>
        </w:rPr>
        <w:t>From</w:t>
      </w:r>
      <w:r w:rsidRPr="003805B3">
        <w:rPr>
          <w:rFonts w:ascii="Times New Roman" w:hAnsi="Times New Roman" w:cs="Times New Roman"/>
        </w:rPr>
        <w:t xml:space="preserve"> his DCF analysis, he finds a range of </w:t>
      </w:r>
      <w:r>
        <w:rPr>
          <w:rFonts w:ascii="Times New Roman" w:hAnsi="Times New Roman" w:cs="Times New Roman"/>
        </w:rPr>
        <w:t>9.0</w:t>
      </w:r>
      <w:r w:rsidRPr="003805B3">
        <w:rPr>
          <w:rFonts w:ascii="Times New Roman" w:hAnsi="Times New Roman" w:cs="Times New Roman"/>
        </w:rPr>
        <w:t xml:space="preserve"> percent to </w:t>
      </w:r>
      <w:r>
        <w:rPr>
          <w:rFonts w:ascii="Times New Roman" w:hAnsi="Times New Roman" w:cs="Times New Roman"/>
        </w:rPr>
        <w:t>9.75</w:t>
      </w:r>
      <w:r w:rsidRPr="003805B3">
        <w:rPr>
          <w:rFonts w:ascii="Times New Roman" w:hAnsi="Times New Roman" w:cs="Times New Roman"/>
        </w:rPr>
        <w:t xml:space="preserve"> percent. </w:t>
      </w:r>
      <w:r w:rsidR="002464E9">
        <w:rPr>
          <w:rFonts w:ascii="Times New Roman" w:hAnsi="Times New Roman" w:cs="Times New Roman"/>
        </w:rPr>
        <w:t xml:space="preserve">(Elgin Direct at 38, line 15.) </w:t>
      </w:r>
      <w:r w:rsidRPr="003805B3">
        <w:rPr>
          <w:rFonts w:ascii="Times New Roman" w:hAnsi="Times New Roman" w:cs="Times New Roman"/>
        </w:rPr>
        <w:t xml:space="preserve"> </w:t>
      </w:r>
      <w:r>
        <w:rPr>
          <w:rFonts w:ascii="Times New Roman" w:hAnsi="Times New Roman" w:cs="Times New Roman"/>
        </w:rPr>
        <w:t>His CAPM produces a range of 8.3 percent to 9.7 percent, with an average of 9.0 percent</w:t>
      </w:r>
      <w:r w:rsidR="00100543">
        <w:rPr>
          <w:rFonts w:ascii="Times New Roman" w:hAnsi="Times New Roman" w:cs="Times New Roman"/>
        </w:rPr>
        <w:t>,</w:t>
      </w:r>
      <w:r w:rsidR="006E6D28">
        <w:rPr>
          <w:rFonts w:ascii="Times New Roman" w:hAnsi="Times New Roman" w:cs="Times New Roman"/>
        </w:rPr>
        <w:t xml:space="preserve"> (Elgin Direct at 43, lines 13-16.)</w:t>
      </w:r>
      <w:r w:rsidR="006E6D28" w:rsidRPr="006E6D28">
        <w:rPr>
          <w:rStyle w:val="FootnoteReference"/>
          <w:rFonts w:ascii="Times New Roman" w:hAnsi="Times New Roman" w:cs="Times New Roman"/>
        </w:rPr>
        <w:t xml:space="preserve"> </w:t>
      </w:r>
      <w:r w:rsidR="00100543">
        <w:rPr>
          <w:rFonts w:ascii="Times New Roman" w:hAnsi="Times New Roman" w:cs="Times New Roman"/>
        </w:rPr>
        <w:t xml:space="preserve">but </w:t>
      </w:r>
      <w:r w:rsidR="00D35452" w:rsidRPr="006E6D28">
        <w:rPr>
          <w:rFonts w:ascii="Times New Roman" w:hAnsi="Times New Roman"/>
        </w:rPr>
        <w:t>Mr. Elgin recommend</w:t>
      </w:r>
      <w:r w:rsidR="00100543">
        <w:rPr>
          <w:rFonts w:ascii="Times New Roman" w:hAnsi="Times New Roman"/>
        </w:rPr>
        <w:t>s against</w:t>
      </w:r>
      <w:r w:rsidR="00B5066A">
        <w:rPr>
          <w:rFonts w:ascii="Times New Roman" w:hAnsi="Times New Roman"/>
        </w:rPr>
        <w:t xml:space="preserve"> </w:t>
      </w:r>
      <w:r w:rsidR="00D35452" w:rsidRPr="006E6D28">
        <w:rPr>
          <w:rFonts w:ascii="Times New Roman" w:hAnsi="Times New Roman"/>
        </w:rPr>
        <w:t>high</w:t>
      </w:r>
      <w:r w:rsidR="006E6D28">
        <w:rPr>
          <w:rFonts w:ascii="Times New Roman" w:hAnsi="Times New Roman" w:cs="Times New Roman"/>
        </w:rPr>
        <w:t xml:space="preserve"> </w:t>
      </w:r>
      <w:r w:rsidR="00D35452" w:rsidRPr="006E6D28">
        <w:rPr>
          <w:rFonts w:ascii="Times New Roman" w:hAnsi="Times New Roman"/>
        </w:rPr>
        <w:t>reliance on the CAPM. (Elgin Direct at 44, lines 3-5.)</w:t>
      </w:r>
      <w:r w:rsidR="00D35452">
        <w:rPr>
          <w:rFonts w:ascii="Times New Roman" w:hAnsi="Times New Roman"/>
        </w:rPr>
        <w:t xml:space="preserve"> </w:t>
      </w:r>
      <w:r w:rsidR="006843CC">
        <w:rPr>
          <w:rFonts w:ascii="Times New Roman" w:hAnsi="Times New Roman"/>
        </w:rPr>
        <w:t xml:space="preserve"> </w:t>
      </w:r>
      <w:r w:rsidR="00455600">
        <w:rPr>
          <w:rFonts w:ascii="Times New Roman" w:hAnsi="Times New Roman" w:cs="Times New Roman"/>
        </w:rPr>
        <w:t>While h</w:t>
      </w:r>
      <w:r w:rsidR="00AD2FAF">
        <w:rPr>
          <w:rFonts w:ascii="Times New Roman" w:hAnsi="Times New Roman" w:cs="Times New Roman"/>
        </w:rPr>
        <w:t>e does not provide an independent risk premium estimate of ROE, he concludes that his DCF range produces a</w:t>
      </w:r>
      <w:r w:rsidR="00455600">
        <w:rPr>
          <w:rFonts w:ascii="Times New Roman" w:hAnsi="Times New Roman" w:cs="Times New Roman"/>
        </w:rPr>
        <w:t>n appropriate risk premium, relative to PacifiCorp</w:t>
      </w:r>
      <w:r w:rsidR="008E4E51">
        <w:rPr>
          <w:rFonts w:ascii="Times New Roman" w:hAnsi="Times New Roman" w:cs="Times New Roman"/>
        </w:rPr>
        <w:t>’</w:t>
      </w:r>
      <w:r w:rsidR="00455600">
        <w:rPr>
          <w:rFonts w:ascii="Times New Roman" w:hAnsi="Times New Roman" w:cs="Times New Roman"/>
        </w:rPr>
        <w:t xml:space="preserve">s cost of debt, in the range </w:t>
      </w:r>
      <w:r w:rsidR="00AD2FAF">
        <w:rPr>
          <w:rFonts w:ascii="Times New Roman" w:hAnsi="Times New Roman" w:cs="Times New Roman"/>
        </w:rPr>
        <w:t>of 300 to 375 basis points</w:t>
      </w:r>
      <w:r w:rsidR="00455600">
        <w:rPr>
          <w:rFonts w:ascii="Times New Roman" w:hAnsi="Times New Roman" w:cs="Times New Roman"/>
        </w:rPr>
        <w:t>.</w:t>
      </w:r>
      <w:r w:rsidR="00AD2FAF">
        <w:rPr>
          <w:rFonts w:ascii="Times New Roman" w:hAnsi="Times New Roman" w:cs="Times New Roman"/>
        </w:rPr>
        <w:t xml:space="preserve"> (Elgin Direct at 46, lines 12-16.)  </w:t>
      </w:r>
    </w:p>
    <w:p w:rsidR="006843CC" w:rsidRDefault="006843CC" w:rsidP="006843CC">
      <w:pPr>
        <w:pStyle w:val="EntergyTestimony"/>
        <w:suppressLineNumbers/>
        <w:jc w:val="left"/>
        <w:rPr>
          <w:rFonts w:ascii="Times New Roman" w:hAnsi="Times New Roman" w:cs="Times New Roman"/>
        </w:rPr>
      </w:pPr>
    </w:p>
    <w:p w:rsidR="00BD21FE" w:rsidRPr="003805B3" w:rsidRDefault="00BD21FE" w:rsidP="00023F7F">
      <w:pPr>
        <w:pStyle w:val="EntergyTestimony"/>
        <w:jc w:val="left"/>
        <w:rPr>
          <w:rFonts w:ascii="Times New Roman" w:hAnsi="Times New Roman" w:cs="Times New Roman"/>
          <w:b/>
        </w:rPr>
      </w:pPr>
      <w:r w:rsidRPr="003805B3">
        <w:rPr>
          <w:rFonts w:ascii="Times New Roman" w:hAnsi="Times New Roman" w:cs="Times New Roman"/>
          <w:b/>
        </w:rPr>
        <w:t>Q</w:t>
      </w:r>
      <w:r w:rsidR="00023F7F">
        <w:rPr>
          <w:rFonts w:ascii="Times New Roman" w:hAnsi="Times New Roman" w:cs="Times New Roman"/>
          <w:b/>
        </w:rPr>
        <w:t>.</w:t>
      </w:r>
      <w:r w:rsidRPr="003805B3">
        <w:rPr>
          <w:rFonts w:ascii="Times New Roman" w:hAnsi="Times New Roman" w:cs="Times New Roman"/>
          <w:b/>
        </w:rPr>
        <w:tab/>
        <w:t xml:space="preserve">What is your </w:t>
      </w:r>
      <w:r w:rsidR="00AF3EAF">
        <w:rPr>
          <w:rFonts w:ascii="Times New Roman" w:hAnsi="Times New Roman" w:cs="Times New Roman"/>
          <w:b/>
        </w:rPr>
        <w:t xml:space="preserve">general </w:t>
      </w:r>
      <w:r w:rsidR="00CA3B2B">
        <w:rPr>
          <w:rFonts w:ascii="Times New Roman" w:hAnsi="Times New Roman" w:cs="Times New Roman"/>
          <w:b/>
        </w:rPr>
        <w:t>impression of</w:t>
      </w:r>
      <w:r w:rsidRPr="003805B3">
        <w:rPr>
          <w:rFonts w:ascii="Times New Roman" w:hAnsi="Times New Roman" w:cs="Times New Roman"/>
          <w:b/>
        </w:rPr>
        <w:t xml:space="preserve"> Mr. </w:t>
      </w:r>
      <w:r w:rsidR="00AF3EAF">
        <w:rPr>
          <w:rFonts w:ascii="Times New Roman" w:hAnsi="Times New Roman" w:cs="Times New Roman"/>
          <w:b/>
        </w:rPr>
        <w:t>Elgin</w:t>
      </w:r>
      <w:r w:rsidR="003C18EA">
        <w:rPr>
          <w:rFonts w:ascii="Times New Roman" w:hAnsi="Times New Roman" w:cs="Times New Roman"/>
          <w:b/>
        </w:rPr>
        <w:t>’</w:t>
      </w:r>
      <w:r w:rsidR="00AF3EAF">
        <w:rPr>
          <w:rFonts w:ascii="Times New Roman" w:hAnsi="Times New Roman" w:cs="Times New Roman"/>
          <w:b/>
        </w:rPr>
        <w:t>s</w:t>
      </w:r>
      <w:r>
        <w:rPr>
          <w:rFonts w:ascii="Times New Roman" w:hAnsi="Times New Roman" w:cs="Times New Roman"/>
          <w:b/>
        </w:rPr>
        <w:t xml:space="preserve"> </w:t>
      </w:r>
      <w:r w:rsidR="00CA3B2B">
        <w:rPr>
          <w:rFonts w:ascii="Times New Roman" w:hAnsi="Times New Roman" w:cs="Times New Roman"/>
          <w:b/>
        </w:rPr>
        <w:t>testimony</w:t>
      </w:r>
      <w:r w:rsidRPr="003805B3">
        <w:rPr>
          <w:rFonts w:ascii="Times New Roman" w:hAnsi="Times New Roman" w:cs="Times New Roman"/>
          <w:b/>
        </w:rPr>
        <w:t>?</w:t>
      </w:r>
    </w:p>
    <w:p w:rsidR="00BD21FE" w:rsidRDefault="00023F7F" w:rsidP="007814BA">
      <w:pPr>
        <w:pStyle w:val="EntergyTestimony"/>
        <w:jc w:val="left"/>
        <w:rPr>
          <w:rFonts w:ascii="Times New Roman" w:hAnsi="Times New Roman" w:cs="Times New Roman"/>
        </w:rPr>
      </w:pPr>
      <w:r>
        <w:rPr>
          <w:rFonts w:ascii="Times New Roman" w:hAnsi="Times New Roman" w:cs="Times New Roman"/>
        </w:rPr>
        <w:t>A.</w:t>
      </w:r>
      <w:r w:rsidR="00BD21FE">
        <w:rPr>
          <w:rFonts w:ascii="Times New Roman" w:hAnsi="Times New Roman" w:cs="Times New Roman"/>
        </w:rPr>
        <w:tab/>
        <w:t xml:space="preserve">I disagree with </w:t>
      </w:r>
      <w:r w:rsidR="008A238F">
        <w:rPr>
          <w:rFonts w:ascii="Times New Roman" w:hAnsi="Times New Roman" w:cs="Times New Roman"/>
        </w:rPr>
        <w:t>Mr. Elgin’s</w:t>
      </w:r>
      <w:r w:rsidR="00BD21FE">
        <w:rPr>
          <w:rFonts w:ascii="Times New Roman" w:hAnsi="Times New Roman" w:cs="Times New Roman"/>
        </w:rPr>
        <w:t xml:space="preserve"> methods</w:t>
      </w:r>
      <w:r>
        <w:rPr>
          <w:rFonts w:ascii="Times New Roman" w:hAnsi="Times New Roman" w:cs="Times New Roman"/>
        </w:rPr>
        <w:t>,</w:t>
      </w:r>
      <w:r w:rsidR="00BD21FE">
        <w:rPr>
          <w:rFonts w:ascii="Times New Roman" w:hAnsi="Times New Roman" w:cs="Times New Roman"/>
        </w:rPr>
        <w:t xml:space="preserve"> and </w:t>
      </w:r>
      <w:r>
        <w:rPr>
          <w:rFonts w:ascii="Times New Roman" w:hAnsi="Times New Roman" w:cs="Times New Roman"/>
        </w:rPr>
        <w:t xml:space="preserve">I </w:t>
      </w:r>
      <w:r w:rsidR="00AF3EAF">
        <w:rPr>
          <w:rFonts w:ascii="Times New Roman" w:hAnsi="Times New Roman" w:cs="Times New Roman"/>
        </w:rPr>
        <w:t xml:space="preserve">especially </w:t>
      </w:r>
      <w:r>
        <w:rPr>
          <w:rFonts w:ascii="Times New Roman" w:hAnsi="Times New Roman" w:cs="Times New Roman"/>
        </w:rPr>
        <w:t xml:space="preserve">disagree </w:t>
      </w:r>
      <w:r w:rsidR="00BD21FE">
        <w:rPr>
          <w:rFonts w:ascii="Times New Roman" w:hAnsi="Times New Roman" w:cs="Times New Roman"/>
        </w:rPr>
        <w:t xml:space="preserve">with his subjective </w:t>
      </w:r>
      <w:r>
        <w:rPr>
          <w:rFonts w:ascii="Times New Roman" w:hAnsi="Times New Roman" w:cs="Times New Roman"/>
        </w:rPr>
        <w:t xml:space="preserve">data </w:t>
      </w:r>
      <w:r w:rsidR="00BD21FE">
        <w:rPr>
          <w:rFonts w:ascii="Times New Roman" w:hAnsi="Times New Roman" w:cs="Times New Roman"/>
        </w:rPr>
        <w:t>selection</w:t>
      </w:r>
      <w:r>
        <w:rPr>
          <w:rFonts w:ascii="Times New Roman" w:hAnsi="Times New Roman" w:cs="Times New Roman"/>
        </w:rPr>
        <w:t>s.</w:t>
      </w:r>
      <w:r w:rsidR="00BD21FE">
        <w:rPr>
          <w:rFonts w:ascii="Times New Roman" w:hAnsi="Times New Roman" w:cs="Times New Roman"/>
        </w:rPr>
        <w:t xml:space="preserve"> </w:t>
      </w:r>
      <w:r>
        <w:rPr>
          <w:rFonts w:ascii="Times New Roman" w:hAnsi="Times New Roman" w:cs="Times New Roman"/>
        </w:rPr>
        <w:t xml:space="preserve"> </w:t>
      </w:r>
      <w:r w:rsidR="007814BA">
        <w:rPr>
          <w:rFonts w:ascii="Times New Roman" w:hAnsi="Times New Roman" w:cs="Times New Roman"/>
        </w:rPr>
        <w:t>His proxy group, made up of only seven companies, is too small to be statistically reliable</w:t>
      </w:r>
      <w:r w:rsidR="00CA3B2B">
        <w:rPr>
          <w:rFonts w:ascii="Times New Roman" w:hAnsi="Times New Roman" w:cs="Times New Roman"/>
        </w:rPr>
        <w:t xml:space="preserve">, and, as </w:t>
      </w:r>
      <w:r w:rsidR="007814BA">
        <w:rPr>
          <w:rFonts w:ascii="Times New Roman" w:hAnsi="Times New Roman" w:cs="Times New Roman"/>
        </w:rPr>
        <w:t xml:space="preserve">is obvious from </w:t>
      </w:r>
      <w:r w:rsidR="00CA3B2B">
        <w:rPr>
          <w:rFonts w:ascii="Times New Roman" w:hAnsi="Times New Roman" w:cs="Times New Roman"/>
        </w:rPr>
        <w:t>his own discussion</w:t>
      </w:r>
      <w:r w:rsidR="007814BA">
        <w:rPr>
          <w:rFonts w:ascii="Times New Roman" w:hAnsi="Times New Roman" w:cs="Times New Roman"/>
        </w:rPr>
        <w:t xml:space="preserve">, </w:t>
      </w:r>
      <w:r w:rsidR="007814BA" w:rsidRPr="006843CC">
        <w:rPr>
          <w:rFonts w:ascii="Times New Roman" w:hAnsi="Times New Roman" w:cs="Times New Roman"/>
        </w:rPr>
        <w:t>i</w:t>
      </w:r>
      <w:r w:rsidR="004010D4" w:rsidRPr="006843CC">
        <w:rPr>
          <w:rFonts w:ascii="Times New Roman" w:hAnsi="Times New Roman" w:cs="Times New Roman"/>
        </w:rPr>
        <w:t>s</w:t>
      </w:r>
      <w:r w:rsidR="007814BA">
        <w:rPr>
          <w:rFonts w:ascii="Times New Roman" w:hAnsi="Times New Roman" w:cs="Times New Roman"/>
        </w:rPr>
        <w:t xml:space="preserve"> such a small group one or two companies can entirely skew the results.  In fact, there is no reason </w:t>
      </w:r>
      <w:r w:rsidR="00455600">
        <w:rPr>
          <w:rFonts w:ascii="Times New Roman" w:hAnsi="Times New Roman" w:cs="Times New Roman"/>
        </w:rPr>
        <w:t xml:space="preserve">at all </w:t>
      </w:r>
      <w:r w:rsidR="007814BA">
        <w:rPr>
          <w:rFonts w:ascii="Times New Roman" w:hAnsi="Times New Roman" w:cs="Times New Roman"/>
        </w:rPr>
        <w:t xml:space="preserve">for </w:t>
      </w:r>
      <w:r w:rsidR="00A0514A">
        <w:rPr>
          <w:rFonts w:ascii="Times New Roman" w:hAnsi="Times New Roman" w:cs="Times New Roman"/>
        </w:rPr>
        <w:t>him</w:t>
      </w:r>
      <w:r w:rsidR="007814BA">
        <w:rPr>
          <w:rFonts w:ascii="Times New Roman" w:hAnsi="Times New Roman" w:cs="Times New Roman"/>
        </w:rPr>
        <w:t xml:space="preserve"> to claim </w:t>
      </w:r>
      <w:r w:rsidR="008208BA">
        <w:rPr>
          <w:rFonts w:ascii="Times New Roman" w:hAnsi="Times New Roman" w:cs="Times New Roman"/>
        </w:rPr>
        <w:t xml:space="preserve">that he has provided </w:t>
      </w:r>
      <w:r w:rsidR="00CA3B2B">
        <w:rPr>
          <w:rFonts w:ascii="Times New Roman" w:hAnsi="Times New Roman" w:cs="Times New Roman"/>
        </w:rPr>
        <w:t>a</w:t>
      </w:r>
      <w:r w:rsidR="007814BA">
        <w:rPr>
          <w:rFonts w:ascii="Times New Roman" w:hAnsi="Times New Roman" w:cs="Times New Roman"/>
        </w:rPr>
        <w:t xml:space="preserve"> carefully selected  </w:t>
      </w:r>
      <w:r>
        <w:rPr>
          <w:rFonts w:ascii="Times New Roman" w:hAnsi="Times New Roman" w:cs="Times New Roman"/>
        </w:rPr>
        <w:t>proxy group</w:t>
      </w:r>
      <w:r w:rsidR="00CA3B2B">
        <w:rPr>
          <w:rFonts w:ascii="Times New Roman" w:hAnsi="Times New Roman" w:cs="Times New Roman"/>
        </w:rPr>
        <w:t>, since</w:t>
      </w:r>
      <w:r>
        <w:rPr>
          <w:rFonts w:ascii="Times New Roman" w:hAnsi="Times New Roman" w:cs="Times New Roman"/>
        </w:rPr>
        <w:t xml:space="preserve"> </w:t>
      </w:r>
      <w:r w:rsidR="007814BA">
        <w:rPr>
          <w:rFonts w:ascii="Times New Roman" w:hAnsi="Times New Roman" w:cs="Times New Roman"/>
        </w:rPr>
        <w:t>he excluded s</w:t>
      </w:r>
      <w:r w:rsidR="00643DDB">
        <w:rPr>
          <w:rFonts w:ascii="Times New Roman" w:hAnsi="Times New Roman" w:cs="Times New Roman"/>
        </w:rPr>
        <w:t>i</w:t>
      </w:r>
      <w:r w:rsidR="007814BA">
        <w:rPr>
          <w:rFonts w:ascii="Times New Roman" w:hAnsi="Times New Roman" w:cs="Times New Roman"/>
        </w:rPr>
        <w:t xml:space="preserve">gnificant portions of the data and replaced </w:t>
      </w:r>
      <w:r w:rsidR="00CA3B2B">
        <w:rPr>
          <w:rFonts w:ascii="Times New Roman" w:hAnsi="Times New Roman" w:cs="Times New Roman"/>
        </w:rPr>
        <w:t>it</w:t>
      </w:r>
      <w:r w:rsidR="007814BA">
        <w:rPr>
          <w:rFonts w:ascii="Times New Roman" w:hAnsi="Times New Roman" w:cs="Times New Roman"/>
        </w:rPr>
        <w:t xml:space="preserve"> with his own subjective inputs.  With such an approach, Mr. Elgin could </w:t>
      </w:r>
      <w:r w:rsidR="00643DDB">
        <w:rPr>
          <w:rFonts w:ascii="Times New Roman" w:hAnsi="Times New Roman" w:cs="Times New Roman"/>
        </w:rPr>
        <w:t>easily have found</w:t>
      </w:r>
      <w:r w:rsidR="007814BA">
        <w:rPr>
          <w:rFonts w:ascii="Times New Roman" w:hAnsi="Times New Roman" w:cs="Times New Roman"/>
        </w:rPr>
        <w:t xml:space="preserve"> any ROE range he wanted.  </w:t>
      </w:r>
    </w:p>
    <w:p w:rsidR="00637AD6" w:rsidRPr="005B6964" w:rsidRDefault="005B6964" w:rsidP="00637AD6">
      <w:pPr>
        <w:pStyle w:val="FootnoteText"/>
        <w:rPr>
          <w:rFonts w:ascii="Times New Roman" w:hAnsi="Times New Roman"/>
          <w:b/>
          <w:color w:val="000000"/>
          <w:sz w:val="24"/>
          <w:szCs w:val="24"/>
        </w:rPr>
      </w:pPr>
      <w:r w:rsidRPr="005B6964">
        <w:rPr>
          <w:rFonts w:ascii="Times New Roman" w:hAnsi="Times New Roman"/>
          <w:b/>
          <w:color w:val="000000"/>
          <w:sz w:val="24"/>
          <w:szCs w:val="24"/>
        </w:rPr>
        <w:t>Q.</w:t>
      </w:r>
      <w:r w:rsidRPr="005B6964">
        <w:rPr>
          <w:rFonts w:ascii="Times New Roman" w:hAnsi="Times New Roman"/>
          <w:b/>
          <w:color w:val="000000"/>
          <w:sz w:val="24"/>
          <w:szCs w:val="24"/>
        </w:rPr>
        <w:tab/>
        <w:t>You stated previously that the other parties</w:t>
      </w:r>
      <w:r w:rsidR="003C18EA">
        <w:rPr>
          <w:rFonts w:ascii="Times New Roman" w:hAnsi="Times New Roman"/>
          <w:b/>
          <w:color w:val="000000"/>
          <w:sz w:val="24"/>
          <w:szCs w:val="24"/>
        </w:rPr>
        <w:t>’</w:t>
      </w:r>
      <w:r w:rsidRPr="005B6964">
        <w:rPr>
          <w:rFonts w:ascii="Times New Roman" w:hAnsi="Times New Roman"/>
          <w:b/>
          <w:color w:val="000000"/>
          <w:sz w:val="24"/>
          <w:szCs w:val="24"/>
        </w:rPr>
        <w:t xml:space="preserve"> ROE recommendation</w:t>
      </w:r>
      <w:r w:rsidR="00455600">
        <w:rPr>
          <w:rFonts w:ascii="Times New Roman" w:hAnsi="Times New Roman"/>
          <w:b/>
          <w:color w:val="000000"/>
          <w:sz w:val="24"/>
          <w:szCs w:val="24"/>
        </w:rPr>
        <w:t>s</w:t>
      </w:r>
      <w:r w:rsidRPr="005B6964">
        <w:rPr>
          <w:rFonts w:ascii="Times New Roman" w:hAnsi="Times New Roman"/>
          <w:b/>
          <w:color w:val="000000"/>
          <w:sz w:val="24"/>
          <w:szCs w:val="24"/>
        </w:rPr>
        <w:t xml:space="preserve"> do not adequately consider current economic conditions.  What does M</w:t>
      </w:r>
      <w:r w:rsidR="00036657">
        <w:rPr>
          <w:rFonts w:ascii="Times New Roman" w:hAnsi="Times New Roman"/>
          <w:b/>
          <w:color w:val="000000"/>
          <w:sz w:val="24"/>
          <w:szCs w:val="24"/>
        </w:rPr>
        <w:t>r. Elgin say about the economy</w:t>
      </w:r>
      <w:r w:rsidRPr="005B6964">
        <w:rPr>
          <w:rFonts w:ascii="Times New Roman" w:hAnsi="Times New Roman"/>
          <w:b/>
          <w:color w:val="000000"/>
          <w:sz w:val="24"/>
          <w:szCs w:val="24"/>
        </w:rPr>
        <w:t>?</w:t>
      </w:r>
    </w:p>
    <w:p w:rsidR="005B6964" w:rsidRDefault="005B6964" w:rsidP="00637AD6">
      <w:pPr>
        <w:pStyle w:val="FootnoteText"/>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r>
      <w:r w:rsidR="007170CD">
        <w:rPr>
          <w:rFonts w:ascii="Times New Roman" w:hAnsi="Times New Roman"/>
          <w:color w:val="000000"/>
          <w:sz w:val="24"/>
          <w:szCs w:val="24"/>
        </w:rPr>
        <w:t xml:space="preserve">Mr. Elgin discusses economic conditions on pages 7-10 and advises the Commission to conclude </w:t>
      </w:r>
      <w:r w:rsidR="003C18EA">
        <w:rPr>
          <w:rFonts w:ascii="Times New Roman" w:hAnsi="Times New Roman"/>
          <w:color w:val="000000"/>
          <w:sz w:val="24"/>
          <w:szCs w:val="24"/>
        </w:rPr>
        <w:t>“</w:t>
      </w:r>
      <w:r w:rsidR="007170CD">
        <w:rPr>
          <w:rFonts w:ascii="Times New Roman" w:hAnsi="Times New Roman"/>
          <w:color w:val="000000"/>
          <w:sz w:val="24"/>
          <w:szCs w:val="24"/>
        </w:rPr>
        <w:t>…that recent economic and financial circumstances will continue to keep capital costs low.</w:t>
      </w:r>
      <w:r w:rsidR="003C18EA">
        <w:rPr>
          <w:rFonts w:ascii="Times New Roman" w:hAnsi="Times New Roman"/>
          <w:color w:val="000000"/>
          <w:sz w:val="24"/>
          <w:szCs w:val="24"/>
        </w:rPr>
        <w:t>”</w:t>
      </w:r>
      <w:r w:rsidR="007170CD">
        <w:rPr>
          <w:rFonts w:ascii="Times New Roman" w:hAnsi="Times New Roman"/>
          <w:color w:val="000000"/>
          <w:sz w:val="24"/>
          <w:szCs w:val="24"/>
        </w:rPr>
        <w:t xml:space="preserve"> (Elgin Direct at 10, lines 4-5.)</w:t>
      </w:r>
    </w:p>
    <w:p w:rsidR="007170CD" w:rsidRPr="007170CD" w:rsidRDefault="007170CD" w:rsidP="00637AD6">
      <w:pPr>
        <w:pStyle w:val="FootnoteText"/>
        <w:rPr>
          <w:rFonts w:ascii="Times New Roman" w:hAnsi="Times New Roman"/>
          <w:b/>
          <w:color w:val="000000"/>
          <w:sz w:val="24"/>
          <w:szCs w:val="24"/>
        </w:rPr>
      </w:pPr>
      <w:r w:rsidRPr="007170CD">
        <w:rPr>
          <w:rFonts w:ascii="Times New Roman" w:hAnsi="Times New Roman"/>
          <w:b/>
          <w:color w:val="000000"/>
          <w:sz w:val="24"/>
          <w:szCs w:val="24"/>
        </w:rPr>
        <w:t>Q.</w:t>
      </w:r>
      <w:r w:rsidRPr="007170CD">
        <w:rPr>
          <w:rFonts w:ascii="Times New Roman" w:hAnsi="Times New Roman"/>
          <w:b/>
          <w:color w:val="000000"/>
          <w:sz w:val="24"/>
          <w:szCs w:val="24"/>
        </w:rPr>
        <w:tab/>
        <w:t>Why do you disagree with Mr. Elgin</w:t>
      </w:r>
      <w:r w:rsidR="003C18EA">
        <w:rPr>
          <w:rFonts w:ascii="Times New Roman" w:hAnsi="Times New Roman"/>
          <w:b/>
          <w:color w:val="000000"/>
          <w:sz w:val="24"/>
          <w:szCs w:val="24"/>
        </w:rPr>
        <w:t>’</w:t>
      </w:r>
      <w:r w:rsidRPr="007170CD">
        <w:rPr>
          <w:rFonts w:ascii="Times New Roman" w:hAnsi="Times New Roman"/>
          <w:b/>
          <w:color w:val="000000"/>
          <w:sz w:val="24"/>
          <w:szCs w:val="24"/>
        </w:rPr>
        <w:t>s conclusion?</w:t>
      </w:r>
    </w:p>
    <w:p w:rsidR="00637AD6" w:rsidRDefault="007170CD" w:rsidP="00637AD6">
      <w:pPr>
        <w:pStyle w:val="FootnoteText"/>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t xml:space="preserve">Mr. Elgin </w:t>
      </w:r>
      <w:r w:rsidR="00036657">
        <w:rPr>
          <w:rFonts w:ascii="Times New Roman" w:hAnsi="Times New Roman"/>
          <w:color w:val="000000"/>
          <w:sz w:val="24"/>
          <w:szCs w:val="24"/>
        </w:rPr>
        <w:t xml:space="preserve">is essentially telling the </w:t>
      </w:r>
      <w:r>
        <w:rPr>
          <w:rFonts w:ascii="Times New Roman" w:hAnsi="Times New Roman"/>
          <w:color w:val="000000"/>
          <w:sz w:val="24"/>
          <w:szCs w:val="24"/>
        </w:rPr>
        <w:t xml:space="preserve">Commission </w:t>
      </w:r>
      <w:r w:rsidR="00036657">
        <w:rPr>
          <w:rFonts w:ascii="Times New Roman" w:hAnsi="Times New Roman"/>
          <w:color w:val="000000"/>
          <w:sz w:val="24"/>
          <w:szCs w:val="24"/>
        </w:rPr>
        <w:t xml:space="preserve">that </w:t>
      </w:r>
      <w:r>
        <w:rPr>
          <w:rFonts w:ascii="Times New Roman" w:hAnsi="Times New Roman"/>
          <w:color w:val="000000"/>
          <w:sz w:val="24"/>
          <w:szCs w:val="24"/>
        </w:rPr>
        <w:t xml:space="preserve">the cost of equity </w:t>
      </w:r>
      <w:r w:rsidR="00036657">
        <w:rPr>
          <w:rFonts w:ascii="Times New Roman" w:hAnsi="Times New Roman"/>
          <w:color w:val="000000"/>
          <w:sz w:val="24"/>
          <w:szCs w:val="24"/>
        </w:rPr>
        <w:t xml:space="preserve">has dropped </w:t>
      </w:r>
      <w:r>
        <w:rPr>
          <w:rFonts w:ascii="Times New Roman" w:hAnsi="Times New Roman"/>
          <w:color w:val="000000"/>
          <w:sz w:val="24"/>
          <w:szCs w:val="24"/>
        </w:rPr>
        <w:t>directly with declining interest rates.  Although he notes investors</w:t>
      </w:r>
      <w:r w:rsidR="003C18EA">
        <w:rPr>
          <w:rFonts w:ascii="Times New Roman" w:hAnsi="Times New Roman"/>
          <w:color w:val="000000"/>
          <w:sz w:val="24"/>
          <w:szCs w:val="24"/>
        </w:rPr>
        <w:t>’</w:t>
      </w:r>
      <w:r>
        <w:rPr>
          <w:rFonts w:ascii="Times New Roman" w:hAnsi="Times New Roman"/>
          <w:color w:val="000000"/>
          <w:sz w:val="24"/>
          <w:szCs w:val="24"/>
        </w:rPr>
        <w:t xml:space="preserve"> </w:t>
      </w:r>
      <w:r w:rsidR="003C18EA">
        <w:rPr>
          <w:rFonts w:ascii="Times New Roman" w:hAnsi="Times New Roman"/>
          <w:color w:val="000000"/>
          <w:sz w:val="24"/>
          <w:szCs w:val="24"/>
        </w:rPr>
        <w:t>“</w:t>
      </w:r>
      <w:r>
        <w:rPr>
          <w:rFonts w:ascii="Times New Roman" w:hAnsi="Times New Roman"/>
          <w:color w:val="000000"/>
          <w:sz w:val="24"/>
          <w:szCs w:val="24"/>
        </w:rPr>
        <w:t>flight</w:t>
      </w:r>
      <w:r w:rsidR="00E05BE5">
        <w:rPr>
          <w:rFonts w:ascii="Times New Roman" w:hAnsi="Times New Roman"/>
          <w:color w:val="000000"/>
          <w:sz w:val="24"/>
          <w:szCs w:val="24"/>
        </w:rPr>
        <w:t xml:space="preserve"> to safety</w:t>
      </w:r>
      <w:r w:rsidR="003C18EA">
        <w:rPr>
          <w:rFonts w:ascii="Times New Roman" w:hAnsi="Times New Roman"/>
          <w:color w:val="000000"/>
          <w:sz w:val="24"/>
          <w:szCs w:val="24"/>
        </w:rPr>
        <w:t>”</w:t>
      </w:r>
      <w:r w:rsidR="00E05BE5">
        <w:rPr>
          <w:rFonts w:ascii="Times New Roman" w:hAnsi="Times New Roman"/>
          <w:color w:val="000000"/>
          <w:sz w:val="24"/>
          <w:szCs w:val="24"/>
        </w:rPr>
        <w:t xml:space="preserve"> into government securities and states that capital will seek higher returns when investors</w:t>
      </w:r>
      <w:r w:rsidR="003C18EA">
        <w:rPr>
          <w:rFonts w:ascii="Times New Roman" w:hAnsi="Times New Roman"/>
          <w:color w:val="000000"/>
          <w:sz w:val="24"/>
          <w:szCs w:val="24"/>
        </w:rPr>
        <w:t>’</w:t>
      </w:r>
      <w:r w:rsidR="00E05BE5">
        <w:rPr>
          <w:rFonts w:ascii="Times New Roman" w:hAnsi="Times New Roman"/>
          <w:color w:val="000000"/>
          <w:sz w:val="24"/>
          <w:szCs w:val="24"/>
        </w:rPr>
        <w:t xml:space="preserve"> </w:t>
      </w:r>
      <w:r w:rsidR="003C18EA">
        <w:rPr>
          <w:rFonts w:ascii="Times New Roman" w:hAnsi="Times New Roman"/>
          <w:color w:val="000000"/>
          <w:sz w:val="24"/>
          <w:szCs w:val="24"/>
        </w:rPr>
        <w:t>“</w:t>
      </w:r>
      <w:r w:rsidR="00E05BE5">
        <w:rPr>
          <w:rFonts w:ascii="Times New Roman" w:hAnsi="Times New Roman"/>
          <w:color w:val="000000"/>
          <w:sz w:val="24"/>
          <w:szCs w:val="24"/>
        </w:rPr>
        <w:t>appetite for risk returns</w:t>
      </w:r>
      <w:r w:rsidR="003C18EA">
        <w:rPr>
          <w:rFonts w:ascii="Times New Roman" w:hAnsi="Times New Roman"/>
          <w:color w:val="000000"/>
          <w:sz w:val="24"/>
          <w:szCs w:val="24"/>
        </w:rPr>
        <w:t>”</w:t>
      </w:r>
      <w:r w:rsidR="00D461F3">
        <w:rPr>
          <w:rFonts w:ascii="Times New Roman" w:hAnsi="Times New Roman"/>
          <w:color w:val="000000"/>
          <w:sz w:val="24"/>
          <w:szCs w:val="24"/>
        </w:rPr>
        <w:t xml:space="preserve"> (Elgin Direct at 9, lines 18-20),</w:t>
      </w:r>
      <w:r w:rsidR="00E05BE5">
        <w:rPr>
          <w:rFonts w:ascii="Times New Roman" w:hAnsi="Times New Roman"/>
          <w:color w:val="000000"/>
          <w:sz w:val="24"/>
          <w:szCs w:val="24"/>
        </w:rPr>
        <w:t xml:space="preserve"> his interpretation of the these effects is somewhat backwards.  Part of the reason that interest rates are low is because investors</w:t>
      </w:r>
      <w:r w:rsidR="00D461F3">
        <w:rPr>
          <w:rFonts w:ascii="Times New Roman" w:hAnsi="Times New Roman"/>
          <w:color w:val="000000"/>
          <w:sz w:val="24"/>
          <w:szCs w:val="24"/>
        </w:rPr>
        <w:t xml:space="preserve"> have withdrawn funds from the stock market and invested in safer fixed income securities.  Equity risk aversion remains high.  </w:t>
      </w:r>
      <w:r w:rsidR="00E05BE5">
        <w:rPr>
          <w:rFonts w:ascii="Times New Roman" w:hAnsi="Times New Roman"/>
          <w:color w:val="000000"/>
          <w:sz w:val="24"/>
          <w:szCs w:val="24"/>
        </w:rPr>
        <w:t xml:space="preserve">The tremendous stock market losses that people experienced in their retirement accounts and the volatility of </w:t>
      </w:r>
      <w:r w:rsidR="00D461F3">
        <w:rPr>
          <w:rFonts w:ascii="Times New Roman" w:hAnsi="Times New Roman"/>
          <w:color w:val="000000"/>
          <w:sz w:val="24"/>
          <w:szCs w:val="24"/>
        </w:rPr>
        <w:t xml:space="preserve">the </w:t>
      </w:r>
      <w:r w:rsidR="00E05BE5">
        <w:rPr>
          <w:rFonts w:ascii="Times New Roman" w:hAnsi="Times New Roman"/>
          <w:color w:val="000000"/>
          <w:sz w:val="24"/>
          <w:szCs w:val="24"/>
        </w:rPr>
        <w:t>equity markets in general point to higher, not lower, equity c</w:t>
      </w:r>
      <w:r w:rsidR="00036657">
        <w:rPr>
          <w:rFonts w:ascii="Times New Roman" w:hAnsi="Times New Roman"/>
          <w:color w:val="000000"/>
          <w:sz w:val="24"/>
          <w:szCs w:val="24"/>
        </w:rPr>
        <w:t>osts</w:t>
      </w:r>
      <w:r w:rsidR="00E05BE5">
        <w:rPr>
          <w:rFonts w:ascii="Times New Roman" w:hAnsi="Times New Roman"/>
          <w:color w:val="000000"/>
          <w:sz w:val="24"/>
          <w:szCs w:val="24"/>
        </w:rPr>
        <w:t xml:space="preserve">.  </w:t>
      </w:r>
      <w:r w:rsidR="00D461F3">
        <w:rPr>
          <w:rFonts w:ascii="Times New Roman" w:hAnsi="Times New Roman"/>
          <w:color w:val="000000"/>
          <w:sz w:val="24"/>
          <w:szCs w:val="24"/>
        </w:rPr>
        <w:t xml:space="preserve">While continuing </w:t>
      </w:r>
      <w:r w:rsidR="008208BA">
        <w:rPr>
          <w:rFonts w:ascii="Times New Roman" w:hAnsi="Times New Roman"/>
          <w:color w:val="000000"/>
          <w:sz w:val="24"/>
          <w:szCs w:val="24"/>
        </w:rPr>
        <w:t xml:space="preserve">expansionary </w:t>
      </w:r>
      <w:r w:rsidR="00D461F3">
        <w:rPr>
          <w:rFonts w:ascii="Times New Roman" w:hAnsi="Times New Roman"/>
          <w:color w:val="000000"/>
          <w:sz w:val="24"/>
          <w:szCs w:val="24"/>
        </w:rPr>
        <w:t xml:space="preserve">government monetary policy has virtually eliminated interest on savings accounts, </w:t>
      </w:r>
      <w:r w:rsidR="00036657">
        <w:rPr>
          <w:rFonts w:ascii="Times New Roman" w:hAnsi="Times New Roman"/>
          <w:color w:val="000000"/>
          <w:sz w:val="24"/>
          <w:szCs w:val="24"/>
        </w:rPr>
        <w:t>many investors</w:t>
      </w:r>
      <w:r w:rsidR="00D461F3">
        <w:rPr>
          <w:rFonts w:ascii="Times New Roman" w:hAnsi="Times New Roman"/>
          <w:color w:val="000000"/>
          <w:sz w:val="24"/>
          <w:szCs w:val="24"/>
        </w:rPr>
        <w:t xml:space="preserve"> remain unwilling to risk further stock market losses.  </w:t>
      </w:r>
      <w:r w:rsidR="00F028B2">
        <w:rPr>
          <w:rFonts w:ascii="Times New Roman" w:hAnsi="Times New Roman"/>
          <w:color w:val="000000"/>
          <w:sz w:val="24"/>
          <w:szCs w:val="24"/>
        </w:rPr>
        <w:t>In this environment, the equity risk premium is larger, which offsets a portion of the drop in interest rates.  Mr. Elgin</w:t>
      </w:r>
      <w:r w:rsidR="003C18EA">
        <w:rPr>
          <w:rFonts w:ascii="Times New Roman" w:hAnsi="Times New Roman"/>
          <w:color w:val="000000"/>
          <w:sz w:val="24"/>
          <w:szCs w:val="24"/>
        </w:rPr>
        <w:t>’</w:t>
      </w:r>
      <w:r w:rsidR="00F028B2">
        <w:rPr>
          <w:rFonts w:ascii="Times New Roman" w:hAnsi="Times New Roman"/>
          <w:color w:val="000000"/>
          <w:sz w:val="24"/>
          <w:szCs w:val="24"/>
        </w:rPr>
        <w:t>s interpretation of economic conditions fails to include this fundamental relationship</w:t>
      </w:r>
      <w:r w:rsidR="00036657">
        <w:rPr>
          <w:rFonts w:ascii="Times New Roman" w:hAnsi="Times New Roman"/>
          <w:color w:val="000000"/>
          <w:sz w:val="24"/>
          <w:szCs w:val="24"/>
        </w:rPr>
        <w:t>, which causes him to recommend an unreasonably low ROE</w:t>
      </w:r>
      <w:r w:rsidR="00F028B2">
        <w:rPr>
          <w:rFonts w:ascii="Times New Roman" w:hAnsi="Times New Roman"/>
          <w:color w:val="000000"/>
          <w:sz w:val="24"/>
          <w:szCs w:val="24"/>
        </w:rPr>
        <w:t>.</w:t>
      </w:r>
    </w:p>
    <w:p w:rsidR="00772E6F" w:rsidRPr="008C327F" w:rsidRDefault="008C327F" w:rsidP="00637AD6">
      <w:pPr>
        <w:pStyle w:val="FootnoteText"/>
        <w:rPr>
          <w:rFonts w:ascii="Times New Roman" w:hAnsi="Times New Roman"/>
          <w:b/>
          <w:color w:val="000000"/>
          <w:sz w:val="24"/>
          <w:szCs w:val="24"/>
        </w:rPr>
      </w:pPr>
      <w:r w:rsidRPr="008C327F">
        <w:rPr>
          <w:rFonts w:ascii="Times New Roman" w:hAnsi="Times New Roman"/>
          <w:b/>
          <w:color w:val="000000"/>
          <w:sz w:val="24"/>
          <w:szCs w:val="24"/>
        </w:rPr>
        <w:t>Q.</w:t>
      </w:r>
      <w:r w:rsidRPr="008C327F">
        <w:rPr>
          <w:rFonts w:ascii="Times New Roman" w:hAnsi="Times New Roman"/>
          <w:b/>
          <w:color w:val="000000"/>
          <w:sz w:val="24"/>
          <w:szCs w:val="24"/>
        </w:rPr>
        <w:tab/>
        <w:t xml:space="preserve">How did Mr. Elgin </w:t>
      </w:r>
      <w:r w:rsidR="00036657">
        <w:rPr>
          <w:rFonts w:ascii="Times New Roman" w:hAnsi="Times New Roman"/>
          <w:b/>
          <w:color w:val="000000"/>
          <w:sz w:val="24"/>
          <w:szCs w:val="24"/>
        </w:rPr>
        <w:t>select</w:t>
      </w:r>
      <w:r w:rsidRPr="008C327F">
        <w:rPr>
          <w:rFonts w:ascii="Times New Roman" w:hAnsi="Times New Roman"/>
          <w:b/>
          <w:color w:val="000000"/>
          <w:sz w:val="24"/>
          <w:szCs w:val="24"/>
        </w:rPr>
        <w:t xml:space="preserve"> </w:t>
      </w:r>
      <w:r w:rsidR="00036657">
        <w:rPr>
          <w:rFonts w:ascii="Times New Roman" w:hAnsi="Times New Roman"/>
          <w:b/>
          <w:color w:val="000000"/>
          <w:sz w:val="24"/>
          <w:szCs w:val="24"/>
        </w:rPr>
        <w:t>his</w:t>
      </w:r>
      <w:r w:rsidRPr="008C327F">
        <w:rPr>
          <w:rFonts w:ascii="Times New Roman" w:hAnsi="Times New Roman"/>
          <w:b/>
          <w:color w:val="000000"/>
          <w:sz w:val="24"/>
          <w:szCs w:val="24"/>
        </w:rPr>
        <w:t xml:space="preserve"> a seven-company proxy group?</w:t>
      </w:r>
    </w:p>
    <w:p w:rsidR="008C327F" w:rsidRDefault="008C327F" w:rsidP="00637AD6">
      <w:pPr>
        <w:pStyle w:val="FootnoteText"/>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t xml:space="preserve">He apparently began with my 22-company group and eliminated all but six companies.  He then added Avista, which is not part of my group because its senior bond ratings are below single-A.  </w:t>
      </w:r>
    </w:p>
    <w:p w:rsidR="008C327F" w:rsidRPr="008C327F" w:rsidRDefault="008C327F" w:rsidP="00637AD6">
      <w:pPr>
        <w:pStyle w:val="FootnoteText"/>
        <w:rPr>
          <w:rFonts w:ascii="Times New Roman" w:hAnsi="Times New Roman"/>
          <w:b/>
          <w:color w:val="000000"/>
          <w:sz w:val="24"/>
          <w:szCs w:val="24"/>
        </w:rPr>
      </w:pPr>
      <w:r w:rsidRPr="008C327F">
        <w:rPr>
          <w:rFonts w:ascii="Times New Roman" w:hAnsi="Times New Roman"/>
          <w:b/>
          <w:color w:val="000000"/>
          <w:sz w:val="24"/>
          <w:szCs w:val="24"/>
        </w:rPr>
        <w:t>Q.</w:t>
      </w:r>
      <w:r w:rsidRPr="008C327F">
        <w:rPr>
          <w:rFonts w:ascii="Times New Roman" w:hAnsi="Times New Roman"/>
          <w:b/>
          <w:color w:val="000000"/>
          <w:sz w:val="24"/>
          <w:szCs w:val="24"/>
        </w:rPr>
        <w:tab/>
        <w:t>Do you agree with Mr. Elgin</w:t>
      </w:r>
      <w:r w:rsidR="003C18EA">
        <w:rPr>
          <w:rFonts w:ascii="Times New Roman" w:hAnsi="Times New Roman"/>
          <w:b/>
          <w:color w:val="000000"/>
          <w:sz w:val="24"/>
          <w:szCs w:val="24"/>
        </w:rPr>
        <w:t>’</w:t>
      </w:r>
      <w:r w:rsidRPr="008C327F">
        <w:rPr>
          <w:rFonts w:ascii="Times New Roman" w:hAnsi="Times New Roman"/>
          <w:b/>
          <w:color w:val="000000"/>
          <w:sz w:val="24"/>
          <w:szCs w:val="24"/>
        </w:rPr>
        <w:t>s rational for selecting a smaller group?</w:t>
      </w:r>
    </w:p>
    <w:p w:rsidR="008C327F" w:rsidRDefault="008C327F" w:rsidP="009921CA">
      <w:pPr>
        <w:pStyle w:val="FootnoteText"/>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t xml:space="preserve">No.  </w:t>
      </w:r>
      <w:r w:rsidR="00F91AE3">
        <w:rPr>
          <w:rFonts w:ascii="Times New Roman" w:hAnsi="Times New Roman"/>
          <w:color w:val="000000"/>
          <w:sz w:val="24"/>
          <w:szCs w:val="24"/>
        </w:rPr>
        <w:t xml:space="preserve">As noted above, a small proxy group can lead to statistical concerns and, at times, to criticism </w:t>
      </w:r>
      <w:r w:rsidR="00036657">
        <w:rPr>
          <w:rFonts w:ascii="Times New Roman" w:hAnsi="Times New Roman"/>
          <w:color w:val="000000"/>
          <w:sz w:val="24"/>
          <w:szCs w:val="24"/>
        </w:rPr>
        <w:t>for</w:t>
      </w:r>
      <w:r w:rsidR="00F91AE3">
        <w:rPr>
          <w:rFonts w:ascii="Times New Roman" w:hAnsi="Times New Roman"/>
          <w:color w:val="000000"/>
          <w:sz w:val="24"/>
          <w:szCs w:val="24"/>
        </w:rPr>
        <w:t xml:space="preserve"> selectivity bias.  While I </w:t>
      </w:r>
      <w:r w:rsidR="00036657">
        <w:rPr>
          <w:rFonts w:ascii="Times New Roman" w:hAnsi="Times New Roman"/>
          <w:color w:val="000000"/>
          <w:sz w:val="24"/>
          <w:szCs w:val="24"/>
        </w:rPr>
        <w:t xml:space="preserve">obviously </w:t>
      </w:r>
      <w:r w:rsidR="00F91AE3">
        <w:rPr>
          <w:rFonts w:ascii="Times New Roman" w:hAnsi="Times New Roman"/>
          <w:color w:val="000000"/>
          <w:sz w:val="24"/>
          <w:szCs w:val="24"/>
        </w:rPr>
        <w:t xml:space="preserve">do not disagree with the </w:t>
      </w:r>
      <w:r w:rsidR="00036657">
        <w:rPr>
          <w:rFonts w:ascii="Times New Roman" w:hAnsi="Times New Roman"/>
          <w:color w:val="000000"/>
          <w:sz w:val="24"/>
          <w:szCs w:val="24"/>
        </w:rPr>
        <w:t xml:space="preserve">six </w:t>
      </w:r>
      <w:r w:rsidR="00F91AE3">
        <w:rPr>
          <w:rFonts w:ascii="Times New Roman" w:hAnsi="Times New Roman"/>
          <w:color w:val="000000"/>
          <w:sz w:val="24"/>
          <w:szCs w:val="24"/>
        </w:rPr>
        <w:t>companies he selected</w:t>
      </w:r>
      <w:r w:rsidR="009921CA">
        <w:rPr>
          <w:rFonts w:ascii="Times New Roman" w:hAnsi="Times New Roman"/>
          <w:color w:val="000000"/>
          <w:sz w:val="24"/>
          <w:szCs w:val="24"/>
        </w:rPr>
        <w:t xml:space="preserve"> </w:t>
      </w:r>
      <w:r w:rsidR="00036657">
        <w:rPr>
          <w:rFonts w:ascii="Times New Roman" w:hAnsi="Times New Roman"/>
          <w:color w:val="000000"/>
          <w:sz w:val="24"/>
          <w:szCs w:val="24"/>
        </w:rPr>
        <w:t>from</w:t>
      </w:r>
      <w:r w:rsidR="00F91AE3">
        <w:rPr>
          <w:rFonts w:ascii="Times New Roman" w:hAnsi="Times New Roman"/>
          <w:color w:val="000000"/>
          <w:sz w:val="24"/>
          <w:szCs w:val="24"/>
        </w:rPr>
        <w:t xml:space="preserve"> my group</w:t>
      </w:r>
      <w:r w:rsidR="00036657">
        <w:rPr>
          <w:rFonts w:ascii="Times New Roman" w:hAnsi="Times New Roman"/>
          <w:color w:val="000000"/>
          <w:sz w:val="24"/>
          <w:szCs w:val="24"/>
        </w:rPr>
        <w:t>,</w:t>
      </w:r>
      <w:r w:rsidR="00F91AE3">
        <w:rPr>
          <w:rFonts w:ascii="Times New Roman" w:hAnsi="Times New Roman"/>
          <w:color w:val="000000"/>
          <w:sz w:val="24"/>
          <w:szCs w:val="24"/>
        </w:rPr>
        <w:t xml:space="preserve"> I do believe that his selection criteria are unnecessarily restrictive</w:t>
      </w:r>
      <w:r w:rsidR="00036657">
        <w:rPr>
          <w:rFonts w:ascii="Times New Roman" w:hAnsi="Times New Roman"/>
          <w:color w:val="000000"/>
          <w:sz w:val="24"/>
          <w:szCs w:val="24"/>
        </w:rPr>
        <w:t xml:space="preserve"> and that his inclusion </w:t>
      </w:r>
      <w:r w:rsidR="00DA6DE6">
        <w:rPr>
          <w:rFonts w:ascii="Times New Roman" w:hAnsi="Times New Roman"/>
          <w:color w:val="000000"/>
          <w:sz w:val="24"/>
          <w:szCs w:val="24"/>
        </w:rPr>
        <w:t xml:space="preserve">of </w:t>
      </w:r>
      <w:r w:rsidR="00036657">
        <w:rPr>
          <w:rFonts w:ascii="Times New Roman" w:hAnsi="Times New Roman"/>
          <w:color w:val="000000"/>
          <w:sz w:val="24"/>
          <w:szCs w:val="24"/>
        </w:rPr>
        <w:t xml:space="preserve">Avista </w:t>
      </w:r>
      <w:r w:rsidR="00DA6DE6">
        <w:rPr>
          <w:rFonts w:ascii="Times New Roman" w:hAnsi="Times New Roman"/>
          <w:color w:val="000000"/>
          <w:sz w:val="24"/>
          <w:szCs w:val="24"/>
        </w:rPr>
        <w:t>is</w:t>
      </w:r>
      <w:r w:rsidR="00036657">
        <w:rPr>
          <w:rFonts w:ascii="Times New Roman" w:hAnsi="Times New Roman"/>
          <w:color w:val="000000"/>
          <w:sz w:val="24"/>
          <w:szCs w:val="24"/>
        </w:rPr>
        <w:t xml:space="preserve"> questionable</w:t>
      </w:r>
      <w:r w:rsidR="00F91AE3">
        <w:rPr>
          <w:rFonts w:ascii="Times New Roman" w:hAnsi="Times New Roman"/>
          <w:color w:val="000000"/>
          <w:sz w:val="24"/>
          <w:szCs w:val="24"/>
        </w:rPr>
        <w:t xml:space="preserve">.  PacifiCorp is a large, diverse electric utility.  If its shares were publicly traded, </w:t>
      </w:r>
      <w:r w:rsidR="009921CA">
        <w:rPr>
          <w:rFonts w:ascii="Times New Roman" w:hAnsi="Times New Roman"/>
          <w:color w:val="000000"/>
          <w:sz w:val="24"/>
          <w:szCs w:val="24"/>
        </w:rPr>
        <w:t>they</w:t>
      </w:r>
      <w:r w:rsidR="00F91AE3">
        <w:rPr>
          <w:rFonts w:ascii="Times New Roman" w:hAnsi="Times New Roman"/>
          <w:color w:val="000000"/>
          <w:sz w:val="24"/>
          <w:szCs w:val="24"/>
        </w:rPr>
        <w:t xml:space="preserve"> would likely be held by the same large institution</w:t>
      </w:r>
      <w:r w:rsidR="009921CA">
        <w:rPr>
          <w:rFonts w:ascii="Times New Roman" w:hAnsi="Times New Roman"/>
          <w:color w:val="000000"/>
          <w:sz w:val="24"/>
          <w:szCs w:val="24"/>
        </w:rPr>
        <w:t>s</w:t>
      </w:r>
      <w:r w:rsidR="00F91AE3">
        <w:rPr>
          <w:rFonts w:ascii="Times New Roman" w:hAnsi="Times New Roman"/>
          <w:color w:val="000000"/>
          <w:sz w:val="24"/>
          <w:szCs w:val="24"/>
        </w:rPr>
        <w:t xml:space="preserve"> and </w:t>
      </w:r>
      <w:r w:rsidR="009921CA">
        <w:rPr>
          <w:rFonts w:ascii="Times New Roman" w:hAnsi="Times New Roman"/>
          <w:color w:val="000000"/>
          <w:sz w:val="24"/>
          <w:szCs w:val="24"/>
        </w:rPr>
        <w:t>long-term individual investors that hold most utilit</w:t>
      </w:r>
      <w:r w:rsidR="00DA6DE6">
        <w:rPr>
          <w:rFonts w:ascii="Times New Roman" w:hAnsi="Times New Roman"/>
          <w:color w:val="000000"/>
          <w:sz w:val="24"/>
          <w:szCs w:val="24"/>
        </w:rPr>
        <w:t>y stocks</w:t>
      </w:r>
      <w:r w:rsidR="009921CA">
        <w:rPr>
          <w:rFonts w:ascii="Times New Roman" w:hAnsi="Times New Roman"/>
          <w:color w:val="000000"/>
          <w:sz w:val="24"/>
          <w:szCs w:val="24"/>
        </w:rPr>
        <w:t xml:space="preserve">.  For this reason, most regulatory economists use broadly based </w:t>
      </w:r>
      <w:r w:rsidR="00DA6DE6">
        <w:rPr>
          <w:rFonts w:ascii="Times New Roman" w:hAnsi="Times New Roman"/>
          <w:color w:val="000000"/>
          <w:sz w:val="24"/>
          <w:szCs w:val="24"/>
        </w:rPr>
        <w:t xml:space="preserve">proxy </w:t>
      </w:r>
      <w:r w:rsidR="009921CA">
        <w:rPr>
          <w:rFonts w:ascii="Times New Roman" w:hAnsi="Times New Roman"/>
          <w:color w:val="000000"/>
          <w:sz w:val="24"/>
          <w:szCs w:val="24"/>
        </w:rPr>
        <w:t>groups with similar risk</w:t>
      </w:r>
      <w:r w:rsidR="0011181E">
        <w:rPr>
          <w:rFonts w:ascii="Times New Roman" w:hAnsi="Times New Roman"/>
          <w:color w:val="000000"/>
          <w:sz w:val="24"/>
          <w:szCs w:val="24"/>
        </w:rPr>
        <w:t>s</w:t>
      </w:r>
      <w:r w:rsidR="009921CA">
        <w:rPr>
          <w:rFonts w:ascii="Times New Roman" w:hAnsi="Times New Roman"/>
          <w:color w:val="000000"/>
          <w:sz w:val="24"/>
          <w:szCs w:val="24"/>
        </w:rPr>
        <w:t xml:space="preserve"> and no extraordinary operating characteristics relative to the subject company.  </w:t>
      </w:r>
      <w:r w:rsidR="00DA6DE6">
        <w:rPr>
          <w:rFonts w:ascii="Times New Roman" w:hAnsi="Times New Roman"/>
          <w:color w:val="000000"/>
          <w:sz w:val="24"/>
          <w:szCs w:val="24"/>
        </w:rPr>
        <w:t xml:space="preserve">(See </w:t>
      </w:r>
      <w:r w:rsidR="004010D4">
        <w:rPr>
          <w:rFonts w:ascii="Times New Roman" w:hAnsi="Times New Roman"/>
          <w:color w:val="000000"/>
          <w:sz w:val="24"/>
          <w:szCs w:val="24"/>
        </w:rPr>
        <w:t>my</w:t>
      </w:r>
      <w:r w:rsidR="00DA6DE6">
        <w:rPr>
          <w:rFonts w:ascii="Times New Roman" w:hAnsi="Times New Roman"/>
          <w:color w:val="000000"/>
          <w:sz w:val="24"/>
          <w:szCs w:val="24"/>
        </w:rPr>
        <w:t xml:space="preserve"> </w:t>
      </w:r>
      <w:r w:rsidR="003C18EA">
        <w:rPr>
          <w:rFonts w:ascii="Times New Roman" w:hAnsi="Times New Roman"/>
          <w:color w:val="000000"/>
          <w:sz w:val="24"/>
          <w:szCs w:val="24"/>
        </w:rPr>
        <w:t>d</w:t>
      </w:r>
      <w:r w:rsidR="00DA6DE6">
        <w:rPr>
          <w:rFonts w:ascii="Times New Roman" w:hAnsi="Times New Roman"/>
          <w:color w:val="000000"/>
          <w:sz w:val="24"/>
          <w:szCs w:val="24"/>
        </w:rPr>
        <w:t xml:space="preserve">irect </w:t>
      </w:r>
      <w:r w:rsidR="003C18EA">
        <w:rPr>
          <w:rFonts w:ascii="Times New Roman" w:hAnsi="Times New Roman"/>
          <w:color w:val="000000"/>
          <w:sz w:val="24"/>
          <w:szCs w:val="24"/>
        </w:rPr>
        <w:t>t</w:t>
      </w:r>
      <w:r w:rsidR="00DA6DE6">
        <w:rPr>
          <w:rFonts w:ascii="Times New Roman" w:hAnsi="Times New Roman"/>
          <w:color w:val="000000"/>
          <w:sz w:val="24"/>
          <w:szCs w:val="24"/>
        </w:rPr>
        <w:t xml:space="preserve">estimony at page </w:t>
      </w:r>
      <w:r w:rsidR="00B711FE">
        <w:rPr>
          <w:rFonts w:ascii="Times New Roman" w:hAnsi="Times New Roman"/>
          <w:color w:val="000000"/>
          <w:sz w:val="24"/>
          <w:szCs w:val="24"/>
        </w:rPr>
        <w:t>3</w:t>
      </w:r>
      <w:r w:rsidR="00DA6DE6">
        <w:rPr>
          <w:rFonts w:ascii="Times New Roman" w:hAnsi="Times New Roman"/>
          <w:color w:val="000000"/>
          <w:sz w:val="24"/>
          <w:szCs w:val="24"/>
        </w:rPr>
        <w:t xml:space="preserve"> for my proxy group selection criteria.) </w:t>
      </w:r>
      <w:r w:rsidR="00CE6C16">
        <w:rPr>
          <w:rFonts w:ascii="Times New Roman" w:hAnsi="Times New Roman"/>
          <w:color w:val="000000"/>
          <w:sz w:val="24"/>
          <w:szCs w:val="24"/>
        </w:rPr>
        <w:t xml:space="preserve"> </w:t>
      </w:r>
      <w:r w:rsidR="00036657">
        <w:rPr>
          <w:rFonts w:ascii="Times New Roman" w:hAnsi="Times New Roman"/>
          <w:color w:val="000000"/>
          <w:sz w:val="24"/>
          <w:szCs w:val="24"/>
        </w:rPr>
        <w:t xml:space="preserve">While it is not possible to pick a perfect comparable company group, </w:t>
      </w:r>
      <w:r w:rsidR="009921CA">
        <w:rPr>
          <w:rFonts w:ascii="Times New Roman" w:hAnsi="Times New Roman"/>
          <w:color w:val="000000"/>
          <w:sz w:val="24"/>
          <w:szCs w:val="24"/>
        </w:rPr>
        <w:t xml:space="preserve">Mr. Elgin ends up with too small a group and offers criticisms of my group that are not </w:t>
      </w:r>
      <w:r w:rsidR="0011181E">
        <w:rPr>
          <w:rFonts w:ascii="Times New Roman" w:hAnsi="Times New Roman"/>
          <w:color w:val="000000"/>
          <w:sz w:val="24"/>
          <w:szCs w:val="24"/>
        </w:rPr>
        <w:t>major</w:t>
      </w:r>
      <w:r w:rsidR="009921CA">
        <w:rPr>
          <w:rFonts w:ascii="Times New Roman" w:hAnsi="Times New Roman"/>
          <w:color w:val="000000"/>
          <w:sz w:val="24"/>
          <w:szCs w:val="24"/>
        </w:rPr>
        <w:t xml:space="preserve"> concerns to investors.</w:t>
      </w:r>
    </w:p>
    <w:p w:rsidR="009921CA" w:rsidRPr="0011181E" w:rsidRDefault="009921CA" w:rsidP="009921CA">
      <w:pPr>
        <w:pStyle w:val="FootnoteText"/>
        <w:rPr>
          <w:rFonts w:ascii="Times New Roman" w:hAnsi="Times New Roman"/>
          <w:b/>
          <w:color w:val="000000"/>
          <w:sz w:val="24"/>
          <w:szCs w:val="24"/>
        </w:rPr>
      </w:pPr>
      <w:r w:rsidRPr="0011181E">
        <w:rPr>
          <w:rFonts w:ascii="Times New Roman" w:hAnsi="Times New Roman"/>
          <w:b/>
          <w:color w:val="000000"/>
          <w:sz w:val="24"/>
          <w:szCs w:val="24"/>
        </w:rPr>
        <w:t>Q.</w:t>
      </w:r>
      <w:r w:rsidRPr="0011181E">
        <w:rPr>
          <w:rFonts w:ascii="Times New Roman" w:hAnsi="Times New Roman"/>
          <w:b/>
          <w:color w:val="000000"/>
          <w:sz w:val="24"/>
          <w:szCs w:val="24"/>
        </w:rPr>
        <w:tab/>
      </w:r>
      <w:r w:rsidR="0011181E" w:rsidRPr="0011181E">
        <w:rPr>
          <w:rFonts w:ascii="Times New Roman" w:hAnsi="Times New Roman"/>
          <w:b/>
          <w:color w:val="000000"/>
          <w:sz w:val="24"/>
          <w:szCs w:val="24"/>
        </w:rPr>
        <w:t xml:space="preserve">Does </w:t>
      </w:r>
      <w:r w:rsidR="00CE6C16">
        <w:rPr>
          <w:rFonts w:ascii="Times New Roman" w:hAnsi="Times New Roman"/>
          <w:b/>
          <w:color w:val="000000"/>
          <w:sz w:val="24"/>
          <w:szCs w:val="24"/>
        </w:rPr>
        <w:t>ICNU</w:t>
      </w:r>
      <w:r w:rsidR="0011181E" w:rsidRPr="0011181E">
        <w:rPr>
          <w:rFonts w:ascii="Times New Roman" w:hAnsi="Times New Roman"/>
          <w:b/>
          <w:color w:val="000000"/>
          <w:sz w:val="24"/>
          <w:szCs w:val="24"/>
        </w:rPr>
        <w:t xml:space="preserve"> witness </w:t>
      </w:r>
      <w:r w:rsidR="004010D4" w:rsidRPr="00BA0C5A">
        <w:rPr>
          <w:rFonts w:ascii="Times New Roman" w:hAnsi="Times New Roman"/>
          <w:b/>
          <w:color w:val="000000"/>
          <w:sz w:val="24"/>
          <w:szCs w:val="24"/>
        </w:rPr>
        <w:t>Mr.</w:t>
      </w:r>
      <w:r w:rsidR="00701095">
        <w:rPr>
          <w:rFonts w:ascii="Times New Roman" w:hAnsi="Times New Roman"/>
          <w:b/>
          <w:color w:val="000000"/>
          <w:sz w:val="24"/>
          <w:szCs w:val="24"/>
        </w:rPr>
        <w:t xml:space="preserve"> </w:t>
      </w:r>
      <w:r w:rsidR="0011181E" w:rsidRPr="0011181E">
        <w:rPr>
          <w:rFonts w:ascii="Times New Roman" w:hAnsi="Times New Roman"/>
          <w:b/>
          <w:color w:val="000000"/>
          <w:sz w:val="24"/>
          <w:szCs w:val="24"/>
        </w:rPr>
        <w:t xml:space="preserve">Gorman </w:t>
      </w:r>
      <w:r w:rsidR="00CE6C16">
        <w:rPr>
          <w:rFonts w:ascii="Times New Roman" w:hAnsi="Times New Roman"/>
          <w:b/>
          <w:color w:val="000000"/>
          <w:sz w:val="24"/>
          <w:szCs w:val="24"/>
        </w:rPr>
        <w:t>agree with</w:t>
      </w:r>
      <w:r w:rsidR="0011181E" w:rsidRPr="0011181E">
        <w:rPr>
          <w:rFonts w:ascii="Times New Roman" w:hAnsi="Times New Roman"/>
          <w:b/>
          <w:color w:val="000000"/>
          <w:sz w:val="24"/>
          <w:szCs w:val="24"/>
        </w:rPr>
        <w:t xml:space="preserve"> your </w:t>
      </w:r>
      <w:r w:rsidR="00CE6C16">
        <w:rPr>
          <w:rFonts w:ascii="Times New Roman" w:hAnsi="Times New Roman"/>
          <w:b/>
          <w:color w:val="000000"/>
          <w:sz w:val="24"/>
          <w:szCs w:val="24"/>
        </w:rPr>
        <w:t xml:space="preserve">proxy </w:t>
      </w:r>
      <w:r w:rsidR="0011181E" w:rsidRPr="0011181E">
        <w:rPr>
          <w:rFonts w:ascii="Times New Roman" w:hAnsi="Times New Roman"/>
          <w:b/>
          <w:color w:val="000000"/>
          <w:sz w:val="24"/>
          <w:szCs w:val="24"/>
        </w:rPr>
        <w:t xml:space="preserve">group </w:t>
      </w:r>
      <w:r w:rsidR="00CE6C16">
        <w:rPr>
          <w:rFonts w:ascii="Times New Roman" w:hAnsi="Times New Roman"/>
          <w:b/>
          <w:color w:val="000000"/>
          <w:sz w:val="24"/>
          <w:szCs w:val="24"/>
        </w:rPr>
        <w:t>selection</w:t>
      </w:r>
      <w:r w:rsidR="0011181E" w:rsidRPr="0011181E">
        <w:rPr>
          <w:rFonts w:ascii="Times New Roman" w:hAnsi="Times New Roman"/>
          <w:b/>
          <w:color w:val="000000"/>
          <w:sz w:val="24"/>
          <w:szCs w:val="24"/>
        </w:rPr>
        <w:t>?</w:t>
      </w:r>
    </w:p>
    <w:p w:rsidR="0011181E" w:rsidRDefault="0011181E" w:rsidP="009921CA">
      <w:pPr>
        <w:pStyle w:val="FootnoteText"/>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r>
      <w:r w:rsidR="00CE6C16">
        <w:rPr>
          <w:rFonts w:ascii="Times New Roman" w:hAnsi="Times New Roman"/>
          <w:color w:val="000000"/>
          <w:sz w:val="24"/>
          <w:szCs w:val="24"/>
        </w:rPr>
        <w:t>Yes.</w:t>
      </w:r>
      <w:r>
        <w:rPr>
          <w:rFonts w:ascii="Times New Roman" w:hAnsi="Times New Roman"/>
          <w:color w:val="000000"/>
          <w:sz w:val="24"/>
          <w:szCs w:val="24"/>
        </w:rPr>
        <w:t xml:space="preserve">  While Mr. Gorman and I disagree in several areas, we use the same 22-company </w:t>
      </w:r>
      <w:r w:rsidR="00036657">
        <w:rPr>
          <w:rFonts w:ascii="Times New Roman" w:hAnsi="Times New Roman"/>
          <w:color w:val="000000"/>
          <w:sz w:val="24"/>
          <w:szCs w:val="24"/>
        </w:rPr>
        <w:t>proxy</w:t>
      </w:r>
      <w:r>
        <w:rPr>
          <w:rFonts w:ascii="Times New Roman" w:hAnsi="Times New Roman"/>
          <w:color w:val="000000"/>
          <w:sz w:val="24"/>
          <w:szCs w:val="24"/>
        </w:rPr>
        <w:t xml:space="preserve"> group to estimate PacifiCorp</w:t>
      </w:r>
      <w:r w:rsidR="003C18EA">
        <w:rPr>
          <w:rFonts w:ascii="Times New Roman" w:hAnsi="Times New Roman"/>
          <w:color w:val="000000"/>
          <w:sz w:val="24"/>
          <w:szCs w:val="24"/>
        </w:rPr>
        <w:t>’</w:t>
      </w:r>
      <w:r>
        <w:rPr>
          <w:rFonts w:ascii="Times New Roman" w:hAnsi="Times New Roman"/>
          <w:color w:val="000000"/>
          <w:sz w:val="24"/>
          <w:szCs w:val="24"/>
        </w:rPr>
        <w:t>s cost of capital.</w:t>
      </w:r>
    </w:p>
    <w:p w:rsidR="0011181E" w:rsidRPr="0011181E" w:rsidRDefault="0011181E" w:rsidP="009921CA">
      <w:pPr>
        <w:pStyle w:val="FootnoteText"/>
        <w:rPr>
          <w:rFonts w:ascii="Times New Roman" w:hAnsi="Times New Roman"/>
          <w:b/>
          <w:color w:val="000000"/>
          <w:sz w:val="24"/>
          <w:szCs w:val="24"/>
        </w:rPr>
      </w:pPr>
      <w:r w:rsidRPr="0011181E">
        <w:rPr>
          <w:rFonts w:ascii="Times New Roman" w:hAnsi="Times New Roman"/>
          <w:b/>
          <w:color w:val="000000"/>
          <w:sz w:val="24"/>
          <w:szCs w:val="24"/>
        </w:rPr>
        <w:t>Q.</w:t>
      </w:r>
      <w:r w:rsidRPr="0011181E">
        <w:rPr>
          <w:rFonts w:ascii="Times New Roman" w:hAnsi="Times New Roman"/>
          <w:b/>
          <w:color w:val="000000"/>
          <w:sz w:val="24"/>
          <w:szCs w:val="24"/>
        </w:rPr>
        <w:tab/>
        <w:t>How does Mr. Elgin determine the growth rate in his DCF model?</w:t>
      </w:r>
    </w:p>
    <w:p w:rsidR="00A96FCC" w:rsidRDefault="0011181E" w:rsidP="009921CA">
      <w:pPr>
        <w:pStyle w:val="FootnoteText"/>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r>
      <w:r w:rsidR="00A96FCC">
        <w:rPr>
          <w:rFonts w:ascii="Times New Roman" w:hAnsi="Times New Roman"/>
          <w:color w:val="000000"/>
          <w:sz w:val="24"/>
          <w:szCs w:val="24"/>
        </w:rPr>
        <w:t xml:space="preserve">Mr. Elgin provides a summary of </w:t>
      </w:r>
      <w:r w:rsidR="00AC6FE5">
        <w:rPr>
          <w:rFonts w:ascii="Times New Roman" w:hAnsi="Times New Roman"/>
          <w:color w:val="000000"/>
          <w:sz w:val="24"/>
          <w:szCs w:val="24"/>
        </w:rPr>
        <w:t xml:space="preserve">four </w:t>
      </w:r>
      <w:r w:rsidR="003C18EA">
        <w:rPr>
          <w:rFonts w:ascii="Times New Roman" w:hAnsi="Times New Roman"/>
          <w:color w:val="000000"/>
          <w:sz w:val="24"/>
          <w:szCs w:val="24"/>
        </w:rPr>
        <w:t>“</w:t>
      </w:r>
      <w:r w:rsidR="00A96FCC">
        <w:rPr>
          <w:rFonts w:ascii="Times New Roman" w:hAnsi="Times New Roman"/>
          <w:color w:val="000000"/>
          <w:sz w:val="24"/>
          <w:szCs w:val="24"/>
        </w:rPr>
        <w:t>adjusted</w:t>
      </w:r>
      <w:r w:rsidR="003C18EA">
        <w:rPr>
          <w:rFonts w:ascii="Times New Roman" w:hAnsi="Times New Roman"/>
          <w:color w:val="000000"/>
          <w:sz w:val="24"/>
          <w:szCs w:val="24"/>
        </w:rPr>
        <w:t>”</w:t>
      </w:r>
      <w:r w:rsidR="00A96FCC">
        <w:rPr>
          <w:rFonts w:ascii="Times New Roman" w:hAnsi="Times New Roman"/>
          <w:color w:val="000000"/>
          <w:sz w:val="24"/>
          <w:szCs w:val="24"/>
        </w:rPr>
        <w:t xml:space="preserve"> growth rates in a table on page 38 of his testimony.  </w:t>
      </w:r>
      <w:r w:rsidR="004F084B">
        <w:rPr>
          <w:rFonts w:ascii="Times New Roman" w:hAnsi="Times New Roman"/>
          <w:color w:val="000000"/>
          <w:sz w:val="24"/>
          <w:szCs w:val="24"/>
        </w:rPr>
        <w:t xml:space="preserve">From that summary he concludes that investors can reasonably expect a long-term growth in dividends in the range of 4.50 percent to 5.00 percent.  </w:t>
      </w:r>
      <w:r w:rsidR="00036657">
        <w:rPr>
          <w:rFonts w:ascii="Times New Roman" w:hAnsi="Times New Roman"/>
          <w:color w:val="000000"/>
          <w:sz w:val="24"/>
          <w:szCs w:val="24"/>
        </w:rPr>
        <w:t>Although</w:t>
      </w:r>
      <w:r w:rsidR="00484BA6">
        <w:rPr>
          <w:rFonts w:ascii="Times New Roman" w:hAnsi="Times New Roman"/>
          <w:color w:val="000000"/>
          <w:sz w:val="24"/>
          <w:szCs w:val="24"/>
        </w:rPr>
        <w:t xml:space="preserve"> </w:t>
      </w:r>
      <w:r w:rsidR="00A96FCC">
        <w:rPr>
          <w:rFonts w:ascii="Times New Roman" w:hAnsi="Times New Roman"/>
          <w:color w:val="000000"/>
          <w:sz w:val="24"/>
          <w:szCs w:val="24"/>
        </w:rPr>
        <w:t>Mr. Elgin</w:t>
      </w:r>
      <w:r w:rsidR="00484BA6">
        <w:rPr>
          <w:rFonts w:ascii="Times New Roman" w:hAnsi="Times New Roman"/>
          <w:color w:val="000000"/>
          <w:sz w:val="24"/>
          <w:szCs w:val="24"/>
        </w:rPr>
        <w:t xml:space="preserve"> discusses numerous alternatives for growth rate data and claims to cite the Commission</w:t>
      </w:r>
      <w:r w:rsidR="003C18EA">
        <w:rPr>
          <w:rFonts w:ascii="Times New Roman" w:hAnsi="Times New Roman"/>
          <w:color w:val="000000"/>
          <w:sz w:val="24"/>
          <w:szCs w:val="24"/>
        </w:rPr>
        <w:t>’</w:t>
      </w:r>
      <w:r w:rsidR="00484BA6">
        <w:rPr>
          <w:rFonts w:ascii="Times New Roman" w:hAnsi="Times New Roman"/>
          <w:color w:val="000000"/>
          <w:sz w:val="24"/>
          <w:szCs w:val="24"/>
        </w:rPr>
        <w:t>s preference for a broadly based approach,</w:t>
      </w:r>
      <w:r w:rsidR="00484BA6">
        <w:rPr>
          <w:rStyle w:val="FootnoteReference"/>
          <w:rFonts w:ascii="Times New Roman" w:hAnsi="Times New Roman"/>
          <w:color w:val="000000"/>
          <w:szCs w:val="24"/>
        </w:rPr>
        <w:footnoteReference w:id="4"/>
      </w:r>
      <w:r w:rsidR="00484BA6">
        <w:rPr>
          <w:rFonts w:ascii="Times New Roman" w:hAnsi="Times New Roman"/>
          <w:color w:val="000000"/>
          <w:sz w:val="24"/>
          <w:szCs w:val="24"/>
        </w:rPr>
        <w:t xml:space="preserve"> his </w:t>
      </w:r>
      <w:r w:rsidR="00414E0C">
        <w:rPr>
          <w:rFonts w:ascii="Times New Roman" w:hAnsi="Times New Roman"/>
          <w:color w:val="000000"/>
          <w:sz w:val="24"/>
          <w:szCs w:val="24"/>
        </w:rPr>
        <w:t xml:space="preserve">use of the data is dominated by </w:t>
      </w:r>
      <w:r w:rsidR="00A96FCC">
        <w:rPr>
          <w:rFonts w:ascii="Times New Roman" w:hAnsi="Times New Roman"/>
          <w:color w:val="000000"/>
          <w:sz w:val="24"/>
          <w:szCs w:val="24"/>
        </w:rPr>
        <w:t xml:space="preserve">his own </w:t>
      </w:r>
      <w:r w:rsidR="00414E0C">
        <w:rPr>
          <w:rFonts w:ascii="Times New Roman" w:hAnsi="Times New Roman"/>
          <w:color w:val="000000"/>
          <w:sz w:val="24"/>
          <w:szCs w:val="24"/>
        </w:rPr>
        <w:t>subjective adjustments.</w:t>
      </w:r>
      <w:r w:rsidR="00D35452">
        <w:rPr>
          <w:rFonts w:ascii="Times New Roman" w:hAnsi="Times New Roman"/>
          <w:color w:val="000000"/>
          <w:sz w:val="24"/>
          <w:szCs w:val="24"/>
        </w:rPr>
        <w:t xml:space="preserve"> </w:t>
      </w:r>
    </w:p>
    <w:p w:rsidR="004E1AFE" w:rsidRDefault="0040780F" w:rsidP="00A96FCC">
      <w:pPr>
        <w:pStyle w:val="FootnoteText"/>
        <w:ind w:firstLine="720"/>
        <w:rPr>
          <w:rFonts w:ascii="Times New Roman" w:hAnsi="Times New Roman"/>
          <w:color w:val="000000"/>
          <w:sz w:val="24"/>
          <w:szCs w:val="24"/>
        </w:rPr>
      </w:pPr>
      <w:r>
        <w:rPr>
          <w:rFonts w:ascii="Times New Roman" w:hAnsi="Times New Roman"/>
          <w:color w:val="000000"/>
          <w:sz w:val="24"/>
          <w:szCs w:val="24"/>
        </w:rPr>
        <w:t xml:space="preserve">He begins by </w:t>
      </w:r>
      <w:r w:rsidR="004F084B">
        <w:rPr>
          <w:rFonts w:ascii="Times New Roman" w:hAnsi="Times New Roman"/>
          <w:color w:val="000000"/>
          <w:sz w:val="24"/>
          <w:szCs w:val="24"/>
        </w:rPr>
        <w:t>discussing</w:t>
      </w:r>
      <w:r>
        <w:rPr>
          <w:rFonts w:ascii="Times New Roman" w:hAnsi="Times New Roman"/>
          <w:color w:val="000000"/>
          <w:sz w:val="24"/>
          <w:szCs w:val="24"/>
        </w:rPr>
        <w:t xml:space="preserve"> Value Line</w:t>
      </w:r>
      <w:r w:rsidR="003C18EA">
        <w:rPr>
          <w:rFonts w:ascii="Times New Roman" w:hAnsi="Times New Roman"/>
          <w:color w:val="000000"/>
          <w:sz w:val="24"/>
          <w:szCs w:val="24"/>
        </w:rPr>
        <w:t>’</w:t>
      </w:r>
      <w:r>
        <w:rPr>
          <w:rFonts w:ascii="Times New Roman" w:hAnsi="Times New Roman"/>
          <w:color w:val="000000"/>
          <w:sz w:val="24"/>
          <w:szCs w:val="24"/>
        </w:rPr>
        <w:t xml:space="preserve">s 6.63 percent forecasted average dividend growth rate for his proxy group.  </w:t>
      </w:r>
      <w:r w:rsidR="00DA6DE6">
        <w:rPr>
          <w:rFonts w:ascii="Times New Roman" w:hAnsi="Times New Roman"/>
          <w:color w:val="000000"/>
          <w:sz w:val="24"/>
          <w:szCs w:val="24"/>
        </w:rPr>
        <w:t>H</w:t>
      </w:r>
      <w:r>
        <w:rPr>
          <w:rFonts w:ascii="Times New Roman" w:hAnsi="Times New Roman"/>
          <w:color w:val="000000"/>
          <w:sz w:val="24"/>
          <w:szCs w:val="24"/>
        </w:rPr>
        <w:t xml:space="preserve">e </w:t>
      </w:r>
      <w:r w:rsidR="00DA6DE6">
        <w:rPr>
          <w:rFonts w:ascii="Times New Roman" w:hAnsi="Times New Roman"/>
          <w:color w:val="000000"/>
          <w:sz w:val="24"/>
          <w:szCs w:val="24"/>
        </w:rPr>
        <w:t xml:space="preserve">then </w:t>
      </w:r>
      <w:r>
        <w:rPr>
          <w:rFonts w:ascii="Times New Roman" w:hAnsi="Times New Roman"/>
          <w:color w:val="000000"/>
          <w:sz w:val="24"/>
          <w:szCs w:val="24"/>
        </w:rPr>
        <w:t>adjusts the data for two of the seven companies—first by eliminating the two highest companies altogether, which reduce</w:t>
      </w:r>
      <w:r w:rsidR="004F084B">
        <w:rPr>
          <w:rFonts w:ascii="Times New Roman" w:hAnsi="Times New Roman"/>
          <w:color w:val="000000"/>
          <w:sz w:val="24"/>
          <w:szCs w:val="24"/>
        </w:rPr>
        <w:t>s</w:t>
      </w:r>
      <w:r>
        <w:rPr>
          <w:rFonts w:ascii="Times New Roman" w:hAnsi="Times New Roman"/>
          <w:color w:val="000000"/>
          <w:sz w:val="24"/>
          <w:szCs w:val="24"/>
        </w:rPr>
        <w:t xml:space="preserve"> the group average to 4.4 percent, and </w:t>
      </w:r>
      <w:r w:rsidR="00036657">
        <w:rPr>
          <w:rFonts w:ascii="Times New Roman" w:hAnsi="Times New Roman"/>
          <w:color w:val="000000"/>
          <w:sz w:val="24"/>
          <w:szCs w:val="24"/>
        </w:rPr>
        <w:t xml:space="preserve">in a </w:t>
      </w:r>
      <w:r>
        <w:rPr>
          <w:rFonts w:ascii="Times New Roman" w:hAnsi="Times New Roman"/>
          <w:color w:val="000000"/>
          <w:sz w:val="24"/>
          <w:szCs w:val="24"/>
        </w:rPr>
        <w:t xml:space="preserve">second </w:t>
      </w:r>
      <w:r w:rsidR="00036657">
        <w:rPr>
          <w:rFonts w:ascii="Times New Roman" w:hAnsi="Times New Roman"/>
          <w:color w:val="000000"/>
          <w:sz w:val="24"/>
          <w:szCs w:val="24"/>
        </w:rPr>
        <w:t xml:space="preserve">approach </w:t>
      </w:r>
      <w:r>
        <w:rPr>
          <w:rFonts w:ascii="Times New Roman" w:hAnsi="Times New Roman"/>
          <w:color w:val="000000"/>
          <w:sz w:val="24"/>
          <w:szCs w:val="24"/>
        </w:rPr>
        <w:t xml:space="preserve">by substituting lower growth rates for those companies.  From these </w:t>
      </w:r>
      <w:r w:rsidR="00DA6DE6">
        <w:rPr>
          <w:rFonts w:ascii="Times New Roman" w:hAnsi="Times New Roman"/>
          <w:color w:val="000000"/>
          <w:sz w:val="24"/>
          <w:szCs w:val="24"/>
        </w:rPr>
        <w:t xml:space="preserve">subjectively </w:t>
      </w:r>
      <w:r>
        <w:rPr>
          <w:rFonts w:ascii="Times New Roman" w:hAnsi="Times New Roman"/>
          <w:color w:val="000000"/>
          <w:sz w:val="24"/>
          <w:szCs w:val="24"/>
        </w:rPr>
        <w:t xml:space="preserve">adjusted results, he concludes that </w:t>
      </w:r>
      <w:r w:rsidR="003C18EA">
        <w:rPr>
          <w:rFonts w:ascii="Times New Roman" w:hAnsi="Times New Roman"/>
          <w:color w:val="000000"/>
          <w:sz w:val="24"/>
          <w:szCs w:val="24"/>
        </w:rPr>
        <w:t>“</w:t>
      </w:r>
      <w:r>
        <w:rPr>
          <w:rFonts w:ascii="Times New Roman" w:hAnsi="Times New Roman"/>
          <w:color w:val="000000"/>
          <w:sz w:val="24"/>
          <w:szCs w:val="24"/>
        </w:rPr>
        <w:t>a reasonable expectation</w:t>
      </w:r>
      <w:r w:rsidR="003C18EA">
        <w:rPr>
          <w:rFonts w:ascii="Times New Roman" w:hAnsi="Times New Roman"/>
          <w:color w:val="000000"/>
          <w:sz w:val="24"/>
          <w:szCs w:val="24"/>
        </w:rPr>
        <w:t>”</w:t>
      </w:r>
      <w:r>
        <w:rPr>
          <w:rFonts w:ascii="Times New Roman" w:hAnsi="Times New Roman"/>
          <w:color w:val="000000"/>
          <w:sz w:val="24"/>
          <w:szCs w:val="24"/>
        </w:rPr>
        <w:t xml:space="preserve"> for dividend growt</w:t>
      </w:r>
      <w:r w:rsidR="000C76AC">
        <w:rPr>
          <w:rFonts w:ascii="Times New Roman" w:hAnsi="Times New Roman"/>
          <w:color w:val="000000"/>
          <w:sz w:val="24"/>
          <w:szCs w:val="24"/>
        </w:rPr>
        <w:t>h for his group is 4.75 percent</w:t>
      </w:r>
      <w:r>
        <w:rPr>
          <w:rFonts w:ascii="Times New Roman" w:hAnsi="Times New Roman"/>
          <w:color w:val="000000"/>
          <w:sz w:val="24"/>
          <w:szCs w:val="24"/>
        </w:rPr>
        <w:t xml:space="preserve"> (Elgin at 31, lines 3-4.)</w:t>
      </w:r>
      <w:r w:rsidR="000C76AC">
        <w:rPr>
          <w:rFonts w:ascii="Times New Roman" w:hAnsi="Times New Roman"/>
          <w:color w:val="000000"/>
          <w:sz w:val="24"/>
          <w:szCs w:val="24"/>
        </w:rPr>
        <w:t xml:space="preserve">, versus the 6.63 percent average </w:t>
      </w:r>
      <w:r w:rsidR="004F084B">
        <w:rPr>
          <w:rFonts w:ascii="Times New Roman" w:hAnsi="Times New Roman"/>
          <w:color w:val="000000"/>
          <w:sz w:val="24"/>
          <w:szCs w:val="24"/>
        </w:rPr>
        <w:t xml:space="preserve">from </w:t>
      </w:r>
      <w:r w:rsidR="000C76AC">
        <w:rPr>
          <w:rFonts w:ascii="Times New Roman" w:hAnsi="Times New Roman"/>
          <w:color w:val="000000"/>
          <w:sz w:val="24"/>
          <w:szCs w:val="24"/>
        </w:rPr>
        <w:t>Value Line</w:t>
      </w:r>
      <w:r w:rsidR="003C18EA">
        <w:rPr>
          <w:rFonts w:ascii="Times New Roman" w:hAnsi="Times New Roman"/>
          <w:color w:val="000000"/>
          <w:sz w:val="24"/>
          <w:szCs w:val="24"/>
        </w:rPr>
        <w:t>’</w:t>
      </w:r>
      <w:r w:rsidR="000C76AC">
        <w:rPr>
          <w:rFonts w:ascii="Times New Roman" w:hAnsi="Times New Roman"/>
          <w:color w:val="000000"/>
          <w:sz w:val="24"/>
          <w:szCs w:val="24"/>
        </w:rPr>
        <w:t>s reported data.</w:t>
      </w:r>
    </w:p>
    <w:p w:rsidR="0011181E" w:rsidRDefault="004E1AFE" w:rsidP="004E1AFE">
      <w:pPr>
        <w:pStyle w:val="FootnoteText"/>
        <w:ind w:firstLine="720"/>
        <w:rPr>
          <w:rFonts w:ascii="Times New Roman" w:hAnsi="Times New Roman"/>
          <w:color w:val="000000"/>
          <w:sz w:val="24"/>
          <w:szCs w:val="24"/>
        </w:rPr>
      </w:pPr>
      <w:r>
        <w:rPr>
          <w:rFonts w:ascii="Times New Roman" w:hAnsi="Times New Roman"/>
          <w:color w:val="000000"/>
          <w:sz w:val="24"/>
          <w:szCs w:val="24"/>
        </w:rPr>
        <w:t xml:space="preserve">Next he </w:t>
      </w:r>
      <w:r w:rsidR="000C76AC">
        <w:rPr>
          <w:rFonts w:ascii="Times New Roman" w:hAnsi="Times New Roman"/>
          <w:color w:val="000000"/>
          <w:sz w:val="24"/>
          <w:szCs w:val="24"/>
        </w:rPr>
        <w:t xml:space="preserve">reviews </w:t>
      </w:r>
      <w:r>
        <w:rPr>
          <w:rFonts w:ascii="Times New Roman" w:hAnsi="Times New Roman"/>
          <w:color w:val="000000"/>
          <w:sz w:val="24"/>
          <w:szCs w:val="24"/>
        </w:rPr>
        <w:t>Val</w:t>
      </w:r>
      <w:r w:rsidR="002C2EB5">
        <w:rPr>
          <w:rFonts w:ascii="Times New Roman" w:hAnsi="Times New Roman"/>
          <w:color w:val="000000"/>
          <w:sz w:val="24"/>
          <w:szCs w:val="24"/>
        </w:rPr>
        <w:t>ue Line</w:t>
      </w:r>
      <w:r w:rsidR="003C18EA">
        <w:rPr>
          <w:rFonts w:ascii="Times New Roman" w:hAnsi="Times New Roman"/>
          <w:color w:val="000000"/>
          <w:sz w:val="24"/>
          <w:szCs w:val="24"/>
        </w:rPr>
        <w:t>’</w:t>
      </w:r>
      <w:r w:rsidR="002C2EB5">
        <w:rPr>
          <w:rFonts w:ascii="Times New Roman" w:hAnsi="Times New Roman"/>
          <w:color w:val="000000"/>
          <w:sz w:val="24"/>
          <w:szCs w:val="24"/>
        </w:rPr>
        <w:t>s</w:t>
      </w:r>
      <w:r w:rsidR="000C76AC">
        <w:rPr>
          <w:rFonts w:ascii="Times New Roman" w:hAnsi="Times New Roman"/>
          <w:color w:val="000000"/>
          <w:sz w:val="24"/>
          <w:szCs w:val="24"/>
        </w:rPr>
        <w:t xml:space="preserve"> forecast </w:t>
      </w:r>
      <w:r w:rsidR="004F084B">
        <w:rPr>
          <w:rFonts w:ascii="Times New Roman" w:hAnsi="Times New Roman"/>
          <w:color w:val="000000"/>
          <w:sz w:val="24"/>
          <w:szCs w:val="24"/>
        </w:rPr>
        <w:t>for</w:t>
      </w:r>
      <w:r>
        <w:rPr>
          <w:rFonts w:ascii="Times New Roman" w:hAnsi="Times New Roman"/>
          <w:color w:val="000000"/>
          <w:sz w:val="24"/>
          <w:szCs w:val="24"/>
        </w:rPr>
        <w:t xml:space="preserve"> </w:t>
      </w:r>
      <w:r w:rsidR="002C2EB5">
        <w:rPr>
          <w:rFonts w:ascii="Times New Roman" w:hAnsi="Times New Roman"/>
          <w:color w:val="000000"/>
          <w:sz w:val="24"/>
          <w:szCs w:val="24"/>
        </w:rPr>
        <w:t xml:space="preserve">book value </w:t>
      </w:r>
      <w:r>
        <w:rPr>
          <w:rFonts w:ascii="Times New Roman" w:hAnsi="Times New Roman"/>
          <w:color w:val="000000"/>
          <w:sz w:val="24"/>
          <w:szCs w:val="24"/>
        </w:rPr>
        <w:t xml:space="preserve">growth </w:t>
      </w:r>
      <w:r w:rsidR="000C76AC">
        <w:rPr>
          <w:rFonts w:ascii="Times New Roman" w:hAnsi="Times New Roman"/>
          <w:color w:val="000000"/>
          <w:sz w:val="24"/>
          <w:szCs w:val="24"/>
        </w:rPr>
        <w:t>and obtains a</w:t>
      </w:r>
      <w:r w:rsidR="004F084B">
        <w:rPr>
          <w:rFonts w:ascii="Times New Roman" w:hAnsi="Times New Roman"/>
          <w:color w:val="000000"/>
          <w:sz w:val="24"/>
          <w:szCs w:val="24"/>
        </w:rPr>
        <w:t xml:space="preserve"> group</w:t>
      </w:r>
      <w:r w:rsidR="000C76AC">
        <w:rPr>
          <w:rFonts w:ascii="Times New Roman" w:hAnsi="Times New Roman"/>
          <w:color w:val="000000"/>
          <w:sz w:val="24"/>
          <w:szCs w:val="24"/>
        </w:rPr>
        <w:t xml:space="preserve"> average of 4.14 percent</w:t>
      </w:r>
      <w:r>
        <w:rPr>
          <w:rFonts w:ascii="Times New Roman" w:hAnsi="Times New Roman"/>
          <w:color w:val="000000"/>
          <w:sz w:val="24"/>
          <w:szCs w:val="24"/>
        </w:rPr>
        <w:t xml:space="preserve">.  He notes that the estimate for Portland General is </w:t>
      </w:r>
      <w:r w:rsidR="003C18EA">
        <w:rPr>
          <w:rFonts w:ascii="Times New Roman" w:hAnsi="Times New Roman"/>
          <w:color w:val="000000"/>
          <w:sz w:val="24"/>
          <w:szCs w:val="24"/>
        </w:rPr>
        <w:t>“</w:t>
      </w:r>
      <w:r>
        <w:rPr>
          <w:rFonts w:ascii="Times New Roman" w:hAnsi="Times New Roman"/>
          <w:color w:val="000000"/>
          <w:sz w:val="24"/>
          <w:szCs w:val="24"/>
        </w:rPr>
        <w:t>extremely low</w:t>
      </w:r>
      <w:r w:rsidR="003C18EA">
        <w:rPr>
          <w:rFonts w:ascii="Times New Roman" w:hAnsi="Times New Roman"/>
          <w:color w:val="000000"/>
          <w:sz w:val="24"/>
          <w:szCs w:val="24"/>
        </w:rPr>
        <w:t>”</w:t>
      </w:r>
      <w:r w:rsidR="005D76FA">
        <w:rPr>
          <w:rFonts w:ascii="Times New Roman" w:hAnsi="Times New Roman"/>
          <w:color w:val="000000"/>
          <w:sz w:val="24"/>
          <w:szCs w:val="24"/>
        </w:rPr>
        <w:t xml:space="preserve"> (2.5</w:t>
      </w:r>
      <w:r w:rsidR="0040715E">
        <w:rPr>
          <w:rFonts w:ascii="Times New Roman" w:hAnsi="Times New Roman"/>
          <w:color w:val="000000"/>
          <w:sz w:val="24"/>
          <w:szCs w:val="24"/>
        </w:rPr>
        <w:t>%</w:t>
      </w:r>
      <w:r>
        <w:rPr>
          <w:rFonts w:ascii="Times New Roman" w:hAnsi="Times New Roman"/>
          <w:color w:val="000000"/>
          <w:sz w:val="24"/>
          <w:szCs w:val="24"/>
        </w:rPr>
        <w:t>) and determines that without Portland General the average would be 4.41 percent.  From this result, he concludes that growth in book value should be no more than 4.50 percent.  While this upward adjustment might seem reason</w:t>
      </w:r>
      <w:r w:rsidR="004441A8">
        <w:rPr>
          <w:rFonts w:ascii="Times New Roman" w:hAnsi="Times New Roman"/>
          <w:color w:val="000000"/>
          <w:sz w:val="24"/>
          <w:szCs w:val="24"/>
        </w:rPr>
        <w:t>able</w:t>
      </w:r>
      <w:r w:rsidR="004F084B">
        <w:rPr>
          <w:rFonts w:ascii="Times New Roman" w:hAnsi="Times New Roman"/>
          <w:color w:val="000000"/>
          <w:sz w:val="24"/>
          <w:szCs w:val="24"/>
        </w:rPr>
        <w:t xml:space="preserve"> or </w:t>
      </w:r>
      <w:r w:rsidR="002C2EB5">
        <w:rPr>
          <w:rFonts w:ascii="Times New Roman" w:hAnsi="Times New Roman"/>
          <w:color w:val="000000"/>
          <w:sz w:val="24"/>
          <w:szCs w:val="24"/>
        </w:rPr>
        <w:t xml:space="preserve">even </w:t>
      </w:r>
      <w:r>
        <w:rPr>
          <w:rFonts w:ascii="Times New Roman" w:hAnsi="Times New Roman"/>
          <w:color w:val="000000"/>
          <w:sz w:val="24"/>
          <w:szCs w:val="24"/>
        </w:rPr>
        <w:t>generous on Mr. Elgin</w:t>
      </w:r>
      <w:r w:rsidR="003C18EA">
        <w:rPr>
          <w:rFonts w:ascii="Times New Roman" w:hAnsi="Times New Roman"/>
          <w:color w:val="000000"/>
          <w:sz w:val="24"/>
          <w:szCs w:val="24"/>
        </w:rPr>
        <w:t>’</w:t>
      </w:r>
      <w:r>
        <w:rPr>
          <w:rFonts w:ascii="Times New Roman" w:hAnsi="Times New Roman"/>
          <w:color w:val="000000"/>
          <w:sz w:val="24"/>
          <w:szCs w:val="24"/>
        </w:rPr>
        <w:t xml:space="preserve">s part, </w:t>
      </w:r>
      <w:r w:rsidR="002C2EB5">
        <w:rPr>
          <w:rFonts w:ascii="Times New Roman" w:hAnsi="Times New Roman"/>
          <w:color w:val="000000"/>
          <w:sz w:val="24"/>
          <w:szCs w:val="24"/>
        </w:rPr>
        <w:t>it is not.  In fact, h</w:t>
      </w:r>
      <w:r>
        <w:rPr>
          <w:rFonts w:ascii="Times New Roman" w:hAnsi="Times New Roman"/>
          <w:color w:val="000000"/>
          <w:sz w:val="24"/>
          <w:szCs w:val="24"/>
        </w:rPr>
        <w:t>ad he simply averaged Value Line</w:t>
      </w:r>
      <w:r w:rsidR="003C18EA">
        <w:rPr>
          <w:rFonts w:ascii="Times New Roman" w:hAnsi="Times New Roman"/>
          <w:color w:val="000000"/>
          <w:sz w:val="24"/>
          <w:szCs w:val="24"/>
        </w:rPr>
        <w:t>’</w:t>
      </w:r>
      <w:r>
        <w:rPr>
          <w:rFonts w:ascii="Times New Roman" w:hAnsi="Times New Roman"/>
          <w:color w:val="000000"/>
          <w:sz w:val="24"/>
          <w:szCs w:val="24"/>
        </w:rPr>
        <w:t>s unadjusted dividend growth with Value Line</w:t>
      </w:r>
      <w:r w:rsidR="003C18EA">
        <w:rPr>
          <w:rFonts w:ascii="Times New Roman" w:hAnsi="Times New Roman"/>
          <w:color w:val="000000"/>
          <w:sz w:val="24"/>
          <w:szCs w:val="24"/>
        </w:rPr>
        <w:t>’</w:t>
      </w:r>
      <w:r>
        <w:rPr>
          <w:rFonts w:ascii="Times New Roman" w:hAnsi="Times New Roman"/>
          <w:color w:val="000000"/>
          <w:sz w:val="24"/>
          <w:szCs w:val="24"/>
        </w:rPr>
        <w:t>s unadjusted book value growth, the result wou</w:t>
      </w:r>
      <w:r w:rsidR="005D76FA">
        <w:rPr>
          <w:rFonts w:ascii="Times New Roman" w:hAnsi="Times New Roman"/>
          <w:color w:val="000000"/>
          <w:sz w:val="24"/>
          <w:szCs w:val="24"/>
        </w:rPr>
        <w:t>ld</w:t>
      </w:r>
      <w:r w:rsidR="0040715E">
        <w:rPr>
          <w:rFonts w:ascii="Times New Roman" w:hAnsi="Times New Roman"/>
          <w:color w:val="000000"/>
          <w:sz w:val="24"/>
          <w:szCs w:val="24"/>
        </w:rPr>
        <w:t xml:space="preserve"> have been 5.39 percent (6.63%</w:t>
      </w:r>
      <w:r w:rsidR="005D76FA">
        <w:rPr>
          <w:rFonts w:ascii="Times New Roman" w:hAnsi="Times New Roman"/>
          <w:color w:val="000000"/>
          <w:sz w:val="24"/>
          <w:szCs w:val="24"/>
        </w:rPr>
        <w:t xml:space="preserve"> + 4.14</w:t>
      </w:r>
      <w:r w:rsidR="0040715E">
        <w:rPr>
          <w:rFonts w:ascii="Times New Roman" w:hAnsi="Times New Roman"/>
          <w:color w:val="000000"/>
          <w:sz w:val="24"/>
          <w:szCs w:val="24"/>
        </w:rPr>
        <w:t>%</w:t>
      </w:r>
      <w:r w:rsidR="005D76FA">
        <w:rPr>
          <w:rFonts w:ascii="Times New Roman" w:hAnsi="Times New Roman"/>
          <w:color w:val="000000"/>
          <w:sz w:val="24"/>
          <w:szCs w:val="24"/>
        </w:rPr>
        <w:t xml:space="preserve"> / 2 = 5.39</w:t>
      </w:r>
      <w:r w:rsidR="0040715E">
        <w:rPr>
          <w:rFonts w:ascii="Times New Roman" w:hAnsi="Times New Roman"/>
          <w:color w:val="000000"/>
          <w:sz w:val="24"/>
          <w:szCs w:val="24"/>
        </w:rPr>
        <w:t>%</w:t>
      </w:r>
      <w:r>
        <w:rPr>
          <w:rFonts w:ascii="Times New Roman" w:hAnsi="Times New Roman"/>
          <w:color w:val="000000"/>
          <w:sz w:val="24"/>
          <w:szCs w:val="24"/>
        </w:rPr>
        <w:t>)</w:t>
      </w:r>
      <w:r w:rsidR="004441A8">
        <w:rPr>
          <w:rFonts w:ascii="Times New Roman" w:hAnsi="Times New Roman"/>
          <w:color w:val="000000"/>
          <w:sz w:val="24"/>
          <w:szCs w:val="24"/>
        </w:rPr>
        <w:t xml:space="preserve">, </w:t>
      </w:r>
      <w:r w:rsidR="002C2EB5">
        <w:rPr>
          <w:rFonts w:ascii="Times New Roman" w:hAnsi="Times New Roman"/>
          <w:color w:val="000000"/>
          <w:sz w:val="24"/>
          <w:szCs w:val="24"/>
        </w:rPr>
        <w:t xml:space="preserve">which is </w:t>
      </w:r>
      <w:r w:rsidR="004441A8">
        <w:rPr>
          <w:rFonts w:ascii="Times New Roman" w:hAnsi="Times New Roman"/>
          <w:color w:val="000000"/>
          <w:sz w:val="24"/>
          <w:szCs w:val="24"/>
        </w:rPr>
        <w:t>well above his adjusted estimate</w:t>
      </w:r>
      <w:r w:rsidR="002C2EB5">
        <w:rPr>
          <w:rFonts w:ascii="Times New Roman" w:hAnsi="Times New Roman"/>
          <w:color w:val="000000"/>
          <w:sz w:val="24"/>
          <w:szCs w:val="24"/>
        </w:rPr>
        <w:t>s</w:t>
      </w:r>
      <w:r w:rsidR="004441A8">
        <w:rPr>
          <w:rFonts w:ascii="Times New Roman" w:hAnsi="Times New Roman"/>
          <w:color w:val="000000"/>
          <w:sz w:val="24"/>
          <w:szCs w:val="24"/>
        </w:rPr>
        <w:t xml:space="preserve"> for either dividend </w:t>
      </w:r>
      <w:r w:rsidR="002C2EB5">
        <w:rPr>
          <w:rFonts w:ascii="Times New Roman" w:hAnsi="Times New Roman"/>
          <w:color w:val="000000"/>
          <w:sz w:val="24"/>
          <w:szCs w:val="24"/>
        </w:rPr>
        <w:t xml:space="preserve">growth </w:t>
      </w:r>
      <w:r w:rsidR="004441A8">
        <w:rPr>
          <w:rFonts w:ascii="Times New Roman" w:hAnsi="Times New Roman"/>
          <w:color w:val="000000"/>
          <w:sz w:val="24"/>
          <w:szCs w:val="24"/>
        </w:rPr>
        <w:t>or book value growth</w:t>
      </w:r>
      <w:r>
        <w:rPr>
          <w:rFonts w:ascii="Times New Roman" w:hAnsi="Times New Roman"/>
          <w:color w:val="000000"/>
          <w:sz w:val="24"/>
          <w:szCs w:val="24"/>
        </w:rPr>
        <w:t>.</w:t>
      </w:r>
    </w:p>
    <w:p w:rsidR="004441A8" w:rsidRDefault="004441A8" w:rsidP="004E1AFE">
      <w:pPr>
        <w:pStyle w:val="FootnoteText"/>
        <w:ind w:firstLine="720"/>
        <w:rPr>
          <w:rFonts w:ascii="Times New Roman" w:hAnsi="Times New Roman"/>
          <w:color w:val="000000"/>
          <w:sz w:val="24"/>
          <w:szCs w:val="24"/>
        </w:rPr>
      </w:pPr>
      <w:r>
        <w:rPr>
          <w:rFonts w:ascii="Times New Roman" w:hAnsi="Times New Roman"/>
          <w:color w:val="000000"/>
          <w:sz w:val="24"/>
          <w:szCs w:val="24"/>
        </w:rPr>
        <w:t xml:space="preserve">For his third growth rate, </w:t>
      </w:r>
      <w:r w:rsidR="004F084B">
        <w:rPr>
          <w:rFonts w:ascii="Times New Roman" w:hAnsi="Times New Roman"/>
          <w:color w:val="000000"/>
          <w:sz w:val="24"/>
          <w:szCs w:val="24"/>
        </w:rPr>
        <w:t>Mr. Elgin</w:t>
      </w:r>
      <w:r>
        <w:rPr>
          <w:rFonts w:ascii="Times New Roman" w:hAnsi="Times New Roman"/>
          <w:color w:val="000000"/>
          <w:sz w:val="24"/>
          <w:szCs w:val="24"/>
        </w:rPr>
        <w:t xml:space="preserve"> </w:t>
      </w:r>
      <w:r w:rsidR="002C2EB5">
        <w:rPr>
          <w:rFonts w:ascii="Times New Roman" w:hAnsi="Times New Roman"/>
          <w:color w:val="000000"/>
          <w:sz w:val="24"/>
          <w:szCs w:val="24"/>
        </w:rPr>
        <w:t>uses</w:t>
      </w:r>
      <w:r>
        <w:rPr>
          <w:rFonts w:ascii="Times New Roman" w:hAnsi="Times New Roman"/>
          <w:color w:val="000000"/>
          <w:sz w:val="24"/>
          <w:szCs w:val="24"/>
        </w:rPr>
        <w:t xml:space="preserve"> Value Line</w:t>
      </w:r>
      <w:r w:rsidR="003C18EA">
        <w:rPr>
          <w:rFonts w:ascii="Times New Roman" w:hAnsi="Times New Roman"/>
          <w:color w:val="000000"/>
          <w:sz w:val="24"/>
          <w:szCs w:val="24"/>
        </w:rPr>
        <w:t>’</w:t>
      </w:r>
      <w:r>
        <w:rPr>
          <w:rFonts w:ascii="Times New Roman" w:hAnsi="Times New Roman"/>
          <w:color w:val="000000"/>
          <w:sz w:val="24"/>
          <w:szCs w:val="24"/>
        </w:rPr>
        <w:t xml:space="preserve">s </w:t>
      </w:r>
      <w:r w:rsidR="003C18EA">
        <w:rPr>
          <w:rFonts w:ascii="Times New Roman" w:hAnsi="Times New Roman"/>
          <w:color w:val="000000"/>
          <w:sz w:val="24"/>
          <w:szCs w:val="24"/>
        </w:rPr>
        <w:t>“</w:t>
      </w:r>
      <w:r>
        <w:rPr>
          <w:rFonts w:ascii="Times New Roman" w:hAnsi="Times New Roman"/>
          <w:color w:val="000000"/>
          <w:sz w:val="24"/>
          <w:szCs w:val="24"/>
        </w:rPr>
        <w:t>b times r</w:t>
      </w:r>
      <w:r w:rsidR="003C18EA">
        <w:rPr>
          <w:rFonts w:ascii="Times New Roman" w:hAnsi="Times New Roman"/>
          <w:color w:val="000000"/>
          <w:sz w:val="24"/>
          <w:szCs w:val="24"/>
        </w:rPr>
        <w:t>”</w:t>
      </w:r>
      <w:r>
        <w:rPr>
          <w:rFonts w:ascii="Times New Roman" w:hAnsi="Times New Roman"/>
          <w:color w:val="000000"/>
          <w:sz w:val="24"/>
          <w:szCs w:val="24"/>
        </w:rPr>
        <w:t xml:space="preserve"> (earnings retention </w:t>
      </w:r>
      <w:r w:rsidR="000C76AC">
        <w:rPr>
          <w:rFonts w:ascii="Times New Roman" w:hAnsi="Times New Roman"/>
          <w:color w:val="000000"/>
          <w:sz w:val="24"/>
          <w:szCs w:val="24"/>
        </w:rPr>
        <w:t xml:space="preserve">rate </w:t>
      </w:r>
      <w:r w:rsidR="003C18EA">
        <w:rPr>
          <w:rFonts w:ascii="Times New Roman" w:hAnsi="Times New Roman"/>
          <w:color w:val="000000"/>
          <w:sz w:val="24"/>
          <w:szCs w:val="24"/>
        </w:rPr>
        <w:t>“</w:t>
      </w:r>
      <w:r w:rsidR="004F084B">
        <w:rPr>
          <w:rFonts w:ascii="Times New Roman" w:hAnsi="Times New Roman"/>
          <w:color w:val="000000"/>
          <w:sz w:val="24"/>
          <w:szCs w:val="24"/>
        </w:rPr>
        <w:t>b</w:t>
      </w:r>
      <w:r w:rsidR="003C18EA">
        <w:rPr>
          <w:rFonts w:ascii="Times New Roman" w:hAnsi="Times New Roman"/>
          <w:color w:val="000000"/>
          <w:sz w:val="24"/>
          <w:szCs w:val="24"/>
        </w:rPr>
        <w:t>”</w:t>
      </w:r>
      <w:r w:rsidR="004F084B">
        <w:rPr>
          <w:rFonts w:ascii="Times New Roman" w:hAnsi="Times New Roman"/>
          <w:color w:val="000000"/>
          <w:sz w:val="24"/>
          <w:szCs w:val="24"/>
        </w:rPr>
        <w:t xml:space="preserve"> times </w:t>
      </w:r>
      <w:r>
        <w:rPr>
          <w:rFonts w:ascii="Times New Roman" w:hAnsi="Times New Roman"/>
          <w:color w:val="000000"/>
          <w:sz w:val="24"/>
          <w:szCs w:val="24"/>
        </w:rPr>
        <w:t>earned rate of return on equity</w:t>
      </w:r>
      <w:r w:rsidR="004F084B">
        <w:rPr>
          <w:rFonts w:ascii="Times New Roman" w:hAnsi="Times New Roman"/>
          <w:color w:val="000000"/>
          <w:sz w:val="24"/>
          <w:szCs w:val="24"/>
        </w:rPr>
        <w:t xml:space="preserve"> </w:t>
      </w:r>
      <w:r w:rsidR="003C18EA">
        <w:rPr>
          <w:rFonts w:ascii="Times New Roman" w:hAnsi="Times New Roman"/>
          <w:color w:val="000000"/>
          <w:sz w:val="24"/>
          <w:szCs w:val="24"/>
        </w:rPr>
        <w:t>“</w:t>
      </w:r>
      <w:r w:rsidR="004F084B">
        <w:rPr>
          <w:rFonts w:ascii="Times New Roman" w:hAnsi="Times New Roman"/>
          <w:color w:val="000000"/>
          <w:sz w:val="24"/>
          <w:szCs w:val="24"/>
        </w:rPr>
        <w:t>r</w:t>
      </w:r>
      <w:r w:rsidR="003C18EA">
        <w:rPr>
          <w:rFonts w:ascii="Times New Roman" w:hAnsi="Times New Roman"/>
          <w:color w:val="000000"/>
          <w:sz w:val="24"/>
          <w:szCs w:val="24"/>
        </w:rPr>
        <w:t>”</w:t>
      </w:r>
      <w:r>
        <w:rPr>
          <w:rFonts w:ascii="Times New Roman" w:hAnsi="Times New Roman"/>
          <w:color w:val="000000"/>
          <w:sz w:val="24"/>
          <w:szCs w:val="24"/>
        </w:rPr>
        <w:t>) data.  For IdaCorp</w:t>
      </w:r>
      <w:r w:rsidR="007952DC">
        <w:rPr>
          <w:rFonts w:ascii="Times New Roman" w:hAnsi="Times New Roman"/>
          <w:color w:val="000000"/>
          <w:sz w:val="24"/>
          <w:szCs w:val="24"/>
        </w:rPr>
        <w:t xml:space="preserve"> and Portland General</w:t>
      </w:r>
      <w:r>
        <w:rPr>
          <w:rFonts w:ascii="Times New Roman" w:hAnsi="Times New Roman"/>
          <w:color w:val="000000"/>
          <w:sz w:val="24"/>
          <w:szCs w:val="24"/>
        </w:rPr>
        <w:t xml:space="preserve">, he determines that the projected </w:t>
      </w:r>
      <w:r w:rsidR="003C18EA">
        <w:rPr>
          <w:rFonts w:ascii="Times New Roman" w:hAnsi="Times New Roman"/>
          <w:color w:val="000000"/>
          <w:sz w:val="24"/>
          <w:szCs w:val="24"/>
        </w:rPr>
        <w:t>“</w:t>
      </w:r>
      <w:r w:rsidR="002C2EB5">
        <w:rPr>
          <w:rFonts w:ascii="Times New Roman" w:hAnsi="Times New Roman"/>
          <w:color w:val="000000"/>
          <w:sz w:val="24"/>
          <w:szCs w:val="24"/>
        </w:rPr>
        <w:t>r</w:t>
      </w:r>
      <w:r w:rsidR="003C18EA">
        <w:rPr>
          <w:rFonts w:ascii="Times New Roman" w:hAnsi="Times New Roman"/>
          <w:color w:val="000000"/>
          <w:sz w:val="24"/>
          <w:szCs w:val="24"/>
        </w:rPr>
        <w:t>”</w:t>
      </w:r>
      <w:r w:rsidR="002C2EB5">
        <w:rPr>
          <w:rFonts w:ascii="Times New Roman" w:hAnsi="Times New Roman"/>
          <w:color w:val="000000"/>
          <w:sz w:val="24"/>
          <w:szCs w:val="24"/>
        </w:rPr>
        <w:t xml:space="preserve"> values</w:t>
      </w:r>
      <w:r>
        <w:rPr>
          <w:rFonts w:ascii="Times New Roman" w:hAnsi="Times New Roman"/>
          <w:color w:val="000000"/>
          <w:sz w:val="24"/>
          <w:szCs w:val="24"/>
        </w:rPr>
        <w:t xml:space="preserve">, at 7.5 percent </w:t>
      </w:r>
      <w:r w:rsidR="007952DC">
        <w:rPr>
          <w:rFonts w:ascii="Times New Roman" w:hAnsi="Times New Roman"/>
          <w:color w:val="000000"/>
          <w:sz w:val="24"/>
          <w:szCs w:val="24"/>
        </w:rPr>
        <w:t>and 8.5 percent</w:t>
      </w:r>
      <w:r w:rsidR="008E4820">
        <w:rPr>
          <w:rFonts w:ascii="Times New Roman" w:hAnsi="Times New Roman"/>
          <w:color w:val="000000"/>
          <w:sz w:val="24"/>
          <w:szCs w:val="24"/>
        </w:rPr>
        <w:t>, respectively,</w:t>
      </w:r>
      <w:r w:rsidR="007952DC">
        <w:rPr>
          <w:rFonts w:ascii="Times New Roman" w:hAnsi="Times New Roman"/>
          <w:color w:val="000000"/>
          <w:sz w:val="24"/>
          <w:szCs w:val="24"/>
        </w:rPr>
        <w:t xml:space="preserve"> are</w:t>
      </w:r>
      <w:r>
        <w:rPr>
          <w:rFonts w:ascii="Times New Roman" w:hAnsi="Times New Roman"/>
          <w:color w:val="000000"/>
          <w:sz w:val="24"/>
          <w:szCs w:val="24"/>
        </w:rPr>
        <w:t xml:space="preserve"> too low</w:t>
      </w:r>
      <w:r w:rsidR="002C2EB5">
        <w:rPr>
          <w:rFonts w:ascii="Times New Roman" w:hAnsi="Times New Roman"/>
          <w:color w:val="000000"/>
          <w:sz w:val="24"/>
          <w:szCs w:val="24"/>
        </w:rPr>
        <w:t xml:space="preserve">. </w:t>
      </w:r>
      <w:r>
        <w:rPr>
          <w:rFonts w:ascii="Times New Roman" w:hAnsi="Times New Roman"/>
          <w:color w:val="000000"/>
          <w:sz w:val="24"/>
          <w:szCs w:val="24"/>
        </w:rPr>
        <w:t xml:space="preserve"> </w:t>
      </w:r>
      <w:r w:rsidR="002C2EB5">
        <w:rPr>
          <w:rFonts w:ascii="Times New Roman" w:hAnsi="Times New Roman"/>
          <w:color w:val="000000"/>
          <w:sz w:val="24"/>
          <w:szCs w:val="24"/>
        </w:rPr>
        <w:t>He then</w:t>
      </w:r>
      <w:r>
        <w:rPr>
          <w:rFonts w:ascii="Times New Roman" w:hAnsi="Times New Roman"/>
          <w:color w:val="000000"/>
          <w:sz w:val="24"/>
          <w:szCs w:val="24"/>
        </w:rPr>
        <w:t xml:space="preserve"> replaces th</w:t>
      </w:r>
      <w:r w:rsidR="002C2EB5">
        <w:rPr>
          <w:rFonts w:ascii="Times New Roman" w:hAnsi="Times New Roman"/>
          <w:color w:val="000000"/>
          <w:sz w:val="24"/>
          <w:szCs w:val="24"/>
        </w:rPr>
        <w:t>ose values</w:t>
      </w:r>
      <w:r w:rsidR="007952DC">
        <w:rPr>
          <w:rFonts w:ascii="Times New Roman" w:hAnsi="Times New Roman"/>
          <w:color w:val="000000"/>
          <w:sz w:val="24"/>
          <w:szCs w:val="24"/>
        </w:rPr>
        <w:t xml:space="preserve"> </w:t>
      </w:r>
      <w:r>
        <w:rPr>
          <w:rFonts w:ascii="Times New Roman" w:hAnsi="Times New Roman"/>
          <w:color w:val="000000"/>
          <w:sz w:val="24"/>
          <w:szCs w:val="24"/>
        </w:rPr>
        <w:t xml:space="preserve">with </w:t>
      </w:r>
      <w:r w:rsidR="007952DC">
        <w:rPr>
          <w:rFonts w:ascii="Times New Roman" w:hAnsi="Times New Roman"/>
          <w:color w:val="000000"/>
          <w:sz w:val="24"/>
          <w:szCs w:val="24"/>
        </w:rPr>
        <w:t xml:space="preserve">a </w:t>
      </w:r>
      <w:r w:rsidR="003C18EA">
        <w:rPr>
          <w:rFonts w:ascii="Times New Roman" w:hAnsi="Times New Roman"/>
          <w:color w:val="000000"/>
          <w:sz w:val="24"/>
          <w:szCs w:val="24"/>
        </w:rPr>
        <w:t>“</w:t>
      </w:r>
      <w:r w:rsidR="007952DC">
        <w:rPr>
          <w:rFonts w:ascii="Times New Roman" w:hAnsi="Times New Roman"/>
          <w:color w:val="000000"/>
          <w:sz w:val="24"/>
          <w:szCs w:val="24"/>
        </w:rPr>
        <w:t>floor</w:t>
      </w:r>
      <w:r w:rsidR="003C18EA">
        <w:rPr>
          <w:rFonts w:ascii="Times New Roman" w:hAnsi="Times New Roman"/>
          <w:color w:val="000000"/>
          <w:sz w:val="24"/>
          <w:szCs w:val="24"/>
        </w:rPr>
        <w:t>”</w:t>
      </w:r>
      <w:r w:rsidR="007952DC">
        <w:rPr>
          <w:rFonts w:ascii="Times New Roman" w:hAnsi="Times New Roman"/>
          <w:color w:val="000000"/>
          <w:sz w:val="24"/>
          <w:szCs w:val="24"/>
        </w:rPr>
        <w:t xml:space="preserve"> </w:t>
      </w:r>
      <w:r>
        <w:rPr>
          <w:rFonts w:ascii="Times New Roman" w:hAnsi="Times New Roman"/>
          <w:color w:val="000000"/>
          <w:sz w:val="24"/>
          <w:szCs w:val="24"/>
        </w:rPr>
        <w:t xml:space="preserve">of 10.0 percent.  He also determines that </w:t>
      </w:r>
      <w:r w:rsidR="00513C79">
        <w:rPr>
          <w:rFonts w:ascii="Times New Roman" w:hAnsi="Times New Roman"/>
          <w:color w:val="000000"/>
          <w:sz w:val="24"/>
          <w:szCs w:val="24"/>
        </w:rPr>
        <w:t>DPL</w:t>
      </w:r>
      <w:r w:rsidR="00B711FE">
        <w:rPr>
          <w:rFonts w:ascii="Times New Roman" w:hAnsi="Times New Roman"/>
          <w:color w:val="000000"/>
          <w:sz w:val="24"/>
          <w:szCs w:val="24"/>
        </w:rPr>
        <w:t>, Inc.</w:t>
      </w:r>
      <w:r w:rsidR="003C18EA">
        <w:rPr>
          <w:rFonts w:ascii="Times New Roman" w:hAnsi="Times New Roman"/>
          <w:color w:val="000000"/>
          <w:sz w:val="24"/>
          <w:szCs w:val="24"/>
        </w:rPr>
        <w:t>’</w:t>
      </w:r>
      <w:r w:rsidR="002C2EB5">
        <w:rPr>
          <w:rFonts w:ascii="Times New Roman" w:hAnsi="Times New Roman"/>
          <w:color w:val="000000"/>
          <w:sz w:val="24"/>
          <w:szCs w:val="24"/>
        </w:rPr>
        <w:t>s</w:t>
      </w:r>
      <w:r w:rsidR="00513C79">
        <w:rPr>
          <w:rFonts w:ascii="Times New Roman" w:hAnsi="Times New Roman"/>
          <w:color w:val="000000"/>
          <w:sz w:val="24"/>
          <w:szCs w:val="24"/>
        </w:rPr>
        <w:t xml:space="preserve"> forecast</w:t>
      </w:r>
      <w:r w:rsidR="008E4820">
        <w:rPr>
          <w:rFonts w:ascii="Times New Roman" w:hAnsi="Times New Roman"/>
          <w:color w:val="000000"/>
          <w:sz w:val="24"/>
          <w:szCs w:val="24"/>
        </w:rPr>
        <w:t>ed</w:t>
      </w:r>
      <w:r w:rsidR="00513C79">
        <w:rPr>
          <w:rFonts w:ascii="Times New Roman" w:hAnsi="Times New Roman"/>
          <w:color w:val="000000"/>
          <w:sz w:val="24"/>
          <w:szCs w:val="24"/>
        </w:rPr>
        <w:t xml:space="preserve"> </w:t>
      </w:r>
      <w:r w:rsidR="003C18EA">
        <w:rPr>
          <w:rFonts w:ascii="Times New Roman" w:hAnsi="Times New Roman"/>
          <w:color w:val="000000"/>
          <w:sz w:val="24"/>
          <w:szCs w:val="24"/>
        </w:rPr>
        <w:t>“</w:t>
      </w:r>
      <w:r w:rsidR="00513C79">
        <w:rPr>
          <w:rFonts w:ascii="Times New Roman" w:hAnsi="Times New Roman"/>
          <w:color w:val="000000"/>
          <w:sz w:val="24"/>
          <w:szCs w:val="24"/>
        </w:rPr>
        <w:t>r</w:t>
      </w:r>
      <w:r w:rsidR="003C18EA">
        <w:rPr>
          <w:rFonts w:ascii="Times New Roman" w:hAnsi="Times New Roman"/>
          <w:color w:val="000000"/>
          <w:sz w:val="24"/>
          <w:szCs w:val="24"/>
        </w:rPr>
        <w:t>”</w:t>
      </w:r>
      <w:r w:rsidR="00513C79">
        <w:rPr>
          <w:rFonts w:ascii="Times New Roman" w:hAnsi="Times New Roman"/>
          <w:color w:val="000000"/>
          <w:sz w:val="24"/>
          <w:szCs w:val="24"/>
        </w:rPr>
        <w:t xml:space="preserve"> </w:t>
      </w:r>
      <w:r w:rsidR="002C2EB5">
        <w:rPr>
          <w:rFonts w:ascii="Times New Roman" w:hAnsi="Times New Roman"/>
          <w:color w:val="000000"/>
          <w:sz w:val="24"/>
          <w:szCs w:val="24"/>
        </w:rPr>
        <w:t xml:space="preserve">value </w:t>
      </w:r>
      <w:r w:rsidR="001F14D9">
        <w:rPr>
          <w:rFonts w:ascii="Times New Roman" w:hAnsi="Times New Roman"/>
          <w:color w:val="000000"/>
          <w:sz w:val="24"/>
          <w:szCs w:val="24"/>
        </w:rPr>
        <w:t>at</w:t>
      </w:r>
      <w:r w:rsidR="00513C79">
        <w:rPr>
          <w:rFonts w:ascii="Times New Roman" w:hAnsi="Times New Roman"/>
          <w:color w:val="000000"/>
          <w:sz w:val="24"/>
          <w:szCs w:val="24"/>
        </w:rPr>
        <w:t xml:space="preserve"> 28 percent is too high and </w:t>
      </w:r>
      <w:r w:rsidR="007952DC">
        <w:rPr>
          <w:rFonts w:ascii="Times New Roman" w:hAnsi="Times New Roman"/>
          <w:color w:val="000000"/>
          <w:sz w:val="24"/>
          <w:szCs w:val="24"/>
        </w:rPr>
        <w:t xml:space="preserve">also </w:t>
      </w:r>
      <w:r w:rsidR="00513C79">
        <w:rPr>
          <w:rFonts w:ascii="Times New Roman" w:hAnsi="Times New Roman"/>
          <w:color w:val="000000"/>
          <w:sz w:val="24"/>
          <w:szCs w:val="24"/>
        </w:rPr>
        <w:t xml:space="preserve">adjusts </w:t>
      </w:r>
      <w:r w:rsidR="007952DC">
        <w:rPr>
          <w:rFonts w:ascii="Times New Roman" w:hAnsi="Times New Roman"/>
          <w:color w:val="000000"/>
          <w:sz w:val="24"/>
          <w:szCs w:val="24"/>
        </w:rPr>
        <w:t>that value down</w:t>
      </w:r>
      <w:r w:rsidR="002C2EB5">
        <w:rPr>
          <w:rFonts w:ascii="Times New Roman" w:hAnsi="Times New Roman"/>
          <w:color w:val="000000"/>
          <w:sz w:val="24"/>
          <w:szCs w:val="24"/>
        </w:rPr>
        <w:t xml:space="preserve"> to 10.0 percent.  From these adjusted data, </w:t>
      </w:r>
      <w:r w:rsidR="004F084B">
        <w:rPr>
          <w:rFonts w:ascii="Times New Roman" w:hAnsi="Times New Roman"/>
          <w:color w:val="000000"/>
          <w:sz w:val="24"/>
          <w:szCs w:val="24"/>
        </w:rPr>
        <w:t>and further adjustment of Avista</w:t>
      </w:r>
      <w:r w:rsidR="003C18EA">
        <w:rPr>
          <w:rFonts w:ascii="Times New Roman" w:hAnsi="Times New Roman"/>
          <w:color w:val="000000"/>
          <w:sz w:val="24"/>
          <w:szCs w:val="24"/>
        </w:rPr>
        <w:t>’</w:t>
      </w:r>
      <w:r w:rsidR="004F084B">
        <w:rPr>
          <w:rFonts w:ascii="Times New Roman" w:hAnsi="Times New Roman"/>
          <w:color w:val="000000"/>
          <w:sz w:val="24"/>
          <w:szCs w:val="24"/>
        </w:rPr>
        <w:t xml:space="preserve">s results, </w:t>
      </w:r>
      <w:r w:rsidR="002C2EB5">
        <w:rPr>
          <w:rFonts w:ascii="Times New Roman" w:hAnsi="Times New Roman"/>
          <w:color w:val="000000"/>
          <w:sz w:val="24"/>
          <w:szCs w:val="24"/>
        </w:rPr>
        <w:t xml:space="preserve">he determines that a </w:t>
      </w:r>
      <w:r w:rsidR="003C18EA">
        <w:rPr>
          <w:rFonts w:ascii="Times New Roman" w:hAnsi="Times New Roman"/>
          <w:color w:val="000000"/>
          <w:sz w:val="24"/>
          <w:szCs w:val="24"/>
        </w:rPr>
        <w:t>“</w:t>
      </w:r>
      <w:r w:rsidR="002C2EB5">
        <w:rPr>
          <w:rFonts w:ascii="Times New Roman" w:hAnsi="Times New Roman"/>
          <w:color w:val="000000"/>
          <w:sz w:val="24"/>
          <w:szCs w:val="24"/>
        </w:rPr>
        <w:t>b times r</w:t>
      </w:r>
      <w:r w:rsidR="003C18EA">
        <w:rPr>
          <w:rFonts w:ascii="Times New Roman" w:hAnsi="Times New Roman"/>
          <w:color w:val="000000"/>
          <w:sz w:val="24"/>
          <w:szCs w:val="24"/>
        </w:rPr>
        <w:t>”</w:t>
      </w:r>
      <w:r w:rsidR="002C2EB5">
        <w:rPr>
          <w:rFonts w:ascii="Times New Roman" w:hAnsi="Times New Roman"/>
          <w:color w:val="000000"/>
          <w:sz w:val="24"/>
          <w:szCs w:val="24"/>
        </w:rPr>
        <w:t xml:space="preserve"> growth rate of </w:t>
      </w:r>
      <w:r w:rsidR="004F084B">
        <w:rPr>
          <w:rFonts w:ascii="Times New Roman" w:hAnsi="Times New Roman"/>
          <w:color w:val="000000"/>
          <w:sz w:val="24"/>
          <w:szCs w:val="24"/>
        </w:rPr>
        <w:t>5.0</w:t>
      </w:r>
      <w:r w:rsidR="002C2EB5">
        <w:rPr>
          <w:rFonts w:ascii="Times New Roman" w:hAnsi="Times New Roman"/>
          <w:color w:val="000000"/>
          <w:sz w:val="24"/>
          <w:szCs w:val="24"/>
        </w:rPr>
        <w:t xml:space="preserve"> percent is reasonable.</w:t>
      </w:r>
    </w:p>
    <w:p w:rsidR="00251FE5" w:rsidRDefault="00251FE5" w:rsidP="00251FE5">
      <w:pPr>
        <w:pStyle w:val="FootnoteText"/>
        <w:suppressLineNumbers/>
        <w:ind w:firstLine="720"/>
        <w:rPr>
          <w:rFonts w:ascii="Times New Roman" w:hAnsi="Times New Roman"/>
          <w:color w:val="000000"/>
          <w:sz w:val="24"/>
          <w:szCs w:val="24"/>
        </w:rPr>
      </w:pPr>
    </w:p>
    <w:p w:rsidR="00130316" w:rsidRPr="00130316" w:rsidRDefault="00130316" w:rsidP="002C2EB5">
      <w:pPr>
        <w:pStyle w:val="FootnoteText"/>
        <w:rPr>
          <w:rFonts w:ascii="Times New Roman" w:hAnsi="Times New Roman"/>
          <w:b/>
          <w:color w:val="000000"/>
          <w:sz w:val="24"/>
          <w:szCs w:val="24"/>
        </w:rPr>
      </w:pPr>
      <w:r w:rsidRPr="00130316">
        <w:rPr>
          <w:rFonts w:ascii="Times New Roman" w:hAnsi="Times New Roman"/>
          <w:b/>
          <w:color w:val="000000"/>
          <w:sz w:val="24"/>
          <w:szCs w:val="24"/>
        </w:rPr>
        <w:t>Q.</w:t>
      </w:r>
      <w:r w:rsidRPr="00130316">
        <w:rPr>
          <w:rFonts w:ascii="Times New Roman" w:hAnsi="Times New Roman"/>
          <w:b/>
          <w:color w:val="000000"/>
          <w:sz w:val="24"/>
          <w:szCs w:val="24"/>
        </w:rPr>
        <w:tab/>
        <w:t>Did you examine the effect of Mr. Elgin</w:t>
      </w:r>
      <w:r w:rsidR="003C18EA">
        <w:rPr>
          <w:rFonts w:ascii="Times New Roman" w:hAnsi="Times New Roman"/>
          <w:b/>
          <w:color w:val="000000"/>
          <w:sz w:val="24"/>
          <w:szCs w:val="24"/>
        </w:rPr>
        <w:t>’</w:t>
      </w:r>
      <w:r w:rsidRPr="00130316">
        <w:rPr>
          <w:rFonts w:ascii="Times New Roman" w:hAnsi="Times New Roman"/>
          <w:b/>
          <w:color w:val="000000"/>
          <w:sz w:val="24"/>
          <w:szCs w:val="24"/>
        </w:rPr>
        <w:t xml:space="preserve">s adjustments to the </w:t>
      </w:r>
      <w:r w:rsidR="003C18EA">
        <w:rPr>
          <w:rFonts w:ascii="Times New Roman" w:hAnsi="Times New Roman"/>
          <w:b/>
          <w:color w:val="000000"/>
          <w:sz w:val="24"/>
          <w:szCs w:val="24"/>
        </w:rPr>
        <w:t>“</w:t>
      </w:r>
      <w:r w:rsidRPr="00130316">
        <w:rPr>
          <w:rFonts w:ascii="Times New Roman" w:hAnsi="Times New Roman"/>
          <w:b/>
          <w:color w:val="000000"/>
          <w:sz w:val="24"/>
          <w:szCs w:val="24"/>
        </w:rPr>
        <w:t>b times r</w:t>
      </w:r>
      <w:r w:rsidR="003C18EA">
        <w:rPr>
          <w:rFonts w:ascii="Times New Roman" w:hAnsi="Times New Roman"/>
          <w:b/>
          <w:color w:val="000000"/>
          <w:sz w:val="24"/>
          <w:szCs w:val="24"/>
        </w:rPr>
        <w:t>”</w:t>
      </w:r>
      <w:r w:rsidRPr="00130316">
        <w:rPr>
          <w:rFonts w:ascii="Times New Roman" w:hAnsi="Times New Roman"/>
          <w:b/>
          <w:color w:val="000000"/>
          <w:sz w:val="24"/>
          <w:szCs w:val="24"/>
        </w:rPr>
        <w:t xml:space="preserve"> data?</w:t>
      </w:r>
    </w:p>
    <w:p w:rsidR="002C2EB5" w:rsidRDefault="00130316" w:rsidP="002C2EB5">
      <w:pPr>
        <w:pStyle w:val="FootnoteText"/>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t xml:space="preserve">Yes.  Mr. Elgin provided </w:t>
      </w:r>
      <w:proofErr w:type="spellStart"/>
      <w:r>
        <w:rPr>
          <w:rFonts w:ascii="Times New Roman" w:hAnsi="Times New Roman"/>
          <w:color w:val="000000"/>
          <w:sz w:val="24"/>
          <w:szCs w:val="24"/>
        </w:rPr>
        <w:t>workpapers</w:t>
      </w:r>
      <w:proofErr w:type="spellEnd"/>
      <w:r>
        <w:rPr>
          <w:rFonts w:ascii="Times New Roman" w:hAnsi="Times New Roman"/>
          <w:color w:val="000000"/>
          <w:sz w:val="24"/>
          <w:szCs w:val="24"/>
        </w:rPr>
        <w:t xml:space="preserve"> which </w:t>
      </w:r>
      <w:r w:rsidR="000C76AC">
        <w:rPr>
          <w:rFonts w:ascii="Times New Roman" w:hAnsi="Times New Roman"/>
          <w:color w:val="000000"/>
          <w:sz w:val="24"/>
          <w:szCs w:val="24"/>
        </w:rPr>
        <w:t>contain</w:t>
      </w:r>
      <w:r w:rsidR="001F14D9">
        <w:rPr>
          <w:rFonts w:ascii="Times New Roman" w:hAnsi="Times New Roman"/>
          <w:color w:val="000000"/>
          <w:sz w:val="24"/>
          <w:szCs w:val="24"/>
        </w:rPr>
        <w:t xml:space="preserve"> PDF copies of his data sources and hand-written calculations that </w:t>
      </w:r>
      <w:r>
        <w:rPr>
          <w:rFonts w:ascii="Times New Roman" w:hAnsi="Times New Roman"/>
          <w:color w:val="000000"/>
          <w:sz w:val="24"/>
          <w:szCs w:val="24"/>
        </w:rPr>
        <w:t xml:space="preserve">apparently </w:t>
      </w:r>
      <w:r w:rsidR="004F084B">
        <w:rPr>
          <w:rFonts w:ascii="Times New Roman" w:hAnsi="Times New Roman"/>
          <w:color w:val="000000"/>
          <w:sz w:val="24"/>
          <w:szCs w:val="24"/>
        </w:rPr>
        <w:t>are</w:t>
      </w:r>
      <w:r w:rsidR="007B62B6">
        <w:rPr>
          <w:rFonts w:ascii="Times New Roman" w:hAnsi="Times New Roman"/>
          <w:color w:val="000000"/>
          <w:sz w:val="24"/>
          <w:szCs w:val="24"/>
        </w:rPr>
        <w:t xml:space="preserve"> </w:t>
      </w:r>
      <w:r>
        <w:rPr>
          <w:rFonts w:ascii="Times New Roman" w:hAnsi="Times New Roman"/>
          <w:color w:val="000000"/>
          <w:sz w:val="24"/>
          <w:szCs w:val="24"/>
        </w:rPr>
        <w:t xml:space="preserve">the only calculations he </w:t>
      </w:r>
      <w:r w:rsidR="004F084B">
        <w:rPr>
          <w:rFonts w:ascii="Times New Roman" w:hAnsi="Times New Roman"/>
          <w:color w:val="000000"/>
          <w:sz w:val="24"/>
          <w:szCs w:val="24"/>
        </w:rPr>
        <w:t>provided</w:t>
      </w:r>
      <w:r>
        <w:rPr>
          <w:rFonts w:ascii="Times New Roman" w:hAnsi="Times New Roman"/>
          <w:color w:val="000000"/>
          <w:sz w:val="24"/>
          <w:szCs w:val="24"/>
        </w:rPr>
        <w:t xml:space="preserve"> to support his conclusions.</w:t>
      </w:r>
      <w:r>
        <w:rPr>
          <w:rStyle w:val="FootnoteReference"/>
          <w:rFonts w:ascii="Times New Roman" w:hAnsi="Times New Roman"/>
          <w:color w:val="000000"/>
          <w:szCs w:val="24"/>
        </w:rPr>
        <w:footnoteReference w:id="5"/>
      </w:r>
      <w:r w:rsidR="001F14D9">
        <w:rPr>
          <w:rFonts w:ascii="Times New Roman" w:hAnsi="Times New Roman"/>
          <w:color w:val="000000"/>
          <w:sz w:val="24"/>
          <w:szCs w:val="24"/>
        </w:rPr>
        <w:t xml:space="preserve">  On page 1</w:t>
      </w:r>
      <w:r>
        <w:rPr>
          <w:rFonts w:ascii="Times New Roman" w:hAnsi="Times New Roman"/>
          <w:color w:val="000000"/>
          <w:sz w:val="24"/>
          <w:szCs w:val="24"/>
        </w:rPr>
        <w:t>7 of those workpapers</w:t>
      </w:r>
      <w:r w:rsidR="009067D6">
        <w:rPr>
          <w:rFonts w:ascii="Times New Roman" w:hAnsi="Times New Roman"/>
          <w:color w:val="000000"/>
          <w:sz w:val="24"/>
          <w:szCs w:val="24"/>
        </w:rPr>
        <w:t xml:space="preserve"> </w:t>
      </w:r>
      <w:r w:rsidR="006A5AB0">
        <w:rPr>
          <w:rFonts w:ascii="Times New Roman" w:hAnsi="Times New Roman"/>
          <w:color w:val="000000"/>
          <w:sz w:val="24"/>
          <w:szCs w:val="24"/>
        </w:rPr>
        <w:t xml:space="preserve">(see </w:t>
      </w:r>
      <w:r w:rsidR="009067D6">
        <w:rPr>
          <w:rFonts w:ascii="Times New Roman" w:hAnsi="Times New Roman"/>
          <w:color w:val="000000"/>
          <w:sz w:val="24"/>
          <w:szCs w:val="24"/>
        </w:rPr>
        <w:t>Exhibit</w:t>
      </w:r>
      <w:r w:rsidR="00AC33AA">
        <w:rPr>
          <w:rFonts w:ascii="Times New Roman" w:hAnsi="Times New Roman"/>
          <w:color w:val="000000"/>
          <w:sz w:val="24"/>
          <w:szCs w:val="24"/>
        </w:rPr>
        <w:t xml:space="preserve"> No.__</w:t>
      </w:r>
      <w:proofErr w:type="gramStart"/>
      <w:r w:rsidR="00AC33AA">
        <w:rPr>
          <w:rFonts w:ascii="Times New Roman" w:hAnsi="Times New Roman"/>
          <w:color w:val="000000"/>
          <w:sz w:val="24"/>
          <w:szCs w:val="24"/>
        </w:rPr>
        <w:t>_</w:t>
      </w:r>
      <w:r w:rsidR="006A5AB0">
        <w:rPr>
          <w:rFonts w:ascii="Times New Roman" w:hAnsi="Times New Roman"/>
          <w:color w:val="000000"/>
          <w:sz w:val="24"/>
          <w:szCs w:val="24"/>
        </w:rPr>
        <w:t>(</w:t>
      </w:r>
      <w:proofErr w:type="gramEnd"/>
      <w:r w:rsidR="009067D6">
        <w:rPr>
          <w:rFonts w:ascii="Times New Roman" w:hAnsi="Times New Roman"/>
          <w:color w:val="000000"/>
          <w:sz w:val="24"/>
          <w:szCs w:val="24"/>
        </w:rPr>
        <w:t>SCH</w:t>
      </w:r>
      <w:r w:rsidR="006A5AB0">
        <w:rPr>
          <w:rFonts w:ascii="Times New Roman" w:hAnsi="Times New Roman"/>
          <w:color w:val="000000"/>
          <w:sz w:val="24"/>
          <w:szCs w:val="24"/>
        </w:rPr>
        <w:t>-10</w:t>
      </w:r>
      <w:r w:rsidR="009067D6">
        <w:rPr>
          <w:rFonts w:ascii="Times New Roman" w:hAnsi="Times New Roman"/>
          <w:color w:val="000000"/>
          <w:sz w:val="24"/>
          <w:szCs w:val="24"/>
        </w:rPr>
        <w:t>)</w:t>
      </w:r>
      <w:r w:rsidR="006A5AB0">
        <w:rPr>
          <w:rFonts w:ascii="Times New Roman" w:hAnsi="Times New Roman"/>
          <w:color w:val="000000"/>
          <w:sz w:val="24"/>
          <w:szCs w:val="24"/>
        </w:rPr>
        <w:t>, page 1)</w:t>
      </w:r>
      <w:r>
        <w:rPr>
          <w:rFonts w:ascii="Times New Roman" w:hAnsi="Times New Roman"/>
          <w:color w:val="000000"/>
          <w:sz w:val="24"/>
          <w:szCs w:val="24"/>
        </w:rPr>
        <w:t xml:space="preserve">, he </w:t>
      </w:r>
      <w:r w:rsidR="001F14D9">
        <w:rPr>
          <w:rFonts w:ascii="Times New Roman" w:hAnsi="Times New Roman"/>
          <w:color w:val="000000"/>
          <w:sz w:val="24"/>
          <w:szCs w:val="24"/>
        </w:rPr>
        <w:t xml:space="preserve">shows the </w:t>
      </w:r>
      <w:r w:rsidR="003C18EA">
        <w:rPr>
          <w:rFonts w:ascii="Times New Roman" w:hAnsi="Times New Roman"/>
          <w:color w:val="000000"/>
          <w:sz w:val="24"/>
          <w:szCs w:val="24"/>
        </w:rPr>
        <w:t>“</w:t>
      </w:r>
      <w:r w:rsidR="001F14D9">
        <w:rPr>
          <w:rFonts w:ascii="Times New Roman" w:hAnsi="Times New Roman"/>
          <w:color w:val="000000"/>
          <w:sz w:val="24"/>
          <w:szCs w:val="24"/>
        </w:rPr>
        <w:t>b times r</w:t>
      </w:r>
      <w:r w:rsidR="003C18EA">
        <w:rPr>
          <w:rFonts w:ascii="Times New Roman" w:hAnsi="Times New Roman"/>
          <w:color w:val="000000"/>
          <w:sz w:val="24"/>
          <w:szCs w:val="24"/>
        </w:rPr>
        <w:t>”</w:t>
      </w:r>
      <w:r w:rsidR="001F14D9">
        <w:rPr>
          <w:rFonts w:ascii="Times New Roman" w:hAnsi="Times New Roman"/>
          <w:color w:val="000000"/>
          <w:sz w:val="24"/>
          <w:szCs w:val="24"/>
        </w:rPr>
        <w:t xml:space="preserve"> results.  In those calculations, he appears to have adjusted the </w:t>
      </w:r>
      <w:r w:rsidR="003C18EA">
        <w:rPr>
          <w:rFonts w:ascii="Times New Roman" w:hAnsi="Times New Roman"/>
          <w:color w:val="000000"/>
          <w:sz w:val="24"/>
          <w:szCs w:val="24"/>
        </w:rPr>
        <w:t>“</w:t>
      </w:r>
      <w:r w:rsidR="001F14D9">
        <w:rPr>
          <w:rFonts w:ascii="Times New Roman" w:hAnsi="Times New Roman"/>
          <w:color w:val="000000"/>
          <w:sz w:val="24"/>
          <w:szCs w:val="24"/>
        </w:rPr>
        <w:t>r</w:t>
      </w:r>
      <w:r w:rsidR="003C18EA">
        <w:rPr>
          <w:rFonts w:ascii="Times New Roman" w:hAnsi="Times New Roman"/>
          <w:color w:val="000000"/>
          <w:sz w:val="24"/>
          <w:szCs w:val="24"/>
        </w:rPr>
        <w:t>”</w:t>
      </w:r>
      <w:r w:rsidR="001F14D9">
        <w:rPr>
          <w:rFonts w:ascii="Times New Roman" w:hAnsi="Times New Roman"/>
          <w:color w:val="000000"/>
          <w:sz w:val="24"/>
          <w:szCs w:val="24"/>
        </w:rPr>
        <w:t xml:space="preserve"> values for four of the seven companies to reach the conclusion that </w:t>
      </w:r>
      <w:r w:rsidR="003C18EA">
        <w:rPr>
          <w:rFonts w:ascii="Times New Roman" w:hAnsi="Times New Roman"/>
          <w:color w:val="000000"/>
          <w:sz w:val="24"/>
          <w:szCs w:val="24"/>
        </w:rPr>
        <w:t>“</w:t>
      </w:r>
      <w:r w:rsidR="001F14D9">
        <w:rPr>
          <w:rFonts w:ascii="Times New Roman" w:hAnsi="Times New Roman"/>
          <w:color w:val="000000"/>
          <w:sz w:val="24"/>
          <w:szCs w:val="24"/>
        </w:rPr>
        <w:t>b times r</w:t>
      </w:r>
      <w:r w:rsidR="003C18EA">
        <w:rPr>
          <w:rFonts w:ascii="Times New Roman" w:hAnsi="Times New Roman"/>
          <w:color w:val="000000"/>
          <w:sz w:val="24"/>
          <w:szCs w:val="24"/>
        </w:rPr>
        <w:t>”</w:t>
      </w:r>
      <w:r w:rsidR="001F14D9">
        <w:rPr>
          <w:rFonts w:ascii="Times New Roman" w:hAnsi="Times New Roman"/>
          <w:color w:val="000000"/>
          <w:sz w:val="24"/>
          <w:szCs w:val="24"/>
        </w:rPr>
        <w:t xml:space="preserve"> growth should be 4.75 percent.</w:t>
      </w:r>
      <w:r w:rsidR="000C76AC">
        <w:rPr>
          <w:rStyle w:val="FootnoteReference"/>
          <w:rFonts w:ascii="Times New Roman" w:hAnsi="Times New Roman"/>
          <w:color w:val="000000"/>
          <w:szCs w:val="24"/>
        </w:rPr>
        <w:footnoteReference w:id="6"/>
      </w:r>
      <w:r w:rsidR="001F14D9">
        <w:rPr>
          <w:rFonts w:ascii="Times New Roman" w:hAnsi="Times New Roman"/>
          <w:color w:val="000000"/>
          <w:sz w:val="24"/>
          <w:szCs w:val="24"/>
        </w:rPr>
        <w:t xml:space="preserve">  </w:t>
      </w:r>
      <w:r w:rsidR="004F084B">
        <w:rPr>
          <w:rFonts w:ascii="Times New Roman" w:hAnsi="Times New Roman"/>
          <w:color w:val="000000"/>
          <w:sz w:val="24"/>
          <w:szCs w:val="24"/>
        </w:rPr>
        <w:t xml:space="preserve">In addition to these adjusted </w:t>
      </w:r>
      <w:r w:rsidR="003C18EA">
        <w:rPr>
          <w:rFonts w:ascii="Times New Roman" w:hAnsi="Times New Roman"/>
          <w:color w:val="000000"/>
          <w:sz w:val="24"/>
          <w:szCs w:val="24"/>
        </w:rPr>
        <w:t>“</w:t>
      </w:r>
      <w:r w:rsidR="004F084B">
        <w:rPr>
          <w:rFonts w:ascii="Times New Roman" w:hAnsi="Times New Roman"/>
          <w:color w:val="000000"/>
          <w:sz w:val="24"/>
          <w:szCs w:val="24"/>
        </w:rPr>
        <w:t>b times r</w:t>
      </w:r>
      <w:r w:rsidR="003C18EA">
        <w:rPr>
          <w:rFonts w:ascii="Times New Roman" w:hAnsi="Times New Roman"/>
          <w:color w:val="000000"/>
          <w:sz w:val="24"/>
          <w:szCs w:val="24"/>
        </w:rPr>
        <w:t>”</w:t>
      </w:r>
      <w:r w:rsidR="004F084B">
        <w:rPr>
          <w:rFonts w:ascii="Times New Roman" w:hAnsi="Times New Roman"/>
          <w:color w:val="000000"/>
          <w:sz w:val="24"/>
          <w:szCs w:val="24"/>
        </w:rPr>
        <w:t xml:space="preserve"> values, he also included a further adjustment for Avista based on an assumed dividend payout ratio of 60 percent instead of the payout forecast</w:t>
      </w:r>
      <w:r w:rsidR="006D7A9A">
        <w:rPr>
          <w:rFonts w:ascii="Times New Roman" w:hAnsi="Times New Roman"/>
          <w:color w:val="000000"/>
          <w:sz w:val="24"/>
          <w:szCs w:val="24"/>
        </w:rPr>
        <w:t>ed</w:t>
      </w:r>
      <w:r w:rsidR="004F084B">
        <w:rPr>
          <w:rFonts w:ascii="Times New Roman" w:hAnsi="Times New Roman"/>
          <w:color w:val="000000"/>
          <w:sz w:val="24"/>
          <w:szCs w:val="24"/>
        </w:rPr>
        <w:t xml:space="preserve"> by Value Line.  With this further adjustment, </w:t>
      </w:r>
      <w:r w:rsidR="006D7A9A">
        <w:rPr>
          <w:rFonts w:ascii="Times New Roman" w:hAnsi="Times New Roman"/>
          <w:color w:val="000000"/>
          <w:sz w:val="24"/>
          <w:szCs w:val="24"/>
        </w:rPr>
        <w:t xml:space="preserve">or with the exclusion of Avista altogether, </w:t>
      </w:r>
      <w:r w:rsidR="004F084B">
        <w:rPr>
          <w:rFonts w:ascii="Times New Roman" w:hAnsi="Times New Roman"/>
          <w:color w:val="000000"/>
          <w:sz w:val="24"/>
          <w:szCs w:val="24"/>
        </w:rPr>
        <w:t>he conclude</w:t>
      </w:r>
      <w:r w:rsidR="006D7A9A">
        <w:rPr>
          <w:rFonts w:ascii="Times New Roman" w:hAnsi="Times New Roman"/>
          <w:color w:val="000000"/>
          <w:sz w:val="24"/>
          <w:szCs w:val="24"/>
        </w:rPr>
        <w:t>s</w:t>
      </w:r>
      <w:r w:rsidR="004F084B">
        <w:rPr>
          <w:rFonts w:ascii="Times New Roman" w:hAnsi="Times New Roman"/>
          <w:color w:val="000000"/>
          <w:sz w:val="24"/>
          <w:szCs w:val="24"/>
        </w:rPr>
        <w:t xml:space="preserve"> that a </w:t>
      </w:r>
      <w:r w:rsidR="003C18EA">
        <w:rPr>
          <w:rFonts w:ascii="Times New Roman" w:hAnsi="Times New Roman"/>
          <w:color w:val="000000"/>
          <w:sz w:val="24"/>
          <w:szCs w:val="24"/>
        </w:rPr>
        <w:t>“</w:t>
      </w:r>
      <w:r w:rsidR="004F084B">
        <w:rPr>
          <w:rFonts w:ascii="Times New Roman" w:hAnsi="Times New Roman"/>
          <w:color w:val="000000"/>
          <w:sz w:val="24"/>
          <w:szCs w:val="24"/>
        </w:rPr>
        <w:t>b times r</w:t>
      </w:r>
      <w:r w:rsidR="003C18EA">
        <w:rPr>
          <w:rFonts w:ascii="Times New Roman" w:hAnsi="Times New Roman"/>
          <w:color w:val="000000"/>
          <w:sz w:val="24"/>
          <w:szCs w:val="24"/>
        </w:rPr>
        <w:t>”</w:t>
      </w:r>
      <w:r w:rsidR="004F084B">
        <w:rPr>
          <w:rFonts w:ascii="Times New Roman" w:hAnsi="Times New Roman"/>
          <w:color w:val="000000"/>
          <w:sz w:val="24"/>
          <w:szCs w:val="24"/>
        </w:rPr>
        <w:t xml:space="preserve"> rate of </w:t>
      </w:r>
      <w:r w:rsidR="006D7A9A">
        <w:rPr>
          <w:rFonts w:ascii="Times New Roman" w:hAnsi="Times New Roman"/>
          <w:color w:val="000000"/>
          <w:sz w:val="24"/>
          <w:szCs w:val="24"/>
        </w:rPr>
        <w:t>5.0 percent is appropriate for the group.</w:t>
      </w:r>
    </w:p>
    <w:p w:rsidR="000C76AC" w:rsidRPr="000C76AC" w:rsidRDefault="000C76AC" w:rsidP="002C2EB5">
      <w:pPr>
        <w:pStyle w:val="FootnoteText"/>
        <w:rPr>
          <w:rFonts w:ascii="Times New Roman" w:hAnsi="Times New Roman"/>
          <w:b/>
          <w:color w:val="000000"/>
          <w:sz w:val="24"/>
          <w:szCs w:val="24"/>
        </w:rPr>
      </w:pPr>
      <w:r w:rsidRPr="000C76AC">
        <w:rPr>
          <w:rFonts w:ascii="Times New Roman" w:hAnsi="Times New Roman"/>
          <w:b/>
          <w:color w:val="000000"/>
          <w:sz w:val="24"/>
          <w:szCs w:val="24"/>
        </w:rPr>
        <w:t>Q.</w:t>
      </w:r>
      <w:r w:rsidRPr="000C76AC">
        <w:rPr>
          <w:rFonts w:ascii="Times New Roman" w:hAnsi="Times New Roman"/>
          <w:b/>
          <w:color w:val="000000"/>
          <w:sz w:val="24"/>
          <w:szCs w:val="24"/>
        </w:rPr>
        <w:tab/>
        <w:t>What would Mr. Elgin</w:t>
      </w:r>
      <w:r w:rsidR="003C18EA">
        <w:rPr>
          <w:rFonts w:ascii="Times New Roman" w:hAnsi="Times New Roman"/>
          <w:b/>
          <w:color w:val="000000"/>
          <w:sz w:val="24"/>
          <w:szCs w:val="24"/>
        </w:rPr>
        <w:t>’</w:t>
      </w:r>
      <w:r w:rsidRPr="000C76AC">
        <w:rPr>
          <w:rFonts w:ascii="Times New Roman" w:hAnsi="Times New Roman"/>
          <w:b/>
          <w:color w:val="000000"/>
          <w:sz w:val="24"/>
          <w:szCs w:val="24"/>
        </w:rPr>
        <w:t xml:space="preserve">s average </w:t>
      </w:r>
      <w:r w:rsidR="003C18EA">
        <w:rPr>
          <w:rFonts w:ascii="Times New Roman" w:hAnsi="Times New Roman"/>
          <w:b/>
          <w:color w:val="000000"/>
          <w:sz w:val="24"/>
          <w:szCs w:val="24"/>
        </w:rPr>
        <w:t>“</w:t>
      </w:r>
      <w:r w:rsidRPr="000C76AC">
        <w:rPr>
          <w:rFonts w:ascii="Times New Roman" w:hAnsi="Times New Roman"/>
          <w:b/>
          <w:color w:val="000000"/>
          <w:sz w:val="24"/>
          <w:szCs w:val="24"/>
        </w:rPr>
        <w:t>b times r</w:t>
      </w:r>
      <w:r w:rsidR="003C18EA">
        <w:rPr>
          <w:rFonts w:ascii="Times New Roman" w:hAnsi="Times New Roman"/>
          <w:b/>
          <w:color w:val="000000"/>
          <w:sz w:val="24"/>
          <w:szCs w:val="24"/>
        </w:rPr>
        <w:t>”</w:t>
      </w:r>
      <w:r w:rsidRPr="000C76AC">
        <w:rPr>
          <w:rFonts w:ascii="Times New Roman" w:hAnsi="Times New Roman"/>
          <w:b/>
          <w:color w:val="000000"/>
          <w:sz w:val="24"/>
          <w:szCs w:val="24"/>
        </w:rPr>
        <w:t xml:space="preserve"> growth rate have been if he had not adjusted the data?</w:t>
      </w:r>
    </w:p>
    <w:p w:rsidR="00B75B67" w:rsidRDefault="000C76AC" w:rsidP="002C2EB5">
      <w:pPr>
        <w:pStyle w:val="FootnoteText"/>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r>
      <w:r w:rsidR="00B75B67">
        <w:rPr>
          <w:rFonts w:ascii="Times New Roman" w:hAnsi="Times New Roman"/>
          <w:color w:val="000000"/>
          <w:sz w:val="24"/>
          <w:szCs w:val="24"/>
        </w:rPr>
        <w:t xml:space="preserve">In Table 4 below, </w:t>
      </w:r>
      <w:r w:rsidR="00EA0E4B">
        <w:rPr>
          <w:rFonts w:ascii="Times New Roman" w:hAnsi="Times New Roman"/>
          <w:color w:val="000000"/>
          <w:sz w:val="24"/>
          <w:szCs w:val="24"/>
        </w:rPr>
        <w:t xml:space="preserve">I </w:t>
      </w:r>
      <w:r w:rsidR="00B75B67">
        <w:rPr>
          <w:rFonts w:ascii="Times New Roman" w:hAnsi="Times New Roman"/>
          <w:color w:val="000000"/>
          <w:sz w:val="24"/>
          <w:szCs w:val="24"/>
        </w:rPr>
        <w:t xml:space="preserve">have recalculated the average </w:t>
      </w:r>
      <w:r w:rsidR="003C18EA">
        <w:rPr>
          <w:rFonts w:ascii="Times New Roman" w:hAnsi="Times New Roman"/>
          <w:color w:val="000000"/>
          <w:sz w:val="24"/>
          <w:szCs w:val="24"/>
        </w:rPr>
        <w:t>“</w:t>
      </w:r>
      <w:r w:rsidR="00B75B67">
        <w:rPr>
          <w:rFonts w:ascii="Times New Roman" w:hAnsi="Times New Roman"/>
          <w:color w:val="000000"/>
          <w:sz w:val="24"/>
          <w:szCs w:val="24"/>
        </w:rPr>
        <w:t>b times r</w:t>
      </w:r>
      <w:r w:rsidR="003C18EA">
        <w:rPr>
          <w:rFonts w:ascii="Times New Roman" w:hAnsi="Times New Roman"/>
          <w:color w:val="000000"/>
          <w:sz w:val="24"/>
          <w:szCs w:val="24"/>
        </w:rPr>
        <w:t>”</w:t>
      </w:r>
      <w:r w:rsidR="00B75B67">
        <w:rPr>
          <w:rFonts w:ascii="Times New Roman" w:hAnsi="Times New Roman"/>
          <w:color w:val="000000"/>
          <w:sz w:val="24"/>
          <w:szCs w:val="24"/>
        </w:rPr>
        <w:t xml:space="preserve"> growth rate </w:t>
      </w:r>
      <w:r w:rsidR="006D7A9A">
        <w:rPr>
          <w:rFonts w:ascii="Times New Roman" w:hAnsi="Times New Roman"/>
          <w:color w:val="000000"/>
          <w:sz w:val="24"/>
          <w:szCs w:val="24"/>
        </w:rPr>
        <w:t>from</w:t>
      </w:r>
      <w:r w:rsidR="00EA0E4B">
        <w:rPr>
          <w:rFonts w:ascii="Times New Roman" w:hAnsi="Times New Roman"/>
          <w:color w:val="000000"/>
          <w:sz w:val="24"/>
          <w:szCs w:val="24"/>
        </w:rPr>
        <w:t xml:space="preserve"> the unadjusted Value Line data for each of Mr. Elgin</w:t>
      </w:r>
      <w:r w:rsidR="003C18EA">
        <w:rPr>
          <w:rFonts w:ascii="Times New Roman" w:hAnsi="Times New Roman"/>
          <w:color w:val="000000"/>
          <w:sz w:val="24"/>
          <w:szCs w:val="24"/>
        </w:rPr>
        <w:t>’</w:t>
      </w:r>
      <w:r w:rsidR="00EA0E4B">
        <w:rPr>
          <w:rFonts w:ascii="Times New Roman" w:hAnsi="Times New Roman"/>
          <w:color w:val="000000"/>
          <w:sz w:val="24"/>
          <w:szCs w:val="24"/>
        </w:rPr>
        <w:t>s proxy companies.</w:t>
      </w:r>
    </w:p>
    <w:p w:rsidR="00B75B67" w:rsidRPr="00A96FCC" w:rsidRDefault="00A96FCC" w:rsidP="00A96FCC">
      <w:pPr>
        <w:pStyle w:val="FootnoteText"/>
        <w:keepNext/>
        <w:keepLines/>
        <w:tabs>
          <w:tab w:val="left" w:pos="1800"/>
          <w:tab w:val="decimal" w:pos="4320"/>
          <w:tab w:val="right" w:pos="6480"/>
        </w:tabs>
        <w:spacing w:line="240" w:lineRule="auto"/>
        <w:rPr>
          <w:rFonts w:ascii="Times New Roman" w:hAnsi="Times New Roman"/>
          <w:color w:val="000000"/>
          <w:sz w:val="24"/>
          <w:szCs w:val="24"/>
          <w:u w:val="single"/>
        </w:rPr>
      </w:pPr>
      <w:r w:rsidRPr="00A96FCC">
        <w:rPr>
          <w:rFonts w:ascii="Times New Roman" w:hAnsi="Times New Roman"/>
          <w:color w:val="000000"/>
          <w:sz w:val="24"/>
          <w:szCs w:val="24"/>
        </w:rPr>
        <w:tab/>
      </w:r>
      <w:r w:rsidRPr="00A96FCC">
        <w:rPr>
          <w:rFonts w:ascii="Times New Roman" w:hAnsi="Times New Roman"/>
          <w:color w:val="000000"/>
          <w:sz w:val="24"/>
          <w:szCs w:val="24"/>
        </w:rPr>
        <w:tab/>
      </w:r>
      <w:r>
        <w:rPr>
          <w:rFonts w:ascii="Times New Roman" w:hAnsi="Times New Roman"/>
          <w:color w:val="000000"/>
          <w:sz w:val="24"/>
          <w:szCs w:val="24"/>
          <w:u w:val="single"/>
        </w:rPr>
        <w:tab/>
      </w:r>
      <w:r w:rsidR="00B75B67" w:rsidRPr="00A96FCC">
        <w:rPr>
          <w:rFonts w:ascii="Times New Roman" w:hAnsi="Times New Roman"/>
          <w:color w:val="000000"/>
          <w:sz w:val="24"/>
          <w:szCs w:val="24"/>
          <w:u w:val="single"/>
        </w:rPr>
        <w:t>Table 4</w:t>
      </w:r>
      <w:r>
        <w:rPr>
          <w:rFonts w:ascii="Times New Roman" w:hAnsi="Times New Roman"/>
          <w:color w:val="000000"/>
          <w:sz w:val="24"/>
          <w:szCs w:val="24"/>
          <w:u w:val="single"/>
        </w:rPr>
        <w:tab/>
      </w:r>
    </w:p>
    <w:p w:rsidR="00B75B67" w:rsidRDefault="00B75B67" w:rsidP="00A96FCC">
      <w:pPr>
        <w:pStyle w:val="FootnoteText"/>
        <w:keepNext/>
        <w:keepLines/>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Elgin Unadjusted </w:t>
      </w:r>
      <w:r w:rsidR="003C18EA">
        <w:rPr>
          <w:rFonts w:ascii="Times New Roman" w:hAnsi="Times New Roman"/>
          <w:color w:val="000000"/>
          <w:sz w:val="24"/>
          <w:szCs w:val="24"/>
        </w:rPr>
        <w:t>“</w:t>
      </w:r>
      <w:r>
        <w:rPr>
          <w:rFonts w:ascii="Times New Roman" w:hAnsi="Times New Roman"/>
          <w:color w:val="000000"/>
          <w:sz w:val="24"/>
          <w:szCs w:val="24"/>
        </w:rPr>
        <w:t>b times r</w:t>
      </w:r>
      <w:r w:rsidR="003C18EA">
        <w:rPr>
          <w:rFonts w:ascii="Times New Roman" w:hAnsi="Times New Roman"/>
          <w:color w:val="000000"/>
          <w:sz w:val="24"/>
          <w:szCs w:val="24"/>
        </w:rPr>
        <w:t>”</w:t>
      </w:r>
      <w:r>
        <w:rPr>
          <w:rFonts w:ascii="Times New Roman" w:hAnsi="Times New Roman"/>
          <w:color w:val="000000"/>
          <w:sz w:val="24"/>
          <w:szCs w:val="24"/>
        </w:rPr>
        <w:t xml:space="preserve"> Growth Rate</w:t>
      </w:r>
    </w:p>
    <w:p w:rsidR="00B75B67" w:rsidRDefault="00B75B67" w:rsidP="006A5AB0">
      <w:pPr>
        <w:pStyle w:val="FootnoteText"/>
        <w:keepNext/>
        <w:keepLines/>
        <w:tabs>
          <w:tab w:val="right" w:pos="3600"/>
          <w:tab w:val="right" w:pos="5760"/>
        </w:tabs>
        <w:spacing w:before="12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6A5AB0">
        <w:rPr>
          <w:rFonts w:ascii="Times New Roman" w:hAnsi="Times New Roman"/>
          <w:color w:val="000000"/>
          <w:sz w:val="24"/>
          <w:szCs w:val="24"/>
          <w:u w:val="single"/>
        </w:rPr>
        <w:t>Company</w:t>
      </w:r>
      <w:r>
        <w:rPr>
          <w:rFonts w:ascii="Times New Roman" w:hAnsi="Times New Roman"/>
          <w:color w:val="000000"/>
          <w:sz w:val="24"/>
          <w:szCs w:val="24"/>
        </w:rPr>
        <w:tab/>
      </w:r>
      <w:r w:rsidR="003C18EA" w:rsidRPr="006A5AB0">
        <w:rPr>
          <w:rFonts w:ascii="Times New Roman" w:hAnsi="Times New Roman"/>
          <w:color w:val="000000"/>
          <w:sz w:val="24"/>
          <w:szCs w:val="24"/>
          <w:u w:val="single"/>
        </w:rPr>
        <w:t>“</w:t>
      </w:r>
      <w:r w:rsidRPr="006A5AB0">
        <w:rPr>
          <w:rFonts w:ascii="Times New Roman" w:hAnsi="Times New Roman"/>
          <w:color w:val="000000"/>
          <w:sz w:val="24"/>
          <w:szCs w:val="24"/>
          <w:u w:val="single"/>
        </w:rPr>
        <w:t>b times r</w:t>
      </w:r>
      <w:r w:rsidR="003C18EA" w:rsidRPr="006A5AB0">
        <w:rPr>
          <w:rFonts w:ascii="Times New Roman" w:hAnsi="Times New Roman"/>
          <w:color w:val="000000"/>
          <w:sz w:val="24"/>
          <w:szCs w:val="24"/>
          <w:u w:val="single"/>
        </w:rPr>
        <w:t>”</w:t>
      </w:r>
    </w:p>
    <w:p w:rsidR="00B75B67" w:rsidRDefault="00B75B67" w:rsidP="00B75B67">
      <w:pPr>
        <w:pStyle w:val="FootnoteText"/>
        <w:keepNext/>
        <w:keepLines/>
        <w:tabs>
          <w:tab w:val="right" w:pos="3600"/>
          <w:tab w:val="right" w:pos="5760"/>
        </w:tabs>
        <w:spacing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Alliant</w:t>
      </w:r>
      <w:r>
        <w:rPr>
          <w:rFonts w:ascii="Times New Roman" w:hAnsi="Times New Roman"/>
          <w:color w:val="000000"/>
          <w:sz w:val="24"/>
          <w:szCs w:val="24"/>
        </w:rPr>
        <w:tab/>
      </w:r>
      <w:r w:rsidR="00A96FCC">
        <w:rPr>
          <w:rFonts w:ascii="Times New Roman" w:hAnsi="Times New Roman"/>
          <w:color w:val="000000"/>
          <w:sz w:val="24"/>
          <w:szCs w:val="24"/>
        </w:rPr>
        <w:t>5.37%</w:t>
      </w:r>
    </w:p>
    <w:p w:rsidR="00B75B67" w:rsidRDefault="00B75B67" w:rsidP="00B75B67">
      <w:pPr>
        <w:pStyle w:val="FootnoteText"/>
        <w:keepNext/>
        <w:keepLines/>
        <w:tabs>
          <w:tab w:val="right" w:pos="3600"/>
          <w:tab w:val="right" w:pos="5760"/>
        </w:tabs>
        <w:spacing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Avista</w:t>
      </w:r>
      <w:r>
        <w:rPr>
          <w:rFonts w:ascii="Times New Roman" w:hAnsi="Times New Roman"/>
          <w:color w:val="000000"/>
          <w:sz w:val="24"/>
          <w:szCs w:val="24"/>
        </w:rPr>
        <w:tab/>
      </w:r>
      <w:r w:rsidR="00A96FCC">
        <w:rPr>
          <w:rFonts w:ascii="Times New Roman" w:hAnsi="Times New Roman"/>
          <w:color w:val="000000"/>
          <w:sz w:val="24"/>
          <w:szCs w:val="24"/>
        </w:rPr>
        <w:t>2.67%</w:t>
      </w:r>
    </w:p>
    <w:p w:rsidR="00B75B67" w:rsidRDefault="00B75B67" w:rsidP="00B75B67">
      <w:pPr>
        <w:pStyle w:val="FootnoteText"/>
        <w:keepNext/>
        <w:keepLines/>
        <w:tabs>
          <w:tab w:val="right" w:pos="3600"/>
          <w:tab w:val="right" w:pos="5760"/>
        </w:tabs>
        <w:spacing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DPL, Inc.</w:t>
      </w:r>
      <w:r>
        <w:rPr>
          <w:rFonts w:ascii="Times New Roman" w:hAnsi="Times New Roman"/>
          <w:color w:val="000000"/>
          <w:sz w:val="24"/>
          <w:szCs w:val="24"/>
        </w:rPr>
        <w:tab/>
      </w:r>
      <w:r w:rsidR="00A96FCC">
        <w:rPr>
          <w:rFonts w:ascii="Times New Roman" w:hAnsi="Times New Roman"/>
          <w:color w:val="000000"/>
          <w:sz w:val="24"/>
          <w:szCs w:val="24"/>
        </w:rPr>
        <w:t>13.52%</w:t>
      </w:r>
    </w:p>
    <w:p w:rsidR="00B75B67" w:rsidRDefault="00B75B67" w:rsidP="00B75B67">
      <w:pPr>
        <w:pStyle w:val="FootnoteText"/>
        <w:keepNext/>
        <w:keepLines/>
        <w:tabs>
          <w:tab w:val="right" w:pos="3600"/>
          <w:tab w:val="right" w:pos="5760"/>
        </w:tabs>
        <w:spacing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IDACORP</w:t>
      </w:r>
      <w:r>
        <w:rPr>
          <w:rFonts w:ascii="Times New Roman" w:hAnsi="Times New Roman"/>
          <w:color w:val="000000"/>
          <w:sz w:val="24"/>
          <w:szCs w:val="24"/>
        </w:rPr>
        <w:tab/>
      </w:r>
      <w:r w:rsidR="00A96FCC">
        <w:rPr>
          <w:rFonts w:ascii="Times New Roman" w:hAnsi="Times New Roman"/>
          <w:color w:val="000000"/>
          <w:sz w:val="24"/>
          <w:szCs w:val="24"/>
        </w:rPr>
        <w:t>3.68%</w:t>
      </w:r>
    </w:p>
    <w:p w:rsidR="00B75B67" w:rsidRDefault="00B75B67" w:rsidP="00B75B67">
      <w:pPr>
        <w:pStyle w:val="FootnoteText"/>
        <w:keepNext/>
        <w:keepLines/>
        <w:tabs>
          <w:tab w:val="right" w:pos="3600"/>
          <w:tab w:val="right" w:pos="5760"/>
        </w:tabs>
        <w:spacing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Portland General</w:t>
      </w:r>
      <w:r>
        <w:rPr>
          <w:rFonts w:ascii="Times New Roman" w:hAnsi="Times New Roman"/>
          <w:color w:val="000000"/>
          <w:sz w:val="24"/>
          <w:szCs w:val="24"/>
        </w:rPr>
        <w:tab/>
      </w:r>
      <w:r w:rsidR="00A96FCC">
        <w:rPr>
          <w:rFonts w:ascii="Times New Roman" w:hAnsi="Times New Roman"/>
          <w:color w:val="000000"/>
          <w:sz w:val="24"/>
          <w:szCs w:val="24"/>
        </w:rPr>
        <w:t>3.40%</w:t>
      </w:r>
    </w:p>
    <w:p w:rsidR="00B75B67" w:rsidRDefault="00B75B67" w:rsidP="00B75B67">
      <w:pPr>
        <w:pStyle w:val="FootnoteText"/>
        <w:keepNext/>
        <w:keepLines/>
        <w:tabs>
          <w:tab w:val="right" w:pos="3600"/>
          <w:tab w:val="right" w:pos="5760"/>
        </w:tabs>
        <w:spacing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Wisconsin Energy</w:t>
      </w:r>
      <w:r>
        <w:rPr>
          <w:rFonts w:ascii="Times New Roman" w:hAnsi="Times New Roman"/>
          <w:color w:val="000000"/>
          <w:sz w:val="24"/>
          <w:szCs w:val="24"/>
        </w:rPr>
        <w:tab/>
      </w:r>
      <w:r w:rsidR="00A96FCC">
        <w:rPr>
          <w:rFonts w:ascii="Times New Roman" w:hAnsi="Times New Roman"/>
          <w:color w:val="000000"/>
          <w:sz w:val="24"/>
          <w:szCs w:val="24"/>
        </w:rPr>
        <w:t>5.94%</w:t>
      </w:r>
    </w:p>
    <w:p w:rsidR="00B75B67" w:rsidRPr="00A96FCC" w:rsidRDefault="00B75B67" w:rsidP="00A96FCC">
      <w:pPr>
        <w:pStyle w:val="FootnoteText"/>
        <w:keepNext/>
        <w:keepLines/>
        <w:tabs>
          <w:tab w:val="left" w:pos="1800"/>
          <w:tab w:val="right" w:pos="3600"/>
          <w:tab w:val="right" w:pos="5760"/>
          <w:tab w:val="left" w:pos="6480"/>
        </w:tabs>
        <w:spacing w:line="240" w:lineRule="auto"/>
        <w:rPr>
          <w:rFonts w:ascii="Times New Roman" w:hAnsi="Times New Roman"/>
          <w:color w:val="000000"/>
          <w:sz w:val="24"/>
          <w:szCs w:val="24"/>
          <w:u w:val="single"/>
        </w:rPr>
      </w:pPr>
      <w:r>
        <w:rPr>
          <w:rFonts w:ascii="Times New Roman" w:hAnsi="Times New Roman"/>
          <w:color w:val="000000"/>
          <w:sz w:val="24"/>
          <w:szCs w:val="24"/>
        </w:rPr>
        <w:tab/>
      </w:r>
      <w:r>
        <w:rPr>
          <w:rFonts w:ascii="Times New Roman" w:hAnsi="Times New Roman"/>
          <w:color w:val="000000"/>
          <w:sz w:val="24"/>
          <w:szCs w:val="24"/>
        </w:rPr>
        <w:tab/>
      </w:r>
      <w:r w:rsidR="00A96FCC">
        <w:rPr>
          <w:rFonts w:ascii="Times New Roman" w:hAnsi="Times New Roman"/>
          <w:color w:val="000000"/>
          <w:sz w:val="24"/>
          <w:szCs w:val="24"/>
          <w:u w:val="single"/>
        </w:rPr>
        <w:tab/>
      </w:r>
      <w:r w:rsidRPr="00A96FCC">
        <w:rPr>
          <w:rFonts w:ascii="Times New Roman" w:hAnsi="Times New Roman"/>
          <w:color w:val="000000"/>
          <w:sz w:val="24"/>
          <w:szCs w:val="24"/>
          <w:u w:val="single"/>
        </w:rPr>
        <w:t>Xcel</w:t>
      </w:r>
      <w:r w:rsidRPr="00A96FCC">
        <w:rPr>
          <w:rFonts w:ascii="Times New Roman" w:hAnsi="Times New Roman"/>
          <w:color w:val="000000"/>
          <w:sz w:val="24"/>
          <w:szCs w:val="24"/>
          <w:u w:val="single"/>
        </w:rPr>
        <w:tab/>
      </w:r>
      <w:r w:rsidR="00A96FCC">
        <w:rPr>
          <w:rFonts w:ascii="Times New Roman" w:hAnsi="Times New Roman"/>
          <w:color w:val="000000"/>
          <w:sz w:val="24"/>
          <w:szCs w:val="24"/>
          <w:u w:val="single"/>
        </w:rPr>
        <w:t>4.73%</w:t>
      </w:r>
      <w:r w:rsidR="00A96FCC">
        <w:rPr>
          <w:rFonts w:ascii="Times New Roman" w:hAnsi="Times New Roman"/>
          <w:color w:val="000000"/>
          <w:sz w:val="24"/>
          <w:szCs w:val="24"/>
          <w:u w:val="single"/>
        </w:rPr>
        <w:tab/>
      </w:r>
    </w:p>
    <w:p w:rsidR="00B75B67" w:rsidRDefault="00B75B67" w:rsidP="00B75B67">
      <w:pPr>
        <w:pStyle w:val="FootnoteText"/>
        <w:tabs>
          <w:tab w:val="right" w:pos="3600"/>
          <w:tab w:val="right" w:pos="5760"/>
        </w:tabs>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Average</w:t>
      </w:r>
      <w:r>
        <w:rPr>
          <w:rFonts w:ascii="Times New Roman" w:hAnsi="Times New Roman"/>
          <w:color w:val="000000"/>
          <w:sz w:val="24"/>
          <w:szCs w:val="24"/>
        </w:rPr>
        <w:tab/>
      </w:r>
      <w:r w:rsidR="00A96FCC" w:rsidRPr="00A96FCC">
        <w:rPr>
          <w:rFonts w:ascii="Times New Roman" w:hAnsi="Times New Roman"/>
          <w:color w:val="000000"/>
          <w:sz w:val="24"/>
          <w:szCs w:val="24"/>
          <w:u w:val="double"/>
        </w:rPr>
        <w:t>5.61%</w:t>
      </w:r>
    </w:p>
    <w:p w:rsidR="000C76AC" w:rsidRDefault="00EA0E4B" w:rsidP="00A96FCC">
      <w:pPr>
        <w:pStyle w:val="FootnoteText"/>
        <w:ind w:firstLine="0"/>
        <w:rPr>
          <w:rFonts w:ascii="Times New Roman" w:hAnsi="Times New Roman"/>
          <w:color w:val="000000"/>
          <w:sz w:val="24"/>
          <w:szCs w:val="24"/>
        </w:rPr>
      </w:pPr>
      <w:r>
        <w:rPr>
          <w:rFonts w:ascii="Times New Roman" w:hAnsi="Times New Roman"/>
          <w:color w:val="000000"/>
          <w:sz w:val="24"/>
          <w:szCs w:val="24"/>
        </w:rPr>
        <w:t xml:space="preserve">The unadjusted </w:t>
      </w:r>
      <w:r w:rsidR="003C18EA">
        <w:rPr>
          <w:rFonts w:ascii="Times New Roman" w:hAnsi="Times New Roman"/>
          <w:color w:val="000000"/>
          <w:sz w:val="24"/>
          <w:szCs w:val="24"/>
        </w:rPr>
        <w:t>“</w:t>
      </w:r>
      <w:r>
        <w:rPr>
          <w:rFonts w:ascii="Times New Roman" w:hAnsi="Times New Roman"/>
          <w:color w:val="000000"/>
          <w:sz w:val="24"/>
          <w:szCs w:val="24"/>
        </w:rPr>
        <w:t>b times r</w:t>
      </w:r>
      <w:r w:rsidR="003C18EA">
        <w:rPr>
          <w:rFonts w:ascii="Times New Roman" w:hAnsi="Times New Roman"/>
          <w:color w:val="000000"/>
          <w:sz w:val="24"/>
          <w:szCs w:val="24"/>
        </w:rPr>
        <w:t>”</w:t>
      </w:r>
      <w:r>
        <w:rPr>
          <w:rFonts w:ascii="Times New Roman" w:hAnsi="Times New Roman"/>
          <w:color w:val="000000"/>
          <w:sz w:val="24"/>
          <w:szCs w:val="24"/>
        </w:rPr>
        <w:t xml:space="preserve"> average growth rate for his group </w:t>
      </w:r>
      <w:r w:rsidR="00A96FCC">
        <w:rPr>
          <w:rFonts w:ascii="Times New Roman" w:hAnsi="Times New Roman"/>
          <w:color w:val="000000"/>
          <w:sz w:val="24"/>
          <w:szCs w:val="24"/>
        </w:rPr>
        <w:t xml:space="preserve">is </w:t>
      </w:r>
      <w:r>
        <w:rPr>
          <w:rFonts w:ascii="Times New Roman" w:hAnsi="Times New Roman"/>
          <w:color w:val="000000"/>
          <w:sz w:val="24"/>
          <w:szCs w:val="24"/>
        </w:rPr>
        <w:t>5.6</w:t>
      </w:r>
      <w:r w:rsidR="00A96FCC">
        <w:rPr>
          <w:rFonts w:ascii="Times New Roman" w:hAnsi="Times New Roman"/>
          <w:color w:val="000000"/>
          <w:sz w:val="24"/>
          <w:szCs w:val="24"/>
        </w:rPr>
        <w:t>1</w:t>
      </w:r>
      <w:r>
        <w:rPr>
          <w:rFonts w:ascii="Times New Roman" w:hAnsi="Times New Roman"/>
          <w:color w:val="000000"/>
          <w:sz w:val="24"/>
          <w:szCs w:val="24"/>
        </w:rPr>
        <w:t xml:space="preserve"> percent</w:t>
      </w:r>
      <w:r w:rsidR="00DD5ED1">
        <w:rPr>
          <w:rFonts w:ascii="Times New Roman" w:hAnsi="Times New Roman"/>
          <w:color w:val="000000"/>
          <w:sz w:val="24"/>
          <w:szCs w:val="24"/>
        </w:rPr>
        <w:t xml:space="preserve"> versus his adjusted </w:t>
      </w:r>
      <w:r w:rsidR="006D7A9A">
        <w:rPr>
          <w:rFonts w:ascii="Times New Roman" w:hAnsi="Times New Roman"/>
          <w:color w:val="000000"/>
          <w:sz w:val="24"/>
          <w:szCs w:val="24"/>
        </w:rPr>
        <w:t>calculati</w:t>
      </w:r>
      <w:r w:rsidR="00DD5ED1">
        <w:rPr>
          <w:rFonts w:ascii="Times New Roman" w:hAnsi="Times New Roman"/>
          <w:color w:val="000000"/>
          <w:sz w:val="24"/>
          <w:szCs w:val="24"/>
        </w:rPr>
        <w:t>on of 4.75 percent</w:t>
      </w:r>
      <w:r w:rsidR="00A96FCC">
        <w:rPr>
          <w:rFonts w:ascii="Times New Roman" w:hAnsi="Times New Roman"/>
          <w:color w:val="000000"/>
          <w:sz w:val="24"/>
          <w:szCs w:val="24"/>
        </w:rPr>
        <w:t xml:space="preserve"> he reports</w:t>
      </w:r>
      <w:r>
        <w:rPr>
          <w:rFonts w:ascii="Times New Roman" w:hAnsi="Times New Roman"/>
          <w:color w:val="000000"/>
          <w:sz w:val="24"/>
          <w:szCs w:val="24"/>
        </w:rPr>
        <w:t>.</w:t>
      </w:r>
    </w:p>
    <w:p w:rsidR="006D7A9A" w:rsidRPr="006D7A9A" w:rsidRDefault="006D7A9A" w:rsidP="006D7A9A">
      <w:pPr>
        <w:pStyle w:val="FootnoteText"/>
        <w:rPr>
          <w:rFonts w:ascii="Times New Roman" w:hAnsi="Times New Roman"/>
          <w:b/>
          <w:color w:val="000000"/>
          <w:sz w:val="24"/>
          <w:szCs w:val="24"/>
        </w:rPr>
      </w:pPr>
      <w:r w:rsidRPr="006D7A9A">
        <w:rPr>
          <w:rFonts w:ascii="Times New Roman" w:hAnsi="Times New Roman"/>
          <w:b/>
          <w:color w:val="000000"/>
          <w:sz w:val="24"/>
          <w:szCs w:val="24"/>
        </w:rPr>
        <w:t>Q.</w:t>
      </w:r>
      <w:r w:rsidRPr="006D7A9A">
        <w:rPr>
          <w:rFonts w:ascii="Times New Roman" w:hAnsi="Times New Roman"/>
          <w:b/>
          <w:color w:val="000000"/>
          <w:sz w:val="24"/>
          <w:szCs w:val="24"/>
        </w:rPr>
        <w:tab/>
      </w:r>
      <w:r w:rsidR="009C3A67">
        <w:rPr>
          <w:rFonts w:ascii="Times New Roman" w:hAnsi="Times New Roman"/>
          <w:b/>
          <w:color w:val="000000"/>
          <w:sz w:val="24"/>
          <w:szCs w:val="24"/>
        </w:rPr>
        <w:t xml:space="preserve">Do you believe that the </w:t>
      </w:r>
      <w:r w:rsidR="003C18EA">
        <w:rPr>
          <w:rFonts w:ascii="Times New Roman" w:hAnsi="Times New Roman"/>
          <w:b/>
          <w:color w:val="000000"/>
          <w:sz w:val="24"/>
          <w:szCs w:val="24"/>
        </w:rPr>
        <w:t>“</w:t>
      </w:r>
      <w:r w:rsidRPr="006D7A9A">
        <w:rPr>
          <w:rFonts w:ascii="Times New Roman" w:hAnsi="Times New Roman"/>
          <w:b/>
          <w:color w:val="000000"/>
          <w:sz w:val="24"/>
          <w:szCs w:val="24"/>
        </w:rPr>
        <w:t>b times r</w:t>
      </w:r>
      <w:r w:rsidR="003C18EA">
        <w:rPr>
          <w:rFonts w:ascii="Times New Roman" w:hAnsi="Times New Roman"/>
          <w:b/>
          <w:color w:val="000000"/>
          <w:sz w:val="24"/>
          <w:szCs w:val="24"/>
        </w:rPr>
        <w:t>”</w:t>
      </w:r>
      <w:r w:rsidRPr="006D7A9A">
        <w:rPr>
          <w:rFonts w:ascii="Times New Roman" w:hAnsi="Times New Roman"/>
          <w:b/>
          <w:color w:val="000000"/>
          <w:sz w:val="24"/>
          <w:szCs w:val="24"/>
        </w:rPr>
        <w:t xml:space="preserve"> growth rate </w:t>
      </w:r>
      <w:r w:rsidR="009C3A67">
        <w:rPr>
          <w:rFonts w:ascii="Times New Roman" w:hAnsi="Times New Roman"/>
          <w:b/>
          <w:color w:val="000000"/>
          <w:sz w:val="24"/>
          <w:szCs w:val="24"/>
        </w:rPr>
        <w:t>methodology is an appropriate means to estimate future dividend growth in a DCF model</w:t>
      </w:r>
      <w:r w:rsidRPr="006D7A9A">
        <w:rPr>
          <w:rFonts w:ascii="Times New Roman" w:hAnsi="Times New Roman"/>
          <w:b/>
          <w:color w:val="000000"/>
          <w:sz w:val="24"/>
          <w:szCs w:val="24"/>
        </w:rPr>
        <w:t>?</w:t>
      </w:r>
    </w:p>
    <w:p w:rsidR="006D7A9A" w:rsidRDefault="006D7A9A" w:rsidP="006D7A9A">
      <w:pPr>
        <w:pStyle w:val="FootnoteText"/>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r>
      <w:r w:rsidR="009C3A67">
        <w:rPr>
          <w:rFonts w:ascii="Times New Roman" w:hAnsi="Times New Roman"/>
          <w:color w:val="000000"/>
          <w:sz w:val="24"/>
          <w:szCs w:val="24"/>
        </w:rPr>
        <w:t>No.</w:t>
      </w:r>
      <w:r>
        <w:rPr>
          <w:rFonts w:ascii="Times New Roman" w:hAnsi="Times New Roman"/>
          <w:color w:val="000000"/>
          <w:sz w:val="24"/>
          <w:szCs w:val="24"/>
        </w:rPr>
        <w:t xml:space="preserve">  Because of the volatile nature of </w:t>
      </w:r>
      <w:r w:rsidR="00AC6FE5">
        <w:rPr>
          <w:rFonts w:ascii="Times New Roman" w:hAnsi="Times New Roman"/>
          <w:color w:val="000000"/>
          <w:sz w:val="24"/>
          <w:szCs w:val="24"/>
        </w:rPr>
        <w:t xml:space="preserve">the </w:t>
      </w:r>
      <w:r w:rsidR="003C18EA">
        <w:rPr>
          <w:rFonts w:ascii="Times New Roman" w:hAnsi="Times New Roman"/>
          <w:color w:val="000000"/>
          <w:sz w:val="24"/>
          <w:szCs w:val="24"/>
        </w:rPr>
        <w:t>“</w:t>
      </w:r>
      <w:r>
        <w:rPr>
          <w:rFonts w:ascii="Times New Roman" w:hAnsi="Times New Roman"/>
          <w:color w:val="000000"/>
          <w:sz w:val="24"/>
          <w:szCs w:val="24"/>
        </w:rPr>
        <w:t>b times r</w:t>
      </w:r>
      <w:r w:rsidR="003C18EA">
        <w:rPr>
          <w:rFonts w:ascii="Times New Roman" w:hAnsi="Times New Roman"/>
          <w:color w:val="000000"/>
          <w:sz w:val="24"/>
          <w:szCs w:val="24"/>
        </w:rPr>
        <w:t>”</w:t>
      </w:r>
      <w:r>
        <w:rPr>
          <w:rFonts w:ascii="Times New Roman" w:hAnsi="Times New Roman"/>
          <w:color w:val="000000"/>
          <w:sz w:val="24"/>
          <w:szCs w:val="24"/>
        </w:rPr>
        <w:t xml:space="preserve"> </w:t>
      </w:r>
      <w:r w:rsidR="00AC6FE5">
        <w:rPr>
          <w:rFonts w:ascii="Times New Roman" w:hAnsi="Times New Roman"/>
          <w:color w:val="000000"/>
          <w:sz w:val="24"/>
          <w:szCs w:val="24"/>
        </w:rPr>
        <w:t>approach</w:t>
      </w:r>
      <w:r>
        <w:rPr>
          <w:rFonts w:ascii="Times New Roman" w:hAnsi="Times New Roman"/>
          <w:color w:val="000000"/>
          <w:sz w:val="24"/>
          <w:szCs w:val="24"/>
        </w:rPr>
        <w:t xml:space="preserve">, most regulatory economists do not use </w:t>
      </w:r>
      <w:r w:rsidR="00AC6FE5">
        <w:rPr>
          <w:rFonts w:ascii="Times New Roman" w:hAnsi="Times New Roman"/>
          <w:color w:val="000000"/>
          <w:sz w:val="24"/>
          <w:szCs w:val="24"/>
        </w:rPr>
        <w:t>it</w:t>
      </w:r>
      <w:r>
        <w:rPr>
          <w:rFonts w:ascii="Times New Roman" w:hAnsi="Times New Roman"/>
          <w:color w:val="000000"/>
          <w:sz w:val="24"/>
          <w:szCs w:val="24"/>
        </w:rPr>
        <w:t xml:space="preserve">.  </w:t>
      </w:r>
      <w:r w:rsidR="00AC6FE5">
        <w:rPr>
          <w:rFonts w:ascii="Times New Roman" w:hAnsi="Times New Roman"/>
          <w:color w:val="000000"/>
          <w:sz w:val="24"/>
          <w:szCs w:val="24"/>
        </w:rPr>
        <w:t xml:space="preserve">In combination with </w:t>
      </w:r>
      <w:r>
        <w:rPr>
          <w:rFonts w:ascii="Times New Roman" w:hAnsi="Times New Roman"/>
          <w:color w:val="000000"/>
          <w:sz w:val="24"/>
          <w:szCs w:val="24"/>
        </w:rPr>
        <w:t>Mr. Elgin</w:t>
      </w:r>
      <w:r w:rsidR="003C18EA">
        <w:rPr>
          <w:rFonts w:ascii="Times New Roman" w:hAnsi="Times New Roman"/>
          <w:color w:val="000000"/>
          <w:sz w:val="24"/>
          <w:szCs w:val="24"/>
        </w:rPr>
        <w:t>’</w:t>
      </w:r>
      <w:r>
        <w:rPr>
          <w:rFonts w:ascii="Times New Roman" w:hAnsi="Times New Roman"/>
          <w:color w:val="000000"/>
          <w:sz w:val="24"/>
          <w:szCs w:val="24"/>
        </w:rPr>
        <w:t xml:space="preserve">s small </w:t>
      </w:r>
      <w:r w:rsidR="00AC6FE5">
        <w:rPr>
          <w:rFonts w:ascii="Times New Roman" w:hAnsi="Times New Roman"/>
          <w:color w:val="000000"/>
          <w:sz w:val="24"/>
          <w:szCs w:val="24"/>
        </w:rPr>
        <w:t xml:space="preserve">proxy </w:t>
      </w:r>
      <w:r>
        <w:rPr>
          <w:rFonts w:ascii="Times New Roman" w:hAnsi="Times New Roman"/>
          <w:color w:val="000000"/>
          <w:sz w:val="24"/>
          <w:szCs w:val="24"/>
        </w:rPr>
        <w:t>group</w:t>
      </w:r>
      <w:r w:rsidR="00AC6FE5">
        <w:rPr>
          <w:rFonts w:ascii="Times New Roman" w:hAnsi="Times New Roman"/>
          <w:color w:val="000000"/>
          <w:sz w:val="24"/>
          <w:szCs w:val="24"/>
        </w:rPr>
        <w:t>,</w:t>
      </w:r>
      <w:r>
        <w:rPr>
          <w:rFonts w:ascii="Times New Roman" w:hAnsi="Times New Roman"/>
          <w:color w:val="000000"/>
          <w:sz w:val="24"/>
          <w:szCs w:val="24"/>
        </w:rPr>
        <w:t xml:space="preserve"> </w:t>
      </w:r>
      <w:r w:rsidR="00AC6FE5">
        <w:rPr>
          <w:rFonts w:ascii="Times New Roman" w:hAnsi="Times New Roman"/>
          <w:color w:val="000000"/>
          <w:sz w:val="24"/>
          <w:szCs w:val="24"/>
        </w:rPr>
        <w:t xml:space="preserve">the </w:t>
      </w:r>
      <w:r>
        <w:rPr>
          <w:rFonts w:ascii="Times New Roman" w:hAnsi="Times New Roman"/>
          <w:color w:val="000000"/>
          <w:sz w:val="24"/>
          <w:szCs w:val="24"/>
        </w:rPr>
        <w:t>issue is especially pronounced.  A fair evaluation of the results</w:t>
      </w:r>
      <w:r w:rsidR="00AC6FE5">
        <w:rPr>
          <w:rFonts w:ascii="Times New Roman" w:hAnsi="Times New Roman"/>
          <w:color w:val="000000"/>
          <w:sz w:val="24"/>
          <w:szCs w:val="24"/>
        </w:rPr>
        <w:t xml:space="preserve"> shown in Table 4 </w:t>
      </w:r>
      <w:r>
        <w:rPr>
          <w:rFonts w:ascii="Times New Roman" w:hAnsi="Times New Roman"/>
          <w:color w:val="000000"/>
          <w:sz w:val="24"/>
          <w:szCs w:val="24"/>
        </w:rPr>
        <w:t>would most likely eliminate four of Mr. Elgin</w:t>
      </w:r>
      <w:r w:rsidR="003C18EA">
        <w:rPr>
          <w:rFonts w:ascii="Times New Roman" w:hAnsi="Times New Roman"/>
          <w:color w:val="000000"/>
          <w:sz w:val="24"/>
          <w:szCs w:val="24"/>
        </w:rPr>
        <w:t>’</w:t>
      </w:r>
      <w:r>
        <w:rPr>
          <w:rFonts w:ascii="Times New Roman" w:hAnsi="Times New Roman"/>
          <w:color w:val="000000"/>
          <w:sz w:val="24"/>
          <w:szCs w:val="24"/>
        </w:rPr>
        <w:t xml:space="preserve">s seven companies, leaving a </w:t>
      </w:r>
      <w:r w:rsidR="003C18EA">
        <w:rPr>
          <w:rFonts w:ascii="Times New Roman" w:hAnsi="Times New Roman"/>
          <w:color w:val="000000"/>
          <w:sz w:val="24"/>
          <w:szCs w:val="24"/>
        </w:rPr>
        <w:t>“</w:t>
      </w:r>
      <w:r>
        <w:rPr>
          <w:rFonts w:ascii="Times New Roman" w:hAnsi="Times New Roman"/>
          <w:color w:val="000000"/>
          <w:sz w:val="24"/>
          <w:szCs w:val="24"/>
        </w:rPr>
        <w:t>proxy</w:t>
      </w:r>
      <w:r w:rsidR="003C18EA">
        <w:rPr>
          <w:rFonts w:ascii="Times New Roman" w:hAnsi="Times New Roman"/>
          <w:color w:val="000000"/>
          <w:sz w:val="24"/>
          <w:szCs w:val="24"/>
        </w:rPr>
        <w:t>”</w:t>
      </w:r>
      <w:r>
        <w:rPr>
          <w:rFonts w:ascii="Times New Roman" w:hAnsi="Times New Roman"/>
          <w:color w:val="000000"/>
          <w:sz w:val="24"/>
          <w:szCs w:val="24"/>
        </w:rPr>
        <w:t xml:space="preserve"> group </w:t>
      </w:r>
      <w:r w:rsidR="00AC6FE5">
        <w:rPr>
          <w:rFonts w:ascii="Times New Roman" w:hAnsi="Times New Roman"/>
          <w:color w:val="000000"/>
          <w:sz w:val="24"/>
          <w:szCs w:val="24"/>
        </w:rPr>
        <w:t xml:space="preserve">of </w:t>
      </w:r>
      <w:r>
        <w:rPr>
          <w:rFonts w:ascii="Times New Roman" w:hAnsi="Times New Roman"/>
          <w:color w:val="000000"/>
          <w:sz w:val="24"/>
          <w:szCs w:val="24"/>
        </w:rPr>
        <w:t xml:space="preserve">only three </w:t>
      </w:r>
      <w:r w:rsidR="00AC6FE5">
        <w:rPr>
          <w:rFonts w:ascii="Times New Roman" w:hAnsi="Times New Roman"/>
          <w:color w:val="000000"/>
          <w:sz w:val="24"/>
          <w:szCs w:val="24"/>
        </w:rPr>
        <w:t>utilities.</w:t>
      </w:r>
      <w:r>
        <w:rPr>
          <w:rFonts w:ascii="Times New Roman" w:hAnsi="Times New Roman"/>
          <w:color w:val="000000"/>
          <w:sz w:val="24"/>
          <w:szCs w:val="24"/>
        </w:rPr>
        <w:t xml:space="preserve">  This approach is not proper; it is not generally used by regulatory economists; and it should not have been used by Mr. Elgin.  The subjectivity employed in his analysis is </w:t>
      </w:r>
      <w:r w:rsidR="00AC6FE5">
        <w:rPr>
          <w:rFonts w:ascii="Times New Roman" w:hAnsi="Times New Roman"/>
          <w:color w:val="000000"/>
          <w:sz w:val="24"/>
          <w:szCs w:val="24"/>
        </w:rPr>
        <w:t>extreme, and because of this,</w:t>
      </w:r>
      <w:r>
        <w:rPr>
          <w:rFonts w:ascii="Times New Roman" w:hAnsi="Times New Roman"/>
          <w:color w:val="000000"/>
          <w:sz w:val="24"/>
          <w:szCs w:val="24"/>
        </w:rPr>
        <w:t xml:space="preserve"> </w:t>
      </w:r>
      <w:r w:rsidR="00AC6FE5">
        <w:rPr>
          <w:rFonts w:ascii="Times New Roman" w:hAnsi="Times New Roman"/>
          <w:color w:val="000000"/>
          <w:sz w:val="24"/>
          <w:szCs w:val="24"/>
        </w:rPr>
        <w:t>his quantitative results provide no meaningful evidence with respect</w:t>
      </w:r>
      <w:r w:rsidR="004D038F">
        <w:rPr>
          <w:rFonts w:ascii="Times New Roman" w:hAnsi="Times New Roman"/>
          <w:color w:val="000000"/>
          <w:sz w:val="24"/>
          <w:szCs w:val="24"/>
        </w:rPr>
        <w:t xml:space="preserve"> </w:t>
      </w:r>
      <w:r w:rsidR="004010D4" w:rsidRPr="005D76FA">
        <w:rPr>
          <w:rFonts w:ascii="Times New Roman" w:hAnsi="Times New Roman"/>
          <w:color w:val="000000"/>
          <w:sz w:val="24"/>
          <w:szCs w:val="24"/>
        </w:rPr>
        <w:t>to</w:t>
      </w:r>
      <w:r w:rsidR="00AC6FE5">
        <w:rPr>
          <w:rFonts w:ascii="Times New Roman" w:hAnsi="Times New Roman"/>
          <w:color w:val="000000"/>
          <w:sz w:val="24"/>
          <w:szCs w:val="24"/>
        </w:rPr>
        <w:t xml:space="preserve"> PacifiCorp</w:t>
      </w:r>
      <w:r w:rsidR="003C18EA">
        <w:rPr>
          <w:rFonts w:ascii="Times New Roman" w:hAnsi="Times New Roman"/>
          <w:color w:val="000000"/>
          <w:sz w:val="24"/>
          <w:szCs w:val="24"/>
        </w:rPr>
        <w:t>’</w:t>
      </w:r>
      <w:r w:rsidR="00AC6FE5">
        <w:rPr>
          <w:rFonts w:ascii="Times New Roman" w:hAnsi="Times New Roman"/>
          <w:color w:val="000000"/>
          <w:sz w:val="24"/>
          <w:szCs w:val="24"/>
        </w:rPr>
        <w:t>s cost of equity.</w:t>
      </w:r>
    </w:p>
    <w:p w:rsidR="00772E6F" w:rsidRPr="00AC6FE5" w:rsidRDefault="00AC6FE5" w:rsidP="00637AD6">
      <w:pPr>
        <w:pStyle w:val="FootnoteText"/>
        <w:rPr>
          <w:rFonts w:ascii="Times New Roman" w:hAnsi="Times New Roman"/>
          <w:b/>
          <w:color w:val="000000"/>
          <w:sz w:val="24"/>
          <w:szCs w:val="24"/>
        </w:rPr>
      </w:pPr>
      <w:r w:rsidRPr="00AC6FE5">
        <w:rPr>
          <w:rFonts w:ascii="Times New Roman" w:hAnsi="Times New Roman"/>
          <w:b/>
          <w:color w:val="000000"/>
          <w:sz w:val="24"/>
          <w:szCs w:val="24"/>
        </w:rPr>
        <w:t>Q.</w:t>
      </w:r>
      <w:r w:rsidRPr="00AC6FE5">
        <w:rPr>
          <w:rFonts w:ascii="Times New Roman" w:hAnsi="Times New Roman"/>
          <w:b/>
          <w:color w:val="000000"/>
          <w:sz w:val="24"/>
          <w:szCs w:val="24"/>
        </w:rPr>
        <w:tab/>
        <w:t>What is Mr. Elgin</w:t>
      </w:r>
      <w:r w:rsidR="003C18EA">
        <w:rPr>
          <w:rFonts w:ascii="Times New Roman" w:hAnsi="Times New Roman"/>
          <w:b/>
          <w:color w:val="000000"/>
          <w:sz w:val="24"/>
          <w:szCs w:val="24"/>
        </w:rPr>
        <w:t>’</w:t>
      </w:r>
      <w:r w:rsidRPr="00AC6FE5">
        <w:rPr>
          <w:rFonts w:ascii="Times New Roman" w:hAnsi="Times New Roman"/>
          <w:b/>
          <w:color w:val="000000"/>
          <w:sz w:val="24"/>
          <w:szCs w:val="24"/>
        </w:rPr>
        <w:t>s fourth growth rate approach?</w:t>
      </w:r>
    </w:p>
    <w:p w:rsidR="00AC6FE5" w:rsidRDefault="00AC6FE5" w:rsidP="00637AD6">
      <w:pPr>
        <w:pStyle w:val="FootnoteText"/>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t xml:space="preserve">His fourth </w:t>
      </w:r>
      <w:r w:rsidR="00F740DA">
        <w:rPr>
          <w:rFonts w:ascii="Times New Roman" w:hAnsi="Times New Roman"/>
          <w:color w:val="000000"/>
          <w:sz w:val="24"/>
          <w:szCs w:val="24"/>
        </w:rPr>
        <w:t>set</w:t>
      </w:r>
      <w:r>
        <w:rPr>
          <w:rFonts w:ascii="Times New Roman" w:hAnsi="Times New Roman"/>
          <w:color w:val="000000"/>
          <w:sz w:val="24"/>
          <w:szCs w:val="24"/>
        </w:rPr>
        <w:t xml:space="preserve"> of growth estimates </w:t>
      </w:r>
      <w:r w:rsidR="00F740DA">
        <w:rPr>
          <w:rFonts w:ascii="Times New Roman" w:hAnsi="Times New Roman"/>
          <w:color w:val="000000"/>
          <w:sz w:val="24"/>
          <w:szCs w:val="24"/>
        </w:rPr>
        <w:t>is</w:t>
      </w:r>
      <w:r>
        <w:rPr>
          <w:rFonts w:ascii="Times New Roman" w:hAnsi="Times New Roman"/>
          <w:color w:val="000000"/>
          <w:sz w:val="24"/>
          <w:szCs w:val="24"/>
        </w:rPr>
        <w:t xml:space="preserve"> </w:t>
      </w:r>
      <w:r w:rsidR="00957620">
        <w:rPr>
          <w:rFonts w:ascii="Times New Roman" w:hAnsi="Times New Roman"/>
          <w:color w:val="000000"/>
          <w:sz w:val="24"/>
          <w:szCs w:val="24"/>
        </w:rPr>
        <w:t>from</w:t>
      </w:r>
      <w:r>
        <w:rPr>
          <w:rFonts w:ascii="Times New Roman" w:hAnsi="Times New Roman"/>
          <w:color w:val="000000"/>
          <w:sz w:val="24"/>
          <w:szCs w:val="24"/>
        </w:rPr>
        <w:t xml:space="preserve"> projected </w:t>
      </w:r>
      <w:r w:rsidR="00F740DA">
        <w:rPr>
          <w:rFonts w:ascii="Times New Roman" w:hAnsi="Times New Roman"/>
          <w:color w:val="000000"/>
          <w:sz w:val="24"/>
          <w:szCs w:val="24"/>
        </w:rPr>
        <w:t xml:space="preserve">growth </w:t>
      </w:r>
      <w:r w:rsidR="00957620">
        <w:rPr>
          <w:rFonts w:ascii="Times New Roman" w:hAnsi="Times New Roman"/>
          <w:color w:val="000000"/>
          <w:sz w:val="24"/>
          <w:szCs w:val="24"/>
        </w:rPr>
        <w:t>rates for</w:t>
      </w:r>
      <w:r w:rsidR="00F740DA">
        <w:rPr>
          <w:rFonts w:ascii="Times New Roman" w:hAnsi="Times New Roman"/>
          <w:color w:val="000000"/>
          <w:sz w:val="24"/>
          <w:szCs w:val="24"/>
        </w:rPr>
        <w:t xml:space="preserve"> </w:t>
      </w:r>
      <w:r>
        <w:rPr>
          <w:rFonts w:ascii="Times New Roman" w:hAnsi="Times New Roman"/>
          <w:color w:val="000000"/>
          <w:sz w:val="24"/>
          <w:szCs w:val="24"/>
        </w:rPr>
        <w:t>earnings per share</w:t>
      </w:r>
      <w:r w:rsidR="00D34518">
        <w:rPr>
          <w:rFonts w:ascii="Times New Roman" w:hAnsi="Times New Roman"/>
          <w:color w:val="000000"/>
          <w:sz w:val="24"/>
          <w:szCs w:val="24"/>
        </w:rPr>
        <w:t xml:space="preserve"> (EPS)</w:t>
      </w:r>
      <w:r>
        <w:rPr>
          <w:rFonts w:ascii="Times New Roman" w:hAnsi="Times New Roman"/>
          <w:color w:val="000000"/>
          <w:sz w:val="24"/>
          <w:szCs w:val="24"/>
        </w:rPr>
        <w:t>.</w:t>
      </w:r>
      <w:r w:rsidR="00D34518">
        <w:rPr>
          <w:rFonts w:ascii="Times New Roman" w:hAnsi="Times New Roman"/>
          <w:color w:val="000000"/>
          <w:sz w:val="24"/>
          <w:szCs w:val="24"/>
        </w:rPr>
        <w:t xml:space="preserve"> </w:t>
      </w:r>
      <w:r w:rsidR="00F740DA">
        <w:rPr>
          <w:rFonts w:ascii="Times New Roman" w:hAnsi="Times New Roman"/>
          <w:color w:val="000000"/>
          <w:sz w:val="24"/>
          <w:szCs w:val="24"/>
        </w:rPr>
        <w:t xml:space="preserve"> As a</w:t>
      </w:r>
      <w:r w:rsidR="00646C6D">
        <w:rPr>
          <w:rFonts w:ascii="Times New Roman" w:hAnsi="Times New Roman"/>
          <w:color w:val="000000"/>
          <w:sz w:val="24"/>
          <w:szCs w:val="24"/>
        </w:rPr>
        <w:t>n</w:t>
      </w:r>
      <w:r w:rsidR="00F740DA">
        <w:rPr>
          <w:rFonts w:ascii="Times New Roman" w:hAnsi="Times New Roman"/>
          <w:color w:val="000000"/>
          <w:sz w:val="24"/>
          <w:szCs w:val="24"/>
        </w:rPr>
        <w:t xml:space="preserve"> introduction to that portion of his discussion, Mr. Elgin provides a </w:t>
      </w:r>
      <w:r w:rsidR="00D02038">
        <w:rPr>
          <w:rFonts w:ascii="Times New Roman" w:hAnsi="Times New Roman"/>
          <w:color w:val="000000"/>
          <w:sz w:val="24"/>
          <w:szCs w:val="24"/>
        </w:rPr>
        <w:t xml:space="preserve">portion of a </w:t>
      </w:r>
      <w:r w:rsidR="00F740DA">
        <w:rPr>
          <w:rFonts w:ascii="Times New Roman" w:hAnsi="Times New Roman"/>
          <w:color w:val="000000"/>
          <w:sz w:val="24"/>
          <w:szCs w:val="24"/>
        </w:rPr>
        <w:t xml:space="preserve">quote from an academic article that I </w:t>
      </w:r>
      <w:r w:rsidR="00D02038">
        <w:rPr>
          <w:rFonts w:ascii="Times New Roman" w:hAnsi="Times New Roman"/>
          <w:color w:val="000000"/>
          <w:sz w:val="24"/>
          <w:szCs w:val="24"/>
        </w:rPr>
        <w:t>used</w:t>
      </w:r>
      <w:r w:rsidR="00F740DA">
        <w:rPr>
          <w:rFonts w:ascii="Times New Roman" w:hAnsi="Times New Roman"/>
          <w:color w:val="000000"/>
          <w:sz w:val="24"/>
          <w:szCs w:val="24"/>
        </w:rPr>
        <w:t xml:space="preserve"> in my Direct Testimony</w:t>
      </w:r>
      <w:r w:rsidR="00226CA7">
        <w:rPr>
          <w:rFonts w:ascii="Times New Roman" w:hAnsi="Times New Roman"/>
          <w:color w:val="000000"/>
          <w:sz w:val="24"/>
          <w:szCs w:val="24"/>
        </w:rPr>
        <w:t>.</w:t>
      </w:r>
      <w:r w:rsidR="00F740DA">
        <w:rPr>
          <w:rFonts w:ascii="Times New Roman" w:hAnsi="Times New Roman"/>
          <w:color w:val="000000"/>
          <w:sz w:val="24"/>
          <w:szCs w:val="24"/>
        </w:rPr>
        <w:t xml:space="preserve"> </w:t>
      </w:r>
      <w:r w:rsidR="00226CA7">
        <w:rPr>
          <w:rFonts w:ascii="Times New Roman" w:hAnsi="Times New Roman"/>
          <w:color w:val="000000"/>
          <w:sz w:val="24"/>
          <w:szCs w:val="24"/>
        </w:rPr>
        <w:t xml:space="preserve"> He </w:t>
      </w:r>
      <w:r w:rsidR="00F740DA">
        <w:rPr>
          <w:rFonts w:ascii="Times New Roman" w:hAnsi="Times New Roman"/>
          <w:color w:val="000000"/>
          <w:sz w:val="24"/>
          <w:szCs w:val="24"/>
        </w:rPr>
        <w:t xml:space="preserve">says that I have acknowledged </w:t>
      </w:r>
      <w:r w:rsidR="003C18EA">
        <w:rPr>
          <w:rFonts w:ascii="Times New Roman" w:hAnsi="Times New Roman"/>
          <w:color w:val="000000"/>
          <w:sz w:val="24"/>
          <w:szCs w:val="24"/>
        </w:rPr>
        <w:t>“</w:t>
      </w:r>
      <w:r w:rsidR="00F740DA">
        <w:rPr>
          <w:rFonts w:ascii="Times New Roman" w:hAnsi="Times New Roman"/>
          <w:color w:val="000000"/>
          <w:sz w:val="24"/>
          <w:szCs w:val="24"/>
        </w:rPr>
        <w:t>…the inherent upward bias of earnings estimates.</w:t>
      </w:r>
      <w:r w:rsidR="003C18EA">
        <w:rPr>
          <w:rFonts w:ascii="Times New Roman" w:hAnsi="Times New Roman"/>
          <w:color w:val="000000"/>
          <w:sz w:val="24"/>
          <w:szCs w:val="24"/>
        </w:rPr>
        <w:t>”</w:t>
      </w:r>
      <w:r w:rsidR="00F740DA">
        <w:rPr>
          <w:rFonts w:ascii="Times New Roman" w:hAnsi="Times New Roman"/>
          <w:color w:val="000000"/>
          <w:sz w:val="24"/>
          <w:szCs w:val="24"/>
        </w:rPr>
        <w:t xml:space="preserve"> (Elgin Direct at 35, lines 14-15.)</w:t>
      </w:r>
    </w:p>
    <w:p w:rsidR="00F740DA" w:rsidRPr="00F740DA" w:rsidRDefault="00F740DA" w:rsidP="00637AD6">
      <w:pPr>
        <w:pStyle w:val="FootnoteText"/>
        <w:rPr>
          <w:rFonts w:ascii="Times New Roman" w:hAnsi="Times New Roman"/>
          <w:b/>
          <w:color w:val="000000"/>
          <w:sz w:val="24"/>
          <w:szCs w:val="24"/>
        </w:rPr>
      </w:pPr>
      <w:r w:rsidRPr="00F740DA">
        <w:rPr>
          <w:rFonts w:ascii="Times New Roman" w:hAnsi="Times New Roman"/>
          <w:b/>
          <w:color w:val="000000"/>
          <w:sz w:val="24"/>
          <w:szCs w:val="24"/>
        </w:rPr>
        <w:t>Q.</w:t>
      </w:r>
      <w:r w:rsidRPr="00F740DA">
        <w:rPr>
          <w:rFonts w:ascii="Times New Roman" w:hAnsi="Times New Roman"/>
          <w:b/>
          <w:color w:val="000000"/>
          <w:sz w:val="24"/>
          <w:szCs w:val="24"/>
        </w:rPr>
        <w:tab/>
        <w:t>Did you acknowledge an inherent bias in earnings estimates?</w:t>
      </w:r>
    </w:p>
    <w:p w:rsidR="00F740DA" w:rsidRDefault="00F740DA" w:rsidP="00637AD6">
      <w:pPr>
        <w:pStyle w:val="FootnoteText"/>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t>No.</w:t>
      </w:r>
      <w:r w:rsidR="00D02038">
        <w:rPr>
          <w:rFonts w:ascii="Times New Roman" w:hAnsi="Times New Roman"/>
          <w:color w:val="000000"/>
          <w:sz w:val="24"/>
          <w:szCs w:val="24"/>
        </w:rPr>
        <w:t xml:space="preserve">  While I would agree that </w:t>
      </w:r>
      <w:r w:rsidR="00957620">
        <w:rPr>
          <w:rFonts w:ascii="Times New Roman" w:hAnsi="Times New Roman"/>
          <w:color w:val="000000"/>
          <w:sz w:val="24"/>
          <w:szCs w:val="24"/>
        </w:rPr>
        <w:t xml:space="preserve">some </w:t>
      </w:r>
      <w:r w:rsidR="00D02038">
        <w:rPr>
          <w:rFonts w:ascii="Times New Roman" w:hAnsi="Times New Roman"/>
          <w:color w:val="000000"/>
          <w:sz w:val="24"/>
          <w:szCs w:val="24"/>
        </w:rPr>
        <w:t>analysts</w:t>
      </w:r>
      <w:r w:rsidR="003C18EA">
        <w:rPr>
          <w:rFonts w:ascii="Times New Roman" w:hAnsi="Times New Roman"/>
          <w:color w:val="000000"/>
          <w:sz w:val="24"/>
          <w:szCs w:val="24"/>
        </w:rPr>
        <w:t>’</w:t>
      </w:r>
      <w:r w:rsidR="00D02038">
        <w:rPr>
          <w:rFonts w:ascii="Times New Roman" w:hAnsi="Times New Roman"/>
          <w:color w:val="000000"/>
          <w:sz w:val="24"/>
          <w:szCs w:val="24"/>
        </w:rPr>
        <w:t xml:space="preserve"> estimates for high tech companies were overstated during the tech market bubble</w:t>
      </w:r>
      <w:r w:rsidR="00226CA7">
        <w:rPr>
          <w:rFonts w:ascii="Times New Roman" w:hAnsi="Times New Roman"/>
          <w:color w:val="000000"/>
          <w:sz w:val="24"/>
          <w:szCs w:val="24"/>
        </w:rPr>
        <w:t xml:space="preserve"> of the late 1990</w:t>
      </w:r>
      <w:r w:rsidR="003C18EA">
        <w:rPr>
          <w:rFonts w:ascii="Times New Roman" w:hAnsi="Times New Roman"/>
          <w:color w:val="000000"/>
          <w:sz w:val="24"/>
          <w:szCs w:val="24"/>
        </w:rPr>
        <w:t>’</w:t>
      </w:r>
      <w:r w:rsidR="00226CA7">
        <w:rPr>
          <w:rFonts w:ascii="Times New Roman" w:hAnsi="Times New Roman"/>
          <w:color w:val="000000"/>
          <w:sz w:val="24"/>
          <w:szCs w:val="24"/>
        </w:rPr>
        <w:t>s</w:t>
      </w:r>
      <w:r w:rsidR="00D02038">
        <w:rPr>
          <w:rFonts w:ascii="Times New Roman" w:hAnsi="Times New Roman"/>
          <w:color w:val="000000"/>
          <w:sz w:val="24"/>
          <w:szCs w:val="24"/>
        </w:rPr>
        <w:t xml:space="preserve">, </w:t>
      </w:r>
      <w:r w:rsidR="00226CA7">
        <w:rPr>
          <w:rFonts w:ascii="Times New Roman" w:hAnsi="Times New Roman"/>
          <w:color w:val="000000"/>
          <w:sz w:val="24"/>
          <w:szCs w:val="24"/>
        </w:rPr>
        <w:t xml:space="preserve">and that </w:t>
      </w:r>
      <w:r w:rsidR="00957620">
        <w:rPr>
          <w:rFonts w:ascii="Times New Roman" w:hAnsi="Times New Roman"/>
          <w:color w:val="000000"/>
          <w:sz w:val="24"/>
          <w:szCs w:val="24"/>
        </w:rPr>
        <w:t xml:space="preserve">those </w:t>
      </w:r>
      <w:r w:rsidR="00226CA7">
        <w:rPr>
          <w:rFonts w:ascii="Times New Roman" w:hAnsi="Times New Roman"/>
          <w:color w:val="000000"/>
          <w:sz w:val="24"/>
          <w:szCs w:val="24"/>
        </w:rPr>
        <w:t xml:space="preserve">analysts were severely criticized, </w:t>
      </w:r>
      <w:r w:rsidR="00D02038">
        <w:rPr>
          <w:rFonts w:ascii="Times New Roman" w:hAnsi="Times New Roman"/>
          <w:color w:val="000000"/>
          <w:sz w:val="24"/>
          <w:szCs w:val="24"/>
        </w:rPr>
        <w:t xml:space="preserve">I have not seen </w:t>
      </w:r>
      <w:r w:rsidR="00226CA7">
        <w:rPr>
          <w:rFonts w:ascii="Times New Roman" w:hAnsi="Times New Roman"/>
          <w:color w:val="000000"/>
          <w:sz w:val="24"/>
          <w:szCs w:val="24"/>
        </w:rPr>
        <w:t xml:space="preserve">evidence that </w:t>
      </w:r>
      <w:r w:rsidR="00D02038">
        <w:rPr>
          <w:rFonts w:ascii="Times New Roman" w:hAnsi="Times New Roman"/>
          <w:color w:val="000000"/>
          <w:sz w:val="24"/>
          <w:szCs w:val="24"/>
        </w:rPr>
        <w:t>analys</w:t>
      </w:r>
      <w:r w:rsidR="00226CA7">
        <w:rPr>
          <w:rFonts w:ascii="Times New Roman" w:hAnsi="Times New Roman"/>
          <w:color w:val="000000"/>
          <w:sz w:val="24"/>
          <w:szCs w:val="24"/>
        </w:rPr>
        <w:t>t</w:t>
      </w:r>
      <w:r w:rsidR="00D02038">
        <w:rPr>
          <w:rFonts w:ascii="Times New Roman" w:hAnsi="Times New Roman"/>
          <w:color w:val="000000"/>
          <w:sz w:val="24"/>
          <w:szCs w:val="24"/>
        </w:rPr>
        <w:t xml:space="preserve">s </w:t>
      </w:r>
      <w:r w:rsidR="00226CA7">
        <w:rPr>
          <w:rFonts w:ascii="Times New Roman" w:hAnsi="Times New Roman"/>
          <w:color w:val="000000"/>
          <w:sz w:val="24"/>
          <w:szCs w:val="24"/>
        </w:rPr>
        <w:t xml:space="preserve">have been optimistic about </w:t>
      </w:r>
      <w:r w:rsidR="00E10911" w:rsidRPr="00CE6C16">
        <w:rPr>
          <w:rFonts w:ascii="Times New Roman" w:hAnsi="Times New Roman"/>
          <w:i/>
          <w:sz w:val="24"/>
          <w:szCs w:val="24"/>
        </w:rPr>
        <w:t>utility growth rates</w:t>
      </w:r>
      <w:r w:rsidR="00226CA7">
        <w:rPr>
          <w:rFonts w:ascii="Times New Roman" w:hAnsi="Times New Roman"/>
          <w:color w:val="000000"/>
          <w:sz w:val="24"/>
          <w:szCs w:val="24"/>
        </w:rPr>
        <w:t xml:space="preserve">.  </w:t>
      </w:r>
      <w:r>
        <w:rPr>
          <w:rFonts w:ascii="Times New Roman" w:hAnsi="Times New Roman"/>
          <w:color w:val="000000"/>
          <w:sz w:val="24"/>
          <w:szCs w:val="24"/>
        </w:rPr>
        <w:t>Mr. Elgin</w:t>
      </w:r>
      <w:r w:rsidR="003C18EA">
        <w:rPr>
          <w:rFonts w:ascii="Times New Roman" w:hAnsi="Times New Roman"/>
          <w:color w:val="000000"/>
          <w:sz w:val="24"/>
          <w:szCs w:val="24"/>
        </w:rPr>
        <w:t>’</w:t>
      </w:r>
      <w:r>
        <w:rPr>
          <w:rFonts w:ascii="Times New Roman" w:hAnsi="Times New Roman"/>
          <w:color w:val="000000"/>
          <w:sz w:val="24"/>
          <w:szCs w:val="24"/>
        </w:rPr>
        <w:t xml:space="preserve">s </w:t>
      </w:r>
      <w:r w:rsidR="00226CA7">
        <w:rPr>
          <w:rFonts w:ascii="Times New Roman" w:hAnsi="Times New Roman"/>
          <w:color w:val="000000"/>
          <w:sz w:val="24"/>
          <w:szCs w:val="24"/>
        </w:rPr>
        <w:t>quotation</w:t>
      </w:r>
      <w:r>
        <w:rPr>
          <w:rFonts w:ascii="Times New Roman" w:hAnsi="Times New Roman"/>
          <w:color w:val="000000"/>
          <w:sz w:val="24"/>
          <w:szCs w:val="24"/>
        </w:rPr>
        <w:t xml:space="preserve"> is taken out of context from an academic article that supports using GDP </w:t>
      </w:r>
      <w:r w:rsidR="00226CA7">
        <w:rPr>
          <w:rFonts w:ascii="Times New Roman" w:hAnsi="Times New Roman"/>
          <w:color w:val="000000"/>
          <w:sz w:val="24"/>
          <w:szCs w:val="24"/>
        </w:rPr>
        <w:t xml:space="preserve">growth rates in the DCF model.  It does not support his contention that </w:t>
      </w:r>
      <w:r w:rsidR="00D65D09">
        <w:rPr>
          <w:rFonts w:ascii="Times New Roman" w:hAnsi="Times New Roman"/>
          <w:color w:val="000000"/>
          <w:sz w:val="24"/>
          <w:szCs w:val="24"/>
        </w:rPr>
        <w:t>analysts</w:t>
      </w:r>
      <w:r w:rsidR="003C18EA">
        <w:rPr>
          <w:rFonts w:ascii="Times New Roman" w:hAnsi="Times New Roman"/>
          <w:color w:val="000000"/>
          <w:sz w:val="24"/>
          <w:szCs w:val="24"/>
        </w:rPr>
        <w:t>’</w:t>
      </w:r>
      <w:r w:rsidR="00D65D09">
        <w:rPr>
          <w:rFonts w:ascii="Times New Roman" w:hAnsi="Times New Roman"/>
          <w:color w:val="000000"/>
          <w:sz w:val="24"/>
          <w:szCs w:val="24"/>
        </w:rPr>
        <w:t xml:space="preserve"> estimates should not </w:t>
      </w:r>
      <w:r w:rsidR="009C3A67">
        <w:rPr>
          <w:rFonts w:ascii="Times New Roman" w:hAnsi="Times New Roman"/>
          <w:color w:val="000000"/>
          <w:sz w:val="24"/>
          <w:szCs w:val="24"/>
        </w:rPr>
        <w:t xml:space="preserve">be </w:t>
      </w:r>
      <w:r w:rsidR="00957620">
        <w:rPr>
          <w:rFonts w:ascii="Times New Roman" w:hAnsi="Times New Roman"/>
          <w:color w:val="000000"/>
          <w:sz w:val="24"/>
          <w:szCs w:val="24"/>
        </w:rPr>
        <w:t>used to assess</w:t>
      </w:r>
      <w:r w:rsidR="00D65D09">
        <w:rPr>
          <w:rFonts w:ascii="Times New Roman" w:hAnsi="Times New Roman"/>
          <w:color w:val="000000"/>
          <w:sz w:val="24"/>
          <w:szCs w:val="24"/>
        </w:rPr>
        <w:t xml:space="preserve"> investors</w:t>
      </w:r>
      <w:r w:rsidR="003C18EA">
        <w:rPr>
          <w:rFonts w:ascii="Times New Roman" w:hAnsi="Times New Roman"/>
          <w:color w:val="000000"/>
          <w:sz w:val="24"/>
          <w:szCs w:val="24"/>
        </w:rPr>
        <w:t>’</w:t>
      </w:r>
      <w:r w:rsidR="00D65D09">
        <w:rPr>
          <w:rFonts w:ascii="Times New Roman" w:hAnsi="Times New Roman"/>
          <w:color w:val="000000"/>
          <w:sz w:val="24"/>
          <w:szCs w:val="24"/>
        </w:rPr>
        <w:t xml:space="preserve"> long-term growth rate expectations.</w:t>
      </w:r>
    </w:p>
    <w:p w:rsidR="00D65D09" w:rsidRPr="00D65D09" w:rsidRDefault="00D65D09" w:rsidP="00637AD6">
      <w:pPr>
        <w:pStyle w:val="FootnoteText"/>
        <w:rPr>
          <w:rFonts w:ascii="Times New Roman" w:hAnsi="Times New Roman"/>
          <w:b/>
          <w:color w:val="000000"/>
          <w:sz w:val="24"/>
          <w:szCs w:val="24"/>
        </w:rPr>
      </w:pPr>
      <w:r w:rsidRPr="00D65D09">
        <w:rPr>
          <w:rFonts w:ascii="Times New Roman" w:hAnsi="Times New Roman"/>
          <w:b/>
          <w:color w:val="000000"/>
          <w:sz w:val="24"/>
          <w:szCs w:val="24"/>
        </w:rPr>
        <w:t>Q.</w:t>
      </w:r>
      <w:r w:rsidRPr="00D65D09">
        <w:rPr>
          <w:rFonts w:ascii="Times New Roman" w:hAnsi="Times New Roman"/>
          <w:b/>
          <w:color w:val="000000"/>
          <w:sz w:val="24"/>
          <w:szCs w:val="24"/>
        </w:rPr>
        <w:tab/>
        <w:t>On page 36, at lines 8-9, Mr. Elgin says that for his proxy group the Value Line earning</w:t>
      </w:r>
      <w:r w:rsidR="00957620">
        <w:rPr>
          <w:rFonts w:ascii="Times New Roman" w:hAnsi="Times New Roman"/>
          <w:b/>
          <w:color w:val="000000"/>
          <w:sz w:val="24"/>
          <w:szCs w:val="24"/>
        </w:rPr>
        <w:t>s</w:t>
      </w:r>
      <w:r w:rsidRPr="00D65D09">
        <w:rPr>
          <w:rFonts w:ascii="Times New Roman" w:hAnsi="Times New Roman"/>
          <w:b/>
          <w:color w:val="000000"/>
          <w:sz w:val="24"/>
          <w:szCs w:val="24"/>
        </w:rPr>
        <w:t xml:space="preserve"> growth estimate is in the 7.0 percent to 8.0 percent range.  Is this statement correct?</w:t>
      </w:r>
    </w:p>
    <w:p w:rsidR="00D65D09" w:rsidRDefault="00D65D09" w:rsidP="00637AD6">
      <w:pPr>
        <w:pStyle w:val="FootnoteText"/>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t>No.  It is not clear why Mr. Elgin would make this statement.  The average Value Line earning</w:t>
      </w:r>
      <w:r w:rsidR="004010D4" w:rsidRPr="005D76FA">
        <w:rPr>
          <w:rFonts w:ascii="Times New Roman" w:hAnsi="Times New Roman"/>
          <w:color w:val="000000"/>
          <w:sz w:val="24"/>
          <w:szCs w:val="24"/>
        </w:rPr>
        <w:t>s</w:t>
      </w:r>
      <w:r>
        <w:rPr>
          <w:rFonts w:ascii="Times New Roman" w:hAnsi="Times New Roman"/>
          <w:color w:val="000000"/>
          <w:sz w:val="24"/>
          <w:szCs w:val="24"/>
        </w:rPr>
        <w:t xml:space="preserve"> growth estimate for Mr. Elgin</w:t>
      </w:r>
      <w:r w:rsidR="003C18EA">
        <w:rPr>
          <w:rFonts w:ascii="Times New Roman" w:hAnsi="Times New Roman"/>
          <w:color w:val="000000"/>
          <w:sz w:val="24"/>
          <w:szCs w:val="24"/>
        </w:rPr>
        <w:t>’</w:t>
      </w:r>
      <w:r>
        <w:rPr>
          <w:rFonts w:ascii="Times New Roman" w:hAnsi="Times New Roman"/>
          <w:color w:val="000000"/>
          <w:sz w:val="24"/>
          <w:szCs w:val="24"/>
        </w:rPr>
        <w:t xml:space="preserve">s group is </w:t>
      </w:r>
      <w:r w:rsidR="00957620">
        <w:rPr>
          <w:rFonts w:ascii="Times New Roman" w:hAnsi="Times New Roman"/>
          <w:color w:val="000000"/>
          <w:sz w:val="24"/>
          <w:szCs w:val="24"/>
        </w:rPr>
        <w:t>appr</w:t>
      </w:r>
      <w:r w:rsidR="0040715E">
        <w:rPr>
          <w:rFonts w:ascii="Times New Roman" w:hAnsi="Times New Roman"/>
          <w:color w:val="000000"/>
          <w:sz w:val="24"/>
          <w:szCs w:val="24"/>
        </w:rPr>
        <w:t>oximately 6 percent (6.0%</w:t>
      </w:r>
      <w:r w:rsidR="00957620">
        <w:rPr>
          <w:rFonts w:ascii="Times New Roman" w:hAnsi="Times New Roman"/>
          <w:color w:val="000000"/>
          <w:sz w:val="24"/>
          <w:szCs w:val="24"/>
        </w:rPr>
        <w:t xml:space="preserve"> for the six compani</w:t>
      </w:r>
      <w:r w:rsidR="0040715E">
        <w:rPr>
          <w:rFonts w:ascii="Times New Roman" w:hAnsi="Times New Roman"/>
          <w:color w:val="000000"/>
          <w:sz w:val="24"/>
          <w:szCs w:val="24"/>
        </w:rPr>
        <w:t>es from my group and 6.5%</w:t>
      </w:r>
      <w:r w:rsidR="00957620">
        <w:rPr>
          <w:rFonts w:ascii="Times New Roman" w:hAnsi="Times New Roman"/>
          <w:color w:val="000000"/>
          <w:sz w:val="24"/>
          <w:szCs w:val="24"/>
        </w:rPr>
        <w:t xml:space="preserve"> for Avista, which results in an overall gr</w:t>
      </w:r>
      <w:r w:rsidR="00087386">
        <w:rPr>
          <w:rFonts w:ascii="Times New Roman" w:hAnsi="Times New Roman"/>
          <w:color w:val="000000"/>
          <w:sz w:val="24"/>
          <w:szCs w:val="24"/>
        </w:rPr>
        <w:t>oup average of 6.07%</w:t>
      </w:r>
      <w:r w:rsidR="00957620">
        <w:rPr>
          <w:rFonts w:ascii="Times New Roman" w:hAnsi="Times New Roman"/>
          <w:color w:val="000000"/>
          <w:sz w:val="24"/>
          <w:szCs w:val="24"/>
        </w:rPr>
        <w:t>).</w:t>
      </w:r>
    </w:p>
    <w:p w:rsidR="00772E6F" w:rsidRPr="00957620" w:rsidRDefault="00957620" w:rsidP="00637AD6">
      <w:pPr>
        <w:pStyle w:val="FootnoteText"/>
        <w:rPr>
          <w:rFonts w:ascii="Times New Roman" w:hAnsi="Times New Roman"/>
          <w:b/>
          <w:color w:val="000000"/>
          <w:sz w:val="24"/>
          <w:szCs w:val="24"/>
        </w:rPr>
      </w:pPr>
      <w:r w:rsidRPr="00957620">
        <w:rPr>
          <w:rFonts w:ascii="Times New Roman" w:hAnsi="Times New Roman"/>
          <w:b/>
          <w:color w:val="000000"/>
          <w:sz w:val="24"/>
          <w:szCs w:val="24"/>
        </w:rPr>
        <w:t>Q.</w:t>
      </w:r>
      <w:r w:rsidRPr="00957620">
        <w:rPr>
          <w:rFonts w:ascii="Times New Roman" w:hAnsi="Times New Roman"/>
          <w:b/>
          <w:color w:val="000000"/>
          <w:sz w:val="24"/>
          <w:szCs w:val="24"/>
        </w:rPr>
        <w:tab/>
        <w:t>What other earnings growth estimates does Mr. Elgin use?</w:t>
      </w:r>
    </w:p>
    <w:p w:rsidR="00957620" w:rsidRDefault="00957620" w:rsidP="00637AD6">
      <w:pPr>
        <w:pStyle w:val="FootnoteText"/>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t xml:space="preserve">He also creates an additional </w:t>
      </w:r>
      <w:r w:rsidR="003C18EA">
        <w:rPr>
          <w:rFonts w:ascii="Times New Roman" w:hAnsi="Times New Roman"/>
          <w:color w:val="000000"/>
          <w:sz w:val="24"/>
          <w:szCs w:val="24"/>
        </w:rPr>
        <w:t>“</w:t>
      </w:r>
      <w:r>
        <w:rPr>
          <w:rFonts w:ascii="Times New Roman" w:hAnsi="Times New Roman"/>
          <w:color w:val="000000"/>
          <w:sz w:val="24"/>
          <w:szCs w:val="24"/>
        </w:rPr>
        <w:t>adjusted</w:t>
      </w:r>
      <w:r w:rsidR="003C18EA">
        <w:rPr>
          <w:rFonts w:ascii="Times New Roman" w:hAnsi="Times New Roman"/>
          <w:color w:val="000000"/>
          <w:sz w:val="24"/>
          <w:szCs w:val="24"/>
        </w:rPr>
        <w:t>”</w:t>
      </w:r>
      <w:r>
        <w:rPr>
          <w:rFonts w:ascii="Times New Roman" w:hAnsi="Times New Roman"/>
          <w:color w:val="000000"/>
          <w:sz w:val="24"/>
          <w:szCs w:val="24"/>
        </w:rPr>
        <w:t xml:space="preserve"> growth estimate from the Zacks and Thomson analysts surveys</w:t>
      </w:r>
      <w:r w:rsidR="005111A7" w:rsidRPr="005111A7">
        <w:rPr>
          <w:rFonts w:ascii="Times New Roman" w:hAnsi="Times New Roman"/>
          <w:color w:val="000000"/>
          <w:sz w:val="24"/>
          <w:szCs w:val="24"/>
        </w:rPr>
        <w:t xml:space="preserve"> </w:t>
      </w:r>
      <w:r w:rsidR="006A5AB0">
        <w:rPr>
          <w:rFonts w:ascii="Times New Roman" w:hAnsi="Times New Roman"/>
          <w:color w:val="000000"/>
          <w:sz w:val="24"/>
          <w:szCs w:val="24"/>
        </w:rPr>
        <w:t xml:space="preserve">(see </w:t>
      </w:r>
      <w:r w:rsidR="005111A7">
        <w:rPr>
          <w:rFonts w:ascii="Times New Roman" w:hAnsi="Times New Roman"/>
          <w:color w:val="000000"/>
          <w:sz w:val="24"/>
          <w:szCs w:val="24"/>
        </w:rPr>
        <w:t xml:space="preserve">Exhibit </w:t>
      </w:r>
      <w:r w:rsidR="006A5AB0">
        <w:rPr>
          <w:rFonts w:ascii="Times New Roman" w:hAnsi="Times New Roman"/>
          <w:color w:val="000000"/>
          <w:sz w:val="24"/>
          <w:szCs w:val="24"/>
        </w:rPr>
        <w:t>No.</w:t>
      </w:r>
      <w:r w:rsidR="005111A7">
        <w:rPr>
          <w:rFonts w:ascii="Times New Roman" w:hAnsi="Times New Roman"/>
          <w:color w:val="000000"/>
          <w:sz w:val="24"/>
          <w:szCs w:val="24"/>
        </w:rPr>
        <w:t>__</w:t>
      </w:r>
      <w:proofErr w:type="gramStart"/>
      <w:r w:rsidR="002A0913">
        <w:rPr>
          <w:rFonts w:ascii="Times New Roman" w:hAnsi="Times New Roman"/>
          <w:color w:val="000000"/>
          <w:sz w:val="24"/>
          <w:szCs w:val="24"/>
        </w:rPr>
        <w:t>_</w:t>
      </w:r>
      <w:r w:rsidR="00195F99">
        <w:rPr>
          <w:rFonts w:ascii="Times New Roman" w:hAnsi="Times New Roman"/>
          <w:color w:val="000000"/>
          <w:sz w:val="24"/>
          <w:szCs w:val="24"/>
        </w:rPr>
        <w:t>(</w:t>
      </w:r>
      <w:proofErr w:type="gramEnd"/>
      <w:r w:rsidR="005111A7">
        <w:rPr>
          <w:rFonts w:ascii="Times New Roman" w:hAnsi="Times New Roman"/>
          <w:color w:val="000000"/>
          <w:sz w:val="24"/>
          <w:szCs w:val="24"/>
        </w:rPr>
        <w:t>SCH</w:t>
      </w:r>
      <w:r w:rsidR="006A5AB0">
        <w:rPr>
          <w:rFonts w:ascii="Times New Roman" w:hAnsi="Times New Roman"/>
          <w:color w:val="000000"/>
          <w:sz w:val="24"/>
          <w:szCs w:val="24"/>
        </w:rPr>
        <w:t>-</w:t>
      </w:r>
      <w:r w:rsidR="00206D51">
        <w:rPr>
          <w:rFonts w:ascii="Times New Roman" w:hAnsi="Times New Roman"/>
          <w:color w:val="000000"/>
          <w:sz w:val="24"/>
          <w:szCs w:val="24"/>
        </w:rPr>
        <w:t>10</w:t>
      </w:r>
      <w:r w:rsidR="00195F99">
        <w:rPr>
          <w:rFonts w:ascii="Times New Roman" w:hAnsi="Times New Roman"/>
          <w:color w:val="000000"/>
          <w:sz w:val="24"/>
          <w:szCs w:val="24"/>
        </w:rPr>
        <w:t>)</w:t>
      </w:r>
      <w:r w:rsidR="006A5AB0">
        <w:rPr>
          <w:rFonts w:ascii="Times New Roman" w:hAnsi="Times New Roman"/>
          <w:color w:val="000000"/>
          <w:sz w:val="24"/>
          <w:szCs w:val="24"/>
        </w:rPr>
        <w:t>, page 2)</w:t>
      </w:r>
      <w:r>
        <w:rPr>
          <w:rFonts w:ascii="Times New Roman" w:hAnsi="Times New Roman"/>
          <w:color w:val="000000"/>
          <w:sz w:val="24"/>
          <w:szCs w:val="24"/>
        </w:rPr>
        <w:t xml:space="preserve">.  He notes that the unadjusted averages for his group are 5.6 percent from Zacks and 6.0 percent from Thomson.  However, he declares the 8.0 percent forecasts for Wisconsin Energy to be too high and states that </w:t>
      </w:r>
      <w:r w:rsidR="00D34518">
        <w:rPr>
          <w:rFonts w:ascii="Times New Roman" w:hAnsi="Times New Roman"/>
          <w:color w:val="000000"/>
          <w:sz w:val="24"/>
          <w:szCs w:val="24"/>
        </w:rPr>
        <w:t xml:space="preserve">without that company, his group averages drop to 5.10 percent from Zacks and 5.40 percent from Thomson.  From these calculations, he concludes that </w:t>
      </w:r>
      <w:r w:rsidR="00C13097">
        <w:rPr>
          <w:rFonts w:ascii="Times New Roman" w:hAnsi="Times New Roman"/>
          <w:color w:val="000000"/>
          <w:sz w:val="24"/>
          <w:szCs w:val="24"/>
        </w:rPr>
        <w:t>“</w:t>
      </w:r>
      <w:r w:rsidR="00D34518">
        <w:rPr>
          <w:rFonts w:ascii="Times New Roman" w:hAnsi="Times New Roman"/>
          <w:color w:val="000000"/>
          <w:sz w:val="24"/>
          <w:szCs w:val="24"/>
        </w:rPr>
        <w:t>…investors see the possibility of near-term earnings growth for the proxy group to not exceed 5.50 percent.</w:t>
      </w:r>
      <w:r w:rsidR="00C13097">
        <w:rPr>
          <w:rFonts w:ascii="Times New Roman" w:hAnsi="Times New Roman"/>
          <w:color w:val="000000"/>
          <w:sz w:val="24"/>
          <w:szCs w:val="24"/>
        </w:rPr>
        <w:t>”</w:t>
      </w:r>
      <w:r w:rsidR="00D34518">
        <w:rPr>
          <w:rFonts w:ascii="Times New Roman" w:hAnsi="Times New Roman"/>
          <w:color w:val="000000"/>
          <w:sz w:val="24"/>
          <w:szCs w:val="24"/>
        </w:rPr>
        <w:t xml:space="preserve"> (Elgin Direct at 37, lines 18-19.)  </w:t>
      </w:r>
    </w:p>
    <w:p w:rsidR="00D34518" w:rsidRPr="00D34518" w:rsidRDefault="00D34518" w:rsidP="00637AD6">
      <w:pPr>
        <w:pStyle w:val="FootnoteText"/>
        <w:rPr>
          <w:rFonts w:ascii="Times New Roman" w:hAnsi="Times New Roman"/>
          <w:b/>
          <w:color w:val="000000"/>
          <w:sz w:val="24"/>
          <w:szCs w:val="24"/>
        </w:rPr>
      </w:pPr>
      <w:r w:rsidRPr="00D34518">
        <w:rPr>
          <w:rFonts w:ascii="Times New Roman" w:hAnsi="Times New Roman"/>
          <w:b/>
          <w:color w:val="000000"/>
          <w:sz w:val="24"/>
          <w:szCs w:val="24"/>
        </w:rPr>
        <w:t>Q.</w:t>
      </w:r>
      <w:r w:rsidRPr="00D34518">
        <w:rPr>
          <w:rFonts w:ascii="Times New Roman" w:hAnsi="Times New Roman"/>
          <w:b/>
          <w:color w:val="000000"/>
          <w:sz w:val="24"/>
          <w:szCs w:val="24"/>
        </w:rPr>
        <w:tab/>
        <w:t>What is your evaluation of Mr. Elgin</w:t>
      </w:r>
      <w:r w:rsidR="003C18EA">
        <w:rPr>
          <w:rFonts w:ascii="Times New Roman" w:hAnsi="Times New Roman"/>
          <w:b/>
          <w:color w:val="000000"/>
          <w:sz w:val="24"/>
          <w:szCs w:val="24"/>
        </w:rPr>
        <w:t>’</w:t>
      </w:r>
      <w:r w:rsidRPr="00D34518">
        <w:rPr>
          <w:rFonts w:ascii="Times New Roman" w:hAnsi="Times New Roman"/>
          <w:b/>
          <w:color w:val="000000"/>
          <w:sz w:val="24"/>
          <w:szCs w:val="24"/>
        </w:rPr>
        <w:t>s earnings growth rate discussion?</w:t>
      </w:r>
    </w:p>
    <w:p w:rsidR="00D34518" w:rsidRDefault="00D34518" w:rsidP="00637AD6">
      <w:pPr>
        <w:pStyle w:val="FootnoteText"/>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t>It is far off-base.  Analysts</w:t>
      </w:r>
      <w:r w:rsidR="003C18EA">
        <w:rPr>
          <w:rFonts w:ascii="Times New Roman" w:hAnsi="Times New Roman"/>
          <w:color w:val="000000"/>
          <w:sz w:val="24"/>
          <w:szCs w:val="24"/>
        </w:rPr>
        <w:t>’</w:t>
      </w:r>
      <w:r>
        <w:rPr>
          <w:rFonts w:ascii="Times New Roman" w:hAnsi="Times New Roman"/>
          <w:color w:val="000000"/>
          <w:sz w:val="24"/>
          <w:szCs w:val="24"/>
        </w:rPr>
        <w:t xml:space="preserve"> EPS growth estimates are by far the most widely followed stock market information.  At earnings reporting time, stock price movements are consistently explained by comparing actual EPS results to the analysts</w:t>
      </w:r>
      <w:r w:rsidR="003C18EA">
        <w:rPr>
          <w:rFonts w:ascii="Times New Roman" w:hAnsi="Times New Roman"/>
          <w:color w:val="000000"/>
          <w:sz w:val="24"/>
          <w:szCs w:val="24"/>
        </w:rPr>
        <w:t>’</w:t>
      </w:r>
      <w:r>
        <w:rPr>
          <w:rFonts w:ascii="Times New Roman" w:hAnsi="Times New Roman"/>
          <w:color w:val="000000"/>
          <w:sz w:val="24"/>
          <w:szCs w:val="24"/>
        </w:rPr>
        <w:t xml:space="preserve"> consensus forecast.  For Mr. Elgin to argue that such information does not affect investors</w:t>
      </w:r>
      <w:r w:rsidR="003C18EA">
        <w:rPr>
          <w:rFonts w:ascii="Times New Roman" w:hAnsi="Times New Roman"/>
          <w:color w:val="000000"/>
          <w:sz w:val="24"/>
          <w:szCs w:val="24"/>
        </w:rPr>
        <w:t>’</w:t>
      </w:r>
      <w:r>
        <w:rPr>
          <w:rFonts w:ascii="Times New Roman" w:hAnsi="Times New Roman"/>
          <w:color w:val="000000"/>
          <w:sz w:val="24"/>
          <w:szCs w:val="24"/>
        </w:rPr>
        <w:t xml:space="preserve"> growth rate expectations is </w:t>
      </w:r>
      <w:r w:rsidR="001A01FD">
        <w:rPr>
          <w:rFonts w:ascii="Times New Roman" w:hAnsi="Times New Roman"/>
          <w:color w:val="000000"/>
          <w:sz w:val="24"/>
          <w:szCs w:val="24"/>
        </w:rPr>
        <w:t>unrealistic.  While it is true that analysts</w:t>
      </w:r>
      <w:r w:rsidR="003C18EA">
        <w:rPr>
          <w:rFonts w:ascii="Times New Roman" w:hAnsi="Times New Roman"/>
          <w:color w:val="000000"/>
          <w:sz w:val="24"/>
          <w:szCs w:val="24"/>
        </w:rPr>
        <w:t>’</w:t>
      </w:r>
      <w:r w:rsidR="001A01FD">
        <w:rPr>
          <w:rFonts w:ascii="Times New Roman" w:hAnsi="Times New Roman"/>
          <w:color w:val="000000"/>
          <w:sz w:val="24"/>
          <w:szCs w:val="24"/>
        </w:rPr>
        <w:t xml:space="preserve"> estimates are for only five years and should be tempered by other long-term economic data, such as GDP growth, they cannot be ignored</w:t>
      </w:r>
      <w:r w:rsidR="009C3A67">
        <w:rPr>
          <w:rFonts w:ascii="Times New Roman" w:hAnsi="Times New Roman"/>
          <w:color w:val="000000"/>
          <w:sz w:val="24"/>
          <w:szCs w:val="24"/>
        </w:rPr>
        <w:t xml:space="preserve"> or subjectively adjusted as Mr. Elgin has done</w:t>
      </w:r>
      <w:r w:rsidR="001A01FD">
        <w:rPr>
          <w:rFonts w:ascii="Times New Roman" w:hAnsi="Times New Roman"/>
          <w:color w:val="000000"/>
          <w:sz w:val="24"/>
          <w:szCs w:val="24"/>
        </w:rPr>
        <w:t>.</w:t>
      </w:r>
    </w:p>
    <w:p w:rsidR="000A38B0" w:rsidRPr="00C1645C" w:rsidRDefault="000A38B0" w:rsidP="00637AD6">
      <w:pPr>
        <w:pStyle w:val="FootnoteText"/>
        <w:rPr>
          <w:rFonts w:ascii="Times New Roman" w:hAnsi="Times New Roman"/>
          <w:b/>
          <w:color w:val="000000"/>
          <w:sz w:val="24"/>
          <w:szCs w:val="24"/>
        </w:rPr>
      </w:pPr>
      <w:r w:rsidRPr="00C1645C">
        <w:rPr>
          <w:rFonts w:ascii="Times New Roman" w:hAnsi="Times New Roman"/>
          <w:b/>
          <w:color w:val="000000"/>
          <w:sz w:val="24"/>
          <w:szCs w:val="24"/>
        </w:rPr>
        <w:t>Q.</w:t>
      </w:r>
      <w:r w:rsidRPr="00C1645C">
        <w:rPr>
          <w:rFonts w:ascii="Times New Roman" w:hAnsi="Times New Roman"/>
          <w:b/>
          <w:color w:val="000000"/>
          <w:sz w:val="24"/>
          <w:szCs w:val="24"/>
        </w:rPr>
        <w:tab/>
        <w:t xml:space="preserve">On pages 55 and 56, Mr. Elgin critiques your 6.0 percent GDP growth rate forecast and says that the Commission found in </w:t>
      </w:r>
      <w:r w:rsidR="00C1645C" w:rsidRPr="00C1645C">
        <w:rPr>
          <w:rFonts w:ascii="Times New Roman" w:hAnsi="Times New Roman"/>
          <w:b/>
          <w:color w:val="000000"/>
          <w:sz w:val="24"/>
          <w:szCs w:val="24"/>
        </w:rPr>
        <w:t>PacifiCorp</w:t>
      </w:r>
      <w:r w:rsidR="003C18EA">
        <w:rPr>
          <w:rFonts w:ascii="Times New Roman" w:hAnsi="Times New Roman"/>
          <w:b/>
          <w:color w:val="000000"/>
          <w:sz w:val="24"/>
          <w:szCs w:val="24"/>
        </w:rPr>
        <w:t>’</w:t>
      </w:r>
      <w:r w:rsidR="00C1645C" w:rsidRPr="00C1645C">
        <w:rPr>
          <w:rFonts w:ascii="Times New Roman" w:hAnsi="Times New Roman"/>
          <w:b/>
          <w:color w:val="000000"/>
          <w:sz w:val="24"/>
          <w:szCs w:val="24"/>
        </w:rPr>
        <w:t>s prior litigated case (</w:t>
      </w:r>
      <w:r w:rsidRPr="00C1645C">
        <w:rPr>
          <w:rFonts w:ascii="Times New Roman" w:hAnsi="Times New Roman"/>
          <w:b/>
          <w:color w:val="000000"/>
          <w:sz w:val="24"/>
          <w:szCs w:val="24"/>
        </w:rPr>
        <w:t>D</w:t>
      </w:r>
      <w:r w:rsidR="00C1645C" w:rsidRPr="00C1645C">
        <w:rPr>
          <w:rFonts w:ascii="Times New Roman" w:hAnsi="Times New Roman"/>
          <w:b/>
          <w:color w:val="000000"/>
          <w:sz w:val="24"/>
          <w:szCs w:val="24"/>
        </w:rPr>
        <w:t xml:space="preserve">ocket No. UE-05684) that if growth in GDP is to </w:t>
      </w:r>
      <w:r w:rsidR="008E4E51">
        <w:rPr>
          <w:rFonts w:ascii="Times New Roman" w:hAnsi="Times New Roman"/>
          <w:b/>
          <w:color w:val="000000"/>
          <w:sz w:val="24"/>
          <w:szCs w:val="24"/>
        </w:rPr>
        <w:t xml:space="preserve">be </w:t>
      </w:r>
      <w:r w:rsidR="00C1645C" w:rsidRPr="00C1645C">
        <w:rPr>
          <w:rFonts w:ascii="Times New Roman" w:hAnsi="Times New Roman"/>
          <w:b/>
          <w:color w:val="000000"/>
          <w:sz w:val="24"/>
          <w:szCs w:val="24"/>
        </w:rPr>
        <w:t>used, it should be forward-looking, not a historical average.  How do you respond?</w:t>
      </w:r>
    </w:p>
    <w:p w:rsidR="00C1645C" w:rsidRDefault="00C1645C" w:rsidP="00637AD6">
      <w:pPr>
        <w:pStyle w:val="FootnoteText"/>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t xml:space="preserve">While the Commission did find </w:t>
      </w:r>
      <w:r w:rsidR="00CD541C">
        <w:rPr>
          <w:rFonts w:ascii="Times New Roman" w:hAnsi="Times New Roman"/>
          <w:color w:val="000000"/>
          <w:sz w:val="24"/>
          <w:szCs w:val="24"/>
        </w:rPr>
        <w:t xml:space="preserve">that </w:t>
      </w:r>
      <w:r>
        <w:rPr>
          <w:rFonts w:ascii="Times New Roman" w:hAnsi="Times New Roman"/>
          <w:color w:val="000000"/>
          <w:sz w:val="24"/>
          <w:szCs w:val="24"/>
        </w:rPr>
        <w:t xml:space="preserve">arguments about historical versus forward-looking data </w:t>
      </w:r>
      <w:r w:rsidR="00CD541C">
        <w:rPr>
          <w:rFonts w:ascii="Times New Roman" w:hAnsi="Times New Roman"/>
          <w:color w:val="000000"/>
          <w:sz w:val="24"/>
          <w:szCs w:val="24"/>
        </w:rPr>
        <w:t xml:space="preserve">were </w:t>
      </w:r>
      <w:r>
        <w:rPr>
          <w:rFonts w:ascii="Times New Roman" w:hAnsi="Times New Roman"/>
          <w:color w:val="000000"/>
          <w:sz w:val="24"/>
          <w:szCs w:val="24"/>
        </w:rPr>
        <w:t>persuasive in Docket No. UE-05684, Mr. Elgin</w:t>
      </w:r>
      <w:r w:rsidR="003C18EA">
        <w:rPr>
          <w:rFonts w:ascii="Times New Roman" w:hAnsi="Times New Roman"/>
          <w:color w:val="000000"/>
          <w:sz w:val="24"/>
          <w:szCs w:val="24"/>
        </w:rPr>
        <w:t>’</w:t>
      </w:r>
      <w:r>
        <w:rPr>
          <w:rFonts w:ascii="Times New Roman" w:hAnsi="Times New Roman"/>
          <w:color w:val="000000"/>
          <w:sz w:val="24"/>
          <w:szCs w:val="24"/>
        </w:rPr>
        <w:t xml:space="preserve">s use of this finding is misplaced.  </w:t>
      </w:r>
      <w:r w:rsidR="00D7423A">
        <w:rPr>
          <w:rFonts w:ascii="Times New Roman" w:hAnsi="Times New Roman"/>
          <w:color w:val="000000"/>
          <w:sz w:val="24"/>
          <w:szCs w:val="24"/>
        </w:rPr>
        <w:t>A</w:t>
      </w:r>
      <w:r>
        <w:rPr>
          <w:rFonts w:ascii="Times New Roman" w:hAnsi="Times New Roman"/>
          <w:color w:val="000000"/>
          <w:sz w:val="24"/>
          <w:szCs w:val="24"/>
        </w:rPr>
        <w:t xml:space="preserve">s I explained in my direct testimony (Hadaway Direct at </w:t>
      </w:r>
      <w:r w:rsidR="00D7423A">
        <w:rPr>
          <w:rFonts w:ascii="Times New Roman" w:hAnsi="Times New Roman"/>
          <w:color w:val="000000"/>
          <w:sz w:val="24"/>
          <w:szCs w:val="24"/>
        </w:rPr>
        <w:t xml:space="preserve">37-38), there are three reasons why my GDP growth </w:t>
      </w:r>
      <w:r w:rsidR="00264699">
        <w:rPr>
          <w:rFonts w:ascii="Times New Roman" w:hAnsi="Times New Roman"/>
          <w:color w:val="000000"/>
          <w:sz w:val="24"/>
          <w:szCs w:val="24"/>
        </w:rPr>
        <w:t>estimate</w:t>
      </w:r>
      <w:r w:rsidR="00D7423A">
        <w:rPr>
          <w:rFonts w:ascii="Times New Roman" w:hAnsi="Times New Roman"/>
          <w:color w:val="000000"/>
          <w:sz w:val="24"/>
          <w:szCs w:val="24"/>
        </w:rPr>
        <w:t xml:space="preserve"> is appropriate as one estimate of investors</w:t>
      </w:r>
      <w:r w:rsidR="003C18EA">
        <w:rPr>
          <w:rFonts w:ascii="Times New Roman" w:hAnsi="Times New Roman"/>
          <w:color w:val="000000"/>
          <w:sz w:val="24"/>
          <w:szCs w:val="24"/>
        </w:rPr>
        <w:t>’</w:t>
      </w:r>
      <w:r w:rsidR="00D7423A">
        <w:rPr>
          <w:rFonts w:ascii="Times New Roman" w:hAnsi="Times New Roman"/>
          <w:color w:val="000000"/>
          <w:sz w:val="24"/>
          <w:szCs w:val="24"/>
        </w:rPr>
        <w:t xml:space="preserve"> long-term growth rate expectations</w:t>
      </w:r>
      <w:r w:rsidR="00CD541C">
        <w:rPr>
          <w:rFonts w:ascii="Times New Roman" w:hAnsi="Times New Roman"/>
          <w:color w:val="000000"/>
          <w:sz w:val="24"/>
          <w:szCs w:val="24"/>
        </w:rPr>
        <w:t xml:space="preserve"> in the DCF model</w:t>
      </w:r>
      <w:r w:rsidR="00D7423A">
        <w:rPr>
          <w:rFonts w:ascii="Times New Roman" w:hAnsi="Times New Roman"/>
          <w:color w:val="000000"/>
          <w:sz w:val="24"/>
          <w:szCs w:val="24"/>
        </w:rPr>
        <w:t>.  As in essentially all econometric forecasts, I use</w:t>
      </w:r>
      <w:r w:rsidR="00CD541C">
        <w:rPr>
          <w:rFonts w:ascii="Times New Roman" w:hAnsi="Times New Roman"/>
          <w:color w:val="000000"/>
          <w:sz w:val="24"/>
          <w:szCs w:val="24"/>
        </w:rPr>
        <w:t>d</w:t>
      </w:r>
      <w:r w:rsidR="00D7423A">
        <w:rPr>
          <w:rFonts w:ascii="Times New Roman" w:hAnsi="Times New Roman"/>
          <w:color w:val="000000"/>
          <w:sz w:val="24"/>
          <w:szCs w:val="24"/>
        </w:rPr>
        <w:t xml:space="preserve"> historical data</w:t>
      </w:r>
      <w:r w:rsidR="00264699">
        <w:rPr>
          <w:rFonts w:ascii="Times New Roman" w:hAnsi="Times New Roman"/>
          <w:color w:val="000000"/>
          <w:sz w:val="24"/>
          <w:szCs w:val="24"/>
        </w:rPr>
        <w:t>, as</w:t>
      </w:r>
      <w:r w:rsidR="00CD541C">
        <w:rPr>
          <w:rFonts w:ascii="Times New Roman" w:hAnsi="Times New Roman"/>
          <w:color w:val="000000"/>
          <w:sz w:val="24"/>
          <w:szCs w:val="24"/>
        </w:rPr>
        <w:t xml:space="preserve"> </w:t>
      </w:r>
      <w:r w:rsidR="00D7423A">
        <w:rPr>
          <w:rFonts w:ascii="Times New Roman" w:hAnsi="Times New Roman"/>
          <w:color w:val="000000"/>
          <w:sz w:val="24"/>
          <w:szCs w:val="24"/>
        </w:rPr>
        <w:t>reported by the St. Louis Federal Reserve Bank</w:t>
      </w:r>
      <w:r w:rsidR="00264699">
        <w:rPr>
          <w:rFonts w:ascii="Times New Roman" w:hAnsi="Times New Roman"/>
          <w:color w:val="000000"/>
          <w:sz w:val="24"/>
          <w:szCs w:val="24"/>
        </w:rPr>
        <w:t>,</w:t>
      </w:r>
      <w:r w:rsidR="00D7423A">
        <w:rPr>
          <w:rFonts w:ascii="Times New Roman" w:hAnsi="Times New Roman"/>
          <w:color w:val="000000"/>
          <w:sz w:val="24"/>
          <w:szCs w:val="24"/>
        </w:rPr>
        <w:t xml:space="preserve"> to develop my GDP growth estimate</w:t>
      </w:r>
      <w:r w:rsidR="00264699">
        <w:rPr>
          <w:rFonts w:ascii="Times New Roman" w:hAnsi="Times New Roman"/>
          <w:color w:val="000000"/>
          <w:sz w:val="24"/>
          <w:szCs w:val="24"/>
        </w:rPr>
        <w:t>.  However, my GDP forecast is not a historical average.</w:t>
      </w:r>
      <w:r w:rsidR="00D7423A">
        <w:rPr>
          <w:rFonts w:ascii="Times New Roman" w:hAnsi="Times New Roman"/>
          <w:color w:val="000000"/>
          <w:sz w:val="24"/>
          <w:szCs w:val="24"/>
        </w:rPr>
        <w:t xml:space="preserve">  </w:t>
      </w:r>
      <w:r w:rsidR="00264699">
        <w:rPr>
          <w:rFonts w:ascii="Times New Roman" w:hAnsi="Times New Roman"/>
          <w:color w:val="000000"/>
          <w:sz w:val="24"/>
          <w:szCs w:val="24"/>
        </w:rPr>
        <w:t>The average historical growth rate for the 60</w:t>
      </w:r>
      <w:r w:rsidR="008E4E51">
        <w:rPr>
          <w:rFonts w:ascii="Times New Roman" w:hAnsi="Times New Roman"/>
          <w:color w:val="000000"/>
          <w:sz w:val="24"/>
          <w:szCs w:val="24"/>
        </w:rPr>
        <w:t xml:space="preserve"> </w:t>
      </w:r>
      <w:r w:rsidR="00264699">
        <w:rPr>
          <w:rFonts w:ascii="Times New Roman" w:hAnsi="Times New Roman"/>
          <w:color w:val="000000"/>
          <w:sz w:val="24"/>
          <w:szCs w:val="24"/>
        </w:rPr>
        <w:t xml:space="preserve">years in my study is 6.9 percent; whereas my forecast </w:t>
      </w:r>
      <w:r w:rsidR="00CD541C">
        <w:rPr>
          <w:rFonts w:ascii="Times New Roman" w:hAnsi="Times New Roman"/>
          <w:color w:val="000000"/>
          <w:sz w:val="24"/>
          <w:szCs w:val="24"/>
        </w:rPr>
        <w:t xml:space="preserve">for the future </w:t>
      </w:r>
      <w:r w:rsidR="00264699">
        <w:rPr>
          <w:rFonts w:ascii="Times New Roman" w:hAnsi="Times New Roman"/>
          <w:color w:val="000000"/>
          <w:sz w:val="24"/>
          <w:szCs w:val="24"/>
        </w:rPr>
        <w:t xml:space="preserve">is 6.0 percent.  My forecast is lower because </w:t>
      </w:r>
      <w:r w:rsidR="00CD541C">
        <w:rPr>
          <w:rFonts w:ascii="Times New Roman" w:hAnsi="Times New Roman"/>
          <w:color w:val="000000"/>
          <w:sz w:val="24"/>
          <w:szCs w:val="24"/>
        </w:rPr>
        <w:t>I</w:t>
      </w:r>
      <w:r w:rsidR="00264699">
        <w:rPr>
          <w:rFonts w:ascii="Times New Roman" w:hAnsi="Times New Roman"/>
          <w:color w:val="000000"/>
          <w:sz w:val="24"/>
          <w:szCs w:val="24"/>
        </w:rPr>
        <w:t xml:space="preserve"> give more weight to the more recent years.  For gauging investors</w:t>
      </w:r>
      <w:r w:rsidR="003C18EA">
        <w:rPr>
          <w:rFonts w:ascii="Times New Roman" w:hAnsi="Times New Roman"/>
          <w:color w:val="000000"/>
          <w:sz w:val="24"/>
          <w:szCs w:val="24"/>
        </w:rPr>
        <w:t>’</w:t>
      </w:r>
      <w:r w:rsidR="00264699">
        <w:rPr>
          <w:rFonts w:ascii="Times New Roman" w:hAnsi="Times New Roman"/>
          <w:color w:val="000000"/>
          <w:sz w:val="24"/>
          <w:szCs w:val="24"/>
        </w:rPr>
        <w:t xml:space="preserve"> long-term expectations, this is an appropriate approach.  Finally, Mr. Elgin</w:t>
      </w:r>
      <w:r w:rsidR="003C18EA">
        <w:rPr>
          <w:rFonts w:ascii="Times New Roman" w:hAnsi="Times New Roman"/>
          <w:color w:val="000000"/>
          <w:sz w:val="24"/>
          <w:szCs w:val="24"/>
        </w:rPr>
        <w:t>’</w:t>
      </w:r>
      <w:r w:rsidR="00264699">
        <w:rPr>
          <w:rFonts w:ascii="Times New Roman" w:hAnsi="Times New Roman"/>
          <w:color w:val="000000"/>
          <w:sz w:val="24"/>
          <w:szCs w:val="24"/>
        </w:rPr>
        <w:t xml:space="preserve">s Congressional </w:t>
      </w:r>
      <w:r>
        <w:rPr>
          <w:rFonts w:ascii="Times New Roman" w:hAnsi="Times New Roman"/>
          <w:color w:val="000000"/>
          <w:sz w:val="24"/>
          <w:szCs w:val="24"/>
        </w:rPr>
        <w:t>Budget Office estimate of GDP growth for the next 10 years at 4.25 percent</w:t>
      </w:r>
      <w:r w:rsidR="00264699">
        <w:rPr>
          <w:rFonts w:ascii="Times New Roman" w:hAnsi="Times New Roman"/>
          <w:color w:val="000000"/>
          <w:sz w:val="24"/>
          <w:szCs w:val="24"/>
        </w:rPr>
        <w:t xml:space="preserve"> and his </w:t>
      </w:r>
      <w:r w:rsidR="003C18EA">
        <w:rPr>
          <w:rFonts w:ascii="Times New Roman" w:hAnsi="Times New Roman"/>
          <w:color w:val="000000"/>
          <w:sz w:val="24"/>
          <w:szCs w:val="24"/>
        </w:rPr>
        <w:t>“</w:t>
      </w:r>
      <w:r w:rsidR="00264699">
        <w:rPr>
          <w:rFonts w:ascii="Times New Roman" w:hAnsi="Times New Roman"/>
          <w:color w:val="000000"/>
          <w:sz w:val="24"/>
          <w:szCs w:val="24"/>
        </w:rPr>
        <w:t>long-term</w:t>
      </w:r>
      <w:r w:rsidR="003C18EA">
        <w:rPr>
          <w:rFonts w:ascii="Times New Roman" w:hAnsi="Times New Roman"/>
          <w:color w:val="000000"/>
          <w:sz w:val="24"/>
          <w:szCs w:val="24"/>
        </w:rPr>
        <w:t>”</w:t>
      </w:r>
      <w:r w:rsidR="00264699">
        <w:rPr>
          <w:rFonts w:ascii="Times New Roman" w:hAnsi="Times New Roman"/>
          <w:color w:val="000000"/>
          <w:sz w:val="24"/>
          <w:szCs w:val="24"/>
        </w:rPr>
        <w:t xml:space="preserve"> Federal Open Market Committee estimate at 5 percent are</w:t>
      </w:r>
      <w:r>
        <w:rPr>
          <w:rFonts w:ascii="Times New Roman" w:hAnsi="Times New Roman"/>
          <w:color w:val="000000"/>
          <w:sz w:val="24"/>
          <w:szCs w:val="24"/>
        </w:rPr>
        <w:t xml:space="preserve"> </w:t>
      </w:r>
      <w:r w:rsidR="00CD541C">
        <w:rPr>
          <w:rFonts w:ascii="Times New Roman" w:hAnsi="Times New Roman"/>
          <w:color w:val="000000"/>
          <w:sz w:val="24"/>
          <w:szCs w:val="24"/>
        </w:rPr>
        <w:t xml:space="preserve">unreasonably low estimates of the long-run future because they are </w:t>
      </w:r>
      <w:r w:rsidR="00264699">
        <w:rPr>
          <w:rFonts w:ascii="Times New Roman" w:hAnsi="Times New Roman"/>
          <w:color w:val="000000"/>
          <w:sz w:val="24"/>
          <w:szCs w:val="24"/>
        </w:rPr>
        <w:t xml:space="preserve">dominated by recent economic turmoil and the low growth and low inflation rates that have </w:t>
      </w:r>
      <w:proofErr w:type="gramStart"/>
      <w:r w:rsidR="00264699">
        <w:rPr>
          <w:rFonts w:ascii="Times New Roman" w:hAnsi="Times New Roman"/>
          <w:color w:val="000000"/>
          <w:sz w:val="24"/>
          <w:szCs w:val="24"/>
        </w:rPr>
        <w:t>resulted</w:t>
      </w:r>
      <w:r w:rsidR="005111A7" w:rsidRPr="005111A7">
        <w:rPr>
          <w:rFonts w:ascii="Times New Roman" w:hAnsi="Times New Roman"/>
          <w:color w:val="000000"/>
          <w:sz w:val="24"/>
          <w:szCs w:val="24"/>
        </w:rPr>
        <w:t xml:space="preserve"> </w:t>
      </w:r>
      <w:r w:rsidR="00C13097">
        <w:rPr>
          <w:rFonts w:ascii="Times New Roman" w:hAnsi="Times New Roman"/>
          <w:color w:val="000000"/>
          <w:sz w:val="24"/>
          <w:szCs w:val="24"/>
        </w:rPr>
        <w:t xml:space="preserve"> (</w:t>
      </w:r>
      <w:proofErr w:type="gramEnd"/>
      <w:r w:rsidR="00C13097">
        <w:rPr>
          <w:rFonts w:ascii="Times New Roman" w:hAnsi="Times New Roman"/>
          <w:color w:val="000000"/>
          <w:sz w:val="24"/>
          <w:szCs w:val="24"/>
        </w:rPr>
        <w:t xml:space="preserve">see </w:t>
      </w:r>
      <w:r w:rsidR="005111A7">
        <w:rPr>
          <w:rFonts w:ascii="Times New Roman" w:hAnsi="Times New Roman"/>
          <w:color w:val="000000"/>
          <w:sz w:val="24"/>
          <w:szCs w:val="24"/>
        </w:rPr>
        <w:t>Exhibit</w:t>
      </w:r>
      <w:r w:rsidR="00C13097">
        <w:rPr>
          <w:rFonts w:ascii="Times New Roman" w:hAnsi="Times New Roman"/>
          <w:color w:val="000000"/>
          <w:sz w:val="24"/>
          <w:szCs w:val="24"/>
        </w:rPr>
        <w:t xml:space="preserve"> No.</w:t>
      </w:r>
      <w:r w:rsidR="005111A7">
        <w:rPr>
          <w:rFonts w:ascii="Times New Roman" w:hAnsi="Times New Roman"/>
          <w:color w:val="000000"/>
          <w:sz w:val="24"/>
          <w:szCs w:val="24"/>
        </w:rPr>
        <w:t>__</w:t>
      </w:r>
      <w:r w:rsidR="002A0913">
        <w:rPr>
          <w:rFonts w:ascii="Times New Roman" w:hAnsi="Times New Roman"/>
          <w:color w:val="000000"/>
          <w:sz w:val="24"/>
          <w:szCs w:val="24"/>
        </w:rPr>
        <w:t>_</w:t>
      </w:r>
      <w:r w:rsidR="00C13097">
        <w:rPr>
          <w:rFonts w:ascii="Times New Roman" w:hAnsi="Times New Roman"/>
          <w:color w:val="000000"/>
          <w:sz w:val="24"/>
          <w:szCs w:val="24"/>
        </w:rPr>
        <w:t>(</w:t>
      </w:r>
      <w:r w:rsidR="005111A7">
        <w:rPr>
          <w:rFonts w:ascii="Times New Roman" w:hAnsi="Times New Roman"/>
          <w:color w:val="000000"/>
          <w:sz w:val="24"/>
          <w:szCs w:val="24"/>
        </w:rPr>
        <w:t>SCH</w:t>
      </w:r>
      <w:r w:rsidR="00C13097">
        <w:rPr>
          <w:rFonts w:ascii="Times New Roman" w:hAnsi="Times New Roman"/>
          <w:color w:val="000000"/>
          <w:sz w:val="24"/>
          <w:szCs w:val="24"/>
        </w:rPr>
        <w:t>-10), pages 3-4)</w:t>
      </w:r>
      <w:r w:rsidR="00264699">
        <w:rPr>
          <w:rFonts w:ascii="Times New Roman" w:hAnsi="Times New Roman"/>
          <w:color w:val="000000"/>
          <w:sz w:val="24"/>
          <w:szCs w:val="24"/>
        </w:rPr>
        <w:t>.  Such permanently low estimates of real growth and inflation</w:t>
      </w:r>
      <w:r w:rsidR="00510E8A">
        <w:rPr>
          <w:rFonts w:ascii="Times New Roman" w:hAnsi="Times New Roman"/>
          <w:color w:val="000000"/>
          <w:sz w:val="24"/>
          <w:szCs w:val="24"/>
        </w:rPr>
        <w:t xml:space="preserve"> would mean that the future U.S. economy will grow at rates that are almost 2 to 3 percentage points lower than the historical average (6.9% - 5.0% = 1.9% and 6.9% -</w:t>
      </w:r>
      <w:r w:rsidR="008E4E51">
        <w:rPr>
          <w:rFonts w:ascii="Times New Roman" w:hAnsi="Times New Roman"/>
          <w:color w:val="000000"/>
          <w:sz w:val="24"/>
          <w:szCs w:val="24"/>
        </w:rPr>
        <w:t xml:space="preserve"> </w:t>
      </w:r>
      <w:r w:rsidR="00510E8A">
        <w:rPr>
          <w:rFonts w:ascii="Times New Roman" w:hAnsi="Times New Roman"/>
          <w:color w:val="000000"/>
          <w:sz w:val="24"/>
          <w:szCs w:val="24"/>
        </w:rPr>
        <w:t xml:space="preserve">4.25% = 2.65%).  While future prospects for the country may have been dampened by recent economic performance, </w:t>
      </w:r>
      <w:r w:rsidR="00CD541C">
        <w:rPr>
          <w:rFonts w:ascii="Times New Roman" w:hAnsi="Times New Roman"/>
          <w:color w:val="000000"/>
          <w:sz w:val="24"/>
          <w:szCs w:val="24"/>
        </w:rPr>
        <w:t xml:space="preserve">permanent </w:t>
      </w:r>
      <w:r w:rsidR="00510E8A">
        <w:rPr>
          <w:rFonts w:ascii="Times New Roman" w:hAnsi="Times New Roman"/>
          <w:color w:val="000000"/>
          <w:sz w:val="24"/>
          <w:szCs w:val="24"/>
        </w:rPr>
        <w:t>gloom and doom prospects are not reasonable assessments of investors</w:t>
      </w:r>
      <w:r w:rsidR="003C18EA">
        <w:rPr>
          <w:rFonts w:ascii="Times New Roman" w:hAnsi="Times New Roman"/>
          <w:color w:val="000000"/>
          <w:sz w:val="24"/>
          <w:szCs w:val="24"/>
        </w:rPr>
        <w:t>’</w:t>
      </w:r>
      <w:r w:rsidR="00510E8A">
        <w:rPr>
          <w:rFonts w:ascii="Times New Roman" w:hAnsi="Times New Roman"/>
          <w:color w:val="000000"/>
          <w:sz w:val="24"/>
          <w:szCs w:val="24"/>
        </w:rPr>
        <w:t xml:space="preserve"> long-term expectations to be used in the DCF model.  My 6.0 percent growth forecast is consistent with a more balanced view of </w:t>
      </w:r>
      <w:r w:rsidR="00CD541C">
        <w:rPr>
          <w:rFonts w:ascii="Times New Roman" w:hAnsi="Times New Roman"/>
          <w:color w:val="000000"/>
          <w:sz w:val="24"/>
          <w:szCs w:val="24"/>
        </w:rPr>
        <w:t xml:space="preserve">long-term </w:t>
      </w:r>
      <w:r w:rsidR="00510E8A">
        <w:rPr>
          <w:rFonts w:ascii="Times New Roman" w:hAnsi="Times New Roman"/>
          <w:color w:val="000000"/>
          <w:sz w:val="24"/>
          <w:szCs w:val="24"/>
        </w:rPr>
        <w:t xml:space="preserve">future </w:t>
      </w:r>
      <w:r w:rsidR="00CD541C">
        <w:rPr>
          <w:rFonts w:ascii="Times New Roman" w:hAnsi="Times New Roman"/>
          <w:color w:val="000000"/>
          <w:sz w:val="24"/>
          <w:szCs w:val="24"/>
        </w:rPr>
        <w:t xml:space="preserve">prospects.  My 6.0 percent estimate is, in fact, lower than the average growth rates from financial analysts, which Mr. Elgin also rejects in his subjective evaluation. </w:t>
      </w:r>
    </w:p>
    <w:p w:rsidR="00957620" w:rsidRPr="001A01FD" w:rsidRDefault="001A01FD" w:rsidP="00637AD6">
      <w:pPr>
        <w:pStyle w:val="FootnoteText"/>
        <w:rPr>
          <w:rFonts w:ascii="Times New Roman" w:hAnsi="Times New Roman"/>
          <w:b/>
          <w:color w:val="000000"/>
          <w:sz w:val="24"/>
          <w:szCs w:val="24"/>
        </w:rPr>
      </w:pPr>
      <w:r w:rsidRPr="001A01FD">
        <w:rPr>
          <w:rFonts w:ascii="Times New Roman" w:hAnsi="Times New Roman"/>
          <w:b/>
          <w:color w:val="000000"/>
          <w:sz w:val="24"/>
          <w:szCs w:val="24"/>
        </w:rPr>
        <w:t>Q.</w:t>
      </w:r>
      <w:r w:rsidRPr="001A01FD">
        <w:rPr>
          <w:rFonts w:ascii="Times New Roman" w:hAnsi="Times New Roman"/>
          <w:b/>
          <w:color w:val="000000"/>
          <w:sz w:val="24"/>
          <w:szCs w:val="24"/>
        </w:rPr>
        <w:tab/>
        <w:t>Please summarize you</w:t>
      </w:r>
      <w:r w:rsidR="008A238F">
        <w:rPr>
          <w:rFonts w:ascii="Times New Roman" w:hAnsi="Times New Roman"/>
          <w:b/>
          <w:color w:val="000000"/>
          <w:sz w:val="24"/>
          <w:szCs w:val="24"/>
        </w:rPr>
        <w:t>r</w:t>
      </w:r>
      <w:r w:rsidRPr="001A01FD">
        <w:rPr>
          <w:rFonts w:ascii="Times New Roman" w:hAnsi="Times New Roman"/>
          <w:b/>
          <w:color w:val="000000"/>
          <w:sz w:val="24"/>
          <w:szCs w:val="24"/>
        </w:rPr>
        <w:t xml:space="preserve"> rebuttal of Mr. Elgin's ROE recommendation.</w:t>
      </w:r>
    </w:p>
    <w:p w:rsidR="001A01FD" w:rsidRDefault="001A01FD" w:rsidP="00637AD6">
      <w:pPr>
        <w:pStyle w:val="FootnoteText"/>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t>Mr. Elgin's ROE recommendation is far below PacifiCorp's cost of equity.  He appears to mistakenly believe that the cost of equity has declined in lockstep with the government policy induced drop in interest rates.  His analysis is limited and appears to be result</w:t>
      </w:r>
      <w:r w:rsidR="004010D4" w:rsidRPr="008E4E51">
        <w:rPr>
          <w:rFonts w:ascii="Times New Roman" w:hAnsi="Times New Roman"/>
          <w:color w:val="000000"/>
          <w:sz w:val="24"/>
          <w:szCs w:val="24"/>
        </w:rPr>
        <w:t>s</w:t>
      </w:r>
      <w:r>
        <w:rPr>
          <w:rFonts w:ascii="Times New Roman" w:hAnsi="Times New Roman"/>
          <w:color w:val="000000"/>
          <w:sz w:val="24"/>
          <w:szCs w:val="24"/>
        </w:rPr>
        <w:t xml:space="preserve"> oriented.  The subjective adjustments he makes to his proxy group data entirely determine his results.  For this reason</w:t>
      </w:r>
      <w:r w:rsidR="00D37115">
        <w:rPr>
          <w:rFonts w:ascii="Times New Roman" w:hAnsi="Times New Roman"/>
          <w:color w:val="000000"/>
          <w:sz w:val="24"/>
          <w:szCs w:val="24"/>
        </w:rPr>
        <w:t>,</w:t>
      </w:r>
      <w:r>
        <w:rPr>
          <w:rFonts w:ascii="Times New Roman" w:hAnsi="Times New Roman"/>
          <w:color w:val="000000"/>
          <w:sz w:val="24"/>
          <w:szCs w:val="24"/>
        </w:rPr>
        <w:t xml:space="preserve"> his </w:t>
      </w:r>
      <w:r w:rsidR="00D37115">
        <w:rPr>
          <w:rFonts w:ascii="Times New Roman" w:hAnsi="Times New Roman"/>
          <w:color w:val="000000"/>
          <w:sz w:val="24"/>
          <w:szCs w:val="24"/>
        </w:rPr>
        <w:t xml:space="preserve">analysis and the conclusions he draws from that analysis provide </w:t>
      </w:r>
      <w:r w:rsidR="004E59E2">
        <w:rPr>
          <w:rFonts w:ascii="Times New Roman" w:hAnsi="Times New Roman"/>
          <w:color w:val="000000"/>
          <w:sz w:val="24"/>
          <w:szCs w:val="24"/>
        </w:rPr>
        <w:t xml:space="preserve">little </w:t>
      </w:r>
      <w:r w:rsidR="00D37115">
        <w:rPr>
          <w:rFonts w:ascii="Times New Roman" w:hAnsi="Times New Roman"/>
          <w:color w:val="000000"/>
          <w:sz w:val="24"/>
          <w:szCs w:val="24"/>
        </w:rPr>
        <w:t>meaning</w:t>
      </w:r>
      <w:r w:rsidR="009C3A67">
        <w:rPr>
          <w:rFonts w:ascii="Times New Roman" w:hAnsi="Times New Roman"/>
          <w:color w:val="000000"/>
          <w:sz w:val="24"/>
          <w:szCs w:val="24"/>
        </w:rPr>
        <w:t>ful</w:t>
      </w:r>
      <w:r w:rsidR="00D37115">
        <w:rPr>
          <w:rFonts w:ascii="Times New Roman" w:hAnsi="Times New Roman"/>
          <w:color w:val="000000"/>
          <w:sz w:val="24"/>
          <w:szCs w:val="24"/>
        </w:rPr>
        <w:t xml:space="preserve"> evidence about PacifiCorp's cost of equity capital.</w:t>
      </w:r>
    </w:p>
    <w:p w:rsidR="00637AD6" w:rsidRPr="00637AD6" w:rsidRDefault="00637AD6" w:rsidP="00637AD6">
      <w:pPr>
        <w:pStyle w:val="FootnoteText"/>
        <w:rPr>
          <w:rFonts w:ascii="Times New Roman" w:hAnsi="Times New Roman"/>
          <w:b/>
          <w:color w:val="000000"/>
          <w:sz w:val="24"/>
          <w:szCs w:val="24"/>
        </w:rPr>
      </w:pPr>
      <w:r w:rsidRPr="00637AD6">
        <w:rPr>
          <w:rFonts w:ascii="Times New Roman" w:hAnsi="Times New Roman"/>
          <w:b/>
          <w:color w:val="000000"/>
          <w:sz w:val="24"/>
          <w:szCs w:val="24"/>
        </w:rPr>
        <w:t xml:space="preserve">Rebuttal of </w:t>
      </w:r>
      <w:r w:rsidR="008A238F">
        <w:rPr>
          <w:rFonts w:ascii="Times New Roman" w:hAnsi="Times New Roman"/>
          <w:b/>
          <w:color w:val="000000"/>
          <w:sz w:val="24"/>
          <w:szCs w:val="24"/>
        </w:rPr>
        <w:t>ICNU</w:t>
      </w:r>
      <w:r w:rsidRPr="00637AD6">
        <w:rPr>
          <w:rFonts w:ascii="Times New Roman" w:hAnsi="Times New Roman"/>
          <w:b/>
          <w:color w:val="000000"/>
          <w:sz w:val="24"/>
          <w:szCs w:val="24"/>
        </w:rPr>
        <w:t xml:space="preserve"> Witness Gorman</w:t>
      </w:r>
    </w:p>
    <w:p w:rsidR="00455BEE" w:rsidRPr="00455BEE" w:rsidRDefault="00455BEE" w:rsidP="00455BEE">
      <w:pPr>
        <w:pStyle w:val="FootnoteText"/>
        <w:rPr>
          <w:rFonts w:ascii="Times New Roman" w:hAnsi="Times New Roman"/>
          <w:b/>
          <w:color w:val="000000"/>
          <w:sz w:val="24"/>
          <w:szCs w:val="24"/>
        </w:rPr>
      </w:pPr>
      <w:r w:rsidRPr="00455BEE">
        <w:rPr>
          <w:rFonts w:ascii="Times New Roman" w:hAnsi="Times New Roman"/>
          <w:b/>
          <w:color w:val="000000"/>
          <w:sz w:val="24"/>
          <w:szCs w:val="24"/>
        </w:rPr>
        <w:t>Q.</w:t>
      </w:r>
      <w:r w:rsidRPr="00455BEE">
        <w:rPr>
          <w:rFonts w:ascii="Times New Roman" w:hAnsi="Times New Roman"/>
          <w:b/>
          <w:color w:val="000000"/>
          <w:sz w:val="24"/>
          <w:szCs w:val="24"/>
        </w:rPr>
        <w:tab/>
        <w:t>What is the basis for Mr. Gorman</w:t>
      </w:r>
      <w:r w:rsidR="003C18EA">
        <w:rPr>
          <w:rFonts w:ascii="Times New Roman" w:hAnsi="Times New Roman"/>
          <w:b/>
          <w:color w:val="000000"/>
          <w:sz w:val="24"/>
          <w:szCs w:val="24"/>
        </w:rPr>
        <w:t>’</w:t>
      </w:r>
      <w:r w:rsidRPr="00455BEE">
        <w:rPr>
          <w:rFonts w:ascii="Times New Roman" w:hAnsi="Times New Roman"/>
          <w:b/>
          <w:color w:val="000000"/>
          <w:sz w:val="24"/>
          <w:szCs w:val="24"/>
        </w:rPr>
        <w:t xml:space="preserve">s 9.5 percent </w:t>
      </w:r>
      <w:r w:rsidR="00C94F38">
        <w:rPr>
          <w:rFonts w:ascii="Times New Roman" w:hAnsi="Times New Roman"/>
          <w:b/>
          <w:color w:val="000000"/>
          <w:sz w:val="24"/>
          <w:szCs w:val="24"/>
        </w:rPr>
        <w:t>ROE</w:t>
      </w:r>
      <w:r w:rsidRPr="00455BEE">
        <w:rPr>
          <w:rFonts w:ascii="Times New Roman" w:hAnsi="Times New Roman"/>
          <w:b/>
          <w:color w:val="000000"/>
          <w:sz w:val="24"/>
          <w:szCs w:val="24"/>
        </w:rPr>
        <w:t xml:space="preserve"> recommendation?</w:t>
      </w:r>
    </w:p>
    <w:p w:rsidR="00455BEE" w:rsidRPr="00455BEE" w:rsidRDefault="00455BEE" w:rsidP="00455BEE">
      <w:pPr>
        <w:pStyle w:val="FootnoteText"/>
        <w:rPr>
          <w:rFonts w:ascii="Times New Roman" w:hAnsi="Times New Roman"/>
          <w:color w:val="000000"/>
          <w:sz w:val="24"/>
          <w:szCs w:val="24"/>
        </w:rPr>
      </w:pPr>
      <w:r w:rsidRPr="00455BEE">
        <w:rPr>
          <w:rFonts w:ascii="Times New Roman" w:hAnsi="Times New Roman"/>
          <w:color w:val="000000"/>
          <w:sz w:val="24"/>
          <w:szCs w:val="24"/>
        </w:rPr>
        <w:t>A.</w:t>
      </w:r>
      <w:r w:rsidRPr="00455BEE">
        <w:rPr>
          <w:rFonts w:ascii="Times New Roman" w:hAnsi="Times New Roman"/>
          <w:color w:val="000000"/>
          <w:sz w:val="24"/>
          <w:szCs w:val="24"/>
        </w:rPr>
        <w:tab/>
        <w:t>Mr. Gorman</w:t>
      </w:r>
      <w:r w:rsidR="003C18EA">
        <w:rPr>
          <w:rFonts w:ascii="Times New Roman" w:hAnsi="Times New Roman"/>
          <w:color w:val="000000"/>
          <w:sz w:val="24"/>
          <w:szCs w:val="24"/>
        </w:rPr>
        <w:t>’</w:t>
      </w:r>
      <w:r w:rsidRPr="00455BEE">
        <w:rPr>
          <w:rFonts w:ascii="Times New Roman" w:hAnsi="Times New Roman"/>
          <w:color w:val="000000"/>
          <w:sz w:val="24"/>
          <w:szCs w:val="24"/>
        </w:rPr>
        <w:t>s results are summarized on page 37 of his testimony.  Based on two constant growth and one multi-stage growth DCF models, a risk premium analysis, and the CAPM, he concludes that the reasonable ROE range is 9.1 percent to 9.9 percent with a midpoint of 9.5 percent.</w:t>
      </w:r>
    </w:p>
    <w:p w:rsidR="00455BEE" w:rsidRPr="00455BEE" w:rsidRDefault="00455BEE" w:rsidP="00455BEE">
      <w:pPr>
        <w:pStyle w:val="FootnoteText"/>
        <w:rPr>
          <w:rFonts w:ascii="Times New Roman" w:hAnsi="Times New Roman"/>
          <w:b/>
          <w:color w:val="000000"/>
          <w:sz w:val="24"/>
          <w:szCs w:val="24"/>
        </w:rPr>
      </w:pPr>
      <w:r w:rsidRPr="00455BEE">
        <w:rPr>
          <w:rFonts w:ascii="Times New Roman" w:hAnsi="Times New Roman"/>
          <w:b/>
          <w:color w:val="000000"/>
          <w:sz w:val="24"/>
          <w:szCs w:val="24"/>
        </w:rPr>
        <w:t>Q.</w:t>
      </w:r>
      <w:r w:rsidRPr="00455BEE">
        <w:rPr>
          <w:rFonts w:ascii="Times New Roman" w:hAnsi="Times New Roman"/>
          <w:b/>
          <w:color w:val="000000"/>
          <w:sz w:val="24"/>
          <w:szCs w:val="24"/>
        </w:rPr>
        <w:tab/>
        <w:t>What is your general assessment of Mr. Gorman</w:t>
      </w:r>
      <w:r w:rsidR="003C18EA">
        <w:rPr>
          <w:rFonts w:ascii="Times New Roman" w:hAnsi="Times New Roman"/>
          <w:b/>
          <w:color w:val="000000"/>
          <w:sz w:val="24"/>
          <w:szCs w:val="24"/>
        </w:rPr>
        <w:t>’</w:t>
      </w:r>
      <w:r w:rsidRPr="00455BEE">
        <w:rPr>
          <w:rFonts w:ascii="Times New Roman" w:hAnsi="Times New Roman"/>
          <w:b/>
          <w:color w:val="000000"/>
          <w:sz w:val="24"/>
          <w:szCs w:val="24"/>
        </w:rPr>
        <w:t xml:space="preserve">s </w:t>
      </w:r>
      <w:r w:rsidR="00472DD6">
        <w:rPr>
          <w:rFonts w:ascii="Times New Roman" w:hAnsi="Times New Roman"/>
          <w:b/>
          <w:color w:val="000000"/>
          <w:sz w:val="24"/>
          <w:szCs w:val="24"/>
        </w:rPr>
        <w:t>ROE</w:t>
      </w:r>
      <w:r w:rsidRPr="00455BEE">
        <w:rPr>
          <w:rFonts w:ascii="Times New Roman" w:hAnsi="Times New Roman"/>
          <w:b/>
          <w:color w:val="000000"/>
          <w:sz w:val="24"/>
          <w:szCs w:val="24"/>
        </w:rPr>
        <w:t xml:space="preserve"> testimony and recommendation?</w:t>
      </w:r>
    </w:p>
    <w:p w:rsidR="00455BEE" w:rsidRPr="00455BEE" w:rsidRDefault="00455BEE" w:rsidP="00455BEE">
      <w:pPr>
        <w:pStyle w:val="FootnoteText"/>
        <w:rPr>
          <w:rFonts w:ascii="Times New Roman" w:hAnsi="Times New Roman"/>
          <w:color w:val="000000"/>
          <w:sz w:val="24"/>
          <w:szCs w:val="24"/>
        </w:rPr>
      </w:pPr>
      <w:r w:rsidRPr="00455BEE">
        <w:rPr>
          <w:rFonts w:ascii="Times New Roman" w:hAnsi="Times New Roman"/>
          <w:color w:val="000000"/>
          <w:sz w:val="24"/>
          <w:szCs w:val="24"/>
        </w:rPr>
        <w:t>A.</w:t>
      </w:r>
      <w:r w:rsidRPr="00455BEE">
        <w:rPr>
          <w:rFonts w:ascii="Times New Roman" w:hAnsi="Times New Roman"/>
          <w:color w:val="000000"/>
          <w:sz w:val="24"/>
          <w:szCs w:val="24"/>
        </w:rPr>
        <w:tab/>
        <w:t>Mr. Gorman</w:t>
      </w:r>
      <w:r w:rsidR="003C18EA">
        <w:rPr>
          <w:rFonts w:ascii="Times New Roman" w:hAnsi="Times New Roman"/>
          <w:color w:val="000000"/>
          <w:sz w:val="24"/>
          <w:szCs w:val="24"/>
        </w:rPr>
        <w:t>’</w:t>
      </w:r>
      <w:r w:rsidRPr="00455BEE">
        <w:rPr>
          <w:rFonts w:ascii="Times New Roman" w:hAnsi="Times New Roman"/>
          <w:color w:val="000000"/>
          <w:sz w:val="24"/>
          <w:szCs w:val="24"/>
        </w:rPr>
        <w:t xml:space="preserve">s recommendation </w:t>
      </w:r>
      <w:r w:rsidR="00472DD6">
        <w:rPr>
          <w:rFonts w:ascii="Times New Roman" w:hAnsi="Times New Roman"/>
          <w:color w:val="000000"/>
          <w:sz w:val="24"/>
          <w:szCs w:val="24"/>
        </w:rPr>
        <w:t>is far below PacifiCorp</w:t>
      </w:r>
      <w:r w:rsidR="003C18EA">
        <w:rPr>
          <w:rFonts w:ascii="Times New Roman" w:hAnsi="Times New Roman"/>
          <w:color w:val="000000"/>
          <w:sz w:val="24"/>
          <w:szCs w:val="24"/>
        </w:rPr>
        <w:t>’</w:t>
      </w:r>
      <w:r w:rsidR="00472DD6">
        <w:rPr>
          <w:rFonts w:ascii="Times New Roman" w:hAnsi="Times New Roman"/>
          <w:color w:val="000000"/>
          <w:sz w:val="24"/>
          <w:szCs w:val="24"/>
        </w:rPr>
        <w:t xml:space="preserve">s cost of equity.  His recommendation </w:t>
      </w:r>
      <w:r w:rsidRPr="00455BEE">
        <w:rPr>
          <w:rFonts w:ascii="Times New Roman" w:hAnsi="Times New Roman"/>
          <w:color w:val="000000"/>
          <w:sz w:val="24"/>
          <w:szCs w:val="24"/>
        </w:rPr>
        <w:t xml:space="preserve">is understated because he </w:t>
      </w:r>
      <w:r w:rsidR="00472DD6">
        <w:rPr>
          <w:rFonts w:ascii="Times New Roman" w:hAnsi="Times New Roman"/>
          <w:color w:val="000000"/>
          <w:sz w:val="24"/>
          <w:szCs w:val="24"/>
        </w:rPr>
        <w:t xml:space="preserve">employs negatively biased model inputs and he </w:t>
      </w:r>
      <w:r w:rsidRPr="00455BEE">
        <w:rPr>
          <w:rFonts w:ascii="Times New Roman" w:hAnsi="Times New Roman"/>
          <w:color w:val="000000"/>
          <w:sz w:val="24"/>
          <w:szCs w:val="24"/>
        </w:rPr>
        <w:t xml:space="preserve">includes </w:t>
      </w:r>
      <w:r w:rsidR="000567BB">
        <w:rPr>
          <w:rFonts w:ascii="Times New Roman" w:hAnsi="Times New Roman"/>
          <w:color w:val="000000"/>
          <w:sz w:val="24"/>
          <w:szCs w:val="24"/>
        </w:rPr>
        <w:t xml:space="preserve">the </w:t>
      </w:r>
      <w:r w:rsidRPr="00455BEE">
        <w:rPr>
          <w:rFonts w:ascii="Times New Roman" w:hAnsi="Times New Roman"/>
          <w:color w:val="000000"/>
          <w:sz w:val="24"/>
          <w:szCs w:val="24"/>
        </w:rPr>
        <w:t xml:space="preserve">results from </w:t>
      </w:r>
      <w:r w:rsidR="000567BB">
        <w:rPr>
          <w:rFonts w:ascii="Times New Roman" w:hAnsi="Times New Roman"/>
          <w:color w:val="000000"/>
          <w:sz w:val="24"/>
          <w:szCs w:val="24"/>
        </w:rPr>
        <w:t>one model, the CAPM, that are</w:t>
      </w:r>
      <w:r>
        <w:rPr>
          <w:rFonts w:ascii="Times New Roman" w:hAnsi="Times New Roman"/>
          <w:color w:val="000000"/>
          <w:sz w:val="24"/>
          <w:szCs w:val="24"/>
        </w:rPr>
        <w:t xml:space="preserve"> currently</w:t>
      </w:r>
      <w:r w:rsidRPr="00455BEE">
        <w:rPr>
          <w:rFonts w:ascii="Times New Roman" w:hAnsi="Times New Roman"/>
          <w:color w:val="000000"/>
          <w:sz w:val="24"/>
          <w:szCs w:val="24"/>
        </w:rPr>
        <w:t xml:space="preserve"> unreliable</w:t>
      </w:r>
      <w:r w:rsidR="000567BB">
        <w:rPr>
          <w:rFonts w:ascii="Times New Roman" w:hAnsi="Times New Roman"/>
          <w:color w:val="000000"/>
          <w:sz w:val="24"/>
          <w:szCs w:val="24"/>
        </w:rPr>
        <w:t>.</w:t>
      </w:r>
      <w:r w:rsidR="00472DD6">
        <w:rPr>
          <w:rFonts w:ascii="Times New Roman" w:hAnsi="Times New Roman"/>
          <w:color w:val="000000"/>
          <w:sz w:val="24"/>
          <w:szCs w:val="24"/>
        </w:rPr>
        <w:t xml:space="preserve"> </w:t>
      </w:r>
      <w:r w:rsidRPr="00455BEE">
        <w:rPr>
          <w:rFonts w:ascii="Times New Roman" w:hAnsi="Times New Roman"/>
          <w:color w:val="000000"/>
          <w:sz w:val="24"/>
          <w:szCs w:val="24"/>
        </w:rPr>
        <w:t xml:space="preserve"> In addition, </w:t>
      </w:r>
      <w:r w:rsidR="00472DD6">
        <w:rPr>
          <w:rFonts w:ascii="Times New Roman" w:hAnsi="Times New Roman"/>
          <w:color w:val="000000"/>
          <w:sz w:val="24"/>
          <w:szCs w:val="24"/>
        </w:rPr>
        <w:t>his</w:t>
      </w:r>
      <w:r w:rsidRPr="00455BEE">
        <w:rPr>
          <w:rFonts w:ascii="Times New Roman" w:hAnsi="Times New Roman"/>
          <w:color w:val="000000"/>
          <w:sz w:val="24"/>
          <w:szCs w:val="24"/>
        </w:rPr>
        <w:t xml:space="preserve"> </w:t>
      </w:r>
      <w:r w:rsidR="00596D4C">
        <w:rPr>
          <w:rFonts w:ascii="Times New Roman" w:hAnsi="Times New Roman"/>
          <w:color w:val="000000"/>
          <w:sz w:val="24"/>
          <w:szCs w:val="24"/>
        </w:rPr>
        <w:t xml:space="preserve">equity </w:t>
      </w:r>
      <w:r w:rsidRPr="00455BEE">
        <w:rPr>
          <w:rFonts w:ascii="Times New Roman" w:hAnsi="Times New Roman"/>
          <w:color w:val="000000"/>
          <w:sz w:val="24"/>
          <w:szCs w:val="24"/>
        </w:rPr>
        <w:t xml:space="preserve">risk premium analysis is flawed because he rejects the </w:t>
      </w:r>
      <w:r>
        <w:rPr>
          <w:rFonts w:ascii="Times New Roman" w:hAnsi="Times New Roman"/>
          <w:color w:val="000000"/>
          <w:sz w:val="24"/>
          <w:szCs w:val="24"/>
        </w:rPr>
        <w:t>well-documented</w:t>
      </w:r>
      <w:r w:rsidRPr="00455BEE">
        <w:rPr>
          <w:rFonts w:ascii="Times New Roman" w:hAnsi="Times New Roman"/>
          <w:color w:val="000000"/>
          <w:sz w:val="24"/>
          <w:szCs w:val="24"/>
        </w:rPr>
        <w:t xml:space="preserve"> fact that </w:t>
      </w:r>
      <w:r w:rsidR="00596D4C">
        <w:rPr>
          <w:rFonts w:ascii="Times New Roman" w:hAnsi="Times New Roman"/>
          <w:color w:val="000000"/>
          <w:sz w:val="24"/>
          <w:szCs w:val="24"/>
        </w:rPr>
        <w:t xml:space="preserve">equity </w:t>
      </w:r>
      <w:r w:rsidRPr="00455BEE">
        <w:rPr>
          <w:rFonts w:ascii="Times New Roman" w:hAnsi="Times New Roman"/>
          <w:color w:val="000000"/>
          <w:sz w:val="24"/>
          <w:szCs w:val="24"/>
        </w:rPr>
        <w:t>risk premiums increase when interest rates are low (as they are now)</w:t>
      </w:r>
      <w:r w:rsidR="00472DD6">
        <w:rPr>
          <w:rFonts w:ascii="Times New Roman" w:hAnsi="Times New Roman"/>
          <w:color w:val="000000"/>
          <w:sz w:val="24"/>
          <w:szCs w:val="24"/>
        </w:rPr>
        <w:t xml:space="preserve"> and decrease when interest rates are higher</w:t>
      </w:r>
      <w:r w:rsidRPr="00455BEE">
        <w:rPr>
          <w:rFonts w:ascii="Times New Roman" w:hAnsi="Times New Roman"/>
          <w:color w:val="000000"/>
          <w:sz w:val="24"/>
          <w:szCs w:val="24"/>
        </w:rPr>
        <w:t xml:space="preserve">.  </w:t>
      </w:r>
      <w:r w:rsidR="00472DD6">
        <w:rPr>
          <w:rFonts w:ascii="Times New Roman" w:hAnsi="Times New Roman"/>
          <w:color w:val="000000"/>
          <w:sz w:val="24"/>
          <w:szCs w:val="24"/>
        </w:rPr>
        <w:t>I will show that</w:t>
      </w:r>
      <w:r w:rsidR="000567BB">
        <w:rPr>
          <w:rFonts w:ascii="Times New Roman" w:hAnsi="Times New Roman"/>
          <w:color w:val="000000"/>
          <w:sz w:val="24"/>
          <w:szCs w:val="24"/>
        </w:rPr>
        <w:t xml:space="preserve">, but for </w:t>
      </w:r>
      <w:r>
        <w:rPr>
          <w:rFonts w:ascii="Times New Roman" w:hAnsi="Times New Roman"/>
          <w:color w:val="000000"/>
          <w:sz w:val="24"/>
          <w:szCs w:val="24"/>
        </w:rPr>
        <w:t>these deficiencies</w:t>
      </w:r>
      <w:r w:rsidR="00472DD6">
        <w:rPr>
          <w:rFonts w:ascii="Times New Roman" w:hAnsi="Times New Roman"/>
          <w:color w:val="000000"/>
          <w:sz w:val="24"/>
          <w:szCs w:val="24"/>
        </w:rPr>
        <w:t xml:space="preserve">, </w:t>
      </w:r>
      <w:r>
        <w:rPr>
          <w:rFonts w:ascii="Times New Roman" w:hAnsi="Times New Roman"/>
          <w:color w:val="000000"/>
          <w:sz w:val="24"/>
          <w:szCs w:val="24"/>
        </w:rPr>
        <w:t>Mr. Gorman</w:t>
      </w:r>
      <w:r w:rsidR="003C18EA">
        <w:rPr>
          <w:rFonts w:ascii="Times New Roman" w:hAnsi="Times New Roman"/>
          <w:color w:val="000000"/>
          <w:sz w:val="24"/>
          <w:szCs w:val="24"/>
        </w:rPr>
        <w:t>’</w:t>
      </w:r>
      <w:r>
        <w:rPr>
          <w:rFonts w:ascii="Times New Roman" w:hAnsi="Times New Roman"/>
          <w:color w:val="000000"/>
          <w:sz w:val="24"/>
          <w:szCs w:val="24"/>
        </w:rPr>
        <w:t>s</w:t>
      </w:r>
      <w:r w:rsidRPr="00455BEE">
        <w:rPr>
          <w:rFonts w:ascii="Times New Roman" w:hAnsi="Times New Roman"/>
          <w:color w:val="000000"/>
          <w:sz w:val="24"/>
          <w:szCs w:val="24"/>
        </w:rPr>
        <w:t xml:space="preserve"> analysis </w:t>
      </w:r>
      <w:r w:rsidR="000567BB">
        <w:rPr>
          <w:rFonts w:ascii="Times New Roman" w:hAnsi="Times New Roman"/>
          <w:color w:val="000000"/>
          <w:sz w:val="24"/>
          <w:szCs w:val="24"/>
        </w:rPr>
        <w:t>sh</w:t>
      </w:r>
      <w:r w:rsidR="00472DD6">
        <w:rPr>
          <w:rFonts w:ascii="Times New Roman" w:hAnsi="Times New Roman"/>
          <w:color w:val="000000"/>
          <w:sz w:val="24"/>
          <w:szCs w:val="24"/>
        </w:rPr>
        <w:t xml:space="preserve">ould </w:t>
      </w:r>
      <w:r w:rsidR="000567BB">
        <w:rPr>
          <w:rFonts w:ascii="Times New Roman" w:hAnsi="Times New Roman"/>
          <w:color w:val="000000"/>
          <w:sz w:val="24"/>
          <w:szCs w:val="24"/>
        </w:rPr>
        <w:t xml:space="preserve">have </w:t>
      </w:r>
      <w:r w:rsidRPr="00455BEE">
        <w:rPr>
          <w:rFonts w:ascii="Times New Roman" w:hAnsi="Times New Roman"/>
          <w:color w:val="000000"/>
          <w:sz w:val="24"/>
          <w:szCs w:val="24"/>
        </w:rPr>
        <w:t>support</w:t>
      </w:r>
      <w:r w:rsidR="000567BB">
        <w:rPr>
          <w:rFonts w:ascii="Times New Roman" w:hAnsi="Times New Roman"/>
          <w:color w:val="000000"/>
          <w:sz w:val="24"/>
          <w:szCs w:val="24"/>
        </w:rPr>
        <w:t>ed</w:t>
      </w:r>
      <w:r w:rsidRPr="00455BEE">
        <w:rPr>
          <w:rFonts w:ascii="Times New Roman" w:hAnsi="Times New Roman"/>
          <w:color w:val="000000"/>
          <w:sz w:val="24"/>
          <w:szCs w:val="24"/>
        </w:rPr>
        <w:t xml:space="preserve"> an ROE of 10.23 percent.</w:t>
      </w:r>
    </w:p>
    <w:p w:rsidR="003C2F81" w:rsidRDefault="00455BEE" w:rsidP="002A0913">
      <w:pPr>
        <w:pStyle w:val="FootnoteText"/>
        <w:widowControl w:val="0"/>
        <w:rPr>
          <w:rFonts w:ascii="Times New Roman" w:hAnsi="Times New Roman"/>
          <w:color w:val="000000"/>
          <w:sz w:val="24"/>
          <w:szCs w:val="24"/>
        </w:rPr>
      </w:pPr>
      <w:r w:rsidRPr="00472DD6">
        <w:rPr>
          <w:rFonts w:ascii="Times New Roman" w:hAnsi="Times New Roman"/>
          <w:b/>
          <w:color w:val="000000"/>
          <w:sz w:val="24"/>
          <w:szCs w:val="24"/>
        </w:rPr>
        <w:t>Q.</w:t>
      </w:r>
      <w:r w:rsidRPr="00472DD6">
        <w:rPr>
          <w:rFonts w:ascii="Times New Roman" w:hAnsi="Times New Roman"/>
          <w:b/>
          <w:color w:val="000000"/>
          <w:sz w:val="24"/>
          <w:szCs w:val="24"/>
        </w:rPr>
        <w:tab/>
        <w:t xml:space="preserve">What are your </w:t>
      </w:r>
      <w:r w:rsidR="00472DD6">
        <w:rPr>
          <w:rFonts w:ascii="Times New Roman" w:hAnsi="Times New Roman"/>
          <w:b/>
          <w:color w:val="000000"/>
          <w:sz w:val="24"/>
          <w:szCs w:val="24"/>
        </w:rPr>
        <w:t>specific</w:t>
      </w:r>
      <w:r w:rsidRPr="00472DD6">
        <w:rPr>
          <w:rFonts w:ascii="Times New Roman" w:hAnsi="Times New Roman"/>
          <w:b/>
          <w:color w:val="000000"/>
          <w:sz w:val="24"/>
          <w:szCs w:val="24"/>
        </w:rPr>
        <w:t xml:space="preserve"> areas of disagreement with Mr. Gorman</w:t>
      </w:r>
      <w:r w:rsidR="003C18EA">
        <w:rPr>
          <w:rFonts w:ascii="Times New Roman" w:hAnsi="Times New Roman"/>
          <w:b/>
          <w:color w:val="000000"/>
          <w:sz w:val="24"/>
          <w:szCs w:val="24"/>
        </w:rPr>
        <w:t>’</w:t>
      </w:r>
      <w:r w:rsidR="00472DD6">
        <w:rPr>
          <w:rFonts w:ascii="Times New Roman" w:hAnsi="Times New Roman"/>
          <w:b/>
          <w:color w:val="000000"/>
          <w:sz w:val="24"/>
          <w:szCs w:val="24"/>
        </w:rPr>
        <w:t>s analysis</w:t>
      </w:r>
      <w:r w:rsidRPr="00472DD6">
        <w:rPr>
          <w:rFonts w:ascii="Times New Roman" w:hAnsi="Times New Roman"/>
          <w:b/>
          <w:color w:val="000000"/>
          <w:sz w:val="24"/>
          <w:szCs w:val="24"/>
        </w:rPr>
        <w:t>?</w:t>
      </w:r>
    </w:p>
    <w:p w:rsidR="00455BEE" w:rsidRPr="00455BEE" w:rsidRDefault="00455BEE" w:rsidP="002A0913">
      <w:pPr>
        <w:pStyle w:val="FootnoteText"/>
        <w:widowControl w:val="0"/>
        <w:rPr>
          <w:rFonts w:ascii="Times New Roman" w:hAnsi="Times New Roman"/>
          <w:color w:val="000000"/>
          <w:sz w:val="24"/>
          <w:szCs w:val="24"/>
        </w:rPr>
      </w:pPr>
      <w:r w:rsidRPr="00455BEE">
        <w:rPr>
          <w:rFonts w:ascii="Times New Roman" w:hAnsi="Times New Roman"/>
          <w:color w:val="000000"/>
          <w:sz w:val="24"/>
          <w:szCs w:val="24"/>
        </w:rPr>
        <w:t>A.</w:t>
      </w:r>
      <w:r w:rsidRPr="00455BEE">
        <w:rPr>
          <w:rFonts w:ascii="Times New Roman" w:hAnsi="Times New Roman"/>
          <w:color w:val="000000"/>
          <w:sz w:val="24"/>
          <w:szCs w:val="24"/>
        </w:rPr>
        <w:tab/>
      </w:r>
      <w:r>
        <w:rPr>
          <w:rFonts w:ascii="Times New Roman" w:hAnsi="Times New Roman"/>
          <w:color w:val="000000"/>
          <w:sz w:val="24"/>
          <w:szCs w:val="24"/>
        </w:rPr>
        <w:t xml:space="preserve">Mr. Gorman and I disagree strongly on the principal inputs to </w:t>
      </w:r>
      <w:r w:rsidR="00472DD6">
        <w:rPr>
          <w:rFonts w:ascii="Times New Roman" w:hAnsi="Times New Roman"/>
          <w:color w:val="000000"/>
          <w:sz w:val="24"/>
          <w:szCs w:val="24"/>
        </w:rPr>
        <w:t xml:space="preserve">two of his </w:t>
      </w:r>
      <w:r>
        <w:rPr>
          <w:rFonts w:ascii="Times New Roman" w:hAnsi="Times New Roman"/>
          <w:color w:val="000000"/>
          <w:sz w:val="24"/>
          <w:szCs w:val="24"/>
        </w:rPr>
        <w:t>three models</w:t>
      </w:r>
      <w:r w:rsidR="00472DD6">
        <w:rPr>
          <w:rFonts w:ascii="Times New Roman" w:hAnsi="Times New Roman"/>
          <w:color w:val="000000"/>
          <w:sz w:val="24"/>
          <w:szCs w:val="24"/>
        </w:rPr>
        <w:t xml:space="preserve"> and we disagree on the </w:t>
      </w:r>
      <w:r w:rsidR="00EB760D">
        <w:rPr>
          <w:rFonts w:ascii="Times New Roman" w:hAnsi="Times New Roman"/>
          <w:color w:val="000000"/>
          <w:sz w:val="24"/>
          <w:szCs w:val="24"/>
        </w:rPr>
        <w:t xml:space="preserve">current </w:t>
      </w:r>
      <w:r w:rsidR="00472DD6">
        <w:rPr>
          <w:rFonts w:ascii="Times New Roman" w:hAnsi="Times New Roman"/>
          <w:color w:val="000000"/>
          <w:sz w:val="24"/>
          <w:szCs w:val="24"/>
        </w:rPr>
        <w:t>reliability of the CAPM</w:t>
      </w:r>
      <w:r w:rsidR="00EB760D">
        <w:rPr>
          <w:rFonts w:ascii="Times New Roman" w:hAnsi="Times New Roman"/>
          <w:color w:val="000000"/>
          <w:sz w:val="24"/>
          <w:szCs w:val="24"/>
        </w:rPr>
        <w:t xml:space="preserve">. </w:t>
      </w:r>
      <w:r>
        <w:rPr>
          <w:rFonts w:ascii="Times New Roman" w:hAnsi="Times New Roman"/>
          <w:color w:val="000000"/>
          <w:sz w:val="24"/>
          <w:szCs w:val="24"/>
        </w:rPr>
        <w:t xml:space="preserve"> In his analysis, he consistently </w:t>
      </w:r>
      <w:r w:rsidR="00472DD6">
        <w:rPr>
          <w:rFonts w:ascii="Times New Roman" w:hAnsi="Times New Roman"/>
          <w:color w:val="000000"/>
          <w:sz w:val="24"/>
          <w:szCs w:val="24"/>
        </w:rPr>
        <w:t xml:space="preserve">applies </w:t>
      </w:r>
      <w:r>
        <w:rPr>
          <w:rFonts w:ascii="Times New Roman" w:hAnsi="Times New Roman"/>
          <w:color w:val="000000"/>
          <w:sz w:val="24"/>
          <w:szCs w:val="24"/>
        </w:rPr>
        <w:t xml:space="preserve">inputs that </w:t>
      </w:r>
      <w:r w:rsidR="00472DD6">
        <w:rPr>
          <w:rFonts w:ascii="Times New Roman" w:hAnsi="Times New Roman"/>
          <w:color w:val="000000"/>
          <w:sz w:val="24"/>
          <w:szCs w:val="24"/>
        </w:rPr>
        <w:t xml:space="preserve">are </w:t>
      </w:r>
      <w:r w:rsidRPr="00455BEE">
        <w:rPr>
          <w:rFonts w:ascii="Times New Roman" w:hAnsi="Times New Roman"/>
          <w:color w:val="000000"/>
          <w:sz w:val="24"/>
          <w:szCs w:val="24"/>
        </w:rPr>
        <w:t xml:space="preserve">negatively biased </w:t>
      </w:r>
      <w:r>
        <w:rPr>
          <w:rFonts w:ascii="Times New Roman" w:hAnsi="Times New Roman"/>
          <w:color w:val="000000"/>
          <w:sz w:val="24"/>
          <w:szCs w:val="24"/>
        </w:rPr>
        <w:t>and produce the lowest ROE results.</w:t>
      </w:r>
      <w:r w:rsidRPr="00455BEE">
        <w:rPr>
          <w:rFonts w:ascii="Times New Roman" w:hAnsi="Times New Roman"/>
          <w:color w:val="000000"/>
          <w:sz w:val="24"/>
          <w:szCs w:val="24"/>
        </w:rPr>
        <w:t xml:space="preserve">  </w:t>
      </w:r>
      <w:r w:rsidR="00472DD6">
        <w:rPr>
          <w:rFonts w:ascii="Times New Roman" w:hAnsi="Times New Roman"/>
          <w:color w:val="000000"/>
          <w:sz w:val="24"/>
          <w:szCs w:val="24"/>
        </w:rPr>
        <w:t>In one of his constant growth DCF model</w:t>
      </w:r>
      <w:r w:rsidR="00EB760D">
        <w:rPr>
          <w:rFonts w:ascii="Times New Roman" w:hAnsi="Times New Roman"/>
          <w:color w:val="000000"/>
          <w:sz w:val="24"/>
          <w:szCs w:val="24"/>
        </w:rPr>
        <w:t>s</w:t>
      </w:r>
      <w:r w:rsidR="00472DD6">
        <w:rPr>
          <w:rFonts w:ascii="Times New Roman" w:hAnsi="Times New Roman"/>
          <w:color w:val="000000"/>
          <w:sz w:val="24"/>
          <w:szCs w:val="24"/>
        </w:rPr>
        <w:t xml:space="preserve">, he summarizes the data in a way that skews the results downward.  In his </w:t>
      </w:r>
      <w:r w:rsidR="000567BB">
        <w:rPr>
          <w:rFonts w:ascii="Times New Roman" w:hAnsi="Times New Roman"/>
          <w:color w:val="000000"/>
          <w:sz w:val="24"/>
          <w:szCs w:val="24"/>
        </w:rPr>
        <w:t>multi</w:t>
      </w:r>
      <w:r w:rsidR="00472DD6">
        <w:rPr>
          <w:rFonts w:ascii="Times New Roman" w:hAnsi="Times New Roman"/>
          <w:color w:val="000000"/>
          <w:sz w:val="24"/>
          <w:szCs w:val="24"/>
        </w:rPr>
        <w:t xml:space="preserve">-stage </w:t>
      </w:r>
      <w:r w:rsidRPr="00455BEE">
        <w:rPr>
          <w:rFonts w:ascii="Times New Roman" w:hAnsi="Times New Roman"/>
          <w:color w:val="000000"/>
          <w:sz w:val="24"/>
          <w:szCs w:val="24"/>
        </w:rPr>
        <w:t>DCF model</w:t>
      </w:r>
      <w:r w:rsidR="00EB760D">
        <w:rPr>
          <w:rFonts w:ascii="Times New Roman" w:hAnsi="Times New Roman"/>
          <w:color w:val="000000"/>
          <w:sz w:val="24"/>
          <w:szCs w:val="24"/>
        </w:rPr>
        <w:t>,</w:t>
      </w:r>
      <w:r w:rsidRPr="00455BEE">
        <w:rPr>
          <w:rFonts w:ascii="Times New Roman" w:hAnsi="Times New Roman"/>
          <w:color w:val="000000"/>
          <w:sz w:val="24"/>
          <w:szCs w:val="24"/>
        </w:rPr>
        <w:t xml:space="preserve"> </w:t>
      </w:r>
      <w:r w:rsidR="00EB760D">
        <w:rPr>
          <w:rFonts w:ascii="Times New Roman" w:hAnsi="Times New Roman"/>
          <w:color w:val="000000"/>
          <w:sz w:val="24"/>
          <w:szCs w:val="24"/>
        </w:rPr>
        <w:t xml:space="preserve">which is </w:t>
      </w:r>
      <w:r w:rsidRPr="00455BEE">
        <w:rPr>
          <w:rFonts w:ascii="Times New Roman" w:hAnsi="Times New Roman"/>
          <w:color w:val="000000"/>
          <w:sz w:val="24"/>
          <w:szCs w:val="24"/>
        </w:rPr>
        <w:t>similar to mine</w:t>
      </w:r>
      <w:r w:rsidR="00472DD6">
        <w:rPr>
          <w:rFonts w:ascii="Times New Roman" w:hAnsi="Times New Roman"/>
          <w:color w:val="000000"/>
          <w:sz w:val="24"/>
          <w:szCs w:val="24"/>
        </w:rPr>
        <w:t>, he</w:t>
      </w:r>
      <w:r w:rsidRPr="00455BEE">
        <w:rPr>
          <w:rFonts w:ascii="Times New Roman" w:hAnsi="Times New Roman"/>
          <w:color w:val="000000"/>
          <w:sz w:val="24"/>
          <w:szCs w:val="24"/>
        </w:rPr>
        <w:t xml:space="preserve"> agrees with me that GDP growth is </w:t>
      </w:r>
      <w:r>
        <w:rPr>
          <w:rFonts w:ascii="Times New Roman" w:hAnsi="Times New Roman"/>
          <w:color w:val="000000"/>
          <w:sz w:val="24"/>
          <w:szCs w:val="24"/>
        </w:rPr>
        <w:t>an appropriate input</w:t>
      </w:r>
      <w:r w:rsidR="00472DD6">
        <w:rPr>
          <w:rFonts w:ascii="Times New Roman" w:hAnsi="Times New Roman"/>
          <w:color w:val="000000"/>
          <w:sz w:val="24"/>
          <w:szCs w:val="24"/>
        </w:rPr>
        <w:t>, but</w:t>
      </w:r>
      <w:r>
        <w:rPr>
          <w:rFonts w:ascii="Times New Roman" w:hAnsi="Times New Roman"/>
          <w:color w:val="000000"/>
          <w:sz w:val="24"/>
          <w:szCs w:val="24"/>
        </w:rPr>
        <w:t xml:space="preserve"> </w:t>
      </w:r>
      <w:r w:rsidR="00EB760D">
        <w:rPr>
          <w:rFonts w:ascii="Times New Roman" w:hAnsi="Times New Roman"/>
          <w:color w:val="000000"/>
          <w:sz w:val="24"/>
          <w:szCs w:val="24"/>
        </w:rPr>
        <w:t xml:space="preserve">he uses short-term </w:t>
      </w:r>
      <w:r w:rsidRPr="00455BEE">
        <w:rPr>
          <w:rFonts w:ascii="Times New Roman" w:hAnsi="Times New Roman"/>
          <w:color w:val="000000"/>
          <w:sz w:val="24"/>
          <w:szCs w:val="24"/>
        </w:rPr>
        <w:t xml:space="preserve">GDP growth rate </w:t>
      </w:r>
      <w:r w:rsidR="00EB760D">
        <w:rPr>
          <w:rFonts w:ascii="Times New Roman" w:hAnsi="Times New Roman"/>
          <w:color w:val="000000"/>
          <w:sz w:val="24"/>
          <w:szCs w:val="24"/>
        </w:rPr>
        <w:t xml:space="preserve">forecasts </w:t>
      </w:r>
      <w:r w:rsidRPr="00455BEE">
        <w:rPr>
          <w:rFonts w:ascii="Times New Roman" w:hAnsi="Times New Roman"/>
          <w:color w:val="000000"/>
          <w:sz w:val="24"/>
          <w:szCs w:val="24"/>
        </w:rPr>
        <w:t>that are significantly dominated by recent</w:t>
      </w:r>
      <w:r w:rsidR="00472DD6">
        <w:rPr>
          <w:rFonts w:ascii="Times New Roman" w:hAnsi="Times New Roman"/>
          <w:color w:val="000000"/>
          <w:sz w:val="24"/>
          <w:szCs w:val="24"/>
        </w:rPr>
        <w:t>ly</w:t>
      </w:r>
      <w:r w:rsidRPr="00455BEE">
        <w:rPr>
          <w:rFonts w:ascii="Times New Roman" w:hAnsi="Times New Roman"/>
          <w:color w:val="000000"/>
          <w:sz w:val="24"/>
          <w:szCs w:val="24"/>
        </w:rPr>
        <w:t xml:space="preserve"> low inflation</w:t>
      </w:r>
      <w:r w:rsidR="00472DD6">
        <w:rPr>
          <w:rFonts w:ascii="Times New Roman" w:hAnsi="Times New Roman"/>
          <w:color w:val="000000"/>
          <w:sz w:val="24"/>
          <w:szCs w:val="24"/>
        </w:rPr>
        <w:t xml:space="preserve"> rates</w:t>
      </w:r>
      <w:r w:rsidRPr="00455BEE">
        <w:rPr>
          <w:rFonts w:ascii="Times New Roman" w:hAnsi="Times New Roman"/>
          <w:color w:val="000000"/>
          <w:sz w:val="24"/>
          <w:szCs w:val="24"/>
        </w:rPr>
        <w:t xml:space="preserve">.  </w:t>
      </w:r>
      <w:r>
        <w:rPr>
          <w:rFonts w:ascii="Times New Roman" w:hAnsi="Times New Roman"/>
          <w:color w:val="000000"/>
          <w:sz w:val="24"/>
          <w:szCs w:val="24"/>
        </w:rPr>
        <w:t>The inflation rates in h</w:t>
      </w:r>
      <w:r w:rsidRPr="00455BEE">
        <w:rPr>
          <w:rFonts w:ascii="Times New Roman" w:hAnsi="Times New Roman"/>
          <w:color w:val="000000"/>
          <w:sz w:val="24"/>
          <w:szCs w:val="24"/>
        </w:rPr>
        <w:t xml:space="preserve">is GDP forecast are almost a full percentage point </w:t>
      </w:r>
      <w:r w:rsidR="00EB760D">
        <w:rPr>
          <w:rFonts w:ascii="Times New Roman" w:hAnsi="Times New Roman"/>
          <w:color w:val="000000"/>
          <w:sz w:val="24"/>
          <w:szCs w:val="24"/>
        </w:rPr>
        <w:t>lower than</w:t>
      </w:r>
      <w:r w:rsidRPr="00455BEE">
        <w:rPr>
          <w:rFonts w:ascii="Times New Roman" w:hAnsi="Times New Roman"/>
          <w:color w:val="000000"/>
          <w:sz w:val="24"/>
          <w:szCs w:val="24"/>
        </w:rPr>
        <w:t xml:space="preserve"> </w:t>
      </w:r>
      <w:r w:rsidR="00EB760D">
        <w:rPr>
          <w:rFonts w:ascii="Times New Roman" w:hAnsi="Times New Roman"/>
          <w:color w:val="000000"/>
          <w:sz w:val="24"/>
          <w:szCs w:val="24"/>
        </w:rPr>
        <w:t xml:space="preserve">the </w:t>
      </w:r>
      <w:r w:rsidRPr="00455BEE">
        <w:rPr>
          <w:rFonts w:ascii="Times New Roman" w:hAnsi="Times New Roman"/>
          <w:color w:val="000000"/>
          <w:sz w:val="24"/>
          <w:szCs w:val="24"/>
        </w:rPr>
        <w:t xml:space="preserve">longer-term historical averages.  This </w:t>
      </w:r>
      <w:r>
        <w:rPr>
          <w:rFonts w:ascii="Times New Roman" w:hAnsi="Times New Roman"/>
          <w:color w:val="000000"/>
          <w:sz w:val="24"/>
          <w:szCs w:val="24"/>
        </w:rPr>
        <w:t xml:space="preserve">approach </w:t>
      </w:r>
      <w:r w:rsidRPr="00455BEE">
        <w:rPr>
          <w:rFonts w:ascii="Times New Roman" w:hAnsi="Times New Roman"/>
          <w:color w:val="000000"/>
          <w:sz w:val="24"/>
          <w:szCs w:val="24"/>
        </w:rPr>
        <w:t xml:space="preserve">is inconsistent with the long-term growth </w:t>
      </w:r>
      <w:r>
        <w:rPr>
          <w:rFonts w:ascii="Times New Roman" w:hAnsi="Times New Roman"/>
          <w:color w:val="000000"/>
          <w:sz w:val="24"/>
          <w:szCs w:val="24"/>
        </w:rPr>
        <w:t xml:space="preserve">rate </w:t>
      </w:r>
      <w:r w:rsidR="00EB760D">
        <w:rPr>
          <w:rFonts w:ascii="Times New Roman" w:hAnsi="Times New Roman"/>
          <w:color w:val="000000"/>
          <w:sz w:val="24"/>
          <w:szCs w:val="24"/>
        </w:rPr>
        <w:t>requirement of</w:t>
      </w:r>
      <w:r w:rsidR="00CD3340">
        <w:rPr>
          <w:rFonts w:ascii="Times New Roman" w:hAnsi="Times New Roman"/>
          <w:color w:val="000000"/>
          <w:sz w:val="24"/>
          <w:szCs w:val="24"/>
        </w:rPr>
        <w:t xml:space="preserve"> </w:t>
      </w:r>
      <w:r w:rsidRPr="00455BEE">
        <w:rPr>
          <w:rFonts w:ascii="Times New Roman" w:hAnsi="Times New Roman"/>
          <w:color w:val="000000"/>
          <w:sz w:val="24"/>
          <w:szCs w:val="24"/>
        </w:rPr>
        <w:t>the DCF model.</w:t>
      </w:r>
    </w:p>
    <w:p w:rsidR="00455BEE" w:rsidRPr="00455BEE" w:rsidRDefault="00455BEE" w:rsidP="00CD3340">
      <w:pPr>
        <w:pStyle w:val="FootnoteText"/>
        <w:ind w:firstLine="720"/>
        <w:rPr>
          <w:rFonts w:ascii="Times New Roman" w:hAnsi="Times New Roman"/>
          <w:color w:val="000000"/>
          <w:sz w:val="24"/>
          <w:szCs w:val="24"/>
        </w:rPr>
      </w:pPr>
      <w:r w:rsidRPr="00455BEE">
        <w:rPr>
          <w:rFonts w:ascii="Times New Roman" w:hAnsi="Times New Roman"/>
          <w:color w:val="000000"/>
          <w:sz w:val="24"/>
          <w:szCs w:val="24"/>
        </w:rPr>
        <w:t xml:space="preserve">In his </w:t>
      </w:r>
      <w:r w:rsidR="00596D4C">
        <w:rPr>
          <w:rFonts w:ascii="Times New Roman" w:hAnsi="Times New Roman"/>
          <w:color w:val="000000"/>
          <w:sz w:val="24"/>
          <w:szCs w:val="24"/>
        </w:rPr>
        <w:t xml:space="preserve">equity </w:t>
      </w:r>
      <w:r w:rsidRPr="00455BEE">
        <w:rPr>
          <w:rFonts w:ascii="Times New Roman" w:hAnsi="Times New Roman"/>
          <w:color w:val="000000"/>
          <w:sz w:val="24"/>
          <w:szCs w:val="24"/>
        </w:rPr>
        <w:t xml:space="preserve">risk premium analysis, he selects </w:t>
      </w:r>
      <w:r w:rsidR="00CD3340">
        <w:rPr>
          <w:rFonts w:ascii="Times New Roman" w:hAnsi="Times New Roman"/>
          <w:color w:val="000000"/>
          <w:sz w:val="24"/>
          <w:szCs w:val="24"/>
        </w:rPr>
        <w:t>data</w:t>
      </w:r>
      <w:r w:rsidRPr="00455BEE">
        <w:rPr>
          <w:rFonts w:ascii="Times New Roman" w:hAnsi="Times New Roman"/>
          <w:color w:val="000000"/>
          <w:sz w:val="24"/>
          <w:szCs w:val="24"/>
        </w:rPr>
        <w:t xml:space="preserve"> that are not consistent with </w:t>
      </w:r>
      <w:r w:rsidR="00CD3340">
        <w:rPr>
          <w:rFonts w:ascii="Times New Roman" w:hAnsi="Times New Roman"/>
          <w:color w:val="000000"/>
          <w:sz w:val="24"/>
          <w:szCs w:val="24"/>
        </w:rPr>
        <w:t xml:space="preserve">the </w:t>
      </w:r>
      <w:r w:rsidRPr="00455BEE">
        <w:rPr>
          <w:rFonts w:ascii="Times New Roman" w:hAnsi="Times New Roman"/>
          <w:color w:val="000000"/>
          <w:sz w:val="24"/>
          <w:szCs w:val="24"/>
        </w:rPr>
        <w:t>recent risk premium</w:t>
      </w:r>
      <w:r w:rsidR="00CD3340">
        <w:rPr>
          <w:rFonts w:ascii="Times New Roman" w:hAnsi="Times New Roman"/>
          <w:color w:val="000000"/>
          <w:sz w:val="24"/>
          <w:szCs w:val="24"/>
        </w:rPr>
        <w:t>s</w:t>
      </w:r>
      <w:r w:rsidRPr="00455BEE">
        <w:rPr>
          <w:rFonts w:ascii="Times New Roman" w:hAnsi="Times New Roman"/>
          <w:color w:val="000000"/>
          <w:sz w:val="24"/>
          <w:szCs w:val="24"/>
        </w:rPr>
        <w:t xml:space="preserve"> </w:t>
      </w:r>
      <w:r w:rsidR="00CD3340">
        <w:rPr>
          <w:rFonts w:ascii="Times New Roman" w:hAnsi="Times New Roman"/>
          <w:color w:val="000000"/>
          <w:sz w:val="24"/>
          <w:szCs w:val="24"/>
        </w:rPr>
        <w:t>allowed by regulators and</w:t>
      </w:r>
      <w:r w:rsidRPr="00455BEE">
        <w:rPr>
          <w:rFonts w:ascii="Times New Roman" w:hAnsi="Times New Roman"/>
          <w:color w:val="000000"/>
          <w:sz w:val="24"/>
          <w:szCs w:val="24"/>
        </w:rPr>
        <w:t xml:space="preserve"> he fails to include the well documented inverse relationship </w:t>
      </w:r>
      <w:r w:rsidR="00EB760D">
        <w:rPr>
          <w:rFonts w:ascii="Times New Roman" w:hAnsi="Times New Roman"/>
          <w:color w:val="000000"/>
          <w:sz w:val="24"/>
          <w:szCs w:val="24"/>
        </w:rPr>
        <w:t xml:space="preserve">that exists </w:t>
      </w:r>
      <w:r w:rsidRPr="00455BEE">
        <w:rPr>
          <w:rFonts w:ascii="Times New Roman" w:hAnsi="Times New Roman"/>
          <w:color w:val="000000"/>
          <w:sz w:val="24"/>
          <w:szCs w:val="24"/>
        </w:rPr>
        <w:t xml:space="preserve">between </w:t>
      </w:r>
      <w:r w:rsidR="00596D4C">
        <w:rPr>
          <w:rFonts w:ascii="Times New Roman" w:hAnsi="Times New Roman"/>
          <w:color w:val="000000"/>
          <w:sz w:val="24"/>
          <w:szCs w:val="24"/>
        </w:rPr>
        <w:t xml:space="preserve">equity </w:t>
      </w:r>
      <w:r w:rsidRPr="00455BEE">
        <w:rPr>
          <w:rFonts w:ascii="Times New Roman" w:hAnsi="Times New Roman"/>
          <w:color w:val="000000"/>
          <w:sz w:val="24"/>
          <w:szCs w:val="24"/>
        </w:rPr>
        <w:t xml:space="preserve">risk premiums and interest rates, i.e., </w:t>
      </w:r>
      <w:r w:rsidR="00596D4C">
        <w:rPr>
          <w:rFonts w:ascii="Times New Roman" w:hAnsi="Times New Roman"/>
          <w:color w:val="000000"/>
          <w:sz w:val="24"/>
          <w:szCs w:val="24"/>
        </w:rPr>
        <w:t xml:space="preserve">equity </w:t>
      </w:r>
      <w:r w:rsidRPr="00455BEE">
        <w:rPr>
          <w:rFonts w:ascii="Times New Roman" w:hAnsi="Times New Roman"/>
          <w:color w:val="000000"/>
          <w:sz w:val="24"/>
          <w:szCs w:val="24"/>
        </w:rPr>
        <w:t xml:space="preserve">risk premiums </w:t>
      </w:r>
      <w:r w:rsidR="00EB760D">
        <w:rPr>
          <w:rFonts w:ascii="Times New Roman" w:hAnsi="Times New Roman"/>
          <w:color w:val="000000"/>
          <w:sz w:val="24"/>
          <w:szCs w:val="24"/>
        </w:rPr>
        <w:t xml:space="preserve">tend </w:t>
      </w:r>
      <w:r w:rsidRPr="00455BEE">
        <w:rPr>
          <w:rFonts w:ascii="Times New Roman" w:hAnsi="Times New Roman"/>
          <w:color w:val="000000"/>
          <w:sz w:val="24"/>
          <w:szCs w:val="24"/>
        </w:rPr>
        <w:t xml:space="preserve">to </w:t>
      </w:r>
      <w:r w:rsidR="00CD3340">
        <w:rPr>
          <w:rFonts w:ascii="Times New Roman" w:hAnsi="Times New Roman"/>
          <w:color w:val="000000"/>
          <w:sz w:val="24"/>
          <w:szCs w:val="24"/>
        </w:rPr>
        <w:t>increase</w:t>
      </w:r>
      <w:r w:rsidRPr="00455BEE">
        <w:rPr>
          <w:rFonts w:ascii="Times New Roman" w:hAnsi="Times New Roman"/>
          <w:color w:val="000000"/>
          <w:sz w:val="24"/>
          <w:szCs w:val="24"/>
        </w:rPr>
        <w:t xml:space="preserve"> when interest rates are low and </w:t>
      </w:r>
      <w:r w:rsidR="00CD3340">
        <w:rPr>
          <w:rFonts w:ascii="Times New Roman" w:hAnsi="Times New Roman"/>
          <w:color w:val="000000"/>
          <w:sz w:val="24"/>
          <w:szCs w:val="24"/>
        </w:rPr>
        <w:t>decrease</w:t>
      </w:r>
      <w:r w:rsidRPr="00455BEE">
        <w:rPr>
          <w:rFonts w:ascii="Times New Roman" w:hAnsi="Times New Roman"/>
          <w:color w:val="000000"/>
          <w:sz w:val="24"/>
          <w:szCs w:val="24"/>
        </w:rPr>
        <w:t xml:space="preserve"> when interest rates are high.  </w:t>
      </w:r>
      <w:r w:rsidR="00CD3340">
        <w:rPr>
          <w:rFonts w:ascii="Times New Roman" w:hAnsi="Times New Roman"/>
          <w:color w:val="000000"/>
          <w:sz w:val="24"/>
          <w:szCs w:val="24"/>
        </w:rPr>
        <w:t xml:space="preserve">With this </w:t>
      </w:r>
      <w:r w:rsidRPr="00455BEE">
        <w:rPr>
          <w:rFonts w:ascii="Times New Roman" w:hAnsi="Times New Roman"/>
          <w:color w:val="000000"/>
          <w:sz w:val="24"/>
          <w:szCs w:val="24"/>
        </w:rPr>
        <w:t>omission</w:t>
      </w:r>
      <w:r w:rsidR="00CD3340">
        <w:rPr>
          <w:rFonts w:ascii="Times New Roman" w:hAnsi="Times New Roman"/>
          <w:color w:val="000000"/>
          <w:sz w:val="24"/>
          <w:szCs w:val="24"/>
        </w:rPr>
        <w:t>,</w:t>
      </w:r>
      <w:r w:rsidRPr="00455BEE">
        <w:rPr>
          <w:rFonts w:ascii="Times New Roman" w:hAnsi="Times New Roman"/>
          <w:color w:val="000000"/>
          <w:sz w:val="24"/>
          <w:szCs w:val="24"/>
        </w:rPr>
        <w:t xml:space="preserve"> </w:t>
      </w:r>
      <w:r w:rsidR="00EB760D">
        <w:rPr>
          <w:rFonts w:ascii="Times New Roman" w:hAnsi="Times New Roman"/>
          <w:color w:val="000000"/>
          <w:sz w:val="24"/>
          <w:szCs w:val="24"/>
        </w:rPr>
        <w:t xml:space="preserve">in the currently low interest rate environment, </w:t>
      </w:r>
      <w:r w:rsidRPr="00455BEE">
        <w:rPr>
          <w:rFonts w:ascii="Times New Roman" w:hAnsi="Times New Roman"/>
          <w:color w:val="000000"/>
          <w:sz w:val="24"/>
          <w:szCs w:val="24"/>
        </w:rPr>
        <w:t xml:space="preserve">his </w:t>
      </w:r>
      <w:r w:rsidR="00596D4C">
        <w:rPr>
          <w:rFonts w:ascii="Times New Roman" w:hAnsi="Times New Roman"/>
          <w:color w:val="000000"/>
          <w:sz w:val="24"/>
          <w:szCs w:val="24"/>
        </w:rPr>
        <w:t xml:space="preserve">equity </w:t>
      </w:r>
      <w:r w:rsidRPr="00455BEE">
        <w:rPr>
          <w:rFonts w:ascii="Times New Roman" w:hAnsi="Times New Roman"/>
          <w:color w:val="000000"/>
          <w:sz w:val="24"/>
          <w:szCs w:val="24"/>
        </w:rPr>
        <w:t>risk premium</w:t>
      </w:r>
      <w:r w:rsidR="00CD3340">
        <w:rPr>
          <w:rFonts w:ascii="Times New Roman" w:hAnsi="Times New Roman"/>
          <w:color w:val="000000"/>
          <w:sz w:val="24"/>
          <w:szCs w:val="24"/>
        </w:rPr>
        <w:t>s</w:t>
      </w:r>
      <w:r w:rsidRPr="00455BEE">
        <w:rPr>
          <w:rFonts w:ascii="Times New Roman" w:hAnsi="Times New Roman"/>
          <w:color w:val="000000"/>
          <w:sz w:val="24"/>
          <w:szCs w:val="24"/>
        </w:rPr>
        <w:t xml:space="preserve"> </w:t>
      </w:r>
      <w:r w:rsidR="00CD3340">
        <w:rPr>
          <w:rFonts w:ascii="Times New Roman" w:hAnsi="Times New Roman"/>
          <w:color w:val="000000"/>
          <w:sz w:val="24"/>
          <w:szCs w:val="24"/>
        </w:rPr>
        <w:t>are</w:t>
      </w:r>
      <w:r w:rsidRPr="00455BEE">
        <w:rPr>
          <w:rFonts w:ascii="Times New Roman" w:hAnsi="Times New Roman"/>
          <w:color w:val="000000"/>
          <w:sz w:val="24"/>
          <w:szCs w:val="24"/>
        </w:rPr>
        <w:t xml:space="preserve"> significantly understated</w:t>
      </w:r>
      <w:r w:rsidR="00CD3340">
        <w:rPr>
          <w:rFonts w:ascii="Times New Roman" w:hAnsi="Times New Roman"/>
          <w:color w:val="000000"/>
          <w:sz w:val="24"/>
          <w:szCs w:val="24"/>
        </w:rPr>
        <w:t xml:space="preserve"> and, therefore, his </w:t>
      </w:r>
      <w:r w:rsidR="00596D4C">
        <w:rPr>
          <w:rFonts w:ascii="Times New Roman" w:hAnsi="Times New Roman"/>
          <w:color w:val="000000"/>
          <w:sz w:val="24"/>
          <w:szCs w:val="24"/>
        </w:rPr>
        <w:t xml:space="preserve">equity </w:t>
      </w:r>
      <w:r w:rsidR="00CD3340">
        <w:rPr>
          <w:rFonts w:ascii="Times New Roman" w:hAnsi="Times New Roman"/>
          <w:color w:val="000000"/>
          <w:sz w:val="24"/>
          <w:szCs w:val="24"/>
        </w:rPr>
        <w:t>risk premium estimates of ROE are too low</w:t>
      </w:r>
      <w:r w:rsidRPr="00455BEE">
        <w:rPr>
          <w:rFonts w:ascii="Times New Roman" w:hAnsi="Times New Roman"/>
          <w:color w:val="000000"/>
          <w:sz w:val="24"/>
          <w:szCs w:val="24"/>
        </w:rPr>
        <w:t>.</w:t>
      </w:r>
    </w:p>
    <w:p w:rsidR="00455BEE" w:rsidRPr="00455BEE" w:rsidRDefault="00EB760D" w:rsidP="00CD3340">
      <w:pPr>
        <w:pStyle w:val="FootnoteText"/>
        <w:ind w:firstLine="720"/>
        <w:rPr>
          <w:rFonts w:ascii="Times New Roman" w:hAnsi="Times New Roman"/>
          <w:color w:val="000000"/>
          <w:sz w:val="24"/>
          <w:szCs w:val="24"/>
        </w:rPr>
      </w:pPr>
      <w:r>
        <w:rPr>
          <w:rFonts w:ascii="Times New Roman" w:hAnsi="Times New Roman"/>
          <w:color w:val="000000"/>
          <w:sz w:val="24"/>
          <w:szCs w:val="24"/>
        </w:rPr>
        <w:t>H</w:t>
      </w:r>
      <w:r w:rsidR="00455BEE" w:rsidRPr="00455BEE">
        <w:rPr>
          <w:rFonts w:ascii="Times New Roman" w:hAnsi="Times New Roman"/>
          <w:color w:val="000000"/>
          <w:sz w:val="24"/>
          <w:szCs w:val="24"/>
        </w:rPr>
        <w:t xml:space="preserve">is CAPM </w:t>
      </w:r>
      <w:r>
        <w:rPr>
          <w:rFonts w:ascii="Times New Roman" w:hAnsi="Times New Roman"/>
          <w:color w:val="000000"/>
          <w:sz w:val="24"/>
          <w:szCs w:val="24"/>
        </w:rPr>
        <w:t xml:space="preserve">estimates are even lower.  From that </w:t>
      </w:r>
      <w:r w:rsidR="00455BEE" w:rsidRPr="00455BEE">
        <w:rPr>
          <w:rFonts w:ascii="Times New Roman" w:hAnsi="Times New Roman"/>
          <w:color w:val="000000"/>
          <w:sz w:val="24"/>
          <w:szCs w:val="24"/>
        </w:rPr>
        <w:t>analysis</w:t>
      </w:r>
      <w:r w:rsidR="00CD3340">
        <w:rPr>
          <w:rFonts w:ascii="Times New Roman" w:hAnsi="Times New Roman"/>
          <w:color w:val="000000"/>
          <w:sz w:val="24"/>
          <w:szCs w:val="24"/>
        </w:rPr>
        <w:t>, h</w:t>
      </w:r>
      <w:r>
        <w:rPr>
          <w:rFonts w:ascii="Times New Roman" w:hAnsi="Times New Roman"/>
          <w:color w:val="000000"/>
          <w:sz w:val="24"/>
          <w:szCs w:val="24"/>
        </w:rPr>
        <w:t>is</w:t>
      </w:r>
      <w:r w:rsidR="00CD3340">
        <w:rPr>
          <w:rFonts w:ascii="Times New Roman" w:hAnsi="Times New Roman"/>
          <w:color w:val="000000"/>
          <w:sz w:val="24"/>
          <w:szCs w:val="24"/>
        </w:rPr>
        <w:t xml:space="preserve"> </w:t>
      </w:r>
      <w:r>
        <w:rPr>
          <w:rFonts w:ascii="Times New Roman" w:hAnsi="Times New Roman"/>
          <w:color w:val="000000"/>
          <w:sz w:val="24"/>
          <w:szCs w:val="24"/>
        </w:rPr>
        <w:t xml:space="preserve">ROE </w:t>
      </w:r>
      <w:r w:rsidR="00CD3340">
        <w:rPr>
          <w:rFonts w:ascii="Times New Roman" w:hAnsi="Times New Roman"/>
          <w:color w:val="000000"/>
          <w:sz w:val="24"/>
          <w:szCs w:val="24"/>
        </w:rPr>
        <w:t>estimate</w:t>
      </w:r>
      <w:r>
        <w:rPr>
          <w:rFonts w:ascii="Times New Roman" w:hAnsi="Times New Roman"/>
          <w:color w:val="000000"/>
          <w:sz w:val="24"/>
          <w:szCs w:val="24"/>
        </w:rPr>
        <w:t xml:space="preserve"> is</w:t>
      </w:r>
      <w:r w:rsidR="00455BEE" w:rsidRPr="00455BEE">
        <w:rPr>
          <w:rFonts w:ascii="Times New Roman" w:hAnsi="Times New Roman"/>
          <w:color w:val="000000"/>
          <w:sz w:val="24"/>
          <w:szCs w:val="24"/>
        </w:rPr>
        <w:t xml:space="preserve"> </w:t>
      </w:r>
      <w:r w:rsidR="00CD3340">
        <w:rPr>
          <w:rFonts w:ascii="Times New Roman" w:hAnsi="Times New Roman"/>
          <w:color w:val="000000"/>
          <w:sz w:val="24"/>
          <w:szCs w:val="24"/>
        </w:rPr>
        <w:t xml:space="preserve">only </w:t>
      </w:r>
      <w:r w:rsidR="00455BEE" w:rsidRPr="00455BEE">
        <w:rPr>
          <w:rFonts w:ascii="Times New Roman" w:hAnsi="Times New Roman"/>
          <w:color w:val="000000"/>
          <w:sz w:val="24"/>
          <w:szCs w:val="24"/>
        </w:rPr>
        <w:t>8.80 percent</w:t>
      </w:r>
      <w:r>
        <w:rPr>
          <w:rFonts w:ascii="Times New Roman" w:hAnsi="Times New Roman"/>
          <w:color w:val="000000"/>
          <w:sz w:val="24"/>
          <w:szCs w:val="24"/>
        </w:rPr>
        <w:t>.  This result is</w:t>
      </w:r>
      <w:r w:rsidR="00455BEE" w:rsidRPr="00455BEE">
        <w:rPr>
          <w:rFonts w:ascii="Times New Roman" w:hAnsi="Times New Roman"/>
          <w:color w:val="000000"/>
          <w:sz w:val="24"/>
          <w:szCs w:val="24"/>
        </w:rPr>
        <w:t xml:space="preserve"> far </w:t>
      </w:r>
      <w:r w:rsidR="00CD3340">
        <w:rPr>
          <w:rFonts w:ascii="Times New Roman" w:hAnsi="Times New Roman"/>
          <w:color w:val="000000"/>
          <w:sz w:val="24"/>
          <w:szCs w:val="24"/>
        </w:rPr>
        <w:t>below the next</w:t>
      </w:r>
      <w:r w:rsidR="00455BEE" w:rsidRPr="00455BEE">
        <w:rPr>
          <w:rFonts w:ascii="Times New Roman" w:hAnsi="Times New Roman"/>
          <w:color w:val="000000"/>
          <w:sz w:val="24"/>
          <w:szCs w:val="24"/>
        </w:rPr>
        <w:t xml:space="preserve"> lowest number </w:t>
      </w:r>
      <w:r w:rsidR="000567BB">
        <w:rPr>
          <w:rFonts w:ascii="Times New Roman" w:hAnsi="Times New Roman"/>
          <w:color w:val="000000"/>
          <w:sz w:val="24"/>
          <w:szCs w:val="24"/>
        </w:rPr>
        <w:t xml:space="preserve">in </w:t>
      </w:r>
      <w:r>
        <w:rPr>
          <w:rFonts w:ascii="Times New Roman" w:hAnsi="Times New Roman"/>
          <w:color w:val="000000"/>
          <w:sz w:val="24"/>
          <w:szCs w:val="24"/>
        </w:rPr>
        <w:t>the</w:t>
      </w:r>
      <w:r w:rsidR="00CD3340">
        <w:rPr>
          <w:rFonts w:ascii="Times New Roman" w:hAnsi="Times New Roman"/>
          <w:color w:val="000000"/>
          <w:sz w:val="24"/>
          <w:szCs w:val="24"/>
        </w:rPr>
        <w:t xml:space="preserve"> </w:t>
      </w:r>
      <w:r w:rsidR="00455BEE" w:rsidRPr="00455BEE">
        <w:rPr>
          <w:rFonts w:ascii="Times New Roman" w:hAnsi="Times New Roman"/>
          <w:color w:val="000000"/>
          <w:sz w:val="24"/>
          <w:szCs w:val="24"/>
        </w:rPr>
        <w:t xml:space="preserve">summary shown in </w:t>
      </w:r>
      <w:r w:rsidR="000567BB">
        <w:rPr>
          <w:rFonts w:ascii="Times New Roman" w:hAnsi="Times New Roman"/>
          <w:color w:val="000000"/>
          <w:sz w:val="24"/>
          <w:szCs w:val="24"/>
        </w:rPr>
        <w:t xml:space="preserve">his </w:t>
      </w:r>
      <w:r w:rsidR="00455BEE" w:rsidRPr="00455BEE">
        <w:rPr>
          <w:rFonts w:ascii="Times New Roman" w:hAnsi="Times New Roman"/>
          <w:color w:val="000000"/>
          <w:sz w:val="24"/>
          <w:szCs w:val="24"/>
        </w:rPr>
        <w:t>Table 4 on page 37</w:t>
      </w:r>
      <w:r w:rsidR="000567BB">
        <w:rPr>
          <w:rFonts w:ascii="Times New Roman" w:hAnsi="Times New Roman"/>
          <w:color w:val="000000"/>
          <w:sz w:val="24"/>
          <w:szCs w:val="24"/>
        </w:rPr>
        <w:t>.</w:t>
      </w:r>
      <w:r w:rsidR="00455BEE" w:rsidRPr="00455BEE">
        <w:rPr>
          <w:rFonts w:ascii="Times New Roman" w:hAnsi="Times New Roman"/>
          <w:color w:val="000000"/>
          <w:sz w:val="24"/>
          <w:szCs w:val="24"/>
        </w:rPr>
        <w:t xml:space="preserve">  This </w:t>
      </w:r>
      <w:r w:rsidR="00CD3340">
        <w:rPr>
          <w:rFonts w:ascii="Times New Roman" w:hAnsi="Times New Roman"/>
          <w:color w:val="000000"/>
          <w:sz w:val="24"/>
          <w:szCs w:val="24"/>
        </w:rPr>
        <w:t xml:space="preserve">low </w:t>
      </w:r>
      <w:r w:rsidR="00455BEE" w:rsidRPr="00455BEE">
        <w:rPr>
          <w:rFonts w:ascii="Times New Roman" w:hAnsi="Times New Roman"/>
          <w:color w:val="000000"/>
          <w:sz w:val="24"/>
          <w:szCs w:val="24"/>
        </w:rPr>
        <w:t xml:space="preserve">result is </w:t>
      </w:r>
      <w:r w:rsidR="00CD3340">
        <w:rPr>
          <w:rFonts w:ascii="Times New Roman" w:hAnsi="Times New Roman"/>
          <w:color w:val="000000"/>
          <w:sz w:val="24"/>
          <w:szCs w:val="24"/>
        </w:rPr>
        <w:t xml:space="preserve">simply a confirmation of the </w:t>
      </w:r>
      <w:r w:rsidR="000567BB">
        <w:rPr>
          <w:rFonts w:ascii="Times New Roman" w:hAnsi="Times New Roman"/>
          <w:color w:val="000000"/>
          <w:sz w:val="24"/>
          <w:szCs w:val="24"/>
        </w:rPr>
        <w:t>CAPM</w:t>
      </w:r>
      <w:r w:rsidR="003C18EA">
        <w:rPr>
          <w:rFonts w:ascii="Times New Roman" w:hAnsi="Times New Roman"/>
          <w:color w:val="000000"/>
          <w:sz w:val="24"/>
          <w:szCs w:val="24"/>
        </w:rPr>
        <w:t>’</w:t>
      </w:r>
      <w:r w:rsidR="000567BB">
        <w:rPr>
          <w:rFonts w:ascii="Times New Roman" w:hAnsi="Times New Roman"/>
          <w:color w:val="000000"/>
          <w:sz w:val="24"/>
          <w:szCs w:val="24"/>
        </w:rPr>
        <w:t xml:space="preserve">s </w:t>
      </w:r>
      <w:r w:rsidR="00CD3340">
        <w:rPr>
          <w:rFonts w:ascii="Times New Roman" w:hAnsi="Times New Roman"/>
          <w:color w:val="000000"/>
          <w:sz w:val="24"/>
          <w:szCs w:val="24"/>
        </w:rPr>
        <w:t xml:space="preserve">current </w:t>
      </w:r>
      <w:r w:rsidR="000567BB">
        <w:rPr>
          <w:rFonts w:ascii="Times New Roman" w:hAnsi="Times New Roman"/>
          <w:color w:val="000000"/>
          <w:sz w:val="24"/>
          <w:szCs w:val="24"/>
        </w:rPr>
        <w:t xml:space="preserve">artificially low input </w:t>
      </w:r>
      <w:r w:rsidR="00CD3340">
        <w:rPr>
          <w:rFonts w:ascii="Times New Roman" w:hAnsi="Times New Roman"/>
          <w:color w:val="000000"/>
          <w:sz w:val="24"/>
          <w:szCs w:val="24"/>
        </w:rPr>
        <w:t>problems that I dis</w:t>
      </w:r>
      <w:r w:rsidR="00455BEE" w:rsidRPr="00455BEE">
        <w:rPr>
          <w:rFonts w:ascii="Times New Roman" w:hAnsi="Times New Roman"/>
          <w:color w:val="000000"/>
          <w:sz w:val="24"/>
          <w:szCs w:val="24"/>
        </w:rPr>
        <w:t>c</w:t>
      </w:r>
      <w:r w:rsidR="00CD3340">
        <w:rPr>
          <w:rFonts w:ascii="Times New Roman" w:hAnsi="Times New Roman"/>
          <w:color w:val="000000"/>
          <w:sz w:val="24"/>
          <w:szCs w:val="24"/>
        </w:rPr>
        <w:t xml:space="preserve">ussed earlier.  </w:t>
      </w:r>
      <w:r>
        <w:rPr>
          <w:rFonts w:ascii="Times New Roman" w:hAnsi="Times New Roman"/>
          <w:color w:val="000000"/>
          <w:sz w:val="24"/>
          <w:szCs w:val="24"/>
        </w:rPr>
        <w:t>The</w:t>
      </w:r>
      <w:r w:rsidR="00CD3340">
        <w:rPr>
          <w:rFonts w:ascii="Times New Roman" w:hAnsi="Times New Roman"/>
          <w:color w:val="000000"/>
          <w:sz w:val="24"/>
          <w:szCs w:val="24"/>
        </w:rPr>
        <w:t xml:space="preserve"> CAPM estimate is clearly </w:t>
      </w:r>
      <w:r w:rsidR="00455BEE" w:rsidRPr="00455BEE">
        <w:rPr>
          <w:rFonts w:ascii="Times New Roman" w:hAnsi="Times New Roman"/>
          <w:color w:val="000000"/>
          <w:sz w:val="24"/>
          <w:szCs w:val="24"/>
        </w:rPr>
        <w:t>an outlier</w:t>
      </w:r>
      <w:r w:rsidR="00CD3340">
        <w:rPr>
          <w:rFonts w:ascii="Times New Roman" w:hAnsi="Times New Roman"/>
          <w:color w:val="000000"/>
          <w:sz w:val="24"/>
          <w:szCs w:val="24"/>
        </w:rPr>
        <w:t xml:space="preserve"> that</w:t>
      </w:r>
      <w:r w:rsidR="000567BB">
        <w:rPr>
          <w:rFonts w:ascii="Times New Roman" w:hAnsi="Times New Roman"/>
          <w:color w:val="000000"/>
          <w:sz w:val="24"/>
          <w:szCs w:val="24"/>
        </w:rPr>
        <w:t xml:space="preserve"> </w:t>
      </w:r>
      <w:r w:rsidR="00455BEE" w:rsidRPr="00455BEE">
        <w:rPr>
          <w:rFonts w:ascii="Times New Roman" w:hAnsi="Times New Roman"/>
          <w:color w:val="000000"/>
          <w:sz w:val="24"/>
          <w:szCs w:val="24"/>
        </w:rPr>
        <w:t xml:space="preserve">should have </w:t>
      </w:r>
      <w:r w:rsidR="000567BB">
        <w:rPr>
          <w:rFonts w:ascii="Times New Roman" w:hAnsi="Times New Roman"/>
          <w:color w:val="000000"/>
          <w:sz w:val="24"/>
          <w:szCs w:val="24"/>
        </w:rPr>
        <w:t xml:space="preserve">been </w:t>
      </w:r>
      <w:r w:rsidR="00455BEE" w:rsidRPr="00455BEE">
        <w:rPr>
          <w:rFonts w:ascii="Times New Roman" w:hAnsi="Times New Roman"/>
          <w:color w:val="000000"/>
          <w:sz w:val="24"/>
          <w:szCs w:val="24"/>
        </w:rPr>
        <w:t>discarded</w:t>
      </w:r>
      <w:r w:rsidR="00CD3340">
        <w:rPr>
          <w:rFonts w:ascii="Times New Roman" w:hAnsi="Times New Roman"/>
          <w:color w:val="000000"/>
          <w:sz w:val="24"/>
          <w:szCs w:val="24"/>
        </w:rPr>
        <w:t>.</w:t>
      </w:r>
    </w:p>
    <w:p w:rsidR="00455BEE" w:rsidRPr="00CD3340" w:rsidRDefault="00455BEE" w:rsidP="00455BEE">
      <w:pPr>
        <w:pStyle w:val="FootnoteText"/>
        <w:rPr>
          <w:rFonts w:ascii="Times New Roman" w:hAnsi="Times New Roman"/>
          <w:b/>
          <w:color w:val="000000"/>
          <w:sz w:val="24"/>
          <w:szCs w:val="24"/>
        </w:rPr>
      </w:pPr>
      <w:r w:rsidRPr="00CD3340">
        <w:rPr>
          <w:rFonts w:ascii="Times New Roman" w:hAnsi="Times New Roman"/>
          <w:b/>
          <w:color w:val="000000"/>
          <w:sz w:val="24"/>
          <w:szCs w:val="24"/>
        </w:rPr>
        <w:t>Q.</w:t>
      </w:r>
      <w:r w:rsidRPr="00CD3340">
        <w:rPr>
          <w:rFonts w:ascii="Times New Roman" w:hAnsi="Times New Roman"/>
          <w:b/>
          <w:color w:val="000000"/>
          <w:sz w:val="24"/>
          <w:szCs w:val="24"/>
        </w:rPr>
        <w:tab/>
      </w:r>
      <w:r w:rsidR="00CD3340" w:rsidRPr="00CD3340">
        <w:rPr>
          <w:rFonts w:ascii="Times New Roman" w:hAnsi="Times New Roman"/>
          <w:b/>
          <w:color w:val="000000"/>
          <w:sz w:val="24"/>
          <w:szCs w:val="24"/>
        </w:rPr>
        <w:t>Can you demonstrate what Mr. Gorman</w:t>
      </w:r>
      <w:r w:rsidR="003C18EA">
        <w:rPr>
          <w:rFonts w:ascii="Times New Roman" w:hAnsi="Times New Roman"/>
          <w:b/>
          <w:color w:val="000000"/>
          <w:sz w:val="24"/>
          <w:szCs w:val="24"/>
        </w:rPr>
        <w:t>’</w:t>
      </w:r>
      <w:r w:rsidR="00CD3340" w:rsidRPr="00CD3340">
        <w:rPr>
          <w:rFonts w:ascii="Times New Roman" w:hAnsi="Times New Roman"/>
          <w:b/>
          <w:color w:val="000000"/>
          <w:sz w:val="24"/>
          <w:szCs w:val="24"/>
        </w:rPr>
        <w:t xml:space="preserve">s results would have been </w:t>
      </w:r>
      <w:r w:rsidR="000567BB">
        <w:rPr>
          <w:rFonts w:ascii="Times New Roman" w:hAnsi="Times New Roman"/>
          <w:b/>
          <w:color w:val="000000"/>
          <w:sz w:val="24"/>
          <w:szCs w:val="24"/>
        </w:rPr>
        <w:t>if he had used</w:t>
      </w:r>
      <w:r w:rsidR="00CD3340" w:rsidRPr="00CD3340">
        <w:rPr>
          <w:rFonts w:ascii="Times New Roman" w:hAnsi="Times New Roman"/>
          <w:b/>
          <w:color w:val="000000"/>
          <w:sz w:val="24"/>
          <w:szCs w:val="24"/>
        </w:rPr>
        <w:t xml:space="preserve"> more reasonable input</w:t>
      </w:r>
      <w:r w:rsidR="000567BB">
        <w:rPr>
          <w:rFonts w:ascii="Times New Roman" w:hAnsi="Times New Roman"/>
          <w:b/>
          <w:color w:val="000000"/>
          <w:sz w:val="24"/>
          <w:szCs w:val="24"/>
        </w:rPr>
        <w:t xml:space="preserve"> assumption</w:t>
      </w:r>
      <w:r w:rsidR="00CD3340" w:rsidRPr="00CD3340">
        <w:rPr>
          <w:rFonts w:ascii="Times New Roman" w:hAnsi="Times New Roman"/>
          <w:b/>
          <w:color w:val="000000"/>
          <w:sz w:val="24"/>
          <w:szCs w:val="24"/>
        </w:rPr>
        <w:t>s?</w:t>
      </w:r>
    </w:p>
    <w:p w:rsidR="00455BEE" w:rsidRPr="00455BEE" w:rsidRDefault="00455BEE" w:rsidP="00455BEE">
      <w:pPr>
        <w:pStyle w:val="FootnoteText"/>
        <w:rPr>
          <w:rFonts w:ascii="Times New Roman" w:hAnsi="Times New Roman"/>
          <w:color w:val="000000"/>
          <w:sz w:val="24"/>
          <w:szCs w:val="24"/>
        </w:rPr>
      </w:pPr>
      <w:r w:rsidRPr="00455BEE">
        <w:rPr>
          <w:rFonts w:ascii="Times New Roman" w:hAnsi="Times New Roman"/>
          <w:color w:val="000000"/>
          <w:sz w:val="24"/>
          <w:szCs w:val="24"/>
        </w:rPr>
        <w:t>A.</w:t>
      </w:r>
      <w:r w:rsidRPr="00455BEE">
        <w:rPr>
          <w:rFonts w:ascii="Times New Roman" w:hAnsi="Times New Roman"/>
          <w:color w:val="000000"/>
          <w:sz w:val="24"/>
          <w:szCs w:val="24"/>
        </w:rPr>
        <w:tab/>
        <w:t xml:space="preserve">Yes.  I </w:t>
      </w:r>
      <w:r w:rsidR="00CD3340">
        <w:rPr>
          <w:rFonts w:ascii="Times New Roman" w:hAnsi="Times New Roman"/>
          <w:color w:val="000000"/>
          <w:sz w:val="24"/>
          <w:szCs w:val="24"/>
        </w:rPr>
        <w:t xml:space="preserve">have redone </w:t>
      </w:r>
      <w:r w:rsidR="000567BB">
        <w:rPr>
          <w:rFonts w:ascii="Times New Roman" w:hAnsi="Times New Roman"/>
          <w:color w:val="000000"/>
          <w:sz w:val="24"/>
          <w:szCs w:val="24"/>
        </w:rPr>
        <w:t xml:space="preserve">one of </w:t>
      </w:r>
      <w:r w:rsidR="00CD3340">
        <w:rPr>
          <w:rFonts w:ascii="Times New Roman" w:hAnsi="Times New Roman"/>
          <w:color w:val="000000"/>
          <w:sz w:val="24"/>
          <w:szCs w:val="24"/>
        </w:rPr>
        <w:t>Mr. Gorman</w:t>
      </w:r>
      <w:r w:rsidR="003C18EA">
        <w:rPr>
          <w:rFonts w:ascii="Times New Roman" w:hAnsi="Times New Roman"/>
          <w:color w:val="000000"/>
          <w:sz w:val="24"/>
          <w:szCs w:val="24"/>
        </w:rPr>
        <w:t>’</w:t>
      </w:r>
      <w:r w:rsidR="00CD3340">
        <w:rPr>
          <w:rFonts w:ascii="Times New Roman" w:hAnsi="Times New Roman"/>
          <w:color w:val="000000"/>
          <w:sz w:val="24"/>
          <w:szCs w:val="24"/>
        </w:rPr>
        <w:t xml:space="preserve">s constant growth </w:t>
      </w:r>
      <w:r w:rsidR="000567BB">
        <w:rPr>
          <w:rFonts w:ascii="Times New Roman" w:hAnsi="Times New Roman"/>
          <w:color w:val="000000"/>
          <w:sz w:val="24"/>
          <w:szCs w:val="24"/>
        </w:rPr>
        <w:t>DCF models</w:t>
      </w:r>
      <w:r w:rsidR="00CD3340">
        <w:rPr>
          <w:rFonts w:ascii="Times New Roman" w:hAnsi="Times New Roman"/>
          <w:color w:val="000000"/>
          <w:sz w:val="24"/>
          <w:szCs w:val="24"/>
        </w:rPr>
        <w:t xml:space="preserve"> with one correction and I have redone his </w:t>
      </w:r>
      <w:r w:rsidR="00EB760D">
        <w:rPr>
          <w:rFonts w:ascii="Times New Roman" w:hAnsi="Times New Roman"/>
          <w:color w:val="000000"/>
          <w:sz w:val="24"/>
          <w:szCs w:val="24"/>
        </w:rPr>
        <w:t>multi</w:t>
      </w:r>
      <w:r w:rsidR="00CD3340">
        <w:rPr>
          <w:rFonts w:ascii="Times New Roman" w:hAnsi="Times New Roman"/>
          <w:color w:val="000000"/>
          <w:sz w:val="24"/>
          <w:szCs w:val="24"/>
        </w:rPr>
        <w:t xml:space="preserve">-stage </w:t>
      </w:r>
      <w:r w:rsidR="00EB760D">
        <w:rPr>
          <w:rFonts w:ascii="Times New Roman" w:hAnsi="Times New Roman"/>
          <w:color w:val="000000"/>
          <w:sz w:val="24"/>
          <w:szCs w:val="24"/>
        </w:rPr>
        <w:t>model</w:t>
      </w:r>
      <w:r w:rsidR="00CD3340">
        <w:rPr>
          <w:rFonts w:ascii="Times New Roman" w:hAnsi="Times New Roman"/>
          <w:color w:val="000000"/>
          <w:sz w:val="24"/>
          <w:szCs w:val="24"/>
        </w:rPr>
        <w:t xml:space="preserve"> with a more reasonable long-term GDP growth rate </w:t>
      </w:r>
      <w:r w:rsidR="000567BB">
        <w:rPr>
          <w:rFonts w:ascii="Times New Roman" w:hAnsi="Times New Roman"/>
          <w:color w:val="000000"/>
          <w:sz w:val="24"/>
          <w:szCs w:val="24"/>
        </w:rPr>
        <w:t>input.</w:t>
      </w:r>
      <w:r w:rsidRPr="00455BEE">
        <w:rPr>
          <w:rFonts w:ascii="Times New Roman" w:hAnsi="Times New Roman"/>
          <w:color w:val="000000"/>
          <w:sz w:val="24"/>
          <w:szCs w:val="24"/>
        </w:rPr>
        <w:t xml:space="preserve">  In </w:t>
      </w:r>
      <w:r w:rsidR="00CD3340">
        <w:rPr>
          <w:rFonts w:ascii="Times New Roman" w:hAnsi="Times New Roman"/>
          <w:color w:val="000000"/>
          <w:sz w:val="24"/>
          <w:szCs w:val="24"/>
        </w:rPr>
        <w:t>Mr. Gorman</w:t>
      </w:r>
      <w:r w:rsidR="003C18EA">
        <w:rPr>
          <w:rFonts w:ascii="Times New Roman" w:hAnsi="Times New Roman"/>
          <w:color w:val="000000"/>
          <w:sz w:val="24"/>
          <w:szCs w:val="24"/>
        </w:rPr>
        <w:t>’</w:t>
      </w:r>
      <w:r w:rsidR="00CD3340">
        <w:rPr>
          <w:rFonts w:ascii="Times New Roman" w:hAnsi="Times New Roman"/>
          <w:color w:val="000000"/>
          <w:sz w:val="24"/>
          <w:szCs w:val="24"/>
        </w:rPr>
        <w:t>s</w:t>
      </w:r>
      <w:r w:rsidR="000567BB">
        <w:rPr>
          <w:rFonts w:ascii="Times New Roman" w:hAnsi="Times New Roman"/>
          <w:color w:val="000000"/>
          <w:sz w:val="24"/>
          <w:szCs w:val="24"/>
        </w:rPr>
        <w:t xml:space="preserve"> </w:t>
      </w:r>
      <w:r w:rsidR="003C18EA">
        <w:rPr>
          <w:rFonts w:ascii="Times New Roman" w:hAnsi="Times New Roman"/>
          <w:color w:val="000000"/>
          <w:sz w:val="24"/>
          <w:szCs w:val="24"/>
        </w:rPr>
        <w:t>“</w:t>
      </w:r>
      <w:r w:rsidR="000567BB">
        <w:rPr>
          <w:rFonts w:ascii="Times New Roman" w:hAnsi="Times New Roman"/>
          <w:color w:val="000000"/>
          <w:sz w:val="24"/>
          <w:szCs w:val="24"/>
        </w:rPr>
        <w:t>sustainable growth</w:t>
      </w:r>
      <w:r w:rsidR="003C18EA">
        <w:rPr>
          <w:rFonts w:ascii="Times New Roman" w:hAnsi="Times New Roman"/>
          <w:color w:val="000000"/>
          <w:sz w:val="24"/>
          <w:szCs w:val="24"/>
        </w:rPr>
        <w:t>”</w:t>
      </w:r>
      <w:r w:rsidR="000567BB">
        <w:rPr>
          <w:rFonts w:ascii="Times New Roman" w:hAnsi="Times New Roman"/>
          <w:color w:val="000000"/>
          <w:sz w:val="24"/>
          <w:szCs w:val="24"/>
        </w:rPr>
        <w:t xml:space="preserve"> DCF</w:t>
      </w:r>
      <w:r w:rsidRPr="00455BEE">
        <w:rPr>
          <w:rFonts w:ascii="Times New Roman" w:hAnsi="Times New Roman"/>
          <w:color w:val="000000"/>
          <w:sz w:val="24"/>
          <w:szCs w:val="24"/>
        </w:rPr>
        <w:t xml:space="preserve"> analysis, the result for</w:t>
      </w:r>
      <w:r w:rsidR="00CD3340">
        <w:rPr>
          <w:rFonts w:ascii="Times New Roman" w:hAnsi="Times New Roman"/>
          <w:color w:val="000000"/>
          <w:sz w:val="24"/>
          <w:szCs w:val="24"/>
        </w:rPr>
        <w:t xml:space="preserve"> </w:t>
      </w:r>
      <w:r w:rsidRPr="00455BEE">
        <w:rPr>
          <w:rFonts w:ascii="Times New Roman" w:hAnsi="Times New Roman"/>
          <w:color w:val="000000"/>
          <w:sz w:val="24"/>
          <w:szCs w:val="24"/>
        </w:rPr>
        <w:t>DPL Inc.</w:t>
      </w:r>
      <w:r w:rsidR="00CD3340">
        <w:rPr>
          <w:rFonts w:ascii="Times New Roman" w:hAnsi="Times New Roman"/>
          <w:color w:val="000000"/>
          <w:sz w:val="24"/>
          <w:szCs w:val="24"/>
        </w:rPr>
        <w:t xml:space="preserve"> </w:t>
      </w:r>
      <w:r w:rsidR="000567BB">
        <w:rPr>
          <w:rFonts w:ascii="Times New Roman" w:hAnsi="Times New Roman"/>
          <w:color w:val="000000"/>
          <w:sz w:val="24"/>
          <w:szCs w:val="24"/>
        </w:rPr>
        <w:t xml:space="preserve">is </w:t>
      </w:r>
      <w:r w:rsidRPr="00455BEE">
        <w:rPr>
          <w:rFonts w:ascii="Times New Roman" w:hAnsi="Times New Roman"/>
          <w:color w:val="000000"/>
          <w:sz w:val="24"/>
          <w:szCs w:val="24"/>
        </w:rPr>
        <w:t xml:space="preserve">19.14 percent, which he </w:t>
      </w:r>
      <w:r w:rsidR="000567BB">
        <w:rPr>
          <w:rFonts w:ascii="Times New Roman" w:hAnsi="Times New Roman"/>
          <w:color w:val="000000"/>
          <w:sz w:val="24"/>
          <w:szCs w:val="24"/>
        </w:rPr>
        <w:t xml:space="preserve">correctly </w:t>
      </w:r>
      <w:r w:rsidRPr="00455BEE">
        <w:rPr>
          <w:rFonts w:ascii="Times New Roman" w:hAnsi="Times New Roman"/>
          <w:color w:val="000000"/>
          <w:sz w:val="24"/>
          <w:szCs w:val="24"/>
        </w:rPr>
        <w:t>consider</w:t>
      </w:r>
      <w:r w:rsidR="000567BB">
        <w:rPr>
          <w:rFonts w:ascii="Times New Roman" w:hAnsi="Times New Roman"/>
          <w:color w:val="000000"/>
          <w:sz w:val="24"/>
          <w:szCs w:val="24"/>
        </w:rPr>
        <w:t>s</w:t>
      </w:r>
      <w:r w:rsidR="00EB760D">
        <w:rPr>
          <w:rFonts w:ascii="Times New Roman" w:hAnsi="Times New Roman"/>
          <w:color w:val="000000"/>
          <w:sz w:val="24"/>
          <w:szCs w:val="24"/>
        </w:rPr>
        <w:t xml:space="preserve"> to be</w:t>
      </w:r>
      <w:r w:rsidRPr="00455BEE">
        <w:rPr>
          <w:rFonts w:ascii="Times New Roman" w:hAnsi="Times New Roman"/>
          <w:color w:val="000000"/>
          <w:sz w:val="24"/>
          <w:szCs w:val="24"/>
        </w:rPr>
        <w:t xml:space="preserve"> an outlier.  Rather than simply eliminat</w:t>
      </w:r>
      <w:r w:rsidR="00CD3340">
        <w:rPr>
          <w:rFonts w:ascii="Times New Roman" w:hAnsi="Times New Roman"/>
          <w:color w:val="000000"/>
          <w:sz w:val="24"/>
          <w:szCs w:val="24"/>
        </w:rPr>
        <w:t>ing DPL</w:t>
      </w:r>
      <w:r w:rsidR="00B37A48">
        <w:rPr>
          <w:rFonts w:ascii="Times New Roman" w:hAnsi="Times New Roman"/>
          <w:color w:val="000000"/>
          <w:sz w:val="24"/>
          <w:szCs w:val="24"/>
        </w:rPr>
        <w:t>, Inc.</w:t>
      </w:r>
      <w:r w:rsidRPr="00455BEE">
        <w:rPr>
          <w:rFonts w:ascii="Times New Roman" w:hAnsi="Times New Roman"/>
          <w:color w:val="000000"/>
          <w:sz w:val="24"/>
          <w:szCs w:val="24"/>
        </w:rPr>
        <w:t xml:space="preserve"> from his group, </w:t>
      </w:r>
      <w:r w:rsidR="000567BB">
        <w:rPr>
          <w:rFonts w:ascii="Times New Roman" w:hAnsi="Times New Roman"/>
          <w:color w:val="000000"/>
          <w:sz w:val="24"/>
          <w:szCs w:val="24"/>
        </w:rPr>
        <w:t xml:space="preserve">however, </w:t>
      </w:r>
      <w:r w:rsidRPr="00455BEE">
        <w:rPr>
          <w:rFonts w:ascii="Times New Roman" w:hAnsi="Times New Roman"/>
          <w:color w:val="000000"/>
          <w:sz w:val="24"/>
          <w:szCs w:val="24"/>
        </w:rPr>
        <w:t>M</w:t>
      </w:r>
      <w:r w:rsidR="000567BB">
        <w:rPr>
          <w:rFonts w:ascii="Times New Roman" w:hAnsi="Times New Roman"/>
          <w:color w:val="000000"/>
          <w:sz w:val="24"/>
          <w:szCs w:val="24"/>
        </w:rPr>
        <w:t>r. Gorman use</w:t>
      </w:r>
      <w:r w:rsidR="00F57955">
        <w:rPr>
          <w:rFonts w:ascii="Times New Roman" w:hAnsi="Times New Roman"/>
          <w:color w:val="000000"/>
          <w:sz w:val="24"/>
          <w:szCs w:val="24"/>
        </w:rPr>
        <w:t>s</w:t>
      </w:r>
      <w:r w:rsidR="000567BB">
        <w:rPr>
          <w:rFonts w:ascii="Times New Roman" w:hAnsi="Times New Roman"/>
          <w:color w:val="000000"/>
          <w:sz w:val="24"/>
          <w:szCs w:val="24"/>
        </w:rPr>
        <w:t xml:space="preserve"> the group median, rather than average and median, to summarize</w:t>
      </w:r>
      <w:r w:rsidRPr="00455BEE">
        <w:rPr>
          <w:rFonts w:ascii="Times New Roman" w:hAnsi="Times New Roman"/>
          <w:color w:val="000000"/>
          <w:sz w:val="24"/>
          <w:szCs w:val="24"/>
        </w:rPr>
        <w:t xml:space="preserve"> </w:t>
      </w:r>
      <w:r w:rsidR="00F57955">
        <w:rPr>
          <w:rFonts w:ascii="Times New Roman" w:hAnsi="Times New Roman"/>
          <w:color w:val="000000"/>
          <w:sz w:val="24"/>
          <w:szCs w:val="24"/>
        </w:rPr>
        <w:t xml:space="preserve">all of </w:t>
      </w:r>
      <w:r w:rsidRPr="00455BEE">
        <w:rPr>
          <w:rFonts w:ascii="Times New Roman" w:hAnsi="Times New Roman"/>
          <w:color w:val="000000"/>
          <w:sz w:val="24"/>
          <w:szCs w:val="24"/>
        </w:rPr>
        <w:t>his result</w:t>
      </w:r>
      <w:r w:rsidR="00F57955">
        <w:rPr>
          <w:rFonts w:ascii="Times New Roman" w:hAnsi="Times New Roman"/>
          <w:color w:val="000000"/>
          <w:sz w:val="24"/>
          <w:szCs w:val="24"/>
        </w:rPr>
        <w:t>s</w:t>
      </w:r>
      <w:r w:rsidRPr="00455BEE">
        <w:rPr>
          <w:rFonts w:ascii="Times New Roman" w:hAnsi="Times New Roman"/>
          <w:color w:val="000000"/>
          <w:sz w:val="24"/>
          <w:szCs w:val="24"/>
        </w:rPr>
        <w:t xml:space="preserve">.  A more logical approach would have been </w:t>
      </w:r>
      <w:r w:rsidR="00EB760D">
        <w:rPr>
          <w:rFonts w:ascii="Times New Roman" w:hAnsi="Times New Roman"/>
          <w:color w:val="000000"/>
          <w:sz w:val="24"/>
          <w:szCs w:val="24"/>
        </w:rPr>
        <w:t xml:space="preserve">simply </w:t>
      </w:r>
      <w:r w:rsidRPr="00455BEE">
        <w:rPr>
          <w:rFonts w:ascii="Times New Roman" w:hAnsi="Times New Roman"/>
          <w:color w:val="000000"/>
          <w:sz w:val="24"/>
          <w:szCs w:val="24"/>
        </w:rPr>
        <w:t>to remove DPL</w:t>
      </w:r>
      <w:r w:rsidR="00B37A48">
        <w:rPr>
          <w:rFonts w:ascii="Times New Roman" w:hAnsi="Times New Roman"/>
          <w:color w:val="000000"/>
          <w:sz w:val="24"/>
          <w:szCs w:val="24"/>
        </w:rPr>
        <w:t>, Inc.</w:t>
      </w:r>
      <w:r w:rsidRPr="00455BEE">
        <w:rPr>
          <w:rFonts w:ascii="Times New Roman" w:hAnsi="Times New Roman"/>
          <w:color w:val="000000"/>
          <w:sz w:val="24"/>
          <w:szCs w:val="24"/>
        </w:rPr>
        <w:t xml:space="preserve"> from the analysis.  When that is done,</w:t>
      </w:r>
      <w:r w:rsidR="00C94F38">
        <w:rPr>
          <w:rFonts w:ascii="Times New Roman" w:hAnsi="Times New Roman"/>
          <w:color w:val="000000"/>
          <w:sz w:val="24"/>
          <w:szCs w:val="24"/>
        </w:rPr>
        <w:t xml:space="preserve"> as I show in Exhibit No.__</w:t>
      </w:r>
      <w:proofErr w:type="gramStart"/>
      <w:r w:rsidR="00AB7BDC">
        <w:rPr>
          <w:rFonts w:ascii="Times New Roman" w:hAnsi="Times New Roman"/>
          <w:color w:val="000000"/>
          <w:sz w:val="24"/>
          <w:szCs w:val="24"/>
        </w:rPr>
        <w:t>_</w:t>
      </w:r>
      <w:r w:rsidR="00C94F38">
        <w:rPr>
          <w:rFonts w:ascii="Times New Roman" w:hAnsi="Times New Roman"/>
          <w:color w:val="000000"/>
          <w:sz w:val="24"/>
          <w:szCs w:val="24"/>
        </w:rPr>
        <w:t>(</w:t>
      </w:r>
      <w:proofErr w:type="gramEnd"/>
      <w:r w:rsidR="00C94F38">
        <w:rPr>
          <w:rFonts w:ascii="Times New Roman" w:hAnsi="Times New Roman"/>
          <w:color w:val="000000"/>
          <w:sz w:val="24"/>
          <w:szCs w:val="24"/>
        </w:rPr>
        <w:t>SCH-</w:t>
      </w:r>
      <w:r w:rsidR="004010D4" w:rsidRPr="0040715E">
        <w:rPr>
          <w:rFonts w:ascii="Times New Roman" w:hAnsi="Times New Roman"/>
          <w:color w:val="000000"/>
          <w:sz w:val="24"/>
          <w:szCs w:val="24"/>
        </w:rPr>
        <w:t>1</w:t>
      </w:r>
      <w:r w:rsidR="00C13097">
        <w:rPr>
          <w:rFonts w:ascii="Times New Roman" w:hAnsi="Times New Roman"/>
          <w:color w:val="000000"/>
          <w:sz w:val="24"/>
          <w:szCs w:val="24"/>
        </w:rPr>
        <w:t>1</w:t>
      </w:r>
      <w:r w:rsidR="00C94F38">
        <w:rPr>
          <w:rFonts w:ascii="Times New Roman" w:hAnsi="Times New Roman"/>
          <w:color w:val="000000"/>
          <w:sz w:val="24"/>
          <w:szCs w:val="24"/>
        </w:rPr>
        <w:t>)</w:t>
      </w:r>
      <w:r w:rsidRPr="00455BEE">
        <w:rPr>
          <w:rFonts w:ascii="Times New Roman" w:hAnsi="Times New Roman"/>
          <w:color w:val="000000"/>
          <w:sz w:val="24"/>
          <w:szCs w:val="24"/>
        </w:rPr>
        <w:t>, page 2, the group average is 9.48 percent, as compared to Mr. Gorman</w:t>
      </w:r>
      <w:r w:rsidR="003C18EA">
        <w:rPr>
          <w:rFonts w:ascii="Times New Roman" w:hAnsi="Times New Roman"/>
          <w:color w:val="000000"/>
          <w:sz w:val="24"/>
          <w:szCs w:val="24"/>
        </w:rPr>
        <w:t>’</w:t>
      </w:r>
      <w:r w:rsidRPr="00455BEE">
        <w:rPr>
          <w:rFonts w:ascii="Times New Roman" w:hAnsi="Times New Roman"/>
          <w:color w:val="000000"/>
          <w:sz w:val="24"/>
          <w:szCs w:val="24"/>
        </w:rPr>
        <w:t>s group median (including DPL</w:t>
      </w:r>
      <w:r w:rsidR="00646C6D">
        <w:rPr>
          <w:rFonts w:ascii="Times New Roman" w:hAnsi="Times New Roman"/>
          <w:color w:val="000000"/>
          <w:sz w:val="24"/>
          <w:szCs w:val="24"/>
        </w:rPr>
        <w:t>, Inc.</w:t>
      </w:r>
      <w:r w:rsidRPr="00455BEE">
        <w:rPr>
          <w:rFonts w:ascii="Times New Roman" w:hAnsi="Times New Roman"/>
          <w:color w:val="000000"/>
          <w:sz w:val="24"/>
          <w:szCs w:val="24"/>
        </w:rPr>
        <w:t>) of 9.14 percent.</w:t>
      </w:r>
      <w:r w:rsidR="000567BB">
        <w:rPr>
          <w:rFonts w:ascii="Times New Roman" w:hAnsi="Times New Roman"/>
          <w:color w:val="000000"/>
          <w:sz w:val="24"/>
          <w:szCs w:val="24"/>
        </w:rPr>
        <w:t xml:space="preserve">  Although not a large effect </w:t>
      </w:r>
      <w:r w:rsidR="00F57955">
        <w:rPr>
          <w:rFonts w:ascii="Times New Roman" w:hAnsi="Times New Roman"/>
          <w:color w:val="000000"/>
          <w:sz w:val="24"/>
          <w:szCs w:val="24"/>
        </w:rPr>
        <w:t>when applied to all three of Mr. Gorman's models, his reporting only the median results in his summary table produces a slightly lower overall DCF estimate</w:t>
      </w:r>
      <w:r w:rsidR="000567BB">
        <w:rPr>
          <w:rFonts w:ascii="Times New Roman" w:hAnsi="Times New Roman"/>
          <w:color w:val="000000"/>
          <w:sz w:val="24"/>
          <w:szCs w:val="24"/>
        </w:rPr>
        <w:t>.</w:t>
      </w:r>
    </w:p>
    <w:p w:rsidR="00455BEE" w:rsidRPr="00EB760D" w:rsidRDefault="00EB760D" w:rsidP="00455BEE">
      <w:pPr>
        <w:pStyle w:val="FootnoteText"/>
        <w:rPr>
          <w:rFonts w:ascii="Times New Roman" w:hAnsi="Times New Roman"/>
          <w:b/>
          <w:color w:val="000000"/>
          <w:sz w:val="24"/>
          <w:szCs w:val="24"/>
        </w:rPr>
      </w:pPr>
      <w:r w:rsidRPr="00EB760D">
        <w:rPr>
          <w:rFonts w:ascii="Times New Roman" w:hAnsi="Times New Roman"/>
          <w:b/>
          <w:color w:val="000000"/>
          <w:sz w:val="24"/>
          <w:szCs w:val="24"/>
        </w:rPr>
        <w:t>Q.</w:t>
      </w:r>
      <w:r w:rsidRPr="00EB760D">
        <w:rPr>
          <w:rFonts w:ascii="Times New Roman" w:hAnsi="Times New Roman"/>
          <w:b/>
          <w:color w:val="000000"/>
          <w:sz w:val="24"/>
          <w:szCs w:val="24"/>
        </w:rPr>
        <w:tab/>
        <w:t>What is your specific disagreement with Mr. Gorman</w:t>
      </w:r>
      <w:r w:rsidR="003C18EA">
        <w:rPr>
          <w:rFonts w:ascii="Times New Roman" w:hAnsi="Times New Roman"/>
          <w:b/>
          <w:color w:val="000000"/>
          <w:sz w:val="24"/>
          <w:szCs w:val="24"/>
        </w:rPr>
        <w:t>’</w:t>
      </w:r>
      <w:r w:rsidRPr="00EB760D">
        <w:rPr>
          <w:rFonts w:ascii="Times New Roman" w:hAnsi="Times New Roman"/>
          <w:b/>
          <w:color w:val="000000"/>
          <w:sz w:val="24"/>
          <w:szCs w:val="24"/>
        </w:rPr>
        <w:t>s multi-stage DCF analysis?</w:t>
      </w:r>
    </w:p>
    <w:p w:rsidR="00455BEE" w:rsidRPr="00455BEE" w:rsidRDefault="00455BEE" w:rsidP="00455BEE">
      <w:pPr>
        <w:pStyle w:val="FootnoteText"/>
        <w:rPr>
          <w:rFonts w:ascii="Times New Roman" w:hAnsi="Times New Roman"/>
          <w:color w:val="000000"/>
          <w:sz w:val="24"/>
          <w:szCs w:val="24"/>
        </w:rPr>
      </w:pPr>
      <w:r w:rsidRPr="00455BEE">
        <w:rPr>
          <w:rFonts w:ascii="Times New Roman" w:hAnsi="Times New Roman"/>
          <w:color w:val="000000"/>
          <w:sz w:val="24"/>
          <w:szCs w:val="24"/>
        </w:rPr>
        <w:t>A.</w:t>
      </w:r>
      <w:r w:rsidRPr="00455BEE">
        <w:rPr>
          <w:rFonts w:ascii="Times New Roman" w:hAnsi="Times New Roman"/>
          <w:color w:val="000000"/>
          <w:sz w:val="24"/>
          <w:szCs w:val="24"/>
        </w:rPr>
        <w:tab/>
      </w:r>
      <w:r w:rsidR="00EB760D">
        <w:rPr>
          <w:rFonts w:ascii="Times New Roman" w:hAnsi="Times New Roman"/>
          <w:color w:val="000000"/>
          <w:sz w:val="24"/>
          <w:szCs w:val="24"/>
        </w:rPr>
        <w:t>In that analysis, Mr. Gorman</w:t>
      </w:r>
      <w:r w:rsidRPr="00455BEE">
        <w:rPr>
          <w:rFonts w:ascii="Times New Roman" w:hAnsi="Times New Roman"/>
          <w:color w:val="000000"/>
          <w:sz w:val="24"/>
          <w:szCs w:val="24"/>
        </w:rPr>
        <w:t xml:space="preserve"> uses analysts</w:t>
      </w:r>
      <w:r w:rsidR="003C18EA">
        <w:rPr>
          <w:rFonts w:ascii="Times New Roman" w:hAnsi="Times New Roman"/>
          <w:color w:val="000000"/>
          <w:sz w:val="24"/>
          <w:szCs w:val="24"/>
        </w:rPr>
        <w:t>’</w:t>
      </w:r>
      <w:r w:rsidRPr="00455BEE">
        <w:rPr>
          <w:rFonts w:ascii="Times New Roman" w:hAnsi="Times New Roman"/>
          <w:color w:val="000000"/>
          <w:sz w:val="24"/>
          <w:szCs w:val="24"/>
        </w:rPr>
        <w:t xml:space="preserve"> growth </w:t>
      </w:r>
      <w:r w:rsidR="00EB760D">
        <w:rPr>
          <w:rFonts w:ascii="Times New Roman" w:hAnsi="Times New Roman"/>
          <w:color w:val="000000"/>
          <w:sz w:val="24"/>
          <w:szCs w:val="24"/>
        </w:rPr>
        <w:t xml:space="preserve">rate </w:t>
      </w:r>
      <w:r w:rsidRPr="00455BEE">
        <w:rPr>
          <w:rFonts w:ascii="Times New Roman" w:hAnsi="Times New Roman"/>
          <w:color w:val="000000"/>
          <w:sz w:val="24"/>
          <w:szCs w:val="24"/>
        </w:rPr>
        <w:t xml:space="preserve">forecasts in the first five years and a GDP growth </w:t>
      </w:r>
      <w:r w:rsidR="00EB760D">
        <w:rPr>
          <w:rFonts w:ascii="Times New Roman" w:hAnsi="Times New Roman"/>
          <w:color w:val="000000"/>
          <w:sz w:val="24"/>
          <w:szCs w:val="24"/>
        </w:rPr>
        <w:t xml:space="preserve">rate </w:t>
      </w:r>
      <w:r w:rsidRPr="00455BEE">
        <w:rPr>
          <w:rFonts w:ascii="Times New Roman" w:hAnsi="Times New Roman"/>
          <w:color w:val="000000"/>
          <w:sz w:val="24"/>
          <w:szCs w:val="24"/>
        </w:rPr>
        <w:t xml:space="preserve">forecast for years eleven and later.  In the intermediate years, </w:t>
      </w:r>
      <w:r w:rsidR="00EB760D">
        <w:rPr>
          <w:rFonts w:ascii="Times New Roman" w:hAnsi="Times New Roman"/>
          <w:color w:val="000000"/>
          <w:sz w:val="24"/>
          <w:szCs w:val="24"/>
        </w:rPr>
        <w:t xml:space="preserve">years </w:t>
      </w:r>
      <w:r w:rsidRPr="00455BEE">
        <w:rPr>
          <w:rFonts w:ascii="Times New Roman" w:hAnsi="Times New Roman"/>
          <w:color w:val="000000"/>
          <w:sz w:val="24"/>
          <w:szCs w:val="24"/>
        </w:rPr>
        <w:t xml:space="preserve">six through ten, he interpolates growth in a linear fashion between the first and third stages.  I disagree with his </w:t>
      </w:r>
      <w:r w:rsidR="00851BB4">
        <w:rPr>
          <w:rFonts w:ascii="Times New Roman" w:hAnsi="Times New Roman"/>
          <w:color w:val="000000"/>
          <w:sz w:val="24"/>
          <w:szCs w:val="24"/>
        </w:rPr>
        <w:t xml:space="preserve">final </w:t>
      </w:r>
      <w:r w:rsidRPr="00455BEE">
        <w:rPr>
          <w:rFonts w:ascii="Times New Roman" w:hAnsi="Times New Roman"/>
          <w:color w:val="000000"/>
          <w:sz w:val="24"/>
          <w:szCs w:val="24"/>
        </w:rPr>
        <w:t xml:space="preserve">result because </w:t>
      </w:r>
      <w:r w:rsidR="00851BB4">
        <w:rPr>
          <w:rFonts w:ascii="Times New Roman" w:hAnsi="Times New Roman"/>
          <w:color w:val="000000"/>
          <w:sz w:val="24"/>
          <w:szCs w:val="24"/>
        </w:rPr>
        <w:t>it is dominated by an</w:t>
      </w:r>
      <w:r w:rsidRPr="00455BEE">
        <w:rPr>
          <w:rFonts w:ascii="Times New Roman" w:hAnsi="Times New Roman"/>
          <w:color w:val="000000"/>
          <w:sz w:val="24"/>
          <w:szCs w:val="24"/>
        </w:rPr>
        <w:t xml:space="preserve"> estimate of future GDP growth </w:t>
      </w:r>
      <w:r w:rsidR="00851BB4">
        <w:rPr>
          <w:rFonts w:ascii="Times New Roman" w:hAnsi="Times New Roman"/>
          <w:color w:val="000000"/>
          <w:sz w:val="24"/>
          <w:szCs w:val="24"/>
        </w:rPr>
        <w:t xml:space="preserve">that </w:t>
      </w:r>
      <w:r w:rsidRPr="00455BEE">
        <w:rPr>
          <w:rFonts w:ascii="Times New Roman" w:hAnsi="Times New Roman"/>
          <w:color w:val="000000"/>
          <w:sz w:val="24"/>
          <w:szCs w:val="24"/>
        </w:rPr>
        <w:t>is far too low.  H</w:t>
      </w:r>
      <w:r w:rsidR="00851BB4">
        <w:rPr>
          <w:rFonts w:ascii="Times New Roman" w:hAnsi="Times New Roman"/>
          <w:color w:val="000000"/>
          <w:sz w:val="24"/>
          <w:szCs w:val="24"/>
        </w:rPr>
        <w:t>e uses</w:t>
      </w:r>
      <w:r w:rsidRPr="00455BEE">
        <w:rPr>
          <w:rFonts w:ascii="Times New Roman" w:hAnsi="Times New Roman"/>
          <w:color w:val="000000"/>
          <w:sz w:val="24"/>
          <w:szCs w:val="24"/>
        </w:rPr>
        <w:t xml:space="preserve"> </w:t>
      </w:r>
      <w:r w:rsidR="00646C6D">
        <w:rPr>
          <w:rFonts w:ascii="Times New Roman" w:hAnsi="Times New Roman"/>
          <w:color w:val="000000"/>
          <w:sz w:val="24"/>
          <w:szCs w:val="24"/>
        </w:rPr>
        <w:t xml:space="preserve">the </w:t>
      </w:r>
      <w:r w:rsidRPr="00455BEE">
        <w:rPr>
          <w:rFonts w:ascii="Times New Roman" w:hAnsi="Times New Roman"/>
          <w:color w:val="000000"/>
          <w:sz w:val="24"/>
          <w:szCs w:val="24"/>
        </w:rPr>
        <w:t xml:space="preserve">GDP growth </w:t>
      </w:r>
      <w:r w:rsidR="00851BB4">
        <w:rPr>
          <w:rFonts w:ascii="Times New Roman" w:hAnsi="Times New Roman"/>
          <w:color w:val="000000"/>
          <w:sz w:val="24"/>
          <w:szCs w:val="24"/>
        </w:rPr>
        <w:t xml:space="preserve">forecast </w:t>
      </w:r>
      <w:r w:rsidR="004010D4" w:rsidRPr="00B37A48">
        <w:rPr>
          <w:rFonts w:ascii="Times New Roman" w:hAnsi="Times New Roman"/>
          <w:color w:val="000000"/>
          <w:sz w:val="24"/>
          <w:szCs w:val="24"/>
        </w:rPr>
        <w:t>from</w:t>
      </w:r>
      <w:r w:rsidR="001A2A75">
        <w:rPr>
          <w:rFonts w:ascii="Times New Roman" w:hAnsi="Times New Roman"/>
          <w:color w:val="000000"/>
          <w:sz w:val="24"/>
          <w:szCs w:val="24"/>
        </w:rPr>
        <w:t xml:space="preserve"> </w:t>
      </w:r>
      <w:r w:rsidR="00851BB4">
        <w:rPr>
          <w:rFonts w:ascii="Times New Roman" w:hAnsi="Times New Roman"/>
          <w:color w:val="000000"/>
          <w:sz w:val="24"/>
          <w:szCs w:val="24"/>
        </w:rPr>
        <w:t xml:space="preserve">the Blue Chip Financial Forecast service, which are </w:t>
      </w:r>
      <w:r w:rsidRPr="00455BEE">
        <w:rPr>
          <w:rFonts w:ascii="Times New Roman" w:hAnsi="Times New Roman"/>
          <w:color w:val="000000"/>
          <w:sz w:val="24"/>
          <w:szCs w:val="24"/>
        </w:rPr>
        <w:t>for</w:t>
      </w:r>
      <w:r w:rsidR="00851BB4">
        <w:rPr>
          <w:rFonts w:ascii="Times New Roman" w:hAnsi="Times New Roman"/>
          <w:color w:val="000000"/>
          <w:sz w:val="24"/>
          <w:szCs w:val="24"/>
        </w:rPr>
        <w:t xml:space="preserve"> </w:t>
      </w:r>
      <w:r w:rsidRPr="00455BEE">
        <w:rPr>
          <w:rFonts w:ascii="Times New Roman" w:hAnsi="Times New Roman"/>
          <w:color w:val="000000"/>
          <w:sz w:val="24"/>
          <w:szCs w:val="24"/>
        </w:rPr>
        <w:t xml:space="preserve">five and ten-year </w:t>
      </w:r>
      <w:r w:rsidR="00B37A48">
        <w:rPr>
          <w:rFonts w:ascii="Times New Roman" w:hAnsi="Times New Roman"/>
          <w:color w:val="000000"/>
          <w:sz w:val="24"/>
          <w:szCs w:val="24"/>
        </w:rPr>
        <w:t>periods</w:t>
      </w:r>
      <w:r w:rsidR="00851BB4">
        <w:rPr>
          <w:rFonts w:ascii="Times New Roman" w:hAnsi="Times New Roman"/>
          <w:color w:val="000000"/>
          <w:sz w:val="24"/>
          <w:szCs w:val="24"/>
        </w:rPr>
        <w:t>.</w:t>
      </w:r>
      <w:r w:rsidRPr="00455BEE">
        <w:rPr>
          <w:rFonts w:ascii="Times New Roman" w:hAnsi="Times New Roman"/>
          <w:color w:val="000000"/>
          <w:sz w:val="24"/>
          <w:szCs w:val="24"/>
        </w:rPr>
        <w:t xml:space="preserve">  The current Blue Chip </w:t>
      </w:r>
      <w:r w:rsidR="00851BB4">
        <w:rPr>
          <w:rFonts w:ascii="Times New Roman" w:hAnsi="Times New Roman"/>
          <w:color w:val="000000"/>
          <w:sz w:val="24"/>
          <w:szCs w:val="24"/>
        </w:rPr>
        <w:t xml:space="preserve">GDP </w:t>
      </w:r>
      <w:r w:rsidRPr="00455BEE">
        <w:rPr>
          <w:rFonts w:ascii="Times New Roman" w:hAnsi="Times New Roman"/>
          <w:color w:val="000000"/>
          <w:sz w:val="24"/>
          <w:szCs w:val="24"/>
        </w:rPr>
        <w:t xml:space="preserve">consensus </w:t>
      </w:r>
      <w:r w:rsidR="00851BB4">
        <w:rPr>
          <w:rFonts w:ascii="Times New Roman" w:hAnsi="Times New Roman"/>
          <w:color w:val="000000"/>
          <w:sz w:val="24"/>
          <w:szCs w:val="24"/>
        </w:rPr>
        <w:t>forecasts are</w:t>
      </w:r>
      <w:r w:rsidRPr="00455BEE">
        <w:rPr>
          <w:rFonts w:ascii="Times New Roman" w:hAnsi="Times New Roman"/>
          <w:color w:val="000000"/>
          <w:sz w:val="24"/>
          <w:szCs w:val="24"/>
        </w:rPr>
        <w:t xml:space="preserve"> low because </w:t>
      </w:r>
      <w:r w:rsidR="00851BB4">
        <w:rPr>
          <w:rFonts w:ascii="Times New Roman" w:hAnsi="Times New Roman"/>
          <w:color w:val="000000"/>
          <w:sz w:val="24"/>
          <w:szCs w:val="24"/>
        </w:rPr>
        <w:t>they are</w:t>
      </w:r>
      <w:r w:rsidRPr="00455BEE">
        <w:rPr>
          <w:rFonts w:ascii="Times New Roman" w:hAnsi="Times New Roman"/>
          <w:color w:val="000000"/>
          <w:sz w:val="24"/>
          <w:szCs w:val="24"/>
        </w:rPr>
        <w:t xml:space="preserve"> dominated by </w:t>
      </w:r>
      <w:r w:rsidR="00851BB4">
        <w:rPr>
          <w:rFonts w:ascii="Times New Roman" w:hAnsi="Times New Roman"/>
          <w:color w:val="000000"/>
          <w:sz w:val="24"/>
          <w:szCs w:val="24"/>
        </w:rPr>
        <w:t xml:space="preserve">low expected real </w:t>
      </w:r>
      <w:r w:rsidRPr="00455BEE">
        <w:rPr>
          <w:rFonts w:ascii="Times New Roman" w:hAnsi="Times New Roman"/>
          <w:color w:val="000000"/>
          <w:sz w:val="24"/>
          <w:szCs w:val="24"/>
        </w:rPr>
        <w:t xml:space="preserve">growth in the economy and </w:t>
      </w:r>
      <w:r w:rsidR="00851BB4">
        <w:rPr>
          <w:rFonts w:ascii="Times New Roman" w:hAnsi="Times New Roman"/>
          <w:color w:val="000000"/>
          <w:sz w:val="24"/>
          <w:szCs w:val="24"/>
        </w:rPr>
        <w:t>the assumed</w:t>
      </w:r>
      <w:r w:rsidRPr="00455BEE">
        <w:rPr>
          <w:rFonts w:ascii="Times New Roman" w:hAnsi="Times New Roman"/>
          <w:color w:val="000000"/>
          <w:sz w:val="24"/>
          <w:szCs w:val="24"/>
        </w:rPr>
        <w:t xml:space="preserve"> long-term inflation rate </w:t>
      </w:r>
      <w:r w:rsidR="00851BB4">
        <w:rPr>
          <w:rFonts w:ascii="Times New Roman" w:hAnsi="Times New Roman"/>
          <w:color w:val="000000"/>
          <w:sz w:val="24"/>
          <w:szCs w:val="24"/>
        </w:rPr>
        <w:t>is</w:t>
      </w:r>
      <w:r w:rsidRPr="00455BEE">
        <w:rPr>
          <w:rFonts w:ascii="Times New Roman" w:hAnsi="Times New Roman"/>
          <w:color w:val="000000"/>
          <w:sz w:val="24"/>
          <w:szCs w:val="24"/>
        </w:rPr>
        <w:t xml:space="preserve"> only about 2.0 percent.  As shown in the GDP f</w:t>
      </w:r>
      <w:r w:rsidR="009E148C">
        <w:rPr>
          <w:rFonts w:ascii="Times New Roman" w:hAnsi="Times New Roman"/>
          <w:color w:val="000000"/>
          <w:sz w:val="24"/>
          <w:szCs w:val="24"/>
        </w:rPr>
        <w:t xml:space="preserve">orecast in my </w:t>
      </w:r>
      <w:r w:rsidR="00646C6D">
        <w:rPr>
          <w:rFonts w:ascii="Times New Roman" w:hAnsi="Times New Roman"/>
          <w:color w:val="000000"/>
          <w:sz w:val="24"/>
          <w:szCs w:val="24"/>
        </w:rPr>
        <w:t>d</w:t>
      </w:r>
      <w:r w:rsidR="009E148C">
        <w:rPr>
          <w:rFonts w:ascii="Times New Roman" w:hAnsi="Times New Roman"/>
          <w:color w:val="000000"/>
          <w:sz w:val="24"/>
          <w:szCs w:val="24"/>
        </w:rPr>
        <w:t xml:space="preserve">irect </w:t>
      </w:r>
      <w:r w:rsidR="00646C6D">
        <w:rPr>
          <w:rFonts w:ascii="Times New Roman" w:hAnsi="Times New Roman"/>
          <w:color w:val="000000"/>
          <w:sz w:val="24"/>
          <w:szCs w:val="24"/>
        </w:rPr>
        <w:t>t</w:t>
      </w:r>
      <w:r w:rsidR="009E148C">
        <w:rPr>
          <w:rFonts w:ascii="Times New Roman" w:hAnsi="Times New Roman"/>
          <w:color w:val="000000"/>
          <w:sz w:val="24"/>
          <w:szCs w:val="24"/>
        </w:rPr>
        <w:t xml:space="preserve">estimony, </w:t>
      </w:r>
      <w:r w:rsidRPr="00455BEE">
        <w:rPr>
          <w:rFonts w:ascii="Times New Roman" w:hAnsi="Times New Roman"/>
          <w:color w:val="000000"/>
          <w:sz w:val="24"/>
          <w:szCs w:val="24"/>
        </w:rPr>
        <w:t>Exhibit No.__</w:t>
      </w:r>
      <w:proofErr w:type="gramStart"/>
      <w:r w:rsidR="00AB7BDC">
        <w:rPr>
          <w:rFonts w:ascii="Times New Roman" w:hAnsi="Times New Roman"/>
          <w:color w:val="000000"/>
          <w:sz w:val="24"/>
          <w:szCs w:val="24"/>
        </w:rPr>
        <w:t>_</w:t>
      </w:r>
      <w:r w:rsidR="009E148C">
        <w:rPr>
          <w:rFonts w:ascii="Times New Roman" w:hAnsi="Times New Roman"/>
          <w:color w:val="000000"/>
          <w:sz w:val="24"/>
          <w:szCs w:val="24"/>
        </w:rPr>
        <w:t>(</w:t>
      </w:r>
      <w:proofErr w:type="gramEnd"/>
      <w:r w:rsidR="009E148C">
        <w:rPr>
          <w:rFonts w:ascii="Times New Roman" w:hAnsi="Times New Roman"/>
          <w:color w:val="000000"/>
          <w:sz w:val="24"/>
          <w:szCs w:val="24"/>
        </w:rPr>
        <w:t>SCH-5)</w:t>
      </w:r>
      <w:r w:rsidRPr="00455BEE">
        <w:rPr>
          <w:rFonts w:ascii="Times New Roman" w:hAnsi="Times New Roman"/>
          <w:color w:val="000000"/>
          <w:sz w:val="24"/>
          <w:szCs w:val="24"/>
        </w:rPr>
        <w:t xml:space="preserve">, these inflation rates are lower than </w:t>
      </w:r>
      <w:r w:rsidR="00851BB4">
        <w:rPr>
          <w:rFonts w:ascii="Times New Roman" w:hAnsi="Times New Roman"/>
          <w:color w:val="000000"/>
          <w:sz w:val="24"/>
          <w:szCs w:val="24"/>
        </w:rPr>
        <w:t>for</w:t>
      </w:r>
      <w:r w:rsidRPr="00455BEE">
        <w:rPr>
          <w:rFonts w:ascii="Times New Roman" w:hAnsi="Times New Roman"/>
          <w:color w:val="000000"/>
          <w:sz w:val="24"/>
          <w:szCs w:val="24"/>
        </w:rPr>
        <w:t xml:space="preserve"> any </w:t>
      </w:r>
      <w:r w:rsidR="00B37A48">
        <w:rPr>
          <w:rFonts w:ascii="Times New Roman" w:hAnsi="Times New Roman"/>
          <w:color w:val="000000"/>
          <w:sz w:val="24"/>
          <w:szCs w:val="24"/>
        </w:rPr>
        <w:t>ten</w:t>
      </w:r>
      <w:r w:rsidRPr="00455BEE">
        <w:rPr>
          <w:rFonts w:ascii="Times New Roman" w:hAnsi="Times New Roman"/>
          <w:color w:val="000000"/>
          <w:sz w:val="24"/>
          <w:szCs w:val="24"/>
        </w:rPr>
        <w:t xml:space="preserve">-year period in the last 60 years.  The nominal 4.9 percent growth rate that </w:t>
      </w:r>
      <w:r w:rsidR="00851BB4">
        <w:rPr>
          <w:rFonts w:ascii="Times New Roman" w:hAnsi="Times New Roman"/>
          <w:color w:val="000000"/>
          <w:sz w:val="24"/>
          <w:szCs w:val="24"/>
        </w:rPr>
        <w:t>Mr. Gorman</w:t>
      </w:r>
      <w:r w:rsidRPr="00455BEE">
        <w:rPr>
          <w:rFonts w:ascii="Times New Roman" w:hAnsi="Times New Roman"/>
          <w:color w:val="000000"/>
          <w:sz w:val="24"/>
          <w:szCs w:val="24"/>
        </w:rPr>
        <w:t xml:space="preserve"> uses is itself lower than nominal GDP growth in any 10-year period, other than the most recent 10-years</w:t>
      </w:r>
      <w:r w:rsidR="00851BB4">
        <w:rPr>
          <w:rFonts w:ascii="Times New Roman" w:hAnsi="Times New Roman"/>
          <w:color w:val="000000"/>
          <w:sz w:val="24"/>
          <w:szCs w:val="24"/>
        </w:rPr>
        <w:t>, which is obviously</w:t>
      </w:r>
      <w:r w:rsidRPr="00455BEE">
        <w:rPr>
          <w:rFonts w:ascii="Times New Roman" w:hAnsi="Times New Roman"/>
          <w:color w:val="000000"/>
          <w:sz w:val="24"/>
          <w:szCs w:val="24"/>
        </w:rPr>
        <w:t xml:space="preserve"> dominated by </w:t>
      </w:r>
      <w:r w:rsidR="00851BB4">
        <w:rPr>
          <w:rFonts w:ascii="Times New Roman" w:hAnsi="Times New Roman"/>
          <w:color w:val="000000"/>
          <w:sz w:val="24"/>
          <w:szCs w:val="24"/>
        </w:rPr>
        <w:t>the low growth rates experienced in</w:t>
      </w:r>
      <w:r w:rsidRPr="00455BEE">
        <w:rPr>
          <w:rFonts w:ascii="Times New Roman" w:hAnsi="Times New Roman"/>
          <w:color w:val="000000"/>
          <w:sz w:val="24"/>
          <w:szCs w:val="24"/>
        </w:rPr>
        <w:t xml:space="preserve"> 2008 and 2009</w:t>
      </w:r>
      <w:r w:rsidR="00851BB4">
        <w:rPr>
          <w:rFonts w:ascii="Times New Roman" w:hAnsi="Times New Roman"/>
          <w:color w:val="000000"/>
          <w:sz w:val="24"/>
          <w:szCs w:val="24"/>
        </w:rPr>
        <w:t xml:space="preserve"> and that are currently expected through 2011.</w:t>
      </w:r>
      <w:r w:rsidRPr="00455BEE">
        <w:rPr>
          <w:rFonts w:ascii="Times New Roman" w:hAnsi="Times New Roman"/>
          <w:color w:val="000000"/>
          <w:sz w:val="24"/>
          <w:szCs w:val="24"/>
        </w:rPr>
        <w:t xml:space="preserve">  For Mr. Gorman to base his long-term DCF growth </w:t>
      </w:r>
      <w:r w:rsidR="00851BB4">
        <w:rPr>
          <w:rFonts w:ascii="Times New Roman" w:hAnsi="Times New Roman"/>
          <w:color w:val="000000"/>
          <w:sz w:val="24"/>
          <w:szCs w:val="24"/>
        </w:rPr>
        <w:t xml:space="preserve">estimate </w:t>
      </w:r>
      <w:r w:rsidRPr="00455BEE">
        <w:rPr>
          <w:rFonts w:ascii="Times New Roman" w:hAnsi="Times New Roman"/>
          <w:color w:val="000000"/>
          <w:sz w:val="24"/>
          <w:szCs w:val="24"/>
        </w:rPr>
        <w:t xml:space="preserve">on </w:t>
      </w:r>
      <w:r w:rsidR="00851BB4">
        <w:rPr>
          <w:rFonts w:ascii="Times New Roman" w:hAnsi="Times New Roman"/>
          <w:color w:val="000000"/>
          <w:sz w:val="24"/>
          <w:szCs w:val="24"/>
        </w:rPr>
        <w:t xml:space="preserve">currently </w:t>
      </w:r>
      <w:r w:rsidRPr="00455BEE">
        <w:rPr>
          <w:rFonts w:ascii="Times New Roman" w:hAnsi="Times New Roman"/>
          <w:color w:val="000000"/>
          <w:sz w:val="24"/>
          <w:szCs w:val="24"/>
        </w:rPr>
        <w:t xml:space="preserve">depressed </w:t>
      </w:r>
      <w:r w:rsidR="00851BB4">
        <w:rPr>
          <w:rFonts w:ascii="Times New Roman" w:hAnsi="Times New Roman"/>
          <w:color w:val="000000"/>
          <w:sz w:val="24"/>
          <w:szCs w:val="24"/>
        </w:rPr>
        <w:t>near-term GDP expectations</w:t>
      </w:r>
      <w:r w:rsidRPr="00455BEE">
        <w:rPr>
          <w:rFonts w:ascii="Times New Roman" w:hAnsi="Times New Roman"/>
          <w:color w:val="000000"/>
          <w:sz w:val="24"/>
          <w:szCs w:val="24"/>
        </w:rPr>
        <w:t xml:space="preserve"> </w:t>
      </w:r>
      <w:r w:rsidR="00851BB4">
        <w:rPr>
          <w:rFonts w:ascii="Times New Roman" w:hAnsi="Times New Roman"/>
          <w:color w:val="000000"/>
          <w:sz w:val="24"/>
          <w:szCs w:val="24"/>
        </w:rPr>
        <w:t xml:space="preserve">is unrealistic and it </w:t>
      </w:r>
      <w:r w:rsidRPr="00455BEE">
        <w:rPr>
          <w:rFonts w:ascii="Times New Roman" w:hAnsi="Times New Roman"/>
          <w:color w:val="000000"/>
          <w:sz w:val="24"/>
          <w:szCs w:val="24"/>
        </w:rPr>
        <w:t xml:space="preserve">creates an unrealistically low estimate of ROE.  </w:t>
      </w:r>
    </w:p>
    <w:p w:rsidR="00455BEE" w:rsidRPr="00455BEE" w:rsidRDefault="00851BB4" w:rsidP="00455BEE">
      <w:pPr>
        <w:pStyle w:val="FootnoteText"/>
        <w:rPr>
          <w:rFonts w:ascii="Times New Roman" w:hAnsi="Times New Roman"/>
          <w:color w:val="000000"/>
          <w:sz w:val="24"/>
          <w:szCs w:val="24"/>
        </w:rPr>
      </w:pPr>
      <w:r w:rsidRPr="00B37A48">
        <w:rPr>
          <w:rFonts w:ascii="Times New Roman" w:hAnsi="Times New Roman"/>
          <w:b/>
          <w:color w:val="000000"/>
          <w:sz w:val="24"/>
          <w:szCs w:val="24"/>
        </w:rPr>
        <w:t>Q.</w:t>
      </w:r>
      <w:r w:rsidRPr="00455BEE">
        <w:rPr>
          <w:rFonts w:ascii="Times New Roman" w:hAnsi="Times New Roman"/>
          <w:color w:val="000000"/>
          <w:sz w:val="24"/>
          <w:szCs w:val="24"/>
        </w:rPr>
        <w:tab/>
      </w:r>
      <w:r w:rsidRPr="00851BB4">
        <w:rPr>
          <w:rFonts w:ascii="Times New Roman" w:hAnsi="Times New Roman"/>
          <w:b/>
          <w:color w:val="000000"/>
          <w:sz w:val="24"/>
          <w:szCs w:val="24"/>
        </w:rPr>
        <w:t>If Mr. Gorman had used your updated GDP growth rate, what would the results of his multi-stage DCF analysis have been?</w:t>
      </w:r>
    </w:p>
    <w:p w:rsidR="00455BEE" w:rsidRPr="00455BEE" w:rsidRDefault="00C94F38" w:rsidP="00455BEE">
      <w:pPr>
        <w:pStyle w:val="FootnoteText"/>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t>In Exhibit No.__</w:t>
      </w:r>
      <w:r w:rsidR="001718FE">
        <w:rPr>
          <w:rFonts w:ascii="Times New Roman" w:hAnsi="Times New Roman"/>
          <w:color w:val="000000"/>
          <w:sz w:val="24"/>
          <w:szCs w:val="24"/>
        </w:rPr>
        <w:t>_</w:t>
      </w:r>
      <w:r>
        <w:rPr>
          <w:rFonts w:ascii="Times New Roman" w:hAnsi="Times New Roman"/>
          <w:color w:val="000000"/>
          <w:sz w:val="24"/>
          <w:szCs w:val="24"/>
        </w:rPr>
        <w:t>(SCH-</w:t>
      </w:r>
      <w:r w:rsidR="004010D4" w:rsidRPr="0040715E">
        <w:rPr>
          <w:rFonts w:ascii="Times New Roman" w:hAnsi="Times New Roman"/>
          <w:color w:val="000000"/>
          <w:sz w:val="24"/>
          <w:szCs w:val="24"/>
        </w:rPr>
        <w:t>1</w:t>
      </w:r>
      <w:r w:rsidR="00C13097">
        <w:rPr>
          <w:rFonts w:ascii="Times New Roman" w:hAnsi="Times New Roman"/>
          <w:color w:val="000000"/>
          <w:sz w:val="24"/>
          <w:szCs w:val="24"/>
        </w:rPr>
        <w:t>1</w:t>
      </w:r>
      <w:r w:rsidR="00455BEE" w:rsidRPr="00455BEE">
        <w:rPr>
          <w:rFonts w:ascii="Times New Roman" w:hAnsi="Times New Roman"/>
          <w:color w:val="000000"/>
          <w:sz w:val="24"/>
          <w:szCs w:val="24"/>
        </w:rPr>
        <w:t>), page 3, I have reproduced Mr. Gorman</w:t>
      </w:r>
      <w:r w:rsidR="003C18EA">
        <w:rPr>
          <w:rFonts w:ascii="Times New Roman" w:hAnsi="Times New Roman"/>
          <w:color w:val="000000"/>
          <w:sz w:val="24"/>
          <w:szCs w:val="24"/>
        </w:rPr>
        <w:t>’</w:t>
      </w:r>
      <w:r w:rsidR="00455BEE" w:rsidRPr="00455BEE">
        <w:rPr>
          <w:rFonts w:ascii="Times New Roman" w:hAnsi="Times New Roman"/>
          <w:color w:val="000000"/>
          <w:sz w:val="24"/>
          <w:szCs w:val="24"/>
        </w:rPr>
        <w:t xml:space="preserve">s multi-stage </w:t>
      </w:r>
      <w:r w:rsidR="00851BB4">
        <w:rPr>
          <w:rFonts w:ascii="Times New Roman" w:hAnsi="Times New Roman"/>
          <w:color w:val="000000"/>
          <w:sz w:val="24"/>
          <w:szCs w:val="24"/>
        </w:rPr>
        <w:t>analysis</w:t>
      </w:r>
      <w:r w:rsidR="00455BEE" w:rsidRPr="00455BEE">
        <w:rPr>
          <w:rFonts w:ascii="Times New Roman" w:hAnsi="Times New Roman"/>
          <w:color w:val="000000"/>
          <w:sz w:val="24"/>
          <w:szCs w:val="24"/>
        </w:rPr>
        <w:t xml:space="preserve"> (</w:t>
      </w:r>
      <w:r w:rsidR="00851BB4">
        <w:rPr>
          <w:rFonts w:ascii="Times New Roman" w:hAnsi="Times New Roman"/>
          <w:color w:val="000000"/>
          <w:sz w:val="24"/>
          <w:szCs w:val="24"/>
        </w:rPr>
        <w:t xml:space="preserve">from his </w:t>
      </w:r>
      <w:r w:rsidR="001718FE">
        <w:rPr>
          <w:rFonts w:ascii="Times New Roman" w:hAnsi="Times New Roman"/>
          <w:color w:val="000000"/>
          <w:sz w:val="24"/>
          <w:szCs w:val="24"/>
        </w:rPr>
        <w:t>Exhibit No.___(</w:t>
      </w:r>
      <w:r w:rsidR="004010D4" w:rsidRPr="0040715E">
        <w:rPr>
          <w:rFonts w:ascii="Times New Roman" w:hAnsi="Times New Roman"/>
          <w:color w:val="000000"/>
          <w:sz w:val="24"/>
          <w:szCs w:val="24"/>
        </w:rPr>
        <w:t>MPG-11)</w:t>
      </w:r>
      <w:r w:rsidR="00455BEE" w:rsidRPr="0040715E">
        <w:rPr>
          <w:rFonts w:ascii="Times New Roman" w:hAnsi="Times New Roman"/>
          <w:color w:val="000000"/>
          <w:sz w:val="24"/>
          <w:szCs w:val="24"/>
        </w:rPr>
        <w:t>)</w:t>
      </w:r>
      <w:r w:rsidR="00455BEE" w:rsidRPr="00455BEE">
        <w:rPr>
          <w:rFonts w:ascii="Times New Roman" w:hAnsi="Times New Roman"/>
          <w:color w:val="000000"/>
          <w:sz w:val="24"/>
          <w:szCs w:val="24"/>
        </w:rPr>
        <w:t xml:space="preserve"> with </w:t>
      </w:r>
      <w:r w:rsidR="00851BB4">
        <w:rPr>
          <w:rFonts w:ascii="Times New Roman" w:hAnsi="Times New Roman"/>
          <w:color w:val="000000"/>
          <w:sz w:val="24"/>
          <w:szCs w:val="24"/>
        </w:rPr>
        <w:t>my</w:t>
      </w:r>
      <w:r w:rsidR="00455BEE" w:rsidRPr="00455BEE">
        <w:rPr>
          <w:rFonts w:ascii="Times New Roman" w:hAnsi="Times New Roman"/>
          <w:color w:val="000000"/>
          <w:sz w:val="24"/>
          <w:szCs w:val="24"/>
        </w:rPr>
        <w:t xml:space="preserve"> 6.0 percent </w:t>
      </w:r>
      <w:r w:rsidR="00851BB4">
        <w:rPr>
          <w:rFonts w:ascii="Times New Roman" w:hAnsi="Times New Roman"/>
          <w:color w:val="000000"/>
          <w:sz w:val="24"/>
          <w:szCs w:val="24"/>
        </w:rPr>
        <w:t xml:space="preserve">GDP </w:t>
      </w:r>
      <w:r w:rsidR="00455BEE" w:rsidRPr="00455BEE">
        <w:rPr>
          <w:rFonts w:ascii="Times New Roman" w:hAnsi="Times New Roman"/>
          <w:color w:val="000000"/>
          <w:sz w:val="24"/>
          <w:szCs w:val="24"/>
        </w:rPr>
        <w:t xml:space="preserve">growth </w:t>
      </w:r>
      <w:r w:rsidR="00851BB4">
        <w:rPr>
          <w:rFonts w:ascii="Times New Roman" w:hAnsi="Times New Roman"/>
          <w:color w:val="000000"/>
          <w:sz w:val="24"/>
          <w:szCs w:val="24"/>
        </w:rPr>
        <w:t>forecast</w:t>
      </w:r>
      <w:r w:rsidR="009E1A93">
        <w:rPr>
          <w:rFonts w:ascii="Times New Roman" w:hAnsi="Times New Roman"/>
          <w:color w:val="000000"/>
          <w:sz w:val="24"/>
          <w:szCs w:val="24"/>
        </w:rPr>
        <w:t xml:space="preserve"> </w:t>
      </w:r>
      <w:r w:rsidR="00455BEE" w:rsidRPr="00455BEE">
        <w:rPr>
          <w:rFonts w:ascii="Times New Roman" w:hAnsi="Times New Roman"/>
          <w:color w:val="000000"/>
          <w:sz w:val="24"/>
          <w:szCs w:val="24"/>
        </w:rPr>
        <w:t xml:space="preserve"> substituted for his growth </w:t>
      </w:r>
      <w:r w:rsidR="009E1A93">
        <w:rPr>
          <w:rFonts w:ascii="Times New Roman" w:hAnsi="Times New Roman"/>
          <w:color w:val="000000"/>
          <w:sz w:val="24"/>
          <w:szCs w:val="24"/>
        </w:rPr>
        <w:t xml:space="preserve">rates in years </w:t>
      </w:r>
      <w:r w:rsidR="00B37A48">
        <w:rPr>
          <w:rFonts w:ascii="Times New Roman" w:hAnsi="Times New Roman"/>
          <w:color w:val="000000"/>
          <w:sz w:val="24"/>
          <w:szCs w:val="24"/>
        </w:rPr>
        <w:t xml:space="preserve">eleven </w:t>
      </w:r>
      <w:r w:rsidR="009E1A93">
        <w:rPr>
          <w:rFonts w:ascii="Times New Roman" w:hAnsi="Times New Roman"/>
          <w:color w:val="000000"/>
          <w:sz w:val="24"/>
          <w:szCs w:val="24"/>
        </w:rPr>
        <w:t>and later.</w:t>
      </w:r>
      <w:r w:rsidR="00455BEE" w:rsidRPr="00455BEE">
        <w:rPr>
          <w:rFonts w:ascii="Times New Roman" w:hAnsi="Times New Roman"/>
          <w:color w:val="000000"/>
          <w:sz w:val="24"/>
          <w:szCs w:val="24"/>
        </w:rPr>
        <w:t xml:space="preserve">  </w:t>
      </w:r>
      <w:r w:rsidR="009E1A93">
        <w:rPr>
          <w:rFonts w:ascii="Times New Roman" w:hAnsi="Times New Roman"/>
          <w:color w:val="000000"/>
          <w:sz w:val="24"/>
          <w:szCs w:val="24"/>
        </w:rPr>
        <w:t>From t</w:t>
      </w:r>
      <w:r w:rsidR="00455BEE" w:rsidRPr="00455BEE">
        <w:rPr>
          <w:rFonts w:ascii="Times New Roman" w:hAnsi="Times New Roman"/>
          <w:color w:val="000000"/>
          <w:sz w:val="24"/>
          <w:szCs w:val="24"/>
        </w:rPr>
        <w:t>hat analysis</w:t>
      </w:r>
      <w:r w:rsidR="009E1A93">
        <w:rPr>
          <w:rFonts w:ascii="Times New Roman" w:hAnsi="Times New Roman"/>
          <w:color w:val="000000"/>
          <w:sz w:val="24"/>
          <w:szCs w:val="24"/>
        </w:rPr>
        <w:t>, the</w:t>
      </w:r>
      <w:r w:rsidR="00455BEE" w:rsidRPr="00455BEE">
        <w:rPr>
          <w:rFonts w:ascii="Times New Roman" w:hAnsi="Times New Roman"/>
          <w:color w:val="000000"/>
          <w:sz w:val="24"/>
          <w:szCs w:val="24"/>
        </w:rPr>
        <w:t xml:space="preserve"> average ROE </w:t>
      </w:r>
      <w:r w:rsidR="009E1A93">
        <w:rPr>
          <w:rFonts w:ascii="Times New Roman" w:hAnsi="Times New Roman"/>
          <w:color w:val="000000"/>
          <w:sz w:val="24"/>
          <w:szCs w:val="24"/>
        </w:rPr>
        <w:t>is</w:t>
      </w:r>
      <w:r w:rsidR="00455BEE" w:rsidRPr="00455BEE">
        <w:rPr>
          <w:rFonts w:ascii="Times New Roman" w:hAnsi="Times New Roman"/>
          <w:color w:val="000000"/>
          <w:sz w:val="24"/>
          <w:szCs w:val="24"/>
        </w:rPr>
        <w:t xml:space="preserve"> 10.70 percent.</w:t>
      </w:r>
    </w:p>
    <w:p w:rsidR="00455BEE" w:rsidRPr="009E1A93" w:rsidRDefault="009E1A93" w:rsidP="00455BEE">
      <w:pPr>
        <w:pStyle w:val="FootnoteText"/>
        <w:rPr>
          <w:rFonts w:ascii="Times New Roman" w:hAnsi="Times New Roman"/>
          <w:b/>
          <w:color w:val="000000"/>
          <w:sz w:val="24"/>
          <w:szCs w:val="24"/>
        </w:rPr>
      </w:pPr>
      <w:r w:rsidRPr="009E1A93">
        <w:rPr>
          <w:rFonts w:ascii="Times New Roman" w:hAnsi="Times New Roman"/>
          <w:b/>
          <w:color w:val="000000"/>
          <w:sz w:val="24"/>
          <w:szCs w:val="24"/>
        </w:rPr>
        <w:t>Q.</w:t>
      </w:r>
      <w:r w:rsidRPr="009E1A93">
        <w:rPr>
          <w:rFonts w:ascii="Times New Roman" w:hAnsi="Times New Roman"/>
          <w:b/>
          <w:color w:val="000000"/>
          <w:sz w:val="24"/>
          <w:szCs w:val="24"/>
        </w:rPr>
        <w:tab/>
        <w:t xml:space="preserve">Please comment on </w:t>
      </w:r>
      <w:r>
        <w:rPr>
          <w:rFonts w:ascii="Times New Roman" w:hAnsi="Times New Roman"/>
          <w:b/>
          <w:color w:val="000000"/>
          <w:sz w:val="24"/>
          <w:szCs w:val="24"/>
        </w:rPr>
        <w:t>M</w:t>
      </w:r>
      <w:r w:rsidRPr="009E1A93">
        <w:rPr>
          <w:rFonts w:ascii="Times New Roman" w:hAnsi="Times New Roman"/>
          <w:b/>
          <w:color w:val="000000"/>
          <w:sz w:val="24"/>
          <w:szCs w:val="24"/>
        </w:rPr>
        <w:t>r. Gorman</w:t>
      </w:r>
      <w:r w:rsidR="003C18EA">
        <w:rPr>
          <w:rFonts w:ascii="Times New Roman" w:hAnsi="Times New Roman"/>
          <w:b/>
          <w:color w:val="000000"/>
          <w:sz w:val="24"/>
          <w:szCs w:val="24"/>
        </w:rPr>
        <w:t>’</w:t>
      </w:r>
      <w:r w:rsidRPr="009E1A93">
        <w:rPr>
          <w:rFonts w:ascii="Times New Roman" w:hAnsi="Times New Roman"/>
          <w:b/>
          <w:color w:val="000000"/>
          <w:sz w:val="24"/>
          <w:szCs w:val="24"/>
        </w:rPr>
        <w:t xml:space="preserve">s </w:t>
      </w:r>
      <w:r w:rsidR="004846F5">
        <w:rPr>
          <w:rFonts w:ascii="Times New Roman" w:hAnsi="Times New Roman"/>
          <w:b/>
          <w:color w:val="000000"/>
          <w:sz w:val="24"/>
          <w:szCs w:val="24"/>
        </w:rPr>
        <w:t xml:space="preserve">equity </w:t>
      </w:r>
      <w:r w:rsidRPr="009E1A93">
        <w:rPr>
          <w:rFonts w:ascii="Times New Roman" w:hAnsi="Times New Roman"/>
          <w:b/>
          <w:color w:val="000000"/>
          <w:sz w:val="24"/>
          <w:szCs w:val="24"/>
        </w:rPr>
        <w:t>risk premium analysis.</w:t>
      </w:r>
    </w:p>
    <w:p w:rsidR="00455BEE" w:rsidRPr="00455BEE" w:rsidRDefault="00455BEE" w:rsidP="00455BEE">
      <w:pPr>
        <w:pStyle w:val="FootnoteText"/>
        <w:rPr>
          <w:rFonts w:ascii="Times New Roman" w:hAnsi="Times New Roman"/>
          <w:color w:val="000000"/>
          <w:sz w:val="24"/>
          <w:szCs w:val="24"/>
        </w:rPr>
      </w:pPr>
      <w:r w:rsidRPr="00455BEE">
        <w:rPr>
          <w:rFonts w:ascii="Times New Roman" w:hAnsi="Times New Roman"/>
          <w:color w:val="000000"/>
          <w:sz w:val="24"/>
          <w:szCs w:val="24"/>
        </w:rPr>
        <w:t>A.</w:t>
      </w:r>
      <w:r w:rsidRPr="00455BEE">
        <w:rPr>
          <w:rFonts w:ascii="Times New Roman" w:hAnsi="Times New Roman"/>
          <w:color w:val="000000"/>
          <w:sz w:val="24"/>
          <w:szCs w:val="24"/>
        </w:rPr>
        <w:tab/>
      </w:r>
      <w:r w:rsidR="009E1A93">
        <w:rPr>
          <w:rFonts w:ascii="Times New Roman" w:hAnsi="Times New Roman"/>
          <w:color w:val="000000"/>
          <w:sz w:val="24"/>
          <w:szCs w:val="24"/>
        </w:rPr>
        <w:t>In h</w:t>
      </w:r>
      <w:r w:rsidRPr="00455BEE">
        <w:rPr>
          <w:rFonts w:ascii="Times New Roman" w:hAnsi="Times New Roman"/>
          <w:color w:val="000000"/>
          <w:sz w:val="24"/>
          <w:szCs w:val="24"/>
        </w:rPr>
        <w:t xml:space="preserve">is </w:t>
      </w:r>
      <w:r w:rsidR="004846F5">
        <w:rPr>
          <w:rFonts w:ascii="Times New Roman" w:hAnsi="Times New Roman"/>
          <w:color w:val="000000"/>
          <w:sz w:val="24"/>
          <w:szCs w:val="24"/>
        </w:rPr>
        <w:t xml:space="preserve">equity </w:t>
      </w:r>
      <w:r w:rsidRPr="00455BEE">
        <w:rPr>
          <w:rFonts w:ascii="Times New Roman" w:hAnsi="Times New Roman"/>
          <w:color w:val="000000"/>
          <w:sz w:val="24"/>
          <w:szCs w:val="24"/>
        </w:rPr>
        <w:t>risk premium analysis</w:t>
      </w:r>
      <w:r w:rsidR="009E1A93">
        <w:rPr>
          <w:rFonts w:ascii="Times New Roman" w:hAnsi="Times New Roman"/>
          <w:color w:val="000000"/>
          <w:sz w:val="24"/>
          <w:szCs w:val="24"/>
        </w:rPr>
        <w:t>, Mr. Gorman</w:t>
      </w:r>
      <w:r w:rsidRPr="00455BEE">
        <w:rPr>
          <w:rFonts w:ascii="Times New Roman" w:hAnsi="Times New Roman"/>
          <w:color w:val="000000"/>
          <w:sz w:val="24"/>
          <w:szCs w:val="24"/>
        </w:rPr>
        <w:t xml:space="preserve"> fails to include the well-documented tendency for </w:t>
      </w:r>
      <w:r w:rsidR="004846F5">
        <w:rPr>
          <w:rFonts w:ascii="Times New Roman" w:hAnsi="Times New Roman"/>
          <w:color w:val="000000"/>
          <w:sz w:val="24"/>
          <w:szCs w:val="24"/>
        </w:rPr>
        <w:t xml:space="preserve">equity </w:t>
      </w:r>
      <w:r w:rsidRPr="00455BEE">
        <w:rPr>
          <w:rFonts w:ascii="Times New Roman" w:hAnsi="Times New Roman"/>
          <w:color w:val="000000"/>
          <w:sz w:val="24"/>
          <w:szCs w:val="24"/>
        </w:rPr>
        <w:t xml:space="preserve">risk premiums to </w:t>
      </w:r>
      <w:r w:rsidR="009E1A93">
        <w:rPr>
          <w:rFonts w:ascii="Times New Roman" w:hAnsi="Times New Roman"/>
          <w:color w:val="000000"/>
          <w:sz w:val="24"/>
          <w:szCs w:val="24"/>
        </w:rPr>
        <w:t>increase</w:t>
      </w:r>
      <w:r w:rsidRPr="00455BEE">
        <w:rPr>
          <w:rFonts w:ascii="Times New Roman" w:hAnsi="Times New Roman"/>
          <w:color w:val="000000"/>
          <w:sz w:val="24"/>
          <w:szCs w:val="24"/>
        </w:rPr>
        <w:t xml:space="preserve"> when interest rates are low</w:t>
      </w:r>
      <w:r w:rsidR="009E1A93">
        <w:rPr>
          <w:rFonts w:ascii="Times New Roman" w:hAnsi="Times New Roman"/>
          <w:color w:val="000000"/>
          <w:sz w:val="24"/>
          <w:szCs w:val="24"/>
        </w:rPr>
        <w:t xml:space="preserve"> and decrease when interest rates are higher</w:t>
      </w:r>
      <w:r w:rsidRPr="00455BEE">
        <w:rPr>
          <w:rFonts w:ascii="Times New Roman" w:hAnsi="Times New Roman"/>
          <w:color w:val="000000"/>
          <w:sz w:val="24"/>
          <w:szCs w:val="24"/>
        </w:rPr>
        <w:t xml:space="preserve">.  </w:t>
      </w:r>
      <w:r w:rsidR="009E1A93">
        <w:rPr>
          <w:rFonts w:ascii="Times New Roman" w:hAnsi="Times New Roman"/>
          <w:color w:val="000000"/>
          <w:sz w:val="24"/>
          <w:szCs w:val="24"/>
        </w:rPr>
        <w:t xml:space="preserve">In my risk premium analysis, I provide a detailed regression of the past 30 years of data to document this fact.  Mr. Gorman ignores that relationship altogether.  </w:t>
      </w:r>
      <w:r w:rsidRPr="00455BEE">
        <w:rPr>
          <w:rFonts w:ascii="Times New Roman" w:hAnsi="Times New Roman"/>
          <w:color w:val="000000"/>
          <w:sz w:val="24"/>
          <w:szCs w:val="24"/>
        </w:rPr>
        <w:t xml:space="preserve">When his analysis is modified to properly reflect wider </w:t>
      </w:r>
      <w:r w:rsidR="004846F5">
        <w:rPr>
          <w:rFonts w:ascii="Times New Roman" w:hAnsi="Times New Roman"/>
          <w:color w:val="000000"/>
          <w:sz w:val="24"/>
          <w:szCs w:val="24"/>
        </w:rPr>
        <w:t xml:space="preserve">equity </w:t>
      </w:r>
      <w:r w:rsidRPr="00455BEE">
        <w:rPr>
          <w:rFonts w:ascii="Times New Roman" w:hAnsi="Times New Roman"/>
          <w:color w:val="000000"/>
          <w:sz w:val="24"/>
          <w:szCs w:val="24"/>
        </w:rPr>
        <w:t xml:space="preserve">risk premiums </w:t>
      </w:r>
      <w:r w:rsidR="009E1A93">
        <w:rPr>
          <w:rFonts w:ascii="Times New Roman" w:hAnsi="Times New Roman"/>
          <w:color w:val="000000"/>
          <w:sz w:val="24"/>
          <w:szCs w:val="24"/>
        </w:rPr>
        <w:t>that are appropriate in the current low interest rate environment, his</w:t>
      </w:r>
      <w:r w:rsidRPr="00455BEE">
        <w:rPr>
          <w:rFonts w:ascii="Times New Roman" w:hAnsi="Times New Roman"/>
          <w:color w:val="000000"/>
          <w:sz w:val="24"/>
          <w:szCs w:val="24"/>
        </w:rPr>
        <w:t xml:space="preserve"> </w:t>
      </w:r>
      <w:r w:rsidR="004846F5">
        <w:rPr>
          <w:rFonts w:ascii="Times New Roman" w:hAnsi="Times New Roman"/>
          <w:color w:val="000000"/>
          <w:sz w:val="24"/>
          <w:szCs w:val="24"/>
        </w:rPr>
        <w:t xml:space="preserve">equity </w:t>
      </w:r>
      <w:r w:rsidRPr="00455BEE">
        <w:rPr>
          <w:rFonts w:ascii="Times New Roman" w:hAnsi="Times New Roman"/>
          <w:color w:val="000000"/>
          <w:sz w:val="24"/>
          <w:szCs w:val="24"/>
        </w:rPr>
        <w:t xml:space="preserve">risk premium </w:t>
      </w:r>
      <w:r w:rsidR="009E1A93">
        <w:rPr>
          <w:rFonts w:ascii="Times New Roman" w:hAnsi="Times New Roman"/>
          <w:color w:val="000000"/>
          <w:sz w:val="24"/>
          <w:szCs w:val="24"/>
        </w:rPr>
        <w:t xml:space="preserve">is </w:t>
      </w:r>
      <w:r w:rsidRPr="00455BEE">
        <w:rPr>
          <w:rFonts w:ascii="Times New Roman" w:hAnsi="Times New Roman"/>
          <w:color w:val="000000"/>
          <w:sz w:val="24"/>
          <w:szCs w:val="24"/>
        </w:rPr>
        <w:t>much higher</w:t>
      </w:r>
      <w:r w:rsidR="009E1A93">
        <w:rPr>
          <w:rFonts w:ascii="Times New Roman" w:hAnsi="Times New Roman"/>
          <w:color w:val="000000"/>
          <w:sz w:val="24"/>
          <w:szCs w:val="24"/>
        </w:rPr>
        <w:t>.</w:t>
      </w:r>
    </w:p>
    <w:p w:rsidR="00455BEE" w:rsidRPr="009E1A93" w:rsidRDefault="009E1A93" w:rsidP="00455BEE">
      <w:pPr>
        <w:pStyle w:val="FootnoteText"/>
        <w:rPr>
          <w:rFonts w:ascii="Times New Roman" w:hAnsi="Times New Roman"/>
          <w:b/>
          <w:color w:val="000000"/>
          <w:sz w:val="24"/>
          <w:szCs w:val="24"/>
        </w:rPr>
      </w:pPr>
      <w:r w:rsidRPr="009E1A93">
        <w:rPr>
          <w:rFonts w:ascii="Times New Roman" w:hAnsi="Times New Roman"/>
          <w:b/>
          <w:color w:val="000000"/>
          <w:sz w:val="24"/>
          <w:szCs w:val="24"/>
        </w:rPr>
        <w:t>Q.</w:t>
      </w:r>
      <w:r w:rsidRPr="009E1A93">
        <w:rPr>
          <w:rFonts w:ascii="Times New Roman" w:hAnsi="Times New Roman"/>
          <w:b/>
          <w:color w:val="000000"/>
          <w:sz w:val="24"/>
          <w:szCs w:val="24"/>
        </w:rPr>
        <w:tab/>
        <w:t>Please elaborate.</w:t>
      </w:r>
    </w:p>
    <w:p w:rsidR="00455BEE" w:rsidRPr="00455BEE" w:rsidRDefault="00455BEE" w:rsidP="00455BEE">
      <w:pPr>
        <w:pStyle w:val="FootnoteText"/>
        <w:rPr>
          <w:rFonts w:ascii="Times New Roman" w:hAnsi="Times New Roman"/>
          <w:color w:val="000000"/>
          <w:sz w:val="24"/>
          <w:szCs w:val="24"/>
        </w:rPr>
      </w:pPr>
      <w:r w:rsidRPr="00455BEE">
        <w:rPr>
          <w:rFonts w:ascii="Times New Roman" w:hAnsi="Times New Roman"/>
          <w:color w:val="000000"/>
          <w:sz w:val="24"/>
          <w:szCs w:val="24"/>
        </w:rPr>
        <w:t>A.</w:t>
      </w:r>
      <w:r w:rsidRPr="00455BEE">
        <w:rPr>
          <w:rFonts w:ascii="Times New Roman" w:hAnsi="Times New Roman"/>
          <w:color w:val="000000"/>
          <w:sz w:val="24"/>
          <w:szCs w:val="24"/>
        </w:rPr>
        <w:tab/>
      </w:r>
      <w:r w:rsidR="009E1A93">
        <w:rPr>
          <w:rFonts w:ascii="Times New Roman" w:hAnsi="Times New Roman"/>
          <w:color w:val="000000"/>
          <w:sz w:val="24"/>
          <w:szCs w:val="24"/>
        </w:rPr>
        <w:t>Mr. Gorman presents h</w:t>
      </w:r>
      <w:r w:rsidRPr="00455BEE">
        <w:rPr>
          <w:rFonts w:ascii="Times New Roman" w:hAnsi="Times New Roman"/>
          <w:color w:val="000000"/>
          <w:sz w:val="24"/>
          <w:szCs w:val="24"/>
        </w:rPr>
        <w:t xml:space="preserve">is </w:t>
      </w:r>
      <w:r w:rsidR="004846F5">
        <w:rPr>
          <w:rFonts w:ascii="Times New Roman" w:hAnsi="Times New Roman"/>
          <w:color w:val="000000"/>
          <w:sz w:val="24"/>
          <w:szCs w:val="24"/>
        </w:rPr>
        <w:t xml:space="preserve">equity </w:t>
      </w:r>
      <w:r w:rsidRPr="00455BEE">
        <w:rPr>
          <w:rFonts w:ascii="Times New Roman" w:hAnsi="Times New Roman"/>
          <w:color w:val="000000"/>
          <w:sz w:val="24"/>
          <w:szCs w:val="24"/>
        </w:rPr>
        <w:t xml:space="preserve">risk premium data </w:t>
      </w:r>
      <w:r w:rsidR="004010D4" w:rsidRPr="0040715E">
        <w:rPr>
          <w:rFonts w:ascii="Times New Roman" w:hAnsi="Times New Roman"/>
          <w:color w:val="000000"/>
          <w:sz w:val="24"/>
          <w:szCs w:val="24"/>
        </w:rPr>
        <w:t>in</w:t>
      </w:r>
      <w:r w:rsidR="00C41CBA">
        <w:rPr>
          <w:rFonts w:ascii="Times New Roman" w:hAnsi="Times New Roman"/>
          <w:color w:val="000000"/>
          <w:sz w:val="24"/>
          <w:szCs w:val="24"/>
        </w:rPr>
        <w:t xml:space="preserve"> </w:t>
      </w:r>
      <w:r w:rsidRPr="00455BEE">
        <w:rPr>
          <w:rFonts w:ascii="Times New Roman" w:hAnsi="Times New Roman"/>
          <w:color w:val="000000"/>
          <w:sz w:val="24"/>
          <w:szCs w:val="24"/>
        </w:rPr>
        <w:t>Exhibit</w:t>
      </w:r>
      <w:r w:rsidR="0040715E">
        <w:rPr>
          <w:rFonts w:ascii="Times New Roman" w:hAnsi="Times New Roman"/>
          <w:color w:val="000000"/>
          <w:sz w:val="24"/>
          <w:szCs w:val="24"/>
        </w:rPr>
        <w:t xml:space="preserve"> No</w:t>
      </w:r>
      <w:r w:rsidRPr="00455BEE">
        <w:rPr>
          <w:rFonts w:ascii="Times New Roman" w:hAnsi="Times New Roman"/>
          <w:color w:val="000000"/>
          <w:sz w:val="24"/>
          <w:szCs w:val="24"/>
        </w:rPr>
        <w:t>s</w:t>
      </w:r>
      <w:r w:rsidR="0040715E">
        <w:rPr>
          <w:rFonts w:ascii="Times New Roman" w:hAnsi="Times New Roman"/>
          <w:color w:val="000000"/>
          <w:sz w:val="24"/>
          <w:szCs w:val="24"/>
        </w:rPr>
        <w:t>.___</w:t>
      </w:r>
      <w:r w:rsidR="001718FE">
        <w:rPr>
          <w:rFonts w:ascii="Times New Roman" w:hAnsi="Times New Roman"/>
          <w:color w:val="000000"/>
          <w:sz w:val="24"/>
          <w:szCs w:val="24"/>
        </w:rPr>
        <w:t>(</w:t>
      </w:r>
      <w:r w:rsidRPr="00455BEE">
        <w:rPr>
          <w:rFonts w:ascii="Times New Roman" w:hAnsi="Times New Roman"/>
          <w:color w:val="000000"/>
          <w:sz w:val="24"/>
          <w:szCs w:val="24"/>
        </w:rPr>
        <w:t>MPG-13 through MPG-14</w:t>
      </w:r>
      <w:r w:rsidR="001718FE">
        <w:rPr>
          <w:rFonts w:ascii="Times New Roman" w:hAnsi="Times New Roman"/>
          <w:color w:val="000000"/>
          <w:sz w:val="24"/>
          <w:szCs w:val="24"/>
        </w:rPr>
        <w:t>)</w:t>
      </w:r>
      <w:r w:rsidRPr="00455BEE">
        <w:rPr>
          <w:rFonts w:ascii="Times New Roman" w:hAnsi="Times New Roman"/>
          <w:color w:val="000000"/>
          <w:sz w:val="24"/>
          <w:szCs w:val="24"/>
        </w:rPr>
        <w:t>.  He discusses th</w:t>
      </w:r>
      <w:r w:rsidR="009E1A93">
        <w:rPr>
          <w:rFonts w:ascii="Times New Roman" w:hAnsi="Times New Roman"/>
          <w:color w:val="000000"/>
          <w:sz w:val="24"/>
          <w:szCs w:val="24"/>
        </w:rPr>
        <w:t>at</w:t>
      </w:r>
      <w:r w:rsidRPr="00455BEE">
        <w:rPr>
          <w:rFonts w:ascii="Times New Roman" w:hAnsi="Times New Roman"/>
          <w:color w:val="000000"/>
          <w:sz w:val="24"/>
          <w:szCs w:val="24"/>
        </w:rPr>
        <w:t xml:space="preserve"> analysis on pages 28-32 of his testimony.  The analysis consists of two parts.  In one approach</w:t>
      </w:r>
      <w:r w:rsidR="009E1A93">
        <w:rPr>
          <w:rFonts w:ascii="Times New Roman" w:hAnsi="Times New Roman"/>
          <w:color w:val="000000"/>
          <w:sz w:val="24"/>
          <w:szCs w:val="24"/>
        </w:rPr>
        <w:t>,</w:t>
      </w:r>
      <w:r w:rsidRPr="00455BEE">
        <w:rPr>
          <w:rFonts w:ascii="Times New Roman" w:hAnsi="Times New Roman"/>
          <w:color w:val="000000"/>
          <w:sz w:val="24"/>
          <w:szCs w:val="24"/>
        </w:rPr>
        <w:t xml:space="preserve"> he adds </w:t>
      </w:r>
      <w:r w:rsidR="004846F5">
        <w:rPr>
          <w:rFonts w:ascii="Times New Roman" w:hAnsi="Times New Roman"/>
          <w:color w:val="000000"/>
          <w:sz w:val="24"/>
          <w:szCs w:val="24"/>
        </w:rPr>
        <w:t xml:space="preserve">equity </w:t>
      </w:r>
      <w:r w:rsidRPr="00455BEE">
        <w:rPr>
          <w:rFonts w:ascii="Times New Roman" w:hAnsi="Times New Roman"/>
          <w:color w:val="000000"/>
          <w:sz w:val="24"/>
          <w:szCs w:val="24"/>
        </w:rPr>
        <w:t xml:space="preserve">risk premiums </w:t>
      </w:r>
      <w:r w:rsidR="009E1A93">
        <w:rPr>
          <w:rFonts w:ascii="Times New Roman" w:hAnsi="Times New Roman"/>
          <w:color w:val="000000"/>
          <w:sz w:val="24"/>
          <w:szCs w:val="24"/>
        </w:rPr>
        <w:t xml:space="preserve">based on government bond interest rates </w:t>
      </w:r>
      <w:r w:rsidRPr="00455BEE">
        <w:rPr>
          <w:rFonts w:ascii="Times New Roman" w:hAnsi="Times New Roman"/>
          <w:color w:val="000000"/>
          <w:sz w:val="24"/>
          <w:szCs w:val="24"/>
        </w:rPr>
        <w:t xml:space="preserve">of 4.40 percent to 6.08 percent to a projected Treasury bond yield of 4.70 percent.  This </w:t>
      </w:r>
      <w:r w:rsidR="009E1A93">
        <w:rPr>
          <w:rFonts w:ascii="Times New Roman" w:hAnsi="Times New Roman"/>
          <w:color w:val="000000"/>
          <w:sz w:val="24"/>
          <w:szCs w:val="24"/>
        </w:rPr>
        <w:t xml:space="preserve">analysis </w:t>
      </w:r>
      <w:r w:rsidRPr="00455BEE">
        <w:rPr>
          <w:rFonts w:ascii="Times New Roman" w:hAnsi="Times New Roman"/>
          <w:color w:val="000000"/>
          <w:sz w:val="24"/>
          <w:szCs w:val="24"/>
        </w:rPr>
        <w:t>produces an ROE range of 9.10 percent to 10.78</w:t>
      </w:r>
      <w:r w:rsidR="009E1A93">
        <w:rPr>
          <w:rFonts w:ascii="Times New Roman" w:hAnsi="Times New Roman"/>
          <w:color w:val="000000"/>
          <w:sz w:val="24"/>
          <w:szCs w:val="24"/>
        </w:rPr>
        <w:t>.</w:t>
      </w:r>
      <w:r w:rsidRPr="00455BEE">
        <w:rPr>
          <w:rFonts w:ascii="Times New Roman" w:hAnsi="Times New Roman"/>
          <w:color w:val="000000"/>
          <w:sz w:val="24"/>
          <w:szCs w:val="24"/>
        </w:rPr>
        <w:t xml:space="preserve">  In his second approach he adds </w:t>
      </w:r>
      <w:r w:rsidR="004846F5">
        <w:rPr>
          <w:rFonts w:ascii="Times New Roman" w:hAnsi="Times New Roman"/>
          <w:color w:val="000000"/>
          <w:sz w:val="24"/>
          <w:szCs w:val="24"/>
        </w:rPr>
        <w:t xml:space="preserve">equity </w:t>
      </w:r>
      <w:r w:rsidRPr="00455BEE">
        <w:rPr>
          <w:rFonts w:ascii="Times New Roman" w:hAnsi="Times New Roman"/>
          <w:color w:val="000000"/>
          <w:sz w:val="24"/>
          <w:szCs w:val="24"/>
        </w:rPr>
        <w:t>risk premium</w:t>
      </w:r>
      <w:r w:rsidR="009E1A93">
        <w:rPr>
          <w:rFonts w:ascii="Times New Roman" w:hAnsi="Times New Roman"/>
          <w:color w:val="000000"/>
          <w:sz w:val="24"/>
          <w:szCs w:val="24"/>
        </w:rPr>
        <w:t>s</w:t>
      </w:r>
      <w:r w:rsidRPr="00455BEE">
        <w:rPr>
          <w:rFonts w:ascii="Times New Roman" w:hAnsi="Times New Roman"/>
          <w:color w:val="000000"/>
          <w:sz w:val="24"/>
          <w:szCs w:val="24"/>
        </w:rPr>
        <w:t xml:space="preserve"> of 3.03 percent to 4.59 percent </w:t>
      </w:r>
      <w:r w:rsidR="004846F5">
        <w:rPr>
          <w:rFonts w:ascii="Times New Roman" w:hAnsi="Times New Roman"/>
          <w:color w:val="000000"/>
          <w:sz w:val="24"/>
          <w:szCs w:val="24"/>
        </w:rPr>
        <w:t xml:space="preserve">over utility bond yields </w:t>
      </w:r>
      <w:r w:rsidRPr="00455BEE">
        <w:rPr>
          <w:rFonts w:ascii="Times New Roman" w:hAnsi="Times New Roman"/>
          <w:color w:val="000000"/>
          <w:sz w:val="24"/>
          <w:szCs w:val="24"/>
        </w:rPr>
        <w:t xml:space="preserve">to the recent </w:t>
      </w:r>
      <w:r w:rsidR="003C18EA">
        <w:rPr>
          <w:rFonts w:ascii="Times New Roman" w:hAnsi="Times New Roman"/>
          <w:color w:val="000000"/>
          <w:sz w:val="24"/>
          <w:szCs w:val="24"/>
        </w:rPr>
        <w:t>“</w:t>
      </w:r>
      <w:r w:rsidRPr="00455BEE">
        <w:rPr>
          <w:rFonts w:ascii="Times New Roman" w:hAnsi="Times New Roman"/>
          <w:color w:val="000000"/>
          <w:sz w:val="24"/>
          <w:szCs w:val="24"/>
        </w:rPr>
        <w:t>A</w:t>
      </w:r>
      <w:r w:rsidR="003C18EA">
        <w:rPr>
          <w:rFonts w:ascii="Times New Roman" w:hAnsi="Times New Roman"/>
          <w:color w:val="000000"/>
          <w:sz w:val="24"/>
          <w:szCs w:val="24"/>
        </w:rPr>
        <w:t>”</w:t>
      </w:r>
      <w:r w:rsidRPr="00455BEE">
        <w:rPr>
          <w:rFonts w:ascii="Times New Roman" w:hAnsi="Times New Roman"/>
          <w:color w:val="000000"/>
          <w:sz w:val="24"/>
          <w:szCs w:val="24"/>
        </w:rPr>
        <w:t xml:space="preserve"> utility bond yield of 5.17 percent.  This </w:t>
      </w:r>
      <w:r w:rsidR="009E1A93">
        <w:rPr>
          <w:rFonts w:ascii="Times New Roman" w:hAnsi="Times New Roman"/>
          <w:color w:val="000000"/>
          <w:sz w:val="24"/>
          <w:szCs w:val="24"/>
        </w:rPr>
        <w:t xml:space="preserve">analysis </w:t>
      </w:r>
      <w:r w:rsidRPr="00455BEE">
        <w:rPr>
          <w:rFonts w:ascii="Times New Roman" w:hAnsi="Times New Roman"/>
          <w:color w:val="000000"/>
          <w:sz w:val="24"/>
          <w:szCs w:val="24"/>
        </w:rPr>
        <w:t>produces an ROE range of 8.20 percent to 9.76 percent</w:t>
      </w:r>
      <w:r w:rsidR="00B37A48">
        <w:rPr>
          <w:rFonts w:ascii="Times New Roman" w:hAnsi="Times New Roman"/>
          <w:color w:val="000000"/>
          <w:sz w:val="24"/>
          <w:szCs w:val="24"/>
        </w:rPr>
        <w:t>,</w:t>
      </w:r>
      <w:r w:rsidRPr="00455BEE">
        <w:rPr>
          <w:rFonts w:ascii="Times New Roman" w:hAnsi="Times New Roman"/>
          <w:color w:val="000000"/>
          <w:sz w:val="24"/>
          <w:szCs w:val="24"/>
        </w:rPr>
        <w:t xml:space="preserve"> with a midpoint estimate of 8.98 percent.  From these two results, he concludes that an ROE of 9.46 percent is appropriate</w:t>
      </w:r>
      <w:r w:rsidR="009E1A93">
        <w:rPr>
          <w:rFonts w:ascii="Times New Roman" w:hAnsi="Times New Roman"/>
          <w:color w:val="000000"/>
          <w:sz w:val="24"/>
          <w:szCs w:val="24"/>
        </w:rPr>
        <w:t>.</w:t>
      </w:r>
    </w:p>
    <w:p w:rsidR="00455BEE" w:rsidRPr="009E1A93" w:rsidRDefault="009E1A93" w:rsidP="00455BEE">
      <w:pPr>
        <w:pStyle w:val="FootnoteText"/>
        <w:rPr>
          <w:rFonts w:ascii="Times New Roman" w:hAnsi="Times New Roman"/>
          <w:b/>
          <w:color w:val="000000"/>
          <w:sz w:val="24"/>
          <w:szCs w:val="24"/>
        </w:rPr>
      </w:pPr>
      <w:r w:rsidRPr="009E1A93">
        <w:rPr>
          <w:rFonts w:ascii="Times New Roman" w:hAnsi="Times New Roman"/>
          <w:b/>
          <w:color w:val="000000"/>
          <w:sz w:val="24"/>
          <w:szCs w:val="24"/>
        </w:rPr>
        <w:t>Q.</w:t>
      </w:r>
      <w:r w:rsidRPr="009E1A93">
        <w:rPr>
          <w:rFonts w:ascii="Times New Roman" w:hAnsi="Times New Roman"/>
          <w:b/>
          <w:color w:val="000000"/>
          <w:sz w:val="24"/>
          <w:szCs w:val="24"/>
        </w:rPr>
        <w:tab/>
      </w:r>
      <w:r>
        <w:rPr>
          <w:rFonts w:ascii="Times New Roman" w:hAnsi="Times New Roman"/>
          <w:b/>
          <w:color w:val="000000"/>
          <w:sz w:val="24"/>
          <w:szCs w:val="24"/>
        </w:rPr>
        <w:t>What do</w:t>
      </w:r>
      <w:r w:rsidR="004010D4" w:rsidRPr="001718FE">
        <w:rPr>
          <w:rFonts w:ascii="Times New Roman" w:hAnsi="Times New Roman"/>
          <w:b/>
          <w:color w:val="000000"/>
          <w:sz w:val="24"/>
          <w:szCs w:val="24"/>
        </w:rPr>
        <w:t>es</w:t>
      </w:r>
      <w:r>
        <w:rPr>
          <w:rFonts w:ascii="Times New Roman" w:hAnsi="Times New Roman"/>
          <w:b/>
          <w:color w:val="000000"/>
          <w:sz w:val="24"/>
          <w:szCs w:val="24"/>
        </w:rPr>
        <w:t xml:space="preserve"> M</w:t>
      </w:r>
      <w:r w:rsidRPr="009E1A93">
        <w:rPr>
          <w:rFonts w:ascii="Times New Roman" w:hAnsi="Times New Roman"/>
          <w:b/>
          <w:color w:val="000000"/>
          <w:sz w:val="24"/>
          <w:szCs w:val="24"/>
        </w:rPr>
        <w:t>r. Gorman</w:t>
      </w:r>
      <w:r w:rsidR="003C18EA">
        <w:rPr>
          <w:rFonts w:ascii="Times New Roman" w:hAnsi="Times New Roman"/>
          <w:b/>
          <w:color w:val="000000"/>
          <w:sz w:val="24"/>
          <w:szCs w:val="24"/>
        </w:rPr>
        <w:t>’</w:t>
      </w:r>
      <w:r w:rsidRPr="009E1A93">
        <w:rPr>
          <w:rFonts w:ascii="Times New Roman" w:hAnsi="Times New Roman"/>
          <w:b/>
          <w:color w:val="000000"/>
          <w:sz w:val="24"/>
          <w:szCs w:val="24"/>
        </w:rPr>
        <w:t xml:space="preserve">s </w:t>
      </w:r>
      <w:r w:rsidR="004846F5">
        <w:rPr>
          <w:rFonts w:ascii="Times New Roman" w:hAnsi="Times New Roman"/>
          <w:b/>
          <w:color w:val="000000"/>
          <w:sz w:val="24"/>
          <w:szCs w:val="24"/>
        </w:rPr>
        <w:t xml:space="preserve">equity </w:t>
      </w:r>
      <w:r w:rsidRPr="009E1A93">
        <w:rPr>
          <w:rFonts w:ascii="Times New Roman" w:hAnsi="Times New Roman"/>
          <w:b/>
          <w:color w:val="000000"/>
          <w:sz w:val="24"/>
          <w:szCs w:val="24"/>
        </w:rPr>
        <w:t xml:space="preserve">risk premium data indicate when </w:t>
      </w:r>
      <w:r>
        <w:rPr>
          <w:rFonts w:ascii="Times New Roman" w:hAnsi="Times New Roman"/>
          <w:b/>
          <w:color w:val="000000"/>
          <w:sz w:val="24"/>
          <w:szCs w:val="24"/>
        </w:rPr>
        <w:t xml:space="preserve">your regression </w:t>
      </w:r>
      <w:r w:rsidR="004C478E">
        <w:rPr>
          <w:rFonts w:ascii="Times New Roman" w:hAnsi="Times New Roman"/>
          <w:b/>
          <w:color w:val="000000"/>
          <w:sz w:val="24"/>
          <w:szCs w:val="24"/>
        </w:rPr>
        <w:t>analysis approach is included?</w:t>
      </w:r>
    </w:p>
    <w:p w:rsidR="00455BEE" w:rsidRDefault="00C94F38" w:rsidP="00455BEE">
      <w:pPr>
        <w:pStyle w:val="FootnoteText"/>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t>In Exhibit No.__</w:t>
      </w:r>
      <w:r w:rsidR="001718FE">
        <w:rPr>
          <w:rFonts w:ascii="Times New Roman" w:hAnsi="Times New Roman"/>
          <w:color w:val="000000"/>
          <w:sz w:val="24"/>
          <w:szCs w:val="24"/>
        </w:rPr>
        <w:t>_</w:t>
      </w:r>
      <w:r>
        <w:rPr>
          <w:rFonts w:ascii="Times New Roman" w:hAnsi="Times New Roman"/>
          <w:color w:val="000000"/>
          <w:sz w:val="24"/>
          <w:szCs w:val="24"/>
        </w:rPr>
        <w:t>(SCH-</w:t>
      </w:r>
      <w:r w:rsidR="004010D4" w:rsidRPr="001718FE">
        <w:rPr>
          <w:rFonts w:ascii="Times New Roman" w:hAnsi="Times New Roman"/>
          <w:color w:val="000000"/>
          <w:sz w:val="24"/>
          <w:szCs w:val="24"/>
        </w:rPr>
        <w:t>1</w:t>
      </w:r>
      <w:r w:rsidR="00C13097">
        <w:rPr>
          <w:rFonts w:ascii="Times New Roman" w:hAnsi="Times New Roman"/>
          <w:color w:val="000000"/>
          <w:sz w:val="24"/>
          <w:szCs w:val="24"/>
        </w:rPr>
        <w:t>1</w:t>
      </w:r>
      <w:r w:rsidR="00455BEE" w:rsidRPr="00455BEE">
        <w:rPr>
          <w:rFonts w:ascii="Times New Roman" w:hAnsi="Times New Roman"/>
          <w:color w:val="000000"/>
          <w:sz w:val="24"/>
          <w:szCs w:val="24"/>
        </w:rPr>
        <w:t xml:space="preserve">), pages 4-7, I have applied the standard regression analysis to calculate </w:t>
      </w:r>
      <w:r w:rsidR="003C18EA">
        <w:rPr>
          <w:rFonts w:ascii="Times New Roman" w:hAnsi="Times New Roman"/>
          <w:color w:val="000000"/>
          <w:sz w:val="24"/>
          <w:szCs w:val="24"/>
        </w:rPr>
        <w:t>“</w:t>
      </w:r>
      <w:r w:rsidR="00455BEE" w:rsidRPr="00455BEE">
        <w:rPr>
          <w:rFonts w:ascii="Times New Roman" w:hAnsi="Times New Roman"/>
          <w:color w:val="000000"/>
          <w:sz w:val="24"/>
          <w:szCs w:val="24"/>
        </w:rPr>
        <w:t>interest rate adjustment</w:t>
      </w:r>
      <w:r w:rsidR="003C18EA">
        <w:rPr>
          <w:rFonts w:ascii="Times New Roman" w:hAnsi="Times New Roman"/>
          <w:color w:val="000000"/>
          <w:sz w:val="24"/>
          <w:szCs w:val="24"/>
        </w:rPr>
        <w:t>”</w:t>
      </w:r>
      <w:r w:rsidR="00455BEE" w:rsidRPr="00455BEE">
        <w:rPr>
          <w:rFonts w:ascii="Times New Roman" w:hAnsi="Times New Roman"/>
          <w:color w:val="000000"/>
          <w:sz w:val="24"/>
          <w:szCs w:val="24"/>
        </w:rPr>
        <w:t xml:space="preserve"> factors for his two </w:t>
      </w:r>
      <w:r w:rsidR="004846F5">
        <w:rPr>
          <w:rFonts w:ascii="Times New Roman" w:hAnsi="Times New Roman"/>
          <w:color w:val="000000"/>
          <w:sz w:val="24"/>
          <w:szCs w:val="24"/>
        </w:rPr>
        <w:t xml:space="preserve">equity </w:t>
      </w:r>
      <w:r w:rsidR="00455BEE" w:rsidRPr="00455BEE">
        <w:rPr>
          <w:rFonts w:ascii="Times New Roman" w:hAnsi="Times New Roman"/>
          <w:color w:val="000000"/>
          <w:sz w:val="24"/>
          <w:szCs w:val="24"/>
        </w:rPr>
        <w:t>risk premium studies.  This approach properly takes into account the inverse relationship between equity risk premiums and interest rates.  With this adjustment, Mr. Gorman</w:t>
      </w:r>
      <w:r w:rsidR="003C18EA">
        <w:rPr>
          <w:rFonts w:ascii="Times New Roman" w:hAnsi="Times New Roman"/>
          <w:color w:val="000000"/>
          <w:sz w:val="24"/>
          <w:szCs w:val="24"/>
        </w:rPr>
        <w:t>’</w:t>
      </w:r>
      <w:r w:rsidR="00455BEE" w:rsidRPr="00455BEE">
        <w:rPr>
          <w:rFonts w:ascii="Times New Roman" w:hAnsi="Times New Roman"/>
          <w:color w:val="000000"/>
          <w:sz w:val="24"/>
          <w:szCs w:val="24"/>
        </w:rPr>
        <w:t xml:space="preserve">s Treasury bond </w:t>
      </w:r>
      <w:r w:rsidR="004846F5">
        <w:rPr>
          <w:rFonts w:ascii="Times New Roman" w:hAnsi="Times New Roman"/>
          <w:color w:val="000000"/>
          <w:sz w:val="24"/>
          <w:szCs w:val="24"/>
        </w:rPr>
        <w:t xml:space="preserve">equity </w:t>
      </w:r>
      <w:r w:rsidR="00455BEE" w:rsidRPr="00455BEE">
        <w:rPr>
          <w:rFonts w:ascii="Times New Roman" w:hAnsi="Times New Roman"/>
          <w:color w:val="000000"/>
          <w:sz w:val="24"/>
          <w:szCs w:val="24"/>
        </w:rPr>
        <w:t>risk premium analysis indicates an ROE of 10.57 percent, as shown in pages 4-5 of Ex</w:t>
      </w:r>
      <w:r>
        <w:rPr>
          <w:rFonts w:ascii="Times New Roman" w:hAnsi="Times New Roman"/>
          <w:color w:val="000000"/>
          <w:sz w:val="24"/>
          <w:szCs w:val="24"/>
        </w:rPr>
        <w:t>hibit No.__</w:t>
      </w:r>
      <w:r w:rsidR="001718FE">
        <w:rPr>
          <w:rFonts w:ascii="Times New Roman" w:hAnsi="Times New Roman"/>
          <w:color w:val="000000"/>
          <w:sz w:val="24"/>
          <w:szCs w:val="24"/>
        </w:rPr>
        <w:t>_</w:t>
      </w:r>
      <w:r>
        <w:rPr>
          <w:rFonts w:ascii="Times New Roman" w:hAnsi="Times New Roman"/>
          <w:color w:val="000000"/>
          <w:sz w:val="24"/>
          <w:szCs w:val="24"/>
        </w:rPr>
        <w:t>(SCH-</w:t>
      </w:r>
      <w:r w:rsidR="004010D4" w:rsidRPr="001718FE">
        <w:rPr>
          <w:rFonts w:ascii="Times New Roman" w:hAnsi="Times New Roman"/>
          <w:color w:val="000000"/>
          <w:sz w:val="24"/>
          <w:szCs w:val="24"/>
        </w:rPr>
        <w:t>1</w:t>
      </w:r>
      <w:r w:rsidR="00C13097">
        <w:rPr>
          <w:rFonts w:ascii="Times New Roman" w:hAnsi="Times New Roman"/>
          <w:color w:val="000000"/>
          <w:sz w:val="24"/>
          <w:szCs w:val="24"/>
        </w:rPr>
        <w:t>1</w:t>
      </w:r>
      <w:r w:rsidR="00455BEE" w:rsidRPr="00455BEE">
        <w:rPr>
          <w:rFonts w:ascii="Times New Roman" w:hAnsi="Times New Roman"/>
          <w:color w:val="000000"/>
          <w:sz w:val="24"/>
          <w:szCs w:val="24"/>
        </w:rPr>
        <w:t xml:space="preserve">).  </w:t>
      </w:r>
      <w:r w:rsidR="004C478E">
        <w:rPr>
          <w:rFonts w:ascii="Times New Roman" w:hAnsi="Times New Roman"/>
          <w:color w:val="000000"/>
          <w:sz w:val="24"/>
          <w:szCs w:val="24"/>
        </w:rPr>
        <w:t>H</w:t>
      </w:r>
      <w:r w:rsidR="00455BEE" w:rsidRPr="00455BEE">
        <w:rPr>
          <w:rFonts w:ascii="Times New Roman" w:hAnsi="Times New Roman"/>
          <w:color w:val="000000"/>
          <w:sz w:val="24"/>
          <w:szCs w:val="24"/>
        </w:rPr>
        <w:t xml:space="preserve">is utility bond </w:t>
      </w:r>
      <w:r w:rsidR="004846F5">
        <w:rPr>
          <w:rFonts w:ascii="Times New Roman" w:hAnsi="Times New Roman"/>
          <w:color w:val="000000"/>
          <w:sz w:val="24"/>
          <w:szCs w:val="24"/>
        </w:rPr>
        <w:t xml:space="preserve">equity </w:t>
      </w:r>
      <w:r w:rsidR="00455BEE" w:rsidRPr="00455BEE">
        <w:rPr>
          <w:rFonts w:ascii="Times New Roman" w:hAnsi="Times New Roman"/>
          <w:color w:val="000000"/>
          <w:sz w:val="24"/>
          <w:szCs w:val="24"/>
        </w:rPr>
        <w:t>risk premium analysis indicate</w:t>
      </w:r>
      <w:r w:rsidR="004C478E">
        <w:rPr>
          <w:rFonts w:ascii="Times New Roman" w:hAnsi="Times New Roman"/>
          <w:color w:val="000000"/>
          <w:sz w:val="24"/>
          <w:szCs w:val="24"/>
        </w:rPr>
        <w:t xml:space="preserve">s an </w:t>
      </w:r>
      <w:r w:rsidR="00455BEE" w:rsidRPr="00455BEE">
        <w:rPr>
          <w:rFonts w:ascii="Times New Roman" w:hAnsi="Times New Roman"/>
          <w:color w:val="000000"/>
          <w:sz w:val="24"/>
          <w:szCs w:val="24"/>
        </w:rPr>
        <w:t xml:space="preserve">ROE </w:t>
      </w:r>
      <w:r w:rsidR="003C18EA">
        <w:rPr>
          <w:rFonts w:ascii="Times New Roman" w:hAnsi="Times New Roman"/>
          <w:color w:val="000000"/>
          <w:sz w:val="24"/>
          <w:szCs w:val="24"/>
        </w:rPr>
        <w:t>of</w:t>
      </w:r>
      <w:r w:rsidR="00455BEE" w:rsidRPr="00455BEE">
        <w:rPr>
          <w:rFonts w:ascii="Times New Roman" w:hAnsi="Times New Roman"/>
          <w:color w:val="000000"/>
          <w:sz w:val="24"/>
          <w:szCs w:val="24"/>
        </w:rPr>
        <w:t xml:space="preserve"> 9.91 percent (pages 6-7</w:t>
      </w:r>
      <w:r w:rsidR="004C478E">
        <w:rPr>
          <w:rFonts w:ascii="Times New Roman" w:hAnsi="Times New Roman"/>
          <w:color w:val="000000"/>
          <w:sz w:val="24"/>
          <w:szCs w:val="24"/>
        </w:rPr>
        <w:t xml:space="preserve">). </w:t>
      </w:r>
      <w:r w:rsidR="00455BEE" w:rsidRPr="00455BEE">
        <w:rPr>
          <w:rFonts w:ascii="Times New Roman" w:hAnsi="Times New Roman"/>
          <w:color w:val="000000"/>
          <w:sz w:val="24"/>
          <w:szCs w:val="24"/>
        </w:rPr>
        <w:t xml:space="preserve"> The</w:t>
      </w:r>
      <w:r w:rsidR="004C478E">
        <w:rPr>
          <w:rFonts w:ascii="Times New Roman" w:hAnsi="Times New Roman"/>
          <w:color w:val="000000"/>
          <w:sz w:val="24"/>
          <w:szCs w:val="24"/>
        </w:rPr>
        <w:t xml:space="preserve"> midpoint of these revised risk premium results is </w:t>
      </w:r>
      <w:r w:rsidR="00455BEE" w:rsidRPr="00455BEE">
        <w:rPr>
          <w:rFonts w:ascii="Times New Roman" w:hAnsi="Times New Roman"/>
          <w:color w:val="000000"/>
          <w:sz w:val="24"/>
          <w:szCs w:val="24"/>
        </w:rPr>
        <w:t>10.2</w:t>
      </w:r>
      <w:r>
        <w:rPr>
          <w:rFonts w:ascii="Times New Roman" w:hAnsi="Times New Roman"/>
          <w:color w:val="000000"/>
          <w:sz w:val="24"/>
          <w:szCs w:val="24"/>
        </w:rPr>
        <w:t>3</w:t>
      </w:r>
      <w:r w:rsidR="00455BEE" w:rsidRPr="00455BEE">
        <w:rPr>
          <w:rFonts w:ascii="Times New Roman" w:hAnsi="Times New Roman"/>
          <w:color w:val="000000"/>
          <w:sz w:val="24"/>
          <w:szCs w:val="24"/>
        </w:rPr>
        <w:t xml:space="preserve"> percent.</w:t>
      </w:r>
      <w:r w:rsidR="00D335C3">
        <w:rPr>
          <w:rFonts w:ascii="Times New Roman" w:hAnsi="Times New Roman"/>
          <w:color w:val="000000"/>
          <w:sz w:val="24"/>
          <w:szCs w:val="24"/>
        </w:rPr>
        <w:t xml:space="preserve"> </w:t>
      </w:r>
    </w:p>
    <w:p w:rsidR="0060667A" w:rsidRDefault="0060667A" w:rsidP="0060667A">
      <w:pPr>
        <w:pStyle w:val="FootnoteText"/>
        <w:rPr>
          <w:rFonts w:ascii="Times New Roman" w:hAnsi="Times New Roman"/>
          <w:b/>
          <w:color w:val="000000"/>
          <w:sz w:val="24"/>
          <w:szCs w:val="24"/>
        </w:rPr>
      </w:pPr>
      <w:r>
        <w:rPr>
          <w:rFonts w:ascii="Times New Roman" w:hAnsi="Times New Roman"/>
          <w:b/>
          <w:color w:val="000000"/>
          <w:sz w:val="24"/>
          <w:szCs w:val="24"/>
        </w:rPr>
        <w:t>Q.</w:t>
      </w:r>
      <w:r>
        <w:rPr>
          <w:rFonts w:ascii="Times New Roman" w:hAnsi="Times New Roman"/>
          <w:b/>
          <w:color w:val="000000"/>
          <w:sz w:val="24"/>
          <w:szCs w:val="24"/>
        </w:rPr>
        <w:tab/>
        <w:t>Please summarize the results of your adjustments to Mr. Gorman</w:t>
      </w:r>
      <w:r w:rsidR="003C18EA">
        <w:rPr>
          <w:rFonts w:ascii="Times New Roman" w:hAnsi="Times New Roman"/>
          <w:b/>
          <w:color w:val="000000"/>
          <w:sz w:val="24"/>
          <w:szCs w:val="24"/>
        </w:rPr>
        <w:t>’</w:t>
      </w:r>
      <w:r>
        <w:rPr>
          <w:rFonts w:ascii="Times New Roman" w:hAnsi="Times New Roman"/>
          <w:b/>
          <w:color w:val="000000"/>
          <w:sz w:val="24"/>
          <w:szCs w:val="24"/>
        </w:rPr>
        <w:t>s ROE analysis</w:t>
      </w:r>
      <w:r w:rsidR="000D475D">
        <w:rPr>
          <w:rFonts w:ascii="Times New Roman" w:hAnsi="Times New Roman"/>
          <w:b/>
          <w:color w:val="000000"/>
          <w:sz w:val="24"/>
          <w:szCs w:val="24"/>
        </w:rPr>
        <w:t>.</w:t>
      </w:r>
    </w:p>
    <w:p w:rsidR="0060667A" w:rsidRDefault="0060667A" w:rsidP="0060667A">
      <w:pPr>
        <w:pStyle w:val="FootnoteText"/>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t>My adjustments are summarized in Table 5 below:</w:t>
      </w:r>
    </w:p>
    <w:p w:rsidR="0060667A" w:rsidRDefault="00C13097" w:rsidP="001718FE">
      <w:pPr>
        <w:pStyle w:val="FootnoteText"/>
        <w:suppressLineNumbers/>
        <w:ind w:firstLine="0"/>
        <w:rPr>
          <w:rFonts w:ascii="Times New Roman" w:hAnsi="Times New Roman"/>
          <w:color w:val="000000"/>
          <w:sz w:val="24"/>
          <w:szCs w:val="24"/>
        </w:rPr>
      </w:pPr>
      <w:r w:rsidRPr="00C13097">
        <w:rPr>
          <w:noProof/>
          <w:szCs w:val="24"/>
        </w:rPr>
        <w:drawing>
          <wp:inline distT="0" distB="0" distL="0" distR="0">
            <wp:extent cx="4892040" cy="2743200"/>
            <wp:effectExtent l="19050" t="0" r="381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892040" cy="2743200"/>
                    </a:xfrm>
                    <a:prstGeom prst="rect">
                      <a:avLst/>
                    </a:prstGeom>
                    <a:noFill/>
                    <a:ln w="9525">
                      <a:noFill/>
                      <a:miter lim="800000"/>
                      <a:headEnd/>
                      <a:tailEnd/>
                    </a:ln>
                  </pic:spPr>
                </pic:pic>
              </a:graphicData>
            </a:graphic>
          </wp:inline>
        </w:drawing>
      </w:r>
    </w:p>
    <w:p w:rsidR="0060667A" w:rsidRDefault="0060667A" w:rsidP="0060667A">
      <w:pPr>
        <w:pStyle w:val="FootnoteText"/>
        <w:ind w:firstLine="0"/>
        <w:rPr>
          <w:rFonts w:ascii="Times New Roman" w:hAnsi="Times New Roman"/>
          <w:color w:val="000000"/>
          <w:sz w:val="24"/>
          <w:szCs w:val="24"/>
        </w:rPr>
      </w:pPr>
      <w:r>
        <w:rPr>
          <w:rFonts w:ascii="Times New Roman" w:hAnsi="Times New Roman"/>
          <w:color w:val="000000"/>
          <w:sz w:val="24"/>
          <w:szCs w:val="24"/>
        </w:rPr>
        <w:t>His constant growth DCF result at 10.50 percent is within the reasonable range.  As discussed above, removing DPL</w:t>
      </w:r>
      <w:r w:rsidR="003C18EA">
        <w:rPr>
          <w:rFonts w:ascii="Times New Roman" w:hAnsi="Times New Roman"/>
          <w:color w:val="000000"/>
          <w:sz w:val="24"/>
          <w:szCs w:val="24"/>
        </w:rPr>
        <w:t>, Inc.</w:t>
      </w:r>
      <w:r>
        <w:rPr>
          <w:rFonts w:ascii="Times New Roman" w:hAnsi="Times New Roman"/>
          <w:color w:val="000000"/>
          <w:sz w:val="24"/>
          <w:szCs w:val="24"/>
        </w:rPr>
        <w:t xml:space="preserve"> from the analysis altogether (rather than just relying on the median), changes his sustainable growth constant growth result to 9.</w:t>
      </w:r>
      <w:r w:rsidR="00C13097">
        <w:rPr>
          <w:rFonts w:ascii="Times New Roman" w:hAnsi="Times New Roman"/>
          <w:color w:val="000000"/>
          <w:sz w:val="24"/>
          <w:szCs w:val="24"/>
        </w:rPr>
        <w:t>11</w:t>
      </w:r>
      <w:r>
        <w:rPr>
          <w:rFonts w:ascii="Times New Roman" w:hAnsi="Times New Roman"/>
          <w:color w:val="000000"/>
          <w:sz w:val="24"/>
          <w:szCs w:val="24"/>
        </w:rPr>
        <w:t xml:space="preserve"> percent</w:t>
      </w:r>
      <w:r w:rsidR="00F57955">
        <w:rPr>
          <w:rFonts w:ascii="Times New Roman" w:hAnsi="Times New Roman"/>
          <w:color w:val="000000"/>
          <w:sz w:val="24"/>
          <w:szCs w:val="24"/>
        </w:rPr>
        <w:t>, relative to a group average of 9.48 percent</w:t>
      </w:r>
      <w:r>
        <w:rPr>
          <w:rFonts w:ascii="Times New Roman" w:hAnsi="Times New Roman"/>
          <w:color w:val="000000"/>
          <w:sz w:val="24"/>
          <w:szCs w:val="24"/>
        </w:rPr>
        <w:t>.  The inclusion of a more realistic long-term GDP growth rate of 6.0 percent in his multi-stage DCF analysis increases that result to 10.</w:t>
      </w:r>
      <w:r w:rsidR="00C13097">
        <w:rPr>
          <w:rFonts w:ascii="Times New Roman" w:hAnsi="Times New Roman"/>
          <w:color w:val="000000"/>
          <w:sz w:val="24"/>
          <w:szCs w:val="24"/>
        </w:rPr>
        <w:t>94</w:t>
      </w:r>
      <w:r>
        <w:rPr>
          <w:rFonts w:ascii="Times New Roman" w:hAnsi="Times New Roman"/>
          <w:color w:val="000000"/>
          <w:sz w:val="24"/>
          <w:szCs w:val="24"/>
        </w:rPr>
        <w:t xml:space="preserve"> percent.  Factoring in the observed inverse relationship between interest rates and </w:t>
      </w:r>
      <w:r w:rsidR="004846F5">
        <w:rPr>
          <w:rFonts w:ascii="Times New Roman" w:hAnsi="Times New Roman"/>
          <w:color w:val="000000"/>
          <w:sz w:val="24"/>
          <w:szCs w:val="24"/>
        </w:rPr>
        <w:t xml:space="preserve">equity </w:t>
      </w:r>
      <w:r>
        <w:rPr>
          <w:rFonts w:ascii="Times New Roman" w:hAnsi="Times New Roman"/>
          <w:color w:val="000000"/>
          <w:sz w:val="24"/>
          <w:szCs w:val="24"/>
        </w:rPr>
        <w:t xml:space="preserve">risk premiums, increases the </w:t>
      </w:r>
      <w:r w:rsidR="004846F5">
        <w:rPr>
          <w:rFonts w:ascii="Times New Roman" w:hAnsi="Times New Roman"/>
          <w:color w:val="000000"/>
          <w:sz w:val="24"/>
          <w:szCs w:val="24"/>
        </w:rPr>
        <w:t xml:space="preserve">equity </w:t>
      </w:r>
      <w:r>
        <w:rPr>
          <w:rFonts w:ascii="Times New Roman" w:hAnsi="Times New Roman"/>
          <w:color w:val="000000"/>
          <w:sz w:val="24"/>
          <w:szCs w:val="24"/>
        </w:rPr>
        <w:t xml:space="preserve">risk premium average </w:t>
      </w:r>
      <w:r w:rsidR="004846F5">
        <w:rPr>
          <w:rFonts w:ascii="Times New Roman" w:hAnsi="Times New Roman"/>
          <w:color w:val="000000"/>
          <w:sz w:val="24"/>
          <w:szCs w:val="24"/>
        </w:rPr>
        <w:t>to</w:t>
      </w:r>
      <w:r>
        <w:rPr>
          <w:rFonts w:ascii="Times New Roman" w:hAnsi="Times New Roman"/>
          <w:color w:val="000000"/>
          <w:sz w:val="24"/>
          <w:szCs w:val="24"/>
        </w:rPr>
        <w:t xml:space="preserve"> 10.24 percent.  I also excluded his unreasonably low CAPM result altogether.  As shown above, the average of the adjusted DCF and risk premium results is an ROE of 10.2</w:t>
      </w:r>
      <w:r w:rsidR="00C13097">
        <w:rPr>
          <w:rFonts w:ascii="Times New Roman" w:hAnsi="Times New Roman"/>
          <w:color w:val="000000"/>
          <w:sz w:val="24"/>
          <w:szCs w:val="24"/>
        </w:rPr>
        <w:t>1</w:t>
      </w:r>
      <w:r>
        <w:rPr>
          <w:rFonts w:ascii="Times New Roman" w:hAnsi="Times New Roman"/>
          <w:color w:val="000000"/>
          <w:sz w:val="24"/>
          <w:szCs w:val="24"/>
        </w:rPr>
        <w:t xml:space="preserve"> percent.  Had Mr. Gorman consider</w:t>
      </w:r>
      <w:r w:rsidR="006E6D9F">
        <w:rPr>
          <w:rFonts w:ascii="Times New Roman" w:hAnsi="Times New Roman"/>
          <w:color w:val="000000"/>
          <w:sz w:val="24"/>
          <w:szCs w:val="24"/>
        </w:rPr>
        <w:t>ed</w:t>
      </w:r>
      <w:r>
        <w:rPr>
          <w:rFonts w:ascii="Times New Roman" w:hAnsi="Times New Roman"/>
          <w:color w:val="000000"/>
          <w:sz w:val="24"/>
          <w:szCs w:val="24"/>
        </w:rPr>
        <w:t xml:space="preserve"> these more reasonable inputs, his ROE estimates would have been well above the 9.5 percent ROE he recommends.</w:t>
      </w:r>
    </w:p>
    <w:p w:rsidR="00455BEE" w:rsidRPr="004C478E" w:rsidRDefault="004C478E" w:rsidP="00455BEE">
      <w:pPr>
        <w:pStyle w:val="FootnoteText"/>
        <w:rPr>
          <w:rFonts w:ascii="Times New Roman" w:hAnsi="Times New Roman"/>
          <w:b/>
          <w:color w:val="000000"/>
          <w:sz w:val="24"/>
          <w:szCs w:val="24"/>
        </w:rPr>
      </w:pPr>
      <w:r>
        <w:rPr>
          <w:rFonts w:ascii="Times New Roman" w:hAnsi="Times New Roman"/>
          <w:b/>
          <w:color w:val="000000"/>
          <w:sz w:val="24"/>
          <w:szCs w:val="24"/>
        </w:rPr>
        <w:t>Q.</w:t>
      </w:r>
      <w:r>
        <w:rPr>
          <w:rFonts w:ascii="Times New Roman" w:hAnsi="Times New Roman"/>
          <w:b/>
          <w:color w:val="000000"/>
          <w:sz w:val="24"/>
          <w:szCs w:val="24"/>
        </w:rPr>
        <w:tab/>
        <w:t>On pages 44-54, M</w:t>
      </w:r>
      <w:r w:rsidRPr="004C478E">
        <w:rPr>
          <w:rFonts w:ascii="Times New Roman" w:hAnsi="Times New Roman"/>
          <w:b/>
          <w:color w:val="000000"/>
          <w:sz w:val="24"/>
          <w:szCs w:val="24"/>
        </w:rPr>
        <w:t xml:space="preserve">r. Gorman criticizes various aspects of your </w:t>
      </w:r>
      <w:r>
        <w:rPr>
          <w:rFonts w:ascii="Times New Roman" w:hAnsi="Times New Roman"/>
          <w:b/>
          <w:color w:val="000000"/>
          <w:sz w:val="24"/>
          <w:szCs w:val="24"/>
        </w:rPr>
        <w:t>ROE</w:t>
      </w:r>
      <w:r w:rsidRPr="004C478E">
        <w:rPr>
          <w:rFonts w:ascii="Times New Roman" w:hAnsi="Times New Roman"/>
          <w:b/>
          <w:color w:val="000000"/>
          <w:sz w:val="24"/>
          <w:szCs w:val="24"/>
        </w:rPr>
        <w:t xml:space="preserve"> analysis.  What is your general response to his criticisms?</w:t>
      </w:r>
    </w:p>
    <w:p w:rsidR="00455BEE" w:rsidRPr="00455BEE" w:rsidRDefault="00455BEE" w:rsidP="00455BEE">
      <w:pPr>
        <w:pStyle w:val="FootnoteText"/>
        <w:rPr>
          <w:rFonts w:ascii="Times New Roman" w:hAnsi="Times New Roman"/>
          <w:color w:val="000000"/>
          <w:sz w:val="24"/>
          <w:szCs w:val="24"/>
        </w:rPr>
      </w:pPr>
      <w:r w:rsidRPr="00455BEE">
        <w:rPr>
          <w:rFonts w:ascii="Times New Roman" w:hAnsi="Times New Roman"/>
          <w:color w:val="000000"/>
          <w:sz w:val="24"/>
          <w:szCs w:val="24"/>
        </w:rPr>
        <w:t>A.</w:t>
      </w:r>
      <w:r w:rsidRPr="00455BEE">
        <w:rPr>
          <w:rFonts w:ascii="Times New Roman" w:hAnsi="Times New Roman"/>
          <w:color w:val="000000"/>
          <w:sz w:val="24"/>
          <w:szCs w:val="24"/>
        </w:rPr>
        <w:tab/>
        <w:t xml:space="preserve">His criticisms are not accurate.  They are principally focused on my use of the GDP growth rate in my DCF model and his mistaken view that the cost of equity for utilities has declined as much as interest rates.  His characterization of my GDP growth forecast is </w:t>
      </w:r>
      <w:r w:rsidR="004C478E">
        <w:rPr>
          <w:rFonts w:ascii="Times New Roman" w:hAnsi="Times New Roman"/>
          <w:color w:val="000000"/>
          <w:sz w:val="24"/>
          <w:szCs w:val="24"/>
        </w:rPr>
        <w:t>misplaced</w:t>
      </w:r>
      <w:r w:rsidRPr="00455BEE">
        <w:rPr>
          <w:rFonts w:ascii="Times New Roman" w:hAnsi="Times New Roman"/>
          <w:color w:val="000000"/>
          <w:sz w:val="24"/>
          <w:szCs w:val="24"/>
        </w:rPr>
        <w:t xml:space="preserve"> and his contention that equity costs have declined significantly is simply wrong.</w:t>
      </w:r>
    </w:p>
    <w:p w:rsidR="00455BEE" w:rsidRPr="004C478E" w:rsidRDefault="004C478E" w:rsidP="00455BEE">
      <w:pPr>
        <w:pStyle w:val="FootnoteText"/>
        <w:rPr>
          <w:rFonts w:ascii="Times New Roman" w:hAnsi="Times New Roman"/>
          <w:b/>
          <w:color w:val="000000"/>
          <w:sz w:val="24"/>
          <w:szCs w:val="24"/>
        </w:rPr>
      </w:pPr>
      <w:r w:rsidRPr="004C478E">
        <w:rPr>
          <w:rFonts w:ascii="Times New Roman" w:hAnsi="Times New Roman"/>
          <w:b/>
          <w:color w:val="000000"/>
          <w:sz w:val="24"/>
          <w:szCs w:val="24"/>
        </w:rPr>
        <w:t>Q.</w:t>
      </w:r>
      <w:r w:rsidRPr="004C478E">
        <w:rPr>
          <w:rFonts w:ascii="Times New Roman" w:hAnsi="Times New Roman"/>
          <w:b/>
          <w:color w:val="000000"/>
          <w:sz w:val="24"/>
          <w:szCs w:val="24"/>
        </w:rPr>
        <w:tab/>
        <w:t xml:space="preserve">On pages 44-45, </w:t>
      </w:r>
      <w:r w:rsidR="004B7E0A">
        <w:rPr>
          <w:rFonts w:ascii="Times New Roman" w:hAnsi="Times New Roman"/>
          <w:b/>
          <w:color w:val="000000"/>
          <w:sz w:val="24"/>
          <w:szCs w:val="24"/>
        </w:rPr>
        <w:t>M</w:t>
      </w:r>
      <w:r w:rsidRPr="004C478E">
        <w:rPr>
          <w:rFonts w:ascii="Times New Roman" w:hAnsi="Times New Roman"/>
          <w:b/>
          <w:color w:val="000000"/>
          <w:sz w:val="24"/>
          <w:szCs w:val="24"/>
        </w:rPr>
        <w:t xml:space="preserve">r. Gorman criticizes your </w:t>
      </w:r>
      <w:r w:rsidR="004B7E0A">
        <w:rPr>
          <w:rFonts w:ascii="Times New Roman" w:hAnsi="Times New Roman"/>
          <w:b/>
          <w:color w:val="000000"/>
          <w:sz w:val="24"/>
          <w:szCs w:val="24"/>
        </w:rPr>
        <w:t>GDP</w:t>
      </w:r>
      <w:r w:rsidRPr="004C478E">
        <w:rPr>
          <w:rFonts w:ascii="Times New Roman" w:hAnsi="Times New Roman"/>
          <w:b/>
          <w:color w:val="000000"/>
          <w:sz w:val="24"/>
          <w:szCs w:val="24"/>
        </w:rPr>
        <w:t xml:space="preserve"> growth forecast </w:t>
      </w:r>
      <w:r w:rsidR="004B7E0A">
        <w:rPr>
          <w:rFonts w:ascii="Times New Roman" w:hAnsi="Times New Roman"/>
          <w:b/>
          <w:color w:val="000000"/>
          <w:sz w:val="24"/>
          <w:szCs w:val="24"/>
        </w:rPr>
        <w:t xml:space="preserve">by saying that </w:t>
      </w:r>
      <w:r w:rsidRPr="004C478E">
        <w:rPr>
          <w:rFonts w:ascii="Times New Roman" w:hAnsi="Times New Roman"/>
          <w:b/>
          <w:color w:val="000000"/>
          <w:sz w:val="24"/>
          <w:szCs w:val="24"/>
        </w:rPr>
        <w:t xml:space="preserve">it is based on historical </w:t>
      </w:r>
      <w:r w:rsidR="004B7E0A">
        <w:rPr>
          <w:rFonts w:ascii="Times New Roman" w:hAnsi="Times New Roman"/>
          <w:b/>
          <w:color w:val="000000"/>
          <w:sz w:val="24"/>
          <w:szCs w:val="24"/>
        </w:rPr>
        <w:t>GDP</w:t>
      </w:r>
      <w:r w:rsidRPr="004C478E">
        <w:rPr>
          <w:rFonts w:ascii="Times New Roman" w:hAnsi="Times New Roman"/>
          <w:b/>
          <w:color w:val="000000"/>
          <w:sz w:val="24"/>
          <w:szCs w:val="24"/>
        </w:rPr>
        <w:t xml:space="preserve"> data.  Is it accurate to say that your </w:t>
      </w:r>
      <w:r w:rsidR="004B7E0A">
        <w:rPr>
          <w:rFonts w:ascii="Times New Roman" w:hAnsi="Times New Roman"/>
          <w:b/>
          <w:color w:val="000000"/>
          <w:sz w:val="24"/>
          <w:szCs w:val="24"/>
        </w:rPr>
        <w:t>forecast</w:t>
      </w:r>
      <w:r w:rsidRPr="004C478E">
        <w:rPr>
          <w:rFonts w:ascii="Times New Roman" w:hAnsi="Times New Roman"/>
          <w:b/>
          <w:color w:val="000000"/>
          <w:sz w:val="24"/>
          <w:szCs w:val="24"/>
        </w:rPr>
        <w:t xml:space="preserve"> is a </w:t>
      </w:r>
      <w:r w:rsidR="003C18EA">
        <w:rPr>
          <w:rFonts w:ascii="Times New Roman" w:hAnsi="Times New Roman"/>
          <w:b/>
          <w:color w:val="000000"/>
          <w:sz w:val="24"/>
          <w:szCs w:val="24"/>
        </w:rPr>
        <w:t>“</w:t>
      </w:r>
      <w:r w:rsidRPr="004C478E">
        <w:rPr>
          <w:rFonts w:ascii="Times New Roman" w:hAnsi="Times New Roman"/>
          <w:b/>
          <w:color w:val="000000"/>
          <w:sz w:val="24"/>
          <w:szCs w:val="24"/>
        </w:rPr>
        <w:t>historical input</w:t>
      </w:r>
      <w:r w:rsidR="003C18EA">
        <w:rPr>
          <w:rFonts w:ascii="Times New Roman" w:hAnsi="Times New Roman"/>
          <w:b/>
          <w:color w:val="000000"/>
          <w:sz w:val="24"/>
          <w:szCs w:val="24"/>
        </w:rPr>
        <w:t>”</w:t>
      </w:r>
      <w:r w:rsidRPr="004C478E">
        <w:rPr>
          <w:rFonts w:ascii="Times New Roman" w:hAnsi="Times New Roman"/>
          <w:b/>
          <w:color w:val="000000"/>
          <w:sz w:val="24"/>
          <w:szCs w:val="24"/>
        </w:rPr>
        <w:t>?</w:t>
      </w:r>
    </w:p>
    <w:p w:rsidR="00455BEE" w:rsidRPr="00455BEE" w:rsidRDefault="00455BEE" w:rsidP="00455BEE">
      <w:pPr>
        <w:pStyle w:val="FootnoteText"/>
        <w:rPr>
          <w:rFonts w:ascii="Times New Roman" w:hAnsi="Times New Roman"/>
          <w:color w:val="000000"/>
          <w:sz w:val="24"/>
          <w:szCs w:val="24"/>
        </w:rPr>
      </w:pPr>
      <w:r w:rsidRPr="00455BEE">
        <w:rPr>
          <w:rFonts w:ascii="Times New Roman" w:hAnsi="Times New Roman"/>
          <w:color w:val="000000"/>
          <w:sz w:val="24"/>
          <w:szCs w:val="24"/>
        </w:rPr>
        <w:t>A.</w:t>
      </w:r>
      <w:r w:rsidRPr="00455BEE">
        <w:rPr>
          <w:rFonts w:ascii="Times New Roman" w:hAnsi="Times New Roman"/>
          <w:color w:val="000000"/>
          <w:sz w:val="24"/>
          <w:szCs w:val="24"/>
        </w:rPr>
        <w:tab/>
        <w:t xml:space="preserve">No.  </w:t>
      </w:r>
      <w:r w:rsidR="004C478E">
        <w:rPr>
          <w:rFonts w:ascii="Times New Roman" w:hAnsi="Times New Roman"/>
          <w:color w:val="000000"/>
          <w:sz w:val="24"/>
          <w:szCs w:val="24"/>
        </w:rPr>
        <w:t>The</w:t>
      </w:r>
      <w:r w:rsidRPr="00455BEE">
        <w:rPr>
          <w:rFonts w:ascii="Times New Roman" w:hAnsi="Times New Roman"/>
          <w:color w:val="000000"/>
          <w:sz w:val="24"/>
          <w:szCs w:val="24"/>
        </w:rPr>
        <w:t xml:space="preserve"> GDP growth rate </w:t>
      </w:r>
      <w:r w:rsidR="004C478E">
        <w:rPr>
          <w:rFonts w:ascii="Times New Roman" w:hAnsi="Times New Roman"/>
          <w:color w:val="000000"/>
          <w:sz w:val="24"/>
          <w:szCs w:val="24"/>
        </w:rPr>
        <w:t xml:space="preserve">that I use </w:t>
      </w:r>
      <w:r w:rsidRPr="00455BEE">
        <w:rPr>
          <w:rFonts w:ascii="Times New Roman" w:hAnsi="Times New Roman"/>
          <w:color w:val="000000"/>
          <w:sz w:val="24"/>
          <w:szCs w:val="24"/>
        </w:rPr>
        <w:t xml:space="preserve">is a forecast </w:t>
      </w:r>
      <w:r w:rsidR="004B7E0A">
        <w:rPr>
          <w:rFonts w:ascii="Times New Roman" w:hAnsi="Times New Roman"/>
          <w:color w:val="000000"/>
          <w:sz w:val="24"/>
          <w:szCs w:val="24"/>
        </w:rPr>
        <w:t xml:space="preserve">based on general economic conditions </w:t>
      </w:r>
      <w:r w:rsidR="004C478E">
        <w:rPr>
          <w:rFonts w:ascii="Times New Roman" w:hAnsi="Times New Roman"/>
          <w:color w:val="000000"/>
          <w:sz w:val="24"/>
          <w:szCs w:val="24"/>
        </w:rPr>
        <w:t xml:space="preserve">that </w:t>
      </w:r>
      <w:r w:rsidRPr="00455BEE">
        <w:rPr>
          <w:rFonts w:ascii="Times New Roman" w:hAnsi="Times New Roman"/>
          <w:color w:val="000000"/>
          <w:sz w:val="24"/>
          <w:szCs w:val="24"/>
        </w:rPr>
        <w:t xml:space="preserve">investors may expect </w:t>
      </w:r>
      <w:r w:rsidR="004C478E">
        <w:rPr>
          <w:rFonts w:ascii="Times New Roman" w:hAnsi="Times New Roman"/>
          <w:color w:val="000000"/>
          <w:sz w:val="24"/>
          <w:szCs w:val="24"/>
        </w:rPr>
        <w:t>for utilities</w:t>
      </w:r>
      <w:r w:rsidR="004B7E0A">
        <w:rPr>
          <w:rFonts w:ascii="Times New Roman" w:hAnsi="Times New Roman"/>
          <w:color w:val="000000"/>
          <w:sz w:val="24"/>
          <w:szCs w:val="24"/>
        </w:rPr>
        <w:t xml:space="preserve"> in</w:t>
      </w:r>
      <w:r w:rsidR="004C478E">
        <w:rPr>
          <w:rFonts w:ascii="Times New Roman" w:hAnsi="Times New Roman"/>
          <w:color w:val="000000"/>
          <w:sz w:val="24"/>
          <w:szCs w:val="24"/>
        </w:rPr>
        <w:t xml:space="preserve"> the </w:t>
      </w:r>
      <w:r w:rsidR="004B7E0A">
        <w:rPr>
          <w:rFonts w:ascii="Times New Roman" w:hAnsi="Times New Roman"/>
          <w:color w:val="000000"/>
          <w:sz w:val="24"/>
          <w:szCs w:val="24"/>
        </w:rPr>
        <w:t xml:space="preserve">very </w:t>
      </w:r>
      <w:r w:rsidRPr="00455BEE">
        <w:rPr>
          <w:rFonts w:ascii="Times New Roman" w:hAnsi="Times New Roman"/>
          <w:color w:val="000000"/>
          <w:sz w:val="24"/>
          <w:szCs w:val="24"/>
        </w:rPr>
        <w:t xml:space="preserve">long run, as </w:t>
      </w:r>
      <w:r w:rsidR="004C478E">
        <w:rPr>
          <w:rFonts w:ascii="Times New Roman" w:hAnsi="Times New Roman"/>
          <w:color w:val="000000"/>
          <w:sz w:val="24"/>
          <w:szCs w:val="24"/>
        </w:rPr>
        <w:t xml:space="preserve">is </w:t>
      </w:r>
      <w:r w:rsidRPr="00455BEE">
        <w:rPr>
          <w:rFonts w:ascii="Times New Roman" w:hAnsi="Times New Roman"/>
          <w:color w:val="000000"/>
          <w:sz w:val="24"/>
          <w:szCs w:val="24"/>
        </w:rPr>
        <w:t xml:space="preserve">required in the DCF model.  While </w:t>
      </w:r>
      <w:r w:rsidR="004C478E">
        <w:rPr>
          <w:rFonts w:ascii="Times New Roman" w:hAnsi="Times New Roman"/>
          <w:color w:val="000000"/>
          <w:sz w:val="24"/>
          <w:szCs w:val="24"/>
        </w:rPr>
        <w:t xml:space="preserve">I develop my forecast from </w:t>
      </w:r>
      <w:r w:rsidRPr="00455BEE">
        <w:rPr>
          <w:rFonts w:ascii="Times New Roman" w:hAnsi="Times New Roman"/>
          <w:color w:val="000000"/>
          <w:sz w:val="24"/>
          <w:szCs w:val="24"/>
        </w:rPr>
        <w:t xml:space="preserve">the St. Louis Federal Reserve Bank data base </w:t>
      </w:r>
      <w:r w:rsidR="004B7E0A">
        <w:rPr>
          <w:rFonts w:ascii="Times New Roman" w:hAnsi="Times New Roman"/>
          <w:color w:val="000000"/>
          <w:sz w:val="24"/>
          <w:szCs w:val="24"/>
        </w:rPr>
        <w:t>that covers</w:t>
      </w:r>
      <w:r w:rsidR="004C478E">
        <w:rPr>
          <w:rFonts w:ascii="Times New Roman" w:hAnsi="Times New Roman"/>
          <w:color w:val="000000"/>
          <w:sz w:val="24"/>
          <w:szCs w:val="24"/>
        </w:rPr>
        <w:t xml:space="preserve"> the past 60 years,</w:t>
      </w:r>
      <w:r w:rsidRPr="00455BEE">
        <w:rPr>
          <w:rFonts w:ascii="Times New Roman" w:hAnsi="Times New Roman"/>
          <w:color w:val="000000"/>
          <w:sz w:val="24"/>
          <w:szCs w:val="24"/>
        </w:rPr>
        <w:t xml:space="preserve"> my forecast is not a simple average or</w:t>
      </w:r>
      <w:r w:rsidR="004C478E">
        <w:rPr>
          <w:rFonts w:ascii="Times New Roman" w:hAnsi="Times New Roman"/>
          <w:color w:val="000000"/>
          <w:sz w:val="24"/>
          <w:szCs w:val="24"/>
        </w:rPr>
        <w:t xml:space="preserve"> an</w:t>
      </w:r>
      <w:r w:rsidRPr="00455BEE">
        <w:rPr>
          <w:rFonts w:ascii="Times New Roman" w:hAnsi="Times New Roman"/>
          <w:color w:val="000000"/>
          <w:sz w:val="24"/>
          <w:szCs w:val="24"/>
        </w:rPr>
        <w:t xml:space="preserve"> extrapolation of the historical data.  </w:t>
      </w:r>
      <w:r w:rsidR="004B7E0A">
        <w:rPr>
          <w:rFonts w:ascii="Times New Roman" w:hAnsi="Times New Roman"/>
          <w:color w:val="000000"/>
          <w:sz w:val="24"/>
          <w:szCs w:val="24"/>
        </w:rPr>
        <w:t xml:space="preserve">As is done in </w:t>
      </w:r>
      <w:r w:rsidRPr="00455BEE">
        <w:rPr>
          <w:rFonts w:ascii="Times New Roman" w:hAnsi="Times New Roman"/>
          <w:color w:val="000000"/>
          <w:sz w:val="24"/>
          <w:szCs w:val="24"/>
        </w:rPr>
        <w:t xml:space="preserve">most econometric forecasts, </w:t>
      </w:r>
      <w:r w:rsidR="004B7E0A">
        <w:rPr>
          <w:rFonts w:ascii="Times New Roman" w:hAnsi="Times New Roman"/>
          <w:color w:val="000000"/>
          <w:sz w:val="24"/>
          <w:szCs w:val="24"/>
        </w:rPr>
        <w:t>I</w:t>
      </w:r>
      <w:r w:rsidRPr="00455BEE">
        <w:rPr>
          <w:rFonts w:ascii="Times New Roman" w:hAnsi="Times New Roman"/>
          <w:color w:val="000000"/>
          <w:sz w:val="24"/>
          <w:szCs w:val="24"/>
        </w:rPr>
        <w:t xml:space="preserve"> use the long-run historical relationships to project what investors may reasonably expect for the long-term future.  </w:t>
      </w:r>
      <w:r w:rsidR="004B7E0A">
        <w:rPr>
          <w:rFonts w:ascii="Times New Roman" w:hAnsi="Times New Roman"/>
          <w:color w:val="000000"/>
          <w:sz w:val="24"/>
          <w:szCs w:val="24"/>
        </w:rPr>
        <w:t xml:space="preserve">I also </w:t>
      </w:r>
      <w:r w:rsidR="004C478E">
        <w:rPr>
          <w:rFonts w:ascii="Times New Roman" w:hAnsi="Times New Roman"/>
          <w:color w:val="000000"/>
          <w:sz w:val="24"/>
          <w:szCs w:val="24"/>
        </w:rPr>
        <w:t>give more weight to more recent observations</w:t>
      </w:r>
      <w:r w:rsidR="006E6D9F">
        <w:rPr>
          <w:rFonts w:ascii="Times New Roman" w:hAnsi="Times New Roman"/>
          <w:color w:val="000000"/>
          <w:sz w:val="24"/>
          <w:szCs w:val="24"/>
        </w:rPr>
        <w:t xml:space="preserve"> b</w:t>
      </w:r>
      <w:r w:rsidR="004B7E0A">
        <w:rPr>
          <w:rFonts w:ascii="Times New Roman" w:hAnsi="Times New Roman"/>
          <w:color w:val="000000"/>
          <w:sz w:val="24"/>
          <w:szCs w:val="24"/>
        </w:rPr>
        <w:t>y applying</w:t>
      </w:r>
      <w:r w:rsidRPr="00455BEE">
        <w:rPr>
          <w:rFonts w:ascii="Times New Roman" w:hAnsi="Times New Roman"/>
          <w:color w:val="000000"/>
          <w:sz w:val="24"/>
          <w:szCs w:val="24"/>
        </w:rPr>
        <w:t xml:space="preserve"> weighted averag</w:t>
      </w:r>
      <w:r w:rsidR="004B7E0A">
        <w:rPr>
          <w:rFonts w:ascii="Times New Roman" w:hAnsi="Times New Roman"/>
          <w:color w:val="000000"/>
          <w:sz w:val="24"/>
          <w:szCs w:val="24"/>
        </w:rPr>
        <w:t>es</w:t>
      </w:r>
      <w:r w:rsidRPr="00455BEE">
        <w:rPr>
          <w:rFonts w:ascii="Times New Roman" w:hAnsi="Times New Roman"/>
          <w:color w:val="000000"/>
          <w:sz w:val="24"/>
          <w:szCs w:val="24"/>
        </w:rPr>
        <w:t xml:space="preserve"> that give about five times as much weight to the most recent 10 years as compared to the earliest 10 years.  Giving more weight to the more recent</w:t>
      </w:r>
      <w:r w:rsidR="004B7E0A">
        <w:rPr>
          <w:rFonts w:ascii="Times New Roman" w:hAnsi="Times New Roman"/>
          <w:color w:val="000000"/>
          <w:sz w:val="24"/>
          <w:szCs w:val="24"/>
        </w:rPr>
        <w:t xml:space="preserve"> data</w:t>
      </w:r>
      <w:r w:rsidRPr="00455BEE">
        <w:rPr>
          <w:rFonts w:ascii="Times New Roman" w:hAnsi="Times New Roman"/>
          <w:color w:val="000000"/>
          <w:sz w:val="24"/>
          <w:szCs w:val="24"/>
        </w:rPr>
        <w:t xml:space="preserve"> lowers the overall </w:t>
      </w:r>
      <w:r w:rsidR="004C478E">
        <w:rPr>
          <w:rFonts w:ascii="Times New Roman" w:hAnsi="Times New Roman"/>
          <w:color w:val="000000"/>
          <w:sz w:val="24"/>
          <w:szCs w:val="24"/>
        </w:rPr>
        <w:t xml:space="preserve">growth rate </w:t>
      </w:r>
      <w:r w:rsidRPr="00455BEE">
        <w:rPr>
          <w:rFonts w:ascii="Times New Roman" w:hAnsi="Times New Roman"/>
          <w:color w:val="000000"/>
          <w:sz w:val="24"/>
          <w:szCs w:val="24"/>
        </w:rPr>
        <w:t xml:space="preserve">forecast.  For example, my </w:t>
      </w:r>
      <w:r w:rsidR="004B7E0A">
        <w:rPr>
          <w:rFonts w:ascii="Times New Roman" w:hAnsi="Times New Roman"/>
          <w:color w:val="000000"/>
          <w:sz w:val="24"/>
          <w:szCs w:val="24"/>
        </w:rPr>
        <w:t xml:space="preserve">current </w:t>
      </w:r>
      <w:r w:rsidRPr="00455BEE">
        <w:rPr>
          <w:rFonts w:ascii="Times New Roman" w:hAnsi="Times New Roman"/>
          <w:color w:val="000000"/>
          <w:sz w:val="24"/>
          <w:szCs w:val="24"/>
        </w:rPr>
        <w:t xml:space="preserve">forecast </w:t>
      </w:r>
      <w:r w:rsidR="004B7E0A">
        <w:rPr>
          <w:rFonts w:ascii="Times New Roman" w:hAnsi="Times New Roman"/>
          <w:color w:val="000000"/>
          <w:sz w:val="24"/>
          <w:szCs w:val="24"/>
        </w:rPr>
        <w:t>is 6.0 percent</w:t>
      </w:r>
      <w:r w:rsidRPr="00455BEE">
        <w:rPr>
          <w:rFonts w:ascii="Times New Roman" w:hAnsi="Times New Roman"/>
          <w:color w:val="000000"/>
          <w:sz w:val="24"/>
          <w:szCs w:val="24"/>
        </w:rPr>
        <w:t xml:space="preserve"> w</w:t>
      </w:r>
      <w:r w:rsidR="004B7E0A">
        <w:rPr>
          <w:rFonts w:ascii="Times New Roman" w:hAnsi="Times New Roman"/>
          <w:color w:val="000000"/>
          <w:sz w:val="24"/>
          <w:szCs w:val="24"/>
        </w:rPr>
        <w:t>hereas</w:t>
      </w:r>
      <w:r w:rsidRPr="00455BEE">
        <w:rPr>
          <w:rFonts w:ascii="Times New Roman" w:hAnsi="Times New Roman"/>
          <w:color w:val="000000"/>
          <w:sz w:val="24"/>
          <w:szCs w:val="24"/>
        </w:rPr>
        <w:t xml:space="preserve"> the </w:t>
      </w:r>
      <w:r w:rsidR="000F1E8D">
        <w:rPr>
          <w:rFonts w:ascii="Times New Roman" w:hAnsi="Times New Roman"/>
          <w:color w:val="000000"/>
          <w:sz w:val="24"/>
          <w:szCs w:val="24"/>
        </w:rPr>
        <w:t xml:space="preserve">annual </w:t>
      </w:r>
      <w:r w:rsidRPr="00455BEE">
        <w:rPr>
          <w:rFonts w:ascii="Times New Roman" w:hAnsi="Times New Roman"/>
          <w:color w:val="000000"/>
          <w:sz w:val="24"/>
          <w:szCs w:val="24"/>
        </w:rPr>
        <w:t>average of the growth rate data is 6.9 percent.  In this context, Mr. Gorman</w:t>
      </w:r>
      <w:r w:rsidR="003C18EA">
        <w:rPr>
          <w:rFonts w:ascii="Times New Roman" w:hAnsi="Times New Roman"/>
          <w:color w:val="000000"/>
          <w:sz w:val="24"/>
          <w:szCs w:val="24"/>
        </w:rPr>
        <w:t>’</w:t>
      </w:r>
      <w:r w:rsidRPr="00455BEE">
        <w:rPr>
          <w:rFonts w:ascii="Times New Roman" w:hAnsi="Times New Roman"/>
          <w:color w:val="000000"/>
          <w:sz w:val="24"/>
          <w:szCs w:val="24"/>
        </w:rPr>
        <w:t xml:space="preserve">s criticism of my growth </w:t>
      </w:r>
      <w:r w:rsidR="004B7E0A">
        <w:rPr>
          <w:rFonts w:ascii="Times New Roman" w:hAnsi="Times New Roman"/>
          <w:color w:val="000000"/>
          <w:sz w:val="24"/>
          <w:szCs w:val="24"/>
        </w:rPr>
        <w:t xml:space="preserve">forecast </w:t>
      </w:r>
      <w:r w:rsidRPr="00455BEE">
        <w:rPr>
          <w:rFonts w:ascii="Times New Roman" w:hAnsi="Times New Roman"/>
          <w:color w:val="000000"/>
          <w:sz w:val="24"/>
          <w:szCs w:val="24"/>
        </w:rPr>
        <w:t xml:space="preserve">is unwarranted and his comparison </w:t>
      </w:r>
      <w:r w:rsidR="000F1E8D">
        <w:rPr>
          <w:rFonts w:ascii="Times New Roman" w:hAnsi="Times New Roman"/>
          <w:color w:val="000000"/>
          <w:sz w:val="24"/>
          <w:szCs w:val="24"/>
        </w:rPr>
        <w:t xml:space="preserve">of my approach </w:t>
      </w:r>
      <w:r w:rsidR="004B7E0A">
        <w:rPr>
          <w:rFonts w:ascii="Times New Roman" w:hAnsi="Times New Roman"/>
          <w:color w:val="000000"/>
          <w:sz w:val="24"/>
          <w:szCs w:val="24"/>
        </w:rPr>
        <w:t xml:space="preserve">to </w:t>
      </w:r>
      <w:r w:rsidRPr="00455BEE">
        <w:rPr>
          <w:rFonts w:ascii="Times New Roman" w:hAnsi="Times New Roman"/>
          <w:color w:val="000000"/>
          <w:sz w:val="24"/>
          <w:szCs w:val="24"/>
        </w:rPr>
        <w:t>forecasted earnings growth rates is misplaced.</w:t>
      </w:r>
    </w:p>
    <w:p w:rsidR="00455BEE" w:rsidRPr="004B7E0A" w:rsidRDefault="004B7E0A" w:rsidP="00455BEE">
      <w:pPr>
        <w:pStyle w:val="FootnoteText"/>
        <w:rPr>
          <w:rFonts w:ascii="Times New Roman" w:hAnsi="Times New Roman"/>
          <w:b/>
          <w:color w:val="000000"/>
          <w:sz w:val="24"/>
          <w:szCs w:val="24"/>
        </w:rPr>
      </w:pPr>
      <w:r w:rsidRPr="004B7E0A">
        <w:rPr>
          <w:rFonts w:ascii="Times New Roman" w:hAnsi="Times New Roman"/>
          <w:b/>
          <w:color w:val="000000"/>
          <w:sz w:val="24"/>
          <w:szCs w:val="24"/>
        </w:rPr>
        <w:t>Q.</w:t>
      </w:r>
      <w:r w:rsidRPr="004B7E0A">
        <w:rPr>
          <w:rFonts w:ascii="Times New Roman" w:hAnsi="Times New Roman"/>
          <w:b/>
          <w:color w:val="000000"/>
          <w:sz w:val="24"/>
          <w:szCs w:val="24"/>
        </w:rPr>
        <w:tab/>
        <w:t xml:space="preserve">How do you respond to </w:t>
      </w:r>
      <w:r>
        <w:rPr>
          <w:rFonts w:ascii="Times New Roman" w:hAnsi="Times New Roman"/>
          <w:b/>
          <w:color w:val="000000"/>
          <w:sz w:val="24"/>
          <w:szCs w:val="24"/>
        </w:rPr>
        <w:t>M</w:t>
      </w:r>
      <w:r w:rsidRPr="004B7E0A">
        <w:rPr>
          <w:rFonts w:ascii="Times New Roman" w:hAnsi="Times New Roman"/>
          <w:b/>
          <w:color w:val="000000"/>
          <w:sz w:val="24"/>
          <w:szCs w:val="24"/>
        </w:rPr>
        <w:t>r. Gorman</w:t>
      </w:r>
      <w:r w:rsidR="003C18EA">
        <w:rPr>
          <w:rFonts w:ascii="Times New Roman" w:hAnsi="Times New Roman"/>
          <w:b/>
          <w:color w:val="000000"/>
          <w:sz w:val="24"/>
          <w:szCs w:val="24"/>
        </w:rPr>
        <w:t>’</w:t>
      </w:r>
      <w:r w:rsidRPr="004B7E0A">
        <w:rPr>
          <w:rFonts w:ascii="Times New Roman" w:hAnsi="Times New Roman"/>
          <w:b/>
          <w:color w:val="000000"/>
          <w:sz w:val="24"/>
          <w:szCs w:val="24"/>
        </w:rPr>
        <w:t xml:space="preserve">s criticisms of your </w:t>
      </w:r>
      <w:r w:rsidR="004846F5">
        <w:rPr>
          <w:rFonts w:ascii="Times New Roman" w:hAnsi="Times New Roman"/>
          <w:b/>
          <w:color w:val="000000"/>
          <w:sz w:val="24"/>
          <w:szCs w:val="24"/>
        </w:rPr>
        <w:t xml:space="preserve">equity </w:t>
      </w:r>
      <w:r w:rsidRPr="004B7E0A">
        <w:rPr>
          <w:rFonts w:ascii="Times New Roman" w:hAnsi="Times New Roman"/>
          <w:b/>
          <w:color w:val="000000"/>
          <w:sz w:val="24"/>
          <w:szCs w:val="24"/>
        </w:rPr>
        <w:t>risk premium analysis?</w:t>
      </w:r>
    </w:p>
    <w:p w:rsidR="00637AD6" w:rsidRDefault="00455BEE" w:rsidP="00455BEE">
      <w:pPr>
        <w:pStyle w:val="FootnoteText"/>
        <w:rPr>
          <w:rFonts w:ascii="Times New Roman" w:hAnsi="Times New Roman"/>
          <w:color w:val="000000"/>
          <w:sz w:val="24"/>
          <w:szCs w:val="24"/>
        </w:rPr>
      </w:pPr>
      <w:r w:rsidRPr="00455BEE">
        <w:rPr>
          <w:rFonts w:ascii="Times New Roman" w:hAnsi="Times New Roman"/>
          <w:color w:val="000000"/>
          <w:sz w:val="24"/>
          <w:szCs w:val="24"/>
        </w:rPr>
        <w:t>A.</w:t>
      </w:r>
      <w:r w:rsidRPr="00455BEE">
        <w:rPr>
          <w:rFonts w:ascii="Times New Roman" w:hAnsi="Times New Roman"/>
          <w:color w:val="000000"/>
          <w:sz w:val="24"/>
          <w:szCs w:val="24"/>
        </w:rPr>
        <w:tab/>
        <w:t>I find Mr. Gorman</w:t>
      </w:r>
      <w:r w:rsidR="003C18EA">
        <w:rPr>
          <w:rFonts w:ascii="Times New Roman" w:hAnsi="Times New Roman"/>
          <w:color w:val="000000"/>
          <w:sz w:val="24"/>
          <w:szCs w:val="24"/>
        </w:rPr>
        <w:t>’</w:t>
      </w:r>
      <w:r w:rsidRPr="00455BEE">
        <w:rPr>
          <w:rFonts w:ascii="Times New Roman" w:hAnsi="Times New Roman"/>
          <w:color w:val="000000"/>
          <w:sz w:val="24"/>
          <w:szCs w:val="24"/>
        </w:rPr>
        <w:t xml:space="preserve">s comments about my </w:t>
      </w:r>
      <w:r w:rsidR="004846F5">
        <w:rPr>
          <w:rFonts w:ascii="Times New Roman" w:hAnsi="Times New Roman"/>
          <w:color w:val="000000"/>
          <w:sz w:val="24"/>
          <w:szCs w:val="24"/>
        </w:rPr>
        <w:t xml:space="preserve">equity </w:t>
      </w:r>
      <w:r w:rsidRPr="00455BEE">
        <w:rPr>
          <w:rFonts w:ascii="Times New Roman" w:hAnsi="Times New Roman"/>
          <w:color w:val="000000"/>
          <w:sz w:val="24"/>
          <w:szCs w:val="24"/>
        </w:rPr>
        <w:t xml:space="preserve">risk premium analysis surprising since he </w:t>
      </w:r>
      <w:r w:rsidR="004B7E0A">
        <w:rPr>
          <w:rFonts w:ascii="Times New Roman" w:hAnsi="Times New Roman"/>
          <w:color w:val="000000"/>
          <w:sz w:val="24"/>
          <w:szCs w:val="24"/>
        </w:rPr>
        <w:t xml:space="preserve">has </w:t>
      </w:r>
      <w:r w:rsidRPr="00455BEE">
        <w:rPr>
          <w:rFonts w:ascii="Times New Roman" w:hAnsi="Times New Roman"/>
          <w:color w:val="000000"/>
          <w:sz w:val="24"/>
          <w:szCs w:val="24"/>
        </w:rPr>
        <w:t xml:space="preserve">relied on </w:t>
      </w:r>
      <w:r w:rsidR="004B7E0A">
        <w:rPr>
          <w:rFonts w:ascii="Times New Roman" w:hAnsi="Times New Roman"/>
          <w:color w:val="000000"/>
          <w:sz w:val="24"/>
          <w:szCs w:val="24"/>
        </w:rPr>
        <w:t>the same data</w:t>
      </w:r>
      <w:r w:rsidRPr="00455BEE">
        <w:rPr>
          <w:rFonts w:ascii="Times New Roman" w:hAnsi="Times New Roman"/>
          <w:color w:val="000000"/>
          <w:sz w:val="24"/>
          <w:szCs w:val="24"/>
        </w:rPr>
        <w:t xml:space="preserve"> in his </w:t>
      </w:r>
      <w:r w:rsidR="004846F5">
        <w:rPr>
          <w:rFonts w:ascii="Times New Roman" w:hAnsi="Times New Roman"/>
          <w:color w:val="000000"/>
          <w:sz w:val="24"/>
          <w:szCs w:val="24"/>
        </w:rPr>
        <w:t xml:space="preserve">equity </w:t>
      </w:r>
      <w:r w:rsidRPr="00455BEE">
        <w:rPr>
          <w:rFonts w:ascii="Times New Roman" w:hAnsi="Times New Roman"/>
          <w:color w:val="000000"/>
          <w:sz w:val="24"/>
          <w:szCs w:val="24"/>
        </w:rPr>
        <w:t xml:space="preserve">risk premium analysis.  He </w:t>
      </w:r>
      <w:r w:rsidR="004B7E0A">
        <w:rPr>
          <w:rFonts w:ascii="Times New Roman" w:hAnsi="Times New Roman"/>
          <w:color w:val="000000"/>
          <w:sz w:val="24"/>
          <w:szCs w:val="24"/>
        </w:rPr>
        <w:t>adopts</w:t>
      </w:r>
      <w:r w:rsidRPr="00455BEE">
        <w:rPr>
          <w:rFonts w:ascii="Times New Roman" w:hAnsi="Times New Roman"/>
          <w:color w:val="000000"/>
          <w:sz w:val="24"/>
          <w:szCs w:val="24"/>
        </w:rPr>
        <w:t xml:space="preserve"> </w:t>
      </w:r>
      <w:r w:rsidR="004B7E0A">
        <w:rPr>
          <w:rFonts w:ascii="Times New Roman" w:hAnsi="Times New Roman"/>
          <w:color w:val="000000"/>
          <w:sz w:val="24"/>
          <w:szCs w:val="24"/>
        </w:rPr>
        <w:t xml:space="preserve">my </w:t>
      </w:r>
      <w:r w:rsidRPr="00455BEE">
        <w:rPr>
          <w:rFonts w:ascii="Times New Roman" w:hAnsi="Times New Roman"/>
          <w:color w:val="000000"/>
          <w:sz w:val="24"/>
          <w:szCs w:val="24"/>
        </w:rPr>
        <w:t xml:space="preserve">commission-authorized ROEs </w:t>
      </w:r>
      <w:r w:rsidR="004B7E0A">
        <w:rPr>
          <w:rFonts w:ascii="Times New Roman" w:hAnsi="Times New Roman"/>
          <w:color w:val="000000"/>
          <w:sz w:val="24"/>
          <w:szCs w:val="24"/>
        </w:rPr>
        <w:t xml:space="preserve">as the basis </w:t>
      </w:r>
      <w:r w:rsidRPr="00455BEE">
        <w:rPr>
          <w:rFonts w:ascii="Times New Roman" w:hAnsi="Times New Roman"/>
          <w:color w:val="000000"/>
          <w:sz w:val="24"/>
          <w:szCs w:val="24"/>
        </w:rPr>
        <w:t xml:space="preserve">to estimate risk premiums and then </w:t>
      </w:r>
      <w:r w:rsidR="000F1E8D">
        <w:rPr>
          <w:rFonts w:ascii="Times New Roman" w:hAnsi="Times New Roman"/>
          <w:color w:val="000000"/>
          <w:sz w:val="24"/>
          <w:szCs w:val="24"/>
        </w:rPr>
        <w:t xml:space="preserve">he </w:t>
      </w:r>
      <w:r w:rsidRPr="00455BEE">
        <w:rPr>
          <w:rFonts w:ascii="Times New Roman" w:hAnsi="Times New Roman"/>
          <w:color w:val="000000"/>
          <w:sz w:val="24"/>
          <w:szCs w:val="24"/>
        </w:rPr>
        <w:t xml:space="preserve">applies </w:t>
      </w:r>
      <w:r w:rsidR="004B7E0A">
        <w:rPr>
          <w:rFonts w:ascii="Times New Roman" w:hAnsi="Times New Roman"/>
          <w:color w:val="000000"/>
          <w:sz w:val="24"/>
          <w:szCs w:val="24"/>
        </w:rPr>
        <w:t>those risk premiums</w:t>
      </w:r>
      <w:r w:rsidRPr="00455BEE">
        <w:rPr>
          <w:rFonts w:ascii="Times New Roman" w:hAnsi="Times New Roman"/>
          <w:color w:val="000000"/>
          <w:sz w:val="24"/>
          <w:szCs w:val="24"/>
        </w:rPr>
        <w:t>, as I do, to both projected and current interest rates.  The primary differences between our approaches is that my historical timeframe is longer (my data go</w:t>
      </w:r>
      <w:r w:rsidR="009E148C">
        <w:rPr>
          <w:rFonts w:ascii="Times New Roman" w:hAnsi="Times New Roman"/>
          <w:color w:val="000000"/>
          <w:sz w:val="24"/>
          <w:szCs w:val="24"/>
        </w:rPr>
        <w:t>es</w:t>
      </w:r>
      <w:r w:rsidRPr="00455BEE">
        <w:rPr>
          <w:rFonts w:ascii="Times New Roman" w:hAnsi="Times New Roman"/>
          <w:color w:val="000000"/>
          <w:sz w:val="24"/>
          <w:szCs w:val="24"/>
        </w:rPr>
        <w:t xml:space="preserve"> back to 1980, Mr. Gorman</w:t>
      </w:r>
      <w:r w:rsidR="003C18EA">
        <w:rPr>
          <w:rFonts w:ascii="Times New Roman" w:hAnsi="Times New Roman"/>
          <w:color w:val="000000"/>
          <w:sz w:val="24"/>
          <w:szCs w:val="24"/>
        </w:rPr>
        <w:t>’</w:t>
      </w:r>
      <w:r w:rsidRPr="00455BEE">
        <w:rPr>
          <w:rFonts w:ascii="Times New Roman" w:hAnsi="Times New Roman"/>
          <w:color w:val="000000"/>
          <w:sz w:val="24"/>
          <w:szCs w:val="24"/>
        </w:rPr>
        <w:t>s to 1986) and I take into account the inverse relationship between interest rate</w:t>
      </w:r>
      <w:r w:rsidR="000F1E8D">
        <w:rPr>
          <w:rFonts w:ascii="Times New Roman" w:hAnsi="Times New Roman"/>
          <w:color w:val="000000"/>
          <w:sz w:val="24"/>
          <w:szCs w:val="24"/>
        </w:rPr>
        <w:t>s</w:t>
      </w:r>
      <w:r w:rsidRPr="00455BEE">
        <w:rPr>
          <w:rFonts w:ascii="Times New Roman" w:hAnsi="Times New Roman"/>
          <w:color w:val="000000"/>
          <w:sz w:val="24"/>
          <w:szCs w:val="24"/>
        </w:rPr>
        <w:t xml:space="preserve"> </w:t>
      </w:r>
      <w:r w:rsidR="000F1E8D">
        <w:rPr>
          <w:rFonts w:ascii="Times New Roman" w:hAnsi="Times New Roman"/>
          <w:color w:val="000000"/>
          <w:sz w:val="24"/>
          <w:szCs w:val="24"/>
        </w:rPr>
        <w:t xml:space="preserve">and </w:t>
      </w:r>
      <w:r w:rsidRPr="00455BEE">
        <w:rPr>
          <w:rFonts w:ascii="Times New Roman" w:hAnsi="Times New Roman"/>
          <w:color w:val="000000"/>
          <w:sz w:val="24"/>
          <w:szCs w:val="24"/>
        </w:rPr>
        <w:t>equity risk premiums</w:t>
      </w:r>
      <w:r w:rsidR="004B7E0A">
        <w:rPr>
          <w:rFonts w:ascii="Times New Roman" w:hAnsi="Times New Roman"/>
          <w:color w:val="000000"/>
          <w:sz w:val="24"/>
          <w:szCs w:val="24"/>
        </w:rPr>
        <w:t xml:space="preserve">.  As I demonstrated previously, had Mr. Gorman included this fundamental relationship in his analysis, his </w:t>
      </w:r>
      <w:r w:rsidR="004846F5">
        <w:rPr>
          <w:rFonts w:ascii="Times New Roman" w:hAnsi="Times New Roman"/>
          <w:color w:val="000000"/>
          <w:sz w:val="24"/>
          <w:szCs w:val="24"/>
        </w:rPr>
        <w:t xml:space="preserve">equity </w:t>
      </w:r>
      <w:r w:rsidR="004B7E0A">
        <w:rPr>
          <w:rFonts w:ascii="Times New Roman" w:hAnsi="Times New Roman"/>
          <w:color w:val="000000"/>
          <w:sz w:val="24"/>
          <w:szCs w:val="24"/>
        </w:rPr>
        <w:t xml:space="preserve">risk premium </w:t>
      </w:r>
      <w:r w:rsidR="000F1E8D">
        <w:rPr>
          <w:rFonts w:ascii="Times New Roman" w:hAnsi="Times New Roman"/>
          <w:color w:val="000000"/>
          <w:sz w:val="24"/>
          <w:szCs w:val="24"/>
        </w:rPr>
        <w:t xml:space="preserve">analysis </w:t>
      </w:r>
      <w:r w:rsidR="004B7E0A">
        <w:rPr>
          <w:rFonts w:ascii="Times New Roman" w:hAnsi="Times New Roman"/>
          <w:color w:val="000000"/>
          <w:sz w:val="24"/>
          <w:szCs w:val="24"/>
        </w:rPr>
        <w:t xml:space="preserve">would have </w:t>
      </w:r>
      <w:r w:rsidR="000F1E8D">
        <w:rPr>
          <w:rFonts w:ascii="Times New Roman" w:hAnsi="Times New Roman"/>
          <w:color w:val="000000"/>
          <w:sz w:val="24"/>
          <w:szCs w:val="24"/>
        </w:rPr>
        <w:t>produced an ROE</w:t>
      </w:r>
      <w:r w:rsidR="004B7E0A">
        <w:rPr>
          <w:rFonts w:ascii="Times New Roman" w:hAnsi="Times New Roman"/>
          <w:color w:val="000000"/>
          <w:sz w:val="24"/>
          <w:szCs w:val="24"/>
        </w:rPr>
        <w:t xml:space="preserve"> above 10 percent.</w:t>
      </w:r>
    </w:p>
    <w:p w:rsidR="00637AD6" w:rsidRPr="00637AD6" w:rsidRDefault="00637AD6" w:rsidP="00637AD6">
      <w:pPr>
        <w:pStyle w:val="FootnoteText"/>
        <w:rPr>
          <w:rFonts w:ascii="Times New Roman" w:hAnsi="Times New Roman"/>
          <w:b/>
          <w:color w:val="000000"/>
          <w:sz w:val="24"/>
          <w:szCs w:val="24"/>
        </w:rPr>
      </w:pPr>
      <w:r w:rsidRPr="00637AD6">
        <w:rPr>
          <w:rFonts w:ascii="Times New Roman" w:hAnsi="Times New Roman"/>
          <w:b/>
          <w:color w:val="000000"/>
          <w:sz w:val="24"/>
          <w:szCs w:val="24"/>
        </w:rPr>
        <w:t>Update of ROE Estimates</w:t>
      </w:r>
    </w:p>
    <w:p w:rsidR="00637AD6" w:rsidRPr="007D38CE" w:rsidRDefault="00637AD6" w:rsidP="00637AD6">
      <w:pPr>
        <w:jc w:val="left"/>
        <w:rPr>
          <w:rFonts w:ascii="Times New Roman" w:hAnsi="Times New Roman"/>
          <w:b/>
        </w:rPr>
      </w:pPr>
      <w:r>
        <w:rPr>
          <w:rFonts w:ascii="Times New Roman" w:hAnsi="Times New Roman"/>
          <w:b/>
        </w:rPr>
        <w:t>Q.</w:t>
      </w:r>
      <w:r w:rsidRPr="007D38CE">
        <w:rPr>
          <w:rFonts w:ascii="Times New Roman" w:hAnsi="Times New Roman"/>
          <w:b/>
        </w:rPr>
        <w:tab/>
        <w:t>Have you updated your ROE analysis to take into account recent data and the current conditions in the capital markets?</w:t>
      </w:r>
    </w:p>
    <w:p w:rsidR="00637AD6" w:rsidRPr="007D38CE" w:rsidRDefault="00637AD6" w:rsidP="00637AD6">
      <w:pPr>
        <w:jc w:val="left"/>
        <w:rPr>
          <w:rFonts w:ascii="Times New Roman" w:hAnsi="Times New Roman"/>
        </w:rPr>
      </w:pPr>
      <w:r>
        <w:rPr>
          <w:rFonts w:ascii="Times New Roman" w:hAnsi="Times New Roman"/>
        </w:rPr>
        <w:t>A.</w:t>
      </w:r>
      <w:r w:rsidRPr="007D38CE">
        <w:rPr>
          <w:rFonts w:ascii="Times New Roman" w:hAnsi="Times New Roman"/>
        </w:rPr>
        <w:tab/>
        <w:t xml:space="preserve">Yes.  Consistent with my customary practice, I have updated my ROE analysis for current conditions using the same methodologies that I employed in my </w:t>
      </w:r>
      <w:r w:rsidR="004846F5">
        <w:rPr>
          <w:rFonts w:ascii="Times New Roman" w:hAnsi="Times New Roman"/>
        </w:rPr>
        <w:t>direct testimony</w:t>
      </w:r>
      <w:r w:rsidRPr="007D38CE">
        <w:rPr>
          <w:rFonts w:ascii="Times New Roman" w:hAnsi="Times New Roman"/>
        </w:rPr>
        <w:t xml:space="preserve">.  </w:t>
      </w:r>
    </w:p>
    <w:p w:rsidR="00637AD6" w:rsidRPr="007D38CE" w:rsidRDefault="00637AD6" w:rsidP="00637AD6">
      <w:pPr>
        <w:jc w:val="left"/>
        <w:rPr>
          <w:rFonts w:ascii="Times New Roman" w:hAnsi="Times New Roman"/>
          <w:b/>
        </w:rPr>
      </w:pPr>
      <w:r>
        <w:rPr>
          <w:rFonts w:ascii="Times New Roman" w:hAnsi="Times New Roman"/>
          <w:b/>
        </w:rPr>
        <w:t>Q.</w:t>
      </w:r>
      <w:r w:rsidRPr="007D38CE">
        <w:rPr>
          <w:rFonts w:ascii="Times New Roman" w:hAnsi="Times New Roman"/>
          <w:b/>
        </w:rPr>
        <w:tab/>
        <w:t>What are the results of your updated DCF analyses?</w:t>
      </w:r>
    </w:p>
    <w:p w:rsidR="00637AD6" w:rsidRPr="007D38CE" w:rsidRDefault="00637AD6" w:rsidP="00637AD6">
      <w:pPr>
        <w:jc w:val="left"/>
        <w:rPr>
          <w:rFonts w:ascii="Times New Roman" w:hAnsi="Times New Roman"/>
        </w:rPr>
      </w:pPr>
      <w:r>
        <w:rPr>
          <w:rFonts w:ascii="Times New Roman" w:hAnsi="Times New Roman"/>
        </w:rPr>
        <w:t>A.</w:t>
      </w:r>
      <w:r w:rsidRPr="007D38CE">
        <w:rPr>
          <w:rFonts w:ascii="Times New Roman" w:hAnsi="Times New Roman"/>
        </w:rPr>
        <w:tab/>
        <w:t xml:space="preserve">My updated DCF results are shown in </w:t>
      </w:r>
      <w:r w:rsidR="00C94F38">
        <w:rPr>
          <w:rFonts w:ascii="Times New Roman" w:hAnsi="Times New Roman"/>
        </w:rPr>
        <w:t>Exhibit No.___(SCH-</w:t>
      </w:r>
      <w:r w:rsidR="004010D4" w:rsidRPr="001718FE">
        <w:rPr>
          <w:rFonts w:ascii="Times New Roman" w:hAnsi="Times New Roman"/>
        </w:rPr>
        <w:t>1</w:t>
      </w:r>
      <w:r w:rsidR="00C13097">
        <w:rPr>
          <w:rFonts w:ascii="Times New Roman" w:hAnsi="Times New Roman"/>
        </w:rPr>
        <w:t>2</w:t>
      </w:r>
      <w:r>
        <w:rPr>
          <w:rFonts w:ascii="Times New Roman" w:hAnsi="Times New Roman"/>
        </w:rPr>
        <w:t>)</w:t>
      </w:r>
      <w:r w:rsidRPr="007D38CE">
        <w:rPr>
          <w:rFonts w:ascii="Times New Roman" w:hAnsi="Times New Roman"/>
        </w:rPr>
        <w:t>.  The indicated DCF range is 1</w:t>
      </w:r>
      <w:r w:rsidR="00C94F38">
        <w:rPr>
          <w:rFonts w:ascii="Times New Roman" w:hAnsi="Times New Roman"/>
        </w:rPr>
        <w:t>0.3</w:t>
      </w:r>
      <w:r w:rsidRPr="007D38CE">
        <w:rPr>
          <w:rFonts w:ascii="Times New Roman" w:hAnsi="Times New Roman"/>
        </w:rPr>
        <w:t xml:space="preserve"> percent to 1</w:t>
      </w:r>
      <w:r>
        <w:rPr>
          <w:rFonts w:ascii="Times New Roman" w:hAnsi="Times New Roman"/>
        </w:rPr>
        <w:t>0.8</w:t>
      </w:r>
      <w:r w:rsidRPr="007D38CE">
        <w:rPr>
          <w:rFonts w:ascii="Times New Roman" w:hAnsi="Times New Roman"/>
        </w:rPr>
        <w:t xml:space="preserve"> percent, with a midpoint of 1</w:t>
      </w:r>
      <w:r>
        <w:rPr>
          <w:rFonts w:ascii="Times New Roman" w:hAnsi="Times New Roman"/>
        </w:rPr>
        <w:t>0</w:t>
      </w:r>
      <w:r w:rsidRPr="007D38CE">
        <w:rPr>
          <w:rFonts w:ascii="Times New Roman" w:hAnsi="Times New Roman"/>
        </w:rPr>
        <w:t>.</w:t>
      </w:r>
      <w:r w:rsidR="00C94F38">
        <w:rPr>
          <w:rFonts w:ascii="Times New Roman" w:hAnsi="Times New Roman"/>
        </w:rPr>
        <w:t>55</w:t>
      </w:r>
      <w:r w:rsidRPr="007D38CE">
        <w:rPr>
          <w:rFonts w:ascii="Times New Roman" w:hAnsi="Times New Roman"/>
        </w:rPr>
        <w:t xml:space="preserve"> percent.</w:t>
      </w:r>
    </w:p>
    <w:p w:rsidR="00637AD6" w:rsidRPr="007D38CE" w:rsidRDefault="00637AD6" w:rsidP="00637AD6">
      <w:pPr>
        <w:rPr>
          <w:rFonts w:ascii="Times New Roman" w:hAnsi="Times New Roman"/>
          <w:b/>
        </w:rPr>
      </w:pPr>
      <w:r>
        <w:rPr>
          <w:rFonts w:ascii="Times New Roman" w:hAnsi="Times New Roman"/>
          <w:b/>
        </w:rPr>
        <w:t>Q.</w:t>
      </w:r>
      <w:r w:rsidRPr="007D38CE">
        <w:rPr>
          <w:rFonts w:ascii="Times New Roman" w:hAnsi="Times New Roman"/>
          <w:b/>
        </w:rPr>
        <w:tab/>
        <w:t xml:space="preserve">What are the results of your updated bond yield plus </w:t>
      </w:r>
      <w:r w:rsidR="004846F5">
        <w:rPr>
          <w:rFonts w:ascii="Times New Roman" w:hAnsi="Times New Roman"/>
          <w:b/>
        </w:rPr>
        <w:t xml:space="preserve">equity </w:t>
      </w:r>
      <w:r w:rsidRPr="007D38CE">
        <w:rPr>
          <w:rFonts w:ascii="Times New Roman" w:hAnsi="Times New Roman"/>
          <w:b/>
        </w:rPr>
        <w:t>risk premium analysis?</w:t>
      </w:r>
    </w:p>
    <w:p w:rsidR="00637AD6" w:rsidRDefault="00637AD6" w:rsidP="00637AD6">
      <w:pPr>
        <w:jc w:val="left"/>
        <w:rPr>
          <w:rFonts w:ascii="Times New Roman" w:hAnsi="Times New Roman"/>
        </w:rPr>
      </w:pPr>
      <w:r>
        <w:rPr>
          <w:rFonts w:ascii="Times New Roman" w:hAnsi="Times New Roman"/>
        </w:rPr>
        <w:t>A.</w:t>
      </w:r>
      <w:r w:rsidRPr="007D38CE">
        <w:rPr>
          <w:rFonts w:ascii="Times New Roman" w:hAnsi="Times New Roman"/>
        </w:rPr>
        <w:tab/>
      </w:r>
      <w:r>
        <w:rPr>
          <w:rFonts w:ascii="Times New Roman" w:hAnsi="Times New Roman"/>
        </w:rPr>
        <w:t>M</w:t>
      </w:r>
      <w:r w:rsidRPr="00B51AFB">
        <w:rPr>
          <w:rFonts w:ascii="Times New Roman" w:hAnsi="Times New Roman"/>
        </w:rPr>
        <w:t xml:space="preserve">y </w:t>
      </w:r>
      <w:r>
        <w:rPr>
          <w:rFonts w:ascii="Times New Roman" w:hAnsi="Times New Roman"/>
        </w:rPr>
        <w:t xml:space="preserve">equity </w:t>
      </w:r>
      <w:r w:rsidRPr="00B51AFB">
        <w:rPr>
          <w:rFonts w:ascii="Times New Roman" w:hAnsi="Times New Roman"/>
        </w:rPr>
        <w:t>risk premium studies are shown in Exhibit</w:t>
      </w:r>
      <w:r>
        <w:rPr>
          <w:rFonts w:ascii="Times New Roman" w:hAnsi="Times New Roman"/>
        </w:rPr>
        <w:t xml:space="preserve"> No.___(</w:t>
      </w:r>
      <w:smartTag w:uri="urn:schemas-microsoft-com:office:smarttags" w:element="stockticker">
        <w:r>
          <w:rPr>
            <w:rFonts w:ascii="Times New Roman" w:hAnsi="Times New Roman"/>
          </w:rPr>
          <w:t>SCH</w:t>
        </w:r>
      </w:smartTag>
      <w:r>
        <w:rPr>
          <w:rFonts w:ascii="Times New Roman" w:hAnsi="Times New Roman"/>
        </w:rPr>
        <w:t>-</w:t>
      </w:r>
      <w:r w:rsidR="004010D4" w:rsidRPr="001718FE">
        <w:rPr>
          <w:rFonts w:ascii="Times New Roman" w:hAnsi="Times New Roman"/>
        </w:rPr>
        <w:t>1</w:t>
      </w:r>
      <w:r w:rsidR="00C13097">
        <w:rPr>
          <w:rFonts w:ascii="Times New Roman" w:hAnsi="Times New Roman"/>
        </w:rPr>
        <w:t>3</w:t>
      </w:r>
      <w:r w:rsidRPr="001718FE">
        <w:rPr>
          <w:rFonts w:ascii="Times New Roman" w:hAnsi="Times New Roman"/>
        </w:rPr>
        <w:t>)</w:t>
      </w:r>
      <w:r>
        <w:rPr>
          <w:rFonts w:ascii="Times New Roman" w:hAnsi="Times New Roman"/>
        </w:rPr>
        <w:t>.</w:t>
      </w:r>
      <w:r w:rsidRPr="00B51AFB">
        <w:rPr>
          <w:rFonts w:ascii="Times New Roman" w:hAnsi="Times New Roman"/>
        </w:rPr>
        <w:t xml:space="preserve">  These studies </w:t>
      </w:r>
      <w:r>
        <w:rPr>
          <w:rFonts w:ascii="Times New Roman" w:hAnsi="Times New Roman"/>
        </w:rPr>
        <w:t xml:space="preserve">indicate </w:t>
      </w:r>
      <w:r w:rsidRPr="00B51AFB">
        <w:rPr>
          <w:rFonts w:ascii="Times New Roman" w:hAnsi="Times New Roman"/>
        </w:rPr>
        <w:t xml:space="preserve">an ROE range </w:t>
      </w:r>
      <w:r w:rsidRPr="009F6CEC">
        <w:rPr>
          <w:rFonts w:ascii="Times New Roman" w:hAnsi="Times New Roman"/>
        </w:rPr>
        <w:t xml:space="preserve">of </w:t>
      </w:r>
      <w:r>
        <w:rPr>
          <w:rFonts w:ascii="Times New Roman" w:hAnsi="Times New Roman"/>
        </w:rPr>
        <w:t>9.74</w:t>
      </w:r>
      <w:r w:rsidRPr="009F6CEC">
        <w:rPr>
          <w:rFonts w:ascii="Times New Roman" w:hAnsi="Times New Roman"/>
        </w:rPr>
        <w:t xml:space="preserve"> </w:t>
      </w:r>
      <w:r>
        <w:rPr>
          <w:rFonts w:ascii="Times New Roman" w:hAnsi="Times New Roman"/>
        </w:rPr>
        <w:t>percent to 9.94</w:t>
      </w:r>
      <w:r w:rsidRPr="00B51AFB">
        <w:rPr>
          <w:rFonts w:ascii="Times New Roman" w:hAnsi="Times New Roman"/>
        </w:rPr>
        <w:t xml:space="preserve"> percent</w:t>
      </w:r>
      <w:r>
        <w:rPr>
          <w:rFonts w:ascii="Times New Roman" w:hAnsi="Times New Roman"/>
        </w:rPr>
        <w:t>.  Under current market conditions, I discount these results because current utility bond yields are artificially depressed by government monetary policy and investors</w:t>
      </w:r>
      <w:r w:rsidR="003C18EA">
        <w:rPr>
          <w:rFonts w:ascii="Times New Roman" w:hAnsi="Times New Roman"/>
        </w:rPr>
        <w:t>’</w:t>
      </w:r>
      <w:r>
        <w:rPr>
          <w:rFonts w:ascii="Times New Roman" w:hAnsi="Times New Roman"/>
        </w:rPr>
        <w:t xml:space="preserve"> continuing flight to safety away from the ongoing turbulence in the equity capital market.</w:t>
      </w:r>
    </w:p>
    <w:p w:rsidR="00637AD6" w:rsidRPr="007D38CE" w:rsidRDefault="00637AD6" w:rsidP="00637AD6">
      <w:pPr>
        <w:jc w:val="left"/>
        <w:rPr>
          <w:rFonts w:ascii="Times New Roman" w:hAnsi="Times New Roman"/>
          <w:b/>
        </w:rPr>
      </w:pPr>
      <w:r>
        <w:rPr>
          <w:rFonts w:ascii="Times New Roman" w:hAnsi="Times New Roman"/>
          <w:b/>
        </w:rPr>
        <w:t>Q.</w:t>
      </w:r>
      <w:r w:rsidRPr="007D38CE">
        <w:rPr>
          <w:rFonts w:ascii="Times New Roman" w:hAnsi="Times New Roman"/>
          <w:b/>
        </w:rPr>
        <w:tab/>
        <w:t>What do you conclude from your updated ROE analyses?</w:t>
      </w:r>
    </w:p>
    <w:p w:rsidR="00637AD6" w:rsidRPr="007D38CE" w:rsidRDefault="00637AD6" w:rsidP="0034397E">
      <w:pPr>
        <w:jc w:val="left"/>
        <w:rPr>
          <w:rFonts w:ascii="Times New Roman" w:hAnsi="Times New Roman"/>
        </w:rPr>
      </w:pPr>
      <w:r>
        <w:rPr>
          <w:rFonts w:ascii="Times New Roman" w:hAnsi="Times New Roman"/>
        </w:rPr>
        <w:t>A.</w:t>
      </w:r>
      <w:r w:rsidRPr="007D38CE">
        <w:rPr>
          <w:rFonts w:ascii="Times New Roman" w:hAnsi="Times New Roman"/>
        </w:rPr>
        <w:tab/>
        <w:t xml:space="preserve">My updated </w:t>
      </w:r>
      <w:r>
        <w:rPr>
          <w:rFonts w:ascii="Times New Roman" w:hAnsi="Times New Roman"/>
        </w:rPr>
        <w:t xml:space="preserve">DCF </w:t>
      </w:r>
      <w:r w:rsidRPr="007D38CE">
        <w:rPr>
          <w:rFonts w:ascii="Times New Roman" w:hAnsi="Times New Roman"/>
        </w:rPr>
        <w:t>analys</w:t>
      </w:r>
      <w:r>
        <w:rPr>
          <w:rFonts w:ascii="Times New Roman" w:hAnsi="Times New Roman"/>
        </w:rPr>
        <w:t>i</w:t>
      </w:r>
      <w:r w:rsidRPr="007D38CE">
        <w:rPr>
          <w:rFonts w:ascii="Times New Roman" w:hAnsi="Times New Roman"/>
        </w:rPr>
        <w:t>s show</w:t>
      </w:r>
      <w:r>
        <w:rPr>
          <w:rFonts w:ascii="Times New Roman" w:hAnsi="Times New Roman"/>
        </w:rPr>
        <w:t>s</w:t>
      </w:r>
      <w:r w:rsidRPr="007D38CE">
        <w:rPr>
          <w:rFonts w:ascii="Times New Roman" w:hAnsi="Times New Roman"/>
        </w:rPr>
        <w:t xml:space="preserve"> that </w:t>
      </w:r>
      <w:r w:rsidR="00C94F38">
        <w:rPr>
          <w:rFonts w:ascii="Times New Roman" w:hAnsi="Times New Roman"/>
        </w:rPr>
        <w:t>PacifiCorp</w:t>
      </w:r>
      <w:r w:rsidR="003C18EA">
        <w:rPr>
          <w:rFonts w:ascii="Times New Roman" w:hAnsi="Times New Roman"/>
        </w:rPr>
        <w:t>’</w:t>
      </w:r>
      <w:r w:rsidR="00C94F38">
        <w:rPr>
          <w:rFonts w:ascii="Times New Roman" w:hAnsi="Times New Roman"/>
        </w:rPr>
        <w:t>s</w:t>
      </w:r>
      <w:r w:rsidRPr="007D38CE">
        <w:rPr>
          <w:rFonts w:ascii="Times New Roman" w:hAnsi="Times New Roman"/>
        </w:rPr>
        <w:t xml:space="preserve"> current cost of equity capital is in the range of 1</w:t>
      </w:r>
      <w:r>
        <w:rPr>
          <w:rFonts w:ascii="Times New Roman" w:hAnsi="Times New Roman"/>
        </w:rPr>
        <w:t>0.</w:t>
      </w:r>
      <w:r w:rsidR="00C94F38">
        <w:rPr>
          <w:rFonts w:ascii="Times New Roman" w:hAnsi="Times New Roman"/>
        </w:rPr>
        <w:t>3</w:t>
      </w:r>
      <w:r w:rsidRPr="007D38CE">
        <w:rPr>
          <w:rFonts w:ascii="Times New Roman" w:hAnsi="Times New Roman"/>
        </w:rPr>
        <w:t xml:space="preserve"> percent to 1</w:t>
      </w:r>
      <w:r w:rsidR="0034397E">
        <w:rPr>
          <w:rFonts w:ascii="Times New Roman" w:hAnsi="Times New Roman"/>
        </w:rPr>
        <w:t>0.8</w:t>
      </w:r>
      <w:r w:rsidRPr="007D38CE">
        <w:rPr>
          <w:rFonts w:ascii="Times New Roman" w:hAnsi="Times New Roman"/>
        </w:rPr>
        <w:t xml:space="preserve"> percent</w:t>
      </w:r>
      <w:r>
        <w:rPr>
          <w:rFonts w:ascii="Times New Roman" w:hAnsi="Times New Roman"/>
        </w:rPr>
        <w:t xml:space="preserve">.  These results show that </w:t>
      </w:r>
      <w:r w:rsidR="0034397E">
        <w:rPr>
          <w:rFonts w:ascii="Times New Roman" w:hAnsi="Times New Roman"/>
        </w:rPr>
        <w:t>the Company</w:t>
      </w:r>
      <w:r w:rsidR="003C18EA">
        <w:rPr>
          <w:rFonts w:ascii="Times New Roman" w:hAnsi="Times New Roman"/>
        </w:rPr>
        <w:t>’</w:t>
      </w:r>
      <w:r w:rsidR="0034397E">
        <w:rPr>
          <w:rFonts w:ascii="Times New Roman" w:hAnsi="Times New Roman"/>
        </w:rPr>
        <w:t xml:space="preserve">s requested </w:t>
      </w:r>
      <w:r>
        <w:rPr>
          <w:rFonts w:ascii="Times New Roman" w:hAnsi="Times New Roman"/>
        </w:rPr>
        <w:t>ROE of 10.</w:t>
      </w:r>
      <w:r w:rsidR="0034397E">
        <w:rPr>
          <w:rFonts w:ascii="Times New Roman" w:hAnsi="Times New Roman"/>
        </w:rPr>
        <w:t>6</w:t>
      </w:r>
      <w:r>
        <w:rPr>
          <w:rFonts w:ascii="Times New Roman" w:hAnsi="Times New Roman"/>
        </w:rPr>
        <w:t xml:space="preserve"> percent is reasonable and that</w:t>
      </w:r>
      <w:r w:rsidRPr="007D38CE">
        <w:rPr>
          <w:rFonts w:ascii="Times New Roman" w:hAnsi="Times New Roman"/>
        </w:rPr>
        <w:t xml:space="preserve"> the recommendation</w:t>
      </w:r>
      <w:r>
        <w:rPr>
          <w:rFonts w:ascii="Times New Roman" w:hAnsi="Times New Roman"/>
        </w:rPr>
        <w:t>s</w:t>
      </w:r>
      <w:r w:rsidRPr="007D38CE">
        <w:rPr>
          <w:rFonts w:ascii="Times New Roman" w:hAnsi="Times New Roman"/>
        </w:rPr>
        <w:t xml:space="preserve"> of </w:t>
      </w:r>
      <w:r>
        <w:rPr>
          <w:rFonts w:ascii="Times New Roman" w:hAnsi="Times New Roman"/>
        </w:rPr>
        <w:t xml:space="preserve">Mr. </w:t>
      </w:r>
      <w:r w:rsidR="0034397E">
        <w:rPr>
          <w:rFonts w:ascii="Times New Roman" w:hAnsi="Times New Roman"/>
        </w:rPr>
        <w:t>Elgin</w:t>
      </w:r>
      <w:r>
        <w:rPr>
          <w:rFonts w:ascii="Times New Roman" w:hAnsi="Times New Roman"/>
        </w:rPr>
        <w:t xml:space="preserve"> and </w:t>
      </w:r>
      <w:r w:rsidRPr="007D38CE">
        <w:rPr>
          <w:rFonts w:ascii="Times New Roman" w:hAnsi="Times New Roman"/>
        </w:rPr>
        <w:t>M</w:t>
      </w:r>
      <w:r w:rsidR="0034397E">
        <w:rPr>
          <w:rFonts w:ascii="Times New Roman" w:hAnsi="Times New Roman"/>
        </w:rPr>
        <w:t>r. Gorman</w:t>
      </w:r>
      <w:r w:rsidRPr="007D38CE">
        <w:rPr>
          <w:rFonts w:ascii="Times New Roman" w:hAnsi="Times New Roman"/>
        </w:rPr>
        <w:t xml:space="preserve">, as discussed herein, </w:t>
      </w:r>
      <w:r>
        <w:rPr>
          <w:rFonts w:ascii="Times New Roman" w:hAnsi="Times New Roman"/>
        </w:rPr>
        <w:t>are</w:t>
      </w:r>
      <w:r w:rsidRPr="007D38CE">
        <w:rPr>
          <w:rFonts w:ascii="Times New Roman" w:hAnsi="Times New Roman"/>
        </w:rPr>
        <w:t xml:space="preserve"> </w:t>
      </w:r>
      <w:r>
        <w:rPr>
          <w:rFonts w:ascii="Times New Roman" w:hAnsi="Times New Roman"/>
        </w:rPr>
        <w:t>un</w:t>
      </w:r>
      <w:r w:rsidRPr="007D38CE">
        <w:rPr>
          <w:rFonts w:ascii="Times New Roman" w:hAnsi="Times New Roman"/>
        </w:rPr>
        <w:t>reasonabl</w:t>
      </w:r>
      <w:r>
        <w:rPr>
          <w:rFonts w:ascii="Times New Roman" w:hAnsi="Times New Roman"/>
        </w:rPr>
        <w:t>y low.</w:t>
      </w:r>
    </w:p>
    <w:p w:rsidR="00637AD6" w:rsidRPr="007D38CE" w:rsidRDefault="00637AD6" w:rsidP="0034397E">
      <w:pPr>
        <w:jc w:val="left"/>
        <w:rPr>
          <w:rFonts w:ascii="Times New Roman" w:hAnsi="Times New Roman"/>
          <w:b/>
        </w:rPr>
      </w:pPr>
      <w:r>
        <w:rPr>
          <w:rFonts w:ascii="Times New Roman" w:hAnsi="Times New Roman"/>
          <w:b/>
        </w:rPr>
        <w:t>Q</w:t>
      </w:r>
      <w:r w:rsidR="0034397E">
        <w:rPr>
          <w:rFonts w:ascii="Times New Roman" w:hAnsi="Times New Roman"/>
          <w:b/>
        </w:rPr>
        <w:t>.</w:t>
      </w:r>
      <w:r w:rsidRPr="007D38CE">
        <w:rPr>
          <w:rFonts w:ascii="Times New Roman" w:hAnsi="Times New Roman"/>
          <w:b/>
        </w:rPr>
        <w:tab/>
        <w:t>Are you providing a CAPM analysis in your ROE update?</w:t>
      </w:r>
    </w:p>
    <w:p w:rsidR="00637AD6" w:rsidRPr="007D38CE" w:rsidRDefault="0034397E" w:rsidP="0034397E">
      <w:pPr>
        <w:jc w:val="left"/>
        <w:rPr>
          <w:rFonts w:ascii="Times New Roman" w:hAnsi="Times New Roman"/>
        </w:rPr>
      </w:pPr>
      <w:r>
        <w:rPr>
          <w:rFonts w:ascii="Times New Roman" w:hAnsi="Times New Roman"/>
        </w:rPr>
        <w:t>A.</w:t>
      </w:r>
      <w:r w:rsidR="00637AD6" w:rsidRPr="007D38CE">
        <w:rPr>
          <w:rFonts w:ascii="Times New Roman" w:hAnsi="Times New Roman"/>
        </w:rPr>
        <w:tab/>
        <w:t>No.  As I explained previously, government monetary policies and recent flight to safety issues have pushed Treasury bond interest rates to artificially low levels</w:t>
      </w:r>
      <w:r>
        <w:rPr>
          <w:rFonts w:ascii="Times New Roman" w:hAnsi="Times New Roman"/>
        </w:rPr>
        <w:t>.</w:t>
      </w:r>
      <w:r w:rsidR="00637AD6" w:rsidRPr="007D38CE">
        <w:rPr>
          <w:rFonts w:ascii="Times New Roman" w:hAnsi="Times New Roman"/>
        </w:rPr>
        <w:t xml:space="preserve">  In this environment, CAPM estimates understate the market cost of equity capital.  For this reason, I do not include CAPM estimates in my ROE analysis.</w:t>
      </w:r>
    </w:p>
    <w:p w:rsidR="00637AD6" w:rsidRPr="0034397E" w:rsidRDefault="0034397E" w:rsidP="0034397E">
      <w:pPr>
        <w:pStyle w:val="FootnoteText"/>
        <w:rPr>
          <w:rFonts w:ascii="Times New Roman" w:hAnsi="Times New Roman"/>
          <w:b/>
          <w:color w:val="000000"/>
          <w:sz w:val="24"/>
          <w:szCs w:val="24"/>
        </w:rPr>
      </w:pPr>
      <w:r w:rsidRPr="0034397E">
        <w:rPr>
          <w:rFonts w:ascii="Times New Roman" w:hAnsi="Times New Roman"/>
          <w:b/>
          <w:color w:val="000000"/>
          <w:sz w:val="24"/>
          <w:szCs w:val="24"/>
        </w:rPr>
        <w:t>Q.</w:t>
      </w:r>
      <w:r w:rsidRPr="0034397E">
        <w:rPr>
          <w:rFonts w:ascii="Times New Roman" w:hAnsi="Times New Roman"/>
          <w:b/>
          <w:color w:val="000000"/>
          <w:sz w:val="24"/>
          <w:szCs w:val="24"/>
        </w:rPr>
        <w:tab/>
        <w:t>Does this conclude you</w:t>
      </w:r>
      <w:r w:rsidR="008A238F">
        <w:rPr>
          <w:rFonts w:ascii="Times New Roman" w:hAnsi="Times New Roman"/>
          <w:b/>
          <w:color w:val="000000"/>
          <w:sz w:val="24"/>
          <w:szCs w:val="24"/>
        </w:rPr>
        <w:t>r</w:t>
      </w:r>
      <w:r w:rsidRPr="0034397E">
        <w:rPr>
          <w:rFonts w:ascii="Times New Roman" w:hAnsi="Times New Roman"/>
          <w:b/>
          <w:color w:val="000000"/>
          <w:sz w:val="24"/>
          <w:szCs w:val="24"/>
        </w:rPr>
        <w:t xml:space="preserve"> </w:t>
      </w:r>
      <w:r w:rsidR="003C18EA">
        <w:rPr>
          <w:rFonts w:ascii="Times New Roman" w:hAnsi="Times New Roman"/>
          <w:b/>
          <w:color w:val="000000"/>
          <w:sz w:val="24"/>
          <w:szCs w:val="24"/>
        </w:rPr>
        <w:t>r</w:t>
      </w:r>
      <w:r w:rsidRPr="0034397E">
        <w:rPr>
          <w:rFonts w:ascii="Times New Roman" w:hAnsi="Times New Roman"/>
          <w:b/>
          <w:color w:val="000000"/>
          <w:sz w:val="24"/>
          <w:szCs w:val="24"/>
        </w:rPr>
        <w:t xml:space="preserve">ebuttal </w:t>
      </w:r>
      <w:r w:rsidR="003C18EA">
        <w:rPr>
          <w:rFonts w:ascii="Times New Roman" w:hAnsi="Times New Roman"/>
          <w:b/>
          <w:color w:val="000000"/>
          <w:sz w:val="24"/>
          <w:szCs w:val="24"/>
        </w:rPr>
        <w:t>t</w:t>
      </w:r>
      <w:r w:rsidRPr="0034397E">
        <w:rPr>
          <w:rFonts w:ascii="Times New Roman" w:hAnsi="Times New Roman"/>
          <w:b/>
          <w:color w:val="000000"/>
          <w:sz w:val="24"/>
          <w:szCs w:val="24"/>
        </w:rPr>
        <w:t>estimony?</w:t>
      </w:r>
    </w:p>
    <w:p w:rsidR="0034397E" w:rsidRDefault="0034397E" w:rsidP="0034397E">
      <w:pPr>
        <w:pStyle w:val="FootnoteText"/>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t>Yes.</w:t>
      </w:r>
    </w:p>
    <w:sectPr w:rsidR="0034397E" w:rsidSect="00834BBF">
      <w:headerReference w:type="even" r:id="rId13"/>
      <w:headerReference w:type="default" r:id="rId14"/>
      <w:footerReference w:type="even" r:id="rId15"/>
      <w:footerReference w:type="default" r:id="rId16"/>
      <w:headerReference w:type="first" r:id="rId17"/>
      <w:footerReference w:type="first" r:id="rId18"/>
      <w:footnotePr>
        <w:pos w:val="beneathText"/>
      </w:footnotePr>
      <w:pgSz w:w="12240" w:h="15840" w:code="1"/>
      <w:pgMar w:top="1440" w:right="1800" w:bottom="1440" w:left="180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986" w:rsidRDefault="004D7986">
      <w:r>
        <w:separator/>
      </w:r>
    </w:p>
  </w:endnote>
  <w:endnote w:type="continuationSeparator" w:id="0">
    <w:p w:rsidR="004D7986" w:rsidRDefault="004D79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45B" w:rsidRDefault="00A634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50" w:rsidRDefault="00E85B50" w:rsidP="00712DC8">
    <w:pPr>
      <w:pStyle w:val="Footer"/>
      <w:spacing w:line="240" w:lineRule="auto"/>
      <w:rPr>
        <w:rStyle w:val="PageNumber"/>
        <w:rFonts w:ascii="Times New Roman" w:hAnsi="Times New Roman"/>
      </w:rPr>
    </w:pPr>
    <w:r>
      <w:rPr>
        <w:rStyle w:val="PageNumber"/>
        <w:rFonts w:ascii="Times New Roman" w:hAnsi="Times New Roman"/>
      </w:rPr>
      <w:t>Rebuttal</w:t>
    </w:r>
    <w:r w:rsidRPr="00BD44CD">
      <w:rPr>
        <w:rStyle w:val="PageNumber"/>
        <w:rFonts w:ascii="Times New Roman" w:hAnsi="Times New Roman"/>
      </w:rPr>
      <w:t xml:space="preserve"> Testimony of</w:t>
    </w:r>
    <w:r>
      <w:rPr>
        <w:rStyle w:val="PageNumber"/>
        <w:rFonts w:ascii="Times New Roman" w:hAnsi="Times New Roman"/>
      </w:rPr>
      <w:t xml:space="preserve"> Samuel C. Hadaway</w:t>
    </w:r>
    <w:r>
      <w:rPr>
        <w:rStyle w:val="PageNumber"/>
        <w:rFonts w:ascii="Times New Roman" w:hAnsi="Times New Roman"/>
      </w:rPr>
      <w:tab/>
    </w:r>
    <w:r>
      <w:rPr>
        <w:rStyle w:val="PageNumber"/>
        <w:rFonts w:ascii="Times New Roman" w:hAnsi="Times New Roman"/>
      </w:rPr>
      <w:tab/>
      <w:t>Exhibit No.___(SCH-8T)</w:t>
    </w:r>
  </w:p>
  <w:p w:rsidR="00E85B50" w:rsidRPr="00BD44CD" w:rsidRDefault="00E85B50" w:rsidP="00712DC8">
    <w:pPr>
      <w:pStyle w:val="Footer"/>
      <w:spacing w:line="240" w:lineRule="auto"/>
      <w:rPr>
        <w:rStyle w:val="PageNumber"/>
        <w:rFonts w:ascii="Times New Roman" w:hAnsi="Times New Roman"/>
      </w:rPr>
    </w:pPr>
    <w:r>
      <w:rPr>
        <w:rStyle w:val="PageNumber"/>
        <w:rFonts w:ascii="Times New Roman" w:hAnsi="Times New Roman"/>
      </w:rPr>
      <w:tab/>
    </w:r>
    <w:r>
      <w:rPr>
        <w:rStyle w:val="PageNumber"/>
        <w:rFonts w:ascii="Times New Roman" w:hAnsi="Times New Roman"/>
      </w:rPr>
      <w:tab/>
    </w:r>
    <w:r>
      <w:rPr>
        <w:rStyle w:val="PageNumber"/>
        <w:rFonts w:ascii="Times New Roman" w:hAnsi="Times New Roman"/>
      </w:rPr>
      <w:tab/>
      <w:t xml:space="preserve">Page </w:t>
    </w:r>
    <w:r w:rsidR="00282E79" w:rsidRPr="002E0269">
      <w:rPr>
        <w:rStyle w:val="PageNumber"/>
        <w:rFonts w:ascii="Times New Roman" w:hAnsi="Times New Roman"/>
      </w:rPr>
      <w:fldChar w:fldCharType="begin"/>
    </w:r>
    <w:r w:rsidRPr="002E0269">
      <w:rPr>
        <w:rStyle w:val="PageNumber"/>
        <w:rFonts w:ascii="Times New Roman" w:hAnsi="Times New Roman"/>
      </w:rPr>
      <w:instrText xml:space="preserve"> PAGE   \* MERGEFORMAT </w:instrText>
    </w:r>
    <w:r w:rsidR="00282E79" w:rsidRPr="002E0269">
      <w:rPr>
        <w:rStyle w:val="PageNumber"/>
        <w:rFonts w:ascii="Times New Roman" w:hAnsi="Times New Roman"/>
      </w:rPr>
      <w:fldChar w:fldCharType="separate"/>
    </w:r>
    <w:r w:rsidR="00A6345B">
      <w:rPr>
        <w:rStyle w:val="PageNumber"/>
        <w:rFonts w:ascii="Times New Roman" w:hAnsi="Times New Roman"/>
        <w:noProof/>
      </w:rPr>
      <w:t>1</w:t>
    </w:r>
    <w:r w:rsidR="00282E79" w:rsidRPr="002E0269">
      <w:rPr>
        <w:rStyle w:val="PageNumber"/>
        <w:rFonts w:ascii="Times New Roman" w:hAnsi="Times New Roman"/>
      </w:rPr>
      <w:fldChar w:fldCharType="end"/>
    </w:r>
    <w:r w:rsidRPr="00BD44CD">
      <w:rPr>
        <w:rStyle w:val="PageNumber"/>
        <w:rFonts w:ascii="Times New Roman" w:hAnsi="Times New Roman"/>
      </w:rPr>
      <w:tab/>
    </w:r>
  </w:p>
  <w:p w:rsidR="00E85B50" w:rsidRPr="00BD44CD" w:rsidRDefault="00E85B50">
    <w:pPr>
      <w:pStyle w:val="Footer"/>
      <w:spacing w:line="240" w:lineRule="auto"/>
      <w:rPr>
        <w:rFonts w:ascii="Times New Roman" w:hAnsi="Times New Roman"/>
      </w:rPr>
    </w:pPr>
    <w:r>
      <w:rPr>
        <w:rStyle w:val="PageNumber"/>
        <w:rFonts w:ascii="Times New Roman" w:hAnsi="Times New Roman"/>
      </w:rPr>
      <w:tab/>
    </w:r>
    <w:r w:rsidRPr="00BD44CD">
      <w:rPr>
        <w:rStyle w:val="PageNumber"/>
        <w:rFonts w:ascii="Times New Roman" w:hAnsi="Times New Roman"/>
      </w:rPr>
      <w:tab/>
    </w:r>
    <w:r w:rsidRPr="00BD44CD">
      <w:rPr>
        <w:rStyle w:val="PageNumber"/>
        <w:rFonts w:ascii="Times New Roman" w:hAnsi="Times New Roman"/>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45B" w:rsidRDefault="00A634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986" w:rsidRDefault="004D7986">
      <w:r>
        <w:separator/>
      </w:r>
    </w:p>
  </w:footnote>
  <w:footnote w:type="continuationSeparator" w:id="0">
    <w:p w:rsidR="004D7986" w:rsidRDefault="004D7986">
      <w:r>
        <w:continuationSeparator/>
      </w:r>
    </w:p>
  </w:footnote>
  <w:footnote w:id="1">
    <w:p w:rsidR="00E85B50" w:rsidRPr="00571B7E" w:rsidRDefault="00E85B50" w:rsidP="008C4632">
      <w:pPr>
        <w:pStyle w:val="FootnoteText"/>
        <w:rPr>
          <w:rFonts w:ascii="Times New Roman" w:hAnsi="Times New Roman"/>
        </w:rPr>
      </w:pPr>
      <w:r w:rsidRPr="00571B7E">
        <w:rPr>
          <w:rStyle w:val="FootnoteReference"/>
          <w:rFonts w:ascii="Times New Roman" w:hAnsi="Times New Roman"/>
        </w:rPr>
        <w:footnoteRef/>
      </w:r>
      <w:r w:rsidRPr="00571B7E">
        <w:rPr>
          <w:rFonts w:ascii="Times New Roman" w:hAnsi="Times New Roman"/>
        </w:rPr>
        <w:t xml:space="preserve"> Regulatory Focus, Regulatory Research Associates, October 4, 2010.</w:t>
      </w:r>
    </w:p>
  </w:footnote>
  <w:footnote w:id="2">
    <w:p w:rsidR="00E85B50" w:rsidRPr="00742879" w:rsidRDefault="00E85B50">
      <w:pPr>
        <w:pStyle w:val="FootnoteText"/>
        <w:rPr>
          <w:rFonts w:ascii="Times New Roman" w:hAnsi="Times New Roman"/>
        </w:rPr>
      </w:pPr>
      <w:r w:rsidRPr="00742879">
        <w:rPr>
          <w:rStyle w:val="FootnoteReference"/>
          <w:rFonts w:ascii="Times New Roman" w:hAnsi="Times New Roman"/>
          <w:sz w:val="20"/>
          <w:vertAlign w:val="superscript"/>
        </w:rPr>
        <w:footnoteRef/>
      </w:r>
      <w:r w:rsidRPr="00742879">
        <w:rPr>
          <w:rFonts w:ascii="Times New Roman" w:hAnsi="Times New Roman"/>
          <w:vertAlign w:val="superscript"/>
        </w:rPr>
        <w:t xml:space="preserve"> </w:t>
      </w:r>
      <w:r w:rsidRPr="00742879">
        <w:rPr>
          <w:rFonts w:ascii="Times New Roman" w:hAnsi="Times New Roman"/>
        </w:rPr>
        <w:t>See Exhibit No.___(SCH-</w:t>
      </w:r>
      <w:r w:rsidRPr="006843CC">
        <w:rPr>
          <w:rFonts w:ascii="Times New Roman" w:hAnsi="Times New Roman"/>
        </w:rPr>
        <w:t>9</w:t>
      </w:r>
      <w:r w:rsidRPr="00742879">
        <w:rPr>
          <w:rFonts w:ascii="Times New Roman" w:hAnsi="Times New Roman"/>
        </w:rPr>
        <w:t>), page 3.</w:t>
      </w:r>
    </w:p>
  </w:footnote>
  <w:footnote w:id="3">
    <w:p w:rsidR="00E85B50" w:rsidRDefault="00E85B50">
      <w:pPr>
        <w:pStyle w:val="FootnoteText"/>
        <w:spacing w:line="240" w:lineRule="auto"/>
        <w:ind w:left="90" w:hanging="90"/>
        <w:rPr>
          <w:rFonts w:ascii="Times New Roman" w:hAnsi="Times New Roman"/>
        </w:rPr>
      </w:pPr>
      <w:r w:rsidRPr="004010D4">
        <w:rPr>
          <w:rStyle w:val="FootnoteReference"/>
          <w:rFonts w:ascii="Times New Roman" w:hAnsi="Times New Roman"/>
          <w:sz w:val="20"/>
        </w:rPr>
        <w:footnoteRef/>
      </w:r>
      <w:r w:rsidRPr="004010D4">
        <w:rPr>
          <w:rFonts w:ascii="Times New Roman" w:hAnsi="Times New Roman"/>
        </w:rPr>
        <w:t xml:space="preserve">  WUTC v. Puget </w:t>
      </w:r>
      <w:r>
        <w:rPr>
          <w:rFonts w:ascii="Times New Roman" w:hAnsi="Times New Roman"/>
        </w:rPr>
        <w:t xml:space="preserve">Sound Energy </w:t>
      </w:r>
      <w:r w:rsidRPr="004010D4">
        <w:rPr>
          <w:rFonts w:ascii="Times New Roman" w:hAnsi="Times New Roman"/>
          <w:color w:val="000000"/>
        </w:rPr>
        <w:t>Order</w:t>
      </w:r>
      <w:r>
        <w:rPr>
          <w:rFonts w:ascii="Times New Roman" w:hAnsi="Times New Roman"/>
          <w:color w:val="000000"/>
        </w:rPr>
        <w:t xml:space="preserve"> No.</w:t>
      </w:r>
      <w:r w:rsidRPr="004010D4">
        <w:rPr>
          <w:rFonts w:ascii="Times New Roman" w:hAnsi="Times New Roman"/>
          <w:color w:val="000000"/>
        </w:rPr>
        <w:t xml:space="preserve"> 11 in Docket UE 090704,</w:t>
      </w:r>
      <w:r w:rsidRPr="00271308">
        <w:rPr>
          <w:rFonts w:ascii="Times New Roman" w:hAnsi="Times New Roman"/>
        </w:rPr>
        <w:t xml:space="preserve"> UG-090795</w:t>
      </w:r>
      <w:r w:rsidRPr="004010D4">
        <w:rPr>
          <w:rFonts w:ascii="Times New Roman" w:hAnsi="Times New Roman"/>
          <w:color w:val="000000"/>
        </w:rPr>
        <w:t xml:space="preserve"> </w:t>
      </w:r>
      <w:r>
        <w:rPr>
          <w:rFonts w:ascii="Times New Roman" w:hAnsi="Times New Roman"/>
          <w:color w:val="000000"/>
        </w:rPr>
        <w:t>n. 369 (</w:t>
      </w:r>
      <w:r w:rsidRPr="004010D4">
        <w:rPr>
          <w:rFonts w:ascii="Times New Roman" w:hAnsi="Times New Roman"/>
          <w:color w:val="000000"/>
        </w:rPr>
        <w:t>April 2, 2010)</w:t>
      </w:r>
      <w:r>
        <w:rPr>
          <w:rFonts w:ascii="Times New Roman" w:hAnsi="Times New Roman"/>
          <w:color w:val="000000"/>
        </w:rPr>
        <w:t>.</w:t>
      </w:r>
    </w:p>
  </w:footnote>
  <w:footnote w:id="4">
    <w:p w:rsidR="00E85B50" w:rsidRPr="00777662" w:rsidRDefault="00E85B50" w:rsidP="00BC1E39">
      <w:pPr>
        <w:pStyle w:val="Default"/>
        <w:keepLines/>
        <w:ind w:left="90" w:hanging="90"/>
        <w:rPr>
          <w:sz w:val="20"/>
          <w:szCs w:val="20"/>
        </w:rPr>
      </w:pPr>
      <w:r w:rsidRPr="004010D4">
        <w:rPr>
          <w:rStyle w:val="FootnoteReference"/>
          <w:sz w:val="20"/>
          <w:szCs w:val="20"/>
        </w:rPr>
        <w:footnoteRef/>
      </w:r>
      <w:r w:rsidRPr="004010D4">
        <w:rPr>
          <w:sz w:val="20"/>
          <w:szCs w:val="20"/>
        </w:rPr>
        <w:t xml:space="preserve"> </w:t>
      </w:r>
      <w:r w:rsidRPr="00777662">
        <w:rPr>
          <w:sz w:val="20"/>
          <w:szCs w:val="20"/>
        </w:rPr>
        <w:t xml:space="preserve">At page 29, lines 1-2, Mr. Elgin cites the Commission's April 2, 2010 Orders in the Puget Sound Energy Dockets UE-090704 and UG-090795, ¶ 292.  In that paragraph, the Commission mentions variations in growth rate estimates, but its focus is on consideration for alternative </w:t>
      </w:r>
      <w:r>
        <w:rPr>
          <w:sz w:val="20"/>
          <w:szCs w:val="20"/>
        </w:rPr>
        <w:t xml:space="preserve">estimation </w:t>
      </w:r>
      <w:r w:rsidRPr="00777662">
        <w:rPr>
          <w:sz w:val="20"/>
          <w:szCs w:val="20"/>
        </w:rPr>
        <w:t xml:space="preserve">methods and models.  The last sentence in the paragraph says: </w:t>
      </w:r>
      <w:r>
        <w:rPr>
          <w:sz w:val="20"/>
          <w:szCs w:val="20"/>
        </w:rPr>
        <w:t>“</w:t>
      </w:r>
      <w:r w:rsidRPr="00777662">
        <w:rPr>
          <w:sz w:val="20"/>
          <w:szCs w:val="20"/>
        </w:rPr>
        <w:t>It is particularly important to take multiple methods and models into account in the present circumstances of financial turmoil that may affect the input values and assumptions used in each method.</w:t>
      </w:r>
      <w:r>
        <w:rPr>
          <w:sz w:val="20"/>
          <w:szCs w:val="20"/>
        </w:rPr>
        <w:t>”  Later, in ¶ 301, the Commission determined Puget Sound Energy's cost of equity to be 10.1 percent.</w:t>
      </w:r>
    </w:p>
  </w:footnote>
  <w:footnote w:id="5">
    <w:p w:rsidR="00E85B50" w:rsidRPr="00130316" w:rsidRDefault="00E85B50" w:rsidP="00BC1E39">
      <w:pPr>
        <w:pStyle w:val="FootnoteText"/>
        <w:keepLines/>
        <w:spacing w:line="240" w:lineRule="auto"/>
        <w:ind w:left="90" w:hanging="90"/>
        <w:rPr>
          <w:rFonts w:ascii="Times New Roman" w:hAnsi="Times New Roman"/>
        </w:rPr>
      </w:pPr>
      <w:r w:rsidRPr="00EA0E4B">
        <w:rPr>
          <w:rStyle w:val="FootnoteReference"/>
          <w:rFonts w:ascii="Times New Roman" w:hAnsi="Times New Roman"/>
          <w:szCs w:val="16"/>
        </w:rPr>
        <w:footnoteRef/>
      </w:r>
      <w:r w:rsidRPr="00130316">
        <w:rPr>
          <w:rFonts w:ascii="Times New Roman" w:hAnsi="Times New Roman"/>
        </w:rPr>
        <w:t xml:space="preserve"> Mr. Elgin did not provide any schedules or any of the </w:t>
      </w:r>
      <w:r>
        <w:rPr>
          <w:rFonts w:ascii="Times New Roman" w:hAnsi="Times New Roman"/>
        </w:rPr>
        <w:t xml:space="preserve">typical </w:t>
      </w:r>
      <w:r w:rsidRPr="00130316">
        <w:rPr>
          <w:rFonts w:ascii="Times New Roman" w:hAnsi="Times New Roman"/>
        </w:rPr>
        <w:t xml:space="preserve">spreadsheet calculations that </w:t>
      </w:r>
      <w:r>
        <w:rPr>
          <w:rFonts w:ascii="Times New Roman" w:hAnsi="Times New Roman"/>
        </w:rPr>
        <w:t>generally</w:t>
      </w:r>
      <w:r w:rsidRPr="00130316">
        <w:rPr>
          <w:rFonts w:ascii="Times New Roman" w:hAnsi="Times New Roman"/>
        </w:rPr>
        <w:t xml:space="preserve"> support a rate of return analysis.</w:t>
      </w:r>
    </w:p>
  </w:footnote>
  <w:footnote w:id="6">
    <w:p w:rsidR="00E85B50" w:rsidRDefault="00E85B50" w:rsidP="00BC1E39">
      <w:pPr>
        <w:pStyle w:val="FootnoteText"/>
        <w:keepNext/>
        <w:keepLines/>
        <w:spacing w:line="240" w:lineRule="auto"/>
        <w:ind w:left="90" w:hanging="90"/>
        <w:rPr>
          <w:rFonts w:ascii="Times New Roman" w:hAnsi="Times New Roman"/>
        </w:rPr>
      </w:pPr>
      <w:r w:rsidRPr="00EA0E4B">
        <w:rPr>
          <w:rStyle w:val="FootnoteReference"/>
          <w:rFonts w:ascii="Times New Roman" w:hAnsi="Times New Roman"/>
        </w:rPr>
        <w:footnoteRef/>
      </w:r>
      <w:r w:rsidRPr="00EA0E4B">
        <w:rPr>
          <w:rFonts w:ascii="Times New Roman" w:hAnsi="Times New Roman"/>
        </w:rPr>
        <w:t xml:space="preserve"> </w:t>
      </w:r>
      <w:r>
        <w:rPr>
          <w:rFonts w:ascii="Times New Roman" w:hAnsi="Times New Roman"/>
        </w:rPr>
        <w:t>In his workpapers</w:t>
      </w:r>
      <w:r w:rsidRPr="009067D6">
        <w:rPr>
          <w:rFonts w:ascii="Times New Roman" w:hAnsi="Times New Roman"/>
          <w:color w:val="000000"/>
          <w:sz w:val="24"/>
          <w:szCs w:val="24"/>
        </w:rPr>
        <w:t xml:space="preserve"> </w:t>
      </w:r>
      <w:r w:rsidR="006A5AB0">
        <w:rPr>
          <w:rFonts w:ascii="Times New Roman" w:hAnsi="Times New Roman"/>
          <w:color w:val="000000"/>
          <w:sz w:val="24"/>
          <w:szCs w:val="24"/>
        </w:rPr>
        <w:t xml:space="preserve">(see </w:t>
      </w:r>
      <w:r w:rsidRPr="009067D6">
        <w:rPr>
          <w:rFonts w:ascii="Times New Roman" w:hAnsi="Times New Roman"/>
          <w:color w:val="000000"/>
        </w:rPr>
        <w:t>Exhibit</w:t>
      </w:r>
      <w:r w:rsidR="006A5AB0">
        <w:rPr>
          <w:rFonts w:ascii="Times New Roman" w:hAnsi="Times New Roman"/>
          <w:color w:val="000000"/>
        </w:rPr>
        <w:t xml:space="preserve"> No.</w:t>
      </w:r>
      <w:r w:rsidRPr="009067D6">
        <w:rPr>
          <w:rFonts w:ascii="Times New Roman" w:hAnsi="Times New Roman"/>
          <w:color w:val="000000"/>
        </w:rPr>
        <w:t>__</w:t>
      </w:r>
      <w:r w:rsidR="00206D51">
        <w:rPr>
          <w:rFonts w:ascii="Times New Roman" w:hAnsi="Times New Roman"/>
          <w:color w:val="000000"/>
        </w:rPr>
        <w:t>(</w:t>
      </w:r>
      <w:r w:rsidRPr="009067D6">
        <w:rPr>
          <w:rFonts w:ascii="Times New Roman" w:hAnsi="Times New Roman"/>
          <w:color w:val="000000"/>
        </w:rPr>
        <w:t>SCH</w:t>
      </w:r>
      <w:r w:rsidR="006A5AB0">
        <w:rPr>
          <w:rFonts w:ascii="Times New Roman" w:hAnsi="Times New Roman"/>
          <w:color w:val="000000"/>
        </w:rPr>
        <w:t>-10</w:t>
      </w:r>
      <w:r w:rsidR="00206D51">
        <w:rPr>
          <w:rFonts w:ascii="Times New Roman" w:hAnsi="Times New Roman"/>
          <w:color w:val="000000"/>
        </w:rPr>
        <w:t>)</w:t>
      </w:r>
      <w:r w:rsidR="006A5AB0">
        <w:rPr>
          <w:rFonts w:ascii="Times New Roman" w:hAnsi="Times New Roman"/>
          <w:color w:val="000000"/>
        </w:rPr>
        <w:t>, page 1)</w:t>
      </w:r>
      <w:r w:rsidRPr="009067D6">
        <w:rPr>
          <w:rFonts w:ascii="Times New Roman" w:hAnsi="Times New Roman"/>
        </w:rPr>
        <w:t>,</w:t>
      </w:r>
      <w:r>
        <w:rPr>
          <w:rFonts w:ascii="Times New Roman" w:hAnsi="Times New Roman"/>
        </w:rPr>
        <w:t xml:space="preserve"> he appears to have marked with asterisks three companies for adjustment.  In addition to those three, however, it appears that he also replaced the 8.5 percent earned rate of return reported by Value Line reported for Avista with a value of 10.5 percent.  Without this replacement, Avista's “b times r” growth rate would have been below 3 percent.</w:t>
      </w:r>
    </w:p>
    <w:p w:rsidR="00E85B50" w:rsidRPr="00EA0E4B" w:rsidRDefault="00E85B50" w:rsidP="00AC6FE5">
      <w:pPr>
        <w:pStyle w:val="FootnoteText"/>
        <w:spacing w:line="240" w:lineRule="auto"/>
        <w:ind w:firstLine="0"/>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45B" w:rsidRDefault="00A634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50" w:rsidRPr="00BE5EF1" w:rsidRDefault="00E85B50" w:rsidP="00712DC8">
    <w:pPr>
      <w:pStyle w:val="Header"/>
      <w:spacing w:line="240" w:lineRule="auto"/>
      <w:jc w:val="right"/>
      <w:rPr>
        <w:rFonts w:ascii="Times New Roman" w:hAnsi="Times New Roman"/>
      </w:rPr>
    </w:pPr>
    <w:r>
      <w:tab/>
    </w:r>
    <w:r>
      <w:tab/>
    </w:r>
    <w:r>
      <w:tab/>
    </w:r>
    <w:r w:rsidRPr="00BE5EF1">
      <w:rPr>
        <w:rFonts w:ascii="Times New Roman" w:hAnsi="Times New Roman"/>
      </w:rPr>
      <w:t xml:space="preserve">Page </w:t>
    </w:r>
    <w:r w:rsidR="00282E79" w:rsidRPr="00BE5EF1">
      <w:rPr>
        <w:rStyle w:val="PageNumber"/>
        <w:rFonts w:ascii="Times New Roman" w:hAnsi="Times New Roman"/>
      </w:rPr>
      <w:fldChar w:fldCharType="begin"/>
    </w:r>
    <w:r w:rsidRPr="00BE5EF1">
      <w:rPr>
        <w:rStyle w:val="PageNumber"/>
        <w:rFonts w:ascii="Times New Roman" w:hAnsi="Times New Roman"/>
      </w:rPr>
      <w:instrText xml:space="preserve"> PAGE </w:instrText>
    </w:r>
    <w:r w:rsidR="00282E79" w:rsidRPr="00BE5EF1">
      <w:rPr>
        <w:rStyle w:val="PageNumber"/>
        <w:rFonts w:ascii="Times New Roman" w:hAnsi="Times New Roman"/>
      </w:rPr>
      <w:fldChar w:fldCharType="separate"/>
    </w:r>
    <w:r w:rsidR="00A6345B">
      <w:rPr>
        <w:rStyle w:val="PageNumber"/>
        <w:rFonts w:ascii="Times New Roman" w:hAnsi="Times New Roman"/>
        <w:noProof/>
      </w:rPr>
      <w:t>1</w:t>
    </w:r>
    <w:r w:rsidR="00282E79" w:rsidRPr="00BE5EF1">
      <w:rPr>
        <w:rStyle w:val="PageNumber"/>
        <w:rFonts w:ascii="Times New Roman" w:hAnsi="Times New Roman"/>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45B" w:rsidRDefault="00A634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6C766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BC8B3E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346A53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75A4E2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34A4E9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62EFE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3F66B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7BAF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3282AF6"/>
    <w:lvl w:ilvl="0">
      <w:start w:val="1"/>
      <w:numFmt w:val="decimal"/>
      <w:pStyle w:val="ListNumber"/>
      <w:lvlText w:val="%1."/>
      <w:lvlJc w:val="left"/>
      <w:pPr>
        <w:tabs>
          <w:tab w:val="num" w:pos="360"/>
        </w:tabs>
        <w:ind w:left="360" w:hanging="360"/>
      </w:pPr>
    </w:lvl>
  </w:abstractNum>
  <w:abstractNum w:abstractNumId="9">
    <w:nsid w:val="FFFFFF89"/>
    <w:multiLevelType w:val="singleLevel"/>
    <w:tmpl w:val="60B2E3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E65B47"/>
    <w:multiLevelType w:val="singleLevel"/>
    <w:tmpl w:val="15E67F5E"/>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nsid w:val="343218C0"/>
    <w:multiLevelType w:val="hybridMultilevel"/>
    <w:tmpl w:val="CFB6F04E"/>
    <w:lvl w:ilvl="0" w:tplc="F056B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5E2B5A"/>
    <w:multiLevelType w:val="hybridMultilevel"/>
    <w:tmpl w:val="78D627BC"/>
    <w:lvl w:ilvl="0" w:tplc="E102B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D67EA1"/>
    <w:multiLevelType w:val="singleLevel"/>
    <w:tmpl w:val="15E67F5E"/>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nsid w:val="5FBD284D"/>
    <w:multiLevelType w:val="singleLevel"/>
    <w:tmpl w:val="15E67F5E"/>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6F556669"/>
    <w:multiLevelType w:val="hybridMultilevel"/>
    <w:tmpl w:val="93CC7098"/>
    <w:lvl w:ilvl="0" w:tplc="ADA28AA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0"/>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removeDateAndTime/>
  <w:printFractionalCharacterWidth/>
  <w:embedSystemFonts/>
  <w:hideGrammaticalErrors/>
  <w:activeWritingStyle w:appName="MSWord" w:lang="en-US" w:vendorID="8" w:dllVersion="513" w:checkStyle="1"/>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rsids>
    <w:rsidRoot w:val="00ED6472"/>
    <w:rsid w:val="00002ADB"/>
    <w:rsid w:val="0000657A"/>
    <w:rsid w:val="00014A8E"/>
    <w:rsid w:val="00017082"/>
    <w:rsid w:val="000173A2"/>
    <w:rsid w:val="000220FD"/>
    <w:rsid w:val="00023F7F"/>
    <w:rsid w:val="00024392"/>
    <w:rsid w:val="00027B2C"/>
    <w:rsid w:val="00030735"/>
    <w:rsid w:val="0003359C"/>
    <w:rsid w:val="00034C84"/>
    <w:rsid w:val="00036657"/>
    <w:rsid w:val="0003724E"/>
    <w:rsid w:val="00041AC2"/>
    <w:rsid w:val="00046718"/>
    <w:rsid w:val="000548E0"/>
    <w:rsid w:val="000567BB"/>
    <w:rsid w:val="00061FD6"/>
    <w:rsid w:val="0006538C"/>
    <w:rsid w:val="0006656D"/>
    <w:rsid w:val="00070F81"/>
    <w:rsid w:val="0008086B"/>
    <w:rsid w:val="00080EC3"/>
    <w:rsid w:val="00082C21"/>
    <w:rsid w:val="000850CC"/>
    <w:rsid w:val="00087386"/>
    <w:rsid w:val="00087AFE"/>
    <w:rsid w:val="000A33FE"/>
    <w:rsid w:val="000A38B0"/>
    <w:rsid w:val="000A3F41"/>
    <w:rsid w:val="000A5EC6"/>
    <w:rsid w:val="000B4576"/>
    <w:rsid w:val="000B6323"/>
    <w:rsid w:val="000B698C"/>
    <w:rsid w:val="000C76AC"/>
    <w:rsid w:val="000D475D"/>
    <w:rsid w:val="000E236F"/>
    <w:rsid w:val="000E40C3"/>
    <w:rsid w:val="000E6C94"/>
    <w:rsid w:val="000F0939"/>
    <w:rsid w:val="000F1E8D"/>
    <w:rsid w:val="000F23AD"/>
    <w:rsid w:val="000F5C72"/>
    <w:rsid w:val="00100543"/>
    <w:rsid w:val="00100657"/>
    <w:rsid w:val="0011181E"/>
    <w:rsid w:val="001134A4"/>
    <w:rsid w:val="00120CB2"/>
    <w:rsid w:val="00125E0B"/>
    <w:rsid w:val="00130316"/>
    <w:rsid w:val="00135298"/>
    <w:rsid w:val="0014641F"/>
    <w:rsid w:val="0015025E"/>
    <w:rsid w:val="00151E8E"/>
    <w:rsid w:val="0015613B"/>
    <w:rsid w:val="00160F05"/>
    <w:rsid w:val="00164C6B"/>
    <w:rsid w:val="00164EEE"/>
    <w:rsid w:val="001718FE"/>
    <w:rsid w:val="0017579E"/>
    <w:rsid w:val="00181C2D"/>
    <w:rsid w:val="001827A7"/>
    <w:rsid w:val="0018333B"/>
    <w:rsid w:val="00183653"/>
    <w:rsid w:val="00185250"/>
    <w:rsid w:val="00192EA8"/>
    <w:rsid w:val="00195F99"/>
    <w:rsid w:val="001A01FD"/>
    <w:rsid w:val="001A0B49"/>
    <w:rsid w:val="001A1819"/>
    <w:rsid w:val="001A2A75"/>
    <w:rsid w:val="001A35EE"/>
    <w:rsid w:val="001A7B71"/>
    <w:rsid w:val="001C309E"/>
    <w:rsid w:val="001D1306"/>
    <w:rsid w:val="001D27C6"/>
    <w:rsid w:val="001D4E31"/>
    <w:rsid w:val="001E0327"/>
    <w:rsid w:val="001E38BC"/>
    <w:rsid w:val="001E57EC"/>
    <w:rsid w:val="001E58C6"/>
    <w:rsid w:val="001E5F28"/>
    <w:rsid w:val="001F0D34"/>
    <w:rsid w:val="001F14D9"/>
    <w:rsid w:val="001F47ED"/>
    <w:rsid w:val="00201843"/>
    <w:rsid w:val="002023D4"/>
    <w:rsid w:val="002031AC"/>
    <w:rsid w:val="00206D51"/>
    <w:rsid w:val="00207DE6"/>
    <w:rsid w:val="00222035"/>
    <w:rsid w:val="00225E3E"/>
    <w:rsid w:val="00226CA7"/>
    <w:rsid w:val="00230A93"/>
    <w:rsid w:val="00235278"/>
    <w:rsid w:val="00235C35"/>
    <w:rsid w:val="002464E9"/>
    <w:rsid w:val="00247C3C"/>
    <w:rsid w:val="00251747"/>
    <w:rsid w:val="00251755"/>
    <w:rsid w:val="00251FE5"/>
    <w:rsid w:val="00253775"/>
    <w:rsid w:val="00253D21"/>
    <w:rsid w:val="00257CDF"/>
    <w:rsid w:val="00264699"/>
    <w:rsid w:val="00271308"/>
    <w:rsid w:val="002766C0"/>
    <w:rsid w:val="002810DA"/>
    <w:rsid w:val="00282E79"/>
    <w:rsid w:val="002843F4"/>
    <w:rsid w:val="0028584E"/>
    <w:rsid w:val="00285D67"/>
    <w:rsid w:val="00290CFA"/>
    <w:rsid w:val="0029427B"/>
    <w:rsid w:val="00296DBC"/>
    <w:rsid w:val="002A0803"/>
    <w:rsid w:val="002A0913"/>
    <w:rsid w:val="002A2EEF"/>
    <w:rsid w:val="002A3F52"/>
    <w:rsid w:val="002A6D6A"/>
    <w:rsid w:val="002B073C"/>
    <w:rsid w:val="002B2314"/>
    <w:rsid w:val="002B7512"/>
    <w:rsid w:val="002B7C6C"/>
    <w:rsid w:val="002B7CCF"/>
    <w:rsid w:val="002B7D24"/>
    <w:rsid w:val="002C132E"/>
    <w:rsid w:val="002C147E"/>
    <w:rsid w:val="002C2EB5"/>
    <w:rsid w:val="002C39A8"/>
    <w:rsid w:val="002E0269"/>
    <w:rsid w:val="002E0CD7"/>
    <w:rsid w:val="002E3974"/>
    <w:rsid w:val="002E543A"/>
    <w:rsid w:val="002E6A10"/>
    <w:rsid w:val="002F50A3"/>
    <w:rsid w:val="00302253"/>
    <w:rsid w:val="003167B8"/>
    <w:rsid w:val="00324DA7"/>
    <w:rsid w:val="003274E4"/>
    <w:rsid w:val="0034397E"/>
    <w:rsid w:val="00346C70"/>
    <w:rsid w:val="00351179"/>
    <w:rsid w:val="003527C8"/>
    <w:rsid w:val="003536C5"/>
    <w:rsid w:val="0035388A"/>
    <w:rsid w:val="00362C39"/>
    <w:rsid w:val="003723E3"/>
    <w:rsid w:val="003813E1"/>
    <w:rsid w:val="00383297"/>
    <w:rsid w:val="003840A3"/>
    <w:rsid w:val="003856CB"/>
    <w:rsid w:val="00394822"/>
    <w:rsid w:val="003A1FD5"/>
    <w:rsid w:val="003A20D8"/>
    <w:rsid w:val="003A583E"/>
    <w:rsid w:val="003B1E45"/>
    <w:rsid w:val="003B4821"/>
    <w:rsid w:val="003B4E27"/>
    <w:rsid w:val="003B707D"/>
    <w:rsid w:val="003B7AF7"/>
    <w:rsid w:val="003C18EA"/>
    <w:rsid w:val="003C2F81"/>
    <w:rsid w:val="003C4981"/>
    <w:rsid w:val="003D09F2"/>
    <w:rsid w:val="003D1D26"/>
    <w:rsid w:val="003D24DB"/>
    <w:rsid w:val="003E402B"/>
    <w:rsid w:val="003F13E6"/>
    <w:rsid w:val="003F25E8"/>
    <w:rsid w:val="00400C1D"/>
    <w:rsid w:val="004010D4"/>
    <w:rsid w:val="004020FF"/>
    <w:rsid w:val="0040715E"/>
    <w:rsid w:val="0040780F"/>
    <w:rsid w:val="00414D02"/>
    <w:rsid w:val="00414E0C"/>
    <w:rsid w:val="00417BF5"/>
    <w:rsid w:val="00420358"/>
    <w:rsid w:val="004219B9"/>
    <w:rsid w:val="00430384"/>
    <w:rsid w:val="004352FD"/>
    <w:rsid w:val="004441A8"/>
    <w:rsid w:val="00452C0E"/>
    <w:rsid w:val="00453A20"/>
    <w:rsid w:val="00453F99"/>
    <w:rsid w:val="00455600"/>
    <w:rsid w:val="00455BEE"/>
    <w:rsid w:val="00455EE7"/>
    <w:rsid w:val="00457E47"/>
    <w:rsid w:val="00472DD6"/>
    <w:rsid w:val="00473101"/>
    <w:rsid w:val="004734E0"/>
    <w:rsid w:val="00476B1E"/>
    <w:rsid w:val="00481F9A"/>
    <w:rsid w:val="004846F5"/>
    <w:rsid w:val="00484BA6"/>
    <w:rsid w:val="00486362"/>
    <w:rsid w:val="0048725B"/>
    <w:rsid w:val="00490923"/>
    <w:rsid w:val="00494B6E"/>
    <w:rsid w:val="00497EC5"/>
    <w:rsid w:val="004A170A"/>
    <w:rsid w:val="004A5881"/>
    <w:rsid w:val="004A6E1A"/>
    <w:rsid w:val="004B0745"/>
    <w:rsid w:val="004B7E0A"/>
    <w:rsid w:val="004C0BAD"/>
    <w:rsid w:val="004C23BE"/>
    <w:rsid w:val="004C478E"/>
    <w:rsid w:val="004D038F"/>
    <w:rsid w:val="004D7986"/>
    <w:rsid w:val="004E1AFE"/>
    <w:rsid w:val="004E408C"/>
    <w:rsid w:val="004E59E2"/>
    <w:rsid w:val="004F05D3"/>
    <w:rsid w:val="004F084B"/>
    <w:rsid w:val="004F3C62"/>
    <w:rsid w:val="004F7E1F"/>
    <w:rsid w:val="00502933"/>
    <w:rsid w:val="00502FE9"/>
    <w:rsid w:val="00504065"/>
    <w:rsid w:val="00504595"/>
    <w:rsid w:val="00510E8A"/>
    <w:rsid w:val="005111A7"/>
    <w:rsid w:val="00511789"/>
    <w:rsid w:val="005136F9"/>
    <w:rsid w:val="00513C79"/>
    <w:rsid w:val="005213A4"/>
    <w:rsid w:val="00523A97"/>
    <w:rsid w:val="0053249B"/>
    <w:rsid w:val="00533D1E"/>
    <w:rsid w:val="005422BF"/>
    <w:rsid w:val="005465A6"/>
    <w:rsid w:val="0055154C"/>
    <w:rsid w:val="00551A9E"/>
    <w:rsid w:val="005626D9"/>
    <w:rsid w:val="005654FD"/>
    <w:rsid w:val="00571B7E"/>
    <w:rsid w:val="0057484F"/>
    <w:rsid w:val="00580124"/>
    <w:rsid w:val="005841CD"/>
    <w:rsid w:val="00590CFE"/>
    <w:rsid w:val="00590D85"/>
    <w:rsid w:val="005927F6"/>
    <w:rsid w:val="005951B1"/>
    <w:rsid w:val="00596D4C"/>
    <w:rsid w:val="005A0C4E"/>
    <w:rsid w:val="005A47FA"/>
    <w:rsid w:val="005A4BCC"/>
    <w:rsid w:val="005A62C4"/>
    <w:rsid w:val="005B67B6"/>
    <w:rsid w:val="005B6964"/>
    <w:rsid w:val="005B7CDA"/>
    <w:rsid w:val="005C47CF"/>
    <w:rsid w:val="005C64A6"/>
    <w:rsid w:val="005C6883"/>
    <w:rsid w:val="005C6F8A"/>
    <w:rsid w:val="005D63E2"/>
    <w:rsid w:val="005D76FA"/>
    <w:rsid w:val="005E0698"/>
    <w:rsid w:val="005E11CE"/>
    <w:rsid w:val="005E12E8"/>
    <w:rsid w:val="005E4681"/>
    <w:rsid w:val="005E5FC4"/>
    <w:rsid w:val="0060667A"/>
    <w:rsid w:val="006203C4"/>
    <w:rsid w:val="00623A04"/>
    <w:rsid w:val="00627260"/>
    <w:rsid w:val="006277E6"/>
    <w:rsid w:val="00634529"/>
    <w:rsid w:val="00636A62"/>
    <w:rsid w:val="00637AD6"/>
    <w:rsid w:val="00643DDB"/>
    <w:rsid w:val="006461F8"/>
    <w:rsid w:val="00646C6D"/>
    <w:rsid w:val="00657E0A"/>
    <w:rsid w:val="006637AB"/>
    <w:rsid w:val="0066440B"/>
    <w:rsid w:val="00666AA5"/>
    <w:rsid w:val="0067415A"/>
    <w:rsid w:val="00675271"/>
    <w:rsid w:val="00675D0F"/>
    <w:rsid w:val="00676F6C"/>
    <w:rsid w:val="00680D97"/>
    <w:rsid w:val="006843CC"/>
    <w:rsid w:val="00690EC7"/>
    <w:rsid w:val="00696BF8"/>
    <w:rsid w:val="006A0FA7"/>
    <w:rsid w:val="006A5AB0"/>
    <w:rsid w:val="006B525C"/>
    <w:rsid w:val="006B7C10"/>
    <w:rsid w:val="006C0227"/>
    <w:rsid w:val="006C04FB"/>
    <w:rsid w:val="006C102E"/>
    <w:rsid w:val="006C3BD5"/>
    <w:rsid w:val="006C42C3"/>
    <w:rsid w:val="006D3AA6"/>
    <w:rsid w:val="006D3CF4"/>
    <w:rsid w:val="006D6605"/>
    <w:rsid w:val="006D7A9A"/>
    <w:rsid w:val="006E4B4E"/>
    <w:rsid w:val="006E6D28"/>
    <w:rsid w:val="006E6D9F"/>
    <w:rsid w:val="006F3922"/>
    <w:rsid w:val="006F4CC4"/>
    <w:rsid w:val="006F594A"/>
    <w:rsid w:val="00701095"/>
    <w:rsid w:val="00702A31"/>
    <w:rsid w:val="00704AF8"/>
    <w:rsid w:val="007105C2"/>
    <w:rsid w:val="007123D2"/>
    <w:rsid w:val="00712DC8"/>
    <w:rsid w:val="007134A6"/>
    <w:rsid w:val="007170CD"/>
    <w:rsid w:val="007255CA"/>
    <w:rsid w:val="00725C43"/>
    <w:rsid w:val="007326BB"/>
    <w:rsid w:val="00732EA2"/>
    <w:rsid w:val="00734B3E"/>
    <w:rsid w:val="007355FF"/>
    <w:rsid w:val="00742879"/>
    <w:rsid w:val="007545CB"/>
    <w:rsid w:val="00754D14"/>
    <w:rsid w:val="007552A9"/>
    <w:rsid w:val="00757D68"/>
    <w:rsid w:val="00763E83"/>
    <w:rsid w:val="0076410F"/>
    <w:rsid w:val="0076457A"/>
    <w:rsid w:val="00767D89"/>
    <w:rsid w:val="00772E6F"/>
    <w:rsid w:val="00777662"/>
    <w:rsid w:val="007814BA"/>
    <w:rsid w:val="00781AD1"/>
    <w:rsid w:val="0079003C"/>
    <w:rsid w:val="00794211"/>
    <w:rsid w:val="007952DC"/>
    <w:rsid w:val="007A26A8"/>
    <w:rsid w:val="007A6224"/>
    <w:rsid w:val="007A7B6D"/>
    <w:rsid w:val="007B62B6"/>
    <w:rsid w:val="007C70FE"/>
    <w:rsid w:val="007D6867"/>
    <w:rsid w:val="007D7148"/>
    <w:rsid w:val="007D7728"/>
    <w:rsid w:val="007E454F"/>
    <w:rsid w:val="007E638E"/>
    <w:rsid w:val="007F10F5"/>
    <w:rsid w:val="007F2562"/>
    <w:rsid w:val="00801343"/>
    <w:rsid w:val="00803536"/>
    <w:rsid w:val="008035E3"/>
    <w:rsid w:val="00810697"/>
    <w:rsid w:val="008134C5"/>
    <w:rsid w:val="008208BA"/>
    <w:rsid w:val="008249AE"/>
    <w:rsid w:val="00834BBF"/>
    <w:rsid w:val="0084123D"/>
    <w:rsid w:val="00851B94"/>
    <w:rsid w:val="00851BB4"/>
    <w:rsid w:val="0086222C"/>
    <w:rsid w:val="00865508"/>
    <w:rsid w:val="00870250"/>
    <w:rsid w:val="00873FDC"/>
    <w:rsid w:val="00880BB8"/>
    <w:rsid w:val="008876A4"/>
    <w:rsid w:val="00896419"/>
    <w:rsid w:val="008A238F"/>
    <w:rsid w:val="008A4A1B"/>
    <w:rsid w:val="008A5040"/>
    <w:rsid w:val="008B0E0B"/>
    <w:rsid w:val="008B4449"/>
    <w:rsid w:val="008C327F"/>
    <w:rsid w:val="008C3926"/>
    <w:rsid w:val="008C4632"/>
    <w:rsid w:val="008D050C"/>
    <w:rsid w:val="008D398F"/>
    <w:rsid w:val="008D5354"/>
    <w:rsid w:val="008D5D72"/>
    <w:rsid w:val="008E4820"/>
    <w:rsid w:val="008E4E51"/>
    <w:rsid w:val="008F7140"/>
    <w:rsid w:val="009067D6"/>
    <w:rsid w:val="009137E7"/>
    <w:rsid w:val="00916930"/>
    <w:rsid w:val="00916AE8"/>
    <w:rsid w:val="00925333"/>
    <w:rsid w:val="00925A36"/>
    <w:rsid w:val="00931A75"/>
    <w:rsid w:val="00935DC2"/>
    <w:rsid w:val="009408A7"/>
    <w:rsid w:val="00952A80"/>
    <w:rsid w:val="00954B9D"/>
    <w:rsid w:val="00957620"/>
    <w:rsid w:val="00962573"/>
    <w:rsid w:val="00962D7B"/>
    <w:rsid w:val="0096303B"/>
    <w:rsid w:val="00976A11"/>
    <w:rsid w:val="0098462A"/>
    <w:rsid w:val="009909B4"/>
    <w:rsid w:val="009921CA"/>
    <w:rsid w:val="0099395B"/>
    <w:rsid w:val="009A7455"/>
    <w:rsid w:val="009B29E0"/>
    <w:rsid w:val="009B4A02"/>
    <w:rsid w:val="009B5E2A"/>
    <w:rsid w:val="009B76B1"/>
    <w:rsid w:val="009C3A67"/>
    <w:rsid w:val="009D1A73"/>
    <w:rsid w:val="009D306B"/>
    <w:rsid w:val="009D4985"/>
    <w:rsid w:val="009D4BAB"/>
    <w:rsid w:val="009D6DF3"/>
    <w:rsid w:val="009D6ED7"/>
    <w:rsid w:val="009D7E2D"/>
    <w:rsid w:val="009E148C"/>
    <w:rsid w:val="009E1A93"/>
    <w:rsid w:val="009E5DBC"/>
    <w:rsid w:val="009E7E41"/>
    <w:rsid w:val="009F5E09"/>
    <w:rsid w:val="00A03353"/>
    <w:rsid w:val="00A0514A"/>
    <w:rsid w:val="00A06220"/>
    <w:rsid w:val="00A06DEC"/>
    <w:rsid w:val="00A1430C"/>
    <w:rsid w:val="00A177B1"/>
    <w:rsid w:val="00A21D6C"/>
    <w:rsid w:val="00A34D8F"/>
    <w:rsid w:val="00A408DA"/>
    <w:rsid w:val="00A452F4"/>
    <w:rsid w:val="00A57380"/>
    <w:rsid w:val="00A6345B"/>
    <w:rsid w:val="00A66AE8"/>
    <w:rsid w:val="00A75AE4"/>
    <w:rsid w:val="00A7628C"/>
    <w:rsid w:val="00A7764F"/>
    <w:rsid w:val="00A821DD"/>
    <w:rsid w:val="00A833A1"/>
    <w:rsid w:val="00A83805"/>
    <w:rsid w:val="00A93D0F"/>
    <w:rsid w:val="00A94502"/>
    <w:rsid w:val="00A96E81"/>
    <w:rsid w:val="00A96FCC"/>
    <w:rsid w:val="00AA1680"/>
    <w:rsid w:val="00AA55E5"/>
    <w:rsid w:val="00AA6039"/>
    <w:rsid w:val="00AB06B6"/>
    <w:rsid w:val="00AB6753"/>
    <w:rsid w:val="00AB7BDC"/>
    <w:rsid w:val="00AC0CAC"/>
    <w:rsid w:val="00AC33AA"/>
    <w:rsid w:val="00AC6FE5"/>
    <w:rsid w:val="00AD0556"/>
    <w:rsid w:val="00AD2FAF"/>
    <w:rsid w:val="00AE1F10"/>
    <w:rsid w:val="00AE252E"/>
    <w:rsid w:val="00AF03F4"/>
    <w:rsid w:val="00AF3EAF"/>
    <w:rsid w:val="00AF4711"/>
    <w:rsid w:val="00B00CB2"/>
    <w:rsid w:val="00B054B7"/>
    <w:rsid w:val="00B22BF1"/>
    <w:rsid w:val="00B22E7B"/>
    <w:rsid w:val="00B24127"/>
    <w:rsid w:val="00B2788B"/>
    <w:rsid w:val="00B3043A"/>
    <w:rsid w:val="00B355DB"/>
    <w:rsid w:val="00B37A48"/>
    <w:rsid w:val="00B40685"/>
    <w:rsid w:val="00B40E36"/>
    <w:rsid w:val="00B4186F"/>
    <w:rsid w:val="00B46D6F"/>
    <w:rsid w:val="00B5066A"/>
    <w:rsid w:val="00B516C6"/>
    <w:rsid w:val="00B55C63"/>
    <w:rsid w:val="00B57967"/>
    <w:rsid w:val="00B6509E"/>
    <w:rsid w:val="00B66A6B"/>
    <w:rsid w:val="00B675B6"/>
    <w:rsid w:val="00B702A8"/>
    <w:rsid w:val="00B711FE"/>
    <w:rsid w:val="00B71C94"/>
    <w:rsid w:val="00B75B67"/>
    <w:rsid w:val="00B833FC"/>
    <w:rsid w:val="00B84D2B"/>
    <w:rsid w:val="00B94813"/>
    <w:rsid w:val="00B965FD"/>
    <w:rsid w:val="00B96EF8"/>
    <w:rsid w:val="00BA0C5A"/>
    <w:rsid w:val="00BB130A"/>
    <w:rsid w:val="00BC1E39"/>
    <w:rsid w:val="00BC53E8"/>
    <w:rsid w:val="00BD079F"/>
    <w:rsid w:val="00BD08E4"/>
    <w:rsid w:val="00BD0969"/>
    <w:rsid w:val="00BD21FE"/>
    <w:rsid w:val="00BD2CD7"/>
    <w:rsid w:val="00BD2D9A"/>
    <w:rsid w:val="00BD36DB"/>
    <w:rsid w:val="00BD62DF"/>
    <w:rsid w:val="00BD7D6A"/>
    <w:rsid w:val="00BE48DE"/>
    <w:rsid w:val="00BE5EF1"/>
    <w:rsid w:val="00BF3305"/>
    <w:rsid w:val="00BF3F9D"/>
    <w:rsid w:val="00BF4621"/>
    <w:rsid w:val="00BF56AD"/>
    <w:rsid w:val="00C01CCA"/>
    <w:rsid w:val="00C03C7B"/>
    <w:rsid w:val="00C07959"/>
    <w:rsid w:val="00C12982"/>
    <w:rsid w:val="00C13097"/>
    <w:rsid w:val="00C1645C"/>
    <w:rsid w:val="00C2084B"/>
    <w:rsid w:val="00C3370D"/>
    <w:rsid w:val="00C368DF"/>
    <w:rsid w:val="00C41CBA"/>
    <w:rsid w:val="00C55C63"/>
    <w:rsid w:val="00C63450"/>
    <w:rsid w:val="00C638B1"/>
    <w:rsid w:val="00C64867"/>
    <w:rsid w:val="00C72BBF"/>
    <w:rsid w:val="00C7329A"/>
    <w:rsid w:val="00C73409"/>
    <w:rsid w:val="00C8131A"/>
    <w:rsid w:val="00C817FD"/>
    <w:rsid w:val="00C85AA7"/>
    <w:rsid w:val="00C91A75"/>
    <w:rsid w:val="00C92B1F"/>
    <w:rsid w:val="00C94F38"/>
    <w:rsid w:val="00CA3B2B"/>
    <w:rsid w:val="00CA5D82"/>
    <w:rsid w:val="00CA606B"/>
    <w:rsid w:val="00CA6AF7"/>
    <w:rsid w:val="00CB3E58"/>
    <w:rsid w:val="00CC2EC2"/>
    <w:rsid w:val="00CC77AB"/>
    <w:rsid w:val="00CD20AA"/>
    <w:rsid w:val="00CD3340"/>
    <w:rsid w:val="00CD3430"/>
    <w:rsid w:val="00CD541C"/>
    <w:rsid w:val="00CD54BA"/>
    <w:rsid w:val="00CD5EB6"/>
    <w:rsid w:val="00CE2B92"/>
    <w:rsid w:val="00CE2C5E"/>
    <w:rsid w:val="00CE340A"/>
    <w:rsid w:val="00CE6C16"/>
    <w:rsid w:val="00CF7757"/>
    <w:rsid w:val="00D02038"/>
    <w:rsid w:val="00D116F9"/>
    <w:rsid w:val="00D16326"/>
    <w:rsid w:val="00D24C36"/>
    <w:rsid w:val="00D252C6"/>
    <w:rsid w:val="00D335C3"/>
    <w:rsid w:val="00D34518"/>
    <w:rsid w:val="00D345E0"/>
    <w:rsid w:val="00D35452"/>
    <w:rsid w:val="00D37115"/>
    <w:rsid w:val="00D3789D"/>
    <w:rsid w:val="00D403B4"/>
    <w:rsid w:val="00D41659"/>
    <w:rsid w:val="00D45B37"/>
    <w:rsid w:val="00D461F3"/>
    <w:rsid w:val="00D6361D"/>
    <w:rsid w:val="00D652AD"/>
    <w:rsid w:val="00D65D09"/>
    <w:rsid w:val="00D665C6"/>
    <w:rsid w:val="00D669CA"/>
    <w:rsid w:val="00D7423A"/>
    <w:rsid w:val="00D80EF4"/>
    <w:rsid w:val="00D95E6C"/>
    <w:rsid w:val="00D96248"/>
    <w:rsid w:val="00DA2457"/>
    <w:rsid w:val="00DA6DE6"/>
    <w:rsid w:val="00DB1239"/>
    <w:rsid w:val="00DC3422"/>
    <w:rsid w:val="00DC3BCB"/>
    <w:rsid w:val="00DD2BF5"/>
    <w:rsid w:val="00DD5ED1"/>
    <w:rsid w:val="00DD6029"/>
    <w:rsid w:val="00DE24FD"/>
    <w:rsid w:val="00DE62F7"/>
    <w:rsid w:val="00DF013C"/>
    <w:rsid w:val="00DF47D7"/>
    <w:rsid w:val="00DF6A60"/>
    <w:rsid w:val="00E00256"/>
    <w:rsid w:val="00E01FC2"/>
    <w:rsid w:val="00E04C0B"/>
    <w:rsid w:val="00E05BE5"/>
    <w:rsid w:val="00E05E53"/>
    <w:rsid w:val="00E10911"/>
    <w:rsid w:val="00E11AB8"/>
    <w:rsid w:val="00E13345"/>
    <w:rsid w:val="00E2004C"/>
    <w:rsid w:val="00E20219"/>
    <w:rsid w:val="00E25A3B"/>
    <w:rsid w:val="00E25F44"/>
    <w:rsid w:val="00E264A9"/>
    <w:rsid w:val="00E3754B"/>
    <w:rsid w:val="00E41E96"/>
    <w:rsid w:val="00E42B00"/>
    <w:rsid w:val="00E466DA"/>
    <w:rsid w:val="00E46AAA"/>
    <w:rsid w:val="00E514A5"/>
    <w:rsid w:val="00E57649"/>
    <w:rsid w:val="00E5764C"/>
    <w:rsid w:val="00E57993"/>
    <w:rsid w:val="00E70514"/>
    <w:rsid w:val="00E737DB"/>
    <w:rsid w:val="00E75A65"/>
    <w:rsid w:val="00E85B50"/>
    <w:rsid w:val="00E915FB"/>
    <w:rsid w:val="00EA0A49"/>
    <w:rsid w:val="00EA0E4B"/>
    <w:rsid w:val="00EA524D"/>
    <w:rsid w:val="00EA75C5"/>
    <w:rsid w:val="00EA76E7"/>
    <w:rsid w:val="00EB1F19"/>
    <w:rsid w:val="00EB2DED"/>
    <w:rsid w:val="00EB760D"/>
    <w:rsid w:val="00EC0DE4"/>
    <w:rsid w:val="00EC714D"/>
    <w:rsid w:val="00EC7750"/>
    <w:rsid w:val="00ED1A61"/>
    <w:rsid w:val="00ED1E0D"/>
    <w:rsid w:val="00ED4711"/>
    <w:rsid w:val="00ED4A56"/>
    <w:rsid w:val="00ED6472"/>
    <w:rsid w:val="00EE767A"/>
    <w:rsid w:val="00EF45D7"/>
    <w:rsid w:val="00F00A8D"/>
    <w:rsid w:val="00F028B2"/>
    <w:rsid w:val="00F06712"/>
    <w:rsid w:val="00F104C2"/>
    <w:rsid w:val="00F20360"/>
    <w:rsid w:val="00F20568"/>
    <w:rsid w:val="00F243C6"/>
    <w:rsid w:val="00F25E07"/>
    <w:rsid w:val="00F27BF5"/>
    <w:rsid w:val="00F424BA"/>
    <w:rsid w:val="00F43B66"/>
    <w:rsid w:val="00F46208"/>
    <w:rsid w:val="00F464DE"/>
    <w:rsid w:val="00F50036"/>
    <w:rsid w:val="00F5155E"/>
    <w:rsid w:val="00F53125"/>
    <w:rsid w:val="00F57955"/>
    <w:rsid w:val="00F57FD6"/>
    <w:rsid w:val="00F6519E"/>
    <w:rsid w:val="00F66C90"/>
    <w:rsid w:val="00F66FE2"/>
    <w:rsid w:val="00F740DA"/>
    <w:rsid w:val="00F81526"/>
    <w:rsid w:val="00F835B5"/>
    <w:rsid w:val="00F91AE3"/>
    <w:rsid w:val="00F96735"/>
    <w:rsid w:val="00F97F04"/>
    <w:rsid w:val="00FA08E4"/>
    <w:rsid w:val="00FA0B9C"/>
    <w:rsid w:val="00FA4DCE"/>
    <w:rsid w:val="00FA55F3"/>
    <w:rsid w:val="00FB6296"/>
    <w:rsid w:val="00FC33FF"/>
    <w:rsid w:val="00FC6563"/>
    <w:rsid w:val="00FD0233"/>
    <w:rsid w:val="00FD0CB9"/>
    <w:rsid w:val="00FD2EC1"/>
    <w:rsid w:val="00FD4B12"/>
    <w:rsid w:val="00FD7DAD"/>
    <w:rsid w:val="00FE1974"/>
    <w:rsid w:val="00FE2C3E"/>
    <w:rsid w:val="00FF01EC"/>
    <w:rsid w:val="00FF5B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747"/>
    <w:pPr>
      <w:spacing w:line="480" w:lineRule="auto"/>
      <w:ind w:left="720" w:hanging="720"/>
      <w:jc w:val="both"/>
    </w:pPr>
    <w:rPr>
      <w:rFonts w:ascii="Arial" w:hAnsi="Arial"/>
      <w:sz w:val="24"/>
    </w:rPr>
  </w:style>
  <w:style w:type="paragraph" w:styleId="Heading1">
    <w:name w:val="heading 1"/>
    <w:basedOn w:val="Normal"/>
    <w:next w:val="Normal"/>
    <w:qFormat/>
    <w:rsid w:val="00251747"/>
    <w:pPr>
      <w:keepNext/>
      <w:jc w:val="center"/>
      <w:outlineLvl w:val="0"/>
    </w:pPr>
    <w:rPr>
      <w:b/>
    </w:rPr>
  </w:style>
  <w:style w:type="paragraph" w:styleId="Heading2">
    <w:name w:val="heading 2"/>
    <w:basedOn w:val="Normal"/>
    <w:next w:val="Normal"/>
    <w:qFormat/>
    <w:rsid w:val="00251747"/>
    <w:pPr>
      <w:keepNext/>
      <w:jc w:val="center"/>
      <w:outlineLvl w:val="1"/>
    </w:pPr>
    <w:rPr>
      <w:u w:val="single"/>
    </w:rPr>
  </w:style>
  <w:style w:type="paragraph" w:styleId="Heading3">
    <w:name w:val="heading 3"/>
    <w:basedOn w:val="Normal"/>
    <w:next w:val="Normal"/>
    <w:qFormat/>
    <w:rsid w:val="00251747"/>
    <w:pPr>
      <w:keepNext/>
      <w:spacing w:before="240"/>
      <w:jc w:val="center"/>
      <w:outlineLvl w:val="2"/>
    </w:pPr>
    <w:rPr>
      <w:b/>
      <w:u w:val="single"/>
    </w:rPr>
  </w:style>
  <w:style w:type="paragraph" w:styleId="Heading4">
    <w:name w:val="heading 4"/>
    <w:basedOn w:val="Normal"/>
    <w:next w:val="Normal"/>
    <w:qFormat/>
    <w:rsid w:val="00251747"/>
    <w:pPr>
      <w:keepNext/>
      <w:spacing w:before="240"/>
      <w:outlineLvl w:val="3"/>
    </w:pPr>
    <w:rPr>
      <w:b/>
    </w:rPr>
  </w:style>
  <w:style w:type="paragraph" w:styleId="Heading5">
    <w:name w:val="heading 5"/>
    <w:basedOn w:val="Normal"/>
    <w:next w:val="Normal"/>
    <w:qFormat/>
    <w:rsid w:val="00251747"/>
    <w:pPr>
      <w:keepNext/>
      <w:keepLines/>
      <w:jc w:val="left"/>
      <w:outlineLvl w:val="4"/>
    </w:pPr>
    <w:rPr>
      <w:rFonts w:ascii="Times New Roman" w:hAnsi="Times New Roman"/>
      <w:b/>
      <w:u w:val="single"/>
    </w:rPr>
  </w:style>
  <w:style w:type="paragraph" w:styleId="Heading6">
    <w:name w:val="heading 6"/>
    <w:basedOn w:val="Normal"/>
    <w:next w:val="Normal"/>
    <w:qFormat/>
    <w:rsid w:val="00251747"/>
    <w:pPr>
      <w:keepNext/>
      <w:ind w:firstLine="0"/>
      <w:outlineLvl w:val="5"/>
    </w:pPr>
    <w:rPr>
      <w:rFonts w:ascii="Times New Roman" w:hAnsi="Times New Roman"/>
      <w:u w:val="single"/>
    </w:rPr>
  </w:style>
  <w:style w:type="paragraph" w:styleId="Heading7">
    <w:name w:val="heading 7"/>
    <w:basedOn w:val="Normal"/>
    <w:next w:val="Normal"/>
    <w:qFormat/>
    <w:rsid w:val="00E25A3B"/>
    <w:pPr>
      <w:spacing w:before="240" w:after="60"/>
      <w:outlineLvl w:val="6"/>
    </w:pPr>
    <w:rPr>
      <w:rFonts w:ascii="Times New Roman" w:hAnsi="Times New Roman"/>
      <w:szCs w:val="24"/>
    </w:rPr>
  </w:style>
  <w:style w:type="paragraph" w:styleId="Heading8">
    <w:name w:val="heading 8"/>
    <w:basedOn w:val="Normal"/>
    <w:next w:val="Normal"/>
    <w:qFormat/>
    <w:rsid w:val="00E25A3B"/>
    <w:pPr>
      <w:spacing w:before="240" w:after="60"/>
      <w:outlineLvl w:val="7"/>
    </w:pPr>
    <w:rPr>
      <w:rFonts w:ascii="Times New Roman" w:hAnsi="Times New Roman"/>
      <w:i/>
      <w:iCs/>
      <w:szCs w:val="24"/>
    </w:rPr>
  </w:style>
  <w:style w:type="paragraph" w:styleId="Heading9">
    <w:name w:val="heading 9"/>
    <w:basedOn w:val="Normal"/>
    <w:next w:val="Normal"/>
    <w:qFormat/>
    <w:rsid w:val="00E25A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Footnote Text Char Char Char Char Char Char Char Char Char"/>
    <w:basedOn w:val="Normal"/>
    <w:link w:val="FootnoteTextChar1"/>
    <w:semiHidden/>
    <w:rsid w:val="00251747"/>
    <w:pPr>
      <w:jc w:val="left"/>
    </w:pPr>
    <w:rPr>
      <w:sz w:val="20"/>
    </w:rPr>
  </w:style>
  <w:style w:type="paragraph" w:styleId="Header">
    <w:name w:val="header"/>
    <w:basedOn w:val="Normal"/>
    <w:link w:val="HeaderChar"/>
    <w:uiPriority w:val="99"/>
    <w:rsid w:val="00251747"/>
    <w:pPr>
      <w:tabs>
        <w:tab w:val="center" w:pos="4320"/>
        <w:tab w:val="right" w:pos="8640"/>
      </w:tabs>
      <w:jc w:val="left"/>
    </w:pPr>
  </w:style>
  <w:style w:type="paragraph" w:styleId="Footer">
    <w:name w:val="footer"/>
    <w:basedOn w:val="Normal"/>
    <w:rsid w:val="00251747"/>
    <w:pPr>
      <w:tabs>
        <w:tab w:val="center" w:pos="4320"/>
        <w:tab w:val="right" w:pos="8640"/>
      </w:tabs>
      <w:jc w:val="left"/>
    </w:pPr>
  </w:style>
  <w:style w:type="character" w:styleId="LineNumber">
    <w:name w:val="line number"/>
    <w:basedOn w:val="DefaultParagraphFont"/>
    <w:rsid w:val="00251747"/>
    <w:rPr>
      <w:rFonts w:ascii="Times New Roman" w:hAnsi="Times New Roman"/>
      <w:sz w:val="24"/>
    </w:rPr>
  </w:style>
  <w:style w:type="character" w:styleId="FootnoteReference">
    <w:name w:val="footnote reference"/>
    <w:basedOn w:val="DefaultParagraphFont"/>
    <w:semiHidden/>
    <w:rsid w:val="00251747"/>
    <w:rPr>
      <w:position w:val="6"/>
      <w:sz w:val="16"/>
    </w:rPr>
  </w:style>
  <w:style w:type="character" w:styleId="PageNumber">
    <w:name w:val="page number"/>
    <w:basedOn w:val="DefaultParagraphFont"/>
    <w:rsid w:val="00251747"/>
  </w:style>
  <w:style w:type="paragraph" w:styleId="BodyTextIndent">
    <w:name w:val="Body Text Indent"/>
    <w:basedOn w:val="Normal"/>
    <w:rsid w:val="00251747"/>
    <w:pPr>
      <w:spacing w:before="240"/>
    </w:pPr>
  </w:style>
  <w:style w:type="paragraph" w:styleId="BlockText">
    <w:name w:val="Block Text"/>
    <w:basedOn w:val="Normal"/>
    <w:rsid w:val="00251747"/>
    <w:pPr>
      <w:ind w:right="-18"/>
    </w:pPr>
  </w:style>
  <w:style w:type="paragraph" w:styleId="BodyTextIndent2">
    <w:name w:val="Body Text Indent 2"/>
    <w:basedOn w:val="Normal"/>
    <w:rsid w:val="00251747"/>
    <w:pPr>
      <w:spacing w:before="240"/>
    </w:pPr>
    <w:rPr>
      <w:b/>
    </w:rPr>
  </w:style>
  <w:style w:type="paragraph" w:styleId="DocumentMap">
    <w:name w:val="Document Map"/>
    <w:basedOn w:val="Normal"/>
    <w:semiHidden/>
    <w:rsid w:val="00251747"/>
    <w:pPr>
      <w:shd w:val="clear" w:color="auto" w:fill="000080"/>
    </w:pPr>
    <w:rPr>
      <w:rFonts w:ascii="Tahoma" w:hAnsi="Tahoma"/>
    </w:rPr>
  </w:style>
  <w:style w:type="paragraph" w:styleId="BodyTextIndent3">
    <w:name w:val="Body Text Indent 3"/>
    <w:basedOn w:val="Normal"/>
    <w:rsid w:val="00251747"/>
    <w:pPr>
      <w:ind w:firstLine="720"/>
    </w:pPr>
  </w:style>
  <w:style w:type="paragraph" w:styleId="BalloonText">
    <w:name w:val="Balloon Text"/>
    <w:basedOn w:val="Normal"/>
    <w:semiHidden/>
    <w:rsid w:val="00251747"/>
    <w:rPr>
      <w:rFonts w:ascii="Tahoma" w:hAnsi="Tahoma" w:cs="Tahoma"/>
      <w:sz w:val="16"/>
      <w:szCs w:val="16"/>
    </w:rPr>
  </w:style>
  <w:style w:type="character" w:styleId="CommentReference">
    <w:name w:val="annotation reference"/>
    <w:basedOn w:val="DefaultParagraphFont"/>
    <w:semiHidden/>
    <w:rsid w:val="00251747"/>
    <w:rPr>
      <w:sz w:val="16"/>
      <w:szCs w:val="16"/>
    </w:rPr>
  </w:style>
  <w:style w:type="paragraph" w:styleId="CommentText">
    <w:name w:val="annotation text"/>
    <w:basedOn w:val="Normal"/>
    <w:semiHidden/>
    <w:rsid w:val="00251747"/>
    <w:rPr>
      <w:sz w:val="20"/>
    </w:rPr>
  </w:style>
  <w:style w:type="paragraph" w:styleId="CommentSubject">
    <w:name w:val="annotation subject"/>
    <w:basedOn w:val="CommentText"/>
    <w:next w:val="CommentText"/>
    <w:semiHidden/>
    <w:rsid w:val="00251747"/>
    <w:rPr>
      <w:b/>
      <w:bCs/>
    </w:rPr>
  </w:style>
  <w:style w:type="character" w:styleId="Hyperlink">
    <w:name w:val="Hyperlink"/>
    <w:basedOn w:val="DefaultParagraphFont"/>
    <w:uiPriority w:val="99"/>
    <w:rsid w:val="00251747"/>
    <w:rPr>
      <w:color w:val="0000FF"/>
      <w:u w:val="single"/>
    </w:rPr>
  </w:style>
  <w:style w:type="paragraph" w:styleId="Revision">
    <w:name w:val="Revision"/>
    <w:hidden/>
    <w:uiPriority w:val="99"/>
    <w:semiHidden/>
    <w:rsid w:val="00251747"/>
    <w:rPr>
      <w:rFonts w:ascii="Arial" w:hAnsi="Arial"/>
      <w:sz w:val="24"/>
    </w:rPr>
  </w:style>
  <w:style w:type="character" w:styleId="FollowedHyperlink">
    <w:name w:val="FollowedHyperlink"/>
    <w:basedOn w:val="DefaultParagraphFont"/>
    <w:uiPriority w:val="99"/>
    <w:semiHidden/>
    <w:unhideWhenUsed/>
    <w:rsid w:val="00120CB2"/>
    <w:rPr>
      <w:color w:val="800080"/>
      <w:u w:val="single"/>
    </w:rPr>
  </w:style>
  <w:style w:type="paragraph" w:styleId="BodyText">
    <w:name w:val="Body Text"/>
    <w:basedOn w:val="Normal"/>
    <w:rsid w:val="00E25A3B"/>
    <w:pPr>
      <w:spacing w:after="120"/>
    </w:pPr>
  </w:style>
  <w:style w:type="paragraph" w:styleId="BodyText2">
    <w:name w:val="Body Text 2"/>
    <w:basedOn w:val="Normal"/>
    <w:rsid w:val="00E25A3B"/>
    <w:pPr>
      <w:spacing w:after="120"/>
    </w:pPr>
  </w:style>
  <w:style w:type="paragraph" w:styleId="BodyText3">
    <w:name w:val="Body Text 3"/>
    <w:basedOn w:val="Normal"/>
    <w:rsid w:val="00E25A3B"/>
    <w:pPr>
      <w:spacing w:after="120"/>
    </w:pPr>
    <w:rPr>
      <w:sz w:val="16"/>
      <w:szCs w:val="16"/>
    </w:rPr>
  </w:style>
  <w:style w:type="paragraph" w:styleId="BodyTextFirstIndent">
    <w:name w:val="Body Text First Indent"/>
    <w:basedOn w:val="BodyText"/>
    <w:rsid w:val="00E25A3B"/>
    <w:pPr>
      <w:ind w:firstLine="210"/>
    </w:pPr>
  </w:style>
  <w:style w:type="paragraph" w:styleId="BodyTextFirstIndent2">
    <w:name w:val="Body Text First Indent 2"/>
    <w:basedOn w:val="BodyTextIndent"/>
    <w:rsid w:val="00E25A3B"/>
    <w:pPr>
      <w:spacing w:before="0" w:after="120"/>
      <w:ind w:left="360" w:firstLine="210"/>
    </w:pPr>
  </w:style>
  <w:style w:type="paragraph" w:styleId="Caption">
    <w:name w:val="caption"/>
    <w:basedOn w:val="Normal"/>
    <w:next w:val="Normal"/>
    <w:qFormat/>
    <w:rsid w:val="00E25A3B"/>
    <w:pPr>
      <w:spacing w:before="120" w:after="120"/>
    </w:pPr>
    <w:rPr>
      <w:b/>
      <w:bCs/>
      <w:sz w:val="20"/>
    </w:rPr>
  </w:style>
  <w:style w:type="paragraph" w:styleId="Closing">
    <w:name w:val="Closing"/>
    <w:basedOn w:val="Normal"/>
    <w:rsid w:val="00E25A3B"/>
    <w:pPr>
      <w:ind w:left="4320"/>
    </w:pPr>
  </w:style>
  <w:style w:type="paragraph" w:styleId="Date">
    <w:name w:val="Date"/>
    <w:basedOn w:val="Normal"/>
    <w:next w:val="Normal"/>
    <w:rsid w:val="00E25A3B"/>
  </w:style>
  <w:style w:type="paragraph" w:styleId="E-mailSignature">
    <w:name w:val="E-mail Signature"/>
    <w:basedOn w:val="Normal"/>
    <w:rsid w:val="00E25A3B"/>
  </w:style>
  <w:style w:type="paragraph" w:styleId="EndnoteText">
    <w:name w:val="endnote text"/>
    <w:basedOn w:val="Normal"/>
    <w:semiHidden/>
    <w:rsid w:val="00E25A3B"/>
    <w:rPr>
      <w:sz w:val="20"/>
    </w:rPr>
  </w:style>
  <w:style w:type="paragraph" w:styleId="EnvelopeAddress">
    <w:name w:val="envelope address"/>
    <w:basedOn w:val="Normal"/>
    <w:rsid w:val="00E25A3B"/>
    <w:pPr>
      <w:framePr w:w="7920" w:h="1980" w:hRule="exact" w:hSpace="180" w:wrap="auto" w:hAnchor="page" w:xAlign="center" w:yAlign="bottom"/>
      <w:ind w:left="2880"/>
    </w:pPr>
    <w:rPr>
      <w:rFonts w:cs="Arial"/>
      <w:szCs w:val="24"/>
    </w:rPr>
  </w:style>
  <w:style w:type="paragraph" w:styleId="EnvelopeReturn">
    <w:name w:val="envelope return"/>
    <w:basedOn w:val="Normal"/>
    <w:rsid w:val="00E25A3B"/>
    <w:rPr>
      <w:rFonts w:cs="Arial"/>
      <w:sz w:val="20"/>
    </w:rPr>
  </w:style>
  <w:style w:type="paragraph" w:styleId="HTMLAddress">
    <w:name w:val="HTML Address"/>
    <w:basedOn w:val="Normal"/>
    <w:rsid w:val="00E25A3B"/>
    <w:rPr>
      <w:i/>
      <w:iCs/>
    </w:rPr>
  </w:style>
  <w:style w:type="paragraph" w:styleId="HTMLPreformatted">
    <w:name w:val="HTML Preformatted"/>
    <w:basedOn w:val="Normal"/>
    <w:rsid w:val="00E25A3B"/>
    <w:rPr>
      <w:rFonts w:ascii="Courier New" w:hAnsi="Courier New" w:cs="Courier New"/>
      <w:sz w:val="20"/>
    </w:rPr>
  </w:style>
  <w:style w:type="paragraph" w:styleId="Index1">
    <w:name w:val="index 1"/>
    <w:basedOn w:val="Normal"/>
    <w:next w:val="Normal"/>
    <w:autoRedefine/>
    <w:semiHidden/>
    <w:rsid w:val="00E25A3B"/>
    <w:pPr>
      <w:ind w:left="240" w:hanging="240"/>
    </w:pPr>
  </w:style>
  <w:style w:type="paragraph" w:styleId="Index2">
    <w:name w:val="index 2"/>
    <w:basedOn w:val="Normal"/>
    <w:next w:val="Normal"/>
    <w:autoRedefine/>
    <w:semiHidden/>
    <w:rsid w:val="00E25A3B"/>
    <w:pPr>
      <w:ind w:left="480" w:hanging="240"/>
    </w:pPr>
  </w:style>
  <w:style w:type="paragraph" w:styleId="Index3">
    <w:name w:val="index 3"/>
    <w:basedOn w:val="Normal"/>
    <w:next w:val="Normal"/>
    <w:autoRedefine/>
    <w:semiHidden/>
    <w:rsid w:val="00E25A3B"/>
    <w:pPr>
      <w:ind w:hanging="240"/>
    </w:pPr>
  </w:style>
  <w:style w:type="paragraph" w:styleId="Index4">
    <w:name w:val="index 4"/>
    <w:basedOn w:val="Normal"/>
    <w:next w:val="Normal"/>
    <w:autoRedefine/>
    <w:semiHidden/>
    <w:rsid w:val="00E25A3B"/>
    <w:pPr>
      <w:ind w:left="960" w:hanging="240"/>
    </w:pPr>
  </w:style>
  <w:style w:type="paragraph" w:styleId="Index5">
    <w:name w:val="index 5"/>
    <w:basedOn w:val="Normal"/>
    <w:next w:val="Normal"/>
    <w:autoRedefine/>
    <w:semiHidden/>
    <w:rsid w:val="00E25A3B"/>
    <w:pPr>
      <w:ind w:left="1200" w:hanging="240"/>
    </w:pPr>
  </w:style>
  <w:style w:type="paragraph" w:styleId="Index6">
    <w:name w:val="index 6"/>
    <w:basedOn w:val="Normal"/>
    <w:next w:val="Normal"/>
    <w:autoRedefine/>
    <w:semiHidden/>
    <w:rsid w:val="00E25A3B"/>
    <w:pPr>
      <w:ind w:left="1440" w:hanging="240"/>
    </w:pPr>
  </w:style>
  <w:style w:type="paragraph" w:styleId="Index7">
    <w:name w:val="index 7"/>
    <w:basedOn w:val="Normal"/>
    <w:next w:val="Normal"/>
    <w:autoRedefine/>
    <w:semiHidden/>
    <w:rsid w:val="00E25A3B"/>
    <w:pPr>
      <w:ind w:left="1680" w:hanging="240"/>
    </w:pPr>
  </w:style>
  <w:style w:type="paragraph" w:styleId="Index8">
    <w:name w:val="index 8"/>
    <w:basedOn w:val="Normal"/>
    <w:next w:val="Normal"/>
    <w:autoRedefine/>
    <w:semiHidden/>
    <w:rsid w:val="00E25A3B"/>
    <w:pPr>
      <w:ind w:left="1920" w:hanging="240"/>
    </w:pPr>
  </w:style>
  <w:style w:type="paragraph" w:styleId="Index9">
    <w:name w:val="index 9"/>
    <w:basedOn w:val="Normal"/>
    <w:next w:val="Normal"/>
    <w:autoRedefine/>
    <w:semiHidden/>
    <w:rsid w:val="00E25A3B"/>
    <w:pPr>
      <w:ind w:left="2160" w:hanging="240"/>
    </w:pPr>
  </w:style>
  <w:style w:type="paragraph" w:styleId="IndexHeading">
    <w:name w:val="index heading"/>
    <w:basedOn w:val="Normal"/>
    <w:next w:val="Index1"/>
    <w:semiHidden/>
    <w:rsid w:val="00E25A3B"/>
    <w:rPr>
      <w:rFonts w:cs="Arial"/>
      <w:b/>
      <w:bCs/>
    </w:rPr>
  </w:style>
  <w:style w:type="paragraph" w:styleId="List">
    <w:name w:val="List"/>
    <w:basedOn w:val="Normal"/>
    <w:rsid w:val="00E25A3B"/>
    <w:pPr>
      <w:ind w:left="360" w:hanging="360"/>
    </w:pPr>
  </w:style>
  <w:style w:type="paragraph" w:styleId="List2">
    <w:name w:val="List 2"/>
    <w:basedOn w:val="Normal"/>
    <w:rsid w:val="00E25A3B"/>
    <w:pPr>
      <w:ind w:hanging="360"/>
    </w:pPr>
  </w:style>
  <w:style w:type="paragraph" w:styleId="List3">
    <w:name w:val="List 3"/>
    <w:basedOn w:val="Normal"/>
    <w:rsid w:val="00E25A3B"/>
    <w:pPr>
      <w:ind w:left="1080" w:hanging="360"/>
    </w:pPr>
  </w:style>
  <w:style w:type="paragraph" w:styleId="List4">
    <w:name w:val="List 4"/>
    <w:basedOn w:val="Normal"/>
    <w:rsid w:val="00E25A3B"/>
    <w:pPr>
      <w:ind w:left="1440" w:hanging="360"/>
    </w:pPr>
  </w:style>
  <w:style w:type="paragraph" w:styleId="List5">
    <w:name w:val="List 5"/>
    <w:basedOn w:val="Normal"/>
    <w:rsid w:val="00E25A3B"/>
    <w:pPr>
      <w:ind w:left="1800" w:hanging="360"/>
    </w:pPr>
  </w:style>
  <w:style w:type="paragraph" w:styleId="ListBullet">
    <w:name w:val="List Bullet"/>
    <w:basedOn w:val="Normal"/>
    <w:autoRedefine/>
    <w:rsid w:val="00E25A3B"/>
    <w:pPr>
      <w:numPr>
        <w:numId w:val="4"/>
      </w:numPr>
    </w:pPr>
  </w:style>
  <w:style w:type="paragraph" w:styleId="ListBullet2">
    <w:name w:val="List Bullet 2"/>
    <w:basedOn w:val="Normal"/>
    <w:autoRedefine/>
    <w:rsid w:val="00E25A3B"/>
    <w:pPr>
      <w:numPr>
        <w:numId w:val="5"/>
      </w:numPr>
    </w:pPr>
  </w:style>
  <w:style w:type="paragraph" w:styleId="ListBullet3">
    <w:name w:val="List Bullet 3"/>
    <w:basedOn w:val="Normal"/>
    <w:autoRedefine/>
    <w:rsid w:val="00E25A3B"/>
    <w:pPr>
      <w:numPr>
        <w:numId w:val="6"/>
      </w:numPr>
    </w:pPr>
  </w:style>
  <w:style w:type="paragraph" w:styleId="ListBullet4">
    <w:name w:val="List Bullet 4"/>
    <w:basedOn w:val="Normal"/>
    <w:autoRedefine/>
    <w:rsid w:val="00E25A3B"/>
    <w:pPr>
      <w:numPr>
        <w:numId w:val="7"/>
      </w:numPr>
    </w:pPr>
  </w:style>
  <w:style w:type="paragraph" w:styleId="ListBullet5">
    <w:name w:val="List Bullet 5"/>
    <w:basedOn w:val="Normal"/>
    <w:autoRedefine/>
    <w:rsid w:val="00E25A3B"/>
    <w:pPr>
      <w:numPr>
        <w:numId w:val="8"/>
      </w:numPr>
    </w:pPr>
  </w:style>
  <w:style w:type="paragraph" w:styleId="ListContinue">
    <w:name w:val="List Continue"/>
    <w:basedOn w:val="Normal"/>
    <w:rsid w:val="00E25A3B"/>
    <w:pPr>
      <w:spacing w:after="120"/>
      <w:ind w:left="360"/>
    </w:pPr>
  </w:style>
  <w:style w:type="paragraph" w:styleId="ListContinue2">
    <w:name w:val="List Continue 2"/>
    <w:basedOn w:val="Normal"/>
    <w:rsid w:val="00E25A3B"/>
    <w:pPr>
      <w:spacing w:after="120"/>
    </w:pPr>
  </w:style>
  <w:style w:type="paragraph" w:styleId="ListContinue3">
    <w:name w:val="List Continue 3"/>
    <w:basedOn w:val="Normal"/>
    <w:rsid w:val="00E25A3B"/>
    <w:pPr>
      <w:spacing w:after="120"/>
      <w:ind w:left="1080"/>
    </w:pPr>
  </w:style>
  <w:style w:type="paragraph" w:styleId="ListContinue4">
    <w:name w:val="List Continue 4"/>
    <w:basedOn w:val="Normal"/>
    <w:rsid w:val="00E25A3B"/>
    <w:pPr>
      <w:spacing w:after="120"/>
      <w:ind w:left="1440"/>
    </w:pPr>
  </w:style>
  <w:style w:type="paragraph" w:styleId="ListContinue5">
    <w:name w:val="List Continue 5"/>
    <w:basedOn w:val="Normal"/>
    <w:rsid w:val="00E25A3B"/>
    <w:pPr>
      <w:spacing w:after="120"/>
      <w:ind w:left="1800"/>
    </w:pPr>
  </w:style>
  <w:style w:type="paragraph" w:styleId="ListNumber">
    <w:name w:val="List Number"/>
    <w:basedOn w:val="Normal"/>
    <w:rsid w:val="00E25A3B"/>
    <w:pPr>
      <w:numPr>
        <w:numId w:val="9"/>
      </w:numPr>
    </w:pPr>
  </w:style>
  <w:style w:type="paragraph" w:styleId="ListNumber2">
    <w:name w:val="List Number 2"/>
    <w:basedOn w:val="Normal"/>
    <w:rsid w:val="00E25A3B"/>
    <w:pPr>
      <w:numPr>
        <w:numId w:val="10"/>
      </w:numPr>
    </w:pPr>
  </w:style>
  <w:style w:type="paragraph" w:styleId="ListNumber3">
    <w:name w:val="List Number 3"/>
    <w:basedOn w:val="Normal"/>
    <w:rsid w:val="00E25A3B"/>
    <w:pPr>
      <w:numPr>
        <w:numId w:val="11"/>
      </w:numPr>
    </w:pPr>
  </w:style>
  <w:style w:type="paragraph" w:styleId="ListNumber4">
    <w:name w:val="List Number 4"/>
    <w:basedOn w:val="Normal"/>
    <w:rsid w:val="00E25A3B"/>
    <w:pPr>
      <w:numPr>
        <w:numId w:val="12"/>
      </w:numPr>
    </w:pPr>
  </w:style>
  <w:style w:type="paragraph" w:styleId="ListNumber5">
    <w:name w:val="List Number 5"/>
    <w:basedOn w:val="Normal"/>
    <w:rsid w:val="00E25A3B"/>
    <w:pPr>
      <w:numPr>
        <w:numId w:val="13"/>
      </w:numPr>
    </w:pPr>
  </w:style>
  <w:style w:type="paragraph" w:styleId="MacroText">
    <w:name w:val="macro"/>
    <w:semiHidden/>
    <w:rsid w:val="00E25A3B"/>
    <w:pPr>
      <w:tabs>
        <w:tab w:val="left" w:pos="480"/>
        <w:tab w:val="left" w:pos="960"/>
        <w:tab w:val="left" w:pos="1440"/>
        <w:tab w:val="left" w:pos="1920"/>
        <w:tab w:val="left" w:pos="2400"/>
        <w:tab w:val="left" w:pos="2880"/>
        <w:tab w:val="left" w:pos="3360"/>
        <w:tab w:val="left" w:pos="3840"/>
        <w:tab w:val="left" w:pos="4320"/>
      </w:tabs>
      <w:spacing w:line="480" w:lineRule="auto"/>
      <w:ind w:left="720" w:hanging="720"/>
      <w:jc w:val="both"/>
    </w:pPr>
    <w:rPr>
      <w:rFonts w:ascii="Courier New" w:hAnsi="Courier New" w:cs="Courier New"/>
    </w:rPr>
  </w:style>
  <w:style w:type="paragraph" w:styleId="MessageHeader">
    <w:name w:val="Message Header"/>
    <w:basedOn w:val="Normal"/>
    <w:rsid w:val="00E25A3B"/>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E25A3B"/>
    <w:rPr>
      <w:rFonts w:ascii="Times New Roman" w:hAnsi="Times New Roman"/>
      <w:szCs w:val="24"/>
    </w:rPr>
  </w:style>
  <w:style w:type="paragraph" w:styleId="NormalIndent">
    <w:name w:val="Normal Indent"/>
    <w:basedOn w:val="Normal"/>
    <w:rsid w:val="00E25A3B"/>
  </w:style>
  <w:style w:type="paragraph" w:styleId="NoteHeading">
    <w:name w:val="Note Heading"/>
    <w:basedOn w:val="Normal"/>
    <w:next w:val="Normal"/>
    <w:rsid w:val="00E25A3B"/>
  </w:style>
  <w:style w:type="paragraph" w:styleId="PlainText">
    <w:name w:val="Plain Text"/>
    <w:basedOn w:val="Normal"/>
    <w:rsid w:val="00E25A3B"/>
    <w:rPr>
      <w:rFonts w:ascii="Courier New" w:hAnsi="Courier New" w:cs="Courier New"/>
      <w:sz w:val="20"/>
    </w:rPr>
  </w:style>
  <w:style w:type="paragraph" w:styleId="Salutation">
    <w:name w:val="Salutation"/>
    <w:basedOn w:val="Normal"/>
    <w:next w:val="Normal"/>
    <w:rsid w:val="00E25A3B"/>
  </w:style>
  <w:style w:type="paragraph" w:styleId="Signature">
    <w:name w:val="Signature"/>
    <w:basedOn w:val="Normal"/>
    <w:rsid w:val="00E25A3B"/>
    <w:pPr>
      <w:ind w:left="4320"/>
    </w:pPr>
  </w:style>
  <w:style w:type="paragraph" w:styleId="Subtitle">
    <w:name w:val="Subtitle"/>
    <w:basedOn w:val="Normal"/>
    <w:qFormat/>
    <w:rsid w:val="00E25A3B"/>
    <w:pPr>
      <w:spacing w:after="60"/>
      <w:jc w:val="center"/>
      <w:outlineLvl w:val="1"/>
    </w:pPr>
    <w:rPr>
      <w:rFonts w:cs="Arial"/>
      <w:szCs w:val="24"/>
    </w:rPr>
  </w:style>
  <w:style w:type="paragraph" w:styleId="TableofAuthorities">
    <w:name w:val="table of authorities"/>
    <w:basedOn w:val="Normal"/>
    <w:next w:val="Normal"/>
    <w:semiHidden/>
    <w:rsid w:val="00E25A3B"/>
    <w:pPr>
      <w:ind w:left="240" w:hanging="240"/>
    </w:pPr>
  </w:style>
  <w:style w:type="paragraph" w:styleId="TableofFigures">
    <w:name w:val="table of figures"/>
    <w:basedOn w:val="Normal"/>
    <w:next w:val="Normal"/>
    <w:semiHidden/>
    <w:rsid w:val="00E25A3B"/>
    <w:pPr>
      <w:ind w:left="480" w:hanging="480"/>
    </w:pPr>
  </w:style>
  <w:style w:type="paragraph" w:styleId="Title">
    <w:name w:val="Title"/>
    <w:basedOn w:val="Normal"/>
    <w:qFormat/>
    <w:rsid w:val="00E25A3B"/>
    <w:pPr>
      <w:spacing w:before="240" w:after="60"/>
      <w:jc w:val="center"/>
      <w:outlineLvl w:val="0"/>
    </w:pPr>
    <w:rPr>
      <w:rFonts w:cs="Arial"/>
      <w:b/>
      <w:bCs/>
      <w:kern w:val="28"/>
      <w:sz w:val="32"/>
      <w:szCs w:val="32"/>
    </w:rPr>
  </w:style>
  <w:style w:type="paragraph" w:styleId="TOAHeading">
    <w:name w:val="toa heading"/>
    <w:basedOn w:val="Normal"/>
    <w:next w:val="Normal"/>
    <w:semiHidden/>
    <w:rsid w:val="00E25A3B"/>
    <w:pPr>
      <w:spacing w:before="120"/>
    </w:pPr>
    <w:rPr>
      <w:rFonts w:cs="Arial"/>
      <w:b/>
      <w:bCs/>
      <w:szCs w:val="24"/>
    </w:rPr>
  </w:style>
  <w:style w:type="paragraph" w:styleId="TOC1">
    <w:name w:val="toc 1"/>
    <w:basedOn w:val="Normal"/>
    <w:next w:val="Normal"/>
    <w:autoRedefine/>
    <w:semiHidden/>
    <w:rsid w:val="00E25A3B"/>
    <w:pPr>
      <w:ind w:left="0"/>
    </w:pPr>
  </w:style>
  <w:style w:type="paragraph" w:styleId="TOC2">
    <w:name w:val="toc 2"/>
    <w:basedOn w:val="Normal"/>
    <w:next w:val="Normal"/>
    <w:autoRedefine/>
    <w:semiHidden/>
    <w:rsid w:val="00E25A3B"/>
    <w:pPr>
      <w:ind w:left="240"/>
    </w:pPr>
  </w:style>
  <w:style w:type="paragraph" w:styleId="TOC3">
    <w:name w:val="toc 3"/>
    <w:basedOn w:val="Normal"/>
    <w:next w:val="Normal"/>
    <w:autoRedefine/>
    <w:semiHidden/>
    <w:rsid w:val="00E25A3B"/>
    <w:pPr>
      <w:ind w:left="480"/>
    </w:pPr>
  </w:style>
  <w:style w:type="paragraph" w:styleId="TOC4">
    <w:name w:val="toc 4"/>
    <w:basedOn w:val="Normal"/>
    <w:next w:val="Normal"/>
    <w:autoRedefine/>
    <w:semiHidden/>
    <w:rsid w:val="00E25A3B"/>
  </w:style>
  <w:style w:type="paragraph" w:styleId="TOC5">
    <w:name w:val="toc 5"/>
    <w:basedOn w:val="Normal"/>
    <w:next w:val="Normal"/>
    <w:autoRedefine/>
    <w:semiHidden/>
    <w:rsid w:val="00E25A3B"/>
    <w:pPr>
      <w:ind w:left="960"/>
    </w:pPr>
  </w:style>
  <w:style w:type="paragraph" w:styleId="TOC6">
    <w:name w:val="toc 6"/>
    <w:basedOn w:val="Normal"/>
    <w:next w:val="Normal"/>
    <w:autoRedefine/>
    <w:semiHidden/>
    <w:rsid w:val="00E25A3B"/>
    <w:pPr>
      <w:ind w:left="1200"/>
    </w:pPr>
  </w:style>
  <w:style w:type="paragraph" w:styleId="TOC7">
    <w:name w:val="toc 7"/>
    <w:basedOn w:val="Normal"/>
    <w:next w:val="Normal"/>
    <w:autoRedefine/>
    <w:semiHidden/>
    <w:rsid w:val="00E25A3B"/>
    <w:pPr>
      <w:ind w:left="1440"/>
    </w:pPr>
  </w:style>
  <w:style w:type="paragraph" w:styleId="TOC8">
    <w:name w:val="toc 8"/>
    <w:basedOn w:val="Normal"/>
    <w:next w:val="Normal"/>
    <w:autoRedefine/>
    <w:semiHidden/>
    <w:rsid w:val="00E25A3B"/>
    <w:pPr>
      <w:ind w:left="1680"/>
    </w:pPr>
  </w:style>
  <w:style w:type="paragraph" w:styleId="TOC9">
    <w:name w:val="toc 9"/>
    <w:basedOn w:val="Normal"/>
    <w:next w:val="Normal"/>
    <w:autoRedefine/>
    <w:semiHidden/>
    <w:rsid w:val="00E25A3B"/>
    <w:pPr>
      <w:ind w:left="1920"/>
    </w:pPr>
  </w:style>
  <w:style w:type="character" w:customStyle="1" w:styleId="HeaderChar">
    <w:name w:val="Header Char"/>
    <w:basedOn w:val="DefaultParagraphFont"/>
    <w:link w:val="Header"/>
    <w:uiPriority w:val="99"/>
    <w:rsid w:val="005E4681"/>
    <w:rPr>
      <w:rFonts w:ascii="Arial" w:hAnsi="Arial"/>
      <w:sz w:val="24"/>
    </w:rPr>
  </w:style>
  <w:style w:type="character" w:customStyle="1" w:styleId="FootnoteTextChar1">
    <w:name w:val="Footnote Text Char1"/>
    <w:aliases w:val="fn Char,Footnote Text Char Char,Footnote Text Char Char Char Char Char Char Char Char Char Char"/>
    <w:basedOn w:val="DefaultParagraphFont"/>
    <w:link w:val="FootnoteText"/>
    <w:semiHidden/>
    <w:rsid w:val="009D6DF3"/>
    <w:rPr>
      <w:rFonts w:ascii="Arial" w:hAnsi="Arial"/>
    </w:rPr>
  </w:style>
  <w:style w:type="paragraph" w:customStyle="1" w:styleId="answer">
    <w:name w:val="answer"/>
    <w:basedOn w:val="Normal"/>
    <w:link w:val="answerChar"/>
    <w:rsid w:val="00725C43"/>
    <w:pPr>
      <w:spacing w:line="540" w:lineRule="atLeast"/>
    </w:pPr>
  </w:style>
  <w:style w:type="character" w:customStyle="1" w:styleId="answerChar">
    <w:name w:val="answer Char"/>
    <w:basedOn w:val="DefaultParagraphFont"/>
    <w:link w:val="answer"/>
    <w:rsid w:val="00725C43"/>
    <w:rPr>
      <w:rFonts w:ascii="Arial" w:hAnsi="Arial"/>
      <w:sz w:val="24"/>
    </w:rPr>
  </w:style>
  <w:style w:type="paragraph" w:customStyle="1" w:styleId="Question">
    <w:name w:val="Question"/>
    <w:basedOn w:val="BodyText"/>
    <w:rsid w:val="004F7E1F"/>
    <w:pPr>
      <w:spacing w:after="0"/>
      <w:jc w:val="left"/>
    </w:pPr>
    <w:rPr>
      <w:rFonts w:ascii="Times New Roman" w:hAnsi="Times New Roman"/>
      <w:b/>
      <w:bCs/>
    </w:rPr>
  </w:style>
  <w:style w:type="paragraph" w:customStyle="1" w:styleId="Answer0">
    <w:name w:val="Answer"/>
    <w:basedOn w:val="BodyText"/>
    <w:link w:val="AnswerChar0"/>
    <w:rsid w:val="004F7E1F"/>
    <w:pPr>
      <w:spacing w:after="0"/>
      <w:jc w:val="left"/>
    </w:pPr>
    <w:rPr>
      <w:rFonts w:ascii="Times New Roman" w:hAnsi="Times New Roman"/>
    </w:rPr>
  </w:style>
  <w:style w:type="character" w:customStyle="1" w:styleId="AnswerChar0">
    <w:name w:val="Answer Char"/>
    <w:basedOn w:val="DefaultParagraphFont"/>
    <w:link w:val="Answer0"/>
    <w:rsid w:val="004F7E1F"/>
    <w:rPr>
      <w:sz w:val="24"/>
    </w:rPr>
  </w:style>
  <w:style w:type="character" w:styleId="EndnoteReference">
    <w:name w:val="endnote reference"/>
    <w:basedOn w:val="DefaultParagraphFont"/>
    <w:uiPriority w:val="99"/>
    <w:semiHidden/>
    <w:unhideWhenUsed/>
    <w:rsid w:val="00EF45D7"/>
    <w:rPr>
      <w:vertAlign w:val="superscript"/>
    </w:rPr>
  </w:style>
  <w:style w:type="paragraph" w:customStyle="1" w:styleId="EntergyQuestion">
    <w:name w:val="Entergy Question"/>
    <w:basedOn w:val="Normal"/>
    <w:qFormat/>
    <w:rsid w:val="00BD21FE"/>
    <w:pPr>
      <w:widowControl w:val="0"/>
      <w:autoSpaceDE w:val="0"/>
      <w:autoSpaceDN w:val="0"/>
    </w:pPr>
    <w:rPr>
      <w:rFonts w:cs="Arial"/>
      <w:caps/>
      <w:szCs w:val="24"/>
    </w:rPr>
  </w:style>
  <w:style w:type="paragraph" w:customStyle="1" w:styleId="EntergyTestimony">
    <w:name w:val="Entergy Testimony"/>
    <w:basedOn w:val="Normal"/>
    <w:qFormat/>
    <w:rsid w:val="00BD21FE"/>
    <w:rPr>
      <w:rFonts w:cs="Arial"/>
      <w:szCs w:val="24"/>
    </w:rPr>
  </w:style>
  <w:style w:type="paragraph" w:customStyle="1" w:styleId="Default">
    <w:name w:val="Default"/>
    <w:rsid w:val="0077766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913899955">
      <w:bodyDiv w:val="1"/>
      <w:marLeft w:val="0"/>
      <w:marRight w:val="0"/>
      <w:marTop w:val="0"/>
      <w:marBottom w:val="0"/>
      <w:divBdr>
        <w:top w:val="none" w:sz="0" w:space="0" w:color="auto"/>
        <w:left w:val="none" w:sz="0" w:space="0" w:color="auto"/>
        <w:bottom w:val="none" w:sz="0" w:space="0" w:color="auto"/>
        <w:right w:val="none" w:sz="0" w:space="0" w:color="auto"/>
      </w:divBdr>
    </w:div>
    <w:div w:id="1178152574">
      <w:bodyDiv w:val="1"/>
      <w:marLeft w:val="0"/>
      <w:marRight w:val="0"/>
      <w:marTop w:val="0"/>
      <w:marBottom w:val="0"/>
      <w:divBdr>
        <w:top w:val="none" w:sz="0" w:space="0" w:color="auto"/>
        <w:left w:val="none" w:sz="0" w:space="0" w:color="auto"/>
        <w:bottom w:val="none" w:sz="0" w:space="0" w:color="auto"/>
        <w:right w:val="none" w:sz="0" w:space="0" w:color="auto"/>
      </w:divBdr>
    </w:div>
    <w:div w:id="21392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ralreserve.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emf"/><Relationship Id="rId12" Type="http://schemas.openxmlformats.org/officeDocument/2006/relationships/image" Target="media/image5.w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2010-11-05T07:00:00+00:00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7E078-0CD4-4E29-8CBA-2B7BB47BEDE5}"/>
</file>

<file path=customXml/itemProps2.xml><?xml version="1.0" encoding="utf-8"?>
<ds:datastoreItem xmlns:ds="http://schemas.openxmlformats.org/officeDocument/2006/customXml" ds:itemID="{7C1F9F74-BA8C-48B9-B805-EBB141540DA0}"/>
</file>

<file path=customXml/itemProps3.xml><?xml version="1.0" encoding="utf-8"?>
<ds:datastoreItem xmlns:ds="http://schemas.openxmlformats.org/officeDocument/2006/customXml" ds:itemID="{2282AF9D-8AB2-421E-8761-2C3F969377D8}"/>
</file>

<file path=customXml/itemProps4.xml><?xml version="1.0" encoding="utf-8"?>
<ds:datastoreItem xmlns:ds="http://schemas.openxmlformats.org/officeDocument/2006/customXml" ds:itemID="{74896CF0-1129-4D9C-9244-79DDC124066B}"/>
</file>

<file path=docProps/app.xml><?xml version="1.0" encoding="utf-8"?>
<Properties xmlns="http://schemas.openxmlformats.org/officeDocument/2006/extended-properties" xmlns:vt="http://schemas.openxmlformats.org/officeDocument/2006/docPropsVTypes">
  <Template>Normal.dotm</Template>
  <TotalTime>0</TotalTime>
  <Pages>30</Pages>
  <Words>6694</Words>
  <Characters>34757</Characters>
  <Application>Microsoft Office Word</Application>
  <DocSecurity>2</DocSecurity>
  <Lines>289</Lines>
  <Paragraphs>82</Paragraphs>
  <ScaleCrop>false</ScaleCrop>
  <LinksUpToDate>false</LinksUpToDate>
  <CharactersWithSpaces>41369</CharactersWithSpaces>
  <SharedDoc>false</SharedDoc>
  <HLinks>
    <vt:vector size="6" baseType="variant">
      <vt:variant>
        <vt:i4>3080246</vt:i4>
      </vt:variant>
      <vt:variant>
        <vt:i4>0</vt:i4>
      </vt:variant>
      <vt:variant>
        <vt:i4>0</vt:i4>
      </vt:variant>
      <vt:variant>
        <vt:i4>5</vt:i4>
      </vt:variant>
      <vt:variant>
        <vt:lpwstr>http://www.federalreserve.gov/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2010-11-04T18:20:00Z</dcterms:created>
  <dcterms:modified xsi:type="dcterms:W3CDTF">2010-11-04T18:20:00Z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