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10142" w14:textId="01810473" w:rsidR="004611C3" w:rsidRPr="004611C3" w:rsidRDefault="004611C3" w:rsidP="00BF05CC">
      <w:pPr>
        <w:ind w:left="4320"/>
        <w:rPr>
          <w:b/>
          <w:szCs w:val="20"/>
          <w:lang w:eastAsia="zh-CN"/>
        </w:rPr>
      </w:pPr>
      <w:r w:rsidRPr="004611C3">
        <w:rPr>
          <w:b/>
          <w:szCs w:val="20"/>
          <w:lang w:eastAsia="zh-CN"/>
        </w:rPr>
        <w:t>EXHIBIT NO. ___(</w:t>
      </w:r>
      <w:r w:rsidR="00723F30">
        <w:rPr>
          <w:b/>
          <w:szCs w:val="20"/>
          <w:lang w:eastAsia="zh-CN"/>
        </w:rPr>
        <w:t>BJL</w:t>
      </w:r>
      <w:r w:rsidRPr="004611C3">
        <w:rPr>
          <w:b/>
          <w:szCs w:val="20"/>
          <w:lang w:eastAsia="zh-CN"/>
        </w:rPr>
        <w:t>-1T)</w:t>
      </w:r>
    </w:p>
    <w:p w14:paraId="7C3BE270" w14:textId="28B0D9AF" w:rsidR="00290C67" w:rsidRPr="004611C3" w:rsidRDefault="004611C3" w:rsidP="00BF05CC">
      <w:pPr>
        <w:ind w:left="4320"/>
        <w:rPr>
          <w:b/>
          <w:szCs w:val="20"/>
          <w:lang w:eastAsia="zh-CN"/>
        </w:rPr>
      </w:pPr>
      <w:r w:rsidRPr="004611C3">
        <w:rPr>
          <w:b/>
          <w:szCs w:val="20"/>
          <w:lang w:eastAsia="zh-CN"/>
        </w:rPr>
        <w:t>DOCKET</w:t>
      </w:r>
      <w:r w:rsidR="000514F9">
        <w:rPr>
          <w:b/>
          <w:szCs w:val="20"/>
          <w:lang w:eastAsia="zh-CN"/>
        </w:rPr>
        <w:t>S</w:t>
      </w:r>
      <w:r w:rsidRPr="004611C3">
        <w:rPr>
          <w:b/>
          <w:szCs w:val="20"/>
          <w:lang w:eastAsia="zh-CN"/>
        </w:rPr>
        <w:t xml:space="preserve"> U</w:t>
      </w:r>
      <w:r w:rsidR="00290C67">
        <w:rPr>
          <w:b/>
          <w:szCs w:val="20"/>
          <w:lang w:eastAsia="zh-CN"/>
        </w:rPr>
        <w:t>E</w:t>
      </w:r>
      <w:r w:rsidRPr="004611C3">
        <w:rPr>
          <w:b/>
          <w:szCs w:val="20"/>
          <w:lang w:eastAsia="zh-CN"/>
        </w:rPr>
        <w:t>-1</w:t>
      </w:r>
      <w:r w:rsidR="00A35DD8">
        <w:rPr>
          <w:b/>
          <w:szCs w:val="20"/>
          <w:lang w:eastAsia="zh-CN"/>
        </w:rPr>
        <w:t>7</w:t>
      </w:r>
      <w:r w:rsidRPr="004611C3">
        <w:rPr>
          <w:b/>
          <w:szCs w:val="20"/>
          <w:lang w:eastAsia="zh-CN"/>
        </w:rPr>
        <w:t>____</w:t>
      </w:r>
      <w:r w:rsidR="008B3956">
        <w:rPr>
          <w:b/>
          <w:szCs w:val="20"/>
          <w:lang w:eastAsia="zh-CN"/>
        </w:rPr>
        <w:t>/</w:t>
      </w:r>
      <w:r w:rsidR="00290C67" w:rsidRPr="004611C3">
        <w:rPr>
          <w:b/>
          <w:szCs w:val="20"/>
          <w:lang w:eastAsia="zh-CN"/>
        </w:rPr>
        <w:t>U</w:t>
      </w:r>
      <w:r w:rsidR="00290C67">
        <w:rPr>
          <w:b/>
          <w:szCs w:val="20"/>
          <w:lang w:eastAsia="zh-CN"/>
        </w:rPr>
        <w:t>G</w:t>
      </w:r>
      <w:r w:rsidR="00290C67" w:rsidRPr="004611C3">
        <w:rPr>
          <w:b/>
          <w:szCs w:val="20"/>
          <w:lang w:eastAsia="zh-CN"/>
        </w:rPr>
        <w:t>-1</w:t>
      </w:r>
      <w:r w:rsidR="00A35DD8">
        <w:rPr>
          <w:b/>
          <w:szCs w:val="20"/>
          <w:lang w:eastAsia="zh-CN"/>
        </w:rPr>
        <w:t>7</w:t>
      </w:r>
      <w:r w:rsidR="00290C67" w:rsidRPr="004611C3">
        <w:rPr>
          <w:b/>
          <w:szCs w:val="20"/>
          <w:lang w:eastAsia="zh-CN"/>
        </w:rPr>
        <w:t>____</w:t>
      </w:r>
    </w:p>
    <w:p w14:paraId="206ADFAC" w14:textId="52B39B46" w:rsidR="00290C67" w:rsidRPr="004611C3" w:rsidRDefault="00290C67" w:rsidP="00BF05CC">
      <w:pPr>
        <w:ind w:left="4320"/>
        <w:rPr>
          <w:b/>
          <w:szCs w:val="20"/>
          <w:lang w:eastAsia="zh-CN"/>
        </w:rPr>
      </w:pPr>
      <w:r>
        <w:rPr>
          <w:b/>
          <w:szCs w:val="20"/>
          <w:lang w:eastAsia="zh-CN"/>
        </w:rPr>
        <w:t>201</w:t>
      </w:r>
      <w:r w:rsidR="005B75D3">
        <w:rPr>
          <w:b/>
          <w:szCs w:val="20"/>
          <w:lang w:eastAsia="zh-CN"/>
        </w:rPr>
        <w:t>7</w:t>
      </w:r>
      <w:r>
        <w:rPr>
          <w:b/>
          <w:szCs w:val="20"/>
          <w:lang w:eastAsia="zh-CN"/>
        </w:rPr>
        <w:t xml:space="preserve"> </w:t>
      </w:r>
      <w:r w:rsidR="00C34003">
        <w:rPr>
          <w:b/>
          <w:szCs w:val="20"/>
          <w:lang w:eastAsia="zh-CN"/>
        </w:rPr>
        <w:t xml:space="preserve">PSE </w:t>
      </w:r>
      <w:r>
        <w:rPr>
          <w:b/>
          <w:szCs w:val="20"/>
          <w:lang w:eastAsia="zh-CN"/>
        </w:rPr>
        <w:t>GENERAL RATE CASE</w:t>
      </w:r>
    </w:p>
    <w:p w14:paraId="3F137C10" w14:textId="77777777" w:rsidR="004611C3" w:rsidRPr="004611C3" w:rsidRDefault="004611C3" w:rsidP="00BF05CC">
      <w:pPr>
        <w:ind w:left="4320"/>
        <w:rPr>
          <w:b/>
          <w:szCs w:val="20"/>
          <w:lang w:eastAsia="zh-CN"/>
        </w:rPr>
      </w:pPr>
      <w:r w:rsidRPr="004611C3">
        <w:rPr>
          <w:b/>
          <w:szCs w:val="20"/>
          <w:lang w:eastAsia="zh-CN"/>
        </w:rPr>
        <w:t>WITNESS:</w:t>
      </w:r>
      <w:r w:rsidR="00BD560E">
        <w:rPr>
          <w:b/>
          <w:szCs w:val="20"/>
          <w:lang w:eastAsia="zh-CN"/>
        </w:rPr>
        <w:t xml:space="preserve"> </w:t>
      </w:r>
      <w:r w:rsidR="00DD4FDE" w:rsidRPr="00DD4FDE">
        <w:rPr>
          <w:b/>
          <w:szCs w:val="20"/>
          <w:lang w:eastAsia="zh-CN"/>
        </w:rPr>
        <w:t>BRANDON J. LOHSE</w:t>
      </w:r>
    </w:p>
    <w:p w14:paraId="698B3C97" w14:textId="77777777" w:rsidR="00FB09A7" w:rsidRDefault="00FB09A7" w:rsidP="00BF05CC">
      <w:pPr>
        <w:pStyle w:val="center"/>
        <w:keepNext/>
        <w:keepLines w:val="0"/>
        <w:spacing w:before="0" w:line="240" w:lineRule="auto"/>
      </w:pPr>
    </w:p>
    <w:p w14:paraId="1DA05156" w14:textId="77777777" w:rsidR="00FB09A7" w:rsidRDefault="00FB09A7" w:rsidP="00BF05CC">
      <w:pPr>
        <w:pStyle w:val="center"/>
        <w:keepNext/>
        <w:keepLines w:val="0"/>
        <w:spacing w:before="0" w:line="240" w:lineRule="auto"/>
        <w:rPr>
          <w:b/>
        </w:rPr>
      </w:pPr>
    </w:p>
    <w:p w14:paraId="2A5D19F9" w14:textId="77777777" w:rsidR="00FB09A7" w:rsidRDefault="00FB09A7" w:rsidP="00BF05CC">
      <w:pPr>
        <w:pStyle w:val="center"/>
        <w:keepNext/>
        <w:keepLines w:val="0"/>
        <w:spacing w:before="0" w:line="240" w:lineRule="auto"/>
        <w:rPr>
          <w:b/>
        </w:rPr>
      </w:pPr>
    </w:p>
    <w:p w14:paraId="50BA351B" w14:textId="77777777" w:rsidR="00517897" w:rsidRPr="00EF16DB" w:rsidRDefault="00517897" w:rsidP="00BF05CC">
      <w:pPr>
        <w:pStyle w:val="center"/>
        <w:keepNext/>
        <w:keepLines w:val="0"/>
        <w:spacing w:before="0" w:line="240" w:lineRule="auto"/>
        <w:rPr>
          <w:b/>
        </w:rPr>
      </w:pPr>
      <w:r w:rsidRPr="00EF16DB">
        <w:rPr>
          <w:b/>
        </w:rPr>
        <w:t>BEFORE THE</w:t>
      </w:r>
    </w:p>
    <w:p w14:paraId="129429DF" w14:textId="77777777" w:rsidR="00517897" w:rsidRPr="00EF16DB" w:rsidRDefault="00517897" w:rsidP="00BF05CC">
      <w:pPr>
        <w:pStyle w:val="center"/>
        <w:keepNext/>
        <w:keepLines w:val="0"/>
        <w:spacing w:before="0" w:line="240" w:lineRule="auto"/>
        <w:rPr>
          <w:b/>
        </w:rPr>
      </w:pPr>
      <w:smartTag w:uri="urn:schemas-microsoft-com:office:smarttags" w:element="place">
        <w:smartTag w:uri="urn:schemas-microsoft-com:office:smarttags" w:element="State">
          <w:r w:rsidRPr="00EF16DB">
            <w:rPr>
              <w:b/>
            </w:rPr>
            <w:t>WASHINGTON</w:t>
          </w:r>
        </w:smartTag>
      </w:smartTag>
      <w:r w:rsidRPr="00EF16DB">
        <w:rPr>
          <w:b/>
        </w:rPr>
        <w:t xml:space="preserve"> UTILITIES AND TRANSPORTATION COMMISSION</w:t>
      </w:r>
    </w:p>
    <w:p w14:paraId="59171A6A" w14:textId="77777777" w:rsidR="00517897" w:rsidRPr="00EF16DB" w:rsidRDefault="00517897" w:rsidP="00BF05CC">
      <w:pPr>
        <w:pStyle w:val="center"/>
        <w:keepNext/>
        <w:keepLines w:val="0"/>
        <w:spacing w:before="0" w:line="240" w:lineRule="auto"/>
        <w:rPr>
          <w:b/>
        </w:rPr>
      </w:pPr>
    </w:p>
    <w:p w14:paraId="665D3C82" w14:textId="77777777" w:rsidR="00517897" w:rsidRPr="00EF16DB" w:rsidRDefault="00517897" w:rsidP="00BF05CC">
      <w:pPr>
        <w:pStyle w:val="center"/>
        <w:keepNext/>
        <w:keepLines w:val="0"/>
        <w:spacing w:before="0" w:line="240" w:lineRule="auto"/>
        <w:rPr>
          <w:b/>
        </w:rPr>
      </w:pPr>
    </w:p>
    <w:p w14:paraId="21E72590" w14:textId="77777777" w:rsidR="00517897" w:rsidRDefault="00517897" w:rsidP="00BF05CC">
      <w:pPr>
        <w:pStyle w:val="center"/>
        <w:keepNext/>
        <w:keepLines w:val="0"/>
        <w:spacing w:before="0" w:line="240" w:lineRule="auto"/>
        <w:rPr>
          <w:b/>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35"/>
        <w:gridCol w:w="4540"/>
      </w:tblGrid>
      <w:tr w:rsidR="00706176" w14:paraId="22302C65" w14:textId="77777777" w:rsidTr="00706176">
        <w:tc>
          <w:tcPr>
            <w:tcW w:w="4535" w:type="dxa"/>
            <w:tcBorders>
              <w:top w:val="nil"/>
              <w:left w:val="nil"/>
              <w:bottom w:val="single" w:sz="6" w:space="0" w:color="auto"/>
              <w:right w:val="single" w:sz="6" w:space="0" w:color="auto"/>
            </w:tcBorders>
            <w:hideMark/>
          </w:tcPr>
          <w:p w14:paraId="6131EDC3" w14:textId="77777777" w:rsidR="00706176" w:rsidRDefault="00706176">
            <w:pPr>
              <w:spacing w:after="240"/>
              <w:rPr>
                <w:b/>
                <w:szCs w:val="20"/>
                <w:lang w:eastAsia="zh-CN"/>
              </w:rPr>
            </w:pPr>
            <w:r>
              <w:rPr>
                <w:b/>
                <w:szCs w:val="20"/>
                <w:lang w:eastAsia="zh-CN"/>
              </w:rPr>
              <w:t>WASHINGTON UTILITIES AND TRANSPORTATION COMMISSION,</w:t>
            </w:r>
          </w:p>
          <w:p w14:paraId="537B3F76" w14:textId="77777777" w:rsidR="00706176" w:rsidRDefault="00706176">
            <w:pPr>
              <w:spacing w:after="240"/>
              <w:ind w:left="2160"/>
              <w:rPr>
                <w:b/>
                <w:szCs w:val="20"/>
                <w:lang w:eastAsia="zh-CN"/>
              </w:rPr>
            </w:pPr>
            <w:r>
              <w:rPr>
                <w:b/>
                <w:szCs w:val="20"/>
                <w:lang w:eastAsia="zh-CN"/>
              </w:rPr>
              <w:t>Complainant,</w:t>
            </w:r>
          </w:p>
          <w:p w14:paraId="3A3E61BE" w14:textId="77777777" w:rsidR="00706176" w:rsidRDefault="00706176">
            <w:pPr>
              <w:spacing w:after="240"/>
              <w:ind w:left="1440"/>
              <w:rPr>
                <w:b/>
                <w:szCs w:val="20"/>
                <w:lang w:eastAsia="zh-CN"/>
              </w:rPr>
            </w:pPr>
            <w:r>
              <w:rPr>
                <w:b/>
                <w:szCs w:val="20"/>
                <w:lang w:eastAsia="zh-CN"/>
              </w:rPr>
              <w:t>v.</w:t>
            </w:r>
          </w:p>
          <w:p w14:paraId="063881A1" w14:textId="77777777" w:rsidR="00706176" w:rsidRDefault="00706176">
            <w:pPr>
              <w:spacing w:after="240"/>
              <w:rPr>
                <w:b/>
                <w:szCs w:val="20"/>
                <w:lang w:eastAsia="zh-CN"/>
              </w:rPr>
            </w:pPr>
            <w:r>
              <w:rPr>
                <w:b/>
                <w:szCs w:val="20"/>
                <w:lang w:eastAsia="zh-CN"/>
              </w:rPr>
              <w:t>PUGET SOUND ENERGY,</w:t>
            </w:r>
          </w:p>
          <w:p w14:paraId="40D1BB87" w14:textId="77777777" w:rsidR="00706176" w:rsidRDefault="00706176">
            <w:pPr>
              <w:spacing w:after="240"/>
              <w:ind w:left="2160"/>
              <w:rPr>
                <w:b/>
                <w:szCs w:val="20"/>
                <w:lang w:eastAsia="zh-CN"/>
              </w:rPr>
            </w:pPr>
            <w:r>
              <w:rPr>
                <w:b/>
                <w:szCs w:val="20"/>
                <w:lang w:eastAsia="zh-CN"/>
              </w:rPr>
              <w:t>Respondent.</w:t>
            </w:r>
          </w:p>
        </w:tc>
        <w:tc>
          <w:tcPr>
            <w:tcW w:w="4540" w:type="dxa"/>
            <w:tcBorders>
              <w:top w:val="nil"/>
              <w:left w:val="single" w:sz="6" w:space="0" w:color="auto"/>
              <w:bottom w:val="nil"/>
              <w:right w:val="nil"/>
            </w:tcBorders>
            <w:vAlign w:val="center"/>
            <w:hideMark/>
          </w:tcPr>
          <w:p w14:paraId="4914132B" w14:textId="77777777" w:rsidR="00706176" w:rsidRDefault="00706176">
            <w:pPr>
              <w:keepNext/>
              <w:keepLines/>
              <w:spacing w:after="240"/>
              <w:ind w:left="324"/>
              <w:rPr>
                <w:b/>
                <w:szCs w:val="20"/>
                <w:lang w:eastAsia="zh-CN"/>
              </w:rPr>
            </w:pPr>
            <w:r>
              <w:rPr>
                <w:b/>
                <w:szCs w:val="20"/>
                <w:lang w:eastAsia="zh-CN"/>
              </w:rPr>
              <w:t>Docket UE-17____</w:t>
            </w:r>
            <w:r>
              <w:rPr>
                <w:b/>
                <w:szCs w:val="20"/>
                <w:lang w:eastAsia="zh-CN"/>
              </w:rPr>
              <w:br/>
              <w:t>Docket UG-17____</w:t>
            </w:r>
          </w:p>
        </w:tc>
      </w:tr>
    </w:tbl>
    <w:p w14:paraId="07FBC3FD" w14:textId="77777777" w:rsidR="002E4864" w:rsidRDefault="002E4864" w:rsidP="00BF05CC">
      <w:pPr>
        <w:pStyle w:val="center"/>
        <w:keepNext/>
        <w:keepLines w:val="0"/>
        <w:spacing w:before="0" w:line="240" w:lineRule="auto"/>
        <w:rPr>
          <w:b/>
        </w:rPr>
      </w:pPr>
    </w:p>
    <w:p w14:paraId="609A7E80" w14:textId="77777777" w:rsidR="00E41D7A" w:rsidRDefault="00E41D7A" w:rsidP="00BF05CC">
      <w:pPr>
        <w:pStyle w:val="center"/>
        <w:keepNext/>
        <w:keepLines w:val="0"/>
        <w:spacing w:before="0" w:line="240" w:lineRule="auto"/>
        <w:rPr>
          <w:b/>
        </w:rPr>
      </w:pPr>
    </w:p>
    <w:p w14:paraId="21F3DA2E" w14:textId="77777777" w:rsidR="00460AD4" w:rsidRPr="00EF16DB" w:rsidRDefault="00460AD4" w:rsidP="00BF05CC">
      <w:pPr>
        <w:pStyle w:val="center"/>
        <w:keepNext/>
        <w:keepLines w:val="0"/>
        <w:spacing w:before="0" w:line="240" w:lineRule="auto"/>
        <w:rPr>
          <w:b/>
        </w:rPr>
      </w:pPr>
    </w:p>
    <w:p w14:paraId="6A31FF8C" w14:textId="77777777" w:rsidR="000514F9" w:rsidRDefault="00517897" w:rsidP="00BF05CC">
      <w:pPr>
        <w:pStyle w:val="center"/>
        <w:keepNext/>
        <w:keepLines w:val="0"/>
        <w:spacing w:before="0" w:line="240" w:lineRule="auto"/>
        <w:rPr>
          <w:b/>
          <w:szCs w:val="20"/>
        </w:rPr>
      </w:pPr>
      <w:proofErr w:type="spellStart"/>
      <w:r w:rsidRPr="00EF16DB">
        <w:rPr>
          <w:b/>
        </w:rPr>
        <w:t>PREFILED</w:t>
      </w:r>
      <w:proofErr w:type="spellEnd"/>
      <w:r w:rsidRPr="00EF16DB">
        <w:rPr>
          <w:b/>
        </w:rPr>
        <w:t xml:space="preserve"> </w:t>
      </w:r>
      <w:r w:rsidR="004611C3">
        <w:rPr>
          <w:b/>
        </w:rPr>
        <w:t>DI</w:t>
      </w:r>
      <w:r w:rsidR="0063582B">
        <w:rPr>
          <w:b/>
        </w:rPr>
        <w:t>R</w:t>
      </w:r>
      <w:r w:rsidR="004611C3">
        <w:rPr>
          <w:b/>
        </w:rPr>
        <w:t xml:space="preserve">ECT </w:t>
      </w:r>
      <w:r w:rsidRPr="00EF16DB">
        <w:rPr>
          <w:b/>
        </w:rPr>
        <w:t>TESTIMONY (</w:t>
      </w:r>
      <w:proofErr w:type="spellStart"/>
      <w:r w:rsidR="000514F9">
        <w:rPr>
          <w:b/>
        </w:rPr>
        <w:t>NON</w:t>
      </w:r>
      <w:r w:rsidRPr="00EF16DB">
        <w:rPr>
          <w:b/>
        </w:rPr>
        <w:t>CONFIDENTIAL</w:t>
      </w:r>
      <w:proofErr w:type="spellEnd"/>
      <w:r w:rsidRPr="00EF16DB">
        <w:rPr>
          <w:b/>
        </w:rPr>
        <w:t>) OF</w:t>
      </w:r>
      <w:r w:rsidRPr="00EF16DB">
        <w:rPr>
          <w:b/>
        </w:rPr>
        <w:br/>
      </w:r>
    </w:p>
    <w:p w14:paraId="0856B53A" w14:textId="77777777" w:rsidR="000514F9" w:rsidRDefault="00DD4FDE" w:rsidP="00BF05CC">
      <w:pPr>
        <w:pStyle w:val="center"/>
        <w:keepNext/>
        <w:keepLines w:val="0"/>
        <w:spacing w:before="0" w:line="240" w:lineRule="auto"/>
        <w:rPr>
          <w:b/>
        </w:rPr>
      </w:pPr>
      <w:r w:rsidRPr="00DD4FDE">
        <w:rPr>
          <w:b/>
          <w:szCs w:val="20"/>
        </w:rPr>
        <w:t>BRANDON J. LOHSE</w:t>
      </w:r>
      <w:r w:rsidR="00517897" w:rsidRPr="00EF16DB">
        <w:rPr>
          <w:b/>
        </w:rPr>
        <w:br/>
      </w:r>
    </w:p>
    <w:p w14:paraId="2305DCD9" w14:textId="01733091" w:rsidR="00517897" w:rsidRPr="00EF16DB" w:rsidRDefault="00517897" w:rsidP="00BF05CC">
      <w:pPr>
        <w:pStyle w:val="center"/>
        <w:keepNext/>
        <w:keepLines w:val="0"/>
        <w:spacing w:before="0" w:line="240" w:lineRule="auto"/>
        <w:rPr>
          <w:b/>
        </w:rPr>
      </w:pPr>
      <w:r w:rsidRPr="00EF16DB">
        <w:rPr>
          <w:b/>
        </w:rPr>
        <w:t xml:space="preserve">ON BEHALF OF PUGET </w:t>
      </w:r>
      <w:r w:rsidR="003B3DB0">
        <w:rPr>
          <w:b/>
        </w:rPr>
        <w:t>SOUND ENERGY</w:t>
      </w:r>
    </w:p>
    <w:p w14:paraId="2609B107" w14:textId="36E81CFF" w:rsidR="00695C07" w:rsidRDefault="00695C07" w:rsidP="00BF05CC">
      <w:pPr>
        <w:pStyle w:val="center"/>
        <w:keepNext/>
        <w:keepLines w:val="0"/>
        <w:spacing w:before="0" w:line="240" w:lineRule="auto"/>
        <w:rPr>
          <w:b/>
        </w:rPr>
      </w:pPr>
    </w:p>
    <w:p w14:paraId="5CD92AC4" w14:textId="6FBF9E3A" w:rsidR="00695C07" w:rsidRDefault="00695C07" w:rsidP="00BF05CC">
      <w:pPr>
        <w:pStyle w:val="center"/>
        <w:keepNext/>
        <w:keepLines w:val="0"/>
        <w:spacing w:before="0" w:line="240" w:lineRule="auto"/>
        <w:rPr>
          <w:b/>
        </w:rPr>
      </w:pPr>
    </w:p>
    <w:p w14:paraId="124A7726" w14:textId="77777777" w:rsidR="00695C07" w:rsidRDefault="00695C07" w:rsidP="00BF05CC">
      <w:pPr>
        <w:pStyle w:val="center"/>
        <w:keepNext/>
        <w:keepLines w:val="0"/>
        <w:spacing w:before="0" w:line="240" w:lineRule="auto"/>
        <w:rPr>
          <w:b/>
        </w:rPr>
      </w:pPr>
    </w:p>
    <w:p w14:paraId="4DC9AD64" w14:textId="77777777" w:rsidR="00DD4FDE" w:rsidRDefault="00DD4FDE" w:rsidP="00BF05CC">
      <w:pPr>
        <w:pStyle w:val="center"/>
        <w:keepNext/>
        <w:keepLines w:val="0"/>
        <w:spacing w:before="0" w:line="240" w:lineRule="auto"/>
        <w:rPr>
          <w:b/>
        </w:rPr>
      </w:pPr>
    </w:p>
    <w:p w14:paraId="4D0DC532" w14:textId="58909D56" w:rsidR="00DD4FDE" w:rsidRPr="00842715" w:rsidRDefault="00DD4FDE" w:rsidP="00BF05CC">
      <w:pPr>
        <w:pStyle w:val="center"/>
        <w:keepNext/>
        <w:keepLines w:val="0"/>
        <w:spacing w:before="0" w:line="240" w:lineRule="auto"/>
        <w:rPr>
          <w:b/>
        </w:rPr>
      </w:pPr>
      <w:bookmarkStart w:id="0" w:name="_GoBack"/>
      <w:bookmarkEnd w:id="0"/>
    </w:p>
    <w:p w14:paraId="2452F046" w14:textId="77777777" w:rsidR="00DD4FDE" w:rsidRPr="00842715" w:rsidRDefault="00DD4FDE" w:rsidP="00BF05CC">
      <w:pPr>
        <w:pStyle w:val="center"/>
        <w:keepNext/>
        <w:keepLines w:val="0"/>
        <w:spacing w:before="0" w:line="240" w:lineRule="auto"/>
        <w:rPr>
          <w:b/>
        </w:rPr>
      </w:pPr>
    </w:p>
    <w:p w14:paraId="1CD8707E" w14:textId="77777777" w:rsidR="00DD4FDE" w:rsidRPr="00842715" w:rsidRDefault="00DD4FDE" w:rsidP="00BF05CC">
      <w:pPr>
        <w:pStyle w:val="center"/>
        <w:keepNext/>
        <w:keepLines w:val="0"/>
        <w:spacing w:before="0" w:line="240" w:lineRule="auto"/>
        <w:rPr>
          <w:b/>
        </w:rPr>
      </w:pPr>
    </w:p>
    <w:p w14:paraId="36605B0E" w14:textId="77777777" w:rsidR="00DD4FDE" w:rsidRPr="00842715" w:rsidRDefault="00DD4FDE" w:rsidP="00BF05CC">
      <w:pPr>
        <w:pStyle w:val="center"/>
        <w:keepNext/>
        <w:keepLines w:val="0"/>
        <w:spacing w:before="0" w:line="240" w:lineRule="auto"/>
        <w:rPr>
          <w:b/>
        </w:rPr>
      </w:pPr>
    </w:p>
    <w:p w14:paraId="2991F44A" w14:textId="77777777" w:rsidR="00DD4FDE" w:rsidRPr="00842715" w:rsidRDefault="00DD4FDE" w:rsidP="00BF05CC">
      <w:pPr>
        <w:pStyle w:val="center"/>
        <w:keepNext/>
        <w:keepLines w:val="0"/>
        <w:spacing w:before="0" w:line="240" w:lineRule="auto"/>
        <w:rPr>
          <w:b/>
        </w:rPr>
      </w:pPr>
    </w:p>
    <w:p w14:paraId="119E6854" w14:textId="77777777" w:rsidR="00DD4FDE" w:rsidRPr="00842715" w:rsidRDefault="00DD4FDE" w:rsidP="00BF05CC">
      <w:pPr>
        <w:pStyle w:val="center"/>
        <w:keepNext/>
        <w:keepLines w:val="0"/>
        <w:spacing w:before="0" w:line="240" w:lineRule="auto"/>
        <w:rPr>
          <w:b/>
        </w:rPr>
      </w:pPr>
    </w:p>
    <w:p w14:paraId="05151F08" w14:textId="77777777" w:rsidR="00695C07" w:rsidRDefault="00695C07" w:rsidP="00BF05CC">
      <w:pPr>
        <w:pStyle w:val="center"/>
        <w:keepNext/>
        <w:keepLines w:val="0"/>
        <w:spacing w:before="0" w:line="240" w:lineRule="auto"/>
        <w:rPr>
          <w:b/>
        </w:rPr>
      </w:pPr>
    </w:p>
    <w:p w14:paraId="138C6153" w14:textId="77777777" w:rsidR="008B3956" w:rsidRDefault="008B3956" w:rsidP="00BF05CC">
      <w:pPr>
        <w:pStyle w:val="center"/>
        <w:keepNext/>
        <w:keepLines w:val="0"/>
        <w:spacing w:before="0" w:line="240" w:lineRule="auto"/>
        <w:rPr>
          <w:b/>
        </w:rPr>
      </w:pPr>
    </w:p>
    <w:p w14:paraId="0B7E65A7" w14:textId="77777777" w:rsidR="008B3956" w:rsidRDefault="008B3956" w:rsidP="00BF05CC">
      <w:pPr>
        <w:pStyle w:val="center"/>
        <w:keepNext/>
        <w:keepLines w:val="0"/>
        <w:spacing w:before="0" w:line="240" w:lineRule="auto"/>
        <w:rPr>
          <w:b/>
        </w:rPr>
      </w:pPr>
    </w:p>
    <w:p w14:paraId="58CEE454" w14:textId="77777777" w:rsidR="008B3956" w:rsidRPr="00842715" w:rsidRDefault="008B3956" w:rsidP="00BF05CC">
      <w:pPr>
        <w:pStyle w:val="center"/>
        <w:keepNext/>
        <w:keepLines w:val="0"/>
        <w:spacing w:before="0" w:line="240" w:lineRule="auto"/>
        <w:rPr>
          <w:b/>
        </w:rPr>
      </w:pPr>
    </w:p>
    <w:p w14:paraId="16543872" w14:textId="2FC09251" w:rsidR="00517897" w:rsidRPr="00EF16DB" w:rsidRDefault="00113691" w:rsidP="00BF05CC">
      <w:pPr>
        <w:keepNext/>
        <w:jc w:val="center"/>
        <w:rPr>
          <w:rFonts w:eastAsia="SimSun"/>
          <w:b/>
        </w:rPr>
      </w:pPr>
      <w:r w:rsidRPr="00842715">
        <w:rPr>
          <w:b/>
        </w:rPr>
        <w:t>JANUARY</w:t>
      </w:r>
      <w:r w:rsidR="00695C07" w:rsidRPr="00842715">
        <w:rPr>
          <w:b/>
        </w:rPr>
        <w:t xml:space="preserve"> </w:t>
      </w:r>
      <w:r w:rsidR="008B3956">
        <w:rPr>
          <w:b/>
        </w:rPr>
        <w:t>13</w:t>
      </w:r>
      <w:r w:rsidR="00F07711" w:rsidRPr="00842715">
        <w:rPr>
          <w:b/>
        </w:rPr>
        <w:t xml:space="preserve">, </w:t>
      </w:r>
      <w:r w:rsidR="00517897" w:rsidRPr="00842715">
        <w:rPr>
          <w:b/>
        </w:rPr>
        <w:t>20</w:t>
      </w:r>
      <w:r w:rsidR="004611C3" w:rsidRPr="00842715">
        <w:rPr>
          <w:b/>
        </w:rPr>
        <w:t>1</w:t>
      </w:r>
      <w:r w:rsidRPr="00842715">
        <w:rPr>
          <w:b/>
        </w:rPr>
        <w:t>7</w:t>
      </w:r>
    </w:p>
    <w:p w14:paraId="38062C48" w14:textId="77777777" w:rsidR="00517897" w:rsidRPr="00EF16DB" w:rsidRDefault="00517897" w:rsidP="00BF05CC">
      <w:pPr>
        <w:keepNext/>
        <w:jc w:val="center"/>
        <w:rPr>
          <w:rFonts w:eastAsia="SimSun"/>
          <w:b/>
        </w:rPr>
        <w:sectPr w:rsidR="00517897" w:rsidRPr="00EF16DB" w:rsidSect="00E05C6E">
          <w:headerReference w:type="even" r:id="rId14"/>
          <w:headerReference w:type="default" r:id="rId15"/>
          <w:footerReference w:type="first" r:id="rId16"/>
          <w:pgSz w:w="12240" w:h="15840" w:code="1"/>
          <w:pgMar w:top="1440" w:right="1440" w:bottom="1440" w:left="2160" w:header="720" w:footer="864" w:gutter="0"/>
          <w:pgNumType w:start="1"/>
          <w:cols w:space="720"/>
          <w:rtlGutter/>
        </w:sectPr>
      </w:pPr>
    </w:p>
    <w:p w14:paraId="5FDD88D7" w14:textId="70CAC0B6" w:rsidR="00F07711" w:rsidRPr="00EF16DB" w:rsidRDefault="003B3DB0" w:rsidP="00BF05CC">
      <w:pPr>
        <w:keepNext/>
        <w:spacing w:before="240" w:after="480"/>
        <w:ind w:left="720" w:right="720"/>
        <w:jc w:val="center"/>
        <w:rPr>
          <w:rStyle w:val="Strong"/>
          <w:rFonts w:eastAsia="SimSun"/>
        </w:rPr>
      </w:pPr>
      <w:r>
        <w:rPr>
          <w:rStyle w:val="Strong"/>
          <w:rFonts w:eastAsia="SimSun"/>
        </w:rPr>
        <w:lastRenderedPageBreak/>
        <w:t>PUGET SOUND ENERGY</w:t>
      </w:r>
    </w:p>
    <w:p w14:paraId="50D79345" w14:textId="3B1ACA85" w:rsidR="00F07711" w:rsidRPr="00C06DEC" w:rsidRDefault="00F07711" w:rsidP="00BF05CC">
      <w:pPr>
        <w:keepNext/>
        <w:spacing w:before="240" w:after="480"/>
        <w:jc w:val="center"/>
        <w:rPr>
          <w:rFonts w:eastAsia="SimSun"/>
        </w:rPr>
      </w:pPr>
      <w:proofErr w:type="spellStart"/>
      <w:r w:rsidRPr="00EF16DB">
        <w:rPr>
          <w:rStyle w:val="Strong"/>
          <w:rFonts w:eastAsia="SimSun"/>
        </w:rPr>
        <w:t>PREFILED</w:t>
      </w:r>
      <w:proofErr w:type="spellEnd"/>
      <w:r w:rsidRPr="00EF16DB">
        <w:rPr>
          <w:rStyle w:val="Strong"/>
          <w:rFonts w:eastAsia="SimSun"/>
        </w:rPr>
        <w:t xml:space="preserve">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w:t>
      </w:r>
      <w:proofErr w:type="spellStart"/>
      <w:r w:rsidR="00650606">
        <w:rPr>
          <w:rFonts w:eastAsia="SimSun"/>
          <w:b/>
          <w:color w:val="000000"/>
        </w:rPr>
        <w:t>NON</w:t>
      </w:r>
      <w:r w:rsidRPr="00EF16DB">
        <w:rPr>
          <w:rFonts w:eastAsia="SimSun"/>
          <w:b/>
          <w:color w:val="000000"/>
        </w:rPr>
        <w:t>CONFIDENTIAL</w:t>
      </w:r>
      <w:proofErr w:type="spellEnd"/>
      <w:r w:rsidRPr="00EF16DB">
        <w:rPr>
          <w:rFonts w:eastAsia="SimSun"/>
          <w:b/>
          <w:color w:val="000000"/>
        </w:rPr>
        <w:t xml:space="preserve">) </w:t>
      </w:r>
      <w:r w:rsidRPr="00EF16DB">
        <w:rPr>
          <w:rStyle w:val="Strong"/>
          <w:rFonts w:eastAsia="SimSun"/>
        </w:rPr>
        <w:t>OF</w:t>
      </w:r>
      <w:r w:rsidRPr="00EF16DB">
        <w:rPr>
          <w:rStyle w:val="Strong"/>
          <w:rFonts w:eastAsia="SimSun"/>
          <w:b w:val="0"/>
        </w:rPr>
        <w:br/>
      </w:r>
      <w:r w:rsidR="00DD4FDE" w:rsidRPr="00DD4FDE">
        <w:rPr>
          <w:b/>
          <w:szCs w:val="20"/>
          <w:lang w:eastAsia="zh-CN"/>
        </w:rPr>
        <w:t>BRANDON J. LOHSE</w:t>
      </w:r>
    </w:p>
    <w:p w14:paraId="79399EDF" w14:textId="77777777" w:rsidR="00FC7A2F" w:rsidRPr="00D9711A" w:rsidRDefault="00F07711" w:rsidP="00BF05CC">
      <w:pPr>
        <w:keepNext/>
        <w:spacing w:before="240" w:after="480"/>
        <w:ind w:left="547" w:right="547"/>
        <w:jc w:val="center"/>
        <w:rPr>
          <w:rFonts w:eastAsia="SimSun"/>
        </w:rPr>
      </w:pPr>
      <w:bookmarkStart w:id="3" w:name="TOCTitle"/>
      <w:r w:rsidRPr="00D9711A">
        <w:rPr>
          <w:b/>
        </w:rPr>
        <w:t>CONTENTS</w:t>
      </w:r>
      <w:bookmarkEnd w:id="3"/>
    </w:p>
    <w:p w14:paraId="32DDEED1" w14:textId="77777777" w:rsidR="00D9711A" w:rsidRPr="00D9711A" w:rsidRDefault="00FC7A2F">
      <w:pPr>
        <w:pStyle w:val="TOC1"/>
        <w:rPr>
          <w:rFonts w:asciiTheme="minorHAnsi" w:eastAsiaTheme="minorEastAsia" w:hAnsiTheme="minorHAnsi" w:cstheme="minorBidi"/>
          <w:color w:val="auto"/>
          <w:sz w:val="22"/>
          <w:szCs w:val="22"/>
          <w:lang w:eastAsia="en-US"/>
        </w:rPr>
      </w:pPr>
      <w:r w:rsidRPr="00D9711A">
        <w:rPr>
          <w:color w:val="auto"/>
        </w:rPr>
        <w:fldChar w:fldCharType="begin"/>
      </w:r>
      <w:r w:rsidRPr="00D9711A">
        <w:rPr>
          <w:color w:val="auto"/>
        </w:rPr>
        <w:instrText xml:space="preserve"> TOC \o "1-3" \h \z \u </w:instrText>
      </w:r>
      <w:r w:rsidRPr="00D9711A">
        <w:rPr>
          <w:color w:val="auto"/>
        </w:rPr>
        <w:fldChar w:fldCharType="separate"/>
      </w:r>
      <w:hyperlink w:anchor="_Toc471380878" w:history="1">
        <w:r w:rsidR="00D9711A" w:rsidRPr="00D9711A">
          <w:rPr>
            <w:rStyle w:val="Hyperlink"/>
            <w:color w:val="auto"/>
          </w:rPr>
          <w:t>I.</w:t>
        </w:r>
        <w:r w:rsidR="00D9711A" w:rsidRPr="00D9711A">
          <w:rPr>
            <w:rFonts w:asciiTheme="minorHAnsi" w:eastAsiaTheme="minorEastAsia" w:hAnsiTheme="minorHAnsi" w:cstheme="minorBidi"/>
            <w:color w:val="auto"/>
            <w:sz w:val="22"/>
            <w:szCs w:val="22"/>
            <w:lang w:eastAsia="en-US"/>
          </w:rPr>
          <w:tab/>
        </w:r>
        <w:r w:rsidR="00D9711A" w:rsidRPr="00D9711A">
          <w:rPr>
            <w:rStyle w:val="Hyperlink"/>
            <w:color w:val="auto"/>
          </w:rPr>
          <w:t>INTRODUCTION</w:t>
        </w:r>
        <w:r w:rsidR="00D9711A" w:rsidRPr="00D9711A">
          <w:rPr>
            <w:webHidden/>
            <w:color w:val="auto"/>
          </w:rPr>
          <w:tab/>
        </w:r>
        <w:r w:rsidR="00D9711A" w:rsidRPr="00D9711A">
          <w:rPr>
            <w:webHidden/>
            <w:color w:val="auto"/>
          </w:rPr>
          <w:fldChar w:fldCharType="begin"/>
        </w:r>
        <w:r w:rsidR="00D9711A" w:rsidRPr="00D9711A">
          <w:rPr>
            <w:webHidden/>
            <w:color w:val="auto"/>
          </w:rPr>
          <w:instrText xml:space="preserve"> PAGEREF _Toc471380878 \h </w:instrText>
        </w:r>
        <w:r w:rsidR="00D9711A" w:rsidRPr="00D9711A">
          <w:rPr>
            <w:webHidden/>
            <w:color w:val="auto"/>
          </w:rPr>
        </w:r>
        <w:r w:rsidR="00D9711A" w:rsidRPr="00D9711A">
          <w:rPr>
            <w:webHidden/>
            <w:color w:val="auto"/>
          </w:rPr>
          <w:fldChar w:fldCharType="separate"/>
        </w:r>
        <w:r w:rsidR="00895BAB">
          <w:rPr>
            <w:webHidden/>
            <w:color w:val="auto"/>
          </w:rPr>
          <w:t>1</w:t>
        </w:r>
        <w:r w:rsidR="00D9711A" w:rsidRPr="00D9711A">
          <w:rPr>
            <w:webHidden/>
            <w:color w:val="auto"/>
          </w:rPr>
          <w:fldChar w:fldCharType="end"/>
        </w:r>
      </w:hyperlink>
    </w:p>
    <w:p w14:paraId="071FA73D" w14:textId="77777777" w:rsidR="00D9711A" w:rsidRPr="00D9711A" w:rsidRDefault="00D9711A">
      <w:pPr>
        <w:pStyle w:val="TOC1"/>
        <w:rPr>
          <w:rFonts w:asciiTheme="minorHAnsi" w:eastAsiaTheme="minorEastAsia" w:hAnsiTheme="minorHAnsi" w:cstheme="minorBidi"/>
          <w:color w:val="auto"/>
          <w:sz w:val="22"/>
          <w:szCs w:val="22"/>
          <w:lang w:eastAsia="en-US"/>
        </w:rPr>
      </w:pPr>
      <w:hyperlink w:anchor="_Toc471380879" w:history="1">
        <w:r w:rsidRPr="00D9711A">
          <w:rPr>
            <w:rStyle w:val="Hyperlink"/>
            <w:color w:val="auto"/>
          </w:rPr>
          <w:t>II.</w:t>
        </w:r>
        <w:r w:rsidRPr="00D9711A">
          <w:rPr>
            <w:rFonts w:asciiTheme="minorHAnsi" w:eastAsiaTheme="minorEastAsia" w:hAnsiTheme="minorHAnsi" w:cstheme="minorBidi"/>
            <w:color w:val="auto"/>
            <w:sz w:val="22"/>
            <w:szCs w:val="22"/>
            <w:lang w:eastAsia="en-US"/>
          </w:rPr>
          <w:tab/>
        </w:r>
        <w:r w:rsidRPr="00D9711A">
          <w:rPr>
            <w:rStyle w:val="Hyperlink"/>
            <w:color w:val="auto"/>
          </w:rPr>
          <w:t>PSE’S CAPITAL STRUCTURE REQUEST</w:t>
        </w:r>
        <w:r w:rsidRPr="00D9711A">
          <w:rPr>
            <w:webHidden/>
            <w:color w:val="auto"/>
          </w:rPr>
          <w:tab/>
        </w:r>
        <w:r w:rsidRPr="00D9711A">
          <w:rPr>
            <w:webHidden/>
            <w:color w:val="auto"/>
          </w:rPr>
          <w:fldChar w:fldCharType="begin"/>
        </w:r>
        <w:r w:rsidRPr="00D9711A">
          <w:rPr>
            <w:webHidden/>
            <w:color w:val="auto"/>
          </w:rPr>
          <w:instrText xml:space="preserve"> PAGEREF _Toc471380879 \h </w:instrText>
        </w:r>
        <w:r w:rsidRPr="00D9711A">
          <w:rPr>
            <w:webHidden/>
            <w:color w:val="auto"/>
          </w:rPr>
        </w:r>
        <w:r w:rsidRPr="00D9711A">
          <w:rPr>
            <w:webHidden/>
            <w:color w:val="auto"/>
          </w:rPr>
          <w:fldChar w:fldCharType="separate"/>
        </w:r>
        <w:r w:rsidR="00895BAB">
          <w:rPr>
            <w:webHidden/>
            <w:color w:val="auto"/>
          </w:rPr>
          <w:t>2</w:t>
        </w:r>
        <w:r w:rsidRPr="00D9711A">
          <w:rPr>
            <w:webHidden/>
            <w:color w:val="auto"/>
          </w:rPr>
          <w:fldChar w:fldCharType="end"/>
        </w:r>
      </w:hyperlink>
    </w:p>
    <w:p w14:paraId="645F846F" w14:textId="77777777" w:rsidR="00D9711A" w:rsidRPr="00D9711A" w:rsidRDefault="00D9711A">
      <w:pPr>
        <w:pStyle w:val="TOC1"/>
        <w:rPr>
          <w:rFonts w:asciiTheme="minorHAnsi" w:eastAsiaTheme="minorEastAsia" w:hAnsiTheme="minorHAnsi" w:cstheme="minorBidi"/>
          <w:color w:val="auto"/>
          <w:sz w:val="22"/>
          <w:szCs w:val="22"/>
          <w:lang w:eastAsia="en-US"/>
        </w:rPr>
      </w:pPr>
      <w:hyperlink w:anchor="_Toc471380880" w:history="1">
        <w:r w:rsidRPr="00D9711A">
          <w:rPr>
            <w:rStyle w:val="Hyperlink"/>
            <w:color w:val="auto"/>
          </w:rPr>
          <w:t>III.</w:t>
        </w:r>
        <w:r w:rsidRPr="00D9711A">
          <w:rPr>
            <w:rFonts w:asciiTheme="minorHAnsi" w:eastAsiaTheme="minorEastAsia" w:hAnsiTheme="minorHAnsi" w:cstheme="minorBidi"/>
            <w:color w:val="auto"/>
            <w:sz w:val="22"/>
            <w:szCs w:val="22"/>
            <w:lang w:eastAsia="en-US"/>
          </w:rPr>
          <w:tab/>
        </w:r>
        <w:r w:rsidRPr="00D9711A">
          <w:rPr>
            <w:rStyle w:val="Hyperlink"/>
            <w:color w:val="auto"/>
          </w:rPr>
          <w:t>CAPITAL COMPONENTS OF PSE’S REQUESTED RATE OF RETURN</w:t>
        </w:r>
        <w:r w:rsidRPr="00D9711A">
          <w:rPr>
            <w:webHidden/>
            <w:color w:val="auto"/>
          </w:rPr>
          <w:tab/>
        </w:r>
        <w:r w:rsidRPr="00D9711A">
          <w:rPr>
            <w:webHidden/>
            <w:color w:val="auto"/>
          </w:rPr>
          <w:fldChar w:fldCharType="begin"/>
        </w:r>
        <w:r w:rsidRPr="00D9711A">
          <w:rPr>
            <w:webHidden/>
            <w:color w:val="auto"/>
          </w:rPr>
          <w:instrText xml:space="preserve"> PAGEREF _Toc471380880 \h </w:instrText>
        </w:r>
        <w:r w:rsidRPr="00D9711A">
          <w:rPr>
            <w:webHidden/>
            <w:color w:val="auto"/>
          </w:rPr>
        </w:r>
        <w:r w:rsidRPr="00D9711A">
          <w:rPr>
            <w:webHidden/>
            <w:color w:val="auto"/>
          </w:rPr>
          <w:fldChar w:fldCharType="separate"/>
        </w:r>
        <w:r w:rsidR="00895BAB">
          <w:rPr>
            <w:webHidden/>
            <w:color w:val="auto"/>
          </w:rPr>
          <w:t>4</w:t>
        </w:r>
        <w:r w:rsidRPr="00D9711A">
          <w:rPr>
            <w:webHidden/>
            <w:color w:val="auto"/>
          </w:rPr>
          <w:fldChar w:fldCharType="end"/>
        </w:r>
      </w:hyperlink>
    </w:p>
    <w:p w14:paraId="3F6875C9" w14:textId="77777777" w:rsidR="00D9711A" w:rsidRPr="00D9711A" w:rsidRDefault="00D9711A">
      <w:pPr>
        <w:pStyle w:val="TOC2"/>
        <w:rPr>
          <w:rFonts w:asciiTheme="minorHAnsi" w:eastAsiaTheme="minorEastAsia" w:hAnsiTheme="minorHAnsi" w:cstheme="minorBidi"/>
          <w:color w:val="auto"/>
          <w:sz w:val="22"/>
          <w:szCs w:val="22"/>
          <w:lang w:eastAsia="en-US"/>
        </w:rPr>
      </w:pPr>
      <w:hyperlink w:anchor="_Toc471380881" w:history="1">
        <w:r w:rsidRPr="00D9711A">
          <w:rPr>
            <w:rStyle w:val="Hyperlink"/>
            <w:color w:val="auto"/>
          </w:rPr>
          <w:t>A.</w:t>
        </w:r>
        <w:r w:rsidRPr="00D9711A">
          <w:rPr>
            <w:rFonts w:asciiTheme="minorHAnsi" w:eastAsiaTheme="minorEastAsia" w:hAnsiTheme="minorHAnsi" w:cstheme="minorBidi"/>
            <w:color w:val="auto"/>
            <w:sz w:val="22"/>
            <w:szCs w:val="22"/>
            <w:lang w:eastAsia="en-US"/>
          </w:rPr>
          <w:tab/>
        </w:r>
        <w:r w:rsidRPr="00D9711A">
          <w:rPr>
            <w:rStyle w:val="Hyperlink"/>
            <w:color w:val="auto"/>
          </w:rPr>
          <w:t>The Cost of Short-Term Debt</w:t>
        </w:r>
        <w:r w:rsidRPr="00D9711A">
          <w:rPr>
            <w:webHidden/>
            <w:color w:val="auto"/>
          </w:rPr>
          <w:tab/>
        </w:r>
        <w:r w:rsidRPr="00D9711A">
          <w:rPr>
            <w:webHidden/>
            <w:color w:val="auto"/>
          </w:rPr>
          <w:fldChar w:fldCharType="begin"/>
        </w:r>
        <w:r w:rsidRPr="00D9711A">
          <w:rPr>
            <w:webHidden/>
            <w:color w:val="auto"/>
          </w:rPr>
          <w:instrText xml:space="preserve"> PAGEREF _Toc471380881 \h </w:instrText>
        </w:r>
        <w:r w:rsidRPr="00D9711A">
          <w:rPr>
            <w:webHidden/>
            <w:color w:val="auto"/>
          </w:rPr>
        </w:r>
        <w:r w:rsidRPr="00D9711A">
          <w:rPr>
            <w:webHidden/>
            <w:color w:val="auto"/>
          </w:rPr>
          <w:fldChar w:fldCharType="separate"/>
        </w:r>
        <w:r w:rsidR="00895BAB">
          <w:rPr>
            <w:webHidden/>
            <w:color w:val="auto"/>
          </w:rPr>
          <w:t>4</w:t>
        </w:r>
        <w:r w:rsidRPr="00D9711A">
          <w:rPr>
            <w:webHidden/>
            <w:color w:val="auto"/>
          </w:rPr>
          <w:fldChar w:fldCharType="end"/>
        </w:r>
      </w:hyperlink>
    </w:p>
    <w:p w14:paraId="257B633B" w14:textId="77777777" w:rsidR="00D9711A" w:rsidRPr="00D9711A" w:rsidRDefault="00D9711A">
      <w:pPr>
        <w:pStyle w:val="TOC2"/>
        <w:rPr>
          <w:rFonts w:asciiTheme="minorHAnsi" w:eastAsiaTheme="minorEastAsia" w:hAnsiTheme="minorHAnsi" w:cstheme="minorBidi"/>
          <w:color w:val="auto"/>
          <w:sz w:val="22"/>
          <w:szCs w:val="22"/>
          <w:lang w:eastAsia="en-US"/>
        </w:rPr>
      </w:pPr>
      <w:hyperlink w:anchor="_Toc471380882" w:history="1">
        <w:r w:rsidRPr="00D9711A">
          <w:rPr>
            <w:rStyle w:val="Hyperlink"/>
            <w:color w:val="auto"/>
          </w:rPr>
          <w:t>B.</w:t>
        </w:r>
        <w:r w:rsidRPr="00D9711A">
          <w:rPr>
            <w:rFonts w:asciiTheme="minorHAnsi" w:eastAsiaTheme="minorEastAsia" w:hAnsiTheme="minorHAnsi" w:cstheme="minorBidi"/>
            <w:color w:val="auto"/>
            <w:sz w:val="22"/>
            <w:szCs w:val="22"/>
            <w:lang w:eastAsia="en-US"/>
          </w:rPr>
          <w:tab/>
        </w:r>
        <w:r w:rsidRPr="00D9711A">
          <w:rPr>
            <w:rStyle w:val="Hyperlink"/>
            <w:color w:val="auto"/>
          </w:rPr>
          <w:t>The Cost of Long-Term Debt</w:t>
        </w:r>
        <w:r w:rsidRPr="00D9711A">
          <w:rPr>
            <w:webHidden/>
            <w:color w:val="auto"/>
          </w:rPr>
          <w:tab/>
        </w:r>
        <w:r w:rsidRPr="00D9711A">
          <w:rPr>
            <w:webHidden/>
            <w:color w:val="auto"/>
          </w:rPr>
          <w:fldChar w:fldCharType="begin"/>
        </w:r>
        <w:r w:rsidRPr="00D9711A">
          <w:rPr>
            <w:webHidden/>
            <w:color w:val="auto"/>
          </w:rPr>
          <w:instrText xml:space="preserve"> PAGEREF _Toc471380882 \h </w:instrText>
        </w:r>
        <w:r w:rsidRPr="00D9711A">
          <w:rPr>
            <w:webHidden/>
            <w:color w:val="auto"/>
          </w:rPr>
        </w:r>
        <w:r w:rsidRPr="00D9711A">
          <w:rPr>
            <w:webHidden/>
            <w:color w:val="auto"/>
          </w:rPr>
          <w:fldChar w:fldCharType="separate"/>
        </w:r>
        <w:r w:rsidR="00895BAB">
          <w:rPr>
            <w:webHidden/>
            <w:color w:val="auto"/>
          </w:rPr>
          <w:t>8</w:t>
        </w:r>
        <w:r w:rsidRPr="00D9711A">
          <w:rPr>
            <w:webHidden/>
            <w:color w:val="auto"/>
          </w:rPr>
          <w:fldChar w:fldCharType="end"/>
        </w:r>
      </w:hyperlink>
    </w:p>
    <w:p w14:paraId="099AA5A7" w14:textId="77777777" w:rsidR="00D9711A" w:rsidRPr="00D9711A" w:rsidRDefault="00D9711A">
      <w:pPr>
        <w:pStyle w:val="TOC2"/>
        <w:rPr>
          <w:rFonts w:asciiTheme="minorHAnsi" w:eastAsiaTheme="minorEastAsia" w:hAnsiTheme="minorHAnsi" w:cstheme="minorBidi"/>
          <w:color w:val="auto"/>
          <w:sz w:val="22"/>
          <w:szCs w:val="22"/>
          <w:lang w:eastAsia="en-US"/>
        </w:rPr>
      </w:pPr>
      <w:hyperlink w:anchor="_Toc471380883" w:history="1">
        <w:r w:rsidRPr="00D9711A">
          <w:rPr>
            <w:rStyle w:val="Hyperlink"/>
            <w:color w:val="auto"/>
          </w:rPr>
          <w:t>C.</w:t>
        </w:r>
        <w:r w:rsidRPr="00D9711A">
          <w:rPr>
            <w:rFonts w:asciiTheme="minorHAnsi" w:eastAsiaTheme="minorEastAsia" w:hAnsiTheme="minorHAnsi" w:cstheme="minorBidi"/>
            <w:color w:val="auto"/>
            <w:sz w:val="22"/>
            <w:szCs w:val="22"/>
            <w:lang w:eastAsia="en-US"/>
          </w:rPr>
          <w:tab/>
        </w:r>
        <w:r w:rsidRPr="00D9711A">
          <w:rPr>
            <w:rStyle w:val="Hyperlink"/>
            <w:color w:val="auto"/>
          </w:rPr>
          <w:t>PSE’s Overall Cost of Debt</w:t>
        </w:r>
        <w:r w:rsidRPr="00D9711A">
          <w:rPr>
            <w:webHidden/>
            <w:color w:val="auto"/>
          </w:rPr>
          <w:tab/>
        </w:r>
        <w:r w:rsidRPr="00D9711A">
          <w:rPr>
            <w:webHidden/>
            <w:color w:val="auto"/>
          </w:rPr>
          <w:fldChar w:fldCharType="begin"/>
        </w:r>
        <w:r w:rsidRPr="00D9711A">
          <w:rPr>
            <w:webHidden/>
            <w:color w:val="auto"/>
          </w:rPr>
          <w:instrText xml:space="preserve"> PAGEREF _Toc471380883 \h </w:instrText>
        </w:r>
        <w:r w:rsidRPr="00D9711A">
          <w:rPr>
            <w:webHidden/>
            <w:color w:val="auto"/>
          </w:rPr>
        </w:r>
        <w:r w:rsidRPr="00D9711A">
          <w:rPr>
            <w:webHidden/>
            <w:color w:val="auto"/>
          </w:rPr>
          <w:fldChar w:fldCharType="separate"/>
        </w:r>
        <w:r w:rsidR="00895BAB">
          <w:rPr>
            <w:webHidden/>
            <w:color w:val="auto"/>
          </w:rPr>
          <w:t>10</w:t>
        </w:r>
        <w:r w:rsidRPr="00D9711A">
          <w:rPr>
            <w:webHidden/>
            <w:color w:val="auto"/>
          </w:rPr>
          <w:fldChar w:fldCharType="end"/>
        </w:r>
      </w:hyperlink>
    </w:p>
    <w:p w14:paraId="0CD1BBA2" w14:textId="77777777" w:rsidR="00D9711A" w:rsidRPr="00D9711A" w:rsidRDefault="00D9711A">
      <w:pPr>
        <w:pStyle w:val="TOC2"/>
        <w:rPr>
          <w:rFonts w:asciiTheme="minorHAnsi" w:eastAsiaTheme="minorEastAsia" w:hAnsiTheme="minorHAnsi" w:cstheme="minorBidi"/>
          <w:color w:val="auto"/>
          <w:sz w:val="22"/>
          <w:szCs w:val="22"/>
          <w:lang w:eastAsia="en-US"/>
        </w:rPr>
      </w:pPr>
      <w:hyperlink w:anchor="_Toc471380884" w:history="1">
        <w:r w:rsidRPr="00D9711A">
          <w:rPr>
            <w:rStyle w:val="Hyperlink"/>
            <w:color w:val="auto"/>
          </w:rPr>
          <w:t>D.</w:t>
        </w:r>
        <w:r w:rsidRPr="00D9711A">
          <w:rPr>
            <w:rFonts w:asciiTheme="minorHAnsi" w:eastAsiaTheme="minorEastAsia" w:hAnsiTheme="minorHAnsi" w:cstheme="minorBidi"/>
            <w:color w:val="auto"/>
            <w:sz w:val="22"/>
            <w:szCs w:val="22"/>
            <w:lang w:eastAsia="en-US"/>
          </w:rPr>
          <w:tab/>
        </w:r>
        <w:r w:rsidRPr="00D9711A">
          <w:rPr>
            <w:rStyle w:val="Hyperlink"/>
            <w:color w:val="auto"/>
          </w:rPr>
          <w:t>The Cost of Common Equity</w:t>
        </w:r>
        <w:r w:rsidRPr="00D9711A">
          <w:rPr>
            <w:webHidden/>
            <w:color w:val="auto"/>
          </w:rPr>
          <w:tab/>
        </w:r>
        <w:r w:rsidRPr="00D9711A">
          <w:rPr>
            <w:webHidden/>
            <w:color w:val="auto"/>
          </w:rPr>
          <w:fldChar w:fldCharType="begin"/>
        </w:r>
        <w:r w:rsidRPr="00D9711A">
          <w:rPr>
            <w:webHidden/>
            <w:color w:val="auto"/>
          </w:rPr>
          <w:instrText xml:space="preserve"> PAGEREF _Toc471380884 \h </w:instrText>
        </w:r>
        <w:r w:rsidRPr="00D9711A">
          <w:rPr>
            <w:webHidden/>
            <w:color w:val="auto"/>
          </w:rPr>
        </w:r>
        <w:r w:rsidRPr="00D9711A">
          <w:rPr>
            <w:webHidden/>
            <w:color w:val="auto"/>
          </w:rPr>
          <w:fldChar w:fldCharType="separate"/>
        </w:r>
        <w:r w:rsidR="00895BAB">
          <w:rPr>
            <w:webHidden/>
            <w:color w:val="auto"/>
          </w:rPr>
          <w:t>13</w:t>
        </w:r>
        <w:r w:rsidRPr="00D9711A">
          <w:rPr>
            <w:webHidden/>
            <w:color w:val="auto"/>
          </w:rPr>
          <w:fldChar w:fldCharType="end"/>
        </w:r>
      </w:hyperlink>
    </w:p>
    <w:p w14:paraId="6517DFA9" w14:textId="77777777" w:rsidR="00D9711A" w:rsidRPr="00D9711A" w:rsidRDefault="00D9711A">
      <w:pPr>
        <w:pStyle w:val="TOC1"/>
        <w:rPr>
          <w:rFonts w:asciiTheme="minorHAnsi" w:eastAsiaTheme="minorEastAsia" w:hAnsiTheme="minorHAnsi" w:cstheme="minorBidi"/>
          <w:color w:val="auto"/>
          <w:sz w:val="22"/>
          <w:szCs w:val="22"/>
          <w:lang w:eastAsia="en-US"/>
        </w:rPr>
      </w:pPr>
      <w:hyperlink w:anchor="_Toc471380885" w:history="1">
        <w:r w:rsidRPr="00D9711A">
          <w:rPr>
            <w:rStyle w:val="Hyperlink"/>
            <w:color w:val="auto"/>
          </w:rPr>
          <w:t>IV.</w:t>
        </w:r>
        <w:r w:rsidRPr="00D9711A">
          <w:rPr>
            <w:rFonts w:asciiTheme="minorHAnsi" w:eastAsiaTheme="minorEastAsia" w:hAnsiTheme="minorHAnsi" w:cstheme="minorBidi"/>
            <w:color w:val="auto"/>
            <w:sz w:val="22"/>
            <w:szCs w:val="22"/>
            <w:lang w:eastAsia="en-US"/>
          </w:rPr>
          <w:tab/>
        </w:r>
        <w:r w:rsidRPr="00D9711A">
          <w:rPr>
            <w:rStyle w:val="Hyperlink"/>
            <w:color w:val="auto"/>
          </w:rPr>
          <w:t>PSE’S CREDIT RATINGS</w:t>
        </w:r>
        <w:r w:rsidRPr="00D9711A">
          <w:rPr>
            <w:webHidden/>
            <w:color w:val="auto"/>
          </w:rPr>
          <w:tab/>
        </w:r>
        <w:r w:rsidRPr="00D9711A">
          <w:rPr>
            <w:webHidden/>
            <w:color w:val="auto"/>
          </w:rPr>
          <w:fldChar w:fldCharType="begin"/>
        </w:r>
        <w:r w:rsidRPr="00D9711A">
          <w:rPr>
            <w:webHidden/>
            <w:color w:val="auto"/>
          </w:rPr>
          <w:instrText xml:space="preserve"> PAGEREF _Toc471380885 \h </w:instrText>
        </w:r>
        <w:r w:rsidRPr="00D9711A">
          <w:rPr>
            <w:webHidden/>
            <w:color w:val="auto"/>
          </w:rPr>
        </w:r>
        <w:r w:rsidRPr="00D9711A">
          <w:rPr>
            <w:webHidden/>
            <w:color w:val="auto"/>
          </w:rPr>
          <w:fldChar w:fldCharType="separate"/>
        </w:r>
        <w:r w:rsidR="00895BAB">
          <w:rPr>
            <w:webHidden/>
            <w:color w:val="auto"/>
          </w:rPr>
          <w:t>13</w:t>
        </w:r>
        <w:r w:rsidRPr="00D9711A">
          <w:rPr>
            <w:webHidden/>
            <w:color w:val="auto"/>
          </w:rPr>
          <w:fldChar w:fldCharType="end"/>
        </w:r>
      </w:hyperlink>
    </w:p>
    <w:p w14:paraId="5FEC3DDE" w14:textId="77777777" w:rsidR="00D9711A" w:rsidRPr="00D9711A" w:rsidRDefault="00D9711A">
      <w:pPr>
        <w:pStyle w:val="TOC1"/>
        <w:rPr>
          <w:rFonts w:asciiTheme="minorHAnsi" w:eastAsiaTheme="minorEastAsia" w:hAnsiTheme="minorHAnsi" w:cstheme="minorBidi"/>
          <w:color w:val="auto"/>
          <w:sz w:val="22"/>
          <w:szCs w:val="22"/>
          <w:lang w:eastAsia="en-US"/>
        </w:rPr>
      </w:pPr>
      <w:hyperlink w:anchor="_Toc471380886" w:history="1">
        <w:r w:rsidRPr="00D9711A">
          <w:rPr>
            <w:rStyle w:val="Hyperlink"/>
            <w:color w:val="auto"/>
          </w:rPr>
          <w:t>V.</w:t>
        </w:r>
        <w:r w:rsidRPr="00D9711A">
          <w:rPr>
            <w:rFonts w:asciiTheme="minorHAnsi" w:eastAsiaTheme="minorEastAsia" w:hAnsiTheme="minorHAnsi" w:cstheme="minorBidi"/>
            <w:color w:val="auto"/>
            <w:sz w:val="22"/>
            <w:szCs w:val="22"/>
            <w:lang w:eastAsia="en-US"/>
          </w:rPr>
          <w:tab/>
        </w:r>
        <w:r w:rsidRPr="00D9711A">
          <w:rPr>
            <w:rStyle w:val="Hyperlink"/>
            <w:color w:val="auto"/>
          </w:rPr>
          <w:t>PSE HAS COMPLIED WITH ALL MERGER COMMITMENTS REGARDING CAPITAL STRUCTURE AND COSTS OF DEBT</w:t>
        </w:r>
        <w:r w:rsidRPr="00D9711A">
          <w:rPr>
            <w:webHidden/>
            <w:color w:val="auto"/>
          </w:rPr>
          <w:tab/>
        </w:r>
        <w:r w:rsidRPr="00D9711A">
          <w:rPr>
            <w:webHidden/>
            <w:color w:val="auto"/>
          </w:rPr>
          <w:fldChar w:fldCharType="begin"/>
        </w:r>
        <w:r w:rsidRPr="00D9711A">
          <w:rPr>
            <w:webHidden/>
            <w:color w:val="auto"/>
          </w:rPr>
          <w:instrText xml:space="preserve"> PAGEREF _Toc471380886 \h </w:instrText>
        </w:r>
        <w:r w:rsidRPr="00D9711A">
          <w:rPr>
            <w:webHidden/>
            <w:color w:val="auto"/>
          </w:rPr>
        </w:r>
        <w:r w:rsidRPr="00D9711A">
          <w:rPr>
            <w:webHidden/>
            <w:color w:val="auto"/>
          </w:rPr>
          <w:fldChar w:fldCharType="separate"/>
        </w:r>
        <w:r w:rsidR="00895BAB">
          <w:rPr>
            <w:webHidden/>
            <w:color w:val="auto"/>
          </w:rPr>
          <w:t>19</w:t>
        </w:r>
        <w:r w:rsidRPr="00D9711A">
          <w:rPr>
            <w:webHidden/>
            <w:color w:val="auto"/>
          </w:rPr>
          <w:fldChar w:fldCharType="end"/>
        </w:r>
      </w:hyperlink>
    </w:p>
    <w:p w14:paraId="050E67EF" w14:textId="77777777" w:rsidR="00D9711A" w:rsidRPr="00D9711A" w:rsidRDefault="00D9711A">
      <w:pPr>
        <w:pStyle w:val="TOC1"/>
        <w:rPr>
          <w:rFonts w:asciiTheme="minorHAnsi" w:eastAsiaTheme="minorEastAsia" w:hAnsiTheme="minorHAnsi" w:cstheme="minorBidi"/>
          <w:color w:val="auto"/>
          <w:sz w:val="22"/>
          <w:szCs w:val="22"/>
          <w:lang w:eastAsia="en-US"/>
        </w:rPr>
      </w:pPr>
      <w:hyperlink w:anchor="_Toc471380887" w:history="1">
        <w:r w:rsidRPr="00D9711A">
          <w:rPr>
            <w:rStyle w:val="Hyperlink"/>
            <w:color w:val="auto"/>
          </w:rPr>
          <w:t>VI.</w:t>
        </w:r>
        <w:r w:rsidRPr="00D9711A">
          <w:rPr>
            <w:rFonts w:asciiTheme="minorHAnsi" w:eastAsiaTheme="minorEastAsia" w:hAnsiTheme="minorHAnsi" w:cstheme="minorBidi"/>
            <w:color w:val="auto"/>
            <w:sz w:val="22"/>
            <w:szCs w:val="22"/>
            <w:lang w:eastAsia="en-US"/>
          </w:rPr>
          <w:tab/>
        </w:r>
        <w:r w:rsidRPr="00D9711A">
          <w:rPr>
            <w:rStyle w:val="Hyperlink"/>
            <w:color w:val="auto"/>
          </w:rPr>
          <w:t>CONCLUSION</w:t>
        </w:r>
        <w:r w:rsidRPr="00D9711A">
          <w:rPr>
            <w:webHidden/>
            <w:color w:val="auto"/>
          </w:rPr>
          <w:tab/>
        </w:r>
        <w:r w:rsidRPr="00D9711A">
          <w:rPr>
            <w:webHidden/>
            <w:color w:val="auto"/>
          </w:rPr>
          <w:fldChar w:fldCharType="begin"/>
        </w:r>
        <w:r w:rsidRPr="00D9711A">
          <w:rPr>
            <w:webHidden/>
            <w:color w:val="auto"/>
          </w:rPr>
          <w:instrText xml:space="preserve"> PAGEREF _Toc471380887 \h </w:instrText>
        </w:r>
        <w:r w:rsidRPr="00D9711A">
          <w:rPr>
            <w:webHidden/>
            <w:color w:val="auto"/>
          </w:rPr>
        </w:r>
        <w:r w:rsidRPr="00D9711A">
          <w:rPr>
            <w:webHidden/>
            <w:color w:val="auto"/>
          </w:rPr>
          <w:fldChar w:fldCharType="separate"/>
        </w:r>
        <w:r w:rsidR="00895BAB">
          <w:rPr>
            <w:webHidden/>
            <w:color w:val="auto"/>
          </w:rPr>
          <w:t>21</w:t>
        </w:r>
        <w:r w:rsidRPr="00D9711A">
          <w:rPr>
            <w:webHidden/>
            <w:color w:val="auto"/>
          </w:rPr>
          <w:fldChar w:fldCharType="end"/>
        </w:r>
      </w:hyperlink>
    </w:p>
    <w:p w14:paraId="06F10D77" w14:textId="77777777" w:rsidR="00FC7A2F" w:rsidRPr="00D9711A" w:rsidRDefault="00FC7A2F" w:rsidP="00B91E54">
      <w:pPr>
        <w:pStyle w:val="TOC1"/>
        <w:tabs>
          <w:tab w:val="clear" w:pos="8640"/>
          <w:tab w:val="clear" w:pos="9000"/>
          <w:tab w:val="left" w:leader="dot" w:pos="8280"/>
        </w:tabs>
        <w:spacing w:line="240" w:lineRule="auto"/>
        <w:rPr>
          <w:color w:val="auto"/>
        </w:rPr>
      </w:pPr>
      <w:r w:rsidRPr="00D9711A">
        <w:rPr>
          <w:color w:val="auto"/>
        </w:rPr>
        <w:fldChar w:fldCharType="end"/>
      </w:r>
    </w:p>
    <w:p w14:paraId="689E4F45" w14:textId="77777777" w:rsidR="00F12DC2" w:rsidRPr="00E85C57" w:rsidRDefault="00F12DC2" w:rsidP="00BF05CC">
      <w:pPr>
        <w:pStyle w:val="TOC1"/>
        <w:keepNext/>
        <w:rPr>
          <w:color w:val="auto"/>
        </w:rPr>
        <w:sectPr w:rsidR="00F12DC2" w:rsidRPr="00E85C57" w:rsidSect="003E15A5">
          <w:headerReference w:type="default" r:id="rId17"/>
          <w:footerReference w:type="default" r:id="rId18"/>
          <w:footerReference w:type="first" r:id="rId19"/>
          <w:pgSz w:w="12240" w:h="15840" w:code="1"/>
          <w:pgMar w:top="1440" w:right="1440" w:bottom="1440" w:left="2160" w:header="864" w:footer="576" w:gutter="0"/>
          <w:pgNumType w:fmt="lowerRoman" w:start="1"/>
          <w:cols w:space="720"/>
        </w:sectPr>
      </w:pPr>
    </w:p>
    <w:p w14:paraId="1C53EE04" w14:textId="76395D87" w:rsidR="00C15079" w:rsidRPr="00EF16DB" w:rsidRDefault="003B3DB0" w:rsidP="00C15079">
      <w:pPr>
        <w:keepNext/>
        <w:spacing w:before="240" w:after="480"/>
        <w:ind w:left="720" w:right="720"/>
        <w:jc w:val="center"/>
        <w:rPr>
          <w:rStyle w:val="Strong"/>
          <w:rFonts w:eastAsia="SimSun"/>
        </w:rPr>
      </w:pPr>
      <w:bookmarkStart w:id="7" w:name="_Toc117411518"/>
      <w:bookmarkStart w:id="8" w:name="_Toc125892215"/>
      <w:bookmarkStart w:id="9" w:name="_Toc126495831"/>
      <w:r>
        <w:rPr>
          <w:rStyle w:val="Strong"/>
          <w:rFonts w:eastAsia="SimSun"/>
        </w:rPr>
        <w:lastRenderedPageBreak/>
        <w:t>PUGET SOUND ENERGY</w:t>
      </w:r>
    </w:p>
    <w:p w14:paraId="5ADEBF7B" w14:textId="01BBB9B1" w:rsidR="00517897" w:rsidRPr="00B95BF1" w:rsidRDefault="00C15079" w:rsidP="005E5570">
      <w:pPr>
        <w:keepNext/>
        <w:spacing w:before="240" w:after="480"/>
        <w:jc w:val="center"/>
        <w:rPr>
          <w:rStyle w:val="Strong"/>
          <w:rFonts w:eastAsia="SimSun"/>
          <w:b w:val="0"/>
        </w:rPr>
      </w:pPr>
      <w:bookmarkStart w:id="10" w:name="_Toc161487050"/>
      <w:bookmarkStart w:id="11" w:name="_Toc162007393"/>
      <w:bookmarkStart w:id="12" w:name="_Toc181442358"/>
      <w:bookmarkStart w:id="13" w:name="_Toc179284150"/>
      <w:bookmarkStart w:id="14" w:name="_Toc182774604"/>
      <w:proofErr w:type="spellStart"/>
      <w:r w:rsidRPr="00EF16DB">
        <w:rPr>
          <w:rStyle w:val="Strong"/>
          <w:rFonts w:eastAsia="SimSun"/>
        </w:rPr>
        <w:t>PREFILED</w:t>
      </w:r>
      <w:proofErr w:type="spellEnd"/>
      <w:r w:rsidRPr="00EF16DB">
        <w:rPr>
          <w:rStyle w:val="Strong"/>
          <w:rFonts w:eastAsia="SimSun"/>
        </w:rPr>
        <w:t xml:space="preserve"> </w:t>
      </w:r>
      <w:r>
        <w:rPr>
          <w:rStyle w:val="Strong"/>
          <w:rFonts w:eastAsia="SimSun"/>
        </w:rPr>
        <w:t xml:space="preserve">DIRECT </w:t>
      </w:r>
      <w:r w:rsidRPr="00EF16DB">
        <w:rPr>
          <w:rStyle w:val="Strong"/>
          <w:rFonts w:eastAsia="SimSun"/>
        </w:rPr>
        <w:t xml:space="preserve">TESTIMONY </w:t>
      </w:r>
      <w:r w:rsidRPr="00EF16DB">
        <w:rPr>
          <w:rFonts w:eastAsia="SimSun"/>
          <w:b/>
          <w:color w:val="000000"/>
        </w:rPr>
        <w:t>(</w:t>
      </w:r>
      <w:proofErr w:type="spellStart"/>
      <w:r w:rsidR="000514F9">
        <w:rPr>
          <w:rFonts w:eastAsia="SimSun"/>
          <w:b/>
          <w:color w:val="000000"/>
        </w:rPr>
        <w:t>NON</w:t>
      </w:r>
      <w:r w:rsidRPr="00EF16DB">
        <w:rPr>
          <w:rFonts w:eastAsia="SimSun"/>
          <w:b/>
          <w:color w:val="000000"/>
        </w:rPr>
        <w:t>CONFIDENTIAL</w:t>
      </w:r>
      <w:proofErr w:type="spellEnd"/>
      <w:r w:rsidRPr="00EF16DB">
        <w:rPr>
          <w:rFonts w:eastAsia="SimSun"/>
          <w:b/>
          <w:color w:val="000000"/>
        </w:rPr>
        <w:t xml:space="preserve">) </w:t>
      </w:r>
      <w:r w:rsidRPr="00EF16DB">
        <w:rPr>
          <w:rStyle w:val="Strong"/>
          <w:rFonts w:eastAsia="SimSun"/>
        </w:rPr>
        <w:t>OF</w:t>
      </w:r>
      <w:r w:rsidRPr="00EF16DB">
        <w:rPr>
          <w:rStyle w:val="Strong"/>
          <w:rFonts w:eastAsia="SimSun"/>
          <w:b w:val="0"/>
        </w:rPr>
        <w:br/>
      </w:r>
      <w:r w:rsidRPr="00DD4FDE">
        <w:rPr>
          <w:b/>
          <w:szCs w:val="20"/>
          <w:lang w:eastAsia="zh-CN"/>
        </w:rPr>
        <w:t>BRANDON J. LOHSE</w:t>
      </w:r>
    </w:p>
    <w:p w14:paraId="699048C5" w14:textId="77777777" w:rsidR="00290C67" w:rsidRDefault="00290C67" w:rsidP="00BF05CC">
      <w:pPr>
        <w:pStyle w:val="Heading1"/>
      </w:pPr>
      <w:bookmarkStart w:id="15" w:name="_Toc442956036"/>
      <w:bookmarkStart w:id="16" w:name="_Toc443908471"/>
      <w:bookmarkStart w:id="17" w:name="_Toc126768441"/>
      <w:bookmarkStart w:id="18" w:name="_Toc143679892"/>
      <w:bookmarkStart w:id="19" w:name="_Toc471380878"/>
      <w:bookmarkEnd w:id="7"/>
      <w:bookmarkEnd w:id="8"/>
      <w:bookmarkEnd w:id="9"/>
      <w:bookmarkEnd w:id="10"/>
      <w:bookmarkEnd w:id="11"/>
      <w:bookmarkEnd w:id="12"/>
      <w:bookmarkEnd w:id="13"/>
      <w:bookmarkEnd w:id="14"/>
      <w:r>
        <w:t>I.</w:t>
      </w:r>
      <w:r>
        <w:tab/>
        <w:t>INTRODUCTION</w:t>
      </w:r>
      <w:bookmarkEnd w:id="15"/>
      <w:bookmarkEnd w:id="16"/>
      <w:bookmarkEnd w:id="19"/>
    </w:p>
    <w:p w14:paraId="5F4490EB" w14:textId="332E3311" w:rsidR="00537488" w:rsidRPr="00537488" w:rsidRDefault="00537488" w:rsidP="00D41353">
      <w:pPr>
        <w:pStyle w:val="question"/>
      </w:pPr>
      <w:r w:rsidRPr="00537488">
        <w:t>Q.</w:t>
      </w:r>
      <w:r w:rsidRPr="00537488">
        <w:tab/>
        <w:t>Please state your name, business address, and po</w:t>
      </w:r>
      <w:r w:rsidR="003B3DB0">
        <w:t>sition with Puget Sound Energy.</w:t>
      </w:r>
    </w:p>
    <w:p w14:paraId="64788207" w14:textId="49A2F3F3" w:rsidR="00DD4FDE" w:rsidRDefault="00DD4FDE" w:rsidP="00DD4FDE">
      <w:pPr>
        <w:pStyle w:val="answer"/>
      </w:pPr>
      <w:r>
        <w:t>A.</w:t>
      </w:r>
      <w:r>
        <w:tab/>
        <w:t>My name is Brandon J. Lohse. My business address is 10885 NE Fourth Street, P.O. Box 97034, Bellevue, Washington 98009-9734. I am the Corporate Tr</w:t>
      </w:r>
      <w:r w:rsidR="003B3DB0">
        <w:t xml:space="preserve">easurer for Puget Sound Energy </w:t>
      </w:r>
      <w:r>
        <w:t>(</w:t>
      </w:r>
      <w:r w:rsidR="00EC7294">
        <w:t>“</w:t>
      </w:r>
      <w:r>
        <w:t>PSE</w:t>
      </w:r>
      <w:r w:rsidR="00EC7294">
        <w:t>”</w:t>
      </w:r>
      <w:r>
        <w:t>).</w:t>
      </w:r>
    </w:p>
    <w:p w14:paraId="7E212DA4" w14:textId="77777777" w:rsidR="00537488" w:rsidRPr="00537488" w:rsidRDefault="00537488" w:rsidP="00D41353">
      <w:pPr>
        <w:pStyle w:val="question"/>
      </w:pPr>
      <w:r w:rsidRPr="00537488">
        <w:t>Q.</w:t>
      </w:r>
      <w:r w:rsidRPr="00537488">
        <w:tab/>
        <w:t>Have you prepared an exhibit describing your education, relevant employment experience, and other professional qualifications?</w:t>
      </w:r>
    </w:p>
    <w:p w14:paraId="59E0EA62" w14:textId="77777777" w:rsidR="00DD4FDE" w:rsidRDefault="00DD4FDE" w:rsidP="00DD4FDE">
      <w:pPr>
        <w:pStyle w:val="answer"/>
      </w:pPr>
      <w:r>
        <w:t>A.</w:t>
      </w:r>
      <w:r>
        <w:tab/>
        <w:t>Yes, I have. It is Exhibit No. ___(BJL-2).</w:t>
      </w:r>
    </w:p>
    <w:p w14:paraId="248C8A8B" w14:textId="77777777" w:rsidR="00DD4FDE" w:rsidRDefault="00DD4FDE" w:rsidP="00DD4FDE">
      <w:pPr>
        <w:pStyle w:val="question"/>
      </w:pPr>
      <w:r>
        <w:t>Q.</w:t>
      </w:r>
      <w:r>
        <w:tab/>
        <w:t>What are your duties as Corporate Treasurer for PSE?</w:t>
      </w:r>
    </w:p>
    <w:p w14:paraId="3EABC146" w14:textId="601D2003" w:rsidR="00DD4FDE" w:rsidRDefault="00DD4FDE" w:rsidP="00DD4FDE">
      <w:pPr>
        <w:pStyle w:val="answer"/>
      </w:pPr>
      <w:r>
        <w:t>A.</w:t>
      </w:r>
      <w:r>
        <w:tab/>
      </w:r>
      <w:r w:rsidR="00365DFB">
        <w:t xml:space="preserve">As Corporate Treasurer for PSE, </w:t>
      </w:r>
      <w:r>
        <w:t xml:space="preserve">I have responsibility for administering </w:t>
      </w:r>
      <w:r w:rsidR="00365DFB">
        <w:t>PSE’s</w:t>
      </w:r>
      <w:r>
        <w:t xml:space="preserve"> short term debt program, administering </w:t>
      </w:r>
      <w:r w:rsidR="00365DFB">
        <w:t>PSE’s</w:t>
      </w:r>
      <w:r>
        <w:t xml:space="preserve"> long term debt portfolio, and day-to-day-management of </w:t>
      </w:r>
      <w:r w:rsidR="00365DFB">
        <w:t>PSE’s</w:t>
      </w:r>
      <w:r>
        <w:t xml:space="preserve"> cash position. I am also responsible for maintaining relations with credit rating agencies as well as with commercial and investment banks and debt investors.</w:t>
      </w:r>
      <w:r w:rsidR="00EC7294">
        <w:t xml:space="preserve"> </w:t>
      </w:r>
      <w:r>
        <w:t xml:space="preserve">In addition, I oversee </w:t>
      </w:r>
      <w:r w:rsidR="00365DFB">
        <w:t>PSE’s</w:t>
      </w:r>
      <w:r>
        <w:t xml:space="preserve"> energy risk control and insurance programs. I am also a member of the Qualified Plan</w:t>
      </w:r>
      <w:r w:rsidR="00EC7294">
        <w:t>’</w:t>
      </w:r>
      <w:r>
        <w:t>s Committee</w:t>
      </w:r>
      <w:r w:rsidR="0057280A">
        <w:t>,</w:t>
      </w:r>
      <w:r>
        <w:t xml:space="preserve"> which oversees </w:t>
      </w:r>
      <w:r w:rsidR="0057280A">
        <w:t>PSE</w:t>
      </w:r>
      <w:r w:rsidR="00EC7294">
        <w:t>’</w:t>
      </w:r>
      <w:r>
        <w:t>s retirement, 401(k) and health and welfare plans</w:t>
      </w:r>
      <w:r w:rsidR="0057280A">
        <w:t>.</w:t>
      </w:r>
      <w:r>
        <w:t xml:space="preserve"> </w:t>
      </w:r>
      <w:r w:rsidR="0057280A">
        <w:t xml:space="preserve">Finally, </w:t>
      </w:r>
      <w:r>
        <w:t>I am a Trustee and the Treasurer of the Puget Sound Energy Foundation.</w:t>
      </w:r>
    </w:p>
    <w:p w14:paraId="5E227EE8" w14:textId="77777777" w:rsidR="00DD4FDE" w:rsidRDefault="00DD4FDE" w:rsidP="00DD4FDE">
      <w:pPr>
        <w:pStyle w:val="question"/>
      </w:pPr>
      <w:r>
        <w:lastRenderedPageBreak/>
        <w:t>Q.</w:t>
      </w:r>
      <w:r>
        <w:tab/>
        <w:t>Please summarize the purpose of your testimony.</w:t>
      </w:r>
    </w:p>
    <w:p w14:paraId="6C6B7A5F" w14:textId="77777777" w:rsidR="00DD4FDE" w:rsidRDefault="00DD4FDE" w:rsidP="00DD4FDE">
      <w:pPr>
        <w:pStyle w:val="answer"/>
      </w:pPr>
      <w:r>
        <w:t>A.</w:t>
      </w:r>
      <w:r>
        <w:tab/>
        <w:t xml:space="preserve">This </w:t>
      </w:r>
      <w:proofErr w:type="spellStart"/>
      <w:r>
        <w:t>prefiled</w:t>
      </w:r>
      <w:proofErr w:type="spellEnd"/>
      <w:r>
        <w:t xml:space="preserve"> direct testimony describes PSE</w:t>
      </w:r>
      <w:r w:rsidR="00EC7294">
        <w:t>’</w:t>
      </w:r>
      <w:r>
        <w:t>s requested capital structure and overall rate of return.</w:t>
      </w:r>
    </w:p>
    <w:p w14:paraId="72428485" w14:textId="32CB6474" w:rsidR="00DD4FDE" w:rsidRDefault="00DD4FDE" w:rsidP="00DD4FDE">
      <w:pPr>
        <w:pStyle w:val="Heading1"/>
      </w:pPr>
      <w:bookmarkStart w:id="20" w:name="_Toc442956037"/>
      <w:bookmarkStart w:id="21" w:name="_Toc443908472"/>
      <w:bookmarkStart w:id="22" w:name="_Toc471380879"/>
      <w:r>
        <w:t>II.</w:t>
      </w:r>
      <w:r>
        <w:tab/>
      </w:r>
      <w:r w:rsidR="0057280A">
        <w:t>PSE</w:t>
      </w:r>
      <w:r w:rsidR="00EC7294">
        <w:t>’</w:t>
      </w:r>
      <w:r>
        <w:t>S CAPITAL STRUCTURE REQUEST</w:t>
      </w:r>
      <w:bookmarkEnd w:id="20"/>
      <w:bookmarkEnd w:id="21"/>
      <w:bookmarkEnd w:id="22"/>
      <w:r>
        <w:t xml:space="preserve"> </w:t>
      </w:r>
    </w:p>
    <w:p w14:paraId="7CE2E5D0" w14:textId="3FD98770" w:rsidR="00DD4FDE" w:rsidRDefault="00DD4FDE" w:rsidP="00DD4FDE">
      <w:pPr>
        <w:pStyle w:val="question"/>
      </w:pPr>
      <w:r>
        <w:t>Q.</w:t>
      </w:r>
      <w:r>
        <w:tab/>
        <w:t xml:space="preserve">What is the capital structure and rate of return </w:t>
      </w:r>
      <w:r w:rsidR="0057280A">
        <w:t xml:space="preserve">that PSE </w:t>
      </w:r>
      <w:r>
        <w:t>is requesting in this proceeding?</w:t>
      </w:r>
    </w:p>
    <w:p w14:paraId="27975460" w14:textId="1E051422" w:rsidR="00DD4FDE" w:rsidRDefault="00DD4FDE" w:rsidP="00DD4FDE">
      <w:pPr>
        <w:pStyle w:val="answer"/>
      </w:pPr>
      <w:r>
        <w:t>A.</w:t>
      </w:r>
      <w:r>
        <w:tab/>
        <w:t>PSE</w:t>
      </w:r>
      <w:r w:rsidR="00EC7294">
        <w:t>’</w:t>
      </w:r>
      <w:r>
        <w:t xml:space="preserve">s requested overall rate of return in this proceeding is </w:t>
      </w:r>
      <w:r w:rsidR="00A93F1E" w:rsidRPr="00D053BC">
        <w:t>7</w:t>
      </w:r>
      <w:r w:rsidRPr="00D053BC">
        <w:t>.</w:t>
      </w:r>
      <w:r w:rsidR="00CA1A41" w:rsidRPr="00D053BC">
        <w:t>7</w:t>
      </w:r>
      <w:r w:rsidR="00CD0D89" w:rsidRPr="00D053BC">
        <w:t>4</w:t>
      </w:r>
      <w:r w:rsidR="00EC7294">
        <w:t> </w:t>
      </w:r>
      <w:r>
        <w:t>percent, as shown in Table</w:t>
      </w:r>
      <w:r w:rsidR="00EC7294">
        <w:t> </w:t>
      </w:r>
      <w:r>
        <w:t>1 below:</w:t>
      </w:r>
    </w:p>
    <w:p w14:paraId="738CAB6E" w14:textId="2D79CD71" w:rsidR="00723F30" w:rsidRPr="00364039" w:rsidRDefault="00364039" w:rsidP="00364039">
      <w:pPr>
        <w:keepNext/>
        <w:keepLines/>
        <w:spacing w:after="80"/>
        <w:jc w:val="center"/>
        <w:rPr>
          <w:b/>
        </w:rPr>
      </w:pPr>
      <w:r w:rsidRPr="00364039">
        <w:rPr>
          <w:b/>
        </w:rPr>
        <w:t>Table</w:t>
      </w:r>
      <w:r w:rsidR="00E823C4">
        <w:rPr>
          <w:b/>
        </w:rPr>
        <w:t> </w:t>
      </w:r>
      <w:r w:rsidRPr="00364039">
        <w:rPr>
          <w:b/>
        </w:rPr>
        <w:t>1. Capital Structure and</w:t>
      </w:r>
      <w:r w:rsidRPr="00364039">
        <w:rPr>
          <w:b/>
        </w:rPr>
        <w:br/>
      </w:r>
      <w:r w:rsidR="00C34003">
        <w:rPr>
          <w:b/>
        </w:rPr>
        <w:t xml:space="preserve">Requested </w:t>
      </w:r>
      <w:r w:rsidRPr="00364039">
        <w:rPr>
          <w:b/>
        </w:rPr>
        <w:t>Overall Rate of Return</w:t>
      </w:r>
    </w:p>
    <w:tbl>
      <w:tblPr>
        <w:tblW w:w="0" w:type="auto"/>
        <w:jc w:val="center"/>
        <w:tblLayout w:type="fixed"/>
        <w:tblLook w:val="0000" w:firstRow="0" w:lastRow="0" w:firstColumn="0" w:lastColumn="0" w:noHBand="0" w:noVBand="0"/>
      </w:tblPr>
      <w:tblGrid>
        <w:gridCol w:w="4891"/>
        <w:gridCol w:w="1260"/>
        <w:gridCol w:w="1260"/>
        <w:gridCol w:w="1406"/>
      </w:tblGrid>
      <w:tr w:rsidR="00723F30" w:rsidRPr="00723F30" w14:paraId="4469D2C1" w14:textId="77777777" w:rsidTr="00364039">
        <w:trPr>
          <w:jc w:val="center"/>
        </w:trPr>
        <w:tc>
          <w:tcPr>
            <w:tcW w:w="4891" w:type="dxa"/>
            <w:tcBorders>
              <w:bottom w:val="single" w:sz="4" w:space="0" w:color="auto"/>
            </w:tcBorders>
            <w:shd w:val="clear" w:color="auto" w:fill="auto"/>
            <w:vAlign w:val="bottom"/>
          </w:tcPr>
          <w:p w14:paraId="7699A2E1" w14:textId="77777777" w:rsidR="00723F30" w:rsidRPr="00723F30" w:rsidRDefault="00723F30" w:rsidP="00364039">
            <w:pPr>
              <w:keepNext/>
              <w:keepLines/>
              <w:widowControl w:val="0"/>
              <w:spacing w:before="60" w:after="60"/>
              <w:jc w:val="center"/>
              <w:rPr>
                <w:b/>
                <w:szCs w:val="20"/>
                <w:lang w:eastAsia="zh-CN"/>
              </w:rPr>
            </w:pPr>
            <w:r w:rsidRPr="00723F30">
              <w:rPr>
                <w:b/>
                <w:szCs w:val="20"/>
                <w:lang w:eastAsia="zh-CN"/>
              </w:rPr>
              <w:t>Components of Rate of Return</w:t>
            </w:r>
          </w:p>
        </w:tc>
        <w:tc>
          <w:tcPr>
            <w:tcW w:w="1260" w:type="dxa"/>
            <w:tcBorders>
              <w:bottom w:val="single" w:sz="4" w:space="0" w:color="auto"/>
            </w:tcBorders>
            <w:shd w:val="clear" w:color="auto" w:fill="auto"/>
            <w:vAlign w:val="bottom"/>
          </w:tcPr>
          <w:p w14:paraId="7F0A7E9B" w14:textId="77777777" w:rsidR="00723F30" w:rsidRPr="00723F30" w:rsidRDefault="00723F30" w:rsidP="00364039">
            <w:pPr>
              <w:keepNext/>
              <w:keepLines/>
              <w:widowControl w:val="0"/>
              <w:spacing w:before="60" w:after="60"/>
              <w:jc w:val="center"/>
              <w:rPr>
                <w:b/>
                <w:szCs w:val="20"/>
                <w:lang w:eastAsia="zh-CN"/>
              </w:rPr>
            </w:pPr>
            <w:r w:rsidRPr="00723F30">
              <w:rPr>
                <w:b/>
                <w:szCs w:val="20"/>
                <w:lang w:eastAsia="zh-CN"/>
              </w:rPr>
              <w:t>Capital Structure</w:t>
            </w:r>
          </w:p>
        </w:tc>
        <w:tc>
          <w:tcPr>
            <w:tcW w:w="1260" w:type="dxa"/>
            <w:tcBorders>
              <w:bottom w:val="single" w:sz="4" w:space="0" w:color="auto"/>
            </w:tcBorders>
            <w:shd w:val="clear" w:color="auto" w:fill="auto"/>
            <w:vAlign w:val="bottom"/>
          </w:tcPr>
          <w:p w14:paraId="50A7FDAA" w14:textId="77777777" w:rsidR="00723F30" w:rsidRPr="00723F30" w:rsidRDefault="00723F30" w:rsidP="00364039">
            <w:pPr>
              <w:keepNext/>
              <w:keepLines/>
              <w:widowControl w:val="0"/>
              <w:spacing w:before="60" w:after="60"/>
              <w:jc w:val="center"/>
              <w:rPr>
                <w:b/>
                <w:szCs w:val="20"/>
                <w:lang w:eastAsia="zh-CN"/>
              </w:rPr>
            </w:pPr>
            <w:r w:rsidRPr="00723F30">
              <w:rPr>
                <w:b/>
                <w:szCs w:val="20"/>
                <w:lang w:eastAsia="zh-CN"/>
              </w:rPr>
              <w:t>Cost</w:t>
            </w:r>
            <w:r w:rsidRPr="00723F30">
              <w:rPr>
                <w:b/>
                <w:szCs w:val="20"/>
                <w:lang w:eastAsia="zh-CN"/>
              </w:rPr>
              <w:br/>
              <w:t>Rate</w:t>
            </w:r>
          </w:p>
        </w:tc>
        <w:tc>
          <w:tcPr>
            <w:tcW w:w="1406" w:type="dxa"/>
            <w:tcBorders>
              <w:bottom w:val="single" w:sz="4" w:space="0" w:color="auto"/>
            </w:tcBorders>
            <w:shd w:val="clear" w:color="auto" w:fill="auto"/>
            <w:vAlign w:val="bottom"/>
          </w:tcPr>
          <w:p w14:paraId="57BB3840" w14:textId="77777777" w:rsidR="00723F30" w:rsidRPr="00723F30" w:rsidRDefault="00723F30" w:rsidP="00364039">
            <w:pPr>
              <w:keepNext/>
              <w:keepLines/>
              <w:widowControl w:val="0"/>
              <w:spacing w:before="60" w:after="60"/>
              <w:jc w:val="center"/>
              <w:rPr>
                <w:b/>
                <w:szCs w:val="20"/>
                <w:lang w:eastAsia="zh-CN"/>
              </w:rPr>
            </w:pPr>
            <w:r w:rsidRPr="00723F30">
              <w:rPr>
                <w:b/>
                <w:szCs w:val="20"/>
                <w:lang w:eastAsia="zh-CN"/>
              </w:rPr>
              <w:t>Weighted Cost</w:t>
            </w:r>
          </w:p>
        </w:tc>
      </w:tr>
      <w:tr w:rsidR="00723F30" w:rsidRPr="00723F30" w14:paraId="6321BA3A" w14:textId="77777777" w:rsidTr="00364039">
        <w:trPr>
          <w:jc w:val="center"/>
        </w:trPr>
        <w:tc>
          <w:tcPr>
            <w:tcW w:w="4891" w:type="dxa"/>
            <w:tcBorders>
              <w:top w:val="single" w:sz="4" w:space="0" w:color="auto"/>
            </w:tcBorders>
          </w:tcPr>
          <w:p w14:paraId="2AC71859" w14:textId="6E3C0E36" w:rsidR="00723F30" w:rsidRPr="00723F30" w:rsidRDefault="00995D3F" w:rsidP="002B0EBF">
            <w:pPr>
              <w:keepNext/>
              <w:keepLines/>
              <w:widowControl w:val="0"/>
              <w:spacing w:before="60" w:after="60"/>
              <w:ind w:left="341"/>
              <w:rPr>
                <w:szCs w:val="20"/>
                <w:lang w:eastAsia="zh-CN"/>
              </w:rPr>
            </w:pPr>
            <w:r>
              <w:rPr>
                <w:szCs w:val="20"/>
                <w:lang w:eastAsia="zh-CN"/>
              </w:rPr>
              <w:t xml:space="preserve">Marginal </w:t>
            </w:r>
            <w:r w:rsidR="00723F30" w:rsidRPr="00723F30">
              <w:rPr>
                <w:szCs w:val="20"/>
                <w:lang w:eastAsia="zh-CN"/>
              </w:rPr>
              <w:t>Short</w:t>
            </w:r>
            <w:r w:rsidR="00723F30">
              <w:rPr>
                <w:szCs w:val="20"/>
                <w:lang w:eastAsia="zh-CN"/>
              </w:rPr>
              <w:t>-</w:t>
            </w:r>
            <w:r w:rsidR="00723F30" w:rsidRPr="00723F30">
              <w:rPr>
                <w:szCs w:val="20"/>
                <w:lang w:eastAsia="zh-CN"/>
              </w:rPr>
              <w:t>Term Debt</w:t>
            </w:r>
            <w:r>
              <w:rPr>
                <w:szCs w:val="20"/>
                <w:lang w:eastAsia="zh-CN"/>
              </w:rPr>
              <w:t xml:space="preserve"> Rate</w:t>
            </w:r>
          </w:p>
        </w:tc>
        <w:tc>
          <w:tcPr>
            <w:tcW w:w="1260" w:type="dxa"/>
            <w:tcBorders>
              <w:top w:val="single" w:sz="4" w:space="0" w:color="auto"/>
            </w:tcBorders>
          </w:tcPr>
          <w:p w14:paraId="32FDC6D4" w14:textId="179BCB8E" w:rsidR="00723F30" w:rsidRPr="00723F30" w:rsidRDefault="00D97107" w:rsidP="00723F30">
            <w:pPr>
              <w:keepNext/>
              <w:keepLines/>
              <w:widowControl w:val="0"/>
              <w:spacing w:before="60" w:after="60"/>
              <w:ind w:right="162"/>
              <w:jc w:val="right"/>
              <w:rPr>
                <w:szCs w:val="20"/>
                <w:lang w:eastAsia="zh-CN"/>
              </w:rPr>
            </w:pPr>
            <w:r>
              <w:rPr>
                <w:szCs w:val="20"/>
                <w:lang w:eastAsia="zh-CN"/>
              </w:rPr>
              <w:t>1</w:t>
            </w:r>
            <w:r w:rsidR="00723F30" w:rsidRPr="00723F30">
              <w:rPr>
                <w:szCs w:val="20"/>
                <w:lang w:eastAsia="zh-CN"/>
              </w:rPr>
              <w:t>.0%</w:t>
            </w:r>
          </w:p>
        </w:tc>
        <w:tc>
          <w:tcPr>
            <w:tcW w:w="1260" w:type="dxa"/>
            <w:tcBorders>
              <w:top w:val="single" w:sz="4" w:space="0" w:color="auto"/>
            </w:tcBorders>
            <w:shd w:val="clear" w:color="auto" w:fill="auto"/>
          </w:tcPr>
          <w:p w14:paraId="4CC18B35" w14:textId="059880F4" w:rsidR="00723F30" w:rsidRPr="00723F30" w:rsidRDefault="00D97107" w:rsidP="00723F30">
            <w:pPr>
              <w:keepNext/>
              <w:keepLines/>
              <w:widowControl w:val="0"/>
              <w:spacing w:before="60" w:after="60"/>
              <w:ind w:right="162"/>
              <w:jc w:val="right"/>
              <w:rPr>
                <w:szCs w:val="20"/>
                <w:lang w:eastAsia="zh-CN"/>
              </w:rPr>
            </w:pPr>
            <w:r>
              <w:rPr>
                <w:szCs w:val="20"/>
                <w:lang w:eastAsia="zh-CN"/>
              </w:rPr>
              <w:t>3</w:t>
            </w:r>
            <w:r w:rsidR="00723F30" w:rsidRPr="00723F30">
              <w:rPr>
                <w:szCs w:val="20"/>
                <w:lang w:eastAsia="zh-CN"/>
              </w:rPr>
              <w:t>.</w:t>
            </w:r>
            <w:r>
              <w:rPr>
                <w:szCs w:val="20"/>
                <w:lang w:eastAsia="zh-CN"/>
              </w:rPr>
              <w:t>06</w:t>
            </w:r>
            <w:r w:rsidR="00723F30" w:rsidRPr="00723F30">
              <w:rPr>
                <w:szCs w:val="20"/>
                <w:lang w:eastAsia="zh-CN"/>
              </w:rPr>
              <w:t>%</w:t>
            </w:r>
          </w:p>
        </w:tc>
        <w:tc>
          <w:tcPr>
            <w:tcW w:w="1406" w:type="dxa"/>
            <w:tcBorders>
              <w:top w:val="single" w:sz="4" w:space="0" w:color="auto"/>
            </w:tcBorders>
            <w:shd w:val="clear" w:color="auto" w:fill="auto"/>
          </w:tcPr>
          <w:p w14:paraId="38064214" w14:textId="4697C038" w:rsidR="00723F30" w:rsidRPr="00723F30" w:rsidRDefault="00723F30" w:rsidP="00723F30">
            <w:pPr>
              <w:keepNext/>
              <w:keepLines/>
              <w:widowControl w:val="0"/>
              <w:spacing w:before="60" w:after="60"/>
              <w:ind w:right="218"/>
              <w:jc w:val="right"/>
              <w:rPr>
                <w:szCs w:val="20"/>
                <w:lang w:eastAsia="zh-CN"/>
              </w:rPr>
            </w:pPr>
            <w:r w:rsidRPr="00723F30">
              <w:rPr>
                <w:szCs w:val="20"/>
                <w:lang w:eastAsia="zh-CN"/>
              </w:rPr>
              <w:t>0.0</w:t>
            </w:r>
            <w:r w:rsidR="00D97107">
              <w:rPr>
                <w:szCs w:val="20"/>
                <w:lang w:eastAsia="zh-CN"/>
              </w:rPr>
              <w:t>3</w:t>
            </w:r>
            <w:r w:rsidRPr="00723F30">
              <w:rPr>
                <w:szCs w:val="20"/>
                <w:lang w:eastAsia="zh-CN"/>
              </w:rPr>
              <w:t>%</w:t>
            </w:r>
          </w:p>
        </w:tc>
      </w:tr>
      <w:tr w:rsidR="00995D3F" w:rsidRPr="00723F30" w14:paraId="3B6D186E" w14:textId="77777777" w:rsidTr="002B0EBF">
        <w:trPr>
          <w:jc w:val="center"/>
        </w:trPr>
        <w:tc>
          <w:tcPr>
            <w:tcW w:w="4891" w:type="dxa"/>
          </w:tcPr>
          <w:p w14:paraId="328E17FC" w14:textId="4D5D0199" w:rsidR="00995D3F" w:rsidRDefault="00995D3F" w:rsidP="00723F30">
            <w:pPr>
              <w:keepNext/>
              <w:keepLines/>
              <w:widowControl w:val="0"/>
              <w:spacing w:before="60" w:after="60"/>
              <w:ind w:left="309"/>
              <w:rPr>
                <w:szCs w:val="20"/>
                <w:lang w:eastAsia="zh-CN"/>
              </w:rPr>
            </w:pPr>
            <w:r>
              <w:rPr>
                <w:szCs w:val="20"/>
                <w:lang w:eastAsia="zh-CN"/>
              </w:rPr>
              <w:t>Commitment Fees</w:t>
            </w:r>
          </w:p>
        </w:tc>
        <w:tc>
          <w:tcPr>
            <w:tcW w:w="1260" w:type="dxa"/>
          </w:tcPr>
          <w:p w14:paraId="103AEAAD" w14:textId="77777777" w:rsidR="00995D3F" w:rsidRPr="00723F30" w:rsidRDefault="00995D3F" w:rsidP="00723F30">
            <w:pPr>
              <w:keepNext/>
              <w:keepLines/>
              <w:widowControl w:val="0"/>
              <w:spacing w:before="60" w:after="60"/>
              <w:ind w:right="162"/>
              <w:jc w:val="right"/>
              <w:rPr>
                <w:szCs w:val="20"/>
                <w:u w:val="single"/>
                <w:lang w:eastAsia="zh-CN"/>
              </w:rPr>
            </w:pPr>
          </w:p>
        </w:tc>
        <w:tc>
          <w:tcPr>
            <w:tcW w:w="1260" w:type="dxa"/>
            <w:shd w:val="clear" w:color="auto" w:fill="auto"/>
          </w:tcPr>
          <w:p w14:paraId="3F49B74E" w14:textId="77777777" w:rsidR="00995D3F" w:rsidRPr="00723F30" w:rsidRDefault="00995D3F" w:rsidP="00723F30">
            <w:pPr>
              <w:keepNext/>
              <w:keepLines/>
              <w:widowControl w:val="0"/>
              <w:spacing w:before="60" w:after="60"/>
              <w:ind w:right="162"/>
              <w:jc w:val="right"/>
              <w:rPr>
                <w:szCs w:val="20"/>
                <w:u w:val="single"/>
                <w:lang w:eastAsia="zh-CN"/>
              </w:rPr>
            </w:pPr>
          </w:p>
        </w:tc>
        <w:tc>
          <w:tcPr>
            <w:tcW w:w="1406" w:type="dxa"/>
            <w:shd w:val="clear" w:color="auto" w:fill="auto"/>
          </w:tcPr>
          <w:p w14:paraId="0A09F79E" w14:textId="15ED7990" w:rsidR="00995D3F" w:rsidRPr="00723F30" w:rsidRDefault="00995D3F">
            <w:pPr>
              <w:keepNext/>
              <w:keepLines/>
              <w:widowControl w:val="0"/>
              <w:spacing w:before="60" w:after="60"/>
              <w:ind w:right="218"/>
              <w:jc w:val="right"/>
              <w:rPr>
                <w:szCs w:val="20"/>
                <w:u w:val="single"/>
                <w:lang w:eastAsia="zh-CN"/>
              </w:rPr>
            </w:pPr>
            <w:r w:rsidRPr="00723F30">
              <w:rPr>
                <w:szCs w:val="20"/>
                <w:lang w:eastAsia="zh-CN"/>
              </w:rPr>
              <w:t>0.0</w:t>
            </w:r>
            <w:r>
              <w:rPr>
                <w:szCs w:val="20"/>
                <w:lang w:eastAsia="zh-CN"/>
              </w:rPr>
              <w:t>2</w:t>
            </w:r>
            <w:r w:rsidRPr="00723F30">
              <w:rPr>
                <w:szCs w:val="20"/>
                <w:lang w:eastAsia="zh-CN"/>
              </w:rPr>
              <w:t>%</w:t>
            </w:r>
          </w:p>
        </w:tc>
      </w:tr>
      <w:tr w:rsidR="00995D3F" w:rsidRPr="00723F30" w14:paraId="414FDFA6" w14:textId="77777777" w:rsidTr="002B0EBF">
        <w:trPr>
          <w:jc w:val="center"/>
        </w:trPr>
        <w:tc>
          <w:tcPr>
            <w:tcW w:w="4891" w:type="dxa"/>
            <w:tcBorders>
              <w:bottom w:val="single" w:sz="4" w:space="0" w:color="auto"/>
            </w:tcBorders>
          </w:tcPr>
          <w:p w14:paraId="618BC5F5" w14:textId="784C684E" w:rsidR="00995D3F" w:rsidRDefault="00995D3F">
            <w:pPr>
              <w:keepNext/>
              <w:keepLines/>
              <w:widowControl w:val="0"/>
              <w:spacing w:before="60" w:after="60"/>
              <w:ind w:left="309"/>
              <w:rPr>
                <w:szCs w:val="20"/>
                <w:lang w:eastAsia="zh-CN"/>
              </w:rPr>
            </w:pPr>
            <w:r>
              <w:rPr>
                <w:szCs w:val="20"/>
                <w:lang w:eastAsia="zh-CN"/>
              </w:rPr>
              <w:t>Amortization of Short-Term Debt Issue Cost</w:t>
            </w:r>
          </w:p>
        </w:tc>
        <w:tc>
          <w:tcPr>
            <w:tcW w:w="1260" w:type="dxa"/>
            <w:tcBorders>
              <w:bottom w:val="single" w:sz="4" w:space="0" w:color="auto"/>
            </w:tcBorders>
          </w:tcPr>
          <w:p w14:paraId="4A36272A" w14:textId="77777777" w:rsidR="00995D3F" w:rsidRPr="00723F30" w:rsidRDefault="00995D3F" w:rsidP="0015265F">
            <w:pPr>
              <w:keepNext/>
              <w:keepLines/>
              <w:widowControl w:val="0"/>
              <w:spacing w:before="60" w:after="60"/>
              <w:ind w:right="162"/>
              <w:jc w:val="right"/>
              <w:rPr>
                <w:szCs w:val="20"/>
                <w:u w:val="single"/>
                <w:lang w:eastAsia="zh-CN"/>
              </w:rPr>
            </w:pPr>
          </w:p>
        </w:tc>
        <w:tc>
          <w:tcPr>
            <w:tcW w:w="1260" w:type="dxa"/>
            <w:tcBorders>
              <w:bottom w:val="single" w:sz="4" w:space="0" w:color="auto"/>
            </w:tcBorders>
            <w:shd w:val="clear" w:color="auto" w:fill="auto"/>
          </w:tcPr>
          <w:p w14:paraId="1A895AF7" w14:textId="77777777" w:rsidR="00995D3F" w:rsidRPr="00723F30" w:rsidRDefault="00995D3F" w:rsidP="0015265F">
            <w:pPr>
              <w:keepNext/>
              <w:keepLines/>
              <w:widowControl w:val="0"/>
              <w:spacing w:before="60" w:after="60"/>
              <w:ind w:right="162"/>
              <w:jc w:val="right"/>
              <w:rPr>
                <w:szCs w:val="20"/>
                <w:u w:val="single"/>
                <w:lang w:eastAsia="zh-CN"/>
              </w:rPr>
            </w:pPr>
          </w:p>
        </w:tc>
        <w:tc>
          <w:tcPr>
            <w:tcW w:w="1406" w:type="dxa"/>
            <w:tcBorders>
              <w:bottom w:val="single" w:sz="4" w:space="0" w:color="auto"/>
            </w:tcBorders>
            <w:shd w:val="clear" w:color="auto" w:fill="auto"/>
          </w:tcPr>
          <w:p w14:paraId="22736E01" w14:textId="43E21A78" w:rsidR="00995D3F" w:rsidRPr="00723F30" w:rsidRDefault="00995D3F" w:rsidP="0015265F">
            <w:pPr>
              <w:keepNext/>
              <w:keepLines/>
              <w:widowControl w:val="0"/>
              <w:spacing w:before="60" w:after="60"/>
              <w:ind w:right="218"/>
              <w:jc w:val="right"/>
              <w:rPr>
                <w:szCs w:val="20"/>
                <w:u w:val="single"/>
                <w:lang w:eastAsia="zh-CN"/>
              </w:rPr>
            </w:pPr>
            <w:r w:rsidRPr="00723F30">
              <w:rPr>
                <w:szCs w:val="20"/>
                <w:lang w:eastAsia="zh-CN"/>
              </w:rPr>
              <w:t>0.0</w:t>
            </w:r>
            <w:r w:rsidR="00604205">
              <w:rPr>
                <w:szCs w:val="20"/>
                <w:lang w:eastAsia="zh-CN"/>
              </w:rPr>
              <w:t>1</w:t>
            </w:r>
            <w:r w:rsidRPr="00723F30">
              <w:rPr>
                <w:szCs w:val="20"/>
                <w:lang w:eastAsia="zh-CN"/>
              </w:rPr>
              <w:t>%</w:t>
            </w:r>
          </w:p>
        </w:tc>
      </w:tr>
      <w:tr w:rsidR="00995D3F" w:rsidRPr="00995D3F" w14:paraId="26BE6DA3" w14:textId="77777777" w:rsidTr="002B0EBF">
        <w:trPr>
          <w:jc w:val="center"/>
        </w:trPr>
        <w:tc>
          <w:tcPr>
            <w:tcW w:w="4891" w:type="dxa"/>
            <w:tcBorders>
              <w:top w:val="single" w:sz="4" w:space="0" w:color="auto"/>
            </w:tcBorders>
          </w:tcPr>
          <w:p w14:paraId="46C27E30" w14:textId="114866B8" w:rsidR="00995D3F" w:rsidRPr="002B0EBF" w:rsidRDefault="00995D3F" w:rsidP="002B0EBF">
            <w:pPr>
              <w:keepNext/>
              <w:keepLines/>
              <w:widowControl w:val="0"/>
              <w:spacing w:before="60" w:after="60"/>
              <w:ind w:left="341"/>
              <w:rPr>
                <w:b/>
                <w:szCs w:val="20"/>
                <w:lang w:eastAsia="zh-CN"/>
              </w:rPr>
            </w:pPr>
            <w:r>
              <w:rPr>
                <w:b/>
                <w:szCs w:val="20"/>
                <w:lang w:eastAsia="zh-CN"/>
              </w:rPr>
              <w:t xml:space="preserve">Weighted </w:t>
            </w:r>
            <w:r w:rsidRPr="002B0EBF">
              <w:rPr>
                <w:b/>
                <w:szCs w:val="20"/>
                <w:lang w:eastAsia="zh-CN"/>
              </w:rPr>
              <w:t>Short-Term Debt Rate</w:t>
            </w:r>
          </w:p>
        </w:tc>
        <w:tc>
          <w:tcPr>
            <w:tcW w:w="1260" w:type="dxa"/>
            <w:tcBorders>
              <w:top w:val="single" w:sz="4" w:space="0" w:color="auto"/>
            </w:tcBorders>
          </w:tcPr>
          <w:p w14:paraId="2E6FD2A0" w14:textId="77777777" w:rsidR="00995D3F" w:rsidRPr="002B0EBF" w:rsidRDefault="00995D3F" w:rsidP="0015265F">
            <w:pPr>
              <w:keepNext/>
              <w:keepLines/>
              <w:widowControl w:val="0"/>
              <w:spacing w:before="60" w:after="60"/>
              <w:ind w:right="162"/>
              <w:jc w:val="right"/>
              <w:rPr>
                <w:b/>
                <w:szCs w:val="20"/>
                <w:u w:val="single"/>
                <w:lang w:eastAsia="zh-CN"/>
              </w:rPr>
            </w:pPr>
          </w:p>
        </w:tc>
        <w:tc>
          <w:tcPr>
            <w:tcW w:w="1260" w:type="dxa"/>
            <w:tcBorders>
              <w:top w:val="single" w:sz="4" w:space="0" w:color="auto"/>
            </w:tcBorders>
            <w:shd w:val="clear" w:color="auto" w:fill="auto"/>
          </w:tcPr>
          <w:p w14:paraId="12F02024" w14:textId="77777777" w:rsidR="00995D3F" w:rsidRPr="002B0EBF" w:rsidRDefault="00995D3F" w:rsidP="0015265F">
            <w:pPr>
              <w:keepNext/>
              <w:keepLines/>
              <w:widowControl w:val="0"/>
              <w:spacing w:before="60" w:after="60"/>
              <w:ind w:right="162"/>
              <w:jc w:val="right"/>
              <w:rPr>
                <w:b/>
                <w:szCs w:val="20"/>
                <w:u w:val="single"/>
                <w:lang w:eastAsia="zh-CN"/>
              </w:rPr>
            </w:pPr>
          </w:p>
        </w:tc>
        <w:tc>
          <w:tcPr>
            <w:tcW w:w="1406" w:type="dxa"/>
            <w:tcBorders>
              <w:top w:val="single" w:sz="4" w:space="0" w:color="auto"/>
            </w:tcBorders>
            <w:shd w:val="clear" w:color="auto" w:fill="auto"/>
          </w:tcPr>
          <w:p w14:paraId="210DBAA7" w14:textId="541E3753" w:rsidR="00995D3F" w:rsidRPr="002B0EBF" w:rsidRDefault="00A2054C">
            <w:pPr>
              <w:keepNext/>
              <w:keepLines/>
              <w:widowControl w:val="0"/>
              <w:spacing w:before="60" w:after="60"/>
              <w:ind w:right="218"/>
              <w:jc w:val="right"/>
              <w:rPr>
                <w:b/>
                <w:szCs w:val="20"/>
                <w:u w:val="single"/>
                <w:lang w:eastAsia="zh-CN"/>
              </w:rPr>
            </w:pPr>
            <w:r>
              <w:rPr>
                <w:b/>
                <w:szCs w:val="20"/>
                <w:lang w:eastAsia="zh-CN"/>
              </w:rPr>
              <w:t>0</w:t>
            </w:r>
            <w:r w:rsidR="00995D3F" w:rsidRPr="002B0EBF">
              <w:rPr>
                <w:b/>
                <w:szCs w:val="20"/>
                <w:lang w:eastAsia="zh-CN"/>
              </w:rPr>
              <w:t>.</w:t>
            </w:r>
            <w:r>
              <w:rPr>
                <w:b/>
                <w:szCs w:val="20"/>
                <w:lang w:eastAsia="zh-CN"/>
              </w:rPr>
              <w:t>0</w:t>
            </w:r>
            <w:r w:rsidR="00604205">
              <w:rPr>
                <w:b/>
                <w:szCs w:val="20"/>
                <w:lang w:eastAsia="zh-CN"/>
              </w:rPr>
              <w:t>6</w:t>
            </w:r>
            <w:r w:rsidR="00995D3F" w:rsidRPr="002B0EBF">
              <w:rPr>
                <w:b/>
                <w:szCs w:val="20"/>
                <w:lang w:eastAsia="zh-CN"/>
              </w:rPr>
              <w:t>%</w:t>
            </w:r>
          </w:p>
        </w:tc>
      </w:tr>
      <w:tr w:rsidR="00723F30" w:rsidRPr="00995D3F" w14:paraId="6D6F740F" w14:textId="77777777" w:rsidTr="002B0EBF">
        <w:trPr>
          <w:jc w:val="center"/>
        </w:trPr>
        <w:tc>
          <w:tcPr>
            <w:tcW w:w="4891" w:type="dxa"/>
          </w:tcPr>
          <w:p w14:paraId="1FF22F6B" w14:textId="1F8E942E" w:rsidR="00723F30" w:rsidRPr="00995D3F" w:rsidRDefault="00995D3F" w:rsidP="002B0EBF">
            <w:pPr>
              <w:keepNext/>
              <w:keepLines/>
              <w:widowControl w:val="0"/>
              <w:spacing w:before="60" w:after="60"/>
              <w:ind w:left="341"/>
              <w:rPr>
                <w:szCs w:val="20"/>
                <w:lang w:eastAsia="zh-CN"/>
              </w:rPr>
            </w:pPr>
            <w:r w:rsidRPr="00995D3F">
              <w:rPr>
                <w:szCs w:val="20"/>
                <w:lang w:eastAsia="zh-CN"/>
              </w:rPr>
              <w:t xml:space="preserve">Marginal </w:t>
            </w:r>
            <w:r w:rsidR="00723F30" w:rsidRPr="00995D3F">
              <w:rPr>
                <w:szCs w:val="20"/>
                <w:lang w:eastAsia="zh-CN"/>
              </w:rPr>
              <w:t>Long-Term Debt</w:t>
            </w:r>
            <w:r w:rsidRPr="00995D3F">
              <w:rPr>
                <w:szCs w:val="20"/>
                <w:lang w:eastAsia="zh-CN"/>
              </w:rPr>
              <w:t xml:space="preserve"> Rate</w:t>
            </w:r>
          </w:p>
        </w:tc>
        <w:tc>
          <w:tcPr>
            <w:tcW w:w="1260" w:type="dxa"/>
          </w:tcPr>
          <w:p w14:paraId="2911E860" w14:textId="5C37BE00" w:rsidR="00723F30" w:rsidRPr="002B0EBF" w:rsidRDefault="00723F30" w:rsidP="00723F30">
            <w:pPr>
              <w:keepNext/>
              <w:keepLines/>
              <w:widowControl w:val="0"/>
              <w:spacing w:before="60" w:after="60"/>
              <w:ind w:right="162"/>
              <w:jc w:val="right"/>
              <w:rPr>
                <w:szCs w:val="20"/>
                <w:lang w:eastAsia="zh-CN"/>
              </w:rPr>
            </w:pPr>
            <w:r w:rsidRPr="002B0EBF">
              <w:rPr>
                <w:szCs w:val="20"/>
                <w:lang w:eastAsia="zh-CN"/>
              </w:rPr>
              <w:t>5</w:t>
            </w:r>
            <w:r w:rsidR="00D97107">
              <w:rPr>
                <w:szCs w:val="20"/>
                <w:lang w:eastAsia="zh-CN"/>
              </w:rPr>
              <w:t>0</w:t>
            </w:r>
            <w:r w:rsidRPr="002B0EBF">
              <w:rPr>
                <w:szCs w:val="20"/>
                <w:lang w:eastAsia="zh-CN"/>
              </w:rPr>
              <w:t>.</w:t>
            </w:r>
            <w:r w:rsidR="00D915C6">
              <w:rPr>
                <w:szCs w:val="20"/>
                <w:lang w:eastAsia="zh-CN"/>
              </w:rPr>
              <w:t>5</w:t>
            </w:r>
            <w:r w:rsidRPr="002B0EBF">
              <w:rPr>
                <w:szCs w:val="20"/>
                <w:lang w:eastAsia="zh-CN"/>
              </w:rPr>
              <w:t>%</w:t>
            </w:r>
          </w:p>
        </w:tc>
        <w:tc>
          <w:tcPr>
            <w:tcW w:w="1260" w:type="dxa"/>
            <w:shd w:val="clear" w:color="auto" w:fill="auto"/>
          </w:tcPr>
          <w:p w14:paraId="2F0C6FCF" w14:textId="263D3ACE" w:rsidR="00723F30" w:rsidRPr="002B0EBF" w:rsidRDefault="00723F30" w:rsidP="00723F30">
            <w:pPr>
              <w:keepNext/>
              <w:keepLines/>
              <w:widowControl w:val="0"/>
              <w:spacing w:before="60" w:after="60"/>
              <w:ind w:right="162"/>
              <w:jc w:val="right"/>
              <w:rPr>
                <w:szCs w:val="20"/>
                <w:lang w:eastAsia="zh-CN"/>
              </w:rPr>
            </w:pPr>
            <w:r w:rsidRPr="002B0EBF">
              <w:rPr>
                <w:szCs w:val="20"/>
                <w:lang w:eastAsia="zh-CN"/>
              </w:rPr>
              <w:t>5.</w:t>
            </w:r>
            <w:r w:rsidR="00D915C6">
              <w:rPr>
                <w:szCs w:val="20"/>
                <w:lang w:eastAsia="zh-CN"/>
              </w:rPr>
              <w:t>7</w:t>
            </w:r>
            <w:r w:rsidR="00604205">
              <w:rPr>
                <w:szCs w:val="20"/>
                <w:lang w:eastAsia="zh-CN"/>
              </w:rPr>
              <w:t>3</w:t>
            </w:r>
            <w:r w:rsidRPr="002B0EBF">
              <w:rPr>
                <w:szCs w:val="20"/>
                <w:lang w:eastAsia="zh-CN"/>
              </w:rPr>
              <w:t>%</w:t>
            </w:r>
          </w:p>
        </w:tc>
        <w:tc>
          <w:tcPr>
            <w:tcW w:w="1406" w:type="dxa"/>
            <w:shd w:val="clear" w:color="auto" w:fill="auto"/>
          </w:tcPr>
          <w:p w14:paraId="0B2A363D" w14:textId="1605A789" w:rsidR="00723F30" w:rsidRPr="002B0EBF" w:rsidRDefault="00723F30" w:rsidP="00723F30">
            <w:pPr>
              <w:keepNext/>
              <w:keepLines/>
              <w:widowControl w:val="0"/>
              <w:spacing w:before="60" w:after="60"/>
              <w:ind w:right="218"/>
              <w:jc w:val="right"/>
              <w:rPr>
                <w:szCs w:val="20"/>
                <w:lang w:eastAsia="zh-CN"/>
              </w:rPr>
            </w:pPr>
            <w:r w:rsidRPr="002B0EBF">
              <w:rPr>
                <w:szCs w:val="20"/>
                <w:lang w:eastAsia="zh-CN"/>
              </w:rPr>
              <w:t>2.</w:t>
            </w:r>
            <w:r w:rsidR="00604205">
              <w:rPr>
                <w:szCs w:val="20"/>
                <w:lang w:eastAsia="zh-CN"/>
              </w:rPr>
              <w:t>90</w:t>
            </w:r>
            <w:r w:rsidRPr="002B0EBF">
              <w:rPr>
                <w:szCs w:val="20"/>
                <w:lang w:eastAsia="zh-CN"/>
              </w:rPr>
              <w:t>%</w:t>
            </w:r>
          </w:p>
        </w:tc>
      </w:tr>
      <w:tr w:rsidR="00995D3F" w:rsidRPr="00995D3F" w14:paraId="145C5D71" w14:textId="77777777" w:rsidTr="002B0EBF">
        <w:trPr>
          <w:jc w:val="center"/>
        </w:trPr>
        <w:tc>
          <w:tcPr>
            <w:tcW w:w="4891" w:type="dxa"/>
            <w:tcBorders>
              <w:bottom w:val="single" w:sz="4" w:space="0" w:color="auto"/>
            </w:tcBorders>
          </w:tcPr>
          <w:p w14:paraId="2A4F65EB" w14:textId="77777777" w:rsidR="00995D3F" w:rsidRPr="00995D3F" w:rsidRDefault="00995D3F" w:rsidP="0015265F">
            <w:pPr>
              <w:keepNext/>
              <w:keepLines/>
              <w:widowControl w:val="0"/>
              <w:spacing w:before="60" w:after="60"/>
              <w:ind w:left="309"/>
              <w:rPr>
                <w:szCs w:val="20"/>
                <w:lang w:eastAsia="zh-CN"/>
              </w:rPr>
            </w:pPr>
            <w:r w:rsidRPr="00995D3F">
              <w:rPr>
                <w:szCs w:val="20"/>
                <w:lang w:eastAsia="zh-CN"/>
              </w:rPr>
              <w:t>Amortization of Reacquired Debt</w:t>
            </w:r>
          </w:p>
        </w:tc>
        <w:tc>
          <w:tcPr>
            <w:tcW w:w="1260" w:type="dxa"/>
            <w:tcBorders>
              <w:bottom w:val="single" w:sz="4" w:space="0" w:color="auto"/>
            </w:tcBorders>
          </w:tcPr>
          <w:p w14:paraId="4305A13E" w14:textId="77777777" w:rsidR="00995D3F" w:rsidRPr="00995D3F" w:rsidRDefault="00995D3F" w:rsidP="0015265F">
            <w:pPr>
              <w:keepNext/>
              <w:keepLines/>
              <w:widowControl w:val="0"/>
              <w:spacing w:before="60" w:after="60"/>
              <w:ind w:right="162"/>
              <w:jc w:val="right"/>
              <w:rPr>
                <w:szCs w:val="20"/>
                <w:lang w:eastAsia="zh-CN"/>
              </w:rPr>
            </w:pPr>
          </w:p>
        </w:tc>
        <w:tc>
          <w:tcPr>
            <w:tcW w:w="1260" w:type="dxa"/>
            <w:tcBorders>
              <w:bottom w:val="single" w:sz="4" w:space="0" w:color="auto"/>
            </w:tcBorders>
            <w:shd w:val="clear" w:color="auto" w:fill="auto"/>
          </w:tcPr>
          <w:p w14:paraId="4A079C31" w14:textId="77777777" w:rsidR="00995D3F" w:rsidRPr="00995D3F" w:rsidRDefault="00995D3F" w:rsidP="0015265F">
            <w:pPr>
              <w:keepNext/>
              <w:keepLines/>
              <w:widowControl w:val="0"/>
              <w:spacing w:before="60" w:after="60"/>
              <w:ind w:right="162"/>
              <w:jc w:val="right"/>
              <w:rPr>
                <w:szCs w:val="20"/>
                <w:lang w:eastAsia="zh-CN"/>
              </w:rPr>
            </w:pPr>
          </w:p>
        </w:tc>
        <w:tc>
          <w:tcPr>
            <w:tcW w:w="1406" w:type="dxa"/>
            <w:tcBorders>
              <w:bottom w:val="single" w:sz="4" w:space="0" w:color="auto"/>
            </w:tcBorders>
            <w:shd w:val="clear" w:color="auto" w:fill="auto"/>
          </w:tcPr>
          <w:p w14:paraId="20FFE762" w14:textId="77777777" w:rsidR="00995D3F" w:rsidRPr="002B0EBF" w:rsidRDefault="00995D3F" w:rsidP="0015265F">
            <w:pPr>
              <w:keepNext/>
              <w:keepLines/>
              <w:widowControl w:val="0"/>
              <w:spacing w:before="60" w:after="60"/>
              <w:ind w:right="218"/>
              <w:jc w:val="right"/>
              <w:rPr>
                <w:szCs w:val="20"/>
                <w:lang w:eastAsia="zh-CN"/>
              </w:rPr>
            </w:pPr>
            <w:r w:rsidRPr="002B0EBF">
              <w:rPr>
                <w:szCs w:val="20"/>
                <w:lang w:eastAsia="zh-CN"/>
              </w:rPr>
              <w:t>0.03%</w:t>
            </w:r>
          </w:p>
        </w:tc>
      </w:tr>
      <w:tr w:rsidR="00723F30" w:rsidRPr="00723F30" w14:paraId="72A26412" w14:textId="77777777" w:rsidTr="002B0EBF">
        <w:trPr>
          <w:jc w:val="center"/>
        </w:trPr>
        <w:tc>
          <w:tcPr>
            <w:tcW w:w="4891" w:type="dxa"/>
            <w:tcBorders>
              <w:top w:val="single" w:sz="4" w:space="0" w:color="auto"/>
              <w:bottom w:val="single" w:sz="4" w:space="0" w:color="auto"/>
            </w:tcBorders>
          </w:tcPr>
          <w:p w14:paraId="67C4629A" w14:textId="172DB09A" w:rsidR="00723F30" w:rsidRPr="00723F30" w:rsidRDefault="00995D3F" w:rsidP="002B0EBF">
            <w:pPr>
              <w:keepNext/>
              <w:keepLines/>
              <w:widowControl w:val="0"/>
              <w:spacing w:before="60" w:after="60"/>
              <w:ind w:left="341"/>
              <w:rPr>
                <w:szCs w:val="20"/>
                <w:lang w:eastAsia="zh-CN"/>
              </w:rPr>
            </w:pPr>
            <w:r w:rsidRPr="002B0EBF">
              <w:rPr>
                <w:b/>
                <w:szCs w:val="20"/>
                <w:lang w:eastAsia="zh-CN"/>
              </w:rPr>
              <w:t>Weighted Long-Term Debt Rate</w:t>
            </w:r>
          </w:p>
        </w:tc>
        <w:tc>
          <w:tcPr>
            <w:tcW w:w="1260" w:type="dxa"/>
            <w:tcBorders>
              <w:top w:val="single" w:sz="4" w:space="0" w:color="auto"/>
              <w:bottom w:val="single" w:sz="4" w:space="0" w:color="auto"/>
            </w:tcBorders>
          </w:tcPr>
          <w:p w14:paraId="74079139" w14:textId="4EDCC069" w:rsidR="00723F30" w:rsidRPr="00723F30" w:rsidRDefault="00723F30" w:rsidP="00723F30">
            <w:pPr>
              <w:keepNext/>
              <w:keepLines/>
              <w:widowControl w:val="0"/>
              <w:spacing w:before="60" w:after="60"/>
              <w:ind w:right="162"/>
              <w:jc w:val="right"/>
              <w:rPr>
                <w:szCs w:val="20"/>
                <w:lang w:eastAsia="zh-CN"/>
              </w:rPr>
            </w:pPr>
          </w:p>
        </w:tc>
        <w:tc>
          <w:tcPr>
            <w:tcW w:w="1260" w:type="dxa"/>
            <w:tcBorders>
              <w:top w:val="single" w:sz="4" w:space="0" w:color="auto"/>
              <w:bottom w:val="single" w:sz="4" w:space="0" w:color="auto"/>
            </w:tcBorders>
            <w:shd w:val="clear" w:color="auto" w:fill="auto"/>
          </w:tcPr>
          <w:p w14:paraId="615B2B65" w14:textId="05CE6C64" w:rsidR="00723F30" w:rsidRPr="00723F30" w:rsidRDefault="00723F30" w:rsidP="00723F30">
            <w:pPr>
              <w:keepNext/>
              <w:keepLines/>
              <w:widowControl w:val="0"/>
              <w:spacing w:before="60" w:after="60"/>
              <w:ind w:right="162"/>
              <w:jc w:val="right"/>
              <w:rPr>
                <w:szCs w:val="20"/>
                <w:lang w:eastAsia="zh-CN"/>
              </w:rPr>
            </w:pPr>
          </w:p>
        </w:tc>
        <w:tc>
          <w:tcPr>
            <w:tcW w:w="1406" w:type="dxa"/>
            <w:tcBorders>
              <w:top w:val="single" w:sz="4" w:space="0" w:color="auto"/>
              <w:bottom w:val="single" w:sz="4" w:space="0" w:color="auto"/>
            </w:tcBorders>
            <w:shd w:val="clear" w:color="auto" w:fill="auto"/>
          </w:tcPr>
          <w:p w14:paraId="019CACEB" w14:textId="71F8FD2C" w:rsidR="00723F30" w:rsidRPr="00D37337" w:rsidRDefault="00995D3F">
            <w:pPr>
              <w:keepNext/>
              <w:keepLines/>
              <w:widowControl w:val="0"/>
              <w:spacing w:before="60" w:after="60"/>
              <w:ind w:right="218"/>
              <w:jc w:val="right"/>
              <w:rPr>
                <w:b/>
              </w:rPr>
            </w:pPr>
            <w:r w:rsidRPr="00D37337">
              <w:rPr>
                <w:b/>
              </w:rPr>
              <w:t>2</w:t>
            </w:r>
            <w:r w:rsidR="00723F30" w:rsidRPr="00D37337">
              <w:rPr>
                <w:b/>
              </w:rPr>
              <w:t>.</w:t>
            </w:r>
            <w:r w:rsidRPr="00D37337">
              <w:rPr>
                <w:b/>
              </w:rPr>
              <w:t>9</w:t>
            </w:r>
            <w:r w:rsidR="00604205">
              <w:rPr>
                <w:b/>
              </w:rPr>
              <w:t>3</w:t>
            </w:r>
            <w:r w:rsidR="00723F30" w:rsidRPr="00D37337">
              <w:rPr>
                <w:b/>
              </w:rPr>
              <w:t>%</w:t>
            </w:r>
          </w:p>
        </w:tc>
      </w:tr>
      <w:tr w:rsidR="00723F30" w:rsidRPr="00723F30" w14:paraId="37D5714D" w14:textId="77777777" w:rsidTr="002B0EBF">
        <w:trPr>
          <w:jc w:val="center"/>
        </w:trPr>
        <w:tc>
          <w:tcPr>
            <w:tcW w:w="4891" w:type="dxa"/>
            <w:tcBorders>
              <w:top w:val="single" w:sz="4" w:space="0" w:color="auto"/>
            </w:tcBorders>
          </w:tcPr>
          <w:p w14:paraId="7B77F08B" w14:textId="77777777" w:rsidR="00723F30" w:rsidRPr="00723F30" w:rsidRDefault="00723F30" w:rsidP="00723F30">
            <w:pPr>
              <w:keepNext/>
              <w:keepLines/>
              <w:widowControl w:val="0"/>
              <w:spacing w:before="60" w:after="60"/>
              <w:rPr>
                <w:b/>
                <w:szCs w:val="20"/>
                <w:lang w:eastAsia="zh-CN"/>
              </w:rPr>
            </w:pPr>
            <w:r w:rsidRPr="00723F30">
              <w:rPr>
                <w:b/>
                <w:szCs w:val="20"/>
                <w:lang w:eastAsia="zh-CN"/>
              </w:rPr>
              <w:t>Total Debt</w:t>
            </w:r>
          </w:p>
        </w:tc>
        <w:tc>
          <w:tcPr>
            <w:tcW w:w="1260" w:type="dxa"/>
            <w:tcBorders>
              <w:top w:val="single" w:sz="4" w:space="0" w:color="auto"/>
            </w:tcBorders>
          </w:tcPr>
          <w:p w14:paraId="4353F783" w14:textId="4D6D20D2" w:rsidR="00723F30" w:rsidRPr="00723F30" w:rsidRDefault="00723F30" w:rsidP="00723F30">
            <w:pPr>
              <w:keepNext/>
              <w:keepLines/>
              <w:widowControl w:val="0"/>
              <w:spacing w:before="60" w:after="60"/>
              <w:ind w:right="162"/>
              <w:jc w:val="right"/>
              <w:rPr>
                <w:b/>
                <w:szCs w:val="20"/>
                <w:lang w:eastAsia="zh-CN"/>
              </w:rPr>
            </w:pPr>
            <w:r w:rsidRPr="00723F30">
              <w:rPr>
                <w:b/>
                <w:szCs w:val="20"/>
                <w:lang w:eastAsia="zh-CN"/>
              </w:rPr>
              <w:t>5</w:t>
            </w:r>
            <w:r w:rsidR="00D97107">
              <w:rPr>
                <w:b/>
                <w:szCs w:val="20"/>
                <w:lang w:eastAsia="zh-CN"/>
              </w:rPr>
              <w:t>1</w:t>
            </w:r>
            <w:r w:rsidRPr="00723F30">
              <w:rPr>
                <w:b/>
                <w:szCs w:val="20"/>
                <w:lang w:eastAsia="zh-CN"/>
              </w:rPr>
              <w:t>.</w:t>
            </w:r>
            <w:r w:rsidR="00D97107">
              <w:rPr>
                <w:b/>
                <w:szCs w:val="20"/>
                <w:lang w:eastAsia="zh-CN"/>
              </w:rPr>
              <w:t>5</w:t>
            </w:r>
            <w:r w:rsidRPr="00723F30">
              <w:rPr>
                <w:b/>
                <w:szCs w:val="20"/>
                <w:lang w:eastAsia="zh-CN"/>
              </w:rPr>
              <w:t>%</w:t>
            </w:r>
          </w:p>
        </w:tc>
        <w:tc>
          <w:tcPr>
            <w:tcW w:w="1260" w:type="dxa"/>
            <w:tcBorders>
              <w:top w:val="single" w:sz="4" w:space="0" w:color="auto"/>
            </w:tcBorders>
            <w:shd w:val="clear" w:color="auto" w:fill="auto"/>
          </w:tcPr>
          <w:p w14:paraId="074B2F8A" w14:textId="77777777" w:rsidR="00723F30" w:rsidRPr="00723F30" w:rsidRDefault="00723F30" w:rsidP="00723F30">
            <w:pPr>
              <w:keepNext/>
              <w:keepLines/>
              <w:widowControl w:val="0"/>
              <w:spacing w:before="60" w:after="60"/>
              <w:ind w:right="162"/>
              <w:jc w:val="right"/>
              <w:rPr>
                <w:b/>
                <w:szCs w:val="20"/>
                <w:lang w:eastAsia="zh-CN"/>
              </w:rPr>
            </w:pPr>
          </w:p>
        </w:tc>
        <w:tc>
          <w:tcPr>
            <w:tcW w:w="1406" w:type="dxa"/>
            <w:tcBorders>
              <w:top w:val="single" w:sz="4" w:space="0" w:color="auto"/>
            </w:tcBorders>
            <w:shd w:val="clear" w:color="auto" w:fill="auto"/>
          </w:tcPr>
          <w:p w14:paraId="6A6B7787" w14:textId="781568FB" w:rsidR="00723F30" w:rsidRPr="00723F30" w:rsidRDefault="00A2054C" w:rsidP="00723F30">
            <w:pPr>
              <w:keepNext/>
              <w:keepLines/>
              <w:widowControl w:val="0"/>
              <w:spacing w:before="60" w:after="60"/>
              <w:ind w:right="218"/>
              <w:jc w:val="right"/>
              <w:rPr>
                <w:b/>
                <w:szCs w:val="20"/>
                <w:lang w:eastAsia="zh-CN"/>
              </w:rPr>
            </w:pPr>
            <w:r>
              <w:rPr>
                <w:b/>
                <w:szCs w:val="20"/>
                <w:lang w:eastAsia="zh-CN"/>
              </w:rPr>
              <w:t>2</w:t>
            </w:r>
            <w:r w:rsidR="00723F30" w:rsidRPr="00723F30">
              <w:rPr>
                <w:b/>
                <w:szCs w:val="20"/>
                <w:lang w:eastAsia="zh-CN"/>
              </w:rPr>
              <w:t>.</w:t>
            </w:r>
            <w:r>
              <w:rPr>
                <w:b/>
                <w:szCs w:val="20"/>
                <w:lang w:eastAsia="zh-CN"/>
              </w:rPr>
              <w:t>9</w:t>
            </w:r>
            <w:r w:rsidR="00604205">
              <w:rPr>
                <w:b/>
                <w:szCs w:val="20"/>
                <w:lang w:eastAsia="zh-CN"/>
              </w:rPr>
              <w:t>9</w:t>
            </w:r>
            <w:r w:rsidR="00723F30" w:rsidRPr="00723F30">
              <w:rPr>
                <w:b/>
                <w:szCs w:val="20"/>
                <w:lang w:eastAsia="zh-CN"/>
              </w:rPr>
              <w:t>%</w:t>
            </w:r>
          </w:p>
        </w:tc>
      </w:tr>
      <w:tr w:rsidR="00723F30" w:rsidRPr="00723F30" w14:paraId="04457182" w14:textId="77777777" w:rsidTr="00364039">
        <w:trPr>
          <w:jc w:val="center"/>
        </w:trPr>
        <w:tc>
          <w:tcPr>
            <w:tcW w:w="4891" w:type="dxa"/>
          </w:tcPr>
          <w:p w14:paraId="12686919" w14:textId="77777777" w:rsidR="00723F30" w:rsidRPr="00723F30" w:rsidRDefault="00723F30" w:rsidP="00723F30">
            <w:pPr>
              <w:keepNext/>
              <w:keepLines/>
              <w:widowControl w:val="0"/>
              <w:spacing w:before="60" w:after="60"/>
              <w:rPr>
                <w:b/>
                <w:szCs w:val="20"/>
                <w:lang w:eastAsia="zh-CN"/>
              </w:rPr>
            </w:pPr>
            <w:r w:rsidRPr="00723F30">
              <w:rPr>
                <w:b/>
                <w:szCs w:val="20"/>
                <w:lang w:eastAsia="zh-CN"/>
              </w:rPr>
              <w:t>Common Equity</w:t>
            </w:r>
          </w:p>
        </w:tc>
        <w:tc>
          <w:tcPr>
            <w:tcW w:w="1260" w:type="dxa"/>
          </w:tcPr>
          <w:p w14:paraId="4A949A8E" w14:textId="704C96DE" w:rsidR="00723F30" w:rsidRPr="00723F30" w:rsidRDefault="00723F30" w:rsidP="00723F30">
            <w:pPr>
              <w:keepNext/>
              <w:keepLines/>
              <w:widowControl w:val="0"/>
              <w:spacing w:before="60" w:after="60"/>
              <w:ind w:right="162"/>
              <w:jc w:val="right"/>
              <w:rPr>
                <w:b/>
                <w:szCs w:val="20"/>
                <w:u w:val="single"/>
                <w:lang w:eastAsia="zh-CN"/>
              </w:rPr>
            </w:pPr>
            <w:r w:rsidRPr="00723F30">
              <w:rPr>
                <w:b/>
                <w:szCs w:val="20"/>
                <w:u w:val="single"/>
                <w:lang w:eastAsia="zh-CN"/>
              </w:rPr>
              <w:t>48.</w:t>
            </w:r>
            <w:r w:rsidR="00D915C6">
              <w:rPr>
                <w:b/>
                <w:szCs w:val="20"/>
                <w:u w:val="single"/>
                <w:lang w:eastAsia="zh-CN"/>
              </w:rPr>
              <w:t>5</w:t>
            </w:r>
            <w:r w:rsidRPr="00723F30">
              <w:rPr>
                <w:b/>
                <w:szCs w:val="20"/>
                <w:u w:val="single"/>
                <w:lang w:eastAsia="zh-CN"/>
              </w:rPr>
              <w:t>%</w:t>
            </w:r>
          </w:p>
        </w:tc>
        <w:tc>
          <w:tcPr>
            <w:tcW w:w="1260" w:type="dxa"/>
            <w:shd w:val="clear" w:color="auto" w:fill="auto"/>
          </w:tcPr>
          <w:p w14:paraId="41FA1573" w14:textId="4544C5B3" w:rsidR="00723F30" w:rsidRPr="00723F30" w:rsidRDefault="00A93F1E" w:rsidP="00723F30">
            <w:pPr>
              <w:keepNext/>
              <w:keepLines/>
              <w:widowControl w:val="0"/>
              <w:spacing w:before="60" w:after="60"/>
              <w:ind w:right="162"/>
              <w:jc w:val="right"/>
              <w:rPr>
                <w:b/>
                <w:szCs w:val="20"/>
                <w:highlight w:val="yellow"/>
                <w:u w:val="single"/>
                <w:lang w:eastAsia="zh-CN"/>
              </w:rPr>
            </w:pPr>
            <w:r>
              <w:rPr>
                <w:b/>
                <w:szCs w:val="20"/>
                <w:u w:val="single"/>
                <w:lang w:eastAsia="zh-CN"/>
              </w:rPr>
              <w:t>9</w:t>
            </w:r>
            <w:r w:rsidR="00723F30" w:rsidRPr="00723F30">
              <w:rPr>
                <w:b/>
                <w:szCs w:val="20"/>
                <w:u w:val="single"/>
                <w:lang w:eastAsia="zh-CN"/>
              </w:rPr>
              <w:t>.</w:t>
            </w:r>
            <w:r w:rsidR="00D915C6">
              <w:rPr>
                <w:b/>
                <w:szCs w:val="20"/>
                <w:u w:val="single"/>
                <w:lang w:eastAsia="zh-CN"/>
              </w:rPr>
              <w:t>8</w:t>
            </w:r>
            <w:r w:rsidR="00723F30" w:rsidRPr="00723F30">
              <w:rPr>
                <w:b/>
                <w:szCs w:val="20"/>
                <w:u w:val="single"/>
                <w:lang w:eastAsia="zh-CN"/>
              </w:rPr>
              <w:t>0%</w:t>
            </w:r>
          </w:p>
        </w:tc>
        <w:tc>
          <w:tcPr>
            <w:tcW w:w="1406" w:type="dxa"/>
            <w:shd w:val="clear" w:color="auto" w:fill="auto"/>
          </w:tcPr>
          <w:p w14:paraId="3215AAC7" w14:textId="7B523F32" w:rsidR="00723F30" w:rsidRPr="00723F30" w:rsidRDefault="00723F30" w:rsidP="00723F30">
            <w:pPr>
              <w:keepNext/>
              <w:keepLines/>
              <w:widowControl w:val="0"/>
              <w:spacing w:before="60" w:after="60"/>
              <w:ind w:right="218"/>
              <w:jc w:val="right"/>
              <w:rPr>
                <w:b/>
                <w:szCs w:val="20"/>
                <w:u w:val="single"/>
                <w:lang w:eastAsia="zh-CN"/>
              </w:rPr>
            </w:pPr>
            <w:r w:rsidRPr="00723F30">
              <w:rPr>
                <w:b/>
                <w:szCs w:val="20"/>
                <w:u w:val="single"/>
                <w:lang w:eastAsia="zh-CN"/>
              </w:rPr>
              <w:t>4.</w:t>
            </w:r>
            <w:r w:rsidR="00A93F1E">
              <w:rPr>
                <w:b/>
                <w:szCs w:val="20"/>
                <w:u w:val="single"/>
                <w:lang w:eastAsia="zh-CN"/>
              </w:rPr>
              <w:t>75</w:t>
            </w:r>
            <w:r w:rsidRPr="00723F30">
              <w:rPr>
                <w:b/>
                <w:szCs w:val="20"/>
                <w:u w:val="single"/>
                <w:lang w:eastAsia="zh-CN"/>
              </w:rPr>
              <w:t>%</w:t>
            </w:r>
          </w:p>
        </w:tc>
      </w:tr>
      <w:tr w:rsidR="00723F30" w:rsidRPr="00723F30" w14:paraId="0599A546" w14:textId="77777777" w:rsidTr="00364039">
        <w:trPr>
          <w:jc w:val="center"/>
        </w:trPr>
        <w:tc>
          <w:tcPr>
            <w:tcW w:w="4891" w:type="dxa"/>
          </w:tcPr>
          <w:p w14:paraId="77203A33" w14:textId="77777777" w:rsidR="00723F30" w:rsidRPr="00723F30" w:rsidRDefault="00723F30" w:rsidP="00723F30">
            <w:pPr>
              <w:widowControl w:val="0"/>
              <w:spacing w:before="60" w:after="60"/>
              <w:rPr>
                <w:b/>
                <w:szCs w:val="20"/>
                <w:lang w:eastAsia="zh-CN"/>
              </w:rPr>
            </w:pPr>
            <w:r w:rsidRPr="00723F30">
              <w:rPr>
                <w:b/>
                <w:szCs w:val="20"/>
                <w:lang w:eastAsia="zh-CN"/>
              </w:rPr>
              <w:t>Overall Rate of Return</w:t>
            </w:r>
          </w:p>
        </w:tc>
        <w:tc>
          <w:tcPr>
            <w:tcW w:w="1260" w:type="dxa"/>
          </w:tcPr>
          <w:p w14:paraId="2A65BCA7" w14:textId="77777777" w:rsidR="00723F30" w:rsidRPr="00723F30" w:rsidRDefault="00723F30" w:rsidP="00723F30">
            <w:pPr>
              <w:widowControl w:val="0"/>
              <w:spacing w:before="60" w:after="60"/>
              <w:ind w:right="162"/>
              <w:jc w:val="right"/>
              <w:rPr>
                <w:b/>
                <w:szCs w:val="20"/>
                <w:lang w:eastAsia="zh-CN"/>
              </w:rPr>
            </w:pPr>
            <w:r w:rsidRPr="00723F30">
              <w:rPr>
                <w:b/>
                <w:szCs w:val="20"/>
                <w:lang w:eastAsia="zh-CN"/>
              </w:rPr>
              <w:t>100.0%</w:t>
            </w:r>
          </w:p>
        </w:tc>
        <w:tc>
          <w:tcPr>
            <w:tcW w:w="1260" w:type="dxa"/>
            <w:shd w:val="clear" w:color="auto" w:fill="auto"/>
          </w:tcPr>
          <w:p w14:paraId="1C030B64" w14:textId="77777777" w:rsidR="00723F30" w:rsidRPr="00723F30" w:rsidRDefault="00723F30" w:rsidP="00723F30">
            <w:pPr>
              <w:widowControl w:val="0"/>
              <w:spacing w:before="60" w:after="60"/>
              <w:ind w:right="162"/>
              <w:jc w:val="right"/>
              <w:rPr>
                <w:b/>
                <w:szCs w:val="20"/>
                <w:highlight w:val="yellow"/>
                <w:lang w:eastAsia="zh-CN"/>
              </w:rPr>
            </w:pPr>
          </w:p>
        </w:tc>
        <w:tc>
          <w:tcPr>
            <w:tcW w:w="1406" w:type="dxa"/>
            <w:shd w:val="clear" w:color="auto" w:fill="auto"/>
          </w:tcPr>
          <w:p w14:paraId="3BD8C210" w14:textId="686969E1" w:rsidR="00723F30" w:rsidRPr="00723F30" w:rsidRDefault="00A93F1E" w:rsidP="00723F30">
            <w:pPr>
              <w:widowControl w:val="0"/>
              <w:spacing w:before="60" w:after="60"/>
              <w:ind w:right="218"/>
              <w:jc w:val="right"/>
              <w:rPr>
                <w:b/>
                <w:szCs w:val="20"/>
                <w:lang w:eastAsia="zh-CN"/>
              </w:rPr>
            </w:pPr>
            <w:r>
              <w:rPr>
                <w:b/>
                <w:szCs w:val="20"/>
                <w:lang w:eastAsia="zh-CN"/>
              </w:rPr>
              <w:t>7</w:t>
            </w:r>
            <w:r w:rsidR="00723F30" w:rsidRPr="00723F30">
              <w:rPr>
                <w:b/>
                <w:szCs w:val="20"/>
                <w:lang w:eastAsia="zh-CN"/>
              </w:rPr>
              <w:t>.</w:t>
            </w:r>
            <w:r w:rsidR="00A2054C">
              <w:rPr>
                <w:b/>
                <w:szCs w:val="20"/>
                <w:lang w:eastAsia="zh-CN"/>
              </w:rPr>
              <w:t>7</w:t>
            </w:r>
            <w:r w:rsidR="00604205">
              <w:rPr>
                <w:b/>
                <w:szCs w:val="20"/>
                <w:lang w:eastAsia="zh-CN"/>
              </w:rPr>
              <w:t>4</w:t>
            </w:r>
            <w:r w:rsidR="00723F30" w:rsidRPr="00723F30">
              <w:rPr>
                <w:b/>
                <w:szCs w:val="20"/>
                <w:lang w:eastAsia="zh-CN"/>
              </w:rPr>
              <w:t>%</w:t>
            </w:r>
          </w:p>
        </w:tc>
      </w:tr>
      <w:tr w:rsidR="00544028" w:rsidRPr="00723F30" w14:paraId="05833AC0" w14:textId="77777777" w:rsidTr="00364039">
        <w:trPr>
          <w:jc w:val="center"/>
        </w:trPr>
        <w:tc>
          <w:tcPr>
            <w:tcW w:w="4891" w:type="dxa"/>
          </w:tcPr>
          <w:p w14:paraId="18B096C9" w14:textId="77777777" w:rsidR="00544028" w:rsidRPr="00723F30" w:rsidRDefault="00544028" w:rsidP="00723F30">
            <w:pPr>
              <w:widowControl w:val="0"/>
              <w:spacing w:before="60" w:after="60"/>
              <w:rPr>
                <w:b/>
                <w:szCs w:val="20"/>
                <w:lang w:eastAsia="zh-CN"/>
              </w:rPr>
            </w:pPr>
          </w:p>
        </w:tc>
        <w:tc>
          <w:tcPr>
            <w:tcW w:w="1260" w:type="dxa"/>
          </w:tcPr>
          <w:p w14:paraId="49955238" w14:textId="77777777" w:rsidR="00544028" w:rsidRPr="00723F30" w:rsidRDefault="00544028" w:rsidP="00723F30">
            <w:pPr>
              <w:widowControl w:val="0"/>
              <w:spacing w:before="60" w:after="60"/>
              <w:ind w:right="162"/>
              <w:jc w:val="right"/>
              <w:rPr>
                <w:b/>
                <w:szCs w:val="20"/>
                <w:lang w:eastAsia="zh-CN"/>
              </w:rPr>
            </w:pPr>
          </w:p>
        </w:tc>
        <w:tc>
          <w:tcPr>
            <w:tcW w:w="1260" w:type="dxa"/>
            <w:shd w:val="clear" w:color="auto" w:fill="auto"/>
          </w:tcPr>
          <w:p w14:paraId="008006D7" w14:textId="77777777" w:rsidR="00544028" w:rsidRPr="00723F30" w:rsidRDefault="00544028" w:rsidP="00723F30">
            <w:pPr>
              <w:widowControl w:val="0"/>
              <w:spacing w:before="60" w:after="60"/>
              <w:ind w:right="162"/>
              <w:jc w:val="right"/>
              <w:rPr>
                <w:b/>
                <w:szCs w:val="20"/>
                <w:highlight w:val="yellow"/>
                <w:lang w:eastAsia="zh-CN"/>
              </w:rPr>
            </w:pPr>
          </w:p>
        </w:tc>
        <w:tc>
          <w:tcPr>
            <w:tcW w:w="1406" w:type="dxa"/>
            <w:shd w:val="clear" w:color="auto" w:fill="auto"/>
          </w:tcPr>
          <w:p w14:paraId="4A930713" w14:textId="77777777" w:rsidR="00544028" w:rsidRDefault="00544028" w:rsidP="00723F30">
            <w:pPr>
              <w:widowControl w:val="0"/>
              <w:spacing w:before="60" w:after="60"/>
              <w:ind w:right="218"/>
              <w:jc w:val="right"/>
              <w:rPr>
                <w:b/>
                <w:szCs w:val="20"/>
                <w:lang w:eastAsia="zh-CN"/>
              </w:rPr>
            </w:pPr>
          </w:p>
        </w:tc>
      </w:tr>
    </w:tbl>
    <w:p w14:paraId="7BD4E6A7" w14:textId="157148B1" w:rsidR="00612B98" w:rsidRPr="00AE1E2E" w:rsidRDefault="00612B98" w:rsidP="00612B98">
      <w:pPr>
        <w:pStyle w:val="question"/>
      </w:pPr>
      <w:r w:rsidRPr="00AE1E2E">
        <w:t>Q.</w:t>
      </w:r>
      <w:r w:rsidRPr="00AE1E2E">
        <w:tab/>
      </w:r>
      <w:r>
        <w:t>What is PSE’s requested equity ratio in this proceeding</w:t>
      </w:r>
      <w:r w:rsidRPr="00AE1E2E">
        <w:t>?</w:t>
      </w:r>
    </w:p>
    <w:p w14:paraId="00BE75C5" w14:textId="4F38E92E" w:rsidR="00612B98" w:rsidRDefault="00612B98" w:rsidP="00384B99">
      <w:pPr>
        <w:pStyle w:val="answer"/>
        <w:widowControl w:val="0"/>
      </w:pPr>
      <w:r w:rsidRPr="00AE1E2E">
        <w:t>A.</w:t>
      </w:r>
      <w:r w:rsidRPr="00AE1E2E">
        <w:rPr>
          <w:i/>
        </w:rPr>
        <w:tab/>
      </w:r>
      <w:r w:rsidRPr="00AE1E2E">
        <w:t xml:space="preserve">As discussed in the </w:t>
      </w:r>
      <w:r>
        <w:t>P</w:t>
      </w:r>
      <w:r w:rsidRPr="00AE1E2E">
        <w:t xml:space="preserve">refiled </w:t>
      </w:r>
      <w:r>
        <w:t>Direct T</w:t>
      </w:r>
      <w:r w:rsidRPr="00AE1E2E">
        <w:t xml:space="preserve">estimony of </w:t>
      </w:r>
      <w:r>
        <w:t>Dan</w:t>
      </w:r>
      <w:r w:rsidR="00EF021A">
        <w:t>iel</w:t>
      </w:r>
      <w:r w:rsidRPr="00AE1E2E">
        <w:t xml:space="preserve"> </w:t>
      </w:r>
      <w:r>
        <w:t>A</w:t>
      </w:r>
      <w:r w:rsidRPr="00AE1E2E">
        <w:t xml:space="preserve">. </w:t>
      </w:r>
      <w:r>
        <w:t xml:space="preserve">Doyle, </w:t>
      </w:r>
      <w:r w:rsidR="00EF021A">
        <w:t xml:space="preserve">Exhibit No. ___(DAD-1T), </w:t>
      </w:r>
      <w:r>
        <w:t>PSE is requesting an equity ratio of 48.5</w:t>
      </w:r>
      <w:r w:rsidR="00EF021A">
        <w:t> </w:t>
      </w:r>
      <w:r>
        <w:t>percent</w:t>
      </w:r>
      <w:r w:rsidRPr="00AE1E2E">
        <w:t>.</w:t>
      </w:r>
    </w:p>
    <w:p w14:paraId="6D9AC1CD" w14:textId="266718C3" w:rsidR="00AA1F18" w:rsidRDefault="00AA1F18" w:rsidP="00AA1F18">
      <w:pPr>
        <w:pStyle w:val="question"/>
      </w:pPr>
      <w:r>
        <w:lastRenderedPageBreak/>
        <w:t>Q.</w:t>
      </w:r>
      <w:r>
        <w:tab/>
      </w:r>
      <w:r w:rsidR="009558EE">
        <w:t xml:space="preserve">How does </w:t>
      </w:r>
      <w:r>
        <w:t xml:space="preserve">short-term debt </w:t>
      </w:r>
      <w:r w:rsidR="00675DC4">
        <w:t xml:space="preserve">requested </w:t>
      </w:r>
      <w:r w:rsidR="003B305D">
        <w:t xml:space="preserve">by PSE </w:t>
      </w:r>
      <w:r w:rsidR="009558EE">
        <w:t>in this proceeding compare to the level of short-term debt in PSE’s last general rate case</w:t>
      </w:r>
      <w:r>
        <w:t>?</w:t>
      </w:r>
    </w:p>
    <w:p w14:paraId="0D644B25" w14:textId="660ABE71" w:rsidR="009F1382" w:rsidRDefault="00AA1F18" w:rsidP="00D949FD">
      <w:pPr>
        <w:spacing w:line="480" w:lineRule="auto"/>
        <w:ind w:left="720" w:hanging="720"/>
        <w:rPr>
          <w:rFonts w:eastAsiaTheme="minorHAnsi"/>
        </w:rPr>
      </w:pPr>
      <w:r w:rsidRPr="00B6077F">
        <w:t>A.</w:t>
      </w:r>
      <w:r w:rsidRPr="00B6077F">
        <w:tab/>
      </w:r>
      <w:r w:rsidR="009F1382">
        <w:rPr>
          <w:rFonts w:eastAsiaTheme="minorHAnsi"/>
        </w:rPr>
        <w:t>First, PSE</w:t>
      </w:r>
      <w:r w:rsidR="009F1382" w:rsidRPr="00716A14">
        <w:rPr>
          <w:rFonts w:eastAsiaTheme="minorHAnsi"/>
        </w:rPr>
        <w:t xml:space="preserve"> has included </w:t>
      </w:r>
      <w:r w:rsidR="009F1382">
        <w:rPr>
          <w:rFonts w:eastAsiaTheme="minorHAnsi"/>
        </w:rPr>
        <w:t>the 1</w:t>
      </w:r>
      <w:r w:rsidR="0000384C">
        <w:rPr>
          <w:rFonts w:eastAsiaTheme="minorHAnsi"/>
        </w:rPr>
        <w:t> percent</w:t>
      </w:r>
      <w:r w:rsidR="009F1382">
        <w:rPr>
          <w:rFonts w:eastAsiaTheme="minorHAnsi"/>
        </w:rPr>
        <w:t xml:space="preserve"> short-term debt reflected in </w:t>
      </w:r>
      <w:r w:rsidR="00E85C57">
        <w:rPr>
          <w:rFonts w:eastAsiaTheme="minorHAnsi"/>
        </w:rPr>
        <w:t xml:space="preserve">its </w:t>
      </w:r>
      <w:r w:rsidR="009F1382">
        <w:rPr>
          <w:rFonts w:eastAsiaTheme="minorHAnsi"/>
        </w:rPr>
        <w:t xml:space="preserve">actual capital structure from the test year. </w:t>
      </w:r>
      <w:r w:rsidR="00D949FD">
        <w:rPr>
          <w:rFonts w:eastAsiaTheme="minorHAnsi"/>
        </w:rPr>
        <w:t xml:space="preserve">Please see Exhibit No. ___(BJL-3) for PSE’s actual capital structure from the test year. </w:t>
      </w:r>
      <w:r w:rsidR="009F1382">
        <w:rPr>
          <w:rFonts w:eastAsiaTheme="minorHAnsi"/>
        </w:rPr>
        <w:t xml:space="preserve">Second, PSE’s </w:t>
      </w:r>
      <w:r w:rsidR="00C34003">
        <w:rPr>
          <w:rFonts w:eastAsiaTheme="minorHAnsi"/>
        </w:rPr>
        <w:t xml:space="preserve">requested </w:t>
      </w:r>
      <w:r w:rsidR="007F2812">
        <w:rPr>
          <w:rFonts w:eastAsiaTheme="minorHAnsi"/>
        </w:rPr>
        <w:t>rate of return</w:t>
      </w:r>
      <w:r w:rsidR="009F1382">
        <w:rPr>
          <w:rFonts w:eastAsiaTheme="minorHAnsi"/>
        </w:rPr>
        <w:t xml:space="preserve"> includes low</w:t>
      </w:r>
      <w:r w:rsidR="009F1382" w:rsidRPr="00716A14">
        <w:rPr>
          <w:rFonts w:eastAsiaTheme="minorHAnsi"/>
        </w:rPr>
        <w:t xml:space="preserve"> short-term interest</w:t>
      </w:r>
      <w:r w:rsidR="009F1382">
        <w:rPr>
          <w:rFonts w:eastAsiaTheme="minorHAnsi"/>
        </w:rPr>
        <w:t xml:space="preserve"> rates through PSE’s $25</w:t>
      </w:r>
      <w:r w:rsidR="009F1382" w:rsidRPr="00716A14">
        <w:rPr>
          <w:rFonts w:eastAsiaTheme="minorHAnsi"/>
        </w:rPr>
        <w:t xml:space="preserve">0 million of </w:t>
      </w:r>
      <w:r w:rsidR="009F1382">
        <w:rPr>
          <w:rFonts w:eastAsiaTheme="minorHAnsi"/>
        </w:rPr>
        <w:t xml:space="preserve">junior subordinated notes that will have </w:t>
      </w:r>
      <w:r w:rsidR="00C34003">
        <w:rPr>
          <w:rFonts w:eastAsiaTheme="minorHAnsi"/>
        </w:rPr>
        <w:t xml:space="preserve">short-term </w:t>
      </w:r>
      <w:r w:rsidR="009F1382">
        <w:rPr>
          <w:rFonts w:eastAsiaTheme="minorHAnsi"/>
        </w:rPr>
        <w:t xml:space="preserve">floating interest rate </w:t>
      </w:r>
      <w:r w:rsidR="00C34003">
        <w:rPr>
          <w:rFonts w:eastAsiaTheme="minorHAnsi"/>
        </w:rPr>
        <w:t>in the rate year</w:t>
      </w:r>
      <w:r w:rsidR="009F1382">
        <w:rPr>
          <w:rFonts w:eastAsiaTheme="minorHAnsi"/>
        </w:rPr>
        <w:t xml:space="preserve">. </w:t>
      </w:r>
      <w:r w:rsidR="00C34003">
        <w:rPr>
          <w:rFonts w:eastAsiaTheme="minorHAnsi"/>
        </w:rPr>
        <w:t>Currently, the coupon rate on these notes is 6.974%. Beginning on December 1, 2017, t</w:t>
      </w:r>
      <w:r w:rsidR="009F1382" w:rsidRPr="00716A14">
        <w:rPr>
          <w:rFonts w:eastAsiaTheme="minorHAnsi"/>
        </w:rPr>
        <w:t xml:space="preserve">he interest rate on these securities resets </w:t>
      </w:r>
      <w:r w:rsidR="009F1382">
        <w:rPr>
          <w:rFonts w:eastAsiaTheme="minorHAnsi"/>
        </w:rPr>
        <w:t>quarterly</w:t>
      </w:r>
      <w:r w:rsidR="009F1382" w:rsidRPr="00716A14">
        <w:rPr>
          <w:rFonts w:eastAsiaTheme="minorHAnsi"/>
        </w:rPr>
        <w:t xml:space="preserve"> </w:t>
      </w:r>
      <w:r w:rsidR="002C2E33">
        <w:rPr>
          <w:rFonts w:eastAsiaTheme="minorHAnsi"/>
        </w:rPr>
        <w:t>to Three-Month LIBOR plus 2.53</w:t>
      </w:r>
      <w:r w:rsidR="0000384C">
        <w:rPr>
          <w:rFonts w:eastAsiaTheme="minorHAnsi"/>
        </w:rPr>
        <w:t> percent</w:t>
      </w:r>
      <w:r w:rsidR="002C2E33">
        <w:rPr>
          <w:rFonts w:eastAsiaTheme="minorHAnsi"/>
        </w:rPr>
        <w:t xml:space="preserve"> </w:t>
      </w:r>
      <w:r w:rsidR="009F1382" w:rsidRPr="00716A14">
        <w:rPr>
          <w:rFonts w:eastAsiaTheme="minorHAnsi"/>
        </w:rPr>
        <w:t xml:space="preserve">and captures the </w:t>
      </w:r>
      <w:r w:rsidR="009F1382">
        <w:rPr>
          <w:rFonts w:eastAsiaTheme="minorHAnsi"/>
        </w:rPr>
        <w:t>prevailing</w:t>
      </w:r>
      <w:r w:rsidR="009F1382" w:rsidRPr="00716A14">
        <w:rPr>
          <w:rFonts w:eastAsiaTheme="minorHAnsi"/>
        </w:rPr>
        <w:t xml:space="preserve"> </w:t>
      </w:r>
      <w:r w:rsidR="009F1382">
        <w:rPr>
          <w:rFonts w:eastAsiaTheme="minorHAnsi"/>
        </w:rPr>
        <w:t xml:space="preserve">short-term </w:t>
      </w:r>
      <w:r w:rsidR="009F1382" w:rsidRPr="00716A14">
        <w:rPr>
          <w:rFonts w:eastAsiaTheme="minorHAnsi"/>
        </w:rPr>
        <w:t>interest rate environment</w:t>
      </w:r>
      <w:r w:rsidR="0023391E">
        <w:rPr>
          <w:rFonts w:eastAsiaTheme="minorHAnsi"/>
        </w:rPr>
        <w:t xml:space="preserve"> on the</w:t>
      </w:r>
      <w:r w:rsidR="002C2E33">
        <w:rPr>
          <w:rFonts w:eastAsiaTheme="minorHAnsi"/>
        </w:rPr>
        <w:t xml:space="preserve"> reset dates</w:t>
      </w:r>
      <w:r w:rsidR="009F1382" w:rsidRPr="00716A14">
        <w:rPr>
          <w:rFonts w:eastAsiaTheme="minorHAnsi"/>
        </w:rPr>
        <w:t>.</w:t>
      </w:r>
      <w:r w:rsidR="00EF021A">
        <w:rPr>
          <w:rFonts w:eastAsiaTheme="minorHAnsi"/>
        </w:rPr>
        <w:t xml:space="preserve"> </w:t>
      </w:r>
      <w:r w:rsidR="009F1382">
        <w:rPr>
          <w:rFonts w:eastAsiaTheme="minorHAnsi"/>
        </w:rPr>
        <w:t>Th</w:t>
      </w:r>
      <w:r w:rsidR="009F1382" w:rsidRPr="00716A14">
        <w:rPr>
          <w:rFonts w:eastAsiaTheme="minorHAnsi"/>
        </w:rPr>
        <w:t xml:space="preserve">e amount of </w:t>
      </w:r>
      <w:r w:rsidR="0082129D">
        <w:rPr>
          <w:rFonts w:eastAsiaTheme="minorHAnsi"/>
        </w:rPr>
        <w:t>the</w:t>
      </w:r>
      <w:r w:rsidR="009F1382" w:rsidRPr="00716A14">
        <w:rPr>
          <w:rFonts w:eastAsiaTheme="minorHAnsi"/>
        </w:rPr>
        <w:t xml:space="preserve"> variable rate </w:t>
      </w:r>
      <w:r w:rsidR="0082129D">
        <w:rPr>
          <w:rFonts w:eastAsiaTheme="minorHAnsi"/>
        </w:rPr>
        <w:t>securit</w:t>
      </w:r>
      <w:r w:rsidR="00DC52F8">
        <w:rPr>
          <w:rFonts w:eastAsiaTheme="minorHAnsi"/>
        </w:rPr>
        <w:t>ies</w:t>
      </w:r>
      <w:r w:rsidR="009F1382">
        <w:rPr>
          <w:rFonts w:eastAsiaTheme="minorHAnsi"/>
        </w:rPr>
        <w:t xml:space="preserve">, </w:t>
      </w:r>
      <w:r w:rsidR="00577402">
        <w:rPr>
          <w:rFonts w:eastAsiaTheme="minorHAnsi"/>
        </w:rPr>
        <w:t>$25</w:t>
      </w:r>
      <w:r w:rsidR="009F1382" w:rsidRPr="00716A14">
        <w:rPr>
          <w:rFonts w:eastAsiaTheme="minorHAnsi"/>
        </w:rPr>
        <w:t>0 million</w:t>
      </w:r>
      <w:r w:rsidR="009F1382">
        <w:rPr>
          <w:rFonts w:eastAsiaTheme="minorHAnsi"/>
        </w:rPr>
        <w:t xml:space="preserve">, </w:t>
      </w:r>
      <w:r w:rsidR="009F1382" w:rsidRPr="00716A14">
        <w:rPr>
          <w:rFonts w:eastAsiaTheme="minorHAnsi"/>
        </w:rPr>
        <w:t xml:space="preserve">is about </w:t>
      </w:r>
      <w:r w:rsidR="00577402">
        <w:rPr>
          <w:rFonts w:eastAsiaTheme="minorHAnsi"/>
        </w:rPr>
        <w:t>3.</w:t>
      </w:r>
      <w:r w:rsidR="00D33DA1">
        <w:rPr>
          <w:rFonts w:eastAsiaTheme="minorHAnsi"/>
        </w:rPr>
        <w:t>3</w:t>
      </w:r>
      <w:r w:rsidR="0000384C">
        <w:rPr>
          <w:rFonts w:eastAsiaTheme="minorHAnsi"/>
        </w:rPr>
        <w:t> percent</w:t>
      </w:r>
      <w:r w:rsidR="009F1382" w:rsidRPr="00716A14">
        <w:rPr>
          <w:rFonts w:eastAsiaTheme="minorHAnsi"/>
        </w:rPr>
        <w:t xml:space="preserve"> of </w:t>
      </w:r>
      <w:r w:rsidR="0000384C">
        <w:rPr>
          <w:rFonts w:eastAsiaTheme="minorHAnsi"/>
        </w:rPr>
        <w:t xml:space="preserve">PSE’s </w:t>
      </w:r>
      <w:r w:rsidR="009F1382" w:rsidRPr="00716A14">
        <w:rPr>
          <w:rFonts w:eastAsiaTheme="minorHAnsi"/>
        </w:rPr>
        <w:t>total capitalization.</w:t>
      </w:r>
      <w:r w:rsidR="00EF021A">
        <w:rPr>
          <w:rFonts w:eastAsiaTheme="minorHAnsi"/>
        </w:rPr>
        <w:t xml:space="preserve"> </w:t>
      </w:r>
      <w:r w:rsidR="00F25A80">
        <w:rPr>
          <w:rFonts w:eastAsiaTheme="minorHAnsi"/>
        </w:rPr>
        <w:t>The short-term debt and junior subordinated notes together produce a</w:t>
      </w:r>
      <w:r w:rsidR="00915BB4">
        <w:rPr>
          <w:rFonts w:eastAsiaTheme="minorHAnsi"/>
        </w:rPr>
        <w:t xml:space="preserve"> level </w:t>
      </w:r>
      <w:r w:rsidR="001E045A">
        <w:rPr>
          <w:rFonts w:eastAsiaTheme="minorHAnsi"/>
        </w:rPr>
        <w:t xml:space="preserve">above </w:t>
      </w:r>
      <w:r w:rsidR="0000384C">
        <w:rPr>
          <w:rFonts w:eastAsiaTheme="minorHAnsi"/>
        </w:rPr>
        <w:t>4 </w:t>
      </w:r>
      <w:r w:rsidR="001E045A">
        <w:rPr>
          <w:rFonts w:eastAsiaTheme="minorHAnsi"/>
        </w:rPr>
        <w:t>percent</w:t>
      </w:r>
      <w:r w:rsidR="009F1382" w:rsidRPr="00716A14">
        <w:rPr>
          <w:rFonts w:eastAsiaTheme="minorHAnsi"/>
        </w:rPr>
        <w:t xml:space="preserve"> short-term d</w:t>
      </w:r>
      <w:r w:rsidR="00CF777D">
        <w:rPr>
          <w:rFonts w:eastAsiaTheme="minorHAnsi"/>
        </w:rPr>
        <w:t>ebt that the Commission approved in PSE’s last general rate case</w:t>
      </w:r>
      <w:r w:rsidR="009F1382" w:rsidRPr="00716A14">
        <w:rPr>
          <w:rFonts w:eastAsiaTheme="minorHAnsi"/>
        </w:rPr>
        <w:t>.</w:t>
      </w:r>
      <w:r w:rsidR="009F1382">
        <w:rPr>
          <w:rStyle w:val="FootnoteReference"/>
          <w:rFonts w:eastAsiaTheme="minorHAnsi"/>
        </w:rPr>
        <w:footnoteReference w:id="2"/>
      </w:r>
      <w:r w:rsidR="00FB7BBF">
        <w:rPr>
          <w:rFonts w:eastAsiaTheme="minorHAnsi"/>
        </w:rPr>
        <w:t xml:space="preserve"> Please see Table 2 below for the effective rate year capital structure.</w:t>
      </w:r>
    </w:p>
    <w:p w14:paraId="30F051E4" w14:textId="45A90FC7" w:rsidR="00FB7BBF" w:rsidRPr="00FA3849" w:rsidRDefault="00FB7BBF" w:rsidP="00FB7BBF">
      <w:pPr>
        <w:keepNext/>
        <w:keepLines/>
        <w:widowControl w:val="0"/>
        <w:spacing w:after="80"/>
        <w:jc w:val="center"/>
        <w:rPr>
          <w:b/>
          <w:szCs w:val="20"/>
          <w:lang w:eastAsia="zh-CN"/>
        </w:rPr>
      </w:pPr>
      <w:r w:rsidRPr="00FA3849">
        <w:rPr>
          <w:b/>
          <w:szCs w:val="20"/>
          <w:lang w:eastAsia="zh-CN"/>
        </w:rPr>
        <w:t>Table</w:t>
      </w:r>
      <w:r>
        <w:rPr>
          <w:b/>
          <w:szCs w:val="20"/>
          <w:lang w:eastAsia="zh-CN"/>
        </w:rPr>
        <w:t> 2. Effective Rate Year Capital Structure</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9"/>
        <w:gridCol w:w="1283"/>
      </w:tblGrid>
      <w:tr w:rsidR="00FB7BBF" w14:paraId="224ED241" w14:textId="77777777" w:rsidTr="00FB7BBF">
        <w:trPr>
          <w:jc w:val="center"/>
        </w:trPr>
        <w:tc>
          <w:tcPr>
            <w:tcW w:w="5439" w:type="dxa"/>
            <w:tcBorders>
              <w:bottom w:val="single" w:sz="4" w:space="0" w:color="auto"/>
            </w:tcBorders>
            <w:vAlign w:val="bottom"/>
          </w:tcPr>
          <w:p w14:paraId="18C53F0A" w14:textId="3F17412B" w:rsidR="00FB7BBF" w:rsidRPr="00FB7BBF" w:rsidRDefault="00FB7BBF" w:rsidP="00FB7BBF">
            <w:pPr>
              <w:spacing w:before="60" w:after="60" w:line="240" w:lineRule="auto"/>
              <w:ind w:firstLine="0"/>
              <w:jc w:val="center"/>
              <w:rPr>
                <w:rFonts w:eastAsiaTheme="minorHAnsi"/>
                <w:b/>
              </w:rPr>
            </w:pPr>
            <w:r w:rsidRPr="00FB7BBF">
              <w:rPr>
                <w:rFonts w:eastAsiaTheme="minorHAnsi"/>
                <w:b/>
              </w:rPr>
              <w:t>Components</w:t>
            </w:r>
          </w:p>
        </w:tc>
        <w:tc>
          <w:tcPr>
            <w:tcW w:w="1283" w:type="dxa"/>
            <w:tcBorders>
              <w:bottom w:val="single" w:sz="4" w:space="0" w:color="auto"/>
            </w:tcBorders>
            <w:vAlign w:val="bottom"/>
          </w:tcPr>
          <w:p w14:paraId="621031AE" w14:textId="79FD7C50" w:rsidR="00FB7BBF" w:rsidRPr="00FB7BBF" w:rsidRDefault="00FB7BBF" w:rsidP="00FB7BBF">
            <w:pPr>
              <w:spacing w:before="60" w:after="60" w:line="240" w:lineRule="auto"/>
              <w:ind w:firstLine="0"/>
              <w:jc w:val="center"/>
              <w:rPr>
                <w:rFonts w:eastAsiaTheme="minorHAnsi"/>
                <w:b/>
              </w:rPr>
            </w:pPr>
            <w:r w:rsidRPr="00FB7BBF">
              <w:rPr>
                <w:rFonts w:eastAsiaTheme="minorHAnsi"/>
                <w:b/>
              </w:rPr>
              <w:t>Capital</w:t>
            </w:r>
            <w:r w:rsidRPr="00FB7BBF">
              <w:rPr>
                <w:rFonts w:eastAsiaTheme="minorHAnsi"/>
                <w:b/>
              </w:rPr>
              <w:br/>
              <w:t>Structure</w:t>
            </w:r>
          </w:p>
        </w:tc>
      </w:tr>
      <w:tr w:rsidR="00FB7BBF" w14:paraId="2111375A" w14:textId="77777777" w:rsidTr="00FB7BBF">
        <w:trPr>
          <w:jc w:val="center"/>
        </w:trPr>
        <w:tc>
          <w:tcPr>
            <w:tcW w:w="5439" w:type="dxa"/>
            <w:tcBorders>
              <w:top w:val="single" w:sz="4" w:space="0" w:color="auto"/>
            </w:tcBorders>
          </w:tcPr>
          <w:p w14:paraId="44E4CC9F" w14:textId="570B1BDA" w:rsidR="00FB7BBF" w:rsidRDefault="00FB7BBF" w:rsidP="00FB7BBF">
            <w:pPr>
              <w:spacing w:before="60" w:after="60" w:line="240" w:lineRule="auto"/>
              <w:ind w:left="396" w:firstLine="0"/>
              <w:rPr>
                <w:rFonts w:eastAsiaTheme="minorHAnsi"/>
              </w:rPr>
            </w:pPr>
            <w:r>
              <w:rPr>
                <w:rFonts w:eastAsiaTheme="minorHAnsi"/>
              </w:rPr>
              <w:t>Short-Term Debt + Floating Rate Jr. Sub Notes</w:t>
            </w:r>
          </w:p>
        </w:tc>
        <w:tc>
          <w:tcPr>
            <w:tcW w:w="1283" w:type="dxa"/>
            <w:tcBorders>
              <w:top w:val="single" w:sz="4" w:space="0" w:color="auto"/>
            </w:tcBorders>
          </w:tcPr>
          <w:p w14:paraId="188AD4C5" w14:textId="4EEBF69A" w:rsidR="00FB7BBF" w:rsidRDefault="00FB7BBF" w:rsidP="00FB7BBF">
            <w:pPr>
              <w:spacing w:before="60" w:after="60" w:line="240" w:lineRule="auto"/>
              <w:ind w:firstLine="0"/>
              <w:jc w:val="right"/>
              <w:rPr>
                <w:rFonts w:eastAsiaTheme="minorHAnsi"/>
              </w:rPr>
            </w:pPr>
            <w:r>
              <w:rPr>
                <w:rFonts w:eastAsiaTheme="minorHAnsi"/>
              </w:rPr>
              <w:t>4.3%</w:t>
            </w:r>
          </w:p>
        </w:tc>
      </w:tr>
      <w:tr w:rsidR="00FB7BBF" w14:paraId="4C9D3567" w14:textId="77777777" w:rsidTr="00FB7BBF">
        <w:trPr>
          <w:jc w:val="center"/>
        </w:trPr>
        <w:tc>
          <w:tcPr>
            <w:tcW w:w="5439" w:type="dxa"/>
            <w:tcBorders>
              <w:bottom w:val="single" w:sz="4" w:space="0" w:color="auto"/>
            </w:tcBorders>
          </w:tcPr>
          <w:p w14:paraId="2C852A80" w14:textId="20B2AA03" w:rsidR="00FB7BBF" w:rsidRDefault="00FB7BBF" w:rsidP="00FB7BBF">
            <w:pPr>
              <w:spacing w:before="60" w:after="60" w:line="240" w:lineRule="auto"/>
              <w:ind w:left="396" w:firstLine="0"/>
              <w:rPr>
                <w:rFonts w:eastAsiaTheme="minorHAnsi"/>
              </w:rPr>
            </w:pPr>
            <w:r>
              <w:rPr>
                <w:rFonts w:eastAsiaTheme="minorHAnsi"/>
              </w:rPr>
              <w:t>Long-Term Debt</w:t>
            </w:r>
          </w:p>
        </w:tc>
        <w:tc>
          <w:tcPr>
            <w:tcW w:w="1283" w:type="dxa"/>
            <w:tcBorders>
              <w:bottom w:val="single" w:sz="4" w:space="0" w:color="auto"/>
            </w:tcBorders>
          </w:tcPr>
          <w:p w14:paraId="0BBC29D3" w14:textId="726E1411" w:rsidR="00FB7BBF" w:rsidRPr="00FB7BBF" w:rsidRDefault="00FB7BBF" w:rsidP="00FB7BBF">
            <w:pPr>
              <w:spacing w:before="60" w:after="60" w:line="240" w:lineRule="auto"/>
              <w:ind w:firstLine="0"/>
              <w:jc w:val="right"/>
              <w:rPr>
                <w:rFonts w:eastAsiaTheme="minorHAnsi"/>
                <w:b/>
              </w:rPr>
            </w:pPr>
            <w:r w:rsidRPr="00FB7BBF">
              <w:rPr>
                <w:rFonts w:eastAsiaTheme="minorHAnsi"/>
                <w:b/>
              </w:rPr>
              <w:t>47.2%</w:t>
            </w:r>
          </w:p>
        </w:tc>
      </w:tr>
      <w:tr w:rsidR="00FB7BBF" w14:paraId="58A8E294" w14:textId="77777777" w:rsidTr="00FB7BBF">
        <w:trPr>
          <w:jc w:val="center"/>
        </w:trPr>
        <w:tc>
          <w:tcPr>
            <w:tcW w:w="5439" w:type="dxa"/>
            <w:tcBorders>
              <w:top w:val="single" w:sz="4" w:space="0" w:color="auto"/>
            </w:tcBorders>
          </w:tcPr>
          <w:p w14:paraId="4616A1A2" w14:textId="2940C371" w:rsidR="00FB7BBF" w:rsidRPr="00FB7BBF" w:rsidRDefault="00FB7BBF" w:rsidP="00FB7BBF">
            <w:pPr>
              <w:spacing w:before="60" w:after="60" w:line="240" w:lineRule="auto"/>
              <w:ind w:firstLine="0"/>
              <w:rPr>
                <w:rFonts w:eastAsiaTheme="minorHAnsi"/>
                <w:b/>
              </w:rPr>
            </w:pPr>
            <w:r w:rsidRPr="00FB7BBF">
              <w:rPr>
                <w:rFonts w:eastAsiaTheme="minorHAnsi"/>
                <w:b/>
              </w:rPr>
              <w:t>Total Debt</w:t>
            </w:r>
          </w:p>
        </w:tc>
        <w:tc>
          <w:tcPr>
            <w:tcW w:w="1283" w:type="dxa"/>
            <w:tcBorders>
              <w:top w:val="single" w:sz="4" w:space="0" w:color="auto"/>
            </w:tcBorders>
          </w:tcPr>
          <w:p w14:paraId="6D43AF4C" w14:textId="0404D1E1" w:rsidR="00FB7BBF" w:rsidRPr="00FB7BBF" w:rsidRDefault="00FB7BBF" w:rsidP="00FB7BBF">
            <w:pPr>
              <w:spacing w:before="60" w:after="60" w:line="240" w:lineRule="auto"/>
              <w:ind w:firstLine="0"/>
              <w:jc w:val="right"/>
              <w:rPr>
                <w:rFonts w:eastAsiaTheme="minorHAnsi"/>
                <w:b/>
              </w:rPr>
            </w:pPr>
            <w:r w:rsidRPr="00FB7BBF">
              <w:rPr>
                <w:rFonts w:eastAsiaTheme="minorHAnsi"/>
                <w:b/>
              </w:rPr>
              <w:t>51.5%</w:t>
            </w:r>
          </w:p>
        </w:tc>
      </w:tr>
      <w:tr w:rsidR="00FB7BBF" w14:paraId="721EA552" w14:textId="77777777" w:rsidTr="00FB7BBF">
        <w:trPr>
          <w:jc w:val="center"/>
        </w:trPr>
        <w:tc>
          <w:tcPr>
            <w:tcW w:w="5439" w:type="dxa"/>
          </w:tcPr>
          <w:p w14:paraId="7884F064" w14:textId="77777777" w:rsidR="00FB7BBF" w:rsidRPr="00FB7BBF" w:rsidRDefault="00FB7BBF" w:rsidP="005B2608">
            <w:pPr>
              <w:spacing w:before="60" w:after="60" w:line="240" w:lineRule="auto"/>
              <w:ind w:firstLine="0"/>
              <w:rPr>
                <w:rFonts w:eastAsiaTheme="minorHAnsi"/>
                <w:b/>
              </w:rPr>
            </w:pPr>
            <w:r w:rsidRPr="00FB7BBF">
              <w:rPr>
                <w:rFonts w:eastAsiaTheme="minorHAnsi"/>
                <w:b/>
              </w:rPr>
              <w:t>Common Equity</w:t>
            </w:r>
          </w:p>
        </w:tc>
        <w:tc>
          <w:tcPr>
            <w:tcW w:w="1283" w:type="dxa"/>
          </w:tcPr>
          <w:p w14:paraId="1F07323A" w14:textId="77777777" w:rsidR="00FB7BBF" w:rsidRPr="00FB7BBF" w:rsidRDefault="00FB7BBF" w:rsidP="005B2608">
            <w:pPr>
              <w:spacing w:before="60" w:after="60" w:line="240" w:lineRule="auto"/>
              <w:ind w:firstLine="0"/>
              <w:jc w:val="right"/>
              <w:rPr>
                <w:rFonts w:eastAsiaTheme="minorHAnsi"/>
                <w:b/>
              </w:rPr>
            </w:pPr>
            <w:r w:rsidRPr="00FB7BBF">
              <w:rPr>
                <w:rFonts w:eastAsiaTheme="minorHAnsi"/>
                <w:b/>
              </w:rPr>
              <w:t>48.5%</w:t>
            </w:r>
          </w:p>
        </w:tc>
      </w:tr>
      <w:tr w:rsidR="00FB7BBF" w14:paraId="338660CF" w14:textId="77777777" w:rsidTr="00FB7BBF">
        <w:trPr>
          <w:jc w:val="center"/>
        </w:trPr>
        <w:tc>
          <w:tcPr>
            <w:tcW w:w="5439" w:type="dxa"/>
          </w:tcPr>
          <w:p w14:paraId="62093E3A" w14:textId="48A09D9D" w:rsidR="00FB7BBF" w:rsidRPr="00FB7BBF" w:rsidRDefault="00FB7BBF" w:rsidP="00FB7BBF">
            <w:pPr>
              <w:spacing w:before="60" w:after="60" w:line="240" w:lineRule="auto"/>
              <w:ind w:firstLine="0"/>
              <w:rPr>
                <w:rFonts w:eastAsiaTheme="minorHAnsi"/>
                <w:b/>
              </w:rPr>
            </w:pPr>
            <w:r>
              <w:rPr>
                <w:rFonts w:eastAsiaTheme="minorHAnsi"/>
                <w:b/>
              </w:rPr>
              <w:t>Overall Capitalization</w:t>
            </w:r>
          </w:p>
        </w:tc>
        <w:tc>
          <w:tcPr>
            <w:tcW w:w="1283" w:type="dxa"/>
          </w:tcPr>
          <w:p w14:paraId="17A51795" w14:textId="0DAA471A" w:rsidR="00FB7BBF" w:rsidRPr="00FB7BBF" w:rsidRDefault="00FB7BBF" w:rsidP="00FB7BBF">
            <w:pPr>
              <w:spacing w:before="60" w:after="60" w:line="240" w:lineRule="auto"/>
              <w:ind w:firstLine="0"/>
              <w:jc w:val="right"/>
              <w:rPr>
                <w:rFonts w:eastAsiaTheme="minorHAnsi"/>
                <w:b/>
              </w:rPr>
            </w:pPr>
            <w:r>
              <w:rPr>
                <w:rFonts w:eastAsiaTheme="minorHAnsi"/>
                <w:b/>
              </w:rPr>
              <w:t>100</w:t>
            </w:r>
            <w:r w:rsidRPr="00FB7BBF">
              <w:rPr>
                <w:rFonts w:eastAsiaTheme="minorHAnsi"/>
                <w:b/>
              </w:rPr>
              <w:t>.</w:t>
            </w:r>
            <w:r>
              <w:rPr>
                <w:rFonts w:eastAsiaTheme="minorHAnsi"/>
                <w:b/>
              </w:rPr>
              <w:t>0</w:t>
            </w:r>
            <w:r w:rsidRPr="00FB7BBF">
              <w:rPr>
                <w:rFonts w:eastAsiaTheme="minorHAnsi"/>
                <w:b/>
              </w:rPr>
              <w:t>%</w:t>
            </w:r>
          </w:p>
        </w:tc>
      </w:tr>
    </w:tbl>
    <w:p w14:paraId="4F3EA261" w14:textId="77777777" w:rsidR="00DD4FDE" w:rsidRDefault="00DD4FDE" w:rsidP="00DD4FDE">
      <w:pPr>
        <w:pStyle w:val="Heading1"/>
      </w:pPr>
      <w:bookmarkStart w:id="23" w:name="_Toc442956038"/>
      <w:bookmarkStart w:id="24" w:name="_Toc443908473"/>
      <w:bookmarkStart w:id="25" w:name="_Toc471380880"/>
      <w:r>
        <w:lastRenderedPageBreak/>
        <w:t>III.</w:t>
      </w:r>
      <w:r>
        <w:tab/>
        <w:t>CAPITAL COMPONENTS OF PSE</w:t>
      </w:r>
      <w:r w:rsidR="00EC7294">
        <w:t>’</w:t>
      </w:r>
      <w:r>
        <w:t>S REQUESTED</w:t>
      </w:r>
      <w:r>
        <w:br/>
        <w:t>RATE OF RETURN</w:t>
      </w:r>
      <w:bookmarkEnd w:id="23"/>
      <w:bookmarkEnd w:id="24"/>
      <w:bookmarkEnd w:id="25"/>
      <w:r>
        <w:t xml:space="preserve"> </w:t>
      </w:r>
    </w:p>
    <w:p w14:paraId="30E84578" w14:textId="484806E1" w:rsidR="00DD4FDE" w:rsidRDefault="00DD4FDE" w:rsidP="00DD4FDE">
      <w:pPr>
        <w:pStyle w:val="question"/>
      </w:pPr>
      <w:r>
        <w:t>Q.</w:t>
      </w:r>
      <w:r>
        <w:tab/>
        <w:t>Has PSE prepared an exhibit that demonstrates projected rate year costs that support PSE</w:t>
      </w:r>
      <w:r w:rsidR="00EC7294">
        <w:t>’</w:t>
      </w:r>
      <w:r>
        <w:t xml:space="preserve">s requested rate of return </w:t>
      </w:r>
      <w:r w:rsidRPr="009C15AC">
        <w:t xml:space="preserve">of </w:t>
      </w:r>
      <w:r w:rsidR="00761F1D" w:rsidRPr="00D053BC">
        <w:t>7.7</w:t>
      </w:r>
      <w:r w:rsidR="006A592A" w:rsidRPr="00D053BC">
        <w:t>4</w:t>
      </w:r>
      <w:r w:rsidR="00EC7294">
        <w:t> </w:t>
      </w:r>
      <w:r>
        <w:t>percent?</w:t>
      </w:r>
    </w:p>
    <w:p w14:paraId="59BDEB74" w14:textId="6B9B19DE" w:rsidR="00DD4FDE" w:rsidRDefault="00DD4FDE" w:rsidP="00895F20">
      <w:pPr>
        <w:pStyle w:val="answer"/>
      </w:pPr>
      <w:r>
        <w:t>A.</w:t>
      </w:r>
      <w:r>
        <w:tab/>
        <w:t xml:space="preserve">Yes. Please </w:t>
      </w:r>
      <w:r w:rsidRPr="009C15AC">
        <w:t>see Exhibit No.</w:t>
      </w:r>
      <w:r w:rsidR="00EC7294" w:rsidRPr="009C15AC">
        <w:t> </w:t>
      </w:r>
      <w:r w:rsidRPr="009C15AC">
        <w:t>___(</w:t>
      </w:r>
      <w:r w:rsidRPr="00D053BC">
        <w:t>BJL-</w:t>
      </w:r>
      <w:r w:rsidR="00872DBC">
        <w:t>4</w:t>
      </w:r>
      <w:r w:rsidRPr="009C15AC">
        <w:t xml:space="preserve">) for </w:t>
      </w:r>
      <w:r w:rsidR="00C221F5" w:rsidRPr="009C15AC">
        <w:t xml:space="preserve">the calculation of </w:t>
      </w:r>
      <w:r w:rsidRPr="009C15AC">
        <w:t>PSE</w:t>
      </w:r>
      <w:r w:rsidR="00EC7294" w:rsidRPr="005D23A0">
        <w:t>’</w:t>
      </w:r>
      <w:r w:rsidRPr="005D23A0">
        <w:t xml:space="preserve">s requested rate of return of </w:t>
      </w:r>
      <w:r w:rsidR="00A93F1E" w:rsidRPr="00D053BC">
        <w:t>7</w:t>
      </w:r>
      <w:r w:rsidRPr="00D053BC">
        <w:t>.</w:t>
      </w:r>
      <w:r w:rsidR="00B471C5" w:rsidRPr="00D053BC">
        <w:t>7</w:t>
      </w:r>
      <w:r w:rsidR="006A592A" w:rsidRPr="00D053BC">
        <w:t>4</w:t>
      </w:r>
      <w:r w:rsidR="00EC7294" w:rsidRPr="009C15AC">
        <w:t> </w:t>
      </w:r>
      <w:r w:rsidRPr="009C15AC">
        <w:t>percent</w:t>
      </w:r>
      <w:r>
        <w:t>.</w:t>
      </w:r>
    </w:p>
    <w:p w14:paraId="6C1EF488" w14:textId="77777777" w:rsidR="00916554" w:rsidRPr="00AE1E2E" w:rsidRDefault="00916554" w:rsidP="00916554">
      <w:pPr>
        <w:pStyle w:val="question"/>
      </w:pPr>
      <w:r w:rsidRPr="00AE1E2E">
        <w:t>Q.</w:t>
      </w:r>
      <w:r w:rsidRPr="00AE1E2E">
        <w:tab/>
        <w:t>Does PSE recommend the same overall rate of return for electric and</w:t>
      </w:r>
      <w:r>
        <w:t xml:space="preserve"> natural</w:t>
      </w:r>
      <w:r w:rsidRPr="00AE1E2E">
        <w:t xml:space="preserve"> gas operations?</w:t>
      </w:r>
    </w:p>
    <w:p w14:paraId="7A97EB15" w14:textId="0752CCBC" w:rsidR="00916554" w:rsidRPr="00AE1E2E" w:rsidRDefault="00916554" w:rsidP="00916554">
      <w:pPr>
        <w:pStyle w:val="answer"/>
        <w:widowControl w:val="0"/>
      </w:pPr>
      <w:r w:rsidRPr="00AE1E2E">
        <w:t>A.</w:t>
      </w:r>
      <w:r w:rsidRPr="00AE1E2E">
        <w:tab/>
        <w:t>Yes.</w:t>
      </w:r>
      <w:r w:rsidR="000822A0">
        <w:t xml:space="preserve"> </w:t>
      </w:r>
      <w:r w:rsidRPr="00AE1E2E">
        <w:t xml:space="preserve">PSE is an integrated electric and </w:t>
      </w:r>
      <w:r>
        <w:t xml:space="preserve">natural </w:t>
      </w:r>
      <w:r w:rsidRPr="00AE1E2E">
        <w:t xml:space="preserve">gas utility and does not run separate electric and </w:t>
      </w:r>
      <w:r>
        <w:t>natural</w:t>
      </w:r>
      <w:r w:rsidRPr="00AE1E2E">
        <w:t xml:space="preserve"> gas divisions.</w:t>
      </w:r>
      <w:r w:rsidR="000822A0">
        <w:t xml:space="preserve"> </w:t>
      </w:r>
      <w:r w:rsidRPr="00AE1E2E">
        <w:t>Capital acquired to finance PSE</w:t>
      </w:r>
      <w:r>
        <w:t>'</w:t>
      </w:r>
      <w:r w:rsidRPr="00AE1E2E">
        <w:t xml:space="preserve">s activities is not earmarked for either electric or </w:t>
      </w:r>
      <w:r>
        <w:t>natural</w:t>
      </w:r>
      <w:r w:rsidRPr="00AE1E2E">
        <w:t xml:space="preserve"> gas operations.</w:t>
      </w:r>
      <w:r w:rsidR="000822A0">
        <w:t xml:space="preserve"> </w:t>
      </w:r>
      <w:r w:rsidRPr="00AE1E2E">
        <w:t xml:space="preserve">Therefore, it is appropriate for the Commission to set rates for PSE based on a single overall rate of return for electric and </w:t>
      </w:r>
      <w:r>
        <w:t>natural</w:t>
      </w:r>
      <w:r w:rsidRPr="00AE1E2E">
        <w:t xml:space="preserve"> gas operations</w:t>
      </w:r>
      <w:r w:rsidR="003252C7">
        <w:t xml:space="preserve"> as it has consistently done in the past</w:t>
      </w:r>
      <w:r w:rsidRPr="00AE1E2E">
        <w:t>.</w:t>
      </w:r>
    </w:p>
    <w:p w14:paraId="65FE9954" w14:textId="77777777" w:rsidR="00DD4FDE" w:rsidRDefault="00DD4FDE" w:rsidP="000822A0">
      <w:pPr>
        <w:pStyle w:val="Heading2"/>
        <w:ind w:left="0" w:firstLine="0"/>
      </w:pPr>
      <w:bookmarkStart w:id="26" w:name="_Toc442956039"/>
      <w:bookmarkStart w:id="27" w:name="_Toc443908474"/>
      <w:bookmarkStart w:id="28" w:name="_Toc471380881"/>
      <w:r>
        <w:t>A.</w:t>
      </w:r>
      <w:r>
        <w:tab/>
        <w:t>The Cost of Short-Term Debt</w:t>
      </w:r>
      <w:bookmarkEnd w:id="26"/>
      <w:bookmarkEnd w:id="27"/>
      <w:bookmarkEnd w:id="28"/>
    </w:p>
    <w:p w14:paraId="734D23B3" w14:textId="77777777" w:rsidR="00DD4FDE" w:rsidRDefault="00DD4FDE" w:rsidP="00DD4FDE">
      <w:pPr>
        <w:pStyle w:val="question"/>
      </w:pPr>
      <w:r>
        <w:t>Q.</w:t>
      </w:r>
      <w:r>
        <w:tab/>
        <w:t>Please summarize PSE</w:t>
      </w:r>
      <w:r w:rsidR="00EC7294">
        <w:t>’</w:t>
      </w:r>
      <w:r>
        <w:t>s calculation of the cost rate for short-term debt.</w:t>
      </w:r>
    </w:p>
    <w:p w14:paraId="715F715A" w14:textId="74624B6C" w:rsidR="00DD4FDE" w:rsidRDefault="00895F20" w:rsidP="00895F20">
      <w:pPr>
        <w:pStyle w:val="answer"/>
      </w:pPr>
      <w:r>
        <w:t>A.</w:t>
      </w:r>
      <w:r w:rsidR="00DD4FDE">
        <w:tab/>
        <w:t>To calculate the cost rate for short-term debt, PSE calculates total interest expense for short-term borrowing such as commercial paper or credit agreement loan</w:t>
      </w:r>
      <w:r w:rsidR="00745CD1">
        <w:t>s</w:t>
      </w:r>
      <w:r w:rsidR="00DD4FDE">
        <w:t xml:space="preserve"> for the period. This interest cost is then divided by the total weighted average short-term debt balance for the period to determine the weighted average short-term debt cost rate for the period.</w:t>
      </w:r>
    </w:p>
    <w:p w14:paraId="758C761D" w14:textId="77777777" w:rsidR="00DD4FDE" w:rsidRDefault="00DD4FDE" w:rsidP="00DD4FDE">
      <w:pPr>
        <w:pStyle w:val="question"/>
      </w:pPr>
      <w:r>
        <w:lastRenderedPageBreak/>
        <w:t>Q.</w:t>
      </w:r>
      <w:r>
        <w:tab/>
        <w:t>How is the presentation for cost of short-term debt PSE seeks to recover in this proceeding different from PSE</w:t>
      </w:r>
      <w:r w:rsidR="00EC7294">
        <w:t>’</w:t>
      </w:r>
      <w:r>
        <w:t>s 2011 general rate case?</w:t>
      </w:r>
    </w:p>
    <w:p w14:paraId="289C3072" w14:textId="6AFE78B0" w:rsidR="00895F20" w:rsidRDefault="00DD4FDE" w:rsidP="00895F20">
      <w:pPr>
        <w:pStyle w:val="answer"/>
      </w:pPr>
      <w:r>
        <w:t>A.</w:t>
      </w:r>
      <w:r>
        <w:tab/>
        <w:t xml:space="preserve">In this proceeding, </w:t>
      </w:r>
      <w:r w:rsidR="00C221F5">
        <w:t>PSE has</w:t>
      </w:r>
      <w:r w:rsidR="00950835">
        <w:t xml:space="preserve"> removed</w:t>
      </w:r>
      <w:r w:rsidR="004854E8">
        <w:t xml:space="preserve"> </w:t>
      </w:r>
      <w:r>
        <w:t xml:space="preserve">commitment fees and amortization of </w:t>
      </w:r>
      <w:r w:rsidR="00D33DA1">
        <w:t>issue cost</w:t>
      </w:r>
      <w:r>
        <w:t xml:space="preserve"> from </w:t>
      </w:r>
      <w:r w:rsidR="00C221F5">
        <w:t xml:space="preserve">the </w:t>
      </w:r>
      <w:r>
        <w:t>cost rate calculation for short-term debt</w:t>
      </w:r>
      <w:r w:rsidR="004854E8">
        <w:t>, and instead included these</w:t>
      </w:r>
      <w:r>
        <w:t xml:space="preserve"> costs </w:t>
      </w:r>
      <w:r w:rsidR="004854E8">
        <w:t>o</w:t>
      </w:r>
      <w:r>
        <w:t>n separate lines in the rate of return calculation. While this modification changes the cost rate for short-term debt, it does not affect overall rate of return.</w:t>
      </w:r>
      <w:r w:rsidR="004854E8">
        <w:t xml:space="preserve"> This method of presentation more clearly shows the individual components of </w:t>
      </w:r>
      <w:r w:rsidR="00087E7B">
        <w:t>short-term</w:t>
      </w:r>
      <w:r w:rsidR="004854E8">
        <w:t xml:space="preserve"> debt.</w:t>
      </w:r>
    </w:p>
    <w:p w14:paraId="0AFB4D46" w14:textId="36BFA8F3" w:rsidR="00C221F5" w:rsidRDefault="00DD4FDE" w:rsidP="00B22E77">
      <w:pPr>
        <w:pStyle w:val="NestedAnswer"/>
      </w:pPr>
      <w:r>
        <w:t xml:space="preserve">In </w:t>
      </w:r>
      <w:r w:rsidR="00AF5F5E">
        <w:t>PSE</w:t>
      </w:r>
      <w:r w:rsidR="00EC7294">
        <w:t>’</w:t>
      </w:r>
      <w:r>
        <w:t>s 2011 general rate case</w:t>
      </w:r>
      <w:r w:rsidR="00AF5F5E">
        <w:t xml:space="preserve"> in </w:t>
      </w:r>
      <w:r w:rsidR="00AF5F5E" w:rsidRPr="00AF5F5E">
        <w:t>Dockets UE-111048 and UG-111049</w:t>
      </w:r>
      <w:r>
        <w:t xml:space="preserve">, annual commitment fees and amortization of upfront </w:t>
      </w:r>
      <w:r w:rsidR="00786A1C">
        <w:t xml:space="preserve">issue </w:t>
      </w:r>
      <w:r>
        <w:t xml:space="preserve">costs were added to interest expense to obtain total short-term debt costs for the period. </w:t>
      </w:r>
      <w:r w:rsidR="00C221F5">
        <w:t xml:space="preserve">PSE then divided this </w:t>
      </w:r>
      <w:r>
        <w:t>total cost by weighted average short-term debt balance to determine weighted average short-term</w:t>
      </w:r>
      <w:r w:rsidR="00895F20">
        <w:t xml:space="preserve"> debt cost rate for the period.</w:t>
      </w:r>
      <w:r w:rsidR="00C221F5">
        <w:t xml:space="preserve"> This </w:t>
      </w:r>
      <w:r>
        <w:t>method resulted in an all-in cost of short-term debt that includes interest expense, as well as credit facility commitment fees and short-term debt issue cost amortization.</w:t>
      </w:r>
    </w:p>
    <w:p w14:paraId="65D03152" w14:textId="0BF3121C" w:rsidR="00DD4FDE" w:rsidRDefault="00DD4FDE" w:rsidP="00895F20">
      <w:pPr>
        <w:pStyle w:val="NestedAnswer"/>
      </w:pPr>
      <w:r>
        <w:t>Since commitment fees and amortization cost</w:t>
      </w:r>
      <w:r w:rsidR="00D55286">
        <w:t>s</w:t>
      </w:r>
      <w:r>
        <w:t xml:space="preserve"> do not decrease when borrowings decrease, all else equal, a low</w:t>
      </w:r>
      <w:r w:rsidR="00D55286">
        <w:t>er</w:t>
      </w:r>
      <w:r>
        <w:t xml:space="preserve"> short-term debt outstanding balance results in a higher cost rate. An artificially high short-term cost rate as a result of low short-term debt outstanding balance is not reflective of incremental borrowing cost. Therefore, for presentation purposes</w:t>
      </w:r>
      <w:r w:rsidR="00C221F5">
        <w:t>,</w:t>
      </w:r>
      <w:r>
        <w:t xml:space="preserve"> PSE removed the effect of semi-fixed costs to reflect only the interest cost specific to the short</w:t>
      </w:r>
      <w:r w:rsidR="00895F20">
        <w:t>-term debt outstanding balance.</w:t>
      </w:r>
    </w:p>
    <w:p w14:paraId="7F010E25" w14:textId="77777777" w:rsidR="00DD4FDE" w:rsidRDefault="00DD4FDE" w:rsidP="00DD4FDE">
      <w:pPr>
        <w:pStyle w:val="question"/>
      </w:pPr>
      <w:r>
        <w:lastRenderedPageBreak/>
        <w:t>Q.</w:t>
      </w:r>
      <w:r>
        <w:tab/>
        <w:t>Please describe PSE</w:t>
      </w:r>
      <w:r w:rsidR="00EC7294">
        <w:t>’</w:t>
      </w:r>
      <w:r>
        <w:t>s short-term credit facilities.</w:t>
      </w:r>
    </w:p>
    <w:p w14:paraId="6688AF34" w14:textId="77777777" w:rsidR="00DD4FDE" w:rsidRDefault="00DD4FDE" w:rsidP="002B0EBF">
      <w:pPr>
        <w:pStyle w:val="answer"/>
        <w:keepNext/>
        <w:keepLines/>
      </w:pPr>
      <w:r>
        <w:t>A.</w:t>
      </w:r>
      <w:r>
        <w:tab/>
        <w:t>PSE currently has the following two credit facilities, which total $1.0</w:t>
      </w:r>
      <w:r w:rsidR="00C221F5">
        <w:t> </w:t>
      </w:r>
      <w:r>
        <w:t>billion:</w:t>
      </w:r>
    </w:p>
    <w:p w14:paraId="24B65135" w14:textId="77777777" w:rsidR="00DD4FDE" w:rsidRDefault="00DD4FDE" w:rsidP="00895F20">
      <w:pPr>
        <w:pStyle w:val="List"/>
      </w:pPr>
      <w:r>
        <w:t>(i)</w:t>
      </w:r>
      <w:r>
        <w:tab/>
        <w:t>a $650</w:t>
      </w:r>
      <w:r w:rsidR="00C221F5">
        <w:t> </w:t>
      </w:r>
      <w:r>
        <w:t>million unsecured revolving credit facility for general corporate purposes; and</w:t>
      </w:r>
    </w:p>
    <w:p w14:paraId="015626A4" w14:textId="77777777" w:rsidR="00DD4FDE" w:rsidRDefault="00DD4FDE" w:rsidP="00895F20">
      <w:pPr>
        <w:pStyle w:val="List"/>
      </w:pPr>
      <w:r>
        <w:t>(ii)</w:t>
      </w:r>
      <w:r>
        <w:tab/>
        <w:t>a $350</w:t>
      </w:r>
      <w:r w:rsidR="00C221F5">
        <w:t> </w:t>
      </w:r>
      <w:r>
        <w:t>million unsecured revolving credit agreement to support PSE</w:t>
      </w:r>
      <w:r w:rsidR="00EC7294">
        <w:t>’</w:t>
      </w:r>
      <w:r>
        <w:t xml:space="preserve">s energy hedging activities. </w:t>
      </w:r>
    </w:p>
    <w:p w14:paraId="61150086" w14:textId="77777777" w:rsidR="00DD4FDE" w:rsidRDefault="00DD4FDE" w:rsidP="00895F20">
      <w:pPr>
        <w:pStyle w:val="NestedAnswer"/>
      </w:pPr>
      <w:r>
        <w:t>The two credit facilities mature on April</w:t>
      </w:r>
      <w:r w:rsidR="00C221F5">
        <w:t> </w:t>
      </w:r>
      <w:r>
        <w:t>15, 2019. These short-term credit facilities primarily serve to provide necessary working capital to fund utility operational requirements and the expected variability of such requirements.</w:t>
      </w:r>
    </w:p>
    <w:p w14:paraId="05F74BD1" w14:textId="58FC8282" w:rsidR="00B51175" w:rsidRDefault="00B51175" w:rsidP="00B51175">
      <w:pPr>
        <w:pStyle w:val="question"/>
      </w:pPr>
      <w:r>
        <w:t>Q.</w:t>
      </w:r>
      <w:r>
        <w:tab/>
        <w:t>Is the credit facility structure consistent with past arrangements?</w:t>
      </w:r>
    </w:p>
    <w:p w14:paraId="662F4AE0" w14:textId="2BF39D95" w:rsidR="00B51175" w:rsidRDefault="00B51175" w:rsidP="00D053BC">
      <w:pPr>
        <w:pStyle w:val="answer"/>
      </w:pPr>
      <w:r>
        <w:t>A.</w:t>
      </w:r>
      <w:r>
        <w:tab/>
        <w:t>Yes.</w:t>
      </w:r>
    </w:p>
    <w:p w14:paraId="7DC1EF31" w14:textId="77777777" w:rsidR="00DD4FDE" w:rsidRDefault="00DD4FDE" w:rsidP="00DD4FDE">
      <w:pPr>
        <w:pStyle w:val="question"/>
      </w:pPr>
      <w:r>
        <w:t>Q.</w:t>
      </w:r>
      <w:r>
        <w:tab/>
        <w:t>Are these two PSE credit facilities the same PSE credit facilities in place during the test year in this case?</w:t>
      </w:r>
    </w:p>
    <w:p w14:paraId="1402204B" w14:textId="77777777" w:rsidR="00DD4FDE" w:rsidRDefault="00DD4FDE" w:rsidP="00895F20">
      <w:pPr>
        <w:pStyle w:val="answer"/>
      </w:pPr>
      <w:r>
        <w:t>A.</w:t>
      </w:r>
      <w:r>
        <w:tab/>
        <w:t>Yes</w:t>
      </w:r>
      <w:r w:rsidR="00C221F5">
        <w:t>, these are the same two PSE credit facilities in place during the test year</w:t>
      </w:r>
      <w:r>
        <w:t>.</w:t>
      </w:r>
    </w:p>
    <w:p w14:paraId="309D8988" w14:textId="76C0A910" w:rsidR="00DD4FDE" w:rsidRDefault="00DD4FDE" w:rsidP="00DD4FDE">
      <w:pPr>
        <w:pStyle w:val="question"/>
      </w:pPr>
      <w:r>
        <w:t>Q.</w:t>
      </w:r>
      <w:r>
        <w:tab/>
      </w:r>
      <w:r w:rsidR="00C221F5">
        <w:t xml:space="preserve">Is PSE </w:t>
      </w:r>
      <w:r>
        <w:t xml:space="preserve">including costs of the </w:t>
      </w:r>
      <w:r w:rsidR="00C221F5">
        <w:t xml:space="preserve">credit </w:t>
      </w:r>
      <w:r>
        <w:t xml:space="preserve">facility supporting energy hedging in the cost of capital? </w:t>
      </w:r>
    </w:p>
    <w:p w14:paraId="26B1E74C" w14:textId="51807667" w:rsidR="00DD4FDE" w:rsidRDefault="00DD4FDE" w:rsidP="00895F20">
      <w:pPr>
        <w:pStyle w:val="answer"/>
      </w:pPr>
      <w:r>
        <w:t>A.</w:t>
      </w:r>
      <w:r>
        <w:tab/>
        <w:t>Yes. In 2015, the Commission approved</w:t>
      </w:r>
      <w:r w:rsidR="00745CD1">
        <w:t xml:space="preserve"> </w:t>
      </w:r>
      <w:r w:rsidR="00B4049B">
        <w:t>in the</w:t>
      </w:r>
      <w:r w:rsidR="00C221F5">
        <w:t xml:space="preserve"> </w:t>
      </w:r>
      <w:r>
        <w:t xml:space="preserve">PCA Settlement </w:t>
      </w:r>
      <w:r w:rsidR="00745CD1">
        <w:t xml:space="preserve">to include </w:t>
      </w:r>
      <w:r>
        <w:t xml:space="preserve">costs associated with </w:t>
      </w:r>
      <w:r w:rsidR="00C32FDF">
        <w:t>the</w:t>
      </w:r>
      <w:r w:rsidR="0000384C">
        <w:t xml:space="preserve"> </w:t>
      </w:r>
      <w:r>
        <w:t>line of credit to support wholesale power hedging transactions in PSE</w:t>
      </w:r>
      <w:r w:rsidR="00EC7294">
        <w:t>’</w:t>
      </w:r>
      <w:r>
        <w:t>s cost of capital in its next general rate case.</w:t>
      </w:r>
      <w:r w:rsidR="00365DFB" w:rsidRPr="00365DFB">
        <w:rPr>
          <w:rFonts w:eastAsia="Times New Roman"/>
          <w:position w:val="6"/>
          <w:sz w:val="16"/>
        </w:rPr>
        <w:footnoteReference w:id="3"/>
      </w:r>
      <w:r w:rsidR="00EC7294">
        <w:t xml:space="preserve"> </w:t>
      </w:r>
      <w:r>
        <w:t xml:space="preserve">As a result, </w:t>
      </w:r>
      <w:r w:rsidR="00C221F5">
        <w:t xml:space="preserve">PSE has included </w:t>
      </w:r>
      <w:r>
        <w:t>costs for the existing $</w:t>
      </w:r>
      <w:r w:rsidR="00C221F5">
        <w:t>350 </w:t>
      </w:r>
      <w:r>
        <w:t xml:space="preserve">million facility supporting energy hedging in the proposed rate of return for this proceeding. In prior proceedings, </w:t>
      </w:r>
      <w:r w:rsidR="00C221F5">
        <w:t xml:space="preserve">PSE included </w:t>
      </w:r>
      <w:r>
        <w:lastRenderedPageBreak/>
        <w:t xml:space="preserve">these costs in energy costs and allocated </w:t>
      </w:r>
      <w:r w:rsidR="00C221F5">
        <w:t xml:space="preserve">such costs </w:t>
      </w:r>
      <w:r>
        <w:t>between the P</w:t>
      </w:r>
      <w:r w:rsidR="00C221F5">
        <w:t>ower Cost Adjustment (</w:t>
      </w:r>
      <w:r w:rsidR="00D949FD">
        <w:t>“</w:t>
      </w:r>
      <w:proofErr w:type="spellStart"/>
      <w:r w:rsidR="00C221F5">
        <w:t>P</w:t>
      </w:r>
      <w:r>
        <w:t>CA</w:t>
      </w:r>
      <w:proofErr w:type="spellEnd"/>
      <w:r w:rsidR="00D949FD">
        <w:t>”</w:t>
      </w:r>
      <w:r w:rsidR="00C221F5">
        <w:t>)</w:t>
      </w:r>
      <w:r>
        <w:t xml:space="preserve"> and </w:t>
      </w:r>
      <w:r w:rsidR="00C221F5">
        <w:t>Purchased Gas Adjustment (</w:t>
      </w:r>
      <w:r w:rsidR="00D949FD">
        <w:t>“</w:t>
      </w:r>
      <w:r>
        <w:t>PGA</w:t>
      </w:r>
      <w:r w:rsidR="00D949FD">
        <w:t>”</w:t>
      </w:r>
      <w:r w:rsidR="00C221F5">
        <w:t>) mechanisms</w:t>
      </w:r>
      <w:r>
        <w:t>.</w:t>
      </w:r>
    </w:p>
    <w:p w14:paraId="7C75475B" w14:textId="54A3F02E" w:rsidR="00EB2D31" w:rsidRDefault="00DC74AD" w:rsidP="0000384C">
      <w:pPr>
        <w:pStyle w:val="answer"/>
        <w:ind w:firstLine="0"/>
      </w:pPr>
      <w:r>
        <w:t>Additionally</w:t>
      </w:r>
      <w:r w:rsidR="00EB2D31">
        <w:t xml:space="preserve">, PSE </w:t>
      </w:r>
      <w:r>
        <w:t>has historically managed to avoid</w:t>
      </w:r>
      <w:r w:rsidR="00EB2D31">
        <w:t xml:space="preserve"> post</w:t>
      </w:r>
      <w:r>
        <w:t>ing</w:t>
      </w:r>
      <w:r w:rsidR="00EB2D31">
        <w:t xml:space="preserve"> </w:t>
      </w:r>
      <w:r w:rsidR="006F1B64">
        <w:t xml:space="preserve">hedging </w:t>
      </w:r>
      <w:r w:rsidR="00EB2D31">
        <w:t xml:space="preserve">collateral </w:t>
      </w:r>
      <w:r>
        <w:t xml:space="preserve">by transacting </w:t>
      </w:r>
      <w:r w:rsidR="006F1B64">
        <w:t>mostly</w:t>
      </w:r>
      <w:r>
        <w:t xml:space="preserve"> </w:t>
      </w:r>
      <w:r w:rsidR="00EB2D31">
        <w:t xml:space="preserve">in the bilateral </w:t>
      </w:r>
      <w:r w:rsidR="000F011A">
        <w:t xml:space="preserve">commodity </w:t>
      </w:r>
      <w:r w:rsidR="00EB2D31">
        <w:t>market</w:t>
      </w:r>
      <w:r>
        <w:t>s</w:t>
      </w:r>
      <w:r w:rsidR="00EB2D31">
        <w:t>.</w:t>
      </w:r>
      <w:r>
        <w:t xml:space="preserve"> Dodd-Frank regulation has begun to dramatically reduce the number of counterparties participating in the bilateral markets. As more and more counterparties move to exchange trading, better trading execution can now be found on the exchanges. </w:t>
      </w:r>
      <w:r w:rsidR="006F1B64">
        <w:t xml:space="preserve">Therefore, </w:t>
      </w:r>
      <w:r w:rsidR="0000384C">
        <w:t xml:space="preserve">although </w:t>
      </w:r>
      <w:r w:rsidR="006F1B64">
        <w:t>PSE’s $350</w:t>
      </w:r>
      <w:r w:rsidR="0000384C">
        <w:t> </w:t>
      </w:r>
      <w:r w:rsidR="006F1B64">
        <w:t xml:space="preserve">million hedging facility has received limited use in recent years, it will become an integral part of supporting </w:t>
      </w:r>
      <w:r w:rsidR="0000384C">
        <w:t xml:space="preserve">PSE’s </w:t>
      </w:r>
      <w:r w:rsidR="006F1B64">
        <w:t xml:space="preserve">hedging operations </w:t>
      </w:r>
      <w:r w:rsidR="0000384C">
        <w:t xml:space="preserve">in 2017 </w:t>
      </w:r>
      <w:r w:rsidR="006F1B64">
        <w:t xml:space="preserve">as </w:t>
      </w:r>
      <w:r w:rsidR="0000384C">
        <w:t xml:space="preserve">PSE </w:t>
      </w:r>
      <w:r w:rsidR="006F1B64">
        <w:t>shifts much of its commodity trading to the exchanges, which require maintaining daily collateral margins</w:t>
      </w:r>
      <w:r w:rsidR="00DF6D58">
        <w:t>.</w:t>
      </w:r>
    </w:p>
    <w:p w14:paraId="12030DA1" w14:textId="77777777" w:rsidR="00DD4FDE" w:rsidRDefault="00DD4FDE" w:rsidP="00DD4FDE">
      <w:pPr>
        <w:pStyle w:val="question"/>
      </w:pPr>
      <w:r>
        <w:t>Q.</w:t>
      </w:r>
      <w:r>
        <w:tab/>
        <w:t>Is the cost of commercial paper included in PSE</w:t>
      </w:r>
      <w:r w:rsidR="00EC7294">
        <w:t>’</w:t>
      </w:r>
      <w:r>
        <w:t>s requested cost of short-term debt in this proceeding?</w:t>
      </w:r>
    </w:p>
    <w:p w14:paraId="1A2E83C0" w14:textId="205C9256" w:rsidR="00DD4FDE" w:rsidRDefault="00DD4FDE" w:rsidP="00895F20">
      <w:pPr>
        <w:pStyle w:val="answer"/>
      </w:pPr>
      <w:r>
        <w:t>A.</w:t>
      </w:r>
      <w:r>
        <w:tab/>
        <w:t>Yes.</w:t>
      </w:r>
      <w:r w:rsidR="00EC7294">
        <w:t xml:space="preserve"> </w:t>
      </w:r>
      <w:r>
        <w:t>Although PSE realizes that it cannot rely solely on commercial paper to fund its short-term liquidity needs, it has projected some commercial paper issuances and costs, along with borrowing under its credit agreements, into its rate year short-term debt costs</w:t>
      </w:r>
      <w:r w:rsidR="006F1B64">
        <w:t>, similarly as has been done in previous rate proceedings</w:t>
      </w:r>
      <w:r w:rsidR="0000384C">
        <w:t>.</w:t>
      </w:r>
    </w:p>
    <w:p w14:paraId="05812150" w14:textId="77777777" w:rsidR="00DD4FDE" w:rsidRDefault="00DD4FDE" w:rsidP="00DD4FDE">
      <w:pPr>
        <w:pStyle w:val="question"/>
      </w:pPr>
      <w:r>
        <w:t>Q.</w:t>
      </w:r>
      <w:r>
        <w:tab/>
        <w:t>How does PSE calculate its projected cost of short-term debt during the rate year?</w:t>
      </w:r>
    </w:p>
    <w:p w14:paraId="45E7B541" w14:textId="383C39C8" w:rsidR="00DD4FDE" w:rsidRDefault="00DD4FDE" w:rsidP="00895F20">
      <w:pPr>
        <w:pStyle w:val="answer"/>
      </w:pPr>
      <w:r>
        <w:t>A.</w:t>
      </w:r>
      <w:r>
        <w:tab/>
        <w:t xml:space="preserve">To calculate the projected cost of short-term debt during the rate year, PSE </w:t>
      </w:r>
      <w:r w:rsidR="00165ABB">
        <w:t xml:space="preserve">determined </w:t>
      </w:r>
      <w:r>
        <w:t xml:space="preserve">the spread between its short-term borrowing costs and the LIBOR. </w:t>
      </w:r>
      <w:r>
        <w:lastRenderedPageBreak/>
        <w:t xml:space="preserve">PSE then </w:t>
      </w:r>
      <w:r w:rsidR="00165ABB">
        <w:t xml:space="preserve">applied </w:t>
      </w:r>
      <w:r>
        <w:t>that spread to a projected LIBOR during the rate year. Please see page</w:t>
      </w:r>
      <w:r w:rsidR="00EC7294">
        <w:t> </w:t>
      </w:r>
      <w:r>
        <w:t>3 of Exhibit No.</w:t>
      </w:r>
      <w:r w:rsidR="00EC7294">
        <w:t> </w:t>
      </w:r>
      <w:r>
        <w:t>___(BJL-</w:t>
      </w:r>
      <w:r w:rsidR="00872DBC">
        <w:t>4</w:t>
      </w:r>
      <w:r>
        <w:t>) for this calculation.</w:t>
      </w:r>
    </w:p>
    <w:p w14:paraId="65216B7B" w14:textId="69D8223B" w:rsidR="00DD4FDE" w:rsidRDefault="00DD4FDE" w:rsidP="00DD4FDE">
      <w:pPr>
        <w:pStyle w:val="question"/>
      </w:pPr>
      <w:r>
        <w:t>Q.</w:t>
      </w:r>
      <w:r>
        <w:tab/>
        <w:t>What is PSE</w:t>
      </w:r>
      <w:r w:rsidR="00EC7294">
        <w:t>’</w:t>
      </w:r>
      <w:r>
        <w:t xml:space="preserve">s requested cost </w:t>
      </w:r>
      <w:r w:rsidR="00E745C9">
        <w:t xml:space="preserve">rate </w:t>
      </w:r>
      <w:r>
        <w:t>of short-term debt in this proceeding?</w:t>
      </w:r>
    </w:p>
    <w:p w14:paraId="4E254AF7" w14:textId="7981894A" w:rsidR="00DD4FDE" w:rsidRDefault="00DD4FDE" w:rsidP="00895F20">
      <w:pPr>
        <w:pStyle w:val="answer"/>
      </w:pPr>
      <w:r>
        <w:t>A.</w:t>
      </w:r>
      <w:r>
        <w:tab/>
        <w:t>PSE</w:t>
      </w:r>
      <w:r w:rsidR="00EC7294">
        <w:t>’</w:t>
      </w:r>
      <w:r>
        <w:t xml:space="preserve">s requested cost </w:t>
      </w:r>
      <w:r w:rsidR="00E745C9">
        <w:t xml:space="preserve">rate </w:t>
      </w:r>
      <w:r>
        <w:t xml:space="preserve">of short-term debt </w:t>
      </w:r>
      <w:r w:rsidRPr="009C15AC">
        <w:t xml:space="preserve">in this proceeding is </w:t>
      </w:r>
      <w:r w:rsidRPr="00D053BC">
        <w:t>3.</w:t>
      </w:r>
      <w:r w:rsidR="00A51726" w:rsidRPr="00D053BC">
        <w:t>06</w:t>
      </w:r>
      <w:r w:rsidR="00EC7294" w:rsidRPr="009C15AC">
        <w:t> </w:t>
      </w:r>
      <w:r w:rsidRPr="009C15AC">
        <w:t>percent. Please see Exhibit No.</w:t>
      </w:r>
      <w:r w:rsidR="00EC7294" w:rsidRPr="009C15AC">
        <w:t> </w:t>
      </w:r>
      <w:r w:rsidRPr="00D45591">
        <w:t>___(BJL-</w:t>
      </w:r>
      <w:r w:rsidR="008F0BA9">
        <w:t>4</w:t>
      </w:r>
      <w:r w:rsidRPr="00D45591">
        <w:t>), at page</w:t>
      </w:r>
      <w:r w:rsidR="00EC7294" w:rsidRPr="00D053BC">
        <w:t> </w:t>
      </w:r>
      <w:r w:rsidRPr="00D053BC">
        <w:t>3, line</w:t>
      </w:r>
      <w:r w:rsidR="00EC7294" w:rsidRPr="00D053BC">
        <w:t> </w:t>
      </w:r>
      <w:r w:rsidRPr="00D053BC">
        <w:t>20, column</w:t>
      </w:r>
      <w:r w:rsidR="00EC7294" w:rsidRPr="00D053BC">
        <w:t> </w:t>
      </w:r>
      <w:r w:rsidRPr="00D053BC">
        <w:t>O</w:t>
      </w:r>
      <w:r w:rsidRPr="009C15AC">
        <w:t>.</w:t>
      </w:r>
    </w:p>
    <w:p w14:paraId="07B9B42F" w14:textId="77777777" w:rsidR="00DD4FDE" w:rsidRDefault="00DD4FDE" w:rsidP="00DD4FDE">
      <w:pPr>
        <w:pStyle w:val="Heading2"/>
      </w:pPr>
      <w:bookmarkStart w:id="29" w:name="_Toc442956040"/>
      <w:bookmarkStart w:id="30" w:name="_Toc443908475"/>
      <w:bookmarkStart w:id="31" w:name="_Toc471380882"/>
      <w:r>
        <w:t>B.</w:t>
      </w:r>
      <w:r>
        <w:tab/>
        <w:t>The Cost of Long-Term Debt</w:t>
      </w:r>
      <w:bookmarkEnd w:id="29"/>
      <w:bookmarkEnd w:id="30"/>
      <w:bookmarkEnd w:id="31"/>
      <w:r>
        <w:t xml:space="preserve"> </w:t>
      </w:r>
    </w:p>
    <w:p w14:paraId="7A42295D" w14:textId="77777777" w:rsidR="00DD4FDE" w:rsidRDefault="00DD4FDE" w:rsidP="00DD4FDE">
      <w:pPr>
        <w:pStyle w:val="question"/>
      </w:pPr>
      <w:r>
        <w:t>Q.</w:t>
      </w:r>
      <w:r>
        <w:tab/>
        <w:t>Please summarize PSE</w:t>
      </w:r>
      <w:r w:rsidR="00EC7294">
        <w:t>’</w:t>
      </w:r>
      <w:r>
        <w:t xml:space="preserve">s calculation of the cost of long-term debt. </w:t>
      </w:r>
    </w:p>
    <w:p w14:paraId="5739E120" w14:textId="0622EAF9" w:rsidR="00DD4FDE" w:rsidRDefault="00DD4FDE" w:rsidP="00895F20">
      <w:pPr>
        <w:pStyle w:val="answer"/>
      </w:pPr>
      <w:r>
        <w:t>A.</w:t>
      </w:r>
      <w:r>
        <w:tab/>
        <w:t xml:space="preserve">To calculate the cost of long-term debt, PSE </w:t>
      </w:r>
      <w:r w:rsidR="00165ABB">
        <w:t xml:space="preserve">calculated </w:t>
      </w:r>
      <w:r>
        <w:t xml:space="preserve">the yield-to-maturity, or cost rate, of each debt issue using the issue date, maturity date, net proceeds to PSE, and coupon rate of that security. </w:t>
      </w:r>
      <w:r w:rsidR="00165ABB">
        <w:t xml:space="preserve">PSE then used the </w:t>
      </w:r>
      <w:r>
        <w:t>proportional share that each issue</w:t>
      </w:r>
      <w:r w:rsidR="00EC7294">
        <w:t>’</w:t>
      </w:r>
      <w:r>
        <w:t>s principal amount represents of the total amount of long-term debt outstanding to weigh these cost rates.</w:t>
      </w:r>
    </w:p>
    <w:p w14:paraId="627E6AB4" w14:textId="6214D21A" w:rsidR="00DD4FDE" w:rsidRDefault="00DD4FDE" w:rsidP="00DD4FDE">
      <w:pPr>
        <w:pStyle w:val="question"/>
      </w:pPr>
      <w:r>
        <w:t>Q.</w:t>
      </w:r>
      <w:r>
        <w:tab/>
        <w:t xml:space="preserve">Please explain why PSE </w:t>
      </w:r>
      <w:r w:rsidR="00880060">
        <w:t>removed</w:t>
      </w:r>
      <w:r>
        <w:t xml:space="preserve"> amortization</w:t>
      </w:r>
      <w:r w:rsidR="00E51D03">
        <w:t xml:space="preserve"> </w:t>
      </w:r>
      <w:r>
        <w:t>costs on reacquired debt from its cost rate calculation for long-term debt?</w:t>
      </w:r>
    </w:p>
    <w:p w14:paraId="26D072AE" w14:textId="513FBE70" w:rsidR="00DD4FDE" w:rsidRDefault="00DD4FDE" w:rsidP="00895F20">
      <w:pPr>
        <w:pStyle w:val="answer"/>
      </w:pPr>
      <w:r>
        <w:t>A.</w:t>
      </w:r>
      <w:r>
        <w:tab/>
      </w:r>
      <w:r w:rsidR="00880060">
        <w:t xml:space="preserve">PSE removed </w:t>
      </w:r>
      <w:r w:rsidR="00A74D27">
        <w:t xml:space="preserve">amortization costs </w:t>
      </w:r>
      <w:r>
        <w:t>related to reacquired high coupon debt that has been refinanced with lower coupon debt</w:t>
      </w:r>
      <w:r w:rsidR="00745CD1">
        <w:t xml:space="preserve"> from the cost rate calculation for long-term debt</w:t>
      </w:r>
      <w:r>
        <w:t xml:space="preserve">. </w:t>
      </w:r>
      <w:r w:rsidR="00880060">
        <w:t xml:space="preserve">Similar to the presentation for short-term debt cost rate, PSE removed fixed costs from long-term debt cost rate calculation in order to better represent an incremental borrowing cost for long-term debt. </w:t>
      </w:r>
    </w:p>
    <w:p w14:paraId="25CC3748" w14:textId="22F3C5EB" w:rsidR="00DD4FDE" w:rsidRDefault="00165ABB" w:rsidP="00895F20">
      <w:pPr>
        <w:pStyle w:val="NestedAnswer"/>
      </w:pPr>
      <w:r>
        <w:lastRenderedPageBreak/>
        <w:t xml:space="preserve">PSE has shown amortization </w:t>
      </w:r>
      <w:r w:rsidR="00DD4FDE">
        <w:t xml:space="preserve">of costs on reacquired debt in a separate line in rate of return calculation. </w:t>
      </w:r>
      <w:r>
        <w:t xml:space="preserve">Although </w:t>
      </w:r>
      <w:r w:rsidR="00DD4FDE">
        <w:t>this modification changes the cost rate for long-term debt for presentation purposes, it does not affect overall rate of return.</w:t>
      </w:r>
    </w:p>
    <w:p w14:paraId="2671963B" w14:textId="77777777" w:rsidR="00DD4FDE" w:rsidRDefault="00DD4FDE" w:rsidP="00DD4FDE">
      <w:pPr>
        <w:pStyle w:val="question"/>
      </w:pPr>
      <w:r>
        <w:t>Q.</w:t>
      </w:r>
      <w:r>
        <w:tab/>
        <w:t>Did PSE have any new issues of long-term debt during the test year?</w:t>
      </w:r>
    </w:p>
    <w:p w14:paraId="06ACB731" w14:textId="5C2388AA" w:rsidR="001877A9" w:rsidRDefault="00DD4FDE" w:rsidP="006F5F11">
      <w:pPr>
        <w:pStyle w:val="answer"/>
      </w:pPr>
      <w:r>
        <w:t>A.</w:t>
      </w:r>
      <w:r>
        <w:tab/>
      </w:r>
      <w:r w:rsidR="001877A9">
        <w:t>No</w:t>
      </w:r>
      <w:r>
        <w:t>.</w:t>
      </w:r>
      <w:r w:rsidR="0000384C" w:rsidRPr="0000384C">
        <w:t xml:space="preserve"> </w:t>
      </w:r>
      <w:r w:rsidR="0000384C">
        <w:t>PSE did not have any new issues of long-term debt during the test year.</w:t>
      </w:r>
    </w:p>
    <w:p w14:paraId="4C19ED27" w14:textId="2C9329BC" w:rsidR="00DD4FDE" w:rsidRDefault="00DD4FDE" w:rsidP="00DD4FDE">
      <w:pPr>
        <w:pStyle w:val="question"/>
      </w:pPr>
      <w:r>
        <w:t>Q.</w:t>
      </w:r>
      <w:r>
        <w:tab/>
        <w:t xml:space="preserve">Are there any issues of PSE long-term debt that will mature or retire </w:t>
      </w:r>
      <w:r w:rsidR="004C2D6F">
        <w:t>between </w:t>
      </w:r>
      <w:r>
        <w:t>September 30, 201</w:t>
      </w:r>
      <w:r w:rsidR="00147C2C">
        <w:t>6</w:t>
      </w:r>
      <w:r>
        <w:t xml:space="preserve"> and the end of the rate year?</w:t>
      </w:r>
    </w:p>
    <w:p w14:paraId="19ABC132" w14:textId="21708A58" w:rsidR="00DD4FDE" w:rsidRDefault="00DD4FDE" w:rsidP="00895F20">
      <w:pPr>
        <w:pStyle w:val="answer"/>
      </w:pPr>
      <w:r>
        <w:t>A.</w:t>
      </w:r>
      <w:r>
        <w:tab/>
      </w:r>
      <w:r w:rsidR="00273D64">
        <w:t>Yes</w:t>
      </w:r>
      <w:r>
        <w:t xml:space="preserve">. After </w:t>
      </w:r>
      <w:r w:rsidR="004C2D6F">
        <w:t>September </w:t>
      </w:r>
      <w:r>
        <w:t>30, 201</w:t>
      </w:r>
      <w:r w:rsidR="00AE2BE7">
        <w:t>6</w:t>
      </w:r>
      <w:r w:rsidR="004C2D6F">
        <w:t>,</w:t>
      </w:r>
      <w:r>
        <w:t xml:space="preserve"> and before </w:t>
      </w:r>
      <w:r w:rsidR="00AE2BE7">
        <w:t>December 31</w:t>
      </w:r>
      <w:r>
        <w:t xml:space="preserve">, 2018, PSE </w:t>
      </w:r>
      <w:r w:rsidR="00273D64">
        <w:t xml:space="preserve">has one series that will have matured. It is </w:t>
      </w:r>
      <w:r w:rsidR="00273D64" w:rsidRPr="009C15AC">
        <w:t xml:space="preserve">PSE’s </w:t>
      </w:r>
      <w:r w:rsidR="00273D64" w:rsidRPr="00D053BC">
        <w:t>$200 million, 6.74</w:t>
      </w:r>
      <w:r w:rsidR="0000384C">
        <w:t> </w:t>
      </w:r>
      <w:r w:rsidR="00273D64" w:rsidRPr="00D053BC">
        <w:t>percent</w:t>
      </w:r>
      <w:r w:rsidR="00273D64" w:rsidRPr="009C15AC">
        <w:t xml:space="preserve">, senior notes that </w:t>
      </w:r>
      <w:r w:rsidR="00D45591" w:rsidRPr="009C15AC">
        <w:t xml:space="preserve">will </w:t>
      </w:r>
      <w:r w:rsidR="00273D64" w:rsidRPr="009C15AC">
        <w:t>mature</w:t>
      </w:r>
      <w:r w:rsidR="00273D64" w:rsidRPr="00D45591">
        <w:t xml:space="preserve"> on June</w:t>
      </w:r>
      <w:r w:rsidR="0000384C">
        <w:t> </w:t>
      </w:r>
      <w:r w:rsidR="00273D64" w:rsidRPr="00D45591">
        <w:t>15, 2018</w:t>
      </w:r>
      <w:r w:rsidR="00273D64" w:rsidRPr="009C15AC">
        <w:t>.</w:t>
      </w:r>
      <w:r w:rsidR="00273D64">
        <w:t xml:space="preserve"> </w:t>
      </w:r>
      <w:r w:rsidRPr="009C15AC">
        <w:t xml:space="preserve">Please </w:t>
      </w:r>
      <w:r w:rsidRPr="00D053BC">
        <w:t>see page</w:t>
      </w:r>
      <w:r w:rsidR="00EC7294" w:rsidRPr="00D053BC">
        <w:t> </w:t>
      </w:r>
      <w:r w:rsidR="00F92728">
        <w:t>6</w:t>
      </w:r>
      <w:r w:rsidR="00D45591" w:rsidRPr="009C15AC">
        <w:t xml:space="preserve"> </w:t>
      </w:r>
      <w:r w:rsidRPr="009C15AC">
        <w:t>of Exhibit No.</w:t>
      </w:r>
      <w:r w:rsidR="00EC7294" w:rsidRPr="009C15AC">
        <w:t> </w:t>
      </w:r>
      <w:r w:rsidRPr="009C15AC">
        <w:t>___(</w:t>
      </w:r>
      <w:r w:rsidRPr="00D053BC">
        <w:t>BJL-</w:t>
      </w:r>
      <w:r w:rsidR="008F0BA9">
        <w:t>3</w:t>
      </w:r>
      <w:r w:rsidRPr="009C15AC">
        <w:t>).</w:t>
      </w:r>
    </w:p>
    <w:p w14:paraId="68515597" w14:textId="77777777" w:rsidR="004D2F52" w:rsidRDefault="004D2F52" w:rsidP="004D2F52">
      <w:pPr>
        <w:pStyle w:val="question"/>
      </w:pPr>
      <w:r>
        <w:t>Q.</w:t>
      </w:r>
      <w:r>
        <w:tab/>
        <w:t>Are any of PSE’s outstanding debt issues callable as of September 30, 2016?</w:t>
      </w:r>
    </w:p>
    <w:p w14:paraId="7CA54AF2" w14:textId="46EB9FF7" w:rsidR="004D2F52" w:rsidRDefault="004D2F52" w:rsidP="006F5F11">
      <w:pPr>
        <w:pStyle w:val="answer"/>
      </w:pPr>
      <w:r>
        <w:t>A.</w:t>
      </w:r>
      <w:r>
        <w:tab/>
        <w:t>Certain of PSE’s outstanding debt issues are callable but at a penalty. Please see Exhibit No. ___(BJL-</w:t>
      </w:r>
      <w:r w:rsidR="008F0BA9">
        <w:t>5</w:t>
      </w:r>
      <w:r>
        <w:t xml:space="preserve">) for a list of all PSE bonds that are callable as of September 30, 2016. To call these bonds, PSE must pay any required make-whole penalty put in place to protect bondholders from early termination. At this time, it is not economical for PSE to call any bond early. PSE will continue to monitor call premium economics </w:t>
      </w:r>
      <w:r w:rsidR="000F011A">
        <w:t xml:space="preserve">as a matter of standard operating </w:t>
      </w:r>
      <w:r w:rsidR="00CF2930">
        <w:t>protocols</w:t>
      </w:r>
      <w:r>
        <w:t>.</w:t>
      </w:r>
    </w:p>
    <w:p w14:paraId="2770C464" w14:textId="77777777" w:rsidR="00C23602" w:rsidRPr="00AE1E2E" w:rsidRDefault="00C23602" w:rsidP="00C23602">
      <w:pPr>
        <w:pStyle w:val="question"/>
      </w:pPr>
      <w:r w:rsidRPr="00AE1E2E">
        <w:t>Q.</w:t>
      </w:r>
      <w:r w:rsidRPr="00AE1E2E">
        <w:tab/>
        <w:t>Does PSE project new issues of long-term debt before the end of the rate year?</w:t>
      </w:r>
    </w:p>
    <w:p w14:paraId="6B5F3035" w14:textId="69F8BFD3" w:rsidR="00C23602" w:rsidRDefault="00C23602" w:rsidP="006F5F11">
      <w:pPr>
        <w:pStyle w:val="answer"/>
        <w:widowControl w:val="0"/>
      </w:pPr>
      <w:r w:rsidRPr="00AE1E2E">
        <w:t>A.</w:t>
      </w:r>
      <w:r w:rsidRPr="00AE1E2E">
        <w:tab/>
        <w:t>Yes</w:t>
      </w:r>
      <w:r>
        <w:t>, one</w:t>
      </w:r>
      <w:r w:rsidRPr="00AE1E2E">
        <w:t>.</w:t>
      </w:r>
      <w:r w:rsidR="0000384C">
        <w:t xml:space="preserve"> </w:t>
      </w:r>
      <w:r w:rsidRPr="00AE1E2E">
        <w:t>PSE projects</w:t>
      </w:r>
      <w:r w:rsidR="00B4676E">
        <w:t xml:space="preserve"> one</w:t>
      </w:r>
      <w:r>
        <w:t xml:space="preserve"> long-term debt issue</w:t>
      </w:r>
      <w:r w:rsidRPr="00AE1E2E">
        <w:t xml:space="preserve"> </w:t>
      </w:r>
      <w:r>
        <w:t>before the end of the rate year</w:t>
      </w:r>
      <w:r w:rsidR="00E2622C">
        <w:t xml:space="preserve"> to refinance the $200</w:t>
      </w:r>
      <w:r w:rsidR="0000384C">
        <w:t> </w:t>
      </w:r>
      <w:r w:rsidR="00E2622C">
        <w:t>million 6.74</w:t>
      </w:r>
      <w:r w:rsidR="0000384C">
        <w:t> </w:t>
      </w:r>
      <w:r w:rsidR="00E2622C">
        <w:t>percent senior notes maturing on June</w:t>
      </w:r>
      <w:r w:rsidR="0000384C">
        <w:t> </w:t>
      </w:r>
      <w:r w:rsidR="00E2622C">
        <w:t>15, 2018</w:t>
      </w:r>
      <w:r w:rsidR="000763A7">
        <w:t>.</w:t>
      </w:r>
    </w:p>
    <w:p w14:paraId="5E2EA9DD" w14:textId="2A595054" w:rsidR="00503FE7" w:rsidRPr="00C04A68" w:rsidRDefault="00503FE7" w:rsidP="00503FE7">
      <w:pPr>
        <w:keepNext/>
        <w:spacing w:line="480" w:lineRule="auto"/>
        <w:ind w:left="720" w:hanging="720"/>
        <w:rPr>
          <w:b/>
        </w:rPr>
      </w:pPr>
      <w:r w:rsidRPr="00C04A68">
        <w:rPr>
          <w:b/>
        </w:rPr>
        <w:lastRenderedPageBreak/>
        <w:t>Q.</w:t>
      </w:r>
      <w:r w:rsidRPr="00C04A68">
        <w:tab/>
      </w:r>
      <w:r>
        <w:rPr>
          <w:b/>
        </w:rPr>
        <w:t>One issuance of</w:t>
      </w:r>
      <w:r w:rsidRPr="00C04A68">
        <w:rPr>
          <w:b/>
        </w:rPr>
        <w:t xml:space="preserve"> the securities in </w:t>
      </w:r>
      <w:r w:rsidR="00126988">
        <w:rPr>
          <w:b/>
        </w:rPr>
        <w:t>PSE’s</w:t>
      </w:r>
      <w:r w:rsidRPr="00C04A68">
        <w:rPr>
          <w:b/>
        </w:rPr>
        <w:t xml:space="preserve"> </w:t>
      </w:r>
      <w:r>
        <w:rPr>
          <w:b/>
        </w:rPr>
        <w:t>long-term debt portfolio will bear</w:t>
      </w:r>
      <w:r w:rsidRPr="00C04A68">
        <w:rPr>
          <w:b/>
        </w:rPr>
        <w:t xml:space="preserve"> variable rates</w:t>
      </w:r>
      <w:r>
        <w:rPr>
          <w:b/>
        </w:rPr>
        <w:t xml:space="preserve"> in the rate year, please explain</w:t>
      </w:r>
      <w:r w:rsidRPr="00C04A68">
        <w:rPr>
          <w:b/>
        </w:rPr>
        <w:t xml:space="preserve">. </w:t>
      </w:r>
    </w:p>
    <w:p w14:paraId="2F6DD165" w14:textId="214FB3E5" w:rsidR="00503FE7" w:rsidRPr="00D053BC" w:rsidRDefault="00503FE7" w:rsidP="00233324">
      <w:pPr>
        <w:pStyle w:val="question"/>
        <w:rPr>
          <w:b w:val="0"/>
        </w:rPr>
      </w:pPr>
      <w:r w:rsidRPr="00D053BC">
        <w:rPr>
          <w:b w:val="0"/>
        </w:rPr>
        <w:t>A.</w:t>
      </w:r>
      <w:r w:rsidRPr="00D053BC">
        <w:rPr>
          <w:b w:val="0"/>
        </w:rPr>
        <w:tab/>
        <w:t>Starting on December</w:t>
      </w:r>
      <w:r w:rsidR="0000384C">
        <w:rPr>
          <w:b w:val="0"/>
        </w:rPr>
        <w:t> </w:t>
      </w:r>
      <w:r w:rsidRPr="00D053BC">
        <w:rPr>
          <w:b w:val="0"/>
        </w:rPr>
        <w:t>1, 2017, PSE’s $250</w:t>
      </w:r>
      <w:r w:rsidR="0000384C">
        <w:rPr>
          <w:b w:val="0"/>
        </w:rPr>
        <w:t> </w:t>
      </w:r>
      <w:r w:rsidRPr="00D053BC">
        <w:rPr>
          <w:b w:val="0"/>
        </w:rPr>
        <w:t>million junior subordinated notes will switch from paying 6.974</w:t>
      </w:r>
      <w:r w:rsidR="0000384C">
        <w:rPr>
          <w:b w:val="0"/>
        </w:rPr>
        <w:t> percent</w:t>
      </w:r>
      <w:r w:rsidRPr="00D053BC">
        <w:rPr>
          <w:b w:val="0"/>
        </w:rPr>
        <w:t xml:space="preserve"> fixed coupon rate to floating rate at three-month LIBOR plus 2.53</w:t>
      </w:r>
      <w:r w:rsidR="0000384C">
        <w:rPr>
          <w:b w:val="0"/>
        </w:rPr>
        <w:t> percent</w:t>
      </w:r>
      <w:r w:rsidR="00650606">
        <w:rPr>
          <w:b w:val="0"/>
        </w:rPr>
        <w:t>,</w:t>
      </w:r>
      <w:r w:rsidRPr="00D053BC">
        <w:rPr>
          <w:b w:val="0"/>
        </w:rPr>
        <w:t xml:space="preserve"> </w:t>
      </w:r>
      <w:r w:rsidR="00607844">
        <w:rPr>
          <w:b w:val="0"/>
        </w:rPr>
        <w:t xml:space="preserve">with LIBOR </w:t>
      </w:r>
      <w:r w:rsidRPr="00D053BC">
        <w:rPr>
          <w:b w:val="0"/>
        </w:rPr>
        <w:t>reset quarterly.</w:t>
      </w:r>
    </w:p>
    <w:p w14:paraId="62ECAC8D" w14:textId="24BA565A" w:rsidR="00F80EB3" w:rsidRDefault="00F80EB3" w:rsidP="00F80EB3">
      <w:pPr>
        <w:pStyle w:val="question"/>
      </w:pPr>
      <w:r w:rsidRPr="00747833">
        <w:t>Q.</w:t>
      </w:r>
      <w:r w:rsidRPr="00747833">
        <w:tab/>
      </w:r>
      <w:r w:rsidR="00DE2402">
        <w:t>How has PSE determined the requested cost of</w:t>
      </w:r>
      <w:r w:rsidR="0000384C">
        <w:t xml:space="preserve"> </w:t>
      </w:r>
      <w:r w:rsidR="0032127E">
        <w:t xml:space="preserve">long-term debt </w:t>
      </w:r>
      <w:r w:rsidR="00DE2402">
        <w:t>in this proceeding?</w:t>
      </w:r>
    </w:p>
    <w:p w14:paraId="047EA6F8" w14:textId="13B57F76" w:rsidR="0000384C" w:rsidRDefault="00F80EB3" w:rsidP="00F80EB3">
      <w:pPr>
        <w:pStyle w:val="answer"/>
        <w:widowControl w:val="0"/>
        <w:rPr>
          <w:szCs w:val="24"/>
        </w:rPr>
      </w:pPr>
      <w:r>
        <w:t>A.</w:t>
      </w:r>
      <w:r>
        <w:tab/>
      </w:r>
      <w:r w:rsidR="0032127E">
        <w:t>The actual total weighted average long-term debt rate from the test year was used</w:t>
      </w:r>
      <w:r w:rsidR="00061DAC">
        <w:t xml:space="preserve"> for the fixed rate </w:t>
      </w:r>
      <w:r w:rsidR="00C6471A">
        <w:t>portion of PSE’s long-term debt portfolio</w:t>
      </w:r>
      <w:r w:rsidR="00F914D1">
        <w:t xml:space="preserve">. </w:t>
      </w:r>
      <w:r w:rsidR="00B744A7">
        <w:rPr>
          <w:szCs w:val="24"/>
        </w:rPr>
        <w:t>To calculate the projected cost of floatin</w:t>
      </w:r>
      <w:r w:rsidR="00307377">
        <w:rPr>
          <w:szCs w:val="24"/>
        </w:rPr>
        <w:t xml:space="preserve">g rate long-term debt, PSE </w:t>
      </w:r>
      <w:r w:rsidR="008855FA">
        <w:rPr>
          <w:szCs w:val="24"/>
        </w:rPr>
        <w:t>added</w:t>
      </w:r>
      <w:r w:rsidR="00307377">
        <w:rPr>
          <w:szCs w:val="24"/>
        </w:rPr>
        <w:t xml:space="preserve"> 2.53</w:t>
      </w:r>
      <w:r w:rsidR="0000384C">
        <w:rPr>
          <w:szCs w:val="24"/>
        </w:rPr>
        <w:t> percent</w:t>
      </w:r>
      <w:r w:rsidR="00307377">
        <w:rPr>
          <w:szCs w:val="24"/>
        </w:rPr>
        <w:t xml:space="preserve"> to a projected 3-month LIBOR rate during t</w:t>
      </w:r>
      <w:r w:rsidR="001C6795">
        <w:rPr>
          <w:szCs w:val="24"/>
        </w:rPr>
        <w:t>h</w:t>
      </w:r>
      <w:r w:rsidR="00307377">
        <w:rPr>
          <w:szCs w:val="24"/>
        </w:rPr>
        <w:t>e rate year. Please see page</w:t>
      </w:r>
      <w:r w:rsidR="0000384C">
        <w:rPr>
          <w:szCs w:val="24"/>
        </w:rPr>
        <w:t> </w:t>
      </w:r>
      <w:r w:rsidR="00307377">
        <w:rPr>
          <w:szCs w:val="24"/>
        </w:rPr>
        <w:t xml:space="preserve">4 of </w:t>
      </w:r>
      <w:r w:rsidR="00307377">
        <w:t>Exhibit No</w:t>
      </w:r>
      <w:r w:rsidR="00307377" w:rsidRPr="009C15AC">
        <w:t>. ___(</w:t>
      </w:r>
      <w:r w:rsidR="00307377" w:rsidRPr="00D053BC">
        <w:t>BJL-</w:t>
      </w:r>
      <w:r w:rsidR="008F0BA9">
        <w:t>4</w:t>
      </w:r>
      <w:r w:rsidR="00307377" w:rsidRPr="009C15AC">
        <w:t>)</w:t>
      </w:r>
      <w:r w:rsidR="00607844">
        <w:t xml:space="preserve"> for this calculation.</w:t>
      </w:r>
    </w:p>
    <w:p w14:paraId="684AB7D5" w14:textId="77777777" w:rsidR="00DD4FDE" w:rsidRDefault="00DD4FDE" w:rsidP="00DD4FDE">
      <w:pPr>
        <w:pStyle w:val="question"/>
      </w:pPr>
      <w:r>
        <w:t>Q.</w:t>
      </w:r>
      <w:r>
        <w:tab/>
        <w:t>What is PSE</w:t>
      </w:r>
      <w:r w:rsidR="00EC7294">
        <w:t>’</w:t>
      </w:r>
      <w:r>
        <w:t>s requested cost of long-term debt in this proceeding?</w:t>
      </w:r>
    </w:p>
    <w:p w14:paraId="157B66BC" w14:textId="270F171C" w:rsidR="00DD4FDE" w:rsidRDefault="00DD4FDE" w:rsidP="00895F20">
      <w:pPr>
        <w:pStyle w:val="answer"/>
      </w:pPr>
      <w:r>
        <w:t>A.</w:t>
      </w:r>
      <w:r>
        <w:tab/>
        <w:t>PSE</w:t>
      </w:r>
      <w:r w:rsidR="00EC7294">
        <w:t>’</w:t>
      </w:r>
      <w:r>
        <w:t xml:space="preserve">s requested cost of long-term debt in this proceeding </w:t>
      </w:r>
      <w:r w:rsidRPr="009C15AC">
        <w:t xml:space="preserve">is </w:t>
      </w:r>
      <w:r w:rsidRPr="00D053BC">
        <w:t>5.</w:t>
      </w:r>
      <w:r w:rsidR="00ED0F70" w:rsidRPr="00D053BC">
        <w:t>7</w:t>
      </w:r>
      <w:r w:rsidR="007E6CE0" w:rsidRPr="00D053BC">
        <w:t>3</w:t>
      </w:r>
      <w:r w:rsidR="00EC7294" w:rsidRPr="009C15AC">
        <w:t> </w:t>
      </w:r>
      <w:r w:rsidRPr="009C15AC">
        <w:t>percent as shown in Exhibit No.</w:t>
      </w:r>
      <w:r w:rsidR="00EC7294" w:rsidRPr="009C15AC">
        <w:t> </w:t>
      </w:r>
      <w:r w:rsidRPr="00676B24">
        <w:t>___(</w:t>
      </w:r>
      <w:r w:rsidRPr="00D053BC">
        <w:t>BJL-</w:t>
      </w:r>
      <w:r w:rsidR="00E82681">
        <w:t>4</w:t>
      </w:r>
      <w:r w:rsidRPr="009C15AC">
        <w:t xml:space="preserve">), at </w:t>
      </w:r>
      <w:r w:rsidRPr="00D053BC">
        <w:t>page</w:t>
      </w:r>
      <w:r w:rsidR="00EC7294" w:rsidRPr="00D053BC">
        <w:t> </w:t>
      </w:r>
      <w:r w:rsidRPr="00D053BC">
        <w:t>2, line</w:t>
      </w:r>
      <w:r w:rsidR="00EC7294" w:rsidRPr="00D053BC">
        <w:t> </w:t>
      </w:r>
      <w:r w:rsidRPr="00D053BC">
        <w:t>2</w:t>
      </w:r>
      <w:r w:rsidR="00676B24" w:rsidRPr="00D053BC">
        <w:t>9</w:t>
      </w:r>
      <w:r w:rsidRPr="00D053BC">
        <w:t>, column</w:t>
      </w:r>
      <w:r w:rsidR="00EC7294" w:rsidRPr="00D053BC">
        <w:t> </w:t>
      </w:r>
      <w:r w:rsidR="0081116C">
        <w:t>F</w:t>
      </w:r>
      <w:r w:rsidRPr="009C15AC">
        <w:t>.</w:t>
      </w:r>
    </w:p>
    <w:p w14:paraId="591F8E65" w14:textId="4EEEFB91" w:rsidR="0024325B" w:rsidRDefault="0024325B" w:rsidP="00E500CC">
      <w:pPr>
        <w:pStyle w:val="Heading2"/>
      </w:pPr>
      <w:bookmarkStart w:id="32" w:name="_Toc471380883"/>
      <w:r>
        <w:t>C.</w:t>
      </w:r>
      <w:r>
        <w:tab/>
        <w:t>PSE’s Overall Cost of Debt</w:t>
      </w:r>
      <w:bookmarkEnd w:id="32"/>
    </w:p>
    <w:p w14:paraId="05444790" w14:textId="0BA646E4" w:rsidR="00E354FC" w:rsidRDefault="00E354FC" w:rsidP="00E354FC">
      <w:pPr>
        <w:pStyle w:val="answer"/>
        <w:rPr>
          <w:b/>
          <w:bCs/>
        </w:rPr>
      </w:pPr>
      <w:r>
        <w:rPr>
          <w:b/>
          <w:bCs/>
        </w:rPr>
        <w:t>Q.</w:t>
      </w:r>
      <w:r w:rsidR="0000384C">
        <w:rPr>
          <w:b/>
          <w:bCs/>
        </w:rPr>
        <w:tab/>
      </w:r>
      <w:r>
        <w:rPr>
          <w:b/>
          <w:bCs/>
        </w:rPr>
        <w:t>What actions has</w:t>
      </w:r>
      <w:r w:rsidR="00C364BE">
        <w:rPr>
          <w:b/>
          <w:bCs/>
        </w:rPr>
        <w:t xml:space="preserve"> PSE taken towards managing its debt</w:t>
      </w:r>
      <w:r>
        <w:rPr>
          <w:b/>
          <w:bCs/>
        </w:rPr>
        <w:t>?</w:t>
      </w:r>
    </w:p>
    <w:p w14:paraId="277A0CDF" w14:textId="008C1D2C" w:rsidR="00E354FC" w:rsidRDefault="00E354FC" w:rsidP="00E354FC">
      <w:pPr>
        <w:pStyle w:val="answer"/>
      </w:pPr>
      <w:r>
        <w:t>A</w:t>
      </w:r>
      <w:r w:rsidR="0000384C">
        <w:t>,</w:t>
      </w:r>
      <w:r w:rsidR="0000384C">
        <w:tab/>
      </w:r>
      <w:r w:rsidR="00C364BE">
        <w:t>PSE</w:t>
      </w:r>
      <w:r>
        <w:t xml:space="preserve"> has recognized external financial market conditions and taken several actions that have reduced the impact of debt capital financings on its cost of capital:</w:t>
      </w:r>
    </w:p>
    <w:p w14:paraId="104C8B46" w14:textId="05379E5C" w:rsidR="00E354FC" w:rsidRDefault="00E354FC" w:rsidP="0000384C">
      <w:pPr>
        <w:pStyle w:val="answer"/>
        <w:numPr>
          <w:ilvl w:val="0"/>
          <w:numId w:val="39"/>
        </w:numPr>
        <w:spacing w:after="280" w:line="240" w:lineRule="auto"/>
        <w:ind w:right="720"/>
      </w:pPr>
      <w:r>
        <w:t xml:space="preserve">in 2013, </w:t>
      </w:r>
      <w:r w:rsidR="0000384C">
        <w:t xml:space="preserve">PSE </w:t>
      </w:r>
      <w:r>
        <w:t>refinanced two Pollution Control Bonds, which resulted in annual savings of $1.9</w:t>
      </w:r>
      <w:r w:rsidR="0000384C">
        <w:t> </w:t>
      </w:r>
      <w:r>
        <w:t>million;</w:t>
      </w:r>
    </w:p>
    <w:p w14:paraId="6387C21C" w14:textId="72BE1080" w:rsidR="00E354FC" w:rsidRDefault="00E354FC" w:rsidP="0000384C">
      <w:pPr>
        <w:pStyle w:val="answer"/>
        <w:numPr>
          <w:ilvl w:val="0"/>
          <w:numId w:val="39"/>
        </w:numPr>
        <w:spacing w:after="280" w:line="240" w:lineRule="auto"/>
        <w:ind w:right="720"/>
      </w:pPr>
      <w:r>
        <w:lastRenderedPageBreak/>
        <w:t xml:space="preserve">in 2014, </w:t>
      </w:r>
      <w:r w:rsidR="0000384C">
        <w:t xml:space="preserve">PSE </w:t>
      </w:r>
      <w:r>
        <w:t>refinanced and reduced the size of its operating company credit facility, resulting in a $5.3</w:t>
      </w:r>
      <w:r w:rsidR="0000384C">
        <w:t> </w:t>
      </w:r>
      <w:r>
        <w:t>million reduction in commitment fees;</w:t>
      </w:r>
    </w:p>
    <w:p w14:paraId="4AEC4D5C" w14:textId="74FA7AC6" w:rsidR="00E354FC" w:rsidRDefault="00E354FC" w:rsidP="0000384C">
      <w:pPr>
        <w:pStyle w:val="answer"/>
        <w:numPr>
          <w:ilvl w:val="0"/>
          <w:numId w:val="39"/>
        </w:numPr>
        <w:spacing w:after="280" w:line="240" w:lineRule="auto"/>
        <w:ind w:right="720"/>
      </w:pPr>
      <w:r>
        <w:t xml:space="preserve">and in 2015, </w:t>
      </w:r>
      <w:r w:rsidR="00E85C57">
        <w:t xml:space="preserve">PSE </w:t>
      </w:r>
      <w:r>
        <w:t xml:space="preserve">called two </w:t>
      </w:r>
      <w:r w:rsidR="00E85C57">
        <w:t>senior s</w:t>
      </w:r>
      <w:r>
        <w:t xml:space="preserve">ecured bonds with a combined notional </w:t>
      </w:r>
      <w:r w:rsidR="00E85C57">
        <w:t xml:space="preserve">value </w:t>
      </w:r>
      <w:r>
        <w:t>of $400</w:t>
      </w:r>
      <w:r w:rsidR="00E85C57">
        <w:t> </w:t>
      </w:r>
      <w:r>
        <w:t>million and refinanced them at lower rates</w:t>
      </w:r>
      <w:r w:rsidR="00E85C57">
        <w:t>,</w:t>
      </w:r>
      <w:r>
        <w:t xml:space="preserve"> which resulted in $6.</w:t>
      </w:r>
      <w:r w:rsidR="00607844">
        <w:t>1</w:t>
      </w:r>
      <w:r w:rsidR="00E85C57">
        <w:t> </w:t>
      </w:r>
      <w:r>
        <w:t xml:space="preserve">million in annual </w:t>
      </w:r>
      <w:r w:rsidR="00260D0D">
        <w:t xml:space="preserve">interest </w:t>
      </w:r>
      <w:r>
        <w:t>savings</w:t>
      </w:r>
      <w:r w:rsidR="00260D0D">
        <w:t>.</w:t>
      </w:r>
    </w:p>
    <w:p w14:paraId="1C9AD741" w14:textId="26AF0770" w:rsidR="0024325B" w:rsidRDefault="0024325B" w:rsidP="0024325B">
      <w:pPr>
        <w:pStyle w:val="question"/>
      </w:pPr>
      <w:r>
        <w:t>Q.</w:t>
      </w:r>
      <w:r>
        <w:tab/>
        <w:t>How has PSE’s cost of long-term debt chan</w:t>
      </w:r>
      <w:r w:rsidR="00E85C57">
        <w:t>ged over time?</w:t>
      </w:r>
    </w:p>
    <w:p w14:paraId="7B40A09E" w14:textId="77777777" w:rsidR="0024325B" w:rsidRDefault="0024325B" w:rsidP="0024325B">
      <w:pPr>
        <w:pStyle w:val="answer"/>
      </w:pPr>
      <w:r>
        <w:t>A.</w:t>
      </w:r>
      <w:r>
        <w:tab/>
        <w:t>PSE’s overall cost of long-term debt has fallen well over 100 basis points, when comparing PSE’s request in this rate proceeding to the actual cost of long-term debt in calendar year 2000. This improvement is the result of replacing higher cost debt with lower cost debt over time.</w:t>
      </w:r>
    </w:p>
    <w:p w14:paraId="795EBC97" w14:textId="77777777" w:rsidR="0024325B" w:rsidRDefault="0024325B" w:rsidP="0024325B">
      <w:pPr>
        <w:pStyle w:val="NestedAnswer"/>
      </w:pPr>
      <w:r>
        <w:t xml:space="preserve">Figure 1 below shows the reduction in the actual cost of long-term debt over time from calendar year 2000 up to the cost of long-term debt requested in this rate proceeding. </w:t>
      </w:r>
    </w:p>
    <w:p w14:paraId="4275DBF9" w14:textId="77777777" w:rsidR="0024325B" w:rsidRPr="00FA3849" w:rsidRDefault="0024325B" w:rsidP="0024325B">
      <w:pPr>
        <w:keepNext/>
        <w:keepLines/>
        <w:widowControl w:val="0"/>
        <w:spacing w:after="80"/>
        <w:jc w:val="center"/>
        <w:rPr>
          <w:b/>
        </w:rPr>
      </w:pPr>
      <w:r w:rsidRPr="00FA3849">
        <w:rPr>
          <w:b/>
        </w:rPr>
        <w:t>Figure 1. Improvement in Cost of Long-Term Debt</w:t>
      </w:r>
    </w:p>
    <w:p w14:paraId="3E84C7AF" w14:textId="1ED1553D" w:rsidR="0024325B" w:rsidRDefault="00DD320D" w:rsidP="0024325B">
      <w:r>
        <w:rPr>
          <w:noProof/>
        </w:rPr>
        <w:drawing>
          <wp:inline distT="0" distB="0" distL="0" distR="0" wp14:anchorId="7D52F8C4" wp14:editId="3857C9A0">
            <wp:extent cx="5486400" cy="3022668"/>
            <wp:effectExtent l="0" t="0" r="0"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95A908D" w14:textId="5594AEED" w:rsidR="0024325B" w:rsidRDefault="0024325B" w:rsidP="005E7063">
      <w:pPr>
        <w:pStyle w:val="NestedAnswer"/>
        <w:spacing w:before="360"/>
      </w:pPr>
      <w:r>
        <w:lastRenderedPageBreak/>
        <w:t>Please note that the cost of long-term debt shown in Figure 1 is adjusted to exclude amortization of losses on reacquired debt.</w:t>
      </w:r>
      <w:r w:rsidR="00DD320D">
        <w:t xml:space="preserve"> </w:t>
      </w:r>
      <w:r>
        <w:t xml:space="preserve">Applying the reduction </w:t>
      </w:r>
      <w:r w:rsidRPr="009C15AC">
        <w:t xml:space="preserve">of </w:t>
      </w:r>
      <w:r w:rsidRPr="00D053BC">
        <w:t>1</w:t>
      </w:r>
      <w:r w:rsidR="002B6F53" w:rsidRPr="00D053BC">
        <w:t>68</w:t>
      </w:r>
      <w:r w:rsidRPr="009C15AC">
        <w:t> basis points (</w:t>
      </w:r>
      <w:r w:rsidRPr="00D053BC">
        <w:t>7.41</w:t>
      </w:r>
      <w:r w:rsidRPr="009C15AC">
        <w:t xml:space="preserve"> percent minus </w:t>
      </w:r>
      <w:r w:rsidRPr="00D053BC">
        <w:t>5.</w:t>
      </w:r>
      <w:r w:rsidR="00DD320D">
        <w:t>73</w:t>
      </w:r>
      <w:r w:rsidR="00DD320D" w:rsidRPr="009C15AC">
        <w:t> </w:t>
      </w:r>
      <w:r w:rsidRPr="009C15AC">
        <w:t>percent) to the long-term debt in the test year capital structure of approximately $</w:t>
      </w:r>
      <w:r w:rsidRPr="00D053BC">
        <w:t>3.8</w:t>
      </w:r>
      <w:r w:rsidRPr="009C15AC">
        <w:t xml:space="preserve"> billion results in a test year after-tax interest savings equivalent to approximately </w:t>
      </w:r>
      <w:r w:rsidRPr="00D053BC">
        <w:t>$</w:t>
      </w:r>
      <w:r w:rsidR="003E4AB7" w:rsidRPr="00D053BC">
        <w:t>42</w:t>
      </w:r>
      <w:r w:rsidRPr="009C15AC">
        <w:t> million, compared to what it</w:t>
      </w:r>
      <w:r>
        <w:t xml:space="preserve"> would have been at the cost of long-term debt level from calendar year 2000.</w:t>
      </w:r>
    </w:p>
    <w:p w14:paraId="02686105" w14:textId="77777777" w:rsidR="0024325B" w:rsidRDefault="0024325B" w:rsidP="0024325B">
      <w:pPr>
        <w:pStyle w:val="question"/>
      </w:pPr>
      <w:r>
        <w:t>Q.</w:t>
      </w:r>
      <w:r>
        <w:tab/>
        <w:t>Please explain how PSE’s long-term debt costs have been reduced from the credit ratings upgrade resulting from the merger.</w:t>
      </w:r>
    </w:p>
    <w:p w14:paraId="795EB097" w14:textId="77777777" w:rsidR="0024325B" w:rsidRDefault="0024325B" w:rsidP="0024325B">
      <w:pPr>
        <w:pStyle w:val="answer"/>
      </w:pPr>
      <w:r>
        <w:t>A.</w:t>
      </w:r>
      <w:r>
        <w:tab/>
        <w:t>The closing of the merger in February of 2009 resulted in an equity contribution of $805 million to PSE. This equity infusion is, in part, one of the reasons for the upgrade in PSE’s credit ratings from pre-merger levels. In 2009, Standard &amp; Poor’s (“S&amp;P”) increased the corporate credit rating of PSE from “BBB-” to “BBB”. In 2011, Moody’s Investor Services (“Moody’s”) raised the corporate credit rating of PSE from “Baa3” to “Baa2”. This equity has been productively invested since the merger, and customers have benefited from lower interest cost on long-term fixed rate bonds.</w:t>
      </w:r>
    </w:p>
    <w:p w14:paraId="40A97E67" w14:textId="77777777" w:rsidR="0024325B" w:rsidRDefault="0024325B" w:rsidP="0024325B">
      <w:pPr>
        <w:pStyle w:val="question"/>
      </w:pPr>
      <w:r>
        <w:t>Q.</w:t>
      </w:r>
      <w:r>
        <w:tab/>
        <w:t>How does this long-term debt savings relate to PSE’s rate request?</w:t>
      </w:r>
    </w:p>
    <w:p w14:paraId="118C503D" w14:textId="04ED1C08" w:rsidR="0024325B" w:rsidRPr="00E354FC" w:rsidRDefault="0024325B" w:rsidP="006A6E43">
      <w:pPr>
        <w:pStyle w:val="answer"/>
      </w:pPr>
      <w:r>
        <w:t>A.</w:t>
      </w:r>
      <w:r>
        <w:tab/>
        <w:t>The significant estimated cost benefits derived from the merger in the form of interest savings on long-term debt, as well as the other improvements over time, are built into PSE’s cost of capital request in this and prior rate proceedings. These estimated cost savings are substantial and will continue to benefit customers for years to come.</w:t>
      </w:r>
    </w:p>
    <w:p w14:paraId="6E59E3E2" w14:textId="1364AE76" w:rsidR="00E500CC" w:rsidRDefault="0024325B" w:rsidP="00E500CC">
      <w:pPr>
        <w:pStyle w:val="Heading2"/>
      </w:pPr>
      <w:bookmarkStart w:id="33" w:name="_Toc471380884"/>
      <w:r>
        <w:lastRenderedPageBreak/>
        <w:t>D</w:t>
      </w:r>
      <w:r w:rsidR="00E500CC">
        <w:t>.</w:t>
      </w:r>
      <w:r w:rsidR="00E500CC">
        <w:tab/>
        <w:t>The Cost of Common Equity</w:t>
      </w:r>
      <w:bookmarkEnd w:id="33"/>
    </w:p>
    <w:p w14:paraId="5A737F27" w14:textId="433BE392" w:rsidR="00E500CC" w:rsidRPr="00AE1E2E" w:rsidRDefault="00E500CC" w:rsidP="00E500CC">
      <w:pPr>
        <w:pStyle w:val="question"/>
      </w:pPr>
      <w:r w:rsidRPr="00AE1E2E">
        <w:t>Q.</w:t>
      </w:r>
      <w:r w:rsidRPr="00AE1E2E">
        <w:tab/>
      </w:r>
      <w:r w:rsidR="00D818AB">
        <w:t>What is PSE’s requested return on equity in this proceeding</w:t>
      </w:r>
      <w:r w:rsidRPr="00AE1E2E">
        <w:t>?</w:t>
      </w:r>
    </w:p>
    <w:p w14:paraId="1176969E" w14:textId="2BC00414" w:rsidR="00E500CC" w:rsidRDefault="00E500CC" w:rsidP="006A1C0B">
      <w:pPr>
        <w:pStyle w:val="answer"/>
        <w:widowControl w:val="0"/>
      </w:pPr>
      <w:r w:rsidRPr="00AE1E2E">
        <w:t>A.</w:t>
      </w:r>
      <w:r w:rsidRPr="00AE1E2E">
        <w:rPr>
          <w:i/>
        </w:rPr>
        <w:tab/>
      </w:r>
      <w:r w:rsidRPr="00AE1E2E">
        <w:t xml:space="preserve">As discussed in the </w:t>
      </w:r>
      <w:r w:rsidR="00992AAA">
        <w:t>P</w:t>
      </w:r>
      <w:r w:rsidRPr="00AE1E2E">
        <w:t xml:space="preserve">refiled </w:t>
      </w:r>
      <w:r w:rsidR="00992AAA">
        <w:t>Direct T</w:t>
      </w:r>
      <w:r w:rsidRPr="00AE1E2E">
        <w:t xml:space="preserve">estimony of </w:t>
      </w:r>
      <w:r>
        <w:t>Dan</w:t>
      </w:r>
      <w:r w:rsidR="00607844">
        <w:t>iel</w:t>
      </w:r>
      <w:r w:rsidRPr="00AE1E2E">
        <w:t xml:space="preserve"> </w:t>
      </w:r>
      <w:r>
        <w:t>A</w:t>
      </w:r>
      <w:r w:rsidRPr="00AE1E2E">
        <w:t xml:space="preserve">. </w:t>
      </w:r>
      <w:r>
        <w:t>Doyle</w:t>
      </w:r>
      <w:r w:rsidR="00745CD1">
        <w:t xml:space="preserve">, PSE is requesting a </w:t>
      </w:r>
      <w:r>
        <w:t xml:space="preserve">return on equity </w:t>
      </w:r>
      <w:r w:rsidRPr="00842715">
        <w:t xml:space="preserve">of </w:t>
      </w:r>
      <w:r w:rsidRPr="00384B99">
        <w:t>9.</w:t>
      </w:r>
      <w:r w:rsidR="002C619A" w:rsidRPr="00384B99">
        <w:t>8</w:t>
      </w:r>
      <w:r w:rsidR="00E85C57">
        <w:t> </w:t>
      </w:r>
      <w:r w:rsidR="00745CD1" w:rsidRPr="00842715">
        <w:t>percent</w:t>
      </w:r>
      <w:r w:rsidRPr="00842715">
        <w:t>. Please see Exhibit No. ___(DAD-</w:t>
      </w:r>
      <w:r w:rsidRPr="00384B99">
        <w:t>1T</w:t>
      </w:r>
      <w:r w:rsidRPr="00842715">
        <w:t>).</w:t>
      </w:r>
    </w:p>
    <w:p w14:paraId="3A20F38B" w14:textId="77777777" w:rsidR="00DD4FDE" w:rsidRDefault="00DD4FDE" w:rsidP="00DD4FDE">
      <w:pPr>
        <w:pStyle w:val="Heading1"/>
      </w:pPr>
      <w:bookmarkStart w:id="34" w:name="_Toc442956041"/>
      <w:bookmarkStart w:id="35" w:name="_Toc443908476"/>
      <w:bookmarkStart w:id="36" w:name="_Toc471380885"/>
      <w:r>
        <w:t>IV.</w:t>
      </w:r>
      <w:r>
        <w:tab/>
        <w:t>PSE</w:t>
      </w:r>
      <w:r w:rsidR="00EC7294">
        <w:t>’</w:t>
      </w:r>
      <w:r>
        <w:t>S CREDIT RATINGS</w:t>
      </w:r>
      <w:bookmarkEnd w:id="34"/>
      <w:bookmarkEnd w:id="35"/>
      <w:bookmarkEnd w:id="36"/>
      <w:r>
        <w:t xml:space="preserve"> </w:t>
      </w:r>
    </w:p>
    <w:p w14:paraId="1D2BECA5" w14:textId="77777777" w:rsidR="00DD4FDE" w:rsidRDefault="00DD4FDE" w:rsidP="00DD4FDE">
      <w:pPr>
        <w:pStyle w:val="question"/>
      </w:pPr>
      <w:r>
        <w:t>Q.</w:t>
      </w:r>
      <w:r>
        <w:tab/>
        <w:t>What are rating agencies and credit ratings?</w:t>
      </w:r>
    </w:p>
    <w:p w14:paraId="392244EB" w14:textId="4C572D36" w:rsidR="00DD4FDE" w:rsidRDefault="00DD4FDE" w:rsidP="00895F20">
      <w:pPr>
        <w:pStyle w:val="answer"/>
      </w:pPr>
      <w:r>
        <w:t>A.</w:t>
      </w:r>
      <w:r>
        <w:tab/>
        <w:t>Rating agencies are independent agencies that assess risks for investors. The two most widely recognized rating agencies are S&amp;P</w:t>
      </w:r>
      <w:r w:rsidR="00CB22D1">
        <w:t xml:space="preserve"> </w:t>
      </w:r>
      <w:r>
        <w:t>and Moody</w:t>
      </w:r>
      <w:r w:rsidR="00EC7294">
        <w:t>’</w:t>
      </w:r>
      <w:r>
        <w:t>s. These rating agencies issue credit ratings to companies and their securities. These ratings provide information to investors regarding risks associated with such companies and their debt securities.</w:t>
      </w:r>
    </w:p>
    <w:p w14:paraId="72BAB014" w14:textId="77777777" w:rsidR="00DD4FDE" w:rsidRDefault="00DD4FDE" w:rsidP="00DD4FDE">
      <w:pPr>
        <w:pStyle w:val="question"/>
      </w:pPr>
      <w:r>
        <w:t>Q.</w:t>
      </w:r>
      <w:r>
        <w:tab/>
        <w:t>What are PSE</w:t>
      </w:r>
      <w:r w:rsidR="00EC7294">
        <w:t>’</w:t>
      </w:r>
      <w:r>
        <w:t>s current credit ratings?</w:t>
      </w:r>
    </w:p>
    <w:p w14:paraId="7F01DEC1" w14:textId="483469A2" w:rsidR="00DD4FDE" w:rsidRDefault="00DD4FDE" w:rsidP="00895F20">
      <w:pPr>
        <w:pStyle w:val="answer"/>
      </w:pPr>
      <w:r>
        <w:t>A.</w:t>
      </w:r>
      <w:r>
        <w:tab/>
        <w:t>PSE</w:t>
      </w:r>
      <w:r w:rsidR="00EC7294">
        <w:t>’</w:t>
      </w:r>
      <w:r>
        <w:t>s current credit ratings are shown in Table</w:t>
      </w:r>
      <w:r w:rsidR="00E823C4">
        <w:t> </w:t>
      </w:r>
      <w:r w:rsidR="003952D2">
        <w:t>3</w:t>
      </w:r>
      <w:r>
        <w:t xml:space="preserve"> below:</w:t>
      </w:r>
    </w:p>
    <w:p w14:paraId="05CB9D1C" w14:textId="00C50A91" w:rsidR="00FA3849" w:rsidRPr="00FA3849" w:rsidRDefault="00FA3849" w:rsidP="00FA3849">
      <w:pPr>
        <w:keepNext/>
        <w:keepLines/>
        <w:widowControl w:val="0"/>
        <w:spacing w:after="80"/>
        <w:jc w:val="center"/>
        <w:rPr>
          <w:b/>
          <w:szCs w:val="20"/>
          <w:lang w:eastAsia="zh-CN"/>
        </w:rPr>
      </w:pPr>
      <w:r w:rsidRPr="00FA3849">
        <w:rPr>
          <w:b/>
          <w:szCs w:val="20"/>
          <w:lang w:eastAsia="zh-CN"/>
        </w:rPr>
        <w:t>Table</w:t>
      </w:r>
      <w:r w:rsidR="00E823C4">
        <w:rPr>
          <w:b/>
          <w:szCs w:val="20"/>
          <w:lang w:eastAsia="zh-CN"/>
        </w:rPr>
        <w:t> </w:t>
      </w:r>
      <w:r w:rsidR="003952D2">
        <w:rPr>
          <w:b/>
          <w:szCs w:val="20"/>
          <w:lang w:eastAsia="zh-CN"/>
        </w:rPr>
        <w:t>3</w:t>
      </w:r>
      <w:r>
        <w:rPr>
          <w:b/>
          <w:szCs w:val="20"/>
          <w:lang w:eastAsia="zh-CN"/>
        </w:rPr>
        <w:t xml:space="preserve">. </w:t>
      </w:r>
      <w:r w:rsidRPr="00FA3849">
        <w:rPr>
          <w:b/>
          <w:szCs w:val="20"/>
          <w:lang w:eastAsia="zh-CN"/>
        </w:rPr>
        <w:t>PSE Credit Ratings</w:t>
      </w:r>
    </w:p>
    <w:tbl>
      <w:tblPr>
        <w:tblW w:w="0" w:type="auto"/>
        <w:jc w:val="center"/>
        <w:tblLook w:val="01E0" w:firstRow="1" w:lastRow="1" w:firstColumn="1" w:lastColumn="1" w:noHBand="0" w:noVBand="0"/>
      </w:tblPr>
      <w:tblGrid>
        <w:gridCol w:w="3978"/>
        <w:gridCol w:w="1620"/>
        <w:gridCol w:w="1530"/>
      </w:tblGrid>
      <w:tr w:rsidR="00FA3849" w:rsidRPr="00FA3849" w14:paraId="0BCACF3E" w14:textId="77777777" w:rsidTr="00FA3849">
        <w:trPr>
          <w:jc w:val="center"/>
        </w:trPr>
        <w:tc>
          <w:tcPr>
            <w:tcW w:w="3978" w:type="dxa"/>
            <w:tcBorders>
              <w:bottom w:val="single" w:sz="4" w:space="0" w:color="auto"/>
            </w:tcBorders>
            <w:shd w:val="clear" w:color="auto" w:fill="auto"/>
            <w:vAlign w:val="center"/>
          </w:tcPr>
          <w:p w14:paraId="6F56EC8C" w14:textId="77777777" w:rsidR="00FA3849" w:rsidRPr="00FA3849" w:rsidRDefault="00FA3849" w:rsidP="00FA3849">
            <w:pPr>
              <w:keepNext/>
              <w:keepLines/>
              <w:widowControl w:val="0"/>
              <w:spacing w:before="60" w:after="60"/>
              <w:jc w:val="center"/>
              <w:rPr>
                <w:b/>
                <w:sz w:val="22"/>
                <w:szCs w:val="22"/>
                <w:lang w:eastAsia="zh-CN"/>
              </w:rPr>
            </w:pPr>
            <w:r w:rsidRPr="00FA3849">
              <w:rPr>
                <w:b/>
                <w:sz w:val="22"/>
                <w:szCs w:val="22"/>
                <w:lang w:eastAsia="zh-CN"/>
              </w:rPr>
              <w:t>Security</w:t>
            </w:r>
          </w:p>
        </w:tc>
        <w:tc>
          <w:tcPr>
            <w:tcW w:w="1620" w:type="dxa"/>
            <w:tcBorders>
              <w:bottom w:val="single" w:sz="4" w:space="0" w:color="auto"/>
            </w:tcBorders>
            <w:shd w:val="clear" w:color="auto" w:fill="auto"/>
            <w:vAlign w:val="center"/>
          </w:tcPr>
          <w:p w14:paraId="74BDAB98" w14:textId="77777777" w:rsidR="00FA3849" w:rsidRPr="00FA3849" w:rsidRDefault="00FA3849" w:rsidP="00FA3849">
            <w:pPr>
              <w:keepNext/>
              <w:keepLines/>
              <w:widowControl w:val="0"/>
              <w:spacing w:before="60" w:after="60"/>
              <w:jc w:val="center"/>
              <w:rPr>
                <w:b/>
                <w:sz w:val="22"/>
                <w:szCs w:val="22"/>
                <w:lang w:eastAsia="zh-CN"/>
              </w:rPr>
            </w:pPr>
            <w:r w:rsidRPr="00FA3849">
              <w:rPr>
                <w:b/>
                <w:sz w:val="22"/>
                <w:szCs w:val="22"/>
                <w:lang w:eastAsia="zh-CN"/>
              </w:rPr>
              <w:t>S&amp;P</w:t>
            </w:r>
          </w:p>
        </w:tc>
        <w:tc>
          <w:tcPr>
            <w:tcW w:w="1530" w:type="dxa"/>
            <w:tcBorders>
              <w:bottom w:val="single" w:sz="4" w:space="0" w:color="auto"/>
            </w:tcBorders>
            <w:shd w:val="clear" w:color="auto" w:fill="auto"/>
            <w:vAlign w:val="center"/>
          </w:tcPr>
          <w:p w14:paraId="2B6CE646" w14:textId="77777777" w:rsidR="00FA3849" w:rsidRPr="00FA3849" w:rsidRDefault="00FA3849" w:rsidP="00FA3849">
            <w:pPr>
              <w:keepNext/>
              <w:keepLines/>
              <w:widowControl w:val="0"/>
              <w:spacing w:before="60" w:after="60"/>
              <w:jc w:val="center"/>
              <w:rPr>
                <w:b/>
                <w:sz w:val="22"/>
                <w:szCs w:val="22"/>
                <w:lang w:eastAsia="zh-CN"/>
              </w:rPr>
            </w:pPr>
            <w:r w:rsidRPr="00FA3849">
              <w:rPr>
                <w:b/>
                <w:sz w:val="22"/>
                <w:szCs w:val="22"/>
                <w:lang w:eastAsia="zh-CN"/>
              </w:rPr>
              <w:t>Moody's</w:t>
            </w:r>
          </w:p>
        </w:tc>
      </w:tr>
      <w:tr w:rsidR="00FA3849" w:rsidRPr="00FA3849" w14:paraId="09A3C86B" w14:textId="77777777" w:rsidTr="00FA3849">
        <w:trPr>
          <w:jc w:val="center"/>
        </w:trPr>
        <w:tc>
          <w:tcPr>
            <w:tcW w:w="3978" w:type="dxa"/>
            <w:tcBorders>
              <w:top w:val="single" w:sz="4" w:space="0" w:color="auto"/>
            </w:tcBorders>
          </w:tcPr>
          <w:p w14:paraId="7E7D3FC2" w14:textId="77777777" w:rsidR="00FA3849" w:rsidRPr="00FA3849" w:rsidRDefault="00FA3849" w:rsidP="00FA3849">
            <w:pPr>
              <w:keepNext/>
              <w:keepLines/>
              <w:widowControl w:val="0"/>
              <w:spacing w:before="60" w:after="60"/>
              <w:rPr>
                <w:szCs w:val="20"/>
                <w:lang w:eastAsia="zh-CN"/>
              </w:rPr>
            </w:pPr>
            <w:r w:rsidRPr="00FA3849">
              <w:rPr>
                <w:szCs w:val="20"/>
                <w:lang w:eastAsia="zh-CN"/>
              </w:rPr>
              <w:t>Corporate credit/issuer rating</w:t>
            </w:r>
          </w:p>
        </w:tc>
        <w:tc>
          <w:tcPr>
            <w:tcW w:w="1620" w:type="dxa"/>
            <w:tcBorders>
              <w:top w:val="single" w:sz="4" w:space="0" w:color="auto"/>
            </w:tcBorders>
          </w:tcPr>
          <w:p w14:paraId="2603E532" w14:textId="77777777" w:rsidR="00FA3849" w:rsidRPr="00FA3849" w:rsidRDefault="00FA3849" w:rsidP="00FA3849">
            <w:pPr>
              <w:keepNext/>
              <w:keepLines/>
              <w:widowControl w:val="0"/>
              <w:spacing w:before="60" w:after="60"/>
              <w:jc w:val="center"/>
              <w:rPr>
                <w:szCs w:val="20"/>
                <w:lang w:eastAsia="zh-CN"/>
              </w:rPr>
            </w:pPr>
            <w:r w:rsidRPr="00FA3849">
              <w:rPr>
                <w:szCs w:val="20"/>
                <w:lang w:eastAsia="zh-CN"/>
              </w:rPr>
              <w:t>BBB</w:t>
            </w:r>
          </w:p>
        </w:tc>
        <w:tc>
          <w:tcPr>
            <w:tcW w:w="1530" w:type="dxa"/>
            <w:tcBorders>
              <w:top w:val="single" w:sz="4" w:space="0" w:color="auto"/>
            </w:tcBorders>
          </w:tcPr>
          <w:p w14:paraId="7E7C8268" w14:textId="77777777" w:rsidR="00FA3849" w:rsidRPr="00FA3849" w:rsidRDefault="00FA3849" w:rsidP="00FA3849">
            <w:pPr>
              <w:keepNext/>
              <w:keepLines/>
              <w:widowControl w:val="0"/>
              <w:spacing w:before="60" w:after="60"/>
              <w:jc w:val="center"/>
              <w:rPr>
                <w:szCs w:val="20"/>
                <w:lang w:eastAsia="zh-CN"/>
              </w:rPr>
            </w:pPr>
            <w:r w:rsidRPr="00FA3849">
              <w:rPr>
                <w:szCs w:val="20"/>
                <w:lang w:eastAsia="zh-CN"/>
              </w:rPr>
              <w:t>Baa1</w:t>
            </w:r>
          </w:p>
        </w:tc>
      </w:tr>
      <w:tr w:rsidR="00FA3849" w:rsidRPr="00FA3849" w14:paraId="67CA873D" w14:textId="77777777" w:rsidTr="00FA3849">
        <w:trPr>
          <w:jc w:val="center"/>
        </w:trPr>
        <w:tc>
          <w:tcPr>
            <w:tcW w:w="3978" w:type="dxa"/>
          </w:tcPr>
          <w:p w14:paraId="6B4C7547" w14:textId="77777777" w:rsidR="00FA3849" w:rsidRPr="00FA3849" w:rsidRDefault="00FA3849" w:rsidP="00FA3849">
            <w:pPr>
              <w:keepNext/>
              <w:keepLines/>
              <w:widowControl w:val="0"/>
              <w:spacing w:before="60" w:after="60"/>
              <w:rPr>
                <w:szCs w:val="20"/>
                <w:lang w:eastAsia="zh-CN"/>
              </w:rPr>
            </w:pPr>
            <w:r w:rsidRPr="00FA3849">
              <w:rPr>
                <w:szCs w:val="20"/>
                <w:lang w:eastAsia="zh-CN"/>
              </w:rPr>
              <w:t>Senior Secured Debt</w:t>
            </w:r>
          </w:p>
        </w:tc>
        <w:tc>
          <w:tcPr>
            <w:tcW w:w="1620" w:type="dxa"/>
          </w:tcPr>
          <w:p w14:paraId="6F3C1EC6" w14:textId="77777777" w:rsidR="00FA3849" w:rsidRPr="00FA3849" w:rsidRDefault="00FA3849" w:rsidP="00FA3849">
            <w:pPr>
              <w:keepNext/>
              <w:keepLines/>
              <w:widowControl w:val="0"/>
              <w:spacing w:before="60" w:after="60"/>
              <w:jc w:val="center"/>
              <w:rPr>
                <w:szCs w:val="20"/>
                <w:lang w:eastAsia="zh-CN"/>
              </w:rPr>
            </w:pPr>
            <w:r w:rsidRPr="00FA3849">
              <w:rPr>
                <w:szCs w:val="20"/>
                <w:lang w:eastAsia="zh-CN"/>
              </w:rPr>
              <w:t>A-</w:t>
            </w:r>
          </w:p>
        </w:tc>
        <w:tc>
          <w:tcPr>
            <w:tcW w:w="1530" w:type="dxa"/>
          </w:tcPr>
          <w:p w14:paraId="7075870A" w14:textId="77777777" w:rsidR="00FA3849" w:rsidRPr="00FA3849" w:rsidRDefault="00FA3849" w:rsidP="00FA3849">
            <w:pPr>
              <w:keepNext/>
              <w:keepLines/>
              <w:widowControl w:val="0"/>
              <w:spacing w:before="60" w:after="60"/>
              <w:jc w:val="center"/>
              <w:rPr>
                <w:szCs w:val="20"/>
                <w:lang w:eastAsia="zh-CN"/>
              </w:rPr>
            </w:pPr>
            <w:r w:rsidRPr="00FA3849">
              <w:rPr>
                <w:szCs w:val="20"/>
                <w:lang w:eastAsia="zh-CN"/>
              </w:rPr>
              <w:t>A2</w:t>
            </w:r>
          </w:p>
        </w:tc>
      </w:tr>
      <w:tr w:rsidR="00FA3849" w:rsidRPr="00FA3849" w14:paraId="756FAFF9" w14:textId="77777777" w:rsidTr="00FA3849">
        <w:trPr>
          <w:jc w:val="center"/>
        </w:trPr>
        <w:tc>
          <w:tcPr>
            <w:tcW w:w="3978" w:type="dxa"/>
          </w:tcPr>
          <w:p w14:paraId="5FB30BB2" w14:textId="77777777" w:rsidR="00FA3849" w:rsidRPr="00FA3849" w:rsidRDefault="00FA3849" w:rsidP="00FA3849">
            <w:pPr>
              <w:keepNext/>
              <w:keepLines/>
              <w:widowControl w:val="0"/>
              <w:spacing w:before="60" w:after="60"/>
              <w:rPr>
                <w:szCs w:val="20"/>
                <w:lang w:eastAsia="zh-CN"/>
              </w:rPr>
            </w:pPr>
            <w:r w:rsidRPr="00FA3849">
              <w:rPr>
                <w:szCs w:val="20"/>
                <w:lang w:eastAsia="zh-CN"/>
              </w:rPr>
              <w:t>Junior Subordinated Notes</w:t>
            </w:r>
          </w:p>
        </w:tc>
        <w:tc>
          <w:tcPr>
            <w:tcW w:w="1620" w:type="dxa"/>
          </w:tcPr>
          <w:p w14:paraId="72D49203" w14:textId="77777777" w:rsidR="00FA3849" w:rsidRPr="00FA3849" w:rsidRDefault="00FA3849" w:rsidP="00FA3849">
            <w:pPr>
              <w:keepNext/>
              <w:keepLines/>
              <w:widowControl w:val="0"/>
              <w:spacing w:before="60" w:after="60"/>
              <w:jc w:val="center"/>
              <w:rPr>
                <w:szCs w:val="20"/>
                <w:lang w:eastAsia="zh-CN"/>
              </w:rPr>
            </w:pPr>
            <w:r w:rsidRPr="00FA3849">
              <w:rPr>
                <w:szCs w:val="20"/>
                <w:lang w:eastAsia="zh-CN"/>
              </w:rPr>
              <w:t>BB+</w:t>
            </w:r>
          </w:p>
        </w:tc>
        <w:tc>
          <w:tcPr>
            <w:tcW w:w="1530" w:type="dxa"/>
          </w:tcPr>
          <w:p w14:paraId="5FF281F0" w14:textId="77777777" w:rsidR="00FA3849" w:rsidRPr="00FA3849" w:rsidRDefault="00FA3849" w:rsidP="00FA3849">
            <w:pPr>
              <w:keepNext/>
              <w:keepLines/>
              <w:widowControl w:val="0"/>
              <w:spacing w:before="60" w:after="60"/>
              <w:jc w:val="center"/>
              <w:rPr>
                <w:szCs w:val="20"/>
                <w:lang w:eastAsia="zh-CN"/>
              </w:rPr>
            </w:pPr>
            <w:r w:rsidRPr="00FA3849">
              <w:rPr>
                <w:szCs w:val="20"/>
                <w:lang w:eastAsia="zh-CN"/>
              </w:rPr>
              <w:t>Baa2</w:t>
            </w:r>
          </w:p>
        </w:tc>
      </w:tr>
      <w:tr w:rsidR="00FA3849" w:rsidRPr="00FA3849" w14:paraId="083C1303" w14:textId="77777777" w:rsidTr="00FA3849">
        <w:trPr>
          <w:jc w:val="center"/>
        </w:trPr>
        <w:tc>
          <w:tcPr>
            <w:tcW w:w="3978" w:type="dxa"/>
          </w:tcPr>
          <w:p w14:paraId="58BED0DA" w14:textId="77777777" w:rsidR="00FA3849" w:rsidRPr="00FA3849" w:rsidRDefault="00FA3849" w:rsidP="00FA3849">
            <w:pPr>
              <w:keepNext/>
              <w:keepLines/>
              <w:widowControl w:val="0"/>
              <w:spacing w:before="60" w:after="60"/>
              <w:rPr>
                <w:szCs w:val="20"/>
                <w:lang w:eastAsia="zh-CN"/>
              </w:rPr>
            </w:pPr>
            <w:r w:rsidRPr="00FA3849">
              <w:rPr>
                <w:szCs w:val="20"/>
                <w:lang w:eastAsia="zh-CN"/>
              </w:rPr>
              <w:t>Commercial Paper</w:t>
            </w:r>
          </w:p>
        </w:tc>
        <w:tc>
          <w:tcPr>
            <w:tcW w:w="1620" w:type="dxa"/>
          </w:tcPr>
          <w:p w14:paraId="2B5F1C87" w14:textId="77777777" w:rsidR="00FA3849" w:rsidRPr="00FA3849" w:rsidRDefault="00FA3849" w:rsidP="00FA3849">
            <w:pPr>
              <w:keepNext/>
              <w:keepLines/>
              <w:widowControl w:val="0"/>
              <w:spacing w:before="60" w:after="60"/>
              <w:jc w:val="center"/>
              <w:rPr>
                <w:szCs w:val="20"/>
                <w:lang w:eastAsia="zh-CN"/>
              </w:rPr>
            </w:pPr>
            <w:r w:rsidRPr="00FA3849">
              <w:rPr>
                <w:szCs w:val="20"/>
                <w:lang w:eastAsia="zh-CN"/>
              </w:rPr>
              <w:t>A-2</w:t>
            </w:r>
          </w:p>
        </w:tc>
        <w:tc>
          <w:tcPr>
            <w:tcW w:w="1530" w:type="dxa"/>
          </w:tcPr>
          <w:p w14:paraId="7AD63F01" w14:textId="77777777" w:rsidR="00FA3849" w:rsidRPr="00FA3849" w:rsidRDefault="00FA3849" w:rsidP="00FA3849">
            <w:pPr>
              <w:keepNext/>
              <w:keepLines/>
              <w:widowControl w:val="0"/>
              <w:spacing w:before="60" w:after="60"/>
              <w:jc w:val="center"/>
              <w:rPr>
                <w:szCs w:val="20"/>
                <w:lang w:eastAsia="zh-CN"/>
              </w:rPr>
            </w:pPr>
            <w:r w:rsidRPr="00FA3849">
              <w:rPr>
                <w:szCs w:val="20"/>
                <w:lang w:eastAsia="zh-CN"/>
              </w:rPr>
              <w:t>P-2</w:t>
            </w:r>
          </w:p>
        </w:tc>
      </w:tr>
      <w:tr w:rsidR="00FA3849" w:rsidRPr="00FA3849" w14:paraId="5A47C5C6" w14:textId="77777777" w:rsidTr="00FA3849">
        <w:trPr>
          <w:trHeight w:val="305"/>
          <w:jc w:val="center"/>
        </w:trPr>
        <w:tc>
          <w:tcPr>
            <w:tcW w:w="3978" w:type="dxa"/>
          </w:tcPr>
          <w:p w14:paraId="03B20122" w14:textId="77777777" w:rsidR="00FA3849" w:rsidRPr="00FA3849" w:rsidRDefault="00FA3849" w:rsidP="00FA3849">
            <w:pPr>
              <w:widowControl w:val="0"/>
              <w:spacing w:before="60" w:after="60"/>
              <w:rPr>
                <w:szCs w:val="20"/>
                <w:lang w:eastAsia="zh-CN"/>
              </w:rPr>
            </w:pPr>
            <w:r w:rsidRPr="00FA3849">
              <w:rPr>
                <w:szCs w:val="20"/>
                <w:lang w:eastAsia="zh-CN"/>
              </w:rPr>
              <w:t>Bank Facilities</w:t>
            </w:r>
          </w:p>
        </w:tc>
        <w:tc>
          <w:tcPr>
            <w:tcW w:w="1620" w:type="dxa"/>
          </w:tcPr>
          <w:p w14:paraId="5EE21AD0" w14:textId="77777777" w:rsidR="00FA3849" w:rsidRPr="00FA3849" w:rsidRDefault="00FA3849" w:rsidP="00FA3849">
            <w:pPr>
              <w:widowControl w:val="0"/>
              <w:spacing w:before="60" w:after="60"/>
              <w:jc w:val="center"/>
              <w:rPr>
                <w:szCs w:val="20"/>
                <w:lang w:eastAsia="zh-CN"/>
              </w:rPr>
            </w:pPr>
            <w:r w:rsidRPr="00FA3849">
              <w:rPr>
                <w:szCs w:val="20"/>
                <w:lang w:eastAsia="zh-CN"/>
              </w:rPr>
              <w:t>BBB</w:t>
            </w:r>
          </w:p>
        </w:tc>
        <w:tc>
          <w:tcPr>
            <w:tcW w:w="1530" w:type="dxa"/>
          </w:tcPr>
          <w:p w14:paraId="232B96E0" w14:textId="77777777" w:rsidR="00FA3849" w:rsidRPr="00FA3849" w:rsidRDefault="00FA3849" w:rsidP="00FA3849">
            <w:pPr>
              <w:widowControl w:val="0"/>
              <w:spacing w:before="60" w:after="60"/>
              <w:jc w:val="center"/>
              <w:rPr>
                <w:szCs w:val="20"/>
                <w:lang w:eastAsia="zh-CN"/>
              </w:rPr>
            </w:pPr>
            <w:r w:rsidRPr="00FA3849">
              <w:rPr>
                <w:szCs w:val="20"/>
                <w:lang w:eastAsia="zh-CN"/>
              </w:rPr>
              <w:t>Baa1</w:t>
            </w:r>
          </w:p>
        </w:tc>
      </w:tr>
    </w:tbl>
    <w:p w14:paraId="0E7B11D4" w14:textId="7BC76581" w:rsidR="00DD4FDE" w:rsidRDefault="00DD4FDE" w:rsidP="00FA3849">
      <w:pPr>
        <w:pStyle w:val="question"/>
        <w:spacing w:before="360"/>
      </w:pPr>
      <w:r>
        <w:lastRenderedPageBreak/>
        <w:t>Q.</w:t>
      </w:r>
      <w:r>
        <w:tab/>
        <w:t>Have the credit ratings of PSE changed</w:t>
      </w:r>
      <w:r w:rsidR="00E42FC1">
        <w:t xml:space="preserve"> since the last general rate case</w:t>
      </w:r>
      <w:r>
        <w:t>?</w:t>
      </w:r>
    </w:p>
    <w:p w14:paraId="22679DC7" w14:textId="7E835016" w:rsidR="00DD4FDE" w:rsidRDefault="00DD4FDE" w:rsidP="00895F20">
      <w:pPr>
        <w:pStyle w:val="answer"/>
      </w:pPr>
      <w:r>
        <w:t>A.</w:t>
      </w:r>
      <w:r>
        <w:tab/>
        <w:t>Yes. In late 2013 both S&amp;P and Moody</w:t>
      </w:r>
      <w:r w:rsidR="00EC7294">
        <w:t>’</w:t>
      </w:r>
      <w:r>
        <w:t>s revised their individual utility industry ratings methodology. As a result of that ratings methodology change, many utility companies were upgraded, of which PSE was included. In November 2013, S&amp;P affirmed PSE</w:t>
      </w:r>
      <w:r w:rsidR="00EC7294">
        <w:t>’</w:t>
      </w:r>
      <w:r>
        <w:t>s existing credit ratings, and then in January 2014, Moody</w:t>
      </w:r>
      <w:r w:rsidR="00EC7294">
        <w:t>’</w:t>
      </w:r>
      <w:r>
        <w:t>s upgraded PSE from Baa2 to Baa1.</w:t>
      </w:r>
    </w:p>
    <w:p w14:paraId="7C1C91C3" w14:textId="036A1D33" w:rsidR="00DD4FDE" w:rsidRDefault="00DD4FDE" w:rsidP="00DD4FDE">
      <w:pPr>
        <w:pStyle w:val="question"/>
      </w:pPr>
      <w:r>
        <w:t>Q.</w:t>
      </w:r>
      <w:r>
        <w:tab/>
        <w:t>Why are credit ratings important to PSE?</w:t>
      </w:r>
    </w:p>
    <w:p w14:paraId="6F10E810" w14:textId="4AD0A1AC" w:rsidR="00DD4FDE" w:rsidRDefault="00DD4FDE" w:rsidP="00895F20">
      <w:pPr>
        <w:pStyle w:val="answer"/>
      </w:pPr>
      <w:r>
        <w:t>A.</w:t>
      </w:r>
      <w:r>
        <w:tab/>
        <w:t xml:space="preserve">Credit ratings are important because PSE will be issuing long-term debt securities to finance utility operations going forward. In addition, </w:t>
      </w:r>
      <w:r w:rsidR="00607291">
        <w:t xml:space="preserve">credit ratings have a direct impact on PSE’s liquidity </w:t>
      </w:r>
      <w:r w:rsidR="00F802B7">
        <w:t xml:space="preserve">position </w:t>
      </w:r>
      <w:r w:rsidR="00607291">
        <w:t xml:space="preserve">through short-term borrowings. Furthermore, </w:t>
      </w:r>
      <w:r>
        <w:t>PSE agreed to continue to be rated by S&amp;P and Moody</w:t>
      </w:r>
      <w:r w:rsidR="00EC7294">
        <w:t>’</w:t>
      </w:r>
      <w:r>
        <w:t xml:space="preserve">s going forward in </w:t>
      </w:r>
      <w:r w:rsidR="00CB22D1">
        <w:t>Merger Commitment </w:t>
      </w:r>
      <w:r>
        <w:t>39.</w:t>
      </w:r>
    </w:p>
    <w:p w14:paraId="76A3A22C" w14:textId="77777777" w:rsidR="00DD4FDE" w:rsidRDefault="00DD4FDE" w:rsidP="00DD4FDE">
      <w:pPr>
        <w:pStyle w:val="question"/>
      </w:pPr>
      <w:r>
        <w:t>Q.</w:t>
      </w:r>
      <w:r>
        <w:tab/>
        <w:t>Why are credit ratings important to customers?</w:t>
      </w:r>
    </w:p>
    <w:p w14:paraId="7E9175A1" w14:textId="77777777" w:rsidR="00DD4FDE" w:rsidRDefault="00DD4FDE" w:rsidP="00895F20">
      <w:pPr>
        <w:pStyle w:val="answer"/>
      </w:pPr>
      <w:r>
        <w:t>A.</w:t>
      </w:r>
      <w:r>
        <w:tab/>
        <w:t>Credit ratings are important to customers because they are an overall representation of a company</w:t>
      </w:r>
      <w:r w:rsidR="00EC7294">
        <w:t>’</w:t>
      </w:r>
      <w:r>
        <w:t>s financial health. As a result, they are a major factor in determining the cost of capital to PSE and ultimately its customers. A low credit rating reflects increased risks for investors, which, in turn, results in a higher cost of capital, which increases the cost of service to customers.</w:t>
      </w:r>
    </w:p>
    <w:p w14:paraId="2D5AA73D" w14:textId="48415F32" w:rsidR="00DD4FDE" w:rsidRDefault="00DD4FDE" w:rsidP="00DD4FDE">
      <w:pPr>
        <w:pStyle w:val="question"/>
      </w:pPr>
      <w:r>
        <w:t>Q.</w:t>
      </w:r>
      <w:r>
        <w:tab/>
        <w:t>What is PSE</w:t>
      </w:r>
      <w:r w:rsidR="00EC7294">
        <w:t>’</w:t>
      </w:r>
      <w:r>
        <w:t>s view on its credit ratings at the present time?</w:t>
      </w:r>
    </w:p>
    <w:p w14:paraId="09CE8B7B" w14:textId="23697B29" w:rsidR="00DD4FDE" w:rsidRDefault="00DD4FDE" w:rsidP="00895F20">
      <w:pPr>
        <w:pStyle w:val="answer"/>
      </w:pPr>
      <w:r>
        <w:t>A.</w:t>
      </w:r>
      <w:r>
        <w:tab/>
        <w:t xml:space="preserve">PSE is seeking to at least retain its current senior secured debt ratings of </w:t>
      </w:r>
      <w:r w:rsidR="00EC7294">
        <w:t>“</w:t>
      </w:r>
      <w:r>
        <w:t>A-</w:t>
      </w:r>
      <w:r w:rsidR="00EC7294">
        <w:t>”</w:t>
      </w:r>
      <w:r>
        <w:t xml:space="preserve"> and </w:t>
      </w:r>
      <w:r w:rsidR="00EC7294">
        <w:t>“</w:t>
      </w:r>
      <w:r>
        <w:t>A2</w:t>
      </w:r>
      <w:r w:rsidR="00EC7294">
        <w:t>”</w:t>
      </w:r>
      <w:r>
        <w:t xml:space="preserve"> and its corporate ratings of BBB and Baa1 by S&amp;P and Moody</w:t>
      </w:r>
      <w:r w:rsidR="00EC7294">
        <w:t>’</w:t>
      </w:r>
      <w:r>
        <w:t>s respectively.</w:t>
      </w:r>
    </w:p>
    <w:p w14:paraId="53C9A9A0" w14:textId="77777777" w:rsidR="00DD4FDE" w:rsidRDefault="00DD4FDE" w:rsidP="00DD4FDE">
      <w:pPr>
        <w:pStyle w:val="question"/>
      </w:pPr>
      <w:r>
        <w:lastRenderedPageBreak/>
        <w:t>Q.</w:t>
      </w:r>
      <w:r>
        <w:tab/>
        <w:t>Do the rating agencies have targets or guidelines that relate certain credit metrics with specific credit ratings?</w:t>
      </w:r>
    </w:p>
    <w:p w14:paraId="7A7D44F3" w14:textId="7027D9C6" w:rsidR="00DD4FDE" w:rsidRDefault="00DD4FDE" w:rsidP="00895F20">
      <w:pPr>
        <w:pStyle w:val="answer"/>
      </w:pPr>
      <w:r>
        <w:t>A.</w:t>
      </w:r>
      <w:r>
        <w:tab/>
        <w:t xml:space="preserve">Yes. </w:t>
      </w:r>
      <w:r w:rsidR="007A1180">
        <w:t xml:space="preserve">On </w:t>
      </w:r>
      <w:r>
        <w:t>November</w:t>
      </w:r>
      <w:r w:rsidR="007A1180">
        <w:t> </w:t>
      </w:r>
      <w:r>
        <w:t xml:space="preserve">19, 2013, S&amp;P </w:t>
      </w:r>
      <w:r w:rsidR="007A1180">
        <w:t xml:space="preserve">issued a report that </w:t>
      </w:r>
      <w:r>
        <w:t>revised its ratings criteria.</w:t>
      </w:r>
      <w:r w:rsidR="007A1180" w:rsidRPr="00365DFB">
        <w:rPr>
          <w:rFonts w:eastAsia="Times New Roman"/>
          <w:position w:val="6"/>
          <w:sz w:val="16"/>
        </w:rPr>
        <w:footnoteReference w:id="4"/>
      </w:r>
      <w:r w:rsidR="007A1180">
        <w:t xml:space="preserve"> </w:t>
      </w:r>
      <w:r>
        <w:t>In that report, S&amp;P published the following table related to indicative ratios for medial volatility industries,</w:t>
      </w:r>
      <w:r w:rsidR="007A1180" w:rsidRPr="00365DFB">
        <w:rPr>
          <w:rFonts w:eastAsia="Times New Roman"/>
          <w:position w:val="6"/>
          <w:sz w:val="16"/>
        </w:rPr>
        <w:footnoteReference w:id="5"/>
      </w:r>
      <w:r>
        <w:t xml:space="preserve"> which PSE falls under:</w:t>
      </w:r>
    </w:p>
    <w:p w14:paraId="32CB18B6" w14:textId="1BFE0A9C" w:rsidR="00FA3849" w:rsidRPr="00FA3849" w:rsidRDefault="00FA3849" w:rsidP="00FA3849">
      <w:pPr>
        <w:keepNext/>
        <w:keepLines/>
        <w:widowControl w:val="0"/>
        <w:spacing w:after="60"/>
        <w:jc w:val="center"/>
        <w:rPr>
          <w:b/>
          <w:szCs w:val="20"/>
          <w:lang w:eastAsia="zh-CN"/>
        </w:rPr>
      </w:pPr>
      <w:r>
        <w:rPr>
          <w:b/>
          <w:szCs w:val="20"/>
          <w:lang w:eastAsia="zh-CN"/>
        </w:rPr>
        <w:t>Table</w:t>
      </w:r>
      <w:r w:rsidR="00E823C4">
        <w:rPr>
          <w:b/>
          <w:szCs w:val="20"/>
          <w:lang w:eastAsia="zh-CN"/>
        </w:rPr>
        <w:t> </w:t>
      </w:r>
      <w:r w:rsidR="003952D2">
        <w:rPr>
          <w:b/>
          <w:szCs w:val="20"/>
          <w:lang w:eastAsia="zh-CN"/>
        </w:rPr>
        <w:t>4</w:t>
      </w:r>
      <w:r>
        <w:rPr>
          <w:b/>
          <w:szCs w:val="20"/>
          <w:lang w:eastAsia="zh-CN"/>
        </w:rPr>
        <w:t xml:space="preserve">. </w:t>
      </w:r>
      <w:r w:rsidRPr="00FA3849">
        <w:rPr>
          <w:b/>
          <w:szCs w:val="20"/>
          <w:lang w:eastAsia="zh-CN"/>
        </w:rPr>
        <w:t>S&amp;P Select Cash Flow/Leverage</w:t>
      </w:r>
      <w:r w:rsidR="00DE5FDB">
        <w:rPr>
          <w:b/>
          <w:szCs w:val="20"/>
          <w:lang w:eastAsia="zh-CN"/>
        </w:rPr>
        <w:t xml:space="preserve"> Analysis Ratios</w:t>
      </w:r>
      <w:r>
        <w:rPr>
          <w:b/>
          <w:szCs w:val="20"/>
          <w:lang w:eastAsia="zh-CN"/>
        </w:rPr>
        <w:t>–</w:t>
      </w:r>
      <w:r w:rsidR="00E85C57">
        <w:rPr>
          <w:b/>
          <w:szCs w:val="20"/>
          <w:lang w:eastAsia="zh-CN"/>
        </w:rPr>
        <w:br/>
      </w:r>
      <w:r>
        <w:rPr>
          <w:b/>
          <w:szCs w:val="20"/>
          <w:lang w:eastAsia="zh-CN"/>
        </w:rPr>
        <w:t>Medial Volatility</w:t>
      </w:r>
      <w:r w:rsidR="00E85C57">
        <w:rPr>
          <w:b/>
          <w:szCs w:val="20"/>
          <w:lang w:eastAsia="zh-CN"/>
        </w:rPr>
        <w:t xml:space="preserve"> </w:t>
      </w:r>
      <w:r w:rsidR="00DE5FDB">
        <w:rPr>
          <w:b/>
          <w:szCs w:val="20"/>
          <w:lang w:eastAsia="zh-CN"/>
        </w:rPr>
        <w:t>Core Ratios</w:t>
      </w:r>
    </w:p>
    <w:tbl>
      <w:tblPr>
        <w:tblW w:w="0" w:type="auto"/>
        <w:jc w:val="center"/>
        <w:tblInd w:w="907" w:type="dxa"/>
        <w:tblLook w:val="01E0" w:firstRow="1" w:lastRow="1" w:firstColumn="1" w:lastColumn="1" w:noHBand="0" w:noVBand="0"/>
      </w:tblPr>
      <w:tblGrid>
        <w:gridCol w:w="2081"/>
        <w:gridCol w:w="1800"/>
        <w:gridCol w:w="1920"/>
      </w:tblGrid>
      <w:tr w:rsidR="00FA3849" w:rsidRPr="00FA3849" w14:paraId="67EAE6B3" w14:textId="77777777" w:rsidTr="00FA3849">
        <w:trPr>
          <w:trHeight w:val="526"/>
          <w:jc w:val="center"/>
        </w:trPr>
        <w:tc>
          <w:tcPr>
            <w:tcW w:w="2081" w:type="dxa"/>
            <w:tcBorders>
              <w:bottom w:val="single" w:sz="4" w:space="0" w:color="auto"/>
            </w:tcBorders>
            <w:shd w:val="clear" w:color="auto" w:fill="auto"/>
            <w:vAlign w:val="bottom"/>
          </w:tcPr>
          <w:p w14:paraId="347FD051" w14:textId="77777777" w:rsidR="00FA3849" w:rsidRPr="00FA3849" w:rsidRDefault="00FA3849" w:rsidP="00FA3849">
            <w:pPr>
              <w:keepNext/>
              <w:keepLines/>
              <w:spacing w:before="60" w:after="60"/>
              <w:ind w:firstLine="720"/>
              <w:jc w:val="center"/>
              <w:rPr>
                <w:szCs w:val="20"/>
                <w:lang w:eastAsia="zh-CN"/>
              </w:rPr>
            </w:pPr>
          </w:p>
        </w:tc>
        <w:tc>
          <w:tcPr>
            <w:tcW w:w="1800" w:type="dxa"/>
            <w:tcBorders>
              <w:bottom w:val="single" w:sz="4" w:space="0" w:color="auto"/>
            </w:tcBorders>
            <w:shd w:val="clear" w:color="auto" w:fill="auto"/>
            <w:vAlign w:val="bottom"/>
          </w:tcPr>
          <w:p w14:paraId="07522AF6" w14:textId="738702A9" w:rsidR="00FA3849" w:rsidRDefault="00FA3849" w:rsidP="00DE5FDB">
            <w:pPr>
              <w:keepNext/>
              <w:keepLines/>
              <w:spacing w:before="60" w:after="60"/>
              <w:jc w:val="center"/>
              <w:rPr>
                <w:b/>
                <w:szCs w:val="20"/>
                <w:lang w:eastAsia="zh-CN"/>
              </w:rPr>
            </w:pPr>
            <w:r w:rsidRPr="00FA3849">
              <w:rPr>
                <w:b/>
                <w:szCs w:val="20"/>
                <w:lang w:eastAsia="zh-CN"/>
              </w:rPr>
              <w:t>FFO</w:t>
            </w:r>
            <w:r w:rsidR="00DE5FDB">
              <w:rPr>
                <w:b/>
                <w:szCs w:val="20"/>
                <w:lang w:eastAsia="zh-CN"/>
              </w:rPr>
              <w:t>/d</w:t>
            </w:r>
            <w:r w:rsidRPr="00FA3849">
              <w:rPr>
                <w:b/>
                <w:szCs w:val="20"/>
                <w:lang w:eastAsia="zh-CN"/>
              </w:rPr>
              <w:t>ebt</w:t>
            </w:r>
          </w:p>
          <w:p w14:paraId="266770DE" w14:textId="18947D4E" w:rsidR="00DE5FDB" w:rsidRPr="00FA3849" w:rsidRDefault="00DE5FDB" w:rsidP="00DE5FDB">
            <w:pPr>
              <w:keepNext/>
              <w:keepLines/>
              <w:spacing w:before="60" w:after="60"/>
              <w:jc w:val="center"/>
              <w:rPr>
                <w:b/>
                <w:szCs w:val="20"/>
                <w:lang w:eastAsia="zh-CN"/>
              </w:rPr>
            </w:pPr>
            <w:r>
              <w:rPr>
                <w:b/>
                <w:szCs w:val="20"/>
                <w:lang w:eastAsia="zh-CN"/>
              </w:rPr>
              <w:t>(%)</w:t>
            </w:r>
          </w:p>
        </w:tc>
        <w:tc>
          <w:tcPr>
            <w:tcW w:w="1920" w:type="dxa"/>
            <w:tcBorders>
              <w:bottom w:val="single" w:sz="4" w:space="0" w:color="auto"/>
            </w:tcBorders>
            <w:shd w:val="clear" w:color="auto" w:fill="auto"/>
            <w:vAlign w:val="bottom"/>
          </w:tcPr>
          <w:p w14:paraId="6961CC63" w14:textId="1D7E02CF" w:rsidR="00FA3849" w:rsidRPr="00FA3849" w:rsidRDefault="00FA3849" w:rsidP="00DE5FDB">
            <w:pPr>
              <w:keepNext/>
              <w:keepLines/>
              <w:spacing w:before="60" w:after="60"/>
              <w:jc w:val="center"/>
              <w:rPr>
                <w:b/>
                <w:szCs w:val="20"/>
                <w:lang w:eastAsia="zh-CN"/>
              </w:rPr>
            </w:pPr>
            <w:r w:rsidRPr="00FA3849">
              <w:rPr>
                <w:b/>
                <w:szCs w:val="20"/>
                <w:lang w:eastAsia="zh-CN"/>
              </w:rPr>
              <w:t>Debt</w:t>
            </w:r>
            <w:r w:rsidR="00DE5FDB">
              <w:rPr>
                <w:b/>
                <w:szCs w:val="20"/>
                <w:lang w:eastAsia="zh-CN"/>
              </w:rPr>
              <w:t>/</w:t>
            </w:r>
            <w:r w:rsidRPr="00FA3849">
              <w:rPr>
                <w:b/>
                <w:szCs w:val="20"/>
                <w:lang w:eastAsia="zh-CN"/>
              </w:rPr>
              <w:t>EBITDA</w:t>
            </w:r>
            <w:r w:rsidR="00DE5FDB">
              <w:rPr>
                <w:b/>
                <w:szCs w:val="20"/>
                <w:lang w:eastAsia="zh-CN"/>
              </w:rPr>
              <w:br/>
              <w:t>(x)</w:t>
            </w:r>
          </w:p>
        </w:tc>
      </w:tr>
      <w:tr w:rsidR="00FA3849" w:rsidRPr="00FA3849" w14:paraId="6B52996B" w14:textId="77777777" w:rsidTr="00FA3849">
        <w:trPr>
          <w:trHeight w:val="263"/>
          <w:jc w:val="center"/>
        </w:trPr>
        <w:tc>
          <w:tcPr>
            <w:tcW w:w="2081" w:type="dxa"/>
            <w:tcBorders>
              <w:top w:val="single" w:sz="4" w:space="0" w:color="auto"/>
            </w:tcBorders>
          </w:tcPr>
          <w:p w14:paraId="39A16115" w14:textId="02E04817" w:rsidR="00FA3849" w:rsidRPr="00FA3849" w:rsidRDefault="00DE5FDB" w:rsidP="00FA3849">
            <w:pPr>
              <w:keepNext/>
              <w:keepLines/>
              <w:spacing w:before="60" w:after="60"/>
              <w:rPr>
                <w:szCs w:val="20"/>
                <w:lang w:eastAsia="zh-CN"/>
              </w:rPr>
            </w:pPr>
            <w:r>
              <w:rPr>
                <w:szCs w:val="20"/>
                <w:lang w:eastAsia="zh-CN"/>
              </w:rPr>
              <w:t>Minimal</w:t>
            </w:r>
          </w:p>
        </w:tc>
        <w:tc>
          <w:tcPr>
            <w:tcW w:w="1800" w:type="dxa"/>
            <w:tcBorders>
              <w:top w:val="single" w:sz="4" w:space="0" w:color="auto"/>
            </w:tcBorders>
          </w:tcPr>
          <w:p w14:paraId="7F16265C" w14:textId="5B6B8653" w:rsidR="00FA3849" w:rsidRPr="00FA3849" w:rsidRDefault="00DE5FDB" w:rsidP="00DE5FDB">
            <w:pPr>
              <w:keepNext/>
              <w:keepLines/>
              <w:spacing w:before="60" w:after="60"/>
              <w:jc w:val="center"/>
              <w:rPr>
                <w:szCs w:val="20"/>
                <w:lang w:eastAsia="zh-CN"/>
              </w:rPr>
            </w:pPr>
            <w:r w:rsidRPr="00FA3849">
              <w:rPr>
                <w:szCs w:val="20"/>
                <w:lang w:eastAsia="zh-CN"/>
              </w:rPr>
              <w:t>50</w:t>
            </w:r>
            <w:r>
              <w:rPr>
                <w:szCs w:val="20"/>
                <w:lang w:eastAsia="zh-CN"/>
              </w:rPr>
              <w:t>+</w:t>
            </w:r>
          </w:p>
        </w:tc>
        <w:tc>
          <w:tcPr>
            <w:tcW w:w="1920" w:type="dxa"/>
            <w:tcBorders>
              <w:top w:val="single" w:sz="4" w:space="0" w:color="auto"/>
            </w:tcBorders>
          </w:tcPr>
          <w:p w14:paraId="0FCA9F6C" w14:textId="004FD282" w:rsidR="00FA3849" w:rsidRPr="00FA3849" w:rsidRDefault="00DE5FDB" w:rsidP="00FA3849">
            <w:pPr>
              <w:keepNext/>
              <w:keepLines/>
              <w:spacing w:before="60" w:after="60"/>
              <w:ind w:firstLine="12"/>
              <w:jc w:val="center"/>
              <w:rPr>
                <w:szCs w:val="20"/>
                <w:lang w:eastAsia="zh-CN"/>
              </w:rPr>
            </w:pPr>
            <w:r>
              <w:rPr>
                <w:szCs w:val="20"/>
                <w:lang w:eastAsia="zh-CN"/>
              </w:rPr>
              <w:t>less than 1.75</w:t>
            </w:r>
          </w:p>
        </w:tc>
      </w:tr>
      <w:tr w:rsidR="00DE5FDB" w:rsidRPr="00FA3849" w14:paraId="07758F97" w14:textId="77777777" w:rsidTr="00B95BF1">
        <w:trPr>
          <w:trHeight w:val="263"/>
          <w:jc w:val="center"/>
        </w:trPr>
        <w:tc>
          <w:tcPr>
            <w:tcW w:w="2081" w:type="dxa"/>
          </w:tcPr>
          <w:p w14:paraId="215DBB69" w14:textId="0C7FAD27" w:rsidR="00DE5FDB" w:rsidRPr="00FA3849" w:rsidRDefault="00DE5FDB" w:rsidP="003408F0">
            <w:pPr>
              <w:keepNext/>
              <w:keepLines/>
              <w:spacing w:before="60" w:after="60"/>
              <w:rPr>
                <w:szCs w:val="20"/>
                <w:lang w:eastAsia="zh-CN"/>
              </w:rPr>
            </w:pPr>
            <w:r w:rsidRPr="00FA3849">
              <w:rPr>
                <w:szCs w:val="20"/>
                <w:lang w:eastAsia="zh-CN"/>
              </w:rPr>
              <w:t>Modest</w:t>
            </w:r>
          </w:p>
        </w:tc>
        <w:tc>
          <w:tcPr>
            <w:tcW w:w="1800" w:type="dxa"/>
          </w:tcPr>
          <w:p w14:paraId="23EB7553" w14:textId="28657E9F" w:rsidR="00DE5FDB" w:rsidRPr="00FA3849" w:rsidRDefault="00DE5FDB" w:rsidP="003408F0">
            <w:pPr>
              <w:keepNext/>
              <w:keepLines/>
              <w:spacing w:before="60" w:after="60"/>
              <w:jc w:val="center"/>
              <w:rPr>
                <w:szCs w:val="20"/>
                <w:lang w:eastAsia="zh-CN"/>
              </w:rPr>
            </w:pPr>
            <w:r w:rsidRPr="00FA3849">
              <w:rPr>
                <w:szCs w:val="20"/>
                <w:lang w:eastAsia="zh-CN"/>
              </w:rPr>
              <w:t>35-50</w:t>
            </w:r>
          </w:p>
        </w:tc>
        <w:tc>
          <w:tcPr>
            <w:tcW w:w="1920" w:type="dxa"/>
          </w:tcPr>
          <w:p w14:paraId="1B00C440" w14:textId="0C2922AE" w:rsidR="00DE5FDB" w:rsidRPr="00FA3849" w:rsidRDefault="00DE5FDB" w:rsidP="0064725B">
            <w:pPr>
              <w:keepNext/>
              <w:keepLines/>
              <w:spacing w:before="60" w:after="60"/>
              <w:ind w:firstLine="12"/>
              <w:jc w:val="center"/>
              <w:rPr>
                <w:szCs w:val="20"/>
                <w:lang w:eastAsia="zh-CN"/>
              </w:rPr>
            </w:pPr>
            <w:r>
              <w:rPr>
                <w:szCs w:val="20"/>
                <w:lang w:eastAsia="zh-CN"/>
              </w:rPr>
              <w:t>1.</w:t>
            </w:r>
            <w:r w:rsidR="00FA3849" w:rsidRPr="00FA3849">
              <w:rPr>
                <w:szCs w:val="20"/>
                <w:lang w:eastAsia="zh-CN"/>
              </w:rPr>
              <w:t>75</w:t>
            </w:r>
            <w:r w:rsidR="0064725B">
              <w:rPr>
                <w:szCs w:val="20"/>
                <w:lang w:eastAsia="zh-CN"/>
              </w:rPr>
              <w:t>-</w:t>
            </w:r>
            <w:r w:rsidRPr="00FA3849">
              <w:rPr>
                <w:szCs w:val="20"/>
                <w:lang w:eastAsia="zh-CN"/>
              </w:rPr>
              <w:t>2.</w:t>
            </w:r>
            <w:r w:rsidR="0064725B">
              <w:rPr>
                <w:szCs w:val="20"/>
                <w:lang w:eastAsia="zh-CN"/>
              </w:rPr>
              <w:t>5</w:t>
            </w:r>
          </w:p>
        </w:tc>
      </w:tr>
      <w:tr w:rsidR="00FA3849" w:rsidRPr="00FA3849" w14:paraId="622FD9C4" w14:textId="77777777" w:rsidTr="00FA3849">
        <w:trPr>
          <w:trHeight w:val="263"/>
          <w:jc w:val="center"/>
        </w:trPr>
        <w:tc>
          <w:tcPr>
            <w:tcW w:w="2081" w:type="dxa"/>
          </w:tcPr>
          <w:p w14:paraId="5AD49DFF" w14:textId="77777777" w:rsidR="00FA3849" w:rsidRPr="00FA3849" w:rsidRDefault="00FA3849" w:rsidP="00FA3849">
            <w:pPr>
              <w:keepNext/>
              <w:keepLines/>
              <w:spacing w:before="60" w:after="60"/>
              <w:rPr>
                <w:szCs w:val="20"/>
                <w:lang w:eastAsia="zh-CN"/>
              </w:rPr>
            </w:pPr>
            <w:r w:rsidRPr="00FA3849">
              <w:rPr>
                <w:szCs w:val="20"/>
                <w:lang w:eastAsia="zh-CN"/>
              </w:rPr>
              <w:t>Intermediate</w:t>
            </w:r>
          </w:p>
        </w:tc>
        <w:tc>
          <w:tcPr>
            <w:tcW w:w="1800" w:type="dxa"/>
          </w:tcPr>
          <w:p w14:paraId="29BE30B5" w14:textId="0165D8DB" w:rsidR="00FA3849" w:rsidRPr="00FA3849" w:rsidRDefault="00DE5FDB" w:rsidP="00DE5FDB">
            <w:pPr>
              <w:keepNext/>
              <w:keepLines/>
              <w:spacing w:before="60" w:after="60"/>
              <w:jc w:val="center"/>
              <w:rPr>
                <w:szCs w:val="20"/>
                <w:lang w:eastAsia="zh-CN"/>
              </w:rPr>
            </w:pPr>
            <w:r>
              <w:rPr>
                <w:szCs w:val="20"/>
                <w:lang w:eastAsia="zh-CN"/>
              </w:rPr>
              <w:t>23-</w:t>
            </w:r>
            <w:r w:rsidR="00FA3849" w:rsidRPr="00FA3849">
              <w:rPr>
                <w:szCs w:val="20"/>
                <w:lang w:eastAsia="zh-CN"/>
              </w:rPr>
              <w:t>35</w:t>
            </w:r>
          </w:p>
        </w:tc>
        <w:tc>
          <w:tcPr>
            <w:tcW w:w="1920" w:type="dxa"/>
          </w:tcPr>
          <w:p w14:paraId="005F46E8" w14:textId="32CABD30" w:rsidR="00FA3849" w:rsidRPr="00FA3849" w:rsidRDefault="00FA3849" w:rsidP="00B95BF1">
            <w:pPr>
              <w:keepNext/>
              <w:keepLines/>
              <w:spacing w:before="60" w:after="60"/>
              <w:ind w:firstLine="12"/>
              <w:jc w:val="center"/>
              <w:rPr>
                <w:szCs w:val="20"/>
                <w:lang w:eastAsia="zh-CN"/>
              </w:rPr>
            </w:pPr>
            <w:r w:rsidRPr="00FA3849">
              <w:rPr>
                <w:szCs w:val="20"/>
                <w:lang w:eastAsia="zh-CN"/>
              </w:rPr>
              <w:t>2.5-3.5</w:t>
            </w:r>
          </w:p>
        </w:tc>
      </w:tr>
      <w:tr w:rsidR="00FA3849" w:rsidRPr="00FA3849" w14:paraId="6868C00C" w14:textId="77777777" w:rsidTr="00FA3849">
        <w:trPr>
          <w:trHeight w:val="263"/>
          <w:jc w:val="center"/>
        </w:trPr>
        <w:tc>
          <w:tcPr>
            <w:tcW w:w="2081" w:type="dxa"/>
          </w:tcPr>
          <w:p w14:paraId="60C229D7" w14:textId="77777777" w:rsidR="00FA3849" w:rsidRPr="00FA3849" w:rsidRDefault="00FA3849" w:rsidP="00FA3849">
            <w:pPr>
              <w:keepNext/>
              <w:keepLines/>
              <w:spacing w:before="60" w:after="60"/>
              <w:rPr>
                <w:szCs w:val="20"/>
                <w:lang w:eastAsia="zh-CN"/>
              </w:rPr>
            </w:pPr>
            <w:r w:rsidRPr="00FA3849">
              <w:rPr>
                <w:szCs w:val="20"/>
                <w:lang w:eastAsia="zh-CN"/>
              </w:rPr>
              <w:t>Significant</w:t>
            </w:r>
          </w:p>
        </w:tc>
        <w:tc>
          <w:tcPr>
            <w:tcW w:w="1800" w:type="dxa"/>
          </w:tcPr>
          <w:p w14:paraId="13CC0C14" w14:textId="79E47A0D" w:rsidR="00FA3849" w:rsidRPr="00FA3849" w:rsidRDefault="00FA3849" w:rsidP="00DE5FDB">
            <w:pPr>
              <w:keepNext/>
              <w:keepLines/>
              <w:spacing w:before="60" w:after="60"/>
              <w:jc w:val="center"/>
              <w:rPr>
                <w:szCs w:val="20"/>
                <w:lang w:eastAsia="zh-CN"/>
              </w:rPr>
            </w:pPr>
            <w:r w:rsidRPr="00FA3849">
              <w:rPr>
                <w:szCs w:val="20"/>
                <w:lang w:eastAsia="zh-CN"/>
              </w:rPr>
              <w:t>13-23</w:t>
            </w:r>
          </w:p>
        </w:tc>
        <w:tc>
          <w:tcPr>
            <w:tcW w:w="1920" w:type="dxa"/>
          </w:tcPr>
          <w:p w14:paraId="15F80F1E" w14:textId="58C6EC8C" w:rsidR="00FA3849" w:rsidRPr="00FA3849" w:rsidRDefault="00FA3849" w:rsidP="00B95BF1">
            <w:pPr>
              <w:keepNext/>
              <w:keepLines/>
              <w:spacing w:before="60" w:after="60"/>
              <w:ind w:firstLine="12"/>
              <w:jc w:val="center"/>
              <w:rPr>
                <w:szCs w:val="20"/>
                <w:lang w:eastAsia="zh-CN"/>
              </w:rPr>
            </w:pPr>
            <w:r w:rsidRPr="00FA3849">
              <w:rPr>
                <w:szCs w:val="20"/>
                <w:lang w:eastAsia="zh-CN"/>
              </w:rPr>
              <w:t>3.5-4.5</w:t>
            </w:r>
          </w:p>
        </w:tc>
      </w:tr>
      <w:tr w:rsidR="00DE5FDB" w:rsidRPr="00FA3849" w14:paraId="330C1409" w14:textId="77777777" w:rsidTr="003408F0">
        <w:trPr>
          <w:trHeight w:val="277"/>
          <w:jc w:val="center"/>
        </w:trPr>
        <w:tc>
          <w:tcPr>
            <w:tcW w:w="2081" w:type="dxa"/>
          </w:tcPr>
          <w:p w14:paraId="3D3EAD72" w14:textId="77777777" w:rsidR="00DE5FDB" w:rsidRPr="00FA3849" w:rsidRDefault="00DE5FDB" w:rsidP="003408F0">
            <w:pPr>
              <w:keepNext/>
              <w:spacing w:before="60" w:after="60"/>
              <w:rPr>
                <w:szCs w:val="20"/>
                <w:lang w:eastAsia="zh-CN"/>
              </w:rPr>
            </w:pPr>
            <w:r w:rsidRPr="00FA3849">
              <w:rPr>
                <w:szCs w:val="20"/>
                <w:lang w:eastAsia="zh-CN"/>
              </w:rPr>
              <w:t>Aggressive</w:t>
            </w:r>
          </w:p>
        </w:tc>
        <w:tc>
          <w:tcPr>
            <w:tcW w:w="1800" w:type="dxa"/>
          </w:tcPr>
          <w:p w14:paraId="2890C8DB" w14:textId="1FA87C76" w:rsidR="00DE5FDB" w:rsidRPr="00FA3849" w:rsidRDefault="00DE5FDB" w:rsidP="003408F0">
            <w:pPr>
              <w:keepNext/>
              <w:spacing w:before="60" w:after="60"/>
              <w:jc w:val="center"/>
              <w:rPr>
                <w:szCs w:val="20"/>
                <w:lang w:eastAsia="zh-CN"/>
              </w:rPr>
            </w:pPr>
            <w:r>
              <w:rPr>
                <w:szCs w:val="20"/>
                <w:lang w:eastAsia="zh-CN"/>
              </w:rPr>
              <w:t>9-</w:t>
            </w:r>
            <w:r w:rsidRPr="00FA3849">
              <w:rPr>
                <w:szCs w:val="20"/>
                <w:lang w:eastAsia="zh-CN"/>
              </w:rPr>
              <w:t>13</w:t>
            </w:r>
          </w:p>
        </w:tc>
        <w:tc>
          <w:tcPr>
            <w:tcW w:w="1920" w:type="dxa"/>
          </w:tcPr>
          <w:p w14:paraId="55763640" w14:textId="3B2CFBB2" w:rsidR="00DE5FDB" w:rsidRPr="00FA3849" w:rsidRDefault="00DE5FDB" w:rsidP="00B95BF1">
            <w:pPr>
              <w:keepNext/>
              <w:spacing w:before="60" w:after="60"/>
              <w:ind w:firstLine="12"/>
              <w:jc w:val="center"/>
              <w:rPr>
                <w:szCs w:val="20"/>
                <w:lang w:eastAsia="zh-CN"/>
              </w:rPr>
            </w:pPr>
            <w:r w:rsidRPr="00FA3849">
              <w:rPr>
                <w:szCs w:val="20"/>
                <w:lang w:eastAsia="zh-CN"/>
              </w:rPr>
              <w:t>4.5-5.5</w:t>
            </w:r>
          </w:p>
        </w:tc>
      </w:tr>
      <w:tr w:rsidR="00FA3849" w:rsidRPr="00FA3849" w14:paraId="0BF87170" w14:textId="77777777" w:rsidTr="00FA3849">
        <w:trPr>
          <w:trHeight w:val="277"/>
          <w:jc w:val="center"/>
        </w:trPr>
        <w:tc>
          <w:tcPr>
            <w:tcW w:w="2081" w:type="dxa"/>
          </w:tcPr>
          <w:p w14:paraId="159C7782" w14:textId="1D5100D5" w:rsidR="00FA3849" w:rsidRPr="00FA3849" w:rsidRDefault="00DE5FDB" w:rsidP="00FA3849">
            <w:pPr>
              <w:keepNext/>
              <w:spacing w:before="60" w:after="60"/>
              <w:rPr>
                <w:szCs w:val="20"/>
                <w:lang w:eastAsia="zh-CN"/>
              </w:rPr>
            </w:pPr>
            <w:r>
              <w:rPr>
                <w:szCs w:val="20"/>
                <w:lang w:eastAsia="zh-CN"/>
              </w:rPr>
              <w:t>Highly leveraged</w:t>
            </w:r>
          </w:p>
        </w:tc>
        <w:tc>
          <w:tcPr>
            <w:tcW w:w="1800" w:type="dxa"/>
          </w:tcPr>
          <w:p w14:paraId="2EA18654" w14:textId="4F9DC09A" w:rsidR="00FA3849" w:rsidRPr="00FA3849" w:rsidRDefault="00DE5FDB" w:rsidP="00DE5FDB">
            <w:pPr>
              <w:keepNext/>
              <w:spacing w:before="60" w:after="60"/>
              <w:jc w:val="center"/>
              <w:rPr>
                <w:szCs w:val="20"/>
                <w:lang w:eastAsia="zh-CN"/>
              </w:rPr>
            </w:pPr>
            <w:r>
              <w:rPr>
                <w:szCs w:val="20"/>
                <w:lang w:eastAsia="zh-CN"/>
              </w:rPr>
              <w:t>Less than 9</w:t>
            </w:r>
          </w:p>
        </w:tc>
        <w:tc>
          <w:tcPr>
            <w:tcW w:w="1920" w:type="dxa"/>
          </w:tcPr>
          <w:p w14:paraId="05AAFEAA" w14:textId="324920E5" w:rsidR="00FA3849" w:rsidRPr="00FA3849" w:rsidRDefault="00DE5FDB" w:rsidP="00FA3849">
            <w:pPr>
              <w:keepNext/>
              <w:spacing w:before="60" w:after="60"/>
              <w:ind w:firstLine="12"/>
              <w:jc w:val="center"/>
              <w:rPr>
                <w:szCs w:val="20"/>
                <w:lang w:eastAsia="zh-CN"/>
              </w:rPr>
            </w:pPr>
            <w:r>
              <w:rPr>
                <w:szCs w:val="20"/>
                <w:lang w:eastAsia="zh-CN"/>
              </w:rPr>
              <w:t>Greater than 5.5</w:t>
            </w:r>
          </w:p>
        </w:tc>
      </w:tr>
    </w:tbl>
    <w:p w14:paraId="00B0055A" w14:textId="2B8DF56F" w:rsidR="00A10CC9" w:rsidRDefault="00DD4FDE" w:rsidP="006A1C0B">
      <w:pPr>
        <w:pStyle w:val="NestedAnswer"/>
        <w:spacing w:before="360"/>
      </w:pPr>
      <w:r>
        <w:t xml:space="preserve">Under the new criteria, PSE is classified as having a Business Risk Profile of </w:t>
      </w:r>
      <w:r w:rsidR="00EC7294">
        <w:t>“</w:t>
      </w:r>
      <w:r>
        <w:t>Strong</w:t>
      </w:r>
      <w:r w:rsidR="00EC7294">
        <w:t>”</w:t>
      </w:r>
      <w:r>
        <w:t xml:space="preserve"> and a Financial Risk Profile of </w:t>
      </w:r>
      <w:r w:rsidR="00EC7294">
        <w:t>“</w:t>
      </w:r>
      <w:r w:rsidR="002676B6">
        <w:t>Significant</w:t>
      </w:r>
      <w:r w:rsidR="00EC7294">
        <w:t>”</w:t>
      </w:r>
      <w:r>
        <w:t xml:space="preserve"> with a credit rating of BBB. </w:t>
      </w:r>
    </w:p>
    <w:p w14:paraId="7824659B" w14:textId="20137F88" w:rsidR="00DD4FDE" w:rsidRDefault="00DD4FDE" w:rsidP="0064725B">
      <w:pPr>
        <w:pStyle w:val="NestedAnswer"/>
      </w:pPr>
      <w:r>
        <w:t xml:space="preserve">Furthermore, S&amp;P provided </w:t>
      </w:r>
      <w:r w:rsidR="001F0C74">
        <w:t xml:space="preserve">its expectations for PSE’s </w:t>
      </w:r>
      <w:r w:rsidR="00126988">
        <w:t>funds from operations (FFO)</w:t>
      </w:r>
      <w:r w:rsidR="00266BC6">
        <w:t xml:space="preserve"> to debt</w:t>
      </w:r>
      <w:r w:rsidR="001F0C74">
        <w:t xml:space="preserve"> ratio</w:t>
      </w:r>
      <w:r>
        <w:t xml:space="preserve"> in </w:t>
      </w:r>
      <w:r w:rsidR="00540ADF">
        <w:t xml:space="preserve">its most recent credit report. In the Rationale section of its latest report for PSE, dated </w:t>
      </w:r>
      <w:r w:rsidR="00607844">
        <w:t>December 20</w:t>
      </w:r>
      <w:r w:rsidR="00540ADF">
        <w:t xml:space="preserve">, 2016, </w:t>
      </w:r>
      <w:r>
        <w:t>S&amp;P states</w:t>
      </w:r>
      <w:r w:rsidR="00B22E77">
        <w:t xml:space="preserve"> as follows</w:t>
      </w:r>
      <w:r>
        <w:t>:</w:t>
      </w:r>
    </w:p>
    <w:p w14:paraId="275AD6E8" w14:textId="3369CFD8" w:rsidR="00DD4FDE" w:rsidRDefault="00607844" w:rsidP="00895F20">
      <w:pPr>
        <w:pStyle w:val="Quote"/>
      </w:pPr>
      <w:r w:rsidRPr="00607844">
        <w:t>Credit measures consistently reflect the significant financial risk profile category, including funds from operations (</w:t>
      </w:r>
      <w:proofErr w:type="spellStart"/>
      <w:r w:rsidRPr="00607844">
        <w:t>FFO</w:t>
      </w:r>
      <w:proofErr w:type="spellEnd"/>
      <w:r w:rsidRPr="00607844">
        <w:t>) to debt that we expect to range from 20%-22%.</w:t>
      </w:r>
    </w:p>
    <w:p w14:paraId="62F355D3" w14:textId="77F2F81D" w:rsidR="00B22E77" w:rsidRDefault="00B22E77" w:rsidP="00895F20">
      <w:pPr>
        <w:pStyle w:val="NestedAnswer"/>
      </w:pPr>
      <w:r>
        <w:lastRenderedPageBreak/>
        <w:t>Please see Exhibit No. </w:t>
      </w:r>
      <w:r w:rsidRPr="009C15AC">
        <w:t>___(</w:t>
      </w:r>
      <w:r w:rsidRPr="00D053BC">
        <w:t>BJL-</w:t>
      </w:r>
      <w:r w:rsidR="00726D99">
        <w:t>6</w:t>
      </w:r>
      <w:r>
        <w:t xml:space="preserve">) for the S&amp;P report for PSE, dated </w:t>
      </w:r>
      <w:r w:rsidR="00607844">
        <w:t>December 20</w:t>
      </w:r>
      <w:r>
        <w:t>, 201</w:t>
      </w:r>
      <w:r w:rsidR="00534F16">
        <w:t>6</w:t>
      </w:r>
      <w:r>
        <w:t>.</w:t>
      </w:r>
    </w:p>
    <w:p w14:paraId="2C306DCC" w14:textId="77777777" w:rsidR="00895F20" w:rsidRDefault="00DD4FDE" w:rsidP="00895F20">
      <w:pPr>
        <w:pStyle w:val="NestedAnswer"/>
      </w:pPr>
      <w:r>
        <w:t>In a December 2013 report, Moody</w:t>
      </w:r>
      <w:r w:rsidR="00EC7294">
        <w:t>’</w:t>
      </w:r>
      <w:r>
        <w:t>s revised rating methodology for regulated gas and electric utilities, Moody</w:t>
      </w:r>
      <w:r w:rsidR="00EC7294">
        <w:t>’</w:t>
      </w:r>
      <w:r>
        <w:t>s shows benchmark ranges for certain financial metrics associated w</w:t>
      </w:r>
      <w:r w:rsidR="00895F20">
        <w:t>ith its various ratings levels.</w:t>
      </w:r>
      <w:r w:rsidR="00365DFB" w:rsidRPr="00365DFB">
        <w:rPr>
          <w:rFonts w:eastAsia="Times New Roman"/>
          <w:position w:val="6"/>
          <w:sz w:val="16"/>
        </w:rPr>
        <w:footnoteReference w:id="6"/>
      </w:r>
    </w:p>
    <w:p w14:paraId="58F10566" w14:textId="7BCEB8BC" w:rsidR="00DD4FDE" w:rsidRDefault="00DD4FDE" w:rsidP="005E5570">
      <w:pPr>
        <w:pStyle w:val="NestedAnswer"/>
        <w:keepNext/>
        <w:keepLines/>
      </w:pPr>
      <w:r>
        <w:t>Table</w:t>
      </w:r>
      <w:r w:rsidR="00E823C4">
        <w:t> </w:t>
      </w:r>
      <w:r w:rsidR="003952D2">
        <w:t>5</w:t>
      </w:r>
      <w:r>
        <w:t xml:space="preserve"> below includes the Moody</w:t>
      </w:r>
      <w:r w:rsidR="00EC7294">
        <w:t>’</w:t>
      </w:r>
      <w:r>
        <w:t>s benchmark range for certain credit ratings:</w:t>
      </w:r>
      <w:r w:rsidR="0068425D" w:rsidRPr="00365DFB">
        <w:rPr>
          <w:rFonts w:eastAsia="Times New Roman"/>
          <w:position w:val="6"/>
          <w:sz w:val="16"/>
        </w:rPr>
        <w:footnoteReference w:id="7"/>
      </w:r>
    </w:p>
    <w:p w14:paraId="3168EF2D" w14:textId="3516893A" w:rsidR="00E823C4" w:rsidRPr="00E823C4" w:rsidRDefault="00E823C4" w:rsidP="00E823C4">
      <w:pPr>
        <w:keepNext/>
        <w:keepLines/>
        <w:widowControl w:val="0"/>
        <w:spacing w:after="60"/>
        <w:jc w:val="center"/>
        <w:rPr>
          <w:b/>
          <w:szCs w:val="20"/>
          <w:lang w:eastAsia="zh-CN"/>
        </w:rPr>
      </w:pPr>
      <w:r w:rsidRPr="00E823C4">
        <w:rPr>
          <w:b/>
          <w:szCs w:val="20"/>
          <w:lang w:eastAsia="zh-CN"/>
        </w:rPr>
        <w:t>Table</w:t>
      </w:r>
      <w:r>
        <w:rPr>
          <w:b/>
          <w:szCs w:val="20"/>
          <w:lang w:eastAsia="zh-CN"/>
        </w:rPr>
        <w:t> </w:t>
      </w:r>
      <w:r w:rsidR="003952D2">
        <w:rPr>
          <w:b/>
          <w:szCs w:val="20"/>
          <w:lang w:eastAsia="zh-CN"/>
        </w:rPr>
        <w:t>5</w:t>
      </w:r>
      <w:r>
        <w:rPr>
          <w:b/>
          <w:szCs w:val="20"/>
          <w:lang w:eastAsia="zh-CN"/>
        </w:rPr>
        <w:t xml:space="preserve">. </w:t>
      </w:r>
      <w:r w:rsidRPr="00E823C4">
        <w:rPr>
          <w:b/>
          <w:szCs w:val="20"/>
          <w:lang w:eastAsia="zh-CN"/>
        </w:rPr>
        <w:t>Moody</w:t>
      </w:r>
      <w:r>
        <w:rPr>
          <w:b/>
          <w:szCs w:val="20"/>
          <w:lang w:eastAsia="zh-CN"/>
        </w:rPr>
        <w:t>’</w:t>
      </w:r>
      <w:r w:rsidRPr="00E823C4">
        <w:rPr>
          <w:b/>
          <w:szCs w:val="20"/>
          <w:lang w:eastAsia="zh-CN"/>
        </w:rPr>
        <w:t>s Select Key Ratios</w:t>
      </w:r>
    </w:p>
    <w:tbl>
      <w:tblPr>
        <w:tblW w:w="8291" w:type="dxa"/>
        <w:jc w:val="center"/>
        <w:tblInd w:w="1639" w:type="dxa"/>
        <w:tblLook w:val="01E0" w:firstRow="1" w:lastRow="1" w:firstColumn="1" w:lastColumn="1" w:noHBand="0" w:noVBand="0"/>
      </w:tblPr>
      <w:tblGrid>
        <w:gridCol w:w="1361"/>
        <w:gridCol w:w="1530"/>
        <w:gridCol w:w="1710"/>
        <w:gridCol w:w="2250"/>
        <w:gridCol w:w="1440"/>
      </w:tblGrid>
      <w:tr w:rsidR="00E823C4" w:rsidRPr="00E823C4" w14:paraId="1B6109C5" w14:textId="77777777" w:rsidTr="00E823C4">
        <w:trPr>
          <w:trHeight w:val="526"/>
          <w:jc w:val="center"/>
        </w:trPr>
        <w:tc>
          <w:tcPr>
            <w:tcW w:w="1361" w:type="dxa"/>
            <w:shd w:val="clear" w:color="auto" w:fill="auto"/>
          </w:tcPr>
          <w:p w14:paraId="21AC5203" w14:textId="77777777" w:rsidR="00E823C4" w:rsidRPr="00E823C4" w:rsidRDefault="00E823C4" w:rsidP="00E823C4">
            <w:pPr>
              <w:keepNext/>
              <w:keepLines/>
              <w:tabs>
                <w:tab w:val="left" w:pos="708"/>
              </w:tabs>
              <w:spacing w:before="60" w:after="60"/>
              <w:ind w:firstLine="720"/>
              <w:jc w:val="center"/>
              <w:rPr>
                <w:szCs w:val="20"/>
                <w:lang w:eastAsia="zh-CN"/>
              </w:rPr>
            </w:pPr>
          </w:p>
        </w:tc>
        <w:tc>
          <w:tcPr>
            <w:tcW w:w="1530" w:type="dxa"/>
            <w:tcBorders>
              <w:bottom w:val="single" w:sz="4" w:space="0" w:color="auto"/>
            </w:tcBorders>
            <w:shd w:val="clear" w:color="auto" w:fill="auto"/>
            <w:vAlign w:val="bottom"/>
          </w:tcPr>
          <w:p w14:paraId="6AD30D8F" w14:textId="77777777" w:rsidR="00E823C4" w:rsidRPr="00E823C4" w:rsidRDefault="00E823C4" w:rsidP="00E823C4">
            <w:pPr>
              <w:keepNext/>
              <w:keepLines/>
              <w:spacing w:before="60" w:after="60"/>
              <w:jc w:val="center"/>
              <w:rPr>
                <w:b/>
                <w:szCs w:val="20"/>
                <w:lang w:eastAsia="zh-CN"/>
              </w:rPr>
            </w:pPr>
            <w:r w:rsidRPr="00E823C4">
              <w:rPr>
                <w:b/>
                <w:szCs w:val="20"/>
                <w:lang w:eastAsia="zh-CN"/>
              </w:rPr>
              <w:t>CFO pre-W/C to Debt</w:t>
            </w:r>
          </w:p>
        </w:tc>
        <w:tc>
          <w:tcPr>
            <w:tcW w:w="1710" w:type="dxa"/>
            <w:tcBorders>
              <w:bottom w:val="single" w:sz="4" w:space="0" w:color="auto"/>
            </w:tcBorders>
            <w:shd w:val="clear" w:color="auto" w:fill="auto"/>
            <w:vAlign w:val="bottom"/>
          </w:tcPr>
          <w:p w14:paraId="3DBC2A4D" w14:textId="77777777" w:rsidR="00E823C4" w:rsidRPr="00E823C4" w:rsidRDefault="00E823C4" w:rsidP="00E823C4">
            <w:pPr>
              <w:keepNext/>
              <w:keepLines/>
              <w:spacing w:before="60" w:after="60"/>
              <w:jc w:val="center"/>
              <w:rPr>
                <w:b/>
                <w:szCs w:val="20"/>
                <w:lang w:eastAsia="zh-CN"/>
              </w:rPr>
            </w:pPr>
            <w:r w:rsidRPr="00E823C4">
              <w:rPr>
                <w:b/>
                <w:szCs w:val="20"/>
                <w:lang w:eastAsia="zh-CN"/>
              </w:rPr>
              <w:t>CFO pre-W/C to Interest</w:t>
            </w:r>
          </w:p>
        </w:tc>
        <w:tc>
          <w:tcPr>
            <w:tcW w:w="2250" w:type="dxa"/>
            <w:tcBorders>
              <w:bottom w:val="single" w:sz="4" w:space="0" w:color="auto"/>
            </w:tcBorders>
            <w:shd w:val="clear" w:color="auto" w:fill="auto"/>
            <w:vAlign w:val="bottom"/>
          </w:tcPr>
          <w:p w14:paraId="76AF8F7B" w14:textId="77777777" w:rsidR="00E823C4" w:rsidRPr="00E823C4" w:rsidRDefault="00E823C4" w:rsidP="00E823C4">
            <w:pPr>
              <w:keepNext/>
              <w:keepLines/>
              <w:spacing w:before="60" w:after="60"/>
              <w:ind w:firstLine="12"/>
              <w:jc w:val="center"/>
              <w:rPr>
                <w:b/>
                <w:szCs w:val="20"/>
                <w:lang w:eastAsia="zh-CN"/>
              </w:rPr>
            </w:pPr>
            <w:r w:rsidRPr="00E823C4">
              <w:rPr>
                <w:b/>
                <w:szCs w:val="20"/>
                <w:lang w:eastAsia="zh-CN"/>
              </w:rPr>
              <w:t>CFO pre-W/C less Dividends to Debt</w:t>
            </w:r>
          </w:p>
        </w:tc>
        <w:tc>
          <w:tcPr>
            <w:tcW w:w="1440" w:type="dxa"/>
            <w:tcBorders>
              <w:bottom w:val="single" w:sz="4" w:space="0" w:color="auto"/>
            </w:tcBorders>
            <w:shd w:val="clear" w:color="auto" w:fill="auto"/>
            <w:vAlign w:val="bottom"/>
          </w:tcPr>
          <w:p w14:paraId="482054C6" w14:textId="77777777" w:rsidR="00E823C4" w:rsidRPr="00E823C4" w:rsidRDefault="00E823C4" w:rsidP="00E823C4">
            <w:pPr>
              <w:keepNext/>
              <w:keepLines/>
              <w:spacing w:before="60" w:after="60"/>
              <w:ind w:firstLine="12"/>
              <w:jc w:val="center"/>
              <w:rPr>
                <w:b/>
                <w:szCs w:val="20"/>
                <w:lang w:eastAsia="zh-CN"/>
              </w:rPr>
            </w:pPr>
            <w:r w:rsidRPr="00E823C4">
              <w:rPr>
                <w:b/>
                <w:szCs w:val="20"/>
                <w:lang w:eastAsia="zh-CN"/>
              </w:rPr>
              <w:t>Debt Ratio</w:t>
            </w:r>
          </w:p>
        </w:tc>
      </w:tr>
      <w:tr w:rsidR="00E823C4" w:rsidRPr="00E823C4" w14:paraId="42E25CB0" w14:textId="77777777" w:rsidTr="00E823C4">
        <w:trPr>
          <w:trHeight w:val="263"/>
          <w:jc w:val="center"/>
        </w:trPr>
        <w:tc>
          <w:tcPr>
            <w:tcW w:w="1361" w:type="dxa"/>
            <w:shd w:val="clear" w:color="auto" w:fill="auto"/>
          </w:tcPr>
          <w:p w14:paraId="74C09C3C" w14:textId="77777777" w:rsidR="00E823C4" w:rsidRPr="00E823C4" w:rsidRDefault="00E823C4" w:rsidP="00E823C4">
            <w:pPr>
              <w:keepNext/>
              <w:keepLines/>
              <w:spacing w:before="60" w:after="60"/>
              <w:ind w:left="325"/>
              <w:rPr>
                <w:szCs w:val="20"/>
                <w:lang w:eastAsia="zh-CN"/>
              </w:rPr>
            </w:pPr>
            <w:r>
              <w:rPr>
                <w:szCs w:val="20"/>
                <w:lang w:eastAsia="zh-CN"/>
              </w:rPr>
              <w:t>“</w:t>
            </w:r>
            <w:r w:rsidRPr="00E823C4">
              <w:rPr>
                <w:szCs w:val="20"/>
                <w:lang w:eastAsia="zh-CN"/>
              </w:rPr>
              <w:t>A</w:t>
            </w:r>
            <w:r>
              <w:rPr>
                <w:szCs w:val="20"/>
                <w:lang w:eastAsia="zh-CN"/>
              </w:rPr>
              <w:t>”</w:t>
            </w:r>
            <w:r w:rsidRPr="00E823C4">
              <w:rPr>
                <w:szCs w:val="20"/>
                <w:lang w:eastAsia="zh-CN"/>
              </w:rPr>
              <w:t xml:space="preserve"> </w:t>
            </w:r>
          </w:p>
        </w:tc>
        <w:tc>
          <w:tcPr>
            <w:tcW w:w="1530" w:type="dxa"/>
            <w:tcBorders>
              <w:top w:val="single" w:sz="4" w:space="0" w:color="auto"/>
            </w:tcBorders>
            <w:shd w:val="clear" w:color="auto" w:fill="auto"/>
          </w:tcPr>
          <w:p w14:paraId="1C36A98D" w14:textId="77777777" w:rsidR="00E823C4" w:rsidRPr="00E823C4" w:rsidRDefault="00E823C4" w:rsidP="00E823C4">
            <w:pPr>
              <w:keepNext/>
              <w:keepLines/>
              <w:spacing w:before="60" w:after="60"/>
              <w:jc w:val="center"/>
              <w:rPr>
                <w:szCs w:val="20"/>
                <w:lang w:eastAsia="zh-CN"/>
              </w:rPr>
            </w:pPr>
            <w:r w:rsidRPr="00E823C4">
              <w:rPr>
                <w:szCs w:val="20"/>
                <w:lang w:eastAsia="zh-CN"/>
              </w:rPr>
              <w:t>22% to 30%</w:t>
            </w:r>
          </w:p>
        </w:tc>
        <w:tc>
          <w:tcPr>
            <w:tcW w:w="1710" w:type="dxa"/>
            <w:tcBorders>
              <w:top w:val="single" w:sz="4" w:space="0" w:color="auto"/>
            </w:tcBorders>
            <w:shd w:val="clear" w:color="auto" w:fill="auto"/>
          </w:tcPr>
          <w:p w14:paraId="78135485" w14:textId="77777777" w:rsidR="00E823C4" w:rsidRPr="00E823C4" w:rsidRDefault="00E823C4" w:rsidP="00E823C4">
            <w:pPr>
              <w:keepNext/>
              <w:keepLines/>
              <w:spacing w:before="60" w:after="60"/>
              <w:ind w:firstLine="12"/>
              <w:jc w:val="center"/>
              <w:rPr>
                <w:szCs w:val="20"/>
                <w:lang w:eastAsia="zh-CN"/>
              </w:rPr>
            </w:pPr>
            <w:r w:rsidRPr="00E823C4">
              <w:rPr>
                <w:szCs w:val="20"/>
                <w:lang w:eastAsia="zh-CN"/>
              </w:rPr>
              <w:t>4.5x to 6.0x</w:t>
            </w:r>
          </w:p>
        </w:tc>
        <w:tc>
          <w:tcPr>
            <w:tcW w:w="2250" w:type="dxa"/>
            <w:tcBorders>
              <w:top w:val="single" w:sz="4" w:space="0" w:color="auto"/>
            </w:tcBorders>
            <w:shd w:val="clear" w:color="auto" w:fill="auto"/>
          </w:tcPr>
          <w:p w14:paraId="189E6B67" w14:textId="77777777" w:rsidR="00E823C4" w:rsidRPr="00E823C4" w:rsidRDefault="00E823C4" w:rsidP="00E823C4">
            <w:pPr>
              <w:keepNext/>
              <w:keepLines/>
              <w:spacing w:before="60" w:after="60"/>
              <w:ind w:firstLine="12"/>
              <w:jc w:val="center"/>
              <w:rPr>
                <w:szCs w:val="20"/>
                <w:lang w:eastAsia="zh-CN"/>
              </w:rPr>
            </w:pPr>
            <w:r w:rsidRPr="00E823C4">
              <w:rPr>
                <w:szCs w:val="20"/>
                <w:lang w:eastAsia="zh-CN"/>
              </w:rPr>
              <w:t>17% to 25%</w:t>
            </w:r>
          </w:p>
        </w:tc>
        <w:tc>
          <w:tcPr>
            <w:tcW w:w="1440" w:type="dxa"/>
            <w:tcBorders>
              <w:top w:val="single" w:sz="4" w:space="0" w:color="auto"/>
            </w:tcBorders>
            <w:shd w:val="clear" w:color="auto" w:fill="auto"/>
          </w:tcPr>
          <w:p w14:paraId="108B1647" w14:textId="77777777" w:rsidR="00E823C4" w:rsidRPr="00E823C4" w:rsidRDefault="00E823C4" w:rsidP="00E823C4">
            <w:pPr>
              <w:keepNext/>
              <w:keepLines/>
              <w:spacing w:before="60" w:after="60"/>
              <w:ind w:firstLine="12"/>
              <w:jc w:val="center"/>
              <w:rPr>
                <w:szCs w:val="20"/>
                <w:lang w:eastAsia="zh-CN"/>
              </w:rPr>
            </w:pPr>
            <w:r w:rsidRPr="00E823C4">
              <w:rPr>
                <w:szCs w:val="20"/>
                <w:lang w:eastAsia="zh-CN"/>
              </w:rPr>
              <w:t>35% to 45%</w:t>
            </w:r>
          </w:p>
        </w:tc>
      </w:tr>
      <w:tr w:rsidR="00E823C4" w:rsidRPr="00E823C4" w14:paraId="1A4EA96E" w14:textId="77777777" w:rsidTr="00E823C4">
        <w:trPr>
          <w:trHeight w:val="263"/>
          <w:jc w:val="center"/>
        </w:trPr>
        <w:tc>
          <w:tcPr>
            <w:tcW w:w="1361" w:type="dxa"/>
            <w:shd w:val="clear" w:color="auto" w:fill="auto"/>
          </w:tcPr>
          <w:p w14:paraId="010A9CF0" w14:textId="77777777" w:rsidR="00E823C4" w:rsidRPr="00E823C4" w:rsidRDefault="00E823C4" w:rsidP="00E823C4">
            <w:pPr>
              <w:keepNext/>
              <w:keepLines/>
              <w:spacing w:before="60" w:after="60"/>
              <w:ind w:left="325"/>
              <w:rPr>
                <w:szCs w:val="20"/>
                <w:lang w:eastAsia="zh-CN"/>
              </w:rPr>
            </w:pPr>
            <w:r>
              <w:rPr>
                <w:szCs w:val="20"/>
                <w:lang w:eastAsia="zh-CN"/>
              </w:rPr>
              <w:t>“</w:t>
            </w:r>
            <w:r w:rsidRPr="00E823C4">
              <w:rPr>
                <w:szCs w:val="20"/>
                <w:lang w:eastAsia="zh-CN"/>
              </w:rPr>
              <w:t>Baa</w:t>
            </w:r>
            <w:r>
              <w:rPr>
                <w:szCs w:val="20"/>
                <w:lang w:eastAsia="zh-CN"/>
              </w:rPr>
              <w:t>”</w:t>
            </w:r>
          </w:p>
        </w:tc>
        <w:tc>
          <w:tcPr>
            <w:tcW w:w="1530" w:type="dxa"/>
            <w:shd w:val="clear" w:color="auto" w:fill="auto"/>
          </w:tcPr>
          <w:p w14:paraId="0F33643B" w14:textId="65B28D4E" w:rsidR="00E823C4" w:rsidRPr="00E823C4" w:rsidRDefault="00C55517" w:rsidP="00C55517">
            <w:pPr>
              <w:keepNext/>
              <w:keepLines/>
              <w:spacing w:before="60" w:after="60"/>
              <w:jc w:val="center"/>
              <w:rPr>
                <w:szCs w:val="20"/>
                <w:lang w:eastAsia="zh-CN"/>
              </w:rPr>
            </w:pPr>
            <w:r>
              <w:rPr>
                <w:szCs w:val="20"/>
                <w:lang w:eastAsia="zh-CN"/>
              </w:rPr>
              <w:t>13</w:t>
            </w:r>
            <w:r w:rsidR="00E823C4" w:rsidRPr="00E823C4">
              <w:rPr>
                <w:szCs w:val="20"/>
                <w:lang w:eastAsia="zh-CN"/>
              </w:rPr>
              <w:t xml:space="preserve">% to </w:t>
            </w:r>
            <w:r>
              <w:rPr>
                <w:szCs w:val="20"/>
                <w:lang w:eastAsia="zh-CN"/>
              </w:rPr>
              <w:t>22</w:t>
            </w:r>
            <w:r w:rsidR="00E823C4" w:rsidRPr="00E823C4">
              <w:rPr>
                <w:szCs w:val="20"/>
                <w:lang w:eastAsia="zh-CN"/>
              </w:rPr>
              <w:t>%</w:t>
            </w:r>
          </w:p>
        </w:tc>
        <w:tc>
          <w:tcPr>
            <w:tcW w:w="1710" w:type="dxa"/>
            <w:shd w:val="clear" w:color="auto" w:fill="auto"/>
          </w:tcPr>
          <w:p w14:paraId="4198D206" w14:textId="77777777" w:rsidR="00E823C4" w:rsidRPr="00E823C4" w:rsidRDefault="00E823C4" w:rsidP="00E823C4">
            <w:pPr>
              <w:keepNext/>
              <w:keepLines/>
              <w:spacing w:before="60" w:after="60"/>
              <w:ind w:firstLine="12"/>
              <w:jc w:val="center"/>
              <w:rPr>
                <w:szCs w:val="20"/>
                <w:lang w:eastAsia="zh-CN"/>
              </w:rPr>
            </w:pPr>
            <w:r w:rsidRPr="00E823C4">
              <w:rPr>
                <w:szCs w:val="20"/>
                <w:lang w:eastAsia="zh-CN"/>
              </w:rPr>
              <w:t>3x to 4.5x</w:t>
            </w:r>
          </w:p>
        </w:tc>
        <w:tc>
          <w:tcPr>
            <w:tcW w:w="2250" w:type="dxa"/>
            <w:shd w:val="clear" w:color="auto" w:fill="auto"/>
          </w:tcPr>
          <w:p w14:paraId="1EBE0410" w14:textId="77777777" w:rsidR="00E823C4" w:rsidRPr="00E823C4" w:rsidRDefault="00E823C4" w:rsidP="00E823C4">
            <w:pPr>
              <w:keepNext/>
              <w:keepLines/>
              <w:spacing w:before="60" w:after="60"/>
              <w:ind w:firstLine="12"/>
              <w:jc w:val="center"/>
              <w:rPr>
                <w:b/>
                <w:szCs w:val="20"/>
                <w:lang w:eastAsia="zh-CN"/>
              </w:rPr>
            </w:pPr>
            <w:r w:rsidRPr="00E823C4">
              <w:rPr>
                <w:szCs w:val="20"/>
                <w:lang w:eastAsia="zh-CN"/>
              </w:rPr>
              <w:t>9% to 17%</w:t>
            </w:r>
          </w:p>
        </w:tc>
        <w:tc>
          <w:tcPr>
            <w:tcW w:w="1440" w:type="dxa"/>
            <w:shd w:val="clear" w:color="auto" w:fill="auto"/>
          </w:tcPr>
          <w:p w14:paraId="7AAEADCE" w14:textId="77777777" w:rsidR="00E823C4" w:rsidRPr="00E823C4" w:rsidRDefault="00E823C4" w:rsidP="00E823C4">
            <w:pPr>
              <w:keepNext/>
              <w:keepLines/>
              <w:spacing w:before="60" w:after="60"/>
              <w:ind w:firstLine="12"/>
              <w:jc w:val="center"/>
              <w:rPr>
                <w:szCs w:val="20"/>
                <w:lang w:eastAsia="zh-CN"/>
              </w:rPr>
            </w:pPr>
            <w:r w:rsidRPr="00E823C4">
              <w:rPr>
                <w:szCs w:val="20"/>
                <w:lang w:eastAsia="zh-CN"/>
              </w:rPr>
              <w:t>45% to 55%</w:t>
            </w:r>
          </w:p>
        </w:tc>
      </w:tr>
      <w:tr w:rsidR="00E823C4" w:rsidRPr="00E823C4" w14:paraId="076EC31B" w14:textId="77777777" w:rsidTr="00E823C4">
        <w:trPr>
          <w:trHeight w:val="277"/>
          <w:jc w:val="center"/>
        </w:trPr>
        <w:tc>
          <w:tcPr>
            <w:tcW w:w="1361" w:type="dxa"/>
            <w:shd w:val="clear" w:color="auto" w:fill="auto"/>
          </w:tcPr>
          <w:p w14:paraId="56C6A286" w14:textId="77777777" w:rsidR="00E823C4" w:rsidRPr="00E823C4" w:rsidRDefault="00E823C4" w:rsidP="00E823C4">
            <w:pPr>
              <w:spacing w:before="60" w:after="60"/>
              <w:ind w:left="325"/>
              <w:rPr>
                <w:szCs w:val="20"/>
                <w:lang w:eastAsia="zh-CN"/>
              </w:rPr>
            </w:pPr>
            <w:r>
              <w:rPr>
                <w:szCs w:val="20"/>
                <w:lang w:eastAsia="zh-CN"/>
              </w:rPr>
              <w:t>“</w:t>
            </w:r>
            <w:r w:rsidRPr="00E823C4">
              <w:rPr>
                <w:szCs w:val="20"/>
                <w:lang w:eastAsia="zh-CN"/>
              </w:rPr>
              <w:t>Ba</w:t>
            </w:r>
            <w:r>
              <w:rPr>
                <w:szCs w:val="20"/>
                <w:lang w:eastAsia="zh-CN"/>
              </w:rPr>
              <w:t>”</w:t>
            </w:r>
          </w:p>
        </w:tc>
        <w:tc>
          <w:tcPr>
            <w:tcW w:w="1530" w:type="dxa"/>
            <w:shd w:val="clear" w:color="auto" w:fill="auto"/>
          </w:tcPr>
          <w:p w14:paraId="1D55C60C" w14:textId="77777777" w:rsidR="00E823C4" w:rsidRPr="00E823C4" w:rsidRDefault="00E823C4" w:rsidP="00E823C4">
            <w:pPr>
              <w:spacing w:before="60" w:after="60"/>
              <w:jc w:val="center"/>
              <w:rPr>
                <w:szCs w:val="20"/>
                <w:lang w:eastAsia="zh-CN"/>
              </w:rPr>
            </w:pPr>
            <w:r w:rsidRPr="00E823C4">
              <w:rPr>
                <w:szCs w:val="20"/>
                <w:lang w:eastAsia="zh-CN"/>
              </w:rPr>
              <w:t>5% to 13%</w:t>
            </w:r>
          </w:p>
        </w:tc>
        <w:tc>
          <w:tcPr>
            <w:tcW w:w="1710" w:type="dxa"/>
            <w:shd w:val="clear" w:color="auto" w:fill="auto"/>
          </w:tcPr>
          <w:p w14:paraId="7E9B8C41" w14:textId="77777777" w:rsidR="00E823C4" w:rsidRPr="00E823C4" w:rsidRDefault="00E823C4" w:rsidP="00E823C4">
            <w:pPr>
              <w:spacing w:before="60" w:after="60"/>
              <w:ind w:firstLine="12"/>
              <w:jc w:val="center"/>
              <w:rPr>
                <w:szCs w:val="20"/>
                <w:lang w:eastAsia="zh-CN"/>
              </w:rPr>
            </w:pPr>
            <w:r w:rsidRPr="00E823C4">
              <w:rPr>
                <w:szCs w:val="20"/>
                <w:lang w:eastAsia="zh-CN"/>
              </w:rPr>
              <w:t>2x to 3x</w:t>
            </w:r>
          </w:p>
        </w:tc>
        <w:tc>
          <w:tcPr>
            <w:tcW w:w="2250" w:type="dxa"/>
            <w:shd w:val="clear" w:color="auto" w:fill="auto"/>
          </w:tcPr>
          <w:p w14:paraId="306087E9" w14:textId="77777777" w:rsidR="00E823C4" w:rsidRPr="00E823C4" w:rsidRDefault="00E823C4" w:rsidP="00E823C4">
            <w:pPr>
              <w:spacing w:before="60" w:after="60"/>
              <w:ind w:firstLine="12"/>
              <w:jc w:val="center"/>
              <w:rPr>
                <w:szCs w:val="20"/>
                <w:lang w:eastAsia="zh-CN"/>
              </w:rPr>
            </w:pPr>
            <w:r w:rsidRPr="00E823C4">
              <w:rPr>
                <w:szCs w:val="20"/>
                <w:lang w:eastAsia="zh-CN"/>
              </w:rPr>
              <w:t>0% to 9%</w:t>
            </w:r>
          </w:p>
        </w:tc>
        <w:tc>
          <w:tcPr>
            <w:tcW w:w="1440" w:type="dxa"/>
            <w:shd w:val="clear" w:color="auto" w:fill="auto"/>
          </w:tcPr>
          <w:p w14:paraId="024AB783" w14:textId="77777777" w:rsidR="00E823C4" w:rsidRPr="00E823C4" w:rsidRDefault="00E823C4" w:rsidP="00E823C4">
            <w:pPr>
              <w:spacing w:before="60" w:after="60"/>
              <w:ind w:firstLine="12"/>
              <w:jc w:val="center"/>
              <w:rPr>
                <w:szCs w:val="20"/>
                <w:lang w:eastAsia="zh-CN"/>
              </w:rPr>
            </w:pPr>
            <w:r w:rsidRPr="00E823C4">
              <w:rPr>
                <w:szCs w:val="20"/>
                <w:lang w:eastAsia="zh-CN"/>
              </w:rPr>
              <w:t>55% to 65%</w:t>
            </w:r>
          </w:p>
        </w:tc>
      </w:tr>
    </w:tbl>
    <w:p w14:paraId="3F3FA439" w14:textId="79BD684C" w:rsidR="00DD4FDE" w:rsidRDefault="00DD4FDE" w:rsidP="005E5570">
      <w:pPr>
        <w:pStyle w:val="question"/>
        <w:spacing w:before="360"/>
      </w:pPr>
      <w:r>
        <w:t>Q.</w:t>
      </w:r>
      <w:r>
        <w:tab/>
        <w:t>What are PSE</w:t>
      </w:r>
      <w:r w:rsidR="00EC7294">
        <w:t>’</w:t>
      </w:r>
      <w:r>
        <w:t>s credit metrics</w:t>
      </w:r>
      <w:r w:rsidR="00C55517">
        <w:t xml:space="preserve"> for the test year</w:t>
      </w:r>
      <w:r>
        <w:t>?</w:t>
      </w:r>
    </w:p>
    <w:p w14:paraId="20C77D24" w14:textId="26D3E2D9" w:rsidR="00DD4FDE" w:rsidRDefault="00DD4FDE" w:rsidP="006F5F11">
      <w:pPr>
        <w:pStyle w:val="answer"/>
      </w:pPr>
      <w:r>
        <w:t>A.</w:t>
      </w:r>
      <w:r>
        <w:tab/>
      </w:r>
      <w:r w:rsidR="00E20232">
        <w:t>F</w:t>
      </w:r>
      <w:r>
        <w:t xml:space="preserve">or financial statements as of </w:t>
      </w:r>
      <w:r w:rsidR="00D94522">
        <w:t>September </w:t>
      </w:r>
      <w:r>
        <w:t>3</w:t>
      </w:r>
      <w:r w:rsidR="00D94522">
        <w:t>0</w:t>
      </w:r>
      <w:r>
        <w:t>, 201</w:t>
      </w:r>
      <w:r w:rsidR="00D94522">
        <w:t>6</w:t>
      </w:r>
      <w:r w:rsidR="00E20232">
        <w:t>, they are:</w:t>
      </w:r>
    </w:p>
    <w:p w14:paraId="201893FD" w14:textId="19BB84CD" w:rsidR="00DD4FDE" w:rsidRPr="00384B99" w:rsidRDefault="00DD4FDE" w:rsidP="00895F20">
      <w:pPr>
        <w:pStyle w:val="List"/>
      </w:pPr>
      <w:r>
        <w:t>(i)</w:t>
      </w:r>
      <w:r w:rsidR="00895F20">
        <w:tab/>
      </w:r>
      <w:r w:rsidRPr="00384B99">
        <w:t xml:space="preserve">Adjusted cash from operations to debt: </w:t>
      </w:r>
      <w:r w:rsidR="00484F7E" w:rsidRPr="00650606">
        <w:t>2</w:t>
      </w:r>
      <w:r w:rsidR="00C55517">
        <w:t>1</w:t>
      </w:r>
      <w:r w:rsidRPr="00650606">
        <w:t>.</w:t>
      </w:r>
      <w:r w:rsidR="00C55517">
        <w:t>3</w:t>
      </w:r>
      <w:r w:rsidRPr="00385B24">
        <w:t>%</w:t>
      </w:r>
      <w:r w:rsidR="00C55517">
        <w:t>;</w:t>
      </w:r>
    </w:p>
    <w:p w14:paraId="69F21671" w14:textId="01FA2507" w:rsidR="00DD4FDE" w:rsidRPr="00384B99" w:rsidRDefault="00DD4FDE" w:rsidP="00895F20">
      <w:pPr>
        <w:pStyle w:val="List"/>
      </w:pPr>
      <w:r w:rsidRPr="00384B99">
        <w:t>(ii)</w:t>
      </w:r>
      <w:r w:rsidR="00895F20" w:rsidRPr="00384B99">
        <w:tab/>
      </w:r>
      <w:r w:rsidRPr="00384B99">
        <w:t xml:space="preserve">Adjusted cash from operations to interest: </w:t>
      </w:r>
      <w:r w:rsidR="00484F7E" w:rsidRPr="00650606">
        <w:t>4</w:t>
      </w:r>
      <w:r w:rsidRPr="00650606">
        <w:t>.</w:t>
      </w:r>
      <w:r w:rsidR="00C55517">
        <w:t>7</w:t>
      </w:r>
      <w:r w:rsidRPr="00385B24">
        <w:t>x</w:t>
      </w:r>
      <w:r w:rsidR="00C55517">
        <w:t>;</w:t>
      </w:r>
    </w:p>
    <w:p w14:paraId="0753DC79" w14:textId="429CD521" w:rsidR="00DD4FDE" w:rsidRPr="00384B99" w:rsidRDefault="00DD4FDE" w:rsidP="00895F20">
      <w:pPr>
        <w:pStyle w:val="List"/>
      </w:pPr>
      <w:r w:rsidRPr="00384B99">
        <w:t>(iii)</w:t>
      </w:r>
      <w:r w:rsidR="00895F20" w:rsidRPr="00384B99">
        <w:tab/>
      </w:r>
      <w:r w:rsidRPr="00384B99">
        <w:t xml:space="preserve">Adjusted cash from operations less dividends to debt: </w:t>
      </w:r>
      <w:r w:rsidRPr="00650606">
        <w:t>1</w:t>
      </w:r>
      <w:r w:rsidR="00C55517">
        <w:t>4</w:t>
      </w:r>
      <w:r w:rsidRPr="00650606">
        <w:t>.</w:t>
      </w:r>
      <w:r w:rsidR="00C55517">
        <w:t>2</w:t>
      </w:r>
      <w:r w:rsidRPr="00385B24">
        <w:t>%</w:t>
      </w:r>
      <w:r w:rsidR="00C55517">
        <w:t>; and</w:t>
      </w:r>
    </w:p>
    <w:p w14:paraId="373DC541" w14:textId="7D3438D7" w:rsidR="00DD4FDE" w:rsidRDefault="00DD4FDE" w:rsidP="00895F20">
      <w:pPr>
        <w:pStyle w:val="List"/>
      </w:pPr>
      <w:r w:rsidRPr="00384B99">
        <w:t>(iv)</w:t>
      </w:r>
      <w:r w:rsidR="00895F20" w:rsidRPr="00384B99">
        <w:tab/>
      </w:r>
      <w:r w:rsidRPr="00384B99">
        <w:t xml:space="preserve">Adjusted Debt to total capitalization: </w:t>
      </w:r>
      <w:r w:rsidRPr="00650606">
        <w:t>4</w:t>
      </w:r>
      <w:r w:rsidR="00C55517">
        <w:t>4</w:t>
      </w:r>
      <w:r w:rsidRPr="00650606">
        <w:t>.</w:t>
      </w:r>
      <w:r w:rsidR="00C55517">
        <w:t>7</w:t>
      </w:r>
      <w:r w:rsidRPr="00385B24">
        <w:t>%</w:t>
      </w:r>
      <w:r w:rsidRPr="00384B99">
        <w:t>.</w:t>
      </w:r>
    </w:p>
    <w:p w14:paraId="7431B51B" w14:textId="248EE021" w:rsidR="0068425D" w:rsidRDefault="00F36807" w:rsidP="003952D2">
      <w:pPr>
        <w:pStyle w:val="answer"/>
        <w:keepNext/>
        <w:keepLines/>
        <w:ind w:firstLine="0"/>
      </w:pPr>
      <w:r>
        <w:lastRenderedPageBreak/>
        <w:t>S&amp;P credit m</w:t>
      </w:r>
      <w:r w:rsidR="0031042F">
        <w:t xml:space="preserve">etrics </w:t>
      </w:r>
      <w:r w:rsidR="0041190F">
        <w:t xml:space="preserve">for financial statements as of September 30, 2016 </w:t>
      </w:r>
      <w:r w:rsidR="0031042F">
        <w:t>are</w:t>
      </w:r>
      <w:r w:rsidR="0068425D">
        <w:t>:</w:t>
      </w:r>
    </w:p>
    <w:p w14:paraId="31FDCB24" w14:textId="3A1A80C5" w:rsidR="00DD4FDE" w:rsidRPr="00384B99" w:rsidRDefault="00DD4FDE" w:rsidP="003952D2">
      <w:pPr>
        <w:pStyle w:val="List"/>
        <w:keepNext/>
        <w:keepLines/>
      </w:pPr>
      <w:r w:rsidRPr="00384B99">
        <w:t>(i)</w:t>
      </w:r>
      <w:r w:rsidR="00895F20" w:rsidRPr="00384B99">
        <w:tab/>
      </w:r>
      <w:r w:rsidRPr="00384B99">
        <w:t xml:space="preserve">Funds from operations to debt: </w:t>
      </w:r>
      <w:r w:rsidR="004C71EF" w:rsidRPr="00650606">
        <w:t>22</w:t>
      </w:r>
      <w:r w:rsidRPr="00650606">
        <w:t>.</w:t>
      </w:r>
      <w:r w:rsidR="003952D2">
        <w:t>8</w:t>
      </w:r>
      <w:r w:rsidRPr="00385B24">
        <w:t>%</w:t>
      </w:r>
      <w:r w:rsidRPr="00384B99">
        <w:t>; and</w:t>
      </w:r>
    </w:p>
    <w:p w14:paraId="7066E0FE" w14:textId="1ECC5A5A" w:rsidR="00DD4FDE" w:rsidRDefault="00DD4FDE" w:rsidP="00895F20">
      <w:pPr>
        <w:pStyle w:val="List"/>
      </w:pPr>
      <w:r w:rsidRPr="00384B99">
        <w:t>(ii)</w:t>
      </w:r>
      <w:r w:rsidR="00895F20" w:rsidRPr="00384B99">
        <w:tab/>
      </w:r>
      <w:r w:rsidRPr="00384B99">
        <w:t xml:space="preserve">Debt to EBITDA: </w:t>
      </w:r>
      <w:r w:rsidR="004C71EF" w:rsidRPr="00650606">
        <w:t>3</w:t>
      </w:r>
      <w:r w:rsidRPr="00650606">
        <w:t>.</w:t>
      </w:r>
      <w:r w:rsidR="004C71EF" w:rsidRPr="00650606">
        <w:t>5</w:t>
      </w:r>
      <w:r w:rsidRPr="00385B24">
        <w:t>x</w:t>
      </w:r>
      <w:r w:rsidRPr="00384B99">
        <w:t>.</w:t>
      </w:r>
      <w:r>
        <w:t xml:space="preserve"> </w:t>
      </w:r>
    </w:p>
    <w:p w14:paraId="6351BF96" w14:textId="77777777" w:rsidR="00DD4FDE" w:rsidRDefault="00DD4FDE" w:rsidP="00DD4FDE">
      <w:pPr>
        <w:pStyle w:val="question"/>
      </w:pPr>
      <w:r>
        <w:t>Q.</w:t>
      </w:r>
      <w:r>
        <w:tab/>
        <w:t>What other considerations do the credit rating agencies make when issuing credit ratings?</w:t>
      </w:r>
    </w:p>
    <w:p w14:paraId="522FDAEC" w14:textId="77777777" w:rsidR="00DD4FDE" w:rsidRDefault="00DD4FDE" w:rsidP="00895F20">
      <w:pPr>
        <w:pStyle w:val="answer"/>
      </w:pPr>
      <w:r>
        <w:t>A.</w:t>
      </w:r>
      <w:r>
        <w:tab/>
        <w:t>The credit rating agencies consider a number of factors which are both quantitative and qualitative in nature. In addition to credit metrics, credit ratings agencies also consider qualitative measures, including, but not limited to, regulation, markets and competition, and operations and management.</w:t>
      </w:r>
    </w:p>
    <w:p w14:paraId="10EE6C20" w14:textId="2D0762D4" w:rsidR="00DD4FDE" w:rsidRDefault="008E3014" w:rsidP="00895F20">
      <w:pPr>
        <w:pStyle w:val="NestedAnswer"/>
      </w:pPr>
      <w:r>
        <w:t xml:space="preserve">For example, </w:t>
      </w:r>
      <w:r w:rsidR="00DD4FDE">
        <w:t>Moody</w:t>
      </w:r>
      <w:r w:rsidR="00EC7294">
        <w:t>’</w:t>
      </w:r>
      <w:r w:rsidR="00DD4FDE">
        <w:t>s revised rating methodology</w:t>
      </w:r>
      <w:r w:rsidR="006E5420">
        <w:t xml:space="preserve"> </w:t>
      </w:r>
      <w:r w:rsidR="00DD4FDE">
        <w:t>bases its ratings on four major factors. These factors, and the weights assigned to each, are shown below:</w:t>
      </w:r>
      <w:r w:rsidR="002436D5" w:rsidRPr="00365DFB">
        <w:rPr>
          <w:rFonts w:eastAsia="Times New Roman"/>
          <w:position w:val="6"/>
          <w:sz w:val="16"/>
        </w:rPr>
        <w:footnoteReference w:id="8"/>
      </w:r>
    </w:p>
    <w:p w14:paraId="25B6B9AE" w14:textId="74AB8D20" w:rsidR="00895F20" w:rsidRDefault="00895F20" w:rsidP="00E823C4">
      <w:pPr>
        <w:pStyle w:val="List"/>
        <w:tabs>
          <w:tab w:val="left" w:pos="5760"/>
        </w:tabs>
      </w:pPr>
      <w:r>
        <w:t>(</w:t>
      </w:r>
      <w:r w:rsidR="00DD4FDE">
        <w:t>i)</w:t>
      </w:r>
      <w:r>
        <w:tab/>
      </w:r>
      <w:r w:rsidR="002436D5">
        <w:t>Regulatory Framework</w:t>
      </w:r>
      <w:r w:rsidR="00E823C4">
        <w:tab/>
      </w:r>
      <w:r w:rsidR="00DD4FDE">
        <w:t>25</w:t>
      </w:r>
      <w:r w:rsidR="00EC7294">
        <w:t> </w:t>
      </w:r>
      <w:r w:rsidR="00DD4FDE">
        <w:t>percent</w:t>
      </w:r>
    </w:p>
    <w:p w14:paraId="6DFE0892" w14:textId="77777777" w:rsidR="00895F20" w:rsidRDefault="00895F20" w:rsidP="00E823C4">
      <w:pPr>
        <w:pStyle w:val="List"/>
        <w:tabs>
          <w:tab w:val="left" w:pos="5760"/>
        </w:tabs>
      </w:pPr>
      <w:r>
        <w:t>(</w:t>
      </w:r>
      <w:r w:rsidR="00DD4FDE">
        <w:t>ii)</w:t>
      </w:r>
      <w:r>
        <w:tab/>
      </w:r>
      <w:r w:rsidR="00DD4FDE">
        <w:t>Ability to Recover Costs</w:t>
      </w:r>
      <w:r w:rsidR="00E823C4">
        <w:tab/>
        <w:t>25 percent</w:t>
      </w:r>
      <w:r w:rsidR="00E823C4">
        <w:br/>
      </w:r>
      <w:r w:rsidR="00DD4FDE">
        <w:t>and Earn Returns</w:t>
      </w:r>
    </w:p>
    <w:p w14:paraId="459BCA5E" w14:textId="77777777" w:rsidR="00895F20" w:rsidRDefault="00895F20" w:rsidP="00E823C4">
      <w:pPr>
        <w:pStyle w:val="List"/>
        <w:tabs>
          <w:tab w:val="left" w:pos="5760"/>
        </w:tabs>
      </w:pPr>
      <w:r>
        <w:t>(</w:t>
      </w:r>
      <w:r w:rsidR="00DD4FDE">
        <w:t>iii)</w:t>
      </w:r>
      <w:r>
        <w:tab/>
      </w:r>
      <w:r w:rsidR="00DD4FDE">
        <w:t>Diversification</w:t>
      </w:r>
      <w:r w:rsidR="00DD4FDE">
        <w:tab/>
        <w:t>10</w:t>
      </w:r>
      <w:r w:rsidR="00EC7294">
        <w:t> </w:t>
      </w:r>
      <w:r w:rsidR="00DD4FDE">
        <w:t>percent</w:t>
      </w:r>
    </w:p>
    <w:p w14:paraId="04AF3F42" w14:textId="77777777" w:rsidR="00DD4FDE" w:rsidRDefault="00895F20" w:rsidP="00E823C4">
      <w:pPr>
        <w:pStyle w:val="List"/>
        <w:tabs>
          <w:tab w:val="left" w:pos="5760"/>
        </w:tabs>
      </w:pPr>
      <w:r>
        <w:t>(</w:t>
      </w:r>
      <w:r w:rsidR="00DD4FDE">
        <w:t>iv)</w:t>
      </w:r>
      <w:r>
        <w:tab/>
      </w:r>
      <w:r w:rsidR="00DD4FDE">
        <w:t>Financial Strength, Liquidity</w:t>
      </w:r>
      <w:r w:rsidR="00E823C4">
        <w:tab/>
        <w:t>40 percent</w:t>
      </w:r>
      <w:r w:rsidR="00E823C4">
        <w:br/>
      </w:r>
      <w:r w:rsidR="00DD4FDE">
        <w:t>and Key Metrics</w:t>
      </w:r>
    </w:p>
    <w:p w14:paraId="521A88EA" w14:textId="3176DB1A" w:rsidR="00DD4FDE" w:rsidRDefault="00DD4FDE" w:rsidP="00895F20">
      <w:pPr>
        <w:pStyle w:val="NestedAnswer"/>
      </w:pPr>
      <w:r>
        <w:t>As indicated here, the regulatory framework and the ability to recover prudently-incurred costs and earn allowed returns comprise 50</w:t>
      </w:r>
      <w:r w:rsidR="00EC7294">
        <w:t> </w:t>
      </w:r>
      <w:r>
        <w:t>percent of Moody</w:t>
      </w:r>
      <w:r w:rsidR="00EC7294">
        <w:t>’</w:t>
      </w:r>
      <w:r w:rsidR="006E5420">
        <w:t>s ratings considerations.</w:t>
      </w:r>
    </w:p>
    <w:p w14:paraId="5F034CDA" w14:textId="48184B13" w:rsidR="00DD4FDE" w:rsidRDefault="00DD4FDE" w:rsidP="00DD4FDE">
      <w:pPr>
        <w:pStyle w:val="question"/>
      </w:pPr>
      <w:r>
        <w:lastRenderedPageBreak/>
        <w:t>Q.</w:t>
      </w:r>
      <w:r>
        <w:tab/>
        <w:t>How do the rating agencies characterize the impor</w:t>
      </w:r>
      <w:r w:rsidR="006E5420">
        <w:t>tance of supportive regulation?</w:t>
      </w:r>
    </w:p>
    <w:p w14:paraId="1CA82ADA" w14:textId="2F5D2E2F" w:rsidR="00895F20" w:rsidRDefault="00DD4FDE" w:rsidP="00895F20">
      <w:pPr>
        <w:pStyle w:val="answer"/>
      </w:pPr>
      <w:r>
        <w:t>A.</w:t>
      </w:r>
      <w:r>
        <w:tab/>
        <w:t>Supportive regulation is an important component of credit assessment, including support to help with reducing the impact of r</w:t>
      </w:r>
      <w:r w:rsidR="008E3014">
        <w:t>egulatory</w:t>
      </w:r>
      <w:r>
        <w:t xml:space="preserve"> lag as noted below by S&amp;P:</w:t>
      </w:r>
    </w:p>
    <w:p w14:paraId="7A80B6FF" w14:textId="77777777" w:rsidR="00895F20" w:rsidRDefault="00DD4FDE" w:rsidP="00895F20">
      <w:pPr>
        <w:pStyle w:val="Quote"/>
      </w:pPr>
      <w:r>
        <w:t>The regulatory framework/regime</w:t>
      </w:r>
      <w:r w:rsidR="00EC7294">
        <w:t>’</w:t>
      </w:r>
      <w:r>
        <w:t>s influence is of critical importance when assessing regulated utilities</w:t>
      </w:r>
      <w:r w:rsidR="00EC7294">
        <w:t>’</w:t>
      </w:r>
      <w:r>
        <w:t xml:space="preserve"> credit risk because it defines the environment in which a utility operates and has a significant bearing on a utility</w:t>
      </w:r>
      <w:r w:rsidR="00EC7294">
        <w:t>’</w:t>
      </w:r>
      <w:r>
        <w:t xml:space="preserve">s financial performance. </w:t>
      </w:r>
    </w:p>
    <w:p w14:paraId="36F9519E" w14:textId="77777777" w:rsidR="00DD4FDE" w:rsidRDefault="00DD4FDE" w:rsidP="00895F20">
      <w:pPr>
        <w:pStyle w:val="Quote"/>
      </w:pPr>
      <w:r>
        <w:t>We base our assessment of the regulatory framework</w:t>
      </w:r>
      <w:r w:rsidR="00EC7294">
        <w:t>’</w:t>
      </w:r>
      <w:r>
        <w:t>s relative credit supportiveness on our view of how regulatory stability, efficiency of tariff setting procedures, financial stability, and regulatory independence protect a utility</w:t>
      </w:r>
      <w:r w:rsidR="00EC7294">
        <w:t>’</w:t>
      </w:r>
      <w:r>
        <w:t>s credit quality and its ability to recover its costs and earn a timely return. Our view of these four pillars is the foundation of a u</w:t>
      </w:r>
      <w:r w:rsidR="00895F20">
        <w:t>tility</w:t>
      </w:r>
      <w:r w:rsidR="00EC7294">
        <w:t>’</w:t>
      </w:r>
      <w:r w:rsidR="00895F20">
        <w:t>s regulatory support...</w:t>
      </w:r>
      <w:r w:rsidR="00365DFB" w:rsidRPr="00365DFB">
        <w:rPr>
          <w:iCs w:val="0"/>
          <w:color w:val="auto"/>
          <w:position w:val="6"/>
          <w:sz w:val="16"/>
          <w:szCs w:val="20"/>
          <w:lang w:eastAsia="zh-CN"/>
        </w:rPr>
        <w:footnoteReference w:id="9"/>
      </w:r>
    </w:p>
    <w:p w14:paraId="15BCF357" w14:textId="77777777" w:rsidR="00DD4FDE" w:rsidRDefault="00DD4FDE" w:rsidP="00DD4FDE">
      <w:pPr>
        <w:pStyle w:val="question"/>
      </w:pPr>
      <w:r>
        <w:t>Q.</w:t>
      </w:r>
      <w:r>
        <w:tab/>
        <w:t xml:space="preserve">Does PSE expect that its credit ratings will improve during the rate year or shortly thereafter? </w:t>
      </w:r>
    </w:p>
    <w:p w14:paraId="0CD01B63" w14:textId="2333050C" w:rsidR="00DD4FDE" w:rsidRDefault="00DD4FDE" w:rsidP="00895F20">
      <w:pPr>
        <w:pStyle w:val="answer"/>
      </w:pPr>
      <w:r>
        <w:t>A.</w:t>
      </w:r>
      <w:r>
        <w:tab/>
        <w:t xml:space="preserve">No. </w:t>
      </w:r>
      <w:r w:rsidR="006E5420">
        <w:t xml:space="preserve">PSE </w:t>
      </w:r>
      <w:r>
        <w:t>does not expect its credit ratings to improve during the rate year or shortly thereafter. Rather, a reasonable expectation is that the ratings could be maintained</w:t>
      </w:r>
      <w:r w:rsidR="006E5420">
        <w:t>,</w:t>
      </w:r>
      <w:r>
        <w:t xml:space="preserve"> assuming business as usual</w:t>
      </w:r>
      <w:r w:rsidR="003952D2" w:rsidRPr="003952D2">
        <w:t xml:space="preserve"> with continued regulatory support</w:t>
      </w:r>
      <w:r>
        <w:t>.</w:t>
      </w:r>
    </w:p>
    <w:p w14:paraId="26B76315" w14:textId="77777777" w:rsidR="00DD4FDE" w:rsidRDefault="00DD4FDE" w:rsidP="00EC7294">
      <w:pPr>
        <w:pStyle w:val="NestedAnswer"/>
      </w:pPr>
      <w:r w:rsidRPr="00D053BC">
        <w:t>PSE desires to at least maintain its current credit ratings</w:t>
      </w:r>
      <w:r>
        <w:t xml:space="preserve"> to benefit customers with lower debt costs as discussed in this testimony and to provide it with a measure of financial flexibility in difficult economic conditions. </w:t>
      </w:r>
    </w:p>
    <w:p w14:paraId="2B7032FE" w14:textId="2B22E9FE" w:rsidR="00E129FB" w:rsidRDefault="00E129FB" w:rsidP="00E129FB">
      <w:pPr>
        <w:pStyle w:val="question"/>
      </w:pPr>
      <w:r>
        <w:lastRenderedPageBreak/>
        <w:t>Q.</w:t>
      </w:r>
      <w:r>
        <w:tab/>
      </w:r>
      <w:r w:rsidR="00622110">
        <w:t>What is Moody’s view on PSE’s regulatory environment</w:t>
      </w:r>
      <w:r>
        <w:t xml:space="preserve">? </w:t>
      </w:r>
    </w:p>
    <w:p w14:paraId="20AE075D" w14:textId="6CEE9BC9" w:rsidR="00DD4FDE" w:rsidRDefault="00E129FB" w:rsidP="00D053BC">
      <w:pPr>
        <w:pStyle w:val="NestedAnswer"/>
        <w:ind w:hanging="720"/>
      </w:pPr>
      <w:r>
        <w:t>A.</w:t>
      </w:r>
      <w:r>
        <w:tab/>
      </w:r>
      <w:r w:rsidR="00DD4FDE">
        <w:t xml:space="preserve">In the Outlook section of </w:t>
      </w:r>
      <w:r w:rsidR="003952D2">
        <w:t xml:space="preserve">its </w:t>
      </w:r>
      <w:r w:rsidR="006E5420">
        <w:t>report</w:t>
      </w:r>
      <w:r w:rsidR="003952D2">
        <w:t xml:space="preserve"> dated August 5, 2016</w:t>
      </w:r>
      <w:r w:rsidR="006E5420">
        <w:t xml:space="preserve">, </w:t>
      </w:r>
      <w:r w:rsidR="00DD4FDE">
        <w:t>Moody</w:t>
      </w:r>
      <w:r w:rsidR="00EC7294">
        <w:t>’</w:t>
      </w:r>
      <w:r w:rsidR="00DD4FDE">
        <w:t>s states</w:t>
      </w:r>
      <w:r w:rsidR="006E5420">
        <w:t xml:space="preserve"> as follows</w:t>
      </w:r>
      <w:r w:rsidR="00DD4FDE">
        <w:t>:</w:t>
      </w:r>
    </w:p>
    <w:p w14:paraId="4F5D330E" w14:textId="2A6ACB63" w:rsidR="00DD4FDE" w:rsidRDefault="00DD4FDE" w:rsidP="00EC7294">
      <w:pPr>
        <w:pStyle w:val="Quote"/>
      </w:pPr>
      <w:r>
        <w:t>The stable outlook reflects PSE</w:t>
      </w:r>
      <w:r w:rsidR="00EC7294">
        <w:t>’</w:t>
      </w:r>
      <w:r>
        <w:t xml:space="preserve">s </w:t>
      </w:r>
      <w:r w:rsidR="006D2878">
        <w:t xml:space="preserve">cooperative relationship with WUTC and its stable and predictable cash flow. The </w:t>
      </w:r>
      <w:r>
        <w:t>outlook also incorporates a view that the WUTC will remain supportive to long term credit quality.</w:t>
      </w:r>
    </w:p>
    <w:p w14:paraId="457C89BC" w14:textId="18392131" w:rsidR="006E5420" w:rsidRDefault="006E5420" w:rsidP="006E5420">
      <w:pPr>
        <w:pStyle w:val="NestedAnswer"/>
      </w:pPr>
      <w:r>
        <w:t xml:space="preserve">Exhibit </w:t>
      </w:r>
      <w:r w:rsidRPr="009C15AC">
        <w:t>No. ___(</w:t>
      </w:r>
      <w:r w:rsidRPr="00D053BC">
        <w:t>BJL-</w:t>
      </w:r>
      <w:r w:rsidR="00726D99">
        <w:t>7</w:t>
      </w:r>
      <w:r w:rsidRPr="009C15AC">
        <w:t>) at page </w:t>
      </w:r>
      <w:r w:rsidR="006D2878" w:rsidRPr="00D053BC">
        <w:t>2</w:t>
      </w:r>
      <w:r w:rsidRPr="009C15AC">
        <w:t>.</w:t>
      </w:r>
    </w:p>
    <w:p w14:paraId="557562D6" w14:textId="06D714DF" w:rsidR="00136EDF" w:rsidRDefault="00136EDF" w:rsidP="00136EDF">
      <w:pPr>
        <w:pStyle w:val="question"/>
      </w:pPr>
      <w:r>
        <w:t>Q.</w:t>
      </w:r>
      <w:r>
        <w:tab/>
        <w:t xml:space="preserve">What is </w:t>
      </w:r>
      <w:r w:rsidR="00B51DD1">
        <w:t>S&amp;P’s</w:t>
      </w:r>
      <w:r>
        <w:t xml:space="preserve"> view on PSE’s regulatory environment? </w:t>
      </w:r>
    </w:p>
    <w:p w14:paraId="544D8104" w14:textId="3CF8526F" w:rsidR="00136EDF" w:rsidRDefault="00136EDF" w:rsidP="00D053BC">
      <w:pPr>
        <w:pStyle w:val="NestedAnswer"/>
        <w:ind w:hanging="720"/>
      </w:pPr>
      <w:r>
        <w:t>A.</w:t>
      </w:r>
      <w:r>
        <w:tab/>
        <w:t xml:space="preserve">In the Rationale section of its report dated </w:t>
      </w:r>
      <w:r w:rsidR="003952D2">
        <w:t>December 20</w:t>
      </w:r>
      <w:r>
        <w:t>, 2016, S&amp;P states:</w:t>
      </w:r>
    </w:p>
    <w:p w14:paraId="2A40C92E" w14:textId="74B2B679" w:rsidR="00136EDF" w:rsidRDefault="003952D2" w:rsidP="00136EDF">
      <w:pPr>
        <w:pStyle w:val="Quote"/>
      </w:pPr>
      <w:r w:rsidRPr="003952D2">
        <w:t>The company’s management of regulatory risk is gradually improving primarily due to constructive regulatory mechanisms, including decoupling that somewhat mitigates regulatory lag.</w:t>
      </w:r>
    </w:p>
    <w:p w14:paraId="4EFFDBC0" w14:textId="204B7732" w:rsidR="00136EDF" w:rsidRDefault="00136EDF" w:rsidP="00A509FD">
      <w:pPr>
        <w:pStyle w:val="NestedAnswer"/>
      </w:pPr>
      <w:r w:rsidRPr="009C15AC">
        <w:t>Exhibit No. ___(</w:t>
      </w:r>
      <w:r w:rsidRPr="00D053BC">
        <w:t>BJL-</w:t>
      </w:r>
      <w:r w:rsidR="00726D99">
        <w:t>6</w:t>
      </w:r>
      <w:r w:rsidRPr="009C15AC">
        <w:t>) at page </w:t>
      </w:r>
      <w:r w:rsidR="003952D2">
        <w:t>2</w:t>
      </w:r>
      <w:r w:rsidRPr="009C15AC">
        <w:t>.</w:t>
      </w:r>
    </w:p>
    <w:p w14:paraId="55BCCF7B" w14:textId="77777777" w:rsidR="00DD4FDE" w:rsidRDefault="00DD4FDE" w:rsidP="00DD4FDE">
      <w:pPr>
        <w:pStyle w:val="Heading1"/>
      </w:pPr>
      <w:bookmarkStart w:id="37" w:name="_Toc442956042"/>
      <w:bookmarkStart w:id="38" w:name="_Toc443908477"/>
      <w:bookmarkStart w:id="39" w:name="_Toc471380886"/>
      <w:r>
        <w:t>V.</w:t>
      </w:r>
      <w:r>
        <w:tab/>
        <w:t>PSE HAS COMPLIED WITH ALL MERGER COMMITMENTS REGARDING CAPITAL STRUCTURE</w:t>
      </w:r>
      <w:r>
        <w:br/>
        <w:t>AND COSTS OF DEBT</w:t>
      </w:r>
      <w:bookmarkEnd w:id="37"/>
      <w:bookmarkEnd w:id="38"/>
      <w:bookmarkEnd w:id="39"/>
      <w:r>
        <w:t xml:space="preserve"> </w:t>
      </w:r>
    </w:p>
    <w:p w14:paraId="477087E3" w14:textId="319DD3BA" w:rsidR="00DD4FDE" w:rsidRDefault="00DD4FDE" w:rsidP="00DD4FDE">
      <w:pPr>
        <w:pStyle w:val="question"/>
      </w:pPr>
      <w:r>
        <w:t>Q.</w:t>
      </w:r>
      <w:r>
        <w:tab/>
        <w:t>Are there merger commitments relate</w:t>
      </w:r>
      <w:r w:rsidR="006E5420">
        <w:t>d</w:t>
      </w:r>
      <w:r>
        <w:t xml:space="preserve"> to PSE</w:t>
      </w:r>
      <w:r w:rsidR="00EC7294">
        <w:t>’</w:t>
      </w:r>
      <w:r>
        <w:t xml:space="preserve">s proposed cost of debt or equity in this </w:t>
      </w:r>
      <w:r w:rsidR="006E5420">
        <w:t>general rate case</w:t>
      </w:r>
      <w:r>
        <w:t xml:space="preserve">? </w:t>
      </w:r>
    </w:p>
    <w:p w14:paraId="4319E003" w14:textId="25FE709E" w:rsidR="00DD4FDE" w:rsidRDefault="00DD4FDE" w:rsidP="00EC7294">
      <w:pPr>
        <w:pStyle w:val="answer"/>
      </w:pPr>
      <w:r>
        <w:t>A.</w:t>
      </w:r>
      <w:r>
        <w:tab/>
      </w:r>
      <w:r w:rsidR="006E5420">
        <w:t xml:space="preserve">Yes. </w:t>
      </w:r>
      <w:r>
        <w:t>Merger Commitment</w:t>
      </w:r>
      <w:r w:rsidR="006E5420">
        <w:t> </w:t>
      </w:r>
      <w:r>
        <w:t>24 prohibits PSE from advocating for a higher cost of debt or equity capital as compared to what PSE</w:t>
      </w:r>
      <w:r w:rsidR="00EC7294">
        <w:t>’</w:t>
      </w:r>
      <w:r>
        <w:t>s cost of debt or equity capital would have been absent Puget Holdings</w:t>
      </w:r>
      <w:r w:rsidR="00EC7294">
        <w:t>’</w:t>
      </w:r>
      <w:r>
        <w:t xml:space="preserve"> ownership:</w:t>
      </w:r>
    </w:p>
    <w:p w14:paraId="52B3B70B" w14:textId="3245378D" w:rsidR="00DD4FDE" w:rsidRDefault="00DD4FDE" w:rsidP="00EC7294">
      <w:pPr>
        <w:pStyle w:val="Quote"/>
      </w:pPr>
      <w:r>
        <w:lastRenderedPageBreak/>
        <w:t>Puget Holdings and PSE will not advocate for a higher cost of debt or equity capital as compared to what PSE</w:t>
      </w:r>
      <w:r w:rsidR="00EC7294">
        <w:t>’</w:t>
      </w:r>
      <w:r>
        <w:t>s cost of debt or equity capital would have been absent Puget Holdings</w:t>
      </w:r>
      <w:r w:rsidR="00EC7294">
        <w:t>’</w:t>
      </w:r>
      <w:r>
        <w:t xml:space="preserve"> ownersh</w:t>
      </w:r>
      <w:r w:rsidR="00365DFB">
        <w:t>ip.</w:t>
      </w:r>
      <w:r w:rsidR="00365DFB" w:rsidRPr="00365DFB">
        <w:rPr>
          <w:iCs w:val="0"/>
          <w:color w:val="auto"/>
          <w:position w:val="6"/>
          <w:sz w:val="16"/>
        </w:rPr>
        <w:footnoteReference w:id="10"/>
      </w:r>
    </w:p>
    <w:p w14:paraId="538206AC" w14:textId="743B9EA0" w:rsidR="00DD4FDE" w:rsidRDefault="00DD4FDE" w:rsidP="00EC7294">
      <w:pPr>
        <w:pStyle w:val="NestedAnswer"/>
      </w:pPr>
      <w:r>
        <w:t>The Eighth Condition of the Merger Order clarified Merger Commitment</w:t>
      </w:r>
      <w:r w:rsidR="00531547">
        <w:t> </w:t>
      </w:r>
      <w:r>
        <w:t>24 (among other merger commitments) as follows:</w:t>
      </w:r>
    </w:p>
    <w:p w14:paraId="3E46E0FB" w14:textId="77777777" w:rsidR="00EC7294" w:rsidRDefault="00DD4FDE" w:rsidP="00EC7294">
      <w:pPr>
        <w:pStyle w:val="List"/>
        <w:jc w:val="both"/>
      </w:pPr>
      <w:r>
        <w:t>(a)</w:t>
      </w:r>
      <w:r>
        <w:tab/>
        <w:t>Determination of PSE</w:t>
      </w:r>
      <w:r w:rsidR="00EC7294">
        <w:t>’</w:t>
      </w:r>
      <w:r>
        <w:t>s debt and equity costs will be no higher than such costs would have been assuming PSE</w:t>
      </w:r>
      <w:r w:rsidR="00EC7294">
        <w:t>’</w:t>
      </w:r>
      <w:r>
        <w:t>s credit ratings by S&amp;P and Moody</w:t>
      </w:r>
      <w:r w:rsidR="00EC7294">
        <w:t>’</w:t>
      </w:r>
      <w:r>
        <w:t>s in effect on the day before the transaction closes and applying those credit ratings to then-current debt and equity markets, unless PSE proves that a lower credit rating is caused by circumstances or developments not the result of financial risks or other characteristics of the transaction.</w:t>
      </w:r>
    </w:p>
    <w:p w14:paraId="4031D79F" w14:textId="77777777" w:rsidR="00EC7294" w:rsidRDefault="00DD4FDE" w:rsidP="00EC7294">
      <w:pPr>
        <w:pStyle w:val="List"/>
        <w:jc w:val="both"/>
      </w:pPr>
      <w:r>
        <w:t>(b)</w:t>
      </w:r>
      <w:r>
        <w:tab/>
        <w:t>PSE bears the burden to prove prudent in a future general rate case any pre-payment premium or increased cost of debt associated with existing PSE debt retired, repaid, or replaced as a part of the transaction.</w:t>
      </w:r>
    </w:p>
    <w:p w14:paraId="5329D1D1" w14:textId="77777777" w:rsidR="00DD4FDE" w:rsidRDefault="00DD4FDE" w:rsidP="00EC7294">
      <w:pPr>
        <w:pStyle w:val="List"/>
        <w:jc w:val="both"/>
      </w:pPr>
      <w:r>
        <w:t>(c)</w:t>
      </w:r>
      <w:r>
        <w:tab/>
        <w:t>Determination of the allowed return on equity in future general rate cases will include selection and use of one or more proxy group(s) of companies engaged in businesses substantially similar to PSE, without any limitation related to PSE</w:t>
      </w:r>
      <w:r w:rsidR="00EC7294">
        <w:t>’</w:t>
      </w:r>
      <w:r>
        <w:t>s ownership structure.</w:t>
      </w:r>
      <w:r w:rsidR="00365DFB" w:rsidRPr="00365DFB">
        <w:rPr>
          <w:position w:val="6"/>
          <w:sz w:val="16"/>
        </w:rPr>
        <w:footnoteReference w:id="11"/>
      </w:r>
    </w:p>
    <w:p w14:paraId="06631DB7" w14:textId="6D7FB5C5" w:rsidR="00DD4FDE" w:rsidRDefault="00DD4FDE" w:rsidP="00DD4FDE">
      <w:pPr>
        <w:pStyle w:val="question"/>
      </w:pPr>
      <w:r>
        <w:t>Q.</w:t>
      </w:r>
      <w:r>
        <w:tab/>
        <w:t>Has PSE complied with Merger Commitment</w:t>
      </w:r>
      <w:r w:rsidR="00531547">
        <w:t> </w:t>
      </w:r>
      <w:r>
        <w:t>24, as clarified by the Eighth Condition of the Merger Order?</w:t>
      </w:r>
    </w:p>
    <w:p w14:paraId="2377A057" w14:textId="771A1EFB" w:rsidR="00DD4FDE" w:rsidRDefault="00DD4FDE" w:rsidP="00EC7294">
      <w:pPr>
        <w:pStyle w:val="answer"/>
      </w:pPr>
      <w:r>
        <w:t>A.</w:t>
      </w:r>
      <w:r>
        <w:tab/>
      </w:r>
      <w:r w:rsidR="00531547">
        <w:t xml:space="preserve">Yes. PSE has complied with Merger Commitment 24, as clarified by the Eighth Condition of the Merger Order. </w:t>
      </w:r>
    </w:p>
    <w:p w14:paraId="3F4EFF8C" w14:textId="77777777" w:rsidR="00DD4FDE" w:rsidRDefault="00DD4FDE" w:rsidP="00DD4FDE">
      <w:pPr>
        <w:pStyle w:val="question"/>
      </w:pPr>
      <w:r>
        <w:lastRenderedPageBreak/>
        <w:t>Q.</w:t>
      </w:r>
      <w:r>
        <w:tab/>
        <w:t>Does any merger commitment require PSE to maintain a capital structure with a minimum equity ratio?</w:t>
      </w:r>
    </w:p>
    <w:p w14:paraId="54AE84CF" w14:textId="77777777" w:rsidR="00DD4FDE" w:rsidRDefault="00DD4FDE" w:rsidP="00EC7294">
      <w:pPr>
        <w:pStyle w:val="answer"/>
      </w:pPr>
      <w:r>
        <w:t>A.</w:t>
      </w:r>
      <w:r>
        <w:tab/>
        <w:t>Yes. Merger Commitment</w:t>
      </w:r>
      <w:r w:rsidR="00EC7294">
        <w:t> </w:t>
      </w:r>
      <w:r>
        <w:t>35, in part, requires PSE to maintain a capital structure with a minimum equity ratio:</w:t>
      </w:r>
    </w:p>
    <w:p w14:paraId="4629E911" w14:textId="77777777" w:rsidR="00DD4FDE" w:rsidRDefault="00DD4FDE" w:rsidP="00EC7294">
      <w:pPr>
        <w:pStyle w:val="Quote"/>
      </w:pPr>
      <w:r>
        <w:t>as of the closing of the transaction (or within sixty (60) days thereof), PSE will have a common equity ratio of not less than 50</w:t>
      </w:r>
      <w:r w:rsidR="00EC7294">
        <w:t> </w:t>
      </w:r>
      <w:r>
        <w:t>percent. Joint Applicants commit that at all times thereafter, PSE will have a common equity ratio of not less than 44</w:t>
      </w:r>
      <w:r w:rsidR="00EC7294">
        <w:t> </w:t>
      </w:r>
      <w:r>
        <w:t>percent, except to the extent a lower equity ratio is established for ratemak</w:t>
      </w:r>
      <w:r w:rsidR="00365DFB">
        <w:t>ing purposes by the Commission.</w:t>
      </w:r>
      <w:r w:rsidR="00365DFB" w:rsidRPr="00365DFB">
        <w:rPr>
          <w:iCs w:val="0"/>
          <w:color w:val="auto"/>
          <w:position w:val="6"/>
          <w:sz w:val="16"/>
        </w:rPr>
        <w:footnoteReference w:id="12"/>
      </w:r>
    </w:p>
    <w:p w14:paraId="50DF1248" w14:textId="54148E26" w:rsidR="00DD4FDE" w:rsidRDefault="00DD4FDE" w:rsidP="00DD4FDE">
      <w:pPr>
        <w:pStyle w:val="question"/>
      </w:pPr>
      <w:r>
        <w:t>Q.</w:t>
      </w:r>
      <w:r>
        <w:tab/>
      </w:r>
      <w:r w:rsidR="00531547">
        <w:t>H</w:t>
      </w:r>
      <w:r>
        <w:t xml:space="preserve">as </w:t>
      </w:r>
      <w:r w:rsidR="00531547">
        <w:t xml:space="preserve">PSE </w:t>
      </w:r>
      <w:r>
        <w:t xml:space="preserve">complied with </w:t>
      </w:r>
      <w:r w:rsidR="00531547">
        <w:t>M</w:t>
      </w:r>
      <w:r>
        <w:t xml:space="preserve">erger </w:t>
      </w:r>
      <w:r w:rsidR="00531547">
        <w:t>C</w:t>
      </w:r>
      <w:r>
        <w:t>ommitment</w:t>
      </w:r>
      <w:r w:rsidR="00EC7294">
        <w:t> </w:t>
      </w:r>
      <w:r>
        <w:t>35?</w:t>
      </w:r>
    </w:p>
    <w:p w14:paraId="18CD3D95" w14:textId="3C30BDDA" w:rsidR="00DD4FDE" w:rsidRDefault="00DD4FDE" w:rsidP="00EC7294">
      <w:pPr>
        <w:pStyle w:val="answer"/>
      </w:pPr>
      <w:r>
        <w:t>A.</w:t>
      </w:r>
      <w:r>
        <w:tab/>
      </w:r>
      <w:r w:rsidR="00531547">
        <w:t xml:space="preserve">Yes, PSE has complied with Merger Commitment 35. </w:t>
      </w:r>
      <w:r>
        <w:t>PSE</w:t>
      </w:r>
      <w:r w:rsidR="00EC7294">
        <w:t>’</w:t>
      </w:r>
      <w:r>
        <w:t>s equity ratio averaged 48.</w:t>
      </w:r>
      <w:r w:rsidR="00AB276D">
        <w:t>9</w:t>
      </w:r>
      <w:r w:rsidR="00EC7294">
        <w:t> </w:t>
      </w:r>
      <w:r>
        <w:t xml:space="preserve">percent </w:t>
      </w:r>
      <w:r w:rsidR="00726D99">
        <w:t xml:space="preserve">in </w:t>
      </w:r>
      <w:r>
        <w:t>the test year. PSE</w:t>
      </w:r>
      <w:r w:rsidR="00EC7294">
        <w:t>’</w:t>
      </w:r>
      <w:r>
        <w:t>s equity has been above 44</w:t>
      </w:r>
      <w:r w:rsidR="00EC7294">
        <w:t> </w:t>
      </w:r>
      <w:r>
        <w:t>percent since the merger. Therefore, PSE complies with Merger Commitment</w:t>
      </w:r>
      <w:r w:rsidR="00EC7294">
        <w:t> </w:t>
      </w:r>
      <w:r>
        <w:t>35.</w:t>
      </w:r>
    </w:p>
    <w:p w14:paraId="14C04669" w14:textId="77777777" w:rsidR="00DD4FDE" w:rsidRDefault="00DD4FDE" w:rsidP="00EC7294">
      <w:pPr>
        <w:pStyle w:val="Heading1"/>
      </w:pPr>
      <w:bookmarkStart w:id="40" w:name="_Toc442956043"/>
      <w:bookmarkStart w:id="41" w:name="_Toc443908478"/>
      <w:bookmarkStart w:id="42" w:name="_Toc471380887"/>
      <w:r>
        <w:t>VI.</w:t>
      </w:r>
      <w:r>
        <w:tab/>
        <w:t>CONCLUSION</w:t>
      </w:r>
      <w:bookmarkEnd w:id="40"/>
      <w:bookmarkEnd w:id="41"/>
      <w:bookmarkEnd w:id="42"/>
    </w:p>
    <w:p w14:paraId="2F59F659" w14:textId="77777777" w:rsidR="00DD4FDE" w:rsidRDefault="00DD4FDE" w:rsidP="00DD4FDE">
      <w:pPr>
        <w:pStyle w:val="question"/>
      </w:pPr>
      <w:r>
        <w:t>Q.</w:t>
      </w:r>
      <w:r>
        <w:tab/>
        <w:t>Does that conclude your direct testimony?</w:t>
      </w:r>
    </w:p>
    <w:p w14:paraId="294C83C2" w14:textId="77777777" w:rsidR="00DD4FDE" w:rsidRDefault="00DD4FDE" w:rsidP="00EC7294">
      <w:pPr>
        <w:pStyle w:val="answer"/>
      </w:pPr>
      <w:r>
        <w:t>A.</w:t>
      </w:r>
      <w:r>
        <w:tab/>
        <w:t>Yes, it does.</w:t>
      </w:r>
      <w:bookmarkEnd w:id="17"/>
      <w:bookmarkEnd w:id="18"/>
    </w:p>
    <w:sectPr w:rsidR="00DD4FDE" w:rsidSect="00FB09A7">
      <w:footerReference w:type="default" r:id="rId21"/>
      <w:footerReference w:type="first" r:id="rId22"/>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81617" w14:textId="77777777" w:rsidR="0018253C" w:rsidRDefault="0018253C">
      <w:r>
        <w:separator/>
      </w:r>
    </w:p>
  </w:endnote>
  <w:endnote w:type="continuationSeparator" w:id="0">
    <w:p w14:paraId="391EFBED" w14:textId="77777777" w:rsidR="0018253C" w:rsidRDefault="0018253C">
      <w:r>
        <w:continuationSeparator/>
      </w:r>
    </w:p>
  </w:endnote>
  <w:endnote w:type="continuationNotice" w:id="1">
    <w:p w14:paraId="238F4EC3" w14:textId="77777777" w:rsidR="0018253C" w:rsidRDefault="00182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1)">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MT">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7BD90" w14:textId="77777777" w:rsidR="00E82681" w:rsidRPr="009C14C3" w:rsidRDefault="00E82681">
    <w:pPr>
      <w:pStyle w:val="Footer"/>
      <w:rPr>
        <w:sz w:val="16"/>
      </w:rPr>
    </w:pPr>
    <w:r>
      <w:rPr>
        <w:sz w:val="16"/>
      </w:rPr>
      <w:t>WS: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10968" w14:textId="77777777" w:rsidR="00E82681" w:rsidRPr="006A4EC4" w:rsidRDefault="00E82681"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14:paraId="5DD2C660" w14:textId="77777777" w:rsidR="00E82681" w:rsidRPr="006A4EC4" w:rsidRDefault="00E82681" w:rsidP="00E05C6E">
    <w:pPr>
      <w:pStyle w:val="Footer"/>
      <w:tabs>
        <w:tab w:val="clear" w:pos="4507"/>
        <w:tab w:val="clear" w:pos="9000"/>
        <w:tab w:val="right" w:pos="8640"/>
      </w:tabs>
      <w:spacing w:line="240" w:lineRule="auto"/>
      <w:ind w:right="0" w:hanging="4"/>
      <w:rPr>
        <w:sz w:val="10"/>
        <w:szCs w:val="10"/>
      </w:rPr>
    </w:pPr>
  </w:p>
  <w:p w14:paraId="7A114AC8" w14:textId="2624355E" w:rsidR="00E82681" w:rsidRDefault="00E82681" w:rsidP="00E05C6E">
    <w:pPr>
      <w:pStyle w:val="Footer"/>
      <w:tabs>
        <w:tab w:val="clear" w:pos="4507"/>
        <w:tab w:val="clear" w:pos="9000"/>
        <w:tab w:val="right" w:pos="8640"/>
      </w:tabs>
      <w:ind w:hanging="4"/>
    </w:pPr>
    <w:r>
      <w:t>Prefiled Direct Testimony</w:t>
    </w:r>
    <w:r>
      <w:tab/>
      <w:t>Exhibit No. ___(BJL-1T)</w:t>
    </w:r>
  </w:p>
  <w:p w14:paraId="046EC8CE" w14:textId="74B7AC9A" w:rsidR="00E82681" w:rsidRDefault="00E82681" w:rsidP="00F342FC">
    <w:pPr>
      <w:pStyle w:val="Footer"/>
      <w:tabs>
        <w:tab w:val="clear" w:pos="4507"/>
        <w:tab w:val="clear" w:pos="9000"/>
        <w:tab w:val="right" w:pos="8640"/>
      </w:tabs>
      <w:ind w:hanging="4"/>
      <w:rPr>
        <w:rStyle w:val="PageNumber"/>
      </w:rPr>
    </w:pPr>
    <w:r>
      <w:t>(</w:t>
    </w:r>
    <w:proofErr w:type="spellStart"/>
    <w:r w:rsidR="000514F9">
      <w:t>Nonc</w:t>
    </w:r>
    <w:r>
      <w:t>onfidential</w:t>
    </w:r>
    <w:proofErr w:type="spellEnd"/>
    <w:r>
      <w:t>) of</w:t>
    </w:r>
    <w:r>
      <w:tab/>
      <w:t>Page </w:t>
    </w:r>
    <w:r>
      <w:rPr>
        <w:rStyle w:val="PageNumber"/>
      </w:rPr>
      <w:fldChar w:fldCharType="begin"/>
    </w:r>
    <w:r>
      <w:rPr>
        <w:rStyle w:val="PageNumber"/>
      </w:rPr>
      <w:instrText xml:space="preserve"> PAGE </w:instrText>
    </w:r>
    <w:r>
      <w:rPr>
        <w:rStyle w:val="PageNumber"/>
      </w:rPr>
      <w:fldChar w:fldCharType="separate"/>
    </w:r>
    <w:r w:rsidR="00895BAB">
      <w:rPr>
        <w:rStyle w:val="PageNumber"/>
        <w:noProof/>
      </w:rPr>
      <w:t>i</w:t>
    </w:r>
    <w:r>
      <w:rPr>
        <w:rStyle w:val="PageNumber"/>
      </w:rPr>
      <w:fldChar w:fldCharType="end"/>
    </w:r>
    <w:r>
      <w:rPr>
        <w:rStyle w:val="PageNumber"/>
      </w:rPr>
      <w:t xml:space="preserve"> of </w:t>
    </w:r>
    <w:r>
      <w:rPr>
        <w:rStyle w:val="PageNumber"/>
      </w:rPr>
      <w:fldChar w:fldCharType="begin"/>
    </w:r>
    <w:r>
      <w:rPr>
        <w:rStyle w:val="PageNumber"/>
      </w:rPr>
      <w:instrText xml:space="preserve"> SECTIONPAGES  \* roman  \* MERGEFORMAT </w:instrText>
    </w:r>
    <w:r>
      <w:rPr>
        <w:rStyle w:val="PageNumber"/>
      </w:rPr>
      <w:fldChar w:fldCharType="separate"/>
    </w:r>
    <w:r w:rsidR="00895BAB">
      <w:rPr>
        <w:rStyle w:val="PageNumber"/>
        <w:noProof/>
      </w:rPr>
      <w:t>i</w:t>
    </w:r>
    <w:r>
      <w:rPr>
        <w:rStyle w:val="PageNumber"/>
      </w:rPr>
      <w:fldChar w:fldCharType="end"/>
    </w:r>
  </w:p>
  <w:p w14:paraId="291A3AC3" w14:textId="77777777" w:rsidR="00E82681" w:rsidRDefault="00E82681" w:rsidP="00F342FC">
    <w:pPr>
      <w:pStyle w:val="Footer"/>
      <w:tabs>
        <w:tab w:val="clear" w:pos="4507"/>
        <w:tab w:val="clear" w:pos="9000"/>
        <w:tab w:val="right" w:pos="8640"/>
      </w:tabs>
      <w:ind w:hanging="4"/>
    </w:pPr>
    <w:r w:rsidRPr="00DD4FDE">
      <w:t>Brandon J. Lohse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FE108" w14:textId="77777777" w:rsidR="00E82681" w:rsidRDefault="00E82681" w:rsidP="00E05C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C0618" w14:textId="77777777" w:rsidR="00E82681" w:rsidRPr="006A4EC4" w:rsidRDefault="00E82681"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14:paraId="4082AC66" w14:textId="77777777" w:rsidR="00E82681" w:rsidRPr="006A4EC4" w:rsidRDefault="00E82681" w:rsidP="00E05C6E">
    <w:pPr>
      <w:pStyle w:val="Footer"/>
      <w:tabs>
        <w:tab w:val="clear" w:pos="4507"/>
        <w:tab w:val="clear" w:pos="9000"/>
        <w:tab w:val="right" w:pos="8640"/>
      </w:tabs>
      <w:spacing w:line="240" w:lineRule="auto"/>
      <w:ind w:right="0"/>
      <w:rPr>
        <w:sz w:val="10"/>
        <w:szCs w:val="10"/>
      </w:rPr>
    </w:pPr>
  </w:p>
  <w:p w14:paraId="701C8B2F" w14:textId="01FF5A9E" w:rsidR="00E82681" w:rsidRDefault="00E82681" w:rsidP="004611C3">
    <w:pPr>
      <w:pStyle w:val="Footer"/>
      <w:tabs>
        <w:tab w:val="clear" w:pos="4507"/>
        <w:tab w:val="clear" w:pos="9000"/>
        <w:tab w:val="right" w:pos="8640"/>
      </w:tabs>
      <w:ind w:hanging="4"/>
    </w:pPr>
    <w:r>
      <w:t>Prefiled Direct Testimony</w:t>
    </w:r>
    <w:r>
      <w:tab/>
      <w:t>Exhibit No. ___(BJL-1T)</w:t>
    </w:r>
  </w:p>
  <w:p w14:paraId="12148AE1" w14:textId="561E712F" w:rsidR="00E82681" w:rsidRDefault="00E82681" w:rsidP="004611C3">
    <w:pPr>
      <w:pStyle w:val="Footer"/>
      <w:tabs>
        <w:tab w:val="clear" w:pos="4507"/>
        <w:tab w:val="clear" w:pos="9000"/>
        <w:tab w:val="right" w:pos="8640"/>
      </w:tabs>
      <w:ind w:hanging="4"/>
      <w:rPr>
        <w:rStyle w:val="PageNumber"/>
      </w:rPr>
    </w:pPr>
    <w:r>
      <w:t>(</w:t>
    </w:r>
    <w:proofErr w:type="spellStart"/>
    <w:r w:rsidR="00650606" w:rsidRPr="00650606">
      <w:t>Non</w:t>
    </w:r>
    <w:r w:rsidR="000514F9">
      <w:t>c</w:t>
    </w:r>
    <w:r>
      <w:t>onfidential</w:t>
    </w:r>
    <w:proofErr w:type="spellEnd"/>
    <w:r>
      <w:t>) of</w:t>
    </w:r>
    <w:r>
      <w:tab/>
      <w:t>Page </w:t>
    </w:r>
    <w:r>
      <w:rPr>
        <w:rStyle w:val="PageNumber"/>
      </w:rPr>
      <w:fldChar w:fldCharType="begin"/>
    </w:r>
    <w:r>
      <w:rPr>
        <w:rStyle w:val="PageNumber"/>
      </w:rPr>
      <w:instrText xml:space="preserve"> PAGE </w:instrText>
    </w:r>
    <w:r>
      <w:rPr>
        <w:rStyle w:val="PageNumber"/>
      </w:rPr>
      <w:fldChar w:fldCharType="separate"/>
    </w:r>
    <w:r w:rsidR="00895BAB">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895BAB">
      <w:rPr>
        <w:rStyle w:val="PageNumber"/>
        <w:noProof/>
      </w:rPr>
      <w:t>21</w:t>
    </w:r>
    <w:r>
      <w:rPr>
        <w:rStyle w:val="PageNumber"/>
      </w:rPr>
      <w:fldChar w:fldCharType="end"/>
    </w:r>
  </w:p>
  <w:p w14:paraId="39209682" w14:textId="77777777" w:rsidR="00E82681" w:rsidRDefault="00E82681" w:rsidP="00052A92">
    <w:pPr>
      <w:pStyle w:val="Footer"/>
      <w:tabs>
        <w:tab w:val="clear" w:pos="4507"/>
        <w:tab w:val="clear" w:pos="9000"/>
        <w:tab w:val="right" w:pos="8640"/>
      </w:tabs>
      <w:ind w:hanging="4"/>
    </w:pPr>
    <w:r w:rsidRPr="00DD4FDE">
      <w:t>Brandon J. Lohse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95281" w14:textId="77777777" w:rsidR="00E82681" w:rsidRDefault="00E82681"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2CD5E" w14:textId="77777777" w:rsidR="0018253C" w:rsidRDefault="0018253C">
      <w:r>
        <w:separator/>
      </w:r>
    </w:p>
  </w:footnote>
  <w:footnote w:type="continuationSeparator" w:id="0">
    <w:p w14:paraId="41700E72" w14:textId="77777777" w:rsidR="0018253C" w:rsidRDefault="0018253C">
      <w:r>
        <w:continuationSeparator/>
      </w:r>
    </w:p>
  </w:footnote>
  <w:footnote w:type="continuationNotice" w:id="1">
    <w:p w14:paraId="73D29F82" w14:textId="77777777" w:rsidR="0018253C" w:rsidRDefault="0018253C"/>
  </w:footnote>
  <w:footnote w:id="2">
    <w:p w14:paraId="5BA38D0D" w14:textId="6F2E9452" w:rsidR="00E82681" w:rsidRDefault="00E82681" w:rsidP="000433CF">
      <w:pPr>
        <w:pStyle w:val="FootnoteText"/>
        <w:tabs>
          <w:tab w:val="left" w:pos="342"/>
        </w:tabs>
        <w:spacing w:before="60" w:after="60" w:line="240" w:lineRule="auto"/>
        <w:ind w:firstLine="360"/>
      </w:pPr>
      <w:r>
        <w:rPr>
          <w:rStyle w:val="FootnoteReference"/>
        </w:rPr>
        <w:footnoteRef/>
      </w:r>
      <w:r w:rsidR="00EF021A">
        <w:tab/>
      </w:r>
      <w:r>
        <w:rPr>
          <w:i/>
          <w:sz w:val="20"/>
        </w:rPr>
        <w:t>WUTC v.</w:t>
      </w:r>
      <w:r w:rsidRPr="00434A93">
        <w:rPr>
          <w:i/>
          <w:sz w:val="20"/>
        </w:rPr>
        <w:t xml:space="preserve"> Puget Sound Energy, Inc.</w:t>
      </w:r>
      <w:r>
        <w:rPr>
          <w:sz w:val="20"/>
        </w:rPr>
        <w:t>, Dockets</w:t>
      </w:r>
      <w:r w:rsidRPr="00434A93">
        <w:rPr>
          <w:sz w:val="20"/>
        </w:rPr>
        <w:t xml:space="preserve"> U</w:t>
      </w:r>
      <w:r>
        <w:rPr>
          <w:sz w:val="20"/>
        </w:rPr>
        <w:t>E</w:t>
      </w:r>
      <w:r w:rsidRPr="00434A93">
        <w:rPr>
          <w:sz w:val="20"/>
        </w:rPr>
        <w:t>-</w:t>
      </w:r>
      <w:r>
        <w:rPr>
          <w:sz w:val="20"/>
        </w:rPr>
        <w:t>111048 and UG-111049</w:t>
      </w:r>
      <w:r w:rsidRPr="00434A93">
        <w:rPr>
          <w:sz w:val="20"/>
        </w:rPr>
        <w:t>, Order 08</w:t>
      </w:r>
      <w:r>
        <w:rPr>
          <w:sz w:val="20"/>
        </w:rPr>
        <w:t>, ¶ 57 (May 7, 2012)</w:t>
      </w:r>
      <w:r>
        <w:t>.</w:t>
      </w:r>
    </w:p>
  </w:footnote>
  <w:footnote w:id="3">
    <w:p w14:paraId="50058FBE" w14:textId="6C71FE0F" w:rsidR="00E82681" w:rsidRDefault="00E82681" w:rsidP="000433CF">
      <w:pPr>
        <w:pStyle w:val="FootnoteText"/>
        <w:tabs>
          <w:tab w:val="left" w:pos="720"/>
        </w:tabs>
        <w:spacing w:before="60" w:after="60" w:line="240" w:lineRule="auto"/>
        <w:ind w:firstLine="360"/>
      </w:pPr>
      <w:r>
        <w:rPr>
          <w:rStyle w:val="FootnoteReference"/>
        </w:rPr>
        <w:footnoteRef/>
      </w:r>
      <w:r>
        <w:tab/>
      </w:r>
      <w:r>
        <w:rPr>
          <w:i/>
          <w:sz w:val="20"/>
        </w:rPr>
        <w:t>WUTC v. Puget Sound Energy</w:t>
      </w:r>
      <w:r>
        <w:rPr>
          <w:sz w:val="20"/>
        </w:rPr>
        <w:t xml:space="preserve">, Docket </w:t>
      </w:r>
      <w:r w:rsidR="00D949FD">
        <w:rPr>
          <w:sz w:val="20"/>
        </w:rPr>
        <w:t>UE-</w:t>
      </w:r>
      <w:r>
        <w:rPr>
          <w:sz w:val="20"/>
        </w:rPr>
        <w:t xml:space="preserve">130617 </w:t>
      </w:r>
      <w:r w:rsidRPr="00400BD4">
        <w:rPr>
          <w:i/>
          <w:sz w:val="20"/>
        </w:rPr>
        <w:t>et al</w:t>
      </w:r>
      <w:r>
        <w:rPr>
          <w:sz w:val="20"/>
        </w:rPr>
        <w:t>, Order 11, ¶ 21 (Aug. 7, 2015)</w:t>
      </w:r>
      <w:r>
        <w:t>.</w:t>
      </w:r>
    </w:p>
  </w:footnote>
  <w:footnote w:id="4">
    <w:p w14:paraId="00685514" w14:textId="7D7901A9" w:rsidR="00E82681" w:rsidRPr="002B0EBF" w:rsidRDefault="00E82681" w:rsidP="000433CF">
      <w:pPr>
        <w:pStyle w:val="FootnoteText"/>
        <w:tabs>
          <w:tab w:val="left" w:pos="720"/>
        </w:tabs>
        <w:spacing w:before="60" w:after="60" w:line="240" w:lineRule="auto"/>
        <w:ind w:firstLine="360"/>
        <w:rPr>
          <w:sz w:val="20"/>
        </w:rPr>
      </w:pPr>
      <w:r>
        <w:rPr>
          <w:rStyle w:val="FootnoteReference"/>
        </w:rPr>
        <w:footnoteRef/>
      </w:r>
      <w:r w:rsidRPr="002B0EBF">
        <w:rPr>
          <w:sz w:val="20"/>
        </w:rPr>
        <w:tab/>
      </w:r>
      <w:r w:rsidRPr="00365DFB">
        <w:rPr>
          <w:sz w:val="20"/>
          <w:szCs w:val="20"/>
        </w:rPr>
        <w:t xml:space="preserve">Standard and Poor’s, </w:t>
      </w:r>
      <w:r w:rsidRPr="00DE5FDB">
        <w:rPr>
          <w:i/>
          <w:sz w:val="20"/>
          <w:szCs w:val="20"/>
        </w:rPr>
        <w:t>Corporate Methodology: Ratios and Adjustments</w:t>
      </w:r>
      <w:r w:rsidRPr="00B95BF1">
        <w:rPr>
          <w:sz w:val="20"/>
        </w:rPr>
        <w:t xml:space="preserve"> </w:t>
      </w:r>
      <w:r w:rsidRPr="006E5420">
        <w:rPr>
          <w:iCs/>
          <w:sz w:val="20"/>
          <w:szCs w:val="20"/>
        </w:rPr>
        <w:t>(</w:t>
      </w:r>
      <w:r w:rsidRPr="00365DFB">
        <w:rPr>
          <w:iCs/>
          <w:sz w:val="20"/>
          <w:szCs w:val="20"/>
        </w:rPr>
        <w:t>Nov</w:t>
      </w:r>
      <w:r>
        <w:rPr>
          <w:iCs/>
          <w:sz w:val="20"/>
          <w:szCs w:val="20"/>
        </w:rPr>
        <w:t>. </w:t>
      </w:r>
      <w:r w:rsidRPr="00365DFB">
        <w:rPr>
          <w:iCs/>
          <w:sz w:val="20"/>
          <w:szCs w:val="20"/>
        </w:rPr>
        <w:t>19, 2013</w:t>
      </w:r>
      <w:r>
        <w:rPr>
          <w:iCs/>
          <w:sz w:val="20"/>
          <w:szCs w:val="20"/>
        </w:rPr>
        <w:t>)</w:t>
      </w:r>
      <w:r w:rsidR="00E85C57">
        <w:rPr>
          <w:iCs/>
          <w:sz w:val="20"/>
          <w:szCs w:val="20"/>
        </w:rPr>
        <w:t>.</w:t>
      </w:r>
    </w:p>
  </w:footnote>
  <w:footnote w:id="5">
    <w:p w14:paraId="3D9486B4" w14:textId="6B2CB0E2" w:rsidR="00E82681" w:rsidRPr="00365DFB" w:rsidRDefault="00E82681" w:rsidP="000433CF">
      <w:pPr>
        <w:pStyle w:val="FootnoteText"/>
        <w:tabs>
          <w:tab w:val="left" w:pos="720"/>
        </w:tabs>
        <w:spacing w:before="60" w:after="60" w:line="240" w:lineRule="auto"/>
        <w:ind w:firstLine="360"/>
        <w:rPr>
          <w:sz w:val="20"/>
          <w:szCs w:val="20"/>
        </w:rPr>
      </w:pPr>
      <w:r>
        <w:rPr>
          <w:rStyle w:val="FootnoteReference"/>
        </w:rPr>
        <w:footnoteRef/>
      </w:r>
      <w:r w:rsidRPr="00365DFB">
        <w:rPr>
          <w:sz w:val="20"/>
          <w:szCs w:val="20"/>
        </w:rPr>
        <w:tab/>
      </w:r>
      <w:r w:rsidRPr="004C6DBB">
        <w:rPr>
          <w:i/>
          <w:sz w:val="20"/>
          <w:szCs w:val="20"/>
        </w:rPr>
        <w:t>See i</w:t>
      </w:r>
      <w:r w:rsidRPr="00DE5FDB">
        <w:rPr>
          <w:i/>
          <w:sz w:val="20"/>
          <w:szCs w:val="20"/>
        </w:rPr>
        <w:t>d</w:t>
      </w:r>
      <w:r>
        <w:rPr>
          <w:sz w:val="20"/>
          <w:szCs w:val="20"/>
        </w:rPr>
        <w:t>. at page 35 (Table 18 (</w:t>
      </w:r>
      <w:r w:rsidRPr="00DE5FDB">
        <w:rPr>
          <w:sz w:val="20"/>
          <w:szCs w:val="20"/>
        </w:rPr>
        <w:t>Cash Flow/Leverage Analysis Ratios--Medial Volatility</w:t>
      </w:r>
      <w:r>
        <w:rPr>
          <w:sz w:val="20"/>
          <w:szCs w:val="20"/>
        </w:rPr>
        <w:t>)).</w:t>
      </w:r>
    </w:p>
  </w:footnote>
  <w:footnote w:id="6">
    <w:p w14:paraId="06008834" w14:textId="7BC74D71" w:rsidR="00E82681" w:rsidRPr="00365DFB" w:rsidRDefault="00E82681" w:rsidP="000433CF">
      <w:pPr>
        <w:pStyle w:val="FootnoteText"/>
        <w:tabs>
          <w:tab w:val="left" w:pos="720"/>
        </w:tabs>
        <w:spacing w:before="60" w:after="60" w:line="240" w:lineRule="auto"/>
        <w:ind w:firstLine="360"/>
        <w:rPr>
          <w:sz w:val="20"/>
          <w:szCs w:val="20"/>
        </w:rPr>
      </w:pPr>
      <w:r>
        <w:rPr>
          <w:rStyle w:val="FootnoteReference"/>
        </w:rPr>
        <w:footnoteRef/>
      </w:r>
      <w:r w:rsidRPr="00365DFB">
        <w:rPr>
          <w:sz w:val="20"/>
          <w:szCs w:val="20"/>
        </w:rPr>
        <w:tab/>
        <w:t xml:space="preserve">Moody’s Investors Service, </w:t>
      </w:r>
      <w:r w:rsidRPr="002B0EBF">
        <w:rPr>
          <w:i/>
          <w:sz w:val="20"/>
        </w:rPr>
        <w:t xml:space="preserve">Rating </w:t>
      </w:r>
      <w:r w:rsidRPr="0068425D">
        <w:rPr>
          <w:i/>
          <w:sz w:val="20"/>
          <w:szCs w:val="20"/>
        </w:rPr>
        <w:t>Methodology</w:t>
      </w:r>
      <w:r w:rsidRPr="002B0EBF">
        <w:rPr>
          <w:i/>
          <w:sz w:val="20"/>
        </w:rPr>
        <w:t>, Regulated Electric and Gas Utilities</w:t>
      </w:r>
      <w:r>
        <w:rPr>
          <w:sz w:val="20"/>
          <w:szCs w:val="20"/>
        </w:rPr>
        <w:t xml:space="preserve"> (</w:t>
      </w:r>
      <w:r w:rsidRPr="00365DFB">
        <w:rPr>
          <w:sz w:val="20"/>
          <w:szCs w:val="20"/>
        </w:rPr>
        <w:t>Dec</w:t>
      </w:r>
      <w:r>
        <w:rPr>
          <w:sz w:val="20"/>
          <w:szCs w:val="20"/>
        </w:rPr>
        <w:t>. </w:t>
      </w:r>
      <w:r w:rsidRPr="00365DFB">
        <w:rPr>
          <w:sz w:val="20"/>
          <w:szCs w:val="20"/>
        </w:rPr>
        <w:t>23, 2013</w:t>
      </w:r>
      <w:r>
        <w:rPr>
          <w:sz w:val="20"/>
          <w:szCs w:val="20"/>
        </w:rPr>
        <w:t>)</w:t>
      </w:r>
      <w:r w:rsidRPr="00365DFB">
        <w:rPr>
          <w:sz w:val="20"/>
          <w:szCs w:val="20"/>
        </w:rPr>
        <w:t>.</w:t>
      </w:r>
    </w:p>
  </w:footnote>
  <w:footnote w:id="7">
    <w:p w14:paraId="5D75E876" w14:textId="3D7A1C44" w:rsidR="00E82681" w:rsidRPr="00365DFB" w:rsidRDefault="00E82681" w:rsidP="000433CF">
      <w:pPr>
        <w:pStyle w:val="FootnoteText"/>
        <w:tabs>
          <w:tab w:val="left" w:pos="720"/>
        </w:tabs>
        <w:spacing w:before="60" w:after="60" w:line="240" w:lineRule="auto"/>
        <w:ind w:firstLine="360"/>
        <w:rPr>
          <w:sz w:val="20"/>
          <w:szCs w:val="20"/>
        </w:rPr>
      </w:pPr>
      <w:r>
        <w:rPr>
          <w:rStyle w:val="FootnoteReference"/>
        </w:rPr>
        <w:footnoteRef/>
      </w:r>
      <w:r w:rsidRPr="00365DFB">
        <w:rPr>
          <w:sz w:val="20"/>
          <w:szCs w:val="20"/>
        </w:rPr>
        <w:tab/>
      </w:r>
      <w:r w:rsidRPr="004C6DBB">
        <w:rPr>
          <w:i/>
          <w:sz w:val="20"/>
          <w:szCs w:val="20"/>
        </w:rPr>
        <w:t>See</w:t>
      </w:r>
      <w:r>
        <w:rPr>
          <w:sz w:val="20"/>
          <w:szCs w:val="20"/>
        </w:rPr>
        <w:t xml:space="preserve"> </w:t>
      </w:r>
      <w:r>
        <w:rPr>
          <w:i/>
          <w:sz w:val="20"/>
          <w:szCs w:val="20"/>
        </w:rPr>
        <w:t>i</w:t>
      </w:r>
      <w:r w:rsidRPr="0068425D">
        <w:rPr>
          <w:i/>
          <w:sz w:val="20"/>
          <w:szCs w:val="20"/>
        </w:rPr>
        <w:t>d</w:t>
      </w:r>
      <w:r>
        <w:rPr>
          <w:sz w:val="20"/>
          <w:szCs w:val="20"/>
        </w:rPr>
        <w:t>. at page 24 (</w:t>
      </w:r>
      <w:r w:rsidRPr="004C6DBB">
        <w:rPr>
          <w:sz w:val="20"/>
          <w:szCs w:val="20"/>
        </w:rPr>
        <w:t>Factor 4: Financial Strength</w:t>
      </w:r>
      <w:r>
        <w:rPr>
          <w:sz w:val="20"/>
          <w:szCs w:val="20"/>
        </w:rPr>
        <w:t>).</w:t>
      </w:r>
    </w:p>
  </w:footnote>
  <w:footnote w:id="8">
    <w:p w14:paraId="06063CCD" w14:textId="7FED0F78" w:rsidR="00E82681" w:rsidRPr="00365DFB" w:rsidRDefault="00E82681" w:rsidP="000433CF">
      <w:pPr>
        <w:pStyle w:val="FootnoteText"/>
        <w:tabs>
          <w:tab w:val="left" w:pos="720"/>
        </w:tabs>
        <w:spacing w:before="60" w:after="60" w:line="240" w:lineRule="auto"/>
        <w:ind w:firstLine="360"/>
        <w:rPr>
          <w:sz w:val="20"/>
          <w:szCs w:val="20"/>
        </w:rPr>
      </w:pPr>
      <w:r>
        <w:rPr>
          <w:rStyle w:val="FootnoteReference"/>
        </w:rPr>
        <w:footnoteRef/>
      </w:r>
      <w:r w:rsidRPr="00365DFB">
        <w:rPr>
          <w:sz w:val="20"/>
          <w:szCs w:val="20"/>
        </w:rPr>
        <w:tab/>
        <w:t xml:space="preserve">Moody’s Investors Service, </w:t>
      </w:r>
      <w:r w:rsidRPr="002B0EBF">
        <w:rPr>
          <w:i/>
          <w:sz w:val="20"/>
        </w:rPr>
        <w:t xml:space="preserve">Rating </w:t>
      </w:r>
      <w:r w:rsidRPr="0068425D">
        <w:rPr>
          <w:i/>
          <w:sz w:val="20"/>
          <w:szCs w:val="20"/>
        </w:rPr>
        <w:t>Methodology</w:t>
      </w:r>
      <w:r w:rsidRPr="002B0EBF">
        <w:rPr>
          <w:i/>
          <w:sz w:val="20"/>
        </w:rPr>
        <w:t>, Regulated Electric and Gas Utilities</w:t>
      </w:r>
      <w:r w:rsidRPr="00BE72B3">
        <w:rPr>
          <w:sz w:val="20"/>
        </w:rPr>
        <w:t>, supra note 8</w:t>
      </w:r>
      <w:r>
        <w:rPr>
          <w:sz w:val="20"/>
        </w:rPr>
        <w:t>, at page 6</w:t>
      </w:r>
      <w:r w:rsidRPr="00BE72B3">
        <w:rPr>
          <w:sz w:val="20"/>
          <w:szCs w:val="20"/>
        </w:rPr>
        <w:t>.</w:t>
      </w:r>
    </w:p>
  </w:footnote>
  <w:footnote w:id="9">
    <w:p w14:paraId="084F679F" w14:textId="49E5B0BF" w:rsidR="00E82681" w:rsidRDefault="00E82681" w:rsidP="000433CF">
      <w:pPr>
        <w:pStyle w:val="FootnoteText"/>
        <w:tabs>
          <w:tab w:val="left" w:pos="720"/>
        </w:tabs>
        <w:spacing w:before="60" w:after="60" w:line="240" w:lineRule="auto"/>
        <w:ind w:firstLine="360"/>
      </w:pPr>
      <w:r>
        <w:rPr>
          <w:rStyle w:val="FootnoteReference"/>
        </w:rPr>
        <w:footnoteRef/>
      </w:r>
      <w:r w:rsidRPr="00365DFB">
        <w:rPr>
          <w:sz w:val="20"/>
          <w:szCs w:val="20"/>
        </w:rPr>
        <w:tab/>
        <w:t xml:space="preserve">Standard and Poor’s, </w:t>
      </w:r>
      <w:r w:rsidRPr="002B0EBF">
        <w:rPr>
          <w:i/>
          <w:sz w:val="20"/>
        </w:rPr>
        <w:t>Key Credit Factors For the Regulated Utilities Industry</w:t>
      </w:r>
      <w:r>
        <w:rPr>
          <w:sz w:val="20"/>
        </w:rPr>
        <w:t>, at page 6</w:t>
      </w:r>
      <w:r>
        <w:rPr>
          <w:i/>
          <w:iCs/>
          <w:sz w:val="20"/>
          <w:szCs w:val="20"/>
        </w:rPr>
        <w:t xml:space="preserve"> </w:t>
      </w:r>
      <w:r w:rsidRPr="006E5420">
        <w:rPr>
          <w:iCs/>
          <w:sz w:val="20"/>
          <w:szCs w:val="20"/>
        </w:rPr>
        <w:t>(</w:t>
      </w:r>
      <w:r w:rsidRPr="00365DFB">
        <w:rPr>
          <w:iCs/>
          <w:sz w:val="20"/>
          <w:szCs w:val="20"/>
        </w:rPr>
        <w:t>Nov</w:t>
      </w:r>
      <w:r>
        <w:rPr>
          <w:iCs/>
          <w:sz w:val="20"/>
          <w:szCs w:val="20"/>
        </w:rPr>
        <w:t>. </w:t>
      </w:r>
      <w:r w:rsidRPr="00365DFB">
        <w:rPr>
          <w:iCs/>
          <w:sz w:val="20"/>
          <w:szCs w:val="20"/>
        </w:rPr>
        <w:t>19, 2013</w:t>
      </w:r>
      <w:r>
        <w:rPr>
          <w:iCs/>
          <w:sz w:val="20"/>
          <w:szCs w:val="20"/>
        </w:rPr>
        <w:t>)</w:t>
      </w:r>
      <w:r w:rsidRPr="00365DFB">
        <w:rPr>
          <w:iCs/>
          <w:sz w:val="20"/>
          <w:szCs w:val="20"/>
        </w:rPr>
        <w:t>.</w:t>
      </w:r>
    </w:p>
  </w:footnote>
  <w:footnote w:id="10">
    <w:p w14:paraId="6946F11D" w14:textId="378FF8C9" w:rsidR="00E82681" w:rsidRPr="00434A93" w:rsidRDefault="00E82681" w:rsidP="000433CF">
      <w:pPr>
        <w:pStyle w:val="FootnoteText"/>
        <w:tabs>
          <w:tab w:val="left" w:pos="720"/>
        </w:tabs>
        <w:spacing w:before="60" w:after="60" w:line="240" w:lineRule="auto"/>
        <w:ind w:firstLine="360"/>
        <w:rPr>
          <w:sz w:val="20"/>
        </w:rPr>
      </w:pPr>
      <w:r w:rsidRPr="00365DFB">
        <w:rPr>
          <w:rStyle w:val="FootnoteReference"/>
          <w:szCs w:val="16"/>
        </w:rPr>
        <w:footnoteRef/>
      </w:r>
      <w:r>
        <w:rPr>
          <w:sz w:val="20"/>
        </w:rPr>
        <w:tab/>
      </w:r>
      <w:r w:rsidRPr="00434A93">
        <w:rPr>
          <w:i/>
          <w:sz w:val="20"/>
        </w:rPr>
        <w:t>See</w:t>
      </w:r>
      <w:r w:rsidRPr="00434A93">
        <w:rPr>
          <w:sz w:val="20"/>
        </w:rPr>
        <w:t xml:space="preserve"> </w:t>
      </w:r>
      <w:r w:rsidRPr="00434A93">
        <w:rPr>
          <w:i/>
          <w:sz w:val="20"/>
        </w:rPr>
        <w:t>In re Puget Holdings LLC &amp; Puget Sound Energy, Inc.</w:t>
      </w:r>
      <w:r w:rsidRPr="00434A93">
        <w:rPr>
          <w:sz w:val="20"/>
        </w:rPr>
        <w:t>, Docket No. U-072375, Order 08, Attachment</w:t>
      </w:r>
      <w:r>
        <w:rPr>
          <w:sz w:val="20"/>
        </w:rPr>
        <w:t> </w:t>
      </w:r>
      <w:r w:rsidRPr="00434A93">
        <w:rPr>
          <w:sz w:val="20"/>
        </w:rPr>
        <w:t>A at p</w:t>
      </w:r>
      <w:r>
        <w:rPr>
          <w:sz w:val="20"/>
        </w:rPr>
        <w:t>age </w:t>
      </w:r>
      <w:r w:rsidRPr="00434A93">
        <w:rPr>
          <w:sz w:val="20"/>
        </w:rPr>
        <w:t>3 (Dec. 30, 2008).</w:t>
      </w:r>
    </w:p>
  </w:footnote>
  <w:footnote w:id="11">
    <w:p w14:paraId="619CC1C5" w14:textId="29480CC7" w:rsidR="00E82681" w:rsidRPr="00434A93" w:rsidRDefault="00E82681" w:rsidP="000433CF">
      <w:pPr>
        <w:pStyle w:val="FootnoteText"/>
        <w:tabs>
          <w:tab w:val="left" w:pos="720"/>
        </w:tabs>
        <w:spacing w:before="60" w:after="60" w:line="240" w:lineRule="auto"/>
        <w:ind w:firstLine="360"/>
        <w:rPr>
          <w:sz w:val="20"/>
        </w:rPr>
      </w:pPr>
      <w:r w:rsidRPr="00365DFB">
        <w:rPr>
          <w:rStyle w:val="FootnoteReference"/>
          <w:szCs w:val="16"/>
        </w:rPr>
        <w:footnoteRef/>
      </w:r>
      <w:r>
        <w:rPr>
          <w:sz w:val="20"/>
        </w:rPr>
        <w:tab/>
      </w:r>
      <w:r w:rsidRPr="00434A93">
        <w:rPr>
          <w:i/>
          <w:sz w:val="20"/>
        </w:rPr>
        <w:t>In re Puget Holdings LLC &amp; Puget Sound Energy, Inc.</w:t>
      </w:r>
      <w:r w:rsidRPr="00434A93">
        <w:rPr>
          <w:sz w:val="20"/>
        </w:rPr>
        <w:t>, Docket No. U-072375, Order 08, Attachment</w:t>
      </w:r>
      <w:r>
        <w:rPr>
          <w:sz w:val="20"/>
        </w:rPr>
        <w:t> </w:t>
      </w:r>
      <w:r w:rsidRPr="00434A93">
        <w:rPr>
          <w:sz w:val="20"/>
        </w:rPr>
        <w:t>B (Dec. 30, 2008).</w:t>
      </w:r>
    </w:p>
  </w:footnote>
  <w:footnote w:id="12">
    <w:p w14:paraId="55C29368" w14:textId="6C884DF5" w:rsidR="00E82681" w:rsidRPr="00434A93" w:rsidRDefault="00E82681" w:rsidP="000433CF">
      <w:pPr>
        <w:pStyle w:val="FootnoteText"/>
        <w:tabs>
          <w:tab w:val="left" w:pos="720"/>
        </w:tabs>
        <w:spacing w:before="60" w:after="60" w:line="240" w:lineRule="auto"/>
        <w:ind w:firstLine="360"/>
        <w:rPr>
          <w:sz w:val="20"/>
        </w:rPr>
      </w:pPr>
      <w:r w:rsidRPr="00365DFB">
        <w:rPr>
          <w:rStyle w:val="FootnoteReference"/>
          <w:szCs w:val="16"/>
        </w:rPr>
        <w:footnoteRef/>
      </w:r>
      <w:r>
        <w:rPr>
          <w:sz w:val="20"/>
        </w:rPr>
        <w:tab/>
      </w:r>
      <w:r w:rsidRPr="00434A93">
        <w:rPr>
          <w:i/>
          <w:sz w:val="20"/>
        </w:rPr>
        <w:t>See</w:t>
      </w:r>
      <w:r w:rsidRPr="00434A93">
        <w:rPr>
          <w:sz w:val="20"/>
        </w:rPr>
        <w:t xml:space="preserve"> </w:t>
      </w:r>
      <w:r w:rsidRPr="00434A93">
        <w:rPr>
          <w:i/>
          <w:sz w:val="20"/>
        </w:rPr>
        <w:t>In re Puget Holdings LLC &amp; Puget Sound Energy, Inc.</w:t>
      </w:r>
      <w:r w:rsidRPr="00434A93">
        <w:rPr>
          <w:sz w:val="20"/>
        </w:rPr>
        <w:t>, Docket No. U-072375, Order 08, Attachment</w:t>
      </w:r>
      <w:r>
        <w:rPr>
          <w:sz w:val="20"/>
        </w:rPr>
        <w:t> </w:t>
      </w:r>
      <w:r w:rsidRPr="00434A93">
        <w:rPr>
          <w:sz w:val="20"/>
        </w:rPr>
        <w:t>A at p</w:t>
      </w:r>
      <w:r>
        <w:rPr>
          <w:sz w:val="20"/>
        </w:rPr>
        <w:t>age 7</w:t>
      </w:r>
      <w:r w:rsidRPr="00434A93">
        <w:rPr>
          <w:sz w:val="20"/>
        </w:rPr>
        <w:t xml:space="preserve"> (Dec. 30, 2008).</w:t>
      </w:r>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DEBC1" w14:textId="77777777" w:rsidR="00E82681" w:rsidRDefault="00E82681">
    <w:pPr>
      <w:pStyle w:val="Header"/>
    </w:pPr>
    <w:bookmarkStart w:id="1" w:name="_Toc100550744"/>
    <w:bookmarkStart w:id="2" w:name="_Toc100550978"/>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717E1" w14:textId="77777777" w:rsidR="00E82681" w:rsidRDefault="00E82681">
    <w:pPr>
      <w:pStyle w:val="Header"/>
    </w:pPr>
    <w:r>
      <w:rPr>
        <w:noProof/>
        <w:lang w:eastAsia="en-US"/>
      </w:rPr>
      <mc:AlternateContent>
        <mc:Choice Requires="wps">
          <w:drawing>
            <wp:anchor distT="0" distB="0" distL="114300" distR="114300" simplePos="0" relativeHeight="251657216" behindDoc="0" locked="0" layoutInCell="1" allowOverlap="1" wp14:anchorId="024B2B3E" wp14:editId="18C68EFE">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OLE_LINK1"/>
  <w:bookmarkStart w:id="5" w:name="OLE_LINK2"/>
  <w:bookmarkStart w:id="6" w:name="_Hlk125911586"/>
  <w:p w14:paraId="4714D954" w14:textId="77777777" w:rsidR="00E82681" w:rsidRDefault="00E82681">
    <w:pPr>
      <w:pStyle w:val="Header"/>
      <w:jc w:val="right"/>
    </w:pPr>
    <w:r>
      <w:rPr>
        <w:noProof/>
        <w:lang w:eastAsia="en-US"/>
      </w:rPr>
      <mc:AlternateContent>
        <mc:Choice Requires="wps">
          <w:drawing>
            <wp:anchor distT="0" distB="0" distL="114300" distR="114300" simplePos="0" relativeHeight="251658240" behindDoc="0" locked="0" layoutInCell="1" allowOverlap="1" wp14:anchorId="5E4D794D" wp14:editId="5D337429">
              <wp:simplePos x="0" y="0"/>
              <wp:positionH relativeFrom="column">
                <wp:posOffset>-177165</wp:posOffset>
              </wp:positionH>
              <wp:positionV relativeFrom="paragraph">
                <wp:posOffset>-88900</wp:posOffset>
              </wp:positionV>
              <wp:extent cx="0" cy="92583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bookmarkEnd w:id="4"/>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70F84CAE"/>
    <w:lvl w:ilvl="0">
      <w:start w:val="1"/>
      <w:numFmt w:val="upperLetter"/>
      <w:pStyle w:val="QuickA"/>
      <w:lvlText w:val="%1."/>
      <w:lvlJc w:val="left"/>
      <w:pPr>
        <w:tabs>
          <w:tab w:val="num" w:pos="720"/>
        </w:tabs>
      </w:pPr>
      <w:rPr>
        <w:rFonts w:ascii="Times New Roman" w:hAnsi="Times New Roman"/>
        <w:b/>
        <w:sz w:val="24"/>
      </w:rPr>
    </w:lvl>
  </w:abstractNum>
  <w:abstractNum w:abstractNumId="11">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088327C3"/>
    <w:multiLevelType w:val="hybridMultilevel"/>
    <w:tmpl w:val="61022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2AD185B"/>
    <w:multiLevelType w:val="hybridMultilevel"/>
    <w:tmpl w:val="8F1CC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5">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6">
    <w:nsid w:val="19C41D31"/>
    <w:multiLevelType w:val="hybridMultilevel"/>
    <w:tmpl w:val="153E59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E9459A5"/>
    <w:multiLevelType w:val="hybridMultilevel"/>
    <w:tmpl w:val="22544D14"/>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8">
    <w:nsid w:val="2C5D22AB"/>
    <w:multiLevelType w:val="hybridMultilevel"/>
    <w:tmpl w:val="4CB4F1B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nsid w:val="315B2988"/>
    <w:multiLevelType w:val="hybridMultilevel"/>
    <w:tmpl w:val="4AD64D5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nsid w:val="32DA1153"/>
    <w:multiLevelType w:val="hybridMultilevel"/>
    <w:tmpl w:val="B6FEE4E6"/>
    <w:lvl w:ilvl="0" w:tplc="04090001">
      <w:start w:val="1"/>
      <w:numFmt w:val="bullet"/>
      <w:pStyle w:val="09ProcessBullets"/>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sz w:val="20"/>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4ED36BE"/>
    <w:multiLevelType w:val="hybridMultilevel"/>
    <w:tmpl w:val="AA1A56D2"/>
    <w:lvl w:ilvl="0" w:tplc="68A895E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C0D0FA6"/>
    <w:multiLevelType w:val="hybridMultilevel"/>
    <w:tmpl w:val="B1DA70F6"/>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nsid w:val="42B1489E"/>
    <w:multiLevelType w:val="hybridMultilevel"/>
    <w:tmpl w:val="71FE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7">
    <w:nsid w:val="4B1B0307"/>
    <w:multiLevelType w:val="hybridMultilevel"/>
    <w:tmpl w:val="59826084"/>
    <w:lvl w:ilvl="0" w:tplc="5B4257B0">
      <w:start w:val="1"/>
      <w:numFmt w:val="bullet"/>
      <w:pStyle w:val="11RFPBodyBullet"/>
      <w:lvlText w:val=""/>
      <w:lvlJc w:val="left"/>
      <w:pPr>
        <w:tabs>
          <w:tab w:val="num" w:pos="360"/>
        </w:tabs>
        <w:ind w:left="360" w:hanging="360"/>
      </w:pPr>
      <w:rPr>
        <w:rFonts w:ascii="Symbol" w:hAnsi="Symbol" w:hint="default"/>
        <w:color w:val="auto"/>
        <w:sz w:val="20"/>
      </w:rPr>
    </w:lvl>
    <w:lvl w:ilvl="1" w:tplc="04090019">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28">
    <w:nsid w:val="4C9A63E2"/>
    <w:multiLevelType w:val="hybridMultilevel"/>
    <w:tmpl w:val="FEB29476"/>
    <w:name w:val="Quick A."/>
    <w:lvl w:ilvl="0" w:tplc="04090015">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1">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2">
    <w:nsid w:val="66D832C3"/>
    <w:multiLevelType w:val="hybridMultilevel"/>
    <w:tmpl w:val="2A7650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4">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6">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37">
    <w:nsid w:val="71C14952"/>
    <w:multiLevelType w:val="hybridMultilevel"/>
    <w:tmpl w:val="4AD64D5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8">
    <w:nsid w:val="735D06F0"/>
    <w:multiLevelType w:val="hybridMultilevel"/>
    <w:tmpl w:val="BF1663A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9">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40">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34"/>
  </w:num>
  <w:num w:numId="2">
    <w:abstractNumId w:val="11"/>
  </w:num>
  <w:num w:numId="3">
    <w:abstractNumId w:val="35"/>
  </w:num>
  <w:num w:numId="4">
    <w:abstractNumId w:val="24"/>
  </w:num>
  <w:num w:numId="5">
    <w:abstractNumId w:val="31"/>
  </w:num>
  <w:num w:numId="6">
    <w:abstractNumId w:val="33"/>
  </w:num>
  <w:num w:numId="7">
    <w:abstractNumId w:val="36"/>
  </w:num>
  <w:num w:numId="8">
    <w:abstractNumId w:val="26"/>
  </w:num>
  <w:num w:numId="9">
    <w:abstractNumId w:val="40"/>
  </w:num>
  <w:num w:numId="10">
    <w:abstractNumId w:val="29"/>
  </w:num>
  <w:num w:numId="11">
    <w:abstractNumId w:val="30"/>
  </w:num>
  <w:num w:numId="12">
    <w:abstractNumId w:val="15"/>
  </w:num>
  <w:num w:numId="13">
    <w:abstractNumId w:val="14"/>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39"/>
  </w:num>
  <w:num w:numId="27">
    <w:abstractNumId w:val="28"/>
  </w:num>
  <w:num w:numId="28">
    <w:abstractNumId w:val="32"/>
  </w:num>
  <w:num w:numId="29">
    <w:abstractNumId w:val="16"/>
  </w:num>
  <w:num w:numId="30">
    <w:abstractNumId w:val="20"/>
  </w:num>
  <w:num w:numId="31">
    <w:abstractNumId w:val="17"/>
  </w:num>
  <w:num w:numId="32">
    <w:abstractNumId w:val="27"/>
  </w:num>
  <w:num w:numId="33">
    <w:abstractNumId w:val="37"/>
  </w:num>
  <w:num w:numId="34">
    <w:abstractNumId w:val="19"/>
  </w:num>
  <w:num w:numId="35">
    <w:abstractNumId w:val="12"/>
  </w:num>
  <w:num w:numId="36">
    <w:abstractNumId w:val="23"/>
  </w:num>
  <w:num w:numId="37">
    <w:abstractNumId w:val="25"/>
  </w:num>
  <w:num w:numId="38">
    <w:abstractNumId w:val="13"/>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0E10"/>
    <w:rsid w:val="0000176B"/>
    <w:rsid w:val="00001A4E"/>
    <w:rsid w:val="00001A95"/>
    <w:rsid w:val="0000267D"/>
    <w:rsid w:val="0000384C"/>
    <w:rsid w:val="000038D1"/>
    <w:rsid w:val="00003993"/>
    <w:rsid w:val="000039FD"/>
    <w:rsid w:val="00003FC5"/>
    <w:rsid w:val="00004E7F"/>
    <w:rsid w:val="00004F3D"/>
    <w:rsid w:val="000055A7"/>
    <w:rsid w:val="000057A7"/>
    <w:rsid w:val="00006590"/>
    <w:rsid w:val="000068BE"/>
    <w:rsid w:val="00006999"/>
    <w:rsid w:val="00006CDE"/>
    <w:rsid w:val="000075CC"/>
    <w:rsid w:val="000105BC"/>
    <w:rsid w:val="000109B4"/>
    <w:rsid w:val="00010B53"/>
    <w:rsid w:val="00011A48"/>
    <w:rsid w:val="00011F3E"/>
    <w:rsid w:val="00012276"/>
    <w:rsid w:val="0001236B"/>
    <w:rsid w:val="000139F4"/>
    <w:rsid w:val="00014348"/>
    <w:rsid w:val="00015C4A"/>
    <w:rsid w:val="000168EC"/>
    <w:rsid w:val="00016DD6"/>
    <w:rsid w:val="00016EB5"/>
    <w:rsid w:val="000171A2"/>
    <w:rsid w:val="00017E3D"/>
    <w:rsid w:val="0002008D"/>
    <w:rsid w:val="00020A5D"/>
    <w:rsid w:val="00021598"/>
    <w:rsid w:val="00022279"/>
    <w:rsid w:val="00022347"/>
    <w:rsid w:val="000223E5"/>
    <w:rsid w:val="00022631"/>
    <w:rsid w:val="00023B96"/>
    <w:rsid w:val="00023F79"/>
    <w:rsid w:val="00025457"/>
    <w:rsid w:val="00026558"/>
    <w:rsid w:val="000266C2"/>
    <w:rsid w:val="00026A20"/>
    <w:rsid w:val="00027FC1"/>
    <w:rsid w:val="0003065A"/>
    <w:rsid w:val="000309E8"/>
    <w:rsid w:val="000310FF"/>
    <w:rsid w:val="0003181B"/>
    <w:rsid w:val="000321EF"/>
    <w:rsid w:val="00032732"/>
    <w:rsid w:val="00032E29"/>
    <w:rsid w:val="00033037"/>
    <w:rsid w:val="000337FC"/>
    <w:rsid w:val="00034263"/>
    <w:rsid w:val="000348E3"/>
    <w:rsid w:val="00034D4C"/>
    <w:rsid w:val="0003518E"/>
    <w:rsid w:val="00036164"/>
    <w:rsid w:val="000361EE"/>
    <w:rsid w:val="00036D22"/>
    <w:rsid w:val="00036E7F"/>
    <w:rsid w:val="0003718A"/>
    <w:rsid w:val="0004049B"/>
    <w:rsid w:val="00040A77"/>
    <w:rsid w:val="00040D9A"/>
    <w:rsid w:val="00041E64"/>
    <w:rsid w:val="0004274C"/>
    <w:rsid w:val="00042EA0"/>
    <w:rsid w:val="000433CF"/>
    <w:rsid w:val="0004395D"/>
    <w:rsid w:val="000447CA"/>
    <w:rsid w:val="000457F3"/>
    <w:rsid w:val="00045DCD"/>
    <w:rsid w:val="00046125"/>
    <w:rsid w:val="00047B7C"/>
    <w:rsid w:val="00047BC0"/>
    <w:rsid w:val="000501D4"/>
    <w:rsid w:val="000507DF"/>
    <w:rsid w:val="00050CE9"/>
    <w:rsid w:val="00050D0A"/>
    <w:rsid w:val="000514C1"/>
    <w:rsid w:val="000514F9"/>
    <w:rsid w:val="00051B5A"/>
    <w:rsid w:val="00051BF3"/>
    <w:rsid w:val="000526E1"/>
    <w:rsid w:val="00052A92"/>
    <w:rsid w:val="000545ED"/>
    <w:rsid w:val="00055585"/>
    <w:rsid w:val="000561B0"/>
    <w:rsid w:val="00056671"/>
    <w:rsid w:val="0005731E"/>
    <w:rsid w:val="000573B4"/>
    <w:rsid w:val="00060DE1"/>
    <w:rsid w:val="00061223"/>
    <w:rsid w:val="00061DAC"/>
    <w:rsid w:val="00061F07"/>
    <w:rsid w:val="000626A8"/>
    <w:rsid w:val="000626F6"/>
    <w:rsid w:val="00062A35"/>
    <w:rsid w:val="0006302A"/>
    <w:rsid w:val="000630DF"/>
    <w:rsid w:val="000633BF"/>
    <w:rsid w:val="000636A8"/>
    <w:rsid w:val="00063E83"/>
    <w:rsid w:val="00064D13"/>
    <w:rsid w:val="00065CA1"/>
    <w:rsid w:val="00065CD3"/>
    <w:rsid w:val="00066742"/>
    <w:rsid w:val="00066842"/>
    <w:rsid w:val="0006775A"/>
    <w:rsid w:val="00067AC2"/>
    <w:rsid w:val="0007012D"/>
    <w:rsid w:val="00071233"/>
    <w:rsid w:val="00071C04"/>
    <w:rsid w:val="00073931"/>
    <w:rsid w:val="000742CA"/>
    <w:rsid w:val="0007430F"/>
    <w:rsid w:val="00074504"/>
    <w:rsid w:val="00074E1C"/>
    <w:rsid w:val="00074F3A"/>
    <w:rsid w:val="0007524A"/>
    <w:rsid w:val="00075EFB"/>
    <w:rsid w:val="000763A7"/>
    <w:rsid w:val="0007701B"/>
    <w:rsid w:val="00077BE6"/>
    <w:rsid w:val="00077F2F"/>
    <w:rsid w:val="00080B87"/>
    <w:rsid w:val="00080ECE"/>
    <w:rsid w:val="000810A0"/>
    <w:rsid w:val="00081374"/>
    <w:rsid w:val="00081400"/>
    <w:rsid w:val="00081C91"/>
    <w:rsid w:val="00081EB3"/>
    <w:rsid w:val="00081FE4"/>
    <w:rsid w:val="000822A0"/>
    <w:rsid w:val="00082A97"/>
    <w:rsid w:val="00082DF4"/>
    <w:rsid w:val="00083FB6"/>
    <w:rsid w:val="0008472E"/>
    <w:rsid w:val="000851D6"/>
    <w:rsid w:val="0008729E"/>
    <w:rsid w:val="00087A30"/>
    <w:rsid w:val="00087E7B"/>
    <w:rsid w:val="000919AB"/>
    <w:rsid w:val="00092433"/>
    <w:rsid w:val="00092A7F"/>
    <w:rsid w:val="00095BA3"/>
    <w:rsid w:val="00095EDE"/>
    <w:rsid w:val="00096020"/>
    <w:rsid w:val="00096754"/>
    <w:rsid w:val="000968F9"/>
    <w:rsid w:val="00096964"/>
    <w:rsid w:val="0009700A"/>
    <w:rsid w:val="000A0295"/>
    <w:rsid w:val="000A0F54"/>
    <w:rsid w:val="000A236A"/>
    <w:rsid w:val="000A24A9"/>
    <w:rsid w:val="000A40CA"/>
    <w:rsid w:val="000A41ED"/>
    <w:rsid w:val="000A4245"/>
    <w:rsid w:val="000A449F"/>
    <w:rsid w:val="000A4B83"/>
    <w:rsid w:val="000A54E6"/>
    <w:rsid w:val="000A576B"/>
    <w:rsid w:val="000A5959"/>
    <w:rsid w:val="000A6297"/>
    <w:rsid w:val="000A638A"/>
    <w:rsid w:val="000A7079"/>
    <w:rsid w:val="000A76B1"/>
    <w:rsid w:val="000A7765"/>
    <w:rsid w:val="000A7CAA"/>
    <w:rsid w:val="000B0A4C"/>
    <w:rsid w:val="000B0E7D"/>
    <w:rsid w:val="000B10F1"/>
    <w:rsid w:val="000B20C4"/>
    <w:rsid w:val="000B213E"/>
    <w:rsid w:val="000B276F"/>
    <w:rsid w:val="000B2D6B"/>
    <w:rsid w:val="000B3C98"/>
    <w:rsid w:val="000B458E"/>
    <w:rsid w:val="000B4D8C"/>
    <w:rsid w:val="000B4F31"/>
    <w:rsid w:val="000B529D"/>
    <w:rsid w:val="000B6DF0"/>
    <w:rsid w:val="000B7CA0"/>
    <w:rsid w:val="000B7E28"/>
    <w:rsid w:val="000C11B0"/>
    <w:rsid w:val="000C23C5"/>
    <w:rsid w:val="000C3A74"/>
    <w:rsid w:val="000C403D"/>
    <w:rsid w:val="000C6241"/>
    <w:rsid w:val="000C6645"/>
    <w:rsid w:val="000D0887"/>
    <w:rsid w:val="000D27F1"/>
    <w:rsid w:val="000D2A05"/>
    <w:rsid w:val="000D2BDA"/>
    <w:rsid w:val="000D3058"/>
    <w:rsid w:val="000D39DD"/>
    <w:rsid w:val="000D3FD5"/>
    <w:rsid w:val="000D40B0"/>
    <w:rsid w:val="000D4239"/>
    <w:rsid w:val="000D498B"/>
    <w:rsid w:val="000D524A"/>
    <w:rsid w:val="000D5D82"/>
    <w:rsid w:val="000D70CB"/>
    <w:rsid w:val="000D79AE"/>
    <w:rsid w:val="000D7BFD"/>
    <w:rsid w:val="000E0276"/>
    <w:rsid w:val="000E101B"/>
    <w:rsid w:val="000E1602"/>
    <w:rsid w:val="000E2C75"/>
    <w:rsid w:val="000E39D3"/>
    <w:rsid w:val="000E3D14"/>
    <w:rsid w:val="000E4D53"/>
    <w:rsid w:val="000E58B7"/>
    <w:rsid w:val="000E6401"/>
    <w:rsid w:val="000E690D"/>
    <w:rsid w:val="000E6FF1"/>
    <w:rsid w:val="000E7A6D"/>
    <w:rsid w:val="000E7B1B"/>
    <w:rsid w:val="000F011A"/>
    <w:rsid w:val="000F0202"/>
    <w:rsid w:val="000F0DDE"/>
    <w:rsid w:val="000F0F85"/>
    <w:rsid w:val="000F13ED"/>
    <w:rsid w:val="000F19BC"/>
    <w:rsid w:val="000F206E"/>
    <w:rsid w:val="000F207C"/>
    <w:rsid w:val="000F2C3E"/>
    <w:rsid w:val="000F4366"/>
    <w:rsid w:val="000F47DA"/>
    <w:rsid w:val="000F49E1"/>
    <w:rsid w:val="000F594A"/>
    <w:rsid w:val="000F61F8"/>
    <w:rsid w:val="000F633F"/>
    <w:rsid w:val="000F67CD"/>
    <w:rsid w:val="000F6928"/>
    <w:rsid w:val="000F75A6"/>
    <w:rsid w:val="000F77AD"/>
    <w:rsid w:val="00100704"/>
    <w:rsid w:val="00101105"/>
    <w:rsid w:val="00101188"/>
    <w:rsid w:val="00101646"/>
    <w:rsid w:val="001019FC"/>
    <w:rsid w:val="00102133"/>
    <w:rsid w:val="00103510"/>
    <w:rsid w:val="00103580"/>
    <w:rsid w:val="0010496F"/>
    <w:rsid w:val="00106525"/>
    <w:rsid w:val="00106A57"/>
    <w:rsid w:val="00106D4B"/>
    <w:rsid w:val="00107774"/>
    <w:rsid w:val="00107E7F"/>
    <w:rsid w:val="001100D3"/>
    <w:rsid w:val="001109C4"/>
    <w:rsid w:val="00110F1D"/>
    <w:rsid w:val="00111758"/>
    <w:rsid w:val="00112095"/>
    <w:rsid w:val="0011298A"/>
    <w:rsid w:val="00113691"/>
    <w:rsid w:val="00113842"/>
    <w:rsid w:val="00114CF5"/>
    <w:rsid w:val="0011516D"/>
    <w:rsid w:val="001167E6"/>
    <w:rsid w:val="00116C39"/>
    <w:rsid w:val="00120E3E"/>
    <w:rsid w:val="00122EAD"/>
    <w:rsid w:val="00123215"/>
    <w:rsid w:val="00123FB2"/>
    <w:rsid w:val="0012524E"/>
    <w:rsid w:val="0012613C"/>
    <w:rsid w:val="00126988"/>
    <w:rsid w:val="0012738A"/>
    <w:rsid w:val="0012749B"/>
    <w:rsid w:val="001301D2"/>
    <w:rsid w:val="001302BD"/>
    <w:rsid w:val="00131340"/>
    <w:rsid w:val="0013189C"/>
    <w:rsid w:val="00131B5D"/>
    <w:rsid w:val="00132074"/>
    <w:rsid w:val="001327BA"/>
    <w:rsid w:val="00133381"/>
    <w:rsid w:val="0013360C"/>
    <w:rsid w:val="00133986"/>
    <w:rsid w:val="00134A5D"/>
    <w:rsid w:val="0013586A"/>
    <w:rsid w:val="00135B45"/>
    <w:rsid w:val="001366DF"/>
    <w:rsid w:val="00136EDF"/>
    <w:rsid w:val="001372FA"/>
    <w:rsid w:val="0013799B"/>
    <w:rsid w:val="001404ED"/>
    <w:rsid w:val="00140A4D"/>
    <w:rsid w:val="00140FA8"/>
    <w:rsid w:val="00141B9D"/>
    <w:rsid w:val="00142C57"/>
    <w:rsid w:val="001435B5"/>
    <w:rsid w:val="001442A0"/>
    <w:rsid w:val="0014432A"/>
    <w:rsid w:val="00144AFC"/>
    <w:rsid w:val="00145325"/>
    <w:rsid w:val="001457DD"/>
    <w:rsid w:val="0014678E"/>
    <w:rsid w:val="00147354"/>
    <w:rsid w:val="0014755E"/>
    <w:rsid w:val="001476C6"/>
    <w:rsid w:val="00147C2C"/>
    <w:rsid w:val="00147FFB"/>
    <w:rsid w:val="001501FF"/>
    <w:rsid w:val="00150975"/>
    <w:rsid w:val="00150EAC"/>
    <w:rsid w:val="00151924"/>
    <w:rsid w:val="00151E0A"/>
    <w:rsid w:val="0015265F"/>
    <w:rsid w:val="0015301D"/>
    <w:rsid w:val="00153592"/>
    <w:rsid w:val="001542AC"/>
    <w:rsid w:val="00154A96"/>
    <w:rsid w:val="00155F50"/>
    <w:rsid w:val="001560E5"/>
    <w:rsid w:val="00157D1D"/>
    <w:rsid w:val="00157D22"/>
    <w:rsid w:val="00157FE4"/>
    <w:rsid w:val="001617E1"/>
    <w:rsid w:val="0016296B"/>
    <w:rsid w:val="0016319C"/>
    <w:rsid w:val="001639D5"/>
    <w:rsid w:val="00163CFE"/>
    <w:rsid w:val="00164714"/>
    <w:rsid w:val="00164E5F"/>
    <w:rsid w:val="00165ABB"/>
    <w:rsid w:val="00165FC6"/>
    <w:rsid w:val="00166C21"/>
    <w:rsid w:val="00167586"/>
    <w:rsid w:val="0017017D"/>
    <w:rsid w:val="00170495"/>
    <w:rsid w:val="00170C7F"/>
    <w:rsid w:val="00170D47"/>
    <w:rsid w:val="00171EB2"/>
    <w:rsid w:val="001722C5"/>
    <w:rsid w:val="00172EF7"/>
    <w:rsid w:val="00173384"/>
    <w:rsid w:val="00174ED5"/>
    <w:rsid w:val="001754B6"/>
    <w:rsid w:val="00175CC1"/>
    <w:rsid w:val="00176AFD"/>
    <w:rsid w:val="00177782"/>
    <w:rsid w:val="00177C36"/>
    <w:rsid w:val="00177F2E"/>
    <w:rsid w:val="0018002E"/>
    <w:rsid w:val="00181DBB"/>
    <w:rsid w:val="0018253C"/>
    <w:rsid w:val="00182AF5"/>
    <w:rsid w:val="00182B04"/>
    <w:rsid w:val="001833D6"/>
    <w:rsid w:val="001834DD"/>
    <w:rsid w:val="00183670"/>
    <w:rsid w:val="00184331"/>
    <w:rsid w:val="00184FDC"/>
    <w:rsid w:val="001851DC"/>
    <w:rsid w:val="00185207"/>
    <w:rsid w:val="00185613"/>
    <w:rsid w:val="00185955"/>
    <w:rsid w:val="00186746"/>
    <w:rsid w:val="00186965"/>
    <w:rsid w:val="00186A96"/>
    <w:rsid w:val="00187670"/>
    <w:rsid w:val="001877A9"/>
    <w:rsid w:val="001877D2"/>
    <w:rsid w:val="00190BD8"/>
    <w:rsid w:val="00190BDC"/>
    <w:rsid w:val="00190EA1"/>
    <w:rsid w:val="00192203"/>
    <w:rsid w:val="00192AD8"/>
    <w:rsid w:val="00193A40"/>
    <w:rsid w:val="00195350"/>
    <w:rsid w:val="00195924"/>
    <w:rsid w:val="00196065"/>
    <w:rsid w:val="0019731E"/>
    <w:rsid w:val="001A0B89"/>
    <w:rsid w:val="001A0D96"/>
    <w:rsid w:val="001A1E87"/>
    <w:rsid w:val="001A22C2"/>
    <w:rsid w:val="001A387F"/>
    <w:rsid w:val="001A393E"/>
    <w:rsid w:val="001A4BF0"/>
    <w:rsid w:val="001A506F"/>
    <w:rsid w:val="001A5EE8"/>
    <w:rsid w:val="001A6D21"/>
    <w:rsid w:val="001A7A1F"/>
    <w:rsid w:val="001B0FCD"/>
    <w:rsid w:val="001B12ED"/>
    <w:rsid w:val="001B1548"/>
    <w:rsid w:val="001B1A57"/>
    <w:rsid w:val="001B1F31"/>
    <w:rsid w:val="001B258B"/>
    <w:rsid w:val="001B26D6"/>
    <w:rsid w:val="001B2FC7"/>
    <w:rsid w:val="001B315D"/>
    <w:rsid w:val="001B3195"/>
    <w:rsid w:val="001B3FD1"/>
    <w:rsid w:val="001B4260"/>
    <w:rsid w:val="001B4D74"/>
    <w:rsid w:val="001B5729"/>
    <w:rsid w:val="001B577C"/>
    <w:rsid w:val="001B5AE3"/>
    <w:rsid w:val="001B682D"/>
    <w:rsid w:val="001B694F"/>
    <w:rsid w:val="001C098D"/>
    <w:rsid w:val="001C0A3F"/>
    <w:rsid w:val="001C13E3"/>
    <w:rsid w:val="001C2FA3"/>
    <w:rsid w:val="001C345F"/>
    <w:rsid w:val="001C3520"/>
    <w:rsid w:val="001C5BD4"/>
    <w:rsid w:val="001C6795"/>
    <w:rsid w:val="001C7999"/>
    <w:rsid w:val="001D00D0"/>
    <w:rsid w:val="001D03F2"/>
    <w:rsid w:val="001D076A"/>
    <w:rsid w:val="001D100F"/>
    <w:rsid w:val="001D13F7"/>
    <w:rsid w:val="001D1E62"/>
    <w:rsid w:val="001D1E89"/>
    <w:rsid w:val="001D24FC"/>
    <w:rsid w:val="001D268D"/>
    <w:rsid w:val="001D3AC7"/>
    <w:rsid w:val="001D4F79"/>
    <w:rsid w:val="001D51EF"/>
    <w:rsid w:val="001D52B3"/>
    <w:rsid w:val="001D5B1A"/>
    <w:rsid w:val="001D5D57"/>
    <w:rsid w:val="001D5F9B"/>
    <w:rsid w:val="001D67FE"/>
    <w:rsid w:val="001D6D5E"/>
    <w:rsid w:val="001D7DB8"/>
    <w:rsid w:val="001E045A"/>
    <w:rsid w:val="001E0495"/>
    <w:rsid w:val="001E080D"/>
    <w:rsid w:val="001E0D14"/>
    <w:rsid w:val="001E1F56"/>
    <w:rsid w:val="001E295C"/>
    <w:rsid w:val="001E35AB"/>
    <w:rsid w:val="001E3CC0"/>
    <w:rsid w:val="001E3CDE"/>
    <w:rsid w:val="001E3E58"/>
    <w:rsid w:val="001E438E"/>
    <w:rsid w:val="001E445F"/>
    <w:rsid w:val="001E5156"/>
    <w:rsid w:val="001E51D2"/>
    <w:rsid w:val="001E55AD"/>
    <w:rsid w:val="001E6331"/>
    <w:rsid w:val="001E6E71"/>
    <w:rsid w:val="001E774A"/>
    <w:rsid w:val="001F0BAF"/>
    <w:rsid w:val="001F0C74"/>
    <w:rsid w:val="001F122D"/>
    <w:rsid w:val="001F128A"/>
    <w:rsid w:val="001F15B2"/>
    <w:rsid w:val="001F2435"/>
    <w:rsid w:val="001F3055"/>
    <w:rsid w:val="001F30F5"/>
    <w:rsid w:val="001F38E6"/>
    <w:rsid w:val="001F55D4"/>
    <w:rsid w:val="002018F6"/>
    <w:rsid w:val="00202F83"/>
    <w:rsid w:val="00203F6B"/>
    <w:rsid w:val="002049C6"/>
    <w:rsid w:val="00204D9D"/>
    <w:rsid w:val="00205492"/>
    <w:rsid w:val="00205848"/>
    <w:rsid w:val="00205DE3"/>
    <w:rsid w:val="0020686F"/>
    <w:rsid w:val="00206CD3"/>
    <w:rsid w:val="00206D43"/>
    <w:rsid w:val="0020789D"/>
    <w:rsid w:val="0021006B"/>
    <w:rsid w:val="0021059C"/>
    <w:rsid w:val="002110A4"/>
    <w:rsid w:val="00211F43"/>
    <w:rsid w:val="002136D4"/>
    <w:rsid w:val="0021384A"/>
    <w:rsid w:val="00214A34"/>
    <w:rsid w:val="00214C28"/>
    <w:rsid w:val="0021620C"/>
    <w:rsid w:val="00217121"/>
    <w:rsid w:val="002174DC"/>
    <w:rsid w:val="00217FA3"/>
    <w:rsid w:val="002205A0"/>
    <w:rsid w:val="0022088D"/>
    <w:rsid w:val="002209F5"/>
    <w:rsid w:val="00220CE1"/>
    <w:rsid w:val="002210F2"/>
    <w:rsid w:val="00221FB5"/>
    <w:rsid w:val="00222277"/>
    <w:rsid w:val="00222A07"/>
    <w:rsid w:val="00223F84"/>
    <w:rsid w:val="002249DB"/>
    <w:rsid w:val="00225143"/>
    <w:rsid w:val="002260D0"/>
    <w:rsid w:val="002261CE"/>
    <w:rsid w:val="00226820"/>
    <w:rsid w:val="0022698C"/>
    <w:rsid w:val="00226C19"/>
    <w:rsid w:val="0023072C"/>
    <w:rsid w:val="00230F8C"/>
    <w:rsid w:val="00231E33"/>
    <w:rsid w:val="00232AB6"/>
    <w:rsid w:val="00232E91"/>
    <w:rsid w:val="00233324"/>
    <w:rsid w:val="002334E9"/>
    <w:rsid w:val="0023391E"/>
    <w:rsid w:val="00235A63"/>
    <w:rsid w:val="00236E52"/>
    <w:rsid w:val="00237EB3"/>
    <w:rsid w:val="00237F92"/>
    <w:rsid w:val="00240442"/>
    <w:rsid w:val="002409B6"/>
    <w:rsid w:val="00241AC8"/>
    <w:rsid w:val="00241B0F"/>
    <w:rsid w:val="00242141"/>
    <w:rsid w:val="00242A09"/>
    <w:rsid w:val="002431F5"/>
    <w:rsid w:val="0024325B"/>
    <w:rsid w:val="002436D5"/>
    <w:rsid w:val="00243DD1"/>
    <w:rsid w:val="00245186"/>
    <w:rsid w:val="00247302"/>
    <w:rsid w:val="0025146D"/>
    <w:rsid w:val="00252DD3"/>
    <w:rsid w:val="00253225"/>
    <w:rsid w:val="00254B8A"/>
    <w:rsid w:val="002556AE"/>
    <w:rsid w:val="002558BD"/>
    <w:rsid w:val="00255921"/>
    <w:rsid w:val="0025617A"/>
    <w:rsid w:val="002562A7"/>
    <w:rsid w:val="0025676F"/>
    <w:rsid w:val="00257F1F"/>
    <w:rsid w:val="00257FB9"/>
    <w:rsid w:val="002603E8"/>
    <w:rsid w:val="0026052D"/>
    <w:rsid w:val="00260D0D"/>
    <w:rsid w:val="00261459"/>
    <w:rsid w:val="002616AE"/>
    <w:rsid w:val="00261B7B"/>
    <w:rsid w:val="00262695"/>
    <w:rsid w:val="002633A0"/>
    <w:rsid w:val="0026464D"/>
    <w:rsid w:val="00265163"/>
    <w:rsid w:val="00265B2E"/>
    <w:rsid w:val="00265CB2"/>
    <w:rsid w:val="00265F1E"/>
    <w:rsid w:val="00266ABB"/>
    <w:rsid w:val="00266BC6"/>
    <w:rsid w:val="002676B6"/>
    <w:rsid w:val="00271480"/>
    <w:rsid w:val="002717B4"/>
    <w:rsid w:val="00273345"/>
    <w:rsid w:val="00273684"/>
    <w:rsid w:val="0027397F"/>
    <w:rsid w:val="00273D05"/>
    <w:rsid w:val="00273D64"/>
    <w:rsid w:val="002741EC"/>
    <w:rsid w:val="002744E5"/>
    <w:rsid w:val="0027553A"/>
    <w:rsid w:val="00275B9E"/>
    <w:rsid w:val="00276004"/>
    <w:rsid w:val="00276990"/>
    <w:rsid w:val="00276C69"/>
    <w:rsid w:val="00277123"/>
    <w:rsid w:val="002774F1"/>
    <w:rsid w:val="00277F59"/>
    <w:rsid w:val="00277FC3"/>
    <w:rsid w:val="00280C49"/>
    <w:rsid w:val="002813F1"/>
    <w:rsid w:val="00281C17"/>
    <w:rsid w:val="0028218B"/>
    <w:rsid w:val="0028232E"/>
    <w:rsid w:val="00282FA2"/>
    <w:rsid w:val="00284220"/>
    <w:rsid w:val="0028507E"/>
    <w:rsid w:val="00285423"/>
    <w:rsid w:val="00285762"/>
    <w:rsid w:val="0028590E"/>
    <w:rsid w:val="00285997"/>
    <w:rsid w:val="00287E84"/>
    <w:rsid w:val="00290C67"/>
    <w:rsid w:val="00290E0F"/>
    <w:rsid w:val="00291C8F"/>
    <w:rsid w:val="002930AB"/>
    <w:rsid w:val="00293674"/>
    <w:rsid w:val="00293934"/>
    <w:rsid w:val="00293A68"/>
    <w:rsid w:val="00293BA8"/>
    <w:rsid w:val="00293C18"/>
    <w:rsid w:val="0029484B"/>
    <w:rsid w:val="002949DE"/>
    <w:rsid w:val="00296654"/>
    <w:rsid w:val="00296BDF"/>
    <w:rsid w:val="00297202"/>
    <w:rsid w:val="00297708"/>
    <w:rsid w:val="00297E88"/>
    <w:rsid w:val="002A1C82"/>
    <w:rsid w:val="002A2BAC"/>
    <w:rsid w:val="002A2EFE"/>
    <w:rsid w:val="002A3EE8"/>
    <w:rsid w:val="002A4485"/>
    <w:rsid w:val="002A5398"/>
    <w:rsid w:val="002A6E1C"/>
    <w:rsid w:val="002A7C94"/>
    <w:rsid w:val="002B0EBF"/>
    <w:rsid w:val="002B0F15"/>
    <w:rsid w:val="002B15F3"/>
    <w:rsid w:val="002B165F"/>
    <w:rsid w:val="002B17C0"/>
    <w:rsid w:val="002B1928"/>
    <w:rsid w:val="002B2878"/>
    <w:rsid w:val="002B4D27"/>
    <w:rsid w:val="002B55E9"/>
    <w:rsid w:val="002B5686"/>
    <w:rsid w:val="002B5AF4"/>
    <w:rsid w:val="002B6F53"/>
    <w:rsid w:val="002C037F"/>
    <w:rsid w:val="002C0490"/>
    <w:rsid w:val="002C07C5"/>
    <w:rsid w:val="002C0BD0"/>
    <w:rsid w:val="002C1893"/>
    <w:rsid w:val="002C1A0F"/>
    <w:rsid w:val="002C295F"/>
    <w:rsid w:val="002C2E33"/>
    <w:rsid w:val="002C2E5D"/>
    <w:rsid w:val="002C4855"/>
    <w:rsid w:val="002C53AB"/>
    <w:rsid w:val="002C578A"/>
    <w:rsid w:val="002C619A"/>
    <w:rsid w:val="002C65BE"/>
    <w:rsid w:val="002D05EF"/>
    <w:rsid w:val="002D116A"/>
    <w:rsid w:val="002D2450"/>
    <w:rsid w:val="002D2D1F"/>
    <w:rsid w:val="002D3053"/>
    <w:rsid w:val="002D339D"/>
    <w:rsid w:val="002D3AA8"/>
    <w:rsid w:val="002D3DC9"/>
    <w:rsid w:val="002D4966"/>
    <w:rsid w:val="002D4EC6"/>
    <w:rsid w:val="002D519A"/>
    <w:rsid w:val="002D56FC"/>
    <w:rsid w:val="002D63FB"/>
    <w:rsid w:val="002D6F91"/>
    <w:rsid w:val="002D73D7"/>
    <w:rsid w:val="002D7C04"/>
    <w:rsid w:val="002E0307"/>
    <w:rsid w:val="002E14D9"/>
    <w:rsid w:val="002E170B"/>
    <w:rsid w:val="002E2A63"/>
    <w:rsid w:val="002E2A72"/>
    <w:rsid w:val="002E2BE2"/>
    <w:rsid w:val="002E2C07"/>
    <w:rsid w:val="002E357D"/>
    <w:rsid w:val="002E365A"/>
    <w:rsid w:val="002E4090"/>
    <w:rsid w:val="002E4864"/>
    <w:rsid w:val="002E4C46"/>
    <w:rsid w:val="002E5751"/>
    <w:rsid w:val="002E5E34"/>
    <w:rsid w:val="002E5E3B"/>
    <w:rsid w:val="002E604D"/>
    <w:rsid w:val="002E7201"/>
    <w:rsid w:val="002E7915"/>
    <w:rsid w:val="002E7C13"/>
    <w:rsid w:val="002F0C46"/>
    <w:rsid w:val="002F0DCB"/>
    <w:rsid w:val="002F0F54"/>
    <w:rsid w:val="002F1B87"/>
    <w:rsid w:val="002F1D57"/>
    <w:rsid w:val="002F2D5C"/>
    <w:rsid w:val="002F3507"/>
    <w:rsid w:val="002F3F61"/>
    <w:rsid w:val="002F4022"/>
    <w:rsid w:val="002F5641"/>
    <w:rsid w:val="002F5DE7"/>
    <w:rsid w:val="002F69A9"/>
    <w:rsid w:val="002F6F40"/>
    <w:rsid w:val="002F72F4"/>
    <w:rsid w:val="002F75BA"/>
    <w:rsid w:val="002F7F99"/>
    <w:rsid w:val="003006DF"/>
    <w:rsid w:val="003008BC"/>
    <w:rsid w:val="0030108A"/>
    <w:rsid w:val="0030150D"/>
    <w:rsid w:val="00301A58"/>
    <w:rsid w:val="00301ADA"/>
    <w:rsid w:val="00301B63"/>
    <w:rsid w:val="0030273D"/>
    <w:rsid w:val="00303948"/>
    <w:rsid w:val="0030402A"/>
    <w:rsid w:val="00304199"/>
    <w:rsid w:val="003043D4"/>
    <w:rsid w:val="003047EF"/>
    <w:rsid w:val="00304E0B"/>
    <w:rsid w:val="00305931"/>
    <w:rsid w:val="0030599D"/>
    <w:rsid w:val="00305B0F"/>
    <w:rsid w:val="00307377"/>
    <w:rsid w:val="0031042F"/>
    <w:rsid w:val="003113E0"/>
    <w:rsid w:val="00312C08"/>
    <w:rsid w:val="0031315B"/>
    <w:rsid w:val="0031357E"/>
    <w:rsid w:val="0031385F"/>
    <w:rsid w:val="00314725"/>
    <w:rsid w:val="003160AD"/>
    <w:rsid w:val="003173F8"/>
    <w:rsid w:val="003202DE"/>
    <w:rsid w:val="003205EC"/>
    <w:rsid w:val="0032084F"/>
    <w:rsid w:val="0032127E"/>
    <w:rsid w:val="0032174D"/>
    <w:rsid w:val="00321DD8"/>
    <w:rsid w:val="003241C9"/>
    <w:rsid w:val="00324344"/>
    <w:rsid w:val="00324E94"/>
    <w:rsid w:val="003252C7"/>
    <w:rsid w:val="003253CA"/>
    <w:rsid w:val="00325404"/>
    <w:rsid w:val="00326807"/>
    <w:rsid w:val="003271D9"/>
    <w:rsid w:val="00330241"/>
    <w:rsid w:val="00330537"/>
    <w:rsid w:val="00330F68"/>
    <w:rsid w:val="00331044"/>
    <w:rsid w:val="0033105F"/>
    <w:rsid w:val="003314CE"/>
    <w:rsid w:val="00331D8A"/>
    <w:rsid w:val="00331FB7"/>
    <w:rsid w:val="00332A24"/>
    <w:rsid w:val="00332DBA"/>
    <w:rsid w:val="003342EB"/>
    <w:rsid w:val="0033531F"/>
    <w:rsid w:val="00335E31"/>
    <w:rsid w:val="00335E4D"/>
    <w:rsid w:val="003362AF"/>
    <w:rsid w:val="00336CCD"/>
    <w:rsid w:val="003378C4"/>
    <w:rsid w:val="00337C9B"/>
    <w:rsid w:val="003408F0"/>
    <w:rsid w:val="00340995"/>
    <w:rsid w:val="00340C08"/>
    <w:rsid w:val="00341244"/>
    <w:rsid w:val="003420DA"/>
    <w:rsid w:val="00342CB1"/>
    <w:rsid w:val="003437A3"/>
    <w:rsid w:val="0034381B"/>
    <w:rsid w:val="00343981"/>
    <w:rsid w:val="003442C1"/>
    <w:rsid w:val="00346179"/>
    <w:rsid w:val="003466AD"/>
    <w:rsid w:val="003477D1"/>
    <w:rsid w:val="00350C50"/>
    <w:rsid w:val="00350CB5"/>
    <w:rsid w:val="00350D37"/>
    <w:rsid w:val="00351317"/>
    <w:rsid w:val="00351918"/>
    <w:rsid w:val="00351A38"/>
    <w:rsid w:val="00352255"/>
    <w:rsid w:val="003534A1"/>
    <w:rsid w:val="003536F7"/>
    <w:rsid w:val="00353913"/>
    <w:rsid w:val="00355305"/>
    <w:rsid w:val="0035658E"/>
    <w:rsid w:val="00356746"/>
    <w:rsid w:val="00360559"/>
    <w:rsid w:val="00360B0A"/>
    <w:rsid w:val="00360F19"/>
    <w:rsid w:val="00361918"/>
    <w:rsid w:val="00361AA7"/>
    <w:rsid w:val="003626B1"/>
    <w:rsid w:val="003638BD"/>
    <w:rsid w:val="00363AD7"/>
    <w:rsid w:val="00363CD6"/>
    <w:rsid w:val="00364039"/>
    <w:rsid w:val="003645AE"/>
    <w:rsid w:val="00365DAC"/>
    <w:rsid w:val="00365DFB"/>
    <w:rsid w:val="00366E20"/>
    <w:rsid w:val="00367593"/>
    <w:rsid w:val="0036787F"/>
    <w:rsid w:val="00370D07"/>
    <w:rsid w:val="00371BAD"/>
    <w:rsid w:val="0037302C"/>
    <w:rsid w:val="00373D8A"/>
    <w:rsid w:val="00375958"/>
    <w:rsid w:val="003759B8"/>
    <w:rsid w:val="0037609D"/>
    <w:rsid w:val="0037668D"/>
    <w:rsid w:val="00376776"/>
    <w:rsid w:val="00381A66"/>
    <w:rsid w:val="00381C45"/>
    <w:rsid w:val="00382B0E"/>
    <w:rsid w:val="00382CEE"/>
    <w:rsid w:val="003830F2"/>
    <w:rsid w:val="00384B99"/>
    <w:rsid w:val="00385723"/>
    <w:rsid w:val="0038586F"/>
    <w:rsid w:val="00385B24"/>
    <w:rsid w:val="00385B75"/>
    <w:rsid w:val="0038680F"/>
    <w:rsid w:val="00386AAB"/>
    <w:rsid w:val="0038716D"/>
    <w:rsid w:val="003876BC"/>
    <w:rsid w:val="00391252"/>
    <w:rsid w:val="0039225E"/>
    <w:rsid w:val="003943B8"/>
    <w:rsid w:val="00394402"/>
    <w:rsid w:val="003945E2"/>
    <w:rsid w:val="00394CDA"/>
    <w:rsid w:val="003952D2"/>
    <w:rsid w:val="0039540D"/>
    <w:rsid w:val="0039576C"/>
    <w:rsid w:val="00396982"/>
    <w:rsid w:val="00397026"/>
    <w:rsid w:val="00397629"/>
    <w:rsid w:val="00397BDA"/>
    <w:rsid w:val="00397CB0"/>
    <w:rsid w:val="00397FD3"/>
    <w:rsid w:val="003A23F1"/>
    <w:rsid w:val="003A355D"/>
    <w:rsid w:val="003A418F"/>
    <w:rsid w:val="003A4381"/>
    <w:rsid w:val="003A4EA7"/>
    <w:rsid w:val="003A53EC"/>
    <w:rsid w:val="003A56B0"/>
    <w:rsid w:val="003A67FD"/>
    <w:rsid w:val="003A6E01"/>
    <w:rsid w:val="003A765B"/>
    <w:rsid w:val="003B1157"/>
    <w:rsid w:val="003B159E"/>
    <w:rsid w:val="003B18F0"/>
    <w:rsid w:val="003B1D72"/>
    <w:rsid w:val="003B2BDB"/>
    <w:rsid w:val="003B305D"/>
    <w:rsid w:val="003B351A"/>
    <w:rsid w:val="003B39E8"/>
    <w:rsid w:val="003B3A57"/>
    <w:rsid w:val="003B3DB0"/>
    <w:rsid w:val="003B423E"/>
    <w:rsid w:val="003B511C"/>
    <w:rsid w:val="003B5653"/>
    <w:rsid w:val="003B7957"/>
    <w:rsid w:val="003B798F"/>
    <w:rsid w:val="003C2226"/>
    <w:rsid w:val="003C25CD"/>
    <w:rsid w:val="003C2CF0"/>
    <w:rsid w:val="003C2D21"/>
    <w:rsid w:val="003C3D6D"/>
    <w:rsid w:val="003C422B"/>
    <w:rsid w:val="003C433F"/>
    <w:rsid w:val="003C64C6"/>
    <w:rsid w:val="003C67B3"/>
    <w:rsid w:val="003C6FDD"/>
    <w:rsid w:val="003C7611"/>
    <w:rsid w:val="003C7AAB"/>
    <w:rsid w:val="003C7AEB"/>
    <w:rsid w:val="003C7BC7"/>
    <w:rsid w:val="003D0187"/>
    <w:rsid w:val="003D0DB4"/>
    <w:rsid w:val="003D390F"/>
    <w:rsid w:val="003D3FCF"/>
    <w:rsid w:val="003D456D"/>
    <w:rsid w:val="003D4BB8"/>
    <w:rsid w:val="003D6AC9"/>
    <w:rsid w:val="003D77EB"/>
    <w:rsid w:val="003E0676"/>
    <w:rsid w:val="003E0F92"/>
    <w:rsid w:val="003E15A5"/>
    <w:rsid w:val="003E187D"/>
    <w:rsid w:val="003E1AD0"/>
    <w:rsid w:val="003E1FFA"/>
    <w:rsid w:val="003E2797"/>
    <w:rsid w:val="003E27B1"/>
    <w:rsid w:val="003E300D"/>
    <w:rsid w:val="003E367A"/>
    <w:rsid w:val="003E4AB7"/>
    <w:rsid w:val="003E4BB9"/>
    <w:rsid w:val="003E4FC4"/>
    <w:rsid w:val="003E6B9E"/>
    <w:rsid w:val="003E6C70"/>
    <w:rsid w:val="003E6DCA"/>
    <w:rsid w:val="003F10B7"/>
    <w:rsid w:val="003F1A82"/>
    <w:rsid w:val="003F1CF4"/>
    <w:rsid w:val="003F2638"/>
    <w:rsid w:val="003F27D9"/>
    <w:rsid w:val="003F2C59"/>
    <w:rsid w:val="003F2CDB"/>
    <w:rsid w:val="003F3075"/>
    <w:rsid w:val="003F3171"/>
    <w:rsid w:val="003F39AF"/>
    <w:rsid w:val="003F572A"/>
    <w:rsid w:val="003F60CE"/>
    <w:rsid w:val="003F62A1"/>
    <w:rsid w:val="003F6487"/>
    <w:rsid w:val="003F6CA7"/>
    <w:rsid w:val="003F71BA"/>
    <w:rsid w:val="003F7A47"/>
    <w:rsid w:val="00400619"/>
    <w:rsid w:val="004011A8"/>
    <w:rsid w:val="00401ACB"/>
    <w:rsid w:val="00402120"/>
    <w:rsid w:val="00402AC6"/>
    <w:rsid w:val="0040369B"/>
    <w:rsid w:val="004037DB"/>
    <w:rsid w:val="00405C52"/>
    <w:rsid w:val="004064F3"/>
    <w:rsid w:val="00406F2C"/>
    <w:rsid w:val="00407298"/>
    <w:rsid w:val="00410109"/>
    <w:rsid w:val="00410132"/>
    <w:rsid w:val="00411426"/>
    <w:rsid w:val="0041190F"/>
    <w:rsid w:val="004122E8"/>
    <w:rsid w:val="0041378F"/>
    <w:rsid w:val="00414C2C"/>
    <w:rsid w:val="0041561A"/>
    <w:rsid w:val="004157EA"/>
    <w:rsid w:val="004162E2"/>
    <w:rsid w:val="00416D32"/>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70AA"/>
    <w:rsid w:val="00427665"/>
    <w:rsid w:val="00427CE2"/>
    <w:rsid w:val="00430B8E"/>
    <w:rsid w:val="00431663"/>
    <w:rsid w:val="004322C5"/>
    <w:rsid w:val="00432588"/>
    <w:rsid w:val="00433878"/>
    <w:rsid w:val="00433B21"/>
    <w:rsid w:val="00434FEF"/>
    <w:rsid w:val="00435715"/>
    <w:rsid w:val="00435896"/>
    <w:rsid w:val="0043715C"/>
    <w:rsid w:val="0044020B"/>
    <w:rsid w:val="00440679"/>
    <w:rsid w:val="004418B5"/>
    <w:rsid w:val="00441A6F"/>
    <w:rsid w:val="0044214A"/>
    <w:rsid w:val="00444224"/>
    <w:rsid w:val="0044478C"/>
    <w:rsid w:val="004447AE"/>
    <w:rsid w:val="004455C0"/>
    <w:rsid w:val="004458DE"/>
    <w:rsid w:val="00445C2C"/>
    <w:rsid w:val="00445EEB"/>
    <w:rsid w:val="00446C00"/>
    <w:rsid w:val="00446C51"/>
    <w:rsid w:val="00446ED3"/>
    <w:rsid w:val="00447225"/>
    <w:rsid w:val="00447E4C"/>
    <w:rsid w:val="0045014F"/>
    <w:rsid w:val="004503CA"/>
    <w:rsid w:val="00451133"/>
    <w:rsid w:val="00451A16"/>
    <w:rsid w:val="0045387C"/>
    <w:rsid w:val="004550EF"/>
    <w:rsid w:val="0045524D"/>
    <w:rsid w:val="004552BF"/>
    <w:rsid w:val="004552FB"/>
    <w:rsid w:val="004561AF"/>
    <w:rsid w:val="00456A7E"/>
    <w:rsid w:val="00457024"/>
    <w:rsid w:val="0045721C"/>
    <w:rsid w:val="00460AD4"/>
    <w:rsid w:val="004611C3"/>
    <w:rsid w:val="00461BA6"/>
    <w:rsid w:val="00462494"/>
    <w:rsid w:val="004625FA"/>
    <w:rsid w:val="00462A39"/>
    <w:rsid w:val="0046338A"/>
    <w:rsid w:val="004643C3"/>
    <w:rsid w:val="00464597"/>
    <w:rsid w:val="00464D95"/>
    <w:rsid w:val="00465913"/>
    <w:rsid w:val="00465BEA"/>
    <w:rsid w:val="00465D09"/>
    <w:rsid w:val="004660CF"/>
    <w:rsid w:val="004674C2"/>
    <w:rsid w:val="00467759"/>
    <w:rsid w:val="0047040F"/>
    <w:rsid w:val="004709CB"/>
    <w:rsid w:val="004718B4"/>
    <w:rsid w:val="00471F54"/>
    <w:rsid w:val="004722E2"/>
    <w:rsid w:val="00473AF7"/>
    <w:rsid w:val="00476709"/>
    <w:rsid w:val="004800F2"/>
    <w:rsid w:val="0048099B"/>
    <w:rsid w:val="00481211"/>
    <w:rsid w:val="0048197D"/>
    <w:rsid w:val="004823C5"/>
    <w:rsid w:val="0048263E"/>
    <w:rsid w:val="00483B4B"/>
    <w:rsid w:val="0048477F"/>
    <w:rsid w:val="00484CFB"/>
    <w:rsid w:val="00484F7E"/>
    <w:rsid w:val="0048529D"/>
    <w:rsid w:val="004854E8"/>
    <w:rsid w:val="004863BD"/>
    <w:rsid w:val="00486470"/>
    <w:rsid w:val="004908B1"/>
    <w:rsid w:val="00491987"/>
    <w:rsid w:val="00491B4F"/>
    <w:rsid w:val="0049291C"/>
    <w:rsid w:val="00493F2E"/>
    <w:rsid w:val="00495029"/>
    <w:rsid w:val="004956E5"/>
    <w:rsid w:val="00495A75"/>
    <w:rsid w:val="00495BD5"/>
    <w:rsid w:val="00495D3F"/>
    <w:rsid w:val="004965A4"/>
    <w:rsid w:val="00496AC8"/>
    <w:rsid w:val="00496D67"/>
    <w:rsid w:val="00497341"/>
    <w:rsid w:val="00497520"/>
    <w:rsid w:val="004A14EE"/>
    <w:rsid w:val="004A16B8"/>
    <w:rsid w:val="004A323F"/>
    <w:rsid w:val="004A36FA"/>
    <w:rsid w:val="004A381A"/>
    <w:rsid w:val="004A3B2A"/>
    <w:rsid w:val="004A44AD"/>
    <w:rsid w:val="004A4887"/>
    <w:rsid w:val="004A5E78"/>
    <w:rsid w:val="004A659E"/>
    <w:rsid w:val="004A6A74"/>
    <w:rsid w:val="004A7097"/>
    <w:rsid w:val="004A7123"/>
    <w:rsid w:val="004A7F1E"/>
    <w:rsid w:val="004B0EBF"/>
    <w:rsid w:val="004B100D"/>
    <w:rsid w:val="004B1160"/>
    <w:rsid w:val="004B2BD7"/>
    <w:rsid w:val="004B4E43"/>
    <w:rsid w:val="004B5F3C"/>
    <w:rsid w:val="004B65DB"/>
    <w:rsid w:val="004B6969"/>
    <w:rsid w:val="004B6B8B"/>
    <w:rsid w:val="004B6C41"/>
    <w:rsid w:val="004B7680"/>
    <w:rsid w:val="004B785B"/>
    <w:rsid w:val="004C133C"/>
    <w:rsid w:val="004C2D6F"/>
    <w:rsid w:val="004C2FB3"/>
    <w:rsid w:val="004C3752"/>
    <w:rsid w:val="004C4E67"/>
    <w:rsid w:val="004C5011"/>
    <w:rsid w:val="004C59FA"/>
    <w:rsid w:val="004C5EB9"/>
    <w:rsid w:val="004C6945"/>
    <w:rsid w:val="004C6DBB"/>
    <w:rsid w:val="004C71EF"/>
    <w:rsid w:val="004C7318"/>
    <w:rsid w:val="004C763A"/>
    <w:rsid w:val="004C7A32"/>
    <w:rsid w:val="004C7D91"/>
    <w:rsid w:val="004D04AE"/>
    <w:rsid w:val="004D0C75"/>
    <w:rsid w:val="004D16CC"/>
    <w:rsid w:val="004D1976"/>
    <w:rsid w:val="004D1F4C"/>
    <w:rsid w:val="004D2F52"/>
    <w:rsid w:val="004D3387"/>
    <w:rsid w:val="004D390B"/>
    <w:rsid w:val="004D45BC"/>
    <w:rsid w:val="004D4C36"/>
    <w:rsid w:val="004D540A"/>
    <w:rsid w:val="004D5B3A"/>
    <w:rsid w:val="004D70EC"/>
    <w:rsid w:val="004D7940"/>
    <w:rsid w:val="004E011F"/>
    <w:rsid w:val="004E0730"/>
    <w:rsid w:val="004E0878"/>
    <w:rsid w:val="004E0E6E"/>
    <w:rsid w:val="004E1FBC"/>
    <w:rsid w:val="004E2295"/>
    <w:rsid w:val="004E2FFF"/>
    <w:rsid w:val="004E3010"/>
    <w:rsid w:val="004E39B3"/>
    <w:rsid w:val="004E3A70"/>
    <w:rsid w:val="004E3B38"/>
    <w:rsid w:val="004E3E9D"/>
    <w:rsid w:val="004E3F0C"/>
    <w:rsid w:val="004E40B6"/>
    <w:rsid w:val="004E4787"/>
    <w:rsid w:val="004E5AA5"/>
    <w:rsid w:val="004E61F6"/>
    <w:rsid w:val="004E695E"/>
    <w:rsid w:val="004E69EB"/>
    <w:rsid w:val="004E6AA7"/>
    <w:rsid w:val="004E7CB6"/>
    <w:rsid w:val="004F00AD"/>
    <w:rsid w:val="004F05D1"/>
    <w:rsid w:val="004F107C"/>
    <w:rsid w:val="004F1F1D"/>
    <w:rsid w:val="004F2CD5"/>
    <w:rsid w:val="004F345D"/>
    <w:rsid w:val="004F3675"/>
    <w:rsid w:val="004F38E2"/>
    <w:rsid w:val="004F3B7C"/>
    <w:rsid w:val="004F4D77"/>
    <w:rsid w:val="004F4F7B"/>
    <w:rsid w:val="004F6011"/>
    <w:rsid w:val="004F6A7C"/>
    <w:rsid w:val="004F6EAE"/>
    <w:rsid w:val="00500381"/>
    <w:rsid w:val="00500529"/>
    <w:rsid w:val="0050105E"/>
    <w:rsid w:val="0050181B"/>
    <w:rsid w:val="00502714"/>
    <w:rsid w:val="00503313"/>
    <w:rsid w:val="00503F67"/>
    <w:rsid w:val="00503FE7"/>
    <w:rsid w:val="0050455D"/>
    <w:rsid w:val="0050494C"/>
    <w:rsid w:val="00505238"/>
    <w:rsid w:val="0050572E"/>
    <w:rsid w:val="00506FE6"/>
    <w:rsid w:val="00507452"/>
    <w:rsid w:val="00507616"/>
    <w:rsid w:val="00507861"/>
    <w:rsid w:val="00511424"/>
    <w:rsid w:val="00512496"/>
    <w:rsid w:val="00512CF1"/>
    <w:rsid w:val="005149B5"/>
    <w:rsid w:val="00514EB4"/>
    <w:rsid w:val="00515371"/>
    <w:rsid w:val="00515B5F"/>
    <w:rsid w:val="00516255"/>
    <w:rsid w:val="0051660A"/>
    <w:rsid w:val="00516634"/>
    <w:rsid w:val="005167F9"/>
    <w:rsid w:val="0051703C"/>
    <w:rsid w:val="00517897"/>
    <w:rsid w:val="00520483"/>
    <w:rsid w:val="00520988"/>
    <w:rsid w:val="00520A5F"/>
    <w:rsid w:val="00521736"/>
    <w:rsid w:val="005231EB"/>
    <w:rsid w:val="00524AEC"/>
    <w:rsid w:val="00525197"/>
    <w:rsid w:val="00525390"/>
    <w:rsid w:val="00525708"/>
    <w:rsid w:val="00525985"/>
    <w:rsid w:val="00526651"/>
    <w:rsid w:val="005266DE"/>
    <w:rsid w:val="00526A48"/>
    <w:rsid w:val="005275EE"/>
    <w:rsid w:val="005310A1"/>
    <w:rsid w:val="00531547"/>
    <w:rsid w:val="00531584"/>
    <w:rsid w:val="005327A0"/>
    <w:rsid w:val="005328BE"/>
    <w:rsid w:val="00532A24"/>
    <w:rsid w:val="00533327"/>
    <w:rsid w:val="00533963"/>
    <w:rsid w:val="00534F16"/>
    <w:rsid w:val="005350DC"/>
    <w:rsid w:val="00535EE6"/>
    <w:rsid w:val="00536414"/>
    <w:rsid w:val="0053694B"/>
    <w:rsid w:val="00536E0D"/>
    <w:rsid w:val="00537044"/>
    <w:rsid w:val="00537488"/>
    <w:rsid w:val="00537741"/>
    <w:rsid w:val="00537774"/>
    <w:rsid w:val="005377A3"/>
    <w:rsid w:val="00537866"/>
    <w:rsid w:val="005378CA"/>
    <w:rsid w:val="00540390"/>
    <w:rsid w:val="005409B8"/>
    <w:rsid w:val="005409CF"/>
    <w:rsid w:val="00540ADF"/>
    <w:rsid w:val="00541CE7"/>
    <w:rsid w:val="00542AB9"/>
    <w:rsid w:val="00542FC0"/>
    <w:rsid w:val="00544028"/>
    <w:rsid w:val="005457D1"/>
    <w:rsid w:val="00545F60"/>
    <w:rsid w:val="005460F2"/>
    <w:rsid w:val="00546E5E"/>
    <w:rsid w:val="00547765"/>
    <w:rsid w:val="005508D6"/>
    <w:rsid w:val="00552C0A"/>
    <w:rsid w:val="005539FF"/>
    <w:rsid w:val="00554284"/>
    <w:rsid w:val="005542A1"/>
    <w:rsid w:val="0055501F"/>
    <w:rsid w:val="00555784"/>
    <w:rsid w:val="0055632F"/>
    <w:rsid w:val="005569F0"/>
    <w:rsid w:val="00557073"/>
    <w:rsid w:val="005600E8"/>
    <w:rsid w:val="005601CF"/>
    <w:rsid w:val="00561387"/>
    <w:rsid w:val="0056140E"/>
    <w:rsid w:val="00561564"/>
    <w:rsid w:val="00561AD6"/>
    <w:rsid w:val="0056240A"/>
    <w:rsid w:val="00562436"/>
    <w:rsid w:val="0056268F"/>
    <w:rsid w:val="005627AA"/>
    <w:rsid w:val="00562C0C"/>
    <w:rsid w:val="0056310E"/>
    <w:rsid w:val="00565713"/>
    <w:rsid w:val="005669B7"/>
    <w:rsid w:val="00566D46"/>
    <w:rsid w:val="0056714A"/>
    <w:rsid w:val="00567509"/>
    <w:rsid w:val="00570062"/>
    <w:rsid w:val="00570FBA"/>
    <w:rsid w:val="00571AC1"/>
    <w:rsid w:val="005722DB"/>
    <w:rsid w:val="0057280A"/>
    <w:rsid w:val="00573155"/>
    <w:rsid w:val="00574403"/>
    <w:rsid w:val="00574472"/>
    <w:rsid w:val="0057460E"/>
    <w:rsid w:val="00574791"/>
    <w:rsid w:val="0057498F"/>
    <w:rsid w:val="00574ED0"/>
    <w:rsid w:val="00575AB6"/>
    <w:rsid w:val="00576D42"/>
    <w:rsid w:val="00576E16"/>
    <w:rsid w:val="00577014"/>
    <w:rsid w:val="00577402"/>
    <w:rsid w:val="005774CB"/>
    <w:rsid w:val="005802C0"/>
    <w:rsid w:val="00581405"/>
    <w:rsid w:val="005819D4"/>
    <w:rsid w:val="00581AEF"/>
    <w:rsid w:val="00581CB4"/>
    <w:rsid w:val="0058218B"/>
    <w:rsid w:val="00582496"/>
    <w:rsid w:val="0058333C"/>
    <w:rsid w:val="005833D6"/>
    <w:rsid w:val="005834FE"/>
    <w:rsid w:val="00583DEA"/>
    <w:rsid w:val="00584A5A"/>
    <w:rsid w:val="00585126"/>
    <w:rsid w:val="00585A28"/>
    <w:rsid w:val="00585D52"/>
    <w:rsid w:val="00586DEE"/>
    <w:rsid w:val="00586EE1"/>
    <w:rsid w:val="005877CB"/>
    <w:rsid w:val="00587EAC"/>
    <w:rsid w:val="00590110"/>
    <w:rsid w:val="00590950"/>
    <w:rsid w:val="00591618"/>
    <w:rsid w:val="00593AF0"/>
    <w:rsid w:val="00596115"/>
    <w:rsid w:val="00596646"/>
    <w:rsid w:val="00596906"/>
    <w:rsid w:val="0059697B"/>
    <w:rsid w:val="00596A3E"/>
    <w:rsid w:val="00596A99"/>
    <w:rsid w:val="005A08DD"/>
    <w:rsid w:val="005A118A"/>
    <w:rsid w:val="005A31F8"/>
    <w:rsid w:val="005A39C3"/>
    <w:rsid w:val="005A60B4"/>
    <w:rsid w:val="005A6B8C"/>
    <w:rsid w:val="005A6EA2"/>
    <w:rsid w:val="005A6F9F"/>
    <w:rsid w:val="005A7ABE"/>
    <w:rsid w:val="005B1412"/>
    <w:rsid w:val="005B144F"/>
    <w:rsid w:val="005B1D85"/>
    <w:rsid w:val="005B1DB7"/>
    <w:rsid w:val="005B20C8"/>
    <w:rsid w:val="005B21C9"/>
    <w:rsid w:val="005B24DE"/>
    <w:rsid w:val="005B35D6"/>
    <w:rsid w:val="005B53FD"/>
    <w:rsid w:val="005B5474"/>
    <w:rsid w:val="005B6D30"/>
    <w:rsid w:val="005B6ED7"/>
    <w:rsid w:val="005B75D3"/>
    <w:rsid w:val="005B75FD"/>
    <w:rsid w:val="005C009D"/>
    <w:rsid w:val="005C1484"/>
    <w:rsid w:val="005C320B"/>
    <w:rsid w:val="005C354E"/>
    <w:rsid w:val="005C3C32"/>
    <w:rsid w:val="005C4415"/>
    <w:rsid w:val="005C5025"/>
    <w:rsid w:val="005C5787"/>
    <w:rsid w:val="005C5B5F"/>
    <w:rsid w:val="005C703E"/>
    <w:rsid w:val="005C78A3"/>
    <w:rsid w:val="005C7D47"/>
    <w:rsid w:val="005C7E22"/>
    <w:rsid w:val="005D0A01"/>
    <w:rsid w:val="005D0C5F"/>
    <w:rsid w:val="005D0EAE"/>
    <w:rsid w:val="005D0FAF"/>
    <w:rsid w:val="005D14A3"/>
    <w:rsid w:val="005D23A0"/>
    <w:rsid w:val="005D332E"/>
    <w:rsid w:val="005D3D47"/>
    <w:rsid w:val="005D4AA5"/>
    <w:rsid w:val="005D4BBD"/>
    <w:rsid w:val="005D4E0C"/>
    <w:rsid w:val="005D51F2"/>
    <w:rsid w:val="005D5503"/>
    <w:rsid w:val="005D5BDF"/>
    <w:rsid w:val="005D6173"/>
    <w:rsid w:val="005D723C"/>
    <w:rsid w:val="005E04DF"/>
    <w:rsid w:val="005E0771"/>
    <w:rsid w:val="005E0B7E"/>
    <w:rsid w:val="005E11C3"/>
    <w:rsid w:val="005E1D26"/>
    <w:rsid w:val="005E2F32"/>
    <w:rsid w:val="005E469F"/>
    <w:rsid w:val="005E485D"/>
    <w:rsid w:val="005E4F1A"/>
    <w:rsid w:val="005E5570"/>
    <w:rsid w:val="005E57CE"/>
    <w:rsid w:val="005E6D59"/>
    <w:rsid w:val="005E7063"/>
    <w:rsid w:val="005E77A7"/>
    <w:rsid w:val="005F00F7"/>
    <w:rsid w:val="005F014F"/>
    <w:rsid w:val="005F12D9"/>
    <w:rsid w:val="005F2010"/>
    <w:rsid w:val="005F239A"/>
    <w:rsid w:val="005F2948"/>
    <w:rsid w:val="005F35D1"/>
    <w:rsid w:val="005F36D9"/>
    <w:rsid w:val="005F3CCB"/>
    <w:rsid w:val="005F49E6"/>
    <w:rsid w:val="005F523B"/>
    <w:rsid w:val="005F705E"/>
    <w:rsid w:val="005F7482"/>
    <w:rsid w:val="005F7616"/>
    <w:rsid w:val="005F7689"/>
    <w:rsid w:val="005F7BA7"/>
    <w:rsid w:val="005F7E46"/>
    <w:rsid w:val="00601678"/>
    <w:rsid w:val="00601BA9"/>
    <w:rsid w:val="006026FB"/>
    <w:rsid w:val="00602A08"/>
    <w:rsid w:val="00603D56"/>
    <w:rsid w:val="00604205"/>
    <w:rsid w:val="00604938"/>
    <w:rsid w:val="00604D90"/>
    <w:rsid w:val="00604EB8"/>
    <w:rsid w:val="00604F4E"/>
    <w:rsid w:val="006051A9"/>
    <w:rsid w:val="00605288"/>
    <w:rsid w:val="006053F4"/>
    <w:rsid w:val="0060688A"/>
    <w:rsid w:val="00606D33"/>
    <w:rsid w:val="00607291"/>
    <w:rsid w:val="00607844"/>
    <w:rsid w:val="00607C56"/>
    <w:rsid w:val="00610526"/>
    <w:rsid w:val="00610606"/>
    <w:rsid w:val="006108E2"/>
    <w:rsid w:val="00610DDA"/>
    <w:rsid w:val="006111DB"/>
    <w:rsid w:val="00611E66"/>
    <w:rsid w:val="00612B98"/>
    <w:rsid w:val="0061328E"/>
    <w:rsid w:val="00613F42"/>
    <w:rsid w:val="006140D5"/>
    <w:rsid w:val="0061448F"/>
    <w:rsid w:val="00614579"/>
    <w:rsid w:val="00614939"/>
    <w:rsid w:val="006163F6"/>
    <w:rsid w:val="006169D1"/>
    <w:rsid w:val="00616B03"/>
    <w:rsid w:val="00617458"/>
    <w:rsid w:val="00617B41"/>
    <w:rsid w:val="00620061"/>
    <w:rsid w:val="00620654"/>
    <w:rsid w:val="006216A0"/>
    <w:rsid w:val="00622110"/>
    <w:rsid w:val="006223CA"/>
    <w:rsid w:val="006233D0"/>
    <w:rsid w:val="006236FF"/>
    <w:rsid w:val="006242BA"/>
    <w:rsid w:val="0062448C"/>
    <w:rsid w:val="00625192"/>
    <w:rsid w:val="00625C51"/>
    <w:rsid w:val="006271CF"/>
    <w:rsid w:val="006275F3"/>
    <w:rsid w:val="00627755"/>
    <w:rsid w:val="00630ADE"/>
    <w:rsid w:val="00630D55"/>
    <w:rsid w:val="0063171E"/>
    <w:rsid w:val="00631A23"/>
    <w:rsid w:val="0063276A"/>
    <w:rsid w:val="00632A2E"/>
    <w:rsid w:val="00632F7E"/>
    <w:rsid w:val="00634A4F"/>
    <w:rsid w:val="0063567D"/>
    <w:rsid w:val="0063582B"/>
    <w:rsid w:val="00635D2A"/>
    <w:rsid w:val="00635ECC"/>
    <w:rsid w:val="006369AF"/>
    <w:rsid w:val="006376CB"/>
    <w:rsid w:val="0063795E"/>
    <w:rsid w:val="00640E04"/>
    <w:rsid w:val="0064110E"/>
    <w:rsid w:val="00641F5B"/>
    <w:rsid w:val="00643260"/>
    <w:rsid w:val="00643AC4"/>
    <w:rsid w:val="00643E7B"/>
    <w:rsid w:val="006444E9"/>
    <w:rsid w:val="00645340"/>
    <w:rsid w:val="00645BF2"/>
    <w:rsid w:val="0064621E"/>
    <w:rsid w:val="00646B56"/>
    <w:rsid w:val="0064725B"/>
    <w:rsid w:val="006472CB"/>
    <w:rsid w:val="0064739F"/>
    <w:rsid w:val="0064762B"/>
    <w:rsid w:val="00647CFD"/>
    <w:rsid w:val="00647EB5"/>
    <w:rsid w:val="00650606"/>
    <w:rsid w:val="00650C4F"/>
    <w:rsid w:val="00651154"/>
    <w:rsid w:val="0065195E"/>
    <w:rsid w:val="006519F4"/>
    <w:rsid w:val="00651E78"/>
    <w:rsid w:val="00653082"/>
    <w:rsid w:val="00653108"/>
    <w:rsid w:val="0065376C"/>
    <w:rsid w:val="00653AB5"/>
    <w:rsid w:val="006543F9"/>
    <w:rsid w:val="00654D70"/>
    <w:rsid w:val="00654FCA"/>
    <w:rsid w:val="00654FD3"/>
    <w:rsid w:val="006553F8"/>
    <w:rsid w:val="0065594B"/>
    <w:rsid w:val="00655A25"/>
    <w:rsid w:val="00657F37"/>
    <w:rsid w:val="00657FCA"/>
    <w:rsid w:val="006604F6"/>
    <w:rsid w:val="00660643"/>
    <w:rsid w:val="00660791"/>
    <w:rsid w:val="006609F5"/>
    <w:rsid w:val="0066147B"/>
    <w:rsid w:val="00661660"/>
    <w:rsid w:val="006621C9"/>
    <w:rsid w:val="006638B4"/>
    <w:rsid w:val="006645B5"/>
    <w:rsid w:val="006655A6"/>
    <w:rsid w:val="0066565D"/>
    <w:rsid w:val="0066673C"/>
    <w:rsid w:val="00667822"/>
    <w:rsid w:val="00667A52"/>
    <w:rsid w:val="00667E9A"/>
    <w:rsid w:val="00670427"/>
    <w:rsid w:val="00670C3C"/>
    <w:rsid w:val="00670EE1"/>
    <w:rsid w:val="006719BE"/>
    <w:rsid w:val="00672288"/>
    <w:rsid w:val="006737B3"/>
    <w:rsid w:val="0067390E"/>
    <w:rsid w:val="006758C7"/>
    <w:rsid w:val="00675A62"/>
    <w:rsid w:val="00675C9C"/>
    <w:rsid w:val="00675DC4"/>
    <w:rsid w:val="006761FC"/>
    <w:rsid w:val="006768F1"/>
    <w:rsid w:val="00676B24"/>
    <w:rsid w:val="00676ED7"/>
    <w:rsid w:val="006774FD"/>
    <w:rsid w:val="00677B6E"/>
    <w:rsid w:val="00677FD1"/>
    <w:rsid w:val="00680D60"/>
    <w:rsid w:val="00681C1D"/>
    <w:rsid w:val="00681EEE"/>
    <w:rsid w:val="006820DF"/>
    <w:rsid w:val="0068264F"/>
    <w:rsid w:val="00682AF2"/>
    <w:rsid w:val="00682D1A"/>
    <w:rsid w:val="0068303E"/>
    <w:rsid w:val="00683FDC"/>
    <w:rsid w:val="0068425D"/>
    <w:rsid w:val="006844D2"/>
    <w:rsid w:val="0068486A"/>
    <w:rsid w:val="00685329"/>
    <w:rsid w:val="006854DE"/>
    <w:rsid w:val="006854F8"/>
    <w:rsid w:val="00686128"/>
    <w:rsid w:val="006868CC"/>
    <w:rsid w:val="00687114"/>
    <w:rsid w:val="0068715D"/>
    <w:rsid w:val="00687B93"/>
    <w:rsid w:val="0069039B"/>
    <w:rsid w:val="006905F0"/>
    <w:rsid w:val="00691189"/>
    <w:rsid w:val="00691767"/>
    <w:rsid w:val="00691B74"/>
    <w:rsid w:val="0069216B"/>
    <w:rsid w:val="006922B1"/>
    <w:rsid w:val="006926B8"/>
    <w:rsid w:val="00692D67"/>
    <w:rsid w:val="006935EA"/>
    <w:rsid w:val="00694931"/>
    <w:rsid w:val="00694FE8"/>
    <w:rsid w:val="0069513C"/>
    <w:rsid w:val="00695C07"/>
    <w:rsid w:val="00695C44"/>
    <w:rsid w:val="00696F85"/>
    <w:rsid w:val="006970FC"/>
    <w:rsid w:val="00697E39"/>
    <w:rsid w:val="006A03D8"/>
    <w:rsid w:val="006A0EA1"/>
    <w:rsid w:val="006A0FC2"/>
    <w:rsid w:val="006A1C0B"/>
    <w:rsid w:val="006A2687"/>
    <w:rsid w:val="006A271D"/>
    <w:rsid w:val="006A2945"/>
    <w:rsid w:val="006A298F"/>
    <w:rsid w:val="006A49A2"/>
    <w:rsid w:val="006A50D1"/>
    <w:rsid w:val="006A54DB"/>
    <w:rsid w:val="006A55D1"/>
    <w:rsid w:val="006A55E9"/>
    <w:rsid w:val="006A56F7"/>
    <w:rsid w:val="006A592A"/>
    <w:rsid w:val="006A5BE3"/>
    <w:rsid w:val="006A615F"/>
    <w:rsid w:val="006A632B"/>
    <w:rsid w:val="006A64A4"/>
    <w:rsid w:val="006A6E43"/>
    <w:rsid w:val="006A7EE1"/>
    <w:rsid w:val="006B0B67"/>
    <w:rsid w:val="006B1D56"/>
    <w:rsid w:val="006B3AEA"/>
    <w:rsid w:val="006B505A"/>
    <w:rsid w:val="006B56CD"/>
    <w:rsid w:val="006B5B4D"/>
    <w:rsid w:val="006B63C3"/>
    <w:rsid w:val="006C18F4"/>
    <w:rsid w:val="006C2106"/>
    <w:rsid w:val="006C274D"/>
    <w:rsid w:val="006C309A"/>
    <w:rsid w:val="006C30E6"/>
    <w:rsid w:val="006C328A"/>
    <w:rsid w:val="006C40EE"/>
    <w:rsid w:val="006C4D56"/>
    <w:rsid w:val="006C78AE"/>
    <w:rsid w:val="006D079F"/>
    <w:rsid w:val="006D15EC"/>
    <w:rsid w:val="006D1FD8"/>
    <w:rsid w:val="006D2878"/>
    <w:rsid w:val="006D2D70"/>
    <w:rsid w:val="006D31A5"/>
    <w:rsid w:val="006D4144"/>
    <w:rsid w:val="006D4234"/>
    <w:rsid w:val="006D437A"/>
    <w:rsid w:val="006D4897"/>
    <w:rsid w:val="006D5E09"/>
    <w:rsid w:val="006D605D"/>
    <w:rsid w:val="006D6427"/>
    <w:rsid w:val="006D6885"/>
    <w:rsid w:val="006D6B2C"/>
    <w:rsid w:val="006D6F61"/>
    <w:rsid w:val="006D7C71"/>
    <w:rsid w:val="006E0720"/>
    <w:rsid w:val="006E1405"/>
    <w:rsid w:val="006E26C8"/>
    <w:rsid w:val="006E2973"/>
    <w:rsid w:val="006E2A4C"/>
    <w:rsid w:val="006E2AE4"/>
    <w:rsid w:val="006E3121"/>
    <w:rsid w:val="006E33D9"/>
    <w:rsid w:val="006E46B0"/>
    <w:rsid w:val="006E5420"/>
    <w:rsid w:val="006E55D7"/>
    <w:rsid w:val="006E63CB"/>
    <w:rsid w:val="006E7157"/>
    <w:rsid w:val="006E7898"/>
    <w:rsid w:val="006F05BF"/>
    <w:rsid w:val="006F076F"/>
    <w:rsid w:val="006F0E6A"/>
    <w:rsid w:val="006F11A9"/>
    <w:rsid w:val="006F19D9"/>
    <w:rsid w:val="006F1B64"/>
    <w:rsid w:val="006F2BAB"/>
    <w:rsid w:val="006F2E67"/>
    <w:rsid w:val="006F3AD8"/>
    <w:rsid w:val="006F43D3"/>
    <w:rsid w:val="006F5F11"/>
    <w:rsid w:val="006F651C"/>
    <w:rsid w:val="006F791E"/>
    <w:rsid w:val="0070026E"/>
    <w:rsid w:val="00700761"/>
    <w:rsid w:val="00700987"/>
    <w:rsid w:val="0070140B"/>
    <w:rsid w:val="00701E2A"/>
    <w:rsid w:val="007051E2"/>
    <w:rsid w:val="007056DC"/>
    <w:rsid w:val="00705F75"/>
    <w:rsid w:val="00706176"/>
    <w:rsid w:val="007066E6"/>
    <w:rsid w:val="00706C80"/>
    <w:rsid w:val="0070751D"/>
    <w:rsid w:val="00707737"/>
    <w:rsid w:val="0070787B"/>
    <w:rsid w:val="0070792E"/>
    <w:rsid w:val="00707973"/>
    <w:rsid w:val="00707C10"/>
    <w:rsid w:val="00707CAA"/>
    <w:rsid w:val="0071117F"/>
    <w:rsid w:val="007129BE"/>
    <w:rsid w:val="007129FE"/>
    <w:rsid w:val="00712C6F"/>
    <w:rsid w:val="00712DA5"/>
    <w:rsid w:val="00713CD0"/>
    <w:rsid w:val="00714320"/>
    <w:rsid w:val="007148BD"/>
    <w:rsid w:val="0071502D"/>
    <w:rsid w:val="0071737D"/>
    <w:rsid w:val="00717D23"/>
    <w:rsid w:val="00717DB1"/>
    <w:rsid w:val="00717DD2"/>
    <w:rsid w:val="0072237A"/>
    <w:rsid w:val="00722910"/>
    <w:rsid w:val="0072299C"/>
    <w:rsid w:val="00723F30"/>
    <w:rsid w:val="0072453D"/>
    <w:rsid w:val="00724E74"/>
    <w:rsid w:val="00725723"/>
    <w:rsid w:val="00726D99"/>
    <w:rsid w:val="00727A17"/>
    <w:rsid w:val="00727A29"/>
    <w:rsid w:val="00730460"/>
    <w:rsid w:val="00731446"/>
    <w:rsid w:val="007320FC"/>
    <w:rsid w:val="00732CE8"/>
    <w:rsid w:val="00732F6C"/>
    <w:rsid w:val="0073356A"/>
    <w:rsid w:val="007336FC"/>
    <w:rsid w:val="00733AA8"/>
    <w:rsid w:val="00733D18"/>
    <w:rsid w:val="007344B7"/>
    <w:rsid w:val="00734839"/>
    <w:rsid w:val="00734969"/>
    <w:rsid w:val="00734990"/>
    <w:rsid w:val="00735949"/>
    <w:rsid w:val="00737D57"/>
    <w:rsid w:val="00740063"/>
    <w:rsid w:val="00740798"/>
    <w:rsid w:val="00740954"/>
    <w:rsid w:val="00741660"/>
    <w:rsid w:val="007419D3"/>
    <w:rsid w:val="00742973"/>
    <w:rsid w:val="007449DD"/>
    <w:rsid w:val="00744A26"/>
    <w:rsid w:val="00744A32"/>
    <w:rsid w:val="00744E4E"/>
    <w:rsid w:val="00744EDE"/>
    <w:rsid w:val="00745CD1"/>
    <w:rsid w:val="0074659F"/>
    <w:rsid w:val="00746B93"/>
    <w:rsid w:val="00747EBC"/>
    <w:rsid w:val="0075043D"/>
    <w:rsid w:val="007504FB"/>
    <w:rsid w:val="00750B0A"/>
    <w:rsid w:val="007514C6"/>
    <w:rsid w:val="007515D2"/>
    <w:rsid w:val="00751D03"/>
    <w:rsid w:val="00752028"/>
    <w:rsid w:val="00752F21"/>
    <w:rsid w:val="0075312C"/>
    <w:rsid w:val="007538C3"/>
    <w:rsid w:val="0075391D"/>
    <w:rsid w:val="00753F32"/>
    <w:rsid w:val="00754A12"/>
    <w:rsid w:val="00756507"/>
    <w:rsid w:val="007569D3"/>
    <w:rsid w:val="00756EB3"/>
    <w:rsid w:val="007570DC"/>
    <w:rsid w:val="00757719"/>
    <w:rsid w:val="00757A89"/>
    <w:rsid w:val="0076131A"/>
    <w:rsid w:val="00761A5B"/>
    <w:rsid w:val="00761F1D"/>
    <w:rsid w:val="00762FE3"/>
    <w:rsid w:val="00763F8B"/>
    <w:rsid w:val="0076529C"/>
    <w:rsid w:val="007705E9"/>
    <w:rsid w:val="007724FA"/>
    <w:rsid w:val="0077251F"/>
    <w:rsid w:val="007739A1"/>
    <w:rsid w:val="00774403"/>
    <w:rsid w:val="00775A40"/>
    <w:rsid w:val="00775E54"/>
    <w:rsid w:val="007762FD"/>
    <w:rsid w:val="0077672D"/>
    <w:rsid w:val="00777248"/>
    <w:rsid w:val="00777B5F"/>
    <w:rsid w:val="0078036F"/>
    <w:rsid w:val="00780AD1"/>
    <w:rsid w:val="00782EE1"/>
    <w:rsid w:val="007836B4"/>
    <w:rsid w:val="00784407"/>
    <w:rsid w:val="00786616"/>
    <w:rsid w:val="0078664D"/>
    <w:rsid w:val="00786A1C"/>
    <w:rsid w:val="00786C64"/>
    <w:rsid w:val="007870E7"/>
    <w:rsid w:val="00787D45"/>
    <w:rsid w:val="00787F4F"/>
    <w:rsid w:val="007904AC"/>
    <w:rsid w:val="00791D12"/>
    <w:rsid w:val="007923CE"/>
    <w:rsid w:val="00793F48"/>
    <w:rsid w:val="00794662"/>
    <w:rsid w:val="00795074"/>
    <w:rsid w:val="007955B9"/>
    <w:rsid w:val="007957E4"/>
    <w:rsid w:val="00795E89"/>
    <w:rsid w:val="00796B16"/>
    <w:rsid w:val="007A0B38"/>
    <w:rsid w:val="007A0ED1"/>
    <w:rsid w:val="007A1180"/>
    <w:rsid w:val="007A2C3A"/>
    <w:rsid w:val="007A3276"/>
    <w:rsid w:val="007A3DE8"/>
    <w:rsid w:val="007A488C"/>
    <w:rsid w:val="007A5F96"/>
    <w:rsid w:val="007A60AB"/>
    <w:rsid w:val="007A7045"/>
    <w:rsid w:val="007B0C06"/>
    <w:rsid w:val="007B0F31"/>
    <w:rsid w:val="007B1166"/>
    <w:rsid w:val="007B1530"/>
    <w:rsid w:val="007B28A2"/>
    <w:rsid w:val="007B4219"/>
    <w:rsid w:val="007B4542"/>
    <w:rsid w:val="007B5155"/>
    <w:rsid w:val="007B5E43"/>
    <w:rsid w:val="007B6288"/>
    <w:rsid w:val="007B64E7"/>
    <w:rsid w:val="007B6A44"/>
    <w:rsid w:val="007C07C5"/>
    <w:rsid w:val="007C154C"/>
    <w:rsid w:val="007C26C3"/>
    <w:rsid w:val="007C2D87"/>
    <w:rsid w:val="007C3392"/>
    <w:rsid w:val="007C3B81"/>
    <w:rsid w:val="007C63CA"/>
    <w:rsid w:val="007C6C3D"/>
    <w:rsid w:val="007D12C1"/>
    <w:rsid w:val="007D196C"/>
    <w:rsid w:val="007D2050"/>
    <w:rsid w:val="007D254F"/>
    <w:rsid w:val="007D3E65"/>
    <w:rsid w:val="007D4E6B"/>
    <w:rsid w:val="007D5150"/>
    <w:rsid w:val="007D5C62"/>
    <w:rsid w:val="007D5F31"/>
    <w:rsid w:val="007D6093"/>
    <w:rsid w:val="007D7AFC"/>
    <w:rsid w:val="007E0540"/>
    <w:rsid w:val="007E072D"/>
    <w:rsid w:val="007E0C34"/>
    <w:rsid w:val="007E12F8"/>
    <w:rsid w:val="007E2061"/>
    <w:rsid w:val="007E2C55"/>
    <w:rsid w:val="007E3190"/>
    <w:rsid w:val="007E32F2"/>
    <w:rsid w:val="007E4086"/>
    <w:rsid w:val="007E4F38"/>
    <w:rsid w:val="007E5EC6"/>
    <w:rsid w:val="007E6CE0"/>
    <w:rsid w:val="007E7A2D"/>
    <w:rsid w:val="007F2615"/>
    <w:rsid w:val="007F2812"/>
    <w:rsid w:val="007F2F93"/>
    <w:rsid w:val="007F38F7"/>
    <w:rsid w:val="007F46E9"/>
    <w:rsid w:val="007F4B5E"/>
    <w:rsid w:val="007F6494"/>
    <w:rsid w:val="007F67BD"/>
    <w:rsid w:val="007F67BE"/>
    <w:rsid w:val="007F6A99"/>
    <w:rsid w:val="007F702A"/>
    <w:rsid w:val="007F74E0"/>
    <w:rsid w:val="00801EC0"/>
    <w:rsid w:val="00802D16"/>
    <w:rsid w:val="00804694"/>
    <w:rsid w:val="00805CD4"/>
    <w:rsid w:val="008076A1"/>
    <w:rsid w:val="008100A4"/>
    <w:rsid w:val="0081012B"/>
    <w:rsid w:val="008106A8"/>
    <w:rsid w:val="008106B0"/>
    <w:rsid w:val="00810CF4"/>
    <w:rsid w:val="0081116C"/>
    <w:rsid w:val="008118E3"/>
    <w:rsid w:val="00812036"/>
    <w:rsid w:val="00812440"/>
    <w:rsid w:val="008124A8"/>
    <w:rsid w:val="00812EE5"/>
    <w:rsid w:val="008139F5"/>
    <w:rsid w:val="008146FC"/>
    <w:rsid w:val="00814F0D"/>
    <w:rsid w:val="008153AF"/>
    <w:rsid w:val="0081561C"/>
    <w:rsid w:val="00815DC3"/>
    <w:rsid w:val="00816037"/>
    <w:rsid w:val="0081778C"/>
    <w:rsid w:val="00820BCF"/>
    <w:rsid w:val="0082129D"/>
    <w:rsid w:val="00821847"/>
    <w:rsid w:val="00821FAA"/>
    <w:rsid w:val="00822483"/>
    <w:rsid w:val="00822BE8"/>
    <w:rsid w:val="00822E40"/>
    <w:rsid w:val="00822F90"/>
    <w:rsid w:val="0082423E"/>
    <w:rsid w:val="008251B6"/>
    <w:rsid w:val="00825BE0"/>
    <w:rsid w:val="0082619D"/>
    <w:rsid w:val="0082650F"/>
    <w:rsid w:val="008269B1"/>
    <w:rsid w:val="00827FB3"/>
    <w:rsid w:val="00827FE3"/>
    <w:rsid w:val="0083008F"/>
    <w:rsid w:val="0083022D"/>
    <w:rsid w:val="008302EB"/>
    <w:rsid w:val="00831FFA"/>
    <w:rsid w:val="008326D5"/>
    <w:rsid w:val="00833069"/>
    <w:rsid w:val="0083398F"/>
    <w:rsid w:val="00834380"/>
    <w:rsid w:val="00836249"/>
    <w:rsid w:val="00836CA5"/>
    <w:rsid w:val="00837D26"/>
    <w:rsid w:val="00837FA5"/>
    <w:rsid w:val="0084163F"/>
    <w:rsid w:val="00841DA4"/>
    <w:rsid w:val="00842715"/>
    <w:rsid w:val="00843A09"/>
    <w:rsid w:val="00843DFC"/>
    <w:rsid w:val="008446BD"/>
    <w:rsid w:val="00844746"/>
    <w:rsid w:val="008455A1"/>
    <w:rsid w:val="00845925"/>
    <w:rsid w:val="00845A35"/>
    <w:rsid w:val="00846442"/>
    <w:rsid w:val="00846D4E"/>
    <w:rsid w:val="00846FAC"/>
    <w:rsid w:val="00850818"/>
    <w:rsid w:val="00851148"/>
    <w:rsid w:val="00851608"/>
    <w:rsid w:val="008525CA"/>
    <w:rsid w:val="00852DA8"/>
    <w:rsid w:val="00852EC8"/>
    <w:rsid w:val="00853342"/>
    <w:rsid w:val="008544C9"/>
    <w:rsid w:val="00854BEC"/>
    <w:rsid w:val="00855E7B"/>
    <w:rsid w:val="00856AD9"/>
    <w:rsid w:val="00856B14"/>
    <w:rsid w:val="00857196"/>
    <w:rsid w:val="00860D7B"/>
    <w:rsid w:val="0086111A"/>
    <w:rsid w:val="008621FB"/>
    <w:rsid w:val="00862AA6"/>
    <w:rsid w:val="00862CA5"/>
    <w:rsid w:val="00863F56"/>
    <w:rsid w:val="00864AA2"/>
    <w:rsid w:val="00864BA6"/>
    <w:rsid w:val="00866032"/>
    <w:rsid w:val="00866F7C"/>
    <w:rsid w:val="008670A6"/>
    <w:rsid w:val="008675A5"/>
    <w:rsid w:val="008700A9"/>
    <w:rsid w:val="00870B20"/>
    <w:rsid w:val="00870C43"/>
    <w:rsid w:val="00872890"/>
    <w:rsid w:val="00872928"/>
    <w:rsid w:val="00872DBC"/>
    <w:rsid w:val="0087436C"/>
    <w:rsid w:val="00874B0D"/>
    <w:rsid w:val="0087573D"/>
    <w:rsid w:val="008761B7"/>
    <w:rsid w:val="00876531"/>
    <w:rsid w:val="00877387"/>
    <w:rsid w:val="00880060"/>
    <w:rsid w:val="008805AD"/>
    <w:rsid w:val="008805B1"/>
    <w:rsid w:val="00881239"/>
    <w:rsid w:val="008815C4"/>
    <w:rsid w:val="008815C6"/>
    <w:rsid w:val="0088191C"/>
    <w:rsid w:val="008823B3"/>
    <w:rsid w:val="00883413"/>
    <w:rsid w:val="00883FFA"/>
    <w:rsid w:val="008855FA"/>
    <w:rsid w:val="00885770"/>
    <w:rsid w:val="008858C6"/>
    <w:rsid w:val="008864A2"/>
    <w:rsid w:val="008878CC"/>
    <w:rsid w:val="00887F89"/>
    <w:rsid w:val="00890B8B"/>
    <w:rsid w:val="008914D3"/>
    <w:rsid w:val="00892BB6"/>
    <w:rsid w:val="00893BAB"/>
    <w:rsid w:val="00895BAB"/>
    <w:rsid w:val="00895F20"/>
    <w:rsid w:val="00896096"/>
    <w:rsid w:val="00896467"/>
    <w:rsid w:val="00896D34"/>
    <w:rsid w:val="00896EB7"/>
    <w:rsid w:val="0089721C"/>
    <w:rsid w:val="0089753C"/>
    <w:rsid w:val="008978DA"/>
    <w:rsid w:val="008A13C7"/>
    <w:rsid w:val="008A1DB9"/>
    <w:rsid w:val="008A3C93"/>
    <w:rsid w:val="008A4102"/>
    <w:rsid w:val="008A4E6D"/>
    <w:rsid w:val="008A5505"/>
    <w:rsid w:val="008A60B8"/>
    <w:rsid w:val="008A6602"/>
    <w:rsid w:val="008A69D5"/>
    <w:rsid w:val="008A7067"/>
    <w:rsid w:val="008A75E9"/>
    <w:rsid w:val="008A7AB8"/>
    <w:rsid w:val="008A7F92"/>
    <w:rsid w:val="008B10BC"/>
    <w:rsid w:val="008B3956"/>
    <w:rsid w:val="008B3D97"/>
    <w:rsid w:val="008B3E90"/>
    <w:rsid w:val="008B3F11"/>
    <w:rsid w:val="008B450C"/>
    <w:rsid w:val="008B79CD"/>
    <w:rsid w:val="008C0B68"/>
    <w:rsid w:val="008C0D2C"/>
    <w:rsid w:val="008C2AFF"/>
    <w:rsid w:val="008C3EDD"/>
    <w:rsid w:val="008C422B"/>
    <w:rsid w:val="008C4A78"/>
    <w:rsid w:val="008C5021"/>
    <w:rsid w:val="008C5722"/>
    <w:rsid w:val="008C614F"/>
    <w:rsid w:val="008C63C3"/>
    <w:rsid w:val="008C6B3B"/>
    <w:rsid w:val="008D1A27"/>
    <w:rsid w:val="008D25E6"/>
    <w:rsid w:val="008D3E6B"/>
    <w:rsid w:val="008D4172"/>
    <w:rsid w:val="008D4239"/>
    <w:rsid w:val="008D70D5"/>
    <w:rsid w:val="008E0B0B"/>
    <w:rsid w:val="008E0EE3"/>
    <w:rsid w:val="008E2939"/>
    <w:rsid w:val="008E2C84"/>
    <w:rsid w:val="008E2CE3"/>
    <w:rsid w:val="008E3014"/>
    <w:rsid w:val="008E39DA"/>
    <w:rsid w:val="008E3B23"/>
    <w:rsid w:val="008E4188"/>
    <w:rsid w:val="008E421D"/>
    <w:rsid w:val="008E49ED"/>
    <w:rsid w:val="008E5FC6"/>
    <w:rsid w:val="008E630E"/>
    <w:rsid w:val="008E641B"/>
    <w:rsid w:val="008E7A67"/>
    <w:rsid w:val="008F013C"/>
    <w:rsid w:val="008F0833"/>
    <w:rsid w:val="008F0BA9"/>
    <w:rsid w:val="008F0DCE"/>
    <w:rsid w:val="008F16ED"/>
    <w:rsid w:val="008F43AC"/>
    <w:rsid w:val="008F465E"/>
    <w:rsid w:val="008F4FD6"/>
    <w:rsid w:val="008F5422"/>
    <w:rsid w:val="008F5DC3"/>
    <w:rsid w:val="008F6511"/>
    <w:rsid w:val="008F6DEA"/>
    <w:rsid w:val="008F713C"/>
    <w:rsid w:val="008F762F"/>
    <w:rsid w:val="008F7866"/>
    <w:rsid w:val="0090011F"/>
    <w:rsid w:val="00902E4A"/>
    <w:rsid w:val="00902E94"/>
    <w:rsid w:val="00904A0F"/>
    <w:rsid w:val="00905623"/>
    <w:rsid w:val="00905A57"/>
    <w:rsid w:val="00905D1C"/>
    <w:rsid w:val="0090651D"/>
    <w:rsid w:val="009070FF"/>
    <w:rsid w:val="00907A00"/>
    <w:rsid w:val="00910E78"/>
    <w:rsid w:val="00911668"/>
    <w:rsid w:val="00911897"/>
    <w:rsid w:val="00911D20"/>
    <w:rsid w:val="009131CD"/>
    <w:rsid w:val="00913A26"/>
    <w:rsid w:val="00913B3B"/>
    <w:rsid w:val="00913D18"/>
    <w:rsid w:val="009154E0"/>
    <w:rsid w:val="00915A29"/>
    <w:rsid w:val="00915BB4"/>
    <w:rsid w:val="00915F37"/>
    <w:rsid w:val="00916554"/>
    <w:rsid w:val="009165D6"/>
    <w:rsid w:val="009169CD"/>
    <w:rsid w:val="00916B2B"/>
    <w:rsid w:val="00917B05"/>
    <w:rsid w:val="00917D0B"/>
    <w:rsid w:val="00920523"/>
    <w:rsid w:val="00920934"/>
    <w:rsid w:val="009209D2"/>
    <w:rsid w:val="00920EB6"/>
    <w:rsid w:val="0092176F"/>
    <w:rsid w:val="00922318"/>
    <w:rsid w:val="00922505"/>
    <w:rsid w:val="00922740"/>
    <w:rsid w:val="00922A1A"/>
    <w:rsid w:val="00923841"/>
    <w:rsid w:val="00924A4E"/>
    <w:rsid w:val="00925913"/>
    <w:rsid w:val="009259BB"/>
    <w:rsid w:val="00925D98"/>
    <w:rsid w:val="00926D65"/>
    <w:rsid w:val="00927C3A"/>
    <w:rsid w:val="00927F24"/>
    <w:rsid w:val="00930648"/>
    <w:rsid w:val="00931976"/>
    <w:rsid w:val="00933243"/>
    <w:rsid w:val="00933494"/>
    <w:rsid w:val="009336A4"/>
    <w:rsid w:val="00933BFD"/>
    <w:rsid w:val="009340C4"/>
    <w:rsid w:val="009347A4"/>
    <w:rsid w:val="00934883"/>
    <w:rsid w:val="00936262"/>
    <w:rsid w:val="00936647"/>
    <w:rsid w:val="00937022"/>
    <w:rsid w:val="00937A03"/>
    <w:rsid w:val="00937AE1"/>
    <w:rsid w:val="00937B6E"/>
    <w:rsid w:val="00937C36"/>
    <w:rsid w:val="009402DF"/>
    <w:rsid w:val="00940653"/>
    <w:rsid w:val="0094065F"/>
    <w:rsid w:val="00941F95"/>
    <w:rsid w:val="00942431"/>
    <w:rsid w:val="00942688"/>
    <w:rsid w:val="009432DA"/>
    <w:rsid w:val="0094366E"/>
    <w:rsid w:val="00943E5E"/>
    <w:rsid w:val="00944001"/>
    <w:rsid w:val="00944E83"/>
    <w:rsid w:val="0094502F"/>
    <w:rsid w:val="0094570D"/>
    <w:rsid w:val="00947069"/>
    <w:rsid w:val="00950038"/>
    <w:rsid w:val="00950835"/>
    <w:rsid w:val="00950A3D"/>
    <w:rsid w:val="00951BD4"/>
    <w:rsid w:val="009520A7"/>
    <w:rsid w:val="0095213C"/>
    <w:rsid w:val="00953914"/>
    <w:rsid w:val="00953B2D"/>
    <w:rsid w:val="00954349"/>
    <w:rsid w:val="009547F1"/>
    <w:rsid w:val="00954E25"/>
    <w:rsid w:val="0095511B"/>
    <w:rsid w:val="009555E1"/>
    <w:rsid w:val="009558EE"/>
    <w:rsid w:val="009559F1"/>
    <w:rsid w:val="00956C46"/>
    <w:rsid w:val="00960075"/>
    <w:rsid w:val="00960D88"/>
    <w:rsid w:val="00961674"/>
    <w:rsid w:val="00961BD9"/>
    <w:rsid w:val="00961CEA"/>
    <w:rsid w:val="00962541"/>
    <w:rsid w:val="0096285A"/>
    <w:rsid w:val="0096376F"/>
    <w:rsid w:val="00964021"/>
    <w:rsid w:val="00964A78"/>
    <w:rsid w:val="00964EFA"/>
    <w:rsid w:val="00965756"/>
    <w:rsid w:val="00965D70"/>
    <w:rsid w:val="00967861"/>
    <w:rsid w:val="009708E7"/>
    <w:rsid w:val="00972BD9"/>
    <w:rsid w:val="00972EAE"/>
    <w:rsid w:val="00974343"/>
    <w:rsid w:val="00974356"/>
    <w:rsid w:val="00974618"/>
    <w:rsid w:val="0097485D"/>
    <w:rsid w:val="009749A9"/>
    <w:rsid w:val="00974CB0"/>
    <w:rsid w:val="00974E08"/>
    <w:rsid w:val="009750B2"/>
    <w:rsid w:val="009753AB"/>
    <w:rsid w:val="009771B0"/>
    <w:rsid w:val="00977264"/>
    <w:rsid w:val="009775C9"/>
    <w:rsid w:val="00977F9E"/>
    <w:rsid w:val="0098032C"/>
    <w:rsid w:val="009805D8"/>
    <w:rsid w:val="0098095C"/>
    <w:rsid w:val="009814C2"/>
    <w:rsid w:val="00981F3B"/>
    <w:rsid w:val="00982036"/>
    <w:rsid w:val="00983536"/>
    <w:rsid w:val="009842E4"/>
    <w:rsid w:val="00984AE2"/>
    <w:rsid w:val="00984E6A"/>
    <w:rsid w:val="0098608F"/>
    <w:rsid w:val="00986E0D"/>
    <w:rsid w:val="00990F00"/>
    <w:rsid w:val="00991594"/>
    <w:rsid w:val="009920B5"/>
    <w:rsid w:val="009921BA"/>
    <w:rsid w:val="0099255D"/>
    <w:rsid w:val="00992AAA"/>
    <w:rsid w:val="00993077"/>
    <w:rsid w:val="0099490A"/>
    <w:rsid w:val="009952F3"/>
    <w:rsid w:val="00995D3F"/>
    <w:rsid w:val="00996D13"/>
    <w:rsid w:val="009A107F"/>
    <w:rsid w:val="009A1C46"/>
    <w:rsid w:val="009A1CB1"/>
    <w:rsid w:val="009A2775"/>
    <w:rsid w:val="009A33E6"/>
    <w:rsid w:val="009A3E25"/>
    <w:rsid w:val="009A3F4F"/>
    <w:rsid w:val="009A4226"/>
    <w:rsid w:val="009A4FCB"/>
    <w:rsid w:val="009A5128"/>
    <w:rsid w:val="009A5E93"/>
    <w:rsid w:val="009A6A6C"/>
    <w:rsid w:val="009B0467"/>
    <w:rsid w:val="009B08BB"/>
    <w:rsid w:val="009B1227"/>
    <w:rsid w:val="009B25E6"/>
    <w:rsid w:val="009B2954"/>
    <w:rsid w:val="009B4CE8"/>
    <w:rsid w:val="009B524F"/>
    <w:rsid w:val="009B559D"/>
    <w:rsid w:val="009B63C3"/>
    <w:rsid w:val="009B6ACA"/>
    <w:rsid w:val="009B6B51"/>
    <w:rsid w:val="009B7823"/>
    <w:rsid w:val="009B7D00"/>
    <w:rsid w:val="009B7D72"/>
    <w:rsid w:val="009C0488"/>
    <w:rsid w:val="009C0726"/>
    <w:rsid w:val="009C14C3"/>
    <w:rsid w:val="009C15AC"/>
    <w:rsid w:val="009C1BB8"/>
    <w:rsid w:val="009C20BE"/>
    <w:rsid w:val="009C221A"/>
    <w:rsid w:val="009C2504"/>
    <w:rsid w:val="009C253C"/>
    <w:rsid w:val="009C4064"/>
    <w:rsid w:val="009C4BF4"/>
    <w:rsid w:val="009C5BB3"/>
    <w:rsid w:val="009C5C69"/>
    <w:rsid w:val="009C5CA7"/>
    <w:rsid w:val="009C60B2"/>
    <w:rsid w:val="009C6132"/>
    <w:rsid w:val="009C7840"/>
    <w:rsid w:val="009D02A4"/>
    <w:rsid w:val="009D03C6"/>
    <w:rsid w:val="009D0AE9"/>
    <w:rsid w:val="009D0DE0"/>
    <w:rsid w:val="009D3BDA"/>
    <w:rsid w:val="009D461A"/>
    <w:rsid w:val="009D502B"/>
    <w:rsid w:val="009D6749"/>
    <w:rsid w:val="009D6C45"/>
    <w:rsid w:val="009E058B"/>
    <w:rsid w:val="009E0C99"/>
    <w:rsid w:val="009E1636"/>
    <w:rsid w:val="009E1994"/>
    <w:rsid w:val="009E19D8"/>
    <w:rsid w:val="009E1EB2"/>
    <w:rsid w:val="009E55D3"/>
    <w:rsid w:val="009E6071"/>
    <w:rsid w:val="009E70FD"/>
    <w:rsid w:val="009E7690"/>
    <w:rsid w:val="009F12DC"/>
    <w:rsid w:val="009F1347"/>
    <w:rsid w:val="009F1382"/>
    <w:rsid w:val="009F2F01"/>
    <w:rsid w:val="009F3553"/>
    <w:rsid w:val="009F3900"/>
    <w:rsid w:val="009F4784"/>
    <w:rsid w:val="009F4929"/>
    <w:rsid w:val="009F55B0"/>
    <w:rsid w:val="009F566B"/>
    <w:rsid w:val="009F5883"/>
    <w:rsid w:val="009F59A8"/>
    <w:rsid w:val="009F5AC5"/>
    <w:rsid w:val="009F5B49"/>
    <w:rsid w:val="00A00C33"/>
    <w:rsid w:val="00A011D6"/>
    <w:rsid w:val="00A01872"/>
    <w:rsid w:val="00A01EF7"/>
    <w:rsid w:val="00A02EFA"/>
    <w:rsid w:val="00A03113"/>
    <w:rsid w:val="00A03305"/>
    <w:rsid w:val="00A036A0"/>
    <w:rsid w:val="00A03A73"/>
    <w:rsid w:val="00A03D31"/>
    <w:rsid w:val="00A043C2"/>
    <w:rsid w:val="00A04D0A"/>
    <w:rsid w:val="00A0550B"/>
    <w:rsid w:val="00A05B96"/>
    <w:rsid w:val="00A06EE8"/>
    <w:rsid w:val="00A07A8F"/>
    <w:rsid w:val="00A10768"/>
    <w:rsid w:val="00A10CC9"/>
    <w:rsid w:val="00A11238"/>
    <w:rsid w:val="00A11A21"/>
    <w:rsid w:val="00A11AE5"/>
    <w:rsid w:val="00A11FC1"/>
    <w:rsid w:val="00A12137"/>
    <w:rsid w:val="00A1265C"/>
    <w:rsid w:val="00A132E3"/>
    <w:rsid w:val="00A13DAB"/>
    <w:rsid w:val="00A142A0"/>
    <w:rsid w:val="00A14534"/>
    <w:rsid w:val="00A14C93"/>
    <w:rsid w:val="00A15FD1"/>
    <w:rsid w:val="00A16229"/>
    <w:rsid w:val="00A1672F"/>
    <w:rsid w:val="00A173F1"/>
    <w:rsid w:val="00A177C9"/>
    <w:rsid w:val="00A17AF9"/>
    <w:rsid w:val="00A17CA9"/>
    <w:rsid w:val="00A2054C"/>
    <w:rsid w:val="00A20816"/>
    <w:rsid w:val="00A210B1"/>
    <w:rsid w:val="00A21D12"/>
    <w:rsid w:val="00A22BE8"/>
    <w:rsid w:val="00A24EB4"/>
    <w:rsid w:val="00A25037"/>
    <w:rsid w:val="00A25889"/>
    <w:rsid w:val="00A25B52"/>
    <w:rsid w:val="00A32343"/>
    <w:rsid w:val="00A32D04"/>
    <w:rsid w:val="00A32F15"/>
    <w:rsid w:val="00A342E7"/>
    <w:rsid w:val="00A346EB"/>
    <w:rsid w:val="00A35DD8"/>
    <w:rsid w:val="00A36858"/>
    <w:rsid w:val="00A3787D"/>
    <w:rsid w:val="00A37BBA"/>
    <w:rsid w:val="00A42030"/>
    <w:rsid w:val="00A425D6"/>
    <w:rsid w:val="00A42EE0"/>
    <w:rsid w:val="00A439CB"/>
    <w:rsid w:val="00A4436B"/>
    <w:rsid w:val="00A451A9"/>
    <w:rsid w:val="00A45CA8"/>
    <w:rsid w:val="00A464DD"/>
    <w:rsid w:val="00A468B0"/>
    <w:rsid w:val="00A46EAE"/>
    <w:rsid w:val="00A47816"/>
    <w:rsid w:val="00A47A17"/>
    <w:rsid w:val="00A50985"/>
    <w:rsid w:val="00A509FD"/>
    <w:rsid w:val="00A5127D"/>
    <w:rsid w:val="00A51332"/>
    <w:rsid w:val="00A515A0"/>
    <w:rsid w:val="00A51726"/>
    <w:rsid w:val="00A51B9F"/>
    <w:rsid w:val="00A52F42"/>
    <w:rsid w:val="00A5326A"/>
    <w:rsid w:val="00A53AFE"/>
    <w:rsid w:val="00A54487"/>
    <w:rsid w:val="00A551B7"/>
    <w:rsid w:val="00A557A4"/>
    <w:rsid w:val="00A55D8E"/>
    <w:rsid w:val="00A5606D"/>
    <w:rsid w:val="00A5658C"/>
    <w:rsid w:val="00A56703"/>
    <w:rsid w:val="00A56C7A"/>
    <w:rsid w:val="00A56CDD"/>
    <w:rsid w:val="00A5716C"/>
    <w:rsid w:val="00A60202"/>
    <w:rsid w:val="00A60434"/>
    <w:rsid w:val="00A6047B"/>
    <w:rsid w:val="00A611A2"/>
    <w:rsid w:val="00A6126A"/>
    <w:rsid w:val="00A612FA"/>
    <w:rsid w:val="00A619CF"/>
    <w:rsid w:val="00A61A25"/>
    <w:rsid w:val="00A6228D"/>
    <w:rsid w:val="00A623A1"/>
    <w:rsid w:val="00A644E9"/>
    <w:rsid w:val="00A647B6"/>
    <w:rsid w:val="00A64AF4"/>
    <w:rsid w:val="00A65356"/>
    <w:rsid w:val="00A65C02"/>
    <w:rsid w:val="00A65D7D"/>
    <w:rsid w:val="00A666F1"/>
    <w:rsid w:val="00A670EF"/>
    <w:rsid w:val="00A67F14"/>
    <w:rsid w:val="00A703C7"/>
    <w:rsid w:val="00A70F9A"/>
    <w:rsid w:val="00A71CF8"/>
    <w:rsid w:val="00A72F1A"/>
    <w:rsid w:val="00A73792"/>
    <w:rsid w:val="00A7382B"/>
    <w:rsid w:val="00A73E82"/>
    <w:rsid w:val="00A7489B"/>
    <w:rsid w:val="00A74D27"/>
    <w:rsid w:val="00A74E2A"/>
    <w:rsid w:val="00A75100"/>
    <w:rsid w:val="00A760C7"/>
    <w:rsid w:val="00A767F3"/>
    <w:rsid w:val="00A76B90"/>
    <w:rsid w:val="00A7706E"/>
    <w:rsid w:val="00A807F8"/>
    <w:rsid w:val="00A8121A"/>
    <w:rsid w:val="00A81825"/>
    <w:rsid w:val="00A818EB"/>
    <w:rsid w:val="00A82042"/>
    <w:rsid w:val="00A8212F"/>
    <w:rsid w:val="00A82EE7"/>
    <w:rsid w:val="00A84031"/>
    <w:rsid w:val="00A84133"/>
    <w:rsid w:val="00A85E7A"/>
    <w:rsid w:val="00A86313"/>
    <w:rsid w:val="00A865A1"/>
    <w:rsid w:val="00A877AC"/>
    <w:rsid w:val="00A879EB"/>
    <w:rsid w:val="00A90020"/>
    <w:rsid w:val="00A91527"/>
    <w:rsid w:val="00A91A28"/>
    <w:rsid w:val="00A91BE0"/>
    <w:rsid w:val="00A93E18"/>
    <w:rsid w:val="00A93F1E"/>
    <w:rsid w:val="00A93FCF"/>
    <w:rsid w:val="00A94D5E"/>
    <w:rsid w:val="00A9533A"/>
    <w:rsid w:val="00A9549D"/>
    <w:rsid w:val="00A960E8"/>
    <w:rsid w:val="00A963B5"/>
    <w:rsid w:val="00A96722"/>
    <w:rsid w:val="00AA0075"/>
    <w:rsid w:val="00AA07CF"/>
    <w:rsid w:val="00AA0F49"/>
    <w:rsid w:val="00AA1F18"/>
    <w:rsid w:val="00AA4E4A"/>
    <w:rsid w:val="00AA5CAF"/>
    <w:rsid w:val="00AA600A"/>
    <w:rsid w:val="00AA66A6"/>
    <w:rsid w:val="00AA6B90"/>
    <w:rsid w:val="00AA7A65"/>
    <w:rsid w:val="00AB0162"/>
    <w:rsid w:val="00AB08F5"/>
    <w:rsid w:val="00AB0C68"/>
    <w:rsid w:val="00AB102B"/>
    <w:rsid w:val="00AB1484"/>
    <w:rsid w:val="00AB1AA5"/>
    <w:rsid w:val="00AB1C39"/>
    <w:rsid w:val="00AB276D"/>
    <w:rsid w:val="00AB309E"/>
    <w:rsid w:val="00AB3D48"/>
    <w:rsid w:val="00AB57E6"/>
    <w:rsid w:val="00AB7694"/>
    <w:rsid w:val="00AB7A64"/>
    <w:rsid w:val="00AB7AA5"/>
    <w:rsid w:val="00AB7ABF"/>
    <w:rsid w:val="00AC07A9"/>
    <w:rsid w:val="00AC37B9"/>
    <w:rsid w:val="00AC3AB5"/>
    <w:rsid w:val="00AC441E"/>
    <w:rsid w:val="00AC44B8"/>
    <w:rsid w:val="00AC4A91"/>
    <w:rsid w:val="00AC578D"/>
    <w:rsid w:val="00AC6857"/>
    <w:rsid w:val="00AC69D8"/>
    <w:rsid w:val="00AC6A17"/>
    <w:rsid w:val="00AC70B9"/>
    <w:rsid w:val="00AD059C"/>
    <w:rsid w:val="00AD07D5"/>
    <w:rsid w:val="00AD0B9B"/>
    <w:rsid w:val="00AD138C"/>
    <w:rsid w:val="00AD14C8"/>
    <w:rsid w:val="00AD1C44"/>
    <w:rsid w:val="00AD1E26"/>
    <w:rsid w:val="00AD2052"/>
    <w:rsid w:val="00AD2B76"/>
    <w:rsid w:val="00AD2E8D"/>
    <w:rsid w:val="00AD2F53"/>
    <w:rsid w:val="00AD3F7C"/>
    <w:rsid w:val="00AD3FB0"/>
    <w:rsid w:val="00AD4556"/>
    <w:rsid w:val="00AD4C2A"/>
    <w:rsid w:val="00AD5E3B"/>
    <w:rsid w:val="00AD66EC"/>
    <w:rsid w:val="00AE0A62"/>
    <w:rsid w:val="00AE0D41"/>
    <w:rsid w:val="00AE16F1"/>
    <w:rsid w:val="00AE24DB"/>
    <w:rsid w:val="00AE2BE7"/>
    <w:rsid w:val="00AE4C13"/>
    <w:rsid w:val="00AE58B2"/>
    <w:rsid w:val="00AE6CD8"/>
    <w:rsid w:val="00AE7890"/>
    <w:rsid w:val="00AF075B"/>
    <w:rsid w:val="00AF095C"/>
    <w:rsid w:val="00AF0A6E"/>
    <w:rsid w:val="00AF12B3"/>
    <w:rsid w:val="00AF2341"/>
    <w:rsid w:val="00AF3516"/>
    <w:rsid w:val="00AF3E16"/>
    <w:rsid w:val="00AF5055"/>
    <w:rsid w:val="00AF5F5E"/>
    <w:rsid w:val="00AF5FB8"/>
    <w:rsid w:val="00AF62A2"/>
    <w:rsid w:val="00AF6BB4"/>
    <w:rsid w:val="00AF7FA6"/>
    <w:rsid w:val="00B00254"/>
    <w:rsid w:val="00B03046"/>
    <w:rsid w:val="00B03409"/>
    <w:rsid w:val="00B04E0D"/>
    <w:rsid w:val="00B050B0"/>
    <w:rsid w:val="00B06389"/>
    <w:rsid w:val="00B066CC"/>
    <w:rsid w:val="00B06D40"/>
    <w:rsid w:val="00B06F33"/>
    <w:rsid w:val="00B077D0"/>
    <w:rsid w:val="00B07A68"/>
    <w:rsid w:val="00B10200"/>
    <w:rsid w:val="00B10690"/>
    <w:rsid w:val="00B10D0D"/>
    <w:rsid w:val="00B11780"/>
    <w:rsid w:val="00B128A7"/>
    <w:rsid w:val="00B1354B"/>
    <w:rsid w:val="00B13AA0"/>
    <w:rsid w:val="00B155DD"/>
    <w:rsid w:val="00B158ED"/>
    <w:rsid w:val="00B15D90"/>
    <w:rsid w:val="00B16247"/>
    <w:rsid w:val="00B16305"/>
    <w:rsid w:val="00B16C54"/>
    <w:rsid w:val="00B16ED2"/>
    <w:rsid w:val="00B173BF"/>
    <w:rsid w:val="00B17B7D"/>
    <w:rsid w:val="00B205A3"/>
    <w:rsid w:val="00B2242E"/>
    <w:rsid w:val="00B22C68"/>
    <w:rsid w:val="00B22E77"/>
    <w:rsid w:val="00B23D41"/>
    <w:rsid w:val="00B25A82"/>
    <w:rsid w:val="00B26174"/>
    <w:rsid w:val="00B26E94"/>
    <w:rsid w:val="00B2726C"/>
    <w:rsid w:val="00B276E1"/>
    <w:rsid w:val="00B27F7F"/>
    <w:rsid w:val="00B30356"/>
    <w:rsid w:val="00B309D0"/>
    <w:rsid w:val="00B30DE1"/>
    <w:rsid w:val="00B31590"/>
    <w:rsid w:val="00B3170E"/>
    <w:rsid w:val="00B330A4"/>
    <w:rsid w:val="00B3488A"/>
    <w:rsid w:val="00B35481"/>
    <w:rsid w:val="00B3584F"/>
    <w:rsid w:val="00B35935"/>
    <w:rsid w:val="00B35C41"/>
    <w:rsid w:val="00B36802"/>
    <w:rsid w:val="00B37109"/>
    <w:rsid w:val="00B373D0"/>
    <w:rsid w:val="00B37ED8"/>
    <w:rsid w:val="00B40425"/>
    <w:rsid w:val="00B4049B"/>
    <w:rsid w:val="00B40976"/>
    <w:rsid w:val="00B40FFF"/>
    <w:rsid w:val="00B41646"/>
    <w:rsid w:val="00B41B6D"/>
    <w:rsid w:val="00B41C03"/>
    <w:rsid w:val="00B42B05"/>
    <w:rsid w:val="00B4357B"/>
    <w:rsid w:val="00B43E38"/>
    <w:rsid w:val="00B44655"/>
    <w:rsid w:val="00B44F5C"/>
    <w:rsid w:val="00B45A4F"/>
    <w:rsid w:val="00B4652C"/>
    <w:rsid w:val="00B46673"/>
    <w:rsid w:val="00B4676E"/>
    <w:rsid w:val="00B471C5"/>
    <w:rsid w:val="00B47350"/>
    <w:rsid w:val="00B47411"/>
    <w:rsid w:val="00B4782C"/>
    <w:rsid w:val="00B50523"/>
    <w:rsid w:val="00B50A75"/>
    <w:rsid w:val="00B51175"/>
    <w:rsid w:val="00B5166C"/>
    <w:rsid w:val="00B51DD1"/>
    <w:rsid w:val="00B52175"/>
    <w:rsid w:val="00B52B7A"/>
    <w:rsid w:val="00B52FCC"/>
    <w:rsid w:val="00B53022"/>
    <w:rsid w:val="00B532FB"/>
    <w:rsid w:val="00B54294"/>
    <w:rsid w:val="00B55936"/>
    <w:rsid w:val="00B56108"/>
    <w:rsid w:val="00B567F6"/>
    <w:rsid w:val="00B56BBE"/>
    <w:rsid w:val="00B57D60"/>
    <w:rsid w:val="00B600DE"/>
    <w:rsid w:val="00B60690"/>
    <w:rsid w:val="00B6077F"/>
    <w:rsid w:val="00B61859"/>
    <w:rsid w:val="00B63B0D"/>
    <w:rsid w:val="00B63E23"/>
    <w:rsid w:val="00B64B29"/>
    <w:rsid w:val="00B65699"/>
    <w:rsid w:val="00B66656"/>
    <w:rsid w:val="00B67206"/>
    <w:rsid w:val="00B67C12"/>
    <w:rsid w:val="00B701C3"/>
    <w:rsid w:val="00B711E8"/>
    <w:rsid w:val="00B72CA2"/>
    <w:rsid w:val="00B72F20"/>
    <w:rsid w:val="00B73764"/>
    <w:rsid w:val="00B7403F"/>
    <w:rsid w:val="00B74344"/>
    <w:rsid w:val="00B744A7"/>
    <w:rsid w:val="00B745E1"/>
    <w:rsid w:val="00B74789"/>
    <w:rsid w:val="00B74CF8"/>
    <w:rsid w:val="00B74DC6"/>
    <w:rsid w:val="00B76024"/>
    <w:rsid w:val="00B76F67"/>
    <w:rsid w:val="00B76FC2"/>
    <w:rsid w:val="00B77E20"/>
    <w:rsid w:val="00B77F44"/>
    <w:rsid w:val="00B802A8"/>
    <w:rsid w:val="00B8091E"/>
    <w:rsid w:val="00B82FF2"/>
    <w:rsid w:val="00B8411C"/>
    <w:rsid w:val="00B84133"/>
    <w:rsid w:val="00B84CC8"/>
    <w:rsid w:val="00B85556"/>
    <w:rsid w:val="00B86C0C"/>
    <w:rsid w:val="00B86D53"/>
    <w:rsid w:val="00B902E5"/>
    <w:rsid w:val="00B907AB"/>
    <w:rsid w:val="00B915B6"/>
    <w:rsid w:val="00B91E54"/>
    <w:rsid w:val="00B927F7"/>
    <w:rsid w:val="00B93039"/>
    <w:rsid w:val="00B94333"/>
    <w:rsid w:val="00B945F8"/>
    <w:rsid w:val="00B94618"/>
    <w:rsid w:val="00B95776"/>
    <w:rsid w:val="00B959AD"/>
    <w:rsid w:val="00B95BF1"/>
    <w:rsid w:val="00B95CBD"/>
    <w:rsid w:val="00B97713"/>
    <w:rsid w:val="00BA02A9"/>
    <w:rsid w:val="00BA06F3"/>
    <w:rsid w:val="00BA1401"/>
    <w:rsid w:val="00BA198A"/>
    <w:rsid w:val="00BA4131"/>
    <w:rsid w:val="00BA4748"/>
    <w:rsid w:val="00BA4B20"/>
    <w:rsid w:val="00BA5320"/>
    <w:rsid w:val="00BA654E"/>
    <w:rsid w:val="00BA776A"/>
    <w:rsid w:val="00BA7A55"/>
    <w:rsid w:val="00BB17DB"/>
    <w:rsid w:val="00BB277B"/>
    <w:rsid w:val="00BB2CA4"/>
    <w:rsid w:val="00BB2F6D"/>
    <w:rsid w:val="00BB3485"/>
    <w:rsid w:val="00BB3674"/>
    <w:rsid w:val="00BB38B7"/>
    <w:rsid w:val="00BB3940"/>
    <w:rsid w:val="00BB4FEA"/>
    <w:rsid w:val="00BB5AF2"/>
    <w:rsid w:val="00BB5DDE"/>
    <w:rsid w:val="00BB6427"/>
    <w:rsid w:val="00BB706D"/>
    <w:rsid w:val="00BB73F9"/>
    <w:rsid w:val="00BB7700"/>
    <w:rsid w:val="00BB7FE8"/>
    <w:rsid w:val="00BC0657"/>
    <w:rsid w:val="00BC1E0C"/>
    <w:rsid w:val="00BC1E56"/>
    <w:rsid w:val="00BC2A21"/>
    <w:rsid w:val="00BC360C"/>
    <w:rsid w:val="00BC40B2"/>
    <w:rsid w:val="00BC53F8"/>
    <w:rsid w:val="00BC6039"/>
    <w:rsid w:val="00BC6AFD"/>
    <w:rsid w:val="00BC7730"/>
    <w:rsid w:val="00BD00FC"/>
    <w:rsid w:val="00BD0950"/>
    <w:rsid w:val="00BD0A90"/>
    <w:rsid w:val="00BD0DC1"/>
    <w:rsid w:val="00BD10CB"/>
    <w:rsid w:val="00BD2C4E"/>
    <w:rsid w:val="00BD32F8"/>
    <w:rsid w:val="00BD38B2"/>
    <w:rsid w:val="00BD41FE"/>
    <w:rsid w:val="00BD42C3"/>
    <w:rsid w:val="00BD4791"/>
    <w:rsid w:val="00BD4DDB"/>
    <w:rsid w:val="00BD5450"/>
    <w:rsid w:val="00BD560E"/>
    <w:rsid w:val="00BD5629"/>
    <w:rsid w:val="00BD650C"/>
    <w:rsid w:val="00BD6952"/>
    <w:rsid w:val="00BD6B27"/>
    <w:rsid w:val="00BE05D8"/>
    <w:rsid w:val="00BE0BA5"/>
    <w:rsid w:val="00BE1DCC"/>
    <w:rsid w:val="00BE29E8"/>
    <w:rsid w:val="00BE2E62"/>
    <w:rsid w:val="00BE327D"/>
    <w:rsid w:val="00BE40FB"/>
    <w:rsid w:val="00BE47FF"/>
    <w:rsid w:val="00BE5D9C"/>
    <w:rsid w:val="00BE60D6"/>
    <w:rsid w:val="00BE6999"/>
    <w:rsid w:val="00BE72B3"/>
    <w:rsid w:val="00BF05CC"/>
    <w:rsid w:val="00BF09DE"/>
    <w:rsid w:val="00BF0E8E"/>
    <w:rsid w:val="00BF1F96"/>
    <w:rsid w:val="00BF222B"/>
    <w:rsid w:val="00BF2731"/>
    <w:rsid w:val="00BF348A"/>
    <w:rsid w:val="00BF369C"/>
    <w:rsid w:val="00BF3FD5"/>
    <w:rsid w:val="00BF4280"/>
    <w:rsid w:val="00BF50EF"/>
    <w:rsid w:val="00BF5520"/>
    <w:rsid w:val="00BF57A5"/>
    <w:rsid w:val="00BF5A97"/>
    <w:rsid w:val="00BF5FC0"/>
    <w:rsid w:val="00BF7106"/>
    <w:rsid w:val="00BF7250"/>
    <w:rsid w:val="00C00867"/>
    <w:rsid w:val="00C02E65"/>
    <w:rsid w:val="00C036E1"/>
    <w:rsid w:val="00C039EF"/>
    <w:rsid w:val="00C03C38"/>
    <w:rsid w:val="00C05348"/>
    <w:rsid w:val="00C05668"/>
    <w:rsid w:val="00C06DEC"/>
    <w:rsid w:val="00C07472"/>
    <w:rsid w:val="00C07917"/>
    <w:rsid w:val="00C07E17"/>
    <w:rsid w:val="00C102F3"/>
    <w:rsid w:val="00C111CC"/>
    <w:rsid w:val="00C112A2"/>
    <w:rsid w:val="00C11CBF"/>
    <w:rsid w:val="00C128AB"/>
    <w:rsid w:val="00C1297E"/>
    <w:rsid w:val="00C1321D"/>
    <w:rsid w:val="00C13FAE"/>
    <w:rsid w:val="00C143F7"/>
    <w:rsid w:val="00C14597"/>
    <w:rsid w:val="00C14C52"/>
    <w:rsid w:val="00C15079"/>
    <w:rsid w:val="00C15914"/>
    <w:rsid w:val="00C15AFA"/>
    <w:rsid w:val="00C16D69"/>
    <w:rsid w:val="00C178EE"/>
    <w:rsid w:val="00C17AF2"/>
    <w:rsid w:val="00C17E72"/>
    <w:rsid w:val="00C2040E"/>
    <w:rsid w:val="00C20F04"/>
    <w:rsid w:val="00C212BE"/>
    <w:rsid w:val="00C213D0"/>
    <w:rsid w:val="00C21C0A"/>
    <w:rsid w:val="00C221C8"/>
    <w:rsid w:val="00C221F5"/>
    <w:rsid w:val="00C223BC"/>
    <w:rsid w:val="00C23602"/>
    <w:rsid w:val="00C24157"/>
    <w:rsid w:val="00C24A88"/>
    <w:rsid w:val="00C24B2A"/>
    <w:rsid w:val="00C24E47"/>
    <w:rsid w:val="00C24F7B"/>
    <w:rsid w:val="00C2520A"/>
    <w:rsid w:val="00C26346"/>
    <w:rsid w:val="00C26417"/>
    <w:rsid w:val="00C2692A"/>
    <w:rsid w:val="00C274AD"/>
    <w:rsid w:val="00C275C2"/>
    <w:rsid w:val="00C2788A"/>
    <w:rsid w:val="00C27DD0"/>
    <w:rsid w:val="00C30FC3"/>
    <w:rsid w:val="00C3104E"/>
    <w:rsid w:val="00C311AB"/>
    <w:rsid w:val="00C321DA"/>
    <w:rsid w:val="00C3225A"/>
    <w:rsid w:val="00C32FDF"/>
    <w:rsid w:val="00C34003"/>
    <w:rsid w:val="00C345D2"/>
    <w:rsid w:val="00C3487E"/>
    <w:rsid w:val="00C355C2"/>
    <w:rsid w:val="00C364BE"/>
    <w:rsid w:val="00C369EE"/>
    <w:rsid w:val="00C36A7A"/>
    <w:rsid w:val="00C402B9"/>
    <w:rsid w:val="00C403FA"/>
    <w:rsid w:val="00C4187C"/>
    <w:rsid w:val="00C42507"/>
    <w:rsid w:val="00C42E00"/>
    <w:rsid w:val="00C4346C"/>
    <w:rsid w:val="00C440CD"/>
    <w:rsid w:val="00C45436"/>
    <w:rsid w:val="00C45E37"/>
    <w:rsid w:val="00C479A7"/>
    <w:rsid w:val="00C47E24"/>
    <w:rsid w:val="00C50FD5"/>
    <w:rsid w:val="00C5296E"/>
    <w:rsid w:val="00C53967"/>
    <w:rsid w:val="00C53A01"/>
    <w:rsid w:val="00C5511C"/>
    <w:rsid w:val="00C55298"/>
    <w:rsid w:val="00C55517"/>
    <w:rsid w:val="00C558AA"/>
    <w:rsid w:val="00C55CAE"/>
    <w:rsid w:val="00C5680A"/>
    <w:rsid w:val="00C575F1"/>
    <w:rsid w:val="00C578D7"/>
    <w:rsid w:val="00C57A30"/>
    <w:rsid w:val="00C57D74"/>
    <w:rsid w:val="00C57F71"/>
    <w:rsid w:val="00C60355"/>
    <w:rsid w:val="00C625F6"/>
    <w:rsid w:val="00C6471A"/>
    <w:rsid w:val="00C649C2"/>
    <w:rsid w:val="00C64CFF"/>
    <w:rsid w:val="00C65425"/>
    <w:rsid w:val="00C66D38"/>
    <w:rsid w:val="00C66E45"/>
    <w:rsid w:val="00C670F7"/>
    <w:rsid w:val="00C71457"/>
    <w:rsid w:val="00C72608"/>
    <w:rsid w:val="00C72709"/>
    <w:rsid w:val="00C72EB8"/>
    <w:rsid w:val="00C73136"/>
    <w:rsid w:val="00C744F5"/>
    <w:rsid w:val="00C7464B"/>
    <w:rsid w:val="00C7523F"/>
    <w:rsid w:val="00C75F99"/>
    <w:rsid w:val="00C764A9"/>
    <w:rsid w:val="00C7727B"/>
    <w:rsid w:val="00C804B4"/>
    <w:rsid w:val="00C806BF"/>
    <w:rsid w:val="00C806C6"/>
    <w:rsid w:val="00C80A69"/>
    <w:rsid w:val="00C80C60"/>
    <w:rsid w:val="00C815D3"/>
    <w:rsid w:val="00C81F24"/>
    <w:rsid w:val="00C81F4B"/>
    <w:rsid w:val="00C830B3"/>
    <w:rsid w:val="00C83CE2"/>
    <w:rsid w:val="00C849FF"/>
    <w:rsid w:val="00C851AC"/>
    <w:rsid w:val="00C858F2"/>
    <w:rsid w:val="00C85D59"/>
    <w:rsid w:val="00C865E8"/>
    <w:rsid w:val="00C86746"/>
    <w:rsid w:val="00C86B9C"/>
    <w:rsid w:val="00C874DE"/>
    <w:rsid w:val="00C87F9F"/>
    <w:rsid w:val="00C906EB"/>
    <w:rsid w:val="00C90942"/>
    <w:rsid w:val="00C91E01"/>
    <w:rsid w:val="00C92290"/>
    <w:rsid w:val="00C92A77"/>
    <w:rsid w:val="00C933E2"/>
    <w:rsid w:val="00C93482"/>
    <w:rsid w:val="00C95C9D"/>
    <w:rsid w:val="00C967BA"/>
    <w:rsid w:val="00CA0011"/>
    <w:rsid w:val="00CA0114"/>
    <w:rsid w:val="00CA030A"/>
    <w:rsid w:val="00CA03BD"/>
    <w:rsid w:val="00CA089D"/>
    <w:rsid w:val="00CA0FF6"/>
    <w:rsid w:val="00CA125D"/>
    <w:rsid w:val="00CA1791"/>
    <w:rsid w:val="00CA1A41"/>
    <w:rsid w:val="00CA1C0D"/>
    <w:rsid w:val="00CA1D98"/>
    <w:rsid w:val="00CA2388"/>
    <w:rsid w:val="00CA2A9A"/>
    <w:rsid w:val="00CA4013"/>
    <w:rsid w:val="00CA52A3"/>
    <w:rsid w:val="00CA5532"/>
    <w:rsid w:val="00CA58BF"/>
    <w:rsid w:val="00CA5ED2"/>
    <w:rsid w:val="00CA64E4"/>
    <w:rsid w:val="00CA6878"/>
    <w:rsid w:val="00CA797D"/>
    <w:rsid w:val="00CB1960"/>
    <w:rsid w:val="00CB19C1"/>
    <w:rsid w:val="00CB1C8D"/>
    <w:rsid w:val="00CB1C95"/>
    <w:rsid w:val="00CB216E"/>
    <w:rsid w:val="00CB22D1"/>
    <w:rsid w:val="00CB2C56"/>
    <w:rsid w:val="00CB2EF3"/>
    <w:rsid w:val="00CB32A7"/>
    <w:rsid w:val="00CB51A8"/>
    <w:rsid w:val="00CB5505"/>
    <w:rsid w:val="00CB6143"/>
    <w:rsid w:val="00CB6864"/>
    <w:rsid w:val="00CB6C92"/>
    <w:rsid w:val="00CB7DB9"/>
    <w:rsid w:val="00CC0126"/>
    <w:rsid w:val="00CC0240"/>
    <w:rsid w:val="00CC0DFF"/>
    <w:rsid w:val="00CC1B3B"/>
    <w:rsid w:val="00CC2802"/>
    <w:rsid w:val="00CC4909"/>
    <w:rsid w:val="00CC5122"/>
    <w:rsid w:val="00CC6125"/>
    <w:rsid w:val="00CC6F71"/>
    <w:rsid w:val="00CC7E5A"/>
    <w:rsid w:val="00CD0D89"/>
    <w:rsid w:val="00CD2346"/>
    <w:rsid w:val="00CD3237"/>
    <w:rsid w:val="00CD3446"/>
    <w:rsid w:val="00CD5B0F"/>
    <w:rsid w:val="00CD7BE9"/>
    <w:rsid w:val="00CE03C1"/>
    <w:rsid w:val="00CE07DD"/>
    <w:rsid w:val="00CE0BA0"/>
    <w:rsid w:val="00CE1945"/>
    <w:rsid w:val="00CE2ADD"/>
    <w:rsid w:val="00CE5032"/>
    <w:rsid w:val="00CE758F"/>
    <w:rsid w:val="00CE7E18"/>
    <w:rsid w:val="00CF1144"/>
    <w:rsid w:val="00CF2359"/>
    <w:rsid w:val="00CF2930"/>
    <w:rsid w:val="00CF3258"/>
    <w:rsid w:val="00CF3690"/>
    <w:rsid w:val="00CF3F7A"/>
    <w:rsid w:val="00CF491D"/>
    <w:rsid w:val="00CF49A6"/>
    <w:rsid w:val="00CF4B2E"/>
    <w:rsid w:val="00CF4BFE"/>
    <w:rsid w:val="00CF4DEA"/>
    <w:rsid w:val="00CF4EC3"/>
    <w:rsid w:val="00CF6D44"/>
    <w:rsid w:val="00CF7180"/>
    <w:rsid w:val="00CF777D"/>
    <w:rsid w:val="00CF7D86"/>
    <w:rsid w:val="00CF7ECC"/>
    <w:rsid w:val="00D008F9"/>
    <w:rsid w:val="00D00C0E"/>
    <w:rsid w:val="00D0155A"/>
    <w:rsid w:val="00D01623"/>
    <w:rsid w:val="00D01BB0"/>
    <w:rsid w:val="00D01D16"/>
    <w:rsid w:val="00D0233D"/>
    <w:rsid w:val="00D02674"/>
    <w:rsid w:val="00D02ACA"/>
    <w:rsid w:val="00D03EF6"/>
    <w:rsid w:val="00D048E0"/>
    <w:rsid w:val="00D0496E"/>
    <w:rsid w:val="00D053BC"/>
    <w:rsid w:val="00D06148"/>
    <w:rsid w:val="00D06E57"/>
    <w:rsid w:val="00D07C49"/>
    <w:rsid w:val="00D07D37"/>
    <w:rsid w:val="00D119B6"/>
    <w:rsid w:val="00D11CC8"/>
    <w:rsid w:val="00D125F8"/>
    <w:rsid w:val="00D12785"/>
    <w:rsid w:val="00D13A95"/>
    <w:rsid w:val="00D13BFF"/>
    <w:rsid w:val="00D13F10"/>
    <w:rsid w:val="00D14470"/>
    <w:rsid w:val="00D14ECF"/>
    <w:rsid w:val="00D1519F"/>
    <w:rsid w:val="00D15B5D"/>
    <w:rsid w:val="00D16184"/>
    <w:rsid w:val="00D16615"/>
    <w:rsid w:val="00D1713C"/>
    <w:rsid w:val="00D17147"/>
    <w:rsid w:val="00D176BC"/>
    <w:rsid w:val="00D200B3"/>
    <w:rsid w:val="00D20109"/>
    <w:rsid w:val="00D20245"/>
    <w:rsid w:val="00D215E6"/>
    <w:rsid w:val="00D21DC6"/>
    <w:rsid w:val="00D2343A"/>
    <w:rsid w:val="00D23832"/>
    <w:rsid w:val="00D24E0A"/>
    <w:rsid w:val="00D24E13"/>
    <w:rsid w:val="00D25260"/>
    <w:rsid w:val="00D262C8"/>
    <w:rsid w:val="00D26C5B"/>
    <w:rsid w:val="00D2731A"/>
    <w:rsid w:val="00D27DEA"/>
    <w:rsid w:val="00D30629"/>
    <w:rsid w:val="00D30CD9"/>
    <w:rsid w:val="00D30D90"/>
    <w:rsid w:val="00D3112A"/>
    <w:rsid w:val="00D31641"/>
    <w:rsid w:val="00D31FAF"/>
    <w:rsid w:val="00D31FC1"/>
    <w:rsid w:val="00D33333"/>
    <w:rsid w:val="00D33B21"/>
    <w:rsid w:val="00D33BA7"/>
    <w:rsid w:val="00D33C63"/>
    <w:rsid w:val="00D33DA1"/>
    <w:rsid w:val="00D34865"/>
    <w:rsid w:val="00D34D65"/>
    <w:rsid w:val="00D3651F"/>
    <w:rsid w:val="00D37337"/>
    <w:rsid w:val="00D37533"/>
    <w:rsid w:val="00D40088"/>
    <w:rsid w:val="00D41353"/>
    <w:rsid w:val="00D453D7"/>
    <w:rsid w:val="00D45591"/>
    <w:rsid w:val="00D457F6"/>
    <w:rsid w:val="00D45908"/>
    <w:rsid w:val="00D46754"/>
    <w:rsid w:val="00D467E8"/>
    <w:rsid w:val="00D4684D"/>
    <w:rsid w:val="00D46BEB"/>
    <w:rsid w:val="00D47028"/>
    <w:rsid w:val="00D47336"/>
    <w:rsid w:val="00D50719"/>
    <w:rsid w:val="00D50A9D"/>
    <w:rsid w:val="00D50FF5"/>
    <w:rsid w:val="00D51995"/>
    <w:rsid w:val="00D51CF8"/>
    <w:rsid w:val="00D51EFF"/>
    <w:rsid w:val="00D52294"/>
    <w:rsid w:val="00D52DDF"/>
    <w:rsid w:val="00D52E41"/>
    <w:rsid w:val="00D532F8"/>
    <w:rsid w:val="00D53BA7"/>
    <w:rsid w:val="00D53D7C"/>
    <w:rsid w:val="00D5454F"/>
    <w:rsid w:val="00D54655"/>
    <w:rsid w:val="00D55286"/>
    <w:rsid w:val="00D573E1"/>
    <w:rsid w:val="00D57CED"/>
    <w:rsid w:val="00D60D1C"/>
    <w:rsid w:val="00D61431"/>
    <w:rsid w:val="00D619E1"/>
    <w:rsid w:val="00D63D7E"/>
    <w:rsid w:val="00D6453A"/>
    <w:rsid w:val="00D64F07"/>
    <w:rsid w:val="00D64FAB"/>
    <w:rsid w:val="00D65045"/>
    <w:rsid w:val="00D66910"/>
    <w:rsid w:val="00D66C14"/>
    <w:rsid w:val="00D66C8E"/>
    <w:rsid w:val="00D67241"/>
    <w:rsid w:val="00D708F3"/>
    <w:rsid w:val="00D70933"/>
    <w:rsid w:val="00D70EF5"/>
    <w:rsid w:val="00D71387"/>
    <w:rsid w:val="00D7155E"/>
    <w:rsid w:val="00D71744"/>
    <w:rsid w:val="00D7183B"/>
    <w:rsid w:val="00D71B73"/>
    <w:rsid w:val="00D722CF"/>
    <w:rsid w:val="00D7293D"/>
    <w:rsid w:val="00D7363F"/>
    <w:rsid w:val="00D73F43"/>
    <w:rsid w:val="00D746CA"/>
    <w:rsid w:val="00D75AE3"/>
    <w:rsid w:val="00D76586"/>
    <w:rsid w:val="00D76C81"/>
    <w:rsid w:val="00D76F13"/>
    <w:rsid w:val="00D80CBB"/>
    <w:rsid w:val="00D815C2"/>
    <w:rsid w:val="00D818AB"/>
    <w:rsid w:val="00D81ADC"/>
    <w:rsid w:val="00D81ADE"/>
    <w:rsid w:val="00D820A6"/>
    <w:rsid w:val="00D859E3"/>
    <w:rsid w:val="00D86BE3"/>
    <w:rsid w:val="00D87168"/>
    <w:rsid w:val="00D87CA3"/>
    <w:rsid w:val="00D91596"/>
    <w:rsid w:val="00D915C6"/>
    <w:rsid w:val="00D91A89"/>
    <w:rsid w:val="00D91DF4"/>
    <w:rsid w:val="00D92541"/>
    <w:rsid w:val="00D926F3"/>
    <w:rsid w:val="00D93DC9"/>
    <w:rsid w:val="00D94522"/>
    <w:rsid w:val="00D949FD"/>
    <w:rsid w:val="00D95D67"/>
    <w:rsid w:val="00D96F01"/>
    <w:rsid w:val="00D97107"/>
    <w:rsid w:val="00D9711A"/>
    <w:rsid w:val="00DA0054"/>
    <w:rsid w:val="00DA0A86"/>
    <w:rsid w:val="00DA0AFE"/>
    <w:rsid w:val="00DA10ED"/>
    <w:rsid w:val="00DA1EAB"/>
    <w:rsid w:val="00DA2AC1"/>
    <w:rsid w:val="00DA2F85"/>
    <w:rsid w:val="00DA3459"/>
    <w:rsid w:val="00DA4A5D"/>
    <w:rsid w:val="00DA6180"/>
    <w:rsid w:val="00DA698B"/>
    <w:rsid w:val="00DB0635"/>
    <w:rsid w:val="00DB0C6A"/>
    <w:rsid w:val="00DB2611"/>
    <w:rsid w:val="00DB3AFE"/>
    <w:rsid w:val="00DB425A"/>
    <w:rsid w:val="00DB4C01"/>
    <w:rsid w:val="00DB5AD4"/>
    <w:rsid w:val="00DB6234"/>
    <w:rsid w:val="00DB6372"/>
    <w:rsid w:val="00DB6373"/>
    <w:rsid w:val="00DB69AC"/>
    <w:rsid w:val="00DB6BD1"/>
    <w:rsid w:val="00DB7EF1"/>
    <w:rsid w:val="00DB7EFB"/>
    <w:rsid w:val="00DC0933"/>
    <w:rsid w:val="00DC119D"/>
    <w:rsid w:val="00DC2BCB"/>
    <w:rsid w:val="00DC3325"/>
    <w:rsid w:val="00DC4521"/>
    <w:rsid w:val="00DC52F8"/>
    <w:rsid w:val="00DC5F10"/>
    <w:rsid w:val="00DC6565"/>
    <w:rsid w:val="00DC724A"/>
    <w:rsid w:val="00DC74AD"/>
    <w:rsid w:val="00DD170F"/>
    <w:rsid w:val="00DD29F9"/>
    <w:rsid w:val="00DD2C69"/>
    <w:rsid w:val="00DD2D8E"/>
    <w:rsid w:val="00DD2DBB"/>
    <w:rsid w:val="00DD320D"/>
    <w:rsid w:val="00DD3602"/>
    <w:rsid w:val="00DD3D19"/>
    <w:rsid w:val="00DD3F6C"/>
    <w:rsid w:val="00DD4ACE"/>
    <w:rsid w:val="00DD4FDE"/>
    <w:rsid w:val="00DD5353"/>
    <w:rsid w:val="00DD5F36"/>
    <w:rsid w:val="00DD632E"/>
    <w:rsid w:val="00DD6B5D"/>
    <w:rsid w:val="00DD72CB"/>
    <w:rsid w:val="00DD7D0C"/>
    <w:rsid w:val="00DE0471"/>
    <w:rsid w:val="00DE0A9B"/>
    <w:rsid w:val="00DE1FC2"/>
    <w:rsid w:val="00DE22E7"/>
    <w:rsid w:val="00DE2402"/>
    <w:rsid w:val="00DE2E92"/>
    <w:rsid w:val="00DE3522"/>
    <w:rsid w:val="00DE3E13"/>
    <w:rsid w:val="00DE4553"/>
    <w:rsid w:val="00DE45EE"/>
    <w:rsid w:val="00DE4DC2"/>
    <w:rsid w:val="00DE5BB2"/>
    <w:rsid w:val="00DE5FDB"/>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4B4B"/>
    <w:rsid w:val="00DF4C09"/>
    <w:rsid w:val="00DF65ED"/>
    <w:rsid w:val="00DF6AFB"/>
    <w:rsid w:val="00DF6BA3"/>
    <w:rsid w:val="00DF6D58"/>
    <w:rsid w:val="00DF7987"/>
    <w:rsid w:val="00DF79DB"/>
    <w:rsid w:val="00E004D9"/>
    <w:rsid w:val="00E006AC"/>
    <w:rsid w:val="00E00D7C"/>
    <w:rsid w:val="00E015E9"/>
    <w:rsid w:val="00E01672"/>
    <w:rsid w:val="00E025F7"/>
    <w:rsid w:val="00E02B34"/>
    <w:rsid w:val="00E03098"/>
    <w:rsid w:val="00E036A6"/>
    <w:rsid w:val="00E0374D"/>
    <w:rsid w:val="00E041EF"/>
    <w:rsid w:val="00E04BA1"/>
    <w:rsid w:val="00E05434"/>
    <w:rsid w:val="00E05BE2"/>
    <w:rsid w:val="00E05C6E"/>
    <w:rsid w:val="00E0710E"/>
    <w:rsid w:val="00E07937"/>
    <w:rsid w:val="00E100AD"/>
    <w:rsid w:val="00E10626"/>
    <w:rsid w:val="00E10944"/>
    <w:rsid w:val="00E10A3F"/>
    <w:rsid w:val="00E11333"/>
    <w:rsid w:val="00E117E4"/>
    <w:rsid w:val="00E119B4"/>
    <w:rsid w:val="00E11B41"/>
    <w:rsid w:val="00E129FB"/>
    <w:rsid w:val="00E15375"/>
    <w:rsid w:val="00E171A3"/>
    <w:rsid w:val="00E178D4"/>
    <w:rsid w:val="00E20232"/>
    <w:rsid w:val="00E222E7"/>
    <w:rsid w:val="00E22D5F"/>
    <w:rsid w:val="00E23A05"/>
    <w:rsid w:val="00E24EF9"/>
    <w:rsid w:val="00E25EE4"/>
    <w:rsid w:val="00E25FD1"/>
    <w:rsid w:val="00E2622C"/>
    <w:rsid w:val="00E262B1"/>
    <w:rsid w:val="00E26D0E"/>
    <w:rsid w:val="00E31A25"/>
    <w:rsid w:val="00E31B0C"/>
    <w:rsid w:val="00E31C60"/>
    <w:rsid w:val="00E333DF"/>
    <w:rsid w:val="00E342F5"/>
    <w:rsid w:val="00E3495E"/>
    <w:rsid w:val="00E34B78"/>
    <w:rsid w:val="00E34DD0"/>
    <w:rsid w:val="00E34EA7"/>
    <w:rsid w:val="00E354FC"/>
    <w:rsid w:val="00E355F7"/>
    <w:rsid w:val="00E35E91"/>
    <w:rsid w:val="00E367FD"/>
    <w:rsid w:val="00E36D6B"/>
    <w:rsid w:val="00E37A56"/>
    <w:rsid w:val="00E4039C"/>
    <w:rsid w:val="00E40DC9"/>
    <w:rsid w:val="00E413F0"/>
    <w:rsid w:val="00E41D7A"/>
    <w:rsid w:val="00E42FC1"/>
    <w:rsid w:val="00E433DF"/>
    <w:rsid w:val="00E43BEF"/>
    <w:rsid w:val="00E43C5F"/>
    <w:rsid w:val="00E44BDE"/>
    <w:rsid w:val="00E46589"/>
    <w:rsid w:val="00E47323"/>
    <w:rsid w:val="00E500CC"/>
    <w:rsid w:val="00E504BA"/>
    <w:rsid w:val="00E50F76"/>
    <w:rsid w:val="00E51A1F"/>
    <w:rsid w:val="00E51D03"/>
    <w:rsid w:val="00E51F7B"/>
    <w:rsid w:val="00E52627"/>
    <w:rsid w:val="00E52868"/>
    <w:rsid w:val="00E52925"/>
    <w:rsid w:val="00E53EF0"/>
    <w:rsid w:val="00E54164"/>
    <w:rsid w:val="00E54931"/>
    <w:rsid w:val="00E54A5C"/>
    <w:rsid w:val="00E54A8F"/>
    <w:rsid w:val="00E55DB7"/>
    <w:rsid w:val="00E562B3"/>
    <w:rsid w:val="00E5673A"/>
    <w:rsid w:val="00E57C7F"/>
    <w:rsid w:val="00E604BA"/>
    <w:rsid w:val="00E609CA"/>
    <w:rsid w:val="00E613B7"/>
    <w:rsid w:val="00E61CB1"/>
    <w:rsid w:val="00E6300A"/>
    <w:rsid w:val="00E6361C"/>
    <w:rsid w:val="00E63A66"/>
    <w:rsid w:val="00E65108"/>
    <w:rsid w:val="00E718B1"/>
    <w:rsid w:val="00E71BCD"/>
    <w:rsid w:val="00E7201F"/>
    <w:rsid w:val="00E7319E"/>
    <w:rsid w:val="00E745C9"/>
    <w:rsid w:val="00E74C18"/>
    <w:rsid w:val="00E750D9"/>
    <w:rsid w:val="00E75229"/>
    <w:rsid w:val="00E768DE"/>
    <w:rsid w:val="00E779EF"/>
    <w:rsid w:val="00E77BCC"/>
    <w:rsid w:val="00E81E18"/>
    <w:rsid w:val="00E823C4"/>
    <w:rsid w:val="00E82681"/>
    <w:rsid w:val="00E8322D"/>
    <w:rsid w:val="00E83A37"/>
    <w:rsid w:val="00E84762"/>
    <w:rsid w:val="00E84930"/>
    <w:rsid w:val="00E84C2A"/>
    <w:rsid w:val="00E85033"/>
    <w:rsid w:val="00E857C5"/>
    <w:rsid w:val="00E85904"/>
    <w:rsid w:val="00E8590D"/>
    <w:rsid w:val="00E85BBA"/>
    <w:rsid w:val="00E85C57"/>
    <w:rsid w:val="00E874D5"/>
    <w:rsid w:val="00E902C9"/>
    <w:rsid w:val="00E90969"/>
    <w:rsid w:val="00E90DB4"/>
    <w:rsid w:val="00E91D8C"/>
    <w:rsid w:val="00E92083"/>
    <w:rsid w:val="00E93024"/>
    <w:rsid w:val="00E934CA"/>
    <w:rsid w:val="00E9445B"/>
    <w:rsid w:val="00E96040"/>
    <w:rsid w:val="00E974BA"/>
    <w:rsid w:val="00E97FB2"/>
    <w:rsid w:val="00EA02BF"/>
    <w:rsid w:val="00EA07B4"/>
    <w:rsid w:val="00EA0FE4"/>
    <w:rsid w:val="00EA1543"/>
    <w:rsid w:val="00EA1616"/>
    <w:rsid w:val="00EA173A"/>
    <w:rsid w:val="00EA1B4E"/>
    <w:rsid w:val="00EA22A1"/>
    <w:rsid w:val="00EA32AB"/>
    <w:rsid w:val="00EA4403"/>
    <w:rsid w:val="00EA6B87"/>
    <w:rsid w:val="00EA6D0E"/>
    <w:rsid w:val="00EB0520"/>
    <w:rsid w:val="00EB0629"/>
    <w:rsid w:val="00EB0747"/>
    <w:rsid w:val="00EB0781"/>
    <w:rsid w:val="00EB0E52"/>
    <w:rsid w:val="00EB2619"/>
    <w:rsid w:val="00EB2D31"/>
    <w:rsid w:val="00EB3B70"/>
    <w:rsid w:val="00EB4F02"/>
    <w:rsid w:val="00EB5144"/>
    <w:rsid w:val="00EB5D26"/>
    <w:rsid w:val="00EB6619"/>
    <w:rsid w:val="00EB755B"/>
    <w:rsid w:val="00EC0E67"/>
    <w:rsid w:val="00EC1198"/>
    <w:rsid w:val="00EC122A"/>
    <w:rsid w:val="00EC16C9"/>
    <w:rsid w:val="00EC1B45"/>
    <w:rsid w:val="00EC1CC5"/>
    <w:rsid w:val="00EC1D4B"/>
    <w:rsid w:val="00EC23FD"/>
    <w:rsid w:val="00EC27D7"/>
    <w:rsid w:val="00EC3CDD"/>
    <w:rsid w:val="00EC4107"/>
    <w:rsid w:val="00EC68DD"/>
    <w:rsid w:val="00EC695D"/>
    <w:rsid w:val="00EC6E2D"/>
    <w:rsid w:val="00EC7294"/>
    <w:rsid w:val="00EC7419"/>
    <w:rsid w:val="00EC7562"/>
    <w:rsid w:val="00ED050A"/>
    <w:rsid w:val="00ED09D3"/>
    <w:rsid w:val="00ED0D9E"/>
    <w:rsid w:val="00ED0E73"/>
    <w:rsid w:val="00ED0F70"/>
    <w:rsid w:val="00ED1FA1"/>
    <w:rsid w:val="00ED23C1"/>
    <w:rsid w:val="00ED2E76"/>
    <w:rsid w:val="00ED3014"/>
    <w:rsid w:val="00ED31EA"/>
    <w:rsid w:val="00ED3AB6"/>
    <w:rsid w:val="00ED3B1B"/>
    <w:rsid w:val="00ED3C33"/>
    <w:rsid w:val="00ED64B2"/>
    <w:rsid w:val="00ED74DA"/>
    <w:rsid w:val="00ED7F57"/>
    <w:rsid w:val="00EE0722"/>
    <w:rsid w:val="00EE26C4"/>
    <w:rsid w:val="00EE30D3"/>
    <w:rsid w:val="00EE34A0"/>
    <w:rsid w:val="00EE35BB"/>
    <w:rsid w:val="00EE3854"/>
    <w:rsid w:val="00EE39CE"/>
    <w:rsid w:val="00EE3DD6"/>
    <w:rsid w:val="00EE44D9"/>
    <w:rsid w:val="00EE4554"/>
    <w:rsid w:val="00EE48EE"/>
    <w:rsid w:val="00EE4A33"/>
    <w:rsid w:val="00EE4E96"/>
    <w:rsid w:val="00EE4EC6"/>
    <w:rsid w:val="00EE5A04"/>
    <w:rsid w:val="00EE6A20"/>
    <w:rsid w:val="00EE7A11"/>
    <w:rsid w:val="00EF021A"/>
    <w:rsid w:val="00EF0994"/>
    <w:rsid w:val="00EF0AC0"/>
    <w:rsid w:val="00EF100D"/>
    <w:rsid w:val="00EF13B1"/>
    <w:rsid w:val="00EF16DB"/>
    <w:rsid w:val="00EF1DF4"/>
    <w:rsid w:val="00EF1F6C"/>
    <w:rsid w:val="00EF3C92"/>
    <w:rsid w:val="00EF4AB6"/>
    <w:rsid w:val="00EF653A"/>
    <w:rsid w:val="00EF6666"/>
    <w:rsid w:val="00EF6AC5"/>
    <w:rsid w:val="00EF6C54"/>
    <w:rsid w:val="00EF7805"/>
    <w:rsid w:val="00F005B4"/>
    <w:rsid w:val="00F01550"/>
    <w:rsid w:val="00F0175A"/>
    <w:rsid w:val="00F01912"/>
    <w:rsid w:val="00F025BA"/>
    <w:rsid w:val="00F030EA"/>
    <w:rsid w:val="00F03298"/>
    <w:rsid w:val="00F03A2D"/>
    <w:rsid w:val="00F04EF4"/>
    <w:rsid w:val="00F0557C"/>
    <w:rsid w:val="00F05AF7"/>
    <w:rsid w:val="00F06080"/>
    <w:rsid w:val="00F06A09"/>
    <w:rsid w:val="00F07711"/>
    <w:rsid w:val="00F07B5D"/>
    <w:rsid w:val="00F07BC2"/>
    <w:rsid w:val="00F10584"/>
    <w:rsid w:val="00F11094"/>
    <w:rsid w:val="00F11E3E"/>
    <w:rsid w:val="00F124C9"/>
    <w:rsid w:val="00F12DC2"/>
    <w:rsid w:val="00F12F18"/>
    <w:rsid w:val="00F137B5"/>
    <w:rsid w:val="00F14E3F"/>
    <w:rsid w:val="00F1503A"/>
    <w:rsid w:val="00F15C3B"/>
    <w:rsid w:val="00F17BD1"/>
    <w:rsid w:val="00F17C5F"/>
    <w:rsid w:val="00F20332"/>
    <w:rsid w:val="00F2057A"/>
    <w:rsid w:val="00F20D77"/>
    <w:rsid w:val="00F2498E"/>
    <w:rsid w:val="00F24FA5"/>
    <w:rsid w:val="00F25621"/>
    <w:rsid w:val="00F25A80"/>
    <w:rsid w:val="00F26AB5"/>
    <w:rsid w:val="00F313A4"/>
    <w:rsid w:val="00F31F94"/>
    <w:rsid w:val="00F33A7D"/>
    <w:rsid w:val="00F342FC"/>
    <w:rsid w:val="00F35418"/>
    <w:rsid w:val="00F35B0D"/>
    <w:rsid w:val="00F35BC1"/>
    <w:rsid w:val="00F35E85"/>
    <w:rsid w:val="00F36807"/>
    <w:rsid w:val="00F402FF"/>
    <w:rsid w:val="00F40B1F"/>
    <w:rsid w:val="00F40CB5"/>
    <w:rsid w:val="00F415AC"/>
    <w:rsid w:val="00F41C32"/>
    <w:rsid w:val="00F42094"/>
    <w:rsid w:val="00F427E5"/>
    <w:rsid w:val="00F43449"/>
    <w:rsid w:val="00F43C61"/>
    <w:rsid w:val="00F43DC9"/>
    <w:rsid w:val="00F45D8C"/>
    <w:rsid w:val="00F47FB5"/>
    <w:rsid w:val="00F5080B"/>
    <w:rsid w:val="00F50C67"/>
    <w:rsid w:val="00F50F97"/>
    <w:rsid w:val="00F521E0"/>
    <w:rsid w:val="00F52796"/>
    <w:rsid w:val="00F54227"/>
    <w:rsid w:val="00F545DE"/>
    <w:rsid w:val="00F60CAB"/>
    <w:rsid w:val="00F6162F"/>
    <w:rsid w:val="00F63E20"/>
    <w:rsid w:val="00F63EF7"/>
    <w:rsid w:val="00F640E8"/>
    <w:rsid w:val="00F64D88"/>
    <w:rsid w:val="00F651FD"/>
    <w:rsid w:val="00F65587"/>
    <w:rsid w:val="00F65C1D"/>
    <w:rsid w:val="00F676BD"/>
    <w:rsid w:val="00F70C61"/>
    <w:rsid w:val="00F70D6C"/>
    <w:rsid w:val="00F70F9B"/>
    <w:rsid w:val="00F710F5"/>
    <w:rsid w:val="00F71768"/>
    <w:rsid w:val="00F71D26"/>
    <w:rsid w:val="00F71D7D"/>
    <w:rsid w:val="00F72CA7"/>
    <w:rsid w:val="00F730DC"/>
    <w:rsid w:val="00F73342"/>
    <w:rsid w:val="00F74663"/>
    <w:rsid w:val="00F746A0"/>
    <w:rsid w:val="00F74DF3"/>
    <w:rsid w:val="00F75225"/>
    <w:rsid w:val="00F757A6"/>
    <w:rsid w:val="00F769D6"/>
    <w:rsid w:val="00F77138"/>
    <w:rsid w:val="00F771CD"/>
    <w:rsid w:val="00F77D7B"/>
    <w:rsid w:val="00F77F36"/>
    <w:rsid w:val="00F800A1"/>
    <w:rsid w:val="00F802B7"/>
    <w:rsid w:val="00F80EB3"/>
    <w:rsid w:val="00F814D8"/>
    <w:rsid w:val="00F81A8A"/>
    <w:rsid w:val="00F823A7"/>
    <w:rsid w:val="00F839DF"/>
    <w:rsid w:val="00F842F5"/>
    <w:rsid w:val="00F8440A"/>
    <w:rsid w:val="00F8554F"/>
    <w:rsid w:val="00F8648F"/>
    <w:rsid w:val="00F86AD6"/>
    <w:rsid w:val="00F86F04"/>
    <w:rsid w:val="00F911CF"/>
    <w:rsid w:val="00F914D1"/>
    <w:rsid w:val="00F92728"/>
    <w:rsid w:val="00F92FD8"/>
    <w:rsid w:val="00F933BB"/>
    <w:rsid w:val="00F93438"/>
    <w:rsid w:val="00F93C8A"/>
    <w:rsid w:val="00F942CC"/>
    <w:rsid w:val="00F944C0"/>
    <w:rsid w:val="00F9670B"/>
    <w:rsid w:val="00F96C4D"/>
    <w:rsid w:val="00F96C84"/>
    <w:rsid w:val="00F9761F"/>
    <w:rsid w:val="00F978BD"/>
    <w:rsid w:val="00FA046B"/>
    <w:rsid w:val="00FA1E54"/>
    <w:rsid w:val="00FA20E8"/>
    <w:rsid w:val="00FA22D8"/>
    <w:rsid w:val="00FA2FF5"/>
    <w:rsid w:val="00FA3849"/>
    <w:rsid w:val="00FA3FDD"/>
    <w:rsid w:val="00FA49A9"/>
    <w:rsid w:val="00FA5F9C"/>
    <w:rsid w:val="00FA6A0A"/>
    <w:rsid w:val="00FA6F69"/>
    <w:rsid w:val="00FB0274"/>
    <w:rsid w:val="00FB0484"/>
    <w:rsid w:val="00FB09A7"/>
    <w:rsid w:val="00FB0C14"/>
    <w:rsid w:val="00FB1469"/>
    <w:rsid w:val="00FB1C38"/>
    <w:rsid w:val="00FB2501"/>
    <w:rsid w:val="00FB672B"/>
    <w:rsid w:val="00FB68D0"/>
    <w:rsid w:val="00FB7685"/>
    <w:rsid w:val="00FB77B7"/>
    <w:rsid w:val="00FB7A5F"/>
    <w:rsid w:val="00FB7BBF"/>
    <w:rsid w:val="00FB7CB3"/>
    <w:rsid w:val="00FC0E62"/>
    <w:rsid w:val="00FC16B1"/>
    <w:rsid w:val="00FC216C"/>
    <w:rsid w:val="00FC256A"/>
    <w:rsid w:val="00FC268C"/>
    <w:rsid w:val="00FC26CA"/>
    <w:rsid w:val="00FC2F9E"/>
    <w:rsid w:val="00FC3049"/>
    <w:rsid w:val="00FC4AEF"/>
    <w:rsid w:val="00FC4B2C"/>
    <w:rsid w:val="00FC50A5"/>
    <w:rsid w:val="00FC5A2F"/>
    <w:rsid w:val="00FC63D3"/>
    <w:rsid w:val="00FC6557"/>
    <w:rsid w:val="00FC6852"/>
    <w:rsid w:val="00FC6F8D"/>
    <w:rsid w:val="00FC7234"/>
    <w:rsid w:val="00FC7599"/>
    <w:rsid w:val="00FC7A2F"/>
    <w:rsid w:val="00FC7F62"/>
    <w:rsid w:val="00FC7FB4"/>
    <w:rsid w:val="00FD018A"/>
    <w:rsid w:val="00FD0263"/>
    <w:rsid w:val="00FD0663"/>
    <w:rsid w:val="00FD0D65"/>
    <w:rsid w:val="00FD1FC6"/>
    <w:rsid w:val="00FD3666"/>
    <w:rsid w:val="00FD4008"/>
    <w:rsid w:val="00FD459F"/>
    <w:rsid w:val="00FD4624"/>
    <w:rsid w:val="00FD49C2"/>
    <w:rsid w:val="00FD4CAD"/>
    <w:rsid w:val="00FD589C"/>
    <w:rsid w:val="00FD5A00"/>
    <w:rsid w:val="00FD762B"/>
    <w:rsid w:val="00FD79B9"/>
    <w:rsid w:val="00FE0DF6"/>
    <w:rsid w:val="00FE1282"/>
    <w:rsid w:val="00FE1914"/>
    <w:rsid w:val="00FE1C8D"/>
    <w:rsid w:val="00FE1E22"/>
    <w:rsid w:val="00FE3399"/>
    <w:rsid w:val="00FE35E1"/>
    <w:rsid w:val="00FE3A0E"/>
    <w:rsid w:val="00FE5213"/>
    <w:rsid w:val="00FE59D8"/>
    <w:rsid w:val="00FE6160"/>
    <w:rsid w:val="00FE6599"/>
    <w:rsid w:val="00FF01D1"/>
    <w:rsid w:val="00FF021B"/>
    <w:rsid w:val="00FF0471"/>
    <w:rsid w:val="00FF0B18"/>
    <w:rsid w:val="00FF0F3E"/>
    <w:rsid w:val="00FF1063"/>
    <w:rsid w:val="00FF15E6"/>
    <w:rsid w:val="00FF175B"/>
    <w:rsid w:val="00FF1D0E"/>
    <w:rsid w:val="00FF2345"/>
    <w:rsid w:val="00FF2D56"/>
    <w:rsid w:val="00FF2E31"/>
    <w:rsid w:val="00FF2E92"/>
    <w:rsid w:val="00FF333B"/>
    <w:rsid w:val="00FF37E0"/>
    <w:rsid w:val="00FF38B9"/>
    <w:rsid w:val="00FF3FA5"/>
    <w:rsid w:val="00FF6147"/>
    <w:rsid w:val="00FF63F9"/>
    <w:rsid w:val="00FF6CE1"/>
    <w:rsid w:val="00FF6CEA"/>
    <w:rsid w:val="00FF6EAE"/>
    <w:rsid w:val="00FF6F59"/>
    <w:rsid w:val="00FF7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Top of Form" w:uiPriority="0"/>
    <w:lsdException w:name="HTML Bottom of Form" w:uiPriority="0"/>
    <w:lsdException w:name="HTML Acronym" w:uiPriority="0"/>
    <w:lsdException w:name="HTML Cit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uiPriority w:val="9"/>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uiPriority w:val="9"/>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uiPriority w:val="9"/>
    <w:qFormat/>
    <w:rsid w:val="00FC16B1"/>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rPr>
      <w:rFonts w:ascii="Univers (WN)" w:hAnsi="Univers (WN)"/>
      <w:position w:val="4"/>
      <w:sz w:val="16"/>
      <w:u w:val="double"/>
    </w:rPr>
  </w:style>
  <w:style w:type="paragraph" w:styleId="CommentText">
    <w:name w:val="annotation text"/>
    <w:basedOn w:val="FootnoteText"/>
    <w:link w:val="CommentTextChar"/>
    <w:uiPriority w:val="99"/>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Pr>
      <w:sz w:val="22"/>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styleId="FootnoteReference">
    <w:name w:val="footnote reference"/>
    <w:aliases w:val="Style 24,o,fr,Style 17,Style 11,Style 28,Style 8,Style 13,Style 12,Style 15,Style 9,o1,fr1,o2,fr2,o3,fr3,Style 18,(NECG) Footnote Reference,Style 20,Style 7,Style 19"/>
    <w:basedOn w:val="DefaultParagraphFont"/>
    <w:uiPriority w:val="99"/>
    <w:qFormat/>
    <w:rPr>
      <w:position w:val="6"/>
      <w:sz w:val="16"/>
    </w:rPr>
  </w:style>
  <w:style w:type="paragraph" w:styleId="NormalIndent">
    <w:name w:val="Normal Indent"/>
    <w:basedOn w:val="singleblock"/>
    <w:uiPriority w:val="99"/>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 w:val="22"/>
    </w:rPr>
  </w:style>
  <w:style w:type="paragraph" w:styleId="BodyText">
    <w:name w:val="Body Text"/>
    <w:aliases w:val="bt"/>
    <w:basedOn w:val="Normal"/>
    <w:link w:val="BodyTextChar"/>
    <w:uiPriority w:val="99"/>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D41353"/>
    <w:pPr>
      <w:keepNext/>
      <w:keepLines/>
      <w:spacing w:before="120" w:after="120" w:line="480" w:lineRule="auto"/>
    </w:pPr>
    <w:rPr>
      <w:rFonts w:eastAsia="PMingLiU"/>
      <w:b/>
      <w:bCs/>
      <w:szCs w:val="20"/>
    </w:rPr>
  </w:style>
  <w:style w:type="paragraph" w:customStyle="1" w:styleId="answer">
    <w:name w:val="answer"/>
    <w:basedOn w:val="Normal"/>
    <w:link w:val="answerChar"/>
    <w:rsid w:val="00521736"/>
    <w:pPr>
      <w:spacing w:before="120" w:after="120" w:line="480" w:lineRule="auto"/>
      <w:ind w:left="720" w:hanging="720"/>
    </w:pPr>
    <w:rPr>
      <w:rFonts w:eastAsia="PMingLiU"/>
      <w:szCs w:val="20"/>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uiPriority w:val="99"/>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uiPriority w:val="99"/>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uiPriority w:val="99"/>
  </w:style>
  <w:style w:type="paragraph" w:styleId="BodyText3">
    <w:name w:val="Body Text 3"/>
    <w:basedOn w:val="Normal"/>
    <w:link w:val="BodyText3Char"/>
    <w:uiPriority w:val="99"/>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14"/>
      </w:numPr>
      <w:spacing w:after="120"/>
      <w:ind w:right="1440"/>
    </w:pPr>
  </w:style>
  <w:style w:type="character" w:styleId="Strong">
    <w:name w:val="Strong"/>
    <w:basedOn w:val="DefaultParagraphFont"/>
    <w:uiPriority w:val="22"/>
    <w:qFormat/>
    <w:rPr>
      <w:b/>
    </w:r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paragraph" w:styleId="Closing">
    <w:name w:val="Closing"/>
    <w:basedOn w:val="Normal"/>
    <w:link w:val="ClosingChar"/>
    <w:uiPriority w:val="99"/>
    <w:rsid w:val="00CF3F7A"/>
    <w:pPr>
      <w:ind w:left="4320"/>
    </w:pPr>
  </w:style>
  <w:style w:type="paragraph" w:styleId="CommentSubject">
    <w:name w:val="annotation subject"/>
    <w:basedOn w:val="CommentText"/>
    <w:next w:val="CommentText"/>
    <w:link w:val="CommentSubjectChar"/>
    <w:uiPriority w:val="99"/>
    <w:rsid w:val="00CF3F7A"/>
    <w:pPr>
      <w:spacing w:before="0" w:line="480" w:lineRule="atLeast"/>
    </w:pPr>
    <w:rPr>
      <w:b/>
      <w:bCs/>
      <w:sz w:val="20"/>
    </w:rPr>
  </w:style>
  <w:style w:type="paragraph" w:styleId="Date">
    <w:name w:val="Date"/>
    <w:basedOn w:val="Normal"/>
    <w:next w:val="Normal"/>
    <w:link w:val="DateChar"/>
    <w:uiPriority w:val="99"/>
    <w:rsid w:val="00CF3F7A"/>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paragraph" w:styleId="E-mailSignature">
    <w:name w:val="E-mail Signature"/>
    <w:basedOn w:val="Normal"/>
    <w:link w:val="E-mailSignatureChar"/>
    <w:uiPriority w:val="99"/>
    <w:rsid w:val="00CF3F7A"/>
  </w:style>
  <w:style w:type="paragraph" w:styleId="EndnoteText">
    <w:name w:val="endnote text"/>
    <w:basedOn w:val="Normal"/>
    <w:link w:val="EndnoteTextChar"/>
    <w:uiPriority w:val="99"/>
    <w:semiHidden/>
    <w:rsid w:val="00CF3F7A"/>
    <w:rPr>
      <w:sz w:val="20"/>
    </w:rPr>
  </w:style>
  <w:style w:type="paragraph" w:styleId="HTMLAddress">
    <w:name w:val="HTML Address"/>
    <w:basedOn w:val="Normal"/>
    <w:link w:val="HTMLAddressChar"/>
    <w:uiPriority w:val="99"/>
    <w:rsid w:val="00CF3F7A"/>
    <w:rPr>
      <w:i/>
      <w:iCs/>
    </w:rPr>
  </w:style>
  <w:style w:type="paragraph" w:styleId="HTMLPreformatted">
    <w:name w:val="HTML Preformatted"/>
    <w:basedOn w:val="Normal"/>
    <w:link w:val="HTMLPreformattedChar"/>
    <w:uiPriority w:val="99"/>
    <w:rsid w:val="00CF3F7A"/>
    <w:rPr>
      <w:rFonts w:ascii="Courier New" w:hAnsi="Courier New" w:cs="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BF05CC"/>
    <w:pPr>
      <w:spacing w:after="280"/>
      <w:ind w:left="2160" w:right="720" w:hanging="72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5"/>
      </w:numPr>
    </w:pPr>
  </w:style>
  <w:style w:type="paragraph" w:styleId="ListBullet2">
    <w:name w:val="List Bullet 2"/>
    <w:basedOn w:val="Normal"/>
    <w:autoRedefine/>
    <w:uiPriority w:val="99"/>
    <w:rsid w:val="00CF3F7A"/>
    <w:pPr>
      <w:numPr>
        <w:numId w:val="16"/>
      </w:numPr>
    </w:pPr>
  </w:style>
  <w:style w:type="paragraph" w:styleId="ListBullet3">
    <w:name w:val="List Bullet 3"/>
    <w:basedOn w:val="Normal"/>
    <w:autoRedefine/>
    <w:uiPriority w:val="99"/>
    <w:rsid w:val="00CF3F7A"/>
    <w:pPr>
      <w:numPr>
        <w:numId w:val="17"/>
      </w:numPr>
    </w:pPr>
  </w:style>
  <w:style w:type="paragraph" w:styleId="ListBullet4">
    <w:name w:val="List Bullet 4"/>
    <w:basedOn w:val="Normal"/>
    <w:autoRedefine/>
    <w:uiPriority w:val="99"/>
    <w:rsid w:val="00CF3F7A"/>
    <w:pPr>
      <w:numPr>
        <w:numId w:val="18"/>
      </w:numPr>
    </w:pPr>
  </w:style>
  <w:style w:type="paragraph" w:styleId="ListBullet5">
    <w:name w:val="List Bullet 5"/>
    <w:basedOn w:val="Normal"/>
    <w:autoRedefine/>
    <w:uiPriority w:val="99"/>
    <w:rsid w:val="00CF3F7A"/>
    <w:pPr>
      <w:numPr>
        <w:numId w:val="19"/>
      </w:numPr>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numPr>
        <w:numId w:val="20"/>
      </w:numPr>
    </w:pPr>
  </w:style>
  <w:style w:type="paragraph" w:styleId="ListNumber2">
    <w:name w:val="List Number 2"/>
    <w:basedOn w:val="Normal"/>
    <w:uiPriority w:val="99"/>
    <w:rsid w:val="00CF3F7A"/>
    <w:pPr>
      <w:numPr>
        <w:numId w:val="21"/>
      </w:numPr>
    </w:pPr>
  </w:style>
  <w:style w:type="paragraph" w:styleId="ListNumber3">
    <w:name w:val="List Number 3"/>
    <w:basedOn w:val="Normal"/>
    <w:uiPriority w:val="99"/>
    <w:rsid w:val="00CF3F7A"/>
    <w:pPr>
      <w:numPr>
        <w:numId w:val="22"/>
      </w:numPr>
    </w:pPr>
  </w:style>
  <w:style w:type="paragraph" w:styleId="ListNumber4">
    <w:name w:val="List Number 4"/>
    <w:basedOn w:val="Normal"/>
    <w:uiPriority w:val="99"/>
    <w:rsid w:val="00CF3F7A"/>
    <w:pPr>
      <w:numPr>
        <w:numId w:val="23"/>
      </w:numPr>
    </w:pPr>
  </w:style>
  <w:style w:type="paragraph" w:styleId="ListNumber5">
    <w:name w:val="List Number 5"/>
    <w:basedOn w:val="Normal"/>
    <w:uiPriority w:val="99"/>
    <w:rsid w:val="00CF3F7A"/>
    <w:pPr>
      <w:numPr>
        <w:numId w:val="24"/>
      </w:numPr>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paragraph" w:styleId="PlainText">
    <w:name w:val="Plain Text"/>
    <w:basedOn w:val="Normal"/>
    <w:link w:val="PlainTextChar"/>
    <w:uiPriority w:val="99"/>
    <w:rsid w:val="00CF3F7A"/>
    <w:rPr>
      <w:rFonts w:ascii="Courier New" w:hAnsi="Courier New" w:cs="Courier New"/>
      <w:sz w:val="20"/>
    </w:rPr>
  </w:style>
  <w:style w:type="paragraph" w:styleId="Salutation">
    <w:name w:val="Salutation"/>
    <w:basedOn w:val="Normal"/>
    <w:next w:val="Normal"/>
    <w:link w:val="SalutationChar"/>
    <w:uiPriority w:val="99"/>
    <w:rsid w:val="00CF3F7A"/>
  </w:style>
  <w:style w:type="paragraph" w:styleId="Signature">
    <w:name w:val="Signature"/>
    <w:basedOn w:val="Normal"/>
    <w:link w:val="SignatureChar"/>
    <w:uiPriority w:val="99"/>
    <w:rsid w:val="00CF3F7A"/>
    <w:pPr>
      <w:ind w:left="4320"/>
    </w:p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character" w:customStyle="1" w:styleId="Heading1Char">
    <w:name w:val="Heading 1 Char"/>
    <w:aliases w:val="h1 Char"/>
    <w:basedOn w:val="singleChar"/>
    <w:link w:val="Heading1"/>
    <w:uiPriority w:val="9"/>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uiPriority w:val="9"/>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521736"/>
    <w:rPr>
      <w:rFonts w:ascii="Times New Roman" w:eastAsia="PMingLiU" w:hAnsi="Times New Roman"/>
      <w:sz w:val="24"/>
      <w:lang w:eastAsia="zh-CN"/>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D41353"/>
    <w:rPr>
      <w:rFonts w:ascii="Times New Roman" w:eastAsia="PMingLiU"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uiPriority w:val="9"/>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uiPriority w:val="9"/>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uiPriority w:val="9"/>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uiPriority w:val="9"/>
    <w:rsid w:val="00FC16B1"/>
    <w:rPr>
      <w:rFonts w:ascii="Times New Roman" w:eastAsia="SimSun" w:hAnsi="Times New Roman"/>
      <w:b/>
      <w:snapToGrid w:val="0"/>
      <w:sz w:val="24"/>
      <w:u w:val="single"/>
    </w:rPr>
  </w:style>
  <w:style w:type="character" w:customStyle="1" w:styleId="Heading4Char">
    <w:name w:val="Heading 4 Char"/>
    <w:aliases w:val="h4 Char,h4 + No underline Char"/>
    <w:basedOn w:val="DefaultParagraphFont"/>
    <w:link w:val="Heading4"/>
    <w:uiPriority w:val="9"/>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uiPriority w:val="9"/>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uiPriority w:val="99"/>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uiPriority w:val="99"/>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uiPriority w:val="99"/>
    <w:rsid w:val="00DA0A86"/>
    <w:rPr>
      <w:rFonts w:ascii="CG Times" w:hAnsi="CG Times"/>
      <w:color w:val="0000FF"/>
      <w:sz w:val="24"/>
      <w:szCs w:val="24"/>
    </w:rPr>
  </w:style>
  <w:style w:type="character" w:customStyle="1" w:styleId="BodyText3Char">
    <w:name w:val="Body Text 3 Char"/>
    <w:basedOn w:val="DefaultParagraphFont"/>
    <w:link w:val="BodyText3"/>
    <w:uiPriority w:val="99"/>
    <w:rsid w:val="00DA0A86"/>
    <w:rPr>
      <w:rFonts w:ascii="Times New Roman" w:hAnsi="Times New Roman"/>
      <w:snapToGrid w:val="0"/>
      <w:sz w:val="24"/>
      <w:szCs w:val="24"/>
    </w:rPr>
  </w:style>
  <w:style w:type="character" w:customStyle="1" w:styleId="PlainTextChar">
    <w:name w:val="Plain Text Char"/>
    <w:basedOn w:val="DefaultParagraphFont"/>
    <w:link w:val="PlainText"/>
    <w:uiPriority w:val="99"/>
    <w:rsid w:val="00DA0A86"/>
    <w:rPr>
      <w:rFonts w:ascii="Courier New" w:hAnsi="Courier New" w:cs="Courier New"/>
      <w:szCs w:val="24"/>
    </w:rPr>
  </w:style>
  <w:style w:type="character" w:customStyle="1" w:styleId="BodyTextIndentChar">
    <w:name w:val="Body Text Indent Char"/>
    <w:basedOn w:val="DefaultParagraphFont"/>
    <w:link w:val="BodyTextIndent"/>
    <w:uiPriority w:val="99"/>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uiPriority w:val="99"/>
    <w:rsid w:val="00DA0A86"/>
    <w:rPr>
      <w:rFonts w:ascii="Times New Roman" w:hAnsi="Times New Roman"/>
      <w:sz w:val="24"/>
      <w:szCs w:val="24"/>
    </w:rPr>
  </w:style>
  <w:style w:type="character" w:customStyle="1" w:styleId="FooterChar">
    <w:name w:val="Footer Char"/>
    <w:basedOn w:val="DefaultParagraphFont"/>
    <w:link w:val="Footer"/>
    <w:uiPriority w:val="99"/>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uiPriority w:val="10"/>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uiPriority w:val="99"/>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uiPriority w:val="99"/>
    <w:rsid w:val="00DA0A86"/>
    <w:rPr>
      <w:rFonts w:ascii="Tahoma" w:hAnsi="Tahoma" w:cs="TheSerif 3-Light"/>
      <w:sz w:val="16"/>
      <w:szCs w:val="16"/>
    </w:rPr>
  </w:style>
  <w:style w:type="character" w:customStyle="1" w:styleId="CommentTextChar">
    <w:name w:val="Comment Text Char"/>
    <w:basedOn w:val="DefaultParagraphFont"/>
    <w:link w:val="CommentText"/>
    <w:uiPriority w:val="99"/>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uiPriority w:val="99"/>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styleId="Quote">
    <w:name w:val="Quote"/>
    <w:basedOn w:val="Normal"/>
    <w:next w:val="Normal"/>
    <w:link w:val="QuoteChar"/>
    <w:uiPriority w:val="29"/>
    <w:qFormat/>
    <w:rsid w:val="00BF05CC"/>
    <w:pPr>
      <w:spacing w:after="280"/>
      <w:ind w:left="1440" w:right="720"/>
      <w:jc w:val="both"/>
    </w:pPr>
    <w:rPr>
      <w:iCs/>
      <w:color w:val="000000" w:themeColor="text1"/>
    </w:rPr>
  </w:style>
  <w:style w:type="character" w:customStyle="1" w:styleId="QuoteChar">
    <w:name w:val="Quote Char"/>
    <w:basedOn w:val="DefaultParagraphFont"/>
    <w:link w:val="Quote"/>
    <w:uiPriority w:val="29"/>
    <w:rsid w:val="00BF05CC"/>
    <w:rPr>
      <w:rFonts w:ascii="Times New Roman" w:hAnsi="Times New Roman"/>
      <w:iCs/>
      <w:color w:val="000000" w:themeColor="text1"/>
      <w:sz w:val="24"/>
      <w:szCs w:val="24"/>
    </w:rPr>
  </w:style>
  <w:style w:type="numbering" w:customStyle="1" w:styleId="NoList1">
    <w:name w:val="No List1"/>
    <w:next w:val="NoList"/>
    <w:uiPriority w:val="99"/>
    <w:semiHidden/>
    <w:unhideWhenUsed/>
    <w:rsid w:val="00537488"/>
  </w:style>
  <w:style w:type="character" w:customStyle="1" w:styleId="Heading9Char">
    <w:name w:val="Heading 9 Char"/>
    <w:aliases w:val="h9 Char"/>
    <w:basedOn w:val="DefaultParagraphFont"/>
    <w:link w:val="Heading9"/>
    <w:uiPriority w:val="9"/>
    <w:rsid w:val="00537488"/>
    <w:rPr>
      <w:rFonts w:ascii="Times New Roman" w:eastAsia="SimSun" w:hAnsi="Times New Roman"/>
      <w:b/>
      <w:snapToGrid w:val="0"/>
      <w:sz w:val="24"/>
      <w:u w:val="single"/>
    </w:rPr>
  </w:style>
  <w:style w:type="paragraph" w:customStyle="1" w:styleId="answerFirstline0">
    <w:name w:val="answer + First line:  0&quot;"/>
    <w:basedOn w:val="answer"/>
    <w:rsid w:val="00537488"/>
    <w:pPr>
      <w:ind w:firstLine="0"/>
    </w:pPr>
    <w:rPr>
      <w:rFonts w:ascii="CG Times (WN)" w:hAnsi="CG Times (WN)"/>
    </w:rPr>
  </w:style>
  <w:style w:type="character" w:customStyle="1" w:styleId="Heading1Char1">
    <w:name w:val="Heading 1 Char1"/>
    <w:aliases w:val="h1 Char1"/>
    <w:uiPriority w:val="9"/>
    <w:locked/>
    <w:rsid w:val="00537488"/>
    <w:rPr>
      <w:b/>
      <w:sz w:val="24"/>
      <w:lang w:eastAsia="zh-CN"/>
    </w:rPr>
  </w:style>
  <w:style w:type="character" w:customStyle="1" w:styleId="BodyTextFirstIndentChar">
    <w:name w:val="Body Text First Indent Char"/>
    <w:basedOn w:val="BodyTextChar"/>
    <w:link w:val="BodyTextFirstIndent"/>
    <w:uiPriority w:val="99"/>
    <w:rsid w:val="00537488"/>
    <w:rPr>
      <w:rFonts w:ascii="Times New Roman" w:hAnsi="Times New Roman"/>
      <w:sz w:val="24"/>
      <w:szCs w:val="24"/>
      <w:lang w:val="en-GB"/>
    </w:rPr>
  </w:style>
  <w:style w:type="character" w:customStyle="1" w:styleId="BodyTextFirstIndent2Char">
    <w:name w:val="Body Text First Indent 2 Char"/>
    <w:basedOn w:val="BodyTextIndentChar"/>
    <w:link w:val="BodyTextFirstIndent2"/>
    <w:uiPriority w:val="99"/>
    <w:rsid w:val="00537488"/>
    <w:rPr>
      <w:rFonts w:ascii="Times New Roman" w:hAnsi="Times New Roman"/>
      <w:sz w:val="24"/>
      <w:szCs w:val="24"/>
    </w:rPr>
  </w:style>
  <w:style w:type="character" w:customStyle="1" w:styleId="ClosingChar">
    <w:name w:val="Closing Char"/>
    <w:basedOn w:val="DefaultParagraphFont"/>
    <w:link w:val="Closing"/>
    <w:uiPriority w:val="99"/>
    <w:rsid w:val="00537488"/>
    <w:rPr>
      <w:rFonts w:ascii="Times New Roman" w:hAnsi="Times New Roman"/>
      <w:sz w:val="24"/>
      <w:szCs w:val="24"/>
    </w:rPr>
  </w:style>
  <w:style w:type="character" w:customStyle="1" w:styleId="DateChar">
    <w:name w:val="Date Char"/>
    <w:basedOn w:val="DefaultParagraphFont"/>
    <w:link w:val="Date"/>
    <w:uiPriority w:val="99"/>
    <w:rsid w:val="0053748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37488"/>
    <w:rPr>
      <w:rFonts w:ascii="Tahoma" w:hAnsi="Tahoma" w:cs="Tahoma"/>
      <w:sz w:val="24"/>
      <w:szCs w:val="24"/>
      <w:shd w:val="clear" w:color="auto" w:fill="000080"/>
    </w:rPr>
  </w:style>
  <w:style w:type="character" w:customStyle="1" w:styleId="E-mailSignatureChar">
    <w:name w:val="E-mail Signature Char"/>
    <w:basedOn w:val="DefaultParagraphFont"/>
    <w:link w:val="E-mailSignature"/>
    <w:uiPriority w:val="99"/>
    <w:rsid w:val="00537488"/>
    <w:rPr>
      <w:rFonts w:ascii="Times New Roman" w:hAnsi="Times New Roman"/>
      <w:sz w:val="24"/>
      <w:szCs w:val="24"/>
    </w:rPr>
  </w:style>
  <w:style w:type="character" w:customStyle="1" w:styleId="EndnoteTextChar">
    <w:name w:val="Endnote Text Char"/>
    <w:basedOn w:val="DefaultParagraphFont"/>
    <w:link w:val="EndnoteText"/>
    <w:uiPriority w:val="99"/>
    <w:semiHidden/>
    <w:rsid w:val="00537488"/>
    <w:rPr>
      <w:rFonts w:ascii="Times New Roman" w:hAnsi="Times New Roman"/>
      <w:szCs w:val="24"/>
    </w:rPr>
  </w:style>
  <w:style w:type="character" w:customStyle="1" w:styleId="HTMLAddressChar">
    <w:name w:val="HTML Address Char"/>
    <w:basedOn w:val="DefaultParagraphFont"/>
    <w:link w:val="HTMLAddress"/>
    <w:uiPriority w:val="99"/>
    <w:rsid w:val="00537488"/>
    <w:rPr>
      <w:rFonts w:ascii="Times New Roman" w:hAnsi="Times New Roman"/>
      <w:i/>
      <w:iCs/>
      <w:sz w:val="24"/>
      <w:szCs w:val="24"/>
    </w:rPr>
  </w:style>
  <w:style w:type="character" w:customStyle="1" w:styleId="HTMLPreformattedChar">
    <w:name w:val="HTML Preformatted Char"/>
    <w:basedOn w:val="DefaultParagraphFont"/>
    <w:link w:val="HTMLPreformatted"/>
    <w:uiPriority w:val="99"/>
    <w:rsid w:val="00537488"/>
    <w:rPr>
      <w:rFonts w:ascii="Courier New" w:hAnsi="Courier New" w:cs="Courier New"/>
      <w:szCs w:val="24"/>
    </w:rPr>
  </w:style>
  <w:style w:type="character" w:customStyle="1" w:styleId="MacroTextChar">
    <w:name w:val="Macro Text Char"/>
    <w:basedOn w:val="DefaultParagraphFont"/>
    <w:link w:val="MacroText"/>
    <w:uiPriority w:val="99"/>
    <w:semiHidden/>
    <w:rsid w:val="00537488"/>
    <w:rPr>
      <w:rFonts w:ascii="Courier New" w:hAnsi="Courier New" w:cs="Courier New"/>
      <w:lang w:eastAsia="zh-CN"/>
    </w:rPr>
  </w:style>
  <w:style w:type="character" w:customStyle="1" w:styleId="MessageHeaderChar">
    <w:name w:val="Message Header Char"/>
    <w:basedOn w:val="DefaultParagraphFont"/>
    <w:link w:val="MessageHeader"/>
    <w:uiPriority w:val="99"/>
    <w:rsid w:val="00537488"/>
    <w:rPr>
      <w:rFonts w:ascii="Arial" w:hAnsi="Arial" w:cs="Arial"/>
      <w:sz w:val="24"/>
      <w:szCs w:val="24"/>
      <w:shd w:val="pct20" w:color="auto" w:fill="auto"/>
    </w:rPr>
  </w:style>
  <w:style w:type="character" w:customStyle="1" w:styleId="NoteHeadingChar">
    <w:name w:val="Note Heading Char"/>
    <w:basedOn w:val="DefaultParagraphFont"/>
    <w:link w:val="NoteHeading"/>
    <w:uiPriority w:val="99"/>
    <w:rsid w:val="00537488"/>
    <w:rPr>
      <w:rFonts w:ascii="Times New Roman" w:hAnsi="Times New Roman"/>
      <w:sz w:val="24"/>
      <w:szCs w:val="24"/>
    </w:rPr>
  </w:style>
  <w:style w:type="character" w:customStyle="1" w:styleId="SalutationChar">
    <w:name w:val="Salutation Char"/>
    <w:basedOn w:val="DefaultParagraphFont"/>
    <w:link w:val="Salutation"/>
    <w:uiPriority w:val="99"/>
    <w:rsid w:val="00537488"/>
    <w:rPr>
      <w:rFonts w:ascii="Times New Roman" w:hAnsi="Times New Roman"/>
      <w:sz w:val="24"/>
      <w:szCs w:val="24"/>
    </w:rPr>
  </w:style>
  <w:style w:type="character" w:customStyle="1" w:styleId="SignatureChar">
    <w:name w:val="Signature Char"/>
    <w:basedOn w:val="DefaultParagraphFont"/>
    <w:link w:val="Signature"/>
    <w:uiPriority w:val="99"/>
    <w:rsid w:val="00537488"/>
    <w:rPr>
      <w:rFonts w:ascii="Times New Roman" w:hAnsi="Times New Roman"/>
      <w:sz w:val="24"/>
      <w:szCs w:val="24"/>
    </w:rPr>
  </w:style>
  <w:style w:type="character" w:customStyle="1" w:styleId="SubtitleChar">
    <w:name w:val="Subtitle Char"/>
    <w:basedOn w:val="DefaultParagraphFont"/>
    <w:link w:val="Subtitle"/>
    <w:uiPriority w:val="11"/>
    <w:rsid w:val="00537488"/>
    <w:rPr>
      <w:rFonts w:ascii="Arial" w:hAnsi="Arial" w:cs="Arial"/>
      <w:sz w:val="24"/>
      <w:szCs w:val="24"/>
    </w:rPr>
  </w:style>
  <w:style w:type="table" w:customStyle="1" w:styleId="TableGrid1">
    <w:name w:val="Table Grid1"/>
    <w:basedOn w:val="TableNormal"/>
    <w:next w:val="TableGrid"/>
    <w:uiPriority w:val="59"/>
    <w:rsid w:val="00537488"/>
    <w:pPr>
      <w:spacing w:line="480" w:lineRule="atLeast"/>
      <w:ind w:firstLine="720"/>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 No underline Char1,h4 Char1"/>
    <w:locked/>
    <w:rsid w:val="00537488"/>
    <w:rPr>
      <w:rFonts w:ascii="Times New Roman Bold" w:hAnsi="Times New Roman Bold"/>
      <w:b/>
      <w:sz w:val="24"/>
      <w:u w:val="single"/>
    </w:rPr>
  </w:style>
  <w:style w:type="character" w:customStyle="1" w:styleId="questionChar1">
    <w:name w:val="question Char1"/>
    <w:rsid w:val="00537488"/>
    <w:rPr>
      <w:rFonts w:eastAsia="SimSun"/>
      <w:b/>
      <w:sz w:val="24"/>
      <w:lang w:val="en-US" w:eastAsia="zh-CN"/>
    </w:rPr>
  </w:style>
  <w:style w:type="paragraph" w:customStyle="1" w:styleId="WUTCParagraph">
    <w:name w:val="WUTC Paragraph"/>
    <w:basedOn w:val="Normal"/>
    <w:rsid w:val="00537488"/>
    <w:pPr>
      <w:tabs>
        <w:tab w:val="num" w:pos="0"/>
        <w:tab w:val="left" w:pos="1440"/>
      </w:tabs>
      <w:spacing w:line="480" w:lineRule="auto"/>
      <w:ind w:hanging="720"/>
    </w:pPr>
    <w:rPr>
      <w:rFonts w:eastAsia="SimSun"/>
    </w:rPr>
  </w:style>
  <w:style w:type="paragraph" w:customStyle="1" w:styleId="StyleArialLinespacingDouble">
    <w:name w:val="Style Arial Line spacing:  Double"/>
    <w:basedOn w:val="Normal"/>
    <w:rsid w:val="00537488"/>
    <w:pPr>
      <w:spacing w:line="480" w:lineRule="auto"/>
    </w:pPr>
    <w:rPr>
      <w:rFonts w:ascii="Arial" w:eastAsia="SimSun" w:hAnsi="Arial"/>
      <w:sz w:val="22"/>
      <w:szCs w:val="20"/>
    </w:rPr>
  </w:style>
  <w:style w:type="paragraph" w:customStyle="1" w:styleId="08WHEBody">
    <w:name w:val="08WHE Body"/>
    <w:basedOn w:val="Normal"/>
    <w:link w:val="08WHEBodyChar"/>
    <w:rsid w:val="00537488"/>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37488"/>
    <w:rPr>
      <w:rFonts w:ascii="Arial" w:eastAsia="SimSun" w:hAnsi="Arial"/>
    </w:rPr>
  </w:style>
  <w:style w:type="character" w:customStyle="1" w:styleId="StyleArial115pt">
    <w:name w:val="Style Arial 11.5 pt"/>
    <w:rsid w:val="00537488"/>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37488"/>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37488"/>
    <w:rPr>
      <w:rFonts w:ascii="Arial" w:eastAsia="SimSun" w:hAnsi="Arial"/>
    </w:rPr>
  </w:style>
  <w:style w:type="paragraph" w:customStyle="1" w:styleId="Style08WHEbulletsimple12ptAfter6ptLinespacing15">
    <w:name w:val="Style 08WHE bullet simple + 12 pt After:  6 pt Line spacing:  1.5..."/>
    <w:basedOn w:val="Normal"/>
    <w:rsid w:val="00537488"/>
    <w:pPr>
      <w:tabs>
        <w:tab w:val="num" w:pos="720"/>
      </w:tabs>
      <w:spacing w:after="120" w:line="360" w:lineRule="auto"/>
      <w:ind w:left="720" w:hanging="360"/>
      <w:jc w:val="both"/>
    </w:pPr>
    <w:rPr>
      <w:rFonts w:ascii="Arial" w:eastAsia="SimSun" w:hAnsi="Arial"/>
      <w:sz w:val="22"/>
      <w:szCs w:val="20"/>
    </w:rPr>
  </w:style>
  <w:style w:type="paragraph" w:customStyle="1" w:styleId="Head1">
    <w:name w:val="Head1"/>
    <w:basedOn w:val="Normal"/>
    <w:rsid w:val="00537488"/>
    <w:pPr>
      <w:tabs>
        <w:tab w:val="num" w:pos="360"/>
        <w:tab w:val="num" w:pos="720"/>
      </w:tabs>
      <w:ind w:left="720" w:hanging="360"/>
    </w:pPr>
    <w:rPr>
      <w:rFonts w:eastAsia="SimSun"/>
      <w:b/>
      <w:u w:val="single"/>
    </w:rPr>
  </w:style>
  <w:style w:type="character" w:customStyle="1" w:styleId="h2CharChar1">
    <w:name w:val="h2 Char Char1"/>
    <w:rsid w:val="00537488"/>
    <w:rPr>
      <w:rFonts w:ascii="Times New Roman Bold" w:hAnsi="Times New Roman Bold"/>
      <w:sz w:val="24"/>
      <w:u w:val="single"/>
      <w:lang w:val="en-US" w:eastAsia="zh-CN"/>
    </w:rPr>
  </w:style>
  <w:style w:type="paragraph" w:customStyle="1" w:styleId="StyleanswerFirstline0">
    <w:name w:val="Style answer + First line:  0&quot;"/>
    <w:basedOn w:val="answer"/>
    <w:rsid w:val="00537488"/>
    <w:pPr>
      <w:ind w:firstLine="0"/>
    </w:pPr>
    <w:rPr>
      <w:rFonts w:ascii="CG Times (WN)" w:hAnsi="CG Times (WN)"/>
    </w:rPr>
  </w:style>
  <w:style w:type="character" w:customStyle="1" w:styleId="pleading-leftbarChar">
    <w:name w:val="pleading-left bar Char"/>
    <w:link w:val="pleading-leftbar"/>
    <w:locked/>
    <w:rsid w:val="00537488"/>
    <w:rPr>
      <w:rFonts w:ascii="Courier" w:hAnsi="Courier"/>
      <w:sz w:val="24"/>
      <w:lang w:eastAsia="zh-CN"/>
    </w:rPr>
  </w:style>
  <w:style w:type="character" w:customStyle="1" w:styleId="answerChar1">
    <w:name w:val="answer Char1"/>
    <w:uiPriority w:val="99"/>
    <w:rsid w:val="00537488"/>
    <w:rPr>
      <w:rFonts w:eastAsia="SimSun"/>
      <w:sz w:val="24"/>
      <w:lang w:val="en-US" w:eastAsia="zh-CN"/>
    </w:rPr>
  </w:style>
  <w:style w:type="paragraph" w:customStyle="1" w:styleId="TOCHeader">
    <w:name w:val="TOC Header"/>
    <w:basedOn w:val="Normal"/>
    <w:rsid w:val="00537488"/>
    <w:pPr>
      <w:ind w:left="115" w:right="115"/>
      <w:jc w:val="center"/>
    </w:pPr>
    <w:rPr>
      <w:rFonts w:eastAsia="PMingLiU"/>
      <w:szCs w:val="20"/>
    </w:rPr>
  </w:style>
  <w:style w:type="paragraph" w:customStyle="1" w:styleId="08RFPBody">
    <w:name w:val="08RFP Body"/>
    <w:basedOn w:val="Normal"/>
    <w:link w:val="08RFPBodyChar"/>
    <w:rsid w:val="00537488"/>
    <w:pPr>
      <w:spacing w:after="240"/>
    </w:pPr>
    <w:rPr>
      <w:rFonts w:ascii="Arial" w:eastAsia="PMingLiU" w:hAnsi="Arial"/>
      <w:sz w:val="20"/>
      <w:szCs w:val="20"/>
    </w:rPr>
  </w:style>
  <w:style w:type="character" w:customStyle="1" w:styleId="08RFPBodyChar">
    <w:name w:val="08RFP Body Char"/>
    <w:link w:val="08RFPBody"/>
    <w:locked/>
    <w:rsid w:val="00537488"/>
    <w:rPr>
      <w:rFonts w:ascii="Arial" w:eastAsia="PMingLiU" w:hAnsi="Arial"/>
    </w:rPr>
  </w:style>
  <w:style w:type="paragraph" w:customStyle="1" w:styleId="08RFPTableTitle">
    <w:name w:val="08RFP Table Title"/>
    <w:basedOn w:val="Normal"/>
    <w:rsid w:val="00537488"/>
    <w:pPr>
      <w:spacing w:after="120"/>
    </w:pPr>
    <w:rPr>
      <w:rFonts w:ascii="Palatino Linotype" w:eastAsia="PMingLiU" w:hAnsi="Palatino Linotype"/>
      <w:b/>
      <w:sz w:val="28"/>
      <w:szCs w:val="20"/>
    </w:rPr>
  </w:style>
  <w:style w:type="character" w:customStyle="1" w:styleId="08RFPFootnotesChar">
    <w:name w:val="08RFP Footnotes Char"/>
    <w:rsid w:val="00537488"/>
    <w:rPr>
      <w:rFonts w:ascii="Arial" w:hAnsi="Arial"/>
      <w:sz w:val="16"/>
      <w:lang w:val="en-US" w:eastAsia="en-US"/>
    </w:rPr>
  </w:style>
  <w:style w:type="paragraph" w:customStyle="1" w:styleId="IRPpicture">
    <w:name w:val="IRPpicture"/>
    <w:basedOn w:val="Normal"/>
    <w:rsid w:val="00537488"/>
    <w:rPr>
      <w:rFonts w:ascii="Arial MT" w:eastAsia="MS Mincho" w:hAnsi="Arial MT"/>
      <w:sz w:val="16"/>
      <w:szCs w:val="20"/>
      <w:lang w:eastAsia="ja-JP"/>
    </w:rPr>
  </w:style>
  <w:style w:type="paragraph" w:customStyle="1" w:styleId="IRPfiguresub">
    <w:name w:val="IRPfiguresub"/>
    <w:basedOn w:val="BodyText"/>
    <w:rsid w:val="00537488"/>
    <w:pPr>
      <w:spacing w:beforeAutospacing="1" w:afterAutospacing="1"/>
      <w:jc w:val="left"/>
    </w:pPr>
    <w:rPr>
      <w:rFonts w:ascii="Arial" w:eastAsia="PMingLiU" w:hAnsi="Arial"/>
      <w:b/>
      <w:sz w:val="20"/>
      <w:lang w:val="en-US"/>
    </w:rPr>
  </w:style>
  <w:style w:type="paragraph" w:customStyle="1" w:styleId="09ProcessBullets">
    <w:name w:val="09Process_Bullets"/>
    <w:basedOn w:val="Normal"/>
    <w:rsid w:val="00537488"/>
    <w:pPr>
      <w:numPr>
        <w:numId w:val="30"/>
      </w:numPr>
    </w:pPr>
    <w:rPr>
      <w:rFonts w:eastAsia="PMingLiU"/>
      <w:sz w:val="20"/>
      <w:szCs w:val="20"/>
    </w:rPr>
  </w:style>
  <w:style w:type="paragraph" w:customStyle="1" w:styleId="ans">
    <w:name w:val="ans"/>
    <w:basedOn w:val="IRPfiguresub"/>
    <w:rsid w:val="00537488"/>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537488"/>
    <w:rPr>
      <w:rFonts w:eastAsia="SimSun"/>
      <w:b/>
      <w:sz w:val="24"/>
      <w:lang w:val="en-US" w:eastAsia="zh-CN"/>
    </w:rPr>
  </w:style>
  <w:style w:type="paragraph" w:customStyle="1" w:styleId="default0">
    <w:name w:val="default"/>
    <w:basedOn w:val="Normal"/>
    <w:rsid w:val="00537488"/>
    <w:pPr>
      <w:spacing w:before="100" w:beforeAutospacing="1" w:after="100" w:afterAutospacing="1"/>
    </w:pPr>
    <w:rPr>
      <w:rFonts w:eastAsia="PMingLiU"/>
    </w:rPr>
  </w:style>
  <w:style w:type="character" w:styleId="Emphasis">
    <w:name w:val="Emphasis"/>
    <w:uiPriority w:val="20"/>
    <w:qFormat/>
    <w:rsid w:val="00537488"/>
    <w:rPr>
      <w:i/>
    </w:rPr>
  </w:style>
  <w:style w:type="character" w:customStyle="1" w:styleId="questionchar0">
    <w:name w:val="questionchar"/>
    <w:rsid w:val="00537488"/>
  </w:style>
  <w:style w:type="character" w:customStyle="1" w:styleId="searchhighlight2">
    <w:name w:val="searchhighlight2"/>
    <w:rsid w:val="00537488"/>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537488"/>
    <w:rPr>
      <w:sz w:val="22"/>
    </w:rPr>
  </w:style>
  <w:style w:type="character" w:styleId="EndnoteReference">
    <w:name w:val="endnote reference"/>
    <w:uiPriority w:val="99"/>
    <w:rsid w:val="00537488"/>
    <w:rPr>
      <w:vertAlign w:val="superscript"/>
    </w:rPr>
  </w:style>
  <w:style w:type="character" w:customStyle="1" w:styleId="st">
    <w:name w:val="st"/>
    <w:rsid w:val="00537488"/>
  </w:style>
  <w:style w:type="paragraph" w:customStyle="1" w:styleId="08RFPFigureTitle">
    <w:name w:val="08RFP Figure Title"/>
    <w:basedOn w:val="Normal"/>
    <w:link w:val="08RFPFigureTitleChar"/>
    <w:rsid w:val="00537488"/>
    <w:pPr>
      <w:spacing w:after="120"/>
    </w:pPr>
    <w:rPr>
      <w:rFonts w:ascii="Palatino Linotype" w:eastAsia="PMingLiU" w:hAnsi="Palatino Linotype"/>
      <w:b/>
      <w:szCs w:val="20"/>
    </w:rPr>
  </w:style>
  <w:style w:type="character" w:customStyle="1" w:styleId="08RFPFigureTitleChar">
    <w:name w:val="08RFP Figure Title Char"/>
    <w:link w:val="08RFPFigureTitle"/>
    <w:locked/>
    <w:rsid w:val="00537488"/>
    <w:rPr>
      <w:rFonts w:ascii="Palatino Linotype" w:eastAsia="PMingLiU" w:hAnsi="Palatino Linotype"/>
      <w:b/>
      <w:sz w:val="24"/>
    </w:rPr>
  </w:style>
  <w:style w:type="paragraph" w:customStyle="1" w:styleId="08RFPBullet2">
    <w:name w:val="08RFP Bullet 2"/>
    <w:basedOn w:val="Normal"/>
    <w:rsid w:val="00537488"/>
    <w:pPr>
      <w:spacing w:after="60"/>
    </w:pPr>
    <w:rPr>
      <w:rFonts w:ascii="Arial" w:eastAsia="PMingLiU" w:hAnsi="Arial"/>
      <w:sz w:val="20"/>
      <w:szCs w:val="20"/>
    </w:rPr>
  </w:style>
  <w:style w:type="paragraph" w:customStyle="1" w:styleId="11RFPDocBody">
    <w:name w:val="11RFP Doc Body"/>
    <w:basedOn w:val="Normal"/>
    <w:link w:val="11RFPDocBodyCharChar"/>
    <w:rsid w:val="00537488"/>
    <w:pPr>
      <w:spacing w:after="240"/>
      <w:jc w:val="both"/>
    </w:pPr>
    <w:rPr>
      <w:rFonts w:ascii="Arial" w:eastAsia="PMingLiU" w:hAnsi="Arial"/>
      <w:sz w:val="20"/>
      <w:szCs w:val="20"/>
    </w:rPr>
  </w:style>
  <w:style w:type="character" w:customStyle="1" w:styleId="11RFPDocBodyCharChar">
    <w:name w:val="11RFP Doc Body Char Char"/>
    <w:link w:val="11RFPDocBody"/>
    <w:locked/>
    <w:rsid w:val="00537488"/>
    <w:rPr>
      <w:rFonts w:ascii="Arial" w:eastAsia="PMingLiU" w:hAnsi="Arial"/>
    </w:rPr>
  </w:style>
  <w:style w:type="character" w:customStyle="1" w:styleId="CharChar25">
    <w:name w:val="Char Char25"/>
    <w:locked/>
    <w:rsid w:val="00537488"/>
    <w:rPr>
      <w:rFonts w:eastAsia="PMingLiU"/>
      <w:color w:val="000000"/>
      <w:sz w:val="24"/>
      <w:lang w:val="en-US" w:eastAsia="zh-CN"/>
    </w:rPr>
  </w:style>
  <w:style w:type="character" w:customStyle="1" w:styleId="CharChar24">
    <w:name w:val="Char Char24"/>
    <w:locked/>
    <w:rsid w:val="00537488"/>
    <w:rPr>
      <w:rFonts w:eastAsia="PMingLiU"/>
      <w:sz w:val="24"/>
      <w:lang w:val="en-US" w:eastAsia="zh-CN"/>
    </w:rPr>
  </w:style>
  <w:style w:type="character" w:customStyle="1" w:styleId="CharChar23">
    <w:name w:val="Char Char23"/>
    <w:locked/>
    <w:rsid w:val="00537488"/>
    <w:rPr>
      <w:rFonts w:ascii="Arial" w:eastAsia="PMingLiU" w:hAnsi="Arial"/>
      <w:sz w:val="22"/>
      <w:lang w:val="en-US" w:eastAsia="zh-CN"/>
    </w:rPr>
  </w:style>
  <w:style w:type="character" w:customStyle="1" w:styleId="CharChar22">
    <w:name w:val="Char Char22"/>
    <w:locked/>
    <w:rsid w:val="00537488"/>
    <w:rPr>
      <w:rFonts w:ascii="CG Times" w:eastAsia="PMingLiU" w:hAnsi="CG Times"/>
      <w:color w:val="0000FF"/>
      <w:sz w:val="24"/>
      <w:lang w:val="en-US" w:eastAsia="zh-CN"/>
    </w:rPr>
  </w:style>
  <w:style w:type="character" w:customStyle="1" w:styleId="CharChar21">
    <w:name w:val="Char Char21"/>
    <w:locked/>
    <w:rsid w:val="00537488"/>
    <w:rPr>
      <w:rFonts w:ascii="Times" w:eastAsia="PMingLiU" w:hAnsi="Times"/>
      <w:sz w:val="24"/>
      <w:lang w:val="en-US" w:eastAsia="zh-CN"/>
    </w:rPr>
  </w:style>
  <w:style w:type="character" w:customStyle="1" w:styleId="CharChar20">
    <w:name w:val="Char Char20"/>
    <w:locked/>
    <w:rsid w:val="00537488"/>
    <w:rPr>
      <w:rFonts w:eastAsia="PMingLiU"/>
      <w:sz w:val="24"/>
      <w:lang w:val="en-US" w:eastAsia="zh-CN"/>
    </w:rPr>
  </w:style>
  <w:style w:type="character" w:customStyle="1" w:styleId="CharChar19">
    <w:name w:val="Char Char19"/>
    <w:locked/>
    <w:rsid w:val="00537488"/>
    <w:rPr>
      <w:rFonts w:eastAsia="PMingLiU"/>
      <w:snapToGrid w:val="0"/>
      <w:sz w:val="24"/>
      <w:lang w:val="en-US" w:eastAsia="en-US"/>
    </w:rPr>
  </w:style>
  <w:style w:type="character" w:customStyle="1" w:styleId="CharChar17">
    <w:name w:val="Char Char17"/>
    <w:locked/>
    <w:rsid w:val="00537488"/>
    <w:rPr>
      <w:rFonts w:ascii="Arial" w:eastAsia="PMingLiU" w:hAnsi="Arial"/>
      <w:b/>
      <w:kern w:val="28"/>
      <w:sz w:val="32"/>
      <w:lang w:val="en-US" w:eastAsia="zh-CN"/>
    </w:rPr>
  </w:style>
  <w:style w:type="character" w:customStyle="1" w:styleId="CharChar13">
    <w:name w:val="Char Char13"/>
    <w:semiHidden/>
    <w:locked/>
    <w:rsid w:val="00537488"/>
    <w:rPr>
      <w:rFonts w:eastAsia="PMingLiU"/>
      <w:b/>
      <w:lang w:val="en-US" w:eastAsia="zh-CN"/>
    </w:rPr>
  </w:style>
  <w:style w:type="paragraph" w:customStyle="1" w:styleId="Title11">
    <w:name w:val="Title11"/>
    <w:basedOn w:val="center"/>
    <w:rsid w:val="00537488"/>
    <w:pPr>
      <w:keepNext/>
      <w:ind w:left="720" w:right="720"/>
    </w:pPr>
    <w:rPr>
      <w:b/>
      <w:bCs/>
      <w:szCs w:val="20"/>
      <w:lang w:eastAsia="en-US"/>
    </w:rPr>
  </w:style>
  <w:style w:type="character" w:customStyle="1" w:styleId="h2CharChar2">
    <w:name w:val="h2 Char Char2"/>
    <w:rsid w:val="00537488"/>
    <w:rPr>
      <w:rFonts w:eastAsia="PMingLiU"/>
      <w:b/>
      <w:sz w:val="24"/>
      <w:u w:val="single"/>
      <w:lang w:val="en-US" w:eastAsia="zh-CN"/>
    </w:rPr>
  </w:style>
  <w:style w:type="paragraph" w:customStyle="1" w:styleId="11RFPDocFootnotes">
    <w:name w:val="11RFP Doc Footnotes"/>
    <w:basedOn w:val="FootnoteText"/>
    <w:rsid w:val="00537488"/>
    <w:pPr>
      <w:spacing w:before="0" w:line="240" w:lineRule="auto"/>
      <w:ind w:firstLine="0"/>
    </w:pPr>
    <w:rPr>
      <w:rFonts w:ascii="Arial" w:eastAsia="PMingLiU" w:hAnsi="Arial"/>
      <w:sz w:val="16"/>
      <w:szCs w:val="20"/>
      <w:lang w:eastAsia="en-US"/>
    </w:rPr>
  </w:style>
  <w:style w:type="paragraph" w:customStyle="1" w:styleId="11RFPBodyBullet">
    <w:name w:val="11RFP Body Bullet"/>
    <w:basedOn w:val="11RFPDocBody"/>
    <w:rsid w:val="00537488"/>
    <w:pPr>
      <w:numPr>
        <w:numId w:val="32"/>
      </w:numPr>
      <w:ind w:left="0" w:firstLine="0"/>
    </w:pPr>
  </w:style>
  <w:style w:type="paragraph" w:customStyle="1" w:styleId="11RFPFigureHead">
    <w:name w:val="11RFP Figure Head"/>
    <w:basedOn w:val="11RFPDocBody"/>
    <w:rsid w:val="00537488"/>
    <w:pPr>
      <w:jc w:val="center"/>
    </w:pPr>
    <w:rPr>
      <w:b/>
      <w:bCs/>
    </w:rPr>
  </w:style>
  <w:style w:type="paragraph" w:customStyle="1" w:styleId="11RFPDocBodyEmphasis">
    <w:name w:val="11RFP Doc Body Emphasis"/>
    <w:basedOn w:val="11RFPDocBody"/>
    <w:link w:val="11RFPDocBodyEmphasisChar"/>
    <w:rsid w:val="00537488"/>
    <w:rPr>
      <w:b/>
    </w:rPr>
  </w:style>
  <w:style w:type="character" w:customStyle="1" w:styleId="11RFPDocBodyEmphasisChar">
    <w:name w:val="11RFP Doc Body Emphasis Char"/>
    <w:link w:val="11RFPDocBodyEmphasis"/>
    <w:locked/>
    <w:rsid w:val="00537488"/>
    <w:rPr>
      <w:rFonts w:ascii="Arial" w:eastAsia="PMingLiU" w:hAnsi="Arial"/>
      <w:b/>
    </w:rPr>
  </w:style>
  <w:style w:type="paragraph" w:customStyle="1" w:styleId="11RFPDocHead1">
    <w:name w:val="11RFP Doc Head 1"/>
    <w:basedOn w:val="Normal"/>
    <w:next w:val="Normal"/>
    <w:link w:val="11RFPDocHead1CharChar"/>
    <w:rsid w:val="00537488"/>
    <w:pPr>
      <w:spacing w:before="360" w:after="240"/>
    </w:pPr>
    <w:rPr>
      <w:rFonts w:ascii="Palatino Linotype" w:eastAsia="PMingLiU" w:hAnsi="Palatino Linotype"/>
      <w:b/>
      <w:kern w:val="28"/>
      <w:sz w:val="28"/>
      <w:szCs w:val="20"/>
    </w:rPr>
  </w:style>
  <w:style w:type="character" w:customStyle="1" w:styleId="11RFPDocHead1CharChar">
    <w:name w:val="11RFP Doc Head 1 Char Char"/>
    <w:link w:val="11RFPDocHead1"/>
    <w:locked/>
    <w:rsid w:val="00537488"/>
    <w:rPr>
      <w:rFonts w:ascii="Palatino Linotype" w:eastAsia="PMingLiU" w:hAnsi="Palatino Linotype"/>
      <w:b/>
      <w:kern w:val="28"/>
      <w:sz w:val="28"/>
    </w:rPr>
  </w:style>
  <w:style w:type="paragraph" w:customStyle="1" w:styleId="11RFPDocHead2">
    <w:name w:val="11RFP Doc Head 2"/>
    <w:basedOn w:val="11RFPDocBody"/>
    <w:link w:val="11RFPDocHead2Char"/>
    <w:rsid w:val="00537488"/>
    <w:pPr>
      <w:spacing w:before="240"/>
    </w:pPr>
    <w:rPr>
      <w:rFonts w:ascii="Palatino Linotype" w:hAnsi="Palatino Linotype"/>
      <w:b/>
      <w:sz w:val="24"/>
    </w:rPr>
  </w:style>
  <w:style w:type="character" w:customStyle="1" w:styleId="11RFPDocHead2Char">
    <w:name w:val="11RFP Doc Head 2 Char"/>
    <w:link w:val="11RFPDocHead2"/>
    <w:locked/>
    <w:rsid w:val="00537488"/>
    <w:rPr>
      <w:rFonts w:ascii="Palatino Linotype" w:eastAsia="PMingLiU" w:hAnsi="Palatino Linotype"/>
      <w:b/>
      <w:sz w:val="24"/>
    </w:rPr>
  </w:style>
  <w:style w:type="paragraph" w:customStyle="1" w:styleId="08RFPHead1">
    <w:name w:val="08RFP Head 1"/>
    <w:basedOn w:val="Normal"/>
    <w:rsid w:val="00537488"/>
    <w:pPr>
      <w:keepNext/>
      <w:spacing w:before="240" w:after="120"/>
      <w:outlineLvl w:val="0"/>
    </w:pPr>
    <w:rPr>
      <w:rFonts w:ascii="Palatino Linotype" w:eastAsia="PMingLiU" w:hAnsi="Palatino Linotype"/>
      <w:b/>
      <w:bCs/>
      <w:iCs/>
      <w:kern w:val="28"/>
      <w:sz w:val="40"/>
      <w:szCs w:val="20"/>
    </w:rPr>
  </w:style>
  <w:style w:type="character" w:customStyle="1" w:styleId="CharChar10">
    <w:name w:val="Char Char10"/>
    <w:semiHidden/>
    <w:locked/>
    <w:rsid w:val="00537488"/>
    <w:rPr>
      <w:rFonts w:ascii="Times New Roman" w:eastAsia="SimSun" w:hAnsi="Times New Roman"/>
      <w:sz w:val="24"/>
      <w:lang w:val="x-none" w:eastAsia="zh-CN"/>
    </w:rPr>
  </w:style>
  <w:style w:type="character" w:customStyle="1" w:styleId="mctextpopupbodypopup0">
    <w:name w:val="mctextpopupbody_popup_0"/>
    <w:rsid w:val="00537488"/>
    <w:rPr>
      <w:rFonts w:ascii="Verdana" w:hAnsi="Verdana"/>
      <w:color w:val="000000"/>
      <w:sz w:val="19"/>
      <w:bdr w:val="single" w:sz="6" w:space="4" w:color="000000" w:frame="1"/>
      <w:shd w:val="clear" w:color="auto" w:fill="E4E4E4"/>
    </w:rPr>
  </w:style>
  <w:style w:type="character" w:customStyle="1" w:styleId="mctextpopup">
    <w:name w:val="mctextpopup"/>
    <w:rsid w:val="00537488"/>
  </w:style>
  <w:style w:type="paragraph" w:customStyle="1" w:styleId="NestedAnswer">
    <w:name w:val="Nested Answer"/>
    <w:basedOn w:val="answer"/>
    <w:link w:val="NestedAnswerChar"/>
    <w:qFormat/>
    <w:rsid w:val="00240442"/>
    <w:pPr>
      <w:ind w:firstLine="0"/>
    </w:pPr>
  </w:style>
  <w:style w:type="paragraph" w:customStyle="1" w:styleId="answerft0">
    <w:name w:val="answerft:  0&quot;"/>
    <w:aliases w:val="Hanging:  0.5&quot;,Before:  6 pt,After:  6 pt,Line spacing..."/>
    <w:basedOn w:val="Normal"/>
    <w:rsid w:val="0019731E"/>
    <w:pPr>
      <w:spacing w:before="120" w:after="120" w:line="480" w:lineRule="auto"/>
      <w:ind w:left="720" w:hanging="720"/>
    </w:pPr>
    <w:rPr>
      <w:rFonts w:eastAsia="PMingLiU"/>
      <w:szCs w:val="20"/>
      <w:lang w:eastAsia="zh-CN"/>
    </w:rPr>
  </w:style>
  <w:style w:type="character" w:customStyle="1" w:styleId="NestedAnswerChar">
    <w:name w:val="Nested Answer Char"/>
    <w:basedOn w:val="answerChar"/>
    <w:link w:val="NestedAnswer"/>
    <w:rsid w:val="00240442"/>
    <w:rPr>
      <w:rFonts w:ascii="Times New Roman" w:eastAsia="PMingLiU" w:hAnsi="Times New Roman"/>
      <w:sz w:val="24"/>
      <w:lang w:eastAsia="zh-CN"/>
    </w:rPr>
  </w:style>
  <w:style w:type="paragraph" w:customStyle="1" w:styleId="NestedAnswerBefore18pt">
    <w:name w:val="Nested Answer + Before:  18 pt"/>
    <w:basedOn w:val="NestedAnswer"/>
    <w:rsid w:val="00B22E77"/>
    <w:pPr>
      <w:spacing w:before="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Top of Form" w:uiPriority="0"/>
    <w:lsdException w:name="HTML Bottom of Form" w:uiPriority="0"/>
    <w:lsdException w:name="HTML Acronym" w:uiPriority="0"/>
    <w:lsdException w:name="HTML Cit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uiPriority w:val="9"/>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uiPriority w:val="9"/>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uiPriority w:val="9"/>
    <w:qFormat/>
    <w:rsid w:val="00FC16B1"/>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rPr>
      <w:rFonts w:ascii="Univers (WN)" w:hAnsi="Univers (WN)"/>
      <w:position w:val="4"/>
      <w:sz w:val="16"/>
      <w:u w:val="double"/>
    </w:rPr>
  </w:style>
  <w:style w:type="paragraph" w:styleId="CommentText">
    <w:name w:val="annotation text"/>
    <w:basedOn w:val="FootnoteText"/>
    <w:link w:val="CommentTextChar"/>
    <w:uiPriority w:val="99"/>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Pr>
      <w:sz w:val="22"/>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styleId="FootnoteReference">
    <w:name w:val="footnote reference"/>
    <w:aliases w:val="Style 24,o,fr,Style 17,Style 11,Style 28,Style 8,Style 13,Style 12,Style 15,Style 9,o1,fr1,o2,fr2,o3,fr3,Style 18,(NECG) Footnote Reference,Style 20,Style 7,Style 19"/>
    <w:basedOn w:val="DefaultParagraphFont"/>
    <w:uiPriority w:val="99"/>
    <w:qFormat/>
    <w:rPr>
      <w:position w:val="6"/>
      <w:sz w:val="16"/>
    </w:rPr>
  </w:style>
  <w:style w:type="paragraph" w:styleId="NormalIndent">
    <w:name w:val="Normal Indent"/>
    <w:basedOn w:val="singleblock"/>
    <w:uiPriority w:val="99"/>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 w:val="22"/>
    </w:rPr>
  </w:style>
  <w:style w:type="paragraph" w:styleId="BodyText">
    <w:name w:val="Body Text"/>
    <w:aliases w:val="bt"/>
    <w:basedOn w:val="Normal"/>
    <w:link w:val="BodyTextChar"/>
    <w:uiPriority w:val="99"/>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D41353"/>
    <w:pPr>
      <w:keepNext/>
      <w:keepLines/>
      <w:spacing w:before="120" w:after="120" w:line="480" w:lineRule="auto"/>
    </w:pPr>
    <w:rPr>
      <w:rFonts w:eastAsia="PMingLiU"/>
      <w:b/>
      <w:bCs/>
      <w:szCs w:val="20"/>
    </w:rPr>
  </w:style>
  <w:style w:type="paragraph" w:customStyle="1" w:styleId="answer">
    <w:name w:val="answer"/>
    <w:basedOn w:val="Normal"/>
    <w:link w:val="answerChar"/>
    <w:rsid w:val="00521736"/>
    <w:pPr>
      <w:spacing w:before="120" w:after="120" w:line="480" w:lineRule="auto"/>
      <w:ind w:left="720" w:hanging="720"/>
    </w:pPr>
    <w:rPr>
      <w:rFonts w:eastAsia="PMingLiU"/>
      <w:szCs w:val="20"/>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uiPriority w:val="99"/>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uiPriority w:val="99"/>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uiPriority w:val="99"/>
  </w:style>
  <w:style w:type="paragraph" w:styleId="BodyText3">
    <w:name w:val="Body Text 3"/>
    <w:basedOn w:val="Normal"/>
    <w:link w:val="BodyText3Char"/>
    <w:uiPriority w:val="99"/>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14"/>
      </w:numPr>
      <w:spacing w:after="120"/>
      <w:ind w:right="1440"/>
    </w:pPr>
  </w:style>
  <w:style w:type="character" w:styleId="Strong">
    <w:name w:val="Strong"/>
    <w:basedOn w:val="DefaultParagraphFont"/>
    <w:uiPriority w:val="22"/>
    <w:qFormat/>
    <w:rPr>
      <w:b/>
    </w:r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paragraph" w:styleId="Closing">
    <w:name w:val="Closing"/>
    <w:basedOn w:val="Normal"/>
    <w:link w:val="ClosingChar"/>
    <w:uiPriority w:val="99"/>
    <w:rsid w:val="00CF3F7A"/>
    <w:pPr>
      <w:ind w:left="4320"/>
    </w:pPr>
  </w:style>
  <w:style w:type="paragraph" w:styleId="CommentSubject">
    <w:name w:val="annotation subject"/>
    <w:basedOn w:val="CommentText"/>
    <w:next w:val="CommentText"/>
    <w:link w:val="CommentSubjectChar"/>
    <w:uiPriority w:val="99"/>
    <w:rsid w:val="00CF3F7A"/>
    <w:pPr>
      <w:spacing w:before="0" w:line="480" w:lineRule="atLeast"/>
    </w:pPr>
    <w:rPr>
      <w:b/>
      <w:bCs/>
      <w:sz w:val="20"/>
    </w:rPr>
  </w:style>
  <w:style w:type="paragraph" w:styleId="Date">
    <w:name w:val="Date"/>
    <w:basedOn w:val="Normal"/>
    <w:next w:val="Normal"/>
    <w:link w:val="DateChar"/>
    <w:uiPriority w:val="99"/>
    <w:rsid w:val="00CF3F7A"/>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paragraph" w:styleId="E-mailSignature">
    <w:name w:val="E-mail Signature"/>
    <w:basedOn w:val="Normal"/>
    <w:link w:val="E-mailSignatureChar"/>
    <w:uiPriority w:val="99"/>
    <w:rsid w:val="00CF3F7A"/>
  </w:style>
  <w:style w:type="paragraph" w:styleId="EndnoteText">
    <w:name w:val="endnote text"/>
    <w:basedOn w:val="Normal"/>
    <w:link w:val="EndnoteTextChar"/>
    <w:uiPriority w:val="99"/>
    <w:semiHidden/>
    <w:rsid w:val="00CF3F7A"/>
    <w:rPr>
      <w:sz w:val="20"/>
    </w:rPr>
  </w:style>
  <w:style w:type="paragraph" w:styleId="HTMLAddress">
    <w:name w:val="HTML Address"/>
    <w:basedOn w:val="Normal"/>
    <w:link w:val="HTMLAddressChar"/>
    <w:uiPriority w:val="99"/>
    <w:rsid w:val="00CF3F7A"/>
    <w:rPr>
      <w:i/>
      <w:iCs/>
    </w:rPr>
  </w:style>
  <w:style w:type="paragraph" w:styleId="HTMLPreformatted">
    <w:name w:val="HTML Preformatted"/>
    <w:basedOn w:val="Normal"/>
    <w:link w:val="HTMLPreformattedChar"/>
    <w:uiPriority w:val="99"/>
    <w:rsid w:val="00CF3F7A"/>
    <w:rPr>
      <w:rFonts w:ascii="Courier New" w:hAnsi="Courier New" w:cs="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BF05CC"/>
    <w:pPr>
      <w:spacing w:after="280"/>
      <w:ind w:left="2160" w:right="720" w:hanging="72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5"/>
      </w:numPr>
    </w:pPr>
  </w:style>
  <w:style w:type="paragraph" w:styleId="ListBullet2">
    <w:name w:val="List Bullet 2"/>
    <w:basedOn w:val="Normal"/>
    <w:autoRedefine/>
    <w:uiPriority w:val="99"/>
    <w:rsid w:val="00CF3F7A"/>
    <w:pPr>
      <w:numPr>
        <w:numId w:val="16"/>
      </w:numPr>
    </w:pPr>
  </w:style>
  <w:style w:type="paragraph" w:styleId="ListBullet3">
    <w:name w:val="List Bullet 3"/>
    <w:basedOn w:val="Normal"/>
    <w:autoRedefine/>
    <w:uiPriority w:val="99"/>
    <w:rsid w:val="00CF3F7A"/>
    <w:pPr>
      <w:numPr>
        <w:numId w:val="17"/>
      </w:numPr>
    </w:pPr>
  </w:style>
  <w:style w:type="paragraph" w:styleId="ListBullet4">
    <w:name w:val="List Bullet 4"/>
    <w:basedOn w:val="Normal"/>
    <w:autoRedefine/>
    <w:uiPriority w:val="99"/>
    <w:rsid w:val="00CF3F7A"/>
    <w:pPr>
      <w:numPr>
        <w:numId w:val="18"/>
      </w:numPr>
    </w:pPr>
  </w:style>
  <w:style w:type="paragraph" w:styleId="ListBullet5">
    <w:name w:val="List Bullet 5"/>
    <w:basedOn w:val="Normal"/>
    <w:autoRedefine/>
    <w:uiPriority w:val="99"/>
    <w:rsid w:val="00CF3F7A"/>
    <w:pPr>
      <w:numPr>
        <w:numId w:val="19"/>
      </w:numPr>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numPr>
        <w:numId w:val="20"/>
      </w:numPr>
    </w:pPr>
  </w:style>
  <w:style w:type="paragraph" w:styleId="ListNumber2">
    <w:name w:val="List Number 2"/>
    <w:basedOn w:val="Normal"/>
    <w:uiPriority w:val="99"/>
    <w:rsid w:val="00CF3F7A"/>
    <w:pPr>
      <w:numPr>
        <w:numId w:val="21"/>
      </w:numPr>
    </w:pPr>
  </w:style>
  <w:style w:type="paragraph" w:styleId="ListNumber3">
    <w:name w:val="List Number 3"/>
    <w:basedOn w:val="Normal"/>
    <w:uiPriority w:val="99"/>
    <w:rsid w:val="00CF3F7A"/>
    <w:pPr>
      <w:numPr>
        <w:numId w:val="22"/>
      </w:numPr>
    </w:pPr>
  </w:style>
  <w:style w:type="paragraph" w:styleId="ListNumber4">
    <w:name w:val="List Number 4"/>
    <w:basedOn w:val="Normal"/>
    <w:uiPriority w:val="99"/>
    <w:rsid w:val="00CF3F7A"/>
    <w:pPr>
      <w:numPr>
        <w:numId w:val="23"/>
      </w:numPr>
    </w:pPr>
  </w:style>
  <w:style w:type="paragraph" w:styleId="ListNumber5">
    <w:name w:val="List Number 5"/>
    <w:basedOn w:val="Normal"/>
    <w:uiPriority w:val="99"/>
    <w:rsid w:val="00CF3F7A"/>
    <w:pPr>
      <w:numPr>
        <w:numId w:val="24"/>
      </w:numPr>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paragraph" w:styleId="PlainText">
    <w:name w:val="Plain Text"/>
    <w:basedOn w:val="Normal"/>
    <w:link w:val="PlainTextChar"/>
    <w:uiPriority w:val="99"/>
    <w:rsid w:val="00CF3F7A"/>
    <w:rPr>
      <w:rFonts w:ascii="Courier New" w:hAnsi="Courier New" w:cs="Courier New"/>
      <w:sz w:val="20"/>
    </w:rPr>
  </w:style>
  <w:style w:type="paragraph" w:styleId="Salutation">
    <w:name w:val="Salutation"/>
    <w:basedOn w:val="Normal"/>
    <w:next w:val="Normal"/>
    <w:link w:val="SalutationChar"/>
    <w:uiPriority w:val="99"/>
    <w:rsid w:val="00CF3F7A"/>
  </w:style>
  <w:style w:type="paragraph" w:styleId="Signature">
    <w:name w:val="Signature"/>
    <w:basedOn w:val="Normal"/>
    <w:link w:val="SignatureChar"/>
    <w:uiPriority w:val="99"/>
    <w:rsid w:val="00CF3F7A"/>
    <w:pPr>
      <w:ind w:left="4320"/>
    </w:p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character" w:customStyle="1" w:styleId="Heading1Char">
    <w:name w:val="Heading 1 Char"/>
    <w:aliases w:val="h1 Char"/>
    <w:basedOn w:val="singleChar"/>
    <w:link w:val="Heading1"/>
    <w:uiPriority w:val="9"/>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uiPriority w:val="9"/>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521736"/>
    <w:rPr>
      <w:rFonts w:ascii="Times New Roman" w:eastAsia="PMingLiU" w:hAnsi="Times New Roman"/>
      <w:sz w:val="24"/>
      <w:lang w:eastAsia="zh-CN"/>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D41353"/>
    <w:rPr>
      <w:rFonts w:ascii="Times New Roman" w:eastAsia="PMingLiU"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uiPriority w:val="9"/>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uiPriority w:val="9"/>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uiPriority w:val="9"/>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uiPriority w:val="9"/>
    <w:rsid w:val="00FC16B1"/>
    <w:rPr>
      <w:rFonts w:ascii="Times New Roman" w:eastAsia="SimSun" w:hAnsi="Times New Roman"/>
      <w:b/>
      <w:snapToGrid w:val="0"/>
      <w:sz w:val="24"/>
      <w:u w:val="single"/>
    </w:rPr>
  </w:style>
  <w:style w:type="character" w:customStyle="1" w:styleId="Heading4Char">
    <w:name w:val="Heading 4 Char"/>
    <w:aliases w:val="h4 Char,h4 + No underline Char"/>
    <w:basedOn w:val="DefaultParagraphFont"/>
    <w:link w:val="Heading4"/>
    <w:uiPriority w:val="9"/>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uiPriority w:val="9"/>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uiPriority w:val="99"/>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uiPriority w:val="99"/>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uiPriority w:val="99"/>
    <w:rsid w:val="00DA0A86"/>
    <w:rPr>
      <w:rFonts w:ascii="CG Times" w:hAnsi="CG Times"/>
      <w:color w:val="0000FF"/>
      <w:sz w:val="24"/>
      <w:szCs w:val="24"/>
    </w:rPr>
  </w:style>
  <w:style w:type="character" w:customStyle="1" w:styleId="BodyText3Char">
    <w:name w:val="Body Text 3 Char"/>
    <w:basedOn w:val="DefaultParagraphFont"/>
    <w:link w:val="BodyText3"/>
    <w:uiPriority w:val="99"/>
    <w:rsid w:val="00DA0A86"/>
    <w:rPr>
      <w:rFonts w:ascii="Times New Roman" w:hAnsi="Times New Roman"/>
      <w:snapToGrid w:val="0"/>
      <w:sz w:val="24"/>
      <w:szCs w:val="24"/>
    </w:rPr>
  </w:style>
  <w:style w:type="character" w:customStyle="1" w:styleId="PlainTextChar">
    <w:name w:val="Plain Text Char"/>
    <w:basedOn w:val="DefaultParagraphFont"/>
    <w:link w:val="PlainText"/>
    <w:uiPriority w:val="99"/>
    <w:rsid w:val="00DA0A86"/>
    <w:rPr>
      <w:rFonts w:ascii="Courier New" w:hAnsi="Courier New" w:cs="Courier New"/>
      <w:szCs w:val="24"/>
    </w:rPr>
  </w:style>
  <w:style w:type="character" w:customStyle="1" w:styleId="BodyTextIndentChar">
    <w:name w:val="Body Text Indent Char"/>
    <w:basedOn w:val="DefaultParagraphFont"/>
    <w:link w:val="BodyTextIndent"/>
    <w:uiPriority w:val="99"/>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uiPriority w:val="99"/>
    <w:rsid w:val="00DA0A86"/>
    <w:rPr>
      <w:rFonts w:ascii="Times New Roman" w:hAnsi="Times New Roman"/>
      <w:sz w:val="24"/>
      <w:szCs w:val="24"/>
    </w:rPr>
  </w:style>
  <w:style w:type="character" w:customStyle="1" w:styleId="FooterChar">
    <w:name w:val="Footer Char"/>
    <w:basedOn w:val="DefaultParagraphFont"/>
    <w:link w:val="Footer"/>
    <w:uiPriority w:val="99"/>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uiPriority w:val="10"/>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uiPriority w:val="99"/>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uiPriority w:val="99"/>
    <w:rsid w:val="00DA0A86"/>
    <w:rPr>
      <w:rFonts w:ascii="Tahoma" w:hAnsi="Tahoma" w:cs="TheSerif 3-Light"/>
      <w:sz w:val="16"/>
      <w:szCs w:val="16"/>
    </w:rPr>
  </w:style>
  <w:style w:type="character" w:customStyle="1" w:styleId="CommentTextChar">
    <w:name w:val="Comment Text Char"/>
    <w:basedOn w:val="DefaultParagraphFont"/>
    <w:link w:val="CommentText"/>
    <w:uiPriority w:val="99"/>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uiPriority w:val="99"/>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styleId="Quote">
    <w:name w:val="Quote"/>
    <w:basedOn w:val="Normal"/>
    <w:next w:val="Normal"/>
    <w:link w:val="QuoteChar"/>
    <w:uiPriority w:val="29"/>
    <w:qFormat/>
    <w:rsid w:val="00BF05CC"/>
    <w:pPr>
      <w:spacing w:after="280"/>
      <w:ind w:left="1440" w:right="720"/>
      <w:jc w:val="both"/>
    </w:pPr>
    <w:rPr>
      <w:iCs/>
      <w:color w:val="000000" w:themeColor="text1"/>
    </w:rPr>
  </w:style>
  <w:style w:type="character" w:customStyle="1" w:styleId="QuoteChar">
    <w:name w:val="Quote Char"/>
    <w:basedOn w:val="DefaultParagraphFont"/>
    <w:link w:val="Quote"/>
    <w:uiPriority w:val="29"/>
    <w:rsid w:val="00BF05CC"/>
    <w:rPr>
      <w:rFonts w:ascii="Times New Roman" w:hAnsi="Times New Roman"/>
      <w:iCs/>
      <w:color w:val="000000" w:themeColor="text1"/>
      <w:sz w:val="24"/>
      <w:szCs w:val="24"/>
    </w:rPr>
  </w:style>
  <w:style w:type="numbering" w:customStyle="1" w:styleId="NoList1">
    <w:name w:val="No List1"/>
    <w:next w:val="NoList"/>
    <w:uiPriority w:val="99"/>
    <w:semiHidden/>
    <w:unhideWhenUsed/>
    <w:rsid w:val="00537488"/>
  </w:style>
  <w:style w:type="character" w:customStyle="1" w:styleId="Heading9Char">
    <w:name w:val="Heading 9 Char"/>
    <w:aliases w:val="h9 Char"/>
    <w:basedOn w:val="DefaultParagraphFont"/>
    <w:link w:val="Heading9"/>
    <w:uiPriority w:val="9"/>
    <w:rsid w:val="00537488"/>
    <w:rPr>
      <w:rFonts w:ascii="Times New Roman" w:eastAsia="SimSun" w:hAnsi="Times New Roman"/>
      <w:b/>
      <w:snapToGrid w:val="0"/>
      <w:sz w:val="24"/>
      <w:u w:val="single"/>
    </w:rPr>
  </w:style>
  <w:style w:type="paragraph" w:customStyle="1" w:styleId="answerFirstline0">
    <w:name w:val="answer + First line:  0&quot;"/>
    <w:basedOn w:val="answer"/>
    <w:rsid w:val="00537488"/>
    <w:pPr>
      <w:ind w:firstLine="0"/>
    </w:pPr>
    <w:rPr>
      <w:rFonts w:ascii="CG Times (WN)" w:hAnsi="CG Times (WN)"/>
    </w:rPr>
  </w:style>
  <w:style w:type="character" w:customStyle="1" w:styleId="Heading1Char1">
    <w:name w:val="Heading 1 Char1"/>
    <w:aliases w:val="h1 Char1"/>
    <w:uiPriority w:val="9"/>
    <w:locked/>
    <w:rsid w:val="00537488"/>
    <w:rPr>
      <w:b/>
      <w:sz w:val="24"/>
      <w:lang w:eastAsia="zh-CN"/>
    </w:rPr>
  </w:style>
  <w:style w:type="character" w:customStyle="1" w:styleId="BodyTextFirstIndentChar">
    <w:name w:val="Body Text First Indent Char"/>
    <w:basedOn w:val="BodyTextChar"/>
    <w:link w:val="BodyTextFirstIndent"/>
    <w:uiPriority w:val="99"/>
    <w:rsid w:val="00537488"/>
    <w:rPr>
      <w:rFonts w:ascii="Times New Roman" w:hAnsi="Times New Roman"/>
      <w:sz w:val="24"/>
      <w:szCs w:val="24"/>
      <w:lang w:val="en-GB"/>
    </w:rPr>
  </w:style>
  <w:style w:type="character" w:customStyle="1" w:styleId="BodyTextFirstIndent2Char">
    <w:name w:val="Body Text First Indent 2 Char"/>
    <w:basedOn w:val="BodyTextIndentChar"/>
    <w:link w:val="BodyTextFirstIndent2"/>
    <w:uiPriority w:val="99"/>
    <w:rsid w:val="00537488"/>
    <w:rPr>
      <w:rFonts w:ascii="Times New Roman" w:hAnsi="Times New Roman"/>
      <w:sz w:val="24"/>
      <w:szCs w:val="24"/>
    </w:rPr>
  </w:style>
  <w:style w:type="character" w:customStyle="1" w:styleId="ClosingChar">
    <w:name w:val="Closing Char"/>
    <w:basedOn w:val="DefaultParagraphFont"/>
    <w:link w:val="Closing"/>
    <w:uiPriority w:val="99"/>
    <w:rsid w:val="00537488"/>
    <w:rPr>
      <w:rFonts w:ascii="Times New Roman" w:hAnsi="Times New Roman"/>
      <w:sz w:val="24"/>
      <w:szCs w:val="24"/>
    </w:rPr>
  </w:style>
  <w:style w:type="character" w:customStyle="1" w:styleId="DateChar">
    <w:name w:val="Date Char"/>
    <w:basedOn w:val="DefaultParagraphFont"/>
    <w:link w:val="Date"/>
    <w:uiPriority w:val="99"/>
    <w:rsid w:val="0053748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37488"/>
    <w:rPr>
      <w:rFonts w:ascii="Tahoma" w:hAnsi="Tahoma" w:cs="Tahoma"/>
      <w:sz w:val="24"/>
      <w:szCs w:val="24"/>
      <w:shd w:val="clear" w:color="auto" w:fill="000080"/>
    </w:rPr>
  </w:style>
  <w:style w:type="character" w:customStyle="1" w:styleId="E-mailSignatureChar">
    <w:name w:val="E-mail Signature Char"/>
    <w:basedOn w:val="DefaultParagraphFont"/>
    <w:link w:val="E-mailSignature"/>
    <w:uiPriority w:val="99"/>
    <w:rsid w:val="00537488"/>
    <w:rPr>
      <w:rFonts w:ascii="Times New Roman" w:hAnsi="Times New Roman"/>
      <w:sz w:val="24"/>
      <w:szCs w:val="24"/>
    </w:rPr>
  </w:style>
  <w:style w:type="character" w:customStyle="1" w:styleId="EndnoteTextChar">
    <w:name w:val="Endnote Text Char"/>
    <w:basedOn w:val="DefaultParagraphFont"/>
    <w:link w:val="EndnoteText"/>
    <w:uiPriority w:val="99"/>
    <w:semiHidden/>
    <w:rsid w:val="00537488"/>
    <w:rPr>
      <w:rFonts w:ascii="Times New Roman" w:hAnsi="Times New Roman"/>
      <w:szCs w:val="24"/>
    </w:rPr>
  </w:style>
  <w:style w:type="character" w:customStyle="1" w:styleId="HTMLAddressChar">
    <w:name w:val="HTML Address Char"/>
    <w:basedOn w:val="DefaultParagraphFont"/>
    <w:link w:val="HTMLAddress"/>
    <w:uiPriority w:val="99"/>
    <w:rsid w:val="00537488"/>
    <w:rPr>
      <w:rFonts w:ascii="Times New Roman" w:hAnsi="Times New Roman"/>
      <w:i/>
      <w:iCs/>
      <w:sz w:val="24"/>
      <w:szCs w:val="24"/>
    </w:rPr>
  </w:style>
  <w:style w:type="character" w:customStyle="1" w:styleId="HTMLPreformattedChar">
    <w:name w:val="HTML Preformatted Char"/>
    <w:basedOn w:val="DefaultParagraphFont"/>
    <w:link w:val="HTMLPreformatted"/>
    <w:uiPriority w:val="99"/>
    <w:rsid w:val="00537488"/>
    <w:rPr>
      <w:rFonts w:ascii="Courier New" w:hAnsi="Courier New" w:cs="Courier New"/>
      <w:szCs w:val="24"/>
    </w:rPr>
  </w:style>
  <w:style w:type="character" w:customStyle="1" w:styleId="MacroTextChar">
    <w:name w:val="Macro Text Char"/>
    <w:basedOn w:val="DefaultParagraphFont"/>
    <w:link w:val="MacroText"/>
    <w:uiPriority w:val="99"/>
    <w:semiHidden/>
    <w:rsid w:val="00537488"/>
    <w:rPr>
      <w:rFonts w:ascii="Courier New" w:hAnsi="Courier New" w:cs="Courier New"/>
      <w:lang w:eastAsia="zh-CN"/>
    </w:rPr>
  </w:style>
  <w:style w:type="character" w:customStyle="1" w:styleId="MessageHeaderChar">
    <w:name w:val="Message Header Char"/>
    <w:basedOn w:val="DefaultParagraphFont"/>
    <w:link w:val="MessageHeader"/>
    <w:uiPriority w:val="99"/>
    <w:rsid w:val="00537488"/>
    <w:rPr>
      <w:rFonts w:ascii="Arial" w:hAnsi="Arial" w:cs="Arial"/>
      <w:sz w:val="24"/>
      <w:szCs w:val="24"/>
      <w:shd w:val="pct20" w:color="auto" w:fill="auto"/>
    </w:rPr>
  </w:style>
  <w:style w:type="character" w:customStyle="1" w:styleId="NoteHeadingChar">
    <w:name w:val="Note Heading Char"/>
    <w:basedOn w:val="DefaultParagraphFont"/>
    <w:link w:val="NoteHeading"/>
    <w:uiPriority w:val="99"/>
    <w:rsid w:val="00537488"/>
    <w:rPr>
      <w:rFonts w:ascii="Times New Roman" w:hAnsi="Times New Roman"/>
      <w:sz w:val="24"/>
      <w:szCs w:val="24"/>
    </w:rPr>
  </w:style>
  <w:style w:type="character" w:customStyle="1" w:styleId="SalutationChar">
    <w:name w:val="Salutation Char"/>
    <w:basedOn w:val="DefaultParagraphFont"/>
    <w:link w:val="Salutation"/>
    <w:uiPriority w:val="99"/>
    <w:rsid w:val="00537488"/>
    <w:rPr>
      <w:rFonts w:ascii="Times New Roman" w:hAnsi="Times New Roman"/>
      <w:sz w:val="24"/>
      <w:szCs w:val="24"/>
    </w:rPr>
  </w:style>
  <w:style w:type="character" w:customStyle="1" w:styleId="SignatureChar">
    <w:name w:val="Signature Char"/>
    <w:basedOn w:val="DefaultParagraphFont"/>
    <w:link w:val="Signature"/>
    <w:uiPriority w:val="99"/>
    <w:rsid w:val="00537488"/>
    <w:rPr>
      <w:rFonts w:ascii="Times New Roman" w:hAnsi="Times New Roman"/>
      <w:sz w:val="24"/>
      <w:szCs w:val="24"/>
    </w:rPr>
  </w:style>
  <w:style w:type="character" w:customStyle="1" w:styleId="SubtitleChar">
    <w:name w:val="Subtitle Char"/>
    <w:basedOn w:val="DefaultParagraphFont"/>
    <w:link w:val="Subtitle"/>
    <w:uiPriority w:val="11"/>
    <w:rsid w:val="00537488"/>
    <w:rPr>
      <w:rFonts w:ascii="Arial" w:hAnsi="Arial" w:cs="Arial"/>
      <w:sz w:val="24"/>
      <w:szCs w:val="24"/>
    </w:rPr>
  </w:style>
  <w:style w:type="table" w:customStyle="1" w:styleId="TableGrid1">
    <w:name w:val="Table Grid1"/>
    <w:basedOn w:val="TableNormal"/>
    <w:next w:val="TableGrid"/>
    <w:uiPriority w:val="59"/>
    <w:rsid w:val="00537488"/>
    <w:pPr>
      <w:spacing w:line="480" w:lineRule="atLeast"/>
      <w:ind w:firstLine="720"/>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 No underline Char1,h4 Char1"/>
    <w:locked/>
    <w:rsid w:val="00537488"/>
    <w:rPr>
      <w:rFonts w:ascii="Times New Roman Bold" w:hAnsi="Times New Roman Bold"/>
      <w:b/>
      <w:sz w:val="24"/>
      <w:u w:val="single"/>
    </w:rPr>
  </w:style>
  <w:style w:type="character" w:customStyle="1" w:styleId="questionChar1">
    <w:name w:val="question Char1"/>
    <w:rsid w:val="00537488"/>
    <w:rPr>
      <w:rFonts w:eastAsia="SimSun"/>
      <w:b/>
      <w:sz w:val="24"/>
      <w:lang w:val="en-US" w:eastAsia="zh-CN"/>
    </w:rPr>
  </w:style>
  <w:style w:type="paragraph" w:customStyle="1" w:styleId="WUTCParagraph">
    <w:name w:val="WUTC Paragraph"/>
    <w:basedOn w:val="Normal"/>
    <w:rsid w:val="00537488"/>
    <w:pPr>
      <w:tabs>
        <w:tab w:val="num" w:pos="0"/>
        <w:tab w:val="left" w:pos="1440"/>
      </w:tabs>
      <w:spacing w:line="480" w:lineRule="auto"/>
      <w:ind w:hanging="720"/>
    </w:pPr>
    <w:rPr>
      <w:rFonts w:eastAsia="SimSun"/>
    </w:rPr>
  </w:style>
  <w:style w:type="paragraph" w:customStyle="1" w:styleId="StyleArialLinespacingDouble">
    <w:name w:val="Style Arial Line spacing:  Double"/>
    <w:basedOn w:val="Normal"/>
    <w:rsid w:val="00537488"/>
    <w:pPr>
      <w:spacing w:line="480" w:lineRule="auto"/>
    </w:pPr>
    <w:rPr>
      <w:rFonts w:ascii="Arial" w:eastAsia="SimSun" w:hAnsi="Arial"/>
      <w:sz w:val="22"/>
      <w:szCs w:val="20"/>
    </w:rPr>
  </w:style>
  <w:style w:type="paragraph" w:customStyle="1" w:styleId="08WHEBody">
    <w:name w:val="08WHE Body"/>
    <w:basedOn w:val="Normal"/>
    <w:link w:val="08WHEBodyChar"/>
    <w:rsid w:val="00537488"/>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37488"/>
    <w:rPr>
      <w:rFonts w:ascii="Arial" w:eastAsia="SimSun" w:hAnsi="Arial"/>
    </w:rPr>
  </w:style>
  <w:style w:type="character" w:customStyle="1" w:styleId="StyleArial115pt">
    <w:name w:val="Style Arial 11.5 pt"/>
    <w:rsid w:val="00537488"/>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37488"/>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37488"/>
    <w:rPr>
      <w:rFonts w:ascii="Arial" w:eastAsia="SimSun" w:hAnsi="Arial"/>
    </w:rPr>
  </w:style>
  <w:style w:type="paragraph" w:customStyle="1" w:styleId="Style08WHEbulletsimple12ptAfter6ptLinespacing15">
    <w:name w:val="Style 08WHE bullet simple + 12 pt After:  6 pt Line spacing:  1.5..."/>
    <w:basedOn w:val="Normal"/>
    <w:rsid w:val="00537488"/>
    <w:pPr>
      <w:tabs>
        <w:tab w:val="num" w:pos="720"/>
      </w:tabs>
      <w:spacing w:after="120" w:line="360" w:lineRule="auto"/>
      <w:ind w:left="720" w:hanging="360"/>
      <w:jc w:val="both"/>
    </w:pPr>
    <w:rPr>
      <w:rFonts w:ascii="Arial" w:eastAsia="SimSun" w:hAnsi="Arial"/>
      <w:sz w:val="22"/>
      <w:szCs w:val="20"/>
    </w:rPr>
  </w:style>
  <w:style w:type="paragraph" w:customStyle="1" w:styleId="Head1">
    <w:name w:val="Head1"/>
    <w:basedOn w:val="Normal"/>
    <w:rsid w:val="00537488"/>
    <w:pPr>
      <w:tabs>
        <w:tab w:val="num" w:pos="360"/>
        <w:tab w:val="num" w:pos="720"/>
      </w:tabs>
      <w:ind w:left="720" w:hanging="360"/>
    </w:pPr>
    <w:rPr>
      <w:rFonts w:eastAsia="SimSun"/>
      <w:b/>
      <w:u w:val="single"/>
    </w:rPr>
  </w:style>
  <w:style w:type="character" w:customStyle="1" w:styleId="h2CharChar1">
    <w:name w:val="h2 Char Char1"/>
    <w:rsid w:val="00537488"/>
    <w:rPr>
      <w:rFonts w:ascii="Times New Roman Bold" w:hAnsi="Times New Roman Bold"/>
      <w:sz w:val="24"/>
      <w:u w:val="single"/>
      <w:lang w:val="en-US" w:eastAsia="zh-CN"/>
    </w:rPr>
  </w:style>
  <w:style w:type="paragraph" w:customStyle="1" w:styleId="StyleanswerFirstline0">
    <w:name w:val="Style answer + First line:  0&quot;"/>
    <w:basedOn w:val="answer"/>
    <w:rsid w:val="00537488"/>
    <w:pPr>
      <w:ind w:firstLine="0"/>
    </w:pPr>
    <w:rPr>
      <w:rFonts w:ascii="CG Times (WN)" w:hAnsi="CG Times (WN)"/>
    </w:rPr>
  </w:style>
  <w:style w:type="character" w:customStyle="1" w:styleId="pleading-leftbarChar">
    <w:name w:val="pleading-left bar Char"/>
    <w:link w:val="pleading-leftbar"/>
    <w:locked/>
    <w:rsid w:val="00537488"/>
    <w:rPr>
      <w:rFonts w:ascii="Courier" w:hAnsi="Courier"/>
      <w:sz w:val="24"/>
      <w:lang w:eastAsia="zh-CN"/>
    </w:rPr>
  </w:style>
  <w:style w:type="character" w:customStyle="1" w:styleId="answerChar1">
    <w:name w:val="answer Char1"/>
    <w:uiPriority w:val="99"/>
    <w:rsid w:val="00537488"/>
    <w:rPr>
      <w:rFonts w:eastAsia="SimSun"/>
      <w:sz w:val="24"/>
      <w:lang w:val="en-US" w:eastAsia="zh-CN"/>
    </w:rPr>
  </w:style>
  <w:style w:type="paragraph" w:customStyle="1" w:styleId="TOCHeader">
    <w:name w:val="TOC Header"/>
    <w:basedOn w:val="Normal"/>
    <w:rsid w:val="00537488"/>
    <w:pPr>
      <w:ind w:left="115" w:right="115"/>
      <w:jc w:val="center"/>
    </w:pPr>
    <w:rPr>
      <w:rFonts w:eastAsia="PMingLiU"/>
      <w:szCs w:val="20"/>
    </w:rPr>
  </w:style>
  <w:style w:type="paragraph" w:customStyle="1" w:styleId="08RFPBody">
    <w:name w:val="08RFP Body"/>
    <w:basedOn w:val="Normal"/>
    <w:link w:val="08RFPBodyChar"/>
    <w:rsid w:val="00537488"/>
    <w:pPr>
      <w:spacing w:after="240"/>
    </w:pPr>
    <w:rPr>
      <w:rFonts w:ascii="Arial" w:eastAsia="PMingLiU" w:hAnsi="Arial"/>
      <w:sz w:val="20"/>
      <w:szCs w:val="20"/>
    </w:rPr>
  </w:style>
  <w:style w:type="character" w:customStyle="1" w:styleId="08RFPBodyChar">
    <w:name w:val="08RFP Body Char"/>
    <w:link w:val="08RFPBody"/>
    <w:locked/>
    <w:rsid w:val="00537488"/>
    <w:rPr>
      <w:rFonts w:ascii="Arial" w:eastAsia="PMingLiU" w:hAnsi="Arial"/>
    </w:rPr>
  </w:style>
  <w:style w:type="paragraph" w:customStyle="1" w:styleId="08RFPTableTitle">
    <w:name w:val="08RFP Table Title"/>
    <w:basedOn w:val="Normal"/>
    <w:rsid w:val="00537488"/>
    <w:pPr>
      <w:spacing w:after="120"/>
    </w:pPr>
    <w:rPr>
      <w:rFonts w:ascii="Palatino Linotype" w:eastAsia="PMingLiU" w:hAnsi="Palatino Linotype"/>
      <w:b/>
      <w:sz w:val="28"/>
      <w:szCs w:val="20"/>
    </w:rPr>
  </w:style>
  <w:style w:type="character" w:customStyle="1" w:styleId="08RFPFootnotesChar">
    <w:name w:val="08RFP Footnotes Char"/>
    <w:rsid w:val="00537488"/>
    <w:rPr>
      <w:rFonts w:ascii="Arial" w:hAnsi="Arial"/>
      <w:sz w:val="16"/>
      <w:lang w:val="en-US" w:eastAsia="en-US"/>
    </w:rPr>
  </w:style>
  <w:style w:type="paragraph" w:customStyle="1" w:styleId="IRPpicture">
    <w:name w:val="IRPpicture"/>
    <w:basedOn w:val="Normal"/>
    <w:rsid w:val="00537488"/>
    <w:rPr>
      <w:rFonts w:ascii="Arial MT" w:eastAsia="MS Mincho" w:hAnsi="Arial MT"/>
      <w:sz w:val="16"/>
      <w:szCs w:val="20"/>
      <w:lang w:eastAsia="ja-JP"/>
    </w:rPr>
  </w:style>
  <w:style w:type="paragraph" w:customStyle="1" w:styleId="IRPfiguresub">
    <w:name w:val="IRPfiguresub"/>
    <w:basedOn w:val="BodyText"/>
    <w:rsid w:val="00537488"/>
    <w:pPr>
      <w:spacing w:beforeAutospacing="1" w:afterAutospacing="1"/>
      <w:jc w:val="left"/>
    </w:pPr>
    <w:rPr>
      <w:rFonts w:ascii="Arial" w:eastAsia="PMingLiU" w:hAnsi="Arial"/>
      <w:b/>
      <w:sz w:val="20"/>
      <w:lang w:val="en-US"/>
    </w:rPr>
  </w:style>
  <w:style w:type="paragraph" w:customStyle="1" w:styleId="09ProcessBullets">
    <w:name w:val="09Process_Bullets"/>
    <w:basedOn w:val="Normal"/>
    <w:rsid w:val="00537488"/>
    <w:pPr>
      <w:numPr>
        <w:numId w:val="30"/>
      </w:numPr>
    </w:pPr>
    <w:rPr>
      <w:rFonts w:eastAsia="PMingLiU"/>
      <w:sz w:val="20"/>
      <w:szCs w:val="20"/>
    </w:rPr>
  </w:style>
  <w:style w:type="paragraph" w:customStyle="1" w:styleId="ans">
    <w:name w:val="ans"/>
    <w:basedOn w:val="IRPfiguresub"/>
    <w:rsid w:val="00537488"/>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537488"/>
    <w:rPr>
      <w:rFonts w:eastAsia="SimSun"/>
      <w:b/>
      <w:sz w:val="24"/>
      <w:lang w:val="en-US" w:eastAsia="zh-CN"/>
    </w:rPr>
  </w:style>
  <w:style w:type="paragraph" w:customStyle="1" w:styleId="default0">
    <w:name w:val="default"/>
    <w:basedOn w:val="Normal"/>
    <w:rsid w:val="00537488"/>
    <w:pPr>
      <w:spacing w:before="100" w:beforeAutospacing="1" w:after="100" w:afterAutospacing="1"/>
    </w:pPr>
    <w:rPr>
      <w:rFonts w:eastAsia="PMingLiU"/>
    </w:rPr>
  </w:style>
  <w:style w:type="character" w:styleId="Emphasis">
    <w:name w:val="Emphasis"/>
    <w:uiPriority w:val="20"/>
    <w:qFormat/>
    <w:rsid w:val="00537488"/>
    <w:rPr>
      <w:i/>
    </w:rPr>
  </w:style>
  <w:style w:type="character" w:customStyle="1" w:styleId="questionchar0">
    <w:name w:val="questionchar"/>
    <w:rsid w:val="00537488"/>
  </w:style>
  <w:style w:type="character" w:customStyle="1" w:styleId="searchhighlight2">
    <w:name w:val="searchhighlight2"/>
    <w:rsid w:val="00537488"/>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537488"/>
    <w:rPr>
      <w:sz w:val="22"/>
    </w:rPr>
  </w:style>
  <w:style w:type="character" w:styleId="EndnoteReference">
    <w:name w:val="endnote reference"/>
    <w:uiPriority w:val="99"/>
    <w:rsid w:val="00537488"/>
    <w:rPr>
      <w:vertAlign w:val="superscript"/>
    </w:rPr>
  </w:style>
  <w:style w:type="character" w:customStyle="1" w:styleId="st">
    <w:name w:val="st"/>
    <w:rsid w:val="00537488"/>
  </w:style>
  <w:style w:type="paragraph" w:customStyle="1" w:styleId="08RFPFigureTitle">
    <w:name w:val="08RFP Figure Title"/>
    <w:basedOn w:val="Normal"/>
    <w:link w:val="08RFPFigureTitleChar"/>
    <w:rsid w:val="00537488"/>
    <w:pPr>
      <w:spacing w:after="120"/>
    </w:pPr>
    <w:rPr>
      <w:rFonts w:ascii="Palatino Linotype" w:eastAsia="PMingLiU" w:hAnsi="Palatino Linotype"/>
      <w:b/>
      <w:szCs w:val="20"/>
    </w:rPr>
  </w:style>
  <w:style w:type="character" w:customStyle="1" w:styleId="08RFPFigureTitleChar">
    <w:name w:val="08RFP Figure Title Char"/>
    <w:link w:val="08RFPFigureTitle"/>
    <w:locked/>
    <w:rsid w:val="00537488"/>
    <w:rPr>
      <w:rFonts w:ascii="Palatino Linotype" w:eastAsia="PMingLiU" w:hAnsi="Palatino Linotype"/>
      <w:b/>
      <w:sz w:val="24"/>
    </w:rPr>
  </w:style>
  <w:style w:type="paragraph" w:customStyle="1" w:styleId="08RFPBullet2">
    <w:name w:val="08RFP Bullet 2"/>
    <w:basedOn w:val="Normal"/>
    <w:rsid w:val="00537488"/>
    <w:pPr>
      <w:spacing w:after="60"/>
    </w:pPr>
    <w:rPr>
      <w:rFonts w:ascii="Arial" w:eastAsia="PMingLiU" w:hAnsi="Arial"/>
      <w:sz w:val="20"/>
      <w:szCs w:val="20"/>
    </w:rPr>
  </w:style>
  <w:style w:type="paragraph" w:customStyle="1" w:styleId="11RFPDocBody">
    <w:name w:val="11RFP Doc Body"/>
    <w:basedOn w:val="Normal"/>
    <w:link w:val="11RFPDocBodyCharChar"/>
    <w:rsid w:val="00537488"/>
    <w:pPr>
      <w:spacing w:after="240"/>
      <w:jc w:val="both"/>
    </w:pPr>
    <w:rPr>
      <w:rFonts w:ascii="Arial" w:eastAsia="PMingLiU" w:hAnsi="Arial"/>
      <w:sz w:val="20"/>
      <w:szCs w:val="20"/>
    </w:rPr>
  </w:style>
  <w:style w:type="character" w:customStyle="1" w:styleId="11RFPDocBodyCharChar">
    <w:name w:val="11RFP Doc Body Char Char"/>
    <w:link w:val="11RFPDocBody"/>
    <w:locked/>
    <w:rsid w:val="00537488"/>
    <w:rPr>
      <w:rFonts w:ascii="Arial" w:eastAsia="PMingLiU" w:hAnsi="Arial"/>
    </w:rPr>
  </w:style>
  <w:style w:type="character" w:customStyle="1" w:styleId="CharChar25">
    <w:name w:val="Char Char25"/>
    <w:locked/>
    <w:rsid w:val="00537488"/>
    <w:rPr>
      <w:rFonts w:eastAsia="PMingLiU"/>
      <w:color w:val="000000"/>
      <w:sz w:val="24"/>
      <w:lang w:val="en-US" w:eastAsia="zh-CN"/>
    </w:rPr>
  </w:style>
  <w:style w:type="character" w:customStyle="1" w:styleId="CharChar24">
    <w:name w:val="Char Char24"/>
    <w:locked/>
    <w:rsid w:val="00537488"/>
    <w:rPr>
      <w:rFonts w:eastAsia="PMingLiU"/>
      <w:sz w:val="24"/>
      <w:lang w:val="en-US" w:eastAsia="zh-CN"/>
    </w:rPr>
  </w:style>
  <w:style w:type="character" w:customStyle="1" w:styleId="CharChar23">
    <w:name w:val="Char Char23"/>
    <w:locked/>
    <w:rsid w:val="00537488"/>
    <w:rPr>
      <w:rFonts w:ascii="Arial" w:eastAsia="PMingLiU" w:hAnsi="Arial"/>
      <w:sz w:val="22"/>
      <w:lang w:val="en-US" w:eastAsia="zh-CN"/>
    </w:rPr>
  </w:style>
  <w:style w:type="character" w:customStyle="1" w:styleId="CharChar22">
    <w:name w:val="Char Char22"/>
    <w:locked/>
    <w:rsid w:val="00537488"/>
    <w:rPr>
      <w:rFonts w:ascii="CG Times" w:eastAsia="PMingLiU" w:hAnsi="CG Times"/>
      <w:color w:val="0000FF"/>
      <w:sz w:val="24"/>
      <w:lang w:val="en-US" w:eastAsia="zh-CN"/>
    </w:rPr>
  </w:style>
  <w:style w:type="character" w:customStyle="1" w:styleId="CharChar21">
    <w:name w:val="Char Char21"/>
    <w:locked/>
    <w:rsid w:val="00537488"/>
    <w:rPr>
      <w:rFonts w:ascii="Times" w:eastAsia="PMingLiU" w:hAnsi="Times"/>
      <w:sz w:val="24"/>
      <w:lang w:val="en-US" w:eastAsia="zh-CN"/>
    </w:rPr>
  </w:style>
  <w:style w:type="character" w:customStyle="1" w:styleId="CharChar20">
    <w:name w:val="Char Char20"/>
    <w:locked/>
    <w:rsid w:val="00537488"/>
    <w:rPr>
      <w:rFonts w:eastAsia="PMingLiU"/>
      <w:sz w:val="24"/>
      <w:lang w:val="en-US" w:eastAsia="zh-CN"/>
    </w:rPr>
  </w:style>
  <w:style w:type="character" w:customStyle="1" w:styleId="CharChar19">
    <w:name w:val="Char Char19"/>
    <w:locked/>
    <w:rsid w:val="00537488"/>
    <w:rPr>
      <w:rFonts w:eastAsia="PMingLiU"/>
      <w:snapToGrid w:val="0"/>
      <w:sz w:val="24"/>
      <w:lang w:val="en-US" w:eastAsia="en-US"/>
    </w:rPr>
  </w:style>
  <w:style w:type="character" w:customStyle="1" w:styleId="CharChar17">
    <w:name w:val="Char Char17"/>
    <w:locked/>
    <w:rsid w:val="00537488"/>
    <w:rPr>
      <w:rFonts w:ascii="Arial" w:eastAsia="PMingLiU" w:hAnsi="Arial"/>
      <w:b/>
      <w:kern w:val="28"/>
      <w:sz w:val="32"/>
      <w:lang w:val="en-US" w:eastAsia="zh-CN"/>
    </w:rPr>
  </w:style>
  <w:style w:type="character" w:customStyle="1" w:styleId="CharChar13">
    <w:name w:val="Char Char13"/>
    <w:semiHidden/>
    <w:locked/>
    <w:rsid w:val="00537488"/>
    <w:rPr>
      <w:rFonts w:eastAsia="PMingLiU"/>
      <w:b/>
      <w:lang w:val="en-US" w:eastAsia="zh-CN"/>
    </w:rPr>
  </w:style>
  <w:style w:type="paragraph" w:customStyle="1" w:styleId="Title11">
    <w:name w:val="Title11"/>
    <w:basedOn w:val="center"/>
    <w:rsid w:val="00537488"/>
    <w:pPr>
      <w:keepNext/>
      <w:ind w:left="720" w:right="720"/>
    </w:pPr>
    <w:rPr>
      <w:b/>
      <w:bCs/>
      <w:szCs w:val="20"/>
      <w:lang w:eastAsia="en-US"/>
    </w:rPr>
  </w:style>
  <w:style w:type="character" w:customStyle="1" w:styleId="h2CharChar2">
    <w:name w:val="h2 Char Char2"/>
    <w:rsid w:val="00537488"/>
    <w:rPr>
      <w:rFonts w:eastAsia="PMingLiU"/>
      <w:b/>
      <w:sz w:val="24"/>
      <w:u w:val="single"/>
      <w:lang w:val="en-US" w:eastAsia="zh-CN"/>
    </w:rPr>
  </w:style>
  <w:style w:type="paragraph" w:customStyle="1" w:styleId="11RFPDocFootnotes">
    <w:name w:val="11RFP Doc Footnotes"/>
    <w:basedOn w:val="FootnoteText"/>
    <w:rsid w:val="00537488"/>
    <w:pPr>
      <w:spacing w:before="0" w:line="240" w:lineRule="auto"/>
      <w:ind w:firstLine="0"/>
    </w:pPr>
    <w:rPr>
      <w:rFonts w:ascii="Arial" w:eastAsia="PMingLiU" w:hAnsi="Arial"/>
      <w:sz w:val="16"/>
      <w:szCs w:val="20"/>
      <w:lang w:eastAsia="en-US"/>
    </w:rPr>
  </w:style>
  <w:style w:type="paragraph" w:customStyle="1" w:styleId="11RFPBodyBullet">
    <w:name w:val="11RFP Body Bullet"/>
    <w:basedOn w:val="11RFPDocBody"/>
    <w:rsid w:val="00537488"/>
    <w:pPr>
      <w:numPr>
        <w:numId w:val="32"/>
      </w:numPr>
      <w:ind w:left="0" w:firstLine="0"/>
    </w:pPr>
  </w:style>
  <w:style w:type="paragraph" w:customStyle="1" w:styleId="11RFPFigureHead">
    <w:name w:val="11RFP Figure Head"/>
    <w:basedOn w:val="11RFPDocBody"/>
    <w:rsid w:val="00537488"/>
    <w:pPr>
      <w:jc w:val="center"/>
    </w:pPr>
    <w:rPr>
      <w:b/>
      <w:bCs/>
    </w:rPr>
  </w:style>
  <w:style w:type="paragraph" w:customStyle="1" w:styleId="11RFPDocBodyEmphasis">
    <w:name w:val="11RFP Doc Body Emphasis"/>
    <w:basedOn w:val="11RFPDocBody"/>
    <w:link w:val="11RFPDocBodyEmphasisChar"/>
    <w:rsid w:val="00537488"/>
    <w:rPr>
      <w:b/>
    </w:rPr>
  </w:style>
  <w:style w:type="character" w:customStyle="1" w:styleId="11RFPDocBodyEmphasisChar">
    <w:name w:val="11RFP Doc Body Emphasis Char"/>
    <w:link w:val="11RFPDocBodyEmphasis"/>
    <w:locked/>
    <w:rsid w:val="00537488"/>
    <w:rPr>
      <w:rFonts w:ascii="Arial" w:eastAsia="PMingLiU" w:hAnsi="Arial"/>
      <w:b/>
    </w:rPr>
  </w:style>
  <w:style w:type="paragraph" w:customStyle="1" w:styleId="11RFPDocHead1">
    <w:name w:val="11RFP Doc Head 1"/>
    <w:basedOn w:val="Normal"/>
    <w:next w:val="Normal"/>
    <w:link w:val="11RFPDocHead1CharChar"/>
    <w:rsid w:val="00537488"/>
    <w:pPr>
      <w:spacing w:before="360" w:after="240"/>
    </w:pPr>
    <w:rPr>
      <w:rFonts w:ascii="Palatino Linotype" w:eastAsia="PMingLiU" w:hAnsi="Palatino Linotype"/>
      <w:b/>
      <w:kern w:val="28"/>
      <w:sz w:val="28"/>
      <w:szCs w:val="20"/>
    </w:rPr>
  </w:style>
  <w:style w:type="character" w:customStyle="1" w:styleId="11RFPDocHead1CharChar">
    <w:name w:val="11RFP Doc Head 1 Char Char"/>
    <w:link w:val="11RFPDocHead1"/>
    <w:locked/>
    <w:rsid w:val="00537488"/>
    <w:rPr>
      <w:rFonts w:ascii="Palatino Linotype" w:eastAsia="PMingLiU" w:hAnsi="Palatino Linotype"/>
      <w:b/>
      <w:kern w:val="28"/>
      <w:sz w:val="28"/>
    </w:rPr>
  </w:style>
  <w:style w:type="paragraph" w:customStyle="1" w:styleId="11RFPDocHead2">
    <w:name w:val="11RFP Doc Head 2"/>
    <w:basedOn w:val="11RFPDocBody"/>
    <w:link w:val="11RFPDocHead2Char"/>
    <w:rsid w:val="00537488"/>
    <w:pPr>
      <w:spacing w:before="240"/>
    </w:pPr>
    <w:rPr>
      <w:rFonts w:ascii="Palatino Linotype" w:hAnsi="Palatino Linotype"/>
      <w:b/>
      <w:sz w:val="24"/>
    </w:rPr>
  </w:style>
  <w:style w:type="character" w:customStyle="1" w:styleId="11RFPDocHead2Char">
    <w:name w:val="11RFP Doc Head 2 Char"/>
    <w:link w:val="11RFPDocHead2"/>
    <w:locked/>
    <w:rsid w:val="00537488"/>
    <w:rPr>
      <w:rFonts w:ascii="Palatino Linotype" w:eastAsia="PMingLiU" w:hAnsi="Palatino Linotype"/>
      <w:b/>
      <w:sz w:val="24"/>
    </w:rPr>
  </w:style>
  <w:style w:type="paragraph" w:customStyle="1" w:styleId="08RFPHead1">
    <w:name w:val="08RFP Head 1"/>
    <w:basedOn w:val="Normal"/>
    <w:rsid w:val="00537488"/>
    <w:pPr>
      <w:keepNext/>
      <w:spacing w:before="240" w:after="120"/>
      <w:outlineLvl w:val="0"/>
    </w:pPr>
    <w:rPr>
      <w:rFonts w:ascii="Palatino Linotype" w:eastAsia="PMingLiU" w:hAnsi="Palatino Linotype"/>
      <w:b/>
      <w:bCs/>
      <w:iCs/>
      <w:kern w:val="28"/>
      <w:sz w:val="40"/>
      <w:szCs w:val="20"/>
    </w:rPr>
  </w:style>
  <w:style w:type="character" w:customStyle="1" w:styleId="CharChar10">
    <w:name w:val="Char Char10"/>
    <w:semiHidden/>
    <w:locked/>
    <w:rsid w:val="00537488"/>
    <w:rPr>
      <w:rFonts w:ascii="Times New Roman" w:eastAsia="SimSun" w:hAnsi="Times New Roman"/>
      <w:sz w:val="24"/>
      <w:lang w:val="x-none" w:eastAsia="zh-CN"/>
    </w:rPr>
  </w:style>
  <w:style w:type="character" w:customStyle="1" w:styleId="mctextpopupbodypopup0">
    <w:name w:val="mctextpopupbody_popup_0"/>
    <w:rsid w:val="00537488"/>
    <w:rPr>
      <w:rFonts w:ascii="Verdana" w:hAnsi="Verdana"/>
      <w:color w:val="000000"/>
      <w:sz w:val="19"/>
      <w:bdr w:val="single" w:sz="6" w:space="4" w:color="000000" w:frame="1"/>
      <w:shd w:val="clear" w:color="auto" w:fill="E4E4E4"/>
    </w:rPr>
  </w:style>
  <w:style w:type="character" w:customStyle="1" w:styleId="mctextpopup">
    <w:name w:val="mctextpopup"/>
    <w:rsid w:val="00537488"/>
  </w:style>
  <w:style w:type="paragraph" w:customStyle="1" w:styleId="NestedAnswer">
    <w:name w:val="Nested Answer"/>
    <w:basedOn w:val="answer"/>
    <w:link w:val="NestedAnswerChar"/>
    <w:qFormat/>
    <w:rsid w:val="00240442"/>
    <w:pPr>
      <w:ind w:firstLine="0"/>
    </w:pPr>
  </w:style>
  <w:style w:type="paragraph" w:customStyle="1" w:styleId="answerft0">
    <w:name w:val="answerft:  0&quot;"/>
    <w:aliases w:val="Hanging:  0.5&quot;,Before:  6 pt,After:  6 pt,Line spacing..."/>
    <w:basedOn w:val="Normal"/>
    <w:rsid w:val="0019731E"/>
    <w:pPr>
      <w:spacing w:before="120" w:after="120" w:line="480" w:lineRule="auto"/>
      <w:ind w:left="720" w:hanging="720"/>
    </w:pPr>
    <w:rPr>
      <w:rFonts w:eastAsia="PMingLiU"/>
      <w:szCs w:val="20"/>
      <w:lang w:eastAsia="zh-CN"/>
    </w:rPr>
  </w:style>
  <w:style w:type="character" w:customStyle="1" w:styleId="NestedAnswerChar">
    <w:name w:val="Nested Answer Char"/>
    <w:basedOn w:val="answerChar"/>
    <w:link w:val="NestedAnswer"/>
    <w:rsid w:val="00240442"/>
    <w:rPr>
      <w:rFonts w:ascii="Times New Roman" w:eastAsia="PMingLiU" w:hAnsi="Times New Roman"/>
      <w:sz w:val="24"/>
      <w:lang w:eastAsia="zh-CN"/>
    </w:rPr>
  </w:style>
  <w:style w:type="paragraph" w:customStyle="1" w:styleId="NestedAnswerBefore18pt">
    <w:name w:val="Nested Answer + Before:  18 pt"/>
    <w:basedOn w:val="NestedAnswer"/>
    <w:rsid w:val="00B22E77"/>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37433798">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62800918">
      <w:bodyDiv w:val="1"/>
      <w:marLeft w:val="0"/>
      <w:marRight w:val="0"/>
      <w:marTop w:val="0"/>
      <w:marBottom w:val="0"/>
      <w:divBdr>
        <w:top w:val="none" w:sz="0" w:space="0" w:color="auto"/>
        <w:left w:val="none" w:sz="0" w:space="0" w:color="auto"/>
        <w:bottom w:val="none" w:sz="0" w:space="0" w:color="auto"/>
        <w:right w:val="none" w:sz="0" w:space="0" w:color="auto"/>
      </w:divBdr>
    </w:div>
    <w:div w:id="66659559">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2572">
      <w:bodyDiv w:val="1"/>
      <w:marLeft w:val="0"/>
      <w:marRight w:val="0"/>
      <w:marTop w:val="0"/>
      <w:marBottom w:val="0"/>
      <w:divBdr>
        <w:top w:val="none" w:sz="0" w:space="0" w:color="auto"/>
        <w:left w:val="none" w:sz="0" w:space="0" w:color="auto"/>
        <w:bottom w:val="none" w:sz="0" w:space="0" w:color="auto"/>
        <w:right w:val="none" w:sz="0" w:space="0" w:color="auto"/>
      </w:divBdr>
      <w:divsChild>
        <w:div w:id="1699042009">
          <w:marLeft w:val="0"/>
          <w:marRight w:val="0"/>
          <w:marTop w:val="0"/>
          <w:marBottom w:val="345"/>
          <w:divBdr>
            <w:top w:val="none" w:sz="0" w:space="0" w:color="auto"/>
            <w:left w:val="none" w:sz="0" w:space="0" w:color="auto"/>
            <w:bottom w:val="none" w:sz="0" w:space="0" w:color="auto"/>
            <w:right w:val="none" w:sz="0" w:space="0" w:color="auto"/>
          </w:divBdr>
          <w:divsChild>
            <w:div w:id="1019157605">
              <w:marLeft w:val="0"/>
              <w:marRight w:val="0"/>
              <w:marTop w:val="0"/>
              <w:marBottom w:val="0"/>
              <w:divBdr>
                <w:top w:val="none" w:sz="0" w:space="0" w:color="auto"/>
                <w:left w:val="none" w:sz="0" w:space="0" w:color="auto"/>
                <w:bottom w:val="none" w:sz="0" w:space="0" w:color="auto"/>
                <w:right w:val="none" w:sz="0" w:space="0" w:color="auto"/>
              </w:divBdr>
              <w:divsChild>
                <w:div w:id="1267343954">
                  <w:marLeft w:val="0"/>
                  <w:marRight w:val="0"/>
                  <w:marTop w:val="0"/>
                  <w:marBottom w:val="0"/>
                  <w:divBdr>
                    <w:top w:val="none" w:sz="0" w:space="0" w:color="auto"/>
                    <w:left w:val="none" w:sz="0" w:space="0" w:color="auto"/>
                    <w:bottom w:val="none" w:sz="0" w:space="0" w:color="auto"/>
                    <w:right w:val="none" w:sz="0" w:space="0" w:color="auto"/>
                  </w:divBdr>
                  <w:divsChild>
                    <w:div w:id="448623446">
                      <w:marLeft w:val="0"/>
                      <w:marRight w:val="0"/>
                      <w:marTop w:val="0"/>
                      <w:marBottom w:val="0"/>
                      <w:divBdr>
                        <w:top w:val="none" w:sz="0" w:space="0" w:color="auto"/>
                        <w:left w:val="none" w:sz="0" w:space="0" w:color="auto"/>
                        <w:bottom w:val="none" w:sz="0" w:space="0" w:color="auto"/>
                        <w:right w:val="none" w:sz="0" w:space="0" w:color="auto"/>
                      </w:divBdr>
                      <w:divsChild>
                        <w:div w:id="112292275">
                          <w:marLeft w:val="0"/>
                          <w:marRight w:val="0"/>
                          <w:marTop w:val="0"/>
                          <w:marBottom w:val="0"/>
                          <w:divBdr>
                            <w:top w:val="none" w:sz="0" w:space="0" w:color="auto"/>
                            <w:left w:val="none" w:sz="0" w:space="0" w:color="auto"/>
                            <w:bottom w:val="none" w:sz="0" w:space="0" w:color="auto"/>
                            <w:right w:val="none" w:sz="0" w:space="0" w:color="auto"/>
                          </w:divBdr>
                          <w:divsChild>
                            <w:div w:id="315649732">
                              <w:marLeft w:val="60"/>
                              <w:marRight w:val="0"/>
                              <w:marTop w:val="0"/>
                              <w:marBottom w:val="0"/>
                              <w:divBdr>
                                <w:top w:val="none" w:sz="0" w:space="0" w:color="auto"/>
                                <w:left w:val="none" w:sz="0" w:space="0" w:color="auto"/>
                                <w:bottom w:val="none" w:sz="0" w:space="0" w:color="auto"/>
                                <w:right w:val="none" w:sz="0" w:space="0" w:color="auto"/>
                              </w:divBdr>
                              <w:divsChild>
                                <w:div w:id="614101714">
                                  <w:marLeft w:val="0"/>
                                  <w:marRight w:val="0"/>
                                  <w:marTop w:val="0"/>
                                  <w:marBottom w:val="0"/>
                                  <w:divBdr>
                                    <w:top w:val="none" w:sz="0" w:space="0" w:color="auto"/>
                                    <w:left w:val="none" w:sz="0" w:space="0" w:color="auto"/>
                                    <w:bottom w:val="none" w:sz="0" w:space="0" w:color="auto"/>
                                    <w:right w:val="none" w:sz="0" w:space="0" w:color="auto"/>
                                  </w:divBdr>
                                </w:div>
                              </w:divsChild>
                            </w:div>
                            <w:div w:id="2141418315">
                              <w:marLeft w:val="45"/>
                              <w:marRight w:val="45"/>
                              <w:marTop w:val="0"/>
                              <w:marBottom w:val="0"/>
                              <w:divBdr>
                                <w:top w:val="none" w:sz="0" w:space="0" w:color="auto"/>
                                <w:left w:val="none" w:sz="0" w:space="0" w:color="auto"/>
                                <w:bottom w:val="none" w:sz="0" w:space="0" w:color="auto"/>
                                <w:right w:val="none" w:sz="0" w:space="0" w:color="auto"/>
                              </w:divBdr>
                              <w:divsChild>
                                <w:div w:id="9548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93416">
      <w:bodyDiv w:val="1"/>
      <w:marLeft w:val="0"/>
      <w:marRight w:val="0"/>
      <w:marTop w:val="0"/>
      <w:marBottom w:val="0"/>
      <w:divBdr>
        <w:top w:val="none" w:sz="0" w:space="0" w:color="auto"/>
        <w:left w:val="none" w:sz="0" w:space="0" w:color="auto"/>
        <w:bottom w:val="none" w:sz="0" w:space="0" w:color="auto"/>
        <w:right w:val="none" w:sz="0" w:space="0" w:color="auto"/>
      </w:divBdr>
    </w:div>
    <w:div w:id="144124045">
      <w:bodyDiv w:val="1"/>
      <w:marLeft w:val="0"/>
      <w:marRight w:val="0"/>
      <w:marTop w:val="0"/>
      <w:marBottom w:val="0"/>
      <w:divBdr>
        <w:top w:val="none" w:sz="0" w:space="0" w:color="auto"/>
        <w:left w:val="none" w:sz="0" w:space="0" w:color="auto"/>
        <w:bottom w:val="none" w:sz="0" w:space="0" w:color="auto"/>
        <w:right w:val="none" w:sz="0" w:space="0" w:color="auto"/>
      </w:divBdr>
    </w:div>
    <w:div w:id="145323262">
      <w:bodyDiv w:val="1"/>
      <w:marLeft w:val="0"/>
      <w:marRight w:val="0"/>
      <w:marTop w:val="0"/>
      <w:marBottom w:val="0"/>
      <w:divBdr>
        <w:top w:val="none" w:sz="0" w:space="0" w:color="auto"/>
        <w:left w:val="none" w:sz="0" w:space="0" w:color="auto"/>
        <w:bottom w:val="none" w:sz="0" w:space="0" w:color="auto"/>
        <w:right w:val="none" w:sz="0" w:space="0" w:color="auto"/>
      </w:divBdr>
    </w:div>
    <w:div w:id="160895543">
      <w:bodyDiv w:val="1"/>
      <w:marLeft w:val="0"/>
      <w:marRight w:val="0"/>
      <w:marTop w:val="0"/>
      <w:marBottom w:val="0"/>
      <w:divBdr>
        <w:top w:val="none" w:sz="0" w:space="0" w:color="auto"/>
        <w:left w:val="none" w:sz="0" w:space="0" w:color="auto"/>
        <w:bottom w:val="none" w:sz="0" w:space="0" w:color="auto"/>
        <w:right w:val="none" w:sz="0" w:space="0" w:color="auto"/>
      </w:divBdr>
    </w:div>
    <w:div w:id="187180952">
      <w:bodyDiv w:val="1"/>
      <w:marLeft w:val="0"/>
      <w:marRight w:val="0"/>
      <w:marTop w:val="0"/>
      <w:marBottom w:val="0"/>
      <w:divBdr>
        <w:top w:val="none" w:sz="0" w:space="0" w:color="auto"/>
        <w:left w:val="none" w:sz="0" w:space="0" w:color="auto"/>
        <w:bottom w:val="none" w:sz="0" w:space="0" w:color="auto"/>
        <w:right w:val="none" w:sz="0" w:space="0" w:color="auto"/>
      </w:divBdr>
    </w:div>
    <w:div w:id="204144679">
      <w:bodyDiv w:val="1"/>
      <w:marLeft w:val="0"/>
      <w:marRight w:val="0"/>
      <w:marTop w:val="0"/>
      <w:marBottom w:val="0"/>
      <w:divBdr>
        <w:top w:val="none" w:sz="0" w:space="0" w:color="auto"/>
        <w:left w:val="none" w:sz="0" w:space="0" w:color="auto"/>
        <w:bottom w:val="none" w:sz="0" w:space="0" w:color="auto"/>
        <w:right w:val="none" w:sz="0" w:space="0" w:color="auto"/>
      </w:divBdr>
    </w:div>
    <w:div w:id="228924697">
      <w:bodyDiv w:val="1"/>
      <w:marLeft w:val="0"/>
      <w:marRight w:val="0"/>
      <w:marTop w:val="0"/>
      <w:marBottom w:val="0"/>
      <w:divBdr>
        <w:top w:val="none" w:sz="0" w:space="0" w:color="auto"/>
        <w:left w:val="none" w:sz="0" w:space="0" w:color="auto"/>
        <w:bottom w:val="none" w:sz="0" w:space="0" w:color="auto"/>
        <w:right w:val="none" w:sz="0" w:space="0" w:color="auto"/>
      </w:divBdr>
    </w:div>
    <w:div w:id="244607452">
      <w:bodyDiv w:val="1"/>
      <w:marLeft w:val="0"/>
      <w:marRight w:val="0"/>
      <w:marTop w:val="0"/>
      <w:marBottom w:val="0"/>
      <w:divBdr>
        <w:top w:val="none" w:sz="0" w:space="0" w:color="auto"/>
        <w:left w:val="none" w:sz="0" w:space="0" w:color="auto"/>
        <w:bottom w:val="none" w:sz="0" w:space="0" w:color="auto"/>
        <w:right w:val="none" w:sz="0" w:space="0" w:color="auto"/>
      </w:divBdr>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317734163">
      <w:bodyDiv w:val="1"/>
      <w:marLeft w:val="0"/>
      <w:marRight w:val="0"/>
      <w:marTop w:val="0"/>
      <w:marBottom w:val="0"/>
      <w:divBdr>
        <w:top w:val="none" w:sz="0" w:space="0" w:color="auto"/>
        <w:left w:val="none" w:sz="0" w:space="0" w:color="auto"/>
        <w:bottom w:val="none" w:sz="0" w:space="0" w:color="auto"/>
        <w:right w:val="none" w:sz="0" w:space="0" w:color="auto"/>
      </w:divBdr>
    </w:div>
    <w:div w:id="318269837">
      <w:bodyDiv w:val="1"/>
      <w:marLeft w:val="0"/>
      <w:marRight w:val="0"/>
      <w:marTop w:val="0"/>
      <w:marBottom w:val="0"/>
      <w:divBdr>
        <w:top w:val="none" w:sz="0" w:space="0" w:color="auto"/>
        <w:left w:val="none" w:sz="0" w:space="0" w:color="auto"/>
        <w:bottom w:val="none" w:sz="0" w:space="0" w:color="auto"/>
        <w:right w:val="none" w:sz="0" w:space="0" w:color="auto"/>
      </w:divBdr>
    </w:div>
    <w:div w:id="319501940">
      <w:bodyDiv w:val="1"/>
      <w:marLeft w:val="0"/>
      <w:marRight w:val="0"/>
      <w:marTop w:val="0"/>
      <w:marBottom w:val="0"/>
      <w:divBdr>
        <w:top w:val="none" w:sz="0" w:space="0" w:color="auto"/>
        <w:left w:val="none" w:sz="0" w:space="0" w:color="auto"/>
        <w:bottom w:val="none" w:sz="0" w:space="0" w:color="auto"/>
        <w:right w:val="none" w:sz="0" w:space="0" w:color="auto"/>
      </w:divBdr>
    </w:div>
    <w:div w:id="339551988">
      <w:bodyDiv w:val="1"/>
      <w:marLeft w:val="0"/>
      <w:marRight w:val="0"/>
      <w:marTop w:val="0"/>
      <w:marBottom w:val="0"/>
      <w:divBdr>
        <w:top w:val="none" w:sz="0" w:space="0" w:color="auto"/>
        <w:left w:val="none" w:sz="0" w:space="0" w:color="auto"/>
        <w:bottom w:val="none" w:sz="0" w:space="0" w:color="auto"/>
        <w:right w:val="none" w:sz="0" w:space="0" w:color="auto"/>
      </w:divBdr>
    </w:div>
    <w:div w:id="341052374">
      <w:bodyDiv w:val="1"/>
      <w:marLeft w:val="0"/>
      <w:marRight w:val="0"/>
      <w:marTop w:val="0"/>
      <w:marBottom w:val="0"/>
      <w:divBdr>
        <w:top w:val="none" w:sz="0" w:space="0" w:color="auto"/>
        <w:left w:val="none" w:sz="0" w:space="0" w:color="auto"/>
        <w:bottom w:val="none" w:sz="0" w:space="0" w:color="auto"/>
        <w:right w:val="none" w:sz="0" w:space="0" w:color="auto"/>
      </w:divBdr>
    </w:div>
    <w:div w:id="364718396">
      <w:bodyDiv w:val="1"/>
      <w:marLeft w:val="0"/>
      <w:marRight w:val="0"/>
      <w:marTop w:val="0"/>
      <w:marBottom w:val="0"/>
      <w:divBdr>
        <w:top w:val="none" w:sz="0" w:space="0" w:color="auto"/>
        <w:left w:val="none" w:sz="0" w:space="0" w:color="auto"/>
        <w:bottom w:val="none" w:sz="0" w:space="0" w:color="auto"/>
        <w:right w:val="none" w:sz="0" w:space="0" w:color="auto"/>
      </w:divBdr>
    </w:div>
    <w:div w:id="366101439">
      <w:bodyDiv w:val="1"/>
      <w:marLeft w:val="0"/>
      <w:marRight w:val="0"/>
      <w:marTop w:val="0"/>
      <w:marBottom w:val="0"/>
      <w:divBdr>
        <w:top w:val="none" w:sz="0" w:space="0" w:color="auto"/>
        <w:left w:val="none" w:sz="0" w:space="0" w:color="auto"/>
        <w:bottom w:val="none" w:sz="0" w:space="0" w:color="auto"/>
        <w:right w:val="none" w:sz="0" w:space="0" w:color="auto"/>
      </w:divBdr>
    </w:div>
    <w:div w:id="385110259">
      <w:bodyDiv w:val="1"/>
      <w:marLeft w:val="0"/>
      <w:marRight w:val="0"/>
      <w:marTop w:val="0"/>
      <w:marBottom w:val="0"/>
      <w:divBdr>
        <w:top w:val="none" w:sz="0" w:space="0" w:color="auto"/>
        <w:left w:val="none" w:sz="0" w:space="0" w:color="auto"/>
        <w:bottom w:val="none" w:sz="0" w:space="0" w:color="auto"/>
        <w:right w:val="none" w:sz="0" w:space="0" w:color="auto"/>
      </w:divBdr>
    </w:div>
    <w:div w:id="385564262">
      <w:bodyDiv w:val="1"/>
      <w:marLeft w:val="0"/>
      <w:marRight w:val="0"/>
      <w:marTop w:val="0"/>
      <w:marBottom w:val="0"/>
      <w:divBdr>
        <w:top w:val="none" w:sz="0" w:space="0" w:color="auto"/>
        <w:left w:val="none" w:sz="0" w:space="0" w:color="auto"/>
        <w:bottom w:val="none" w:sz="0" w:space="0" w:color="auto"/>
        <w:right w:val="none" w:sz="0" w:space="0" w:color="auto"/>
      </w:divBdr>
    </w:div>
    <w:div w:id="392578760">
      <w:bodyDiv w:val="1"/>
      <w:marLeft w:val="0"/>
      <w:marRight w:val="0"/>
      <w:marTop w:val="0"/>
      <w:marBottom w:val="0"/>
      <w:divBdr>
        <w:top w:val="none" w:sz="0" w:space="0" w:color="auto"/>
        <w:left w:val="none" w:sz="0" w:space="0" w:color="auto"/>
        <w:bottom w:val="none" w:sz="0" w:space="0" w:color="auto"/>
        <w:right w:val="none" w:sz="0" w:space="0" w:color="auto"/>
      </w:divBdr>
    </w:div>
    <w:div w:id="396902872">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434131934">
      <w:bodyDiv w:val="1"/>
      <w:marLeft w:val="0"/>
      <w:marRight w:val="0"/>
      <w:marTop w:val="0"/>
      <w:marBottom w:val="0"/>
      <w:divBdr>
        <w:top w:val="none" w:sz="0" w:space="0" w:color="auto"/>
        <w:left w:val="none" w:sz="0" w:space="0" w:color="auto"/>
        <w:bottom w:val="none" w:sz="0" w:space="0" w:color="auto"/>
        <w:right w:val="none" w:sz="0" w:space="0" w:color="auto"/>
      </w:divBdr>
    </w:div>
    <w:div w:id="476922259">
      <w:bodyDiv w:val="1"/>
      <w:marLeft w:val="0"/>
      <w:marRight w:val="0"/>
      <w:marTop w:val="0"/>
      <w:marBottom w:val="0"/>
      <w:divBdr>
        <w:top w:val="none" w:sz="0" w:space="0" w:color="auto"/>
        <w:left w:val="none" w:sz="0" w:space="0" w:color="auto"/>
        <w:bottom w:val="none" w:sz="0" w:space="0" w:color="auto"/>
        <w:right w:val="none" w:sz="0" w:space="0" w:color="auto"/>
      </w:divBdr>
      <w:divsChild>
        <w:div w:id="349769793">
          <w:marLeft w:val="0"/>
          <w:marRight w:val="0"/>
          <w:marTop w:val="240"/>
          <w:marBottom w:val="240"/>
          <w:divBdr>
            <w:top w:val="none" w:sz="0" w:space="0" w:color="auto"/>
            <w:left w:val="none" w:sz="0" w:space="0" w:color="auto"/>
            <w:bottom w:val="none" w:sz="0" w:space="0" w:color="auto"/>
            <w:right w:val="none" w:sz="0" w:space="0" w:color="auto"/>
          </w:divBdr>
          <w:divsChild>
            <w:div w:id="900485203">
              <w:marLeft w:val="0"/>
              <w:marRight w:val="0"/>
              <w:marTop w:val="0"/>
              <w:marBottom w:val="0"/>
              <w:divBdr>
                <w:top w:val="none" w:sz="0" w:space="0" w:color="auto"/>
                <w:left w:val="none" w:sz="0" w:space="0" w:color="auto"/>
                <w:bottom w:val="none" w:sz="0" w:space="0" w:color="auto"/>
                <w:right w:val="none" w:sz="0" w:space="0" w:color="auto"/>
              </w:divBdr>
            </w:div>
          </w:divsChild>
        </w:div>
        <w:div w:id="238828576">
          <w:marLeft w:val="0"/>
          <w:marRight w:val="0"/>
          <w:marTop w:val="0"/>
          <w:marBottom w:val="0"/>
          <w:divBdr>
            <w:top w:val="none" w:sz="0" w:space="0" w:color="auto"/>
            <w:left w:val="none" w:sz="0" w:space="0" w:color="auto"/>
            <w:bottom w:val="none" w:sz="0" w:space="0" w:color="auto"/>
            <w:right w:val="none" w:sz="0" w:space="0" w:color="auto"/>
          </w:divBdr>
        </w:div>
        <w:div w:id="1075281009">
          <w:marLeft w:val="0"/>
          <w:marRight w:val="0"/>
          <w:marTop w:val="0"/>
          <w:marBottom w:val="0"/>
          <w:divBdr>
            <w:top w:val="none" w:sz="0" w:space="0" w:color="auto"/>
            <w:left w:val="none" w:sz="0" w:space="0" w:color="auto"/>
            <w:bottom w:val="none" w:sz="0" w:space="0" w:color="auto"/>
            <w:right w:val="none" w:sz="0" w:space="0" w:color="auto"/>
          </w:divBdr>
        </w:div>
      </w:divsChild>
    </w:div>
    <w:div w:id="494567247">
      <w:bodyDiv w:val="1"/>
      <w:marLeft w:val="0"/>
      <w:marRight w:val="0"/>
      <w:marTop w:val="0"/>
      <w:marBottom w:val="0"/>
      <w:divBdr>
        <w:top w:val="none" w:sz="0" w:space="0" w:color="auto"/>
        <w:left w:val="none" w:sz="0" w:space="0" w:color="auto"/>
        <w:bottom w:val="none" w:sz="0" w:space="0" w:color="auto"/>
        <w:right w:val="none" w:sz="0" w:space="0" w:color="auto"/>
      </w:divBdr>
    </w:div>
    <w:div w:id="540095460">
      <w:bodyDiv w:val="1"/>
      <w:marLeft w:val="0"/>
      <w:marRight w:val="0"/>
      <w:marTop w:val="0"/>
      <w:marBottom w:val="0"/>
      <w:divBdr>
        <w:top w:val="none" w:sz="0" w:space="0" w:color="auto"/>
        <w:left w:val="none" w:sz="0" w:space="0" w:color="auto"/>
        <w:bottom w:val="none" w:sz="0" w:space="0" w:color="auto"/>
        <w:right w:val="none" w:sz="0" w:space="0" w:color="auto"/>
      </w:divBdr>
    </w:div>
    <w:div w:id="550581143">
      <w:bodyDiv w:val="1"/>
      <w:marLeft w:val="0"/>
      <w:marRight w:val="0"/>
      <w:marTop w:val="0"/>
      <w:marBottom w:val="0"/>
      <w:divBdr>
        <w:top w:val="none" w:sz="0" w:space="0" w:color="auto"/>
        <w:left w:val="none" w:sz="0" w:space="0" w:color="auto"/>
        <w:bottom w:val="none" w:sz="0" w:space="0" w:color="auto"/>
        <w:right w:val="none" w:sz="0" w:space="0" w:color="auto"/>
      </w:divBdr>
    </w:div>
    <w:div w:id="555433748">
      <w:bodyDiv w:val="1"/>
      <w:marLeft w:val="0"/>
      <w:marRight w:val="0"/>
      <w:marTop w:val="0"/>
      <w:marBottom w:val="0"/>
      <w:divBdr>
        <w:top w:val="none" w:sz="0" w:space="0" w:color="auto"/>
        <w:left w:val="none" w:sz="0" w:space="0" w:color="auto"/>
        <w:bottom w:val="none" w:sz="0" w:space="0" w:color="auto"/>
        <w:right w:val="none" w:sz="0" w:space="0" w:color="auto"/>
      </w:divBdr>
    </w:div>
    <w:div w:id="582570423">
      <w:bodyDiv w:val="1"/>
      <w:marLeft w:val="0"/>
      <w:marRight w:val="0"/>
      <w:marTop w:val="0"/>
      <w:marBottom w:val="0"/>
      <w:divBdr>
        <w:top w:val="none" w:sz="0" w:space="0" w:color="auto"/>
        <w:left w:val="none" w:sz="0" w:space="0" w:color="auto"/>
        <w:bottom w:val="none" w:sz="0" w:space="0" w:color="auto"/>
        <w:right w:val="none" w:sz="0" w:space="0" w:color="auto"/>
      </w:divBdr>
    </w:div>
    <w:div w:id="589587496">
      <w:bodyDiv w:val="1"/>
      <w:marLeft w:val="0"/>
      <w:marRight w:val="0"/>
      <w:marTop w:val="0"/>
      <w:marBottom w:val="0"/>
      <w:divBdr>
        <w:top w:val="none" w:sz="0" w:space="0" w:color="auto"/>
        <w:left w:val="none" w:sz="0" w:space="0" w:color="auto"/>
        <w:bottom w:val="none" w:sz="0" w:space="0" w:color="auto"/>
        <w:right w:val="none" w:sz="0" w:space="0" w:color="auto"/>
      </w:divBdr>
    </w:div>
    <w:div w:id="595940605">
      <w:bodyDiv w:val="1"/>
      <w:marLeft w:val="0"/>
      <w:marRight w:val="0"/>
      <w:marTop w:val="0"/>
      <w:marBottom w:val="0"/>
      <w:divBdr>
        <w:top w:val="none" w:sz="0" w:space="0" w:color="auto"/>
        <w:left w:val="none" w:sz="0" w:space="0" w:color="auto"/>
        <w:bottom w:val="none" w:sz="0" w:space="0" w:color="auto"/>
        <w:right w:val="none" w:sz="0" w:space="0" w:color="auto"/>
      </w:divBdr>
    </w:div>
    <w:div w:id="59729691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16522514">
      <w:bodyDiv w:val="1"/>
      <w:marLeft w:val="0"/>
      <w:marRight w:val="0"/>
      <w:marTop w:val="0"/>
      <w:marBottom w:val="0"/>
      <w:divBdr>
        <w:top w:val="none" w:sz="0" w:space="0" w:color="auto"/>
        <w:left w:val="none" w:sz="0" w:space="0" w:color="auto"/>
        <w:bottom w:val="none" w:sz="0" w:space="0" w:color="auto"/>
        <w:right w:val="none" w:sz="0" w:space="0" w:color="auto"/>
      </w:divBdr>
    </w:div>
    <w:div w:id="618414238">
      <w:bodyDiv w:val="1"/>
      <w:marLeft w:val="0"/>
      <w:marRight w:val="0"/>
      <w:marTop w:val="0"/>
      <w:marBottom w:val="0"/>
      <w:divBdr>
        <w:top w:val="none" w:sz="0" w:space="0" w:color="auto"/>
        <w:left w:val="none" w:sz="0" w:space="0" w:color="auto"/>
        <w:bottom w:val="none" w:sz="0" w:space="0" w:color="auto"/>
        <w:right w:val="none" w:sz="0" w:space="0" w:color="auto"/>
      </w:divBdr>
    </w:div>
    <w:div w:id="636688082">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31196118">
      <w:bodyDiv w:val="1"/>
      <w:marLeft w:val="0"/>
      <w:marRight w:val="0"/>
      <w:marTop w:val="0"/>
      <w:marBottom w:val="0"/>
      <w:divBdr>
        <w:top w:val="none" w:sz="0" w:space="0" w:color="auto"/>
        <w:left w:val="none" w:sz="0" w:space="0" w:color="auto"/>
        <w:bottom w:val="none" w:sz="0" w:space="0" w:color="auto"/>
        <w:right w:val="none" w:sz="0" w:space="0" w:color="auto"/>
      </w:divBdr>
    </w:div>
    <w:div w:id="731199299">
      <w:bodyDiv w:val="1"/>
      <w:marLeft w:val="0"/>
      <w:marRight w:val="0"/>
      <w:marTop w:val="0"/>
      <w:marBottom w:val="0"/>
      <w:divBdr>
        <w:top w:val="none" w:sz="0" w:space="0" w:color="auto"/>
        <w:left w:val="none" w:sz="0" w:space="0" w:color="auto"/>
        <w:bottom w:val="none" w:sz="0" w:space="0" w:color="auto"/>
        <w:right w:val="none" w:sz="0" w:space="0" w:color="auto"/>
      </w:divBdr>
    </w:div>
    <w:div w:id="731923693">
      <w:bodyDiv w:val="1"/>
      <w:marLeft w:val="0"/>
      <w:marRight w:val="0"/>
      <w:marTop w:val="0"/>
      <w:marBottom w:val="0"/>
      <w:divBdr>
        <w:top w:val="none" w:sz="0" w:space="0" w:color="auto"/>
        <w:left w:val="none" w:sz="0" w:space="0" w:color="auto"/>
        <w:bottom w:val="none" w:sz="0" w:space="0" w:color="auto"/>
        <w:right w:val="none" w:sz="0" w:space="0" w:color="auto"/>
      </w:divBdr>
    </w:div>
    <w:div w:id="737171983">
      <w:bodyDiv w:val="1"/>
      <w:marLeft w:val="0"/>
      <w:marRight w:val="0"/>
      <w:marTop w:val="0"/>
      <w:marBottom w:val="0"/>
      <w:divBdr>
        <w:top w:val="none" w:sz="0" w:space="0" w:color="auto"/>
        <w:left w:val="none" w:sz="0" w:space="0" w:color="auto"/>
        <w:bottom w:val="none" w:sz="0" w:space="0" w:color="auto"/>
        <w:right w:val="none" w:sz="0" w:space="0" w:color="auto"/>
      </w:divBdr>
    </w:div>
    <w:div w:id="739710653">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779030299">
      <w:bodyDiv w:val="1"/>
      <w:marLeft w:val="0"/>
      <w:marRight w:val="0"/>
      <w:marTop w:val="0"/>
      <w:marBottom w:val="0"/>
      <w:divBdr>
        <w:top w:val="none" w:sz="0" w:space="0" w:color="auto"/>
        <w:left w:val="none" w:sz="0" w:space="0" w:color="auto"/>
        <w:bottom w:val="none" w:sz="0" w:space="0" w:color="auto"/>
        <w:right w:val="none" w:sz="0" w:space="0" w:color="auto"/>
      </w:divBdr>
    </w:div>
    <w:div w:id="780994334">
      <w:bodyDiv w:val="1"/>
      <w:marLeft w:val="0"/>
      <w:marRight w:val="0"/>
      <w:marTop w:val="0"/>
      <w:marBottom w:val="0"/>
      <w:divBdr>
        <w:top w:val="none" w:sz="0" w:space="0" w:color="auto"/>
        <w:left w:val="none" w:sz="0" w:space="0" w:color="auto"/>
        <w:bottom w:val="none" w:sz="0" w:space="0" w:color="auto"/>
        <w:right w:val="none" w:sz="0" w:space="0" w:color="auto"/>
      </w:divBdr>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44243257">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875969288">
      <w:bodyDiv w:val="1"/>
      <w:marLeft w:val="0"/>
      <w:marRight w:val="0"/>
      <w:marTop w:val="0"/>
      <w:marBottom w:val="0"/>
      <w:divBdr>
        <w:top w:val="none" w:sz="0" w:space="0" w:color="auto"/>
        <w:left w:val="none" w:sz="0" w:space="0" w:color="auto"/>
        <w:bottom w:val="none" w:sz="0" w:space="0" w:color="auto"/>
        <w:right w:val="none" w:sz="0" w:space="0" w:color="auto"/>
      </w:divBdr>
    </w:div>
    <w:div w:id="904337186">
      <w:bodyDiv w:val="1"/>
      <w:marLeft w:val="0"/>
      <w:marRight w:val="0"/>
      <w:marTop w:val="0"/>
      <w:marBottom w:val="0"/>
      <w:divBdr>
        <w:top w:val="none" w:sz="0" w:space="0" w:color="auto"/>
        <w:left w:val="none" w:sz="0" w:space="0" w:color="auto"/>
        <w:bottom w:val="none" w:sz="0" w:space="0" w:color="auto"/>
        <w:right w:val="none" w:sz="0" w:space="0" w:color="auto"/>
      </w:divBdr>
    </w:div>
    <w:div w:id="915434588">
      <w:bodyDiv w:val="1"/>
      <w:marLeft w:val="0"/>
      <w:marRight w:val="0"/>
      <w:marTop w:val="0"/>
      <w:marBottom w:val="0"/>
      <w:divBdr>
        <w:top w:val="none" w:sz="0" w:space="0" w:color="auto"/>
        <w:left w:val="none" w:sz="0" w:space="0" w:color="auto"/>
        <w:bottom w:val="none" w:sz="0" w:space="0" w:color="auto"/>
        <w:right w:val="none" w:sz="0" w:space="0" w:color="auto"/>
      </w:divBdr>
    </w:div>
    <w:div w:id="926036275">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41835692">
      <w:bodyDiv w:val="1"/>
      <w:marLeft w:val="0"/>
      <w:marRight w:val="0"/>
      <w:marTop w:val="0"/>
      <w:marBottom w:val="0"/>
      <w:divBdr>
        <w:top w:val="none" w:sz="0" w:space="0" w:color="auto"/>
        <w:left w:val="none" w:sz="0" w:space="0" w:color="auto"/>
        <w:bottom w:val="none" w:sz="0" w:space="0" w:color="auto"/>
        <w:right w:val="none" w:sz="0" w:space="0" w:color="auto"/>
      </w:divBdr>
    </w:div>
    <w:div w:id="954673034">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1546261">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22628356">
      <w:bodyDiv w:val="1"/>
      <w:marLeft w:val="0"/>
      <w:marRight w:val="0"/>
      <w:marTop w:val="0"/>
      <w:marBottom w:val="0"/>
      <w:divBdr>
        <w:top w:val="none" w:sz="0" w:space="0" w:color="auto"/>
        <w:left w:val="none" w:sz="0" w:space="0" w:color="auto"/>
        <w:bottom w:val="none" w:sz="0" w:space="0" w:color="auto"/>
        <w:right w:val="none" w:sz="0" w:space="0" w:color="auto"/>
      </w:divBdr>
    </w:div>
    <w:div w:id="1037660585">
      <w:bodyDiv w:val="1"/>
      <w:marLeft w:val="0"/>
      <w:marRight w:val="0"/>
      <w:marTop w:val="0"/>
      <w:marBottom w:val="0"/>
      <w:divBdr>
        <w:top w:val="none" w:sz="0" w:space="0" w:color="auto"/>
        <w:left w:val="none" w:sz="0" w:space="0" w:color="auto"/>
        <w:bottom w:val="none" w:sz="0" w:space="0" w:color="auto"/>
        <w:right w:val="none" w:sz="0" w:space="0" w:color="auto"/>
      </w:divBdr>
    </w:div>
    <w:div w:id="1041440513">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082292926">
      <w:bodyDiv w:val="1"/>
      <w:marLeft w:val="0"/>
      <w:marRight w:val="0"/>
      <w:marTop w:val="0"/>
      <w:marBottom w:val="0"/>
      <w:divBdr>
        <w:top w:val="none" w:sz="0" w:space="0" w:color="auto"/>
        <w:left w:val="none" w:sz="0" w:space="0" w:color="auto"/>
        <w:bottom w:val="none" w:sz="0" w:space="0" w:color="auto"/>
        <w:right w:val="none" w:sz="0" w:space="0" w:color="auto"/>
      </w:divBdr>
    </w:div>
    <w:div w:id="1160586449">
      <w:bodyDiv w:val="1"/>
      <w:marLeft w:val="0"/>
      <w:marRight w:val="0"/>
      <w:marTop w:val="0"/>
      <w:marBottom w:val="0"/>
      <w:divBdr>
        <w:top w:val="none" w:sz="0" w:space="0" w:color="auto"/>
        <w:left w:val="none" w:sz="0" w:space="0" w:color="auto"/>
        <w:bottom w:val="none" w:sz="0" w:space="0" w:color="auto"/>
        <w:right w:val="none" w:sz="0" w:space="0" w:color="auto"/>
      </w:divBdr>
    </w:div>
    <w:div w:id="1169753618">
      <w:bodyDiv w:val="1"/>
      <w:marLeft w:val="0"/>
      <w:marRight w:val="0"/>
      <w:marTop w:val="0"/>
      <w:marBottom w:val="0"/>
      <w:divBdr>
        <w:top w:val="none" w:sz="0" w:space="0" w:color="auto"/>
        <w:left w:val="none" w:sz="0" w:space="0" w:color="auto"/>
        <w:bottom w:val="none" w:sz="0" w:space="0" w:color="auto"/>
        <w:right w:val="none" w:sz="0" w:space="0" w:color="auto"/>
      </w:divBdr>
    </w:div>
    <w:div w:id="1179930557">
      <w:bodyDiv w:val="1"/>
      <w:marLeft w:val="0"/>
      <w:marRight w:val="0"/>
      <w:marTop w:val="0"/>
      <w:marBottom w:val="0"/>
      <w:divBdr>
        <w:top w:val="none" w:sz="0" w:space="0" w:color="auto"/>
        <w:left w:val="none" w:sz="0" w:space="0" w:color="auto"/>
        <w:bottom w:val="none" w:sz="0" w:space="0" w:color="auto"/>
        <w:right w:val="none" w:sz="0" w:space="0" w:color="auto"/>
      </w:divBdr>
    </w:div>
    <w:div w:id="1188059562">
      <w:bodyDiv w:val="1"/>
      <w:marLeft w:val="0"/>
      <w:marRight w:val="0"/>
      <w:marTop w:val="0"/>
      <w:marBottom w:val="0"/>
      <w:divBdr>
        <w:top w:val="none" w:sz="0" w:space="0" w:color="auto"/>
        <w:left w:val="none" w:sz="0" w:space="0" w:color="auto"/>
        <w:bottom w:val="none" w:sz="0" w:space="0" w:color="auto"/>
        <w:right w:val="none" w:sz="0" w:space="0" w:color="auto"/>
      </w:divBdr>
    </w:div>
    <w:div w:id="1256476114">
      <w:bodyDiv w:val="1"/>
      <w:marLeft w:val="0"/>
      <w:marRight w:val="0"/>
      <w:marTop w:val="0"/>
      <w:marBottom w:val="0"/>
      <w:divBdr>
        <w:top w:val="none" w:sz="0" w:space="0" w:color="auto"/>
        <w:left w:val="none" w:sz="0" w:space="0" w:color="auto"/>
        <w:bottom w:val="none" w:sz="0" w:space="0" w:color="auto"/>
        <w:right w:val="none" w:sz="0" w:space="0" w:color="auto"/>
      </w:divBdr>
    </w:div>
    <w:div w:id="1258253186">
      <w:bodyDiv w:val="1"/>
      <w:marLeft w:val="0"/>
      <w:marRight w:val="0"/>
      <w:marTop w:val="0"/>
      <w:marBottom w:val="0"/>
      <w:divBdr>
        <w:top w:val="none" w:sz="0" w:space="0" w:color="auto"/>
        <w:left w:val="none" w:sz="0" w:space="0" w:color="auto"/>
        <w:bottom w:val="none" w:sz="0" w:space="0" w:color="auto"/>
        <w:right w:val="none" w:sz="0" w:space="0" w:color="auto"/>
      </w:divBdr>
    </w:div>
    <w:div w:id="1268005105">
      <w:bodyDiv w:val="1"/>
      <w:marLeft w:val="0"/>
      <w:marRight w:val="0"/>
      <w:marTop w:val="0"/>
      <w:marBottom w:val="0"/>
      <w:divBdr>
        <w:top w:val="none" w:sz="0" w:space="0" w:color="auto"/>
        <w:left w:val="none" w:sz="0" w:space="0" w:color="auto"/>
        <w:bottom w:val="none" w:sz="0" w:space="0" w:color="auto"/>
        <w:right w:val="none" w:sz="0" w:space="0" w:color="auto"/>
      </w:divBdr>
    </w:div>
    <w:div w:id="1303465478">
      <w:bodyDiv w:val="1"/>
      <w:marLeft w:val="0"/>
      <w:marRight w:val="0"/>
      <w:marTop w:val="0"/>
      <w:marBottom w:val="0"/>
      <w:divBdr>
        <w:top w:val="none" w:sz="0" w:space="0" w:color="auto"/>
        <w:left w:val="none" w:sz="0" w:space="0" w:color="auto"/>
        <w:bottom w:val="none" w:sz="0" w:space="0" w:color="auto"/>
        <w:right w:val="none" w:sz="0" w:space="0" w:color="auto"/>
      </w:divBdr>
    </w:div>
    <w:div w:id="1310478078">
      <w:bodyDiv w:val="1"/>
      <w:marLeft w:val="0"/>
      <w:marRight w:val="0"/>
      <w:marTop w:val="0"/>
      <w:marBottom w:val="0"/>
      <w:divBdr>
        <w:top w:val="none" w:sz="0" w:space="0" w:color="auto"/>
        <w:left w:val="none" w:sz="0" w:space="0" w:color="auto"/>
        <w:bottom w:val="none" w:sz="0" w:space="0" w:color="auto"/>
        <w:right w:val="none" w:sz="0" w:space="0" w:color="auto"/>
      </w:divBdr>
    </w:div>
    <w:div w:id="1326400097">
      <w:bodyDiv w:val="1"/>
      <w:marLeft w:val="0"/>
      <w:marRight w:val="0"/>
      <w:marTop w:val="0"/>
      <w:marBottom w:val="0"/>
      <w:divBdr>
        <w:top w:val="none" w:sz="0" w:space="0" w:color="auto"/>
        <w:left w:val="none" w:sz="0" w:space="0" w:color="auto"/>
        <w:bottom w:val="none" w:sz="0" w:space="0" w:color="auto"/>
        <w:right w:val="none" w:sz="0" w:space="0" w:color="auto"/>
      </w:divBdr>
    </w:div>
    <w:div w:id="1341203007">
      <w:bodyDiv w:val="1"/>
      <w:marLeft w:val="0"/>
      <w:marRight w:val="0"/>
      <w:marTop w:val="0"/>
      <w:marBottom w:val="0"/>
      <w:divBdr>
        <w:top w:val="none" w:sz="0" w:space="0" w:color="auto"/>
        <w:left w:val="none" w:sz="0" w:space="0" w:color="auto"/>
        <w:bottom w:val="none" w:sz="0" w:space="0" w:color="auto"/>
        <w:right w:val="none" w:sz="0" w:space="0" w:color="auto"/>
      </w:divBdr>
    </w:div>
    <w:div w:id="1383745057">
      <w:bodyDiv w:val="1"/>
      <w:marLeft w:val="0"/>
      <w:marRight w:val="0"/>
      <w:marTop w:val="0"/>
      <w:marBottom w:val="0"/>
      <w:divBdr>
        <w:top w:val="none" w:sz="0" w:space="0" w:color="auto"/>
        <w:left w:val="none" w:sz="0" w:space="0" w:color="auto"/>
        <w:bottom w:val="none" w:sz="0" w:space="0" w:color="auto"/>
        <w:right w:val="none" w:sz="0" w:space="0" w:color="auto"/>
      </w:divBdr>
    </w:div>
    <w:div w:id="1429765782">
      <w:bodyDiv w:val="1"/>
      <w:marLeft w:val="0"/>
      <w:marRight w:val="0"/>
      <w:marTop w:val="0"/>
      <w:marBottom w:val="0"/>
      <w:divBdr>
        <w:top w:val="none" w:sz="0" w:space="0" w:color="auto"/>
        <w:left w:val="none" w:sz="0" w:space="0" w:color="auto"/>
        <w:bottom w:val="none" w:sz="0" w:space="0" w:color="auto"/>
        <w:right w:val="none" w:sz="0" w:space="0" w:color="auto"/>
      </w:divBdr>
    </w:div>
    <w:div w:id="1440102983">
      <w:bodyDiv w:val="1"/>
      <w:marLeft w:val="0"/>
      <w:marRight w:val="0"/>
      <w:marTop w:val="0"/>
      <w:marBottom w:val="0"/>
      <w:divBdr>
        <w:top w:val="none" w:sz="0" w:space="0" w:color="auto"/>
        <w:left w:val="none" w:sz="0" w:space="0" w:color="auto"/>
        <w:bottom w:val="none" w:sz="0" w:space="0" w:color="auto"/>
        <w:right w:val="none" w:sz="0" w:space="0" w:color="auto"/>
      </w:divBdr>
    </w:div>
    <w:div w:id="1486165254">
      <w:bodyDiv w:val="1"/>
      <w:marLeft w:val="0"/>
      <w:marRight w:val="0"/>
      <w:marTop w:val="0"/>
      <w:marBottom w:val="0"/>
      <w:divBdr>
        <w:top w:val="none" w:sz="0" w:space="0" w:color="auto"/>
        <w:left w:val="none" w:sz="0" w:space="0" w:color="auto"/>
        <w:bottom w:val="none" w:sz="0" w:space="0" w:color="auto"/>
        <w:right w:val="none" w:sz="0" w:space="0" w:color="auto"/>
      </w:divBdr>
    </w:div>
    <w:div w:id="1493374080">
      <w:bodyDiv w:val="1"/>
      <w:marLeft w:val="0"/>
      <w:marRight w:val="0"/>
      <w:marTop w:val="0"/>
      <w:marBottom w:val="0"/>
      <w:divBdr>
        <w:top w:val="none" w:sz="0" w:space="0" w:color="auto"/>
        <w:left w:val="none" w:sz="0" w:space="0" w:color="auto"/>
        <w:bottom w:val="none" w:sz="0" w:space="0" w:color="auto"/>
        <w:right w:val="none" w:sz="0" w:space="0" w:color="auto"/>
      </w:divBdr>
    </w:div>
    <w:div w:id="1509363931">
      <w:bodyDiv w:val="1"/>
      <w:marLeft w:val="0"/>
      <w:marRight w:val="0"/>
      <w:marTop w:val="0"/>
      <w:marBottom w:val="0"/>
      <w:divBdr>
        <w:top w:val="none" w:sz="0" w:space="0" w:color="auto"/>
        <w:left w:val="none" w:sz="0" w:space="0" w:color="auto"/>
        <w:bottom w:val="none" w:sz="0" w:space="0" w:color="auto"/>
        <w:right w:val="none" w:sz="0" w:space="0" w:color="auto"/>
      </w:divBdr>
    </w:div>
    <w:div w:id="1516534486">
      <w:bodyDiv w:val="1"/>
      <w:marLeft w:val="0"/>
      <w:marRight w:val="0"/>
      <w:marTop w:val="0"/>
      <w:marBottom w:val="0"/>
      <w:divBdr>
        <w:top w:val="none" w:sz="0" w:space="0" w:color="auto"/>
        <w:left w:val="none" w:sz="0" w:space="0" w:color="auto"/>
        <w:bottom w:val="none" w:sz="0" w:space="0" w:color="auto"/>
        <w:right w:val="none" w:sz="0" w:space="0" w:color="auto"/>
      </w:divBdr>
    </w:div>
    <w:div w:id="1524517345">
      <w:bodyDiv w:val="1"/>
      <w:marLeft w:val="0"/>
      <w:marRight w:val="0"/>
      <w:marTop w:val="0"/>
      <w:marBottom w:val="0"/>
      <w:divBdr>
        <w:top w:val="none" w:sz="0" w:space="0" w:color="auto"/>
        <w:left w:val="none" w:sz="0" w:space="0" w:color="auto"/>
        <w:bottom w:val="none" w:sz="0" w:space="0" w:color="auto"/>
        <w:right w:val="none" w:sz="0" w:space="0" w:color="auto"/>
      </w:divBdr>
    </w:div>
    <w:div w:id="1524855731">
      <w:bodyDiv w:val="1"/>
      <w:marLeft w:val="0"/>
      <w:marRight w:val="0"/>
      <w:marTop w:val="0"/>
      <w:marBottom w:val="0"/>
      <w:divBdr>
        <w:top w:val="none" w:sz="0" w:space="0" w:color="auto"/>
        <w:left w:val="none" w:sz="0" w:space="0" w:color="auto"/>
        <w:bottom w:val="none" w:sz="0" w:space="0" w:color="auto"/>
        <w:right w:val="none" w:sz="0" w:space="0" w:color="auto"/>
      </w:divBdr>
    </w:div>
    <w:div w:id="1527794541">
      <w:bodyDiv w:val="1"/>
      <w:marLeft w:val="0"/>
      <w:marRight w:val="0"/>
      <w:marTop w:val="0"/>
      <w:marBottom w:val="0"/>
      <w:divBdr>
        <w:top w:val="none" w:sz="0" w:space="0" w:color="auto"/>
        <w:left w:val="none" w:sz="0" w:space="0" w:color="auto"/>
        <w:bottom w:val="none" w:sz="0" w:space="0" w:color="auto"/>
        <w:right w:val="none" w:sz="0" w:space="0" w:color="auto"/>
      </w:divBdr>
    </w:div>
    <w:div w:id="1544749785">
      <w:bodyDiv w:val="1"/>
      <w:marLeft w:val="0"/>
      <w:marRight w:val="0"/>
      <w:marTop w:val="0"/>
      <w:marBottom w:val="0"/>
      <w:divBdr>
        <w:top w:val="none" w:sz="0" w:space="0" w:color="auto"/>
        <w:left w:val="none" w:sz="0" w:space="0" w:color="auto"/>
        <w:bottom w:val="none" w:sz="0" w:space="0" w:color="auto"/>
        <w:right w:val="none" w:sz="0" w:space="0" w:color="auto"/>
      </w:divBdr>
    </w:div>
    <w:div w:id="1553422712">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576360667">
      <w:bodyDiv w:val="1"/>
      <w:marLeft w:val="0"/>
      <w:marRight w:val="0"/>
      <w:marTop w:val="0"/>
      <w:marBottom w:val="0"/>
      <w:divBdr>
        <w:top w:val="none" w:sz="0" w:space="0" w:color="auto"/>
        <w:left w:val="none" w:sz="0" w:space="0" w:color="auto"/>
        <w:bottom w:val="none" w:sz="0" w:space="0" w:color="auto"/>
        <w:right w:val="none" w:sz="0" w:space="0" w:color="auto"/>
      </w:divBdr>
    </w:div>
    <w:div w:id="1580679140">
      <w:bodyDiv w:val="1"/>
      <w:marLeft w:val="0"/>
      <w:marRight w:val="0"/>
      <w:marTop w:val="0"/>
      <w:marBottom w:val="0"/>
      <w:divBdr>
        <w:top w:val="none" w:sz="0" w:space="0" w:color="auto"/>
        <w:left w:val="none" w:sz="0" w:space="0" w:color="auto"/>
        <w:bottom w:val="none" w:sz="0" w:space="0" w:color="auto"/>
        <w:right w:val="none" w:sz="0" w:space="0" w:color="auto"/>
      </w:divBdr>
    </w:div>
    <w:div w:id="1584298202">
      <w:bodyDiv w:val="1"/>
      <w:marLeft w:val="0"/>
      <w:marRight w:val="0"/>
      <w:marTop w:val="0"/>
      <w:marBottom w:val="0"/>
      <w:divBdr>
        <w:top w:val="none" w:sz="0" w:space="0" w:color="auto"/>
        <w:left w:val="none" w:sz="0" w:space="0" w:color="auto"/>
        <w:bottom w:val="none" w:sz="0" w:space="0" w:color="auto"/>
        <w:right w:val="none" w:sz="0" w:space="0" w:color="auto"/>
      </w:divBdr>
    </w:div>
    <w:div w:id="1589657029">
      <w:bodyDiv w:val="1"/>
      <w:marLeft w:val="0"/>
      <w:marRight w:val="0"/>
      <w:marTop w:val="0"/>
      <w:marBottom w:val="0"/>
      <w:divBdr>
        <w:top w:val="none" w:sz="0" w:space="0" w:color="auto"/>
        <w:left w:val="none" w:sz="0" w:space="0" w:color="auto"/>
        <w:bottom w:val="none" w:sz="0" w:space="0" w:color="auto"/>
        <w:right w:val="none" w:sz="0" w:space="0" w:color="auto"/>
      </w:divBdr>
    </w:div>
    <w:div w:id="1630548282">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047679">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689746235">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703019112">
      <w:bodyDiv w:val="1"/>
      <w:marLeft w:val="0"/>
      <w:marRight w:val="0"/>
      <w:marTop w:val="0"/>
      <w:marBottom w:val="0"/>
      <w:divBdr>
        <w:top w:val="none" w:sz="0" w:space="0" w:color="auto"/>
        <w:left w:val="none" w:sz="0" w:space="0" w:color="auto"/>
        <w:bottom w:val="none" w:sz="0" w:space="0" w:color="auto"/>
        <w:right w:val="none" w:sz="0" w:space="0" w:color="auto"/>
      </w:divBdr>
    </w:div>
    <w:div w:id="1717311365">
      <w:bodyDiv w:val="1"/>
      <w:marLeft w:val="0"/>
      <w:marRight w:val="0"/>
      <w:marTop w:val="0"/>
      <w:marBottom w:val="0"/>
      <w:divBdr>
        <w:top w:val="none" w:sz="0" w:space="0" w:color="auto"/>
        <w:left w:val="none" w:sz="0" w:space="0" w:color="auto"/>
        <w:bottom w:val="none" w:sz="0" w:space="0" w:color="auto"/>
        <w:right w:val="none" w:sz="0" w:space="0" w:color="auto"/>
      </w:divBdr>
    </w:div>
    <w:div w:id="1731267472">
      <w:bodyDiv w:val="1"/>
      <w:marLeft w:val="0"/>
      <w:marRight w:val="0"/>
      <w:marTop w:val="0"/>
      <w:marBottom w:val="0"/>
      <w:divBdr>
        <w:top w:val="none" w:sz="0" w:space="0" w:color="auto"/>
        <w:left w:val="none" w:sz="0" w:space="0" w:color="auto"/>
        <w:bottom w:val="none" w:sz="0" w:space="0" w:color="auto"/>
        <w:right w:val="none" w:sz="0" w:space="0" w:color="auto"/>
      </w:divBdr>
    </w:div>
    <w:div w:id="1732582816">
      <w:bodyDiv w:val="1"/>
      <w:marLeft w:val="0"/>
      <w:marRight w:val="0"/>
      <w:marTop w:val="0"/>
      <w:marBottom w:val="0"/>
      <w:divBdr>
        <w:top w:val="none" w:sz="0" w:space="0" w:color="auto"/>
        <w:left w:val="none" w:sz="0" w:space="0" w:color="auto"/>
        <w:bottom w:val="none" w:sz="0" w:space="0" w:color="auto"/>
        <w:right w:val="none" w:sz="0" w:space="0" w:color="auto"/>
      </w:divBdr>
    </w:div>
    <w:div w:id="1746028035">
      <w:bodyDiv w:val="1"/>
      <w:marLeft w:val="0"/>
      <w:marRight w:val="0"/>
      <w:marTop w:val="0"/>
      <w:marBottom w:val="0"/>
      <w:divBdr>
        <w:top w:val="none" w:sz="0" w:space="0" w:color="auto"/>
        <w:left w:val="none" w:sz="0" w:space="0" w:color="auto"/>
        <w:bottom w:val="none" w:sz="0" w:space="0" w:color="auto"/>
        <w:right w:val="none" w:sz="0" w:space="0" w:color="auto"/>
      </w:divBdr>
    </w:div>
    <w:div w:id="1769812801">
      <w:bodyDiv w:val="1"/>
      <w:marLeft w:val="0"/>
      <w:marRight w:val="0"/>
      <w:marTop w:val="0"/>
      <w:marBottom w:val="0"/>
      <w:divBdr>
        <w:top w:val="none" w:sz="0" w:space="0" w:color="auto"/>
        <w:left w:val="none" w:sz="0" w:space="0" w:color="auto"/>
        <w:bottom w:val="none" w:sz="0" w:space="0" w:color="auto"/>
        <w:right w:val="none" w:sz="0" w:space="0" w:color="auto"/>
      </w:divBdr>
    </w:div>
    <w:div w:id="1781871556">
      <w:bodyDiv w:val="1"/>
      <w:marLeft w:val="0"/>
      <w:marRight w:val="0"/>
      <w:marTop w:val="0"/>
      <w:marBottom w:val="0"/>
      <w:divBdr>
        <w:top w:val="none" w:sz="0" w:space="0" w:color="auto"/>
        <w:left w:val="none" w:sz="0" w:space="0" w:color="auto"/>
        <w:bottom w:val="none" w:sz="0" w:space="0" w:color="auto"/>
        <w:right w:val="none" w:sz="0" w:space="0" w:color="auto"/>
      </w:divBdr>
    </w:div>
    <w:div w:id="1787043989">
      <w:bodyDiv w:val="1"/>
      <w:marLeft w:val="0"/>
      <w:marRight w:val="0"/>
      <w:marTop w:val="0"/>
      <w:marBottom w:val="0"/>
      <w:divBdr>
        <w:top w:val="none" w:sz="0" w:space="0" w:color="auto"/>
        <w:left w:val="none" w:sz="0" w:space="0" w:color="auto"/>
        <w:bottom w:val="none" w:sz="0" w:space="0" w:color="auto"/>
        <w:right w:val="none" w:sz="0" w:space="0" w:color="auto"/>
      </w:divBdr>
    </w:div>
    <w:div w:id="1829468965">
      <w:bodyDiv w:val="1"/>
      <w:marLeft w:val="0"/>
      <w:marRight w:val="0"/>
      <w:marTop w:val="0"/>
      <w:marBottom w:val="0"/>
      <w:divBdr>
        <w:top w:val="none" w:sz="0" w:space="0" w:color="auto"/>
        <w:left w:val="none" w:sz="0" w:space="0" w:color="auto"/>
        <w:bottom w:val="none" w:sz="0" w:space="0" w:color="auto"/>
        <w:right w:val="none" w:sz="0" w:space="0" w:color="auto"/>
      </w:divBdr>
    </w:div>
    <w:div w:id="1855992036">
      <w:bodyDiv w:val="1"/>
      <w:marLeft w:val="0"/>
      <w:marRight w:val="0"/>
      <w:marTop w:val="0"/>
      <w:marBottom w:val="0"/>
      <w:divBdr>
        <w:top w:val="none" w:sz="0" w:space="0" w:color="auto"/>
        <w:left w:val="none" w:sz="0" w:space="0" w:color="auto"/>
        <w:bottom w:val="none" w:sz="0" w:space="0" w:color="auto"/>
        <w:right w:val="none" w:sz="0" w:space="0" w:color="auto"/>
      </w:divBdr>
    </w:div>
    <w:div w:id="1889493101">
      <w:bodyDiv w:val="1"/>
      <w:marLeft w:val="0"/>
      <w:marRight w:val="0"/>
      <w:marTop w:val="0"/>
      <w:marBottom w:val="0"/>
      <w:divBdr>
        <w:top w:val="none" w:sz="0" w:space="0" w:color="auto"/>
        <w:left w:val="none" w:sz="0" w:space="0" w:color="auto"/>
        <w:bottom w:val="none" w:sz="0" w:space="0" w:color="auto"/>
        <w:right w:val="none" w:sz="0" w:space="0" w:color="auto"/>
      </w:divBdr>
    </w:div>
    <w:div w:id="1896157415">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1940214062">
      <w:bodyDiv w:val="1"/>
      <w:marLeft w:val="0"/>
      <w:marRight w:val="0"/>
      <w:marTop w:val="0"/>
      <w:marBottom w:val="0"/>
      <w:divBdr>
        <w:top w:val="none" w:sz="0" w:space="0" w:color="auto"/>
        <w:left w:val="none" w:sz="0" w:space="0" w:color="auto"/>
        <w:bottom w:val="none" w:sz="0" w:space="0" w:color="auto"/>
        <w:right w:val="none" w:sz="0" w:space="0" w:color="auto"/>
      </w:divBdr>
    </w:div>
    <w:div w:id="1949727761">
      <w:bodyDiv w:val="1"/>
      <w:marLeft w:val="0"/>
      <w:marRight w:val="0"/>
      <w:marTop w:val="0"/>
      <w:marBottom w:val="0"/>
      <w:divBdr>
        <w:top w:val="none" w:sz="0" w:space="0" w:color="auto"/>
        <w:left w:val="none" w:sz="0" w:space="0" w:color="auto"/>
        <w:bottom w:val="none" w:sz="0" w:space="0" w:color="auto"/>
        <w:right w:val="none" w:sz="0" w:space="0" w:color="auto"/>
      </w:divBdr>
    </w:div>
    <w:div w:id="1962690229">
      <w:bodyDiv w:val="1"/>
      <w:marLeft w:val="0"/>
      <w:marRight w:val="0"/>
      <w:marTop w:val="0"/>
      <w:marBottom w:val="0"/>
      <w:divBdr>
        <w:top w:val="none" w:sz="0" w:space="0" w:color="auto"/>
        <w:left w:val="none" w:sz="0" w:space="0" w:color="auto"/>
        <w:bottom w:val="none" w:sz="0" w:space="0" w:color="auto"/>
        <w:right w:val="none" w:sz="0" w:space="0" w:color="auto"/>
      </w:divBdr>
    </w:div>
    <w:div w:id="2044402201">
      <w:bodyDiv w:val="1"/>
      <w:marLeft w:val="0"/>
      <w:marRight w:val="0"/>
      <w:marTop w:val="0"/>
      <w:marBottom w:val="0"/>
      <w:divBdr>
        <w:top w:val="none" w:sz="0" w:space="0" w:color="auto"/>
        <w:left w:val="none" w:sz="0" w:space="0" w:color="auto"/>
        <w:bottom w:val="none" w:sz="0" w:space="0" w:color="auto"/>
        <w:right w:val="none" w:sz="0" w:space="0" w:color="auto"/>
      </w:divBdr>
    </w:div>
    <w:div w:id="2045710361">
      <w:bodyDiv w:val="1"/>
      <w:marLeft w:val="0"/>
      <w:marRight w:val="0"/>
      <w:marTop w:val="0"/>
      <w:marBottom w:val="0"/>
      <w:divBdr>
        <w:top w:val="none" w:sz="0" w:space="0" w:color="auto"/>
        <w:left w:val="none" w:sz="0" w:space="0" w:color="auto"/>
        <w:bottom w:val="none" w:sz="0" w:space="0" w:color="auto"/>
        <w:right w:val="none" w:sz="0" w:space="0" w:color="auto"/>
      </w:divBdr>
    </w:div>
    <w:div w:id="2057118983">
      <w:bodyDiv w:val="1"/>
      <w:marLeft w:val="0"/>
      <w:marRight w:val="0"/>
      <w:marTop w:val="0"/>
      <w:marBottom w:val="0"/>
      <w:divBdr>
        <w:top w:val="none" w:sz="0" w:space="0" w:color="auto"/>
        <w:left w:val="none" w:sz="0" w:space="0" w:color="auto"/>
        <w:bottom w:val="none" w:sz="0" w:space="0" w:color="auto"/>
        <w:right w:val="none" w:sz="0" w:space="0" w:color="auto"/>
      </w:divBdr>
    </w:div>
    <w:div w:id="2076387736">
      <w:bodyDiv w:val="1"/>
      <w:marLeft w:val="0"/>
      <w:marRight w:val="0"/>
      <w:marTop w:val="0"/>
      <w:marBottom w:val="0"/>
      <w:divBdr>
        <w:top w:val="none" w:sz="0" w:space="0" w:color="auto"/>
        <w:left w:val="none" w:sz="0" w:space="0" w:color="auto"/>
        <w:bottom w:val="none" w:sz="0" w:space="0" w:color="auto"/>
        <w:right w:val="none" w:sz="0" w:space="0" w:color="auto"/>
      </w:divBdr>
    </w:div>
    <w:div w:id="2093155720">
      <w:bodyDiv w:val="1"/>
      <w:marLeft w:val="0"/>
      <w:marRight w:val="0"/>
      <w:marTop w:val="0"/>
      <w:marBottom w:val="0"/>
      <w:divBdr>
        <w:top w:val="none" w:sz="0" w:space="0" w:color="auto"/>
        <w:left w:val="none" w:sz="0" w:space="0" w:color="auto"/>
        <w:bottom w:val="none" w:sz="0" w:space="0" w:color="auto"/>
        <w:right w:val="none" w:sz="0" w:space="0" w:color="auto"/>
      </w:divBdr>
    </w:div>
    <w:div w:id="2098599742">
      <w:bodyDiv w:val="1"/>
      <w:marLeft w:val="0"/>
      <w:marRight w:val="0"/>
      <w:marTop w:val="0"/>
      <w:marBottom w:val="0"/>
      <w:divBdr>
        <w:top w:val="none" w:sz="0" w:space="0" w:color="auto"/>
        <w:left w:val="none" w:sz="0" w:space="0" w:color="auto"/>
        <w:bottom w:val="none" w:sz="0" w:space="0" w:color="auto"/>
        <w:right w:val="none" w:sz="0" w:space="0" w:color="auto"/>
      </w:divBdr>
    </w:div>
    <w:div w:id="21221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5.xml"/></Relationships>
</file>

<file path=word/charts/_rels/chart1.xml.rels><?xml version="1.0" encoding="UTF-8" standalone="yes"?>
<Relationships xmlns="http://schemas.openxmlformats.org/package/2006/relationships"><Relationship Id="rId1" Type="http://schemas.openxmlformats.org/officeDocument/2006/relationships/oleObject" Target="file:///\\sestdpt2\fintr\Sant%20Stuff\GRC\GRC%202017\Testimony%20Draft%203_Dec%202%202016\Testimony%20Tabl_LT%20Debt%20Improvement%20over%20time%20-%20WACC.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a:ea typeface="Arial"/>
                <a:cs typeface="Arial"/>
              </a:defRPr>
            </a:pPr>
            <a:r>
              <a:rPr lang="en-US"/>
              <a:t>PSE Cost of LT Debt History Actuals</a:t>
            </a:r>
            <a:r>
              <a:rPr lang="en-US" baseline="0"/>
              <a:t> from 2000-2015 vs 2017 GRC Request</a:t>
            </a:r>
            <a:endParaRPr lang="en-US"/>
          </a:p>
        </c:rich>
      </c:tx>
      <c:layout>
        <c:manualLayout>
          <c:xMode val="edge"/>
          <c:yMode val="edge"/>
          <c:x val="0.15222989617765356"/>
          <c:y val="5.3119397811122668E-2"/>
        </c:manualLayout>
      </c:layout>
      <c:overlay val="0"/>
      <c:spPr>
        <a:noFill/>
        <a:ln w="25400">
          <a:noFill/>
        </a:ln>
      </c:spPr>
    </c:title>
    <c:autoTitleDeleted val="0"/>
    <c:plotArea>
      <c:layout>
        <c:manualLayout>
          <c:layoutTarget val="inner"/>
          <c:xMode val="edge"/>
          <c:yMode val="edge"/>
          <c:x val="0.12556053811659193"/>
          <c:y val="0.19369454574247669"/>
          <c:w val="0.84304932735426008"/>
          <c:h val="0.55405649130987522"/>
        </c:manualLayout>
      </c:layout>
      <c:barChart>
        <c:barDir val="col"/>
        <c:grouping val="clustered"/>
        <c:varyColors val="0"/>
        <c:ser>
          <c:idx val="0"/>
          <c:order val="0"/>
          <c:tx>
            <c:v>Long-Term Debt Cost Rate Adjusted to exclude Reacquired Debt Amortization</c:v>
          </c:tx>
          <c:spPr>
            <a:solidFill>
              <a:srgbClr val="9999FF"/>
            </a:solidFill>
            <a:ln w="12700">
              <a:solidFill>
                <a:srgbClr val="000000"/>
              </a:solidFill>
              <a:prstDash val="solid"/>
            </a:ln>
          </c:spPr>
          <c:invertIfNegative val="0"/>
          <c:dLbls>
            <c:spPr>
              <a:noFill/>
              <a:ln w="25400">
                <a:noFill/>
              </a:ln>
            </c:spPr>
            <c:txPr>
              <a:bodyPr/>
              <a:lstStyle/>
              <a:p>
                <a:pPr>
                  <a:defRPr sz="85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'LTD Cost History'!$B$39:$J$39</c:f>
              <c:strCache>
                <c:ptCount val="9"/>
                <c:pt idx="0">
                  <c:v>2000</c:v>
                </c:pt>
                <c:pt idx="1">
                  <c:v>2005</c:v>
                </c:pt>
                <c:pt idx="2">
                  <c:v>2010</c:v>
                </c:pt>
                <c:pt idx="3">
                  <c:v>2011</c:v>
                </c:pt>
                <c:pt idx="4">
                  <c:v>2012</c:v>
                </c:pt>
                <c:pt idx="5">
                  <c:v>2013</c:v>
                </c:pt>
                <c:pt idx="6">
                  <c:v>2014</c:v>
                </c:pt>
                <c:pt idx="7">
                  <c:v>2015</c:v>
                </c:pt>
                <c:pt idx="8">
                  <c:v>2017 GRC Request</c:v>
                </c:pt>
              </c:strCache>
            </c:strRef>
          </c:cat>
          <c:val>
            <c:numRef>
              <c:f>'LTD Cost History'!$B$41:$J$41</c:f>
              <c:numCache>
                <c:formatCode>0.00%</c:formatCode>
                <c:ptCount val="9"/>
                <c:pt idx="0">
                  <c:v>7.4091575816596145E-2</c:v>
                </c:pt>
                <c:pt idx="1">
                  <c:v>6.7700243291018009E-2</c:v>
                </c:pt>
                <c:pt idx="2">
                  <c:v>6.5514466923320303E-2</c:v>
                </c:pt>
                <c:pt idx="3">
                  <c:v>6.3426425581667764E-2</c:v>
                </c:pt>
                <c:pt idx="4">
                  <c:v>6.1755103792933495E-2</c:v>
                </c:pt>
                <c:pt idx="5">
                  <c:v>6.1307790673706578E-2</c:v>
                </c:pt>
                <c:pt idx="6">
                  <c:v>6.1053064458661051E-2</c:v>
                </c:pt>
                <c:pt idx="7">
                  <c:v>5.9736293737889003E-2</c:v>
                </c:pt>
                <c:pt idx="8">
                  <c:v>5.7299999999999997E-2</c:v>
                </c:pt>
              </c:numCache>
            </c:numRef>
          </c:val>
        </c:ser>
        <c:dLbls>
          <c:showLegendKey val="0"/>
          <c:showVal val="0"/>
          <c:showCatName val="0"/>
          <c:showSerName val="0"/>
          <c:showPercent val="0"/>
          <c:showBubbleSize val="0"/>
        </c:dLbls>
        <c:gapWidth val="150"/>
        <c:axId val="486420864"/>
        <c:axId val="486422400"/>
      </c:barChart>
      <c:catAx>
        <c:axId val="4864208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n-US"/>
          </a:p>
        </c:txPr>
        <c:crossAx val="486422400"/>
        <c:crosses val="autoZero"/>
        <c:auto val="1"/>
        <c:lblAlgn val="ctr"/>
        <c:lblOffset val="100"/>
        <c:tickLblSkip val="1"/>
        <c:tickMarkSkip val="1"/>
        <c:noMultiLvlLbl val="0"/>
      </c:catAx>
      <c:valAx>
        <c:axId val="486422400"/>
        <c:scaling>
          <c:orientation val="minMax"/>
          <c:max val="7.5999999999999998E-2"/>
          <c:min val="5.5000000000000014E-2"/>
        </c:scaling>
        <c:delete val="0"/>
        <c:axPos val="l"/>
        <c:numFmt formatCode="0.00%" sourceLinked="1"/>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n-US"/>
          </a:p>
        </c:txPr>
        <c:crossAx val="486420864"/>
        <c:crosses val="autoZero"/>
        <c:crossBetween val="between"/>
        <c:majorUnit val="4.0000000000000001E-3"/>
      </c:valAx>
      <c:spPr>
        <a:noFill/>
        <a:ln w="25400">
          <a:noFill/>
        </a:ln>
      </c:spPr>
    </c:plotArea>
    <c:legend>
      <c:legendPos val="r"/>
      <c:layout>
        <c:manualLayout>
          <c:xMode val="edge"/>
          <c:yMode val="edge"/>
          <c:x val="0.10589827928059573"/>
          <c:y val="0.91484565317987054"/>
          <c:w val="0.78820491413911753"/>
          <c:h val="5.8394403394459823E-2"/>
        </c:manualLayout>
      </c:layout>
      <c:overlay val="0"/>
    </c:legend>
    <c:plotVisOnly val="1"/>
    <c:dispBlanksAs val="gap"/>
    <c:showDLblsOverMax val="0"/>
  </c:chart>
  <c:spPr>
    <a:solidFill>
      <a:srgbClr val="FFFFFF"/>
    </a:solidFill>
    <a:ln w="3175">
      <a:noFill/>
      <a:prstDash val="solid"/>
    </a:ln>
  </c:spPr>
  <c:txPr>
    <a:bodyPr/>
    <a:lstStyle/>
    <a:p>
      <a:pPr>
        <a:defRPr sz="82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2017-01-13T08:00:00+00:00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170033</DocketNumber>
    <DelegatedOrder xmlns="dc463f71-b30c-4ab2-9473-d307f9d35888">false</DelegatedOrder>
    <Visibility xmlns="dc463f71-b30c-4ab2-9473-d307f9d35888">Full Visibility</Visibility>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15D2B-CF7F-4C13-AD3A-99BC4F933A23}">
  <ds:schemaRefs>
    <ds:schemaRef ds:uri="http://schemas.microsoft.com/sharepoint/v3/contenttype/forms"/>
  </ds:schemaRefs>
</ds:datastoreItem>
</file>

<file path=customXml/itemProps2.xml><?xml version="1.0" encoding="utf-8"?>
<ds:datastoreItem xmlns:ds="http://schemas.openxmlformats.org/officeDocument/2006/customXml" ds:itemID="{12499266-0CFE-464B-AC59-2B19D961F7BF}"/>
</file>

<file path=customXml/itemProps3.xml><?xml version="1.0" encoding="utf-8"?>
<ds:datastoreItem xmlns:ds="http://schemas.openxmlformats.org/officeDocument/2006/customXml" ds:itemID="{A605E504-B992-4035-9702-B2C6B64CCC40}">
  <ds:schemaRefs>
    <ds:schemaRef ds:uri="http://schemas.microsoft.com/office/2006/metadata/properties"/>
    <ds:schemaRef ds:uri="http://schemas.microsoft.com/office/infopath/2007/PartnerControls"/>
    <ds:schemaRef ds:uri="dc463f71-b30c-4ab2-9473-d307f9d35888"/>
  </ds:schemaRefs>
</ds:datastoreItem>
</file>

<file path=customXml/itemProps4.xml><?xml version="1.0" encoding="utf-8"?>
<ds:datastoreItem xmlns:ds="http://schemas.openxmlformats.org/officeDocument/2006/customXml" ds:itemID="{8F342BA3-F18A-4312-886A-2DF1BDB861A7}"/>
</file>

<file path=customXml/itemProps5.xml><?xml version="1.0" encoding="utf-8"?>
<ds:datastoreItem xmlns:ds="http://schemas.openxmlformats.org/officeDocument/2006/customXml" ds:itemID="{B0B81466-367C-4BFE-BD8A-F46EBCB7F2A1}">
  <ds:schemaRefs>
    <ds:schemaRef ds:uri="http://schemas.microsoft.com/office/2006/metadata/longProperties"/>
  </ds:schemaRefs>
</ds:datastoreItem>
</file>

<file path=customXml/itemProps6.xml><?xml version="1.0" encoding="utf-8"?>
<ds:datastoreItem xmlns:ds="http://schemas.openxmlformats.org/officeDocument/2006/customXml" ds:itemID="{3116F8D5-C170-4BB7-BEA7-D215F187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4259</Words>
  <Characters>24277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28480</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Cindy</dc:creator>
  <cp:lastModifiedBy>No Name</cp:lastModifiedBy>
  <cp:revision>21</cp:revision>
  <cp:lastPrinted>2017-01-05T19:59:00Z</cp:lastPrinted>
  <dcterms:created xsi:type="dcterms:W3CDTF">2016-12-09T22:14:00Z</dcterms:created>
  <dcterms:modified xsi:type="dcterms:W3CDTF">2017-01-05T19:59:00Z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0FAA7+zFiN7nU6xlOBBbbq1n/luIXanyFsGKImPaiOdML/2rkZTN5vVzX+oiLEJKA5vLGnZmT22ZWg3u
slGj7Xuzt8G9ycoOHSrJk2W4yK9KcDzB7XSNg60KJKKmOTyMDb7LRuIQWL4Z+p+Ai2e+e4mVCF+s
sJaK+xm0z3vj8mLQFhXCPJnWZ5EwHC2zvKqbwWXdnxLIlXdNnqC0c1DpQPi7KW0Fxyu4fEy0AkRM
yUspNmo/JvCAakcJg</vt:lpwstr>
  </property>
  <property fmtid="{D5CDD505-2E9C-101B-9397-08002B2CF9AE}" pid="3" name="MAIL_MSG_ID2">
    <vt:lpwstr>Ve3y+ZQShLfwQ/AhI+pcHvdBm8fWs5hqKMp8OezEFigccldaP67+2cQbry4
HI11/m5+RnZpyAa331TsjmxJj/aalC3H52cEeqzYmmWbXgz7Rn0CHAylKRY=</vt:lpwstr>
  </property>
  <property fmtid="{D5CDD505-2E9C-101B-9397-08002B2CF9AE}" pid="4" name="RESPONSE_SENDER_NAME">
    <vt:lpwstr>ABAAv4tRYjpfjUs9U5lntS/2mOyzQyfb3E8Dcqv9jxe7l9FV6fQYPypVeR0NSydkmZ+s</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