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uppressLineNumbers/>
        <w:jc w:val="center"/>
        <w:rPr>
          <w:rFonts w:ascii="Times New Roman" w:eastAsia="Calibri" w:hAnsi="Times New Roman" w:cs="Times New Roman"/>
          <w:b/>
          <w:sz w:val="24"/>
          <w:szCs w:val="24"/>
        </w:rPr>
      </w:pPr>
      <w:bookmarkStart w:id="0" w:name="_GoBack"/>
      <w:bookmarkEnd w:id="0"/>
    </w:p>
    <w:p>
      <w:pPr>
        <w:suppressLineNumbers/>
        <w:jc w:val="center"/>
        <w:rPr>
          <w:rFonts w:ascii="Times New Roman" w:eastAsia="Calibri" w:hAnsi="Times New Roman" w:cs="Times New Roman"/>
          <w:b/>
          <w:sz w:val="24"/>
          <w:szCs w:val="24"/>
        </w:rPr>
      </w:pPr>
    </w:p>
    <w:p>
      <w:pPr>
        <w:suppressLineNumbers/>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BEFORE THE </w:t>
      </w:r>
    </w:p>
    <w:p>
      <w:pPr>
        <w:suppressLineNumbers/>
        <w:jc w:val="center"/>
        <w:rPr>
          <w:rFonts w:ascii="Times New Roman" w:eastAsia="Calibri" w:hAnsi="Times New Roman" w:cs="Times New Roman"/>
          <w:b/>
          <w:sz w:val="24"/>
          <w:szCs w:val="24"/>
        </w:rPr>
      </w:pPr>
      <w:r>
        <w:rPr>
          <w:rFonts w:ascii="Times New Roman" w:eastAsia="Calibri" w:hAnsi="Times New Roman" w:cs="Times New Roman"/>
          <w:b/>
          <w:sz w:val="24"/>
          <w:szCs w:val="24"/>
        </w:rPr>
        <w:t>WASHINGTON UTLITIES AND TRANSPORTATION COMMISSION</w:t>
      </w:r>
    </w:p>
    <w:p>
      <w:pPr>
        <w:suppressLineNumbers/>
        <w:jc w:val="center"/>
        <w:rPr>
          <w:rFonts w:ascii="Times New Roman" w:eastAsia="Calibri" w:hAnsi="Times New Roman" w:cs="Times New Roman"/>
          <w:b/>
          <w:sz w:val="24"/>
          <w:szCs w:val="24"/>
        </w:rPr>
      </w:pPr>
    </w:p>
    <w:p>
      <w:pPr>
        <w:suppressLineNumber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 the Matter of Frontier Communications</w:t>
      </w:r>
      <w:r>
        <w:rPr>
          <w:rFonts w:ascii="Times New Roman" w:eastAsia="Calibri" w:hAnsi="Times New Roman" w:cs="Times New Roman"/>
          <w:sz w:val="24"/>
          <w:szCs w:val="24"/>
        </w:rPr>
        <w:tab/>
        <w:t>)</w:t>
      </w:r>
      <w:r>
        <w:rPr>
          <w:rFonts w:ascii="Times New Roman" w:eastAsia="Calibri" w:hAnsi="Times New Roman" w:cs="Times New Roman"/>
          <w:sz w:val="24"/>
          <w:szCs w:val="24"/>
        </w:rPr>
        <w:tab/>
      </w:r>
      <w:r>
        <w:rPr>
          <w:rFonts w:ascii="Times New Roman" w:eastAsia="Calibri" w:hAnsi="Times New Roman" w:cs="Times New Roman"/>
          <w:sz w:val="24"/>
          <w:szCs w:val="24"/>
        </w:rPr>
        <w:br/>
        <w:t>Northwest Inc.’s Petition to be Regulated</w:t>
      </w:r>
      <w:r>
        <w:rPr>
          <w:rFonts w:ascii="Times New Roman" w:eastAsia="Calibri" w:hAnsi="Times New Roman" w:cs="Times New Roman"/>
          <w:sz w:val="24"/>
          <w:szCs w:val="24"/>
        </w:rPr>
        <w:tab/>
        <w:t>)</w:t>
      </w:r>
      <w:r>
        <w:rPr>
          <w:rFonts w:ascii="Times New Roman" w:eastAsia="Calibri" w:hAnsi="Times New Roman" w:cs="Times New Roman"/>
          <w:sz w:val="24"/>
          <w:szCs w:val="24"/>
        </w:rPr>
        <w:tab/>
      </w:r>
      <w:r>
        <w:rPr>
          <w:rFonts w:ascii="Times New Roman" w:eastAsia="Calibri" w:hAnsi="Times New Roman" w:cs="Times New Roman"/>
          <w:sz w:val="24"/>
          <w:szCs w:val="24"/>
        </w:rPr>
        <w:br/>
        <w:t xml:space="preserve">as a Competitive Telecommunications </w:t>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b/>
        <w:t>Docket No. UT-121994</w:t>
      </w:r>
      <w:r>
        <w:rPr>
          <w:rFonts w:ascii="Times New Roman" w:eastAsia="Calibri" w:hAnsi="Times New Roman" w:cs="Times New Roman"/>
          <w:sz w:val="24"/>
          <w:szCs w:val="24"/>
        </w:rPr>
        <w:br/>
        <w:t>Company Pursuant to RCW 80.26.320</w:t>
      </w:r>
      <w:r>
        <w:rPr>
          <w:rFonts w:ascii="Times New Roman" w:eastAsia="Calibri" w:hAnsi="Times New Roman" w:cs="Times New Roman"/>
          <w:sz w:val="24"/>
          <w:szCs w:val="24"/>
        </w:rPr>
        <w:tab/>
        <w:t>)</w:t>
      </w:r>
    </w:p>
    <w:p>
      <w:pPr>
        <w:suppressLineNumbers/>
      </w:pPr>
      <w:r>
        <w:rPr>
          <w:rFonts w:ascii="Times New Roman" w:eastAsia="Calibri" w:hAnsi="Times New Roman" w:cs="Times New Roman"/>
          <w:sz w:val="24"/>
          <w:szCs w:val="24"/>
        </w:rPr>
        <w:t>____________________________________)</w:t>
      </w:r>
      <w:r>
        <w:rPr>
          <w:rFonts w:ascii="Times New Roman" w:eastAsia="Calibri" w:hAnsi="Times New Roman" w:cs="Times New Roman"/>
          <w:sz w:val="24"/>
          <w:szCs w:val="24"/>
        </w:rPr>
        <w:tab/>
      </w:r>
      <w:r>
        <w:rPr>
          <w:rFonts w:ascii="Times New Roman" w:eastAsia="Calibri" w:hAnsi="Times New Roman" w:cs="Times New Roman"/>
          <w:sz w:val="24"/>
          <w:szCs w:val="24"/>
        </w:rPr>
        <w:br/>
      </w:r>
    </w:p>
    <w:p>
      <w:pPr>
        <w:suppressLineNumbers/>
        <w:jc w:val="center"/>
        <w:rPr>
          <w:rFonts w:ascii="Times New Roman" w:hAnsi="Times New Roman" w:cs="Times New Roman"/>
          <w:b/>
          <w:sz w:val="24"/>
          <w:szCs w:val="24"/>
        </w:rPr>
      </w:pPr>
    </w:p>
    <w:p>
      <w:pPr>
        <w:suppressLineNumbers/>
        <w:jc w:val="center"/>
        <w:rPr>
          <w:rFonts w:ascii="Times New Roman" w:hAnsi="Times New Roman" w:cs="Times New Roman"/>
          <w:b/>
          <w:sz w:val="24"/>
          <w:szCs w:val="24"/>
        </w:rPr>
      </w:pPr>
    </w:p>
    <w:p>
      <w:pPr>
        <w:suppressLineNumbers/>
        <w:jc w:val="center"/>
        <w:rPr>
          <w:rFonts w:ascii="Times New Roman" w:hAnsi="Times New Roman" w:cs="Times New Roman"/>
          <w:b/>
          <w:sz w:val="24"/>
          <w:szCs w:val="24"/>
        </w:rPr>
      </w:pPr>
      <w:r>
        <w:rPr>
          <w:rFonts w:ascii="Times New Roman" w:hAnsi="Times New Roman" w:cs="Times New Roman"/>
          <w:b/>
          <w:sz w:val="24"/>
          <w:szCs w:val="24"/>
        </w:rPr>
        <w:t>TESTIMONY OF JACK D. PHILLIPS</w:t>
      </w:r>
    </w:p>
    <w:p>
      <w:pPr>
        <w:suppressLineNumbers/>
        <w:jc w:val="center"/>
        <w:rPr>
          <w:rFonts w:ascii="Times New Roman" w:hAnsi="Times New Roman" w:cs="Times New Roman"/>
          <w:b/>
          <w:sz w:val="24"/>
          <w:szCs w:val="24"/>
        </w:rPr>
      </w:pPr>
      <w:r>
        <w:rPr>
          <w:rFonts w:ascii="Times New Roman" w:hAnsi="Times New Roman" w:cs="Times New Roman"/>
          <w:b/>
          <w:sz w:val="24"/>
          <w:szCs w:val="24"/>
        </w:rPr>
        <w:t>IN SUPPORT OF SETTLEMENT AGREEMENT BETWEEN</w:t>
      </w:r>
    </w:p>
    <w:p>
      <w:pPr>
        <w:suppressLineNumbers/>
        <w:jc w:val="center"/>
        <w:rPr>
          <w:rFonts w:ascii="Times New Roman" w:hAnsi="Times New Roman" w:cs="Times New Roman"/>
          <w:b/>
          <w:sz w:val="24"/>
          <w:szCs w:val="24"/>
        </w:rPr>
      </w:pPr>
    </w:p>
    <w:p>
      <w:pPr>
        <w:suppressLineNumbers/>
        <w:jc w:val="center"/>
        <w:rPr>
          <w:rFonts w:ascii="Times New Roman" w:hAnsi="Times New Roman" w:cs="Times New Roman"/>
          <w:b/>
          <w:sz w:val="24"/>
          <w:szCs w:val="24"/>
        </w:rPr>
      </w:pPr>
      <w:r>
        <w:rPr>
          <w:rFonts w:ascii="Times New Roman" w:hAnsi="Times New Roman" w:cs="Times New Roman"/>
          <w:b/>
          <w:sz w:val="24"/>
          <w:szCs w:val="24"/>
        </w:rPr>
        <w:t>FRONTIER COMMUNICATIONS NORTHWEST INC.</w:t>
      </w:r>
    </w:p>
    <w:p>
      <w:pPr>
        <w:suppressLineNumbers/>
        <w:jc w:val="center"/>
        <w:rPr>
          <w:rFonts w:ascii="Times New Roman" w:hAnsi="Times New Roman" w:cs="Times New Roman"/>
          <w:b/>
          <w:sz w:val="24"/>
          <w:szCs w:val="24"/>
        </w:rPr>
      </w:pPr>
      <w:r>
        <w:rPr>
          <w:rFonts w:ascii="Times New Roman" w:hAnsi="Times New Roman" w:cs="Times New Roman"/>
          <w:b/>
          <w:sz w:val="24"/>
          <w:szCs w:val="24"/>
        </w:rPr>
        <w:t>AND</w:t>
      </w:r>
    </w:p>
    <w:p>
      <w:pPr>
        <w:suppressLineNumbers/>
        <w:jc w:val="center"/>
        <w:rPr>
          <w:rFonts w:ascii="Times New Roman" w:hAnsi="Times New Roman" w:cs="Times New Roman"/>
          <w:b/>
          <w:sz w:val="24"/>
          <w:szCs w:val="24"/>
        </w:rPr>
      </w:pPr>
      <w:r>
        <w:rPr>
          <w:rFonts w:ascii="Times New Roman" w:hAnsi="Times New Roman" w:cs="Times New Roman"/>
          <w:b/>
          <w:sz w:val="24"/>
          <w:szCs w:val="24"/>
        </w:rPr>
        <w:t>CBEYOND COMMUNICATIONS LLC,</w:t>
      </w:r>
    </w:p>
    <w:p>
      <w:pPr>
        <w:suppressLineNumbers/>
        <w:jc w:val="center"/>
        <w:rPr>
          <w:rFonts w:ascii="Times New Roman" w:hAnsi="Times New Roman" w:cs="Times New Roman"/>
          <w:b/>
          <w:sz w:val="24"/>
          <w:szCs w:val="24"/>
        </w:rPr>
      </w:pPr>
      <w:r>
        <w:rPr>
          <w:rFonts w:ascii="Times New Roman" w:hAnsi="Times New Roman" w:cs="Times New Roman"/>
          <w:b/>
          <w:sz w:val="24"/>
          <w:szCs w:val="24"/>
        </w:rPr>
        <w:t>INTEGRA TELECOM OF WASHINGTON, INC.,</w:t>
      </w:r>
    </w:p>
    <w:p>
      <w:pPr>
        <w:suppressLineNumbers/>
        <w:jc w:val="center"/>
        <w:rPr>
          <w:rFonts w:ascii="Times New Roman" w:hAnsi="Times New Roman" w:cs="Times New Roman"/>
          <w:b/>
          <w:sz w:val="24"/>
          <w:szCs w:val="24"/>
        </w:rPr>
      </w:pPr>
      <w:r>
        <w:rPr>
          <w:rFonts w:ascii="Times New Roman" w:hAnsi="Times New Roman" w:cs="Times New Roman"/>
          <w:b/>
          <w:sz w:val="24"/>
          <w:szCs w:val="24"/>
        </w:rPr>
        <w:t>TW TELECOM OF WASHINGTON, LLC,</w:t>
      </w:r>
    </w:p>
    <w:p>
      <w:pPr>
        <w:suppressLineNumbers/>
        <w:jc w:val="center"/>
        <w:rPr>
          <w:rFonts w:ascii="Times New Roman" w:hAnsi="Times New Roman" w:cs="Times New Roman"/>
          <w:b/>
          <w:sz w:val="24"/>
          <w:szCs w:val="24"/>
        </w:rPr>
      </w:pPr>
      <w:r>
        <w:rPr>
          <w:rFonts w:ascii="Times New Roman" w:hAnsi="Times New Roman" w:cs="Times New Roman"/>
          <w:b/>
          <w:sz w:val="24"/>
          <w:szCs w:val="24"/>
        </w:rPr>
        <w:t>LEVEL 3 COMMUNICATIONS, LLC, AND</w:t>
      </w:r>
    </w:p>
    <w:p>
      <w:pPr>
        <w:suppressLineNumbers/>
        <w:jc w:val="center"/>
        <w:rPr>
          <w:rFonts w:ascii="Times New Roman" w:hAnsi="Times New Roman" w:cs="Times New Roman"/>
          <w:b/>
          <w:sz w:val="24"/>
          <w:szCs w:val="24"/>
        </w:rPr>
      </w:pPr>
      <w:r>
        <w:rPr>
          <w:rFonts w:ascii="Times New Roman" w:hAnsi="Times New Roman" w:cs="Times New Roman"/>
          <w:b/>
          <w:sz w:val="24"/>
          <w:szCs w:val="24"/>
        </w:rPr>
        <w:t>CHARTER FIBERLINK WA-CCVII, LLC</w:t>
      </w:r>
    </w:p>
    <w:p>
      <w:pPr>
        <w:suppressLineNumbers/>
        <w:jc w:val="center"/>
        <w:rPr>
          <w:rFonts w:ascii="Times New Roman" w:hAnsi="Times New Roman" w:cs="Times New Roman"/>
          <w:b/>
          <w:sz w:val="24"/>
          <w:szCs w:val="24"/>
        </w:rPr>
      </w:pPr>
    </w:p>
    <w:p>
      <w:pPr>
        <w:suppressLineNumbers/>
        <w:jc w:val="center"/>
        <w:rPr>
          <w:rFonts w:ascii="Times New Roman" w:hAnsi="Times New Roman" w:cs="Times New Roman"/>
          <w:b/>
          <w:sz w:val="24"/>
          <w:szCs w:val="24"/>
        </w:rPr>
      </w:pPr>
      <w:r>
        <w:rPr>
          <w:rFonts w:ascii="Times New Roman" w:hAnsi="Times New Roman" w:cs="Times New Roman"/>
          <w:b/>
          <w:sz w:val="24"/>
          <w:szCs w:val="24"/>
        </w:rPr>
        <w:t>APRIL 25, 2013</w:t>
      </w:r>
    </w:p>
    <w:p>
      <w:pPr>
        <w:suppressLineNumbers/>
        <w:jc w:val="center"/>
        <w:rPr>
          <w:rFonts w:ascii="Times New Roman" w:hAnsi="Times New Roman" w:cs="Times New Roman"/>
          <w:b/>
          <w:sz w:val="24"/>
          <w:szCs w:val="24"/>
        </w:rPr>
      </w:pPr>
    </w:p>
    <w:p>
      <w:pPr>
        <w:pStyle w:val="Subtitle"/>
        <w:suppressLineNumbers/>
        <w:spacing w:after="240" w:line="480" w:lineRule="auto"/>
        <w:jc w:val="left"/>
        <w:rPr>
          <w:b/>
        </w:rPr>
      </w:pPr>
    </w:p>
    <w:p>
      <w:pPr>
        <w:pStyle w:val="Title"/>
        <w:spacing w:line="480" w:lineRule="auto"/>
        <w:jc w:val="left"/>
        <w:rPr>
          <w:b/>
        </w:rPr>
      </w:pPr>
      <w:r>
        <w:rPr>
          <w:b/>
        </w:rPr>
        <w:lastRenderedPageBreak/>
        <w:t>Q.</w:t>
      </w:r>
      <w:r>
        <w:rPr>
          <w:b/>
        </w:rPr>
        <w:tab/>
        <w:t>PLEASE STATE YOUR NAME AND BUSINESS ADDRESS.</w:t>
      </w:r>
    </w:p>
    <w:p>
      <w:pPr>
        <w:pStyle w:val="Title"/>
        <w:spacing w:line="480" w:lineRule="auto"/>
        <w:ind w:left="720" w:hanging="720"/>
        <w:jc w:val="left"/>
      </w:pPr>
      <w:r>
        <w:t>A.</w:t>
      </w:r>
      <w:r>
        <w:tab/>
        <w:t>My name is Jack D. Phillips.  My business address is 14450 Burnhaven Drive, Burnsville, Minnesota 55306.</w:t>
      </w:r>
    </w:p>
    <w:p>
      <w:pPr>
        <w:pStyle w:val="Title"/>
        <w:spacing w:line="480" w:lineRule="auto"/>
        <w:ind w:left="720" w:hanging="720"/>
        <w:jc w:val="left"/>
        <w:rPr>
          <w:b/>
        </w:rPr>
      </w:pPr>
    </w:p>
    <w:p>
      <w:pPr>
        <w:pStyle w:val="Title"/>
        <w:spacing w:line="480" w:lineRule="auto"/>
        <w:jc w:val="left"/>
        <w:rPr>
          <w:b/>
        </w:rPr>
      </w:pPr>
      <w:r>
        <w:rPr>
          <w:b/>
        </w:rPr>
        <w:t>Q.</w:t>
      </w:r>
      <w:r>
        <w:rPr>
          <w:b/>
        </w:rPr>
        <w:tab/>
        <w:t>ON WHAT COMPANY’S BEHALF IS THIS TESTIMONY SUBMITTED?</w:t>
      </w:r>
    </w:p>
    <w:p>
      <w:pPr>
        <w:pStyle w:val="Title"/>
        <w:spacing w:line="480" w:lineRule="auto"/>
        <w:ind w:left="720" w:hanging="720"/>
        <w:jc w:val="left"/>
      </w:pPr>
      <w:r>
        <w:t>A.</w:t>
      </w:r>
      <w:r>
        <w:tab/>
        <w:t>This testimony is submitted on behalf of Frontier Communications Northwest Inc. (“Frontier”).</w:t>
      </w:r>
    </w:p>
    <w:p>
      <w:pPr>
        <w:pStyle w:val="Title"/>
        <w:spacing w:line="480" w:lineRule="auto"/>
        <w:ind w:left="720" w:hanging="720"/>
        <w:jc w:val="left"/>
      </w:pPr>
    </w:p>
    <w:p>
      <w:pPr>
        <w:pStyle w:val="Title"/>
        <w:spacing w:line="480" w:lineRule="auto"/>
        <w:ind w:left="720" w:hanging="720"/>
        <w:jc w:val="left"/>
        <w:rPr>
          <w:b/>
        </w:rPr>
      </w:pPr>
      <w:r>
        <w:rPr>
          <w:b/>
        </w:rPr>
        <w:t>Q.</w:t>
      </w:r>
      <w:r>
        <w:rPr>
          <w:b/>
        </w:rPr>
        <w:tab/>
        <w:t xml:space="preserve">ARE YOU THE SAME JACK D. PHILLIPS THAT FILED DIRECT TESTIMONY IN THIS PROCEEDING? </w:t>
      </w:r>
    </w:p>
    <w:p>
      <w:pPr>
        <w:pStyle w:val="Title"/>
        <w:spacing w:line="480" w:lineRule="auto"/>
        <w:ind w:left="720" w:hanging="720"/>
        <w:jc w:val="left"/>
      </w:pPr>
      <w:r>
        <w:t>A.</w:t>
      </w:r>
      <w:r>
        <w:tab/>
        <w:t xml:space="preserve">Yes.  </w:t>
      </w:r>
    </w:p>
    <w:p>
      <w:pPr>
        <w:pStyle w:val="Title"/>
        <w:spacing w:line="480" w:lineRule="auto"/>
        <w:ind w:left="720" w:hanging="720"/>
        <w:jc w:val="left"/>
      </w:pPr>
    </w:p>
    <w:p>
      <w:pPr>
        <w:spacing w:after="0" w:line="480" w:lineRule="auto"/>
        <w:ind w:left="720" w:hanging="720"/>
        <w:rPr>
          <w:rFonts w:ascii="Times New Roman" w:eastAsia="Calibri" w:hAnsi="Times New Roman" w:cs="Times New Roman"/>
          <w:b/>
          <w:sz w:val="24"/>
          <w:szCs w:val="24"/>
        </w:rPr>
      </w:pPr>
      <w:r>
        <w:rPr>
          <w:rFonts w:ascii="Times New Roman" w:eastAsia="Calibri" w:hAnsi="Times New Roman" w:cs="Times New Roman"/>
          <w:b/>
          <w:sz w:val="24"/>
          <w:szCs w:val="24"/>
        </w:rPr>
        <w:t>Q.</w:t>
      </w:r>
      <w:r>
        <w:rPr>
          <w:rFonts w:ascii="Times New Roman" w:eastAsia="Calibri" w:hAnsi="Times New Roman" w:cs="Times New Roman"/>
          <w:b/>
          <w:sz w:val="24"/>
          <w:szCs w:val="24"/>
        </w:rPr>
        <w:tab/>
        <w:t>WHAT IS THE PURPOSE OF YOUR TESTIMONY?</w:t>
      </w:r>
    </w:p>
    <w:p>
      <w:pPr>
        <w:tabs>
          <w:tab w:val="num" w:pos="720"/>
        </w:tabs>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My testimony describes and supports the settlement agreement between Frontier Northwest Inc. (“Frontier”) and Cbeyond Communications LLC, Integra Telecom of Washington, Inc., tw telecom of washington, llc, Level 3 Communications, LLC and Charter Fiberlink WA-CCVII, LLC (collectively “CLEC Intervenors”).  My testimony provides an overview of the settlement agreement and describes why the settlement satisfies the Parties’ interests, will not cause any harm and is consistent with the public interest.</w:t>
      </w:r>
    </w:p>
    <w:p>
      <w:pPr>
        <w:tabs>
          <w:tab w:val="num" w:pos="720"/>
        </w:tabs>
        <w:spacing w:after="0" w:line="480" w:lineRule="auto"/>
        <w:ind w:left="720" w:hanging="720"/>
        <w:rPr>
          <w:rFonts w:ascii="Times New Roman" w:eastAsia="Times New Roman" w:hAnsi="Times New Roman" w:cs="Times New Roman"/>
          <w:b/>
          <w:sz w:val="24"/>
          <w:szCs w:val="24"/>
        </w:rPr>
      </w:pPr>
    </w:p>
    <w:p>
      <w:pPr>
        <w:tabs>
          <w:tab w:val="num" w:pos="720"/>
        </w:tabs>
        <w:spacing w:after="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ab/>
        <w:t>PLEASE BRIEFLY DESCRIBE THE HISTORY OF THIS PROCEEDING.</w:t>
      </w:r>
    </w:p>
    <w:p>
      <w:pPr>
        <w:tabs>
          <w:tab w:val="num" w:pos="720"/>
        </w:tabs>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On   December 21, 2012 Frontier filed a petition (“the Petition”) with the Washington Utilities and Transportation Commission (“Commission) to be classified as a competitive provider pursuant to RCW 80.36.320.  On January 23, 2013, Frontier filed an amended petition in the proceeding.  On February 6, 2013, Level 3 Communications filed a petition to intervene in the proceeding.  On February 7, 2013, Integra Telecom of Washington, Inc. and Cbeyond Communications LLC filed petitions to intervene.  On February 8, 2013, tw telecom of washington and Charter Fiberlink WA-CCVII, LLC filed petitions to intervene.  Collectively, these intervenors are referred to in the settlement agreement and my testimony as “CLEC Intervenors”.  Frontier and the CLEC Intervenors engaged in settlement discussions to determine if issues of concern to the CLEC Intervenors could be resolved.  Agreement was reached and a Settlement of CLEC Issues (“Settlement”) between Frontier and the CLEC Intervenors was executed by Frontier and CLEC Intervenors on April 16, 2013.  On April 17, 2013, Frontier and CLEC Intervenors filed a Joint Motion of Frontier and CLEC Intervenors for Leave to File Narrative and Testimony in Support of Settlement Agreement. On April 22, 2013, the Commission granted the Motion for Leave.</w:t>
      </w:r>
    </w:p>
    <w:p>
      <w:pPr>
        <w:spacing w:after="0" w:line="480" w:lineRule="auto"/>
        <w:ind w:left="720" w:hanging="720"/>
        <w:rPr>
          <w:rFonts w:ascii="Times New Roman" w:hAnsi="Times New Roman" w:cs="Times New Roman"/>
          <w:b/>
          <w:sz w:val="24"/>
          <w:szCs w:val="24"/>
        </w:rPr>
      </w:pPr>
    </w:p>
    <w:p>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PLEASE DESCRIBE THE REGULATORY RELIEF FRONTIER IS REQUESTING FROM THE COMMISSION WITH RESPECT TO WHOLESALE SERVICES.</w:t>
      </w:r>
    </w:p>
    <w:p>
      <w:pPr>
        <w:tabs>
          <w:tab w:val="num" w:pos="720"/>
        </w:tabs>
        <w:spacing w:after="0" w:line="480" w:lineRule="auto"/>
        <w:ind w:left="720" w:hanging="720"/>
        <w:rPr>
          <w:rFonts w:ascii="Times New Roman" w:eastAsia="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eastAsia="Times New Roman" w:hAnsi="Times New Roman" w:cs="Times New Roman"/>
          <w:sz w:val="24"/>
          <w:szCs w:val="24"/>
        </w:rPr>
        <w:t xml:space="preserve">The essence of Frontier’s proposal is that it be regulated as a competitively classified company.  </w:t>
      </w:r>
      <w:r>
        <w:rPr>
          <w:rFonts w:ascii="Times New Roman" w:hAnsi="Times New Roman" w:cs="Times New Roman"/>
          <w:sz w:val="24"/>
          <w:szCs w:val="24"/>
        </w:rPr>
        <w:t>In accordance with RCW 80.36.320, among other items, Frontier is seeking waiver of the tariffing requirements in RCW 80.36.100 (Tariff schedules to be filed and open to public) and RCW 80.36.110 (Tariff changes -- Statutory notice -- Exception) for the wholesale services it provides in Washington.</w:t>
      </w:r>
    </w:p>
    <w:p>
      <w:pPr>
        <w:tabs>
          <w:tab w:val="num" w:pos="720"/>
        </w:tabs>
        <w:spacing w:after="0" w:line="480" w:lineRule="auto"/>
        <w:ind w:left="720" w:hanging="720"/>
        <w:rPr>
          <w:rFonts w:ascii="Times New Roman" w:eastAsia="Times New Roman" w:hAnsi="Times New Roman" w:cs="Times New Roman"/>
          <w:b/>
          <w:sz w:val="24"/>
          <w:szCs w:val="24"/>
        </w:rPr>
      </w:pPr>
    </w:p>
    <w:p>
      <w:pPr>
        <w:tabs>
          <w:tab w:val="num" w:pos="720"/>
        </w:tabs>
        <w:spacing w:after="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ab/>
        <w:t>PLEASE PROVIDE A GENERAL OVERVIEW OF FRONTIER’S PROPOSAL TO DETARIFF WHOLESALE SERVICES.</w:t>
      </w:r>
    </w:p>
    <w:p>
      <w:pPr>
        <w:tabs>
          <w:tab w:val="num" w:pos="720"/>
        </w:tabs>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In this proceeding and specifically in my testimony and the testimony of Billy Jack Gregg that was filed on behalf of Frontier in this proceeding, Frontier has proposed to detariff and move to price catalogues both Interconnection Agreement services (“ICA Wholesale Services”), which are those services subject to the Telecommunications Act of 1996 [</w:t>
      </w:r>
      <w:r>
        <w:rPr>
          <w:rFonts w:ascii="Times New Roman" w:eastAsia="Times New Roman" w:hAnsi="Times New Roman" w:cs="Times New Roman"/>
          <w:i/>
          <w:sz w:val="24"/>
          <w:szCs w:val="24"/>
        </w:rPr>
        <w:t>See</w:t>
      </w:r>
      <w:r>
        <w:rPr>
          <w:rFonts w:ascii="Times New Roman" w:eastAsia="Times New Roman" w:hAnsi="Times New Roman" w:cs="Times New Roman"/>
          <w:sz w:val="24"/>
          <w:szCs w:val="24"/>
        </w:rPr>
        <w:t xml:space="preserve"> 47 U.S.C. §§ 251-252]; and wholesale services contained in Frontier’s WN U-16 Facilities for Intrastate Access tariff and WN U-23 Advanced Data Services tariff (collectively “Non-ICA Wholesale Services”). </w:t>
      </w:r>
    </w:p>
    <w:p>
      <w:pPr>
        <w:tabs>
          <w:tab w:val="num" w:pos="720"/>
        </w:tabs>
        <w:spacing w:after="0" w:line="480" w:lineRule="auto"/>
        <w:ind w:left="720" w:hanging="720"/>
        <w:rPr>
          <w:rFonts w:ascii="Times New Roman" w:eastAsia="Times New Roman" w:hAnsi="Times New Roman" w:cs="Times New Roman"/>
          <w:b/>
          <w:sz w:val="24"/>
          <w:szCs w:val="24"/>
        </w:rPr>
      </w:pPr>
    </w:p>
    <w:p>
      <w:pPr>
        <w:tabs>
          <w:tab w:val="num" w:pos="720"/>
        </w:tabs>
        <w:spacing w:after="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ab/>
        <w:t>PLEASE SUMMARIZE YOUR UNDERSTANDING OF THE CLEC INTERVENORS CONCERNS REGARDING FRONTIER’S PROPOSAL TO DETARIFF WHOLESALE SERVICES.</w:t>
      </w:r>
    </w:p>
    <w:p>
      <w:pPr>
        <w:tabs>
          <w:tab w:val="num" w:pos="720"/>
        </w:tabs>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My understanding of the CLEC Intervenor’s concerns regarding Frontier’s proposal to detariff its wholesale services is that Frontier will be able to unilaterally change the rates terms and conditions associated with the wholesale services if these services were no longer tariffed and subject to Commission oversight.</w:t>
      </w:r>
    </w:p>
    <w:p>
      <w:pPr>
        <w:tabs>
          <w:tab w:val="num" w:pos="720"/>
        </w:tabs>
        <w:spacing w:after="0" w:line="480" w:lineRule="auto"/>
        <w:ind w:left="720" w:hanging="720"/>
        <w:rPr>
          <w:rFonts w:ascii="Times New Roman" w:eastAsia="Times New Roman" w:hAnsi="Times New Roman" w:cs="Times New Roman"/>
          <w:b/>
          <w:sz w:val="24"/>
          <w:szCs w:val="24"/>
        </w:rPr>
      </w:pPr>
    </w:p>
    <w:p>
      <w:pPr>
        <w:tabs>
          <w:tab w:val="num" w:pos="720"/>
        </w:tabs>
        <w:spacing w:after="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ab/>
        <w:t>DOES THE SETTLEMENT BETWEEN FRONTIER AND THE CLEC INTERVENOR’S ADDRESS AND PROVIDE SAFEGUARDS TO THE CLEC INTERVENORS RELATED TO FRONTIER DETARIFFING WHOLESALE SERVICES?</w:t>
      </w:r>
    </w:p>
    <w:p>
      <w:pPr>
        <w:tabs>
          <w:tab w:val="num" w:pos="720"/>
        </w:tabs>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Yes.  The Settlement would permit Frontier to detariff and move to price catalogues its ICA Wholesale Services and its Non-ICA Wholesale Services but would impose conditions which limit and restrict Frontier’s ability to revise the rates, terms and conditions contained in those catalogues.</w:t>
      </w:r>
    </w:p>
    <w:p>
      <w:pPr>
        <w:tabs>
          <w:tab w:val="num" w:pos="720"/>
        </w:tabs>
        <w:spacing w:after="0" w:line="480" w:lineRule="auto"/>
        <w:ind w:left="720" w:hanging="720"/>
        <w:rPr>
          <w:rFonts w:ascii="Times New Roman" w:eastAsia="Times New Roman" w:hAnsi="Times New Roman" w:cs="Times New Roman"/>
          <w:sz w:val="24"/>
          <w:szCs w:val="24"/>
        </w:rPr>
      </w:pPr>
    </w:p>
    <w:p>
      <w:pPr>
        <w:spacing w:after="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Calibri" w:hAnsi="Times New Roman" w:cs="Times New Roman"/>
          <w:sz w:val="24"/>
          <w:szCs w:val="24"/>
          <w:u w:val="single"/>
        </w:rPr>
        <w:t>Settlement Conditions ICA Wholesale Services</w:t>
      </w:r>
    </w:p>
    <w:p>
      <w:pPr>
        <w:tabs>
          <w:tab w:val="num" w:pos="720"/>
        </w:tabs>
        <w:spacing w:after="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ab/>
        <w:t>WHAT ICA WHOLESALE SERVICES WOULD FRONTIER MOVE TO PRICE CATELOGUES IF THE COMMISSION APPROVES THE SETTLEMENT AND PETITION?</w:t>
      </w:r>
    </w:p>
    <w:p>
      <w:pPr>
        <w:tabs>
          <w:tab w:val="num" w:pos="720"/>
        </w:tabs>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As proposed in the Petition and as described in the Settlement, Frontier would move the rates, terms and conditions of the following tariffs to respective ICA Wholesale Service catalogues:</w:t>
      </w:r>
    </w:p>
    <w:p>
      <w:pPr>
        <w:spacing w:after="0" w:line="480" w:lineRule="auto"/>
        <w:ind w:left="720" w:hanging="720"/>
        <w:rPr>
          <w:rFonts w:ascii="Times New Roman" w:eastAsia="Calibri" w:hAnsi="Times New Roman" w:cs="Times New Roman"/>
          <w:sz w:val="24"/>
          <w:szCs w:val="24"/>
        </w:rPr>
      </w:pPr>
      <w:r>
        <w:rPr>
          <w:rFonts w:ascii="Times New Roman" w:eastAsia="Times New Roman" w:hAnsi="Times New Roman" w:cs="Times New Roman"/>
          <w:sz w:val="24"/>
          <w:szCs w:val="24"/>
        </w:rPr>
        <w:tab/>
      </w:r>
      <w:r>
        <w:rPr>
          <w:rFonts w:ascii="Times New Roman" w:eastAsia="Calibri" w:hAnsi="Times New Roman" w:cs="Times New Roman"/>
          <w:sz w:val="24"/>
          <w:szCs w:val="24"/>
        </w:rPr>
        <w:t>WN U-18 Network Interconnection Access Service</w:t>
      </w:r>
    </w:p>
    <w:p>
      <w:pPr>
        <w:spacing w:after="0" w:line="48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WN U-20 Collocation Service</w:t>
      </w:r>
    </w:p>
    <w:p>
      <w:pPr>
        <w:spacing w:after="0" w:line="48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ab/>
        <w:t>WN U-21 Unbundled Network Elements</w:t>
      </w:r>
    </w:p>
    <w:p>
      <w:pPr>
        <w:spacing w:after="0" w:line="48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ab/>
        <w:t>WN U-22 Resale Local Exchange Services.</w:t>
      </w:r>
    </w:p>
    <w:p>
      <w:pPr>
        <w:tabs>
          <w:tab w:val="num" w:pos="720"/>
        </w:tabs>
        <w:spacing w:after="0" w:line="480" w:lineRule="auto"/>
        <w:ind w:left="720" w:hanging="720"/>
        <w:rPr>
          <w:rFonts w:ascii="Times New Roman" w:eastAsia="Times New Roman" w:hAnsi="Times New Roman" w:cs="Times New Roman"/>
          <w:b/>
          <w:sz w:val="24"/>
          <w:szCs w:val="24"/>
        </w:rPr>
      </w:pPr>
    </w:p>
    <w:p>
      <w:pPr>
        <w:tabs>
          <w:tab w:val="num" w:pos="720"/>
        </w:tabs>
        <w:spacing w:after="0" w:line="480" w:lineRule="auto"/>
        <w:ind w:left="720" w:hanging="720"/>
        <w:rPr>
          <w:rFonts w:ascii="Times New Roman" w:eastAsia="Calibri" w:hAnsi="Times New Roman" w:cs="Times New Roman"/>
          <w:b/>
          <w:sz w:val="24"/>
          <w:szCs w:val="24"/>
        </w:rPr>
      </w:pPr>
      <w:r>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ab/>
        <w:t>WHAT ARE THE SETTLEMENT CONDITIONS THAT WOULD LIMIT FRONTIER’S ABILITY TO CHANGE ITS WHOLESALE RATES, TERMS AND SERVICE CONDITIONS AT THE TIME IT MOVES THESE SERVICES TO CATELOGUES?</w:t>
      </w:r>
    </w:p>
    <w:p>
      <w:pPr>
        <w:spacing w:after="0" w:line="48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A.</w:t>
      </w:r>
      <w:r>
        <w:rPr>
          <w:rFonts w:ascii="Times New Roman" w:eastAsia="Calibri" w:hAnsi="Times New Roman" w:cs="Times New Roman"/>
          <w:sz w:val="24"/>
          <w:szCs w:val="24"/>
        </w:rPr>
        <w:tab/>
        <w:t>The Settlement prescribes the timing and a process for Frontier to detariff its ICA Wholesale Services and to establish service catalogues for these services.  Under the Settlement, Frontier would be required to establish service catalogues that contain no substantive deviations in terms, rates and conditions than the tariffs.  The Settlement sets forth a process for the CLEC Intervenors to review and challenge any changes they believe may believe to be substantive and violate the terms of the Settlement.</w:t>
      </w:r>
    </w:p>
    <w:p>
      <w:pPr>
        <w:spacing w:after="0" w:line="480" w:lineRule="auto"/>
        <w:ind w:left="720" w:hanging="720"/>
        <w:rPr>
          <w:rFonts w:ascii="Times New Roman" w:eastAsia="Calibri" w:hAnsi="Times New Roman" w:cs="Times New Roman"/>
          <w:sz w:val="24"/>
          <w:szCs w:val="24"/>
        </w:rPr>
      </w:pPr>
    </w:p>
    <w:p>
      <w:pPr>
        <w:spacing w:after="0" w:line="480" w:lineRule="auto"/>
        <w:ind w:left="720" w:hanging="720"/>
        <w:rPr>
          <w:rFonts w:ascii="Times New Roman" w:eastAsia="Calibri" w:hAnsi="Times New Roman" w:cs="Times New Roman"/>
          <w:b/>
          <w:sz w:val="24"/>
          <w:szCs w:val="24"/>
        </w:rPr>
      </w:pPr>
      <w:r>
        <w:rPr>
          <w:rFonts w:ascii="Times New Roman" w:eastAsia="Calibri" w:hAnsi="Times New Roman" w:cs="Times New Roman"/>
          <w:b/>
          <w:sz w:val="24"/>
          <w:szCs w:val="24"/>
        </w:rPr>
        <w:t>Q.</w:t>
      </w:r>
      <w:r>
        <w:rPr>
          <w:rFonts w:ascii="Times New Roman" w:eastAsia="Calibri" w:hAnsi="Times New Roman" w:cs="Times New Roman"/>
          <w:b/>
          <w:sz w:val="24"/>
          <w:szCs w:val="24"/>
        </w:rPr>
        <w:tab/>
        <w:t>HOW DOES THE SETTLEMENT IMPACT FRONTIER’S INTERCONNECTION AGREEMENTS?</w:t>
      </w:r>
    </w:p>
    <w:p>
      <w:pPr>
        <w:spacing w:after="0" w:line="48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A.</w:t>
      </w:r>
      <w:r>
        <w:rPr>
          <w:rFonts w:ascii="Times New Roman" w:eastAsia="Calibri" w:hAnsi="Times New Roman" w:cs="Times New Roman"/>
          <w:sz w:val="24"/>
          <w:szCs w:val="24"/>
        </w:rPr>
        <w:tab/>
        <w:t xml:space="preserve">In the Settlement, Frontier affirms that Commission approval of the Petition would not in any way impact any of its continuing obligations under §§ 251 and 252 of the Telecommunications Act, nor any federal or state regulations, orders, or rules. </w:t>
      </w:r>
    </w:p>
    <w:p>
      <w:pPr>
        <w:spacing w:after="0" w:line="48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Currently some interconnection agreements incorporate by reference rates, terms and conditions contained in the following ICA Wholesale Services tariffs identified above.</w:t>
      </w:r>
    </w:p>
    <w:p>
      <w:pPr>
        <w:spacing w:after="0" w:line="48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For any rate, term or condition for tariffed ICA Wholesale Services referenced in Frontier’s interconnection agreements, the Settlement requires Frontier to propose an amendment that incorporates, by reference, the respective newly created ICA Wholesale Services Catalogues.</w:t>
      </w:r>
    </w:p>
    <w:p>
      <w:pPr>
        <w:spacing w:after="0" w:line="480" w:lineRule="auto"/>
        <w:ind w:left="720" w:hanging="720"/>
        <w:rPr>
          <w:rFonts w:ascii="Times New Roman" w:eastAsia="Calibri" w:hAnsi="Times New Roman" w:cs="Times New Roman"/>
          <w:sz w:val="24"/>
          <w:szCs w:val="24"/>
        </w:rPr>
      </w:pPr>
    </w:p>
    <w:p>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IF ICA SERVICES ARE NO LONGER INCLUDED IN THE EXISTING TARIFFS, WILL FRONTIER BE ABLE TO UNILATERALLY CHANGE THE RATES, TERMS AND CONDITIONS ASSOCIATED WITH PROVIDING THESE SERVICES?</w:t>
      </w:r>
    </w:p>
    <w:p>
      <w:pPr>
        <w:pStyle w:val="PlainText"/>
        <w:spacing w:line="480" w:lineRule="auto"/>
        <w:ind w:left="720" w:hanging="720"/>
        <w:rPr>
          <w:rFonts w:ascii="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No.  </w:t>
      </w:r>
      <w:r>
        <w:rPr>
          <w:rFonts w:ascii="Times New Roman" w:eastAsia="Calibri" w:hAnsi="Times New Roman" w:cs="Times New Roman"/>
          <w:sz w:val="24"/>
          <w:szCs w:val="24"/>
        </w:rPr>
        <w:t xml:space="preserve">Commission approval of Frontier’s Petition would not impact future rates, terms or conditions of ICA Wholesale Services.  </w:t>
      </w:r>
      <w:r>
        <w:rPr>
          <w:rFonts w:ascii="Times New Roman" w:eastAsia="Times New Roman" w:hAnsi="Times New Roman" w:cs="Times New Roman"/>
          <w:sz w:val="24"/>
          <w:szCs w:val="24"/>
        </w:rPr>
        <w:t>Federal law, specifically Sections 251 and 252 of the Act, requires Frontier to offer interconnection, UNEs, collocation and resale with</w:t>
      </w:r>
      <w:r>
        <w:rPr>
          <w:rFonts w:ascii="Times New Roman" w:hAnsi="Times New Roman" w:cs="Times New Roman"/>
          <w:sz w:val="24"/>
          <w:szCs w:val="24"/>
        </w:rPr>
        <w:t xml:space="preserve"> rates, terms, and conditions that are "just, reasonable, and nondiscriminatory."  Section 252(d) provides that state commissions will make the determination of whether rates for the interconnection of facilities, network elements and resale are just and reasonable.  </w:t>
      </w:r>
    </w:p>
    <w:p>
      <w:pPr>
        <w:pStyle w:val="PlainText"/>
        <w:spacing w:line="480" w:lineRule="auto"/>
        <w:ind w:left="720" w:hanging="720"/>
        <w:rPr>
          <w:rFonts w:ascii="Times New Roman" w:hAnsi="Times New Roman" w:cs="Times New Roman"/>
          <w:sz w:val="24"/>
          <w:szCs w:val="24"/>
        </w:rPr>
      </w:pPr>
    </w:p>
    <w:p>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t>IS THE DETARIFFING OF INTERCONNECTION, UNES, RESALE AND COLLOCATION SERVICES IN THE PUBLIC INTEREST?</w:t>
      </w:r>
    </w:p>
    <w:p>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Yes.  There is no requirement under federal law that the terms, conditions and prices of interconnection, UNEs, resale, collocation or other wholesale services be maintained in tariffs on file with state commissions. In a vast majority of the states in which Frontier operates, the Company does not have the administrative burden and expense of filing and maintaining tariffs at the state utility commission for ICA Services.  The Settlement and the use of service catalogs showing the ICA Services rates, terms and conditions, creates a less burdensome and less expensive mechanism for Frontier   Allowing Frontier to avoid this additional burden and expense is in the public interest. </w:t>
      </w:r>
    </w:p>
    <w:p>
      <w:pPr>
        <w:spacing w:after="0" w:line="480" w:lineRule="auto"/>
        <w:ind w:left="720" w:hanging="720"/>
        <w:rPr>
          <w:rFonts w:ascii="Times New Roman" w:eastAsia="Calibri" w:hAnsi="Times New Roman" w:cs="Times New Roman"/>
          <w:b/>
          <w:sz w:val="24"/>
          <w:szCs w:val="24"/>
        </w:rPr>
      </w:pPr>
    </w:p>
    <w:p>
      <w:pPr>
        <w:spacing w:after="0" w:line="480" w:lineRule="auto"/>
        <w:ind w:left="720" w:hanging="720"/>
        <w:rPr>
          <w:rFonts w:ascii="Times New Roman" w:eastAsia="Calibri" w:hAnsi="Times New Roman" w:cs="Times New Roman"/>
          <w:b/>
          <w:sz w:val="24"/>
          <w:szCs w:val="24"/>
        </w:rPr>
      </w:pPr>
      <w:r>
        <w:rPr>
          <w:rFonts w:ascii="Times New Roman" w:eastAsia="Calibri" w:hAnsi="Times New Roman" w:cs="Times New Roman"/>
          <w:b/>
          <w:sz w:val="24"/>
          <w:szCs w:val="24"/>
        </w:rPr>
        <w:t>Q.</w:t>
      </w:r>
      <w:r>
        <w:rPr>
          <w:rFonts w:ascii="Times New Roman" w:eastAsia="Calibri" w:hAnsi="Times New Roman" w:cs="Times New Roman"/>
          <w:b/>
          <w:sz w:val="24"/>
          <w:szCs w:val="24"/>
        </w:rPr>
        <w:tab/>
        <w:t>DOES COMMISSION APPROVAL OF THE SETTLEMENT AND ITS PETITION IN THIS DOCKET IMPACT ANY OF ITS EXISTING ICAS OR ITS OBLIGATIONS UNDER SECTIONS 251 AND 252 OF THE TELECOMMUNICATIONS ACT?</w:t>
      </w:r>
    </w:p>
    <w:p>
      <w:pPr>
        <w:spacing w:after="0" w:line="48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A.</w:t>
      </w:r>
      <w:r>
        <w:rPr>
          <w:rFonts w:ascii="Times New Roman" w:eastAsia="Calibri" w:hAnsi="Times New Roman" w:cs="Times New Roman"/>
          <w:sz w:val="24"/>
          <w:szCs w:val="24"/>
        </w:rPr>
        <w:tab/>
        <w:t xml:space="preserve">Frontier’s petition stated and, in Settlement, Frontier affirms that it will not seek to avoid any of its obligations under existing ICAs or any of its continuing obligations under §§ 251 and 252 of the Telecommunications Act as a result of being granted relief requested in its Petition.  The only impact Commission approval of the Petition and the Settlement would have on interconnection agreements or interconnection obligations is that Frontier would be required, as described above, to establish an interconnection agreement amendment to incorporate, by reference, the ICA Wholesale Services Catalogues.  </w:t>
      </w:r>
    </w:p>
    <w:p>
      <w:pPr>
        <w:spacing w:after="0" w:line="480" w:lineRule="auto"/>
        <w:ind w:left="720" w:hanging="720"/>
        <w:rPr>
          <w:rFonts w:ascii="Times New Roman" w:eastAsia="Calibri" w:hAnsi="Times New Roman" w:cs="Times New Roman"/>
          <w:sz w:val="24"/>
          <w:szCs w:val="24"/>
        </w:rPr>
      </w:pPr>
    </w:p>
    <w:p>
      <w:pPr>
        <w:spacing w:after="0" w:line="480" w:lineRule="auto"/>
        <w:ind w:left="720" w:hanging="720"/>
        <w:rPr>
          <w:rFonts w:ascii="Times New Roman" w:eastAsia="Calibri" w:hAnsi="Times New Roman" w:cs="Times New Roman"/>
          <w:b/>
          <w:sz w:val="24"/>
          <w:szCs w:val="24"/>
        </w:rPr>
      </w:pPr>
      <w:r>
        <w:rPr>
          <w:rFonts w:ascii="Times New Roman" w:eastAsia="Calibri" w:hAnsi="Times New Roman" w:cs="Times New Roman"/>
          <w:b/>
          <w:sz w:val="24"/>
          <w:szCs w:val="24"/>
        </w:rPr>
        <w:t>Q.</w:t>
      </w:r>
      <w:r>
        <w:rPr>
          <w:rFonts w:ascii="Times New Roman" w:eastAsia="Calibri" w:hAnsi="Times New Roman" w:cs="Times New Roman"/>
          <w:b/>
          <w:sz w:val="24"/>
          <w:szCs w:val="24"/>
        </w:rPr>
        <w:tab/>
        <w:t>HOW ARE THE SETTLEMENT CONDITIONS FOR ICA WHOLESALE SERVICES IN THE PUBLIC INTEREST?</w:t>
      </w:r>
    </w:p>
    <w:p>
      <w:pPr>
        <w:spacing w:after="0" w:line="48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A.</w:t>
      </w:r>
      <w:r>
        <w:rPr>
          <w:rFonts w:ascii="Times New Roman" w:eastAsia="Calibri" w:hAnsi="Times New Roman" w:cs="Times New Roman"/>
          <w:sz w:val="24"/>
          <w:szCs w:val="24"/>
        </w:rPr>
        <w:tab/>
        <w:t>The ICA Wholesale Service conditions in the settlement are in the public interest and “do no harm” in that these conditions provide a process for an orderly transition of ICA Wholesale Services from tariffs to ICA Wholesale Services catalogues.  Further, the Settlement establishes a process for CLEC Intervenors to contest the result of the transfer from tariffs to catalogues.  Perhaps more importantly, the Settlement affirms that Commission approval of the Petition would not in any way diminish Frontier’s competitors’ ability to access wholesale services that some carriers use in the provision of competing retail services.</w:t>
      </w:r>
    </w:p>
    <w:p>
      <w:pPr>
        <w:spacing w:after="0" w:line="480" w:lineRule="auto"/>
        <w:ind w:left="720" w:hanging="720"/>
        <w:rPr>
          <w:rFonts w:ascii="Times New Roman" w:eastAsia="Calibri" w:hAnsi="Times New Roman" w:cs="Times New Roman"/>
          <w:sz w:val="24"/>
          <w:szCs w:val="24"/>
        </w:rPr>
      </w:pPr>
    </w:p>
    <w:p>
      <w:pPr>
        <w:spacing w:after="0" w:line="480" w:lineRule="auto"/>
        <w:ind w:left="720" w:hanging="720"/>
        <w:rPr>
          <w:rFonts w:ascii="Times New Roman" w:eastAsia="Calibri" w:hAnsi="Times New Roman" w:cs="Times New Roman"/>
          <w:sz w:val="24"/>
          <w:szCs w:val="24"/>
          <w:u w:val="single"/>
        </w:rPr>
      </w:pPr>
      <w:r>
        <w:rPr>
          <w:rFonts w:ascii="Times New Roman" w:eastAsia="Calibri" w:hAnsi="Times New Roman" w:cs="Times New Roman"/>
          <w:sz w:val="24"/>
          <w:szCs w:val="24"/>
        </w:rPr>
        <w:tab/>
      </w:r>
      <w:r>
        <w:rPr>
          <w:rFonts w:ascii="Times New Roman" w:eastAsia="Calibri" w:hAnsi="Times New Roman" w:cs="Times New Roman"/>
          <w:sz w:val="24"/>
          <w:szCs w:val="24"/>
          <w:u w:val="single"/>
        </w:rPr>
        <w:t>Settlement Conditions Specific to Non-ICA Wholesale Services</w:t>
      </w:r>
    </w:p>
    <w:p>
      <w:pPr>
        <w:spacing w:after="0" w:line="480" w:lineRule="auto"/>
        <w:ind w:left="720" w:hanging="720"/>
        <w:rPr>
          <w:rFonts w:ascii="Times New Roman" w:eastAsia="Calibri" w:hAnsi="Times New Roman" w:cs="Times New Roman"/>
          <w:b/>
          <w:sz w:val="24"/>
          <w:szCs w:val="24"/>
        </w:rPr>
      </w:pPr>
      <w:r>
        <w:rPr>
          <w:rFonts w:ascii="Times New Roman" w:eastAsia="Calibri" w:hAnsi="Times New Roman" w:cs="Times New Roman"/>
          <w:b/>
          <w:sz w:val="24"/>
          <w:szCs w:val="24"/>
        </w:rPr>
        <w:t>Q.</w:t>
      </w:r>
      <w:r>
        <w:rPr>
          <w:rFonts w:ascii="Times New Roman" w:eastAsia="Calibri" w:hAnsi="Times New Roman" w:cs="Times New Roman"/>
          <w:b/>
          <w:sz w:val="24"/>
          <w:szCs w:val="24"/>
        </w:rPr>
        <w:tab/>
        <w:t xml:space="preserve">WHAT NON-ICA WHOLESALE SERVICES WOULD FRONTIER MOVE TO SERVICE CATALOGUES IF THE COMMISSION APPROVES THE SETTLEMENT AND PETITION?  </w:t>
      </w:r>
    </w:p>
    <w:p>
      <w:pPr>
        <w:tabs>
          <w:tab w:val="num" w:pos="720"/>
        </w:tabs>
        <w:spacing w:after="0" w:line="480" w:lineRule="auto"/>
        <w:ind w:left="720" w:hanging="720"/>
        <w:rPr>
          <w:rFonts w:ascii="Times New Roman" w:eastAsia="Times New Roman" w:hAnsi="Times New Roman" w:cs="Times New Roman"/>
          <w:sz w:val="24"/>
          <w:szCs w:val="24"/>
        </w:rPr>
      </w:pPr>
      <w:r>
        <w:rPr>
          <w:rFonts w:ascii="Times New Roman" w:eastAsia="Calibri" w:hAnsi="Times New Roman" w:cs="Times New Roman"/>
          <w:sz w:val="24"/>
          <w:szCs w:val="24"/>
        </w:rPr>
        <w:t>A.</w:t>
      </w:r>
      <w:r>
        <w:rPr>
          <w:rFonts w:ascii="Times New Roman" w:eastAsia="Calibri" w:hAnsi="Times New Roman" w:cs="Times New Roman"/>
          <w:sz w:val="24"/>
          <w:szCs w:val="24"/>
        </w:rPr>
        <w:tab/>
      </w:r>
      <w:r>
        <w:rPr>
          <w:rFonts w:ascii="Times New Roman" w:eastAsia="Times New Roman" w:hAnsi="Times New Roman" w:cs="Times New Roman"/>
          <w:sz w:val="24"/>
          <w:szCs w:val="24"/>
        </w:rPr>
        <w:t>As proposed in the Petition and as described in the Settlement, Frontier would move the rates, terms and conditions of the following tariffs to respective Non-ICA Wholesale Service catalogues:</w:t>
      </w:r>
    </w:p>
    <w:p>
      <w:pPr>
        <w:spacing w:after="0" w:line="480" w:lineRule="auto"/>
        <w:ind w:left="720" w:hanging="720"/>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sz w:val="24"/>
          <w:szCs w:val="24"/>
        </w:rPr>
        <w:t>WN U-16 Facilities for Intrastate Access</w:t>
      </w:r>
    </w:p>
    <w:p>
      <w:pPr>
        <w:spacing w:after="0" w:line="48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ab/>
        <w:t>WN U-23 Advanced Data Services</w:t>
      </w:r>
    </w:p>
    <w:p>
      <w:pPr>
        <w:tabs>
          <w:tab w:val="num" w:pos="720"/>
        </w:tabs>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pPr>
        <w:tabs>
          <w:tab w:val="num" w:pos="720"/>
        </w:tabs>
        <w:spacing w:after="0" w:line="480" w:lineRule="auto"/>
        <w:ind w:left="720" w:hanging="720"/>
        <w:rPr>
          <w:rFonts w:ascii="Times New Roman" w:eastAsia="Calibri" w:hAnsi="Times New Roman" w:cs="Times New Roman"/>
          <w:b/>
          <w:sz w:val="24"/>
          <w:szCs w:val="24"/>
        </w:rPr>
      </w:pPr>
      <w:r>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ab/>
        <w:t>WHAT ARE THE SETTLEMENT CONDITIONS THAT WOULD LIMIT FRONTIER’S ABILITY TO CHANGE ITS WHOLESALE RATES, TERMS AND SERVICE CONDITIONS FOR NON-ICA SERVICES AT THE TIME IT MOVES THESE SERVICES TO CATALOGUES?</w:t>
      </w:r>
    </w:p>
    <w:p>
      <w:pPr>
        <w:spacing w:after="0" w:line="48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A.</w:t>
      </w:r>
      <w:r>
        <w:rPr>
          <w:rFonts w:ascii="Times New Roman" w:eastAsia="Calibri" w:hAnsi="Times New Roman" w:cs="Times New Roman"/>
          <w:sz w:val="24"/>
          <w:szCs w:val="24"/>
        </w:rPr>
        <w:tab/>
        <w:t>Consistent with the Settlement conditions described above for transfer of ICA Wholesale services from tariffs to service catalogues, the Settlement provides for the timing and a process for Frontier would to move the Non-ICA Wholesale Services to respective service catalogues.  Purchase of service from the Non-ICA Wholesale Service catalogues would be limited to only certified long distance carriers and CLECs certified as telecommunications carriers.  Consistent with the transfer of ICA Wholesale Services to service catalogues, the Settlement requires that Frontier establish service catalogues that contain no substantive deviations in terms, rates and conditions than the tariffs and also provides for a process for CLEC Intervenors to review and challenge any changes they believe may believe to be substantive.  Additionally, the Settlement agreement prevents Frontier from discontinuing or terminating a service unless first approved by the Commission pursuant to a petition filed by Frontier in this docket.  However, the Settlement agreement permits discontinuance, termination or modification of a Non-ICA Wholesale Service to a CLEC by mutual agreement with that CLEC.</w:t>
      </w:r>
    </w:p>
    <w:p>
      <w:pPr>
        <w:spacing w:after="0" w:line="480" w:lineRule="auto"/>
        <w:ind w:left="720" w:hanging="720"/>
        <w:rPr>
          <w:rFonts w:ascii="Times New Roman" w:eastAsia="Calibri" w:hAnsi="Times New Roman" w:cs="Times New Roman"/>
          <w:sz w:val="24"/>
          <w:szCs w:val="24"/>
        </w:rPr>
      </w:pPr>
    </w:p>
    <w:p>
      <w:pPr>
        <w:spacing w:after="0" w:line="480" w:lineRule="auto"/>
        <w:ind w:left="720" w:hanging="720"/>
        <w:rPr>
          <w:rFonts w:ascii="Times New Roman" w:eastAsia="Calibri" w:hAnsi="Times New Roman" w:cs="Times New Roman"/>
          <w:b/>
          <w:sz w:val="24"/>
          <w:szCs w:val="24"/>
        </w:rPr>
      </w:pPr>
      <w:r>
        <w:rPr>
          <w:rFonts w:ascii="Times New Roman" w:eastAsia="Calibri" w:hAnsi="Times New Roman" w:cs="Times New Roman"/>
          <w:b/>
          <w:sz w:val="24"/>
          <w:szCs w:val="24"/>
        </w:rPr>
        <w:t>Q.</w:t>
      </w:r>
      <w:r>
        <w:rPr>
          <w:rFonts w:ascii="Times New Roman" w:eastAsia="Calibri" w:hAnsi="Times New Roman" w:cs="Times New Roman"/>
          <w:b/>
          <w:sz w:val="24"/>
          <w:szCs w:val="24"/>
        </w:rPr>
        <w:tab/>
        <w:t>WHAT ONGOING PROTECTIONS DOES THE SETTLEMENT AGREEMENT PROVIDE TO CLECS FOR NON-ICA WHOLESALE SERVICES?</w:t>
      </w:r>
      <w:r>
        <w:rPr>
          <w:rFonts w:ascii="Times New Roman" w:eastAsia="Calibri" w:hAnsi="Times New Roman" w:cs="Times New Roman"/>
          <w:b/>
          <w:sz w:val="24"/>
          <w:szCs w:val="24"/>
        </w:rPr>
        <w:tab/>
        <w:t xml:space="preserve"> </w:t>
      </w:r>
    </w:p>
    <w:p>
      <w:pPr>
        <w:spacing w:after="0" w:line="48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A.</w:t>
      </w:r>
      <w:r>
        <w:rPr>
          <w:rFonts w:ascii="Times New Roman" w:eastAsia="Calibri" w:hAnsi="Times New Roman" w:cs="Times New Roman"/>
          <w:sz w:val="24"/>
          <w:szCs w:val="24"/>
        </w:rPr>
        <w:tab/>
        <w:t>Frontier would be required to offer to competitive carriers any and all Non-ICA Wholesale services at the same rates, terms and conditions that were offered when Frontier filed it Petition.  Frontier agrees under the Settlement to honor any existing contracts for Non-ICA Services on an individualized term pricing plan arrangement for the duration of the contracted term.  However, Frontier would be permitted to unilaterally lower rates without Commission approval.</w:t>
      </w:r>
    </w:p>
    <w:p>
      <w:pPr>
        <w:spacing w:after="0" w:line="48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ab/>
      </w:r>
    </w:p>
    <w:p>
      <w:pPr>
        <w:spacing w:after="0" w:line="480" w:lineRule="auto"/>
        <w:ind w:left="720" w:hanging="720"/>
        <w:rPr>
          <w:rFonts w:ascii="Times New Roman" w:eastAsia="Calibri" w:hAnsi="Times New Roman" w:cs="Times New Roman"/>
          <w:b/>
          <w:sz w:val="24"/>
          <w:szCs w:val="24"/>
        </w:rPr>
      </w:pPr>
      <w:r>
        <w:rPr>
          <w:rFonts w:ascii="Times New Roman" w:eastAsia="Calibri" w:hAnsi="Times New Roman" w:cs="Times New Roman"/>
          <w:b/>
          <w:sz w:val="24"/>
          <w:szCs w:val="24"/>
        </w:rPr>
        <w:t>Q.</w:t>
      </w:r>
      <w:r>
        <w:rPr>
          <w:rFonts w:ascii="Times New Roman" w:eastAsia="Calibri" w:hAnsi="Times New Roman" w:cs="Times New Roman"/>
          <w:b/>
          <w:sz w:val="24"/>
          <w:szCs w:val="24"/>
        </w:rPr>
        <w:tab/>
        <w:t>DOES THE SETTLEMENT PROVIDE ANY CARRIER PROTECTIONS SPECIFIC TO INTRASTATE SWITCHED ACCESS SERVICES?</w:t>
      </w:r>
    </w:p>
    <w:p>
      <w:pPr>
        <w:spacing w:after="0" w:line="48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A.</w:t>
      </w:r>
      <w:r>
        <w:rPr>
          <w:rFonts w:ascii="Times New Roman" w:eastAsia="Calibri" w:hAnsi="Times New Roman" w:cs="Times New Roman"/>
          <w:sz w:val="24"/>
          <w:szCs w:val="24"/>
        </w:rPr>
        <w:tab/>
        <w:t>Yes.  Under the Settlement, Frontier commits to cap and continue to maintain the existing service rates for intrastate originating switched access, and transition terminating switched access services as provided in the ICC Transformation Order.  Consistent with an FCC order or if a court allows companies to restructure or increase certain intrastate switched access rate elements, the Settlement would not impact or limit Frontier’s ability to restructure intrastate access rates consistent with that order or court decision.  If a court overturns the ICC Transformation Order, Frontier agrees not to increase the aggregate intrastate switched access rates beyond the aggregate rates in effect on December 29, 2011, without first petitioning and obtaining approval from the Commission.</w:t>
      </w:r>
    </w:p>
    <w:p>
      <w:pPr>
        <w:spacing w:after="0" w:line="480" w:lineRule="auto"/>
        <w:ind w:left="720" w:hanging="720"/>
        <w:rPr>
          <w:rFonts w:ascii="Times New Roman" w:eastAsia="Calibri" w:hAnsi="Times New Roman" w:cs="Times New Roman"/>
          <w:b/>
          <w:sz w:val="24"/>
          <w:szCs w:val="24"/>
        </w:rPr>
      </w:pPr>
      <w:r>
        <w:rPr>
          <w:rFonts w:ascii="Times New Roman" w:eastAsia="Calibri" w:hAnsi="Times New Roman" w:cs="Times New Roman"/>
          <w:b/>
          <w:sz w:val="24"/>
          <w:szCs w:val="24"/>
        </w:rPr>
        <w:t>Q.</w:t>
      </w:r>
      <w:r>
        <w:rPr>
          <w:rFonts w:ascii="Times New Roman" w:eastAsia="Calibri" w:hAnsi="Times New Roman" w:cs="Times New Roman"/>
          <w:b/>
          <w:sz w:val="24"/>
          <w:szCs w:val="24"/>
        </w:rPr>
        <w:tab/>
        <w:t>DOES THE SETTLEMENT PROVIDE CARRIER PROTECTIONS FOR OTHER NON-ICA WHOLESALE SERVICES?</w:t>
      </w:r>
    </w:p>
    <w:p>
      <w:pPr>
        <w:spacing w:after="0" w:line="48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A.</w:t>
      </w:r>
      <w:r>
        <w:rPr>
          <w:rFonts w:ascii="Times New Roman" w:eastAsia="Calibri" w:hAnsi="Times New Roman" w:cs="Times New Roman"/>
          <w:sz w:val="24"/>
          <w:szCs w:val="24"/>
        </w:rPr>
        <w:tab/>
        <w:t>Yes.  If Frontier wants to increase the price or change any term or condition of any Wholesale Service offered to competitive carriers as of the date Frontier filed the Petition, Frontier must file a petition in this docket seeking a modification of the Settlement term or condition and demonstrate that the requested change is in the public interest; provided however, that Frontier agrees not to seek such change prior to July 1, 2017.</w:t>
      </w:r>
    </w:p>
    <w:p>
      <w:pPr>
        <w:spacing w:after="0" w:line="480" w:lineRule="auto"/>
        <w:ind w:left="720" w:hanging="720"/>
        <w:rPr>
          <w:rFonts w:ascii="Times New Roman" w:eastAsia="Calibri" w:hAnsi="Times New Roman" w:cs="Times New Roman"/>
          <w:sz w:val="24"/>
          <w:szCs w:val="24"/>
        </w:rPr>
      </w:pPr>
    </w:p>
    <w:p>
      <w:pPr>
        <w:spacing w:after="0" w:line="480" w:lineRule="auto"/>
        <w:ind w:left="720" w:hanging="720"/>
        <w:rPr>
          <w:rFonts w:ascii="Times New Roman" w:eastAsia="Calibri" w:hAnsi="Times New Roman" w:cs="Times New Roman"/>
          <w:b/>
          <w:sz w:val="24"/>
          <w:szCs w:val="24"/>
        </w:rPr>
      </w:pPr>
      <w:r>
        <w:rPr>
          <w:rFonts w:ascii="Times New Roman" w:eastAsia="Calibri" w:hAnsi="Times New Roman" w:cs="Times New Roman"/>
          <w:b/>
          <w:sz w:val="24"/>
          <w:szCs w:val="24"/>
        </w:rPr>
        <w:t>Q.</w:t>
      </w:r>
      <w:r>
        <w:rPr>
          <w:rFonts w:ascii="Times New Roman" w:eastAsia="Calibri" w:hAnsi="Times New Roman" w:cs="Times New Roman"/>
          <w:sz w:val="24"/>
          <w:szCs w:val="24"/>
        </w:rPr>
        <w:tab/>
      </w:r>
      <w:r>
        <w:rPr>
          <w:rFonts w:ascii="Times New Roman" w:eastAsia="Calibri" w:hAnsi="Times New Roman" w:cs="Times New Roman"/>
          <w:b/>
          <w:sz w:val="24"/>
          <w:szCs w:val="24"/>
        </w:rPr>
        <w:t>HOW ARE THE SETTLEMENT CONTITIONS FOR NON-ICA WHOLESALE SERVICES IN THE PUBLIC INTEREST?</w:t>
      </w:r>
    </w:p>
    <w:p>
      <w:pPr>
        <w:spacing w:after="0" w:line="48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A.</w:t>
      </w:r>
      <w:r>
        <w:rPr>
          <w:rFonts w:ascii="Times New Roman" w:eastAsia="Calibri" w:hAnsi="Times New Roman" w:cs="Times New Roman"/>
          <w:sz w:val="24"/>
          <w:szCs w:val="24"/>
        </w:rPr>
        <w:tab/>
        <w:t>As with the Settlement conditions for ICA Wholesale Services, the conditions for Non-ICA Wholesale Services are in the public interest and “do no harm” in that these conditions also provide a process for an orderly transition of Non-ICA Wholesale Services from tariffs to ICA Wholesale Service catalogues, including establishment of a process for CLEC Intervenors to contest the result of the transfer from tariffs to catalogues.  The Settlement conditions for Non-ICA Wholesale Services go beyond existing regulatory protections and require not only Commission approval for rate increases or changes in terms and conditions but also impose a cap on Non-ICA Wholesale Service rates through at least July 1, 2017.  These conditions not only affirm Commission authority over these service rates, terms and conditions but provide rate caps that would not otherwise exist absent the Settlement.  This, therefore, not only does not diminish Frontier’s retail competitors’ ability to access wholesale services that some carriers use in the provision of competing retail services but provides protections through at least July 1, 2017 that would not otherwise exist.</w:t>
      </w:r>
    </w:p>
    <w:p>
      <w:pPr>
        <w:spacing w:after="0" w:line="480" w:lineRule="auto"/>
        <w:ind w:left="720" w:hanging="720"/>
        <w:rPr>
          <w:rFonts w:ascii="Times New Roman" w:eastAsia="Calibri" w:hAnsi="Times New Roman" w:cs="Times New Roman"/>
          <w:sz w:val="24"/>
          <w:szCs w:val="24"/>
        </w:rPr>
      </w:pPr>
    </w:p>
    <w:p>
      <w:pPr>
        <w:spacing w:after="0" w:line="480" w:lineRule="auto"/>
        <w:ind w:left="720" w:hanging="720"/>
        <w:rPr>
          <w:rFonts w:ascii="Times New Roman" w:eastAsia="Calibri" w:hAnsi="Times New Roman" w:cs="Times New Roman"/>
          <w:sz w:val="24"/>
          <w:szCs w:val="24"/>
          <w:u w:val="single"/>
        </w:rPr>
      </w:pPr>
      <w:r>
        <w:rPr>
          <w:rFonts w:ascii="Times New Roman" w:eastAsia="Calibri" w:hAnsi="Times New Roman" w:cs="Times New Roman"/>
          <w:sz w:val="24"/>
          <w:szCs w:val="24"/>
        </w:rPr>
        <w:tab/>
      </w:r>
      <w:r>
        <w:rPr>
          <w:rFonts w:ascii="Times New Roman" w:eastAsia="Calibri" w:hAnsi="Times New Roman" w:cs="Times New Roman"/>
          <w:sz w:val="24"/>
          <w:szCs w:val="24"/>
          <w:u w:val="single"/>
        </w:rPr>
        <w:t>Generally Applicable Terms and Conditions</w:t>
      </w:r>
    </w:p>
    <w:p>
      <w:pPr>
        <w:spacing w:after="0" w:line="480" w:lineRule="auto"/>
        <w:ind w:left="720" w:hanging="720"/>
        <w:rPr>
          <w:rFonts w:ascii="Times New Roman" w:eastAsia="Calibri" w:hAnsi="Times New Roman" w:cs="Times New Roman"/>
          <w:b/>
          <w:sz w:val="24"/>
          <w:szCs w:val="24"/>
        </w:rPr>
      </w:pPr>
      <w:r>
        <w:rPr>
          <w:rFonts w:ascii="Times New Roman" w:eastAsia="Calibri" w:hAnsi="Times New Roman" w:cs="Times New Roman"/>
          <w:b/>
          <w:sz w:val="24"/>
          <w:szCs w:val="24"/>
        </w:rPr>
        <w:t>Q.</w:t>
      </w:r>
      <w:r>
        <w:rPr>
          <w:rFonts w:ascii="Times New Roman" w:eastAsia="Calibri" w:hAnsi="Times New Roman" w:cs="Times New Roman"/>
          <w:b/>
          <w:sz w:val="24"/>
          <w:szCs w:val="24"/>
        </w:rPr>
        <w:tab/>
        <w:t>PLEASE GENERALLY DESCRIBE THE GENERALLY APPLICABLE TERMS AND CONDITIONS OF THE SETTLEMENT.</w:t>
      </w:r>
    </w:p>
    <w:p>
      <w:pPr>
        <w:spacing w:after="0" w:line="48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A.</w:t>
      </w:r>
      <w:r>
        <w:rPr>
          <w:rFonts w:ascii="Times New Roman" w:eastAsia="Calibri" w:hAnsi="Times New Roman" w:cs="Times New Roman"/>
          <w:sz w:val="24"/>
          <w:szCs w:val="24"/>
        </w:rPr>
        <w:tab/>
        <w:t xml:space="preserve">The Settlement contains several additional generally applicable conditions that further the public interest and provide safeguards to ensure that competitive providers purchasing wholesale services can effectively compete.  The Settlement includes terms and conditions that provide additional protections to assure competitive providers have access to reasonable rates, terms and conditions for wholesale services that they use in the provision of competing retail service offerings in Frontier’s service territory.  This includes provisions that not only are rates, terms and conditions for services provided by Frontier to CLECs required to be “fair, just and reasonable” but that services are to be provided timely and that Frontier must maintain facilities in good and safe condition.  </w:t>
      </w:r>
    </w:p>
    <w:p>
      <w:pPr>
        <w:spacing w:after="0" w:line="48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ab/>
        <w:t>The Settlement contains a provision assuring non-discrimination for pricing, access to, regulations and practices for both ICA Wholesale Services and Non-ICA Wholesale services.  The Settlement affirms the Commission’s primary jurisdiction over complaints as to this provision.</w:t>
      </w:r>
    </w:p>
    <w:p>
      <w:pPr>
        <w:spacing w:after="0" w:line="48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ab/>
        <w:t>Frontier affirms in the Settlement that CLEC Intervenors or any other aggrieved entity may file a complaint pursuant to RCW 80.04.110 alleging violation of the terms of the Settlement and that Frontier will not argue that the Commission lacks jurisdiction to consider such a complaint.</w:t>
      </w:r>
    </w:p>
    <w:p>
      <w:pPr>
        <w:spacing w:after="0" w:line="48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ab/>
        <w:t>Frontier affirms that, if the Commission determines that a rate, term or condition is ambiguous, there is a rebuttable presumption that the ambiguity will be construed in favor of the CLEC.</w:t>
      </w:r>
    </w:p>
    <w:p>
      <w:pPr>
        <w:spacing w:after="0" w:line="480" w:lineRule="auto"/>
        <w:ind w:left="720" w:hanging="720"/>
        <w:rPr>
          <w:rFonts w:ascii="Times New Roman" w:eastAsia="Calibri" w:hAnsi="Times New Roman" w:cs="Times New Roman"/>
          <w:sz w:val="24"/>
          <w:szCs w:val="24"/>
        </w:rPr>
      </w:pPr>
    </w:p>
    <w:p>
      <w:pPr>
        <w:spacing w:after="0" w:line="480" w:lineRule="auto"/>
        <w:ind w:left="720" w:hanging="720"/>
        <w:rPr>
          <w:rFonts w:ascii="Times New Roman" w:eastAsia="Calibri" w:hAnsi="Times New Roman" w:cs="Times New Roman"/>
          <w:b/>
          <w:sz w:val="24"/>
          <w:szCs w:val="24"/>
        </w:rPr>
      </w:pPr>
      <w:r>
        <w:rPr>
          <w:rFonts w:ascii="Times New Roman" w:eastAsia="Calibri" w:hAnsi="Times New Roman" w:cs="Times New Roman"/>
          <w:b/>
          <w:sz w:val="24"/>
          <w:szCs w:val="24"/>
        </w:rPr>
        <w:t>Q.</w:t>
      </w:r>
      <w:r>
        <w:rPr>
          <w:rFonts w:ascii="Times New Roman" w:eastAsia="Calibri" w:hAnsi="Times New Roman" w:cs="Times New Roman"/>
          <w:b/>
          <w:sz w:val="24"/>
          <w:szCs w:val="24"/>
        </w:rPr>
        <w:tab/>
        <w:t>WHAT RECOMMENDATION DOES FRONTIER HAVE FOR THE COMMISSION WITH RESPECT TO THE SETTLEMENT?</w:t>
      </w:r>
    </w:p>
    <w:p>
      <w:pPr>
        <w:spacing w:after="0" w:line="48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A.</w:t>
      </w:r>
      <w:r>
        <w:rPr>
          <w:rFonts w:ascii="Times New Roman" w:eastAsia="Calibri" w:hAnsi="Times New Roman" w:cs="Times New Roman"/>
          <w:sz w:val="24"/>
          <w:szCs w:val="24"/>
        </w:rPr>
        <w:tab/>
        <w:t>The Settlement satisfies the interests of the CLEC Intervenor’s and Frontier in the context of granting Frontier’s request for competitive classification.  Commission approval of the settlement will cause no harm and is consistent with the public interest.  Frontier recommends the Commission approve the Settlement in conjunction with approval of its request for competitive classification.</w:t>
      </w:r>
    </w:p>
    <w:p>
      <w:pPr>
        <w:spacing w:after="0" w:line="48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p>
    <w:p>
      <w:pPr>
        <w:spacing w:after="0" w:line="480" w:lineRule="auto"/>
        <w:ind w:left="720" w:hanging="720"/>
        <w:rPr>
          <w:rFonts w:ascii="Times New Roman" w:eastAsia="Calibri" w:hAnsi="Times New Roman" w:cs="Times New Roman"/>
          <w:b/>
          <w:sz w:val="24"/>
          <w:szCs w:val="24"/>
        </w:rPr>
      </w:pPr>
      <w:r>
        <w:rPr>
          <w:rFonts w:ascii="Times New Roman" w:eastAsia="Calibri" w:hAnsi="Times New Roman" w:cs="Times New Roman"/>
          <w:b/>
          <w:sz w:val="24"/>
          <w:szCs w:val="24"/>
        </w:rPr>
        <w:t>Q.</w:t>
      </w:r>
      <w:r>
        <w:rPr>
          <w:rFonts w:ascii="Times New Roman" w:eastAsia="Calibri" w:hAnsi="Times New Roman" w:cs="Times New Roman"/>
          <w:b/>
          <w:sz w:val="24"/>
          <w:szCs w:val="24"/>
        </w:rPr>
        <w:tab/>
        <w:t>DOES THIS CONCLUDE YOUR TESTIMONY?</w:t>
      </w:r>
    </w:p>
    <w:p>
      <w:pPr>
        <w:spacing w:after="0" w:line="48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A.</w:t>
      </w:r>
      <w:r>
        <w:rPr>
          <w:rFonts w:ascii="Times New Roman" w:eastAsia="Calibri" w:hAnsi="Times New Roman" w:cs="Times New Roman"/>
          <w:sz w:val="24"/>
          <w:szCs w:val="24"/>
        </w:rPr>
        <w:tab/>
        <w:t>Yes, it does.</w:t>
      </w:r>
    </w:p>
    <w:p>
      <w:pPr>
        <w:spacing w:after="0" w:line="480" w:lineRule="auto"/>
        <w:rPr>
          <w:rFonts w:ascii="Times New Roman" w:eastAsia="Calibri" w:hAnsi="Times New Roman" w:cs="Times New Roman"/>
          <w:sz w:val="24"/>
          <w:szCs w:val="24"/>
        </w:rPr>
      </w:pPr>
    </w:p>
    <w:sectPr>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lnNumType w:countBy="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w:panose1 w:val="02020803070505020304"/>
    <w:charset w:val="00"/>
    <w:family w:val="roman"/>
    <w:notTrueType/>
    <w:pitch w:val="default"/>
    <w:sig w:usb0="01053AFF" w:usb1="0000008D" w:usb2="00000000" w:usb3="00000000" w:csb0="006609FF" w:csb1="00BD5CC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3757"/>
      <w:docPartObj>
        <w:docPartGallery w:val="Page Numbers (Bottom of Page)"/>
        <w:docPartUnique/>
      </w:docPartObj>
    </w:sdtPr>
    <w:sdtEndPr>
      <w:rPr>
        <w:noProof/>
      </w:rPr>
    </w:sdtEndPr>
    <w:sdtContent>
      <w:p>
        <w:pPr>
          <w:pStyle w:val="Footer"/>
          <w:jc w:val="center"/>
        </w:pPr>
        <w:fldSimple w:instr=" PAGE   \* MERGEFORMAT ">
          <w:r>
            <w:rPr>
              <w:noProof/>
            </w:rPr>
            <w:t>13</w:t>
          </w:r>
        </w:fldSimple>
      </w:p>
    </w:sdtContent>
  </w:sdt>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center"/>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rPr>
        <w:rFonts w:ascii="Times New Roman" w:hAnsi="Times New Roman" w:cs="Times New Roman"/>
      </w:rPr>
    </w:pPr>
    <w:r>
      <w:rPr>
        <w:rFonts w:ascii="Times New Roman" w:hAnsi="Times New Roman" w:cs="Times New Roman"/>
      </w:rPr>
      <w:t>EXHIBIT NO.__ (JP-28T)</w:t>
    </w:r>
  </w:p>
  <w:p>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1AE0B5C"/>
    <w:lvl w:ilvl="0">
      <w:start w:val="1"/>
      <w:numFmt w:val="bullet"/>
      <w:lvlText w:val=""/>
      <w:lvlJc w:val="left"/>
      <w:pPr>
        <w:tabs>
          <w:tab w:val="num" w:pos="2610"/>
        </w:tabs>
        <w:ind w:left="2610" w:hanging="360"/>
      </w:pPr>
      <w:rPr>
        <w:rFonts w:ascii="Symbol" w:hAnsi="Symbol" w:hint="default"/>
      </w:rPr>
    </w:lvl>
  </w:abstractNum>
  <w:abstractNum w:abstractNumId="1">
    <w:nsid w:val="081533C6"/>
    <w:multiLevelType w:val="hybridMultilevel"/>
    <w:tmpl w:val="6082BF9A"/>
    <w:lvl w:ilvl="0" w:tplc="9A0EB6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A766BE"/>
    <w:multiLevelType w:val="hybridMultilevel"/>
    <w:tmpl w:val="905EC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1C6CC3"/>
    <w:multiLevelType w:val="hybridMultilevel"/>
    <w:tmpl w:val="905EC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3C35F4"/>
    <w:multiLevelType w:val="hybridMultilevel"/>
    <w:tmpl w:val="DB04CA62"/>
    <w:lvl w:ilvl="0" w:tplc="04090001">
      <w:start w:val="1"/>
      <w:numFmt w:val="bullet"/>
      <w:lvlText w:val=""/>
      <w:lvlJc w:val="left"/>
      <w:pPr>
        <w:tabs>
          <w:tab w:val="num" w:pos="2220"/>
        </w:tabs>
        <w:ind w:left="2220" w:hanging="360"/>
      </w:pPr>
      <w:rPr>
        <w:rFonts w:ascii="Symbol" w:hAnsi="Symbol" w:hint="default"/>
      </w:rPr>
    </w:lvl>
    <w:lvl w:ilvl="1" w:tplc="04090003">
      <w:start w:val="1"/>
      <w:numFmt w:val="bullet"/>
      <w:lvlText w:val="o"/>
      <w:lvlJc w:val="left"/>
      <w:pPr>
        <w:tabs>
          <w:tab w:val="num" w:pos="2940"/>
        </w:tabs>
        <w:ind w:left="2940" w:hanging="360"/>
      </w:pPr>
      <w:rPr>
        <w:rFonts w:ascii="Courier New" w:hAnsi="Courier New" w:cs="Courier New" w:hint="default"/>
      </w:rPr>
    </w:lvl>
    <w:lvl w:ilvl="2" w:tplc="04090001">
      <w:start w:val="1"/>
      <w:numFmt w:val="bullet"/>
      <w:lvlText w:val=""/>
      <w:lvlJc w:val="left"/>
      <w:pPr>
        <w:tabs>
          <w:tab w:val="num" w:pos="3660"/>
        </w:tabs>
        <w:ind w:left="3660" w:hanging="360"/>
      </w:pPr>
      <w:rPr>
        <w:rFonts w:ascii="Symbol" w:hAnsi="Symbol"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5">
    <w:nsid w:val="11B166CD"/>
    <w:multiLevelType w:val="hybridMultilevel"/>
    <w:tmpl w:val="9618BD1C"/>
    <w:lvl w:ilvl="0" w:tplc="57E08A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5272A07"/>
    <w:multiLevelType w:val="hybridMultilevel"/>
    <w:tmpl w:val="B4B04EA6"/>
    <w:lvl w:ilvl="0" w:tplc="AF6C67A6">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9F35BF"/>
    <w:multiLevelType w:val="hybridMultilevel"/>
    <w:tmpl w:val="905EC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764996"/>
    <w:multiLevelType w:val="hybridMultilevel"/>
    <w:tmpl w:val="905EC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A342753"/>
    <w:multiLevelType w:val="hybridMultilevel"/>
    <w:tmpl w:val="7348F812"/>
    <w:lvl w:ilvl="0" w:tplc="7DD2414C">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346AB1"/>
    <w:multiLevelType w:val="hybridMultilevel"/>
    <w:tmpl w:val="B4AE103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49FC0F12"/>
    <w:multiLevelType w:val="hybridMultilevel"/>
    <w:tmpl w:val="5F2A4F0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50D00C26"/>
    <w:multiLevelType w:val="hybridMultilevel"/>
    <w:tmpl w:val="8C1EC74E"/>
    <w:lvl w:ilvl="0" w:tplc="7D76B6DC">
      <w:start w:val="1"/>
      <w:numFmt w:val="decimal"/>
      <w:lvlText w:val="%1."/>
      <w:lvlJc w:val="left"/>
      <w:pPr>
        <w:tabs>
          <w:tab w:val="num" w:pos="360"/>
        </w:tabs>
        <w:ind w:left="360" w:hanging="360"/>
      </w:pPr>
      <w:rPr>
        <w:i/>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590D07A4"/>
    <w:multiLevelType w:val="hybridMultilevel"/>
    <w:tmpl w:val="C680AC92"/>
    <w:lvl w:ilvl="0" w:tplc="FEAE073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F77660"/>
    <w:multiLevelType w:val="hybridMultilevel"/>
    <w:tmpl w:val="75BABE5C"/>
    <w:lvl w:ilvl="0" w:tplc="FFFFFFFF">
      <w:start w:val="1"/>
      <w:numFmt w:val="none"/>
      <w:pStyle w:val="Answer"/>
      <w:lvlText w:val="%1A."/>
      <w:lvlJc w:val="left"/>
      <w:pPr>
        <w:tabs>
          <w:tab w:val="num" w:pos="720"/>
        </w:tabs>
        <w:ind w:left="720" w:hanging="720"/>
      </w:pPr>
      <w:rPr>
        <w:rFonts w:hint="default"/>
        <w:b w:val="0"/>
      </w:rPr>
    </w:lvl>
    <w:lvl w:ilvl="1" w:tplc="FFFFFFFF">
      <w:start w:val="1"/>
      <w:numFmt w:val="bullet"/>
      <w:lvlText w:val=""/>
      <w:lvlJc w:val="left"/>
      <w:pPr>
        <w:tabs>
          <w:tab w:val="num" w:pos="360"/>
        </w:tabs>
        <w:ind w:left="360" w:hanging="360"/>
      </w:pPr>
      <w:rPr>
        <w:rFonts w:ascii="Symbol" w:hAnsi="Symbol" w:hint="default"/>
        <w:b w:val="0"/>
      </w:rPr>
    </w:lvl>
    <w:lvl w:ilvl="2" w:tplc="FFFFFFFF">
      <w:start w:val="1"/>
      <w:numFmt w:val="upp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6C6121E1"/>
    <w:multiLevelType w:val="hybridMultilevel"/>
    <w:tmpl w:val="343EB108"/>
    <w:lvl w:ilvl="0" w:tplc="FFFFFFFF">
      <w:start w:val="1"/>
      <w:numFmt w:val="none"/>
      <w:pStyle w:val="Question"/>
      <w:lvlText w:val="%1Q."/>
      <w:lvlJc w:val="left"/>
      <w:pPr>
        <w:tabs>
          <w:tab w:val="num" w:pos="3150"/>
        </w:tabs>
        <w:ind w:left="3150" w:hanging="720"/>
      </w:pPr>
      <w:rPr>
        <w:rFonts w:hint="default"/>
      </w:rPr>
    </w:lvl>
    <w:lvl w:ilvl="1" w:tplc="FFFFFFFF">
      <w:start w:val="1"/>
      <w:numFmt w:val="lowerLetter"/>
      <w:lvlText w:val="%2."/>
      <w:lvlJc w:val="left"/>
      <w:pPr>
        <w:tabs>
          <w:tab w:val="num" w:pos="3870"/>
        </w:tabs>
        <w:ind w:left="3870" w:hanging="360"/>
      </w:pPr>
    </w:lvl>
    <w:lvl w:ilvl="2" w:tplc="FFFFFFFF">
      <w:start w:val="1"/>
      <w:numFmt w:val="bullet"/>
      <w:lvlText w:val="-"/>
      <w:lvlJc w:val="left"/>
      <w:pPr>
        <w:tabs>
          <w:tab w:val="num" w:pos="4770"/>
        </w:tabs>
        <w:ind w:left="4770" w:hanging="360"/>
      </w:pPr>
      <w:rPr>
        <w:rFonts w:ascii="Times New Roman" w:eastAsia="Times New Roman" w:hAnsi="Times New Roman" w:cs="Times New Roman" w:hint="default"/>
      </w:rPr>
    </w:lvl>
    <w:lvl w:ilvl="3" w:tplc="FFFFFFFF">
      <w:start w:val="1"/>
      <w:numFmt w:val="decimal"/>
      <w:lvlText w:val="%4."/>
      <w:lvlJc w:val="left"/>
      <w:pPr>
        <w:tabs>
          <w:tab w:val="num" w:pos="5310"/>
        </w:tabs>
        <w:ind w:left="5310" w:hanging="360"/>
      </w:pPr>
    </w:lvl>
    <w:lvl w:ilvl="4" w:tplc="FFFFFFFF" w:tentative="1">
      <w:start w:val="1"/>
      <w:numFmt w:val="lowerLetter"/>
      <w:lvlText w:val="%5."/>
      <w:lvlJc w:val="left"/>
      <w:pPr>
        <w:tabs>
          <w:tab w:val="num" w:pos="6030"/>
        </w:tabs>
        <w:ind w:left="6030" w:hanging="360"/>
      </w:pPr>
    </w:lvl>
    <w:lvl w:ilvl="5" w:tplc="FFFFFFFF" w:tentative="1">
      <w:start w:val="1"/>
      <w:numFmt w:val="lowerRoman"/>
      <w:lvlText w:val="%6."/>
      <w:lvlJc w:val="right"/>
      <w:pPr>
        <w:tabs>
          <w:tab w:val="num" w:pos="6750"/>
        </w:tabs>
        <w:ind w:left="6750" w:hanging="180"/>
      </w:pPr>
    </w:lvl>
    <w:lvl w:ilvl="6" w:tplc="FFFFFFFF" w:tentative="1">
      <w:start w:val="1"/>
      <w:numFmt w:val="decimal"/>
      <w:lvlText w:val="%7."/>
      <w:lvlJc w:val="left"/>
      <w:pPr>
        <w:tabs>
          <w:tab w:val="num" w:pos="7470"/>
        </w:tabs>
        <w:ind w:left="7470" w:hanging="360"/>
      </w:pPr>
    </w:lvl>
    <w:lvl w:ilvl="7" w:tplc="FFFFFFFF" w:tentative="1">
      <w:start w:val="1"/>
      <w:numFmt w:val="lowerLetter"/>
      <w:lvlText w:val="%8."/>
      <w:lvlJc w:val="left"/>
      <w:pPr>
        <w:tabs>
          <w:tab w:val="num" w:pos="8190"/>
        </w:tabs>
        <w:ind w:left="8190" w:hanging="360"/>
      </w:pPr>
    </w:lvl>
    <w:lvl w:ilvl="8" w:tplc="FFFFFFFF" w:tentative="1">
      <w:start w:val="1"/>
      <w:numFmt w:val="lowerRoman"/>
      <w:lvlText w:val="%9."/>
      <w:lvlJc w:val="right"/>
      <w:pPr>
        <w:tabs>
          <w:tab w:val="num" w:pos="8910"/>
        </w:tabs>
        <w:ind w:left="8910" w:hanging="180"/>
      </w:pPr>
    </w:lvl>
  </w:abstractNum>
  <w:abstractNum w:abstractNumId="16">
    <w:nsid w:val="73EA1CFF"/>
    <w:multiLevelType w:val="hybridMultilevel"/>
    <w:tmpl w:val="3D5A393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7D48BD70">
      <w:start w:val="1"/>
      <w:numFmt w:val="lowerLetter"/>
      <w:lvlText w:val="%6."/>
      <w:lvlJc w:val="left"/>
      <w:pPr>
        <w:tabs>
          <w:tab w:val="num" w:pos="4320"/>
        </w:tabs>
        <w:ind w:left="4320" w:hanging="360"/>
      </w:pPr>
      <w:rPr>
        <w:rFont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E91744"/>
    <w:multiLevelType w:val="hybridMultilevel"/>
    <w:tmpl w:val="FF68EA26"/>
    <w:lvl w:ilvl="0" w:tplc="F448242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2"/>
  </w:num>
  <w:num w:numId="3">
    <w:abstractNumId w:val="17"/>
  </w:num>
  <w:num w:numId="4">
    <w:abstractNumId w:val="3"/>
  </w:num>
  <w:num w:numId="5">
    <w:abstractNumId w:val="16"/>
  </w:num>
  <w:num w:numId="6">
    <w:abstractNumId w:val="4"/>
  </w:num>
  <w:num w:numId="7">
    <w:abstractNumId w:val="11"/>
  </w:num>
  <w:num w:numId="8">
    <w:abstractNumId w:val="10"/>
  </w:num>
  <w:num w:numId="9">
    <w:abstractNumId w:val="14"/>
  </w:num>
  <w:num w:numId="10">
    <w:abstractNumId w:val="15"/>
  </w:num>
  <w:num w:numId="11">
    <w:abstractNumId w:val="0"/>
  </w:num>
  <w:num w:numId="12">
    <w:abstractNumId w:val="8"/>
  </w:num>
  <w:num w:numId="13">
    <w:abstractNumId w:val="7"/>
  </w:num>
  <w:num w:numId="14">
    <w:abstractNumId w:val="2"/>
  </w:num>
  <w:num w:numId="15">
    <w:abstractNumId w:val="6"/>
  </w:num>
  <w:num w:numId="16">
    <w:abstractNumId w:val="9"/>
  </w:num>
  <w:num w:numId="17">
    <w:abstractNumId w:val="1"/>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Title">
    <w:name w:val="Title"/>
    <w:basedOn w:val="Normal"/>
    <w:link w:val="TitleChar"/>
    <w:qFormat/>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Pr>
      <w:rFonts w:ascii="Times New Roman" w:eastAsia="Times New Roman" w:hAnsi="Times New Roman" w:cs="Times New Roman"/>
      <w:sz w:val="24"/>
      <w:szCs w:val="20"/>
    </w:rPr>
  </w:style>
  <w:style w:type="paragraph" w:styleId="Subtitle">
    <w:name w:val="Subtitle"/>
    <w:basedOn w:val="Normal"/>
    <w:link w:val="SubtitleChar"/>
    <w:qFormat/>
    <w:pPr>
      <w:spacing w:after="0" w:line="240" w:lineRule="auto"/>
      <w:jc w:val="right"/>
    </w:pPr>
    <w:rPr>
      <w:rFonts w:ascii="Times New Roman" w:eastAsia="Times New Roman" w:hAnsi="Times New Roman" w:cs="Times New Roman"/>
      <w:sz w:val="24"/>
      <w:szCs w:val="20"/>
    </w:rPr>
  </w:style>
  <w:style w:type="character" w:customStyle="1" w:styleId="SubtitleChar">
    <w:name w:val="Subtitle Char"/>
    <w:basedOn w:val="DefaultParagraphFont"/>
    <w:link w:val="Subtitle"/>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yperlink1">
    <w:name w:val="Hyperlink1"/>
    <w:basedOn w:val="DefaultParagraphFont"/>
    <w:uiPriority w:val="99"/>
    <w:unhideWhenUsed/>
    <w:rPr>
      <w:color w:val="0000FF"/>
      <w:u w:val="single"/>
    </w:rPr>
  </w:style>
  <w:style w:type="paragraph" w:styleId="NoSpacing">
    <w:name w:val="No Spacing"/>
    <w:uiPriority w:val="1"/>
    <w:qFormat/>
    <w:pPr>
      <w:spacing w:after="0" w:line="240" w:lineRule="auto"/>
    </w:p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style>
  <w:style w:type="paragraph" w:styleId="BodyTextFirstIndent2">
    <w:name w:val="Body Text First Indent 2"/>
    <w:basedOn w:val="BodyTextIndent"/>
    <w:link w:val="BodyTextFirstIndent2Char"/>
    <w:uiPriority w:val="99"/>
    <w:unhideWhenUsed/>
    <w:pPr>
      <w:spacing w:after="200"/>
      <w:ind w:firstLine="360"/>
    </w:pPr>
  </w:style>
  <w:style w:type="character" w:customStyle="1" w:styleId="BodyTextFirstIndent2Char">
    <w:name w:val="Body Text First Indent 2 Char"/>
    <w:basedOn w:val="BodyTextIndentChar"/>
    <w:link w:val="BodyTextFirstIndent2"/>
    <w:uiPriority w:val="99"/>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character" w:styleId="Hyperlink">
    <w:name w:val="Hyperlink"/>
    <w:basedOn w:val="DefaultParagraphFont"/>
    <w:rPr>
      <w:color w:val="0000FF"/>
      <w:u w:val="single"/>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
    <w:name w:val="Question"/>
    <w:basedOn w:val="Normal"/>
    <w:link w:val="QuestionChar"/>
    <w:pPr>
      <w:keepNext/>
      <w:keepLines/>
      <w:numPr>
        <w:numId w:val="10"/>
      </w:numPr>
      <w:spacing w:after="0" w:line="480" w:lineRule="exact"/>
    </w:pPr>
    <w:rPr>
      <w:rFonts w:ascii="Times New Roman Bold" w:eastAsia="Times New Roman" w:hAnsi="Times New Roman Bold" w:cs="Times New Roman"/>
      <w:b/>
      <w:bCs/>
      <w:caps/>
      <w:sz w:val="24"/>
      <w:szCs w:val="24"/>
    </w:rPr>
  </w:style>
  <w:style w:type="paragraph" w:customStyle="1" w:styleId="Answer">
    <w:name w:val="Answer"/>
    <w:basedOn w:val="Normal"/>
    <w:pPr>
      <w:numPr>
        <w:numId w:val="9"/>
      </w:numPr>
      <w:spacing w:after="240" w:line="480" w:lineRule="exact"/>
    </w:pPr>
    <w:rPr>
      <w:rFonts w:ascii="Times New Roman" w:eastAsia="Times New Roman" w:hAnsi="Times New Roman" w:cs="Times New Roman"/>
      <w:sz w:val="24"/>
      <w:szCs w:val="24"/>
    </w:rPr>
  </w:style>
  <w:style w:type="character" w:customStyle="1" w:styleId="QuestionChar">
    <w:name w:val="Question Char"/>
    <w:basedOn w:val="DefaultParagraphFont"/>
    <w:link w:val="Question"/>
    <w:rPr>
      <w:rFonts w:ascii="Times New Roman Bold" w:eastAsia="Times New Roman" w:hAnsi="Times New Roman Bold" w:cs="Times New Roman"/>
      <w:b/>
      <w:bCs/>
      <w:caps/>
      <w:sz w:val="24"/>
      <w:szCs w:val="24"/>
    </w:rPr>
  </w:style>
  <w:style w:type="character" w:styleId="LineNumber">
    <w:name w:val="line number"/>
    <w:basedOn w:val="DefaultParagraphFon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FD8"/>
  </w:style>
  <w:style w:type="paragraph" w:styleId="Footer">
    <w:name w:val="footer"/>
    <w:basedOn w:val="Normal"/>
    <w:link w:val="FooterChar"/>
    <w:uiPriority w:val="99"/>
    <w:unhideWhenUsed/>
    <w:rsid w:val="008C5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FD8"/>
  </w:style>
  <w:style w:type="paragraph" w:styleId="Title">
    <w:name w:val="Title"/>
    <w:basedOn w:val="Normal"/>
    <w:link w:val="TitleChar"/>
    <w:qFormat/>
    <w:rsid w:val="0074643B"/>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74643B"/>
    <w:rPr>
      <w:rFonts w:ascii="Times New Roman" w:eastAsia="Times New Roman" w:hAnsi="Times New Roman" w:cs="Times New Roman"/>
      <w:sz w:val="24"/>
      <w:szCs w:val="20"/>
    </w:rPr>
  </w:style>
  <w:style w:type="paragraph" w:styleId="Subtitle">
    <w:name w:val="Subtitle"/>
    <w:basedOn w:val="Normal"/>
    <w:link w:val="SubtitleChar"/>
    <w:qFormat/>
    <w:rsid w:val="0074643B"/>
    <w:pPr>
      <w:spacing w:after="0" w:line="240" w:lineRule="auto"/>
      <w:jc w:val="right"/>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74643B"/>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DB2842"/>
    <w:pPr>
      <w:spacing w:after="0" w:line="240" w:lineRule="auto"/>
    </w:pPr>
    <w:rPr>
      <w:sz w:val="20"/>
      <w:szCs w:val="20"/>
    </w:rPr>
  </w:style>
  <w:style w:type="character" w:customStyle="1" w:styleId="FootnoteTextChar">
    <w:name w:val="Footnote Text Char"/>
    <w:basedOn w:val="DefaultParagraphFont"/>
    <w:link w:val="FootnoteText"/>
    <w:uiPriority w:val="99"/>
    <w:rsid w:val="00DB2842"/>
    <w:rPr>
      <w:sz w:val="20"/>
      <w:szCs w:val="20"/>
    </w:rPr>
  </w:style>
  <w:style w:type="character" w:styleId="FootnoteReference">
    <w:name w:val="footnote reference"/>
    <w:basedOn w:val="DefaultParagraphFont"/>
    <w:uiPriority w:val="99"/>
    <w:semiHidden/>
    <w:unhideWhenUsed/>
    <w:rsid w:val="00DB2842"/>
    <w:rPr>
      <w:vertAlign w:val="superscript"/>
    </w:rPr>
  </w:style>
  <w:style w:type="paragraph" w:styleId="ListParagraph">
    <w:name w:val="List Paragraph"/>
    <w:basedOn w:val="Normal"/>
    <w:uiPriority w:val="34"/>
    <w:qFormat/>
    <w:rsid w:val="00DB2842"/>
    <w:pPr>
      <w:ind w:left="720"/>
      <w:contextualSpacing/>
    </w:pPr>
  </w:style>
  <w:style w:type="paragraph" w:styleId="BalloonText">
    <w:name w:val="Balloon Text"/>
    <w:basedOn w:val="Normal"/>
    <w:link w:val="BalloonTextChar"/>
    <w:uiPriority w:val="99"/>
    <w:semiHidden/>
    <w:unhideWhenUsed/>
    <w:rsid w:val="00DB2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842"/>
    <w:rPr>
      <w:rFonts w:ascii="Tahoma" w:hAnsi="Tahoma" w:cs="Tahoma"/>
      <w:sz w:val="16"/>
      <w:szCs w:val="16"/>
    </w:rPr>
  </w:style>
  <w:style w:type="character" w:customStyle="1" w:styleId="Hyperlink1">
    <w:name w:val="Hyperlink1"/>
    <w:basedOn w:val="DefaultParagraphFont"/>
    <w:uiPriority w:val="99"/>
    <w:unhideWhenUsed/>
    <w:rsid w:val="009C4342"/>
    <w:rPr>
      <w:color w:val="0000FF"/>
      <w:u w:val="single"/>
    </w:rPr>
  </w:style>
  <w:style w:type="paragraph" w:styleId="NoSpacing">
    <w:name w:val="No Spacing"/>
    <w:uiPriority w:val="1"/>
    <w:qFormat/>
    <w:rsid w:val="00FB4411"/>
    <w:pPr>
      <w:spacing w:after="0" w:line="240" w:lineRule="auto"/>
    </w:pPr>
  </w:style>
  <w:style w:type="paragraph" w:styleId="BodyTextIndent">
    <w:name w:val="Body Text Indent"/>
    <w:basedOn w:val="Normal"/>
    <w:link w:val="BodyTextIndentChar"/>
    <w:uiPriority w:val="99"/>
    <w:unhideWhenUsed/>
    <w:rsid w:val="00A93864"/>
    <w:pPr>
      <w:spacing w:after="120"/>
      <w:ind w:left="360"/>
    </w:pPr>
  </w:style>
  <w:style w:type="character" w:customStyle="1" w:styleId="BodyTextIndentChar">
    <w:name w:val="Body Text Indent Char"/>
    <w:basedOn w:val="DefaultParagraphFont"/>
    <w:link w:val="BodyTextIndent"/>
    <w:uiPriority w:val="99"/>
    <w:rsid w:val="00A93864"/>
  </w:style>
  <w:style w:type="paragraph" w:styleId="BodyTextFirstIndent2">
    <w:name w:val="Body Text First Indent 2"/>
    <w:basedOn w:val="BodyTextIndent"/>
    <w:link w:val="BodyTextFirstIndent2Char"/>
    <w:uiPriority w:val="99"/>
    <w:unhideWhenUsed/>
    <w:rsid w:val="00A93864"/>
    <w:pPr>
      <w:spacing w:after="200"/>
      <w:ind w:firstLine="360"/>
    </w:pPr>
  </w:style>
  <w:style w:type="character" w:customStyle="1" w:styleId="BodyTextFirstIndent2Char">
    <w:name w:val="Body Text First Indent 2 Char"/>
    <w:basedOn w:val="BodyTextIndentChar"/>
    <w:link w:val="BodyTextFirstIndent2"/>
    <w:uiPriority w:val="99"/>
    <w:rsid w:val="00A93864"/>
  </w:style>
  <w:style w:type="paragraph" w:styleId="BodyText">
    <w:name w:val="Body Text"/>
    <w:basedOn w:val="Normal"/>
    <w:link w:val="BodyTextChar"/>
    <w:uiPriority w:val="99"/>
    <w:semiHidden/>
    <w:unhideWhenUsed/>
    <w:rsid w:val="00365830"/>
    <w:pPr>
      <w:spacing w:after="120"/>
    </w:pPr>
  </w:style>
  <w:style w:type="character" w:customStyle="1" w:styleId="BodyTextChar">
    <w:name w:val="Body Text Char"/>
    <w:basedOn w:val="DefaultParagraphFont"/>
    <w:link w:val="BodyText"/>
    <w:uiPriority w:val="99"/>
    <w:semiHidden/>
    <w:rsid w:val="00365830"/>
  </w:style>
  <w:style w:type="character" w:styleId="Hyperlink">
    <w:name w:val="Hyperlink"/>
    <w:basedOn w:val="DefaultParagraphFont"/>
    <w:rsid w:val="005532A6"/>
    <w:rPr>
      <w:color w:val="0000FF"/>
      <w:u w:val="single"/>
    </w:rPr>
  </w:style>
  <w:style w:type="paragraph" w:styleId="BodyTextIndent3">
    <w:name w:val="Body Text Indent 3"/>
    <w:basedOn w:val="Normal"/>
    <w:link w:val="BodyTextIndent3Char"/>
    <w:uiPriority w:val="99"/>
    <w:semiHidden/>
    <w:unhideWhenUsed/>
    <w:rsid w:val="005532A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532A6"/>
    <w:rPr>
      <w:sz w:val="16"/>
      <w:szCs w:val="16"/>
    </w:rPr>
  </w:style>
  <w:style w:type="paragraph" w:styleId="BodyText2">
    <w:name w:val="Body Text 2"/>
    <w:basedOn w:val="Normal"/>
    <w:link w:val="BodyText2Char"/>
    <w:uiPriority w:val="99"/>
    <w:semiHidden/>
    <w:unhideWhenUsed/>
    <w:rsid w:val="005532A6"/>
    <w:pPr>
      <w:spacing w:after="120" w:line="480" w:lineRule="auto"/>
    </w:pPr>
  </w:style>
  <w:style w:type="character" w:customStyle="1" w:styleId="BodyText2Char">
    <w:name w:val="Body Text 2 Char"/>
    <w:basedOn w:val="DefaultParagraphFont"/>
    <w:link w:val="BodyText2"/>
    <w:uiPriority w:val="99"/>
    <w:semiHidden/>
    <w:rsid w:val="005532A6"/>
  </w:style>
  <w:style w:type="table" w:styleId="TableGrid">
    <w:name w:val="Table Grid"/>
    <w:basedOn w:val="TableNormal"/>
    <w:rsid w:val="00CE26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
    <w:name w:val="Question"/>
    <w:basedOn w:val="Normal"/>
    <w:link w:val="QuestionChar"/>
    <w:rsid w:val="009C4DC9"/>
    <w:pPr>
      <w:keepNext/>
      <w:keepLines/>
      <w:numPr>
        <w:numId w:val="10"/>
      </w:numPr>
      <w:spacing w:after="0" w:line="480" w:lineRule="exact"/>
    </w:pPr>
    <w:rPr>
      <w:rFonts w:ascii="Times New Roman Bold" w:eastAsia="Times New Roman" w:hAnsi="Times New Roman Bold" w:cs="Times New Roman"/>
      <w:b/>
      <w:bCs/>
      <w:caps/>
      <w:sz w:val="24"/>
      <w:szCs w:val="24"/>
    </w:rPr>
  </w:style>
  <w:style w:type="paragraph" w:customStyle="1" w:styleId="Answer">
    <w:name w:val="Answer"/>
    <w:basedOn w:val="Normal"/>
    <w:rsid w:val="009C4DC9"/>
    <w:pPr>
      <w:numPr>
        <w:numId w:val="9"/>
      </w:numPr>
      <w:spacing w:after="240" w:line="480" w:lineRule="exact"/>
    </w:pPr>
    <w:rPr>
      <w:rFonts w:ascii="Times New Roman" w:eastAsia="Times New Roman" w:hAnsi="Times New Roman" w:cs="Times New Roman"/>
      <w:sz w:val="24"/>
      <w:szCs w:val="24"/>
    </w:rPr>
  </w:style>
  <w:style w:type="character" w:customStyle="1" w:styleId="QuestionChar">
    <w:name w:val="Question Char"/>
    <w:basedOn w:val="DefaultParagraphFont"/>
    <w:link w:val="Question"/>
    <w:rsid w:val="009C4DC9"/>
    <w:rPr>
      <w:rFonts w:ascii="Times New Roman Bold" w:eastAsia="Times New Roman" w:hAnsi="Times New Roman Bold" w:cs="Times New Roman"/>
      <w:b/>
      <w:bCs/>
      <w:caps/>
      <w:sz w:val="24"/>
      <w:szCs w:val="24"/>
    </w:rPr>
  </w:style>
  <w:style w:type="character" w:styleId="LineNumber">
    <w:name w:val="line number"/>
    <w:basedOn w:val="DefaultParagraphFont"/>
    <w:uiPriority w:val="99"/>
    <w:semiHidden/>
    <w:unhideWhenUsed/>
    <w:rsid w:val="00EA37E2"/>
  </w:style>
  <w:style w:type="character" w:styleId="CommentReference">
    <w:name w:val="annotation reference"/>
    <w:basedOn w:val="DefaultParagraphFont"/>
    <w:uiPriority w:val="99"/>
    <w:semiHidden/>
    <w:unhideWhenUsed/>
    <w:rsid w:val="00513895"/>
    <w:rPr>
      <w:sz w:val="16"/>
      <w:szCs w:val="16"/>
    </w:rPr>
  </w:style>
  <w:style w:type="paragraph" w:styleId="CommentText">
    <w:name w:val="annotation text"/>
    <w:basedOn w:val="Normal"/>
    <w:link w:val="CommentTextChar"/>
    <w:uiPriority w:val="99"/>
    <w:semiHidden/>
    <w:unhideWhenUsed/>
    <w:rsid w:val="00513895"/>
    <w:pPr>
      <w:spacing w:line="240" w:lineRule="auto"/>
    </w:pPr>
    <w:rPr>
      <w:sz w:val="20"/>
      <w:szCs w:val="20"/>
    </w:rPr>
  </w:style>
  <w:style w:type="character" w:customStyle="1" w:styleId="CommentTextChar">
    <w:name w:val="Comment Text Char"/>
    <w:basedOn w:val="DefaultParagraphFont"/>
    <w:link w:val="CommentText"/>
    <w:uiPriority w:val="99"/>
    <w:semiHidden/>
    <w:rsid w:val="00513895"/>
    <w:rPr>
      <w:sz w:val="20"/>
      <w:szCs w:val="20"/>
    </w:rPr>
  </w:style>
  <w:style w:type="paragraph" w:styleId="CommentSubject">
    <w:name w:val="annotation subject"/>
    <w:basedOn w:val="CommentText"/>
    <w:next w:val="CommentText"/>
    <w:link w:val="CommentSubjectChar"/>
    <w:uiPriority w:val="99"/>
    <w:semiHidden/>
    <w:unhideWhenUsed/>
    <w:rsid w:val="00513895"/>
    <w:rPr>
      <w:b/>
      <w:bCs/>
    </w:rPr>
  </w:style>
  <w:style w:type="character" w:customStyle="1" w:styleId="CommentSubjectChar">
    <w:name w:val="Comment Subject Char"/>
    <w:basedOn w:val="CommentTextChar"/>
    <w:link w:val="CommentSubject"/>
    <w:uiPriority w:val="99"/>
    <w:semiHidden/>
    <w:rsid w:val="00513895"/>
    <w:rPr>
      <w:b/>
      <w:bCs/>
      <w:sz w:val="20"/>
      <w:szCs w:val="20"/>
    </w:rPr>
  </w:style>
  <w:style w:type="paragraph" w:styleId="PlainText">
    <w:name w:val="Plain Text"/>
    <w:basedOn w:val="Normal"/>
    <w:link w:val="PlainTextChar"/>
    <w:uiPriority w:val="99"/>
    <w:semiHidden/>
    <w:unhideWhenUsed/>
    <w:rsid w:val="005D09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D09A2"/>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54663499">
      <w:bodyDiv w:val="1"/>
      <w:marLeft w:val="0"/>
      <w:marRight w:val="0"/>
      <w:marTop w:val="0"/>
      <w:marBottom w:val="0"/>
      <w:divBdr>
        <w:top w:val="none" w:sz="0" w:space="0" w:color="auto"/>
        <w:left w:val="none" w:sz="0" w:space="0" w:color="auto"/>
        <w:bottom w:val="none" w:sz="0" w:space="0" w:color="auto"/>
        <w:right w:val="none" w:sz="0" w:space="0" w:color="auto"/>
      </w:divBdr>
    </w:div>
    <w:div w:id="371005106">
      <w:bodyDiv w:val="1"/>
      <w:marLeft w:val="0"/>
      <w:marRight w:val="0"/>
      <w:marTop w:val="0"/>
      <w:marBottom w:val="0"/>
      <w:divBdr>
        <w:top w:val="none" w:sz="0" w:space="0" w:color="auto"/>
        <w:left w:val="none" w:sz="0" w:space="0" w:color="auto"/>
        <w:bottom w:val="none" w:sz="0" w:space="0" w:color="auto"/>
        <w:right w:val="none" w:sz="0" w:space="0" w:color="auto"/>
      </w:divBdr>
    </w:div>
    <w:div w:id="1088380079">
      <w:bodyDiv w:val="1"/>
      <w:marLeft w:val="0"/>
      <w:marRight w:val="0"/>
      <w:marTop w:val="0"/>
      <w:marBottom w:val="0"/>
      <w:divBdr>
        <w:top w:val="none" w:sz="0" w:space="0" w:color="auto"/>
        <w:left w:val="none" w:sz="0" w:space="0" w:color="auto"/>
        <w:bottom w:val="none" w:sz="0" w:space="0" w:color="auto"/>
        <w:right w:val="none" w:sz="0" w:space="0" w:color="auto"/>
      </w:divBdr>
    </w:div>
    <w:div w:id="10960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2012-12-21T08:00:00+00:00</OpenedDate>
    <Date1 xmlns="dc463f71-b30c-4ab2-9473-d307f9d35888">2013-04-25T07:00:00+00:00</Date1>
    <IsDocumentOrder xmlns="dc463f71-b30c-4ab2-9473-d307f9d35888" xsi:nil="true"/>
    <IsHighlyConfidential xmlns="dc463f71-b30c-4ab2-9473-d307f9d35888">false</IsHighlyConfidential>
    <CaseCompanyNames xmlns="dc463f71-b30c-4ab2-9473-d307f9d35888">Frontier Communications Northwest, Inc.</CaseCompanyNames>
    <DocketNumber xmlns="dc463f71-b30c-4ab2-9473-d307f9d35888">121994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9500E65E8EFBB49815D57BFCB062B77" ma:contentTypeVersion="127" ma:contentTypeDescription="" ma:contentTypeScope="" ma:versionID="1b33009a70530af06ce3e40d8cffc6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79C912A-9F0E-4F2B-B2B7-77427C7A7ABA}"/>
</file>

<file path=customXml/itemProps2.xml><?xml version="1.0" encoding="utf-8"?>
<ds:datastoreItem xmlns:ds="http://schemas.openxmlformats.org/officeDocument/2006/customXml" ds:itemID="{09A1BE67-2A0D-4F38-A0BE-4C1E43F2223B}"/>
</file>

<file path=customXml/itemProps3.xml><?xml version="1.0" encoding="utf-8"?>
<ds:datastoreItem xmlns:ds="http://schemas.openxmlformats.org/officeDocument/2006/customXml" ds:itemID="{743AD38A-A6A0-4AB7-B425-8CF8E9812B57}"/>
</file>

<file path=customXml/itemProps4.xml><?xml version="1.0" encoding="utf-8"?>
<ds:datastoreItem xmlns:ds="http://schemas.openxmlformats.org/officeDocument/2006/customXml" ds:itemID="{430E4D35-6DFA-4BE2-B821-73C218DF0A1A}"/>
</file>

<file path=docProps/app.xml><?xml version="1.0" encoding="utf-8"?>
<Properties xmlns="http://schemas.openxmlformats.org/officeDocument/2006/extended-properties" xmlns:vt="http://schemas.openxmlformats.org/officeDocument/2006/docPropsVTypes">
  <Template>Normal.dotm</Template>
  <TotalTime>0</TotalTime>
  <Pages>2</Pages>
  <Words>2560</Words>
  <Characters>14732</Characters>
  <Application>Microsoft Office Word</Application>
  <DocSecurity>0</DocSecurity>
  <Lines>291</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2013-02-28T19:52:00Z</cp:lastPrinted>
  <dcterms:created xsi:type="dcterms:W3CDTF">2013-04-25T21:40:00Z</dcterms:created>
  <dcterms:modified xsi:type="dcterms:W3CDTF">2013-04-25T21:40:00Z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0x0101006E56B4D1795A2E4DB2F0B01679ED314A0019500E65E8EFBB49815D57BFCB062B77</vt:lpwstr>
  </property>
  <property fmtid="{D5CDD505-2E9C-101B-9397-08002B2CF9AE}" pid="3" name="_docset_NoMedatataSyncRequired">
    <vt:lpwstr>False</vt:lpwstr>
  </property>
</Properties>
</file>