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AF5F4" w14:textId="77777777" w:rsidR="009B4F06" w:rsidRPr="00C26E39" w:rsidRDefault="009B4F06" w:rsidP="009B4F06">
      <w:pPr>
        <w:rPr>
          <w:rFonts w:ascii="Times New Roman" w:hAnsi="Times New Roman"/>
        </w:rPr>
      </w:pPr>
      <w:bookmarkStart w:id="0" w:name="_GoBack"/>
      <w:bookmarkEnd w:id="0"/>
      <w:r w:rsidRPr="00C26E39">
        <w:rPr>
          <w:rFonts w:ascii="Times New Roman" w:hAnsi="Times New Roman"/>
        </w:rPr>
        <w:t>Agenda Date:</w:t>
      </w:r>
      <w:r w:rsidRPr="00C26E39">
        <w:rPr>
          <w:rFonts w:ascii="Times New Roman" w:hAnsi="Times New Roman"/>
        </w:rPr>
        <w:tab/>
      </w:r>
      <w:r w:rsidRPr="00C26E39">
        <w:rPr>
          <w:rFonts w:ascii="Times New Roman" w:hAnsi="Times New Roman"/>
        </w:rPr>
        <w:tab/>
        <w:t>August 4, 2015</w:t>
      </w:r>
    </w:p>
    <w:p w14:paraId="457AF5F5" w14:textId="33136207" w:rsidR="009B4F06" w:rsidRPr="00C26E39" w:rsidRDefault="009B4F06" w:rsidP="009B4F06">
      <w:pPr>
        <w:ind w:left="2160" w:hanging="2160"/>
        <w:rPr>
          <w:rFonts w:ascii="Times New Roman" w:hAnsi="Times New Roman"/>
        </w:rPr>
      </w:pPr>
      <w:r w:rsidRPr="00C26E39">
        <w:rPr>
          <w:rFonts w:ascii="Times New Roman" w:hAnsi="Times New Roman"/>
        </w:rPr>
        <w:t>Item Number:</w:t>
      </w:r>
      <w:r w:rsidRPr="00C26E39">
        <w:rPr>
          <w:rFonts w:ascii="Times New Roman" w:hAnsi="Times New Roman"/>
        </w:rPr>
        <w:tab/>
      </w:r>
      <w:r w:rsidR="003F45CD" w:rsidRPr="00C26E39">
        <w:rPr>
          <w:rFonts w:ascii="Times New Roman" w:hAnsi="Times New Roman"/>
        </w:rPr>
        <w:t>A2</w:t>
      </w:r>
    </w:p>
    <w:p w14:paraId="457AF5F6" w14:textId="77777777" w:rsidR="009B4F06" w:rsidRPr="00C26E39" w:rsidRDefault="009B4F06" w:rsidP="009B4F06">
      <w:pPr>
        <w:rPr>
          <w:rFonts w:ascii="Times New Roman" w:hAnsi="Times New Roman"/>
          <w:highlight w:val="yellow"/>
        </w:rPr>
      </w:pPr>
    </w:p>
    <w:p w14:paraId="457AF5F7" w14:textId="77777777" w:rsidR="009B4F06" w:rsidRPr="00C26E39" w:rsidRDefault="00D60A23" w:rsidP="009B4F06">
      <w:pPr>
        <w:rPr>
          <w:rFonts w:ascii="Times New Roman" w:hAnsi="Times New Roman"/>
          <w:b/>
          <w:bCs/>
        </w:rPr>
      </w:pPr>
      <w:r w:rsidRPr="00C26E39">
        <w:rPr>
          <w:rFonts w:ascii="Times New Roman" w:hAnsi="Times New Roman"/>
          <w:b/>
          <w:bCs/>
        </w:rPr>
        <w:t>Docket:</w:t>
      </w:r>
      <w:r w:rsidRPr="00C26E39">
        <w:rPr>
          <w:rFonts w:ascii="Times New Roman" w:hAnsi="Times New Roman"/>
          <w:b/>
          <w:bCs/>
        </w:rPr>
        <w:tab/>
      </w:r>
      <w:r w:rsidRPr="00C26E39">
        <w:rPr>
          <w:rFonts w:ascii="Times New Roman" w:hAnsi="Times New Roman"/>
          <w:b/>
          <w:bCs/>
        </w:rPr>
        <w:tab/>
        <w:t>UE-160757</w:t>
      </w:r>
    </w:p>
    <w:p w14:paraId="457AF5F8" w14:textId="77777777" w:rsidR="009B4F06" w:rsidRPr="00C26E39" w:rsidRDefault="009B4F06" w:rsidP="009B4F06">
      <w:pPr>
        <w:ind w:left="2160" w:hanging="2160"/>
        <w:rPr>
          <w:rFonts w:ascii="Times New Roman" w:hAnsi="Times New Roman"/>
        </w:rPr>
      </w:pPr>
      <w:r w:rsidRPr="00C26E39">
        <w:rPr>
          <w:rFonts w:ascii="Times New Roman" w:hAnsi="Times New Roman"/>
        </w:rPr>
        <w:t>Company:</w:t>
      </w:r>
      <w:r w:rsidRPr="00C26E39">
        <w:rPr>
          <w:rFonts w:ascii="Times New Roman" w:hAnsi="Times New Roman"/>
        </w:rPr>
        <w:tab/>
      </w:r>
      <w:r w:rsidR="00D60A23" w:rsidRPr="00C26E39">
        <w:rPr>
          <w:rFonts w:ascii="Times New Roman" w:hAnsi="Times New Roman"/>
        </w:rPr>
        <w:t>Puget Sound Energy</w:t>
      </w:r>
    </w:p>
    <w:p w14:paraId="457AF5F9" w14:textId="77777777" w:rsidR="009B4F06" w:rsidRPr="00C26E39" w:rsidRDefault="009B4F06" w:rsidP="009B4F06">
      <w:pPr>
        <w:rPr>
          <w:rFonts w:ascii="Times New Roman" w:hAnsi="Times New Roman"/>
          <w:highlight w:val="yellow"/>
        </w:rPr>
      </w:pPr>
    </w:p>
    <w:p w14:paraId="457AF5FA" w14:textId="77777777" w:rsidR="009B4F06" w:rsidRPr="00C26E39" w:rsidRDefault="009B4F06" w:rsidP="009B4F06">
      <w:pPr>
        <w:rPr>
          <w:rFonts w:ascii="Times New Roman" w:hAnsi="Times New Roman"/>
        </w:rPr>
      </w:pPr>
      <w:r w:rsidRPr="00C26E39">
        <w:rPr>
          <w:rFonts w:ascii="Times New Roman" w:hAnsi="Times New Roman"/>
        </w:rPr>
        <w:t>Staff:</w:t>
      </w:r>
      <w:r w:rsidRPr="00C26E39">
        <w:rPr>
          <w:rFonts w:ascii="Times New Roman" w:hAnsi="Times New Roman"/>
        </w:rPr>
        <w:tab/>
      </w:r>
      <w:r w:rsidRPr="00C26E39">
        <w:rPr>
          <w:rFonts w:ascii="Times New Roman" w:hAnsi="Times New Roman"/>
        </w:rPr>
        <w:tab/>
      </w:r>
      <w:r w:rsidRPr="00C26E39">
        <w:rPr>
          <w:rFonts w:ascii="Times New Roman" w:hAnsi="Times New Roman"/>
        </w:rPr>
        <w:tab/>
        <w:t>Kathi Scanlan, Regulatory Analyst</w:t>
      </w:r>
    </w:p>
    <w:p w14:paraId="457AF5FB" w14:textId="77777777" w:rsidR="00DD5509" w:rsidRPr="00C26E39" w:rsidRDefault="00DD5509" w:rsidP="009B4F06">
      <w:pPr>
        <w:rPr>
          <w:rFonts w:ascii="Times New Roman" w:hAnsi="Times New Roman"/>
        </w:rPr>
      </w:pPr>
      <w:r w:rsidRPr="00C26E39">
        <w:rPr>
          <w:rFonts w:ascii="Times New Roman" w:hAnsi="Times New Roman"/>
        </w:rPr>
        <w:tab/>
      </w:r>
      <w:r w:rsidRPr="00C26E39">
        <w:rPr>
          <w:rFonts w:ascii="Times New Roman" w:hAnsi="Times New Roman"/>
        </w:rPr>
        <w:tab/>
      </w:r>
      <w:r w:rsidRPr="00C26E39">
        <w:rPr>
          <w:rFonts w:ascii="Times New Roman" w:hAnsi="Times New Roman"/>
        </w:rPr>
        <w:tab/>
        <w:t>Brad Cebulko, Regulatory Analyst</w:t>
      </w:r>
    </w:p>
    <w:p w14:paraId="457AF5FC" w14:textId="77777777" w:rsidR="009B4F06" w:rsidRPr="00C26E39" w:rsidRDefault="009B4F06" w:rsidP="009B4F06">
      <w:pPr>
        <w:rPr>
          <w:rFonts w:ascii="Times New Roman" w:hAnsi="Times New Roman"/>
        </w:rPr>
      </w:pPr>
    </w:p>
    <w:p w14:paraId="457AF5FD" w14:textId="77777777" w:rsidR="009B4F06" w:rsidRPr="00C26E39" w:rsidRDefault="009B4F06" w:rsidP="009B4F06">
      <w:pPr>
        <w:rPr>
          <w:rFonts w:ascii="Times New Roman" w:hAnsi="Times New Roman"/>
          <w:b/>
          <w:bCs/>
          <w:u w:val="single"/>
        </w:rPr>
      </w:pPr>
      <w:r w:rsidRPr="00C26E39">
        <w:rPr>
          <w:rFonts w:ascii="Times New Roman" w:hAnsi="Times New Roman"/>
          <w:b/>
          <w:bCs/>
          <w:u w:val="single"/>
        </w:rPr>
        <w:t>Recommendation</w:t>
      </w:r>
    </w:p>
    <w:p w14:paraId="457AF5FE" w14:textId="77777777" w:rsidR="009B4F06" w:rsidRPr="00C26E39" w:rsidRDefault="009B4F06" w:rsidP="009B4F06">
      <w:pPr>
        <w:rPr>
          <w:rFonts w:ascii="Times New Roman" w:hAnsi="Times New Roman"/>
        </w:rPr>
      </w:pPr>
    </w:p>
    <w:p w14:paraId="457AF5FF" w14:textId="751CB13A" w:rsidR="009B4F06" w:rsidRPr="00C26E39" w:rsidRDefault="009B4F06" w:rsidP="009B4F06">
      <w:pPr>
        <w:rPr>
          <w:rFonts w:ascii="Times New Roman" w:hAnsi="Times New Roman"/>
        </w:rPr>
      </w:pPr>
      <w:r w:rsidRPr="00C26E39">
        <w:rPr>
          <w:rFonts w:ascii="Times New Roman" w:hAnsi="Times New Roman"/>
        </w:rPr>
        <w:t>Issue an Order in Docket UE-1607</w:t>
      </w:r>
      <w:r w:rsidR="004E4281" w:rsidRPr="00C26E39">
        <w:rPr>
          <w:rFonts w:ascii="Times New Roman" w:hAnsi="Times New Roman"/>
        </w:rPr>
        <w:t>57</w:t>
      </w:r>
      <w:r w:rsidRPr="00C26E39">
        <w:rPr>
          <w:rFonts w:ascii="Times New Roman" w:hAnsi="Times New Roman"/>
        </w:rPr>
        <w:t xml:space="preserve"> finding: </w:t>
      </w:r>
    </w:p>
    <w:p w14:paraId="457AF600" w14:textId="77777777" w:rsidR="009B4F06" w:rsidRPr="00C26E39" w:rsidRDefault="009B4F06" w:rsidP="009B4F06">
      <w:pPr>
        <w:rPr>
          <w:rFonts w:ascii="Times New Roman" w:hAnsi="Times New Roman"/>
        </w:rPr>
      </w:pPr>
    </w:p>
    <w:p w14:paraId="457AF601" w14:textId="68C7F92D" w:rsidR="00762F7A" w:rsidRPr="00C26E39" w:rsidRDefault="004E4281" w:rsidP="00762F7A">
      <w:pPr>
        <w:numPr>
          <w:ilvl w:val="0"/>
          <w:numId w:val="3"/>
        </w:numPr>
        <w:ind w:left="1080"/>
        <w:rPr>
          <w:rFonts w:ascii="Times New Roman" w:hAnsi="Times New Roman"/>
        </w:rPr>
      </w:pPr>
      <w:r w:rsidRPr="00C26E39">
        <w:rPr>
          <w:rFonts w:ascii="Times New Roman" w:hAnsi="Times New Roman"/>
        </w:rPr>
        <w:t>T</w:t>
      </w:r>
      <w:r w:rsidR="009B4F06" w:rsidRPr="00C26E39">
        <w:rPr>
          <w:rFonts w:ascii="Times New Roman" w:hAnsi="Times New Roman"/>
        </w:rPr>
        <w:t xml:space="preserve">he 2016 renewable energy target for </w:t>
      </w:r>
      <w:r w:rsidR="00D60A23" w:rsidRPr="00C26E39">
        <w:rPr>
          <w:rFonts w:ascii="Times New Roman" w:hAnsi="Times New Roman"/>
        </w:rPr>
        <w:t>Puget Sound Energy</w:t>
      </w:r>
      <w:r w:rsidR="009B4F06" w:rsidRPr="00C26E39">
        <w:rPr>
          <w:rFonts w:ascii="Times New Roman" w:hAnsi="Times New Roman"/>
        </w:rPr>
        <w:t xml:space="preserve"> is </w:t>
      </w:r>
      <w:r w:rsidR="00D60A23" w:rsidRPr="00C26E39">
        <w:rPr>
          <w:rFonts w:ascii="Times New Roman" w:hAnsi="Times New Roman"/>
        </w:rPr>
        <w:t>1,848,542</w:t>
      </w:r>
      <w:r w:rsidR="009B4F06" w:rsidRPr="00C26E39">
        <w:rPr>
          <w:rFonts w:ascii="Times New Roman" w:hAnsi="Times New Roman"/>
        </w:rPr>
        <w:t xml:space="preserve"> megawatt-hours.</w:t>
      </w:r>
    </w:p>
    <w:p w14:paraId="17869AB7" w14:textId="77777777" w:rsidR="00607E5F" w:rsidRPr="00C26E39" w:rsidRDefault="00762F7A" w:rsidP="00607E5F">
      <w:pPr>
        <w:numPr>
          <w:ilvl w:val="0"/>
          <w:numId w:val="3"/>
        </w:numPr>
        <w:ind w:left="1080"/>
        <w:rPr>
          <w:rFonts w:ascii="Times New Roman" w:hAnsi="Times New Roman"/>
        </w:rPr>
      </w:pPr>
      <w:r w:rsidRPr="00C26E39">
        <w:rPr>
          <w:rFonts w:ascii="Times New Roman" w:hAnsi="Times New Roman"/>
        </w:rPr>
        <w:t xml:space="preserve">Puget Sound Energy has demonstrated that, by January 1, 2016, Puget Sound Energy has acquired at least 1,848,542 megawatt-hours of eligible renewable resources, equivalent renewable energy credits, or a combination of them, sufficient </w:t>
      </w:r>
      <w:r w:rsidR="004E4281" w:rsidRPr="00C26E39">
        <w:rPr>
          <w:rFonts w:ascii="Times New Roman" w:hAnsi="Times New Roman"/>
        </w:rPr>
        <w:t xml:space="preserve">to </w:t>
      </w:r>
      <w:r w:rsidRPr="00C26E39">
        <w:rPr>
          <w:rFonts w:ascii="Times New Roman" w:hAnsi="Times New Roman"/>
        </w:rPr>
        <w:t xml:space="preserve">supply at least </w:t>
      </w:r>
      <w:r w:rsidR="00717D2A" w:rsidRPr="00C26E39">
        <w:rPr>
          <w:rFonts w:ascii="Times New Roman" w:hAnsi="Times New Roman"/>
        </w:rPr>
        <w:t xml:space="preserve">9 </w:t>
      </w:r>
      <w:r w:rsidRPr="00C26E39">
        <w:rPr>
          <w:rFonts w:ascii="Times New Roman" w:hAnsi="Times New Roman"/>
        </w:rPr>
        <w:t xml:space="preserve">percent of its load for 2016. </w:t>
      </w:r>
    </w:p>
    <w:p w14:paraId="579BFEE0" w14:textId="77777777" w:rsidR="00607E5F" w:rsidRPr="00C26E39" w:rsidRDefault="0039182E" w:rsidP="007D0A6D">
      <w:pPr>
        <w:numPr>
          <w:ilvl w:val="0"/>
          <w:numId w:val="3"/>
        </w:numPr>
        <w:ind w:left="1080"/>
        <w:rPr>
          <w:rFonts w:ascii="Times New Roman" w:hAnsi="Times New Roman"/>
        </w:rPr>
      </w:pPr>
      <w:r w:rsidRPr="00C26E39">
        <w:rPr>
          <w:rFonts w:ascii="Times New Roman" w:hAnsi="Times New Roman"/>
        </w:rPr>
        <w:t>Puget Sound Energy</w:t>
      </w:r>
      <w:r w:rsidR="009B4F06" w:rsidRPr="00C26E39">
        <w:rPr>
          <w:rFonts w:ascii="Times New Roman" w:hAnsi="Times New Roman"/>
        </w:rPr>
        <w:t xml:space="preserve"> has complied with the June 1, 2016, reporting requirements pursuant to WAC 480-109-210. </w:t>
      </w:r>
    </w:p>
    <w:p w14:paraId="0B0A0553" w14:textId="1D459A89" w:rsidR="00607E5F" w:rsidRPr="00C26E39" w:rsidRDefault="00607E5F" w:rsidP="00607E5F">
      <w:pPr>
        <w:numPr>
          <w:ilvl w:val="0"/>
          <w:numId w:val="3"/>
        </w:numPr>
        <w:ind w:left="1080"/>
        <w:rPr>
          <w:rFonts w:ascii="Times New Roman" w:hAnsi="Times New Roman"/>
        </w:rPr>
      </w:pPr>
      <w:r w:rsidRPr="00C26E39">
        <w:rPr>
          <w:rFonts w:ascii="Times New Roman" w:hAnsi="Times New Roman"/>
        </w:rPr>
        <w:t xml:space="preserve">In the final compliance report for 2016 required by WAC 480-109-210(6), </w:t>
      </w:r>
      <w:r w:rsidR="00ED7A10" w:rsidRPr="00C26E39">
        <w:rPr>
          <w:rFonts w:ascii="Times New Roman" w:hAnsi="Times New Roman"/>
        </w:rPr>
        <w:t>Puget Sound Energy</w:t>
      </w:r>
      <w:r w:rsidR="000B68DD" w:rsidRPr="00C26E39">
        <w:rPr>
          <w:rFonts w:ascii="Times New Roman" w:hAnsi="Times New Roman"/>
        </w:rPr>
        <w:t xml:space="preserve"> must </w:t>
      </w:r>
      <w:r w:rsidR="00D04EC0">
        <w:rPr>
          <w:rFonts w:ascii="Times New Roman" w:hAnsi="Times New Roman"/>
        </w:rPr>
        <w:t>provide</w:t>
      </w:r>
      <w:r w:rsidR="00D04EC0" w:rsidRPr="00C26E39">
        <w:rPr>
          <w:rFonts w:ascii="Times New Roman" w:hAnsi="Times New Roman"/>
        </w:rPr>
        <w:t xml:space="preserve"> </w:t>
      </w:r>
      <w:r w:rsidR="000B68DD" w:rsidRPr="00C26E39">
        <w:rPr>
          <w:rFonts w:ascii="Times New Roman" w:hAnsi="Times New Roman"/>
        </w:rPr>
        <w:t xml:space="preserve">details about </w:t>
      </w:r>
      <w:r w:rsidR="00D04EC0">
        <w:rPr>
          <w:rFonts w:ascii="Times New Roman" w:hAnsi="Times New Roman"/>
        </w:rPr>
        <w:t xml:space="preserve">which certificates were used for its various renewable energy </w:t>
      </w:r>
      <w:r w:rsidR="000B68DD" w:rsidRPr="00C26E39">
        <w:rPr>
          <w:rFonts w:ascii="Times New Roman" w:hAnsi="Times New Roman"/>
        </w:rPr>
        <w:t>program</w:t>
      </w:r>
      <w:r w:rsidR="00D04EC0">
        <w:rPr>
          <w:rFonts w:ascii="Times New Roman" w:hAnsi="Times New Roman"/>
        </w:rPr>
        <w:t>s</w:t>
      </w:r>
      <w:r w:rsidRPr="00C26E39">
        <w:rPr>
          <w:rFonts w:ascii="Times New Roman" w:hAnsi="Times New Roman"/>
        </w:rPr>
        <w:t>.</w:t>
      </w:r>
      <w:r w:rsidRPr="00C26E39">
        <w:rPr>
          <w:rStyle w:val="FootnoteReference"/>
          <w:rFonts w:ascii="Times New Roman" w:hAnsi="Times New Roman"/>
        </w:rPr>
        <w:footnoteReference w:id="1"/>
      </w:r>
    </w:p>
    <w:p w14:paraId="457AF605" w14:textId="77777777" w:rsidR="001C0FCE" w:rsidRPr="00C26E39" w:rsidRDefault="001C0FCE" w:rsidP="001C0FCE">
      <w:pPr>
        <w:numPr>
          <w:ilvl w:val="0"/>
          <w:numId w:val="3"/>
        </w:numPr>
        <w:ind w:left="1080"/>
        <w:rPr>
          <w:rFonts w:ascii="Times New Roman" w:hAnsi="Times New Roman"/>
        </w:rPr>
      </w:pPr>
      <w:r w:rsidRPr="00C26E39">
        <w:rPr>
          <w:rFonts w:ascii="Times New Roman" w:hAnsi="Times New Roman"/>
        </w:rPr>
        <w:t>Puget Sound Energy must request a waiver of the WREGIS registration requirement in WAC 480-109-200(3) for its incremental hydro production from Lower Baker and Snoqualmie Falls facilities</w:t>
      </w:r>
      <w:r w:rsidR="005B4ECA" w:rsidRPr="00C26E39">
        <w:rPr>
          <w:rFonts w:ascii="Times New Roman" w:hAnsi="Times New Roman"/>
        </w:rPr>
        <w:t xml:space="preserve"> for a</w:t>
      </w:r>
      <w:r w:rsidRPr="00C26E39">
        <w:rPr>
          <w:rFonts w:ascii="Times New Roman" w:hAnsi="Times New Roman"/>
        </w:rPr>
        <w:t>ny generation prio</w:t>
      </w:r>
      <w:r w:rsidR="005B4ECA" w:rsidRPr="00C26E39">
        <w:rPr>
          <w:rFonts w:ascii="Times New Roman" w:hAnsi="Times New Roman"/>
        </w:rPr>
        <w:t>r to the second quarter of 2016.</w:t>
      </w:r>
    </w:p>
    <w:p w14:paraId="457AF606" w14:textId="77777777" w:rsidR="0055008A" w:rsidRPr="00C26E39" w:rsidRDefault="0055008A" w:rsidP="0055008A">
      <w:pPr>
        <w:ind w:left="1080"/>
        <w:rPr>
          <w:rFonts w:ascii="Times New Roman" w:hAnsi="Times New Roman"/>
        </w:rPr>
      </w:pPr>
    </w:p>
    <w:p w14:paraId="457AF607" w14:textId="77777777" w:rsidR="009B4F06" w:rsidRPr="00C26E39" w:rsidRDefault="009B4F06" w:rsidP="009B4F06">
      <w:pPr>
        <w:rPr>
          <w:rFonts w:ascii="Times New Roman" w:hAnsi="Times New Roman"/>
          <w:b/>
          <w:u w:val="single"/>
        </w:rPr>
      </w:pPr>
      <w:r w:rsidRPr="00C26E39">
        <w:rPr>
          <w:rFonts w:ascii="Times New Roman" w:hAnsi="Times New Roman"/>
          <w:b/>
          <w:u w:val="single"/>
        </w:rPr>
        <w:t>Background</w:t>
      </w:r>
    </w:p>
    <w:p w14:paraId="457AF608" w14:textId="77777777" w:rsidR="009B4F06" w:rsidRPr="00C26E39" w:rsidRDefault="009B4F06" w:rsidP="009B4F06">
      <w:pPr>
        <w:rPr>
          <w:rFonts w:ascii="Times New Roman" w:hAnsi="Times New Roman"/>
          <w:b/>
          <w:u w:val="single"/>
        </w:rPr>
      </w:pPr>
    </w:p>
    <w:p w14:paraId="77026D08" w14:textId="3DDD6DC4" w:rsidR="004E4281" w:rsidRPr="00C26E39" w:rsidRDefault="009B4F06" w:rsidP="009B4F06">
      <w:pPr>
        <w:rPr>
          <w:rFonts w:ascii="Times New Roman" w:hAnsi="Times New Roman"/>
        </w:rPr>
      </w:pPr>
      <w:r w:rsidRPr="00C26E39">
        <w:rPr>
          <w:rFonts w:ascii="Times New Roman" w:hAnsi="Times New Roman"/>
        </w:rPr>
        <w:t>In 2006, Washington voters approved Initiative 937, also known as the Ener</w:t>
      </w:r>
      <w:r w:rsidR="007E2D2C" w:rsidRPr="00C26E39">
        <w:rPr>
          <w:rFonts w:ascii="Times New Roman" w:hAnsi="Times New Roman"/>
        </w:rPr>
        <w:t>gy Independence Act (EIA). C</w:t>
      </w:r>
      <w:r w:rsidRPr="00C26E39">
        <w:rPr>
          <w:rFonts w:ascii="Times New Roman" w:hAnsi="Times New Roman"/>
        </w:rPr>
        <w:t>odified in RCW 19.285 and Chapter 480-109 WAC, the EIA created a renewable portfolio standard (RPS) that requires electric utilities with more than 25,000 customers to serve 9 percent of their 2016 retail load with eligible renewable resources and to file an annual compliance report (RPS Report) by June 1 of each year.</w:t>
      </w:r>
      <w:r w:rsidRPr="00C26E39">
        <w:rPr>
          <w:rFonts w:ascii="Times New Roman" w:hAnsi="Times New Roman"/>
          <w:vertAlign w:val="superscript"/>
        </w:rPr>
        <w:footnoteReference w:id="2"/>
      </w:r>
      <w:r w:rsidRPr="00C26E39">
        <w:rPr>
          <w:rFonts w:ascii="Times New Roman" w:hAnsi="Times New Roman"/>
        </w:rPr>
        <w:t xml:space="preserve"> </w:t>
      </w:r>
      <w:r w:rsidR="007B413D" w:rsidRPr="00C26E39">
        <w:rPr>
          <w:rFonts w:ascii="Times New Roman" w:hAnsi="Times New Roman"/>
        </w:rPr>
        <w:t>The</w:t>
      </w:r>
      <w:r w:rsidRPr="00C26E39">
        <w:rPr>
          <w:rFonts w:ascii="Times New Roman" w:hAnsi="Times New Roman"/>
        </w:rPr>
        <w:t xml:space="preserve"> Washington Utilities and Transportation Commission</w:t>
      </w:r>
      <w:r w:rsidR="007B413D" w:rsidRPr="00C26E39">
        <w:rPr>
          <w:rFonts w:ascii="Times New Roman" w:hAnsi="Times New Roman"/>
        </w:rPr>
        <w:t>’s</w:t>
      </w:r>
      <w:r w:rsidRPr="00C26E39">
        <w:rPr>
          <w:rFonts w:ascii="Times New Roman" w:hAnsi="Times New Roman"/>
        </w:rPr>
        <w:t xml:space="preserve"> (commission) rules </w:t>
      </w:r>
      <w:r w:rsidR="007B413D" w:rsidRPr="00C26E39">
        <w:rPr>
          <w:rFonts w:ascii="Times New Roman" w:hAnsi="Times New Roman"/>
        </w:rPr>
        <w:t xml:space="preserve">further require a </w:t>
      </w:r>
      <w:r w:rsidR="004E4281" w:rsidRPr="00C26E39">
        <w:rPr>
          <w:rFonts w:ascii="Times New Roman" w:hAnsi="Times New Roman"/>
        </w:rPr>
        <w:t xml:space="preserve">final </w:t>
      </w:r>
      <w:r w:rsidR="007B413D" w:rsidRPr="00C26E39">
        <w:rPr>
          <w:rFonts w:ascii="Times New Roman" w:hAnsi="Times New Roman"/>
        </w:rPr>
        <w:t xml:space="preserve">compliance report, filed no later than two years after the initial report. </w:t>
      </w:r>
    </w:p>
    <w:p w14:paraId="179F71C5" w14:textId="77777777" w:rsidR="004E4281" w:rsidRPr="00C26E39" w:rsidRDefault="004E4281" w:rsidP="009B4F06">
      <w:pPr>
        <w:rPr>
          <w:rFonts w:ascii="Times New Roman" w:hAnsi="Times New Roman"/>
        </w:rPr>
      </w:pPr>
    </w:p>
    <w:p w14:paraId="457AF60F" w14:textId="0E1423C3" w:rsidR="009B4F06" w:rsidRPr="00C26E39" w:rsidRDefault="006D1891" w:rsidP="009B4F06">
      <w:pPr>
        <w:rPr>
          <w:rFonts w:ascii="Times New Roman" w:hAnsi="Times New Roman"/>
        </w:rPr>
      </w:pPr>
      <w:r w:rsidRPr="00C26E39">
        <w:rPr>
          <w:rFonts w:ascii="Times New Roman" w:hAnsi="Times New Roman"/>
        </w:rPr>
        <w:t xml:space="preserve">Puget Sound Energy </w:t>
      </w:r>
      <w:r w:rsidR="004E4281" w:rsidRPr="00C26E39">
        <w:rPr>
          <w:rFonts w:ascii="Times New Roman" w:hAnsi="Times New Roman"/>
        </w:rPr>
        <w:t xml:space="preserve">(PSE or company) </w:t>
      </w:r>
      <w:r w:rsidR="00996E4B">
        <w:rPr>
          <w:rFonts w:ascii="Times New Roman" w:hAnsi="Times New Roman"/>
        </w:rPr>
        <w:t xml:space="preserve">timely </w:t>
      </w:r>
      <w:r w:rsidRPr="00C26E39">
        <w:rPr>
          <w:rFonts w:ascii="Times New Roman" w:hAnsi="Times New Roman"/>
        </w:rPr>
        <w:t>filed its Ann</w:t>
      </w:r>
      <w:r w:rsidR="00477533" w:rsidRPr="00C26E39">
        <w:rPr>
          <w:rFonts w:ascii="Times New Roman" w:hAnsi="Times New Roman"/>
        </w:rPr>
        <w:t xml:space="preserve">ual RPS Report on </w:t>
      </w:r>
      <w:r w:rsidR="005F662F">
        <w:rPr>
          <w:rFonts w:ascii="Times New Roman" w:hAnsi="Times New Roman"/>
        </w:rPr>
        <w:t>May 31, 2016</w:t>
      </w:r>
      <w:r w:rsidR="00477533" w:rsidRPr="00C26E39">
        <w:rPr>
          <w:rFonts w:ascii="Times New Roman" w:hAnsi="Times New Roman"/>
        </w:rPr>
        <w:t xml:space="preserve">. </w:t>
      </w:r>
      <w:r w:rsidR="009B4F06" w:rsidRPr="00C26E39">
        <w:rPr>
          <w:rFonts w:ascii="Times New Roman" w:hAnsi="Times New Roman"/>
        </w:rPr>
        <w:t xml:space="preserve">Commission staff (staff) filed written comments on July 14, 2016, that analyzed and summarized </w:t>
      </w:r>
      <w:r w:rsidR="0090783B" w:rsidRPr="00C26E39">
        <w:rPr>
          <w:rFonts w:ascii="Times New Roman" w:hAnsi="Times New Roman"/>
        </w:rPr>
        <w:t xml:space="preserve">it. </w:t>
      </w:r>
    </w:p>
    <w:p w14:paraId="457AF611" w14:textId="77777777" w:rsidR="009B4F06" w:rsidRPr="00C26E39" w:rsidRDefault="009B4F06" w:rsidP="00305452">
      <w:pPr>
        <w:rPr>
          <w:rFonts w:ascii="Times New Roman" w:hAnsi="Times New Roman"/>
          <w:b/>
          <w:u w:val="single"/>
        </w:rPr>
      </w:pPr>
      <w:r w:rsidRPr="00C26E39">
        <w:rPr>
          <w:rFonts w:ascii="Times New Roman" w:hAnsi="Times New Roman"/>
          <w:b/>
          <w:u w:val="single"/>
        </w:rPr>
        <w:lastRenderedPageBreak/>
        <w:t>Discussion</w:t>
      </w:r>
    </w:p>
    <w:p w14:paraId="457AF612" w14:textId="77777777" w:rsidR="009B4F06" w:rsidRPr="00C26E39" w:rsidRDefault="009B4F06" w:rsidP="009B4F06">
      <w:pPr>
        <w:rPr>
          <w:rFonts w:ascii="Times New Roman" w:hAnsi="Times New Roman"/>
        </w:rPr>
      </w:pPr>
    </w:p>
    <w:p w14:paraId="457AF613" w14:textId="161AA04B" w:rsidR="009353EC" w:rsidRPr="00C26E39" w:rsidRDefault="007A2147" w:rsidP="009B4F06">
      <w:pPr>
        <w:rPr>
          <w:rFonts w:ascii="Times New Roman" w:hAnsi="Times New Roman"/>
        </w:rPr>
      </w:pPr>
      <w:r w:rsidRPr="00C26E39">
        <w:rPr>
          <w:rFonts w:ascii="Times New Roman" w:hAnsi="Times New Roman"/>
        </w:rPr>
        <w:t xml:space="preserve">Based on the information that PSE provided in its report and subsequent follow-up with staff, staff believes that the company correctly calculated its 2016 RPS target and acquired sufficient resources to meet that target. </w:t>
      </w:r>
    </w:p>
    <w:p w14:paraId="259F3D89" w14:textId="77777777" w:rsidR="00607E5F" w:rsidRPr="00C26E39" w:rsidRDefault="00607E5F" w:rsidP="009B4F06">
      <w:pPr>
        <w:rPr>
          <w:rFonts w:ascii="Times New Roman" w:hAnsi="Times New Roman"/>
        </w:rPr>
      </w:pPr>
    </w:p>
    <w:p w14:paraId="457AF615" w14:textId="2CC37336" w:rsidR="009B4F06" w:rsidRPr="00C26E39" w:rsidRDefault="009B4F06" w:rsidP="009B4F06">
      <w:pPr>
        <w:rPr>
          <w:rFonts w:ascii="Times New Roman" w:hAnsi="Times New Roman"/>
        </w:rPr>
      </w:pPr>
      <w:r w:rsidRPr="00C26E39">
        <w:rPr>
          <w:rFonts w:ascii="Times New Roman" w:hAnsi="Times New Roman"/>
        </w:rPr>
        <w:t>Table</w:t>
      </w:r>
      <w:r w:rsidR="001A12CC" w:rsidRPr="00C26E39">
        <w:rPr>
          <w:rFonts w:ascii="Times New Roman" w:hAnsi="Times New Roman"/>
        </w:rPr>
        <w:t xml:space="preserve"> 1 summarizes Puget Sound Energy’s </w:t>
      </w:r>
      <w:r w:rsidRPr="00C26E39">
        <w:rPr>
          <w:rFonts w:ascii="Times New Roman" w:hAnsi="Times New Roman"/>
        </w:rPr>
        <w:t xml:space="preserve">2016 target and the total amount of resources that the company had acquired by January 1, 2016. It includes the company’s excess </w:t>
      </w:r>
      <w:r w:rsidR="00081DF7" w:rsidRPr="00C26E39">
        <w:rPr>
          <w:rFonts w:ascii="Times New Roman" w:hAnsi="Times New Roman"/>
        </w:rPr>
        <w:t>Renewable Energy Credits (</w:t>
      </w:r>
      <w:r w:rsidRPr="00C26E39">
        <w:rPr>
          <w:rFonts w:ascii="Times New Roman" w:hAnsi="Times New Roman"/>
        </w:rPr>
        <w:t>REC</w:t>
      </w:r>
      <w:r w:rsidR="00081DF7" w:rsidRPr="00C26E39">
        <w:rPr>
          <w:rFonts w:ascii="Times New Roman" w:hAnsi="Times New Roman"/>
        </w:rPr>
        <w:t>s)</w:t>
      </w:r>
      <w:r w:rsidRPr="00C26E39">
        <w:rPr>
          <w:rFonts w:ascii="Times New Roman" w:hAnsi="Times New Roman"/>
        </w:rPr>
        <w:t xml:space="preserve"> from 2015 that could be used toward its 2016 target and the company’s projected 2016 generation</w:t>
      </w:r>
      <w:r w:rsidR="00D138D6" w:rsidRPr="00C26E39">
        <w:rPr>
          <w:rFonts w:ascii="Times New Roman" w:hAnsi="Times New Roman"/>
        </w:rPr>
        <w:t>, which is shown as zero in Table 1 because the company has sufficient 2015 RECs banked to meet its 2016 Compliance Plan</w:t>
      </w:r>
      <w:r w:rsidRPr="00C26E39">
        <w:rPr>
          <w:rFonts w:ascii="Times New Roman" w:hAnsi="Times New Roman"/>
        </w:rPr>
        <w:t>. Table 1 illustrate</w:t>
      </w:r>
      <w:r w:rsidR="00996E4B">
        <w:rPr>
          <w:rFonts w:ascii="Times New Roman" w:hAnsi="Times New Roman"/>
        </w:rPr>
        <w:t>s</w:t>
      </w:r>
      <w:r w:rsidRPr="00C26E39">
        <w:rPr>
          <w:rFonts w:ascii="Times New Roman" w:hAnsi="Times New Roman"/>
        </w:rPr>
        <w:t xml:space="preserve"> the company’s overall compliance position:</w:t>
      </w:r>
    </w:p>
    <w:p w14:paraId="457AF616" w14:textId="77777777" w:rsidR="001A12CC" w:rsidRPr="00C26E39" w:rsidRDefault="001A12CC" w:rsidP="009B4F06">
      <w:pPr>
        <w:rPr>
          <w:rFonts w:ascii="Times New Roman" w:hAnsi="Times New Roman"/>
        </w:rPr>
      </w:pPr>
    </w:p>
    <w:p w14:paraId="457AF617" w14:textId="77777777" w:rsidR="001A12CC" w:rsidRPr="00C26E39" w:rsidRDefault="00635D07" w:rsidP="001A12CC">
      <w:pPr>
        <w:jc w:val="center"/>
        <w:rPr>
          <w:rFonts w:ascii="Times New Roman" w:hAnsi="Times New Roman"/>
          <w:b/>
        </w:rPr>
      </w:pPr>
      <w:r w:rsidRPr="00C26E39">
        <w:rPr>
          <w:rFonts w:ascii="Times New Roman" w:hAnsi="Times New Roman"/>
          <w:b/>
        </w:rPr>
        <w:t>Table 1: PSE’s 2016</w:t>
      </w:r>
      <w:r w:rsidR="001A12CC" w:rsidRPr="00C26E39">
        <w:rPr>
          <w:rFonts w:ascii="Times New Roman" w:hAnsi="Times New Roman"/>
          <w:b/>
        </w:rPr>
        <w:t xml:space="preserve"> Renewable Resource Target and Compliance Plan</w:t>
      </w:r>
    </w:p>
    <w:p w14:paraId="457AF618" w14:textId="77777777" w:rsidR="009B4F06" w:rsidRPr="00C26E39" w:rsidRDefault="009B4F06" w:rsidP="009B4F06">
      <w:pPr>
        <w:rPr>
          <w:rFonts w:ascii="Times New Roman" w:hAnsi="Times New Roman"/>
        </w:rPr>
      </w:pPr>
    </w:p>
    <w:tbl>
      <w:tblPr>
        <w:tblStyle w:val="TableGrid"/>
        <w:tblW w:w="9270" w:type="dxa"/>
        <w:tblInd w:w="-5" w:type="dxa"/>
        <w:tblLayout w:type="fixed"/>
        <w:tblLook w:val="04A0" w:firstRow="1" w:lastRow="0" w:firstColumn="1" w:lastColumn="0" w:noHBand="0" w:noVBand="1"/>
      </w:tblPr>
      <w:tblGrid>
        <w:gridCol w:w="1440"/>
        <w:gridCol w:w="1890"/>
        <w:gridCol w:w="1260"/>
        <w:gridCol w:w="1260"/>
        <w:gridCol w:w="1350"/>
        <w:gridCol w:w="2070"/>
      </w:tblGrid>
      <w:tr w:rsidR="009B4F06" w:rsidRPr="00C26E39" w14:paraId="457AF61F" w14:textId="77777777" w:rsidTr="00EA5213">
        <w:trPr>
          <w:trHeight w:val="728"/>
        </w:trPr>
        <w:tc>
          <w:tcPr>
            <w:tcW w:w="1440" w:type="dxa"/>
            <w:tcBorders>
              <w:top w:val="single" w:sz="4" w:space="0" w:color="auto"/>
              <w:left w:val="single" w:sz="4" w:space="0" w:color="auto"/>
              <w:bottom w:val="single" w:sz="4" w:space="0" w:color="auto"/>
              <w:right w:val="single" w:sz="4" w:space="0" w:color="auto"/>
            </w:tcBorders>
            <w:hideMark/>
          </w:tcPr>
          <w:p w14:paraId="457AF619" w14:textId="77777777" w:rsidR="009B4F06" w:rsidRPr="00C26E39" w:rsidRDefault="009B4F06" w:rsidP="00224F02">
            <w:pPr>
              <w:jc w:val="center"/>
              <w:rPr>
                <w:rFonts w:ascii="Times New Roman" w:hAnsi="Times New Roman"/>
                <w:b/>
              </w:rPr>
            </w:pPr>
            <w:r w:rsidRPr="00C26E39">
              <w:rPr>
                <w:rFonts w:ascii="Times New Roman" w:hAnsi="Times New Roman"/>
                <w:b/>
              </w:rPr>
              <w:t>2016 Target (MWh)</w:t>
            </w:r>
          </w:p>
        </w:tc>
        <w:tc>
          <w:tcPr>
            <w:tcW w:w="1890" w:type="dxa"/>
            <w:tcBorders>
              <w:top w:val="single" w:sz="4" w:space="0" w:color="auto"/>
              <w:left w:val="single" w:sz="4" w:space="0" w:color="auto"/>
              <w:bottom w:val="single" w:sz="4" w:space="0" w:color="auto"/>
              <w:right w:val="single" w:sz="4" w:space="0" w:color="auto"/>
            </w:tcBorders>
            <w:vAlign w:val="bottom"/>
            <w:hideMark/>
          </w:tcPr>
          <w:p w14:paraId="457AF61A" w14:textId="77777777" w:rsidR="009B4F06" w:rsidRPr="00C26E39" w:rsidRDefault="009B4F06" w:rsidP="00EA5213">
            <w:pPr>
              <w:jc w:val="center"/>
              <w:rPr>
                <w:rFonts w:ascii="Times New Roman" w:hAnsi="Times New Roman"/>
                <w:b/>
              </w:rPr>
            </w:pPr>
            <w:r w:rsidRPr="00C26E39">
              <w:rPr>
                <w:rFonts w:ascii="Times New Roman" w:hAnsi="Times New Roman"/>
                <w:b/>
              </w:rPr>
              <w:t>Incremental Hydro (MWh)</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57AF61B" w14:textId="77777777" w:rsidR="009B4F06" w:rsidRPr="00C26E39" w:rsidRDefault="009B4F06" w:rsidP="00EA5213">
            <w:pPr>
              <w:jc w:val="center"/>
              <w:rPr>
                <w:rFonts w:ascii="Times New Roman" w:hAnsi="Times New Roman"/>
                <w:b/>
              </w:rPr>
            </w:pPr>
            <w:r w:rsidRPr="00C26E39">
              <w:rPr>
                <w:rFonts w:ascii="Times New Roman" w:hAnsi="Times New Roman"/>
                <w:b/>
              </w:rPr>
              <w:t>2015 RECs</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57AF61C" w14:textId="77777777" w:rsidR="009B4F06" w:rsidRPr="00C26E39" w:rsidRDefault="009B4F06" w:rsidP="00EA5213">
            <w:pPr>
              <w:jc w:val="center"/>
              <w:rPr>
                <w:rFonts w:ascii="Times New Roman" w:hAnsi="Times New Roman"/>
                <w:b/>
              </w:rPr>
            </w:pPr>
            <w:r w:rsidRPr="00C26E39">
              <w:rPr>
                <w:rFonts w:ascii="Times New Roman" w:hAnsi="Times New Roman"/>
                <w:b/>
              </w:rPr>
              <w:t>2016 RECs</w:t>
            </w:r>
          </w:p>
        </w:tc>
        <w:tc>
          <w:tcPr>
            <w:tcW w:w="1350" w:type="dxa"/>
            <w:tcBorders>
              <w:top w:val="single" w:sz="4" w:space="0" w:color="auto"/>
              <w:left w:val="single" w:sz="4" w:space="0" w:color="auto"/>
              <w:bottom w:val="single" w:sz="4" w:space="0" w:color="auto"/>
              <w:right w:val="single" w:sz="4" w:space="0" w:color="auto"/>
            </w:tcBorders>
            <w:vAlign w:val="bottom"/>
            <w:hideMark/>
          </w:tcPr>
          <w:p w14:paraId="457AF61D" w14:textId="77777777" w:rsidR="009B4F06" w:rsidRPr="00C26E39" w:rsidRDefault="009B4F06" w:rsidP="00EA5213">
            <w:pPr>
              <w:jc w:val="center"/>
              <w:rPr>
                <w:rFonts w:ascii="Times New Roman" w:hAnsi="Times New Roman"/>
                <w:b/>
              </w:rPr>
            </w:pPr>
            <w:r w:rsidRPr="00C26E39">
              <w:rPr>
                <w:rFonts w:ascii="Times New Roman" w:hAnsi="Times New Roman"/>
                <w:b/>
              </w:rPr>
              <w:t>Purchased RECs</w:t>
            </w:r>
          </w:p>
        </w:tc>
        <w:tc>
          <w:tcPr>
            <w:tcW w:w="2070" w:type="dxa"/>
            <w:tcBorders>
              <w:top w:val="single" w:sz="4" w:space="0" w:color="auto"/>
              <w:left w:val="single" w:sz="4" w:space="0" w:color="auto"/>
              <w:bottom w:val="single" w:sz="4" w:space="0" w:color="auto"/>
              <w:right w:val="single" w:sz="4" w:space="0" w:color="auto"/>
            </w:tcBorders>
            <w:vAlign w:val="bottom"/>
            <w:hideMark/>
          </w:tcPr>
          <w:p w14:paraId="457AF61E" w14:textId="77777777" w:rsidR="009B4F06" w:rsidRPr="00C26E39" w:rsidRDefault="009B4F06" w:rsidP="00EA5213">
            <w:pPr>
              <w:jc w:val="center"/>
              <w:rPr>
                <w:rFonts w:ascii="Times New Roman" w:hAnsi="Times New Roman"/>
                <w:b/>
              </w:rPr>
            </w:pPr>
            <w:r w:rsidRPr="00C26E39">
              <w:rPr>
                <w:rFonts w:ascii="Times New Roman" w:hAnsi="Times New Roman"/>
                <w:b/>
              </w:rPr>
              <w:t>Total Compliance Resources (MWh)</w:t>
            </w:r>
          </w:p>
        </w:tc>
      </w:tr>
      <w:tr w:rsidR="009B4F06" w:rsidRPr="00C26E39" w14:paraId="457AF626" w14:textId="77777777" w:rsidTr="00757710">
        <w:trPr>
          <w:trHeight w:val="145"/>
        </w:trPr>
        <w:tc>
          <w:tcPr>
            <w:tcW w:w="1440" w:type="dxa"/>
            <w:tcBorders>
              <w:top w:val="single" w:sz="4" w:space="0" w:color="auto"/>
              <w:left w:val="single" w:sz="4" w:space="0" w:color="auto"/>
              <w:bottom w:val="single" w:sz="4" w:space="0" w:color="auto"/>
              <w:right w:val="single" w:sz="4" w:space="0" w:color="auto"/>
            </w:tcBorders>
          </w:tcPr>
          <w:p w14:paraId="457AF620" w14:textId="77777777" w:rsidR="009B4F06" w:rsidRPr="00C26E39" w:rsidRDefault="003172E6" w:rsidP="00224F02">
            <w:pPr>
              <w:jc w:val="center"/>
              <w:rPr>
                <w:rFonts w:ascii="Times New Roman" w:hAnsi="Times New Roman"/>
              </w:rPr>
            </w:pPr>
            <w:r w:rsidRPr="00C26E39">
              <w:rPr>
                <w:rFonts w:ascii="Times New Roman" w:hAnsi="Times New Roman"/>
              </w:rPr>
              <w:t>1,848,542</w:t>
            </w:r>
          </w:p>
        </w:tc>
        <w:tc>
          <w:tcPr>
            <w:tcW w:w="1890" w:type="dxa"/>
            <w:tcBorders>
              <w:top w:val="single" w:sz="4" w:space="0" w:color="auto"/>
              <w:left w:val="single" w:sz="4" w:space="0" w:color="auto"/>
              <w:bottom w:val="single" w:sz="4" w:space="0" w:color="auto"/>
              <w:right w:val="single" w:sz="4" w:space="0" w:color="auto"/>
            </w:tcBorders>
          </w:tcPr>
          <w:p w14:paraId="457AF621" w14:textId="77777777" w:rsidR="009B4F06" w:rsidRPr="00C26E39" w:rsidRDefault="003172E6" w:rsidP="00224F02">
            <w:pPr>
              <w:jc w:val="center"/>
              <w:rPr>
                <w:rFonts w:ascii="Times New Roman" w:hAnsi="Times New Roman"/>
              </w:rPr>
            </w:pPr>
            <w:r w:rsidRPr="00C26E39">
              <w:rPr>
                <w:rFonts w:ascii="Times New Roman" w:hAnsi="Times New Roman"/>
              </w:rPr>
              <w:t>121,712</w:t>
            </w:r>
          </w:p>
        </w:tc>
        <w:tc>
          <w:tcPr>
            <w:tcW w:w="1260" w:type="dxa"/>
            <w:tcBorders>
              <w:top w:val="single" w:sz="4" w:space="0" w:color="auto"/>
              <w:left w:val="single" w:sz="4" w:space="0" w:color="auto"/>
              <w:bottom w:val="single" w:sz="4" w:space="0" w:color="auto"/>
              <w:right w:val="single" w:sz="4" w:space="0" w:color="auto"/>
            </w:tcBorders>
          </w:tcPr>
          <w:p w14:paraId="457AF622" w14:textId="77777777" w:rsidR="009B4F06" w:rsidRPr="00C26E39" w:rsidRDefault="003172E6" w:rsidP="00224F02">
            <w:pPr>
              <w:jc w:val="center"/>
              <w:rPr>
                <w:rFonts w:ascii="Times New Roman" w:hAnsi="Times New Roman"/>
              </w:rPr>
            </w:pPr>
            <w:r w:rsidRPr="00C26E39">
              <w:rPr>
                <w:rFonts w:ascii="Times New Roman" w:hAnsi="Times New Roman"/>
              </w:rPr>
              <w:t>1,814,305</w:t>
            </w:r>
          </w:p>
        </w:tc>
        <w:tc>
          <w:tcPr>
            <w:tcW w:w="1260" w:type="dxa"/>
            <w:tcBorders>
              <w:top w:val="single" w:sz="4" w:space="0" w:color="auto"/>
              <w:left w:val="single" w:sz="4" w:space="0" w:color="auto"/>
              <w:bottom w:val="single" w:sz="4" w:space="0" w:color="auto"/>
              <w:right w:val="single" w:sz="4" w:space="0" w:color="auto"/>
            </w:tcBorders>
          </w:tcPr>
          <w:p w14:paraId="457AF623" w14:textId="77777777" w:rsidR="009B4F06" w:rsidRPr="00C26E39" w:rsidRDefault="003172E6" w:rsidP="00D138D6">
            <w:pPr>
              <w:jc w:val="center"/>
              <w:rPr>
                <w:rFonts w:ascii="Times New Roman" w:hAnsi="Times New Roman"/>
              </w:rPr>
            </w:pPr>
            <w:r w:rsidRPr="00C26E39">
              <w:rPr>
                <w:rFonts w:ascii="Times New Roman" w:hAnsi="Times New Roman"/>
              </w:rPr>
              <w:t>0</w:t>
            </w:r>
          </w:p>
        </w:tc>
        <w:tc>
          <w:tcPr>
            <w:tcW w:w="1350" w:type="dxa"/>
            <w:tcBorders>
              <w:top w:val="single" w:sz="4" w:space="0" w:color="auto"/>
              <w:left w:val="single" w:sz="4" w:space="0" w:color="auto"/>
              <w:bottom w:val="single" w:sz="4" w:space="0" w:color="auto"/>
              <w:right w:val="single" w:sz="4" w:space="0" w:color="auto"/>
            </w:tcBorders>
          </w:tcPr>
          <w:p w14:paraId="457AF624" w14:textId="77777777" w:rsidR="009B4F06" w:rsidRPr="00C26E39" w:rsidRDefault="009B4F06" w:rsidP="00224F02">
            <w:pPr>
              <w:jc w:val="center"/>
              <w:rPr>
                <w:rFonts w:ascii="Times New Roman" w:hAnsi="Times New Roman"/>
              </w:rPr>
            </w:pPr>
            <w:r w:rsidRPr="00C26E39">
              <w:rPr>
                <w:rFonts w:ascii="Times New Roman" w:hAnsi="Times New Roman"/>
              </w:rPr>
              <w:t>N/A</w:t>
            </w:r>
          </w:p>
        </w:tc>
        <w:tc>
          <w:tcPr>
            <w:tcW w:w="2070" w:type="dxa"/>
            <w:tcBorders>
              <w:top w:val="single" w:sz="4" w:space="0" w:color="auto"/>
              <w:left w:val="single" w:sz="4" w:space="0" w:color="auto"/>
              <w:bottom w:val="single" w:sz="4" w:space="0" w:color="auto"/>
              <w:right w:val="single" w:sz="4" w:space="0" w:color="auto"/>
            </w:tcBorders>
          </w:tcPr>
          <w:p w14:paraId="457AF625" w14:textId="77777777" w:rsidR="009B4F06" w:rsidRPr="00C26E39" w:rsidRDefault="003172E6" w:rsidP="00224F02">
            <w:pPr>
              <w:jc w:val="center"/>
              <w:rPr>
                <w:rFonts w:ascii="Times New Roman" w:hAnsi="Times New Roman"/>
              </w:rPr>
            </w:pPr>
            <w:r w:rsidRPr="00C26E39">
              <w:rPr>
                <w:rFonts w:ascii="Times New Roman" w:hAnsi="Times New Roman"/>
              </w:rPr>
              <w:t>1,936,017</w:t>
            </w:r>
          </w:p>
        </w:tc>
      </w:tr>
    </w:tbl>
    <w:p w14:paraId="457AF627" w14:textId="77777777" w:rsidR="001A12CC" w:rsidRPr="00C26E39" w:rsidRDefault="001A12CC" w:rsidP="009B4F06">
      <w:pPr>
        <w:rPr>
          <w:rFonts w:ascii="Times New Roman" w:hAnsi="Times New Roman"/>
          <w:b/>
          <w:bCs/>
        </w:rPr>
      </w:pPr>
    </w:p>
    <w:p w14:paraId="65F0FED4" w14:textId="6127A439" w:rsidR="007A2147" w:rsidRPr="00C26E39" w:rsidRDefault="007A2147" w:rsidP="00CE7FC7">
      <w:pPr>
        <w:rPr>
          <w:rFonts w:ascii="Times New Roman" w:hAnsi="Times New Roman"/>
        </w:rPr>
      </w:pPr>
      <w:r w:rsidRPr="00C26E39">
        <w:rPr>
          <w:rFonts w:ascii="Times New Roman" w:hAnsi="Times New Roman"/>
          <w:u w:val="single"/>
        </w:rPr>
        <w:t>Incremental cost</w:t>
      </w:r>
      <w:r w:rsidRPr="00C26E39">
        <w:rPr>
          <w:rFonts w:ascii="Times New Roman" w:hAnsi="Times New Roman"/>
        </w:rPr>
        <w:t xml:space="preserve">: </w:t>
      </w:r>
      <w:r w:rsidR="005C17E3" w:rsidRPr="00C26E39">
        <w:rPr>
          <w:rFonts w:ascii="Times New Roman" w:hAnsi="Times New Roman"/>
        </w:rPr>
        <w:t xml:space="preserve">PSE </w:t>
      </w:r>
      <w:r w:rsidR="004E4281" w:rsidRPr="00C26E39">
        <w:rPr>
          <w:rFonts w:ascii="Times New Roman" w:hAnsi="Times New Roman"/>
        </w:rPr>
        <w:t xml:space="preserve">properly </w:t>
      </w:r>
      <w:r w:rsidR="005C17E3" w:rsidRPr="00C26E39">
        <w:rPr>
          <w:rFonts w:ascii="Times New Roman" w:hAnsi="Times New Roman"/>
        </w:rPr>
        <w:t>reported its actual incremental cost in 2016 as</w:t>
      </w:r>
      <w:r w:rsidR="007B7859" w:rsidRPr="00C26E39">
        <w:rPr>
          <w:rFonts w:ascii="Times New Roman" w:hAnsi="Times New Roman"/>
        </w:rPr>
        <w:t xml:space="preserve"> </w:t>
      </w:r>
      <w:r w:rsidR="003172E6" w:rsidRPr="00C26E39">
        <w:rPr>
          <w:rFonts w:ascii="Times New Roman" w:hAnsi="Times New Roman"/>
        </w:rPr>
        <w:t>1.0</w:t>
      </w:r>
      <w:r w:rsidR="009B4F06" w:rsidRPr="00C26E39">
        <w:rPr>
          <w:rFonts w:ascii="Times New Roman" w:hAnsi="Times New Roman"/>
        </w:rPr>
        <w:t xml:space="preserve"> percent</w:t>
      </w:r>
      <w:r w:rsidR="005C17E3" w:rsidRPr="00C26E39">
        <w:rPr>
          <w:rFonts w:ascii="Times New Roman" w:hAnsi="Times New Roman"/>
        </w:rPr>
        <w:t xml:space="preserve"> </w:t>
      </w:r>
      <w:r w:rsidR="00B53861" w:rsidRPr="00C26E39">
        <w:rPr>
          <w:rFonts w:ascii="Times New Roman" w:hAnsi="Times New Roman"/>
        </w:rPr>
        <w:t xml:space="preserve">and 0.4 percent </w:t>
      </w:r>
      <w:r w:rsidR="005C17E3" w:rsidRPr="00C26E39">
        <w:rPr>
          <w:rFonts w:ascii="Times New Roman" w:hAnsi="Times New Roman"/>
        </w:rPr>
        <w:t>in 2015.</w:t>
      </w:r>
      <w:r w:rsidR="004E4281" w:rsidRPr="00C26E39">
        <w:rPr>
          <w:rStyle w:val="FootnoteReference"/>
          <w:rFonts w:ascii="Times New Roman" w:hAnsi="Times New Roman"/>
        </w:rPr>
        <w:footnoteReference w:id="3"/>
      </w:r>
      <w:r w:rsidR="005C17E3" w:rsidRPr="00C26E39">
        <w:rPr>
          <w:rFonts w:ascii="Times New Roman" w:hAnsi="Times New Roman"/>
        </w:rPr>
        <w:t xml:space="preserve"> </w:t>
      </w:r>
      <w:r w:rsidRPr="00C26E39">
        <w:rPr>
          <w:rFonts w:ascii="Times New Roman" w:hAnsi="Times New Roman"/>
        </w:rPr>
        <w:t xml:space="preserve">Though the RPS Report contained sufficient information to review incremental cost calculations, the presentation of those elements was confusing, and staff hopes the company will use the template developed during this process for its next report. </w:t>
      </w:r>
      <w:r w:rsidR="007710EF" w:rsidRPr="00C26E39">
        <w:rPr>
          <w:rFonts w:ascii="Times New Roman" w:hAnsi="Times New Roman"/>
        </w:rPr>
        <w:t>Staff</w:t>
      </w:r>
      <w:r w:rsidR="00B04D36" w:rsidRPr="00C26E39">
        <w:rPr>
          <w:rFonts w:ascii="Times New Roman" w:hAnsi="Times New Roman"/>
        </w:rPr>
        <w:t xml:space="preserve"> </w:t>
      </w:r>
      <w:r w:rsidR="00996E4B">
        <w:rPr>
          <w:rFonts w:ascii="Times New Roman" w:hAnsi="Times New Roman"/>
        </w:rPr>
        <w:t>recognizes the</w:t>
      </w:r>
      <w:r w:rsidR="00996E4B" w:rsidRPr="00C26E39">
        <w:rPr>
          <w:rFonts w:ascii="Times New Roman" w:hAnsi="Times New Roman"/>
        </w:rPr>
        <w:t xml:space="preserve"> </w:t>
      </w:r>
      <w:r w:rsidR="00B04D36" w:rsidRPr="00C26E39">
        <w:rPr>
          <w:rFonts w:ascii="Times New Roman" w:hAnsi="Times New Roman"/>
        </w:rPr>
        <w:t xml:space="preserve">concerns </w:t>
      </w:r>
      <w:r w:rsidR="007710EF" w:rsidRPr="00C26E39">
        <w:rPr>
          <w:rFonts w:ascii="Times New Roman" w:hAnsi="Times New Roman"/>
        </w:rPr>
        <w:t xml:space="preserve">about the risks of continued use of the Mid-C </w:t>
      </w:r>
      <w:r w:rsidR="00996E4B">
        <w:rPr>
          <w:rFonts w:ascii="Times New Roman" w:hAnsi="Times New Roman"/>
        </w:rPr>
        <w:t xml:space="preserve">spot </w:t>
      </w:r>
      <w:r w:rsidR="007710EF" w:rsidRPr="00C26E39">
        <w:rPr>
          <w:rFonts w:ascii="Times New Roman" w:hAnsi="Times New Roman"/>
        </w:rPr>
        <w:t>market</w:t>
      </w:r>
      <w:r w:rsidR="00996E4B">
        <w:rPr>
          <w:rFonts w:ascii="Times New Roman" w:hAnsi="Times New Roman"/>
        </w:rPr>
        <w:t xml:space="preserve"> price</w:t>
      </w:r>
      <w:r w:rsidR="007710EF" w:rsidRPr="00C26E39">
        <w:rPr>
          <w:rFonts w:ascii="Times New Roman" w:hAnsi="Times New Roman"/>
        </w:rPr>
        <w:t xml:space="preserve"> as the basis for incremental cost calculations and will continue to work with stakeholders to develop a solution.</w:t>
      </w:r>
    </w:p>
    <w:p w14:paraId="1534FBD9" w14:textId="77777777" w:rsidR="007A2147" w:rsidRPr="00C26E39" w:rsidRDefault="007A2147" w:rsidP="00CE7FC7">
      <w:pPr>
        <w:rPr>
          <w:rFonts w:ascii="Times New Roman" w:hAnsi="Times New Roman"/>
        </w:rPr>
      </w:pPr>
    </w:p>
    <w:p w14:paraId="457AF629" w14:textId="42B14A9D" w:rsidR="00CE7FC7" w:rsidRPr="00C26E39" w:rsidRDefault="007A2147" w:rsidP="00CE7FC7">
      <w:pPr>
        <w:rPr>
          <w:rFonts w:ascii="Times New Roman" w:hAnsi="Times New Roman"/>
        </w:rPr>
      </w:pPr>
      <w:r w:rsidRPr="00C26E39">
        <w:rPr>
          <w:rFonts w:ascii="Times New Roman" w:hAnsi="Times New Roman"/>
          <w:u w:val="single"/>
        </w:rPr>
        <w:t>Incremental hydropower registration</w:t>
      </w:r>
      <w:r w:rsidRPr="00C26E39">
        <w:rPr>
          <w:rFonts w:ascii="Times New Roman" w:hAnsi="Times New Roman"/>
        </w:rPr>
        <w:t>: PSE obtained official registration for its incremental hydro production from Lower Baker and Snoqualmie Falls facilities</w:t>
      </w:r>
      <w:r w:rsidRPr="00C26E39" w:rsidDel="007A2147">
        <w:rPr>
          <w:rFonts w:ascii="Times New Roman" w:hAnsi="Times New Roman"/>
        </w:rPr>
        <w:t xml:space="preserve"> </w:t>
      </w:r>
      <w:r w:rsidRPr="00C26E39">
        <w:rPr>
          <w:rFonts w:ascii="Times New Roman" w:hAnsi="Times New Roman"/>
        </w:rPr>
        <w:t>with the Western Renewable Energy Generation Information System (WREGIS) on June 6, 2016. Before PSE can request a finding of</w:t>
      </w:r>
      <w:r w:rsidR="00CE7FC7" w:rsidRPr="00C26E39">
        <w:rPr>
          <w:rFonts w:ascii="Times New Roman" w:hAnsi="Times New Roman"/>
        </w:rPr>
        <w:t xml:space="preserve"> final compliance </w:t>
      </w:r>
      <w:r w:rsidRPr="00C26E39">
        <w:rPr>
          <w:rFonts w:ascii="Times New Roman" w:hAnsi="Times New Roman"/>
        </w:rPr>
        <w:t xml:space="preserve">for </w:t>
      </w:r>
      <w:r w:rsidR="00CE7FC7" w:rsidRPr="00C26E39">
        <w:rPr>
          <w:rFonts w:ascii="Times New Roman" w:hAnsi="Times New Roman"/>
        </w:rPr>
        <w:t xml:space="preserve">both the 2015 and 2016 reports, PSE will need to request a waiver of the </w:t>
      </w:r>
      <w:r w:rsidRPr="00C26E39">
        <w:rPr>
          <w:rFonts w:ascii="Times New Roman" w:hAnsi="Times New Roman"/>
        </w:rPr>
        <w:t xml:space="preserve">WREGIS </w:t>
      </w:r>
      <w:r w:rsidR="00CE7FC7" w:rsidRPr="00C26E39">
        <w:rPr>
          <w:rFonts w:ascii="Times New Roman" w:hAnsi="Times New Roman"/>
        </w:rPr>
        <w:t>registration requirement in WAC 480-109-200(3) for</w:t>
      </w:r>
      <w:r w:rsidRPr="00C26E39">
        <w:rPr>
          <w:rFonts w:ascii="Times New Roman" w:hAnsi="Times New Roman"/>
        </w:rPr>
        <w:t xml:space="preserve"> these two facilities</w:t>
      </w:r>
      <w:r w:rsidR="00996E4B">
        <w:rPr>
          <w:rFonts w:ascii="Times New Roman" w:hAnsi="Times New Roman"/>
        </w:rPr>
        <w:t xml:space="preserve"> in the respective dockets</w:t>
      </w:r>
      <w:r w:rsidR="005C17E3" w:rsidRPr="00C26E39">
        <w:rPr>
          <w:rFonts w:ascii="Times New Roman" w:hAnsi="Times New Roman"/>
        </w:rPr>
        <w:t>.</w:t>
      </w:r>
      <w:r w:rsidR="00CE7FC7" w:rsidRPr="00C26E39">
        <w:rPr>
          <w:rFonts w:ascii="Times New Roman" w:hAnsi="Times New Roman"/>
        </w:rPr>
        <w:t xml:space="preserve"> </w:t>
      </w:r>
    </w:p>
    <w:p w14:paraId="69A802C4" w14:textId="77777777" w:rsidR="00ED7A10" w:rsidRPr="00C26E39" w:rsidRDefault="00ED7A10" w:rsidP="00CE7FC7">
      <w:pPr>
        <w:rPr>
          <w:rFonts w:ascii="Times New Roman" w:hAnsi="Times New Roman"/>
        </w:rPr>
      </w:pPr>
    </w:p>
    <w:p w14:paraId="6D7F1402" w14:textId="0B3A1343" w:rsidR="00ED7A10" w:rsidRPr="00C26E39" w:rsidRDefault="00ED7A10" w:rsidP="00CE7FC7">
      <w:pPr>
        <w:rPr>
          <w:rFonts w:ascii="Times New Roman" w:hAnsi="Times New Roman"/>
        </w:rPr>
      </w:pPr>
      <w:r w:rsidRPr="00DA1D6A">
        <w:rPr>
          <w:rFonts w:ascii="Times New Roman" w:hAnsi="Times New Roman"/>
          <w:u w:val="single"/>
        </w:rPr>
        <w:t>Documentation of certificate use</w:t>
      </w:r>
      <w:r w:rsidRPr="00C26E39">
        <w:rPr>
          <w:rFonts w:ascii="Times New Roman" w:hAnsi="Times New Roman"/>
        </w:rPr>
        <w:t>: PSE</w:t>
      </w:r>
      <w:r w:rsidR="009110C4" w:rsidRPr="00C26E39">
        <w:rPr>
          <w:rFonts w:ascii="Times New Roman" w:hAnsi="Times New Roman"/>
        </w:rPr>
        <w:t xml:space="preserve"> </w:t>
      </w:r>
      <w:r w:rsidRPr="00C26E39">
        <w:rPr>
          <w:rFonts w:ascii="Times New Roman" w:hAnsi="Times New Roman"/>
        </w:rPr>
        <w:t>will need to document</w:t>
      </w:r>
      <w:r w:rsidR="00996E4B">
        <w:rPr>
          <w:rFonts w:ascii="Times New Roman" w:hAnsi="Times New Roman"/>
        </w:rPr>
        <w:t xml:space="preserve"> its use of</w:t>
      </w:r>
      <w:r w:rsidRPr="00C26E39">
        <w:rPr>
          <w:rFonts w:ascii="Times New Roman" w:hAnsi="Times New Roman"/>
        </w:rPr>
        <w:t xml:space="preserve"> the company’s renewable resources</w:t>
      </w:r>
      <w:r w:rsidR="00996E4B">
        <w:rPr>
          <w:rFonts w:ascii="Times New Roman" w:hAnsi="Times New Roman"/>
        </w:rPr>
        <w:t xml:space="preserve"> under various renewable energy programs</w:t>
      </w:r>
      <w:r w:rsidRPr="00C26E39">
        <w:rPr>
          <w:rFonts w:ascii="Times New Roman" w:hAnsi="Times New Roman"/>
        </w:rPr>
        <w:t>, which</w:t>
      </w:r>
      <w:r w:rsidR="00996E4B">
        <w:rPr>
          <w:rFonts w:ascii="Times New Roman" w:hAnsi="Times New Roman"/>
        </w:rPr>
        <w:t xml:space="preserve"> will</w:t>
      </w:r>
      <w:r w:rsidRPr="00C26E39">
        <w:rPr>
          <w:rFonts w:ascii="Times New Roman" w:hAnsi="Times New Roman"/>
        </w:rPr>
        <w:t xml:space="preserve"> allow staff to review the eligibility of the resources for meeting the EIA requirement. Because the statute explicitly disallows any resources used for Green Power programs in RCW 19.29A.090, the commission requires the companies to include some information about the usage of the certificates.</w:t>
      </w:r>
      <w:r w:rsidR="00996E4B">
        <w:rPr>
          <w:rFonts w:ascii="Times New Roman" w:hAnsi="Times New Roman"/>
        </w:rPr>
        <w:t xml:space="preserve"> While the rule requires this information in the annual report, staff believes it will be more helpful in the final compliance report, and asks the commission to require the company to include the information there.</w:t>
      </w:r>
      <w:r w:rsidRPr="00C26E39">
        <w:rPr>
          <w:rFonts w:ascii="Times New Roman" w:hAnsi="Times New Roman"/>
        </w:rPr>
        <w:t xml:space="preserve"> </w:t>
      </w:r>
      <w:r w:rsidR="00996E4B">
        <w:rPr>
          <w:rFonts w:ascii="Times New Roman" w:hAnsi="Times New Roman"/>
        </w:rPr>
        <w:t>Thus, in</w:t>
      </w:r>
      <w:r w:rsidR="00996E4B" w:rsidRPr="00C26E39">
        <w:rPr>
          <w:rFonts w:ascii="Times New Roman" w:hAnsi="Times New Roman"/>
        </w:rPr>
        <w:t xml:space="preserve"> </w:t>
      </w:r>
      <w:r w:rsidR="001E1C6C" w:rsidRPr="00C26E39">
        <w:rPr>
          <w:rFonts w:ascii="Times New Roman" w:hAnsi="Times New Roman"/>
        </w:rPr>
        <w:t xml:space="preserve">the final compliance report for 2016, </w:t>
      </w:r>
      <w:r w:rsidR="00D21F61">
        <w:rPr>
          <w:rFonts w:ascii="Times New Roman" w:hAnsi="Times New Roman"/>
        </w:rPr>
        <w:t>PSE m</w:t>
      </w:r>
      <w:r w:rsidR="001E1C6C" w:rsidRPr="00C26E39">
        <w:rPr>
          <w:rFonts w:ascii="Times New Roman" w:hAnsi="Times New Roman"/>
        </w:rPr>
        <w:t>ust list details about program usage</w:t>
      </w:r>
      <w:r w:rsidR="00C26E39" w:rsidRPr="00C26E39">
        <w:rPr>
          <w:rFonts w:ascii="Times New Roman" w:hAnsi="Times New Roman"/>
        </w:rPr>
        <w:t xml:space="preserve">, as required by </w:t>
      </w:r>
      <w:r w:rsidR="00C26E39" w:rsidRPr="007D0A6D">
        <w:rPr>
          <w:rFonts w:ascii="Times New Roman" w:hAnsi="Times New Roman"/>
        </w:rPr>
        <w:t>WAC 480-109-210(2)(d)(i).</w:t>
      </w:r>
    </w:p>
    <w:p w14:paraId="7AA7D037" w14:textId="77777777" w:rsidR="001E1C6C" w:rsidRPr="00C26E39" w:rsidRDefault="001E1C6C" w:rsidP="00CE7FC7">
      <w:pPr>
        <w:rPr>
          <w:rFonts w:ascii="Times New Roman" w:hAnsi="Times New Roman"/>
        </w:rPr>
      </w:pPr>
    </w:p>
    <w:p w14:paraId="457AF62D" w14:textId="77777777" w:rsidR="009B4F06" w:rsidRPr="00C26E39" w:rsidRDefault="009B4F06" w:rsidP="009B4F06">
      <w:pPr>
        <w:rPr>
          <w:rFonts w:ascii="Times New Roman" w:hAnsi="Times New Roman"/>
        </w:rPr>
      </w:pPr>
      <w:r w:rsidRPr="00C26E39">
        <w:rPr>
          <w:rFonts w:ascii="Times New Roman" w:hAnsi="Times New Roman"/>
          <w:b/>
          <w:u w:val="single"/>
        </w:rPr>
        <w:t>Public Comments</w:t>
      </w:r>
    </w:p>
    <w:p w14:paraId="457AF62E" w14:textId="77777777" w:rsidR="009B4F06" w:rsidRPr="00C26E39" w:rsidRDefault="009B4F06" w:rsidP="009B4F06">
      <w:pPr>
        <w:rPr>
          <w:rFonts w:ascii="Times New Roman" w:hAnsi="Times New Roman"/>
        </w:rPr>
      </w:pPr>
    </w:p>
    <w:p w14:paraId="457AF62F" w14:textId="6EA12BF9" w:rsidR="009B4F06" w:rsidRPr="00C26E39" w:rsidRDefault="009B4F06" w:rsidP="009B4F06">
      <w:pPr>
        <w:rPr>
          <w:rFonts w:ascii="Times New Roman" w:hAnsi="Times New Roman"/>
        </w:rPr>
      </w:pPr>
      <w:r w:rsidRPr="00C26E39">
        <w:rPr>
          <w:rFonts w:ascii="Times New Roman" w:hAnsi="Times New Roman"/>
        </w:rPr>
        <w:t>The commission received one set of pu</w:t>
      </w:r>
      <w:r w:rsidR="003760FB" w:rsidRPr="00C26E39">
        <w:rPr>
          <w:rFonts w:ascii="Times New Roman" w:hAnsi="Times New Roman"/>
        </w:rPr>
        <w:t>blic comments regarding Puget Sound Energy’s</w:t>
      </w:r>
      <w:r w:rsidRPr="00C26E39">
        <w:rPr>
          <w:rFonts w:ascii="Times New Roman" w:hAnsi="Times New Roman"/>
        </w:rPr>
        <w:t xml:space="preserve"> report, which were filed jointly by Renewable Northwest (</w:t>
      </w:r>
      <w:r w:rsidR="007A2147" w:rsidRPr="00C26E39">
        <w:rPr>
          <w:rFonts w:ascii="Times New Roman" w:hAnsi="Times New Roman"/>
        </w:rPr>
        <w:t>R</w:t>
      </w:r>
      <w:r w:rsidRPr="00C26E39">
        <w:rPr>
          <w:rFonts w:ascii="Times New Roman" w:hAnsi="Times New Roman"/>
        </w:rPr>
        <w:t>NW) and the Northwest Energy Coalition (</w:t>
      </w:r>
      <w:r w:rsidR="009D5234" w:rsidRPr="00C26E39">
        <w:rPr>
          <w:rFonts w:ascii="Times New Roman" w:hAnsi="Times New Roman"/>
        </w:rPr>
        <w:t>NWEC</w:t>
      </w:r>
      <w:r w:rsidRPr="00C26E39">
        <w:rPr>
          <w:rFonts w:ascii="Times New Roman" w:hAnsi="Times New Roman"/>
        </w:rPr>
        <w:t>). Both organizations praised the company for meeting its target without relying on alternative compliance mechanisms</w:t>
      </w:r>
      <w:r w:rsidR="00063260" w:rsidRPr="00C26E39">
        <w:rPr>
          <w:rFonts w:ascii="Times New Roman" w:hAnsi="Times New Roman"/>
        </w:rPr>
        <w:t xml:space="preserve">. The parties </w:t>
      </w:r>
      <w:r w:rsidR="00750E13" w:rsidRPr="00C26E39">
        <w:rPr>
          <w:rFonts w:ascii="Times New Roman" w:hAnsi="Times New Roman"/>
        </w:rPr>
        <w:t xml:space="preserve">noted a lack of transparency </w:t>
      </w:r>
      <w:r w:rsidR="00FB7DB9" w:rsidRPr="00C26E39">
        <w:rPr>
          <w:rFonts w:ascii="Times New Roman" w:hAnsi="Times New Roman"/>
        </w:rPr>
        <w:t xml:space="preserve">with </w:t>
      </w:r>
      <w:r w:rsidR="00CD5FDD" w:rsidRPr="00C26E39">
        <w:rPr>
          <w:rFonts w:ascii="Times New Roman" w:hAnsi="Times New Roman"/>
        </w:rPr>
        <w:t>Puget Sound Energy’s</w:t>
      </w:r>
      <w:r w:rsidRPr="00C26E39">
        <w:rPr>
          <w:rFonts w:ascii="Times New Roman" w:hAnsi="Times New Roman"/>
        </w:rPr>
        <w:t xml:space="preserve"> incremental cost calculation</w:t>
      </w:r>
      <w:r w:rsidR="00CD5FDD" w:rsidRPr="00C26E39">
        <w:rPr>
          <w:rFonts w:ascii="Times New Roman" w:hAnsi="Times New Roman"/>
        </w:rPr>
        <w:t xml:space="preserve">s and </w:t>
      </w:r>
      <w:r w:rsidR="00063260" w:rsidRPr="00C26E39">
        <w:rPr>
          <w:rFonts w:ascii="Times New Roman" w:hAnsi="Times New Roman"/>
        </w:rPr>
        <w:t xml:space="preserve">expressed concern with the continued </w:t>
      </w:r>
      <w:r w:rsidR="00CD5FDD" w:rsidRPr="00C26E39">
        <w:rPr>
          <w:rFonts w:ascii="Times New Roman" w:hAnsi="Times New Roman"/>
        </w:rPr>
        <w:t>use of the Mid-Columbia spot market as the non-renewable substitute resource that forms the baseline of the incremental cost calculation</w:t>
      </w:r>
      <w:r w:rsidR="0086512D" w:rsidRPr="00C26E39">
        <w:rPr>
          <w:rFonts w:ascii="Times New Roman" w:hAnsi="Times New Roman"/>
        </w:rPr>
        <w:t xml:space="preserve">. </w:t>
      </w:r>
      <w:r w:rsidR="007A2147" w:rsidRPr="00C26E39">
        <w:rPr>
          <w:rFonts w:ascii="Times New Roman" w:hAnsi="Times New Roman"/>
        </w:rPr>
        <w:t>R</w:t>
      </w:r>
      <w:r w:rsidR="009D5234" w:rsidRPr="00C26E39">
        <w:rPr>
          <w:rFonts w:ascii="Times New Roman" w:hAnsi="Times New Roman"/>
        </w:rPr>
        <w:t>NW and NWEC</w:t>
      </w:r>
      <w:r w:rsidR="0086512D" w:rsidRPr="00C26E39">
        <w:rPr>
          <w:rFonts w:ascii="Times New Roman" w:hAnsi="Times New Roman"/>
        </w:rPr>
        <w:t xml:space="preserve"> </w:t>
      </w:r>
      <w:r w:rsidR="00B10658" w:rsidRPr="00C26E39">
        <w:rPr>
          <w:rFonts w:ascii="Times New Roman" w:hAnsi="Times New Roman"/>
        </w:rPr>
        <w:t xml:space="preserve">were </w:t>
      </w:r>
      <w:r w:rsidR="00063260" w:rsidRPr="00C26E39">
        <w:rPr>
          <w:rFonts w:ascii="Times New Roman" w:hAnsi="Times New Roman"/>
        </w:rPr>
        <w:t>please</w:t>
      </w:r>
      <w:r w:rsidR="00B10658" w:rsidRPr="00C26E39">
        <w:rPr>
          <w:rFonts w:ascii="Times New Roman" w:hAnsi="Times New Roman"/>
        </w:rPr>
        <w:t>d</w:t>
      </w:r>
      <w:r w:rsidR="00063260" w:rsidRPr="00C26E39">
        <w:rPr>
          <w:rFonts w:ascii="Times New Roman" w:hAnsi="Times New Roman"/>
        </w:rPr>
        <w:t xml:space="preserve"> that the company met its target and recommended that the commission approve the report. </w:t>
      </w:r>
    </w:p>
    <w:p w14:paraId="2D354CCF" w14:textId="77777777" w:rsidR="00DA4545" w:rsidRPr="00C26E39" w:rsidRDefault="00DA4545" w:rsidP="009B4F06">
      <w:pPr>
        <w:rPr>
          <w:rFonts w:ascii="Times New Roman" w:hAnsi="Times New Roman"/>
        </w:rPr>
      </w:pPr>
    </w:p>
    <w:p w14:paraId="457AF631" w14:textId="77777777" w:rsidR="009B4F06" w:rsidRPr="00C26E39" w:rsidRDefault="009B4F06" w:rsidP="009B4F06">
      <w:pPr>
        <w:rPr>
          <w:rFonts w:ascii="Times New Roman" w:hAnsi="Times New Roman"/>
          <w:b/>
          <w:u w:val="single"/>
        </w:rPr>
      </w:pPr>
      <w:r w:rsidRPr="00C26E39">
        <w:rPr>
          <w:rFonts w:ascii="Times New Roman" w:hAnsi="Times New Roman"/>
          <w:b/>
          <w:u w:val="single"/>
        </w:rPr>
        <w:t>Conclusion</w:t>
      </w:r>
    </w:p>
    <w:p w14:paraId="457AF632" w14:textId="77777777" w:rsidR="009B4F06" w:rsidRPr="00C26E39" w:rsidRDefault="009B4F06" w:rsidP="009B4F06">
      <w:pPr>
        <w:rPr>
          <w:rFonts w:ascii="Times New Roman" w:hAnsi="Times New Roman"/>
        </w:rPr>
      </w:pPr>
    </w:p>
    <w:p w14:paraId="457AF635" w14:textId="4DAB4275" w:rsidR="009B4F06" w:rsidRPr="00C26E39" w:rsidRDefault="009B4F06" w:rsidP="009B4F06">
      <w:pPr>
        <w:rPr>
          <w:rFonts w:ascii="Times New Roman" w:hAnsi="Times New Roman"/>
        </w:rPr>
      </w:pPr>
      <w:r w:rsidRPr="00C26E39">
        <w:rPr>
          <w:rFonts w:ascii="Times New Roman" w:hAnsi="Times New Roman"/>
        </w:rPr>
        <w:t>Issue an order as described in the recommendations section of this memo.</w:t>
      </w:r>
    </w:p>
    <w:p w14:paraId="457AF636" w14:textId="77777777" w:rsidR="00FA4C3F" w:rsidRPr="00C26E39" w:rsidRDefault="00FA4C3F" w:rsidP="009B4F06">
      <w:pPr>
        <w:rPr>
          <w:rFonts w:ascii="Times New Roman" w:hAnsi="Times New Roman"/>
        </w:rPr>
      </w:pPr>
    </w:p>
    <w:sectPr w:rsidR="00FA4C3F" w:rsidRPr="00C26E39" w:rsidSect="00951817">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AF639" w14:textId="77777777" w:rsidR="001B52DC" w:rsidRDefault="001B52DC" w:rsidP="00FA4C3F">
      <w:r>
        <w:separator/>
      </w:r>
    </w:p>
  </w:endnote>
  <w:endnote w:type="continuationSeparator" w:id="0">
    <w:p w14:paraId="457AF63A" w14:textId="77777777" w:rsidR="001B52DC" w:rsidRDefault="001B52DC" w:rsidP="00FA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AF637" w14:textId="77777777" w:rsidR="001B52DC" w:rsidRDefault="001B52DC" w:rsidP="00FA4C3F">
      <w:r>
        <w:separator/>
      </w:r>
    </w:p>
  </w:footnote>
  <w:footnote w:type="continuationSeparator" w:id="0">
    <w:p w14:paraId="457AF638" w14:textId="77777777" w:rsidR="001B52DC" w:rsidRDefault="001B52DC" w:rsidP="00FA4C3F">
      <w:r>
        <w:continuationSeparator/>
      </w:r>
    </w:p>
  </w:footnote>
  <w:footnote w:id="1">
    <w:p w14:paraId="1A7AEF89" w14:textId="40039CB8" w:rsidR="00607E5F" w:rsidRDefault="00607E5F" w:rsidP="00607E5F">
      <w:pPr>
        <w:pStyle w:val="FootnoteText"/>
      </w:pPr>
      <w:r>
        <w:rPr>
          <w:rStyle w:val="FootnoteReference"/>
        </w:rPr>
        <w:footnoteRef/>
      </w:r>
      <w:r>
        <w:t xml:space="preserve"> WAC 480-109-210(2)(d)(i)</w:t>
      </w:r>
      <w:r w:rsidR="00D04EC0">
        <w:t>. Each certificate in WREGIS may be retired by PSE for only one purpose. Retirement may be under the Green Power program authorized by RCW 19.29A.090, or it may be retired for RPS compliance, but not both</w:t>
      </w:r>
      <w:r>
        <w:t>.</w:t>
      </w:r>
      <w:r w:rsidR="00D04EC0">
        <w:t xml:space="preserve"> If PSE reports on certificates that have not yet been retired, they could also be characterized as owned by the customer.</w:t>
      </w:r>
    </w:p>
  </w:footnote>
  <w:footnote w:id="2">
    <w:p w14:paraId="457AF63C" w14:textId="77777777" w:rsidR="009B4F06" w:rsidRDefault="009B4F06" w:rsidP="009B4F06">
      <w:pPr>
        <w:pStyle w:val="FootnoteText"/>
      </w:pPr>
      <w:r>
        <w:rPr>
          <w:rStyle w:val="FootnoteReference"/>
        </w:rPr>
        <w:footnoteRef/>
      </w:r>
      <w:r w:rsidR="007665ED">
        <w:t xml:space="preserve"> RCW 19.285.040; </w:t>
      </w:r>
      <w:r w:rsidR="00D573AF">
        <w:t>RCW 19.285.070; WAC 480-109-200(1).</w:t>
      </w:r>
    </w:p>
  </w:footnote>
  <w:footnote w:id="3">
    <w:p w14:paraId="00400CEB" w14:textId="117A3857" w:rsidR="004E4281" w:rsidRDefault="004E4281">
      <w:pPr>
        <w:pStyle w:val="FootnoteText"/>
      </w:pPr>
      <w:r>
        <w:rPr>
          <w:rStyle w:val="FootnoteReference"/>
        </w:rPr>
        <w:footnoteRef/>
      </w:r>
      <w:r>
        <w:t xml:space="preserve"> </w:t>
      </w:r>
      <w:r w:rsidRPr="00F9153C">
        <w:t>WAC 480-109-210(2)(a)</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6B835" w14:textId="02829FCB" w:rsidR="00EA5213" w:rsidRPr="00951817" w:rsidRDefault="00EA5213">
    <w:pPr>
      <w:pStyle w:val="Header"/>
      <w:rPr>
        <w:rFonts w:ascii="Times New Roman" w:hAnsi="Times New Roman"/>
        <w:sz w:val="20"/>
        <w:szCs w:val="20"/>
      </w:rPr>
    </w:pPr>
    <w:r w:rsidRPr="00951817">
      <w:rPr>
        <w:rFonts w:ascii="Times New Roman" w:hAnsi="Times New Roman"/>
        <w:sz w:val="20"/>
        <w:szCs w:val="20"/>
      </w:rPr>
      <w:t>Docket UE-1607</w:t>
    </w:r>
    <w:r w:rsidR="004172F4">
      <w:rPr>
        <w:rFonts w:ascii="Times New Roman" w:hAnsi="Times New Roman"/>
        <w:sz w:val="20"/>
        <w:szCs w:val="20"/>
      </w:rPr>
      <w:t>57</w:t>
    </w:r>
  </w:p>
  <w:p w14:paraId="049D946F" w14:textId="28CDD67B" w:rsidR="00EA5213" w:rsidRPr="00951817" w:rsidRDefault="00EE6EA1">
    <w:pPr>
      <w:pStyle w:val="Header"/>
      <w:rPr>
        <w:rFonts w:ascii="Times New Roman" w:hAnsi="Times New Roman"/>
        <w:sz w:val="20"/>
        <w:szCs w:val="20"/>
      </w:rPr>
    </w:pPr>
    <w:r>
      <w:rPr>
        <w:rFonts w:ascii="Times New Roman" w:hAnsi="Times New Roman"/>
        <w:sz w:val="20"/>
        <w:szCs w:val="20"/>
      </w:rPr>
      <w:t>August 4</w:t>
    </w:r>
    <w:r w:rsidR="00EA5213" w:rsidRPr="00951817">
      <w:rPr>
        <w:rFonts w:ascii="Times New Roman" w:hAnsi="Times New Roman"/>
        <w:sz w:val="20"/>
        <w:szCs w:val="20"/>
      </w:rPr>
      <w:t>, 2016</w:t>
    </w:r>
  </w:p>
  <w:p w14:paraId="24CEF963" w14:textId="37D04AE4" w:rsidR="00EA5213" w:rsidRDefault="00EA5213">
    <w:pPr>
      <w:pStyle w:val="Header"/>
      <w:rPr>
        <w:rFonts w:ascii="Times New Roman" w:hAnsi="Times New Roman"/>
        <w:noProof/>
        <w:sz w:val="20"/>
        <w:szCs w:val="20"/>
      </w:rPr>
    </w:pPr>
    <w:r w:rsidRPr="00951817">
      <w:rPr>
        <w:rFonts w:ascii="Times New Roman" w:hAnsi="Times New Roman"/>
        <w:sz w:val="20"/>
        <w:szCs w:val="20"/>
      </w:rPr>
      <w:t xml:space="preserve">Page </w:t>
    </w:r>
    <w:r w:rsidRPr="00951817">
      <w:rPr>
        <w:rFonts w:ascii="Times New Roman" w:hAnsi="Times New Roman"/>
        <w:sz w:val="20"/>
        <w:szCs w:val="20"/>
      </w:rPr>
      <w:fldChar w:fldCharType="begin"/>
    </w:r>
    <w:r w:rsidRPr="00951817">
      <w:rPr>
        <w:rFonts w:ascii="Times New Roman" w:hAnsi="Times New Roman"/>
        <w:sz w:val="20"/>
        <w:szCs w:val="20"/>
      </w:rPr>
      <w:instrText xml:space="preserve"> PAGE   \* MERGEFORMAT </w:instrText>
    </w:r>
    <w:r w:rsidRPr="00951817">
      <w:rPr>
        <w:rFonts w:ascii="Times New Roman" w:hAnsi="Times New Roman"/>
        <w:sz w:val="20"/>
        <w:szCs w:val="20"/>
      </w:rPr>
      <w:fldChar w:fldCharType="separate"/>
    </w:r>
    <w:r w:rsidR="00236CAF">
      <w:rPr>
        <w:rFonts w:ascii="Times New Roman" w:hAnsi="Times New Roman"/>
        <w:noProof/>
        <w:sz w:val="20"/>
        <w:szCs w:val="20"/>
      </w:rPr>
      <w:t>2</w:t>
    </w:r>
    <w:r w:rsidRPr="00951817">
      <w:rPr>
        <w:rFonts w:ascii="Times New Roman" w:hAnsi="Times New Roman"/>
        <w:noProof/>
        <w:sz w:val="20"/>
        <w:szCs w:val="20"/>
      </w:rPr>
      <w:fldChar w:fldCharType="end"/>
    </w:r>
  </w:p>
  <w:p w14:paraId="5E3C06D0" w14:textId="77777777" w:rsidR="00EA5213" w:rsidRDefault="00EA5213">
    <w:pPr>
      <w:pStyle w:val="Header"/>
      <w:rPr>
        <w:rFonts w:ascii="Times New Roman" w:hAnsi="Times New Roman"/>
        <w:noProof/>
        <w:sz w:val="20"/>
        <w:szCs w:val="20"/>
      </w:rPr>
    </w:pPr>
  </w:p>
  <w:p w14:paraId="3FDE4935" w14:textId="77777777" w:rsidR="00EA5213" w:rsidRPr="00E21833" w:rsidRDefault="00EA5213">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3911"/>
    <w:multiLevelType w:val="hybridMultilevel"/>
    <w:tmpl w:val="EC6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378E9"/>
    <w:multiLevelType w:val="hybridMultilevel"/>
    <w:tmpl w:val="C9149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F15181"/>
    <w:multiLevelType w:val="hybridMultilevel"/>
    <w:tmpl w:val="8FECF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CD1C55"/>
    <w:multiLevelType w:val="hybridMultilevel"/>
    <w:tmpl w:val="413C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237B1"/>
    <w:multiLevelType w:val="hybridMultilevel"/>
    <w:tmpl w:val="6C3EE2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48"/>
    <w:rsid w:val="00063260"/>
    <w:rsid w:val="00070537"/>
    <w:rsid w:val="00081DF7"/>
    <w:rsid w:val="00090BE7"/>
    <w:rsid w:val="00091DDE"/>
    <w:rsid w:val="000B11DE"/>
    <w:rsid w:val="000B480C"/>
    <w:rsid w:val="000B68DD"/>
    <w:rsid w:val="000C5980"/>
    <w:rsid w:val="000E090D"/>
    <w:rsid w:val="000E5A90"/>
    <w:rsid w:val="000F04A8"/>
    <w:rsid w:val="000F08A0"/>
    <w:rsid w:val="000F0BC6"/>
    <w:rsid w:val="00116052"/>
    <w:rsid w:val="00134A50"/>
    <w:rsid w:val="001400E2"/>
    <w:rsid w:val="0014762F"/>
    <w:rsid w:val="0015255A"/>
    <w:rsid w:val="00155385"/>
    <w:rsid w:val="00155693"/>
    <w:rsid w:val="00160F20"/>
    <w:rsid w:val="00177C83"/>
    <w:rsid w:val="001841EF"/>
    <w:rsid w:val="001A12CC"/>
    <w:rsid w:val="001B52DC"/>
    <w:rsid w:val="001C0FCE"/>
    <w:rsid w:val="001E1C6C"/>
    <w:rsid w:val="001F40F4"/>
    <w:rsid w:val="0020424F"/>
    <w:rsid w:val="002236B6"/>
    <w:rsid w:val="00224EB7"/>
    <w:rsid w:val="00230221"/>
    <w:rsid w:val="002335C3"/>
    <w:rsid w:val="00236CAF"/>
    <w:rsid w:val="0024175B"/>
    <w:rsid w:val="00246047"/>
    <w:rsid w:val="00266D17"/>
    <w:rsid w:val="002772B0"/>
    <w:rsid w:val="002D77C7"/>
    <w:rsid w:val="002F1A49"/>
    <w:rsid w:val="00305452"/>
    <w:rsid w:val="003172E6"/>
    <w:rsid w:val="003212B5"/>
    <w:rsid w:val="00332024"/>
    <w:rsid w:val="0036377F"/>
    <w:rsid w:val="0036523A"/>
    <w:rsid w:val="00374418"/>
    <w:rsid w:val="003760FB"/>
    <w:rsid w:val="003808F8"/>
    <w:rsid w:val="0038393C"/>
    <w:rsid w:val="0039161C"/>
    <w:rsid w:val="0039182E"/>
    <w:rsid w:val="00392D8D"/>
    <w:rsid w:val="003A2EA6"/>
    <w:rsid w:val="003C32F9"/>
    <w:rsid w:val="003D57CE"/>
    <w:rsid w:val="003F45CD"/>
    <w:rsid w:val="00407962"/>
    <w:rsid w:val="00414923"/>
    <w:rsid w:val="004172F4"/>
    <w:rsid w:val="00422ACA"/>
    <w:rsid w:val="00422F79"/>
    <w:rsid w:val="00430CBF"/>
    <w:rsid w:val="0046633D"/>
    <w:rsid w:val="00470DD6"/>
    <w:rsid w:val="00477533"/>
    <w:rsid w:val="004876D3"/>
    <w:rsid w:val="00494510"/>
    <w:rsid w:val="004A4F58"/>
    <w:rsid w:val="004A537A"/>
    <w:rsid w:val="004B1C54"/>
    <w:rsid w:val="004D0EBA"/>
    <w:rsid w:val="004D6A74"/>
    <w:rsid w:val="004D7FD5"/>
    <w:rsid w:val="004E2923"/>
    <w:rsid w:val="004E359E"/>
    <w:rsid w:val="004E4281"/>
    <w:rsid w:val="00524DFA"/>
    <w:rsid w:val="005372F3"/>
    <w:rsid w:val="0055008A"/>
    <w:rsid w:val="00555922"/>
    <w:rsid w:val="005640E5"/>
    <w:rsid w:val="005678D2"/>
    <w:rsid w:val="00571860"/>
    <w:rsid w:val="00575F33"/>
    <w:rsid w:val="005B4ECA"/>
    <w:rsid w:val="005C17E3"/>
    <w:rsid w:val="005D213E"/>
    <w:rsid w:val="005E0A9D"/>
    <w:rsid w:val="005F662F"/>
    <w:rsid w:val="006013D5"/>
    <w:rsid w:val="00602933"/>
    <w:rsid w:val="00603ADE"/>
    <w:rsid w:val="00607E5F"/>
    <w:rsid w:val="00610EED"/>
    <w:rsid w:val="00617A53"/>
    <w:rsid w:val="00635D07"/>
    <w:rsid w:val="006421CF"/>
    <w:rsid w:val="00644D97"/>
    <w:rsid w:val="00654CC6"/>
    <w:rsid w:val="00697A46"/>
    <w:rsid w:val="006A7A82"/>
    <w:rsid w:val="006C540E"/>
    <w:rsid w:val="006C7A7B"/>
    <w:rsid w:val="006D1891"/>
    <w:rsid w:val="006D4D00"/>
    <w:rsid w:val="006F7687"/>
    <w:rsid w:val="00717D2A"/>
    <w:rsid w:val="00734E84"/>
    <w:rsid w:val="00747209"/>
    <w:rsid w:val="00750E13"/>
    <w:rsid w:val="00754AC2"/>
    <w:rsid w:val="00757710"/>
    <w:rsid w:val="00762F7A"/>
    <w:rsid w:val="007665ED"/>
    <w:rsid w:val="007703D2"/>
    <w:rsid w:val="00770455"/>
    <w:rsid w:val="007710EF"/>
    <w:rsid w:val="00786ED4"/>
    <w:rsid w:val="007A2147"/>
    <w:rsid w:val="007B413D"/>
    <w:rsid w:val="007B7859"/>
    <w:rsid w:val="007C5B53"/>
    <w:rsid w:val="007D0A6D"/>
    <w:rsid w:val="007E2D2C"/>
    <w:rsid w:val="007F0BE0"/>
    <w:rsid w:val="00800208"/>
    <w:rsid w:val="00834C34"/>
    <w:rsid w:val="0085072D"/>
    <w:rsid w:val="00856444"/>
    <w:rsid w:val="00856A62"/>
    <w:rsid w:val="0086512D"/>
    <w:rsid w:val="00876337"/>
    <w:rsid w:val="0088414D"/>
    <w:rsid w:val="00886651"/>
    <w:rsid w:val="008A613E"/>
    <w:rsid w:val="008B7CDC"/>
    <w:rsid w:val="008E4EFA"/>
    <w:rsid w:val="0090783B"/>
    <w:rsid w:val="009110C4"/>
    <w:rsid w:val="009353EC"/>
    <w:rsid w:val="009479EE"/>
    <w:rsid w:val="00951817"/>
    <w:rsid w:val="009525C8"/>
    <w:rsid w:val="009558E4"/>
    <w:rsid w:val="009635EA"/>
    <w:rsid w:val="00980C39"/>
    <w:rsid w:val="00984168"/>
    <w:rsid w:val="009917AB"/>
    <w:rsid w:val="00996267"/>
    <w:rsid w:val="00996E4B"/>
    <w:rsid w:val="00997894"/>
    <w:rsid w:val="009A3ACE"/>
    <w:rsid w:val="009B4F06"/>
    <w:rsid w:val="009C5087"/>
    <w:rsid w:val="009D1D3D"/>
    <w:rsid w:val="009D5234"/>
    <w:rsid w:val="009E179F"/>
    <w:rsid w:val="00A14D40"/>
    <w:rsid w:val="00A42E69"/>
    <w:rsid w:val="00A83A9E"/>
    <w:rsid w:val="00A92B99"/>
    <w:rsid w:val="00A97C08"/>
    <w:rsid w:val="00AC54C2"/>
    <w:rsid w:val="00AE1D41"/>
    <w:rsid w:val="00AE543E"/>
    <w:rsid w:val="00AE608E"/>
    <w:rsid w:val="00B01D4B"/>
    <w:rsid w:val="00B04D36"/>
    <w:rsid w:val="00B10658"/>
    <w:rsid w:val="00B30C4B"/>
    <w:rsid w:val="00B401CF"/>
    <w:rsid w:val="00B52C12"/>
    <w:rsid w:val="00B53861"/>
    <w:rsid w:val="00B56E4D"/>
    <w:rsid w:val="00B6347F"/>
    <w:rsid w:val="00B955A0"/>
    <w:rsid w:val="00BA6A20"/>
    <w:rsid w:val="00BC1B5B"/>
    <w:rsid w:val="00BC46E7"/>
    <w:rsid w:val="00BC4E5C"/>
    <w:rsid w:val="00BD004D"/>
    <w:rsid w:val="00BE13A0"/>
    <w:rsid w:val="00BF32FD"/>
    <w:rsid w:val="00BF4FF4"/>
    <w:rsid w:val="00C26E39"/>
    <w:rsid w:val="00C46447"/>
    <w:rsid w:val="00CC222D"/>
    <w:rsid w:val="00CD5FDD"/>
    <w:rsid w:val="00CE0393"/>
    <w:rsid w:val="00CE7FC7"/>
    <w:rsid w:val="00D04EC0"/>
    <w:rsid w:val="00D138D6"/>
    <w:rsid w:val="00D17BE4"/>
    <w:rsid w:val="00D21F61"/>
    <w:rsid w:val="00D36EB4"/>
    <w:rsid w:val="00D573AF"/>
    <w:rsid w:val="00D60A23"/>
    <w:rsid w:val="00D7700E"/>
    <w:rsid w:val="00D82E48"/>
    <w:rsid w:val="00D97D08"/>
    <w:rsid w:val="00DA1D6A"/>
    <w:rsid w:val="00DA1DC7"/>
    <w:rsid w:val="00DA4545"/>
    <w:rsid w:val="00DB0863"/>
    <w:rsid w:val="00DB0F56"/>
    <w:rsid w:val="00DD2344"/>
    <w:rsid w:val="00DD2D48"/>
    <w:rsid w:val="00DD3FDE"/>
    <w:rsid w:val="00DD435C"/>
    <w:rsid w:val="00DD5509"/>
    <w:rsid w:val="00DE2156"/>
    <w:rsid w:val="00DF2F04"/>
    <w:rsid w:val="00E20971"/>
    <w:rsid w:val="00E21833"/>
    <w:rsid w:val="00E31449"/>
    <w:rsid w:val="00E54FEE"/>
    <w:rsid w:val="00E61464"/>
    <w:rsid w:val="00E619AB"/>
    <w:rsid w:val="00E63500"/>
    <w:rsid w:val="00E66314"/>
    <w:rsid w:val="00E67D95"/>
    <w:rsid w:val="00E81186"/>
    <w:rsid w:val="00E966AE"/>
    <w:rsid w:val="00EA5213"/>
    <w:rsid w:val="00EB3FE8"/>
    <w:rsid w:val="00EB740A"/>
    <w:rsid w:val="00EC23FF"/>
    <w:rsid w:val="00ED7A10"/>
    <w:rsid w:val="00EE2DED"/>
    <w:rsid w:val="00EE6EA1"/>
    <w:rsid w:val="00EF13FB"/>
    <w:rsid w:val="00F00585"/>
    <w:rsid w:val="00F14063"/>
    <w:rsid w:val="00F22BDA"/>
    <w:rsid w:val="00F42C55"/>
    <w:rsid w:val="00F50529"/>
    <w:rsid w:val="00F53F1B"/>
    <w:rsid w:val="00F733A8"/>
    <w:rsid w:val="00F9153C"/>
    <w:rsid w:val="00FA4C3F"/>
    <w:rsid w:val="00FB4A3C"/>
    <w:rsid w:val="00FB7DB9"/>
    <w:rsid w:val="00FE2B74"/>
    <w:rsid w:val="00FE62E7"/>
    <w:rsid w:val="00FE7FEA"/>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57AF5F4"/>
  <w15:chartTrackingRefBased/>
  <w15:docId w15:val="{31B60EAA-B092-4DCA-83BD-0F9FA5ED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C3F"/>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4C3F"/>
    <w:rPr>
      <w:rFonts w:ascii="Times New Roman" w:hAnsi="Times New Roman"/>
      <w:sz w:val="20"/>
      <w:szCs w:val="20"/>
    </w:rPr>
  </w:style>
  <w:style w:type="character" w:customStyle="1" w:styleId="FootnoteTextChar">
    <w:name w:val="Footnote Text Char"/>
    <w:basedOn w:val="DefaultParagraphFont"/>
    <w:link w:val="FootnoteText"/>
    <w:uiPriority w:val="99"/>
    <w:rsid w:val="00FA4C3F"/>
    <w:rPr>
      <w:rFonts w:ascii="Times New Roman" w:eastAsia="Times New Roman" w:hAnsi="Times New Roman" w:cs="Times New Roman"/>
      <w:sz w:val="20"/>
      <w:szCs w:val="20"/>
    </w:rPr>
  </w:style>
  <w:style w:type="paragraph" w:styleId="ListParagraph">
    <w:name w:val="List Paragraph"/>
    <w:basedOn w:val="Normal"/>
    <w:qFormat/>
    <w:rsid w:val="00FA4C3F"/>
    <w:pPr>
      <w:ind w:left="720"/>
      <w:contextualSpacing/>
    </w:pPr>
  </w:style>
  <w:style w:type="character" w:styleId="FootnoteReference">
    <w:name w:val="footnote reference"/>
    <w:uiPriority w:val="99"/>
    <w:unhideWhenUsed/>
    <w:rsid w:val="00FA4C3F"/>
    <w:rPr>
      <w:vertAlign w:val="superscript"/>
    </w:rPr>
  </w:style>
  <w:style w:type="table" w:styleId="TableGrid">
    <w:name w:val="Table Grid"/>
    <w:basedOn w:val="TableNormal"/>
    <w:uiPriority w:val="59"/>
    <w:rsid w:val="00FA4C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4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C34"/>
    <w:rPr>
      <w:rFonts w:ascii="Segoe UI" w:eastAsia="Times New Roman" w:hAnsi="Segoe UI" w:cs="Segoe UI"/>
      <w:sz w:val="18"/>
      <w:szCs w:val="18"/>
    </w:rPr>
  </w:style>
  <w:style w:type="character" w:styleId="Hyperlink">
    <w:name w:val="Hyperlink"/>
    <w:basedOn w:val="DefaultParagraphFont"/>
    <w:uiPriority w:val="99"/>
    <w:semiHidden/>
    <w:unhideWhenUsed/>
    <w:rsid w:val="00786ED4"/>
    <w:rPr>
      <w:color w:val="2B674D"/>
      <w:u w:val="single"/>
    </w:rPr>
  </w:style>
  <w:style w:type="paragraph" w:styleId="Header">
    <w:name w:val="header"/>
    <w:basedOn w:val="Normal"/>
    <w:link w:val="HeaderChar"/>
    <w:uiPriority w:val="99"/>
    <w:unhideWhenUsed/>
    <w:rsid w:val="00EA5213"/>
    <w:pPr>
      <w:tabs>
        <w:tab w:val="center" w:pos="4680"/>
        <w:tab w:val="right" w:pos="9360"/>
      </w:tabs>
    </w:pPr>
  </w:style>
  <w:style w:type="character" w:customStyle="1" w:styleId="HeaderChar">
    <w:name w:val="Header Char"/>
    <w:basedOn w:val="DefaultParagraphFont"/>
    <w:link w:val="Header"/>
    <w:uiPriority w:val="99"/>
    <w:rsid w:val="00EA5213"/>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EA5213"/>
    <w:pPr>
      <w:tabs>
        <w:tab w:val="center" w:pos="4680"/>
        <w:tab w:val="right" w:pos="9360"/>
      </w:tabs>
    </w:pPr>
  </w:style>
  <w:style w:type="character" w:customStyle="1" w:styleId="FooterChar">
    <w:name w:val="Footer Char"/>
    <w:basedOn w:val="DefaultParagraphFont"/>
    <w:link w:val="Footer"/>
    <w:uiPriority w:val="99"/>
    <w:rsid w:val="00EA5213"/>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33091">
      <w:bodyDiv w:val="1"/>
      <w:marLeft w:val="0"/>
      <w:marRight w:val="0"/>
      <w:marTop w:val="0"/>
      <w:marBottom w:val="0"/>
      <w:divBdr>
        <w:top w:val="none" w:sz="0" w:space="0" w:color="auto"/>
        <w:left w:val="none" w:sz="0" w:space="0" w:color="auto"/>
        <w:bottom w:val="none" w:sz="0" w:space="0" w:color="auto"/>
        <w:right w:val="none" w:sz="0" w:space="0" w:color="auto"/>
      </w:divBdr>
    </w:div>
    <w:div w:id="1565944843">
      <w:bodyDiv w:val="1"/>
      <w:marLeft w:val="0"/>
      <w:marRight w:val="0"/>
      <w:marTop w:val="0"/>
      <w:marBottom w:val="0"/>
      <w:divBdr>
        <w:top w:val="none" w:sz="0" w:space="0" w:color="auto"/>
        <w:left w:val="none" w:sz="0" w:space="0" w:color="auto"/>
        <w:bottom w:val="none" w:sz="0" w:space="0" w:color="auto"/>
        <w:right w:val="none" w:sz="0" w:space="0" w:color="auto"/>
      </w:divBdr>
    </w:div>
    <w:div w:id="1996520564">
      <w:bodyDiv w:val="1"/>
      <w:marLeft w:val="0"/>
      <w:marRight w:val="0"/>
      <w:marTop w:val="0"/>
      <w:marBottom w:val="0"/>
      <w:divBdr>
        <w:top w:val="none" w:sz="0" w:space="0" w:color="auto"/>
        <w:left w:val="none" w:sz="0" w:space="0" w:color="auto"/>
        <w:bottom w:val="none" w:sz="0" w:space="0" w:color="auto"/>
        <w:right w:val="none" w:sz="0" w:space="0" w:color="auto"/>
      </w:divBdr>
      <w:divsChild>
        <w:div w:id="1851599231">
          <w:marLeft w:val="0"/>
          <w:marRight w:val="0"/>
          <w:marTop w:val="0"/>
          <w:marBottom w:val="0"/>
          <w:divBdr>
            <w:top w:val="none" w:sz="0" w:space="0" w:color="auto"/>
            <w:left w:val="none" w:sz="0" w:space="0" w:color="auto"/>
            <w:bottom w:val="none" w:sz="0" w:space="0" w:color="auto"/>
            <w:right w:val="none" w:sz="0" w:space="0" w:color="auto"/>
          </w:divBdr>
          <w:divsChild>
            <w:div w:id="786508425">
              <w:marLeft w:val="0"/>
              <w:marRight w:val="0"/>
              <w:marTop w:val="0"/>
              <w:marBottom w:val="0"/>
              <w:divBdr>
                <w:top w:val="none" w:sz="0" w:space="0" w:color="auto"/>
                <w:left w:val="none" w:sz="0" w:space="0" w:color="auto"/>
                <w:bottom w:val="none" w:sz="0" w:space="0" w:color="auto"/>
                <w:right w:val="none" w:sz="0" w:space="0" w:color="auto"/>
              </w:divBdr>
              <w:divsChild>
                <w:div w:id="686324552">
                  <w:marLeft w:val="0"/>
                  <w:marRight w:val="0"/>
                  <w:marTop w:val="0"/>
                  <w:marBottom w:val="0"/>
                  <w:divBdr>
                    <w:top w:val="none" w:sz="0" w:space="12" w:color="auto"/>
                    <w:left w:val="none" w:sz="0" w:space="12" w:color="auto"/>
                    <w:bottom w:val="none" w:sz="0" w:space="12" w:color="auto"/>
                    <w:right w:val="none" w:sz="0" w:space="12" w:color="auto"/>
                  </w:divBdr>
                  <w:divsChild>
                    <w:div w:id="1567450160">
                      <w:marLeft w:val="0"/>
                      <w:marRight w:val="0"/>
                      <w:marTop w:val="0"/>
                      <w:marBottom w:val="0"/>
                      <w:divBdr>
                        <w:top w:val="none" w:sz="0" w:space="12" w:color="auto"/>
                        <w:left w:val="none" w:sz="0" w:space="12" w:color="auto"/>
                        <w:bottom w:val="none" w:sz="0" w:space="12" w:color="auto"/>
                        <w:right w:val="none" w:sz="0" w:space="12" w:color="auto"/>
                      </w:divBdr>
                      <w:divsChild>
                        <w:div w:id="1596863854">
                          <w:marLeft w:val="0"/>
                          <w:marRight w:val="0"/>
                          <w:marTop w:val="0"/>
                          <w:marBottom w:val="0"/>
                          <w:divBdr>
                            <w:top w:val="none" w:sz="0" w:space="0" w:color="auto"/>
                            <w:left w:val="none" w:sz="0" w:space="0" w:color="auto"/>
                            <w:bottom w:val="none" w:sz="0" w:space="0" w:color="auto"/>
                            <w:right w:val="none" w:sz="0" w:space="0" w:color="auto"/>
                          </w:divBdr>
                          <w:divsChild>
                            <w:div w:id="1739671346">
                              <w:marLeft w:val="-225"/>
                              <w:marRight w:val="-225"/>
                              <w:marTop w:val="0"/>
                              <w:marBottom w:val="0"/>
                              <w:divBdr>
                                <w:top w:val="none" w:sz="0" w:space="0" w:color="auto"/>
                                <w:left w:val="none" w:sz="0" w:space="0" w:color="auto"/>
                                <w:bottom w:val="none" w:sz="0" w:space="0" w:color="auto"/>
                                <w:right w:val="none" w:sz="0" w:space="0" w:color="auto"/>
                              </w:divBdr>
                              <w:divsChild>
                                <w:div w:id="1067993850">
                                  <w:marLeft w:val="0"/>
                                  <w:marRight w:val="0"/>
                                  <w:marTop w:val="0"/>
                                  <w:marBottom w:val="0"/>
                                  <w:divBdr>
                                    <w:top w:val="none" w:sz="0" w:space="0" w:color="auto"/>
                                    <w:left w:val="none" w:sz="0" w:space="0" w:color="auto"/>
                                    <w:bottom w:val="none" w:sz="0" w:space="0" w:color="auto"/>
                                    <w:right w:val="none" w:sz="0" w:space="0" w:color="auto"/>
                                  </w:divBdr>
                                  <w:divsChild>
                                    <w:div w:id="2036539449">
                                      <w:marLeft w:val="0"/>
                                      <w:marRight w:val="0"/>
                                      <w:marTop w:val="0"/>
                                      <w:marBottom w:val="0"/>
                                      <w:divBdr>
                                        <w:top w:val="none" w:sz="0" w:space="0" w:color="auto"/>
                                        <w:left w:val="none" w:sz="0" w:space="0" w:color="auto"/>
                                        <w:bottom w:val="none" w:sz="0" w:space="0" w:color="auto"/>
                                        <w:right w:val="none" w:sz="0" w:space="0" w:color="auto"/>
                                      </w:divBdr>
                                      <w:divsChild>
                                        <w:div w:id="1828279075">
                                          <w:marLeft w:val="0"/>
                                          <w:marRight w:val="0"/>
                                          <w:marTop w:val="0"/>
                                          <w:marBottom w:val="0"/>
                                          <w:divBdr>
                                            <w:top w:val="none" w:sz="0" w:space="0" w:color="auto"/>
                                            <w:left w:val="none" w:sz="0" w:space="0" w:color="auto"/>
                                            <w:bottom w:val="none" w:sz="0" w:space="0" w:color="auto"/>
                                            <w:right w:val="none" w:sz="0" w:space="0" w:color="auto"/>
                                          </w:divBdr>
                                        </w:div>
                                        <w:div w:id="1745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2016-05-31T07:00:00+00:00</OpenedDate>
    <Date1 xmlns="dc463f71-b30c-4ab2-9473-d307f9d35888">2016-08-04T07:00:00+00:00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8F405F23B3CC4ABD399289A3DA5467" ma:contentTypeVersion="104" ma:contentTypeDescription="" ma:contentTypeScope="" ma:versionID="3b7455b6949332f3e7fa10e53f8124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6AD0B77-B33D-4582-A020-DC192115740D}"/>
</file>

<file path=customXml/itemProps2.xml><?xml version="1.0" encoding="utf-8"?>
<ds:datastoreItem xmlns:ds="http://schemas.openxmlformats.org/officeDocument/2006/customXml" ds:itemID="{1553A7D4-F184-45EF-B0BC-B71B05D5F2E8}"/>
</file>

<file path=customXml/itemProps3.xml><?xml version="1.0" encoding="utf-8"?>
<ds:datastoreItem xmlns:ds="http://schemas.openxmlformats.org/officeDocument/2006/customXml" ds:itemID="{C78D752F-0421-4E77-BDD2-50D565D6CB64}"/>
</file>

<file path=customXml/itemProps4.xml><?xml version="1.0" encoding="utf-8"?>
<ds:datastoreItem xmlns:ds="http://schemas.openxmlformats.org/officeDocument/2006/customXml" ds:itemID="{F9C60FA9-C225-4D59-B295-106720CB18E7}"/>
</file>

<file path=customXml/itemProps5.xml><?xml version="1.0" encoding="utf-8"?>
<ds:datastoreItem xmlns:ds="http://schemas.openxmlformats.org/officeDocument/2006/customXml" ds:itemID="{2F85B43B-7AD0-4BC3-9470-2FAAE74529FB}"/>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Puget Sound Energy's Annual RPS Compliance Report</vt:lpstr>
    </vt:vector>
  </TitlesOfParts>
  <Company>Washington Utilities and Transportation Commission</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Puget Sound Energy's Annual RPS Compliance Report</dc:title>
  <dc:subject/>
  <dc:creator>Scanlan, Kathi (UTC)</dc:creator>
  <cp:keywords/>
  <dc:description/>
  <cp:lastModifiedBy>Wyse, Lisa (UTC)</cp:lastModifiedBy>
  <cp:revision>2</cp:revision>
  <cp:lastPrinted>2016-06-21T16:16:00Z</cp:lastPrinted>
  <dcterms:created xsi:type="dcterms:W3CDTF">2016-08-02T17:25:00Z</dcterms:created>
  <dcterms:modified xsi:type="dcterms:W3CDTF">2016-08-02T17:25:00Z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0x0101006E56B4D1795A2E4DB2F0B01679ED314A003D8F405F23B3CC4ABD399289A3DA5467</vt:lpwstr>
  </property>
  <property fmtid="{D5CDD505-2E9C-101B-9397-08002B2CF9AE}" pid="3" name="_docset_NoMedatataSyncRequired">
    <vt:lpwstr>False</vt:lpwstr>
  </property>
</Properties>
</file>