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val="0"/>
          <w:sz w:val="24"/>
        </w:rPr>
        <w:id w:val="-1130855656"/>
        <w:docPartObj>
          <w:docPartGallery w:val="Table of Contents"/>
          <w:docPartUnique/>
        </w:docPartObj>
      </w:sdtPr>
      <w:sdtEndPr>
        <w:rPr>
          <w:bCs/>
          <w:noProof/>
        </w:rPr>
      </w:sdtEndPr>
      <w:sdtContent>
        <w:p w:rsidR="00302A01" w:rsidRPr="00384017" w:rsidRDefault="00302A01" w:rsidP="00302A01">
          <w:pPr>
            <w:pStyle w:val="Subtitle"/>
            <w:tabs>
              <w:tab w:val="right" w:pos="9180"/>
            </w:tabs>
            <w:spacing w:before="0" w:after="0" w:line="480" w:lineRule="auto"/>
            <w:ind w:right="43"/>
            <w:rPr>
              <w:sz w:val="24"/>
              <w:szCs w:val="24"/>
            </w:rPr>
          </w:pPr>
          <w:r w:rsidRPr="00384017">
            <w:rPr>
              <w:sz w:val="24"/>
              <w:szCs w:val="24"/>
            </w:rPr>
            <w:t>TABLE OF CONTENTS</w:t>
          </w:r>
        </w:p>
        <w:p w:rsidR="00302A01" w:rsidRDefault="00302A01" w:rsidP="00302A01">
          <w:pPr>
            <w:pStyle w:val="TOC1"/>
            <w:tabs>
              <w:tab w:val="right" w:leader="dot" w:pos="9026"/>
            </w:tabs>
            <w:spacing w:before="0" w:after="0" w:line="360" w:lineRule="auto"/>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436145827" w:history="1">
            <w:r w:rsidRPr="00904BD5">
              <w:rPr>
                <w:rStyle w:val="Hyperlink"/>
                <w:noProof/>
              </w:rPr>
              <w:t>QUALIFICATIONS</w:t>
            </w:r>
            <w:r>
              <w:rPr>
                <w:noProof/>
                <w:webHidden/>
              </w:rPr>
              <w:tab/>
            </w:r>
            <w:r>
              <w:rPr>
                <w:noProof/>
                <w:webHidden/>
              </w:rPr>
              <w:fldChar w:fldCharType="begin"/>
            </w:r>
            <w:r>
              <w:rPr>
                <w:noProof/>
                <w:webHidden/>
              </w:rPr>
              <w:instrText xml:space="preserve"> PAGEREF _Toc436145827 \h </w:instrText>
            </w:r>
            <w:r>
              <w:rPr>
                <w:noProof/>
                <w:webHidden/>
              </w:rPr>
            </w:r>
            <w:r>
              <w:rPr>
                <w:noProof/>
                <w:webHidden/>
              </w:rPr>
              <w:fldChar w:fldCharType="separate"/>
            </w:r>
            <w:r w:rsidR="00AC1192">
              <w:rPr>
                <w:noProof/>
                <w:webHidden/>
              </w:rPr>
              <w:t>1</w:t>
            </w:r>
            <w:r>
              <w:rPr>
                <w:noProof/>
                <w:webHidden/>
              </w:rPr>
              <w:fldChar w:fldCharType="end"/>
            </w:r>
          </w:hyperlink>
        </w:p>
        <w:p w:rsidR="00302A01" w:rsidRDefault="00D23739" w:rsidP="00302A01">
          <w:pPr>
            <w:pStyle w:val="TOC1"/>
            <w:tabs>
              <w:tab w:val="right" w:leader="dot" w:pos="9026"/>
            </w:tabs>
            <w:spacing w:before="0" w:after="0" w:line="360" w:lineRule="auto"/>
            <w:rPr>
              <w:rFonts w:asciiTheme="minorHAnsi" w:eastAsiaTheme="minorEastAsia" w:hAnsiTheme="minorHAnsi" w:cstheme="minorBidi"/>
              <w:bCs w:val="0"/>
              <w:caps w:val="0"/>
              <w:noProof/>
              <w:sz w:val="22"/>
              <w:szCs w:val="22"/>
            </w:rPr>
          </w:pPr>
          <w:hyperlink w:anchor="_Toc436145828" w:history="1">
            <w:r w:rsidR="00302A01" w:rsidRPr="00904BD5">
              <w:rPr>
                <w:rStyle w:val="Hyperlink"/>
                <w:noProof/>
              </w:rPr>
              <w:t>Purpose of Testimony</w:t>
            </w:r>
            <w:r w:rsidR="00302A01">
              <w:rPr>
                <w:noProof/>
                <w:webHidden/>
              </w:rPr>
              <w:tab/>
            </w:r>
            <w:r w:rsidR="00302A01">
              <w:rPr>
                <w:noProof/>
                <w:webHidden/>
              </w:rPr>
              <w:fldChar w:fldCharType="begin"/>
            </w:r>
            <w:r w:rsidR="00302A01">
              <w:rPr>
                <w:noProof/>
                <w:webHidden/>
              </w:rPr>
              <w:instrText xml:space="preserve"> PAGEREF _Toc436145828 \h </w:instrText>
            </w:r>
            <w:r w:rsidR="00302A01">
              <w:rPr>
                <w:noProof/>
                <w:webHidden/>
              </w:rPr>
            </w:r>
            <w:r w:rsidR="00302A01">
              <w:rPr>
                <w:noProof/>
                <w:webHidden/>
              </w:rPr>
              <w:fldChar w:fldCharType="separate"/>
            </w:r>
            <w:r w:rsidR="00AC1192">
              <w:rPr>
                <w:noProof/>
                <w:webHidden/>
              </w:rPr>
              <w:t>2</w:t>
            </w:r>
            <w:r w:rsidR="00302A01">
              <w:rPr>
                <w:noProof/>
                <w:webHidden/>
              </w:rPr>
              <w:fldChar w:fldCharType="end"/>
            </w:r>
          </w:hyperlink>
        </w:p>
        <w:p w:rsidR="00302A01" w:rsidRDefault="00D23739" w:rsidP="00302A01">
          <w:pPr>
            <w:pStyle w:val="TOC1"/>
            <w:tabs>
              <w:tab w:val="right" w:leader="dot" w:pos="9026"/>
            </w:tabs>
            <w:spacing w:before="0" w:after="0" w:line="360" w:lineRule="auto"/>
            <w:rPr>
              <w:rFonts w:asciiTheme="minorHAnsi" w:eastAsiaTheme="minorEastAsia" w:hAnsiTheme="minorHAnsi" w:cstheme="minorBidi"/>
              <w:bCs w:val="0"/>
              <w:caps w:val="0"/>
              <w:noProof/>
              <w:sz w:val="22"/>
              <w:szCs w:val="22"/>
            </w:rPr>
          </w:pPr>
          <w:hyperlink w:anchor="_Toc436145829" w:history="1">
            <w:r w:rsidR="00302A01" w:rsidRPr="00904BD5">
              <w:rPr>
                <w:rStyle w:val="Hyperlink"/>
                <w:noProof/>
              </w:rPr>
              <w:t>Updated Return on Equity Analysis</w:t>
            </w:r>
            <w:r w:rsidR="00302A01">
              <w:rPr>
                <w:noProof/>
                <w:webHidden/>
              </w:rPr>
              <w:tab/>
            </w:r>
            <w:r w:rsidR="00302A01">
              <w:rPr>
                <w:noProof/>
                <w:webHidden/>
              </w:rPr>
              <w:fldChar w:fldCharType="begin"/>
            </w:r>
            <w:r w:rsidR="00302A01">
              <w:rPr>
                <w:noProof/>
                <w:webHidden/>
              </w:rPr>
              <w:instrText xml:space="preserve"> PAGEREF _Toc436145829 \h </w:instrText>
            </w:r>
            <w:r w:rsidR="00302A01">
              <w:rPr>
                <w:noProof/>
                <w:webHidden/>
              </w:rPr>
            </w:r>
            <w:r w:rsidR="00302A01">
              <w:rPr>
                <w:noProof/>
                <w:webHidden/>
              </w:rPr>
              <w:fldChar w:fldCharType="separate"/>
            </w:r>
            <w:r w:rsidR="00AC1192">
              <w:rPr>
                <w:noProof/>
                <w:webHidden/>
              </w:rPr>
              <w:t>8</w:t>
            </w:r>
            <w:r w:rsidR="00302A01">
              <w:rPr>
                <w:noProof/>
                <w:webHidden/>
              </w:rPr>
              <w:fldChar w:fldCharType="end"/>
            </w:r>
          </w:hyperlink>
        </w:p>
        <w:p w:rsidR="00302A01" w:rsidRDefault="00D23739" w:rsidP="00302A01">
          <w:pPr>
            <w:pStyle w:val="TOC1"/>
            <w:tabs>
              <w:tab w:val="right" w:leader="dot" w:pos="9026"/>
            </w:tabs>
            <w:spacing w:before="0" w:after="0" w:line="360" w:lineRule="auto"/>
            <w:rPr>
              <w:rFonts w:asciiTheme="minorHAnsi" w:eastAsiaTheme="minorEastAsia" w:hAnsiTheme="minorHAnsi" w:cstheme="minorBidi"/>
              <w:bCs w:val="0"/>
              <w:caps w:val="0"/>
              <w:noProof/>
              <w:sz w:val="22"/>
              <w:szCs w:val="22"/>
            </w:rPr>
          </w:pPr>
          <w:hyperlink w:anchor="_Toc436145830" w:history="1">
            <w:r w:rsidR="00302A01" w:rsidRPr="00904BD5">
              <w:rPr>
                <w:rStyle w:val="Hyperlink"/>
                <w:noProof/>
              </w:rPr>
              <w:t>Central Bank Intervention and Heightened Volatility</w:t>
            </w:r>
            <w:r w:rsidR="00302A01">
              <w:rPr>
                <w:noProof/>
                <w:webHidden/>
              </w:rPr>
              <w:tab/>
            </w:r>
            <w:r w:rsidR="00302A01">
              <w:rPr>
                <w:noProof/>
                <w:webHidden/>
              </w:rPr>
              <w:fldChar w:fldCharType="begin"/>
            </w:r>
            <w:r w:rsidR="00302A01">
              <w:rPr>
                <w:noProof/>
                <w:webHidden/>
              </w:rPr>
              <w:instrText xml:space="preserve"> PAGEREF _Toc436145830 \h </w:instrText>
            </w:r>
            <w:r w:rsidR="00302A01">
              <w:rPr>
                <w:noProof/>
                <w:webHidden/>
              </w:rPr>
            </w:r>
            <w:r w:rsidR="00302A01">
              <w:rPr>
                <w:noProof/>
                <w:webHidden/>
              </w:rPr>
              <w:fldChar w:fldCharType="separate"/>
            </w:r>
            <w:r w:rsidR="00AC1192">
              <w:rPr>
                <w:noProof/>
                <w:webHidden/>
              </w:rPr>
              <w:t>11</w:t>
            </w:r>
            <w:r w:rsidR="00302A01">
              <w:rPr>
                <w:noProof/>
                <w:webHidden/>
              </w:rPr>
              <w:fldChar w:fldCharType="end"/>
            </w:r>
          </w:hyperlink>
        </w:p>
        <w:p w:rsidR="00302A01" w:rsidRDefault="00D23739" w:rsidP="00302A01">
          <w:pPr>
            <w:pStyle w:val="TOC1"/>
            <w:tabs>
              <w:tab w:val="right" w:leader="dot" w:pos="9026"/>
            </w:tabs>
            <w:spacing w:before="0" w:after="0" w:line="360" w:lineRule="auto"/>
            <w:rPr>
              <w:rFonts w:asciiTheme="minorHAnsi" w:eastAsiaTheme="minorEastAsia" w:hAnsiTheme="minorHAnsi" w:cstheme="minorBidi"/>
              <w:bCs w:val="0"/>
              <w:caps w:val="0"/>
              <w:noProof/>
              <w:sz w:val="22"/>
              <w:szCs w:val="22"/>
            </w:rPr>
          </w:pPr>
          <w:hyperlink w:anchor="_Toc436145831" w:history="1">
            <w:r w:rsidR="00302A01" w:rsidRPr="00904BD5">
              <w:rPr>
                <w:rStyle w:val="Hyperlink"/>
                <w:noProof/>
              </w:rPr>
              <w:t>EXPEDITED RATE FILING, DECOUPLING MECHANIsM,  AND TWO-YEAR RATE PLAN</w:t>
            </w:r>
            <w:r w:rsidR="00302A01">
              <w:rPr>
                <w:noProof/>
                <w:webHidden/>
              </w:rPr>
              <w:tab/>
            </w:r>
            <w:r w:rsidR="00302A01">
              <w:rPr>
                <w:noProof/>
                <w:webHidden/>
              </w:rPr>
              <w:fldChar w:fldCharType="begin"/>
            </w:r>
            <w:r w:rsidR="00302A01">
              <w:rPr>
                <w:noProof/>
                <w:webHidden/>
              </w:rPr>
              <w:instrText xml:space="preserve"> PAGEREF _Toc436145831 \h </w:instrText>
            </w:r>
            <w:r w:rsidR="00302A01">
              <w:rPr>
                <w:noProof/>
                <w:webHidden/>
              </w:rPr>
            </w:r>
            <w:r w:rsidR="00302A01">
              <w:rPr>
                <w:noProof/>
                <w:webHidden/>
              </w:rPr>
              <w:fldChar w:fldCharType="separate"/>
            </w:r>
            <w:r w:rsidR="00AC1192">
              <w:rPr>
                <w:noProof/>
                <w:webHidden/>
              </w:rPr>
              <w:t>14</w:t>
            </w:r>
            <w:r w:rsidR="00302A01">
              <w:rPr>
                <w:noProof/>
                <w:webHidden/>
              </w:rPr>
              <w:fldChar w:fldCharType="end"/>
            </w:r>
          </w:hyperlink>
        </w:p>
        <w:p w:rsidR="00302A01" w:rsidRDefault="00D23739" w:rsidP="00302A01">
          <w:pPr>
            <w:pStyle w:val="TOC1"/>
            <w:tabs>
              <w:tab w:val="right" w:leader="dot" w:pos="9026"/>
            </w:tabs>
            <w:spacing w:before="0" w:after="0" w:line="360" w:lineRule="auto"/>
            <w:rPr>
              <w:rFonts w:asciiTheme="minorHAnsi" w:eastAsiaTheme="minorEastAsia" w:hAnsiTheme="minorHAnsi" w:cstheme="minorBidi"/>
              <w:bCs w:val="0"/>
              <w:caps w:val="0"/>
              <w:noProof/>
              <w:sz w:val="22"/>
              <w:szCs w:val="22"/>
            </w:rPr>
          </w:pPr>
          <w:hyperlink w:anchor="_Toc436145832" w:history="1">
            <w:r w:rsidR="00302A01" w:rsidRPr="00904BD5">
              <w:rPr>
                <w:rStyle w:val="Hyperlink"/>
                <w:noProof/>
              </w:rPr>
              <w:t>Authorized Return Benchmarks</w:t>
            </w:r>
            <w:r w:rsidR="00302A01">
              <w:rPr>
                <w:noProof/>
                <w:webHidden/>
              </w:rPr>
              <w:tab/>
            </w:r>
            <w:r w:rsidR="00302A01">
              <w:rPr>
                <w:noProof/>
                <w:webHidden/>
              </w:rPr>
              <w:fldChar w:fldCharType="begin"/>
            </w:r>
            <w:r w:rsidR="00302A01">
              <w:rPr>
                <w:noProof/>
                <w:webHidden/>
              </w:rPr>
              <w:instrText xml:space="preserve"> PAGEREF _Toc436145832 \h </w:instrText>
            </w:r>
            <w:r w:rsidR="00302A01">
              <w:rPr>
                <w:noProof/>
                <w:webHidden/>
              </w:rPr>
            </w:r>
            <w:r w:rsidR="00302A01">
              <w:rPr>
                <w:noProof/>
                <w:webHidden/>
              </w:rPr>
              <w:fldChar w:fldCharType="separate"/>
            </w:r>
            <w:r w:rsidR="00AC1192">
              <w:rPr>
                <w:noProof/>
                <w:webHidden/>
              </w:rPr>
              <w:t>19</w:t>
            </w:r>
            <w:r w:rsidR="00302A01">
              <w:rPr>
                <w:noProof/>
                <w:webHidden/>
              </w:rPr>
              <w:fldChar w:fldCharType="end"/>
            </w:r>
          </w:hyperlink>
        </w:p>
        <w:p w:rsidR="00302A01" w:rsidRDefault="00D23739" w:rsidP="00302A01">
          <w:pPr>
            <w:pStyle w:val="TOC1"/>
            <w:tabs>
              <w:tab w:val="right" w:leader="dot" w:pos="9026"/>
            </w:tabs>
            <w:spacing w:before="0" w:after="0" w:line="360" w:lineRule="auto"/>
            <w:rPr>
              <w:rFonts w:asciiTheme="minorHAnsi" w:eastAsiaTheme="minorEastAsia" w:hAnsiTheme="minorHAnsi" w:cstheme="minorBidi"/>
              <w:bCs w:val="0"/>
              <w:caps w:val="0"/>
              <w:noProof/>
              <w:sz w:val="22"/>
              <w:szCs w:val="22"/>
            </w:rPr>
          </w:pPr>
          <w:hyperlink w:anchor="_Toc436145833" w:history="1">
            <w:r w:rsidR="00302A01" w:rsidRPr="00904BD5">
              <w:rPr>
                <w:rStyle w:val="Hyperlink"/>
                <w:noProof/>
              </w:rPr>
              <w:t>CONCLUSION AND SUMMARY</w:t>
            </w:r>
            <w:r w:rsidR="00302A01">
              <w:rPr>
                <w:noProof/>
                <w:webHidden/>
              </w:rPr>
              <w:tab/>
            </w:r>
            <w:r w:rsidR="00302A01">
              <w:rPr>
                <w:noProof/>
                <w:webHidden/>
              </w:rPr>
              <w:fldChar w:fldCharType="begin"/>
            </w:r>
            <w:r w:rsidR="00302A01">
              <w:rPr>
                <w:noProof/>
                <w:webHidden/>
              </w:rPr>
              <w:instrText xml:space="preserve"> PAGEREF _Toc436145833 \h </w:instrText>
            </w:r>
            <w:r w:rsidR="00302A01">
              <w:rPr>
                <w:noProof/>
                <w:webHidden/>
              </w:rPr>
            </w:r>
            <w:r w:rsidR="00302A01">
              <w:rPr>
                <w:noProof/>
                <w:webHidden/>
              </w:rPr>
              <w:fldChar w:fldCharType="separate"/>
            </w:r>
            <w:r w:rsidR="00AC1192">
              <w:rPr>
                <w:noProof/>
                <w:webHidden/>
              </w:rPr>
              <w:t>20</w:t>
            </w:r>
            <w:r w:rsidR="00302A01">
              <w:rPr>
                <w:noProof/>
                <w:webHidden/>
              </w:rPr>
              <w:fldChar w:fldCharType="end"/>
            </w:r>
          </w:hyperlink>
        </w:p>
        <w:p w:rsidR="00302A01" w:rsidRDefault="00302A01">
          <w:r>
            <w:rPr>
              <w:b/>
              <w:bCs/>
              <w:noProof/>
            </w:rPr>
            <w:fldChar w:fldCharType="end"/>
          </w:r>
        </w:p>
      </w:sdtContent>
    </w:sdt>
    <w:p w:rsidR="00302A01" w:rsidRDefault="00302A01" w:rsidP="00D16AA5">
      <w:pPr>
        <w:spacing w:line="480" w:lineRule="auto"/>
        <w:jc w:val="center"/>
        <w:rPr>
          <w:b/>
        </w:rPr>
      </w:pPr>
    </w:p>
    <w:p w:rsidR="008E22C3" w:rsidRPr="008E22C3" w:rsidRDefault="008E22C3" w:rsidP="00D16AA5">
      <w:pPr>
        <w:spacing w:line="480" w:lineRule="auto"/>
        <w:jc w:val="center"/>
        <w:rPr>
          <w:b/>
        </w:rPr>
      </w:pPr>
      <w:r w:rsidRPr="008E22C3">
        <w:rPr>
          <w:b/>
        </w:rPr>
        <w:t>ATTACHED EXHIBIT</w:t>
      </w:r>
      <w:r w:rsidR="0084336F">
        <w:rPr>
          <w:b/>
        </w:rPr>
        <w:t>S</w:t>
      </w:r>
    </w:p>
    <w:p w:rsidR="0060799A" w:rsidRDefault="0060799A" w:rsidP="00083BC1">
      <w:pPr>
        <w:tabs>
          <w:tab w:val="left" w:pos="2610"/>
        </w:tabs>
        <w:spacing w:line="480" w:lineRule="auto"/>
        <w:jc w:val="left"/>
      </w:pPr>
      <w:r w:rsidRPr="00A715C9">
        <w:t>Exhibit No.</w:t>
      </w:r>
      <w:r w:rsidR="004539C3">
        <w:t xml:space="preserve"> </w:t>
      </w:r>
      <w:r>
        <w:t>KGS</w:t>
      </w:r>
      <w:r w:rsidRPr="00A715C9">
        <w:t>-</w:t>
      </w:r>
      <w:r>
        <w:t>2—Experience</w:t>
      </w:r>
    </w:p>
    <w:p w:rsidR="00186F71" w:rsidRPr="008E22C3" w:rsidRDefault="00186F71" w:rsidP="00083BC1">
      <w:pPr>
        <w:tabs>
          <w:tab w:val="left" w:pos="2610"/>
        </w:tabs>
        <w:spacing w:line="480" w:lineRule="auto"/>
        <w:jc w:val="left"/>
        <w:rPr>
          <w:bCs/>
          <w:caps/>
          <w:szCs w:val="24"/>
        </w:rPr>
      </w:pPr>
      <w:r w:rsidRPr="00A715C9">
        <w:t>Exhibit No.</w:t>
      </w:r>
      <w:r w:rsidR="004539C3">
        <w:t xml:space="preserve"> </w:t>
      </w:r>
      <w:r>
        <w:t>KGS</w:t>
      </w:r>
      <w:r w:rsidRPr="00A715C9">
        <w:t>-</w:t>
      </w:r>
      <w:r>
        <w:t>3—Comparison of 9.5 Percent ROE to Allowed Returns</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rsidR="00186F71">
        <w:t>4</w:t>
      </w:r>
      <w:r>
        <w:t>—ROE Recommendation of 10.0 Percent</w:t>
      </w:r>
    </w:p>
    <w:p w:rsidR="001725D5" w:rsidRPr="008E22C3" w:rsidRDefault="001725D5" w:rsidP="00083BC1">
      <w:pPr>
        <w:tabs>
          <w:tab w:val="left" w:pos="2610"/>
        </w:tabs>
        <w:spacing w:line="480" w:lineRule="auto"/>
        <w:jc w:val="left"/>
        <w:rPr>
          <w:bCs/>
          <w:caps/>
          <w:szCs w:val="24"/>
        </w:rPr>
      </w:pPr>
      <w:r w:rsidRPr="00A715C9">
        <w:t>Exhibit No.</w:t>
      </w:r>
      <w:r w:rsidR="004539C3">
        <w:t xml:space="preserve"> </w:t>
      </w:r>
      <w:r>
        <w:t>KGS</w:t>
      </w:r>
      <w:r w:rsidRPr="00A715C9">
        <w:t>-</w:t>
      </w:r>
      <w:r>
        <w:t>5—Interest Rate Forecasts</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rsidR="001725D5">
        <w:t>6</w:t>
      </w:r>
      <w:r>
        <w:t xml:space="preserve">—Dividend Yields 1993 – Present </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rsidR="001725D5">
        <w:t>7</w:t>
      </w:r>
      <w:r>
        <w:t>—</w:t>
      </w:r>
      <w:r w:rsidR="00A6515E">
        <w:t>30 Year Treasury Yields 1993 – Present</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rsidR="001725D5">
        <w:t>8</w:t>
      </w:r>
      <w:r>
        <w:t>—</w:t>
      </w:r>
      <w:r w:rsidR="00A6515E">
        <w:t>Recent Trading Range for the VIX</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rsidR="001725D5">
        <w:t>9</w:t>
      </w:r>
      <w:r>
        <w:t xml:space="preserve">—Electric Proxy Group of </w:t>
      </w:r>
      <w:r w:rsidR="001725D5">
        <w:t xml:space="preserve">Twenty-Three </w:t>
      </w:r>
      <w:r>
        <w:t xml:space="preserve">Companies </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rsidR="001725D5">
        <w:t>10</w:t>
      </w:r>
      <w:r>
        <w:t xml:space="preserve">—Sustainable Growth Inputs </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rsidR="00186F71">
        <w:t>1</w:t>
      </w:r>
      <w:r w:rsidR="001725D5">
        <w:t>1</w:t>
      </w:r>
      <w:r>
        <w:t>—DCF Analysis</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t>1</w:t>
      </w:r>
      <w:r w:rsidR="001725D5">
        <w:t>2</w:t>
      </w:r>
      <w:r>
        <w:t>—Yield-Plus-Growth-Model</w:t>
      </w:r>
    </w:p>
    <w:p w:rsidR="0060799A" w:rsidRDefault="0060799A" w:rsidP="00083BC1">
      <w:pPr>
        <w:tabs>
          <w:tab w:val="left" w:pos="2610"/>
        </w:tabs>
        <w:spacing w:line="480" w:lineRule="auto"/>
        <w:jc w:val="left"/>
      </w:pPr>
      <w:r w:rsidRPr="00A715C9">
        <w:t>Exhibit No.</w:t>
      </w:r>
      <w:r w:rsidR="004539C3">
        <w:t xml:space="preserve"> </w:t>
      </w:r>
      <w:r>
        <w:t>KGS</w:t>
      </w:r>
      <w:r w:rsidRPr="00A715C9">
        <w:t>-</w:t>
      </w:r>
      <w:r>
        <w:t>1</w:t>
      </w:r>
      <w:r w:rsidR="001725D5">
        <w:t>3</w:t>
      </w:r>
      <w:r>
        <w:t>—S&amp;P 500 Forward Looking Market Risk of Premium</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t>1</w:t>
      </w:r>
      <w:r w:rsidR="001725D5">
        <w:t>4</w:t>
      </w:r>
      <w:r>
        <w:t>—CAPM Results</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t>1</w:t>
      </w:r>
      <w:r w:rsidR="001725D5">
        <w:t>5</w:t>
      </w:r>
      <w:r>
        <w:t>—Risk Premium Model</w:t>
      </w:r>
    </w:p>
    <w:p w:rsidR="0060799A" w:rsidRPr="008E22C3" w:rsidRDefault="0060799A" w:rsidP="00083BC1">
      <w:pPr>
        <w:tabs>
          <w:tab w:val="left" w:pos="2610"/>
        </w:tabs>
        <w:spacing w:line="480" w:lineRule="auto"/>
        <w:jc w:val="left"/>
        <w:rPr>
          <w:bCs/>
          <w:caps/>
          <w:szCs w:val="24"/>
        </w:rPr>
      </w:pPr>
      <w:r w:rsidRPr="00A715C9">
        <w:lastRenderedPageBreak/>
        <w:t>Exhibit No.</w:t>
      </w:r>
      <w:r w:rsidR="004539C3">
        <w:t xml:space="preserve"> </w:t>
      </w:r>
      <w:r>
        <w:t>KGS</w:t>
      </w:r>
      <w:r w:rsidRPr="00A715C9">
        <w:t>-</w:t>
      </w:r>
      <w:r>
        <w:t>1</w:t>
      </w:r>
      <w:r w:rsidR="001725D5">
        <w:t>6</w:t>
      </w:r>
      <w:r>
        <w:t>—Comparable Earnings Model</w:t>
      </w:r>
    </w:p>
    <w:p w:rsidR="0060799A" w:rsidRPr="008E22C3" w:rsidRDefault="0060799A" w:rsidP="00083BC1">
      <w:pPr>
        <w:tabs>
          <w:tab w:val="left" w:pos="2610"/>
        </w:tabs>
        <w:spacing w:line="480" w:lineRule="auto"/>
        <w:jc w:val="left"/>
        <w:rPr>
          <w:bCs/>
          <w:caps/>
          <w:szCs w:val="24"/>
        </w:rPr>
      </w:pPr>
      <w:r w:rsidRPr="00A715C9">
        <w:t>Exhibit No.</w:t>
      </w:r>
      <w:r w:rsidR="004539C3">
        <w:t xml:space="preserve"> </w:t>
      </w:r>
      <w:r>
        <w:t>KGS</w:t>
      </w:r>
      <w:r w:rsidRPr="00A715C9">
        <w:t>-</w:t>
      </w:r>
      <w:r>
        <w:t>1</w:t>
      </w:r>
      <w:r w:rsidR="001725D5">
        <w:t>7</w:t>
      </w:r>
      <w:r>
        <w:t xml:space="preserve">—Comparable State Regulatory Returns </w:t>
      </w:r>
    </w:p>
    <w:p w:rsidR="00847844" w:rsidRPr="008E22C3" w:rsidRDefault="00847844" w:rsidP="00083BC1">
      <w:pPr>
        <w:tabs>
          <w:tab w:val="left" w:pos="2610"/>
        </w:tabs>
        <w:spacing w:line="480" w:lineRule="auto"/>
        <w:jc w:val="left"/>
        <w:rPr>
          <w:bCs/>
          <w:caps/>
          <w:szCs w:val="24"/>
        </w:rPr>
      </w:pPr>
      <w:r w:rsidRPr="00A715C9">
        <w:t>Exhibit No.</w:t>
      </w:r>
      <w:r w:rsidR="004539C3">
        <w:t xml:space="preserve"> </w:t>
      </w:r>
      <w:r>
        <w:t>KGS</w:t>
      </w:r>
      <w:r w:rsidRPr="00A715C9">
        <w:t>-</w:t>
      </w:r>
      <w:r>
        <w:t>1</w:t>
      </w:r>
      <w:r w:rsidR="001725D5">
        <w:t>8</w:t>
      </w:r>
      <w:r>
        <w:t>—Summary of Adjustment Mechanisms for Proxy Group Utilities</w:t>
      </w:r>
    </w:p>
    <w:p w:rsidR="008E22C3" w:rsidRPr="008E22C3" w:rsidRDefault="008E22C3" w:rsidP="00083BC1">
      <w:pPr>
        <w:tabs>
          <w:tab w:val="left" w:pos="2610"/>
        </w:tabs>
        <w:spacing w:line="480" w:lineRule="auto"/>
        <w:jc w:val="left"/>
        <w:rPr>
          <w:bCs/>
          <w:caps/>
          <w:szCs w:val="24"/>
        </w:rPr>
      </w:pPr>
    </w:p>
    <w:p w:rsidR="00EB35AC" w:rsidRPr="00384017" w:rsidRDefault="00EB35AC" w:rsidP="00083BC1">
      <w:pPr>
        <w:pStyle w:val="Subtitle"/>
        <w:spacing w:before="0" w:after="0" w:line="480" w:lineRule="auto"/>
        <w:ind w:left="-90" w:right="864"/>
        <w:jc w:val="left"/>
        <w:rPr>
          <w:bCs/>
          <w:caps/>
          <w:sz w:val="24"/>
          <w:szCs w:val="24"/>
        </w:rPr>
      </w:pPr>
    </w:p>
    <w:p w:rsidR="00EB35AC" w:rsidRPr="00384017" w:rsidRDefault="00EB35AC" w:rsidP="00A95284">
      <w:pPr>
        <w:pStyle w:val="Subtitle"/>
        <w:spacing w:before="0" w:after="0"/>
        <w:jc w:val="left"/>
        <w:rPr>
          <w:bCs/>
          <w:caps/>
          <w:sz w:val="24"/>
          <w:szCs w:val="24"/>
        </w:rPr>
        <w:sectPr w:rsidR="00EB35AC" w:rsidRPr="00384017" w:rsidSect="00CE4724">
          <w:headerReference w:type="even" r:id="rId8"/>
          <w:headerReference w:type="default" r:id="rId9"/>
          <w:footerReference w:type="even" r:id="rId10"/>
          <w:footerReference w:type="default" r:id="rId11"/>
          <w:headerReference w:type="first" r:id="rId12"/>
          <w:footerReference w:type="first" r:id="rId13"/>
          <w:pgSz w:w="12240" w:h="15840" w:code="1"/>
          <w:pgMar w:top="1440" w:right="1260" w:bottom="1440" w:left="1800" w:header="720" w:footer="720" w:gutter="144"/>
          <w:pgNumType w:fmt="lowerRoman" w:start="1"/>
          <w:cols w:space="720"/>
          <w:docGrid w:linePitch="326"/>
        </w:sectPr>
      </w:pPr>
    </w:p>
    <w:p w:rsidR="00EB35AC" w:rsidRPr="00384017" w:rsidRDefault="007F5EDF" w:rsidP="00D16AA5">
      <w:pPr>
        <w:pStyle w:val="QAQuestion"/>
        <w:tabs>
          <w:tab w:val="num" w:pos="720"/>
        </w:tabs>
        <w:spacing w:after="0" w:line="480" w:lineRule="auto"/>
        <w:ind w:left="720" w:hanging="720"/>
        <w:jc w:val="left"/>
        <w:rPr>
          <w:b/>
          <w:szCs w:val="24"/>
        </w:rPr>
      </w:pPr>
      <w:r w:rsidRPr="00482134">
        <w:rPr>
          <w:b/>
          <w:szCs w:val="24"/>
        </w:rPr>
        <w:lastRenderedPageBreak/>
        <w:t>Q.</w:t>
      </w:r>
      <w:r w:rsidRPr="00384017">
        <w:rPr>
          <w:b/>
          <w:szCs w:val="24"/>
        </w:rPr>
        <w:tab/>
        <w:t>Please state your name, business address</w:t>
      </w:r>
      <w:r w:rsidR="00384017">
        <w:rPr>
          <w:b/>
          <w:szCs w:val="24"/>
        </w:rPr>
        <w:t>,</w:t>
      </w:r>
      <w:r w:rsidRPr="00384017">
        <w:rPr>
          <w:b/>
          <w:szCs w:val="24"/>
        </w:rPr>
        <w:t xml:space="preserve"> and </w:t>
      </w:r>
      <w:r w:rsidR="009D3399">
        <w:rPr>
          <w:b/>
          <w:szCs w:val="24"/>
        </w:rPr>
        <w:t>present position.</w:t>
      </w:r>
    </w:p>
    <w:p w:rsidR="00EB35AC" w:rsidRPr="00384017" w:rsidRDefault="007F5EDF" w:rsidP="00D16AA5">
      <w:pPr>
        <w:pStyle w:val="QAAnswer"/>
        <w:tabs>
          <w:tab w:val="num" w:pos="720"/>
        </w:tabs>
        <w:spacing w:after="0" w:line="480" w:lineRule="auto"/>
        <w:ind w:left="720" w:hanging="720"/>
        <w:jc w:val="left"/>
        <w:rPr>
          <w:szCs w:val="24"/>
        </w:rPr>
      </w:pPr>
      <w:r w:rsidRPr="00384017">
        <w:rPr>
          <w:szCs w:val="24"/>
        </w:rPr>
        <w:t>A.</w:t>
      </w:r>
      <w:r w:rsidRPr="00384017">
        <w:rPr>
          <w:szCs w:val="24"/>
        </w:rPr>
        <w:tab/>
        <w:t>My name is Kurt G. Strunk.  I am Vice President at National Economic Research Associates, Inc. (NERA).  NERA is a firm of consulting economists with its principal offices in a number of major U.S. and European cities.  My business address is 1166 Avenue of t</w:t>
      </w:r>
      <w:r w:rsidR="00482134">
        <w:rPr>
          <w:szCs w:val="24"/>
        </w:rPr>
        <w:t>he Americas, New York, New York</w:t>
      </w:r>
      <w:r w:rsidRPr="00384017">
        <w:rPr>
          <w:szCs w:val="24"/>
        </w:rPr>
        <w:t xml:space="preserve"> 10036.</w:t>
      </w:r>
    </w:p>
    <w:p w:rsidR="00EB35AC" w:rsidRPr="00CE4724" w:rsidRDefault="007F5EDF" w:rsidP="00CE4724">
      <w:pPr>
        <w:pStyle w:val="Heading1"/>
      </w:pPr>
      <w:bookmarkStart w:id="1" w:name="_Toc386637262"/>
      <w:bookmarkStart w:id="2" w:name="_Toc436143593"/>
      <w:bookmarkStart w:id="3" w:name="_Toc436145827"/>
      <w:r w:rsidRPr="00CE4724">
        <w:t>QUALIFICATIONS</w:t>
      </w:r>
      <w:bookmarkEnd w:id="1"/>
      <w:bookmarkEnd w:id="2"/>
      <w:bookmarkEnd w:id="3"/>
    </w:p>
    <w:p w:rsidR="00EB35AC" w:rsidRPr="00384017" w:rsidRDefault="007F5EDF"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describe your </w:t>
      </w:r>
      <w:r w:rsidR="00CE23DD">
        <w:rPr>
          <w:b/>
          <w:szCs w:val="24"/>
        </w:rPr>
        <w:t>e</w:t>
      </w:r>
      <w:r w:rsidR="0084336F">
        <w:rPr>
          <w:b/>
          <w:szCs w:val="24"/>
        </w:rPr>
        <w:t>ducation</w:t>
      </w:r>
      <w:r w:rsidRPr="00384017">
        <w:rPr>
          <w:b/>
          <w:szCs w:val="24"/>
        </w:rPr>
        <w:t>.</w:t>
      </w:r>
    </w:p>
    <w:p w:rsidR="00EB35AC" w:rsidRPr="00384017" w:rsidRDefault="007F5EDF" w:rsidP="00D16AA5">
      <w:pPr>
        <w:pStyle w:val="BodyText"/>
        <w:tabs>
          <w:tab w:val="num" w:pos="720"/>
        </w:tabs>
        <w:spacing w:after="0" w:line="480" w:lineRule="auto"/>
        <w:ind w:left="720" w:hanging="720"/>
        <w:jc w:val="left"/>
        <w:rPr>
          <w:szCs w:val="24"/>
        </w:rPr>
      </w:pPr>
      <w:r w:rsidRPr="00384017">
        <w:rPr>
          <w:szCs w:val="24"/>
        </w:rPr>
        <w:t>A.</w:t>
      </w:r>
      <w:r w:rsidRPr="00384017">
        <w:rPr>
          <w:szCs w:val="24"/>
        </w:rPr>
        <w:tab/>
        <w:t xml:space="preserve">I hold an M.B.A. in </w:t>
      </w:r>
      <w:r w:rsidR="00384017">
        <w:rPr>
          <w:szCs w:val="24"/>
        </w:rPr>
        <w:t>F</w:t>
      </w:r>
      <w:r w:rsidRPr="00384017">
        <w:rPr>
          <w:szCs w:val="24"/>
        </w:rPr>
        <w:t xml:space="preserve">inance with Distinction from INSEAD (The European Institute of Business Administration) and an honors degree in Economics from Vassar College.  </w:t>
      </w:r>
    </w:p>
    <w:p w:rsidR="00EB35AC" w:rsidRPr="00384017" w:rsidRDefault="007F5EDF"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describe your </w:t>
      </w:r>
      <w:r w:rsidR="00482134">
        <w:rPr>
          <w:b/>
          <w:szCs w:val="24"/>
        </w:rPr>
        <w:t>professional experience</w:t>
      </w:r>
      <w:r w:rsidRPr="00384017">
        <w:rPr>
          <w:b/>
          <w:szCs w:val="24"/>
        </w:rPr>
        <w:t>.</w:t>
      </w:r>
    </w:p>
    <w:p w:rsidR="00EB35AC" w:rsidRPr="00384017" w:rsidRDefault="007F5EDF" w:rsidP="00D16AA5">
      <w:pPr>
        <w:pStyle w:val="BodyText"/>
        <w:tabs>
          <w:tab w:val="num" w:pos="720"/>
        </w:tabs>
        <w:spacing w:after="0" w:line="480" w:lineRule="auto"/>
        <w:ind w:left="720" w:hanging="720"/>
        <w:jc w:val="left"/>
        <w:rPr>
          <w:kern w:val="22"/>
          <w:szCs w:val="24"/>
        </w:rPr>
      </w:pPr>
      <w:r w:rsidRPr="00384017">
        <w:rPr>
          <w:szCs w:val="24"/>
        </w:rPr>
        <w:t>A.</w:t>
      </w:r>
      <w:r w:rsidRPr="00384017">
        <w:rPr>
          <w:szCs w:val="24"/>
        </w:rPr>
        <w:tab/>
        <w:t>Since the mid-1990s</w:t>
      </w:r>
      <w:r w:rsidRPr="00384017">
        <w:rPr>
          <w:kern w:val="22"/>
          <w:szCs w:val="24"/>
        </w:rPr>
        <w:t>, my work at NERA has focused on strategic and corporate financial issues facing public utilities in the natural gas, oil and electric power sectors.  I have served as a testifying expert on public utility rate matters before federal, state and provincial regulatory commissions in the U.S. and Canada, and in U.S. court proceedings.  I have also served as a consulting expert in dozens of administrative law proceedings before North American and European energy regulators.  I have served as a</w:t>
      </w:r>
      <w:r w:rsidR="00C80151" w:rsidRPr="00384017">
        <w:rPr>
          <w:kern w:val="22"/>
          <w:szCs w:val="24"/>
        </w:rPr>
        <w:t>n</w:t>
      </w:r>
      <w:r w:rsidRPr="00384017">
        <w:rPr>
          <w:kern w:val="22"/>
          <w:szCs w:val="24"/>
        </w:rPr>
        <w:t xml:space="preserve"> </w:t>
      </w:r>
      <w:r w:rsidR="0072099A">
        <w:rPr>
          <w:kern w:val="22"/>
          <w:szCs w:val="24"/>
        </w:rPr>
        <w:t>expert</w:t>
      </w:r>
      <w:r w:rsidR="0072099A" w:rsidRPr="00384017">
        <w:rPr>
          <w:kern w:val="22"/>
          <w:szCs w:val="24"/>
        </w:rPr>
        <w:t xml:space="preserve"> </w:t>
      </w:r>
      <w:r w:rsidRPr="00384017">
        <w:rPr>
          <w:kern w:val="22"/>
          <w:szCs w:val="24"/>
        </w:rPr>
        <w:t>in over 50 rate cases.</w:t>
      </w:r>
    </w:p>
    <w:p w:rsidR="00EB35AC" w:rsidRPr="00384017" w:rsidRDefault="007F5EDF" w:rsidP="00D16AA5">
      <w:pPr>
        <w:pStyle w:val="BodyText"/>
        <w:tabs>
          <w:tab w:val="num" w:pos="720"/>
        </w:tabs>
        <w:spacing w:after="0" w:line="480" w:lineRule="auto"/>
        <w:ind w:left="720" w:hanging="720"/>
        <w:jc w:val="left"/>
        <w:rPr>
          <w:kern w:val="22"/>
          <w:szCs w:val="24"/>
        </w:rPr>
      </w:pPr>
      <w:r w:rsidRPr="00384017">
        <w:rPr>
          <w:kern w:val="22"/>
          <w:szCs w:val="24"/>
        </w:rPr>
        <w:tab/>
      </w:r>
      <w:r w:rsidRPr="00384017">
        <w:rPr>
          <w:kern w:val="22"/>
          <w:szCs w:val="24"/>
        </w:rPr>
        <w:tab/>
        <w:t xml:space="preserve">My assignments frequently require that I determine the appropriate return on equity capital for energy </w:t>
      </w:r>
      <w:r w:rsidR="00464B2A" w:rsidRPr="00384017">
        <w:rPr>
          <w:kern w:val="22"/>
          <w:szCs w:val="24"/>
        </w:rPr>
        <w:t>companies</w:t>
      </w:r>
      <w:r w:rsidRPr="00384017">
        <w:rPr>
          <w:kern w:val="22"/>
          <w:szCs w:val="24"/>
        </w:rPr>
        <w:t>.  I have calculated and supported required rates of return in traditional rate cases for regulated entities</w:t>
      </w:r>
      <w:r w:rsidR="00464B2A" w:rsidRPr="00384017">
        <w:rPr>
          <w:kern w:val="22"/>
          <w:szCs w:val="24"/>
        </w:rPr>
        <w:t xml:space="preserve"> and in litigation and advisory work</w:t>
      </w:r>
      <w:r w:rsidRPr="00384017">
        <w:rPr>
          <w:kern w:val="22"/>
          <w:szCs w:val="24"/>
        </w:rPr>
        <w:t xml:space="preserve">.  I also speak on the topic at industry conferences.  </w:t>
      </w:r>
    </w:p>
    <w:p w:rsidR="00EB35AC" w:rsidRPr="00384017" w:rsidRDefault="007F5EDF" w:rsidP="00D16AA5">
      <w:pPr>
        <w:pStyle w:val="BodyText"/>
        <w:tabs>
          <w:tab w:val="num" w:pos="720"/>
        </w:tabs>
        <w:spacing w:after="0" w:line="480" w:lineRule="auto"/>
        <w:ind w:left="720" w:hanging="720"/>
        <w:jc w:val="left"/>
        <w:rPr>
          <w:szCs w:val="24"/>
        </w:rPr>
      </w:pPr>
      <w:r w:rsidRPr="00384017">
        <w:rPr>
          <w:szCs w:val="24"/>
        </w:rPr>
        <w:lastRenderedPageBreak/>
        <w:tab/>
      </w:r>
      <w:r w:rsidRPr="00384017">
        <w:rPr>
          <w:szCs w:val="24"/>
        </w:rPr>
        <w:tab/>
        <w:t>My current curriculum vitae, which more fully details my educational, consulting</w:t>
      </w:r>
      <w:r w:rsidR="00CE23DD">
        <w:rPr>
          <w:szCs w:val="24"/>
        </w:rPr>
        <w:t>,</w:t>
      </w:r>
      <w:r w:rsidRPr="00384017">
        <w:rPr>
          <w:szCs w:val="24"/>
        </w:rPr>
        <w:t xml:space="preserve"> and testifying experience, is provided as </w:t>
      </w:r>
      <w:r w:rsidRPr="00F90D1E">
        <w:rPr>
          <w:bCs/>
          <w:szCs w:val="24"/>
        </w:rPr>
        <w:t xml:space="preserve">Exhibit </w:t>
      </w:r>
      <w:r w:rsidR="0006618F" w:rsidRPr="00F90D1E">
        <w:rPr>
          <w:bCs/>
          <w:szCs w:val="24"/>
        </w:rPr>
        <w:t>No.</w:t>
      </w:r>
      <w:r w:rsidR="00A22001">
        <w:rPr>
          <w:bCs/>
          <w:szCs w:val="24"/>
        </w:rPr>
        <w:t xml:space="preserve"> </w:t>
      </w:r>
      <w:proofErr w:type="gramStart"/>
      <w:r w:rsidR="0006618F" w:rsidRPr="00F90D1E">
        <w:rPr>
          <w:bCs/>
          <w:szCs w:val="24"/>
        </w:rPr>
        <w:t>KGS-2</w:t>
      </w:r>
      <w:r w:rsidRPr="00F90D1E">
        <w:rPr>
          <w:szCs w:val="24"/>
        </w:rPr>
        <w:t>.</w:t>
      </w:r>
      <w:proofErr w:type="gramEnd"/>
    </w:p>
    <w:p w:rsidR="00EB35AC" w:rsidRPr="00CE4724" w:rsidRDefault="007F5EDF" w:rsidP="00CE4724">
      <w:pPr>
        <w:pStyle w:val="Heading1"/>
      </w:pPr>
      <w:bookmarkStart w:id="4" w:name="_Toc354997998"/>
      <w:bookmarkStart w:id="5" w:name="_Toc355788472"/>
      <w:bookmarkStart w:id="6" w:name="_Toc384626544"/>
      <w:bookmarkStart w:id="7" w:name="_Toc384626564"/>
      <w:bookmarkStart w:id="8" w:name="_Toc384626606"/>
      <w:bookmarkStart w:id="9" w:name="_Toc386637263"/>
      <w:bookmarkStart w:id="10" w:name="_Toc436143594"/>
      <w:bookmarkStart w:id="11" w:name="_Toc436145828"/>
      <w:r w:rsidRPr="00CE4724">
        <w:t>Purpose of Testimony</w:t>
      </w:r>
      <w:bookmarkEnd w:id="4"/>
      <w:bookmarkEnd w:id="5"/>
      <w:bookmarkEnd w:id="6"/>
      <w:bookmarkEnd w:id="7"/>
      <w:bookmarkEnd w:id="8"/>
      <w:bookmarkEnd w:id="9"/>
      <w:bookmarkEnd w:id="10"/>
      <w:bookmarkEnd w:id="11"/>
    </w:p>
    <w:p w:rsidR="00EB35AC" w:rsidRPr="00384017" w:rsidRDefault="007F5EDF"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explain the purpose of your testimony. </w:t>
      </w:r>
    </w:p>
    <w:p w:rsidR="00274985" w:rsidRDefault="007F5EDF" w:rsidP="00D16AA5">
      <w:pPr>
        <w:pStyle w:val="QAAnswer"/>
        <w:tabs>
          <w:tab w:val="num" w:pos="720"/>
        </w:tabs>
        <w:spacing w:after="0" w:line="480" w:lineRule="auto"/>
        <w:ind w:left="720" w:hanging="720"/>
        <w:jc w:val="left"/>
        <w:rPr>
          <w:szCs w:val="24"/>
        </w:rPr>
      </w:pPr>
      <w:r w:rsidRPr="00384017">
        <w:rPr>
          <w:szCs w:val="24"/>
        </w:rPr>
        <w:t>A.</w:t>
      </w:r>
      <w:r w:rsidRPr="00384017">
        <w:rPr>
          <w:szCs w:val="24"/>
        </w:rPr>
        <w:tab/>
        <w:t xml:space="preserve">Pacific Power &amp; Light Company (Pacific Power or Company), </w:t>
      </w:r>
      <w:r w:rsidR="00464B2A" w:rsidRPr="00384017">
        <w:rPr>
          <w:szCs w:val="24"/>
        </w:rPr>
        <w:t>a division of PacifiCorp</w:t>
      </w:r>
      <w:r w:rsidR="00134C29" w:rsidRPr="00384017">
        <w:rPr>
          <w:szCs w:val="24"/>
        </w:rPr>
        <w:t xml:space="preserve">, </w:t>
      </w:r>
      <w:r w:rsidR="00274985">
        <w:rPr>
          <w:szCs w:val="24"/>
        </w:rPr>
        <w:t xml:space="preserve">has asked me </w:t>
      </w:r>
      <w:r w:rsidR="0070539D">
        <w:rPr>
          <w:szCs w:val="24"/>
        </w:rPr>
        <w:t>to</w:t>
      </w:r>
      <w:r w:rsidR="00511D39">
        <w:rPr>
          <w:szCs w:val="24"/>
        </w:rPr>
        <w:t xml:space="preserve"> provide a</w:t>
      </w:r>
      <w:r w:rsidR="00F90D1E">
        <w:rPr>
          <w:szCs w:val="24"/>
        </w:rPr>
        <w:t>n</w:t>
      </w:r>
      <w:r w:rsidR="00511D39">
        <w:rPr>
          <w:szCs w:val="24"/>
        </w:rPr>
        <w:t xml:space="preserve"> analysis of </w:t>
      </w:r>
      <w:r w:rsidR="00FD0842">
        <w:rPr>
          <w:szCs w:val="24"/>
        </w:rPr>
        <w:t>its</w:t>
      </w:r>
      <w:r w:rsidR="00511D39">
        <w:rPr>
          <w:szCs w:val="24"/>
        </w:rPr>
        <w:t xml:space="preserve"> cost of equity</w:t>
      </w:r>
      <w:r w:rsidR="00274985">
        <w:rPr>
          <w:szCs w:val="24"/>
        </w:rPr>
        <w:t xml:space="preserve"> in today’s capital markets</w:t>
      </w:r>
      <w:r w:rsidR="00511D39">
        <w:rPr>
          <w:szCs w:val="24"/>
        </w:rPr>
        <w:t xml:space="preserve">.  </w:t>
      </w:r>
      <w:r w:rsidR="00274985">
        <w:rPr>
          <w:szCs w:val="24"/>
        </w:rPr>
        <w:t xml:space="preserve">The purpose of my testimony is to explain the analysis I performed and to </w:t>
      </w:r>
      <w:r w:rsidR="00F90D1E">
        <w:rPr>
          <w:szCs w:val="24"/>
        </w:rPr>
        <w:t>summarize</w:t>
      </w:r>
      <w:r w:rsidR="00274985">
        <w:rPr>
          <w:szCs w:val="24"/>
        </w:rPr>
        <w:t xml:space="preserve"> </w:t>
      </w:r>
      <w:r w:rsidR="00F90D1E">
        <w:rPr>
          <w:szCs w:val="24"/>
        </w:rPr>
        <w:t>the</w:t>
      </w:r>
      <w:r w:rsidR="00274985">
        <w:rPr>
          <w:szCs w:val="24"/>
        </w:rPr>
        <w:t xml:space="preserve"> results </w:t>
      </w:r>
      <w:r w:rsidR="00F90D1E">
        <w:rPr>
          <w:szCs w:val="24"/>
        </w:rPr>
        <w:t>for</w:t>
      </w:r>
      <w:r w:rsidR="00274985">
        <w:rPr>
          <w:szCs w:val="24"/>
        </w:rPr>
        <w:t xml:space="preserve"> the </w:t>
      </w:r>
      <w:r w:rsidR="00CE23DD">
        <w:rPr>
          <w:szCs w:val="24"/>
        </w:rPr>
        <w:t>Washington Utilities and Transportation Commission (</w:t>
      </w:r>
      <w:r w:rsidR="00274985">
        <w:rPr>
          <w:szCs w:val="24"/>
        </w:rPr>
        <w:t>Commission</w:t>
      </w:r>
      <w:r w:rsidR="00CE23DD">
        <w:rPr>
          <w:szCs w:val="24"/>
        </w:rPr>
        <w:t>)</w:t>
      </w:r>
      <w:r w:rsidR="00274985">
        <w:rPr>
          <w:szCs w:val="24"/>
        </w:rPr>
        <w:t>.</w:t>
      </w:r>
    </w:p>
    <w:p w:rsidR="00273DEF" w:rsidRDefault="00F90D1E" w:rsidP="00D16AA5">
      <w:pPr>
        <w:pStyle w:val="QAAnswer"/>
        <w:tabs>
          <w:tab w:val="num" w:pos="720"/>
        </w:tabs>
        <w:spacing w:after="0" w:line="480" w:lineRule="auto"/>
        <w:ind w:left="720" w:hanging="720"/>
        <w:jc w:val="left"/>
        <w:rPr>
          <w:szCs w:val="24"/>
        </w:rPr>
      </w:pPr>
      <w:r>
        <w:rPr>
          <w:szCs w:val="24"/>
        </w:rPr>
        <w:tab/>
      </w:r>
      <w:r w:rsidR="00274985">
        <w:rPr>
          <w:szCs w:val="24"/>
        </w:rPr>
        <w:tab/>
      </w:r>
      <w:r w:rsidR="00511D39">
        <w:rPr>
          <w:szCs w:val="24"/>
        </w:rPr>
        <w:t>The Company is seeking approval of a two-year rate plan, including a decoupling mechanism, and offers my evidence as a gauge for whether capital markets have changed significantly since the Commission</w:t>
      </w:r>
      <w:r w:rsidR="00402B64">
        <w:rPr>
          <w:szCs w:val="24"/>
        </w:rPr>
        <w:t xml:space="preserve"> </w:t>
      </w:r>
      <w:r w:rsidR="00511D39" w:rsidRPr="00B14675">
        <w:rPr>
          <w:rFonts w:eastAsia="SimSun"/>
        </w:rPr>
        <w:t xml:space="preserve">authorized </w:t>
      </w:r>
      <w:r w:rsidR="00511D39">
        <w:rPr>
          <w:szCs w:val="24"/>
        </w:rPr>
        <w:t xml:space="preserve">a </w:t>
      </w:r>
      <w:r w:rsidR="0070539D">
        <w:rPr>
          <w:rFonts w:eastAsia="SimSun"/>
        </w:rPr>
        <w:t xml:space="preserve">return on equity (ROE) of </w:t>
      </w:r>
      <w:r w:rsidR="0070539D" w:rsidRPr="00B14675">
        <w:rPr>
          <w:rFonts w:eastAsia="SimSun"/>
        </w:rPr>
        <w:t>9.</w:t>
      </w:r>
      <w:r w:rsidR="0070539D">
        <w:rPr>
          <w:rFonts w:eastAsia="SimSun"/>
        </w:rPr>
        <w:t>5</w:t>
      </w:r>
      <w:r w:rsidR="00BB2705">
        <w:rPr>
          <w:rFonts w:eastAsia="SimSun"/>
        </w:rPr>
        <w:t xml:space="preserve"> percent</w:t>
      </w:r>
      <w:r w:rsidR="0070539D" w:rsidRPr="00B14675">
        <w:rPr>
          <w:rFonts w:eastAsia="SimSun"/>
        </w:rPr>
        <w:t xml:space="preserve"> </w:t>
      </w:r>
      <w:r w:rsidR="00402B64">
        <w:rPr>
          <w:rFonts w:eastAsia="SimSun"/>
        </w:rPr>
        <w:t>only eight months ago</w:t>
      </w:r>
      <w:r w:rsidR="00402B64">
        <w:rPr>
          <w:szCs w:val="24"/>
        </w:rPr>
        <w:t xml:space="preserve"> </w:t>
      </w:r>
      <w:r w:rsidR="0070539D" w:rsidRPr="00B14675">
        <w:rPr>
          <w:rFonts w:eastAsia="SimSun"/>
        </w:rPr>
        <w:t xml:space="preserve">in </w:t>
      </w:r>
      <w:r w:rsidR="0070539D">
        <w:rPr>
          <w:rFonts w:eastAsia="SimSun"/>
        </w:rPr>
        <w:t>Order</w:t>
      </w:r>
      <w:r>
        <w:rPr>
          <w:rFonts w:eastAsia="SimSun"/>
        </w:rPr>
        <w:t xml:space="preserve"> </w:t>
      </w:r>
      <w:r w:rsidR="0070539D">
        <w:rPr>
          <w:rFonts w:eastAsia="SimSun"/>
        </w:rPr>
        <w:t xml:space="preserve">08 in </w:t>
      </w:r>
      <w:r w:rsidR="00CE23DD">
        <w:rPr>
          <w:rFonts w:eastAsia="SimSun"/>
        </w:rPr>
        <w:t xml:space="preserve">the Company’s 2014 general rate case, </w:t>
      </w:r>
      <w:r w:rsidR="0070539D" w:rsidRPr="00836CF3">
        <w:rPr>
          <w:rFonts w:eastAsia="SimSun"/>
        </w:rPr>
        <w:t>Docket UE-1</w:t>
      </w:r>
      <w:r w:rsidR="0070539D">
        <w:rPr>
          <w:rFonts w:eastAsia="SimSun"/>
        </w:rPr>
        <w:t>40762</w:t>
      </w:r>
      <w:r w:rsidR="00CE23DD">
        <w:rPr>
          <w:rFonts w:eastAsia="SimSun"/>
        </w:rPr>
        <w:t xml:space="preserve"> (2014 Rate Case)</w:t>
      </w:r>
      <w:r w:rsidR="00511D39">
        <w:rPr>
          <w:rFonts w:eastAsia="SimSun"/>
        </w:rPr>
        <w:t>.</w:t>
      </w:r>
      <w:r w:rsidR="0070539D">
        <w:rPr>
          <w:rStyle w:val="FootnoteReference"/>
          <w:rFonts w:eastAsia="SimSun"/>
        </w:rPr>
        <w:footnoteReference w:id="2"/>
      </w:r>
      <w:r w:rsidR="00511D39">
        <w:rPr>
          <w:rFonts w:eastAsia="SimSun"/>
        </w:rPr>
        <w:t xml:space="preserve">  While the Company’s authorized return falls below the </w:t>
      </w:r>
      <w:r w:rsidR="00FD0842">
        <w:rPr>
          <w:rFonts w:eastAsia="SimSun"/>
        </w:rPr>
        <w:t>fair return level supported by</w:t>
      </w:r>
      <w:r w:rsidR="00511D39">
        <w:rPr>
          <w:rFonts w:eastAsia="SimSun"/>
        </w:rPr>
        <w:t xml:space="preserve"> </w:t>
      </w:r>
      <w:r w:rsidR="00FD0842">
        <w:rPr>
          <w:rFonts w:eastAsia="SimSun"/>
        </w:rPr>
        <w:t>my</w:t>
      </w:r>
      <w:r w:rsidR="00511D39">
        <w:rPr>
          <w:rFonts w:eastAsia="SimSun"/>
        </w:rPr>
        <w:t xml:space="preserve"> testimony and below the </w:t>
      </w:r>
      <w:r w:rsidR="00FD0842">
        <w:rPr>
          <w:rFonts w:eastAsia="SimSun"/>
        </w:rPr>
        <w:t xml:space="preserve">authorized </w:t>
      </w:r>
      <w:r w:rsidR="00511D39">
        <w:rPr>
          <w:rFonts w:eastAsia="SimSun"/>
        </w:rPr>
        <w:t xml:space="preserve">returns </w:t>
      </w:r>
      <w:r w:rsidR="00A32439">
        <w:rPr>
          <w:rFonts w:eastAsia="SimSun"/>
        </w:rPr>
        <w:t>available to</w:t>
      </w:r>
      <w:r w:rsidR="00511D39">
        <w:rPr>
          <w:rFonts w:eastAsia="SimSun"/>
        </w:rPr>
        <w:t xml:space="preserve"> </w:t>
      </w:r>
      <w:r w:rsidR="00CE23DD">
        <w:rPr>
          <w:rFonts w:eastAsia="SimSun"/>
        </w:rPr>
        <w:t xml:space="preserve">similarly </w:t>
      </w:r>
      <w:r w:rsidR="00FD0842">
        <w:rPr>
          <w:rFonts w:eastAsia="SimSun"/>
        </w:rPr>
        <w:t xml:space="preserve">situated </w:t>
      </w:r>
      <w:r w:rsidR="00511D39">
        <w:rPr>
          <w:rFonts w:eastAsia="SimSun"/>
        </w:rPr>
        <w:t xml:space="preserve">utilities, I understand the Company’s </w:t>
      </w:r>
      <w:r w:rsidR="001B153C">
        <w:rPr>
          <w:rFonts w:eastAsia="SimSun"/>
        </w:rPr>
        <w:t>petition</w:t>
      </w:r>
      <w:r w:rsidR="00511D39">
        <w:rPr>
          <w:rFonts w:eastAsia="SimSun"/>
        </w:rPr>
        <w:t xml:space="preserve"> does not seek change to the </w:t>
      </w:r>
      <w:r w:rsidR="001B153C">
        <w:rPr>
          <w:rFonts w:eastAsia="SimSun"/>
        </w:rPr>
        <w:t>overall rate of return or any component thereof</w:t>
      </w:r>
      <w:r w:rsidR="00511D39">
        <w:rPr>
          <w:rFonts w:eastAsia="SimSun"/>
        </w:rPr>
        <w:t xml:space="preserve">.  Rather, the Company seeks </w:t>
      </w:r>
      <w:r w:rsidR="00FD0842">
        <w:rPr>
          <w:rFonts w:eastAsia="SimSun"/>
        </w:rPr>
        <w:t xml:space="preserve">approval </w:t>
      </w:r>
      <w:r w:rsidR="001B153C">
        <w:rPr>
          <w:rFonts w:eastAsia="SimSun"/>
        </w:rPr>
        <w:t xml:space="preserve">of its </w:t>
      </w:r>
      <w:r w:rsidR="001B153C">
        <w:rPr>
          <w:szCs w:val="24"/>
        </w:rPr>
        <w:t xml:space="preserve">Expedited Rate Filing (ERF), its decoupling mechanism and </w:t>
      </w:r>
      <w:r w:rsidR="00BB2705">
        <w:rPr>
          <w:szCs w:val="24"/>
        </w:rPr>
        <w:t>two-year r</w:t>
      </w:r>
      <w:r w:rsidR="0070539D">
        <w:rPr>
          <w:szCs w:val="24"/>
        </w:rPr>
        <w:t xml:space="preserve">ate plan.  </w:t>
      </w:r>
      <w:r w:rsidR="00273DEF">
        <w:rPr>
          <w:szCs w:val="24"/>
        </w:rPr>
        <w:t>The Company propos</w:t>
      </w:r>
      <w:r w:rsidR="00F7667B">
        <w:rPr>
          <w:szCs w:val="24"/>
        </w:rPr>
        <w:t>es</w:t>
      </w:r>
      <w:r w:rsidR="00273DEF">
        <w:rPr>
          <w:szCs w:val="24"/>
        </w:rPr>
        <w:t xml:space="preserve"> th</w:t>
      </w:r>
      <w:r w:rsidR="001B153C">
        <w:rPr>
          <w:szCs w:val="24"/>
        </w:rPr>
        <w:t>e</w:t>
      </w:r>
      <w:r w:rsidR="00273DEF">
        <w:rPr>
          <w:szCs w:val="24"/>
        </w:rPr>
        <w:t>s</w:t>
      </w:r>
      <w:r w:rsidR="001B153C">
        <w:rPr>
          <w:szCs w:val="24"/>
        </w:rPr>
        <w:t>e</w:t>
      </w:r>
      <w:r w:rsidR="00273DEF">
        <w:rPr>
          <w:szCs w:val="24"/>
        </w:rPr>
        <w:t xml:space="preserve"> </w:t>
      </w:r>
      <w:r w:rsidR="001B153C">
        <w:rPr>
          <w:szCs w:val="24"/>
        </w:rPr>
        <w:t>measures</w:t>
      </w:r>
      <w:r w:rsidR="00273DEF">
        <w:rPr>
          <w:szCs w:val="24"/>
        </w:rPr>
        <w:t xml:space="preserve"> as an attempt to address known and measurable cost increases associated with environmental initiatives, earnings attrition</w:t>
      </w:r>
      <w:r w:rsidR="00CE23DD">
        <w:rPr>
          <w:szCs w:val="24"/>
        </w:rPr>
        <w:t>,</w:t>
      </w:r>
      <w:r w:rsidR="00273DEF">
        <w:rPr>
          <w:szCs w:val="24"/>
        </w:rPr>
        <w:t xml:space="preserve"> and</w:t>
      </w:r>
      <w:r w:rsidR="00CE23DD">
        <w:rPr>
          <w:szCs w:val="24"/>
        </w:rPr>
        <w:t xml:space="preserve"> chronic</w:t>
      </w:r>
      <w:r w:rsidR="00273DEF">
        <w:rPr>
          <w:szCs w:val="24"/>
        </w:rPr>
        <w:t xml:space="preserve"> </w:t>
      </w:r>
      <w:r w:rsidR="00CE23DD">
        <w:rPr>
          <w:szCs w:val="24"/>
        </w:rPr>
        <w:t>under-</w:t>
      </w:r>
      <w:r w:rsidR="00CE23DD">
        <w:rPr>
          <w:szCs w:val="24"/>
        </w:rPr>
        <w:lastRenderedPageBreak/>
        <w:t>recovery</w:t>
      </w:r>
      <w:r w:rsidR="00D278FD">
        <w:rPr>
          <w:szCs w:val="24"/>
        </w:rPr>
        <w:t xml:space="preserve"> </w:t>
      </w:r>
      <w:r w:rsidR="00CE23DD">
        <w:rPr>
          <w:szCs w:val="24"/>
        </w:rPr>
        <w:t>of</w:t>
      </w:r>
      <w:r w:rsidR="00D278FD">
        <w:rPr>
          <w:szCs w:val="24"/>
        </w:rPr>
        <w:t xml:space="preserve"> costs, of which the</w:t>
      </w:r>
      <w:r w:rsidR="00273DEF">
        <w:rPr>
          <w:szCs w:val="24"/>
        </w:rPr>
        <w:t xml:space="preserve"> </w:t>
      </w:r>
      <w:r w:rsidR="00A32439">
        <w:rPr>
          <w:szCs w:val="24"/>
        </w:rPr>
        <w:t>cost of capital</w:t>
      </w:r>
      <w:r w:rsidR="00D278FD">
        <w:rPr>
          <w:szCs w:val="24"/>
        </w:rPr>
        <w:t xml:space="preserve"> is a key component</w:t>
      </w:r>
      <w:r w:rsidR="00273DEF">
        <w:rPr>
          <w:szCs w:val="24"/>
        </w:rPr>
        <w:t>.</w:t>
      </w:r>
      <w:r w:rsidR="00402B64">
        <w:rPr>
          <w:szCs w:val="24"/>
        </w:rPr>
        <w:t xml:space="preserve">  </w:t>
      </w:r>
      <w:r w:rsidR="00CE23DD">
        <w:rPr>
          <w:szCs w:val="24"/>
        </w:rPr>
        <w:t>The Company’s proposal</w:t>
      </w:r>
      <w:r w:rsidR="00402B64">
        <w:rPr>
          <w:szCs w:val="24"/>
        </w:rPr>
        <w:t xml:space="preserve"> is an important step towards improving its financial strength.</w:t>
      </w:r>
    </w:p>
    <w:p w:rsidR="00A01FFA" w:rsidRPr="00F90D1E" w:rsidRDefault="00F90D1E" w:rsidP="00D16AA5">
      <w:pPr>
        <w:pStyle w:val="QAAnswer"/>
        <w:tabs>
          <w:tab w:val="num" w:pos="720"/>
        </w:tabs>
        <w:spacing w:after="0" w:line="480" w:lineRule="auto"/>
        <w:ind w:left="720" w:hanging="720"/>
        <w:jc w:val="left"/>
        <w:rPr>
          <w:szCs w:val="24"/>
        </w:rPr>
      </w:pPr>
      <w:r>
        <w:rPr>
          <w:szCs w:val="24"/>
        </w:rPr>
        <w:tab/>
      </w:r>
      <w:r>
        <w:rPr>
          <w:szCs w:val="24"/>
        </w:rPr>
        <w:tab/>
      </w:r>
      <w:r w:rsidR="00A01FFA">
        <w:rPr>
          <w:szCs w:val="24"/>
        </w:rPr>
        <w:t>Insofar as current capital market</w:t>
      </w:r>
      <w:r w:rsidR="006519E2">
        <w:rPr>
          <w:szCs w:val="24"/>
        </w:rPr>
        <w:t xml:space="preserve"> condition</w:t>
      </w:r>
      <w:r w:rsidR="00A01FFA">
        <w:rPr>
          <w:szCs w:val="24"/>
        </w:rPr>
        <w:t xml:space="preserve">s </w:t>
      </w:r>
      <w:r w:rsidR="00273DEF">
        <w:rPr>
          <w:szCs w:val="24"/>
        </w:rPr>
        <w:t>and those projected to prevail over the rate</w:t>
      </w:r>
      <w:r w:rsidR="00CE23DD">
        <w:rPr>
          <w:szCs w:val="24"/>
        </w:rPr>
        <w:t>-</w:t>
      </w:r>
      <w:r w:rsidR="00273DEF">
        <w:rPr>
          <w:szCs w:val="24"/>
        </w:rPr>
        <w:t xml:space="preserve">effective period </w:t>
      </w:r>
      <w:r w:rsidR="00A01FFA">
        <w:rPr>
          <w:szCs w:val="24"/>
        </w:rPr>
        <w:t xml:space="preserve">remain consistent with those that </w:t>
      </w:r>
      <w:r w:rsidR="00CF190F">
        <w:rPr>
          <w:szCs w:val="24"/>
        </w:rPr>
        <w:t>were analyzed by the parties and the Commission</w:t>
      </w:r>
      <w:r w:rsidR="00A01FFA">
        <w:rPr>
          <w:szCs w:val="24"/>
        </w:rPr>
        <w:t xml:space="preserve"> </w:t>
      </w:r>
      <w:r w:rsidR="00A01FFA" w:rsidRPr="00A01FFA">
        <w:rPr>
          <w:szCs w:val="24"/>
        </w:rPr>
        <w:t xml:space="preserve">in </w:t>
      </w:r>
      <w:r w:rsidR="00CE23DD">
        <w:rPr>
          <w:szCs w:val="24"/>
        </w:rPr>
        <w:t>the 2014 Rate Case</w:t>
      </w:r>
      <w:r w:rsidR="00A01FFA">
        <w:rPr>
          <w:szCs w:val="24"/>
        </w:rPr>
        <w:t>,</w:t>
      </w:r>
      <w:r>
        <w:rPr>
          <w:szCs w:val="24"/>
        </w:rPr>
        <w:t xml:space="preserve"> sound policy grounds</w:t>
      </w:r>
      <w:r w:rsidR="00A01FFA">
        <w:rPr>
          <w:szCs w:val="24"/>
        </w:rPr>
        <w:t xml:space="preserve"> </w:t>
      </w:r>
      <w:r>
        <w:rPr>
          <w:szCs w:val="24"/>
        </w:rPr>
        <w:t xml:space="preserve">exist for avoiding </w:t>
      </w:r>
      <w:r w:rsidR="00F7667B">
        <w:rPr>
          <w:szCs w:val="24"/>
        </w:rPr>
        <w:t xml:space="preserve">a new </w:t>
      </w:r>
      <w:r>
        <w:rPr>
          <w:szCs w:val="24"/>
        </w:rPr>
        <w:t xml:space="preserve">adjudication of ROE.  </w:t>
      </w:r>
      <w:r w:rsidR="00273DEF">
        <w:rPr>
          <w:szCs w:val="24"/>
        </w:rPr>
        <w:t xml:space="preserve">The Company, as part of its proposal, is attempting to limit controversial issues that are usually addressed in </w:t>
      </w:r>
      <w:r w:rsidR="006A3B3F">
        <w:rPr>
          <w:szCs w:val="24"/>
        </w:rPr>
        <w:t xml:space="preserve">a </w:t>
      </w:r>
      <w:r w:rsidR="00CE23DD">
        <w:rPr>
          <w:szCs w:val="24"/>
        </w:rPr>
        <w:t>general rate case</w:t>
      </w:r>
      <w:r w:rsidR="00273DEF">
        <w:rPr>
          <w:szCs w:val="24"/>
        </w:rPr>
        <w:t>.  ROE is often one of the most hotly contested issues in any case.</w:t>
      </w:r>
      <w:r w:rsidR="00273DEF">
        <w:rPr>
          <w:rStyle w:val="FootnoteReference"/>
          <w:szCs w:val="24"/>
        </w:rPr>
        <w:footnoteReference w:id="3"/>
      </w:r>
      <w:r w:rsidR="00273DEF">
        <w:rPr>
          <w:szCs w:val="24"/>
        </w:rPr>
        <w:t xml:space="preserve">  </w:t>
      </w:r>
      <w:r>
        <w:rPr>
          <w:szCs w:val="24"/>
        </w:rPr>
        <w:t xml:space="preserve">In this context, </w:t>
      </w:r>
      <w:r w:rsidR="00A01FFA">
        <w:rPr>
          <w:szCs w:val="24"/>
        </w:rPr>
        <w:t xml:space="preserve">the Company’s proposal to retain the existing ROE and capital structure </w:t>
      </w:r>
      <w:r w:rsidR="00CE23DD">
        <w:rPr>
          <w:szCs w:val="24"/>
        </w:rPr>
        <w:t>is appropriate</w:t>
      </w:r>
      <w:r w:rsidR="00A01FFA">
        <w:rPr>
          <w:szCs w:val="24"/>
        </w:rPr>
        <w:t>.</w:t>
      </w:r>
    </w:p>
    <w:p w:rsidR="00256A62" w:rsidRPr="00B14675" w:rsidRDefault="007F5EDF" w:rsidP="00A95284">
      <w:pPr>
        <w:pStyle w:val="question0"/>
        <w:keepNext/>
        <w:keepLines/>
        <w:spacing w:before="0" w:after="0"/>
        <w:rPr>
          <w:rFonts w:ascii="Times New Roman" w:hAnsi="Times New Roman"/>
        </w:rPr>
      </w:pPr>
      <w:r w:rsidRPr="00384017">
        <w:rPr>
          <w:szCs w:val="24"/>
        </w:rPr>
        <w:t>Q.</w:t>
      </w:r>
      <w:r w:rsidRPr="00384017">
        <w:rPr>
          <w:szCs w:val="24"/>
        </w:rPr>
        <w:tab/>
      </w:r>
      <w:r w:rsidR="00256A62" w:rsidRPr="00B14675">
        <w:rPr>
          <w:rFonts w:ascii="Times New Roman" w:eastAsia="SimSun" w:hAnsi="Times New Roman"/>
        </w:rPr>
        <w:t xml:space="preserve">Please summarize your findings concerning </w:t>
      </w:r>
      <w:r w:rsidR="00256A62">
        <w:rPr>
          <w:rFonts w:ascii="Times New Roman" w:eastAsia="SimSun" w:hAnsi="Times New Roman"/>
        </w:rPr>
        <w:t xml:space="preserve">the </w:t>
      </w:r>
      <w:r w:rsidR="009B5C86">
        <w:rPr>
          <w:rFonts w:ascii="Times New Roman" w:eastAsia="SimSun" w:hAnsi="Times New Roman"/>
        </w:rPr>
        <w:t xml:space="preserve">current and projected capital markets and their implications for a fair return level for the </w:t>
      </w:r>
      <w:r w:rsidR="00256A62">
        <w:rPr>
          <w:rFonts w:ascii="Times New Roman" w:eastAsia="SimSun" w:hAnsi="Times New Roman"/>
        </w:rPr>
        <w:t>Company</w:t>
      </w:r>
      <w:r w:rsidR="00256A62" w:rsidRPr="00B14675">
        <w:rPr>
          <w:rFonts w:ascii="Times New Roman" w:eastAsia="SimSun" w:hAnsi="Times New Roman"/>
        </w:rPr>
        <w:t>.</w:t>
      </w:r>
    </w:p>
    <w:p w:rsidR="006519E2" w:rsidRDefault="007F5EDF" w:rsidP="00D16AA5">
      <w:pPr>
        <w:pStyle w:val="QAAnswer"/>
        <w:tabs>
          <w:tab w:val="num" w:pos="720"/>
        </w:tabs>
        <w:spacing w:after="0" w:line="480" w:lineRule="auto"/>
        <w:ind w:left="720" w:hanging="720"/>
        <w:jc w:val="left"/>
        <w:rPr>
          <w:szCs w:val="24"/>
        </w:rPr>
      </w:pPr>
      <w:r w:rsidRPr="00384017">
        <w:rPr>
          <w:szCs w:val="24"/>
        </w:rPr>
        <w:t>A.</w:t>
      </w:r>
      <w:r w:rsidRPr="00384017">
        <w:rPr>
          <w:szCs w:val="24"/>
        </w:rPr>
        <w:tab/>
      </w:r>
      <w:r w:rsidR="00256A62">
        <w:rPr>
          <w:szCs w:val="24"/>
        </w:rPr>
        <w:t xml:space="preserve">I presented the Company’s ROE testimony in Pacific Power’s most recent </w:t>
      </w:r>
      <w:r w:rsidR="00CE23DD">
        <w:rPr>
          <w:szCs w:val="24"/>
        </w:rPr>
        <w:t>general rate case</w:t>
      </w:r>
      <w:r w:rsidR="00256A62">
        <w:rPr>
          <w:szCs w:val="24"/>
        </w:rPr>
        <w:t>.</w:t>
      </w:r>
      <w:r w:rsidR="00256A62">
        <w:rPr>
          <w:rStyle w:val="FootnoteReference"/>
          <w:rFonts w:eastAsia="SimSun"/>
        </w:rPr>
        <w:footnoteReference w:id="4"/>
      </w:r>
      <w:r w:rsidR="00256A62">
        <w:rPr>
          <w:szCs w:val="24"/>
        </w:rPr>
        <w:t xml:space="preserve">  </w:t>
      </w:r>
      <w:r w:rsidR="003652CE">
        <w:rPr>
          <w:szCs w:val="24"/>
        </w:rPr>
        <w:t xml:space="preserve">I recommended a </w:t>
      </w:r>
      <w:r w:rsidR="003652CE" w:rsidRPr="00847844">
        <w:rPr>
          <w:szCs w:val="24"/>
        </w:rPr>
        <w:t>10.0</w:t>
      </w:r>
      <w:r w:rsidR="003652CE">
        <w:rPr>
          <w:szCs w:val="24"/>
        </w:rPr>
        <w:t xml:space="preserve"> percent ROE based on my </w:t>
      </w:r>
      <w:r w:rsidR="001D1657">
        <w:rPr>
          <w:szCs w:val="24"/>
        </w:rPr>
        <w:t>review of capital market conditions and the results of a number of financial models for estimating ROE.</w:t>
      </w:r>
      <w:r w:rsidR="003652CE">
        <w:rPr>
          <w:szCs w:val="24"/>
        </w:rPr>
        <w:t xml:space="preserve"> </w:t>
      </w:r>
      <w:r w:rsidR="001D1657">
        <w:rPr>
          <w:szCs w:val="24"/>
        </w:rPr>
        <w:t xml:space="preserve"> I examined </w:t>
      </w:r>
      <w:r w:rsidR="00D278FD">
        <w:rPr>
          <w:szCs w:val="24"/>
        </w:rPr>
        <w:t xml:space="preserve">return expectations for </w:t>
      </w:r>
      <w:r w:rsidR="001D1657">
        <w:rPr>
          <w:szCs w:val="24"/>
        </w:rPr>
        <w:t>a</w:t>
      </w:r>
      <w:r w:rsidR="003652CE">
        <w:rPr>
          <w:szCs w:val="24"/>
        </w:rPr>
        <w:t xml:space="preserve"> proxy group </w:t>
      </w:r>
      <w:r w:rsidR="001D1657">
        <w:rPr>
          <w:szCs w:val="24"/>
        </w:rPr>
        <w:t xml:space="preserve">of comparable utilities and </w:t>
      </w:r>
      <w:r w:rsidR="003652CE">
        <w:rPr>
          <w:szCs w:val="24"/>
        </w:rPr>
        <w:t xml:space="preserve">for the electric industry more broadly.  </w:t>
      </w:r>
      <w:r w:rsidR="00352BD9">
        <w:rPr>
          <w:szCs w:val="24"/>
        </w:rPr>
        <w:t xml:space="preserve">My updated </w:t>
      </w:r>
      <w:r w:rsidR="003652CE">
        <w:rPr>
          <w:szCs w:val="24"/>
        </w:rPr>
        <w:t xml:space="preserve">analysis </w:t>
      </w:r>
      <w:r w:rsidR="00FD0842">
        <w:rPr>
          <w:szCs w:val="24"/>
        </w:rPr>
        <w:t>demonstrates</w:t>
      </w:r>
      <w:r w:rsidR="00352BD9">
        <w:rPr>
          <w:szCs w:val="24"/>
        </w:rPr>
        <w:t xml:space="preserve"> </w:t>
      </w:r>
      <w:r w:rsidR="003652CE">
        <w:rPr>
          <w:szCs w:val="24"/>
        </w:rPr>
        <w:t xml:space="preserve">that an ROE of </w:t>
      </w:r>
      <w:r w:rsidR="003652CE" w:rsidRPr="00847844">
        <w:rPr>
          <w:szCs w:val="24"/>
        </w:rPr>
        <w:t>10.0</w:t>
      </w:r>
      <w:r w:rsidR="003652CE">
        <w:rPr>
          <w:szCs w:val="24"/>
        </w:rPr>
        <w:t xml:space="preserve"> percent </w:t>
      </w:r>
      <w:r w:rsidR="00847844">
        <w:rPr>
          <w:szCs w:val="24"/>
        </w:rPr>
        <w:t>continues to be</w:t>
      </w:r>
      <w:r w:rsidR="003652CE">
        <w:rPr>
          <w:szCs w:val="24"/>
        </w:rPr>
        <w:t xml:space="preserve"> appropriate</w:t>
      </w:r>
      <w:r w:rsidR="008D35F7">
        <w:rPr>
          <w:szCs w:val="24"/>
        </w:rPr>
        <w:t xml:space="preserve"> </w:t>
      </w:r>
      <w:r w:rsidR="00BB2705">
        <w:rPr>
          <w:szCs w:val="24"/>
        </w:rPr>
        <w:t xml:space="preserve">for </w:t>
      </w:r>
      <w:r w:rsidR="00273DEF">
        <w:rPr>
          <w:szCs w:val="24"/>
        </w:rPr>
        <w:t>Pacific Power and reflects an appropriate level of return commensurate with the risks faced by the Company</w:t>
      </w:r>
      <w:r w:rsidR="00CF190F">
        <w:rPr>
          <w:szCs w:val="24"/>
        </w:rPr>
        <w:t>’s equity owners</w:t>
      </w:r>
      <w:r w:rsidR="00273DEF">
        <w:rPr>
          <w:szCs w:val="24"/>
        </w:rPr>
        <w:t xml:space="preserve"> </w:t>
      </w:r>
      <w:r w:rsidR="00273DEF">
        <w:rPr>
          <w:szCs w:val="24"/>
        </w:rPr>
        <w:lastRenderedPageBreak/>
        <w:t xml:space="preserve">under the </w:t>
      </w:r>
      <w:r w:rsidR="008D35F7">
        <w:rPr>
          <w:szCs w:val="24"/>
        </w:rPr>
        <w:t>ERF, decoupling mechan</w:t>
      </w:r>
      <w:r w:rsidR="00847844">
        <w:rPr>
          <w:szCs w:val="24"/>
        </w:rPr>
        <w:t xml:space="preserve">ism, and </w:t>
      </w:r>
      <w:r w:rsidR="00CE23DD">
        <w:rPr>
          <w:szCs w:val="24"/>
        </w:rPr>
        <w:t>two</w:t>
      </w:r>
      <w:r w:rsidR="00847844">
        <w:rPr>
          <w:szCs w:val="24"/>
        </w:rPr>
        <w:t>-year rate plan.  My conclusion</w:t>
      </w:r>
      <w:r w:rsidR="00D278FD">
        <w:rPr>
          <w:szCs w:val="24"/>
        </w:rPr>
        <w:t>s</w:t>
      </w:r>
      <w:r w:rsidR="00847844">
        <w:rPr>
          <w:szCs w:val="24"/>
        </w:rPr>
        <w:t xml:space="preserve"> refl</w:t>
      </w:r>
      <w:r w:rsidR="00D278FD">
        <w:rPr>
          <w:szCs w:val="24"/>
        </w:rPr>
        <w:t>ect</w:t>
      </w:r>
      <w:r w:rsidR="00847844">
        <w:rPr>
          <w:szCs w:val="24"/>
        </w:rPr>
        <w:t xml:space="preserve"> </w:t>
      </w:r>
      <w:r w:rsidR="006519E2">
        <w:rPr>
          <w:szCs w:val="24"/>
        </w:rPr>
        <w:t>the following considerations:</w:t>
      </w:r>
    </w:p>
    <w:p w:rsidR="006519E2" w:rsidRDefault="006519E2" w:rsidP="00CE23DD">
      <w:pPr>
        <w:pStyle w:val="QAAnswer"/>
        <w:numPr>
          <w:ilvl w:val="1"/>
          <w:numId w:val="9"/>
        </w:numPr>
        <w:spacing w:after="0" w:line="480" w:lineRule="auto"/>
        <w:jc w:val="left"/>
        <w:rPr>
          <w:szCs w:val="24"/>
        </w:rPr>
      </w:pPr>
      <w:r>
        <w:rPr>
          <w:szCs w:val="24"/>
        </w:rPr>
        <w:t xml:space="preserve">The Company </w:t>
      </w:r>
      <w:r w:rsidR="00440AB7">
        <w:rPr>
          <w:szCs w:val="24"/>
        </w:rPr>
        <w:t>continues to face</w:t>
      </w:r>
      <w:r>
        <w:rPr>
          <w:szCs w:val="24"/>
        </w:rPr>
        <w:t xml:space="preserve"> </w:t>
      </w:r>
      <w:r w:rsidR="00865AB1">
        <w:rPr>
          <w:szCs w:val="24"/>
        </w:rPr>
        <w:t xml:space="preserve">particularly </w:t>
      </w:r>
      <w:r>
        <w:rPr>
          <w:szCs w:val="24"/>
        </w:rPr>
        <w:t xml:space="preserve">challenging market and regulatory </w:t>
      </w:r>
      <w:r w:rsidR="00865AB1">
        <w:rPr>
          <w:szCs w:val="24"/>
        </w:rPr>
        <w:t xml:space="preserve">circumstances relative to </w:t>
      </w:r>
      <w:r w:rsidR="001D1657">
        <w:rPr>
          <w:szCs w:val="24"/>
        </w:rPr>
        <w:t>other</w:t>
      </w:r>
      <w:r w:rsidR="00865AB1">
        <w:rPr>
          <w:szCs w:val="24"/>
        </w:rPr>
        <w:t xml:space="preserve"> </w:t>
      </w:r>
      <w:r w:rsidR="002A0686">
        <w:rPr>
          <w:szCs w:val="24"/>
        </w:rPr>
        <w:t>electric utilities</w:t>
      </w:r>
      <w:r w:rsidR="00865AB1">
        <w:rPr>
          <w:szCs w:val="24"/>
        </w:rPr>
        <w:t xml:space="preserve"> in the </w:t>
      </w:r>
      <w:r w:rsidR="002A0686">
        <w:rPr>
          <w:szCs w:val="24"/>
        </w:rPr>
        <w:t>U</w:t>
      </w:r>
      <w:r w:rsidR="00CE23DD">
        <w:rPr>
          <w:szCs w:val="24"/>
        </w:rPr>
        <w:t>.S</w:t>
      </w:r>
      <w:r>
        <w:rPr>
          <w:szCs w:val="24"/>
        </w:rPr>
        <w:t xml:space="preserve">.  </w:t>
      </w:r>
      <w:r w:rsidR="00440AB7">
        <w:rPr>
          <w:szCs w:val="24"/>
        </w:rPr>
        <w:t xml:space="preserve">Environmental initiatives </w:t>
      </w:r>
      <w:r w:rsidR="00273DEF">
        <w:rPr>
          <w:szCs w:val="24"/>
        </w:rPr>
        <w:t xml:space="preserve">locally and federally </w:t>
      </w:r>
      <w:r w:rsidR="00440AB7">
        <w:rPr>
          <w:szCs w:val="24"/>
        </w:rPr>
        <w:t xml:space="preserve">require </w:t>
      </w:r>
      <w:r w:rsidR="001D1657">
        <w:rPr>
          <w:szCs w:val="24"/>
        </w:rPr>
        <w:t xml:space="preserve">that the Company make </w:t>
      </w:r>
      <w:r w:rsidR="00440AB7">
        <w:rPr>
          <w:szCs w:val="24"/>
        </w:rPr>
        <w:t>major capital investments</w:t>
      </w:r>
      <w:r w:rsidR="001D1657">
        <w:rPr>
          <w:szCs w:val="24"/>
        </w:rPr>
        <w:t>, which in turn</w:t>
      </w:r>
      <w:r w:rsidR="00440AB7">
        <w:rPr>
          <w:szCs w:val="24"/>
        </w:rPr>
        <w:t xml:space="preserve"> </w:t>
      </w:r>
      <w:r w:rsidR="00865AB1">
        <w:rPr>
          <w:szCs w:val="24"/>
        </w:rPr>
        <w:t xml:space="preserve">are </w:t>
      </w:r>
      <w:r w:rsidR="00440AB7">
        <w:rPr>
          <w:szCs w:val="24"/>
        </w:rPr>
        <w:t>put</w:t>
      </w:r>
      <w:r w:rsidR="00865AB1">
        <w:rPr>
          <w:szCs w:val="24"/>
        </w:rPr>
        <w:t>ting</w:t>
      </w:r>
      <w:r w:rsidR="00440AB7">
        <w:rPr>
          <w:szCs w:val="24"/>
        </w:rPr>
        <w:t xml:space="preserve"> upward pressure on rates.  Energy efficiency </w:t>
      </w:r>
      <w:r w:rsidR="00406D06">
        <w:rPr>
          <w:szCs w:val="24"/>
        </w:rPr>
        <w:t xml:space="preserve">investments </w:t>
      </w:r>
      <w:r w:rsidR="00440AB7">
        <w:rPr>
          <w:szCs w:val="24"/>
        </w:rPr>
        <w:t xml:space="preserve">and </w:t>
      </w:r>
      <w:r w:rsidR="00D25DC6">
        <w:rPr>
          <w:szCs w:val="24"/>
        </w:rPr>
        <w:t xml:space="preserve">changes in </w:t>
      </w:r>
      <w:r w:rsidR="00440AB7">
        <w:rPr>
          <w:szCs w:val="24"/>
        </w:rPr>
        <w:t xml:space="preserve">economic </w:t>
      </w:r>
      <w:r w:rsidR="00921077">
        <w:rPr>
          <w:szCs w:val="24"/>
        </w:rPr>
        <w:t>activity</w:t>
      </w:r>
      <w:r w:rsidR="00440AB7">
        <w:rPr>
          <w:szCs w:val="24"/>
        </w:rPr>
        <w:t xml:space="preserve"> have suppressed </w:t>
      </w:r>
      <w:r w:rsidR="00CE23DD">
        <w:rPr>
          <w:szCs w:val="24"/>
        </w:rPr>
        <w:t>kilowatt-hour</w:t>
      </w:r>
      <w:r w:rsidR="00440AB7">
        <w:rPr>
          <w:szCs w:val="24"/>
        </w:rPr>
        <w:t xml:space="preserve"> sales in the Company’s service territory</w:t>
      </w:r>
      <w:r w:rsidR="00406D06">
        <w:rPr>
          <w:szCs w:val="24"/>
        </w:rPr>
        <w:t xml:space="preserve"> in Washington</w:t>
      </w:r>
      <w:r w:rsidR="009517DE">
        <w:rPr>
          <w:szCs w:val="24"/>
        </w:rPr>
        <w:t>, which have limited the ability of the</w:t>
      </w:r>
      <w:r w:rsidR="00337187">
        <w:rPr>
          <w:szCs w:val="24"/>
        </w:rPr>
        <w:t xml:space="preserve"> Company</w:t>
      </w:r>
      <w:r w:rsidR="009517DE">
        <w:rPr>
          <w:szCs w:val="24"/>
        </w:rPr>
        <w:t xml:space="preserve"> to recover costs since</w:t>
      </w:r>
      <w:r w:rsidR="00337187">
        <w:rPr>
          <w:szCs w:val="24"/>
        </w:rPr>
        <w:t xml:space="preserve"> </w:t>
      </w:r>
      <w:r w:rsidR="009517DE">
        <w:rPr>
          <w:szCs w:val="24"/>
        </w:rPr>
        <w:t xml:space="preserve">its </w:t>
      </w:r>
      <w:r w:rsidR="00337187">
        <w:rPr>
          <w:szCs w:val="24"/>
        </w:rPr>
        <w:t>rate structures</w:t>
      </w:r>
      <w:r w:rsidR="009517DE">
        <w:rPr>
          <w:szCs w:val="24"/>
        </w:rPr>
        <w:t xml:space="preserve"> </w:t>
      </w:r>
      <w:r w:rsidR="00337187">
        <w:rPr>
          <w:szCs w:val="24"/>
        </w:rPr>
        <w:t xml:space="preserve">provide for </w:t>
      </w:r>
      <w:r w:rsidR="00F7667B">
        <w:rPr>
          <w:szCs w:val="24"/>
        </w:rPr>
        <w:t>a significant portion</w:t>
      </w:r>
      <w:r w:rsidR="00337187">
        <w:rPr>
          <w:szCs w:val="24"/>
        </w:rPr>
        <w:t xml:space="preserve"> of fixed-cost recovery through volumetric rates</w:t>
      </w:r>
      <w:r w:rsidR="009517DE">
        <w:rPr>
          <w:szCs w:val="24"/>
        </w:rPr>
        <w:t>.  Under the existing regulatory processes, the Company has faced consistent under</w:t>
      </w:r>
      <w:r w:rsidR="00CE23DD">
        <w:rPr>
          <w:szCs w:val="24"/>
        </w:rPr>
        <w:t>-r</w:t>
      </w:r>
      <w:r w:rsidR="009517DE">
        <w:rPr>
          <w:szCs w:val="24"/>
        </w:rPr>
        <w:t xml:space="preserve">ecovery of its costs, including the cost of capital, as reflected in </w:t>
      </w:r>
      <w:r>
        <w:rPr>
          <w:szCs w:val="24"/>
        </w:rPr>
        <w:t>persistent earnings shortfalls relative to authorized returns</w:t>
      </w:r>
      <w:r w:rsidR="009517DE">
        <w:rPr>
          <w:szCs w:val="24"/>
        </w:rPr>
        <w:t xml:space="preserve">.  Mr. </w:t>
      </w:r>
      <w:r w:rsidR="00CE23DD">
        <w:rPr>
          <w:szCs w:val="24"/>
        </w:rPr>
        <w:t xml:space="preserve">R. Bryce Dalley </w:t>
      </w:r>
      <w:r w:rsidR="009517DE">
        <w:rPr>
          <w:szCs w:val="24"/>
        </w:rPr>
        <w:t>documents this trend</w:t>
      </w:r>
      <w:r w:rsidR="00CE23DD">
        <w:rPr>
          <w:szCs w:val="24"/>
        </w:rPr>
        <w:t xml:space="preserve"> in his direct testimony</w:t>
      </w:r>
      <w:r>
        <w:rPr>
          <w:szCs w:val="24"/>
        </w:rPr>
        <w:t xml:space="preserve">.  In the past, credit rating agencies have expressed concerns about the </w:t>
      </w:r>
      <w:r w:rsidR="00865AB1">
        <w:rPr>
          <w:szCs w:val="24"/>
        </w:rPr>
        <w:t>consequences</w:t>
      </w:r>
      <w:r>
        <w:rPr>
          <w:szCs w:val="24"/>
        </w:rPr>
        <w:t xml:space="preserve"> of the challenging regulatory environment in Washington.</w:t>
      </w:r>
      <w:r w:rsidR="00921077">
        <w:rPr>
          <w:rStyle w:val="FootnoteReference"/>
          <w:szCs w:val="24"/>
        </w:rPr>
        <w:footnoteReference w:id="5"/>
      </w:r>
      <w:r>
        <w:rPr>
          <w:szCs w:val="24"/>
        </w:rPr>
        <w:t xml:space="preserve">  </w:t>
      </w:r>
      <w:r w:rsidR="00440AB7">
        <w:rPr>
          <w:szCs w:val="24"/>
        </w:rPr>
        <w:t>The Commission’s invitation to address these challenges through ER</w:t>
      </w:r>
      <w:r w:rsidR="00330731">
        <w:rPr>
          <w:szCs w:val="24"/>
        </w:rPr>
        <w:t>F</w:t>
      </w:r>
      <w:r w:rsidR="00440AB7">
        <w:rPr>
          <w:szCs w:val="24"/>
        </w:rPr>
        <w:t xml:space="preserve">s and decoupling </w:t>
      </w:r>
      <w:r w:rsidR="00865AB1">
        <w:rPr>
          <w:szCs w:val="24"/>
        </w:rPr>
        <w:t xml:space="preserve">mechanisms </w:t>
      </w:r>
      <w:r w:rsidR="00440AB7">
        <w:rPr>
          <w:szCs w:val="24"/>
        </w:rPr>
        <w:t>is constructive</w:t>
      </w:r>
      <w:r w:rsidR="00865AB1">
        <w:rPr>
          <w:szCs w:val="24"/>
        </w:rPr>
        <w:t xml:space="preserve">. </w:t>
      </w:r>
      <w:r w:rsidR="00440AB7">
        <w:rPr>
          <w:szCs w:val="24"/>
        </w:rPr>
        <w:t xml:space="preserve"> </w:t>
      </w:r>
      <w:r w:rsidR="00865AB1">
        <w:rPr>
          <w:szCs w:val="24"/>
        </w:rPr>
        <w:t>A</w:t>
      </w:r>
      <w:r w:rsidR="00440AB7">
        <w:rPr>
          <w:szCs w:val="24"/>
        </w:rPr>
        <w:t xml:space="preserve">doption of the Company’s </w:t>
      </w:r>
      <w:r w:rsidR="002A0686">
        <w:rPr>
          <w:szCs w:val="24"/>
        </w:rPr>
        <w:t>p</w:t>
      </w:r>
      <w:r w:rsidR="00440AB7">
        <w:rPr>
          <w:szCs w:val="24"/>
        </w:rPr>
        <w:t xml:space="preserve">roposal will be a step toward </w:t>
      </w:r>
      <w:r w:rsidR="00D25DC6">
        <w:rPr>
          <w:szCs w:val="24"/>
        </w:rPr>
        <w:t>addressing</w:t>
      </w:r>
      <w:r w:rsidR="00440AB7">
        <w:rPr>
          <w:szCs w:val="24"/>
        </w:rPr>
        <w:t xml:space="preserve"> these challenges</w:t>
      </w:r>
      <w:r w:rsidR="00030826">
        <w:rPr>
          <w:szCs w:val="24"/>
        </w:rPr>
        <w:t xml:space="preserve">, </w:t>
      </w:r>
      <w:r w:rsidR="00273DEF">
        <w:rPr>
          <w:szCs w:val="24"/>
        </w:rPr>
        <w:t xml:space="preserve">but </w:t>
      </w:r>
      <w:r w:rsidR="00030826">
        <w:rPr>
          <w:szCs w:val="24"/>
        </w:rPr>
        <w:t>it will take time</w:t>
      </w:r>
      <w:r w:rsidR="00865AB1">
        <w:rPr>
          <w:szCs w:val="24"/>
        </w:rPr>
        <w:t xml:space="preserve"> </w:t>
      </w:r>
      <w:r w:rsidR="00030826">
        <w:rPr>
          <w:szCs w:val="24"/>
        </w:rPr>
        <w:t xml:space="preserve">for the effects </w:t>
      </w:r>
      <w:r w:rsidR="00865AB1">
        <w:rPr>
          <w:szCs w:val="24"/>
        </w:rPr>
        <w:t xml:space="preserve">of these innovative regulatory mechanisms </w:t>
      </w:r>
      <w:r w:rsidR="00030826">
        <w:rPr>
          <w:szCs w:val="24"/>
        </w:rPr>
        <w:t xml:space="preserve">to </w:t>
      </w:r>
      <w:r w:rsidR="00865AB1">
        <w:rPr>
          <w:szCs w:val="24"/>
        </w:rPr>
        <w:t xml:space="preserve">reflect themselves in the Company’s financial health and for the efficacy of the new </w:t>
      </w:r>
      <w:r w:rsidR="00D25DC6">
        <w:rPr>
          <w:szCs w:val="24"/>
        </w:rPr>
        <w:t>measures</w:t>
      </w:r>
      <w:r w:rsidR="00CE23DD">
        <w:rPr>
          <w:szCs w:val="24"/>
        </w:rPr>
        <w:t>—</w:t>
      </w:r>
      <w:r w:rsidR="00960F8D">
        <w:rPr>
          <w:szCs w:val="24"/>
        </w:rPr>
        <w:t xml:space="preserve">which are not </w:t>
      </w:r>
      <w:r w:rsidR="00AC3714">
        <w:rPr>
          <w:szCs w:val="24"/>
        </w:rPr>
        <w:t xml:space="preserve">without </w:t>
      </w:r>
      <w:r w:rsidR="00CE23DD">
        <w:rPr>
          <w:szCs w:val="24"/>
        </w:rPr>
        <w:t>ongoing risks</w:t>
      </w:r>
      <w:r w:rsidR="00960F8D">
        <w:rPr>
          <w:szCs w:val="24"/>
        </w:rPr>
        <w:t>—to be established</w:t>
      </w:r>
      <w:r w:rsidR="00440AB7">
        <w:rPr>
          <w:szCs w:val="24"/>
        </w:rPr>
        <w:t>.</w:t>
      </w:r>
    </w:p>
    <w:p w:rsidR="006519E2" w:rsidRDefault="006519E2" w:rsidP="008503F8">
      <w:pPr>
        <w:pStyle w:val="QAAnswer"/>
        <w:numPr>
          <w:ilvl w:val="1"/>
          <w:numId w:val="9"/>
        </w:numPr>
        <w:spacing w:after="0" w:line="480" w:lineRule="auto"/>
        <w:jc w:val="left"/>
      </w:pPr>
      <w:r>
        <w:lastRenderedPageBreak/>
        <w:t xml:space="preserve">The </w:t>
      </w:r>
      <w:r w:rsidR="00ED2EC1">
        <w:t xml:space="preserve">data reviewed and </w:t>
      </w:r>
      <w:r w:rsidR="00030826">
        <w:t xml:space="preserve">financial modeling performed in </w:t>
      </w:r>
      <w:r w:rsidR="00ED2EC1">
        <w:t xml:space="preserve">connection with </w:t>
      </w:r>
      <w:r w:rsidR="00030826">
        <w:t>my ROE update indicate similar current and projected market conditions</w:t>
      </w:r>
      <w:r w:rsidR="00D25DC6">
        <w:t xml:space="preserve"> to those that prevailed at the time of my ROE analyses for </w:t>
      </w:r>
      <w:r w:rsidR="00CE23DD">
        <w:t>the 2014 Rate Case</w:t>
      </w:r>
      <w:r w:rsidR="00030826">
        <w:t xml:space="preserve">. </w:t>
      </w:r>
      <w:r w:rsidR="00D25DC6">
        <w:t xml:space="preserve"> In my rebuttal testimony</w:t>
      </w:r>
      <w:r w:rsidR="00ED2EC1">
        <w:t xml:space="preserve"> in that docket</w:t>
      </w:r>
      <w:r w:rsidR="00D25DC6">
        <w:t>, I showed t</w:t>
      </w:r>
      <w:r w:rsidR="00030826">
        <w:t xml:space="preserve">he </w:t>
      </w:r>
      <w:r w:rsidR="00D25DC6" w:rsidRPr="00D25DC6">
        <w:t xml:space="preserve">30-year Treasury </w:t>
      </w:r>
      <w:r w:rsidR="00D25DC6">
        <w:t>y</w:t>
      </w:r>
      <w:r w:rsidR="00D25DC6" w:rsidRPr="00D25DC6">
        <w:t>ield</w:t>
      </w:r>
      <w:r w:rsidR="00D25DC6">
        <w:t xml:space="preserve"> as of </w:t>
      </w:r>
      <w:r w:rsidR="00D25DC6" w:rsidRPr="00D25DC6">
        <w:t>November 6</w:t>
      </w:r>
      <w:r w:rsidR="00D25DC6">
        <w:t>,</w:t>
      </w:r>
      <w:r w:rsidR="00D25DC6" w:rsidRPr="00D25DC6">
        <w:t xml:space="preserve"> 2014</w:t>
      </w:r>
      <w:r w:rsidR="00CE23DD">
        <w:t>,</w:t>
      </w:r>
      <w:r w:rsidR="00D25DC6">
        <w:t xml:space="preserve"> to be 3.09 percent</w:t>
      </w:r>
      <w:r w:rsidR="00D25DC6" w:rsidRPr="00D25DC6">
        <w:t>.</w:t>
      </w:r>
      <w:r w:rsidR="00D25DC6">
        <w:t xml:space="preserve">  </w:t>
      </w:r>
      <w:r w:rsidR="00ED2EC1">
        <w:t>The level one year later, as of November 1</w:t>
      </w:r>
      <w:r w:rsidR="00330731">
        <w:t>2</w:t>
      </w:r>
      <w:r w:rsidR="00ED2EC1">
        <w:t xml:space="preserve">, 2015, </w:t>
      </w:r>
      <w:r w:rsidR="00A6515E">
        <w:t xml:space="preserve">is </w:t>
      </w:r>
      <w:r w:rsidR="00330731">
        <w:t xml:space="preserve">unchanged at </w:t>
      </w:r>
      <w:r w:rsidR="00A6515E">
        <w:t>3.0</w:t>
      </w:r>
      <w:r w:rsidR="00330731">
        <w:t>9</w:t>
      </w:r>
      <w:r w:rsidR="00A6515E">
        <w:t xml:space="preserve"> percent</w:t>
      </w:r>
      <w:r w:rsidR="00330731">
        <w:t xml:space="preserve">.  </w:t>
      </w:r>
      <w:r w:rsidR="00F7667B">
        <w:t>He</w:t>
      </w:r>
      <w:r w:rsidR="00CE23DD">
        <w:t>nce, the conditions in the long-</w:t>
      </w:r>
      <w:r w:rsidR="00F7667B">
        <w:t xml:space="preserve">term U.S. Treasury bond market are consistent today with the evidence presented to the Commission in </w:t>
      </w:r>
      <w:r w:rsidR="00CE23DD">
        <w:t>the 2014 Rate Case</w:t>
      </w:r>
      <w:r w:rsidR="00F7667B">
        <w:t xml:space="preserve">.  I note, however, that credit spreads for risky corporate debt have expanded since I prepared my rebuttal testimony in that docket.  While the yield for Moody’s Baa-rated long-term corporate bonds was 4.79 percent on November 6, 2014, it stood at 5.48 percent on </w:t>
      </w:r>
      <w:r w:rsidR="00F7667B" w:rsidRPr="00F7667B">
        <w:t>November 18, 2015</w:t>
      </w:r>
      <w:r w:rsidR="00F7667B">
        <w:t>, indicating a higher</w:t>
      </w:r>
      <w:r w:rsidR="00B21CB1">
        <w:t>-</w:t>
      </w:r>
      <w:r w:rsidR="00F7667B">
        <w:t xml:space="preserve">yield environment for risky corporate securities.  </w:t>
      </w:r>
      <w:r w:rsidR="002A0686">
        <w:t>My updated</w:t>
      </w:r>
      <w:r w:rsidR="00ED2EC1">
        <w:t xml:space="preserve"> application of the ROE models to the data for </w:t>
      </w:r>
      <w:r w:rsidR="00B21CB1">
        <w:t xml:space="preserve">the </w:t>
      </w:r>
      <w:r w:rsidR="00ED2EC1">
        <w:t>proxy</w:t>
      </w:r>
      <w:r w:rsidR="00301DF7">
        <w:t xml:space="preserve"> </w:t>
      </w:r>
      <w:r w:rsidR="00B21CB1">
        <w:t>group</w:t>
      </w:r>
      <w:r w:rsidR="00301DF7">
        <w:t xml:space="preserve"> </w:t>
      </w:r>
      <w:r w:rsidR="00B21CB1">
        <w:t xml:space="preserve">and the industry generally </w:t>
      </w:r>
      <w:r w:rsidR="00301DF7">
        <w:t xml:space="preserve">results in </w:t>
      </w:r>
      <w:r w:rsidR="00CE23DD">
        <w:t>discounted cash flow (</w:t>
      </w:r>
      <w:r w:rsidR="00301DF7">
        <w:t>DCF</w:t>
      </w:r>
      <w:r w:rsidR="00CE23DD">
        <w:t>)</w:t>
      </w:r>
      <w:r w:rsidR="00301DF7">
        <w:t xml:space="preserve"> model results of </w:t>
      </w:r>
      <w:r w:rsidR="006D282C">
        <w:t>8.88</w:t>
      </w:r>
      <w:r w:rsidR="005A6CD2">
        <w:t xml:space="preserve"> </w:t>
      </w:r>
      <w:r w:rsidR="00B21CB1">
        <w:t>and 10.40</w:t>
      </w:r>
      <w:r w:rsidR="00301DF7">
        <w:t xml:space="preserve"> percent and risk premium model results of 9.</w:t>
      </w:r>
      <w:r w:rsidR="00B91BE1">
        <w:t>29</w:t>
      </w:r>
      <w:r w:rsidR="00B21CB1">
        <w:t xml:space="preserve"> and 10.14 percent</w:t>
      </w:r>
      <w:r w:rsidR="00301DF7">
        <w:t xml:space="preserve">.  </w:t>
      </w:r>
      <w:r w:rsidR="00186F71">
        <w:t xml:space="preserve">In </w:t>
      </w:r>
      <w:r w:rsidR="00CE23DD">
        <w:t>the 2014 Rate Case</w:t>
      </w:r>
      <w:r w:rsidR="00186F71">
        <w:t>, t</w:t>
      </w:r>
      <w:r w:rsidR="00301DF7">
        <w:t>he</w:t>
      </w:r>
      <w:r w:rsidR="002A0686">
        <w:t xml:space="preserve"> corresponding</w:t>
      </w:r>
      <w:r w:rsidR="00301DF7">
        <w:t xml:space="preserve"> </w:t>
      </w:r>
      <w:r w:rsidR="00B21CB1">
        <w:t xml:space="preserve">DCF-based estimates </w:t>
      </w:r>
      <w:r w:rsidR="00301DF7">
        <w:t>were 9.</w:t>
      </w:r>
      <w:r w:rsidR="00B21CB1">
        <w:t>23</w:t>
      </w:r>
      <w:r w:rsidR="00301DF7">
        <w:t xml:space="preserve"> and 9.9</w:t>
      </w:r>
      <w:r w:rsidR="00B21CB1">
        <w:t>0</w:t>
      </w:r>
      <w:r w:rsidR="00301DF7">
        <w:t xml:space="preserve"> percent in my direct </w:t>
      </w:r>
      <w:r w:rsidR="00186F71">
        <w:t>testimony</w:t>
      </w:r>
      <w:r w:rsidR="00301DF7">
        <w:t xml:space="preserve"> and 9.</w:t>
      </w:r>
      <w:r w:rsidR="00B21CB1">
        <w:t>00</w:t>
      </w:r>
      <w:r w:rsidR="00301DF7">
        <w:t xml:space="preserve"> and </w:t>
      </w:r>
      <w:r w:rsidR="00B21CB1">
        <w:t>10</w:t>
      </w:r>
      <w:r w:rsidR="00301DF7">
        <w:t>.</w:t>
      </w:r>
      <w:r w:rsidR="00B21CB1">
        <w:t>1</w:t>
      </w:r>
      <w:r w:rsidR="00301DF7">
        <w:t xml:space="preserve">0 percent in rebuttal.  </w:t>
      </w:r>
      <w:r w:rsidR="00B21CB1">
        <w:t>For the risk premium models, the corresponding estimates were 9.67 and 10.22 percent in direct and 9.</w:t>
      </w:r>
      <w:r w:rsidR="00186F71">
        <w:t>73</w:t>
      </w:r>
      <w:r w:rsidR="00B21CB1">
        <w:t xml:space="preserve"> and 10.0</w:t>
      </w:r>
      <w:r w:rsidR="00186F71">
        <w:t>7</w:t>
      </w:r>
      <w:r w:rsidR="00B21CB1">
        <w:t xml:space="preserve"> percent in rebuttal.  T</w:t>
      </w:r>
      <w:r w:rsidR="00301DF7">
        <w:t xml:space="preserve">oday, as </w:t>
      </w:r>
      <w:r w:rsidR="00B21CB1">
        <w:t xml:space="preserve">it </w:t>
      </w:r>
      <w:r w:rsidR="00301DF7">
        <w:t xml:space="preserve">was one year ago, capital market analysts </w:t>
      </w:r>
      <w:r w:rsidR="00B21CB1">
        <w:t xml:space="preserve">are </w:t>
      </w:r>
      <w:r w:rsidR="00301DF7">
        <w:t>project</w:t>
      </w:r>
      <w:r w:rsidR="00B21CB1">
        <w:t>ing</w:t>
      </w:r>
      <w:r w:rsidR="00301DF7">
        <w:t xml:space="preserve"> an increase in long-term bond yields over the coming years.</w:t>
      </w:r>
      <w:r w:rsidR="006A3B3F">
        <w:t xml:space="preserve">  </w:t>
      </w:r>
      <w:r w:rsidR="002A0686">
        <w:t xml:space="preserve">For its part, the Federal Reserve has signaled that it will raise </w:t>
      </w:r>
      <w:r w:rsidR="002A0686">
        <w:lastRenderedPageBreak/>
        <w:t>short-term interest rates in December</w:t>
      </w:r>
      <w:r w:rsidR="00CE23DD">
        <w:t xml:space="preserve"> 2015</w:t>
      </w:r>
      <w:r w:rsidR="002A0686">
        <w:t>.</w:t>
      </w:r>
      <w:r w:rsidR="00960F8D">
        <w:rPr>
          <w:rStyle w:val="FootnoteReference"/>
        </w:rPr>
        <w:footnoteReference w:id="6"/>
      </w:r>
      <w:r w:rsidR="00186F71">
        <w:t xml:space="preserve">  </w:t>
      </w:r>
      <w:r w:rsidR="008503F8" w:rsidRPr="008503F8">
        <w:t xml:space="preserve">While </w:t>
      </w:r>
      <w:r w:rsidR="008503F8">
        <w:t>certain indicators of ROE have fallen slightly, others have increased</w:t>
      </w:r>
      <w:r w:rsidR="008503F8" w:rsidRPr="008503F8">
        <w:t xml:space="preserve">.  </w:t>
      </w:r>
      <w:r w:rsidR="00186F71">
        <w:t xml:space="preserve">On balance, </w:t>
      </w:r>
      <w:r w:rsidR="008503F8">
        <w:t xml:space="preserve">the </w:t>
      </w:r>
      <w:r w:rsidR="00186F71">
        <w:t xml:space="preserve">data suggests that capital market conditions are similar to those analyzed in the Company’s last </w:t>
      </w:r>
      <w:r w:rsidR="004507C9">
        <w:t>general rate case</w:t>
      </w:r>
      <w:r w:rsidR="00186F71">
        <w:t>.</w:t>
      </w:r>
    </w:p>
    <w:p w:rsidR="00406D06" w:rsidRDefault="00406D06" w:rsidP="00D16AA5">
      <w:pPr>
        <w:pStyle w:val="QAAnswer"/>
        <w:numPr>
          <w:ilvl w:val="1"/>
          <w:numId w:val="9"/>
        </w:numPr>
        <w:spacing w:after="0" w:line="480" w:lineRule="auto"/>
        <w:jc w:val="left"/>
      </w:pPr>
      <w:r>
        <w:t xml:space="preserve">Today’s capital markets reflect anomalous conditions in at least two respects.  First, the persistence of central bank intervention in capital markets has created an interest rate environment that has no precedent in recent history.  Second, recent share price gyrations in stock markets have kept investors on edge and have led to bouts of decreased liquidity at times of market stress.  In this context, it is appropriate to move cautiously when establishing fair returns as the prospects for equity investments are </w:t>
      </w:r>
      <w:r w:rsidR="00337187">
        <w:t>exhibiting</w:t>
      </w:r>
      <w:r>
        <w:t xml:space="preserve"> considerable volatility and increased liquidity risks</w:t>
      </w:r>
      <w:r w:rsidR="00D1103B">
        <w:t xml:space="preserve"> amidst the volatility</w:t>
      </w:r>
      <w:r>
        <w:t xml:space="preserve">.  </w:t>
      </w:r>
    </w:p>
    <w:p w:rsidR="00301DF7" w:rsidRDefault="00EA70F9" w:rsidP="00D16AA5">
      <w:pPr>
        <w:pStyle w:val="QAAnswer"/>
        <w:numPr>
          <w:ilvl w:val="1"/>
          <w:numId w:val="9"/>
        </w:numPr>
        <w:spacing w:after="0" w:line="480" w:lineRule="auto"/>
        <w:jc w:val="left"/>
      </w:pPr>
      <w:r>
        <w:t xml:space="preserve">A fair return for Pacific Power must consider returns available </w:t>
      </w:r>
      <w:r w:rsidR="005A06F0">
        <w:t xml:space="preserve">to equity investors </w:t>
      </w:r>
      <w:r>
        <w:t xml:space="preserve">on comparable investments. </w:t>
      </w:r>
      <w:r w:rsidR="009B5C86">
        <w:t xml:space="preserve"> The authorized ROE of 9.5 percent on a </w:t>
      </w:r>
      <w:r w:rsidR="004507C9">
        <w:t>hypothetical</w:t>
      </w:r>
      <w:r w:rsidR="009B5C86">
        <w:t xml:space="preserve"> 49</w:t>
      </w:r>
      <w:r w:rsidR="001725D5">
        <w:t>.1</w:t>
      </w:r>
      <w:r w:rsidR="009B5C86">
        <w:t xml:space="preserve"> percent equity base is at the low end of returns available to </w:t>
      </w:r>
      <w:r w:rsidR="00186F71">
        <w:t xml:space="preserve">equity owners of integrated </w:t>
      </w:r>
      <w:r w:rsidR="009B5C86">
        <w:t>electric utilit</w:t>
      </w:r>
      <w:r w:rsidR="00186F71">
        <w:t>ies</w:t>
      </w:r>
      <w:r w:rsidR="009B5C86">
        <w:t>.</w:t>
      </w:r>
      <w:r w:rsidR="001725D5">
        <w:rPr>
          <w:rStyle w:val="FootnoteReference"/>
        </w:rPr>
        <w:footnoteReference w:id="7"/>
      </w:r>
      <w:r w:rsidR="00186F71">
        <w:t xml:space="preserve">  </w:t>
      </w:r>
      <w:r w:rsidR="00186F71" w:rsidRPr="00186F71">
        <w:rPr>
          <w:i/>
        </w:rPr>
        <w:t>See</w:t>
      </w:r>
      <w:r w:rsidR="00186F71">
        <w:t xml:space="preserve"> </w:t>
      </w:r>
      <w:r w:rsidR="00186F71" w:rsidRPr="00A715C9">
        <w:t>Exhibit No.</w:t>
      </w:r>
      <w:r w:rsidR="00A22001">
        <w:t xml:space="preserve"> </w:t>
      </w:r>
      <w:r w:rsidR="00186F71">
        <w:t>KGS</w:t>
      </w:r>
      <w:r w:rsidR="00186F71" w:rsidRPr="00A715C9">
        <w:t>-</w:t>
      </w:r>
      <w:r w:rsidR="00186F71">
        <w:t>3.</w:t>
      </w:r>
      <w:r w:rsidR="009B5C86">
        <w:t xml:space="preserve">  The average authorized return for </w:t>
      </w:r>
      <w:r w:rsidR="00186F71">
        <w:t xml:space="preserve">all state-regulated </w:t>
      </w:r>
      <w:r w:rsidR="009B5C86">
        <w:t>electric utilities in the first three quarters of 2015 is 10.01 percent</w:t>
      </w:r>
      <w:r w:rsidR="000C43D8">
        <w:t>, a figure which has moved less than 10 basis points from the level observed for calendar year 2014</w:t>
      </w:r>
      <w:r w:rsidR="009B5C86">
        <w:t xml:space="preserve">.  </w:t>
      </w:r>
      <w:r w:rsidR="000C43D8">
        <w:t>In addition, t</w:t>
      </w:r>
      <w:r w:rsidR="00186F71">
        <w:t xml:space="preserve">he </w:t>
      </w:r>
      <w:r w:rsidR="004507C9">
        <w:t>Federal Energy Regulatory Commission (</w:t>
      </w:r>
      <w:r w:rsidR="009B5C86">
        <w:t>FERC</w:t>
      </w:r>
      <w:r w:rsidR="004507C9">
        <w:t>)</w:t>
      </w:r>
      <w:r w:rsidR="009B5C86">
        <w:t xml:space="preserve"> has authorized ROEs at levels that exceed these state-level returns for electric transmission and </w:t>
      </w:r>
      <w:r w:rsidR="009B5C86">
        <w:lastRenderedPageBreak/>
        <w:t>interstate pipeline investments.  C</w:t>
      </w:r>
      <w:r w:rsidR="00C66341">
        <w:t xml:space="preserve">omparisons to </w:t>
      </w:r>
      <w:r w:rsidR="00273DEF">
        <w:t xml:space="preserve">these </w:t>
      </w:r>
      <w:r w:rsidR="00C66341">
        <w:t>other investment opportunities</w:t>
      </w:r>
      <w:r w:rsidR="004507C9">
        <w:t xml:space="preserve"> demonstrate that </w:t>
      </w:r>
      <w:r w:rsidR="009B5C86">
        <w:t xml:space="preserve">10 percent reflects a fair </w:t>
      </w:r>
      <w:r w:rsidR="00273DEF">
        <w:t xml:space="preserve">equity </w:t>
      </w:r>
      <w:r w:rsidR="009B5C86">
        <w:t>return for Pacific Power</w:t>
      </w:r>
      <w:r w:rsidR="00C66341">
        <w:t xml:space="preserve">.  </w:t>
      </w:r>
    </w:p>
    <w:p w:rsidR="00406D06" w:rsidRDefault="00406D06" w:rsidP="00D16AA5">
      <w:pPr>
        <w:pStyle w:val="QAAnswer"/>
        <w:numPr>
          <w:ilvl w:val="1"/>
          <w:numId w:val="9"/>
        </w:numPr>
        <w:spacing w:after="0" w:line="480" w:lineRule="auto"/>
        <w:jc w:val="left"/>
      </w:pPr>
      <w:r>
        <w:t xml:space="preserve">The new regulatory mechanisms that the Company proposes are relatively common in the industry and do not warrant any change to ROE due to regulatory risk differences as between the Company and the Proxy Group.  As shown in the direct testimony of Mr. Dalley, the Company’s overall authorized rate of return is </w:t>
      </w:r>
      <w:r w:rsidR="002B6E54">
        <w:t>below other</w:t>
      </w:r>
      <w:r>
        <w:t xml:space="preserve"> electric utilit</w:t>
      </w:r>
      <w:r w:rsidR="002B6E54">
        <w:t>ies</w:t>
      </w:r>
      <w:r>
        <w:t xml:space="preserve"> regulated by this Commission.  The Commission has approved </w:t>
      </w:r>
      <w:r w:rsidR="00D278FD">
        <w:t xml:space="preserve">overall </w:t>
      </w:r>
      <w:r>
        <w:t xml:space="preserve">rates of return </w:t>
      </w:r>
      <w:r w:rsidR="00D278FD">
        <w:t xml:space="preserve">for </w:t>
      </w:r>
      <w:r>
        <w:t xml:space="preserve">both </w:t>
      </w:r>
      <w:r w:rsidRPr="00406D06">
        <w:t>P</w:t>
      </w:r>
      <w:r>
        <w:t xml:space="preserve">uget </w:t>
      </w:r>
      <w:r w:rsidRPr="00406D06">
        <w:t>S</w:t>
      </w:r>
      <w:r>
        <w:t xml:space="preserve">ound </w:t>
      </w:r>
      <w:r w:rsidRPr="00406D06">
        <w:t>E</w:t>
      </w:r>
      <w:r>
        <w:t>nergy, Inc.</w:t>
      </w:r>
      <w:r w:rsidR="00496DB1">
        <w:t xml:space="preserve"> (PSE)</w:t>
      </w:r>
      <w:r w:rsidRPr="00406D06">
        <w:t xml:space="preserve"> and </w:t>
      </w:r>
      <w:proofErr w:type="spellStart"/>
      <w:r w:rsidRPr="00406D06">
        <w:t>Avista</w:t>
      </w:r>
      <w:proofErr w:type="spellEnd"/>
      <w:r w:rsidRPr="00406D06">
        <w:t xml:space="preserve"> </w:t>
      </w:r>
      <w:r>
        <w:t xml:space="preserve">Corp. at levels higher than that </w:t>
      </w:r>
      <w:r w:rsidR="00D278FD">
        <w:t xml:space="preserve">previously </w:t>
      </w:r>
      <w:r>
        <w:t>approved for Pacific Power even wh</w:t>
      </w:r>
      <w:r w:rsidR="00273DEF">
        <w:t>ile</w:t>
      </w:r>
      <w:r>
        <w:t xml:space="preserve"> those firms </w:t>
      </w:r>
      <w:r w:rsidR="00273DEF">
        <w:t>incorporate</w:t>
      </w:r>
      <w:r w:rsidRPr="00406D06">
        <w:t xml:space="preserve"> decoupling and power cost adjustment mechanisms in</w:t>
      </w:r>
      <w:r w:rsidR="00273DEF">
        <w:t xml:space="preserve">to their </w:t>
      </w:r>
      <w:r w:rsidR="00960F8D">
        <w:t>tariffs</w:t>
      </w:r>
      <w:r>
        <w:t>.</w:t>
      </w:r>
      <w:r w:rsidR="00337187">
        <w:t xml:space="preserve">  </w:t>
      </w:r>
    </w:p>
    <w:p w:rsidR="007B5760" w:rsidRDefault="00960F8D" w:rsidP="00D16AA5">
      <w:pPr>
        <w:pStyle w:val="QAQuestion"/>
        <w:tabs>
          <w:tab w:val="num" w:pos="720"/>
        </w:tabs>
        <w:spacing w:after="0" w:line="480" w:lineRule="auto"/>
        <w:ind w:left="720" w:hanging="720"/>
        <w:jc w:val="left"/>
        <w:rPr>
          <w:szCs w:val="24"/>
        </w:rPr>
      </w:pPr>
      <w:r w:rsidRPr="00960F8D">
        <w:rPr>
          <w:szCs w:val="24"/>
        </w:rPr>
        <w:tab/>
      </w:r>
      <w:r w:rsidR="007B5760" w:rsidRPr="00960F8D">
        <w:rPr>
          <w:szCs w:val="24"/>
        </w:rPr>
        <w:t>I will provide additional details on the</w:t>
      </w:r>
      <w:r w:rsidR="00D83568" w:rsidRPr="00960F8D">
        <w:rPr>
          <w:szCs w:val="24"/>
        </w:rPr>
        <w:t xml:space="preserve">se points </w:t>
      </w:r>
      <w:r w:rsidR="00A6515E">
        <w:rPr>
          <w:szCs w:val="24"/>
        </w:rPr>
        <w:t>below</w:t>
      </w:r>
      <w:r w:rsidR="007B5760" w:rsidRPr="00960F8D">
        <w:rPr>
          <w:szCs w:val="24"/>
        </w:rPr>
        <w:t>.</w:t>
      </w:r>
    </w:p>
    <w:p w:rsidR="00EB35AC" w:rsidRPr="00384017" w:rsidRDefault="007F5EDF"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How is the remainder of your testimony organized?</w:t>
      </w:r>
    </w:p>
    <w:p w:rsidR="00EB35AC" w:rsidRPr="00384017" w:rsidRDefault="007F5EDF" w:rsidP="00D16AA5">
      <w:pPr>
        <w:pStyle w:val="QAAnswer"/>
        <w:tabs>
          <w:tab w:val="num" w:pos="720"/>
        </w:tabs>
        <w:spacing w:after="0" w:line="480" w:lineRule="auto"/>
        <w:ind w:left="720" w:hanging="720"/>
        <w:jc w:val="left"/>
        <w:rPr>
          <w:szCs w:val="24"/>
        </w:rPr>
      </w:pPr>
      <w:r w:rsidRPr="00384017">
        <w:rPr>
          <w:szCs w:val="24"/>
        </w:rPr>
        <w:t>A.</w:t>
      </w:r>
      <w:r w:rsidRPr="00384017">
        <w:rPr>
          <w:szCs w:val="24"/>
        </w:rPr>
        <w:tab/>
      </w:r>
      <w:r w:rsidR="00B205E9" w:rsidRPr="00384017">
        <w:rPr>
          <w:szCs w:val="24"/>
        </w:rPr>
        <w:t xml:space="preserve">First, </w:t>
      </w:r>
      <w:r w:rsidR="008D186F">
        <w:rPr>
          <w:szCs w:val="24"/>
        </w:rPr>
        <w:t>I present the specific estimates of ROE resulting from my updated analysis</w:t>
      </w:r>
      <w:r w:rsidR="00960F8D">
        <w:rPr>
          <w:szCs w:val="24"/>
        </w:rPr>
        <w:t xml:space="preserve">.  These estimates remain reasonably close to those that the Commission </w:t>
      </w:r>
      <w:r w:rsidR="002B6E54">
        <w:rPr>
          <w:szCs w:val="24"/>
        </w:rPr>
        <w:t>had on record</w:t>
      </w:r>
      <w:r w:rsidR="00960F8D">
        <w:rPr>
          <w:szCs w:val="24"/>
        </w:rPr>
        <w:t xml:space="preserve"> when it approved a 9.5 percent ROE earlier this year.  Second, I summarize </w:t>
      </w:r>
      <w:r w:rsidR="008D186F">
        <w:rPr>
          <w:szCs w:val="24"/>
        </w:rPr>
        <w:t>current and projected capital market conditions</w:t>
      </w:r>
      <w:r w:rsidR="00960F8D">
        <w:rPr>
          <w:szCs w:val="24"/>
        </w:rPr>
        <w:t xml:space="preserve"> and discuss the trends of central bank intervention</w:t>
      </w:r>
      <w:r w:rsidR="005B3341">
        <w:rPr>
          <w:szCs w:val="24"/>
        </w:rPr>
        <w:t>, heightened volatility</w:t>
      </w:r>
      <w:r w:rsidR="00960F8D">
        <w:rPr>
          <w:szCs w:val="24"/>
        </w:rPr>
        <w:t xml:space="preserve"> and liquidity constraints during periods of market stress.  </w:t>
      </w:r>
      <w:r w:rsidR="008D186F">
        <w:rPr>
          <w:szCs w:val="24"/>
        </w:rPr>
        <w:t xml:space="preserve">Third, I discuss the effects of the </w:t>
      </w:r>
      <w:r w:rsidR="00071AE8">
        <w:rPr>
          <w:szCs w:val="24"/>
        </w:rPr>
        <w:t xml:space="preserve">ERF, decoupling mechanism, and </w:t>
      </w:r>
      <w:r w:rsidR="00960F8D">
        <w:rPr>
          <w:szCs w:val="24"/>
        </w:rPr>
        <w:t xml:space="preserve">two-year </w:t>
      </w:r>
      <w:r w:rsidR="00071AE8">
        <w:rPr>
          <w:szCs w:val="24"/>
        </w:rPr>
        <w:t xml:space="preserve">rate plan on the </w:t>
      </w:r>
      <w:r w:rsidRPr="00384017">
        <w:rPr>
          <w:szCs w:val="24"/>
        </w:rPr>
        <w:t>business and financial risks faced by the Company as compared to those faced by proxy group companies</w:t>
      </w:r>
      <w:r w:rsidR="00170E57" w:rsidRPr="00384017">
        <w:rPr>
          <w:szCs w:val="24"/>
        </w:rPr>
        <w:t xml:space="preserve">, and </w:t>
      </w:r>
      <w:r w:rsidR="00071AE8">
        <w:rPr>
          <w:szCs w:val="24"/>
        </w:rPr>
        <w:t xml:space="preserve">conclude that </w:t>
      </w:r>
      <w:r w:rsidR="001866FB">
        <w:rPr>
          <w:szCs w:val="24"/>
        </w:rPr>
        <w:t xml:space="preserve">these mechanisms do not </w:t>
      </w:r>
      <w:r w:rsidR="001866FB">
        <w:rPr>
          <w:szCs w:val="24"/>
        </w:rPr>
        <w:lastRenderedPageBreak/>
        <w:t xml:space="preserve">warrant </w:t>
      </w:r>
      <w:r w:rsidR="008D186F">
        <w:rPr>
          <w:szCs w:val="24"/>
        </w:rPr>
        <w:t xml:space="preserve">adjustment to the ROE. </w:t>
      </w:r>
      <w:r w:rsidR="004507C9">
        <w:rPr>
          <w:szCs w:val="24"/>
        </w:rPr>
        <w:t xml:space="preserve"> </w:t>
      </w:r>
      <w:r w:rsidR="00960F8D">
        <w:rPr>
          <w:szCs w:val="24"/>
        </w:rPr>
        <w:t xml:space="preserve">Fourth, I describe recent trends in the ROE levels authorized by regulators.  </w:t>
      </w:r>
      <w:r w:rsidR="00170E57" w:rsidRPr="00384017">
        <w:rPr>
          <w:szCs w:val="24"/>
        </w:rPr>
        <w:t xml:space="preserve">I conclude by summarizing my </w:t>
      </w:r>
      <w:r w:rsidR="00D83568">
        <w:rPr>
          <w:szCs w:val="24"/>
        </w:rPr>
        <w:t>findings</w:t>
      </w:r>
      <w:r w:rsidR="001D59A5" w:rsidRPr="00384017">
        <w:rPr>
          <w:szCs w:val="24"/>
        </w:rPr>
        <w:t>.</w:t>
      </w:r>
    </w:p>
    <w:p w:rsidR="00EB35AC" w:rsidRPr="00CE4724" w:rsidRDefault="00273DEF" w:rsidP="00CE4724">
      <w:pPr>
        <w:pStyle w:val="Heading1"/>
      </w:pPr>
      <w:bookmarkStart w:id="12" w:name="_Toc354997999"/>
      <w:bookmarkStart w:id="13" w:name="_Toc355788473"/>
      <w:bookmarkStart w:id="14" w:name="_Toc384626545"/>
      <w:bookmarkStart w:id="15" w:name="_Toc384626565"/>
      <w:bookmarkStart w:id="16" w:name="_Toc384626607"/>
      <w:bookmarkStart w:id="17" w:name="_Toc386637264"/>
      <w:bookmarkStart w:id="18" w:name="_Toc436143595"/>
      <w:bookmarkStart w:id="19" w:name="_Toc436145829"/>
      <w:r w:rsidRPr="00CE4724">
        <w:t xml:space="preserve">Updated </w:t>
      </w:r>
      <w:r w:rsidR="007F5EDF" w:rsidRPr="00CE4724">
        <w:t>Return on Equity</w:t>
      </w:r>
      <w:bookmarkEnd w:id="12"/>
      <w:bookmarkEnd w:id="13"/>
      <w:bookmarkEnd w:id="14"/>
      <w:bookmarkEnd w:id="15"/>
      <w:bookmarkEnd w:id="16"/>
      <w:bookmarkEnd w:id="17"/>
      <w:r w:rsidRPr="00CE4724">
        <w:t xml:space="preserve"> Analysis</w:t>
      </w:r>
      <w:bookmarkEnd w:id="18"/>
      <w:bookmarkEnd w:id="19"/>
    </w:p>
    <w:p w:rsidR="008C7D18" w:rsidRPr="00B14675" w:rsidRDefault="008C7D18" w:rsidP="00A95284">
      <w:pPr>
        <w:pStyle w:val="question0"/>
        <w:keepNext/>
        <w:keepLines/>
        <w:spacing w:before="0" w:after="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How did you arrive at your </w:t>
      </w:r>
      <w:r w:rsidR="00A6515E">
        <w:rPr>
          <w:rFonts w:ascii="Times New Roman" w:eastAsia="SimSun" w:hAnsi="Times New Roman"/>
        </w:rPr>
        <w:t>assessment of a fair return</w:t>
      </w:r>
      <w:r>
        <w:rPr>
          <w:rFonts w:ascii="Times New Roman" w:eastAsia="SimSun" w:hAnsi="Times New Roman"/>
        </w:rPr>
        <w:t xml:space="preserve"> for Pacific Power?</w:t>
      </w:r>
    </w:p>
    <w:p w:rsidR="008C7D18" w:rsidRPr="00B14675" w:rsidRDefault="008C7D18" w:rsidP="00A95284">
      <w:pPr>
        <w:pStyle w:val="answer"/>
        <w:spacing w:before="0" w:after="0"/>
        <w:rPr>
          <w:rFonts w:ascii="Times New Roman" w:eastAsia="SimSun" w:hAnsi="Times New Roman"/>
        </w:rPr>
      </w:pPr>
      <w:r w:rsidRPr="00B14675">
        <w:rPr>
          <w:rFonts w:ascii="Times New Roman" w:eastAsia="SimSun" w:hAnsi="Times New Roman"/>
        </w:rPr>
        <w:t>A.</w:t>
      </w:r>
      <w:r w:rsidRPr="00B14675">
        <w:rPr>
          <w:rFonts w:ascii="Times New Roman" w:eastAsia="SimSun" w:hAnsi="Times New Roman"/>
        </w:rPr>
        <w:tab/>
      </w:r>
      <w:r>
        <w:rPr>
          <w:rFonts w:ascii="Times New Roman" w:eastAsia="SimSun" w:hAnsi="Times New Roman"/>
        </w:rPr>
        <w:t xml:space="preserve">I performed cost of capital studies using </w:t>
      </w:r>
      <w:r w:rsidR="005A06F0">
        <w:rPr>
          <w:rFonts w:ascii="Times New Roman" w:eastAsia="SimSun" w:hAnsi="Times New Roman"/>
        </w:rPr>
        <w:t xml:space="preserve">established </w:t>
      </w:r>
      <w:r>
        <w:rPr>
          <w:rFonts w:ascii="Times New Roman" w:eastAsia="SimSun" w:hAnsi="Times New Roman"/>
        </w:rPr>
        <w:t xml:space="preserve">financial models and </w:t>
      </w:r>
      <w:r w:rsidR="00A6515E">
        <w:rPr>
          <w:rFonts w:ascii="Times New Roman" w:eastAsia="SimSun" w:hAnsi="Times New Roman"/>
        </w:rPr>
        <w:t xml:space="preserve">reviewed general trends in </w:t>
      </w:r>
      <w:r w:rsidR="001866FB">
        <w:rPr>
          <w:rFonts w:ascii="Times New Roman" w:eastAsia="SimSun" w:hAnsi="Times New Roman"/>
        </w:rPr>
        <w:t>capital market conditions.  M</w:t>
      </w:r>
      <w:r>
        <w:rPr>
          <w:rFonts w:ascii="Times New Roman" w:eastAsia="SimSun" w:hAnsi="Times New Roman"/>
        </w:rPr>
        <w:t xml:space="preserve">y familiarity </w:t>
      </w:r>
      <w:r w:rsidR="001866FB">
        <w:rPr>
          <w:rFonts w:ascii="Times New Roman" w:eastAsia="SimSun" w:hAnsi="Times New Roman"/>
        </w:rPr>
        <w:t xml:space="preserve">with the </w:t>
      </w:r>
      <w:r>
        <w:rPr>
          <w:rFonts w:ascii="Times New Roman" w:eastAsia="SimSun" w:hAnsi="Times New Roman"/>
        </w:rPr>
        <w:t>Company</w:t>
      </w:r>
      <w:r w:rsidR="001866FB">
        <w:rPr>
          <w:rFonts w:ascii="Times New Roman" w:eastAsia="SimSun" w:hAnsi="Times New Roman"/>
        </w:rPr>
        <w:t>’s</w:t>
      </w:r>
      <w:r>
        <w:rPr>
          <w:rFonts w:ascii="Times New Roman" w:eastAsia="SimSun" w:hAnsi="Times New Roman"/>
        </w:rPr>
        <w:t xml:space="preserve"> </w:t>
      </w:r>
      <w:r w:rsidR="001866FB">
        <w:rPr>
          <w:rFonts w:ascii="Times New Roman" w:eastAsia="SimSun" w:hAnsi="Times New Roman"/>
        </w:rPr>
        <w:t xml:space="preserve">specific </w:t>
      </w:r>
      <w:r w:rsidR="0060799A">
        <w:rPr>
          <w:rFonts w:ascii="Times New Roman" w:eastAsia="SimSun" w:hAnsi="Times New Roman"/>
        </w:rPr>
        <w:t xml:space="preserve">market and </w:t>
      </w:r>
      <w:r w:rsidR="001866FB">
        <w:rPr>
          <w:rFonts w:ascii="Times New Roman" w:eastAsia="SimSun" w:hAnsi="Times New Roman"/>
        </w:rPr>
        <w:t xml:space="preserve">regulatory situation, gained from my involvement </w:t>
      </w:r>
      <w:r>
        <w:rPr>
          <w:rFonts w:ascii="Times New Roman" w:eastAsia="SimSun" w:hAnsi="Times New Roman"/>
        </w:rPr>
        <w:t xml:space="preserve">in its most recent </w:t>
      </w:r>
      <w:r w:rsidR="004507C9">
        <w:rPr>
          <w:rFonts w:ascii="Times New Roman" w:eastAsia="SimSun" w:hAnsi="Times New Roman"/>
        </w:rPr>
        <w:t>general rate case</w:t>
      </w:r>
      <w:r>
        <w:rPr>
          <w:rFonts w:ascii="Times New Roman" w:eastAsia="SimSun" w:hAnsi="Times New Roman"/>
        </w:rPr>
        <w:t xml:space="preserve">, </w:t>
      </w:r>
      <w:r w:rsidR="001866FB">
        <w:rPr>
          <w:rFonts w:ascii="Times New Roman" w:eastAsia="SimSun" w:hAnsi="Times New Roman"/>
        </w:rPr>
        <w:t xml:space="preserve">also helped to shape my conclusions on </w:t>
      </w:r>
      <w:r>
        <w:rPr>
          <w:rFonts w:ascii="Times New Roman" w:eastAsia="SimSun" w:hAnsi="Times New Roman"/>
        </w:rPr>
        <w:t>a reasonable ROE</w:t>
      </w:r>
      <w:r w:rsidRPr="00B14675">
        <w:rPr>
          <w:rFonts w:ascii="Times New Roman" w:eastAsia="SimSun" w:hAnsi="Times New Roman"/>
        </w:rPr>
        <w:t xml:space="preserve">.  </w:t>
      </w:r>
      <w:r>
        <w:rPr>
          <w:rFonts w:ascii="Times New Roman" w:eastAsia="SimSun" w:hAnsi="Times New Roman"/>
        </w:rPr>
        <w:t xml:space="preserve">I </w:t>
      </w:r>
      <w:r w:rsidR="004507C9">
        <w:rPr>
          <w:rFonts w:ascii="Times New Roman" w:eastAsia="SimSun" w:hAnsi="Times New Roman"/>
        </w:rPr>
        <w:t>used</w:t>
      </w:r>
      <w:r>
        <w:rPr>
          <w:rFonts w:ascii="Times New Roman" w:eastAsia="SimSun" w:hAnsi="Times New Roman"/>
        </w:rPr>
        <w:t xml:space="preserve"> several </w:t>
      </w:r>
      <w:r w:rsidRPr="00B14675">
        <w:rPr>
          <w:rFonts w:ascii="Times New Roman" w:eastAsia="SimSun" w:hAnsi="Times New Roman"/>
        </w:rPr>
        <w:t>cost of capital methodologies, including the DCF</w:t>
      </w:r>
      <w:r>
        <w:rPr>
          <w:rFonts w:ascii="Times New Roman" w:eastAsia="SimSun" w:hAnsi="Times New Roman"/>
        </w:rPr>
        <w:t xml:space="preserve"> model</w:t>
      </w:r>
      <w:r w:rsidRPr="00B14675">
        <w:rPr>
          <w:rFonts w:ascii="Times New Roman" w:eastAsia="SimSun" w:hAnsi="Times New Roman"/>
        </w:rPr>
        <w:t xml:space="preserve">, </w:t>
      </w:r>
      <w:r>
        <w:rPr>
          <w:rFonts w:ascii="Times New Roman" w:eastAsia="SimSun" w:hAnsi="Times New Roman"/>
        </w:rPr>
        <w:t xml:space="preserve">the </w:t>
      </w:r>
      <w:r w:rsidRPr="00B14675">
        <w:rPr>
          <w:rFonts w:ascii="Times New Roman" w:eastAsia="SimSun" w:hAnsi="Times New Roman"/>
        </w:rPr>
        <w:t>Capital Asset Pricing Model (CAPM)</w:t>
      </w:r>
      <w:r>
        <w:rPr>
          <w:rFonts w:ascii="Times New Roman" w:eastAsia="SimSun" w:hAnsi="Times New Roman"/>
        </w:rPr>
        <w:t xml:space="preserve">, and a </w:t>
      </w:r>
      <w:r w:rsidRPr="00B14675">
        <w:rPr>
          <w:rFonts w:ascii="Times New Roman" w:eastAsia="SimSun" w:hAnsi="Times New Roman"/>
        </w:rPr>
        <w:t>risk premium</w:t>
      </w:r>
      <w:r>
        <w:rPr>
          <w:rFonts w:ascii="Times New Roman" w:eastAsia="SimSun" w:hAnsi="Times New Roman"/>
        </w:rPr>
        <w:t xml:space="preserve"> model</w:t>
      </w:r>
      <w:r w:rsidR="0060799A">
        <w:rPr>
          <w:rFonts w:ascii="Times New Roman" w:eastAsia="SimSun" w:hAnsi="Times New Roman"/>
        </w:rPr>
        <w:t xml:space="preserve">, as well as an examination of </w:t>
      </w:r>
      <w:r w:rsidR="004507C9">
        <w:rPr>
          <w:rFonts w:ascii="Times New Roman" w:eastAsia="SimSun" w:hAnsi="Times New Roman"/>
        </w:rPr>
        <w:t>comparable earnings and allowed r</w:t>
      </w:r>
      <w:r w:rsidR="0060799A">
        <w:rPr>
          <w:rFonts w:ascii="Times New Roman" w:eastAsia="SimSun" w:hAnsi="Times New Roman"/>
        </w:rPr>
        <w:t>eturns</w:t>
      </w:r>
      <w:r>
        <w:rPr>
          <w:rFonts w:ascii="Times New Roman" w:eastAsia="SimSun" w:hAnsi="Times New Roman"/>
        </w:rPr>
        <w:t xml:space="preserve">.  </w:t>
      </w:r>
      <w:proofErr w:type="gramStart"/>
      <w:r w:rsidR="0060799A" w:rsidRPr="0060799A">
        <w:rPr>
          <w:rFonts w:ascii="Times New Roman" w:eastAsia="SimSun" w:hAnsi="Times New Roman"/>
        </w:rPr>
        <w:t>Exhibit No</w:t>
      </w:r>
      <w:r w:rsidR="00A6515E">
        <w:rPr>
          <w:rFonts w:ascii="Times New Roman" w:eastAsia="SimSun" w:hAnsi="Times New Roman"/>
        </w:rPr>
        <w:t>s</w:t>
      </w:r>
      <w:r w:rsidR="0060799A" w:rsidRPr="0060799A">
        <w:rPr>
          <w:rFonts w:ascii="Times New Roman" w:eastAsia="SimSun" w:hAnsi="Times New Roman"/>
        </w:rPr>
        <w:t>.</w:t>
      </w:r>
      <w:proofErr w:type="gramEnd"/>
      <w:r w:rsidR="00A22001">
        <w:rPr>
          <w:rFonts w:ascii="Times New Roman" w:eastAsia="SimSun" w:hAnsi="Times New Roman"/>
        </w:rPr>
        <w:t> </w:t>
      </w:r>
      <w:r w:rsidR="0060799A" w:rsidRPr="0060799A">
        <w:rPr>
          <w:rFonts w:ascii="Times New Roman" w:eastAsia="SimSun" w:hAnsi="Times New Roman"/>
        </w:rPr>
        <w:t>KGS-</w:t>
      </w:r>
      <w:r w:rsidR="000D0B60">
        <w:rPr>
          <w:rFonts w:ascii="Times New Roman" w:eastAsia="SimSun" w:hAnsi="Times New Roman"/>
        </w:rPr>
        <w:t xml:space="preserve">3 </w:t>
      </w:r>
      <w:r w:rsidR="00A6515E">
        <w:rPr>
          <w:rFonts w:ascii="Times New Roman" w:eastAsia="SimSun" w:hAnsi="Times New Roman"/>
        </w:rPr>
        <w:t xml:space="preserve">through </w:t>
      </w:r>
      <w:r w:rsidR="00A6515E" w:rsidRPr="0060799A">
        <w:rPr>
          <w:rFonts w:ascii="Times New Roman" w:eastAsia="SimSun" w:hAnsi="Times New Roman"/>
        </w:rPr>
        <w:t>KGS-</w:t>
      </w:r>
      <w:r w:rsidR="00A6515E">
        <w:rPr>
          <w:rFonts w:ascii="Times New Roman" w:eastAsia="SimSun" w:hAnsi="Times New Roman"/>
        </w:rPr>
        <w:t>1</w:t>
      </w:r>
      <w:r w:rsidR="000C43D8">
        <w:rPr>
          <w:rFonts w:ascii="Times New Roman" w:eastAsia="SimSun" w:hAnsi="Times New Roman"/>
        </w:rPr>
        <w:t>7</w:t>
      </w:r>
      <w:r w:rsidR="00A6515E">
        <w:rPr>
          <w:rFonts w:ascii="Times New Roman" w:eastAsia="SimSun" w:hAnsi="Times New Roman"/>
        </w:rPr>
        <w:t xml:space="preserve"> </w:t>
      </w:r>
      <w:proofErr w:type="gramStart"/>
      <w:r w:rsidR="00A6515E">
        <w:rPr>
          <w:rFonts w:ascii="Times New Roman" w:eastAsia="SimSun" w:hAnsi="Times New Roman"/>
        </w:rPr>
        <w:t>present</w:t>
      </w:r>
      <w:proofErr w:type="gramEnd"/>
      <w:r w:rsidR="00A6515E">
        <w:rPr>
          <w:rFonts w:ascii="Times New Roman" w:eastAsia="SimSun" w:hAnsi="Times New Roman"/>
        </w:rPr>
        <w:t xml:space="preserve"> the results of these financial models, together with graphical depictions of the evolution of key capital market parameters</w:t>
      </w:r>
      <w:r w:rsidR="007C4813">
        <w:rPr>
          <w:rFonts w:ascii="Times New Roman" w:eastAsia="SimSun" w:hAnsi="Times New Roman"/>
        </w:rPr>
        <w:t xml:space="preserve"> and a summary of recent allowed returns</w:t>
      </w:r>
      <w:r w:rsidR="00A6515E">
        <w:rPr>
          <w:rFonts w:ascii="Times New Roman" w:eastAsia="SimSun" w:hAnsi="Times New Roman"/>
        </w:rPr>
        <w:t xml:space="preserve">.  </w:t>
      </w:r>
    </w:p>
    <w:p w:rsidR="008D186F" w:rsidRPr="00B14675" w:rsidRDefault="008D186F" w:rsidP="00A95284">
      <w:pPr>
        <w:pStyle w:val="question0"/>
        <w:keepNext/>
        <w:keepLines/>
        <w:spacing w:before="0" w:after="0"/>
        <w:rPr>
          <w:rFonts w:ascii="Times New Roman" w:hAnsi="Times New Roman"/>
        </w:rPr>
      </w:pPr>
      <w:r w:rsidRPr="00B14675">
        <w:rPr>
          <w:rFonts w:ascii="Times New Roman" w:eastAsia="SimSun" w:hAnsi="Times New Roman"/>
        </w:rPr>
        <w:t>Q.</w:t>
      </w:r>
      <w:r w:rsidRPr="00B14675">
        <w:rPr>
          <w:rFonts w:ascii="Times New Roman" w:eastAsia="SimSun" w:hAnsi="Times New Roman"/>
        </w:rPr>
        <w:tab/>
      </w:r>
      <w:r w:rsidR="001866FB">
        <w:rPr>
          <w:rFonts w:ascii="Times New Roman" w:eastAsia="SimSun" w:hAnsi="Times New Roman"/>
        </w:rPr>
        <w:t>To w</w:t>
      </w:r>
      <w:r>
        <w:rPr>
          <w:rFonts w:ascii="Times New Roman" w:eastAsia="SimSun" w:hAnsi="Times New Roman"/>
        </w:rPr>
        <w:t>hich proxy group did you apply these models?</w:t>
      </w:r>
    </w:p>
    <w:p w:rsidR="00EB35AC" w:rsidRDefault="001866FB" w:rsidP="00D16AA5">
      <w:pPr>
        <w:pStyle w:val="QAQuestion"/>
        <w:tabs>
          <w:tab w:val="num" w:pos="720"/>
        </w:tabs>
        <w:spacing w:after="0" w:line="480" w:lineRule="auto"/>
        <w:ind w:left="720" w:hanging="720"/>
        <w:jc w:val="left"/>
        <w:rPr>
          <w:rFonts w:eastAsia="SimSun"/>
        </w:rPr>
      </w:pPr>
      <w:r w:rsidRPr="00B14675">
        <w:rPr>
          <w:rFonts w:eastAsia="SimSun"/>
        </w:rPr>
        <w:t>A.</w:t>
      </w:r>
      <w:r w:rsidRPr="00B14675">
        <w:rPr>
          <w:rFonts w:eastAsia="SimSun"/>
        </w:rPr>
        <w:tab/>
      </w:r>
      <w:r>
        <w:rPr>
          <w:rFonts w:eastAsia="SimSun"/>
        </w:rPr>
        <w:t xml:space="preserve">I began with the proxy group that I </w:t>
      </w:r>
      <w:r w:rsidR="00BB71B6">
        <w:rPr>
          <w:rFonts w:eastAsia="SimSun"/>
        </w:rPr>
        <w:t xml:space="preserve">found to be a reasonable set of comparable firms </w:t>
      </w:r>
      <w:r>
        <w:rPr>
          <w:rFonts w:eastAsia="SimSun"/>
        </w:rPr>
        <w:t xml:space="preserve">in </w:t>
      </w:r>
      <w:r w:rsidR="007C4813">
        <w:rPr>
          <w:rFonts w:eastAsia="SimSun"/>
        </w:rPr>
        <w:t xml:space="preserve">my </w:t>
      </w:r>
      <w:r w:rsidR="004507C9">
        <w:rPr>
          <w:rFonts w:eastAsia="SimSun"/>
        </w:rPr>
        <w:t>direct testimony in the 2014 Rate Case</w:t>
      </w:r>
      <w:r>
        <w:rPr>
          <w:rFonts w:eastAsia="SimSun"/>
        </w:rPr>
        <w:t>.</w:t>
      </w:r>
      <w:r>
        <w:rPr>
          <w:rStyle w:val="FootnoteReference"/>
          <w:rFonts w:eastAsia="SimSun"/>
        </w:rPr>
        <w:footnoteReference w:id="8"/>
      </w:r>
      <w:r>
        <w:rPr>
          <w:rFonts w:eastAsia="SimSun"/>
        </w:rPr>
        <w:t xml:space="preserve"> </w:t>
      </w:r>
      <w:r w:rsidR="004507C9">
        <w:rPr>
          <w:rFonts w:eastAsia="SimSun"/>
        </w:rPr>
        <w:t xml:space="preserve"> </w:t>
      </w:r>
      <w:r w:rsidRPr="00B14675">
        <w:rPr>
          <w:rFonts w:eastAsia="SimSun"/>
        </w:rPr>
        <w:t xml:space="preserve">The </w:t>
      </w:r>
      <w:r w:rsidR="0074124D">
        <w:rPr>
          <w:rFonts w:eastAsia="SimSun"/>
        </w:rPr>
        <w:t>twenty</w:t>
      </w:r>
      <w:r w:rsidR="004507C9">
        <w:rPr>
          <w:rFonts w:eastAsia="SimSun"/>
        </w:rPr>
        <w:t>-</w:t>
      </w:r>
      <w:r w:rsidR="0074124D">
        <w:rPr>
          <w:rFonts w:eastAsia="SimSun"/>
        </w:rPr>
        <w:t xml:space="preserve">four </w:t>
      </w:r>
      <w:r w:rsidRPr="00B14675">
        <w:rPr>
          <w:rFonts w:eastAsia="SimSun"/>
        </w:rPr>
        <w:t>companies</w:t>
      </w:r>
      <w:r>
        <w:rPr>
          <w:rFonts w:eastAsia="SimSun"/>
        </w:rPr>
        <w:t xml:space="preserve"> in that group, like Pacific Power, </w:t>
      </w:r>
      <w:r w:rsidR="00C57BA4">
        <w:rPr>
          <w:rFonts w:eastAsia="SimSun"/>
        </w:rPr>
        <w:t>derive</w:t>
      </w:r>
      <w:r w:rsidRPr="00B14675">
        <w:rPr>
          <w:rFonts w:eastAsia="SimSun"/>
        </w:rPr>
        <w:t xml:space="preserve"> the majority of their revenues from regulated utility operations.</w:t>
      </w:r>
      <w:r>
        <w:rPr>
          <w:rFonts w:eastAsia="SimSun"/>
        </w:rPr>
        <w:t xml:space="preserve">  I chose to start with this group because it was recognized to be a reasonable comparable group by </w:t>
      </w:r>
      <w:r w:rsidR="0074124D">
        <w:rPr>
          <w:rFonts w:eastAsia="SimSun"/>
        </w:rPr>
        <w:t>m</w:t>
      </w:r>
      <w:r w:rsidR="000C43D8">
        <w:rPr>
          <w:rFonts w:eastAsia="SimSun"/>
        </w:rPr>
        <w:t>e</w:t>
      </w:r>
      <w:r w:rsidR="0074124D">
        <w:rPr>
          <w:rFonts w:eastAsia="SimSun"/>
        </w:rPr>
        <w:t xml:space="preserve"> and by </w:t>
      </w:r>
      <w:r w:rsidR="00C57BA4">
        <w:rPr>
          <w:rFonts w:eastAsia="SimSun"/>
        </w:rPr>
        <w:t>other</w:t>
      </w:r>
      <w:r>
        <w:rPr>
          <w:rFonts w:eastAsia="SimSun"/>
        </w:rPr>
        <w:t xml:space="preserve"> cost of capital experts in th</w:t>
      </w:r>
      <w:r w:rsidR="0074124D">
        <w:rPr>
          <w:rFonts w:eastAsia="SimSun"/>
        </w:rPr>
        <w:t>at</w:t>
      </w:r>
      <w:r>
        <w:rPr>
          <w:rFonts w:eastAsia="SimSun"/>
        </w:rPr>
        <w:t xml:space="preserve"> proceeding</w:t>
      </w:r>
      <w:r w:rsidR="00881D22">
        <w:rPr>
          <w:rFonts w:eastAsia="SimSun"/>
        </w:rPr>
        <w:t xml:space="preserve">.  </w:t>
      </w:r>
    </w:p>
    <w:p w:rsidR="00D455C7" w:rsidRDefault="007C4813" w:rsidP="00D16AA5">
      <w:pPr>
        <w:pStyle w:val="QAQuestion"/>
        <w:tabs>
          <w:tab w:val="num" w:pos="720"/>
        </w:tabs>
        <w:spacing w:after="0" w:line="480" w:lineRule="auto"/>
        <w:ind w:left="720" w:hanging="720"/>
        <w:jc w:val="left"/>
        <w:rPr>
          <w:rFonts w:eastAsia="SimSun"/>
        </w:rPr>
      </w:pPr>
      <w:r>
        <w:rPr>
          <w:rFonts w:eastAsia="SimSun"/>
        </w:rPr>
        <w:tab/>
      </w:r>
      <w:r w:rsidR="001866FB">
        <w:rPr>
          <w:rFonts w:eastAsia="SimSun"/>
        </w:rPr>
        <w:tab/>
        <w:t xml:space="preserve">I then eliminated </w:t>
      </w:r>
      <w:r w:rsidR="000C43D8">
        <w:rPr>
          <w:rFonts w:eastAsia="SimSun"/>
        </w:rPr>
        <w:t>eight</w:t>
      </w:r>
      <w:r w:rsidR="00C57BA4">
        <w:rPr>
          <w:rFonts w:eastAsia="SimSun"/>
        </w:rPr>
        <w:t xml:space="preserve"> </w:t>
      </w:r>
      <w:r w:rsidR="001866FB">
        <w:rPr>
          <w:rFonts w:eastAsia="SimSun"/>
        </w:rPr>
        <w:t xml:space="preserve">companies that </w:t>
      </w:r>
      <w:r w:rsidR="00C57BA4">
        <w:rPr>
          <w:rFonts w:eastAsia="SimSun"/>
        </w:rPr>
        <w:t>have been</w:t>
      </w:r>
      <w:r w:rsidR="001866FB">
        <w:rPr>
          <w:rFonts w:eastAsia="SimSun"/>
        </w:rPr>
        <w:t xml:space="preserve"> involved in merger and acquisition activity</w:t>
      </w:r>
      <w:r w:rsidR="0060799A">
        <w:rPr>
          <w:rFonts w:eastAsia="SimSun"/>
        </w:rPr>
        <w:t>.  These are:</w:t>
      </w:r>
      <w:r w:rsidR="00C57BA4" w:rsidRPr="00C57BA4">
        <w:rPr>
          <w:rFonts w:eastAsia="SimSun"/>
        </w:rPr>
        <w:t xml:space="preserve"> </w:t>
      </w:r>
      <w:r w:rsidR="00C57BA4">
        <w:rPr>
          <w:rFonts w:eastAsia="SimSun"/>
        </w:rPr>
        <w:t xml:space="preserve">Alliant Energy Corporation, </w:t>
      </w:r>
      <w:r w:rsidR="002B6E54">
        <w:rPr>
          <w:rFonts w:eastAsia="SimSun"/>
        </w:rPr>
        <w:t xml:space="preserve">Black Hills Corporation, </w:t>
      </w:r>
      <w:proofErr w:type="spellStart"/>
      <w:r w:rsidR="00C57BA4" w:rsidRPr="00C57BA4">
        <w:rPr>
          <w:rFonts w:eastAsia="SimSun"/>
        </w:rPr>
        <w:lastRenderedPageBreak/>
        <w:t>Cleco</w:t>
      </w:r>
      <w:proofErr w:type="spellEnd"/>
      <w:r w:rsidR="00C57BA4" w:rsidRPr="00C57BA4">
        <w:rPr>
          <w:rFonts w:eastAsia="SimSun"/>
        </w:rPr>
        <w:t xml:space="preserve"> Corp., Duke Energy Corp., </w:t>
      </w:r>
      <w:proofErr w:type="spellStart"/>
      <w:r w:rsidR="00C57BA4" w:rsidRPr="00C57BA4">
        <w:rPr>
          <w:rFonts w:eastAsia="SimSun"/>
        </w:rPr>
        <w:t>NextEra</w:t>
      </w:r>
      <w:proofErr w:type="spellEnd"/>
      <w:r w:rsidR="00C57BA4" w:rsidRPr="00C57BA4">
        <w:rPr>
          <w:rFonts w:eastAsia="SimSun"/>
        </w:rPr>
        <w:t xml:space="preserve"> Energy Group, Inc., Pepco Holdings, Inc., </w:t>
      </w:r>
      <w:r w:rsidR="002B6E54">
        <w:rPr>
          <w:rFonts w:eastAsia="SimSun"/>
        </w:rPr>
        <w:t>Southern Company</w:t>
      </w:r>
      <w:r w:rsidR="00C57BA4" w:rsidRPr="00C57BA4">
        <w:rPr>
          <w:rFonts w:eastAsia="SimSun"/>
        </w:rPr>
        <w:t xml:space="preserve">, and Wisconsin Energy Corp.  I </w:t>
      </w:r>
      <w:r w:rsidR="00C57BA4">
        <w:rPr>
          <w:rFonts w:eastAsia="SimSun"/>
        </w:rPr>
        <w:t>removed</w:t>
      </w:r>
      <w:r w:rsidR="00C57BA4" w:rsidRPr="00C57BA4">
        <w:rPr>
          <w:rFonts w:eastAsia="SimSun"/>
        </w:rPr>
        <w:t xml:space="preserve"> Pepco Holdings </w:t>
      </w:r>
      <w:r w:rsidR="00315536">
        <w:rPr>
          <w:rFonts w:eastAsia="SimSun"/>
        </w:rPr>
        <w:t xml:space="preserve">and </w:t>
      </w:r>
      <w:proofErr w:type="spellStart"/>
      <w:r w:rsidR="00315536">
        <w:rPr>
          <w:rFonts w:eastAsia="SimSun"/>
        </w:rPr>
        <w:t>NextEra</w:t>
      </w:r>
      <w:proofErr w:type="spellEnd"/>
      <w:r w:rsidR="00315536">
        <w:rPr>
          <w:rFonts w:eastAsia="SimSun"/>
        </w:rPr>
        <w:t xml:space="preserve"> Energy Group, </w:t>
      </w:r>
      <w:r>
        <w:rPr>
          <w:rFonts w:eastAsia="SimSun"/>
        </w:rPr>
        <w:t>I</w:t>
      </w:r>
      <w:r w:rsidR="00315536">
        <w:rPr>
          <w:rFonts w:eastAsia="SimSun"/>
        </w:rPr>
        <w:t xml:space="preserve">nc. </w:t>
      </w:r>
      <w:r w:rsidR="00C57BA4">
        <w:rPr>
          <w:rFonts w:eastAsia="SimSun"/>
        </w:rPr>
        <w:t xml:space="preserve">because </w:t>
      </w:r>
      <w:r w:rsidR="00315536">
        <w:rPr>
          <w:rFonts w:eastAsia="SimSun"/>
        </w:rPr>
        <w:t>each</w:t>
      </w:r>
      <w:r w:rsidR="00C57BA4">
        <w:rPr>
          <w:rFonts w:eastAsia="SimSun"/>
        </w:rPr>
        <w:t xml:space="preserve"> </w:t>
      </w:r>
      <w:r w:rsidR="00315536">
        <w:rPr>
          <w:rFonts w:eastAsia="SimSun"/>
        </w:rPr>
        <w:t>announced</w:t>
      </w:r>
      <w:r w:rsidR="00C57BA4">
        <w:rPr>
          <w:rFonts w:eastAsia="SimSun"/>
        </w:rPr>
        <w:t xml:space="preserve"> </w:t>
      </w:r>
      <w:r w:rsidR="00315536">
        <w:rPr>
          <w:rFonts w:eastAsia="SimSun"/>
        </w:rPr>
        <w:t xml:space="preserve">a </w:t>
      </w:r>
      <w:r w:rsidR="00C57BA4">
        <w:rPr>
          <w:rFonts w:eastAsia="SimSun"/>
        </w:rPr>
        <w:t>combin</w:t>
      </w:r>
      <w:r w:rsidR="00315536">
        <w:rPr>
          <w:rFonts w:eastAsia="SimSun"/>
        </w:rPr>
        <w:t>ation</w:t>
      </w:r>
      <w:r w:rsidR="00C57BA4">
        <w:rPr>
          <w:rFonts w:eastAsia="SimSun"/>
        </w:rPr>
        <w:t xml:space="preserve"> with</w:t>
      </w:r>
      <w:r w:rsidR="00C57BA4" w:rsidRPr="00C57BA4">
        <w:rPr>
          <w:rFonts w:eastAsia="SimSun"/>
        </w:rPr>
        <w:t xml:space="preserve"> </w:t>
      </w:r>
      <w:r w:rsidR="00315536">
        <w:rPr>
          <w:rFonts w:eastAsia="SimSun"/>
        </w:rPr>
        <w:t>another utility</w:t>
      </w:r>
      <w:r w:rsidR="002B6E54">
        <w:rPr>
          <w:rFonts w:eastAsia="SimSun"/>
        </w:rPr>
        <w:t xml:space="preserve"> (</w:t>
      </w:r>
      <w:r w:rsidR="00C57BA4" w:rsidRPr="00C57BA4">
        <w:rPr>
          <w:rFonts w:eastAsia="SimSun"/>
        </w:rPr>
        <w:t>Exelon Corp</w:t>
      </w:r>
      <w:r w:rsidR="00315536">
        <w:rPr>
          <w:rFonts w:eastAsia="SimSun"/>
        </w:rPr>
        <w:t xml:space="preserve"> and Hawaiian Electric Corporation respectively</w:t>
      </w:r>
      <w:r w:rsidR="002B6E54">
        <w:rPr>
          <w:rFonts w:eastAsia="SimSun"/>
        </w:rPr>
        <w:t>)</w:t>
      </w:r>
      <w:r w:rsidR="00C57BA4">
        <w:rPr>
          <w:rFonts w:eastAsia="SimSun"/>
        </w:rPr>
        <w:t>.</w:t>
      </w:r>
      <w:r w:rsidR="00C57BA4">
        <w:rPr>
          <w:rStyle w:val="FootnoteReference"/>
          <w:szCs w:val="24"/>
        </w:rPr>
        <w:footnoteReference w:id="9"/>
      </w:r>
      <w:r w:rsidR="00C57BA4" w:rsidRPr="00C57BA4">
        <w:rPr>
          <w:rFonts w:eastAsia="SimSun"/>
        </w:rPr>
        <w:t xml:space="preserve">  I omitted </w:t>
      </w:r>
      <w:proofErr w:type="spellStart"/>
      <w:r w:rsidR="00C57BA4" w:rsidRPr="00C57BA4">
        <w:rPr>
          <w:rFonts w:eastAsia="SimSun"/>
        </w:rPr>
        <w:t>Cleco</w:t>
      </w:r>
      <w:proofErr w:type="spellEnd"/>
      <w:r w:rsidR="00C57BA4" w:rsidRPr="00C57BA4">
        <w:rPr>
          <w:rFonts w:eastAsia="SimSun"/>
        </w:rPr>
        <w:t xml:space="preserve"> because </w:t>
      </w:r>
      <w:r>
        <w:rPr>
          <w:rFonts w:eastAsia="SimSun"/>
        </w:rPr>
        <w:t>it is being</w:t>
      </w:r>
      <w:r w:rsidR="00C57BA4">
        <w:rPr>
          <w:rFonts w:eastAsia="SimSun"/>
        </w:rPr>
        <w:t xml:space="preserve"> acqui</w:t>
      </w:r>
      <w:r>
        <w:rPr>
          <w:rFonts w:eastAsia="SimSun"/>
        </w:rPr>
        <w:t>red</w:t>
      </w:r>
      <w:r w:rsidR="00C57BA4">
        <w:rPr>
          <w:rFonts w:eastAsia="SimSun"/>
        </w:rPr>
        <w:t xml:space="preserve"> by an investor group.</w:t>
      </w:r>
      <w:r w:rsidR="00315536">
        <w:rPr>
          <w:rStyle w:val="FootnoteReference"/>
          <w:szCs w:val="24"/>
        </w:rPr>
        <w:footnoteReference w:id="10"/>
      </w:r>
      <w:r w:rsidR="00496DB1">
        <w:rPr>
          <w:rFonts w:eastAsia="SimSun"/>
        </w:rPr>
        <w:t xml:space="preserve">  </w:t>
      </w:r>
      <w:r w:rsidR="00C57BA4" w:rsidRPr="00C57BA4">
        <w:rPr>
          <w:rFonts w:eastAsia="SimSun"/>
        </w:rPr>
        <w:t xml:space="preserve">I excluded Wisconsin Energy Group </w:t>
      </w:r>
      <w:r w:rsidR="00723652">
        <w:rPr>
          <w:rFonts w:eastAsia="SimSun"/>
        </w:rPr>
        <w:t xml:space="preserve">because it is acquiring </w:t>
      </w:r>
      <w:proofErr w:type="spellStart"/>
      <w:r w:rsidR="00723652" w:rsidRPr="0074124D">
        <w:t>Integrys</w:t>
      </w:r>
      <w:proofErr w:type="spellEnd"/>
      <w:r w:rsidR="00723652" w:rsidRPr="0074124D">
        <w:t xml:space="preserve"> Energy Group</w:t>
      </w:r>
      <w:r w:rsidR="00723652">
        <w:t xml:space="preserve">, </w:t>
      </w:r>
      <w:r w:rsidR="00723652" w:rsidRPr="00C57BA4">
        <w:rPr>
          <w:rFonts w:eastAsia="SimSun"/>
        </w:rPr>
        <w:t>Duke Energy</w:t>
      </w:r>
      <w:r w:rsidR="00723652">
        <w:rPr>
          <w:rFonts w:eastAsia="SimSun"/>
        </w:rPr>
        <w:t xml:space="preserve"> because of its purchase of Piedmont Natural Gas, </w:t>
      </w:r>
      <w:r w:rsidR="00F71A6E">
        <w:rPr>
          <w:rFonts w:eastAsia="SimSun"/>
        </w:rPr>
        <w:t xml:space="preserve">Black Hills Corporation due to its acquisition of </w:t>
      </w:r>
      <w:proofErr w:type="spellStart"/>
      <w:r w:rsidR="00F71A6E">
        <w:rPr>
          <w:rFonts w:eastAsia="SimSun"/>
        </w:rPr>
        <w:t>SourceGas</w:t>
      </w:r>
      <w:proofErr w:type="spellEnd"/>
      <w:r w:rsidR="00F71A6E">
        <w:rPr>
          <w:rFonts w:eastAsia="SimSun"/>
        </w:rPr>
        <w:t xml:space="preserve">, </w:t>
      </w:r>
      <w:r w:rsidR="00723652">
        <w:rPr>
          <w:rFonts w:eastAsia="SimSun"/>
        </w:rPr>
        <w:t>and Southern Company because of its acquisition of AGL Resources</w:t>
      </w:r>
      <w:r w:rsidR="00C57BA4" w:rsidRPr="00C57BA4">
        <w:rPr>
          <w:rFonts w:eastAsia="SimSun"/>
        </w:rPr>
        <w:t>.</w:t>
      </w:r>
      <w:r w:rsidR="00315536">
        <w:rPr>
          <w:rStyle w:val="FootnoteReference"/>
          <w:szCs w:val="24"/>
        </w:rPr>
        <w:footnoteReference w:id="11"/>
      </w:r>
      <w:r w:rsidR="00C57BA4" w:rsidRPr="00C57BA4">
        <w:rPr>
          <w:rFonts w:eastAsia="SimSun"/>
        </w:rPr>
        <w:t xml:space="preserve">  Finally, </w:t>
      </w:r>
      <w:r w:rsidR="00C57BA4">
        <w:rPr>
          <w:rFonts w:eastAsia="SimSun"/>
        </w:rPr>
        <w:t>Alliant Energy Corporation</w:t>
      </w:r>
      <w:r w:rsidR="00723652">
        <w:rPr>
          <w:rFonts w:eastAsia="SimSun"/>
        </w:rPr>
        <w:t xml:space="preserve"> was</w:t>
      </w:r>
      <w:r w:rsidR="00C57BA4" w:rsidRPr="00C57BA4">
        <w:rPr>
          <w:rFonts w:eastAsia="SimSun"/>
        </w:rPr>
        <w:t xml:space="preserve"> excluded because </w:t>
      </w:r>
      <w:r w:rsidR="00723652">
        <w:rPr>
          <w:rFonts w:eastAsia="SimSun"/>
        </w:rPr>
        <w:t>it</w:t>
      </w:r>
      <w:r w:rsidR="00C57BA4" w:rsidRPr="00C57BA4">
        <w:rPr>
          <w:rFonts w:eastAsia="SimSun"/>
        </w:rPr>
        <w:t xml:space="preserve"> </w:t>
      </w:r>
      <w:r w:rsidR="00723652">
        <w:rPr>
          <w:rFonts w:eastAsia="SimSun"/>
        </w:rPr>
        <w:t>sold</w:t>
      </w:r>
      <w:r w:rsidR="00C57BA4" w:rsidRPr="00C57BA4">
        <w:rPr>
          <w:rFonts w:eastAsia="SimSun"/>
        </w:rPr>
        <w:t xml:space="preserve"> utility assets.</w:t>
      </w:r>
      <w:r w:rsidR="0074124D">
        <w:rPr>
          <w:rStyle w:val="FootnoteReference"/>
          <w:szCs w:val="24"/>
        </w:rPr>
        <w:footnoteReference w:id="12"/>
      </w:r>
      <w:r w:rsidR="00723652">
        <w:rPr>
          <w:szCs w:val="24"/>
        </w:rPr>
        <w:t xml:space="preserve">  </w:t>
      </w:r>
      <w:r w:rsidR="00723652">
        <w:rPr>
          <w:rFonts w:eastAsia="SimSun"/>
        </w:rPr>
        <w:t>As these merger activities led to a significant reduction in the size of my proxy group, I then include</w:t>
      </w:r>
      <w:r w:rsidR="001725D5">
        <w:rPr>
          <w:rFonts w:eastAsia="SimSun"/>
        </w:rPr>
        <w:t>d</w:t>
      </w:r>
      <w:r w:rsidR="00723652">
        <w:rPr>
          <w:rFonts w:eastAsia="SimSun"/>
        </w:rPr>
        <w:t xml:space="preserve"> </w:t>
      </w:r>
      <w:r w:rsidR="00D455C7">
        <w:rPr>
          <w:rFonts w:eastAsia="SimSun"/>
        </w:rPr>
        <w:t xml:space="preserve">seven </w:t>
      </w:r>
      <w:r w:rsidR="00723652">
        <w:rPr>
          <w:rFonts w:eastAsia="SimSun"/>
        </w:rPr>
        <w:t>additional proxy companies that I had deemed to be comparable to Pacific Power in my rebuttal testimony</w:t>
      </w:r>
      <w:r w:rsidR="00496DB1">
        <w:rPr>
          <w:rFonts w:eastAsia="SimSun"/>
        </w:rPr>
        <w:t xml:space="preserve"> in the 2014 Rate Case</w:t>
      </w:r>
      <w:r w:rsidR="00723652">
        <w:rPr>
          <w:rFonts w:eastAsia="SimSun"/>
        </w:rPr>
        <w:t xml:space="preserve">.  </w:t>
      </w:r>
    </w:p>
    <w:p w:rsidR="001866FB" w:rsidRPr="001866FB" w:rsidRDefault="00D455C7" w:rsidP="00D16AA5">
      <w:pPr>
        <w:pStyle w:val="QAQuestion"/>
        <w:tabs>
          <w:tab w:val="num" w:pos="720"/>
        </w:tabs>
        <w:spacing w:after="0" w:line="480" w:lineRule="auto"/>
        <w:ind w:left="720" w:hanging="720"/>
        <w:jc w:val="left"/>
        <w:rPr>
          <w:rFonts w:eastAsia="SimSun"/>
        </w:rPr>
      </w:pPr>
      <w:r>
        <w:rPr>
          <w:rFonts w:eastAsia="SimSun"/>
        </w:rPr>
        <w:tab/>
      </w:r>
      <w:r>
        <w:rPr>
          <w:rFonts w:eastAsia="SimSun"/>
        </w:rPr>
        <w:tab/>
        <w:t>The</w:t>
      </w:r>
      <w:r w:rsidR="001866FB">
        <w:rPr>
          <w:rFonts w:eastAsia="SimSun"/>
        </w:rPr>
        <w:t xml:space="preserve"> </w:t>
      </w:r>
      <w:r w:rsidR="00723652">
        <w:rPr>
          <w:rFonts w:eastAsia="SimSun"/>
        </w:rPr>
        <w:t>resulting</w:t>
      </w:r>
      <w:r w:rsidR="001866FB">
        <w:rPr>
          <w:rFonts w:eastAsia="SimSun"/>
        </w:rPr>
        <w:t xml:space="preserve"> proxy group consists of </w:t>
      </w:r>
      <w:r w:rsidR="001725D5">
        <w:rPr>
          <w:rFonts w:eastAsia="SimSun"/>
        </w:rPr>
        <w:t xml:space="preserve">the following </w:t>
      </w:r>
      <w:r w:rsidR="00723652">
        <w:rPr>
          <w:rFonts w:eastAsia="SimSun"/>
        </w:rPr>
        <w:t xml:space="preserve">twenty-three </w:t>
      </w:r>
      <w:r w:rsidR="001866FB">
        <w:rPr>
          <w:rFonts w:eastAsia="SimSun"/>
        </w:rPr>
        <w:t xml:space="preserve">companies: </w:t>
      </w:r>
      <w:r w:rsidR="00723652" w:rsidRPr="00723652">
        <w:rPr>
          <w:rFonts w:eastAsia="SimSun"/>
        </w:rPr>
        <w:t>Ameren Corporation</w:t>
      </w:r>
      <w:r w:rsidR="00723652">
        <w:rPr>
          <w:rFonts w:eastAsia="SimSun"/>
        </w:rPr>
        <w:t>,</w:t>
      </w:r>
      <w:r w:rsidR="00723652" w:rsidRPr="00723652">
        <w:rPr>
          <w:rFonts w:eastAsia="SimSun"/>
        </w:rPr>
        <w:t xml:space="preserve"> </w:t>
      </w:r>
      <w:r w:rsidR="0074124D" w:rsidRPr="0074124D">
        <w:rPr>
          <w:rFonts w:eastAsia="SimSun"/>
        </w:rPr>
        <w:t>American Electric Power Company, Inc.</w:t>
      </w:r>
      <w:r w:rsidR="0074124D">
        <w:rPr>
          <w:rFonts w:eastAsia="SimSun"/>
        </w:rPr>
        <w:t xml:space="preserve">, </w:t>
      </w:r>
      <w:proofErr w:type="spellStart"/>
      <w:r w:rsidR="0074124D" w:rsidRPr="0074124D">
        <w:rPr>
          <w:rFonts w:eastAsia="SimSun"/>
        </w:rPr>
        <w:t>Avista</w:t>
      </w:r>
      <w:proofErr w:type="spellEnd"/>
      <w:r w:rsidR="0074124D" w:rsidRPr="0074124D">
        <w:rPr>
          <w:rFonts w:eastAsia="SimSun"/>
        </w:rPr>
        <w:t xml:space="preserve"> Corporation</w:t>
      </w:r>
      <w:r w:rsidR="0074124D">
        <w:rPr>
          <w:rFonts w:eastAsia="SimSun"/>
        </w:rPr>
        <w:t xml:space="preserve">, </w:t>
      </w:r>
      <w:proofErr w:type="spellStart"/>
      <w:r w:rsidR="00D16227" w:rsidRPr="0074124D">
        <w:rPr>
          <w:rFonts w:eastAsia="SimSun"/>
        </w:rPr>
        <w:t>C</w:t>
      </w:r>
      <w:r w:rsidR="00D16227">
        <w:rPr>
          <w:rFonts w:eastAsia="SimSun"/>
        </w:rPr>
        <w:t>enterpoint</w:t>
      </w:r>
      <w:proofErr w:type="spellEnd"/>
      <w:r w:rsidR="00D16227">
        <w:rPr>
          <w:rFonts w:eastAsia="SimSun"/>
        </w:rPr>
        <w:t xml:space="preserve"> Energy Inc.</w:t>
      </w:r>
      <w:r w:rsidR="00D16227" w:rsidRPr="0074124D">
        <w:rPr>
          <w:rFonts w:eastAsia="SimSun"/>
        </w:rPr>
        <w:t>,</w:t>
      </w:r>
      <w:r w:rsidR="00D16227">
        <w:rPr>
          <w:rFonts w:eastAsia="SimSun"/>
        </w:rPr>
        <w:t xml:space="preserve"> </w:t>
      </w:r>
      <w:r w:rsidR="0074124D" w:rsidRPr="0074124D">
        <w:rPr>
          <w:rFonts w:eastAsia="SimSun"/>
        </w:rPr>
        <w:t>Consolidated Edison, Inc.</w:t>
      </w:r>
      <w:r w:rsidR="0074124D">
        <w:rPr>
          <w:rFonts w:eastAsia="SimSun"/>
        </w:rPr>
        <w:t xml:space="preserve">, </w:t>
      </w:r>
      <w:r w:rsidR="00F71A6E" w:rsidRPr="00F71A6E">
        <w:rPr>
          <w:rFonts w:eastAsia="SimSun"/>
        </w:rPr>
        <w:t>Dominion Resources, Inc.</w:t>
      </w:r>
      <w:r w:rsidR="00F71A6E">
        <w:rPr>
          <w:rFonts w:eastAsia="SimSun"/>
        </w:rPr>
        <w:t xml:space="preserve">, </w:t>
      </w:r>
      <w:r w:rsidR="0074124D" w:rsidRPr="0074124D">
        <w:rPr>
          <w:rFonts w:eastAsia="SimSun"/>
        </w:rPr>
        <w:t>DTE Energy Company</w:t>
      </w:r>
      <w:r w:rsidR="0074124D">
        <w:rPr>
          <w:rFonts w:eastAsia="SimSun"/>
        </w:rPr>
        <w:t xml:space="preserve">, </w:t>
      </w:r>
      <w:r w:rsidR="001725D5" w:rsidRPr="001725D5">
        <w:rPr>
          <w:rFonts w:eastAsia="SimSun"/>
        </w:rPr>
        <w:t>Edison International</w:t>
      </w:r>
      <w:r w:rsidR="001725D5">
        <w:rPr>
          <w:rFonts w:eastAsia="SimSun"/>
        </w:rPr>
        <w:t>,</w:t>
      </w:r>
      <w:r w:rsidR="001725D5" w:rsidRPr="001725D5">
        <w:rPr>
          <w:rFonts w:eastAsia="SimSun"/>
        </w:rPr>
        <w:t xml:space="preserve"> </w:t>
      </w:r>
      <w:r w:rsidR="0074124D" w:rsidRPr="0074124D">
        <w:rPr>
          <w:rFonts w:eastAsia="SimSun"/>
        </w:rPr>
        <w:t>El Paso Electric Company</w:t>
      </w:r>
      <w:r w:rsidR="0074124D">
        <w:rPr>
          <w:rFonts w:eastAsia="SimSun"/>
        </w:rPr>
        <w:t xml:space="preserve">, </w:t>
      </w:r>
      <w:proofErr w:type="spellStart"/>
      <w:r w:rsidR="0074124D" w:rsidRPr="0074124D">
        <w:rPr>
          <w:rFonts w:eastAsia="SimSun"/>
        </w:rPr>
        <w:t>Eversource</w:t>
      </w:r>
      <w:proofErr w:type="spellEnd"/>
      <w:r w:rsidR="0074124D" w:rsidRPr="0074124D">
        <w:rPr>
          <w:rFonts w:eastAsia="SimSun"/>
        </w:rPr>
        <w:t xml:space="preserve"> Energy</w:t>
      </w:r>
      <w:r w:rsidR="0074124D">
        <w:rPr>
          <w:rFonts w:eastAsia="SimSun"/>
        </w:rPr>
        <w:t xml:space="preserve">, </w:t>
      </w:r>
      <w:r w:rsidR="001725D5" w:rsidRPr="001725D5">
        <w:rPr>
          <w:rFonts w:eastAsia="SimSun"/>
        </w:rPr>
        <w:t>Great Plains Energy Incorporated</w:t>
      </w:r>
      <w:r w:rsidR="001725D5">
        <w:rPr>
          <w:rFonts w:eastAsia="SimSun"/>
        </w:rPr>
        <w:t>,</w:t>
      </w:r>
      <w:r w:rsidR="001725D5" w:rsidRPr="001725D5">
        <w:rPr>
          <w:rFonts w:eastAsia="SimSun"/>
        </w:rPr>
        <w:t xml:space="preserve"> </w:t>
      </w:r>
      <w:r w:rsidR="0074124D" w:rsidRPr="0074124D">
        <w:rPr>
          <w:rFonts w:eastAsia="SimSun"/>
        </w:rPr>
        <w:t>IDACORP, Inc.</w:t>
      </w:r>
      <w:r w:rsidR="0074124D">
        <w:rPr>
          <w:rFonts w:eastAsia="SimSun"/>
        </w:rPr>
        <w:t xml:space="preserve">, </w:t>
      </w:r>
      <w:proofErr w:type="spellStart"/>
      <w:r w:rsidR="0074124D" w:rsidRPr="0074124D">
        <w:rPr>
          <w:rFonts w:eastAsia="SimSun"/>
        </w:rPr>
        <w:t>NorthWestern</w:t>
      </w:r>
      <w:proofErr w:type="spellEnd"/>
      <w:r w:rsidR="0074124D" w:rsidRPr="0074124D">
        <w:rPr>
          <w:rFonts w:eastAsia="SimSun"/>
        </w:rPr>
        <w:t xml:space="preserve"> Corporation</w:t>
      </w:r>
      <w:r w:rsidR="0074124D">
        <w:rPr>
          <w:rFonts w:eastAsia="SimSun"/>
        </w:rPr>
        <w:t xml:space="preserve">, </w:t>
      </w:r>
      <w:r w:rsidR="0074124D" w:rsidRPr="0074124D">
        <w:rPr>
          <w:rFonts w:eastAsia="SimSun"/>
        </w:rPr>
        <w:t>OGE Energy Corp.</w:t>
      </w:r>
      <w:r w:rsidR="0074124D">
        <w:rPr>
          <w:rFonts w:eastAsia="SimSun"/>
        </w:rPr>
        <w:t xml:space="preserve">, </w:t>
      </w:r>
      <w:r w:rsidR="0074124D" w:rsidRPr="0074124D">
        <w:rPr>
          <w:rFonts w:eastAsia="SimSun"/>
        </w:rPr>
        <w:t>Pinnacle West Capital Corporation</w:t>
      </w:r>
      <w:r w:rsidR="0074124D">
        <w:rPr>
          <w:rFonts w:eastAsia="SimSun"/>
        </w:rPr>
        <w:t xml:space="preserve">, </w:t>
      </w:r>
      <w:r w:rsidR="0074124D" w:rsidRPr="0074124D">
        <w:rPr>
          <w:rFonts w:eastAsia="SimSun"/>
        </w:rPr>
        <w:t>Portland General Electric Company</w:t>
      </w:r>
      <w:r w:rsidR="0074124D">
        <w:rPr>
          <w:rFonts w:eastAsia="SimSun"/>
        </w:rPr>
        <w:t xml:space="preserve">, </w:t>
      </w:r>
      <w:r w:rsidR="001725D5" w:rsidRPr="001725D5">
        <w:rPr>
          <w:rFonts w:eastAsia="SimSun"/>
        </w:rPr>
        <w:t>Public Service Enterprise Group Incorporated</w:t>
      </w:r>
      <w:r w:rsidR="001725D5">
        <w:rPr>
          <w:rFonts w:eastAsia="SimSun"/>
        </w:rPr>
        <w:t>,</w:t>
      </w:r>
      <w:r w:rsidR="001725D5" w:rsidRPr="001725D5">
        <w:rPr>
          <w:rFonts w:eastAsia="SimSun"/>
        </w:rPr>
        <w:t xml:space="preserve"> SCANA </w:t>
      </w:r>
      <w:r w:rsidR="001725D5" w:rsidRPr="001725D5">
        <w:rPr>
          <w:rFonts w:eastAsia="SimSun"/>
        </w:rPr>
        <w:lastRenderedPageBreak/>
        <w:t>Corporation</w:t>
      </w:r>
      <w:r w:rsidR="001725D5">
        <w:rPr>
          <w:rFonts w:eastAsia="SimSun"/>
        </w:rPr>
        <w:t xml:space="preserve">, </w:t>
      </w:r>
      <w:r w:rsidR="001725D5" w:rsidRPr="001725D5">
        <w:rPr>
          <w:rFonts w:eastAsia="SimSun"/>
        </w:rPr>
        <w:t>Sempra Energy</w:t>
      </w:r>
      <w:r w:rsidR="001725D5">
        <w:rPr>
          <w:rFonts w:eastAsia="SimSun"/>
        </w:rPr>
        <w:t xml:space="preserve">, </w:t>
      </w:r>
      <w:r w:rsidR="001725D5" w:rsidRPr="001725D5">
        <w:rPr>
          <w:rFonts w:eastAsia="SimSun"/>
        </w:rPr>
        <w:t>The Empire District Electric Company</w:t>
      </w:r>
      <w:r w:rsidR="001725D5">
        <w:rPr>
          <w:rFonts w:eastAsia="SimSun"/>
        </w:rPr>
        <w:t xml:space="preserve">, </w:t>
      </w:r>
      <w:proofErr w:type="spellStart"/>
      <w:r w:rsidR="001725D5" w:rsidRPr="001725D5">
        <w:rPr>
          <w:rFonts w:eastAsia="SimSun"/>
        </w:rPr>
        <w:t>Vectren</w:t>
      </w:r>
      <w:proofErr w:type="spellEnd"/>
      <w:r w:rsidR="001725D5" w:rsidRPr="001725D5">
        <w:rPr>
          <w:rFonts w:eastAsia="SimSun"/>
        </w:rPr>
        <w:t xml:space="preserve"> Corporation</w:t>
      </w:r>
      <w:r w:rsidR="001725D5">
        <w:rPr>
          <w:rFonts w:eastAsia="SimSun"/>
        </w:rPr>
        <w:t>,</w:t>
      </w:r>
      <w:r w:rsidR="001725D5" w:rsidRPr="001725D5">
        <w:rPr>
          <w:rFonts w:eastAsia="SimSun"/>
        </w:rPr>
        <w:t xml:space="preserve"> </w:t>
      </w:r>
      <w:r w:rsidR="0074124D" w:rsidRPr="0074124D">
        <w:rPr>
          <w:rFonts w:eastAsia="SimSun"/>
        </w:rPr>
        <w:t>Westar Energy, Inc.</w:t>
      </w:r>
      <w:r w:rsidR="0074124D">
        <w:rPr>
          <w:rFonts w:eastAsia="SimSun"/>
        </w:rPr>
        <w:t xml:space="preserve">, and </w:t>
      </w:r>
      <w:r w:rsidR="0074124D" w:rsidRPr="0074124D">
        <w:rPr>
          <w:rFonts w:eastAsia="SimSun"/>
        </w:rPr>
        <w:t>Xcel Energy Inc.</w:t>
      </w:r>
    </w:p>
    <w:p w:rsidR="00D349CB" w:rsidRDefault="00D349CB" w:rsidP="00A95284">
      <w:pPr>
        <w:pStyle w:val="question0"/>
        <w:keepNext/>
        <w:keepLines/>
        <w:spacing w:before="0" w:after="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What does your update to the models show? </w:t>
      </w:r>
    </w:p>
    <w:p w:rsidR="00D349CB" w:rsidRDefault="00D349CB" w:rsidP="00D16AA5">
      <w:pPr>
        <w:pStyle w:val="QAQuestion"/>
        <w:tabs>
          <w:tab w:val="num" w:pos="720"/>
        </w:tabs>
        <w:spacing w:after="0" w:line="480" w:lineRule="auto"/>
        <w:ind w:left="720" w:hanging="720"/>
        <w:jc w:val="left"/>
        <w:rPr>
          <w:rFonts w:eastAsia="SimSun"/>
        </w:rPr>
      </w:pPr>
      <w:r w:rsidRPr="00B14675">
        <w:rPr>
          <w:rFonts w:eastAsia="SimSun"/>
        </w:rPr>
        <w:t>A.</w:t>
      </w:r>
      <w:r w:rsidRPr="00B14675">
        <w:rPr>
          <w:rFonts w:eastAsia="SimSun"/>
        </w:rPr>
        <w:tab/>
      </w:r>
      <w:r w:rsidRPr="00A715C9">
        <w:t>Exhibit No.</w:t>
      </w:r>
      <w:r w:rsidR="00A22001">
        <w:t xml:space="preserve"> </w:t>
      </w:r>
      <w:r>
        <w:t>KGS</w:t>
      </w:r>
      <w:r w:rsidRPr="00A715C9">
        <w:t>-</w:t>
      </w:r>
      <w:r w:rsidR="001725D5">
        <w:t>4</w:t>
      </w:r>
      <w:r w:rsidR="00A22001">
        <w:t xml:space="preserve"> </w:t>
      </w:r>
      <w:r>
        <w:t xml:space="preserve">summarizes my </w:t>
      </w:r>
      <w:r>
        <w:rPr>
          <w:rFonts w:eastAsia="SimSun"/>
        </w:rPr>
        <w:t>update.  The ROE estimates therein, taken together with the other considerations I describe in my testimony, continue to support a fair return for the Company of 10 percent.</w:t>
      </w:r>
    </w:p>
    <w:p w:rsidR="00A74CCC" w:rsidRDefault="00A74CCC" w:rsidP="00A74CCC">
      <w:pPr>
        <w:pStyle w:val="question0"/>
        <w:keepNext/>
        <w:keepLines/>
        <w:spacing w:before="0" w:after="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How do you interpret the DCF model result for the proxy group, which shows a return slightly below </w:t>
      </w:r>
      <w:r w:rsidR="0042574A">
        <w:rPr>
          <w:rFonts w:ascii="Times New Roman" w:eastAsia="SimSun" w:hAnsi="Times New Roman"/>
        </w:rPr>
        <w:t>nine</w:t>
      </w:r>
      <w:r>
        <w:rPr>
          <w:rFonts w:ascii="Times New Roman" w:eastAsia="SimSun" w:hAnsi="Times New Roman"/>
        </w:rPr>
        <w:t xml:space="preserve"> percent? </w:t>
      </w:r>
    </w:p>
    <w:p w:rsidR="00A74CCC" w:rsidRDefault="00A74CCC" w:rsidP="00A74CCC">
      <w:pPr>
        <w:pStyle w:val="QAQuestion"/>
        <w:tabs>
          <w:tab w:val="num" w:pos="720"/>
        </w:tabs>
        <w:spacing w:after="0" w:line="480" w:lineRule="auto"/>
        <w:ind w:left="720" w:hanging="720"/>
        <w:jc w:val="left"/>
        <w:rPr>
          <w:rFonts w:eastAsia="SimSun"/>
        </w:rPr>
      </w:pPr>
      <w:r w:rsidRPr="00B14675">
        <w:rPr>
          <w:rFonts w:eastAsia="SimSun"/>
        </w:rPr>
        <w:t>A.</w:t>
      </w:r>
      <w:r w:rsidRPr="00B14675">
        <w:rPr>
          <w:rFonts w:eastAsia="SimSun"/>
        </w:rPr>
        <w:tab/>
      </w:r>
      <w:r>
        <w:t>The proxy group DCF result is inconsistent with the other indicators of ROE</w:t>
      </w:r>
      <w:r>
        <w:rPr>
          <w:rFonts w:eastAsia="SimSun"/>
        </w:rPr>
        <w:t xml:space="preserve">.  An ROE of </w:t>
      </w:r>
      <w:proofErr w:type="gramStart"/>
      <w:r>
        <w:rPr>
          <w:rFonts w:eastAsia="SimSun"/>
        </w:rPr>
        <w:t>under</w:t>
      </w:r>
      <w:proofErr w:type="gramEnd"/>
      <w:r>
        <w:rPr>
          <w:rFonts w:eastAsia="SimSun"/>
        </w:rPr>
        <w:t xml:space="preserve"> </w:t>
      </w:r>
      <w:r w:rsidR="0042574A">
        <w:rPr>
          <w:rFonts w:eastAsia="SimSun"/>
        </w:rPr>
        <w:t>nine</w:t>
      </w:r>
      <w:r>
        <w:rPr>
          <w:rFonts w:eastAsia="SimSun"/>
        </w:rPr>
        <w:t xml:space="preserve"> percent in these market conditions does not represent a fair return for Pacific Power.</w:t>
      </w:r>
    </w:p>
    <w:p w:rsidR="00A74CCC" w:rsidRDefault="00A74CCC" w:rsidP="00A74CCC">
      <w:pPr>
        <w:pStyle w:val="question0"/>
        <w:keepNext/>
        <w:keepLines/>
        <w:spacing w:before="0" w:after="0"/>
        <w:rPr>
          <w:rFonts w:ascii="Times New Roman" w:eastAsia="SimSun" w:hAnsi="Times New Roman"/>
        </w:rPr>
      </w:pPr>
      <w:r w:rsidRPr="00B14675">
        <w:rPr>
          <w:rFonts w:ascii="Times New Roman" w:eastAsia="SimSun" w:hAnsi="Times New Roman"/>
        </w:rPr>
        <w:t>Q.</w:t>
      </w:r>
      <w:r w:rsidRPr="00B14675">
        <w:rPr>
          <w:rFonts w:ascii="Times New Roman" w:eastAsia="SimSun" w:hAnsi="Times New Roman"/>
        </w:rPr>
        <w:tab/>
      </w:r>
      <w:r>
        <w:rPr>
          <w:rFonts w:ascii="Times New Roman" w:eastAsia="SimSun" w:hAnsi="Times New Roman"/>
        </w:rPr>
        <w:t xml:space="preserve">How has the </w:t>
      </w:r>
      <w:r>
        <w:t>FERC</w:t>
      </w:r>
      <w:r>
        <w:rPr>
          <w:rFonts w:ascii="Times New Roman" w:eastAsia="SimSun" w:hAnsi="Times New Roman"/>
        </w:rPr>
        <w:t xml:space="preserve"> – which exclusively uses a proxy-group-based DCF to determine ROE – addressed the current anomalous market conditions and their effects on DCF results? </w:t>
      </w:r>
    </w:p>
    <w:p w:rsidR="00A74CCC" w:rsidRDefault="00A74CCC" w:rsidP="00A74CCC">
      <w:pPr>
        <w:pStyle w:val="QAQuestion"/>
        <w:tabs>
          <w:tab w:val="num" w:pos="720"/>
        </w:tabs>
        <w:spacing w:after="0" w:line="480" w:lineRule="auto"/>
        <w:ind w:left="720" w:hanging="720"/>
        <w:jc w:val="left"/>
        <w:rPr>
          <w:rFonts w:eastAsia="SimSun"/>
        </w:rPr>
      </w:pPr>
      <w:r w:rsidRPr="00B14675">
        <w:rPr>
          <w:rFonts w:eastAsia="SimSun"/>
        </w:rPr>
        <w:t>A.</w:t>
      </w:r>
      <w:r w:rsidRPr="00B14675">
        <w:rPr>
          <w:rFonts w:eastAsia="SimSun"/>
        </w:rPr>
        <w:tab/>
      </w:r>
      <w:r>
        <w:rPr>
          <w:szCs w:val="24"/>
        </w:rPr>
        <w:t>Th</w:t>
      </w:r>
      <w:r w:rsidR="00F86076">
        <w:rPr>
          <w:szCs w:val="24"/>
        </w:rPr>
        <w:t>e</w:t>
      </w:r>
      <w:r>
        <w:rPr>
          <w:szCs w:val="24"/>
        </w:rPr>
        <w:t xml:space="preserve"> anomalous </w:t>
      </w:r>
      <w:r w:rsidR="00F86076">
        <w:rPr>
          <w:szCs w:val="24"/>
        </w:rPr>
        <w:t>capital market conditions</w:t>
      </w:r>
      <w:r>
        <w:rPr>
          <w:szCs w:val="24"/>
        </w:rPr>
        <w:t xml:space="preserve"> led the FERC to question the reasonableness of the assumptions and inputs to its formulaic </w:t>
      </w:r>
      <w:r w:rsidR="00F86076">
        <w:rPr>
          <w:szCs w:val="24"/>
        </w:rPr>
        <w:t>DCF approach</w:t>
      </w:r>
      <w:r>
        <w:rPr>
          <w:szCs w:val="24"/>
        </w:rPr>
        <w:t>.  The FERC held: “</w:t>
      </w:r>
      <w:r w:rsidRPr="00E558CA">
        <w:rPr>
          <w:szCs w:val="24"/>
        </w:rPr>
        <w:t>all methods of estimating the cost of equity are susceptible to error when</w:t>
      </w:r>
      <w:r>
        <w:rPr>
          <w:szCs w:val="24"/>
        </w:rPr>
        <w:t xml:space="preserve"> </w:t>
      </w:r>
      <w:r w:rsidRPr="00E558CA">
        <w:rPr>
          <w:szCs w:val="24"/>
        </w:rPr>
        <w:t>the assumptions underlying them are anomalous.</w:t>
      </w:r>
      <w:r>
        <w:rPr>
          <w:szCs w:val="24"/>
        </w:rPr>
        <w:t>”</w:t>
      </w:r>
      <w:r>
        <w:rPr>
          <w:rStyle w:val="FootnoteReference"/>
          <w:szCs w:val="24"/>
        </w:rPr>
        <w:footnoteReference w:id="13"/>
      </w:r>
      <w:r>
        <w:rPr>
          <w:szCs w:val="24"/>
        </w:rPr>
        <w:t xml:space="preserve">  To address </w:t>
      </w:r>
      <w:r w:rsidR="00F86076">
        <w:rPr>
          <w:szCs w:val="24"/>
        </w:rPr>
        <w:t>potential</w:t>
      </w:r>
      <w:r>
        <w:rPr>
          <w:szCs w:val="24"/>
        </w:rPr>
        <w:t xml:space="preserve"> </w:t>
      </w:r>
      <w:r w:rsidR="00F86076">
        <w:rPr>
          <w:szCs w:val="24"/>
        </w:rPr>
        <w:t xml:space="preserve">errors in the </w:t>
      </w:r>
      <w:r w:rsidR="000079EC">
        <w:rPr>
          <w:szCs w:val="24"/>
        </w:rPr>
        <w:t xml:space="preserve">proxy group </w:t>
      </w:r>
      <w:r w:rsidR="00F86076">
        <w:rPr>
          <w:szCs w:val="24"/>
        </w:rPr>
        <w:t>DCF under current conditions</w:t>
      </w:r>
      <w:r>
        <w:rPr>
          <w:szCs w:val="24"/>
        </w:rPr>
        <w:t xml:space="preserve">, </w:t>
      </w:r>
      <w:r w:rsidR="00F86076">
        <w:rPr>
          <w:szCs w:val="24"/>
        </w:rPr>
        <w:t xml:space="preserve">the </w:t>
      </w:r>
      <w:r>
        <w:rPr>
          <w:szCs w:val="24"/>
        </w:rPr>
        <w:t xml:space="preserve">FERC developed an alternative </w:t>
      </w:r>
      <w:r>
        <w:rPr>
          <w:szCs w:val="24"/>
        </w:rPr>
        <w:lastRenderedPageBreak/>
        <w:t>measure of central tendency that focuses on the upper half of the range of estimated ROEs and, in its judgment, resulted in a fair return.</w:t>
      </w:r>
      <w:r w:rsidR="000079EC">
        <w:rPr>
          <w:rStyle w:val="FootnoteReference"/>
          <w:szCs w:val="24"/>
        </w:rPr>
        <w:footnoteReference w:id="14"/>
      </w:r>
      <w:r>
        <w:rPr>
          <w:szCs w:val="24"/>
        </w:rPr>
        <w:t xml:space="preserve"> </w:t>
      </w:r>
    </w:p>
    <w:p w:rsidR="00A271C7" w:rsidRPr="00384017" w:rsidRDefault="00A271C7"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Are your ROE determinations </w:t>
      </w:r>
      <w:r w:rsidR="005A06F0">
        <w:rPr>
          <w:b/>
          <w:szCs w:val="24"/>
        </w:rPr>
        <w:t xml:space="preserve">sufficiently </w:t>
      </w:r>
      <w:r>
        <w:rPr>
          <w:b/>
          <w:szCs w:val="24"/>
        </w:rPr>
        <w:t xml:space="preserve">forward-looking </w:t>
      </w:r>
      <w:r w:rsidR="005A06F0">
        <w:rPr>
          <w:b/>
          <w:szCs w:val="24"/>
        </w:rPr>
        <w:t xml:space="preserve">for the Commission to rely upon them when approving a </w:t>
      </w:r>
      <w:r>
        <w:rPr>
          <w:b/>
          <w:szCs w:val="24"/>
        </w:rPr>
        <w:t>rate plan</w:t>
      </w:r>
      <w:r w:rsidR="005A06F0">
        <w:rPr>
          <w:b/>
          <w:szCs w:val="24"/>
        </w:rPr>
        <w:t xml:space="preserve"> that will be in effect for two years</w:t>
      </w:r>
      <w:r>
        <w:rPr>
          <w:b/>
          <w:szCs w:val="24"/>
        </w:rPr>
        <w:t>?</w:t>
      </w:r>
      <w:r w:rsidRPr="00384017">
        <w:rPr>
          <w:b/>
          <w:szCs w:val="24"/>
        </w:rPr>
        <w:t xml:space="preserve"> </w:t>
      </w:r>
    </w:p>
    <w:p w:rsidR="00A271C7" w:rsidRPr="00A271C7" w:rsidRDefault="00CE4724" w:rsidP="00D16AA5">
      <w:pPr>
        <w:pStyle w:val="QAQuestion"/>
        <w:tabs>
          <w:tab w:val="num" w:pos="720"/>
        </w:tabs>
        <w:spacing w:after="0" w:line="480" w:lineRule="auto"/>
        <w:ind w:left="720" w:hanging="720"/>
        <w:jc w:val="left"/>
        <w:rPr>
          <w:szCs w:val="24"/>
        </w:rPr>
      </w:pPr>
      <w:r>
        <w:rPr>
          <w:szCs w:val="24"/>
        </w:rPr>
        <w:t>A.</w:t>
      </w:r>
      <w:r w:rsidR="00A271C7" w:rsidRPr="00384017">
        <w:rPr>
          <w:szCs w:val="24"/>
        </w:rPr>
        <w:tab/>
        <w:t xml:space="preserve">Yes.  </w:t>
      </w:r>
      <w:r w:rsidR="00D16227">
        <w:rPr>
          <w:szCs w:val="24"/>
        </w:rPr>
        <w:t>ROE analysis is</w:t>
      </w:r>
      <w:r w:rsidR="00496DB1">
        <w:rPr>
          <w:szCs w:val="24"/>
        </w:rPr>
        <w:t xml:space="preserve"> a</w:t>
      </w:r>
      <w:r w:rsidR="00D16227">
        <w:rPr>
          <w:szCs w:val="24"/>
        </w:rPr>
        <w:t xml:space="preserve"> forward-looking exercise and my estimates reflect the Company’s forward-looking cost of equity.  In</w:t>
      </w:r>
      <w:r w:rsidR="00A271C7">
        <w:rPr>
          <w:szCs w:val="24"/>
        </w:rPr>
        <w:t xml:space="preserve"> </w:t>
      </w:r>
      <w:r w:rsidR="00D16227">
        <w:rPr>
          <w:szCs w:val="24"/>
        </w:rPr>
        <w:t>regulatory practice,</w:t>
      </w:r>
      <w:r w:rsidR="00A271C7">
        <w:rPr>
          <w:szCs w:val="24"/>
        </w:rPr>
        <w:t xml:space="preserve"> ROE </w:t>
      </w:r>
      <w:r w:rsidR="00D16227">
        <w:rPr>
          <w:szCs w:val="24"/>
        </w:rPr>
        <w:t>determinations</w:t>
      </w:r>
      <w:r w:rsidR="00A271C7">
        <w:rPr>
          <w:szCs w:val="24"/>
        </w:rPr>
        <w:t xml:space="preserve"> based on these models </w:t>
      </w:r>
      <w:r w:rsidR="005A06F0">
        <w:rPr>
          <w:szCs w:val="24"/>
        </w:rPr>
        <w:t xml:space="preserve">and data </w:t>
      </w:r>
      <w:r w:rsidR="00A271C7">
        <w:rPr>
          <w:szCs w:val="24"/>
        </w:rPr>
        <w:t xml:space="preserve">are often in place beyond </w:t>
      </w:r>
      <w:r w:rsidR="00D16227">
        <w:rPr>
          <w:szCs w:val="24"/>
        </w:rPr>
        <w:t xml:space="preserve">a </w:t>
      </w:r>
      <w:r w:rsidR="00A271C7">
        <w:rPr>
          <w:szCs w:val="24"/>
        </w:rPr>
        <w:t>two</w:t>
      </w:r>
      <w:r w:rsidR="00D16227">
        <w:rPr>
          <w:szCs w:val="24"/>
        </w:rPr>
        <w:t>-</w:t>
      </w:r>
      <w:r w:rsidR="00A271C7">
        <w:rPr>
          <w:szCs w:val="24"/>
        </w:rPr>
        <w:t xml:space="preserve">year </w:t>
      </w:r>
      <w:r w:rsidR="00D16227">
        <w:rPr>
          <w:szCs w:val="24"/>
        </w:rPr>
        <w:t xml:space="preserve">period </w:t>
      </w:r>
      <w:r w:rsidR="00A271C7">
        <w:rPr>
          <w:szCs w:val="24"/>
        </w:rPr>
        <w:t xml:space="preserve">and </w:t>
      </w:r>
      <w:r w:rsidR="00D16227">
        <w:rPr>
          <w:szCs w:val="24"/>
        </w:rPr>
        <w:t xml:space="preserve">in some cases for </w:t>
      </w:r>
      <w:r w:rsidR="00A271C7">
        <w:rPr>
          <w:szCs w:val="24"/>
        </w:rPr>
        <w:t>many more years into the future.</w:t>
      </w:r>
      <w:r w:rsidR="005A06F0">
        <w:rPr>
          <w:szCs w:val="24"/>
        </w:rPr>
        <w:t xml:space="preserve">  Further, I provide evidence of the forecasts made by capital market analysts with regard to the future </w:t>
      </w:r>
      <w:r w:rsidR="00D455C7">
        <w:rPr>
          <w:szCs w:val="24"/>
        </w:rPr>
        <w:t>interest rate</w:t>
      </w:r>
      <w:r w:rsidR="005A06F0">
        <w:rPr>
          <w:szCs w:val="24"/>
        </w:rPr>
        <w:t xml:space="preserve"> environment.</w:t>
      </w:r>
      <w:r w:rsidR="001725D5">
        <w:rPr>
          <w:szCs w:val="24"/>
        </w:rPr>
        <w:t xml:space="preserve">  See </w:t>
      </w:r>
      <w:r w:rsidR="001725D5" w:rsidRPr="00A715C9">
        <w:t>Exhibit No.</w:t>
      </w:r>
      <w:r w:rsidR="00A22001">
        <w:t xml:space="preserve"> </w:t>
      </w:r>
      <w:proofErr w:type="gramStart"/>
      <w:r w:rsidR="001725D5">
        <w:t>KGS</w:t>
      </w:r>
      <w:r w:rsidR="001725D5" w:rsidRPr="00A715C9">
        <w:t>-</w:t>
      </w:r>
      <w:r w:rsidR="001725D5">
        <w:t>5.</w:t>
      </w:r>
      <w:proofErr w:type="gramEnd"/>
    </w:p>
    <w:p w:rsidR="00402B64" w:rsidRPr="00CE4724" w:rsidRDefault="00402B64" w:rsidP="00CE4724">
      <w:pPr>
        <w:pStyle w:val="Heading1"/>
      </w:pPr>
      <w:bookmarkStart w:id="20" w:name="_Toc99790338"/>
      <w:bookmarkStart w:id="21" w:name="_Toc99790491"/>
      <w:bookmarkStart w:id="22" w:name="_Toc99788635"/>
      <w:bookmarkStart w:id="23" w:name="_Toc99790341"/>
      <w:bookmarkStart w:id="24" w:name="_Toc99790494"/>
      <w:bookmarkStart w:id="25" w:name="_Toc436143596"/>
      <w:bookmarkStart w:id="26" w:name="_Toc436145830"/>
      <w:bookmarkEnd w:id="20"/>
      <w:bookmarkEnd w:id="21"/>
      <w:bookmarkEnd w:id="22"/>
      <w:bookmarkEnd w:id="23"/>
      <w:bookmarkEnd w:id="24"/>
      <w:r w:rsidRPr="00CE4724">
        <w:t>Central Bank Intervention and Heightened Volatility</w:t>
      </w:r>
      <w:bookmarkEnd w:id="25"/>
      <w:bookmarkEnd w:id="26"/>
    </w:p>
    <w:p w:rsidR="005A06F0" w:rsidRPr="00384017" w:rsidRDefault="005A06F0" w:rsidP="00D16AA5">
      <w:pPr>
        <w:pStyle w:val="QAAnswer"/>
        <w:tabs>
          <w:tab w:val="num" w:pos="720"/>
        </w:tabs>
        <w:spacing w:after="0" w:line="480" w:lineRule="auto"/>
        <w:ind w:left="720" w:hanging="720"/>
        <w:jc w:val="left"/>
        <w:rPr>
          <w:b/>
          <w:szCs w:val="24"/>
        </w:rPr>
      </w:pPr>
      <w:r>
        <w:rPr>
          <w:b/>
          <w:szCs w:val="24"/>
        </w:rPr>
        <w:t>Q.</w:t>
      </w:r>
      <w:r>
        <w:rPr>
          <w:b/>
          <w:szCs w:val="24"/>
        </w:rPr>
        <w:tab/>
      </w:r>
      <w:r w:rsidR="00471B93">
        <w:rPr>
          <w:b/>
          <w:szCs w:val="24"/>
        </w:rPr>
        <w:t>Has</w:t>
      </w:r>
      <w:r>
        <w:rPr>
          <w:b/>
          <w:szCs w:val="24"/>
        </w:rPr>
        <w:t xml:space="preserve"> intervention by Central Banks </w:t>
      </w:r>
      <w:r w:rsidR="00471B93">
        <w:rPr>
          <w:b/>
          <w:szCs w:val="24"/>
        </w:rPr>
        <w:t xml:space="preserve">led to anomalous market conditions? </w:t>
      </w:r>
    </w:p>
    <w:p w:rsidR="00471B93" w:rsidRDefault="005A06F0" w:rsidP="00D16AA5">
      <w:pPr>
        <w:pStyle w:val="QAQuestion"/>
        <w:tabs>
          <w:tab w:val="num" w:pos="720"/>
        </w:tabs>
        <w:spacing w:after="0" w:line="480" w:lineRule="auto"/>
        <w:ind w:left="720" w:hanging="720"/>
        <w:jc w:val="left"/>
        <w:rPr>
          <w:szCs w:val="24"/>
        </w:rPr>
      </w:pPr>
      <w:r w:rsidRPr="00384017">
        <w:rPr>
          <w:szCs w:val="24"/>
        </w:rPr>
        <w:t>A.</w:t>
      </w:r>
      <w:r>
        <w:rPr>
          <w:szCs w:val="24"/>
        </w:rPr>
        <w:tab/>
      </w:r>
      <w:r w:rsidR="00471B93">
        <w:rPr>
          <w:szCs w:val="24"/>
        </w:rPr>
        <w:t xml:space="preserve">Yes.  </w:t>
      </w:r>
      <w:r w:rsidR="00471B93" w:rsidRPr="00471B93">
        <w:rPr>
          <w:szCs w:val="24"/>
        </w:rPr>
        <w:t xml:space="preserve">The current capital market conditions are </w:t>
      </w:r>
      <w:r w:rsidR="00471B93">
        <w:rPr>
          <w:szCs w:val="24"/>
        </w:rPr>
        <w:t>anomalous</w:t>
      </w:r>
      <w:r w:rsidR="00471B93" w:rsidRPr="00471B93">
        <w:rPr>
          <w:szCs w:val="24"/>
        </w:rPr>
        <w:t xml:space="preserve"> from a historical perspective.  Yields on long-term treasury bonds have been suppressed by the Federal Reserve’s bond-buying program and have been affected by its policy of holding short-term interest rates at levels close to zero.  Although the Federal Reserve terminated its bond-buying program, </w:t>
      </w:r>
      <w:r w:rsidR="0070177C">
        <w:rPr>
          <w:szCs w:val="24"/>
        </w:rPr>
        <w:t xml:space="preserve">which was designed to manage long-term interest rates, </w:t>
      </w:r>
      <w:r w:rsidR="00471B93" w:rsidRPr="00471B93">
        <w:rPr>
          <w:szCs w:val="24"/>
        </w:rPr>
        <w:t xml:space="preserve">the agency has moved slowly to raise </w:t>
      </w:r>
      <w:r w:rsidR="0070177C">
        <w:rPr>
          <w:szCs w:val="24"/>
        </w:rPr>
        <w:t xml:space="preserve">short-term </w:t>
      </w:r>
      <w:r w:rsidR="00471B93" w:rsidRPr="00471B93">
        <w:rPr>
          <w:szCs w:val="24"/>
        </w:rPr>
        <w:t xml:space="preserve">rates.  </w:t>
      </w:r>
      <w:r w:rsidR="0070177C">
        <w:rPr>
          <w:szCs w:val="24"/>
        </w:rPr>
        <w:t>The fact is that l</w:t>
      </w:r>
      <w:r w:rsidR="00471B93" w:rsidRPr="00471B93">
        <w:rPr>
          <w:szCs w:val="24"/>
        </w:rPr>
        <w:t xml:space="preserve">ong-term interest rates—those relied upon by financial analysts to model investor return expectations—remain near all-time lows.  At the same time, as demand for </w:t>
      </w:r>
      <w:r w:rsidR="00471B93" w:rsidRPr="00471B93">
        <w:rPr>
          <w:szCs w:val="24"/>
        </w:rPr>
        <w:lastRenderedPageBreak/>
        <w:t xml:space="preserve">stocks has pushed equity prices up, dividend yields have fallen significantly since 2009, both for industrial firms generally and for utilities.  </w:t>
      </w:r>
    </w:p>
    <w:p w:rsidR="0070177C" w:rsidRPr="00384017" w:rsidRDefault="0070177C" w:rsidP="00D16AA5">
      <w:pPr>
        <w:pStyle w:val="QAAnswer"/>
        <w:tabs>
          <w:tab w:val="num" w:pos="720"/>
        </w:tabs>
        <w:spacing w:after="0" w:line="480" w:lineRule="auto"/>
        <w:ind w:left="720" w:hanging="720"/>
        <w:jc w:val="left"/>
        <w:rPr>
          <w:b/>
          <w:szCs w:val="24"/>
        </w:rPr>
      </w:pPr>
      <w:r>
        <w:rPr>
          <w:b/>
          <w:szCs w:val="24"/>
        </w:rPr>
        <w:t>Q.</w:t>
      </w:r>
      <w:r>
        <w:rPr>
          <w:b/>
          <w:szCs w:val="24"/>
        </w:rPr>
        <w:tab/>
        <w:t xml:space="preserve">After the Fed stopped its bond-buying program (quantitative easing or QE), have there been other forces </w:t>
      </w:r>
      <w:r w:rsidR="00D349CB">
        <w:rPr>
          <w:b/>
          <w:szCs w:val="24"/>
        </w:rPr>
        <w:t>holding</w:t>
      </w:r>
      <w:r>
        <w:rPr>
          <w:b/>
          <w:szCs w:val="24"/>
        </w:rPr>
        <w:t xml:space="preserve"> down long-term treasury yields? </w:t>
      </w:r>
    </w:p>
    <w:p w:rsidR="005A06F0" w:rsidRDefault="0070177C" w:rsidP="00D16AA5">
      <w:pPr>
        <w:pStyle w:val="QAQuestion"/>
        <w:tabs>
          <w:tab w:val="num" w:pos="720"/>
        </w:tabs>
        <w:spacing w:after="0" w:line="480" w:lineRule="auto"/>
        <w:ind w:left="720" w:hanging="720"/>
        <w:jc w:val="left"/>
        <w:rPr>
          <w:b/>
          <w:szCs w:val="24"/>
        </w:rPr>
      </w:pPr>
      <w:r w:rsidRPr="00384017">
        <w:rPr>
          <w:szCs w:val="24"/>
        </w:rPr>
        <w:t>A.</w:t>
      </w:r>
      <w:r>
        <w:rPr>
          <w:szCs w:val="24"/>
        </w:rPr>
        <w:tab/>
        <w:t xml:space="preserve">Yes.  </w:t>
      </w:r>
      <w:r w:rsidR="005A06F0" w:rsidRPr="005A06F0">
        <w:rPr>
          <w:szCs w:val="24"/>
        </w:rPr>
        <w:t xml:space="preserve">As the Federal Reserve stopped its </w:t>
      </w:r>
      <w:r>
        <w:rPr>
          <w:szCs w:val="24"/>
        </w:rPr>
        <w:t xml:space="preserve">own </w:t>
      </w:r>
      <w:r w:rsidR="005A06F0" w:rsidRPr="005A06F0">
        <w:rPr>
          <w:szCs w:val="24"/>
        </w:rPr>
        <w:t xml:space="preserve">asset purchases, </w:t>
      </w:r>
      <w:r w:rsidR="00B735B1">
        <w:rPr>
          <w:szCs w:val="24"/>
        </w:rPr>
        <w:t xml:space="preserve">other </w:t>
      </w:r>
      <w:r w:rsidR="005A06F0" w:rsidRPr="005A06F0">
        <w:rPr>
          <w:szCs w:val="24"/>
        </w:rPr>
        <w:t>central banks</w:t>
      </w:r>
      <w:r w:rsidR="00B735B1">
        <w:rPr>
          <w:szCs w:val="24"/>
        </w:rPr>
        <w:t>, including</w:t>
      </w:r>
      <w:r w:rsidR="005A06F0" w:rsidRPr="005A06F0">
        <w:rPr>
          <w:szCs w:val="24"/>
        </w:rPr>
        <w:t xml:space="preserve"> the European Central Bank, the Bank of China</w:t>
      </w:r>
      <w:r w:rsidR="00496DB1">
        <w:rPr>
          <w:szCs w:val="24"/>
        </w:rPr>
        <w:t>,</w:t>
      </w:r>
      <w:r w:rsidR="005A06F0" w:rsidRPr="005A06F0">
        <w:rPr>
          <w:szCs w:val="24"/>
        </w:rPr>
        <w:t xml:space="preserve"> and the Bank of Japan acted to pursue similar policies.  These actions of foreign central banks affect the increasingly global and interconnected capital markets and have put continued downward pressure on long-term government bond yields.  As of November 2015, analysts reported over $15 trillion in aggregate central bank asset purchases, with the U.S. Federal Reserve’s share representing just over $4 trillion.</w:t>
      </w:r>
      <w:r>
        <w:rPr>
          <w:rStyle w:val="FootnoteReference"/>
          <w:szCs w:val="24"/>
        </w:rPr>
        <w:footnoteReference w:id="15"/>
      </w:r>
      <w:r w:rsidR="00496DB1">
        <w:rPr>
          <w:szCs w:val="24"/>
        </w:rPr>
        <w:t xml:space="preserve">  </w:t>
      </w:r>
      <w:r w:rsidR="005A06F0" w:rsidRPr="005A06F0">
        <w:rPr>
          <w:szCs w:val="24"/>
        </w:rPr>
        <w:t>The assets purchased by central banks include long-term U</w:t>
      </w:r>
      <w:r w:rsidR="00B735B1">
        <w:rPr>
          <w:szCs w:val="24"/>
        </w:rPr>
        <w:t>.</w:t>
      </w:r>
      <w:r w:rsidR="005A06F0" w:rsidRPr="005A06F0">
        <w:rPr>
          <w:szCs w:val="24"/>
        </w:rPr>
        <w:t>S</w:t>
      </w:r>
      <w:r w:rsidR="00B735B1">
        <w:rPr>
          <w:szCs w:val="24"/>
        </w:rPr>
        <w:t>.</w:t>
      </w:r>
      <w:r w:rsidR="005A06F0" w:rsidRPr="005A06F0">
        <w:rPr>
          <w:szCs w:val="24"/>
        </w:rPr>
        <w:t xml:space="preserve"> treasuries, corporate bonds and equities. </w:t>
      </w:r>
      <w:r w:rsidR="005A06F0">
        <w:rPr>
          <w:szCs w:val="24"/>
        </w:rPr>
        <w:t xml:space="preserve"> </w:t>
      </w:r>
      <w:r>
        <w:rPr>
          <w:szCs w:val="24"/>
        </w:rPr>
        <w:t>An examination of aggregate central bank asset purchases since 2008 shows no signs of a slowdown, even though the U.S. Federal Reserve has not engaged in any explicit new programs.</w:t>
      </w:r>
      <w:r>
        <w:rPr>
          <w:rStyle w:val="FootnoteReference"/>
          <w:szCs w:val="24"/>
        </w:rPr>
        <w:footnoteReference w:id="16"/>
      </w:r>
      <w:r w:rsidR="00496DB1">
        <w:rPr>
          <w:szCs w:val="24"/>
        </w:rPr>
        <w:t xml:space="preserve">  </w:t>
      </w:r>
      <w:r w:rsidR="001725D5" w:rsidRPr="001725D5">
        <w:rPr>
          <w:szCs w:val="24"/>
        </w:rPr>
        <w:t xml:space="preserve">Currently, official foreign institutions hold </w:t>
      </w:r>
      <w:r w:rsidR="00F71A6E">
        <w:rPr>
          <w:szCs w:val="24"/>
        </w:rPr>
        <w:t>close to</w:t>
      </w:r>
      <w:r w:rsidR="001725D5" w:rsidRPr="001725D5">
        <w:rPr>
          <w:szCs w:val="24"/>
        </w:rPr>
        <w:t xml:space="preserve"> 80 percent of </w:t>
      </w:r>
      <w:r w:rsidR="00F71A6E">
        <w:rPr>
          <w:rFonts w:eastAsia="SimSun"/>
        </w:rPr>
        <w:t xml:space="preserve">ownership of </w:t>
      </w:r>
      <w:r w:rsidR="001725D5" w:rsidRPr="001725D5">
        <w:rPr>
          <w:szCs w:val="24"/>
        </w:rPr>
        <w:t>long-term U.S. Treasury bonds</w:t>
      </w:r>
      <w:r w:rsidR="00F71A6E">
        <w:rPr>
          <w:szCs w:val="24"/>
        </w:rPr>
        <w:t xml:space="preserve"> by foreign. </w:t>
      </w:r>
      <w:proofErr w:type="gramStart"/>
      <w:r w:rsidR="00F71A6E">
        <w:rPr>
          <w:szCs w:val="24"/>
        </w:rPr>
        <w:t>entities</w:t>
      </w:r>
      <w:proofErr w:type="gramEnd"/>
      <w:r w:rsidR="001725D5" w:rsidRPr="001725D5">
        <w:rPr>
          <w:szCs w:val="24"/>
        </w:rPr>
        <w:t>, a figure that has risen substantially since the financial crisis began.</w:t>
      </w:r>
      <w:r w:rsidR="001725D5">
        <w:rPr>
          <w:rStyle w:val="FootnoteReference"/>
          <w:szCs w:val="24"/>
        </w:rPr>
        <w:footnoteReference w:id="17"/>
      </w:r>
    </w:p>
    <w:p w:rsidR="0070177C" w:rsidRPr="00384017" w:rsidRDefault="0070177C" w:rsidP="00D16AA5">
      <w:pPr>
        <w:pStyle w:val="QAAnswer"/>
        <w:tabs>
          <w:tab w:val="num" w:pos="720"/>
        </w:tabs>
        <w:spacing w:after="0" w:line="480" w:lineRule="auto"/>
        <w:ind w:left="720" w:hanging="720"/>
        <w:jc w:val="left"/>
        <w:rPr>
          <w:b/>
          <w:szCs w:val="24"/>
        </w:rPr>
      </w:pPr>
      <w:r>
        <w:rPr>
          <w:b/>
          <w:szCs w:val="24"/>
        </w:rPr>
        <w:t>Q.</w:t>
      </w:r>
      <w:r>
        <w:rPr>
          <w:b/>
          <w:szCs w:val="24"/>
        </w:rPr>
        <w:tab/>
        <w:t xml:space="preserve">Please explain the heightened volatility in equity markets.  </w:t>
      </w:r>
    </w:p>
    <w:p w:rsidR="0070177C" w:rsidRPr="0070177C" w:rsidRDefault="0070177C" w:rsidP="00A95284">
      <w:pPr>
        <w:pStyle w:val="QAQuestion"/>
        <w:tabs>
          <w:tab w:val="num" w:pos="720"/>
        </w:tabs>
        <w:spacing w:after="0" w:line="480" w:lineRule="auto"/>
        <w:ind w:left="720" w:hanging="720"/>
        <w:jc w:val="left"/>
        <w:rPr>
          <w:szCs w:val="24"/>
        </w:rPr>
      </w:pPr>
      <w:r w:rsidRPr="00384017">
        <w:rPr>
          <w:szCs w:val="24"/>
        </w:rPr>
        <w:t>A.</w:t>
      </w:r>
      <w:r>
        <w:rPr>
          <w:szCs w:val="24"/>
        </w:rPr>
        <w:tab/>
      </w:r>
      <w:r w:rsidR="00D455C7">
        <w:rPr>
          <w:szCs w:val="24"/>
        </w:rPr>
        <w:t>R</w:t>
      </w:r>
      <w:r w:rsidR="00D349CB">
        <w:rPr>
          <w:szCs w:val="24"/>
        </w:rPr>
        <w:t>ecent u</w:t>
      </w:r>
      <w:r w:rsidRPr="0070177C">
        <w:rPr>
          <w:szCs w:val="24"/>
        </w:rPr>
        <w:t xml:space="preserve">ncertainty over the domestic economy, the Fed’s future course of action, and intervention of other central banks have led the stock market to exhibit wild swings in share prices.  On August 24, 2015, for example, the Dow Jones Industrial Average </w:t>
      </w:r>
      <w:r w:rsidRPr="0070177C">
        <w:rPr>
          <w:szCs w:val="24"/>
        </w:rPr>
        <w:lastRenderedPageBreak/>
        <w:t>experienced the largest intraday price drop to date, falling 1,089 points upon market opening.  Trading was halted 1</w:t>
      </w:r>
      <w:r w:rsidR="0037543D">
        <w:rPr>
          <w:szCs w:val="24"/>
        </w:rPr>
        <w:t>,</w:t>
      </w:r>
      <w:r w:rsidRPr="0070177C">
        <w:rPr>
          <w:szCs w:val="24"/>
        </w:rPr>
        <w:t xml:space="preserve">200 times that day. </w:t>
      </w:r>
      <w:r w:rsidRPr="0070177C">
        <w:rPr>
          <w:szCs w:val="24"/>
          <w:vertAlign w:val="superscript"/>
        </w:rPr>
        <w:footnoteReference w:id="18"/>
      </w:r>
    </w:p>
    <w:p w:rsidR="0070177C" w:rsidRPr="0070177C" w:rsidRDefault="00D349CB" w:rsidP="00A95284">
      <w:pPr>
        <w:pStyle w:val="QAQuestion"/>
        <w:tabs>
          <w:tab w:val="num" w:pos="720"/>
        </w:tabs>
        <w:spacing w:after="0" w:line="480" w:lineRule="auto"/>
        <w:ind w:left="720" w:hanging="720"/>
        <w:jc w:val="left"/>
        <w:rPr>
          <w:szCs w:val="24"/>
        </w:rPr>
      </w:pPr>
      <w:r>
        <w:rPr>
          <w:szCs w:val="24"/>
        </w:rPr>
        <w:tab/>
      </w:r>
      <w:r>
        <w:rPr>
          <w:szCs w:val="24"/>
        </w:rPr>
        <w:tab/>
      </w:r>
      <w:r w:rsidR="0070177C" w:rsidRPr="0070177C">
        <w:rPr>
          <w:szCs w:val="24"/>
        </w:rPr>
        <w:t>The so-called “flash crash” of May 6, 2010</w:t>
      </w:r>
      <w:r w:rsidR="00496DB1">
        <w:rPr>
          <w:szCs w:val="24"/>
        </w:rPr>
        <w:t>,</w:t>
      </w:r>
      <w:r w:rsidR="0070177C" w:rsidRPr="0070177C">
        <w:rPr>
          <w:szCs w:val="24"/>
        </w:rPr>
        <w:t xml:space="preserve"> offers another example of the swings in value that pose risks to equity investors.  That day, the Dow Jones Industrial Average fell nearly 1,000 points (a 9 percent drop).</w:t>
      </w:r>
      <w:r w:rsidR="0070177C" w:rsidRPr="0070177C">
        <w:rPr>
          <w:szCs w:val="24"/>
          <w:vertAlign w:val="superscript"/>
        </w:rPr>
        <w:footnoteReference w:id="19"/>
      </w:r>
      <w:r w:rsidR="0070177C" w:rsidRPr="0070177C">
        <w:rPr>
          <w:szCs w:val="24"/>
        </w:rPr>
        <w:t xml:space="preserve">  While the index did recover those losses, </w:t>
      </w:r>
      <w:r w:rsidR="0037543D">
        <w:rPr>
          <w:szCs w:val="24"/>
        </w:rPr>
        <w:t>shares changed hands</w:t>
      </w:r>
      <w:r w:rsidR="0070177C" w:rsidRPr="0070177C">
        <w:rPr>
          <w:szCs w:val="24"/>
        </w:rPr>
        <w:t xml:space="preserve"> at prices that reflect the crash and investors faced a liquidity squeeze.</w:t>
      </w:r>
    </w:p>
    <w:p w:rsidR="00B00D0D" w:rsidRPr="00B00D0D" w:rsidRDefault="00D349CB" w:rsidP="00D16AA5">
      <w:pPr>
        <w:pStyle w:val="QAQuestion"/>
        <w:tabs>
          <w:tab w:val="num" w:pos="720"/>
        </w:tabs>
        <w:spacing w:after="0" w:line="480" w:lineRule="auto"/>
        <w:ind w:left="720" w:hanging="720"/>
        <w:jc w:val="left"/>
        <w:rPr>
          <w:szCs w:val="24"/>
        </w:rPr>
      </w:pPr>
      <w:r>
        <w:rPr>
          <w:szCs w:val="24"/>
        </w:rPr>
        <w:tab/>
      </w:r>
      <w:r>
        <w:rPr>
          <w:szCs w:val="24"/>
        </w:rPr>
        <w:tab/>
      </w:r>
      <w:r w:rsidR="0070177C" w:rsidRPr="0070177C">
        <w:rPr>
          <w:szCs w:val="24"/>
        </w:rPr>
        <w:t xml:space="preserve">Consistent with this experience, the stock volatility index (VIX) has </w:t>
      </w:r>
      <w:r w:rsidR="0037543D">
        <w:rPr>
          <w:szCs w:val="24"/>
        </w:rPr>
        <w:t xml:space="preserve">at times </w:t>
      </w:r>
      <w:r w:rsidR="0070177C" w:rsidRPr="0070177C">
        <w:rPr>
          <w:szCs w:val="24"/>
        </w:rPr>
        <w:t>exhibited heightened readings.  The VIX has risen from under 15 percent to over 25 percent on several occasions in recent years.  The press has documented this trend of increased volatility.  For example, an article in the Financial Times noted: “Investors are far from relaxed about the volatility spike, and understandably so.”</w:t>
      </w:r>
      <w:r w:rsidR="0070177C" w:rsidRPr="0070177C">
        <w:rPr>
          <w:szCs w:val="24"/>
          <w:vertAlign w:val="superscript"/>
        </w:rPr>
        <w:footnoteReference w:id="20"/>
      </w:r>
      <w:r w:rsidR="0070177C" w:rsidRPr="0070177C">
        <w:rPr>
          <w:szCs w:val="24"/>
        </w:rPr>
        <w:t xml:space="preserve">  This article considers several explanations for the increased volatility, including, for example, a reaction to reduced intervention by the Federal Reserve and a decreasing effectiveness of its policies to contain market volatility.</w:t>
      </w:r>
    </w:p>
    <w:p w:rsidR="00B00D0D" w:rsidRPr="00384017" w:rsidRDefault="00B00D0D" w:rsidP="00D16AA5">
      <w:pPr>
        <w:pStyle w:val="QAAnswer"/>
        <w:tabs>
          <w:tab w:val="num" w:pos="720"/>
        </w:tabs>
        <w:spacing w:after="0" w:line="480" w:lineRule="auto"/>
        <w:ind w:left="720" w:hanging="720"/>
        <w:jc w:val="left"/>
        <w:rPr>
          <w:b/>
          <w:szCs w:val="24"/>
        </w:rPr>
      </w:pPr>
      <w:r>
        <w:rPr>
          <w:b/>
          <w:szCs w:val="24"/>
        </w:rPr>
        <w:t>Q.</w:t>
      </w:r>
      <w:r>
        <w:rPr>
          <w:b/>
          <w:szCs w:val="24"/>
        </w:rPr>
        <w:tab/>
        <w:t xml:space="preserve">Why does volatility matter? </w:t>
      </w:r>
    </w:p>
    <w:p w:rsidR="00B00D0D" w:rsidRDefault="00B00D0D" w:rsidP="00D16AA5">
      <w:pPr>
        <w:pStyle w:val="QAQuestion"/>
        <w:tabs>
          <w:tab w:val="num" w:pos="720"/>
        </w:tabs>
        <w:spacing w:after="0" w:line="480" w:lineRule="auto"/>
        <w:ind w:left="720" w:hanging="720"/>
        <w:jc w:val="left"/>
      </w:pPr>
      <w:r>
        <w:t>A.</w:t>
      </w:r>
      <w:r>
        <w:tab/>
      </w:r>
      <w:r w:rsidRPr="00B00D0D">
        <w:t>Volatility is an important contributor to investment risk and to investor perceptions thereof.  Heightened share price volatility implies higher risks and higher required returns for investors who bear those risks.</w:t>
      </w:r>
    </w:p>
    <w:p w:rsidR="00CE4724" w:rsidRPr="00CE4724" w:rsidRDefault="00CE4724" w:rsidP="00CE4724">
      <w:pPr>
        <w:pStyle w:val="QAQCont"/>
        <w:suppressLineNumbers/>
      </w:pPr>
    </w:p>
    <w:p w:rsidR="00D349CB" w:rsidRPr="00384017" w:rsidRDefault="00D349CB" w:rsidP="00D16AA5">
      <w:pPr>
        <w:pStyle w:val="QAAnswer"/>
        <w:tabs>
          <w:tab w:val="num" w:pos="720"/>
        </w:tabs>
        <w:spacing w:after="0" w:line="480" w:lineRule="auto"/>
        <w:ind w:left="720" w:hanging="720"/>
        <w:jc w:val="left"/>
        <w:rPr>
          <w:b/>
          <w:szCs w:val="24"/>
        </w:rPr>
      </w:pPr>
      <w:r>
        <w:rPr>
          <w:b/>
          <w:szCs w:val="24"/>
        </w:rPr>
        <w:lastRenderedPageBreak/>
        <w:t>Q.</w:t>
      </w:r>
      <w:r>
        <w:rPr>
          <w:b/>
          <w:szCs w:val="24"/>
        </w:rPr>
        <w:tab/>
        <w:t xml:space="preserve">Have there also been liquidity </w:t>
      </w:r>
      <w:r w:rsidR="0037543D">
        <w:rPr>
          <w:b/>
          <w:szCs w:val="24"/>
        </w:rPr>
        <w:t>events identified</w:t>
      </w:r>
      <w:r>
        <w:rPr>
          <w:b/>
          <w:szCs w:val="24"/>
        </w:rPr>
        <w:t xml:space="preserve"> in other capital markets? </w:t>
      </w:r>
    </w:p>
    <w:p w:rsidR="00D349CB" w:rsidRPr="00D349CB" w:rsidRDefault="00D349CB" w:rsidP="00A95284">
      <w:pPr>
        <w:pStyle w:val="QAQuestion"/>
        <w:tabs>
          <w:tab w:val="num" w:pos="720"/>
        </w:tabs>
        <w:spacing w:after="0" w:line="480" w:lineRule="auto"/>
        <w:ind w:left="720" w:hanging="720"/>
        <w:jc w:val="left"/>
        <w:rPr>
          <w:szCs w:val="24"/>
        </w:rPr>
      </w:pPr>
      <w:r w:rsidRPr="00384017">
        <w:rPr>
          <w:szCs w:val="24"/>
        </w:rPr>
        <w:t>A.</w:t>
      </w:r>
      <w:r>
        <w:rPr>
          <w:szCs w:val="24"/>
        </w:rPr>
        <w:tab/>
        <w:t xml:space="preserve">Yes.  </w:t>
      </w:r>
      <w:r w:rsidRPr="00D349CB">
        <w:rPr>
          <w:szCs w:val="24"/>
        </w:rPr>
        <w:t xml:space="preserve">Recent investigations into trading in U.S. Treasury bonds </w:t>
      </w:r>
      <w:r w:rsidR="00B00D0D">
        <w:rPr>
          <w:szCs w:val="24"/>
        </w:rPr>
        <w:t>identified a</w:t>
      </w:r>
      <w:r w:rsidRPr="00D349CB">
        <w:rPr>
          <w:szCs w:val="24"/>
        </w:rPr>
        <w:t xml:space="preserve"> similar liquidity</w:t>
      </w:r>
      <w:r>
        <w:rPr>
          <w:szCs w:val="24"/>
        </w:rPr>
        <w:t xml:space="preserve"> </w:t>
      </w:r>
      <w:r w:rsidR="0037543D">
        <w:rPr>
          <w:szCs w:val="24"/>
        </w:rPr>
        <w:t>event</w:t>
      </w:r>
      <w:r w:rsidRPr="00D349CB">
        <w:rPr>
          <w:szCs w:val="24"/>
        </w:rPr>
        <w:t xml:space="preserve">.  For example, an investigative report on recent trading anomalies found: </w:t>
      </w:r>
    </w:p>
    <w:p w:rsidR="00D349CB" w:rsidRDefault="00D349CB" w:rsidP="00EA022D">
      <w:pPr>
        <w:pStyle w:val="QAQuestion"/>
        <w:tabs>
          <w:tab w:val="num" w:pos="720"/>
        </w:tabs>
        <w:spacing w:after="0" w:line="240" w:lineRule="auto"/>
        <w:ind w:left="1440" w:right="1080" w:hanging="720"/>
        <w:jc w:val="left"/>
        <w:rPr>
          <w:szCs w:val="24"/>
        </w:rPr>
      </w:pPr>
      <w:r>
        <w:rPr>
          <w:szCs w:val="24"/>
        </w:rPr>
        <w:tab/>
      </w:r>
      <w:r w:rsidRPr="00D349CB">
        <w:rPr>
          <w:szCs w:val="24"/>
        </w:rPr>
        <w:t>On October 15, 2014 (“October 15”), the market for U.S. Treasury securities, futures, and other closely related financial markets experienced an unusually high level of volatility and a very rapid round-trip in prices. Although trading volumes were high and the market continued to function, liquidity conditions became significantly strained.</w:t>
      </w:r>
      <w:r>
        <w:rPr>
          <w:rStyle w:val="FootnoteReference"/>
          <w:szCs w:val="24"/>
        </w:rPr>
        <w:footnoteReference w:id="21"/>
      </w:r>
    </w:p>
    <w:p w:rsidR="00D16AA5" w:rsidRPr="00D16AA5" w:rsidRDefault="00D16AA5" w:rsidP="00CE4724">
      <w:pPr>
        <w:pStyle w:val="QAQCont"/>
        <w:suppressLineNumbers/>
        <w:spacing w:after="0" w:line="240" w:lineRule="auto"/>
      </w:pPr>
    </w:p>
    <w:p w:rsidR="005A06F0" w:rsidRDefault="00D349CB" w:rsidP="00A95284">
      <w:pPr>
        <w:pStyle w:val="QAQuestion"/>
        <w:tabs>
          <w:tab w:val="num" w:pos="720"/>
        </w:tabs>
        <w:spacing w:after="0" w:line="480" w:lineRule="auto"/>
        <w:ind w:left="720" w:hanging="720"/>
        <w:jc w:val="left"/>
        <w:rPr>
          <w:szCs w:val="24"/>
        </w:rPr>
      </w:pPr>
      <w:r>
        <w:rPr>
          <w:szCs w:val="24"/>
        </w:rPr>
        <w:tab/>
        <w:t xml:space="preserve">The report notes that the market movements </w:t>
      </w:r>
      <w:r w:rsidR="00B735B1">
        <w:rPr>
          <w:szCs w:val="24"/>
        </w:rPr>
        <w:t xml:space="preserve">on </w:t>
      </w:r>
      <w:r>
        <w:rPr>
          <w:szCs w:val="24"/>
        </w:rPr>
        <w:t>that day came without any news to explain them.</w:t>
      </w:r>
    </w:p>
    <w:p w:rsidR="00D16AA5" w:rsidRPr="00CE4724" w:rsidRDefault="005D6285" w:rsidP="00CE4724">
      <w:pPr>
        <w:pStyle w:val="Heading1"/>
      </w:pPr>
      <w:bookmarkStart w:id="27" w:name="_Toc436143597"/>
      <w:bookmarkStart w:id="28" w:name="_Toc436145831"/>
      <w:r w:rsidRPr="00CE4724">
        <w:t>EXPEDITED RATE FILING</w:t>
      </w:r>
      <w:r w:rsidR="00A32439" w:rsidRPr="00CE4724">
        <w:t>, DECOUPLING MECHANIsM</w:t>
      </w:r>
      <w:r w:rsidR="001E633C" w:rsidRPr="00CE4724">
        <w:t xml:space="preserve">, </w:t>
      </w:r>
      <w:r w:rsidR="00A32439" w:rsidRPr="00CE4724">
        <w:br/>
      </w:r>
      <w:r w:rsidR="001E633C" w:rsidRPr="00CE4724">
        <w:t xml:space="preserve">AND </w:t>
      </w:r>
      <w:r w:rsidR="00496DB1" w:rsidRPr="00CE4724">
        <w:t xml:space="preserve">TWO-YEAR </w:t>
      </w:r>
      <w:r w:rsidR="001E633C" w:rsidRPr="00CE4724">
        <w:t>RATE PLAN</w:t>
      </w:r>
      <w:bookmarkEnd w:id="27"/>
      <w:bookmarkEnd w:id="28"/>
      <w:r w:rsidRPr="00CE4724">
        <w:t xml:space="preserve"> </w:t>
      </w:r>
    </w:p>
    <w:p w:rsidR="001E633C" w:rsidRPr="00384017" w:rsidRDefault="001E633C"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Do you understand that the Company’s </w:t>
      </w:r>
      <w:r w:rsidR="0038507E">
        <w:rPr>
          <w:b/>
          <w:szCs w:val="24"/>
        </w:rPr>
        <w:t xml:space="preserve">proposal, as outlined in this </w:t>
      </w:r>
      <w:r>
        <w:rPr>
          <w:b/>
          <w:szCs w:val="24"/>
        </w:rPr>
        <w:t>filing</w:t>
      </w:r>
      <w:r w:rsidR="0038507E">
        <w:rPr>
          <w:b/>
          <w:szCs w:val="24"/>
        </w:rPr>
        <w:t>,</w:t>
      </w:r>
      <w:r>
        <w:rPr>
          <w:b/>
          <w:szCs w:val="24"/>
        </w:rPr>
        <w:t xml:space="preserve"> </w:t>
      </w:r>
      <w:r w:rsidR="0038507E">
        <w:rPr>
          <w:b/>
          <w:szCs w:val="24"/>
        </w:rPr>
        <w:t>contains</w:t>
      </w:r>
      <w:r>
        <w:rPr>
          <w:b/>
          <w:szCs w:val="24"/>
        </w:rPr>
        <w:t xml:space="preserve"> three primary</w:t>
      </w:r>
      <w:r w:rsidR="0038507E">
        <w:rPr>
          <w:b/>
          <w:szCs w:val="24"/>
        </w:rPr>
        <w:t xml:space="preserve"> elements</w:t>
      </w:r>
      <w:r>
        <w:rPr>
          <w:b/>
          <w:szCs w:val="24"/>
        </w:rPr>
        <w:t>?</w:t>
      </w:r>
      <w:r w:rsidRPr="00384017">
        <w:rPr>
          <w:b/>
          <w:szCs w:val="24"/>
        </w:rPr>
        <w:t xml:space="preserve"> </w:t>
      </w:r>
    </w:p>
    <w:p w:rsidR="001E633C" w:rsidRDefault="001E633C" w:rsidP="00D16AA5">
      <w:pPr>
        <w:pStyle w:val="QAQuestion"/>
        <w:tabs>
          <w:tab w:val="num" w:pos="720"/>
        </w:tabs>
        <w:spacing w:after="0" w:line="480" w:lineRule="auto"/>
        <w:ind w:left="720" w:hanging="720"/>
        <w:jc w:val="left"/>
        <w:rPr>
          <w:szCs w:val="24"/>
        </w:rPr>
      </w:pPr>
      <w:r w:rsidRPr="00384017">
        <w:rPr>
          <w:szCs w:val="24"/>
        </w:rPr>
        <w:t>A.</w:t>
      </w:r>
      <w:r>
        <w:rPr>
          <w:szCs w:val="24"/>
        </w:rPr>
        <w:tab/>
        <w:t>Yes, I do.  I understand that Pacific Power</w:t>
      </w:r>
      <w:r w:rsidR="0038507E">
        <w:rPr>
          <w:szCs w:val="24"/>
        </w:rPr>
        <w:t>’s proposal</w:t>
      </w:r>
      <w:r>
        <w:rPr>
          <w:szCs w:val="24"/>
        </w:rPr>
        <w:t xml:space="preserve"> </w:t>
      </w:r>
      <w:r w:rsidR="0037543D">
        <w:rPr>
          <w:szCs w:val="24"/>
        </w:rPr>
        <w:t xml:space="preserve">has </w:t>
      </w:r>
      <w:r>
        <w:rPr>
          <w:szCs w:val="24"/>
        </w:rPr>
        <w:t xml:space="preserve">three separate </w:t>
      </w:r>
      <w:r w:rsidR="0038507E">
        <w:rPr>
          <w:szCs w:val="24"/>
        </w:rPr>
        <w:t xml:space="preserve">elements </w:t>
      </w:r>
      <w:r>
        <w:rPr>
          <w:szCs w:val="24"/>
        </w:rPr>
        <w:t xml:space="preserve">that </w:t>
      </w:r>
      <w:r w:rsidR="0037543D">
        <w:rPr>
          <w:szCs w:val="24"/>
        </w:rPr>
        <w:t xml:space="preserve">work together to </w:t>
      </w:r>
      <w:r>
        <w:rPr>
          <w:szCs w:val="24"/>
        </w:rPr>
        <w:t xml:space="preserve">provide the Company </w:t>
      </w:r>
      <w:r w:rsidR="00D278FD">
        <w:rPr>
          <w:szCs w:val="24"/>
        </w:rPr>
        <w:t xml:space="preserve">an </w:t>
      </w:r>
      <w:r>
        <w:rPr>
          <w:szCs w:val="24"/>
        </w:rPr>
        <w:t xml:space="preserve">opportunity to </w:t>
      </w:r>
      <w:r w:rsidR="0038507E">
        <w:rPr>
          <w:szCs w:val="24"/>
        </w:rPr>
        <w:t>recover its costs, including the cost of equity capital</w:t>
      </w:r>
      <w:r>
        <w:rPr>
          <w:szCs w:val="24"/>
        </w:rPr>
        <w:t xml:space="preserve">. </w:t>
      </w:r>
      <w:r w:rsidR="00D278FD">
        <w:rPr>
          <w:szCs w:val="24"/>
        </w:rPr>
        <w:t xml:space="preserve"> These are: 1) an ERF; 2) a decoupling mechanism; and 3) a two-year rate plan.  Although each separate </w:t>
      </w:r>
      <w:r w:rsidR="0038507E">
        <w:rPr>
          <w:szCs w:val="24"/>
        </w:rPr>
        <w:t>element</w:t>
      </w:r>
      <w:r w:rsidR="00D278FD">
        <w:rPr>
          <w:szCs w:val="24"/>
        </w:rPr>
        <w:t xml:space="preserve"> addresses a discrete issue, the overall purpose of the filing is to remedy the Company’s inability to recover its costs over the next two years.</w:t>
      </w:r>
    </w:p>
    <w:p w:rsidR="00CE4724" w:rsidRPr="00CE4724" w:rsidRDefault="00CE4724" w:rsidP="00CE4724">
      <w:pPr>
        <w:pStyle w:val="QAQCont"/>
        <w:suppressLineNumbers/>
      </w:pPr>
    </w:p>
    <w:p w:rsidR="00044F3D" w:rsidRPr="00384017" w:rsidRDefault="00044F3D" w:rsidP="00D16AA5">
      <w:pPr>
        <w:pStyle w:val="QAQuestion"/>
        <w:tabs>
          <w:tab w:val="num" w:pos="720"/>
        </w:tabs>
        <w:spacing w:after="0" w:line="480" w:lineRule="auto"/>
        <w:ind w:left="720" w:hanging="720"/>
        <w:jc w:val="left"/>
        <w:rPr>
          <w:b/>
          <w:szCs w:val="24"/>
        </w:rPr>
      </w:pPr>
      <w:r w:rsidRPr="00384017">
        <w:rPr>
          <w:b/>
          <w:szCs w:val="24"/>
        </w:rPr>
        <w:lastRenderedPageBreak/>
        <w:t>Q.</w:t>
      </w:r>
      <w:r w:rsidRPr="00384017">
        <w:rPr>
          <w:b/>
          <w:szCs w:val="24"/>
        </w:rPr>
        <w:tab/>
      </w:r>
      <w:r w:rsidR="001E633C">
        <w:rPr>
          <w:b/>
          <w:szCs w:val="24"/>
        </w:rPr>
        <w:t>How d</w:t>
      </w:r>
      <w:r w:rsidR="00D278FD">
        <w:rPr>
          <w:b/>
          <w:szCs w:val="24"/>
        </w:rPr>
        <w:t>o</w:t>
      </w:r>
      <w:r w:rsidR="001E633C">
        <w:rPr>
          <w:b/>
          <w:szCs w:val="24"/>
        </w:rPr>
        <w:t xml:space="preserve"> you </w:t>
      </w:r>
      <w:r w:rsidR="00D278FD">
        <w:rPr>
          <w:b/>
          <w:szCs w:val="24"/>
        </w:rPr>
        <w:t>analyze</w:t>
      </w:r>
      <w:r w:rsidR="001E633C">
        <w:rPr>
          <w:b/>
          <w:szCs w:val="24"/>
        </w:rPr>
        <w:t xml:space="preserve"> these three proposals from an ROE perspective?</w:t>
      </w:r>
      <w:r w:rsidRPr="00384017">
        <w:rPr>
          <w:b/>
          <w:szCs w:val="24"/>
        </w:rPr>
        <w:t xml:space="preserve"> </w:t>
      </w:r>
    </w:p>
    <w:p w:rsidR="003D761C" w:rsidRDefault="00044F3D" w:rsidP="00D16AA5">
      <w:pPr>
        <w:pStyle w:val="QAAnswer"/>
        <w:tabs>
          <w:tab w:val="num" w:pos="720"/>
        </w:tabs>
        <w:spacing w:after="0" w:line="480" w:lineRule="auto"/>
        <w:ind w:left="720" w:hanging="720"/>
        <w:jc w:val="left"/>
        <w:rPr>
          <w:szCs w:val="24"/>
        </w:rPr>
      </w:pPr>
      <w:r w:rsidRPr="00384017">
        <w:rPr>
          <w:szCs w:val="24"/>
        </w:rPr>
        <w:t>A.</w:t>
      </w:r>
      <w:r>
        <w:rPr>
          <w:szCs w:val="24"/>
        </w:rPr>
        <w:tab/>
      </w:r>
      <w:r w:rsidR="00D278FD">
        <w:rPr>
          <w:szCs w:val="24"/>
        </w:rPr>
        <w:t xml:space="preserve">While these types of proposals typically bear little </w:t>
      </w:r>
      <w:r w:rsidR="00665063">
        <w:rPr>
          <w:szCs w:val="24"/>
        </w:rPr>
        <w:t>or no</w:t>
      </w:r>
      <w:r w:rsidR="00D278FD">
        <w:rPr>
          <w:szCs w:val="24"/>
        </w:rPr>
        <w:t xml:space="preserve"> relation to ROE, </w:t>
      </w:r>
      <w:r w:rsidR="001E633C">
        <w:rPr>
          <w:szCs w:val="24"/>
        </w:rPr>
        <w:t xml:space="preserve">I </w:t>
      </w:r>
      <w:r w:rsidR="00D278FD">
        <w:rPr>
          <w:szCs w:val="24"/>
        </w:rPr>
        <w:t xml:space="preserve">nevertheless </w:t>
      </w:r>
      <w:r w:rsidR="0038507E">
        <w:rPr>
          <w:szCs w:val="24"/>
        </w:rPr>
        <w:t>consider</w:t>
      </w:r>
      <w:r w:rsidR="00D278FD">
        <w:rPr>
          <w:szCs w:val="24"/>
        </w:rPr>
        <w:t xml:space="preserve"> them both individually and jointly</w:t>
      </w:r>
      <w:r w:rsidR="0038507E">
        <w:rPr>
          <w:szCs w:val="24"/>
        </w:rPr>
        <w:t xml:space="preserve"> to evaluate whether they warrant adjustments to the ROE</w:t>
      </w:r>
      <w:r w:rsidR="00D278FD">
        <w:rPr>
          <w:szCs w:val="24"/>
        </w:rPr>
        <w:t>.</w:t>
      </w:r>
      <w:r w:rsidR="005B3341">
        <w:rPr>
          <w:szCs w:val="24"/>
        </w:rPr>
        <w:t xml:space="preserve">  I also </w:t>
      </w:r>
      <w:r w:rsidR="00B735B1">
        <w:rPr>
          <w:szCs w:val="24"/>
        </w:rPr>
        <w:t xml:space="preserve">confirm that similar </w:t>
      </w:r>
      <w:r w:rsidR="0038507E">
        <w:rPr>
          <w:szCs w:val="24"/>
        </w:rPr>
        <w:t>regulatory mechanisms</w:t>
      </w:r>
      <w:r w:rsidR="005B3341">
        <w:rPr>
          <w:szCs w:val="24"/>
        </w:rPr>
        <w:t xml:space="preserve"> </w:t>
      </w:r>
      <w:r w:rsidR="00B735B1">
        <w:rPr>
          <w:szCs w:val="24"/>
        </w:rPr>
        <w:t>are</w:t>
      </w:r>
      <w:r w:rsidR="005B3341">
        <w:rPr>
          <w:szCs w:val="24"/>
        </w:rPr>
        <w:t xml:space="preserve"> employed by the comparable utilities in the proxy group.</w:t>
      </w:r>
    </w:p>
    <w:p w:rsidR="00192894" w:rsidRPr="00384017" w:rsidRDefault="00192894"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Has the Commission acknowledged the lack of any direct or quantifiable relationship between risk mitigating regulatory tools and the cost of capital? </w:t>
      </w:r>
    </w:p>
    <w:p w:rsidR="00192894" w:rsidRDefault="00192894" w:rsidP="00A95284">
      <w:pPr>
        <w:pStyle w:val="QAQCont"/>
        <w:spacing w:after="0" w:line="480" w:lineRule="auto"/>
        <w:ind w:left="720" w:hanging="720"/>
        <w:jc w:val="left"/>
        <w:rPr>
          <w:szCs w:val="24"/>
        </w:rPr>
      </w:pPr>
      <w:r w:rsidRPr="00384017">
        <w:rPr>
          <w:szCs w:val="24"/>
        </w:rPr>
        <w:t>A</w:t>
      </w:r>
      <w:r>
        <w:rPr>
          <w:szCs w:val="24"/>
        </w:rPr>
        <w:t>.</w:t>
      </w:r>
      <w:r>
        <w:rPr>
          <w:szCs w:val="24"/>
        </w:rPr>
        <w:tab/>
        <w:t>Yes.  The Commission correctly concluded i</w:t>
      </w:r>
      <w:r w:rsidR="00496DB1">
        <w:rPr>
          <w:szCs w:val="24"/>
        </w:rPr>
        <w:t>n the PSE</w:t>
      </w:r>
      <w:r>
        <w:rPr>
          <w:szCs w:val="24"/>
        </w:rPr>
        <w:t xml:space="preserve"> ERF </w:t>
      </w:r>
      <w:proofErr w:type="gramStart"/>
      <w:r>
        <w:rPr>
          <w:szCs w:val="24"/>
        </w:rPr>
        <w:t>proceeding</w:t>
      </w:r>
      <w:proofErr w:type="gramEnd"/>
      <w:r>
        <w:rPr>
          <w:szCs w:val="24"/>
        </w:rPr>
        <w:t xml:space="preserve"> that:</w:t>
      </w:r>
    </w:p>
    <w:p w:rsidR="00192894" w:rsidRPr="00EA022D" w:rsidRDefault="00192894" w:rsidP="00A95284">
      <w:pPr>
        <w:pStyle w:val="QAQCont"/>
        <w:spacing w:after="0" w:line="240" w:lineRule="auto"/>
        <w:ind w:left="1440" w:right="1080" w:hanging="720"/>
        <w:jc w:val="left"/>
        <w:rPr>
          <w:szCs w:val="24"/>
        </w:rPr>
      </w:pPr>
      <w:r>
        <w:rPr>
          <w:szCs w:val="24"/>
        </w:rPr>
        <w:tab/>
      </w:r>
      <w:r w:rsidRPr="00A95284">
        <w:t>We believe it is correct that cost of capital analysis cannot be expected to produce results that support measurement of decrements to ROE ostensibly due to approval of one risk mitigation mechanism or another.  Nor would cost of capital analysis be adequate to the task of identifying increments to ROE that might be considered due to some measure of additional risk a company takes on at some point in time.  The Commission has never tried to account separately in its ROE determinations for specific risks or risk mitigating factors, nor should it.  Circumstances in the industry today and modern regulatory practice that have led to a proliferation of risk reducing mechanisms being in place for utilities throughout the United States make it particularly inappropriate and unnecessary to consider such an undertaking.  The effects of these risk mitigating factors was by 2013, and is today, built into the data experts draw from the samples of companies they select as proxies.</w:t>
      </w:r>
      <w:r w:rsidRPr="00A95284">
        <w:rPr>
          <w:rStyle w:val="FootnoteReference"/>
        </w:rPr>
        <w:footnoteReference w:id="22"/>
      </w:r>
    </w:p>
    <w:p w:rsidR="00192894" w:rsidRDefault="00192894" w:rsidP="00A95284">
      <w:pPr>
        <w:pStyle w:val="QAQCont"/>
        <w:suppressLineNumbers/>
        <w:spacing w:after="0" w:line="240" w:lineRule="auto"/>
        <w:ind w:left="720" w:hanging="720"/>
        <w:rPr>
          <w:szCs w:val="24"/>
        </w:rPr>
      </w:pPr>
    </w:p>
    <w:p w:rsidR="006C0ADF" w:rsidRDefault="00192894" w:rsidP="00A95284">
      <w:pPr>
        <w:pStyle w:val="QAQCont"/>
        <w:spacing w:after="0" w:line="480" w:lineRule="auto"/>
        <w:ind w:left="720"/>
        <w:jc w:val="left"/>
        <w:rPr>
          <w:szCs w:val="24"/>
        </w:rPr>
      </w:pPr>
      <w:r>
        <w:rPr>
          <w:szCs w:val="24"/>
        </w:rPr>
        <w:t xml:space="preserve">The Commission’s finding correctly characterizes the fact pattern for Pacific Power and the </w:t>
      </w:r>
      <w:r w:rsidR="00963058">
        <w:rPr>
          <w:szCs w:val="24"/>
        </w:rPr>
        <w:t>p</w:t>
      </w:r>
      <w:r>
        <w:rPr>
          <w:szCs w:val="24"/>
        </w:rPr>
        <w:t xml:space="preserve">roxy </w:t>
      </w:r>
      <w:r w:rsidR="00963058">
        <w:rPr>
          <w:szCs w:val="24"/>
        </w:rPr>
        <w:t>g</w:t>
      </w:r>
      <w:r>
        <w:rPr>
          <w:szCs w:val="24"/>
        </w:rPr>
        <w:t xml:space="preserve">roup I rely upon.  It also correctly highlights the analytical intractability of tying specific basis point adjustments to specific regulatory measures on a utility-specific basis.  </w:t>
      </w:r>
      <w:r w:rsidR="006839F1">
        <w:rPr>
          <w:szCs w:val="24"/>
        </w:rPr>
        <w:t xml:space="preserve">As shown in </w:t>
      </w:r>
      <w:r w:rsidR="006839F1" w:rsidRPr="00A715C9">
        <w:t>Exhibit No.</w:t>
      </w:r>
      <w:r w:rsidR="00A22001">
        <w:t xml:space="preserve"> </w:t>
      </w:r>
      <w:r w:rsidR="006839F1">
        <w:t>KGS</w:t>
      </w:r>
      <w:r w:rsidR="006839F1" w:rsidRPr="00A715C9">
        <w:t>-</w:t>
      </w:r>
      <w:r w:rsidR="0027048F">
        <w:t>18</w:t>
      </w:r>
      <w:r w:rsidR="006839F1">
        <w:t xml:space="preserve">, </w:t>
      </w:r>
      <w:r w:rsidR="008F1AC6">
        <w:rPr>
          <w:szCs w:val="24"/>
        </w:rPr>
        <w:t xml:space="preserve">twenty </w:t>
      </w:r>
      <w:r w:rsidR="00B735B1">
        <w:rPr>
          <w:szCs w:val="24"/>
        </w:rPr>
        <w:t xml:space="preserve">of the </w:t>
      </w:r>
      <w:r w:rsidR="00EA022D">
        <w:rPr>
          <w:szCs w:val="24"/>
        </w:rPr>
        <w:t>twenty</w:t>
      </w:r>
      <w:r w:rsidR="00EA022D">
        <w:rPr>
          <w:szCs w:val="24"/>
        </w:rPr>
        <w:noBreakHyphen/>
      </w:r>
      <w:r w:rsidR="008F1AC6">
        <w:rPr>
          <w:szCs w:val="24"/>
        </w:rPr>
        <w:t>three</w:t>
      </w:r>
      <w:r w:rsidR="006C0ADF">
        <w:rPr>
          <w:szCs w:val="24"/>
        </w:rPr>
        <w:t xml:space="preserve"> proxy group </w:t>
      </w:r>
      <w:r w:rsidR="002C64B9">
        <w:rPr>
          <w:szCs w:val="24"/>
        </w:rPr>
        <w:t xml:space="preserve">holding </w:t>
      </w:r>
      <w:r w:rsidR="00B735B1">
        <w:rPr>
          <w:szCs w:val="24"/>
        </w:rPr>
        <w:t xml:space="preserve">companies </w:t>
      </w:r>
      <w:r w:rsidR="002C64B9">
        <w:rPr>
          <w:szCs w:val="24"/>
        </w:rPr>
        <w:t>employ</w:t>
      </w:r>
      <w:r w:rsidR="006C0ADF">
        <w:rPr>
          <w:szCs w:val="24"/>
        </w:rPr>
        <w:t xml:space="preserve"> decoupling </w:t>
      </w:r>
      <w:r w:rsidR="002C64B9">
        <w:rPr>
          <w:szCs w:val="24"/>
        </w:rPr>
        <w:t xml:space="preserve">for at least one </w:t>
      </w:r>
      <w:r w:rsidR="002C64B9">
        <w:rPr>
          <w:szCs w:val="24"/>
        </w:rPr>
        <w:lastRenderedPageBreak/>
        <w:t xml:space="preserve">utility operating company.  In addition, </w:t>
      </w:r>
      <w:r w:rsidR="006839F1">
        <w:rPr>
          <w:szCs w:val="24"/>
        </w:rPr>
        <w:t xml:space="preserve">several </w:t>
      </w:r>
      <w:r w:rsidR="002C64B9">
        <w:rPr>
          <w:szCs w:val="24"/>
        </w:rPr>
        <w:t>utility operating companies employ</w:t>
      </w:r>
      <w:r w:rsidR="006839F1">
        <w:rPr>
          <w:szCs w:val="24"/>
        </w:rPr>
        <w:t xml:space="preserve"> trackers related to capital expenditures</w:t>
      </w:r>
      <w:r w:rsidR="006C0ADF">
        <w:rPr>
          <w:szCs w:val="24"/>
        </w:rPr>
        <w:t xml:space="preserve">.  All electric utilities in the proxy group have </w:t>
      </w:r>
      <w:r w:rsidR="00EA022D">
        <w:rPr>
          <w:szCs w:val="24"/>
        </w:rPr>
        <w:t>power cost adjustment mechanisms (</w:t>
      </w:r>
      <w:r w:rsidR="00B735B1">
        <w:rPr>
          <w:szCs w:val="24"/>
        </w:rPr>
        <w:t>PCAM</w:t>
      </w:r>
      <w:r w:rsidR="00EA022D">
        <w:rPr>
          <w:szCs w:val="24"/>
        </w:rPr>
        <w:t>)</w:t>
      </w:r>
      <w:r w:rsidR="00B735B1">
        <w:rPr>
          <w:szCs w:val="24"/>
        </w:rPr>
        <w:t xml:space="preserve"> of one form or another.  A number have pursued multi-year rate plans.  Hence, the regulatory mechanisms </w:t>
      </w:r>
      <w:r w:rsidR="006839F1">
        <w:rPr>
          <w:szCs w:val="24"/>
        </w:rPr>
        <w:t xml:space="preserve">being proposed in this filing, and the already-approved PCAM, </w:t>
      </w:r>
      <w:r w:rsidR="00B735B1">
        <w:rPr>
          <w:szCs w:val="24"/>
        </w:rPr>
        <w:t>are not unique to Pacific Power</w:t>
      </w:r>
      <w:r w:rsidR="006839F1">
        <w:rPr>
          <w:szCs w:val="24"/>
        </w:rPr>
        <w:t xml:space="preserve">; </w:t>
      </w:r>
      <w:r w:rsidR="00B735B1">
        <w:rPr>
          <w:szCs w:val="24"/>
        </w:rPr>
        <w:t xml:space="preserve">they are also </w:t>
      </w:r>
      <w:r w:rsidR="006839F1">
        <w:rPr>
          <w:szCs w:val="24"/>
        </w:rPr>
        <w:t>reasonably reflected</w:t>
      </w:r>
      <w:r w:rsidR="00B735B1">
        <w:rPr>
          <w:szCs w:val="24"/>
        </w:rPr>
        <w:t xml:space="preserve"> in the proxy group.</w:t>
      </w:r>
      <w:r w:rsidR="006839F1">
        <w:rPr>
          <w:szCs w:val="24"/>
        </w:rPr>
        <w:t xml:space="preserve"> </w:t>
      </w:r>
    </w:p>
    <w:p w:rsidR="00D278FD" w:rsidRPr="00384017" w:rsidRDefault="00D278FD"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sidR="00192894">
        <w:rPr>
          <w:b/>
          <w:szCs w:val="24"/>
        </w:rPr>
        <w:t>P</w:t>
      </w:r>
      <w:r>
        <w:rPr>
          <w:b/>
          <w:szCs w:val="24"/>
        </w:rPr>
        <w:t xml:space="preserve">lease </w:t>
      </w:r>
      <w:r w:rsidR="006839F1">
        <w:rPr>
          <w:b/>
          <w:szCs w:val="24"/>
        </w:rPr>
        <w:t xml:space="preserve">describe </w:t>
      </w:r>
      <w:r w:rsidR="00192894">
        <w:rPr>
          <w:b/>
          <w:szCs w:val="24"/>
        </w:rPr>
        <w:t>the</w:t>
      </w:r>
      <w:r w:rsidR="006839F1">
        <w:rPr>
          <w:b/>
          <w:szCs w:val="24"/>
        </w:rPr>
        <w:t xml:space="preserve"> purpose</w:t>
      </w:r>
      <w:r w:rsidR="00192894">
        <w:rPr>
          <w:b/>
          <w:szCs w:val="24"/>
        </w:rPr>
        <w:t xml:space="preserve"> of the ERF</w:t>
      </w:r>
      <w:r w:rsidR="006839F1">
        <w:rPr>
          <w:b/>
          <w:szCs w:val="24"/>
        </w:rPr>
        <w:t>.</w:t>
      </w:r>
      <w:r>
        <w:rPr>
          <w:b/>
          <w:szCs w:val="24"/>
        </w:rPr>
        <w:t xml:space="preserve"> </w:t>
      </w:r>
    </w:p>
    <w:p w:rsidR="00D278FD" w:rsidRDefault="00CE4724" w:rsidP="00D16AA5">
      <w:pPr>
        <w:pStyle w:val="QAAnswer"/>
        <w:tabs>
          <w:tab w:val="num" w:pos="720"/>
        </w:tabs>
        <w:spacing w:after="0" w:line="480" w:lineRule="auto"/>
        <w:ind w:left="720" w:hanging="720"/>
        <w:jc w:val="left"/>
      </w:pPr>
      <w:r>
        <w:rPr>
          <w:szCs w:val="24"/>
        </w:rPr>
        <w:t>A.</w:t>
      </w:r>
      <w:r w:rsidR="00D278FD">
        <w:rPr>
          <w:szCs w:val="24"/>
        </w:rPr>
        <w:tab/>
        <w:t xml:space="preserve">The ERF is a limited-issue rate </w:t>
      </w:r>
      <w:proofErr w:type="gramStart"/>
      <w:r w:rsidR="00D278FD">
        <w:rPr>
          <w:szCs w:val="24"/>
        </w:rPr>
        <w:t>proceeding</w:t>
      </w:r>
      <w:proofErr w:type="gramEnd"/>
      <w:r w:rsidR="00D278FD">
        <w:rPr>
          <w:szCs w:val="24"/>
        </w:rPr>
        <w:t xml:space="preserve"> that seeks smaller rate increases within a shorter timeframe than a </w:t>
      </w:r>
      <w:r w:rsidR="00EA022D">
        <w:rPr>
          <w:szCs w:val="24"/>
        </w:rPr>
        <w:t>general rate case</w:t>
      </w:r>
      <w:r w:rsidR="00D278FD">
        <w:rPr>
          <w:szCs w:val="24"/>
        </w:rPr>
        <w:t>.  A primary motivation for initiating such a proceeding is to av</w:t>
      </w:r>
      <w:r w:rsidR="00EA022D">
        <w:rPr>
          <w:szCs w:val="24"/>
        </w:rPr>
        <w:t>oid the continuous stream of general rate case</w:t>
      </w:r>
      <w:r w:rsidR="00D278FD">
        <w:rPr>
          <w:szCs w:val="24"/>
        </w:rPr>
        <w:t xml:space="preserve">s that </w:t>
      </w:r>
      <w:r w:rsidR="005B3341">
        <w:rPr>
          <w:szCs w:val="24"/>
        </w:rPr>
        <w:t xml:space="preserve">many </w:t>
      </w:r>
      <w:r w:rsidR="00D278FD">
        <w:rPr>
          <w:szCs w:val="24"/>
        </w:rPr>
        <w:t xml:space="preserve">utilities, like Pacific Power, have experienced over the last decade.  The Company’s ERF </w:t>
      </w:r>
      <w:r w:rsidR="0038507E">
        <w:rPr>
          <w:szCs w:val="24"/>
        </w:rPr>
        <w:t>is intended to</w:t>
      </w:r>
      <w:r w:rsidR="00D278FD">
        <w:rPr>
          <w:szCs w:val="24"/>
        </w:rPr>
        <w:t xml:space="preserve"> help it to manage regulatory lag</w:t>
      </w:r>
      <w:r w:rsidR="005B3341">
        <w:rPr>
          <w:szCs w:val="24"/>
        </w:rPr>
        <w:t xml:space="preserve"> and to recover </w:t>
      </w:r>
      <w:r w:rsidR="0038507E">
        <w:rPr>
          <w:szCs w:val="24"/>
        </w:rPr>
        <w:t xml:space="preserve">a larger share of </w:t>
      </w:r>
      <w:proofErr w:type="gramStart"/>
      <w:r w:rsidR="005B3341">
        <w:rPr>
          <w:szCs w:val="24"/>
        </w:rPr>
        <w:t>its</w:t>
      </w:r>
      <w:proofErr w:type="gramEnd"/>
      <w:r w:rsidR="005B3341">
        <w:rPr>
          <w:szCs w:val="24"/>
        </w:rPr>
        <w:t xml:space="preserve"> </w:t>
      </w:r>
      <w:r w:rsidR="00EA022D">
        <w:rPr>
          <w:szCs w:val="24"/>
        </w:rPr>
        <w:t xml:space="preserve">prudently </w:t>
      </w:r>
      <w:r w:rsidR="006839F1">
        <w:rPr>
          <w:szCs w:val="24"/>
        </w:rPr>
        <w:t xml:space="preserve">incurred </w:t>
      </w:r>
      <w:r w:rsidR="005B3341">
        <w:rPr>
          <w:szCs w:val="24"/>
        </w:rPr>
        <w:t>costs</w:t>
      </w:r>
      <w:r w:rsidR="00D278FD">
        <w:rPr>
          <w:szCs w:val="24"/>
        </w:rPr>
        <w:t>.</w:t>
      </w:r>
    </w:p>
    <w:p w:rsidR="00D278FD" w:rsidRPr="00384017" w:rsidRDefault="00D278FD"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Did you factor in the costs, benefits</w:t>
      </w:r>
      <w:r w:rsidR="00EA022D">
        <w:rPr>
          <w:b/>
          <w:szCs w:val="24"/>
        </w:rPr>
        <w:t>,</w:t>
      </w:r>
      <w:r>
        <w:rPr>
          <w:b/>
          <w:szCs w:val="24"/>
        </w:rPr>
        <w:t xml:space="preserve"> and risks of the ERF in your ROE analysis?</w:t>
      </w:r>
      <w:r w:rsidRPr="00384017">
        <w:rPr>
          <w:b/>
          <w:szCs w:val="24"/>
        </w:rPr>
        <w:t xml:space="preserve"> </w:t>
      </w:r>
    </w:p>
    <w:p w:rsidR="00D278FD" w:rsidRDefault="00D278FD" w:rsidP="00D16AA5">
      <w:pPr>
        <w:pStyle w:val="QAAnswer"/>
        <w:tabs>
          <w:tab w:val="num" w:pos="720"/>
        </w:tabs>
        <w:spacing w:after="0" w:line="480" w:lineRule="auto"/>
        <w:ind w:left="720" w:hanging="720"/>
        <w:jc w:val="left"/>
        <w:rPr>
          <w:szCs w:val="24"/>
        </w:rPr>
      </w:pPr>
      <w:r w:rsidRPr="00384017">
        <w:rPr>
          <w:szCs w:val="24"/>
        </w:rPr>
        <w:t xml:space="preserve">A. </w:t>
      </w:r>
      <w:r w:rsidRPr="00384017">
        <w:rPr>
          <w:szCs w:val="24"/>
        </w:rPr>
        <w:tab/>
      </w:r>
      <w:r>
        <w:rPr>
          <w:szCs w:val="24"/>
        </w:rPr>
        <w:t>Yes</w:t>
      </w:r>
      <w:r w:rsidR="00192894">
        <w:rPr>
          <w:szCs w:val="24"/>
        </w:rPr>
        <w:t>, I did</w:t>
      </w:r>
      <w:r>
        <w:rPr>
          <w:szCs w:val="24"/>
        </w:rPr>
        <w:t xml:space="preserve">.  The ERF </w:t>
      </w:r>
      <w:r w:rsidR="005B3341">
        <w:rPr>
          <w:szCs w:val="24"/>
        </w:rPr>
        <w:t>has the potential to provide</w:t>
      </w:r>
      <w:r>
        <w:rPr>
          <w:szCs w:val="24"/>
        </w:rPr>
        <w:t xml:space="preserve"> </w:t>
      </w:r>
      <w:r w:rsidR="005B3341">
        <w:rPr>
          <w:szCs w:val="24"/>
        </w:rPr>
        <w:t>quicker</w:t>
      </w:r>
      <w:r>
        <w:rPr>
          <w:szCs w:val="24"/>
        </w:rPr>
        <w:t xml:space="preserve"> </w:t>
      </w:r>
      <w:r w:rsidR="005B3341">
        <w:rPr>
          <w:szCs w:val="24"/>
        </w:rPr>
        <w:t>changes in rates, but comes at a cost.  On net, I do not find that the ERF warrants any adjustments to the ROE</w:t>
      </w:r>
      <w:r>
        <w:rPr>
          <w:szCs w:val="24"/>
        </w:rPr>
        <w:t>.</w:t>
      </w:r>
      <w:r w:rsidR="0038507E">
        <w:rPr>
          <w:szCs w:val="24"/>
        </w:rPr>
        <w:t xml:space="preserve">  This appears to be the view of the Commission as well, having </w:t>
      </w:r>
      <w:r w:rsidR="002C64B9">
        <w:rPr>
          <w:szCs w:val="24"/>
        </w:rPr>
        <w:t xml:space="preserve">in the past </w:t>
      </w:r>
      <w:r w:rsidR="0038507E">
        <w:rPr>
          <w:szCs w:val="24"/>
        </w:rPr>
        <w:t xml:space="preserve">approved </w:t>
      </w:r>
      <w:r w:rsidR="00D455C7">
        <w:rPr>
          <w:szCs w:val="24"/>
        </w:rPr>
        <w:t>an ERF mechanism</w:t>
      </w:r>
      <w:r w:rsidR="002C64B9">
        <w:rPr>
          <w:szCs w:val="24"/>
        </w:rPr>
        <w:t xml:space="preserve"> together with other innovative regulatory tools</w:t>
      </w:r>
      <w:r w:rsidR="0038507E">
        <w:rPr>
          <w:szCs w:val="24"/>
        </w:rPr>
        <w:t xml:space="preserve"> without requiring an ROE adjustment.</w:t>
      </w:r>
      <w:r w:rsidR="0038507E">
        <w:rPr>
          <w:rStyle w:val="FootnoteReference"/>
          <w:szCs w:val="24"/>
        </w:rPr>
        <w:footnoteReference w:id="23"/>
      </w:r>
      <w:r w:rsidR="0038507E">
        <w:rPr>
          <w:szCs w:val="24"/>
        </w:rPr>
        <w:t xml:space="preserve"> </w:t>
      </w:r>
    </w:p>
    <w:p w:rsidR="005C571D" w:rsidRPr="00384017" w:rsidRDefault="005C571D"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sidR="00192894">
        <w:rPr>
          <w:b/>
          <w:szCs w:val="24"/>
        </w:rPr>
        <w:t xml:space="preserve">What about decoupling?  </w:t>
      </w:r>
    </w:p>
    <w:p w:rsidR="00372858" w:rsidRDefault="005C571D" w:rsidP="00A95284">
      <w:pPr>
        <w:pStyle w:val="QAQCont"/>
        <w:spacing w:after="0" w:line="480" w:lineRule="auto"/>
        <w:ind w:left="720" w:hanging="720"/>
        <w:jc w:val="left"/>
        <w:rPr>
          <w:szCs w:val="24"/>
        </w:rPr>
      </w:pPr>
      <w:r w:rsidRPr="00384017">
        <w:rPr>
          <w:szCs w:val="24"/>
        </w:rPr>
        <w:t xml:space="preserve">A. </w:t>
      </w:r>
      <w:r w:rsidRPr="00384017">
        <w:rPr>
          <w:szCs w:val="24"/>
        </w:rPr>
        <w:tab/>
      </w:r>
      <w:r>
        <w:rPr>
          <w:szCs w:val="24"/>
        </w:rPr>
        <w:t>Decoupling mechanism</w:t>
      </w:r>
      <w:r w:rsidR="005F656C">
        <w:rPr>
          <w:szCs w:val="24"/>
        </w:rPr>
        <w:t>s</w:t>
      </w:r>
      <w:r>
        <w:rPr>
          <w:szCs w:val="24"/>
        </w:rPr>
        <w:t xml:space="preserve"> are </w:t>
      </w:r>
      <w:r w:rsidR="00372858">
        <w:rPr>
          <w:szCs w:val="24"/>
        </w:rPr>
        <w:t xml:space="preserve">now </w:t>
      </w:r>
      <w:r w:rsidR="005F656C">
        <w:rPr>
          <w:szCs w:val="24"/>
        </w:rPr>
        <w:t xml:space="preserve">relatively </w:t>
      </w:r>
      <w:r w:rsidR="00192894">
        <w:rPr>
          <w:szCs w:val="24"/>
        </w:rPr>
        <w:t xml:space="preserve">common </w:t>
      </w:r>
      <w:r w:rsidR="005F656C">
        <w:rPr>
          <w:szCs w:val="24"/>
        </w:rPr>
        <w:t xml:space="preserve">tools </w:t>
      </w:r>
      <w:r w:rsidR="00963058">
        <w:rPr>
          <w:szCs w:val="24"/>
        </w:rPr>
        <w:t>used by</w:t>
      </w:r>
      <w:r w:rsidR="005F656C">
        <w:rPr>
          <w:szCs w:val="24"/>
        </w:rPr>
        <w:t xml:space="preserve"> the </w:t>
      </w:r>
      <w:r w:rsidR="00192894">
        <w:rPr>
          <w:szCs w:val="24"/>
        </w:rPr>
        <w:t xml:space="preserve">industry.  </w:t>
      </w:r>
      <w:r w:rsidR="00372858">
        <w:rPr>
          <w:szCs w:val="24"/>
        </w:rPr>
        <w:t xml:space="preserve">While not all utilities have a decoupling mechanism, many utilities </w:t>
      </w:r>
      <w:r w:rsidR="00192894">
        <w:rPr>
          <w:szCs w:val="24"/>
        </w:rPr>
        <w:t xml:space="preserve">do </w:t>
      </w:r>
      <w:r w:rsidR="00337187">
        <w:rPr>
          <w:szCs w:val="24"/>
        </w:rPr>
        <w:t xml:space="preserve">and many have </w:t>
      </w:r>
      <w:r w:rsidR="00EA022D">
        <w:rPr>
          <w:szCs w:val="24"/>
        </w:rPr>
        <w:lastRenderedPageBreak/>
        <w:t>other risk-</w:t>
      </w:r>
      <w:r w:rsidR="00372858">
        <w:rPr>
          <w:szCs w:val="24"/>
        </w:rPr>
        <w:t>mitigating mechanisms</w:t>
      </w:r>
      <w:r w:rsidR="00337187">
        <w:rPr>
          <w:szCs w:val="24"/>
        </w:rPr>
        <w:t xml:space="preserve"> that Pacific Power does not have such as capital trackers</w:t>
      </w:r>
      <w:r w:rsidR="00372858">
        <w:rPr>
          <w:szCs w:val="24"/>
        </w:rPr>
        <w:t xml:space="preserve">.  </w:t>
      </w:r>
      <w:r w:rsidR="00192894">
        <w:rPr>
          <w:szCs w:val="24"/>
        </w:rPr>
        <w:t>As noted, m</w:t>
      </w:r>
      <w:r w:rsidR="00372858">
        <w:rPr>
          <w:szCs w:val="24"/>
        </w:rPr>
        <w:t xml:space="preserve">y proxy group of comparable utilities already reflects the impact of decoupling and other </w:t>
      </w:r>
      <w:r w:rsidR="00F43989">
        <w:rPr>
          <w:szCs w:val="24"/>
        </w:rPr>
        <w:t>adjustment mechanisms</w:t>
      </w:r>
      <w:r w:rsidR="00372858">
        <w:rPr>
          <w:szCs w:val="24"/>
        </w:rPr>
        <w:t xml:space="preserve"> on the </w:t>
      </w:r>
      <w:r w:rsidR="00337187">
        <w:rPr>
          <w:szCs w:val="24"/>
        </w:rPr>
        <w:t>applicable fair return</w:t>
      </w:r>
      <w:r w:rsidR="00372858">
        <w:rPr>
          <w:szCs w:val="24"/>
        </w:rPr>
        <w:t xml:space="preserve">.  </w:t>
      </w:r>
    </w:p>
    <w:p w:rsidR="00864857" w:rsidRDefault="00864857"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Did </w:t>
      </w:r>
      <w:r w:rsidR="002B1FB0">
        <w:rPr>
          <w:b/>
          <w:szCs w:val="24"/>
        </w:rPr>
        <w:t>the</w:t>
      </w:r>
      <w:r>
        <w:rPr>
          <w:b/>
          <w:szCs w:val="24"/>
        </w:rPr>
        <w:t xml:space="preserve"> Commission also state that it would be inclined to lower PSE’s ROE if decoupling w</w:t>
      </w:r>
      <w:r w:rsidR="00C201DC">
        <w:rPr>
          <w:b/>
          <w:szCs w:val="24"/>
        </w:rPr>
        <w:t>ere</w:t>
      </w:r>
      <w:r>
        <w:rPr>
          <w:b/>
          <w:szCs w:val="24"/>
        </w:rPr>
        <w:t xml:space="preserve"> the only factor it was considering?</w:t>
      </w:r>
    </w:p>
    <w:p w:rsidR="00970F2E" w:rsidRDefault="00864857" w:rsidP="00A95284">
      <w:pPr>
        <w:pStyle w:val="QAQCont"/>
        <w:spacing w:after="0" w:line="480" w:lineRule="auto"/>
        <w:ind w:left="720" w:hanging="720"/>
        <w:jc w:val="left"/>
        <w:rPr>
          <w:szCs w:val="24"/>
        </w:rPr>
      </w:pPr>
      <w:r w:rsidRPr="00384017">
        <w:rPr>
          <w:szCs w:val="24"/>
        </w:rPr>
        <w:t>A</w:t>
      </w:r>
      <w:r>
        <w:rPr>
          <w:szCs w:val="24"/>
        </w:rPr>
        <w:t>.</w:t>
      </w:r>
      <w:r>
        <w:rPr>
          <w:szCs w:val="24"/>
        </w:rPr>
        <w:tab/>
        <w:t xml:space="preserve">Yes, but in the PSE ERF proceeding, </w:t>
      </w:r>
      <w:proofErr w:type="gramStart"/>
      <w:r>
        <w:rPr>
          <w:szCs w:val="24"/>
        </w:rPr>
        <w:t>like</w:t>
      </w:r>
      <w:proofErr w:type="gramEnd"/>
      <w:r>
        <w:rPr>
          <w:szCs w:val="24"/>
        </w:rPr>
        <w:t xml:space="preserve"> Pacific Power’s filing, the Commission was not only considering decoupling, but was jointly considering an ERF, decoupling, and a rate plan.</w:t>
      </w:r>
      <w:r w:rsidR="005B72CB">
        <w:rPr>
          <w:rStyle w:val="FootnoteReference"/>
          <w:szCs w:val="24"/>
        </w:rPr>
        <w:footnoteReference w:id="24"/>
      </w:r>
      <w:r>
        <w:rPr>
          <w:szCs w:val="24"/>
        </w:rPr>
        <w:t xml:space="preserve">  In collectively considering the filings the Commission decided that the ROE should remain the same</w:t>
      </w:r>
      <w:r w:rsidR="00337187">
        <w:rPr>
          <w:szCs w:val="24"/>
        </w:rPr>
        <w:t xml:space="preserve"> without adjustment for decoupling</w:t>
      </w:r>
      <w:r>
        <w:rPr>
          <w:szCs w:val="24"/>
        </w:rPr>
        <w:t>.</w:t>
      </w:r>
      <w:r>
        <w:rPr>
          <w:rStyle w:val="FootnoteReference"/>
          <w:szCs w:val="24"/>
        </w:rPr>
        <w:footnoteReference w:id="25"/>
      </w:r>
      <w:r w:rsidR="005B72CB">
        <w:rPr>
          <w:szCs w:val="24"/>
        </w:rPr>
        <w:t xml:space="preserve"> </w:t>
      </w:r>
      <w:r w:rsidR="00337187">
        <w:rPr>
          <w:szCs w:val="24"/>
        </w:rPr>
        <w:t xml:space="preserve"> </w:t>
      </w:r>
    </w:p>
    <w:p w:rsidR="005C571D" w:rsidRPr="00384017" w:rsidRDefault="005C571D" w:rsidP="00A95284">
      <w:pPr>
        <w:pStyle w:val="QAQCont"/>
        <w:spacing w:after="0" w:line="480" w:lineRule="auto"/>
        <w:ind w:left="720" w:hanging="720"/>
        <w:jc w:val="left"/>
        <w:rPr>
          <w:b/>
          <w:szCs w:val="24"/>
        </w:rPr>
      </w:pPr>
      <w:r w:rsidRPr="00384017">
        <w:rPr>
          <w:b/>
          <w:szCs w:val="24"/>
        </w:rPr>
        <w:t>Q.</w:t>
      </w:r>
      <w:r w:rsidRPr="00384017">
        <w:rPr>
          <w:b/>
          <w:szCs w:val="24"/>
        </w:rPr>
        <w:tab/>
      </w:r>
      <w:r>
        <w:rPr>
          <w:b/>
          <w:szCs w:val="24"/>
        </w:rPr>
        <w:t xml:space="preserve">Should the ROE be </w:t>
      </w:r>
      <w:r w:rsidR="00A372DB">
        <w:rPr>
          <w:b/>
          <w:szCs w:val="24"/>
        </w:rPr>
        <w:t>adjusted because of the decoupling mechanism</w:t>
      </w:r>
      <w:r>
        <w:rPr>
          <w:b/>
          <w:szCs w:val="24"/>
        </w:rPr>
        <w:t>?</w:t>
      </w:r>
      <w:r w:rsidRPr="00384017">
        <w:rPr>
          <w:b/>
          <w:szCs w:val="24"/>
        </w:rPr>
        <w:t xml:space="preserve"> </w:t>
      </w:r>
    </w:p>
    <w:p w:rsidR="005C571D" w:rsidRDefault="005C571D" w:rsidP="00D16AA5">
      <w:pPr>
        <w:pStyle w:val="QAAnswer"/>
        <w:tabs>
          <w:tab w:val="num" w:pos="720"/>
        </w:tabs>
        <w:spacing w:after="0" w:line="480" w:lineRule="auto"/>
        <w:ind w:left="720" w:hanging="720"/>
        <w:jc w:val="left"/>
        <w:rPr>
          <w:szCs w:val="24"/>
        </w:rPr>
      </w:pPr>
      <w:r w:rsidRPr="00384017">
        <w:rPr>
          <w:szCs w:val="24"/>
        </w:rPr>
        <w:t>A</w:t>
      </w:r>
      <w:r>
        <w:rPr>
          <w:szCs w:val="24"/>
        </w:rPr>
        <w:t>.</w:t>
      </w:r>
      <w:r>
        <w:rPr>
          <w:szCs w:val="24"/>
        </w:rPr>
        <w:tab/>
        <w:t>No</w:t>
      </w:r>
      <w:r w:rsidR="00C201DC">
        <w:rPr>
          <w:szCs w:val="24"/>
        </w:rPr>
        <w:t>, it should not be adjusted for the reasons I lay out above.</w:t>
      </w:r>
      <w:r w:rsidR="00787E02">
        <w:rPr>
          <w:szCs w:val="24"/>
        </w:rPr>
        <w:t xml:space="preserve"> </w:t>
      </w:r>
      <w:r w:rsidR="0027646F">
        <w:rPr>
          <w:szCs w:val="24"/>
        </w:rPr>
        <w:t xml:space="preserve"> In addition, I note that my empirical research shows that decoupling, even when considered in isolation, does not result in a lower cost of capital.</w:t>
      </w:r>
    </w:p>
    <w:p w:rsidR="00192894" w:rsidRPr="00384017" w:rsidRDefault="00192894"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Have you reviewed the Company’s two-year rate plan?</w:t>
      </w:r>
      <w:r w:rsidRPr="00384017">
        <w:rPr>
          <w:b/>
          <w:szCs w:val="24"/>
        </w:rPr>
        <w:t xml:space="preserve"> </w:t>
      </w:r>
    </w:p>
    <w:p w:rsidR="00192894" w:rsidRDefault="00192894" w:rsidP="00D16AA5">
      <w:pPr>
        <w:pStyle w:val="QAAnswer"/>
        <w:tabs>
          <w:tab w:val="num" w:pos="720"/>
        </w:tabs>
        <w:spacing w:after="0" w:line="480" w:lineRule="auto"/>
        <w:ind w:left="720" w:hanging="720"/>
        <w:jc w:val="left"/>
        <w:rPr>
          <w:szCs w:val="24"/>
        </w:rPr>
      </w:pPr>
      <w:r>
        <w:rPr>
          <w:szCs w:val="24"/>
        </w:rPr>
        <w:t xml:space="preserve">A.  </w:t>
      </w:r>
      <w:r>
        <w:rPr>
          <w:szCs w:val="24"/>
        </w:rPr>
        <w:tab/>
        <w:t>Yes, I have.  I understand that the Company, in addition to the May 2016 ERF rate increase, has also proposed a second increase effective May 2017.  Both increases are under three percent.</w:t>
      </w:r>
    </w:p>
    <w:p w:rsidR="00192894" w:rsidRPr="00384017" w:rsidRDefault="00192894"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Did you factor in the two-year rate plan into your ROE analysis?</w:t>
      </w:r>
      <w:r w:rsidRPr="00384017">
        <w:rPr>
          <w:b/>
          <w:szCs w:val="24"/>
        </w:rPr>
        <w:t xml:space="preserve"> </w:t>
      </w:r>
    </w:p>
    <w:p w:rsidR="00192894" w:rsidRDefault="00192894" w:rsidP="00A95284">
      <w:pPr>
        <w:pStyle w:val="QAQCont"/>
        <w:spacing w:after="0" w:line="480" w:lineRule="auto"/>
        <w:ind w:left="720" w:hanging="720"/>
        <w:jc w:val="left"/>
        <w:rPr>
          <w:szCs w:val="24"/>
        </w:rPr>
      </w:pPr>
      <w:r w:rsidRPr="00384017">
        <w:rPr>
          <w:szCs w:val="24"/>
        </w:rPr>
        <w:t xml:space="preserve">A. </w:t>
      </w:r>
      <w:r w:rsidRPr="00384017">
        <w:rPr>
          <w:szCs w:val="24"/>
        </w:rPr>
        <w:tab/>
      </w:r>
      <w:r>
        <w:rPr>
          <w:szCs w:val="24"/>
        </w:rPr>
        <w:t>Yes.  The two-year rate plan poses costs, risks</w:t>
      </w:r>
      <w:r w:rsidR="00EA022D">
        <w:rPr>
          <w:szCs w:val="24"/>
        </w:rPr>
        <w:t>,</w:t>
      </w:r>
      <w:r>
        <w:rPr>
          <w:szCs w:val="24"/>
        </w:rPr>
        <w:t xml:space="preserve"> and benefits relative to the</w:t>
      </w:r>
      <w:r w:rsidR="00EA022D">
        <w:rPr>
          <w:szCs w:val="24"/>
        </w:rPr>
        <w:t xml:space="preserve"> standard approach of annual general rate case</w:t>
      </w:r>
      <w:r>
        <w:rPr>
          <w:szCs w:val="24"/>
        </w:rPr>
        <w:t xml:space="preserve">s in an increasing cost environment.  It is </w:t>
      </w:r>
      <w:r>
        <w:rPr>
          <w:szCs w:val="24"/>
        </w:rPr>
        <w:lastRenderedPageBreak/>
        <w:t xml:space="preserve">important to note that the two-year plan includes a “stay-out provision,” which </w:t>
      </w:r>
      <w:r w:rsidR="001F7255">
        <w:rPr>
          <w:szCs w:val="24"/>
        </w:rPr>
        <w:t>poses new</w:t>
      </w:r>
      <w:r>
        <w:rPr>
          <w:szCs w:val="24"/>
        </w:rPr>
        <w:t xml:space="preserve"> </w:t>
      </w:r>
      <w:r w:rsidR="001F7255">
        <w:rPr>
          <w:szCs w:val="24"/>
        </w:rPr>
        <w:t xml:space="preserve">risks for </w:t>
      </w:r>
      <w:r>
        <w:rPr>
          <w:szCs w:val="24"/>
        </w:rPr>
        <w:t xml:space="preserve">the Company.  </w:t>
      </w:r>
    </w:p>
    <w:p w:rsidR="00192894" w:rsidRPr="00384017" w:rsidRDefault="00192894" w:rsidP="00D16AA5">
      <w:pPr>
        <w:pStyle w:val="QAQuestion"/>
        <w:tabs>
          <w:tab w:val="num" w:pos="720"/>
        </w:tabs>
        <w:spacing w:after="0" w:line="480" w:lineRule="auto"/>
        <w:jc w:val="left"/>
        <w:rPr>
          <w:b/>
          <w:szCs w:val="24"/>
        </w:rPr>
      </w:pPr>
      <w:r w:rsidRPr="00384017">
        <w:rPr>
          <w:b/>
          <w:szCs w:val="24"/>
        </w:rPr>
        <w:t>Q.</w:t>
      </w:r>
      <w:r w:rsidRPr="00384017">
        <w:rPr>
          <w:b/>
          <w:szCs w:val="24"/>
        </w:rPr>
        <w:tab/>
      </w:r>
      <w:r>
        <w:rPr>
          <w:b/>
          <w:szCs w:val="24"/>
        </w:rPr>
        <w:tab/>
        <w:t xml:space="preserve">Should the ROE be </w:t>
      </w:r>
      <w:r w:rsidR="001F7255">
        <w:rPr>
          <w:b/>
          <w:szCs w:val="24"/>
        </w:rPr>
        <w:t>adjusted</w:t>
      </w:r>
      <w:r>
        <w:rPr>
          <w:b/>
          <w:szCs w:val="24"/>
        </w:rPr>
        <w:t xml:space="preserve"> because of the rate plan?</w:t>
      </w:r>
      <w:r w:rsidRPr="00384017">
        <w:rPr>
          <w:b/>
          <w:szCs w:val="24"/>
        </w:rPr>
        <w:t xml:space="preserve"> </w:t>
      </w:r>
    </w:p>
    <w:p w:rsidR="00192894" w:rsidRDefault="00192894" w:rsidP="00D16AA5">
      <w:pPr>
        <w:pStyle w:val="QAAnswer"/>
        <w:tabs>
          <w:tab w:val="num" w:pos="720"/>
        </w:tabs>
        <w:spacing w:after="0" w:line="480" w:lineRule="auto"/>
        <w:ind w:left="720" w:hanging="720"/>
        <w:jc w:val="left"/>
        <w:rPr>
          <w:szCs w:val="24"/>
        </w:rPr>
      </w:pPr>
      <w:r w:rsidRPr="00384017">
        <w:rPr>
          <w:szCs w:val="24"/>
        </w:rPr>
        <w:t>A</w:t>
      </w:r>
      <w:r>
        <w:rPr>
          <w:szCs w:val="24"/>
        </w:rPr>
        <w:t>.</w:t>
      </w:r>
      <w:r>
        <w:rPr>
          <w:szCs w:val="24"/>
        </w:rPr>
        <w:tab/>
        <w:t xml:space="preserve">No.  It is not appropriate to </w:t>
      </w:r>
      <w:r w:rsidR="001F7255">
        <w:rPr>
          <w:szCs w:val="24"/>
        </w:rPr>
        <w:t xml:space="preserve">adjust </w:t>
      </w:r>
      <w:r>
        <w:rPr>
          <w:szCs w:val="24"/>
        </w:rPr>
        <w:t>the ROE due to the effects of the rate plan.</w:t>
      </w:r>
      <w:r w:rsidR="001F7255">
        <w:rPr>
          <w:szCs w:val="24"/>
        </w:rPr>
        <w:t xml:space="preserve">  As noted, the beneficial effects are balanced by costs and risks.</w:t>
      </w:r>
    </w:p>
    <w:p w:rsidR="00E656A3" w:rsidRPr="00384017" w:rsidRDefault="00E656A3"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Please turn now to your review of the joint effects of the three elements of the proposal on ROE.  Why did you consider the elements jointly?</w:t>
      </w:r>
      <w:r w:rsidRPr="00384017">
        <w:rPr>
          <w:b/>
          <w:szCs w:val="24"/>
        </w:rPr>
        <w:t xml:space="preserve"> </w:t>
      </w:r>
    </w:p>
    <w:p w:rsidR="00E656A3" w:rsidRDefault="00E656A3" w:rsidP="00D16AA5">
      <w:pPr>
        <w:pStyle w:val="QAAnswer"/>
        <w:tabs>
          <w:tab w:val="num" w:pos="720"/>
        </w:tabs>
        <w:spacing w:after="0" w:line="480" w:lineRule="auto"/>
        <w:ind w:left="720" w:hanging="720"/>
        <w:jc w:val="left"/>
        <w:rPr>
          <w:szCs w:val="24"/>
        </w:rPr>
      </w:pPr>
      <w:r w:rsidRPr="00384017">
        <w:rPr>
          <w:szCs w:val="24"/>
        </w:rPr>
        <w:t>A.</w:t>
      </w:r>
      <w:r>
        <w:rPr>
          <w:szCs w:val="24"/>
        </w:rPr>
        <w:tab/>
        <w:t xml:space="preserve">At the most basic level, the Company is requesting these three relief mechanisms in the same filing.  This makes it reasonable to look at the requested relief in aggregate.  </w:t>
      </w:r>
    </w:p>
    <w:p w:rsidR="00E656A3" w:rsidRPr="00384017" w:rsidRDefault="00E656A3"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And what do you conclude from your assessment of the three elements of the proposal</w:t>
      </w:r>
      <w:r w:rsidR="001F7255">
        <w:rPr>
          <w:b/>
          <w:szCs w:val="24"/>
        </w:rPr>
        <w:t xml:space="preserve"> jointly</w:t>
      </w:r>
      <w:r>
        <w:rPr>
          <w:b/>
          <w:szCs w:val="24"/>
        </w:rPr>
        <w:t>?</w:t>
      </w:r>
      <w:r w:rsidRPr="00384017">
        <w:rPr>
          <w:b/>
          <w:szCs w:val="24"/>
        </w:rPr>
        <w:t xml:space="preserve"> </w:t>
      </w:r>
    </w:p>
    <w:p w:rsidR="00E656A3" w:rsidRDefault="00E656A3" w:rsidP="00D16AA5">
      <w:pPr>
        <w:pStyle w:val="QAAnswer"/>
        <w:tabs>
          <w:tab w:val="num" w:pos="720"/>
        </w:tabs>
        <w:spacing w:after="0" w:line="480" w:lineRule="auto"/>
        <w:ind w:left="720" w:hanging="720"/>
        <w:jc w:val="left"/>
        <w:rPr>
          <w:szCs w:val="24"/>
        </w:rPr>
      </w:pPr>
      <w:r w:rsidRPr="00384017">
        <w:rPr>
          <w:szCs w:val="24"/>
        </w:rPr>
        <w:t>A.</w:t>
      </w:r>
      <w:r>
        <w:rPr>
          <w:szCs w:val="24"/>
        </w:rPr>
        <w:tab/>
        <w:t xml:space="preserve">I conclude that the Company’s proposal, taken as a whole, does not warrant an ROE adjustment.  While the proposal is constructive and responsive to the Commission’s invitation to employ innovative regulatory tools, it comes at a cost to the Company and creates new risks.  </w:t>
      </w:r>
      <w:r w:rsidR="00C37356">
        <w:rPr>
          <w:szCs w:val="24"/>
        </w:rPr>
        <w:t xml:space="preserve">The Company proposes locking in rate increases of less than 3 percent per year even </w:t>
      </w:r>
      <w:r w:rsidR="001F7255">
        <w:rPr>
          <w:szCs w:val="24"/>
        </w:rPr>
        <w:t>though</w:t>
      </w:r>
      <w:r w:rsidR="00C37356">
        <w:rPr>
          <w:szCs w:val="24"/>
        </w:rPr>
        <w:t xml:space="preserve"> it</w:t>
      </w:r>
      <w:r w:rsidR="001F7255">
        <w:rPr>
          <w:szCs w:val="24"/>
        </w:rPr>
        <w:t xml:space="preserve"> may have been entitled to </w:t>
      </w:r>
      <w:r w:rsidR="00C37356">
        <w:rPr>
          <w:szCs w:val="24"/>
        </w:rPr>
        <w:t>higher increases</w:t>
      </w:r>
      <w:r w:rsidR="00EA022D">
        <w:rPr>
          <w:szCs w:val="24"/>
        </w:rPr>
        <w:t xml:space="preserve"> under a series of general rate case</w:t>
      </w:r>
      <w:r w:rsidR="001F7255">
        <w:rPr>
          <w:szCs w:val="24"/>
        </w:rPr>
        <w:t>s</w:t>
      </w:r>
      <w:r w:rsidR="00C37356">
        <w:rPr>
          <w:szCs w:val="24"/>
        </w:rPr>
        <w:t xml:space="preserve">.  </w:t>
      </w:r>
      <w:r>
        <w:rPr>
          <w:szCs w:val="24"/>
        </w:rPr>
        <w:t xml:space="preserve">The provisions designed to protect customers in turn create risks for Pacific Power.  </w:t>
      </w:r>
      <w:r w:rsidR="00C37356">
        <w:rPr>
          <w:szCs w:val="24"/>
        </w:rPr>
        <w:t xml:space="preserve">For example, </w:t>
      </w:r>
      <w:r w:rsidR="0027646F">
        <w:rPr>
          <w:szCs w:val="24"/>
        </w:rPr>
        <w:t>the Company</w:t>
      </w:r>
      <w:r>
        <w:rPr>
          <w:szCs w:val="24"/>
        </w:rPr>
        <w:t xml:space="preserve">’s commitment to not file for a </w:t>
      </w:r>
      <w:r>
        <w:t xml:space="preserve">rate change effective before </w:t>
      </w:r>
      <w:r w:rsidR="00EA022D">
        <w:t>April</w:t>
      </w:r>
      <w:r>
        <w:t xml:space="preserve"> 1, 2018, or </w:t>
      </w:r>
      <w:r w:rsidR="00EA022D">
        <w:t xml:space="preserve">approximately </w:t>
      </w:r>
      <w:r>
        <w:t xml:space="preserve">two years after the ERF rates </w:t>
      </w:r>
      <w:r w:rsidRPr="00F712B8">
        <w:rPr>
          <w:szCs w:val="24"/>
        </w:rPr>
        <w:t>go into effect</w:t>
      </w:r>
      <w:r w:rsidR="00C37356">
        <w:rPr>
          <w:szCs w:val="24"/>
        </w:rPr>
        <w:t xml:space="preserve"> is </w:t>
      </w:r>
      <w:r w:rsidR="000C25B5">
        <w:rPr>
          <w:szCs w:val="24"/>
        </w:rPr>
        <w:t>noteworthy</w:t>
      </w:r>
      <w:r w:rsidR="00C37356">
        <w:rPr>
          <w:szCs w:val="24"/>
        </w:rPr>
        <w:t xml:space="preserve">. </w:t>
      </w:r>
      <w:r w:rsidR="0027646F">
        <w:rPr>
          <w:szCs w:val="24"/>
        </w:rPr>
        <w:t xml:space="preserve"> </w:t>
      </w:r>
      <w:r>
        <w:rPr>
          <w:szCs w:val="24"/>
        </w:rPr>
        <w:t>Th</w:t>
      </w:r>
      <w:r w:rsidR="0027646F">
        <w:rPr>
          <w:szCs w:val="24"/>
        </w:rPr>
        <w:t>is</w:t>
      </w:r>
      <w:r>
        <w:rPr>
          <w:szCs w:val="24"/>
        </w:rPr>
        <w:t xml:space="preserve"> </w:t>
      </w:r>
      <w:r w:rsidR="0027646F">
        <w:rPr>
          <w:szCs w:val="24"/>
        </w:rPr>
        <w:t>“</w:t>
      </w:r>
      <w:r>
        <w:rPr>
          <w:szCs w:val="24"/>
        </w:rPr>
        <w:t>stay-out</w:t>
      </w:r>
      <w:r w:rsidR="0027646F">
        <w:rPr>
          <w:szCs w:val="24"/>
        </w:rPr>
        <w:t>”</w:t>
      </w:r>
      <w:r>
        <w:rPr>
          <w:szCs w:val="24"/>
        </w:rPr>
        <w:t xml:space="preserve"> provision means the </w:t>
      </w:r>
      <w:r w:rsidRPr="00F712B8">
        <w:rPr>
          <w:szCs w:val="24"/>
        </w:rPr>
        <w:t xml:space="preserve">Company will need </w:t>
      </w:r>
      <w:r w:rsidR="00C37356">
        <w:rPr>
          <w:szCs w:val="24"/>
        </w:rPr>
        <w:t xml:space="preserve">to </w:t>
      </w:r>
      <w:r w:rsidR="00EA022D">
        <w:rPr>
          <w:szCs w:val="24"/>
        </w:rPr>
        <w:t xml:space="preserve">continue to </w:t>
      </w:r>
      <w:r w:rsidR="00C37356">
        <w:rPr>
          <w:szCs w:val="24"/>
        </w:rPr>
        <w:t>engage in active cost control</w:t>
      </w:r>
      <w:r w:rsidRPr="00F712B8">
        <w:rPr>
          <w:szCs w:val="24"/>
        </w:rPr>
        <w:t xml:space="preserve"> </w:t>
      </w:r>
      <w:r w:rsidR="00C37356">
        <w:rPr>
          <w:szCs w:val="24"/>
        </w:rPr>
        <w:t xml:space="preserve">if </w:t>
      </w:r>
      <w:r w:rsidRPr="00F712B8">
        <w:rPr>
          <w:szCs w:val="24"/>
        </w:rPr>
        <w:t xml:space="preserve">it is to </w:t>
      </w:r>
      <w:r w:rsidR="00C37356">
        <w:rPr>
          <w:szCs w:val="24"/>
        </w:rPr>
        <w:t>recover its costs</w:t>
      </w:r>
      <w:r w:rsidR="00EA022D">
        <w:rPr>
          <w:szCs w:val="24"/>
        </w:rPr>
        <w:t>—</w:t>
      </w:r>
      <w:r w:rsidR="001F7255">
        <w:rPr>
          <w:szCs w:val="24"/>
        </w:rPr>
        <w:t>including</w:t>
      </w:r>
      <w:r w:rsidR="00EA022D">
        <w:rPr>
          <w:szCs w:val="24"/>
        </w:rPr>
        <w:t xml:space="preserve"> the cost of equity capital—during </w:t>
      </w:r>
      <w:r w:rsidR="00C37356">
        <w:rPr>
          <w:szCs w:val="24"/>
        </w:rPr>
        <w:t xml:space="preserve">the stay-out period.  On balance, </w:t>
      </w:r>
      <w:r w:rsidR="00C37356">
        <w:rPr>
          <w:szCs w:val="24"/>
        </w:rPr>
        <w:lastRenderedPageBreak/>
        <w:t xml:space="preserve">the proposal, while </w:t>
      </w:r>
      <w:r w:rsidR="000C25B5">
        <w:rPr>
          <w:szCs w:val="24"/>
        </w:rPr>
        <w:t>constructive</w:t>
      </w:r>
      <w:r w:rsidR="00C37356">
        <w:rPr>
          <w:szCs w:val="24"/>
        </w:rPr>
        <w:t>, should not be viewed as a panacea that eliminates all risks for the Company.</w:t>
      </w:r>
    </w:p>
    <w:p w:rsidR="00E656A3" w:rsidRPr="00384017" w:rsidRDefault="00E656A3" w:rsidP="00D16AA5">
      <w:pPr>
        <w:pStyle w:val="QAAnswer"/>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What about the </w:t>
      </w:r>
      <w:r w:rsidRPr="00C201DC">
        <w:rPr>
          <w:b/>
          <w:szCs w:val="24"/>
        </w:rPr>
        <w:t>PCAM</w:t>
      </w:r>
      <w:r>
        <w:rPr>
          <w:b/>
          <w:szCs w:val="24"/>
        </w:rPr>
        <w:t xml:space="preserve"> </w:t>
      </w:r>
      <w:r w:rsidRPr="00C201DC">
        <w:rPr>
          <w:b/>
          <w:szCs w:val="24"/>
        </w:rPr>
        <w:t xml:space="preserve">approved </w:t>
      </w:r>
      <w:r w:rsidR="00EA022D">
        <w:rPr>
          <w:b/>
          <w:szCs w:val="24"/>
        </w:rPr>
        <w:t>by the Commission in the 2014 Rate Case</w:t>
      </w:r>
      <w:r>
        <w:rPr>
          <w:b/>
          <w:szCs w:val="24"/>
        </w:rPr>
        <w:t>?  Does that warrant an adjustment to the ROE?</w:t>
      </w:r>
    </w:p>
    <w:p w:rsidR="00E656A3" w:rsidRDefault="00E656A3" w:rsidP="00D16AA5">
      <w:pPr>
        <w:pStyle w:val="QAAnswer"/>
        <w:tabs>
          <w:tab w:val="num" w:pos="720"/>
        </w:tabs>
        <w:spacing w:after="0" w:line="480" w:lineRule="auto"/>
        <w:ind w:left="720" w:hanging="720"/>
        <w:jc w:val="left"/>
        <w:rPr>
          <w:szCs w:val="24"/>
        </w:rPr>
      </w:pPr>
      <w:r w:rsidRPr="00384017">
        <w:rPr>
          <w:szCs w:val="24"/>
        </w:rPr>
        <w:t xml:space="preserve">A. </w:t>
      </w:r>
      <w:r w:rsidRPr="00384017">
        <w:rPr>
          <w:szCs w:val="24"/>
        </w:rPr>
        <w:tab/>
      </w:r>
      <w:r>
        <w:rPr>
          <w:szCs w:val="24"/>
        </w:rPr>
        <w:t xml:space="preserve">No.  Virtually every electric utility in the </w:t>
      </w:r>
      <w:r w:rsidR="00EA022D">
        <w:rPr>
          <w:szCs w:val="24"/>
        </w:rPr>
        <w:t>U.S.</w:t>
      </w:r>
      <w:r>
        <w:rPr>
          <w:szCs w:val="24"/>
        </w:rPr>
        <w:t xml:space="preserve"> has a</w:t>
      </w:r>
      <w:r w:rsidR="009E13CC">
        <w:rPr>
          <w:szCs w:val="24"/>
        </w:rPr>
        <w:t xml:space="preserve"> power cost adjustment mechanism</w:t>
      </w:r>
      <w:r>
        <w:rPr>
          <w:szCs w:val="24"/>
        </w:rPr>
        <w:t xml:space="preserve"> in place.  This attribute of the regulatory framework is, like decoupling, already </w:t>
      </w:r>
      <w:r w:rsidR="00EA022D">
        <w:rPr>
          <w:szCs w:val="24"/>
        </w:rPr>
        <w:t>reflected in</w:t>
      </w:r>
      <w:r>
        <w:rPr>
          <w:szCs w:val="24"/>
        </w:rPr>
        <w:t xml:space="preserve"> the ROE analyses I perform.  </w:t>
      </w:r>
    </w:p>
    <w:p w:rsidR="00B00D0D" w:rsidRPr="00CE4724" w:rsidRDefault="00B00D0D" w:rsidP="00CE4724">
      <w:pPr>
        <w:pStyle w:val="Heading1"/>
      </w:pPr>
      <w:bookmarkStart w:id="29" w:name="_Toc436143598"/>
      <w:bookmarkStart w:id="30" w:name="_Toc436145832"/>
      <w:r w:rsidRPr="00CE4724">
        <w:t>Authorized Return Benchmarks</w:t>
      </w:r>
      <w:bookmarkEnd w:id="29"/>
      <w:bookmarkEnd w:id="30"/>
    </w:p>
    <w:p w:rsidR="00CF190F" w:rsidRDefault="00CF190F" w:rsidP="00D16AA5">
      <w:pPr>
        <w:pStyle w:val="QAQuestion"/>
        <w:tabs>
          <w:tab w:val="num" w:pos="720"/>
        </w:tabs>
        <w:spacing w:after="0" w:line="480" w:lineRule="auto"/>
        <w:ind w:left="720" w:hanging="720"/>
        <w:jc w:val="left"/>
        <w:rPr>
          <w:b/>
          <w:szCs w:val="24"/>
        </w:rPr>
      </w:pPr>
      <w:r>
        <w:rPr>
          <w:b/>
          <w:szCs w:val="24"/>
        </w:rPr>
        <w:t>Q.</w:t>
      </w:r>
      <w:r>
        <w:rPr>
          <w:b/>
          <w:szCs w:val="24"/>
        </w:rPr>
        <w:tab/>
        <w:t xml:space="preserve">Are returns granted to public utilities in other jurisdictions relevant to the assessment of the fair return for Pacific Power? </w:t>
      </w:r>
    </w:p>
    <w:p w:rsidR="00CF190F" w:rsidRDefault="00CF190F" w:rsidP="00D16AA5">
      <w:pPr>
        <w:pStyle w:val="QAQuestion"/>
        <w:tabs>
          <w:tab w:val="num" w:pos="720"/>
        </w:tabs>
        <w:spacing w:after="0" w:line="480" w:lineRule="auto"/>
        <w:ind w:left="720" w:hanging="720"/>
        <w:jc w:val="left"/>
        <w:rPr>
          <w:szCs w:val="24"/>
        </w:rPr>
      </w:pPr>
      <w:r>
        <w:rPr>
          <w:szCs w:val="24"/>
        </w:rPr>
        <w:t>A.</w:t>
      </w:r>
      <w:r>
        <w:rPr>
          <w:szCs w:val="24"/>
        </w:rPr>
        <w:tab/>
        <w:t xml:space="preserve">Yes.  The returns allowed by other regulators can influence investor expectations for investments in public utilities in the </w:t>
      </w:r>
      <w:r w:rsidR="00EA022D">
        <w:rPr>
          <w:szCs w:val="24"/>
        </w:rPr>
        <w:t>U.S</w:t>
      </w:r>
      <w:r>
        <w:rPr>
          <w:szCs w:val="24"/>
        </w:rPr>
        <w:t>.  An examination of the average rate of return granted to investors in public utilities is therefore useful to provide context to my analysis of the fair return</w:t>
      </w:r>
      <w:r w:rsidR="009E13CC">
        <w:rPr>
          <w:szCs w:val="24"/>
        </w:rPr>
        <w:t xml:space="preserve"> and to establish the relative stability in rates of return since the Commission issued its order in the Company’s </w:t>
      </w:r>
      <w:r w:rsidR="00EA022D">
        <w:rPr>
          <w:szCs w:val="24"/>
        </w:rPr>
        <w:t>2014 Rate Case</w:t>
      </w:r>
      <w:r>
        <w:rPr>
          <w:szCs w:val="24"/>
        </w:rPr>
        <w:t xml:space="preserve">. </w:t>
      </w:r>
    </w:p>
    <w:p w:rsidR="00CF190F" w:rsidRDefault="00CF190F" w:rsidP="00D16AA5">
      <w:pPr>
        <w:pStyle w:val="QAQuestion"/>
        <w:widowControl w:val="0"/>
        <w:tabs>
          <w:tab w:val="num" w:pos="720"/>
        </w:tabs>
        <w:spacing w:after="0" w:line="480" w:lineRule="auto"/>
        <w:ind w:left="720" w:hanging="720"/>
        <w:jc w:val="left"/>
        <w:rPr>
          <w:b/>
          <w:szCs w:val="24"/>
        </w:rPr>
      </w:pPr>
      <w:r>
        <w:rPr>
          <w:b/>
          <w:szCs w:val="24"/>
        </w:rPr>
        <w:t xml:space="preserve">Q. </w:t>
      </w:r>
      <w:r>
        <w:rPr>
          <w:b/>
          <w:szCs w:val="24"/>
        </w:rPr>
        <w:tab/>
        <w:t>What levels of returns have state regulators awarded to public utilities recently?</w:t>
      </w:r>
    </w:p>
    <w:p w:rsidR="00CF190F" w:rsidRDefault="00CF190F" w:rsidP="00D16AA5">
      <w:pPr>
        <w:pStyle w:val="QAQuestion"/>
        <w:widowControl w:val="0"/>
        <w:tabs>
          <w:tab w:val="num" w:pos="720"/>
        </w:tabs>
        <w:spacing w:after="0" w:line="480" w:lineRule="auto"/>
        <w:ind w:left="720" w:hanging="720"/>
        <w:jc w:val="left"/>
        <w:rPr>
          <w:szCs w:val="24"/>
        </w:rPr>
      </w:pPr>
      <w:r>
        <w:rPr>
          <w:szCs w:val="24"/>
        </w:rPr>
        <w:t>A.</w:t>
      </w:r>
      <w:r>
        <w:rPr>
          <w:szCs w:val="24"/>
        </w:rPr>
        <w:tab/>
        <w:t>As shown in Exhibit No.</w:t>
      </w:r>
      <w:r w:rsidR="00A22001">
        <w:rPr>
          <w:szCs w:val="24"/>
        </w:rPr>
        <w:t xml:space="preserve"> </w:t>
      </w:r>
      <w:r>
        <w:rPr>
          <w:szCs w:val="24"/>
        </w:rPr>
        <w:t>KGS-</w:t>
      </w:r>
      <w:r w:rsidR="00FD1762">
        <w:rPr>
          <w:szCs w:val="24"/>
        </w:rPr>
        <w:t>17</w:t>
      </w:r>
      <w:r>
        <w:rPr>
          <w:szCs w:val="24"/>
        </w:rPr>
        <w:t>, return on equity awards in the first nine months of 2015 for electric utilities average</w:t>
      </w:r>
      <w:r w:rsidR="00855589">
        <w:rPr>
          <w:szCs w:val="24"/>
        </w:rPr>
        <w:t>d</w:t>
      </w:r>
      <w:r>
        <w:rPr>
          <w:szCs w:val="24"/>
        </w:rPr>
        <w:t xml:space="preserve"> 10.01 percent</w:t>
      </w:r>
      <w:r w:rsidR="009E13CC">
        <w:rPr>
          <w:szCs w:val="24"/>
        </w:rPr>
        <w:t>, nine basis points higher than the comparable figure for calendar year 2014</w:t>
      </w:r>
      <w:r>
        <w:rPr>
          <w:szCs w:val="24"/>
        </w:rPr>
        <w:t xml:space="preserve">. </w:t>
      </w:r>
    </w:p>
    <w:p w:rsidR="00CF190F" w:rsidRDefault="00CF190F" w:rsidP="00D16AA5">
      <w:pPr>
        <w:pStyle w:val="QAQuestion"/>
        <w:tabs>
          <w:tab w:val="num" w:pos="720"/>
        </w:tabs>
        <w:spacing w:after="0" w:line="480" w:lineRule="auto"/>
        <w:ind w:left="720" w:hanging="720"/>
        <w:jc w:val="left"/>
        <w:rPr>
          <w:b/>
          <w:szCs w:val="24"/>
        </w:rPr>
      </w:pPr>
      <w:r>
        <w:rPr>
          <w:b/>
          <w:szCs w:val="24"/>
        </w:rPr>
        <w:t>Q.</w:t>
      </w:r>
      <w:r>
        <w:rPr>
          <w:b/>
          <w:szCs w:val="24"/>
        </w:rPr>
        <w:tab/>
        <w:t xml:space="preserve">Is your assessment of a 10.0 percent fair return consistent with the </w:t>
      </w:r>
      <w:r w:rsidR="009859A5">
        <w:rPr>
          <w:b/>
          <w:szCs w:val="24"/>
        </w:rPr>
        <w:t>ROEs approved in</w:t>
      </w:r>
      <w:r>
        <w:rPr>
          <w:b/>
          <w:szCs w:val="24"/>
        </w:rPr>
        <w:t xml:space="preserve"> other states?</w:t>
      </w:r>
    </w:p>
    <w:p w:rsidR="00CF190F" w:rsidRDefault="00CF190F" w:rsidP="00D16AA5">
      <w:pPr>
        <w:pStyle w:val="QAAnswer"/>
        <w:tabs>
          <w:tab w:val="num" w:pos="720"/>
        </w:tabs>
        <w:spacing w:after="0" w:line="480" w:lineRule="auto"/>
        <w:ind w:left="720" w:hanging="720"/>
        <w:jc w:val="left"/>
        <w:rPr>
          <w:szCs w:val="24"/>
        </w:rPr>
      </w:pPr>
      <w:r>
        <w:rPr>
          <w:szCs w:val="24"/>
        </w:rPr>
        <w:t xml:space="preserve">A. </w:t>
      </w:r>
      <w:r>
        <w:rPr>
          <w:szCs w:val="24"/>
        </w:rPr>
        <w:tab/>
        <w:t xml:space="preserve">Yes, it is.  The average </w:t>
      </w:r>
      <w:r w:rsidR="009859A5">
        <w:rPr>
          <w:szCs w:val="24"/>
        </w:rPr>
        <w:t>authorized ROE</w:t>
      </w:r>
      <w:r>
        <w:rPr>
          <w:szCs w:val="24"/>
        </w:rPr>
        <w:t xml:space="preserve"> of 10.01 percent for electric utilities is derived from a diverse group of utilities that reflect the risk of the industry.  The </w:t>
      </w:r>
      <w:r>
        <w:rPr>
          <w:szCs w:val="24"/>
        </w:rPr>
        <w:lastRenderedPageBreak/>
        <w:t xml:space="preserve">recommended ROE of 10.0 percent </w:t>
      </w:r>
      <w:r w:rsidR="009859A5">
        <w:rPr>
          <w:szCs w:val="24"/>
        </w:rPr>
        <w:t xml:space="preserve">for the Company </w:t>
      </w:r>
      <w:r>
        <w:rPr>
          <w:szCs w:val="24"/>
        </w:rPr>
        <w:t>is consistent with the specifics of the investment climate context</w:t>
      </w:r>
      <w:r w:rsidR="009859A5">
        <w:rPr>
          <w:szCs w:val="24"/>
        </w:rPr>
        <w:t xml:space="preserve"> faced by Pacific Power</w:t>
      </w:r>
      <w:r>
        <w:rPr>
          <w:szCs w:val="24"/>
        </w:rPr>
        <w:t xml:space="preserve"> and falls squarely at the average level </w:t>
      </w:r>
      <w:r w:rsidR="009859A5">
        <w:rPr>
          <w:szCs w:val="24"/>
        </w:rPr>
        <w:t>authorized</w:t>
      </w:r>
      <w:r>
        <w:rPr>
          <w:szCs w:val="24"/>
        </w:rPr>
        <w:t xml:space="preserve"> by other state regulators.  </w:t>
      </w:r>
    </w:p>
    <w:p w:rsidR="00D16AA5" w:rsidRPr="00CE4724" w:rsidRDefault="00881354" w:rsidP="00CE4724">
      <w:pPr>
        <w:pStyle w:val="Heading1"/>
      </w:pPr>
      <w:bookmarkStart w:id="31" w:name="_Toc436143599"/>
      <w:bookmarkStart w:id="32" w:name="_Toc436145833"/>
      <w:r w:rsidRPr="00CE4724">
        <w:t>CONCLUSION AND SUMMARY</w:t>
      </w:r>
      <w:bookmarkEnd w:id="31"/>
      <w:bookmarkEnd w:id="32"/>
    </w:p>
    <w:p w:rsidR="00B00D0D" w:rsidRPr="00384017" w:rsidRDefault="00B00D0D" w:rsidP="00D16AA5">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Based on your analysis, is it necessary to </w:t>
      </w:r>
      <w:r w:rsidR="00E656A3">
        <w:rPr>
          <w:b/>
          <w:szCs w:val="24"/>
        </w:rPr>
        <w:t>reduce</w:t>
      </w:r>
      <w:r>
        <w:rPr>
          <w:b/>
          <w:szCs w:val="24"/>
        </w:rPr>
        <w:t xml:space="preserve"> the ROE in this proceeding based on the most current information available?</w:t>
      </w:r>
    </w:p>
    <w:p w:rsidR="00B00D0D" w:rsidRDefault="00B00D0D" w:rsidP="00D16AA5">
      <w:pPr>
        <w:pStyle w:val="QAAnswer"/>
        <w:tabs>
          <w:tab w:val="num" w:pos="720"/>
        </w:tabs>
        <w:spacing w:after="0" w:line="480" w:lineRule="auto"/>
        <w:ind w:left="720" w:hanging="720"/>
        <w:jc w:val="left"/>
        <w:rPr>
          <w:rFonts w:eastAsia="SimSun"/>
        </w:rPr>
      </w:pPr>
      <w:r w:rsidRPr="00384017">
        <w:rPr>
          <w:szCs w:val="24"/>
        </w:rPr>
        <w:t>A.</w:t>
      </w:r>
      <w:r>
        <w:rPr>
          <w:szCs w:val="24"/>
        </w:rPr>
        <w:tab/>
        <w:t xml:space="preserve">No.  My analysis shows that the ROE that was approved in Pacific Power’s </w:t>
      </w:r>
      <w:r w:rsidR="009859A5">
        <w:rPr>
          <w:szCs w:val="24"/>
        </w:rPr>
        <w:t>2014 Rate Case</w:t>
      </w:r>
      <w:r>
        <w:rPr>
          <w:szCs w:val="24"/>
        </w:rPr>
        <w:t xml:space="preserve"> </w:t>
      </w:r>
      <w:r w:rsidR="00CF190F">
        <w:rPr>
          <w:szCs w:val="24"/>
        </w:rPr>
        <w:t>i</w:t>
      </w:r>
      <w:r>
        <w:rPr>
          <w:szCs w:val="24"/>
        </w:rPr>
        <w:t xml:space="preserve">s low relative to the benchmark evidence from the capital markets, low relative to the risks borne by the Company’s equity owners, and low relative to the returns </w:t>
      </w:r>
      <w:r w:rsidR="00855589">
        <w:rPr>
          <w:szCs w:val="24"/>
        </w:rPr>
        <w:t xml:space="preserve">available to </w:t>
      </w:r>
      <w:r>
        <w:rPr>
          <w:szCs w:val="24"/>
        </w:rPr>
        <w:t xml:space="preserve">similarly-situated electric utilities.  If the Company were requesting to change its ROE in this proceeding, my recommendation would be to raise the ROE to </w:t>
      </w:r>
      <w:r w:rsidRPr="00402B64">
        <w:rPr>
          <w:szCs w:val="24"/>
        </w:rPr>
        <w:t>10.0</w:t>
      </w:r>
      <w:r>
        <w:rPr>
          <w:szCs w:val="24"/>
        </w:rPr>
        <w:t xml:space="preserve"> percent, but that is not the purpose of my testimony.  Instead the purpose of my testimony is to provide information to the Commission to facilitate its assessment of whether there have been material changes in the underlying factors that led it to find a 9.5 </w:t>
      </w:r>
      <w:r w:rsidR="00CF190F">
        <w:rPr>
          <w:szCs w:val="24"/>
        </w:rPr>
        <w:t>percent ROE to be reasonable</w:t>
      </w:r>
      <w:r w:rsidR="00E656A3">
        <w:rPr>
          <w:szCs w:val="24"/>
        </w:rPr>
        <w:t xml:space="preserve"> for the Company</w:t>
      </w:r>
      <w:r w:rsidR="00CF190F">
        <w:rPr>
          <w:szCs w:val="24"/>
        </w:rPr>
        <w:t>.</w:t>
      </w:r>
    </w:p>
    <w:p w:rsidR="005D6285" w:rsidRDefault="00B00D0D" w:rsidP="00D16AA5">
      <w:pPr>
        <w:pStyle w:val="QAAnswer"/>
        <w:tabs>
          <w:tab w:val="num" w:pos="720"/>
        </w:tabs>
        <w:spacing w:after="0" w:line="480" w:lineRule="auto"/>
        <w:ind w:left="720" w:hanging="720"/>
        <w:jc w:val="left"/>
        <w:rPr>
          <w:szCs w:val="24"/>
        </w:rPr>
      </w:pPr>
      <w:r>
        <w:rPr>
          <w:szCs w:val="24"/>
        </w:rPr>
        <w:tab/>
      </w:r>
      <w:r>
        <w:rPr>
          <w:szCs w:val="24"/>
        </w:rPr>
        <w:tab/>
      </w:r>
      <w:r w:rsidR="00CF190F">
        <w:rPr>
          <w:szCs w:val="24"/>
        </w:rPr>
        <w:t xml:space="preserve">To that end, </w:t>
      </w:r>
      <w:r w:rsidR="0019640F">
        <w:rPr>
          <w:szCs w:val="24"/>
        </w:rPr>
        <w:t xml:space="preserve">I updated the comprehensive </w:t>
      </w:r>
      <w:r w:rsidR="00920B25">
        <w:rPr>
          <w:szCs w:val="24"/>
        </w:rPr>
        <w:t>cost of equity analysis I undertook in Pacific Power</w:t>
      </w:r>
      <w:r w:rsidR="00254998">
        <w:rPr>
          <w:szCs w:val="24"/>
        </w:rPr>
        <w:t>’s</w:t>
      </w:r>
      <w:r w:rsidR="00920B25">
        <w:rPr>
          <w:szCs w:val="24"/>
        </w:rPr>
        <w:t xml:space="preserve"> </w:t>
      </w:r>
      <w:r w:rsidR="009859A5">
        <w:rPr>
          <w:szCs w:val="24"/>
        </w:rPr>
        <w:t>2014 Rate Case</w:t>
      </w:r>
      <w:r w:rsidR="00920B25">
        <w:rPr>
          <w:szCs w:val="24"/>
        </w:rPr>
        <w:t xml:space="preserve">.  My </w:t>
      </w:r>
      <w:r>
        <w:rPr>
          <w:szCs w:val="24"/>
        </w:rPr>
        <w:t xml:space="preserve">updated </w:t>
      </w:r>
      <w:r w:rsidR="00920B25">
        <w:rPr>
          <w:szCs w:val="24"/>
        </w:rPr>
        <w:t>financial analys</w:t>
      </w:r>
      <w:r>
        <w:rPr>
          <w:szCs w:val="24"/>
        </w:rPr>
        <w:t>i</w:t>
      </w:r>
      <w:r w:rsidR="00920B25">
        <w:rPr>
          <w:szCs w:val="24"/>
        </w:rPr>
        <w:t>s de</w:t>
      </w:r>
      <w:r>
        <w:rPr>
          <w:szCs w:val="24"/>
        </w:rPr>
        <w:t>monstrates</w:t>
      </w:r>
      <w:r w:rsidR="00920B25">
        <w:rPr>
          <w:szCs w:val="24"/>
        </w:rPr>
        <w:t xml:space="preserve"> that the </w:t>
      </w:r>
      <w:r>
        <w:rPr>
          <w:szCs w:val="24"/>
        </w:rPr>
        <w:t>fair return</w:t>
      </w:r>
      <w:r w:rsidR="00920B25">
        <w:rPr>
          <w:szCs w:val="24"/>
        </w:rPr>
        <w:t xml:space="preserve"> </w:t>
      </w:r>
      <w:r>
        <w:rPr>
          <w:szCs w:val="24"/>
        </w:rPr>
        <w:t>for Pacific Power</w:t>
      </w:r>
      <w:r w:rsidR="00920B25">
        <w:rPr>
          <w:szCs w:val="24"/>
        </w:rPr>
        <w:t xml:space="preserve"> </w:t>
      </w:r>
      <w:r>
        <w:rPr>
          <w:szCs w:val="24"/>
        </w:rPr>
        <w:t>i</w:t>
      </w:r>
      <w:r w:rsidR="00920B25">
        <w:rPr>
          <w:szCs w:val="24"/>
        </w:rPr>
        <w:t xml:space="preserve">s unchanged.  I also </w:t>
      </w:r>
      <w:r>
        <w:rPr>
          <w:szCs w:val="24"/>
        </w:rPr>
        <w:t xml:space="preserve">confirmed that the capital market conditions </w:t>
      </w:r>
      <w:r w:rsidR="00CF190F">
        <w:rPr>
          <w:rFonts w:eastAsia="SimSun"/>
        </w:rPr>
        <w:t xml:space="preserve">today </w:t>
      </w:r>
      <w:r>
        <w:rPr>
          <w:rFonts w:eastAsia="SimSun"/>
        </w:rPr>
        <w:t xml:space="preserve">are substantially similar </w:t>
      </w:r>
      <w:r w:rsidR="00CF190F">
        <w:rPr>
          <w:rFonts w:eastAsia="SimSun"/>
        </w:rPr>
        <w:t xml:space="preserve">to those </w:t>
      </w:r>
      <w:r w:rsidR="00CF190F">
        <w:rPr>
          <w:szCs w:val="24"/>
        </w:rPr>
        <w:t xml:space="preserve">analyzed by the parties and the Commission in </w:t>
      </w:r>
      <w:r w:rsidR="009859A5">
        <w:rPr>
          <w:rFonts w:eastAsia="SimSun"/>
        </w:rPr>
        <w:t>the 2014 Rate Case</w:t>
      </w:r>
      <w:r w:rsidR="00CF190F">
        <w:rPr>
          <w:rFonts w:eastAsia="SimSun"/>
        </w:rPr>
        <w:t xml:space="preserve">.  </w:t>
      </w:r>
      <w:r w:rsidR="00DD4E26">
        <w:rPr>
          <w:szCs w:val="24"/>
        </w:rPr>
        <w:t xml:space="preserve">Finally, </w:t>
      </w:r>
      <w:r w:rsidR="00DD4E26" w:rsidRPr="00384017">
        <w:rPr>
          <w:szCs w:val="24"/>
        </w:rPr>
        <w:t xml:space="preserve">I </w:t>
      </w:r>
      <w:r w:rsidR="00DD4E26">
        <w:rPr>
          <w:szCs w:val="24"/>
        </w:rPr>
        <w:t xml:space="preserve">reviewed the </w:t>
      </w:r>
      <w:r>
        <w:rPr>
          <w:szCs w:val="24"/>
        </w:rPr>
        <w:t>effects</w:t>
      </w:r>
      <w:r w:rsidR="00DD4E26">
        <w:rPr>
          <w:szCs w:val="24"/>
        </w:rPr>
        <w:t xml:space="preserve"> of the ERF, </w:t>
      </w:r>
      <w:r w:rsidR="009859A5">
        <w:rPr>
          <w:szCs w:val="24"/>
        </w:rPr>
        <w:t xml:space="preserve">two-year </w:t>
      </w:r>
      <w:r w:rsidR="00144E12">
        <w:rPr>
          <w:szCs w:val="24"/>
        </w:rPr>
        <w:t xml:space="preserve">rate plan, and </w:t>
      </w:r>
      <w:r w:rsidR="00DD4E26">
        <w:rPr>
          <w:szCs w:val="24"/>
        </w:rPr>
        <w:t>decoupling mechanism</w:t>
      </w:r>
      <w:r w:rsidR="00CF190F">
        <w:rPr>
          <w:szCs w:val="24"/>
        </w:rPr>
        <w:t xml:space="preserve"> </w:t>
      </w:r>
      <w:r w:rsidR="00DD4E26">
        <w:rPr>
          <w:szCs w:val="24"/>
        </w:rPr>
        <w:t xml:space="preserve">on the </w:t>
      </w:r>
      <w:r w:rsidR="00DD4E26" w:rsidRPr="00384017">
        <w:rPr>
          <w:szCs w:val="24"/>
        </w:rPr>
        <w:t>business and financial risks faced by the Company</w:t>
      </w:r>
      <w:r>
        <w:rPr>
          <w:szCs w:val="24"/>
        </w:rPr>
        <w:t>.  I conclude</w:t>
      </w:r>
      <w:r w:rsidR="00DD4E26">
        <w:rPr>
          <w:szCs w:val="24"/>
        </w:rPr>
        <w:t xml:space="preserve"> that the</w:t>
      </w:r>
      <w:r>
        <w:rPr>
          <w:szCs w:val="24"/>
        </w:rPr>
        <w:t>se new regulatory tools</w:t>
      </w:r>
      <w:r w:rsidR="00CF190F">
        <w:rPr>
          <w:szCs w:val="24"/>
        </w:rPr>
        <w:t xml:space="preserve">, individually and jointly, </w:t>
      </w:r>
      <w:r>
        <w:rPr>
          <w:szCs w:val="24"/>
        </w:rPr>
        <w:t xml:space="preserve">do not warrant </w:t>
      </w:r>
      <w:r w:rsidR="00CF190F">
        <w:rPr>
          <w:szCs w:val="24"/>
        </w:rPr>
        <w:t>adjustment</w:t>
      </w:r>
      <w:r>
        <w:rPr>
          <w:szCs w:val="24"/>
        </w:rPr>
        <w:t xml:space="preserve"> to the cost of capital</w:t>
      </w:r>
      <w:r w:rsidR="00DD4E26">
        <w:rPr>
          <w:szCs w:val="24"/>
        </w:rPr>
        <w:t>.</w:t>
      </w:r>
      <w:r w:rsidR="00DD4E26" w:rsidRPr="00384017">
        <w:rPr>
          <w:szCs w:val="24"/>
        </w:rPr>
        <w:t xml:space="preserve">  </w:t>
      </w:r>
    </w:p>
    <w:p w:rsidR="00EB35AC" w:rsidRPr="00384017" w:rsidRDefault="007F5EDF" w:rsidP="00D16AA5">
      <w:pPr>
        <w:pStyle w:val="QAQuestion"/>
        <w:tabs>
          <w:tab w:val="num" w:pos="720"/>
        </w:tabs>
        <w:spacing w:after="0" w:line="480" w:lineRule="auto"/>
        <w:ind w:left="720" w:hanging="720"/>
        <w:jc w:val="left"/>
        <w:rPr>
          <w:b/>
          <w:szCs w:val="24"/>
        </w:rPr>
      </w:pPr>
      <w:r w:rsidRPr="00384017">
        <w:rPr>
          <w:b/>
          <w:szCs w:val="24"/>
        </w:rPr>
        <w:lastRenderedPageBreak/>
        <w:t>Q.</w:t>
      </w:r>
      <w:r w:rsidRPr="00384017">
        <w:rPr>
          <w:b/>
          <w:szCs w:val="24"/>
        </w:rPr>
        <w:tab/>
        <w:t>Does this conclude your direct testimony?</w:t>
      </w:r>
    </w:p>
    <w:p w:rsidR="00EB35AC" w:rsidRPr="00384017" w:rsidRDefault="00C5005B" w:rsidP="00D16AA5">
      <w:pPr>
        <w:pStyle w:val="QAAnswer"/>
        <w:tabs>
          <w:tab w:val="num" w:pos="720"/>
        </w:tabs>
        <w:spacing w:after="0" w:line="480" w:lineRule="auto"/>
        <w:ind w:left="720" w:hanging="720"/>
        <w:jc w:val="left"/>
        <w:rPr>
          <w:szCs w:val="24"/>
        </w:rPr>
      </w:pPr>
      <w:r>
        <w:rPr>
          <w:szCs w:val="24"/>
        </w:rPr>
        <w:t>A.</w:t>
      </w:r>
      <w:r w:rsidR="007F5EDF" w:rsidRPr="00384017">
        <w:rPr>
          <w:szCs w:val="24"/>
        </w:rPr>
        <w:tab/>
        <w:t>Yes.</w:t>
      </w:r>
    </w:p>
    <w:sectPr w:rsidR="00EB35AC" w:rsidRPr="00384017" w:rsidSect="00482134">
      <w:footerReference w:type="first" r:id="rId14"/>
      <w:pgSz w:w="12240" w:h="15840" w:code="1"/>
      <w:pgMar w:top="1440" w:right="1440" w:bottom="1440" w:left="1800" w:header="720" w:footer="720" w:gutter="0"/>
      <w:lnNumType w:countBy="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03" w:rsidRDefault="00412E03">
      <w:r>
        <w:separator/>
      </w:r>
    </w:p>
  </w:endnote>
  <w:endnote w:type="continuationSeparator" w:id="0">
    <w:p w:rsidR="00412E03" w:rsidRDefault="00412E03">
      <w:r>
        <w:continuationSeparator/>
      </w:r>
    </w:p>
  </w:endnote>
  <w:endnote w:type="continuationNotice" w:id="1">
    <w:p w:rsidR="00412E03" w:rsidRDefault="00412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3931"/>
      <w:gridCol w:w="1584"/>
      <w:gridCol w:w="3931"/>
    </w:tblGrid>
    <w:tr w:rsidR="008F1AC6">
      <w:trPr>
        <w:trHeight w:hRule="exact" w:val="720"/>
        <w:jc w:val="center"/>
      </w:trPr>
      <w:tc>
        <w:tcPr>
          <w:tcW w:w="3931" w:type="dxa"/>
        </w:tcPr>
        <w:p w:rsidR="008F1AC6" w:rsidRDefault="008F1AC6">
          <w:pPr>
            <w:pStyle w:val="DrConLeft"/>
          </w:pPr>
        </w:p>
      </w:tc>
      <w:tc>
        <w:tcPr>
          <w:tcW w:w="1584" w:type="dxa"/>
        </w:tcPr>
        <w:p w:rsidR="008F1AC6" w:rsidRDefault="008F1AC6">
          <w:pPr>
            <w:pStyle w:val="Footer"/>
            <w:jc w:val="center"/>
            <w:rPr>
              <w:rStyle w:val="PageNumber"/>
              <w:sz w:val="40"/>
              <w:lang w:val="es-ES"/>
            </w:rPr>
          </w:pPr>
          <w:r>
            <w:rPr>
              <w:b/>
              <w:noProof/>
              <w:sz w:val="20"/>
            </w:rPr>
            <mc:AlternateContent>
              <mc:Choice Requires="wps">
                <w:drawing>
                  <wp:anchor distT="0" distB="0" distL="114300" distR="114300" simplePos="0" relativeHeight="251657728" behindDoc="1" locked="0" layoutInCell="0" allowOverlap="1" wp14:anchorId="090E7C2C" wp14:editId="0BBE4EEC">
                    <wp:simplePos x="0" y="0"/>
                    <wp:positionH relativeFrom="margin">
                      <wp:posOffset>2528570</wp:posOffset>
                    </wp:positionH>
                    <wp:positionV relativeFrom="paragraph">
                      <wp:posOffset>50800</wp:posOffset>
                    </wp:positionV>
                    <wp:extent cx="777240" cy="2286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22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AC6" w:rsidRDefault="008F1A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99.1pt;margin-top:4pt;width:61.2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" o:allowincell="f" fillcolor="black" stroked="f">
                    <v:textbox>
                      <w:txbxContent>
                        <w:p w:rsidR="008F1AC6" w:rsidRDefault="008F1AC6"/>
                      </w:txbxContent>
                    </v:textbox>
                    <w10:wrap anchorx="margin"/>
                  </v:rect>
                </w:pict>
              </mc:Fallback>
            </mc:AlternateContent>
          </w:r>
          <w:r>
            <w:rPr>
              <w:rStyle w:val="PageNumber"/>
              <w:color w:val="FFFFFF"/>
              <w:sz w:val="40"/>
              <w:lang w:val="es-ES"/>
            </w:rPr>
            <w:t>n</w:t>
          </w:r>
          <w:r>
            <w:rPr>
              <w:rStyle w:val="PageNumber"/>
              <w:color w:val="FFFFFF"/>
              <w:lang w:val="es-ES"/>
            </w:rPr>
            <w:t>/</w:t>
          </w:r>
          <w:r>
            <w:rPr>
              <w:rStyle w:val="PageNumber"/>
              <w:color w:val="FFFFFF"/>
              <w:sz w:val="40"/>
              <w:lang w:val="es-ES"/>
            </w:rPr>
            <w:t>e</w:t>
          </w:r>
          <w:r>
            <w:rPr>
              <w:rStyle w:val="PageNumber"/>
              <w:color w:val="FFFFFF"/>
              <w:lang w:val="es-ES"/>
            </w:rPr>
            <w:t>/</w:t>
          </w:r>
          <w:r>
            <w:rPr>
              <w:rStyle w:val="PageNumber"/>
              <w:color w:val="FFFFFF"/>
              <w:sz w:val="40"/>
              <w:lang w:val="es-ES"/>
            </w:rPr>
            <w:t>r</w:t>
          </w:r>
          <w:r>
            <w:rPr>
              <w:rStyle w:val="PageNumber"/>
              <w:color w:val="FFFFFF"/>
              <w:lang w:val="es-ES"/>
            </w:rPr>
            <w:t>/</w:t>
          </w:r>
          <w:r>
            <w:rPr>
              <w:rStyle w:val="PageNumber"/>
              <w:color w:val="FFFFFF"/>
              <w:sz w:val="40"/>
              <w:lang w:val="es-ES"/>
            </w:rPr>
            <w:t>a</w:t>
          </w:r>
        </w:p>
        <w:p w:rsidR="008F1AC6" w:rsidRDefault="008F1AC6">
          <w:pPr>
            <w:pStyle w:val="Footer"/>
            <w:jc w:val="center"/>
          </w:pPr>
          <w:r>
            <w:rPr>
              <w:rStyle w:val="PageNumber"/>
              <w:i/>
              <w:sz w:val="14"/>
            </w:rPr>
            <w:fldChar w:fldCharType="begin"/>
          </w:r>
          <w:r>
            <w:rPr>
              <w:rStyle w:val="PageNumber"/>
              <w:i/>
              <w:sz w:val="14"/>
            </w:rPr>
            <w:instrText xml:space="preserve"> ADVANCE </w:instrText>
          </w:r>
          <w:r>
            <w:rPr>
              <w:rStyle w:val="PageNumber"/>
              <w:i/>
              <w:sz w:val="14"/>
            </w:rPr>
            <w:fldChar w:fldCharType="end"/>
          </w:r>
          <w:r>
            <w:rPr>
              <w:rStyle w:val="PageNumber"/>
              <w:i/>
              <w:sz w:val="14"/>
            </w:rPr>
            <w:fldChar w:fldCharType="begin"/>
          </w:r>
          <w:r>
            <w:rPr>
              <w:rStyle w:val="PageNumber"/>
              <w:i/>
              <w:sz w:val="14"/>
            </w:rPr>
            <w:instrText xml:space="preserve"> ADVANCE \u 4 </w:instrText>
          </w:r>
          <w:r>
            <w:rPr>
              <w:rStyle w:val="PageNumber"/>
              <w:i/>
              <w:sz w:val="14"/>
            </w:rPr>
            <w:fldChar w:fldCharType="end"/>
          </w:r>
          <w:r>
            <w:rPr>
              <w:rStyle w:val="PageNumber"/>
              <w:i/>
              <w:sz w:val="14"/>
            </w:rPr>
            <w:t>Consulting Economists</w:t>
          </w:r>
        </w:p>
      </w:tc>
      <w:tc>
        <w:tcPr>
          <w:tcW w:w="3931" w:type="dxa"/>
        </w:tcPr>
        <w:p w:rsidR="008F1AC6" w:rsidRDefault="008F1AC6">
          <w:pPr>
            <w:pStyle w:val="DrConRight"/>
          </w:pPr>
        </w:p>
      </w:tc>
    </w:tr>
  </w:tbl>
  <w:p w:rsidR="008F1AC6" w:rsidRDefault="008F1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6" w:rsidRDefault="008F1AC6" w:rsidP="00A95284">
    <w:pPr>
      <w:tabs>
        <w:tab w:val="right" w:pos="9000"/>
      </w:tabs>
      <w:ind w:right="36"/>
      <w:rPr>
        <w:noProof/>
      </w:rPr>
    </w:pPr>
    <w:r>
      <w:rPr>
        <w:noProof/>
      </w:rPr>
      <w:t>Direct Testimony of Kurt G. Strunk</w:t>
    </w:r>
    <w:r>
      <w:rPr>
        <w:noProof/>
      </w:rPr>
      <w:tab/>
      <w:t>Exhibit No.</w:t>
    </w:r>
    <w:r w:rsidR="004539C3">
      <w:rPr>
        <w:noProof/>
      </w:rPr>
      <w:t xml:space="preserve"> </w:t>
    </w:r>
    <w:r>
      <w:rPr>
        <w:noProof/>
      </w:rPr>
      <w:t>KGS-1T</w:t>
    </w:r>
  </w:p>
  <w:p w:rsidR="008F1AC6" w:rsidRDefault="008F1AC6" w:rsidP="00CE4724">
    <w:pPr>
      <w:spacing w:line="288" w:lineRule="auto"/>
      <w:ind w:right="36"/>
      <w:jc w:val="right"/>
    </w:pPr>
    <w:r>
      <w:rPr>
        <w:noProof/>
      </w:rPr>
      <w:t xml:space="preserve">Page </w:t>
    </w:r>
    <w:r>
      <w:rPr>
        <w:noProof/>
      </w:rPr>
      <w:fldChar w:fldCharType="begin"/>
    </w:r>
    <w:r>
      <w:rPr>
        <w:noProof/>
      </w:rPr>
      <w:instrText xml:space="preserve"> PAGE   \* MERGEFORMAT </w:instrText>
    </w:r>
    <w:r>
      <w:rPr>
        <w:noProof/>
      </w:rPr>
      <w:fldChar w:fldCharType="separate"/>
    </w:r>
    <w:r w:rsidR="00D23739">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6" w:rsidRDefault="008F1AC6">
    <w:pPr>
      <w:spacing w:line="288" w:lineRule="auto"/>
      <w:jc w:val="right"/>
    </w:pPr>
  </w:p>
  <w:p w:rsidR="008F1AC6" w:rsidRDefault="008F1AC6">
    <w:pPr>
      <w:pStyle w:val="Footer"/>
      <w:rPr>
        <w:lang w:val="pt-B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6" w:rsidRDefault="008F1AC6" w:rsidP="00A95284">
    <w:pPr>
      <w:tabs>
        <w:tab w:val="right" w:pos="9000"/>
      </w:tabs>
      <w:rPr>
        <w:noProof/>
      </w:rPr>
    </w:pPr>
    <w:r>
      <w:rPr>
        <w:noProof/>
      </w:rPr>
      <w:t>Direct Testimony of Kurt G. Strunk</w:t>
    </w:r>
    <w:r>
      <w:rPr>
        <w:noProof/>
      </w:rPr>
      <w:tab/>
      <w:t>Exhibit No.</w:t>
    </w:r>
    <w:r w:rsidR="00A22001">
      <w:rPr>
        <w:noProof/>
      </w:rPr>
      <w:t xml:space="preserve"> </w:t>
    </w:r>
    <w:r>
      <w:rPr>
        <w:noProof/>
      </w:rPr>
      <w:t>KGS-1T</w:t>
    </w:r>
  </w:p>
  <w:p w:rsidR="008F1AC6" w:rsidRDefault="008F1AC6" w:rsidP="0039223E">
    <w:pPr>
      <w:spacing w:line="288" w:lineRule="auto"/>
      <w:jc w:val="right"/>
      <w:rPr>
        <w:lang w:val="pt-BR"/>
      </w:rPr>
    </w:pPr>
    <w:r>
      <w:rPr>
        <w:noProof/>
      </w:rPr>
      <w:t xml:space="preserve">Page </w:t>
    </w:r>
    <w:r>
      <w:rPr>
        <w:noProof/>
      </w:rPr>
      <w:fldChar w:fldCharType="begin"/>
    </w:r>
    <w:r>
      <w:rPr>
        <w:noProof/>
      </w:rPr>
      <w:instrText xml:space="preserve"> PAGE   \* MERGEFORMAT </w:instrText>
    </w:r>
    <w:r>
      <w:rPr>
        <w:noProof/>
      </w:rPr>
      <w:fldChar w:fldCharType="separate"/>
    </w:r>
    <w:r w:rsidR="00D2373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03" w:rsidRDefault="00412E03">
      <w:r>
        <w:separator/>
      </w:r>
    </w:p>
  </w:footnote>
  <w:footnote w:type="continuationSeparator" w:id="0">
    <w:p w:rsidR="00412E03" w:rsidRDefault="00412E03">
      <w:r>
        <w:continuationSeparator/>
      </w:r>
    </w:p>
    <w:p w:rsidR="00412E03" w:rsidRDefault="00412E03">
      <w:pPr>
        <w:pStyle w:val="FootnoteText"/>
      </w:pPr>
      <w:r>
        <w:t xml:space="preserve">(...continued) </w:t>
      </w:r>
    </w:p>
  </w:footnote>
  <w:footnote w:type="continuationNotice" w:id="1">
    <w:p w:rsidR="00412E03" w:rsidRPr="00644DD6" w:rsidRDefault="00412E03" w:rsidP="00644DD6">
      <w:pPr>
        <w:pStyle w:val="Footer"/>
      </w:pPr>
    </w:p>
  </w:footnote>
  <w:footnote w:id="2">
    <w:p w:rsidR="008F1AC6" w:rsidRPr="004539C3" w:rsidRDefault="008F1AC6" w:rsidP="00A95284">
      <w:pPr>
        <w:pStyle w:val="FootnoteText"/>
        <w:spacing w:after="0"/>
        <w:ind w:left="0" w:firstLine="0"/>
        <w:jc w:val="left"/>
      </w:pPr>
      <w:r w:rsidRPr="00A95284">
        <w:rPr>
          <w:rStyle w:val="FootnoteReference"/>
        </w:rPr>
        <w:footnoteRef/>
      </w:r>
      <w:r w:rsidR="004539C3" w:rsidRPr="004539C3">
        <w:rPr>
          <w:i/>
        </w:rPr>
        <w:t xml:space="preserve"> </w:t>
      </w:r>
      <w:proofErr w:type="gramStart"/>
      <w:r w:rsidR="00CE4724">
        <w:rPr>
          <w:i/>
        </w:rPr>
        <w:t xml:space="preserve">Wash. </w:t>
      </w:r>
      <w:proofErr w:type="spellStart"/>
      <w:r w:rsidR="00CE4724">
        <w:rPr>
          <w:i/>
        </w:rPr>
        <w:t>Utils</w:t>
      </w:r>
      <w:proofErr w:type="spellEnd"/>
      <w:r w:rsidR="00CE4724">
        <w:rPr>
          <w:i/>
        </w:rPr>
        <w:t>.</w:t>
      </w:r>
      <w:proofErr w:type="gramEnd"/>
      <w:r w:rsidR="00CE4724">
        <w:rPr>
          <w:i/>
        </w:rPr>
        <w:t xml:space="preserve"> &amp; Transp. </w:t>
      </w:r>
      <w:proofErr w:type="spellStart"/>
      <w:r w:rsidR="00CE4724">
        <w:rPr>
          <w:i/>
        </w:rPr>
        <w:t>Comm’n</w:t>
      </w:r>
      <w:proofErr w:type="spellEnd"/>
      <w:r w:rsidRPr="00A95284">
        <w:rPr>
          <w:i/>
        </w:rPr>
        <w:t xml:space="preserve"> v. Pacific Power &amp; Light Co.</w:t>
      </w:r>
      <w:r w:rsidRPr="00A95284">
        <w:t xml:space="preserve">, Dockets UE-140762 </w:t>
      </w:r>
      <w:r w:rsidRPr="00A95284">
        <w:rPr>
          <w:i/>
        </w:rPr>
        <w:t>et al.</w:t>
      </w:r>
      <w:r w:rsidRPr="00A95284">
        <w:t xml:space="preserve">, Order 08 at 77, ¶¶ 182 (Mar. 25, 2015).  </w:t>
      </w:r>
    </w:p>
  </w:footnote>
  <w:footnote w:id="3">
    <w:p w:rsidR="008F1AC6" w:rsidRPr="004539C3" w:rsidRDefault="008F1AC6" w:rsidP="00A95284">
      <w:pPr>
        <w:pStyle w:val="FootnoteText"/>
        <w:spacing w:after="0"/>
        <w:ind w:left="0" w:firstLine="0"/>
      </w:pPr>
      <w:r w:rsidRPr="004539C3">
        <w:rPr>
          <w:rStyle w:val="FootnoteReference"/>
        </w:rPr>
        <w:footnoteRef/>
      </w:r>
      <w:r w:rsidRPr="004539C3">
        <w:t xml:space="preserve"> </w:t>
      </w:r>
      <w:proofErr w:type="gramStart"/>
      <w:r w:rsidR="00CE4724">
        <w:rPr>
          <w:i/>
        </w:rPr>
        <w:t xml:space="preserve">Wash. </w:t>
      </w:r>
      <w:proofErr w:type="spellStart"/>
      <w:r w:rsidR="00CE4724">
        <w:rPr>
          <w:i/>
        </w:rPr>
        <w:t>Utils</w:t>
      </w:r>
      <w:proofErr w:type="spellEnd"/>
      <w:r w:rsidR="00CE4724">
        <w:rPr>
          <w:i/>
        </w:rPr>
        <w:t>.</w:t>
      </w:r>
      <w:proofErr w:type="gramEnd"/>
      <w:r w:rsidR="00CE4724">
        <w:rPr>
          <w:i/>
        </w:rPr>
        <w:t xml:space="preserve"> &amp; Transp. </w:t>
      </w:r>
      <w:proofErr w:type="spellStart"/>
      <w:r w:rsidR="00CE4724">
        <w:rPr>
          <w:i/>
        </w:rPr>
        <w:t>Comm’n</w:t>
      </w:r>
      <w:proofErr w:type="spellEnd"/>
      <w:r w:rsidRPr="00A95284">
        <w:rPr>
          <w:i/>
        </w:rPr>
        <w:t xml:space="preserve"> v. Pacific Power &amp; Light Co.</w:t>
      </w:r>
      <w:r w:rsidRPr="00A95284">
        <w:t xml:space="preserve">, Dockets UE-140762 </w:t>
      </w:r>
      <w:r w:rsidRPr="00A95284">
        <w:rPr>
          <w:i/>
        </w:rPr>
        <w:t>et al.</w:t>
      </w:r>
      <w:r w:rsidRPr="00A95284">
        <w:t xml:space="preserve">, Order 08 at 75, ¶ 176, </w:t>
      </w:r>
      <w:proofErr w:type="spellStart"/>
      <w:r w:rsidRPr="00A95284">
        <w:t>fn</w:t>
      </w:r>
      <w:proofErr w:type="spellEnd"/>
      <w:r w:rsidRPr="00A95284">
        <w:t xml:space="preserve"> 260 (Mar. 25, 2015) (“The Commission devoted 21 pages to the analysis and discussion of cost of capital issues, more than 20 percent of the 97 pages of substantive discussion in Order 05.”).</w:t>
      </w:r>
    </w:p>
  </w:footnote>
  <w:footnote w:id="4">
    <w:p w:rsidR="008F1AC6" w:rsidRPr="004539C3" w:rsidRDefault="008F1AC6" w:rsidP="00A95284">
      <w:pPr>
        <w:pStyle w:val="FootnoteText"/>
        <w:spacing w:after="0"/>
        <w:ind w:left="0" w:firstLine="0"/>
        <w:jc w:val="left"/>
      </w:pPr>
      <w:r w:rsidRPr="00A95284">
        <w:rPr>
          <w:rStyle w:val="FootnoteReference"/>
        </w:rPr>
        <w:footnoteRef/>
      </w:r>
      <w:r w:rsidR="004539C3">
        <w:t xml:space="preserve"> </w:t>
      </w:r>
      <w:proofErr w:type="gramStart"/>
      <w:r w:rsidR="00CE4724">
        <w:rPr>
          <w:i/>
        </w:rPr>
        <w:t xml:space="preserve">Wash. </w:t>
      </w:r>
      <w:proofErr w:type="spellStart"/>
      <w:r w:rsidR="00CE4724">
        <w:rPr>
          <w:i/>
        </w:rPr>
        <w:t>Utils</w:t>
      </w:r>
      <w:proofErr w:type="spellEnd"/>
      <w:r w:rsidR="00CE4724">
        <w:rPr>
          <w:i/>
        </w:rPr>
        <w:t>.</w:t>
      </w:r>
      <w:proofErr w:type="gramEnd"/>
      <w:r w:rsidR="00CE4724">
        <w:rPr>
          <w:i/>
        </w:rPr>
        <w:t xml:space="preserve"> &amp; Transp. </w:t>
      </w:r>
      <w:proofErr w:type="spellStart"/>
      <w:r w:rsidR="00CE4724">
        <w:rPr>
          <w:i/>
        </w:rPr>
        <w:t>Comm’n</w:t>
      </w:r>
      <w:proofErr w:type="spellEnd"/>
      <w:r w:rsidRPr="00A95284">
        <w:rPr>
          <w:i/>
        </w:rPr>
        <w:t xml:space="preserve"> v. Pacific Power &amp; Light Co.</w:t>
      </w:r>
      <w:r w:rsidRPr="00A95284">
        <w:t xml:space="preserve">, Dockets UE-140762 </w:t>
      </w:r>
      <w:r w:rsidRPr="00A95284">
        <w:rPr>
          <w:i/>
        </w:rPr>
        <w:t>et al.</w:t>
      </w:r>
      <w:r w:rsidRPr="00A95284">
        <w:t xml:space="preserve">, Strunk Direct Testimony (May 1, 2014).  </w:t>
      </w:r>
    </w:p>
  </w:footnote>
  <w:footnote w:id="5">
    <w:p w:rsidR="008F1AC6" w:rsidRPr="00A95284" w:rsidRDefault="008F1AC6" w:rsidP="00A95284">
      <w:pPr>
        <w:pStyle w:val="FootnoteText"/>
        <w:spacing w:after="0"/>
        <w:ind w:left="0" w:firstLine="0"/>
      </w:pPr>
      <w:r w:rsidRPr="004539C3">
        <w:rPr>
          <w:rStyle w:val="FootnoteReference"/>
        </w:rPr>
        <w:footnoteRef/>
      </w:r>
      <w:r w:rsidRPr="004539C3">
        <w:t xml:space="preserve"> </w:t>
      </w:r>
      <w:r w:rsidRPr="00A95284">
        <w:rPr>
          <w:i/>
        </w:rPr>
        <w:t>See</w:t>
      </w:r>
      <w:r w:rsidR="004539C3">
        <w:rPr>
          <w:i/>
        </w:rPr>
        <w:t xml:space="preserve"> </w:t>
      </w:r>
      <w:proofErr w:type="spellStart"/>
      <w:r w:rsidR="004539C3">
        <w:rPr>
          <w:i/>
        </w:rPr>
        <w:t>e.g</w:t>
      </w:r>
      <w:proofErr w:type="spellEnd"/>
      <w:r w:rsidRPr="00A95284">
        <w:t>, the Rebuttal Testimony of Bruce N. Williams</w:t>
      </w:r>
      <w:r w:rsidR="00CE23DD">
        <w:t>,</w:t>
      </w:r>
      <w:r w:rsidRPr="00A95284">
        <w:t xml:space="preserve"> Docket UE-140762</w:t>
      </w:r>
      <w:r w:rsidR="00CE23DD">
        <w:t xml:space="preserve">, </w:t>
      </w:r>
      <w:proofErr w:type="gramStart"/>
      <w:r w:rsidR="00CE23DD">
        <w:t>Exh</w:t>
      </w:r>
      <w:r w:rsidR="00302A01">
        <w:t>ibit</w:t>
      </w:r>
      <w:proofErr w:type="gramEnd"/>
      <w:r w:rsidR="00CE23DD" w:rsidRPr="00A95284">
        <w:t xml:space="preserve"> No. BNW-16T at 8:1-12</w:t>
      </w:r>
      <w:r w:rsidRPr="004539C3">
        <w:t>.</w:t>
      </w:r>
    </w:p>
  </w:footnote>
  <w:footnote w:id="6">
    <w:p w:rsidR="008F1AC6" w:rsidRPr="004539C3" w:rsidRDefault="008F1AC6" w:rsidP="00A95284">
      <w:pPr>
        <w:pStyle w:val="FootnoteText"/>
        <w:spacing w:after="0"/>
        <w:ind w:left="0" w:firstLine="0"/>
      </w:pPr>
      <w:r w:rsidRPr="004539C3">
        <w:rPr>
          <w:rStyle w:val="FootnoteReference"/>
        </w:rPr>
        <w:footnoteRef/>
      </w:r>
      <w:r w:rsidRPr="004539C3">
        <w:t xml:space="preserve"> </w:t>
      </w:r>
      <w:r w:rsidRPr="00A95284">
        <w:rPr>
          <w:i/>
        </w:rPr>
        <w:t>See</w:t>
      </w:r>
      <w:r w:rsidRPr="004539C3">
        <w:t xml:space="preserve"> “Fed's Williams sees strong case for December interest-rate hike,” </w:t>
      </w:r>
      <w:r w:rsidRPr="004539C3">
        <w:rPr>
          <w:i/>
        </w:rPr>
        <w:t>Reuters</w:t>
      </w:r>
      <w:r w:rsidRPr="004539C3">
        <w:t xml:space="preserve">, November 21, 2015.  See also, “Fed Keeps December Rate Hike in Play,” </w:t>
      </w:r>
      <w:r w:rsidRPr="004539C3">
        <w:rPr>
          <w:i/>
        </w:rPr>
        <w:t>Wall Street Journal</w:t>
      </w:r>
      <w:r w:rsidRPr="004539C3">
        <w:t>, October 28, 2015.</w:t>
      </w:r>
    </w:p>
  </w:footnote>
  <w:footnote w:id="7">
    <w:p w:rsidR="008F1AC6" w:rsidRPr="004539C3" w:rsidRDefault="008F1AC6" w:rsidP="00A95284">
      <w:pPr>
        <w:pStyle w:val="FootnoteText"/>
        <w:spacing w:after="0"/>
        <w:ind w:left="0" w:firstLine="0"/>
        <w:jc w:val="left"/>
      </w:pPr>
      <w:r w:rsidRPr="004539C3">
        <w:rPr>
          <w:rStyle w:val="FootnoteReference"/>
        </w:rPr>
        <w:footnoteRef/>
      </w:r>
      <w:r w:rsidRPr="004539C3">
        <w:t xml:space="preserve"> In my testimony in </w:t>
      </w:r>
      <w:r w:rsidR="004507C9">
        <w:t>the 2014 Rate Case</w:t>
      </w:r>
      <w:r w:rsidRPr="004539C3">
        <w:t>, I explained why a lower equity ratio required an ROE leverage adjustment and performed a quantitative analysis of the appropriate level of the adjustment.</w:t>
      </w:r>
    </w:p>
  </w:footnote>
  <w:footnote w:id="8">
    <w:p w:rsidR="008F1AC6" w:rsidRPr="004539C3" w:rsidRDefault="008F1AC6" w:rsidP="004539C3">
      <w:pPr>
        <w:pStyle w:val="FootnoteText"/>
        <w:spacing w:after="0"/>
        <w:ind w:left="0" w:firstLine="0"/>
      </w:pPr>
      <w:r w:rsidRPr="004539C3">
        <w:rPr>
          <w:rStyle w:val="FootnoteReference"/>
        </w:rPr>
        <w:footnoteRef/>
      </w:r>
      <w:r w:rsidRPr="004539C3">
        <w:t xml:space="preserve"> </w:t>
      </w:r>
      <w:proofErr w:type="gramStart"/>
      <w:r w:rsidRPr="004539C3">
        <w:t xml:space="preserve">Dockets UE-140762 </w:t>
      </w:r>
      <w:r w:rsidRPr="004539C3">
        <w:rPr>
          <w:i/>
        </w:rPr>
        <w:t>et al.</w:t>
      </w:r>
      <w:r w:rsidRPr="004539C3">
        <w:t xml:space="preserve">, </w:t>
      </w:r>
      <w:proofErr w:type="spellStart"/>
      <w:r w:rsidR="00496DB1">
        <w:t>Exh</w:t>
      </w:r>
      <w:proofErr w:type="spellEnd"/>
      <w:r w:rsidR="00496DB1">
        <w:t>.</w:t>
      </w:r>
      <w:proofErr w:type="gramEnd"/>
      <w:r w:rsidR="00496DB1">
        <w:t xml:space="preserve"> No. KGS-1T</w:t>
      </w:r>
      <w:r w:rsidRPr="004539C3">
        <w:t xml:space="preserve"> (May 1, 2014).  </w:t>
      </w:r>
    </w:p>
  </w:footnote>
  <w:footnote w:id="9">
    <w:p w:rsidR="008F1AC6" w:rsidRPr="004539C3" w:rsidRDefault="008F1AC6" w:rsidP="00A95284">
      <w:pPr>
        <w:pStyle w:val="FootnoteText"/>
        <w:spacing w:after="0"/>
        <w:ind w:left="0" w:firstLine="0"/>
        <w:jc w:val="left"/>
      </w:pPr>
      <w:r w:rsidRPr="004539C3">
        <w:rPr>
          <w:rStyle w:val="FootnoteReference"/>
        </w:rPr>
        <w:footnoteRef/>
      </w:r>
      <w:r w:rsidRPr="004539C3">
        <w:t xml:space="preserve"> </w:t>
      </w:r>
      <w:r w:rsidRPr="004539C3">
        <w:rPr>
          <w:i/>
        </w:rPr>
        <w:t>See</w:t>
      </w:r>
      <w:r w:rsidRPr="004539C3">
        <w:t xml:space="preserve"> </w:t>
      </w:r>
      <w:hyperlink r:id="rId1" w:history="1">
        <w:r w:rsidRPr="004539C3">
          <w:rPr>
            <w:rStyle w:val="Hyperlink"/>
          </w:rPr>
          <w:t>http://www.pepcoholdings.com/about-us/exelon-acquisition/</w:t>
        </w:r>
      </w:hyperlink>
      <w:r w:rsidRPr="004539C3">
        <w:t xml:space="preserve"> and </w:t>
      </w:r>
      <w:hyperlink r:id="rId2" w:history="1">
        <w:r w:rsidRPr="004539C3">
          <w:rPr>
            <w:rStyle w:val="Hyperlink"/>
          </w:rPr>
          <w:t>http://www.nexteraenergy.com/news/contents/2014/120314.shtml</w:t>
        </w:r>
      </w:hyperlink>
      <w:r w:rsidRPr="004539C3">
        <w:t xml:space="preserve">.  </w:t>
      </w:r>
    </w:p>
  </w:footnote>
  <w:footnote w:id="10">
    <w:p w:rsidR="008F1AC6" w:rsidRPr="004539C3" w:rsidRDefault="008F1AC6" w:rsidP="00A95284">
      <w:pPr>
        <w:pStyle w:val="FootnoteText"/>
        <w:spacing w:after="0"/>
        <w:ind w:left="0" w:firstLine="0"/>
        <w:jc w:val="left"/>
      </w:pPr>
      <w:r w:rsidRPr="004539C3">
        <w:rPr>
          <w:rStyle w:val="FootnoteReference"/>
        </w:rPr>
        <w:footnoteRef/>
      </w:r>
      <w:r w:rsidRPr="004539C3">
        <w:t xml:space="preserve"> Reuters, “</w:t>
      </w:r>
      <w:proofErr w:type="spellStart"/>
      <w:r w:rsidRPr="004539C3">
        <w:t>Cleco</w:t>
      </w:r>
      <w:proofErr w:type="spellEnd"/>
      <w:r w:rsidRPr="004539C3">
        <w:t xml:space="preserve"> Enters Agreement to be Acquired by North American Investor Group Led by Macquarie Infrastructure and Real Assets and British Columbia Investment Management Corporation,” October 20, 2014</w:t>
      </w:r>
      <w:r w:rsidR="00496DB1">
        <w:t>.</w:t>
      </w:r>
    </w:p>
  </w:footnote>
  <w:footnote w:id="11">
    <w:p w:rsidR="008F1AC6" w:rsidRPr="004539C3" w:rsidRDefault="008F1AC6" w:rsidP="00A95284">
      <w:pPr>
        <w:pStyle w:val="FootnoteText"/>
        <w:spacing w:after="0"/>
        <w:ind w:left="0" w:firstLine="0"/>
        <w:jc w:val="left"/>
      </w:pPr>
      <w:r w:rsidRPr="004539C3">
        <w:rPr>
          <w:rStyle w:val="FootnoteReference"/>
        </w:rPr>
        <w:footnoteRef/>
      </w:r>
      <w:r w:rsidRPr="004539C3">
        <w:t xml:space="preserve"> </w:t>
      </w:r>
      <w:r w:rsidRPr="00A95284">
        <w:rPr>
          <w:i/>
        </w:rPr>
        <w:t>See</w:t>
      </w:r>
      <w:r w:rsidRPr="004539C3">
        <w:t xml:space="preserve"> Wisconsin Energy to acquire </w:t>
      </w:r>
      <w:proofErr w:type="spellStart"/>
      <w:r w:rsidRPr="004539C3">
        <w:t>Integrys</w:t>
      </w:r>
      <w:proofErr w:type="spellEnd"/>
      <w:r w:rsidRPr="004539C3">
        <w:t xml:space="preserve"> Energy Group for $9.1 billion in cash, stock and assumed debt - creating a leading Midwest electric and gas utility,” June 23, 2014 </w:t>
      </w:r>
      <w:hyperlink r:id="rId3" w:history="1">
        <w:r w:rsidRPr="004539C3">
          <w:rPr>
            <w:rStyle w:val="Hyperlink"/>
          </w:rPr>
          <w:t>http://www.integrysgroup.com/transaction/NewsRelease.pdf</w:t>
        </w:r>
      </w:hyperlink>
      <w:r w:rsidRPr="004539C3">
        <w:t xml:space="preserve">. </w:t>
      </w:r>
    </w:p>
  </w:footnote>
  <w:footnote w:id="12">
    <w:p w:rsidR="008F1AC6" w:rsidRPr="004539C3" w:rsidRDefault="008F1AC6" w:rsidP="00A95284">
      <w:pPr>
        <w:pStyle w:val="FootnoteText"/>
        <w:spacing w:after="0"/>
        <w:ind w:left="0" w:firstLine="0"/>
        <w:jc w:val="left"/>
      </w:pPr>
      <w:r w:rsidRPr="004539C3">
        <w:rPr>
          <w:rStyle w:val="FootnoteReference"/>
        </w:rPr>
        <w:footnoteRef/>
      </w:r>
      <w:r w:rsidRPr="004539C3">
        <w:t xml:space="preserve"> </w:t>
      </w:r>
      <w:r w:rsidRPr="00A95284">
        <w:rPr>
          <w:i/>
        </w:rPr>
        <w:t>See</w:t>
      </w:r>
      <w:r w:rsidRPr="004539C3">
        <w:t xml:space="preserve"> PR Newswire, “Alliant Energy Closes Sale of its Minnesota Electric Distribution Assets-to-Cooperatives” July 31, 2015.</w:t>
      </w:r>
    </w:p>
  </w:footnote>
  <w:footnote w:id="13">
    <w:p w:rsidR="00A74CCC" w:rsidRPr="0041138E" w:rsidRDefault="00A74CCC" w:rsidP="00CE4724">
      <w:pPr>
        <w:pStyle w:val="FootnoteText"/>
        <w:spacing w:after="0"/>
      </w:pPr>
      <w:r>
        <w:rPr>
          <w:rStyle w:val="FootnoteReference"/>
        </w:rPr>
        <w:footnoteRef/>
      </w:r>
      <w:r>
        <w:t xml:space="preserve"> </w:t>
      </w:r>
      <w:r w:rsidR="0042574A" w:rsidRPr="00CE4724">
        <w:rPr>
          <w:i/>
        </w:rPr>
        <w:t xml:space="preserve">Martha </w:t>
      </w:r>
      <w:proofErr w:type="spellStart"/>
      <w:r w:rsidR="0042574A" w:rsidRPr="00CE4724">
        <w:rPr>
          <w:i/>
        </w:rPr>
        <w:t>Coakley</w:t>
      </w:r>
      <w:proofErr w:type="spellEnd"/>
      <w:r w:rsidR="0042574A" w:rsidRPr="00CE4724">
        <w:rPr>
          <w:i/>
        </w:rPr>
        <w:t xml:space="preserve"> et al v. Bangor Hydro-Electric Co. et al,</w:t>
      </w:r>
      <w:r w:rsidR="0042574A" w:rsidRPr="0042574A">
        <w:t xml:space="preserve"> </w:t>
      </w:r>
      <w:r w:rsidRPr="0042574A">
        <w:t>FERC Opinion No. 531-B, paragraph 50,</w:t>
      </w:r>
      <w:r w:rsidRPr="00CE4724">
        <w:t xml:space="preserve"> 150 FERC ¶ 61,165</w:t>
      </w:r>
      <w:r w:rsidR="0042574A" w:rsidRPr="00CE4724">
        <w:t xml:space="preserve"> (March 3, 2015)</w:t>
      </w:r>
      <w:r>
        <w:t>.</w:t>
      </w:r>
    </w:p>
  </w:footnote>
  <w:footnote w:id="14">
    <w:p w:rsidR="000079EC" w:rsidRDefault="000079EC" w:rsidP="00CE4724">
      <w:pPr>
        <w:pStyle w:val="FootnoteText"/>
        <w:spacing w:after="0"/>
      </w:pPr>
      <w:r>
        <w:rPr>
          <w:rStyle w:val="FootnoteReference"/>
        </w:rPr>
        <w:footnoteRef/>
      </w:r>
      <w:r>
        <w:t xml:space="preserve"> </w:t>
      </w:r>
      <w:proofErr w:type="gramStart"/>
      <w:r w:rsidR="0042574A" w:rsidRPr="00CE4724">
        <w:rPr>
          <w:i/>
        </w:rPr>
        <w:t xml:space="preserve">Martha </w:t>
      </w:r>
      <w:proofErr w:type="spellStart"/>
      <w:r w:rsidR="0042574A" w:rsidRPr="00CE4724">
        <w:rPr>
          <w:i/>
        </w:rPr>
        <w:t>Coakley</w:t>
      </w:r>
      <w:proofErr w:type="spellEnd"/>
      <w:r w:rsidR="0042574A" w:rsidRPr="00CE4724">
        <w:rPr>
          <w:i/>
        </w:rPr>
        <w:t xml:space="preserve"> et al v. Bangor Hydro-Electric Co. et al,</w:t>
      </w:r>
      <w:r w:rsidR="0042574A" w:rsidRPr="0042574A">
        <w:t xml:space="preserve"> </w:t>
      </w:r>
      <w:r>
        <w:t>FERC Opinion No. 531</w:t>
      </w:r>
      <w:r w:rsidRPr="0042574A">
        <w:t xml:space="preserve">, </w:t>
      </w:r>
      <w:r w:rsidRPr="00CE4724">
        <w:t>149 FERC ¶ 61,032</w:t>
      </w:r>
      <w:r w:rsidR="0042574A" w:rsidRPr="00CE4724">
        <w:t xml:space="preserve"> (</w:t>
      </w:r>
      <w:r w:rsidR="0042574A" w:rsidRPr="0042574A">
        <w:t>October 16, 2014)</w:t>
      </w:r>
      <w:r w:rsidRPr="0042574A">
        <w:t>.</w:t>
      </w:r>
      <w:proofErr w:type="gramEnd"/>
      <w:r w:rsidR="0042574A">
        <w:tab/>
      </w:r>
      <w:r w:rsidR="0042574A">
        <w:tab/>
      </w:r>
    </w:p>
  </w:footnote>
  <w:footnote w:id="15">
    <w:p w:rsidR="008F1AC6" w:rsidRPr="004539C3" w:rsidRDefault="008F1AC6" w:rsidP="00A95284">
      <w:pPr>
        <w:pStyle w:val="FootnoteText"/>
        <w:spacing w:after="0"/>
        <w:ind w:left="0" w:firstLine="0"/>
      </w:pPr>
      <w:r w:rsidRPr="004539C3">
        <w:rPr>
          <w:rStyle w:val="FootnoteReference"/>
        </w:rPr>
        <w:footnoteRef/>
      </w:r>
      <w:r w:rsidRPr="004539C3">
        <w:t xml:space="preserve"> </w:t>
      </w:r>
      <w:r w:rsidRPr="00A95284">
        <w:rPr>
          <w:i/>
        </w:rPr>
        <w:t>See</w:t>
      </w:r>
      <w:r w:rsidR="004539C3" w:rsidRPr="004539C3">
        <w:rPr>
          <w:i/>
        </w:rPr>
        <w:t xml:space="preserve"> e.g.</w:t>
      </w:r>
      <w:r w:rsidRPr="004539C3">
        <w:t xml:space="preserve">, </w:t>
      </w:r>
      <w:r w:rsidRPr="004539C3">
        <w:rPr>
          <w:i/>
        </w:rPr>
        <w:t xml:space="preserve">Global Economic </w:t>
      </w:r>
      <w:proofErr w:type="spellStart"/>
      <w:r w:rsidRPr="004539C3">
        <w:rPr>
          <w:i/>
        </w:rPr>
        <w:t>Briefing</w:t>
      </w:r>
      <w:proofErr w:type="gramStart"/>
      <w:r w:rsidRPr="004539C3">
        <w:rPr>
          <w:i/>
        </w:rPr>
        <w:t>:Central</w:t>
      </w:r>
      <w:proofErr w:type="spellEnd"/>
      <w:proofErr w:type="gramEnd"/>
      <w:r w:rsidRPr="004539C3">
        <w:rPr>
          <w:i/>
        </w:rPr>
        <w:t xml:space="preserve"> Bank Balance Sheets</w:t>
      </w:r>
      <w:r w:rsidRPr="004539C3">
        <w:t xml:space="preserve">, </w:t>
      </w:r>
      <w:proofErr w:type="spellStart"/>
      <w:r w:rsidRPr="004539C3">
        <w:t>Yardeni</w:t>
      </w:r>
      <w:proofErr w:type="spellEnd"/>
      <w:r w:rsidRPr="004539C3">
        <w:t xml:space="preserve"> Research, Inc., November 15, 2015.</w:t>
      </w:r>
    </w:p>
  </w:footnote>
  <w:footnote w:id="16">
    <w:p w:rsidR="008F1AC6" w:rsidRPr="004539C3" w:rsidRDefault="008F1AC6" w:rsidP="00A95284">
      <w:pPr>
        <w:pStyle w:val="FootnoteText"/>
        <w:spacing w:after="0"/>
        <w:ind w:left="0" w:firstLine="0"/>
      </w:pPr>
      <w:r w:rsidRPr="004539C3">
        <w:rPr>
          <w:rStyle w:val="FootnoteReference"/>
        </w:rPr>
        <w:footnoteRef/>
      </w:r>
      <w:r w:rsidRPr="004539C3">
        <w:t xml:space="preserve"> </w:t>
      </w:r>
      <w:r w:rsidRPr="004539C3">
        <w:rPr>
          <w:i/>
        </w:rPr>
        <w:t>Id</w:t>
      </w:r>
      <w:r w:rsidRPr="004539C3">
        <w:t>.</w:t>
      </w:r>
    </w:p>
  </w:footnote>
  <w:footnote w:id="17">
    <w:p w:rsidR="008F1AC6" w:rsidRPr="004539C3" w:rsidRDefault="008F1AC6" w:rsidP="00A95284">
      <w:pPr>
        <w:pStyle w:val="FootnoteText"/>
        <w:spacing w:after="0"/>
        <w:ind w:left="0" w:firstLine="0"/>
      </w:pPr>
      <w:r w:rsidRPr="004539C3">
        <w:rPr>
          <w:rStyle w:val="FootnoteReference"/>
        </w:rPr>
        <w:footnoteRef/>
      </w:r>
      <w:r w:rsidRPr="004539C3">
        <w:t xml:space="preserve"> Jaime </w:t>
      </w:r>
      <w:proofErr w:type="spellStart"/>
      <w:r w:rsidRPr="004539C3">
        <w:t>Caruana</w:t>
      </w:r>
      <w:proofErr w:type="spellEnd"/>
      <w:r w:rsidRPr="004539C3">
        <w:t xml:space="preserve">, General Manager, Bank for International Settlements, BIS Paper No. 66. </w:t>
      </w:r>
    </w:p>
  </w:footnote>
  <w:footnote w:id="18">
    <w:p w:rsidR="008F1AC6" w:rsidRPr="004539C3" w:rsidRDefault="008F1AC6" w:rsidP="00A95284">
      <w:pPr>
        <w:pStyle w:val="FootnoteText"/>
        <w:spacing w:after="0"/>
        <w:ind w:left="0" w:firstLine="0"/>
      </w:pPr>
      <w:r w:rsidRPr="004539C3">
        <w:rPr>
          <w:rStyle w:val="FootnoteReference"/>
        </w:rPr>
        <w:footnoteRef/>
      </w:r>
      <w:r w:rsidRPr="004539C3">
        <w:t xml:space="preserve"> “Trading in Stocks, ETFs Was Halted More Than 1,200 Times Early Monday,” </w:t>
      </w:r>
      <w:r w:rsidRPr="004539C3">
        <w:rPr>
          <w:i/>
        </w:rPr>
        <w:t>Wall Street Journal</w:t>
      </w:r>
      <w:r w:rsidRPr="004539C3">
        <w:t>, August 24, 2015.</w:t>
      </w:r>
    </w:p>
  </w:footnote>
  <w:footnote w:id="19">
    <w:p w:rsidR="008F1AC6" w:rsidRPr="004539C3" w:rsidRDefault="008F1AC6" w:rsidP="00A95284">
      <w:pPr>
        <w:pStyle w:val="FootnoteText"/>
        <w:spacing w:after="0"/>
        <w:ind w:left="0" w:firstLine="0"/>
      </w:pPr>
      <w:r w:rsidRPr="004539C3">
        <w:rPr>
          <w:rStyle w:val="FootnoteReference"/>
        </w:rPr>
        <w:footnoteRef/>
      </w:r>
      <w:r w:rsidR="004539C3">
        <w:t xml:space="preserve"> </w:t>
      </w:r>
      <w:proofErr w:type="gramStart"/>
      <w:r w:rsidR="006C0B8A" w:rsidRPr="00F654E6">
        <w:rPr>
          <w:i/>
        </w:rPr>
        <w:t>Findings Regarding the Market Events of May 6, 2010</w:t>
      </w:r>
      <w:r w:rsidR="006C0B8A">
        <w:t>.</w:t>
      </w:r>
      <w:proofErr w:type="gramEnd"/>
      <w:r w:rsidR="006C0B8A">
        <w:t xml:space="preserve">  </w:t>
      </w:r>
      <w:proofErr w:type="gramStart"/>
      <w:r w:rsidR="006C0B8A" w:rsidRPr="00F654E6">
        <w:t>R</w:t>
      </w:r>
      <w:r w:rsidR="006C0B8A">
        <w:t>eport</w:t>
      </w:r>
      <w:r w:rsidR="006C0B8A" w:rsidRPr="00F654E6">
        <w:t xml:space="preserve"> </w:t>
      </w:r>
      <w:r w:rsidR="006C0B8A">
        <w:t xml:space="preserve">of the Staffs of the </w:t>
      </w:r>
      <w:r w:rsidR="006C0B8A" w:rsidRPr="00F654E6">
        <w:t xml:space="preserve">CFTC </w:t>
      </w:r>
      <w:r w:rsidR="006C0B8A">
        <w:t>and</w:t>
      </w:r>
      <w:r w:rsidR="006C0B8A" w:rsidRPr="00F654E6">
        <w:t xml:space="preserve"> SEC </w:t>
      </w:r>
      <w:r w:rsidR="006C0B8A">
        <w:t>to the Joint Advisory Committee on Emerging Regulatory Issues, September 30, 2010.</w:t>
      </w:r>
      <w:proofErr w:type="gramEnd"/>
    </w:p>
  </w:footnote>
  <w:footnote w:id="20">
    <w:p w:rsidR="008F1AC6" w:rsidRPr="004539C3" w:rsidRDefault="008F1AC6" w:rsidP="00A95284">
      <w:pPr>
        <w:pStyle w:val="FootnoteText"/>
        <w:spacing w:after="0"/>
        <w:ind w:left="0" w:firstLine="0"/>
      </w:pPr>
      <w:r w:rsidRPr="004539C3">
        <w:rPr>
          <w:rStyle w:val="FootnoteReference"/>
        </w:rPr>
        <w:footnoteRef/>
      </w:r>
      <w:r w:rsidRPr="004539C3">
        <w:t xml:space="preserve"> </w:t>
      </w:r>
      <w:r w:rsidRPr="004539C3">
        <w:rPr>
          <w:i/>
        </w:rPr>
        <w:t>See</w:t>
      </w:r>
      <w:r w:rsidRPr="004539C3">
        <w:t xml:space="preserve"> “Three possible explanations have differing market implications,” </w:t>
      </w:r>
      <w:r w:rsidRPr="004539C3">
        <w:rPr>
          <w:i/>
        </w:rPr>
        <w:t>Financial Times</w:t>
      </w:r>
      <w:r w:rsidRPr="004539C3">
        <w:t xml:space="preserve"> (Nov. 3, 2014).</w:t>
      </w:r>
    </w:p>
  </w:footnote>
  <w:footnote w:id="21">
    <w:p w:rsidR="008F1AC6" w:rsidRPr="004539C3" w:rsidRDefault="008F1AC6" w:rsidP="00A95284">
      <w:pPr>
        <w:pStyle w:val="FootnoteText"/>
        <w:spacing w:after="0"/>
        <w:ind w:left="0" w:firstLine="0"/>
      </w:pPr>
      <w:r w:rsidRPr="004539C3">
        <w:rPr>
          <w:rStyle w:val="FootnoteReference"/>
        </w:rPr>
        <w:footnoteRef/>
      </w:r>
      <w:r w:rsidRPr="004539C3">
        <w:t xml:space="preserve"> </w:t>
      </w:r>
      <w:r w:rsidRPr="004539C3">
        <w:rPr>
          <w:i/>
        </w:rPr>
        <w:t>The U.S. Treasury Market on October 15, 2014</w:t>
      </w:r>
      <w:r w:rsidRPr="004539C3">
        <w:t>, Joint Staff Report, authored by staffs of the U.S. Department of the Treasury, the Board of Governors of the Federal Reserve System, the Federal Reserve Bank of New York, the U.S. Securities and Exchange Commission, and the U.S. Commodity Futures Trading Commission, July 13, 2015.</w:t>
      </w:r>
    </w:p>
  </w:footnote>
  <w:footnote w:id="22">
    <w:p w:rsidR="008F1AC6" w:rsidRPr="00A95284" w:rsidRDefault="008F1AC6" w:rsidP="00A95284">
      <w:pPr>
        <w:pStyle w:val="FootnoteText"/>
        <w:spacing w:after="0"/>
        <w:ind w:left="0" w:firstLine="0"/>
      </w:pPr>
      <w:r w:rsidRPr="00A95284">
        <w:rPr>
          <w:rStyle w:val="FootnoteReference"/>
        </w:rPr>
        <w:footnoteRef/>
      </w:r>
      <w:r w:rsidRPr="00A95284">
        <w:t xml:space="preserve"> </w:t>
      </w:r>
      <w:proofErr w:type="gramStart"/>
      <w:r w:rsidR="00CE4724">
        <w:rPr>
          <w:i/>
        </w:rPr>
        <w:t xml:space="preserve">Wash. </w:t>
      </w:r>
      <w:proofErr w:type="spellStart"/>
      <w:r w:rsidR="00CE4724">
        <w:rPr>
          <w:i/>
        </w:rPr>
        <w:t>Utils</w:t>
      </w:r>
      <w:proofErr w:type="spellEnd"/>
      <w:r w:rsidR="00CE4724">
        <w:rPr>
          <w:i/>
        </w:rPr>
        <w:t>.</w:t>
      </w:r>
      <w:proofErr w:type="gramEnd"/>
      <w:r w:rsidR="00CE4724">
        <w:rPr>
          <w:i/>
        </w:rPr>
        <w:t xml:space="preserve"> &amp; Transp. </w:t>
      </w:r>
      <w:proofErr w:type="spellStart"/>
      <w:r w:rsidR="00CE4724">
        <w:rPr>
          <w:i/>
        </w:rPr>
        <w:t>Comm’n</w:t>
      </w:r>
      <w:proofErr w:type="spellEnd"/>
      <w:r w:rsidRPr="00A95284">
        <w:rPr>
          <w:i/>
        </w:rPr>
        <w:t xml:space="preserve"> v. Puget Sound Energy, Inc</w:t>
      </w:r>
      <w:r w:rsidRPr="00A95284">
        <w:t>., Dockets UE-130137 and UG-130138 (consolidated)</w:t>
      </w:r>
      <w:r w:rsidRPr="00A95284">
        <w:rPr>
          <w:i/>
        </w:rPr>
        <w:t xml:space="preserve"> et al.</w:t>
      </w:r>
      <w:r w:rsidRPr="00A95284">
        <w:t xml:space="preserve">, Order 15/14 at 69, ¶ 155 (June 29, 2015).  Internal citations omitted.  </w:t>
      </w:r>
    </w:p>
  </w:footnote>
  <w:footnote w:id="23">
    <w:p w:rsidR="008F1AC6" w:rsidRPr="004539C3" w:rsidRDefault="008F1AC6" w:rsidP="00A95284">
      <w:pPr>
        <w:pStyle w:val="FootnoteText"/>
        <w:spacing w:after="0"/>
        <w:ind w:left="0" w:firstLine="0"/>
      </w:pPr>
      <w:r w:rsidRPr="004539C3">
        <w:rPr>
          <w:rStyle w:val="FootnoteReference"/>
        </w:rPr>
        <w:footnoteRef/>
      </w:r>
      <w:r w:rsidRPr="004539C3">
        <w:t xml:space="preserve"> </w:t>
      </w:r>
      <w:proofErr w:type="gramStart"/>
      <w:r w:rsidR="00CE4724">
        <w:rPr>
          <w:i/>
        </w:rPr>
        <w:t xml:space="preserve">Wash. </w:t>
      </w:r>
      <w:proofErr w:type="spellStart"/>
      <w:r w:rsidR="00CE4724">
        <w:rPr>
          <w:i/>
        </w:rPr>
        <w:t>Utils</w:t>
      </w:r>
      <w:proofErr w:type="spellEnd"/>
      <w:r w:rsidR="00CE4724">
        <w:rPr>
          <w:i/>
        </w:rPr>
        <w:t>.</w:t>
      </w:r>
      <w:proofErr w:type="gramEnd"/>
      <w:r w:rsidR="00CE4724">
        <w:rPr>
          <w:i/>
        </w:rPr>
        <w:t xml:space="preserve"> &amp; Transp. </w:t>
      </w:r>
      <w:proofErr w:type="spellStart"/>
      <w:r w:rsidR="00CE4724">
        <w:rPr>
          <w:i/>
        </w:rPr>
        <w:t>Comm’n</w:t>
      </w:r>
      <w:proofErr w:type="spellEnd"/>
      <w:r w:rsidR="005F656C" w:rsidRPr="00A95284">
        <w:rPr>
          <w:i/>
        </w:rPr>
        <w:t xml:space="preserve"> v. Puget Sound Energy, Inc</w:t>
      </w:r>
      <w:r w:rsidR="005F656C" w:rsidRPr="00A95284">
        <w:t>., Dockets UE-130137 and UG-130138 (consolidated)</w:t>
      </w:r>
      <w:r w:rsidR="005F656C" w:rsidRPr="00A95284">
        <w:rPr>
          <w:i/>
        </w:rPr>
        <w:t xml:space="preserve"> et al.</w:t>
      </w:r>
      <w:r w:rsidR="005F656C" w:rsidRPr="00A95284">
        <w:t xml:space="preserve"> (June 29, 2015).</w:t>
      </w:r>
    </w:p>
  </w:footnote>
  <w:footnote w:id="24">
    <w:p w:rsidR="008F1AC6" w:rsidRPr="00A95284" w:rsidRDefault="008F1AC6" w:rsidP="00A95284">
      <w:pPr>
        <w:pStyle w:val="FootnoteText"/>
        <w:spacing w:after="0"/>
        <w:ind w:left="0" w:firstLine="0"/>
      </w:pPr>
      <w:r w:rsidRPr="00A95284">
        <w:rPr>
          <w:rStyle w:val="FootnoteReference"/>
        </w:rPr>
        <w:footnoteRef/>
      </w:r>
      <w:r w:rsidRPr="00A95284">
        <w:t xml:space="preserve"> </w:t>
      </w:r>
      <w:proofErr w:type="gramStart"/>
      <w:r w:rsidR="00CE4724">
        <w:rPr>
          <w:i/>
        </w:rPr>
        <w:t xml:space="preserve">Wash. </w:t>
      </w:r>
      <w:proofErr w:type="spellStart"/>
      <w:r w:rsidR="00CE4724">
        <w:rPr>
          <w:i/>
        </w:rPr>
        <w:t>Utils</w:t>
      </w:r>
      <w:proofErr w:type="spellEnd"/>
      <w:r w:rsidR="00CE4724">
        <w:rPr>
          <w:i/>
        </w:rPr>
        <w:t>.</w:t>
      </w:r>
      <w:proofErr w:type="gramEnd"/>
      <w:r w:rsidR="00CE4724">
        <w:rPr>
          <w:i/>
        </w:rPr>
        <w:t xml:space="preserve"> &amp; Transp. </w:t>
      </w:r>
      <w:proofErr w:type="spellStart"/>
      <w:r w:rsidR="00CE4724">
        <w:rPr>
          <w:i/>
        </w:rPr>
        <w:t>Comm’n</w:t>
      </w:r>
      <w:proofErr w:type="spellEnd"/>
      <w:r w:rsidRPr="00A95284">
        <w:rPr>
          <w:i/>
        </w:rPr>
        <w:t xml:space="preserve"> v. Puget Sound Energy, Inc</w:t>
      </w:r>
      <w:r w:rsidRPr="00A95284">
        <w:t>., Dockets UE-130137 and UG-130138 (consolidated)</w:t>
      </w:r>
      <w:r w:rsidRPr="00A95284">
        <w:rPr>
          <w:i/>
        </w:rPr>
        <w:t xml:space="preserve"> et al.</w:t>
      </w:r>
      <w:r w:rsidRPr="00A95284">
        <w:t>, Order 15/14 at 69-70, ¶ 156 (June 29, 2015).</w:t>
      </w:r>
    </w:p>
  </w:footnote>
  <w:footnote w:id="25">
    <w:p w:rsidR="008F1AC6" w:rsidRPr="004539C3" w:rsidRDefault="008F1AC6" w:rsidP="00A95284">
      <w:pPr>
        <w:pStyle w:val="FootnoteText"/>
        <w:spacing w:after="0"/>
        <w:ind w:left="0" w:firstLine="0"/>
      </w:pPr>
      <w:r w:rsidRPr="00A95284">
        <w:rPr>
          <w:rStyle w:val="FootnoteReference"/>
        </w:rPr>
        <w:footnoteRef/>
      </w:r>
      <w:r w:rsidRPr="00A95284">
        <w:t xml:space="preserve"> </w:t>
      </w:r>
      <w:proofErr w:type="gramStart"/>
      <w:r w:rsidR="00CE4724">
        <w:rPr>
          <w:i/>
        </w:rPr>
        <w:t xml:space="preserve">Wash. </w:t>
      </w:r>
      <w:proofErr w:type="spellStart"/>
      <w:r w:rsidR="00CE4724">
        <w:rPr>
          <w:i/>
        </w:rPr>
        <w:t>Utils</w:t>
      </w:r>
      <w:proofErr w:type="spellEnd"/>
      <w:r w:rsidR="00CE4724">
        <w:rPr>
          <w:i/>
        </w:rPr>
        <w:t>.</w:t>
      </w:r>
      <w:proofErr w:type="gramEnd"/>
      <w:r w:rsidR="00CE4724">
        <w:rPr>
          <w:i/>
        </w:rPr>
        <w:t xml:space="preserve"> &amp; Transp. </w:t>
      </w:r>
      <w:proofErr w:type="spellStart"/>
      <w:r w:rsidR="00CE4724">
        <w:rPr>
          <w:i/>
        </w:rPr>
        <w:t>Comm’n</w:t>
      </w:r>
      <w:proofErr w:type="spellEnd"/>
      <w:r w:rsidRPr="00A95284">
        <w:rPr>
          <w:i/>
        </w:rPr>
        <w:t xml:space="preserve"> v. Puget Sound Energy, Inc</w:t>
      </w:r>
      <w:r w:rsidRPr="00A95284">
        <w:t>., Dockets UE-130137 and UG-130138 (consolidated)</w:t>
      </w:r>
      <w:r w:rsidRPr="00A95284">
        <w:rPr>
          <w:i/>
        </w:rPr>
        <w:t xml:space="preserve"> et al.</w:t>
      </w:r>
      <w:r w:rsidRPr="00A95284">
        <w:t>, Order 15/14 at 73-74, ¶ 163 (June 29,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3931"/>
      <w:gridCol w:w="1584"/>
      <w:gridCol w:w="3931"/>
    </w:tblGrid>
    <w:tr w:rsidR="008F1AC6">
      <w:trPr>
        <w:trHeight w:hRule="exact" w:val="720"/>
        <w:jc w:val="center"/>
      </w:trPr>
      <w:tc>
        <w:tcPr>
          <w:tcW w:w="3931" w:type="dxa"/>
        </w:tcPr>
        <w:p w:rsidR="008F1AC6" w:rsidRDefault="008F1AC6">
          <w:pPr>
            <w:pStyle w:val="DrConLeft"/>
          </w:pPr>
          <w:r>
            <w:fldChar w:fldCharType="begin"/>
          </w:r>
          <w:r>
            <w:instrText xml:space="preserve"> DOCPROPERTY "zpsPrivilegedText1" </w:instrText>
          </w:r>
          <w:r>
            <w:fldChar w:fldCharType="separate"/>
          </w:r>
          <w:r w:rsidR="00AC1192">
            <w:rPr>
              <w:b w:val="0"/>
              <w:bCs/>
            </w:rPr>
            <w:t>Error! Unknown document property name.</w:t>
          </w:r>
          <w:r>
            <w:fldChar w:fldCharType="end"/>
          </w:r>
        </w:p>
        <w:p w:rsidR="008F1AC6" w:rsidRDefault="008F1AC6">
          <w:pPr>
            <w:pStyle w:val="DrConLeft"/>
          </w:pPr>
          <w:r>
            <w:fldChar w:fldCharType="begin"/>
          </w:r>
          <w:r>
            <w:instrText xml:space="preserve"> DOCPROPERTY "zpsPrivilegedText2" </w:instrText>
          </w:r>
          <w:r>
            <w:fldChar w:fldCharType="separate"/>
          </w:r>
          <w:r w:rsidR="00AC1192">
            <w:rPr>
              <w:b w:val="0"/>
              <w:bCs/>
            </w:rPr>
            <w:t>Error! Unknown document property name.</w:t>
          </w:r>
          <w:r>
            <w:fldChar w:fldCharType="end"/>
          </w:r>
        </w:p>
      </w:tc>
      <w:tc>
        <w:tcPr>
          <w:tcW w:w="1584" w:type="dxa"/>
        </w:tcPr>
        <w:p w:rsidR="008F1AC6" w:rsidRDefault="008F1AC6">
          <w:pPr>
            <w:pStyle w:val="Footer"/>
            <w:jc w:val="center"/>
          </w:pPr>
        </w:p>
        <w:p w:rsidR="008F1AC6" w:rsidRDefault="008F1AC6">
          <w:pPr>
            <w:pStyle w:val="Footer"/>
            <w:jc w:val="center"/>
          </w:pPr>
          <w:r>
            <w:t xml:space="preserve">- </w:t>
          </w:r>
          <w:r>
            <w:fldChar w:fldCharType="begin"/>
          </w:r>
          <w:r>
            <w:instrText xml:space="preserve"> PAGE </w:instrText>
          </w:r>
          <w:r>
            <w:fldChar w:fldCharType="separate"/>
          </w:r>
          <w:r>
            <w:rPr>
              <w:noProof/>
            </w:rPr>
            <w:t>36</w:t>
          </w:r>
          <w:r>
            <w:rPr>
              <w:noProof/>
            </w:rPr>
            <w:fldChar w:fldCharType="end"/>
          </w:r>
          <w:r>
            <w:t xml:space="preserve"> -</w:t>
          </w:r>
        </w:p>
      </w:tc>
      <w:tc>
        <w:tcPr>
          <w:tcW w:w="3931" w:type="dxa"/>
        </w:tcPr>
        <w:p w:rsidR="008F1AC6" w:rsidRDefault="008F1AC6">
          <w:pPr>
            <w:pStyle w:val="DrConRight"/>
          </w:pPr>
          <w:r>
            <w:fldChar w:fldCharType="begin"/>
          </w:r>
          <w:r>
            <w:instrText xml:space="preserve"> REF zDraft1 \* MERGEFORMAT </w:instrText>
          </w:r>
          <w:r>
            <w:fldChar w:fldCharType="separate"/>
          </w:r>
          <w:r w:rsidR="00AC1192">
            <w:rPr>
              <w:b w:val="0"/>
              <w:bCs/>
            </w:rPr>
            <w:t>Error! Reference source not found.</w:t>
          </w:r>
          <w:r>
            <w:fldChar w:fldCharType="end"/>
          </w:r>
        </w:p>
        <w:p w:rsidR="008F1AC6" w:rsidRDefault="008F1AC6">
          <w:pPr>
            <w:pStyle w:val="DrConRight"/>
          </w:pPr>
          <w:r>
            <w:fldChar w:fldCharType="begin"/>
          </w:r>
          <w:r>
            <w:instrText xml:space="preserve"> REF zDraft2 \* MERGEFORMAT </w:instrText>
          </w:r>
          <w:r>
            <w:fldChar w:fldCharType="separate"/>
          </w:r>
          <w:r w:rsidR="00AC1192">
            <w:rPr>
              <w:b w:val="0"/>
              <w:bCs/>
            </w:rPr>
            <w:t>Error! Reference source not found.</w:t>
          </w:r>
          <w:r>
            <w:fldChar w:fldCharType="end"/>
          </w:r>
        </w:p>
      </w:tc>
    </w:tr>
  </w:tbl>
  <w:p w:rsidR="008F1AC6" w:rsidRDefault="008F1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39" w:rsidRDefault="00D237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739" w:rsidRDefault="00D23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0E0D248"/>
    <w:lvl w:ilvl="0">
      <w:start w:val="1"/>
      <w:numFmt w:val="upperRoman"/>
      <w:lvlText w:val="%1."/>
      <w:lvlJc w:val="left"/>
      <w:pPr>
        <w:tabs>
          <w:tab w:val="num" w:pos="0"/>
        </w:tabs>
        <w:ind w:left="0" w:firstLine="0"/>
      </w:pPr>
      <w:rPr>
        <w:rFonts w:hint="default"/>
        <w:sz w:val="24"/>
        <w:szCs w:val="24"/>
      </w:rPr>
    </w:lvl>
    <w:lvl w:ilvl="1">
      <w:start w:val="1"/>
      <w:numFmt w:val="upperLetter"/>
      <w:pStyle w:val="Heading2"/>
      <w:lvlText w:val="%2."/>
      <w:lvlJc w:val="left"/>
      <w:pPr>
        <w:tabs>
          <w:tab w:val="num" w:pos="0"/>
        </w:tabs>
        <w:ind w:left="0" w:firstLine="0"/>
      </w:pPr>
      <w:rPr>
        <w:rFonts w:hint="default"/>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B06C5F"/>
    <w:multiLevelType w:val="multilevel"/>
    <w:tmpl w:val="0409001D"/>
    <w:name w:val="Appendices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1C353BA"/>
    <w:multiLevelType w:val="hybridMultilevel"/>
    <w:tmpl w:val="BCCA3686"/>
    <w:lvl w:ilvl="0" w:tplc="04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36161E88"/>
    <w:multiLevelType w:val="multilevel"/>
    <w:tmpl w:val="CB2A8944"/>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4">
    <w:nsid w:val="393C633D"/>
    <w:multiLevelType w:val="singleLevel"/>
    <w:tmpl w:val="D4D20DD8"/>
    <w:lvl w:ilvl="0">
      <w:start w:val="1"/>
      <w:numFmt w:val="decimal"/>
      <w:lvlText w:val="%1."/>
      <w:legacy w:legacy="1" w:legacySpace="0" w:legacyIndent="360"/>
      <w:lvlJc w:val="left"/>
      <w:pPr>
        <w:ind w:left="720" w:hanging="360"/>
      </w:pPr>
    </w:lvl>
  </w:abstractNum>
  <w:abstractNum w:abstractNumId="5">
    <w:nsid w:val="48AB180A"/>
    <w:multiLevelType w:val="singleLevel"/>
    <w:tmpl w:val="F4FE560E"/>
    <w:lvl w:ilvl="0">
      <w:start w:val="1"/>
      <w:numFmt w:val="bullet"/>
      <w:pStyle w:val="ListBullet"/>
      <w:lvlText w:val=""/>
      <w:lvlJc w:val="left"/>
      <w:pPr>
        <w:tabs>
          <w:tab w:val="num" w:pos="720"/>
        </w:tabs>
        <w:ind w:left="720" w:hanging="360"/>
      </w:pPr>
      <w:rPr>
        <w:rFonts w:ascii="Symbol" w:hAnsi="Symbol" w:hint="default"/>
      </w:rPr>
    </w:lvl>
  </w:abstractNum>
  <w:abstractNum w:abstractNumId="6">
    <w:nsid w:val="4E6E271D"/>
    <w:multiLevelType w:val="hybridMultilevel"/>
    <w:tmpl w:val="57664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966E5E"/>
    <w:multiLevelType w:val="hybridMultilevel"/>
    <w:tmpl w:val="D58261B0"/>
    <w:lvl w:ilvl="0" w:tplc="04090001">
      <w:start w:val="1"/>
      <w:numFmt w:val="bullet"/>
      <w:lvlText w:val=""/>
      <w:lvlJc w:val="left"/>
      <w:pPr>
        <w:ind w:left="720" w:hanging="360"/>
      </w:pPr>
      <w:rPr>
        <w:rFonts w:ascii="Symbol" w:hAnsi="Symbol" w:hint="default"/>
      </w:rPr>
    </w:lvl>
    <w:lvl w:ilvl="1" w:tplc="F0C44E22">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4637D5"/>
    <w:multiLevelType w:val="multilevel"/>
    <w:tmpl w:val="1CF8CBA0"/>
    <w:lvl w:ilvl="0">
      <w:start w:val="1"/>
      <w:numFmt w:val="decimal"/>
      <w:lvlText w:val="%1."/>
      <w:legacy w:legacy="1" w:legacySpace="0" w:legacyIndent="360"/>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9B41DF"/>
    <w:multiLevelType w:val="multilevel"/>
    <w:tmpl w:val="A13AA486"/>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num w:numId="1">
    <w:abstractNumId w:val="5"/>
  </w:num>
  <w:num w:numId="2">
    <w:abstractNumId w:val="3"/>
  </w:num>
  <w:num w:numId="3">
    <w:abstractNumId w:val="0"/>
  </w:num>
  <w:num w:numId="4">
    <w:abstractNumId w:val="9"/>
  </w:num>
  <w:num w:numId="5">
    <w:abstractNumId w:val="4"/>
  </w:num>
  <w:num w:numId="6">
    <w:abstractNumId w:val="8"/>
  </w:num>
  <w:num w:numId="7">
    <w:abstractNumId w:val="2"/>
  </w:num>
  <w:num w:numId="8">
    <w:abstractNumId w:val="6"/>
  </w:num>
  <w:num w:numId="9">
    <w:abstractNumId w:val="7"/>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AC"/>
    <w:rsid w:val="00000890"/>
    <w:rsid w:val="000079EC"/>
    <w:rsid w:val="0002220B"/>
    <w:rsid w:val="00023426"/>
    <w:rsid w:val="00030826"/>
    <w:rsid w:val="00040551"/>
    <w:rsid w:val="00044F3D"/>
    <w:rsid w:val="0006618F"/>
    <w:rsid w:val="00071AE8"/>
    <w:rsid w:val="000768FA"/>
    <w:rsid w:val="00083BC1"/>
    <w:rsid w:val="000A3A0A"/>
    <w:rsid w:val="000C25B5"/>
    <w:rsid w:val="000C43D8"/>
    <w:rsid w:val="000D0B60"/>
    <w:rsid w:val="000F3A5D"/>
    <w:rsid w:val="001161B3"/>
    <w:rsid w:val="00134C29"/>
    <w:rsid w:val="00135BDA"/>
    <w:rsid w:val="00137EFC"/>
    <w:rsid w:val="00143CE3"/>
    <w:rsid w:val="00144E12"/>
    <w:rsid w:val="00161E93"/>
    <w:rsid w:val="001652C7"/>
    <w:rsid w:val="00170E57"/>
    <w:rsid w:val="001725D5"/>
    <w:rsid w:val="001740E9"/>
    <w:rsid w:val="0018045C"/>
    <w:rsid w:val="00185133"/>
    <w:rsid w:val="001866FB"/>
    <w:rsid w:val="00186F71"/>
    <w:rsid w:val="001903AB"/>
    <w:rsid w:val="00192894"/>
    <w:rsid w:val="0019640F"/>
    <w:rsid w:val="001A705C"/>
    <w:rsid w:val="001B153C"/>
    <w:rsid w:val="001D06DD"/>
    <w:rsid w:val="001D1017"/>
    <w:rsid w:val="001D1657"/>
    <w:rsid w:val="001D59A5"/>
    <w:rsid w:val="001E0FB2"/>
    <w:rsid w:val="001E633C"/>
    <w:rsid w:val="001F7255"/>
    <w:rsid w:val="00212CEF"/>
    <w:rsid w:val="002333B9"/>
    <w:rsid w:val="002433EF"/>
    <w:rsid w:val="00246F99"/>
    <w:rsid w:val="0024760D"/>
    <w:rsid w:val="00254998"/>
    <w:rsid w:val="00256A62"/>
    <w:rsid w:val="0027048F"/>
    <w:rsid w:val="00273DEF"/>
    <w:rsid w:val="00274985"/>
    <w:rsid w:val="0027646F"/>
    <w:rsid w:val="00277FEC"/>
    <w:rsid w:val="00290408"/>
    <w:rsid w:val="00291266"/>
    <w:rsid w:val="002A0686"/>
    <w:rsid w:val="002A7AB3"/>
    <w:rsid w:val="002B1FB0"/>
    <w:rsid w:val="002B6E54"/>
    <w:rsid w:val="002C64B9"/>
    <w:rsid w:val="002D5EA9"/>
    <w:rsid w:val="002E12BD"/>
    <w:rsid w:val="002E5D00"/>
    <w:rsid w:val="002F434B"/>
    <w:rsid w:val="00301A3B"/>
    <w:rsid w:val="00301DF7"/>
    <w:rsid w:val="00302A01"/>
    <w:rsid w:val="00315536"/>
    <w:rsid w:val="0032112C"/>
    <w:rsid w:val="0032227A"/>
    <w:rsid w:val="003241B7"/>
    <w:rsid w:val="00330731"/>
    <w:rsid w:val="0033147D"/>
    <w:rsid w:val="00337187"/>
    <w:rsid w:val="00342856"/>
    <w:rsid w:val="00344178"/>
    <w:rsid w:val="003447F8"/>
    <w:rsid w:val="00352BD9"/>
    <w:rsid w:val="00357234"/>
    <w:rsid w:val="00362AFA"/>
    <w:rsid w:val="003652CE"/>
    <w:rsid w:val="00372858"/>
    <w:rsid w:val="0037543D"/>
    <w:rsid w:val="00384017"/>
    <w:rsid w:val="0038507E"/>
    <w:rsid w:val="0039223E"/>
    <w:rsid w:val="003A1052"/>
    <w:rsid w:val="003A300A"/>
    <w:rsid w:val="003A6BB2"/>
    <w:rsid w:val="003D761C"/>
    <w:rsid w:val="00401DEB"/>
    <w:rsid w:val="00402B64"/>
    <w:rsid w:val="00406D06"/>
    <w:rsid w:val="00407A8A"/>
    <w:rsid w:val="00412E03"/>
    <w:rsid w:val="00413F04"/>
    <w:rsid w:val="004159FB"/>
    <w:rsid w:val="0042574A"/>
    <w:rsid w:val="00440AB7"/>
    <w:rsid w:val="004410E7"/>
    <w:rsid w:val="0045029F"/>
    <w:rsid w:val="004507C9"/>
    <w:rsid w:val="004539C3"/>
    <w:rsid w:val="00461578"/>
    <w:rsid w:val="00464B2A"/>
    <w:rsid w:val="00471B93"/>
    <w:rsid w:val="00472401"/>
    <w:rsid w:val="00480D5C"/>
    <w:rsid w:val="004815CB"/>
    <w:rsid w:val="00482134"/>
    <w:rsid w:val="00496DB1"/>
    <w:rsid w:val="004A0AC3"/>
    <w:rsid w:val="004A283E"/>
    <w:rsid w:val="004C0628"/>
    <w:rsid w:val="004D29D8"/>
    <w:rsid w:val="004D4DDD"/>
    <w:rsid w:val="004E6A55"/>
    <w:rsid w:val="00500F03"/>
    <w:rsid w:val="00506036"/>
    <w:rsid w:val="00511D39"/>
    <w:rsid w:val="0052368D"/>
    <w:rsid w:val="005337B5"/>
    <w:rsid w:val="005503F9"/>
    <w:rsid w:val="00552060"/>
    <w:rsid w:val="00556902"/>
    <w:rsid w:val="00564291"/>
    <w:rsid w:val="00565A21"/>
    <w:rsid w:val="005666AC"/>
    <w:rsid w:val="00571314"/>
    <w:rsid w:val="00574BD5"/>
    <w:rsid w:val="00586746"/>
    <w:rsid w:val="005900CE"/>
    <w:rsid w:val="00592126"/>
    <w:rsid w:val="00596CAB"/>
    <w:rsid w:val="005A06F0"/>
    <w:rsid w:val="005A6CD2"/>
    <w:rsid w:val="005B3341"/>
    <w:rsid w:val="005B72CB"/>
    <w:rsid w:val="005C0C48"/>
    <w:rsid w:val="005C571D"/>
    <w:rsid w:val="005D6285"/>
    <w:rsid w:val="005F656C"/>
    <w:rsid w:val="005F7908"/>
    <w:rsid w:val="00600372"/>
    <w:rsid w:val="00601484"/>
    <w:rsid w:val="0060549E"/>
    <w:rsid w:val="00605BF2"/>
    <w:rsid w:val="0060799A"/>
    <w:rsid w:val="00627D95"/>
    <w:rsid w:val="00644DD6"/>
    <w:rsid w:val="006519E2"/>
    <w:rsid w:val="0066060E"/>
    <w:rsid w:val="0066440B"/>
    <w:rsid w:val="00665063"/>
    <w:rsid w:val="00670896"/>
    <w:rsid w:val="006778EC"/>
    <w:rsid w:val="0068160B"/>
    <w:rsid w:val="006839F1"/>
    <w:rsid w:val="00685D51"/>
    <w:rsid w:val="00693DF9"/>
    <w:rsid w:val="006971CD"/>
    <w:rsid w:val="006A3B3F"/>
    <w:rsid w:val="006C0ADF"/>
    <w:rsid w:val="006C0B8A"/>
    <w:rsid w:val="006C39B6"/>
    <w:rsid w:val="006C4370"/>
    <w:rsid w:val="006D282C"/>
    <w:rsid w:val="006D7AA1"/>
    <w:rsid w:val="006D7C1B"/>
    <w:rsid w:val="0070177C"/>
    <w:rsid w:val="0070539D"/>
    <w:rsid w:val="0070584A"/>
    <w:rsid w:val="00707626"/>
    <w:rsid w:val="007134BC"/>
    <w:rsid w:val="0072099A"/>
    <w:rsid w:val="00723652"/>
    <w:rsid w:val="007346DC"/>
    <w:rsid w:val="007359B9"/>
    <w:rsid w:val="0074124D"/>
    <w:rsid w:val="0074720A"/>
    <w:rsid w:val="00761B0B"/>
    <w:rsid w:val="00763F63"/>
    <w:rsid w:val="007845D2"/>
    <w:rsid w:val="00787E02"/>
    <w:rsid w:val="00791CD5"/>
    <w:rsid w:val="0079684B"/>
    <w:rsid w:val="007B47E2"/>
    <w:rsid w:val="007B5760"/>
    <w:rsid w:val="007C4813"/>
    <w:rsid w:val="007E258E"/>
    <w:rsid w:val="007E6A48"/>
    <w:rsid w:val="007F5EDF"/>
    <w:rsid w:val="00814457"/>
    <w:rsid w:val="008169E8"/>
    <w:rsid w:val="00840732"/>
    <w:rsid w:val="0084336F"/>
    <w:rsid w:val="00847480"/>
    <w:rsid w:val="00847844"/>
    <w:rsid w:val="008503F8"/>
    <w:rsid w:val="00855589"/>
    <w:rsid w:val="00864857"/>
    <w:rsid w:val="00864BEC"/>
    <w:rsid w:val="00865AB1"/>
    <w:rsid w:val="00866390"/>
    <w:rsid w:val="00874378"/>
    <w:rsid w:val="00880501"/>
    <w:rsid w:val="00881354"/>
    <w:rsid w:val="00881D22"/>
    <w:rsid w:val="008977CD"/>
    <w:rsid w:val="008A1976"/>
    <w:rsid w:val="008A47E2"/>
    <w:rsid w:val="008B0640"/>
    <w:rsid w:val="008B78FF"/>
    <w:rsid w:val="008C1CE8"/>
    <w:rsid w:val="008C2350"/>
    <w:rsid w:val="008C7D18"/>
    <w:rsid w:val="008D186F"/>
    <w:rsid w:val="008D2C5A"/>
    <w:rsid w:val="008D35F7"/>
    <w:rsid w:val="008E22C3"/>
    <w:rsid w:val="008F06E4"/>
    <w:rsid w:val="008F1AC6"/>
    <w:rsid w:val="008F694B"/>
    <w:rsid w:val="00907D50"/>
    <w:rsid w:val="00910F6F"/>
    <w:rsid w:val="00920B25"/>
    <w:rsid w:val="00921077"/>
    <w:rsid w:val="00924EC1"/>
    <w:rsid w:val="009517DE"/>
    <w:rsid w:val="009533F5"/>
    <w:rsid w:val="00956BCB"/>
    <w:rsid w:val="009608E6"/>
    <w:rsid w:val="00960F8D"/>
    <w:rsid w:val="00963058"/>
    <w:rsid w:val="00964B91"/>
    <w:rsid w:val="00970F2E"/>
    <w:rsid w:val="00975575"/>
    <w:rsid w:val="009826C3"/>
    <w:rsid w:val="009859A5"/>
    <w:rsid w:val="00996A53"/>
    <w:rsid w:val="009B5C86"/>
    <w:rsid w:val="009D3399"/>
    <w:rsid w:val="009E12AF"/>
    <w:rsid w:val="009E13CC"/>
    <w:rsid w:val="009E43E5"/>
    <w:rsid w:val="00A01FFA"/>
    <w:rsid w:val="00A0353C"/>
    <w:rsid w:val="00A05CEB"/>
    <w:rsid w:val="00A068A3"/>
    <w:rsid w:val="00A116F5"/>
    <w:rsid w:val="00A158FC"/>
    <w:rsid w:val="00A22001"/>
    <w:rsid w:val="00A271C7"/>
    <w:rsid w:val="00A32439"/>
    <w:rsid w:val="00A33B85"/>
    <w:rsid w:val="00A35C4F"/>
    <w:rsid w:val="00A372DB"/>
    <w:rsid w:val="00A43AE8"/>
    <w:rsid w:val="00A53520"/>
    <w:rsid w:val="00A6515E"/>
    <w:rsid w:val="00A72249"/>
    <w:rsid w:val="00A74CCC"/>
    <w:rsid w:val="00A809CA"/>
    <w:rsid w:val="00A824CD"/>
    <w:rsid w:val="00A83CDC"/>
    <w:rsid w:val="00A91F50"/>
    <w:rsid w:val="00A95284"/>
    <w:rsid w:val="00A957E8"/>
    <w:rsid w:val="00AC1192"/>
    <w:rsid w:val="00AC3714"/>
    <w:rsid w:val="00AC6F65"/>
    <w:rsid w:val="00AD0E53"/>
    <w:rsid w:val="00AD33B0"/>
    <w:rsid w:val="00AF04EE"/>
    <w:rsid w:val="00B00D0D"/>
    <w:rsid w:val="00B205E9"/>
    <w:rsid w:val="00B21CB1"/>
    <w:rsid w:val="00B44D18"/>
    <w:rsid w:val="00B51140"/>
    <w:rsid w:val="00B54324"/>
    <w:rsid w:val="00B735B1"/>
    <w:rsid w:val="00B745D4"/>
    <w:rsid w:val="00B91BE1"/>
    <w:rsid w:val="00BA0BA4"/>
    <w:rsid w:val="00BB0959"/>
    <w:rsid w:val="00BB2705"/>
    <w:rsid w:val="00BB71B6"/>
    <w:rsid w:val="00BD59E0"/>
    <w:rsid w:val="00BD78CE"/>
    <w:rsid w:val="00BE2C30"/>
    <w:rsid w:val="00BE462D"/>
    <w:rsid w:val="00BE4EBD"/>
    <w:rsid w:val="00BF5D05"/>
    <w:rsid w:val="00C000A8"/>
    <w:rsid w:val="00C11023"/>
    <w:rsid w:val="00C137D2"/>
    <w:rsid w:val="00C201DC"/>
    <w:rsid w:val="00C23E53"/>
    <w:rsid w:val="00C256DE"/>
    <w:rsid w:val="00C30D8A"/>
    <w:rsid w:val="00C357A9"/>
    <w:rsid w:val="00C37356"/>
    <w:rsid w:val="00C437FE"/>
    <w:rsid w:val="00C4714F"/>
    <w:rsid w:val="00C47311"/>
    <w:rsid w:val="00C5005B"/>
    <w:rsid w:val="00C56003"/>
    <w:rsid w:val="00C57BA4"/>
    <w:rsid w:val="00C66341"/>
    <w:rsid w:val="00C80151"/>
    <w:rsid w:val="00C949DF"/>
    <w:rsid w:val="00C97590"/>
    <w:rsid w:val="00CC4491"/>
    <w:rsid w:val="00CE23DD"/>
    <w:rsid w:val="00CE4724"/>
    <w:rsid w:val="00CE65A0"/>
    <w:rsid w:val="00CF190F"/>
    <w:rsid w:val="00CF68D8"/>
    <w:rsid w:val="00D1103B"/>
    <w:rsid w:val="00D16227"/>
    <w:rsid w:val="00D16AA5"/>
    <w:rsid w:val="00D23739"/>
    <w:rsid w:val="00D25DC6"/>
    <w:rsid w:val="00D278FD"/>
    <w:rsid w:val="00D349CB"/>
    <w:rsid w:val="00D455C7"/>
    <w:rsid w:val="00D5317B"/>
    <w:rsid w:val="00D738BC"/>
    <w:rsid w:val="00D83568"/>
    <w:rsid w:val="00D8708D"/>
    <w:rsid w:val="00D92334"/>
    <w:rsid w:val="00DA35E8"/>
    <w:rsid w:val="00DA761F"/>
    <w:rsid w:val="00DB5255"/>
    <w:rsid w:val="00DD0A63"/>
    <w:rsid w:val="00DD4E26"/>
    <w:rsid w:val="00DE4800"/>
    <w:rsid w:val="00DF2FAB"/>
    <w:rsid w:val="00E0307D"/>
    <w:rsid w:val="00E0587F"/>
    <w:rsid w:val="00E13842"/>
    <w:rsid w:val="00E1387D"/>
    <w:rsid w:val="00E2405B"/>
    <w:rsid w:val="00E656A3"/>
    <w:rsid w:val="00E76595"/>
    <w:rsid w:val="00E808C2"/>
    <w:rsid w:val="00E83625"/>
    <w:rsid w:val="00E941A5"/>
    <w:rsid w:val="00EA022D"/>
    <w:rsid w:val="00EA3B54"/>
    <w:rsid w:val="00EA70F9"/>
    <w:rsid w:val="00EB35AC"/>
    <w:rsid w:val="00EB617F"/>
    <w:rsid w:val="00ED2EC1"/>
    <w:rsid w:val="00EE035C"/>
    <w:rsid w:val="00EE03EA"/>
    <w:rsid w:val="00EE50A4"/>
    <w:rsid w:val="00EF4380"/>
    <w:rsid w:val="00F03182"/>
    <w:rsid w:val="00F04387"/>
    <w:rsid w:val="00F1060B"/>
    <w:rsid w:val="00F10C0F"/>
    <w:rsid w:val="00F15479"/>
    <w:rsid w:val="00F3005B"/>
    <w:rsid w:val="00F41C9F"/>
    <w:rsid w:val="00F43989"/>
    <w:rsid w:val="00F44990"/>
    <w:rsid w:val="00F51F83"/>
    <w:rsid w:val="00F62AD5"/>
    <w:rsid w:val="00F63253"/>
    <w:rsid w:val="00F712B8"/>
    <w:rsid w:val="00F71A6E"/>
    <w:rsid w:val="00F7667B"/>
    <w:rsid w:val="00F86076"/>
    <w:rsid w:val="00F90D1E"/>
    <w:rsid w:val="00FD0842"/>
    <w:rsid w:val="00FD1762"/>
    <w:rsid w:val="00FD1AC7"/>
    <w:rsid w:val="00FE6088"/>
    <w:rsid w:val="00FE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uiPriority="4"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24"/>
    <w:pPr>
      <w:jc w:val="both"/>
    </w:pPr>
    <w:rPr>
      <w:sz w:val="24"/>
    </w:rPr>
  </w:style>
  <w:style w:type="paragraph" w:styleId="Heading1">
    <w:name w:val="heading 1"/>
    <w:basedOn w:val="Heading"/>
    <w:next w:val="BodyText"/>
    <w:qFormat/>
    <w:rsid w:val="00CE4724"/>
    <w:pPr>
      <w:suppressAutoHyphens/>
      <w:spacing w:before="0" w:after="0" w:line="480" w:lineRule="auto"/>
      <w:ind w:left="720" w:firstLine="0"/>
      <w:jc w:val="center"/>
      <w:outlineLvl w:val="0"/>
    </w:pPr>
    <w:rPr>
      <w:caps/>
      <w:szCs w:val="24"/>
    </w:rPr>
  </w:style>
  <w:style w:type="paragraph" w:styleId="Heading2">
    <w:name w:val="heading 2"/>
    <w:basedOn w:val="Heading"/>
    <w:next w:val="BodyText"/>
    <w:link w:val="Heading2Char"/>
    <w:qFormat/>
    <w:pPr>
      <w:numPr>
        <w:ilvl w:val="1"/>
        <w:numId w:val="3"/>
      </w:numPr>
      <w:suppressAutoHyphens/>
      <w:outlineLvl w:val="1"/>
    </w:pPr>
    <w:rPr>
      <w:sz w:val="26"/>
    </w:rPr>
  </w:style>
  <w:style w:type="paragraph" w:styleId="Heading3">
    <w:name w:val="heading 3"/>
    <w:basedOn w:val="Heading"/>
    <w:next w:val="BodyText"/>
    <w:qFormat/>
    <w:pPr>
      <w:numPr>
        <w:ilvl w:val="2"/>
        <w:numId w:val="3"/>
      </w:numPr>
      <w:suppressAutoHyphens/>
      <w:outlineLvl w:val="2"/>
    </w:pPr>
  </w:style>
  <w:style w:type="paragraph" w:styleId="Heading4">
    <w:name w:val="heading 4"/>
    <w:basedOn w:val="Heading"/>
    <w:next w:val="BodyText"/>
    <w:qFormat/>
    <w:pPr>
      <w:numPr>
        <w:ilvl w:val="3"/>
        <w:numId w:val="3"/>
      </w:numPr>
      <w:suppressAutoHyphens/>
      <w:outlineLvl w:val="3"/>
    </w:pPr>
  </w:style>
  <w:style w:type="paragraph" w:styleId="Heading5">
    <w:name w:val="heading 5"/>
    <w:basedOn w:val="Heading"/>
    <w:next w:val="BodyText"/>
    <w:qFormat/>
    <w:pPr>
      <w:numPr>
        <w:ilvl w:val="4"/>
        <w:numId w:val="3"/>
      </w:numPr>
      <w:suppressAutoHyphens/>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pacing w:before="120" w:after="280"/>
      <w:ind w:left="360" w:hanging="360"/>
    </w:pPr>
    <w:rPr>
      <w:b/>
      <w:sz w:val="24"/>
    </w:rPr>
  </w:style>
  <w:style w:type="paragraph" w:styleId="BodyText">
    <w:name w:val="Body Text"/>
    <w:basedOn w:val="Normal"/>
    <w:pPr>
      <w:spacing w:after="140" w:line="360" w:lineRule="auto"/>
      <w:ind w:firstLine="720"/>
    </w:pPr>
  </w:style>
  <w:style w:type="paragraph" w:styleId="List">
    <w:name w:val="List"/>
    <w:basedOn w:val="Normal"/>
    <w:pPr>
      <w:spacing w:after="280"/>
      <w:ind w:left="720" w:hanging="360"/>
      <w:jc w:val="left"/>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Header">
    <w:name w:val="header"/>
    <w:basedOn w:val="Normal"/>
    <w:pPr>
      <w:tabs>
        <w:tab w:val="right" w:pos="9216"/>
        <w:tab w:val="right" w:pos="9360"/>
      </w:tabs>
    </w:pPr>
  </w:style>
  <w:style w:type="character" w:styleId="PageNumber">
    <w:name w:val="page number"/>
    <w:basedOn w:val="DefaultParagraphFont"/>
  </w:style>
  <w:style w:type="paragraph" w:customStyle="1" w:styleId="Heading0">
    <w:name w:val="Heading 0"/>
    <w:basedOn w:val="Heading1"/>
    <w:next w:val="BodyText"/>
    <w:pPr>
      <w:outlineLvl w:val="9"/>
    </w:pPr>
  </w:style>
  <w:style w:type="paragraph" w:styleId="Footer">
    <w:name w:val="footer"/>
    <w:basedOn w:val="Normal"/>
    <w:pPr>
      <w:tabs>
        <w:tab w:val="center" w:pos="4608"/>
        <w:tab w:val="right" w:pos="9216"/>
      </w:tabs>
    </w:pPr>
  </w:style>
  <w:style w:type="paragraph" w:customStyle="1" w:styleId="58x">
    <w:name w:val="5/8x"/>
    <w:rPr>
      <w:sz w:val="23"/>
    </w:rPr>
  </w:style>
  <w:style w:type="paragraph" w:styleId="Title">
    <w:name w:val="Title"/>
    <w:basedOn w:val="Heading"/>
    <w:qFormat/>
    <w:pPr>
      <w:suppressAutoHyphens/>
      <w:ind w:left="0" w:firstLine="0"/>
      <w:jc w:val="center"/>
    </w:pPr>
    <w:rPr>
      <w:caps/>
      <w:sz w:val="32"/>
    </w:rPr>
  </w:style>
  <w:style w:type="paragraph" w:styleId="Subtitle">
    <w:name w:val="Subtitle"/>
    <w:basedOn w:val="Title"/>
    <w:qFormat/>
    <w:rPr>
      <w:caps w:val="0"/>
      <w:sz w:val="28"/>
    </w:rPr>
  </w:style>
  <w:style w:type="character" w:styleId="LineNumber">
    <w:name w:val="line number"/>
    <w:basedOn w:val="DefaultParagraphFont"/>
  </w:style>
  <w:style w:type="character" w:customStyle="1" w:styleId="TableFont">
    <w:name w:val="Table Font"/>
    <w:rPr>
      <w:sz w:val="20"/>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f,ft Cha"/>
    <w:basedOn w:val="Normal"/>
    <w:link w:val="FootnoteTextChar"/>
    <w:qFormat/>
    <w:pPr>
      <w:spacing w:after="120"/>
      <w:ind w:left="180" w:hanging="180"/>
    </w:pPr>
    <w:rPr>
      <w:sz w:val="20"/>
    </w:rPr>
  </w:style>
  <w:style w:type="paragraph" w:customStyle="1" w:styleId="ListAlpha">
    <w:name w:val="List Alpha"/>
    <w:basedOn w:val="List"/>
  </w:style>
  <w:style w:type="paragraph" w:styleId="ListBullet">
    <w:name w:val="List Bullet"/>
    <w:basedOn w:val="List"/>
    <w:pPr>
      <w:numPr>
        <w:numId w:val="1"/>
      </w:numPr>
      <w:jc w:val="both"/>
    </w:pPr>
  </w:style>
  <w:style w:type="paragraph" w:customStyle="1" w:styleId="ListIndented">
    <w:name w:val="List Indented"/>
    <w:basedOn w:val="List"/>
  </w:style>
  <w:style w:type="paragraph" w:styleId="ListNumber">
    <w:name w:val="List Number"/>
    <w:basedOn w:val="List"/>
  </w:style>
  <w:style w:type="paragraph" w:customStyle="1" w:styleId="ListReference">
    <w:name w:val="List Reference"/>
    <w:basedOn w:val="List"/>
    <w:pPr>
      <w:ind w:hanging="720"/>
    </w:pPr>
  </w:style>
  <w:style w:type="paragraph" w:customStyle="1" w:styleId="QuoteIndented">
    <w:name w:val="Quote Indented"/>
    <w:basedOn w:val="Normal"/>
    <w:next w:val="BodyText"/>
    <w:pPr>
      <w:spacing w:after="280"/>
      <w:ind w:left="720" w:right="720"/>
    </w:pPr>
  </w:style>
  <w:style w:type="paragraph" w:styleId="Caption">
    <w:name w:val="caption"/>
    <w:basedOn w:val="Normal"/>
    <w:next w:val="Normal"/>
    <w:qFormat/>
    <w:pPr>
      <w:spacing w:before="120" w:after="120"/>
      <w:ind w:left="720" w:hanging="720"/>
      <w:jc w:val="left"/>
    </w:pPr>
    <w:rPr>
      <w:b/>
    </w:r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character" w:customStyle="1" w:styleId="Question">
    <w:name w:val="Question"/>
    <w:rPr>
      <w:b/>
      <w:bdr w:val="none" w:sz="0" w:space="0" w:color="auto"/>
      <w:shd w:val="solid" w:color="00FF00" w:fill="auto"/>
    </w:rPr>
  </w:style>
  <w:style w:type="paragraph" w:customStyle="1" w:styleId="ListDash">
    <w:name w:val="List Dash"/>
    <w:basedOn w:val="List"/>
    <w:pPr>
      <w:ind w:left="1080"/>
    </w:pPr>
  </w:style>
  <w:style w:type="paragraph" w:customStyle="1" w:styleId="DrConLeft">
    <w:name w:val="DrConLeft"/>
    <w:basedOn w:val="Normal"/>
    <w:pPr>
      <w:keepLines/>
      <w:jc w:val="left"/>
    </w:pPr>
    <w:rPr>
      <w:b/>
      <w:smallCaps/>
    </w:rPr>
  </w:style>
  <w:style w:type="paragraph" w:customStyle="1" w:styleId="FrameNotes">
    <w:name w:val="Frame Notes"/>
    <w:basedOn w:val="Normal"/>
    <w:pPr>
      <w:ind w:left="720" w:hanging="720"/>
    </w:pPr>
    <w:rPr>
      <w:sz w:val="20"/>
    </w:rPr>
  </w:style>
  <w:style w:type="paragraph" w:customStyle="1" w:styleId="QAQCont">
    <w:name w:val="Q&amp;AQCont"/>
    <w:basedOn w:val="QAQuestion"/>
    <w:pPr>
      <w:ind w:firstLine="0"/>
    </w:pPr>
  </w:style>
  <w:style w:type="paragraph" w:customStyle="1" w:styleId="QAQuestion">
    <w:name w:val="Q&amp;AQuestion"/>
    <w:basedOn w:val="BodyText"/>
    <w:next w:val="QAQCont"/>
    <w:pPr>
      <w:ind w:left="360" w:hanging="360"/>
    </w:pPr>
  </w:style>
  <w:style w:type="paragraph" w:customStyle="1" w:styleId="QAAnswer">
    <w:name w:val="Q&amp;AAnswer"/>
    <w:basedOn w:val="QAQuestion"/>
    <w:next w:val="QAQCont"/>
  </w:style>
  <w:style w:type="paragraph" w:customStyle="1" w:styleId="DrConRight">
    <w:name w:val="DrConRight"/>
    <w:basedOn w:val="DrConLeft"/>
    <w:pPr>
      <w:jc w:val="right"/>
    </w:pPr>
  </w:style>
  <w:style w:type="paragraph" w:styleId="TOC1">
    <w:name w:val="toc 1"/>
    <w:basedOn w:val="TOCBase"/>
    <w:next w:val="Normal"/>
    <w:uiPriority w:val="39"/>
    <w:pPr>
      <w:tabs>
        <w:tab w:val="clear" w:pos="576"/>
        <w:tab w:val="clear" w:pos="9216"/>
      </w:tabs>
      <w:spacing w:before="120" w:after="120"/>
      <w:ind w:left="0" w:right="0" w:firstLine="0"/>
    </w:pPr>
    <w:rPr>
      <w:bCs/>
      <w:caps/>
      <w:noProof w:val="0"/>
      <w:szCs w:val="24"/>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NormalIndent">
    <w:name w:val="Normal Indent"/>
    <w:basedOn w:val="Normal"/>
    <w:pPr>
      <w:ind w:left="720"/>
    </w:pPr>
  </w:style>
  <w:style w:type="paragraph" w:customStyle="1" w:styleId="Equation">
    <w:name w:val="Equation"/>
    <w:basedOn w:val="Normal"/>
    <w:next w:val="BodyText"/>
    <w:pPr>
      <w:tabs>
        <w:tab w:val="right" w:pos="9216"/>
      </w:tabs>
      <w:spacing w:after="280"/>
      <w:ind w:left="360"/>
    </w:pPr>
    <w:rPr>
      <w:b/>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styleId="CommentReference">
    <w:name w:val="annotation reference"/>
    <w:semiHidden/>
    <w:rPr>
      <w:sz w:val="16"/>
    </w:rPr>
  </w:style>
  <w:style w:type="paragraph" w:styleId="ListContinue5">
    <w:name w:val="List Continue 5"/>
    <w:basedOn w:val="Normal"/>
    <w:pPr>
      <w:spacing w:after="120"/>
      <w:ind w:left="1800"/>
    </w:pPr>
  </w:style>
  <w:style w:type="paragraph" w:styleId="TOC5">
    <w:name w:val="toc 5"/>
    <w:basedOn w:val="TOC1"/>
    <w:next w:val="Normal"/>
    <w:semiHidden/>
    <w:pPr>
      <w:spacing w:before="0" w:after="0"/>
      <w:ind w:left="960"/>
    </w:pPr>
    <w:rPr>
      <w:bCs w:val="0"/>
      <w:caps w:val="0"/>
      <w:szCs w:val="21"/>
    </w:rPr>
  </w:style>
  <w:style w:type="paragraph" w:styleId="TOC2">
    <w:name w:val="toc 2"/>
    <w:basedOn w:val="TOCBase"/>
    <w:next w:val="Normal"/>
    <w:uiPriority w:val="39"/>
    <w:pPr>
      <w:tabs>
        <w:tab w:val="clear" w:pos="576"/>
        <w:tab w:val="clear" w:pos="9216"/>
      </w:tabs>
      <w:ind w:left="240" w:right="0" w:firstLine="0"/>
    </w:pPr>
    <w:rPr>
      <w:noProof w:val="0"/>
      <w:szCs w:val="24"/>
    </w:rPr>
  </w:style>
  <w:style w:type="paragraph" w:styleId="TOC3">
    <w:name w:val="toc 3"/>
    <w:basedOn w:val="TOC2"/>
    <w:next w:val="Normal"/>
    <w:uiPriority w:val="39"/>
    <w:pPr>
      <w:ind w:left="480"/>
    </w:pPr>
    <w:rPr>
      <w:i/>
      <w:iCs/>
    </w:rPr>
  </w:style>
  <w:style w:type="paragraph" w:styleId="TOC4">
    <w:name w:val="toc 4"/>
    <w:basedOn w:val="TOC1"/>
    <w:next w:val="Normal"/>
    <w:semiHidden/>
    <w:pPr>
      <w:spacing w:before="0" w:after="0"/>
      <w:ind w:left="720"/>
    </w:pPr>
    <w:rPr>
      <w:bCs w:val="0"/>
      <w:caps w:val="0"/>
      <w:szCs w:val="21"/>
    </w:rPr>
  </w:style>
  <w:style w:type="paragraph" w:styleId="TOC6">
    <w:name w:val="toc 6"/>
    <w:basedOn w:val="TOC1"/>
    <w:next w:val="Normal"/>
    <w:semiHidden/>
    <w:pPr>
      <w:spacing w:before="0" w:after="0"/>
      <w:ind w:left="1200"/>
    </w:pPr>
    <w:rPr>
      <w:bCs w:val="0"/>
      <w:caps w:val="0"/>
      <w:szCs w:val="21"/>
    </w:rPr>
  </w:style>
  <w:style w:type="paragraph" w:styleId="ListContinue">
    <w:name w:val="List Continue"/>
    <w:basedOn w:val="List"/>
    <w:pPr>
      <w:ind w:firstLine="0"/>
    </w:pPr>
  </w:style>
  <w:style w:type="paragraph" w:customStyle="1" w:styleId="QAACont">
    <w:name w:val="Q&amp;AACont"/>
    <w:basedOn w:val="QAAnswer"/>
    <w:pPr>
      <w:ind w:firstLine="0"/>
    </w:pPr>
  </w:style>
  <w:style w:type="paragraph" w:customStyle="1" w:styleId="ListBulletPara">
    <w:name w:val="List BulletPara"/>
    <w:basedOn w:val="BodyText"/>
    <w:pPr>
      <w:ind w:left="720" w:hanging="360"/>
    </w:pPr>
  </w:style>
  <w:style w:type="paragraph" w:customStyle="1" w:styleId="co2">
    <w:name w:val="co2"/>
  </w:style>
  <w:style w:type="paragraph" w:customStyle="1" w:styleId="NumberedParagraph">
    <w:name w:val="Numbered Paragraph"/>
    <w:basedOn w:val="BodyText"/>
    <w:next w:val="BodyText"/>
    <w:pPr>
      <w:spacing w:after="280" w:line="240" w:lineRule="auto"/>
      <w:ind w:firstLine="0"/>
    </w:pPr>
  </w:style>
  <w:style w:type="character" w:styleId="FootnoteReference">
    <w:name w:val="footnote reference"/>
    <w:aliases w:val="o,fr,Style 3,Style 13,Style 12,Style 15,Style 17,Style 9,o1,fr1,o2,fr2,o3,fr3,Style 18,(NECG) Footnote Reference,Style 20,Style 7,Style 8,Style 19,Style 28,Style 11,Style 16,Styl,Style 6"/>
    <w:uiPriority w:val="4"/>
    <w:qFormat/>
    <w:rPr>
      <w:vertAlign w:val="superscript"/>
    </w:rPr>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ListMultilevel">
    <w:name w:val="List Multilevel"/>
    <w:basedOn w:val="List"/>
    <w:pPr>
      <w:numPr>
        <w:numId w:val="4"/>
      </w:numPr>
    </w:pPr>
  </w:style>
  <w:style w:type="paragraph" w:styleId="TableofFigures">
    <w:name w:val="table of figures"/>
    <w:basedOn w:val="Normal"/>
    <w:next w:val="Normal"/>
    <w:semiHidden/>
    <w:pPr>
      <w:tabs>
        <w:tab w:val="right" w:leader="dot" w:pos="9216"/>
      </w:tabs>
      <w:ind w:left="461" w:right="720" w:hanging="461"/>
      <w:jc w:val="left"/>
    </w:p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paragraph" w:customStyle="1" w:styleId="TOC0">
    <w:name w:val="TOC 0"/>
    <w:basedOn w:val="Heading"/>
    <w:next w:val="BodyText"/>
    <w:pPr>
      <w:spacing w:before="240" w:after="300"/>
      <w:jc w:val="center"/>
    </w:pPr>
    <w:rPr>
      <w:smallCaps/>
      <w:sz w:val="36"/>
    </w:rPr>
  </w:style>
  <w:style w:type="paragraph" w:customStyle="1" w:styleId="ListOutline">
    <w:name w:val="List Outline"/>
    <w:basedOn w:val="List"/>
    <w:pPr>
      <w:numPr>
        <w:numId w:val="2"/>
      </w:numPr>
    </w:pPr>
  </w:style>
  <w:style w:type="character" w:customStyle="1" w:styleId="EquationCaption">
    <w:name w:val="_Equation Caption"/>
  </w:style>
  <w:style w:type="character" w:customStyle="1" w:styleId="Doublequote">
    <w:name w:val="Double quote"/>
    <w:basedOn w:val="DefaultParagraphFont"/>
  </w:style>
  <w:style w:type="character" w:styleId="Hyperlink">
    <w:name w:val="Hyperlink"/>
    <w:uiPriority w:val="99"/>
    <w:rPr>
      <w:color w:val="0000FF"/>
      <w:u w:val="single"/>
    </w:rPr>
  </w:style>
  <w:style w:type="character" w:styleId="Strong">
    <w:name w:val="Strong"/>
    <w:qFormat/>
    <w:rPr>
      <w:b/>
      <w:bCs/>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TitleCBA">
    <w:name w:val="*Title CBA"/>
    <w:aliases w:val="TCBA"/>
    <w:basedOn w:val="Normal"/>
    <w:pPr>
      <w:keepNext/>
      <w:spacing w:after="240"/>
      <w:jc w:val="center"/>
    </w:pPr>
    <w:rPr>
      <w:b/>
      <w:bCs/>
      <w:caps/>
      <w:szCs w:val="24"/>
    </w:rPr>
  </w:style>
  <w:style w:type="paragraph" w:customStyle="1" w:styleId="TitleLBA">
    <w:name w:val="*Title LBA"/>
    <w:aliases w:val="TLBA"/>
    <w:basedOn w:val="Normal"/>
    <w:pPr>
      <w:keepNext/>
      <w:spacing w:after="240"/>
      <w:jc w:val="left"/>
    </w:pPr>
    <w:rPr>
      <w:rFonts w:ascii="Times New Roman Bold" w:hAnsi="Times New Roman Bold"/>
      <w:b/>
      <w:caps/>
      <w:szCs w:val="24"/>
    </w:rPr>
  </w:style>
  <w:style w:type="paragraph" w:customStyle="1" w:styleId="ColorfulList-Accent11">
    <w:name w:val="Colorful List - Accent 11"/>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FootnoteTextChar">
    <w:name w:val="Footnote Text Char"/>
    <w:aliases w:val="ALTS FOOTNOTE Char,Footnote Text Char1 Char Char,Footnote Text Char Char Char Char,Footnote Text Char1 Char Char Char Char,Footnote Text Char Char Char Char Char Char,Footnote Text Char Char1 Char Char,Footnote Text Char Char1 Char1"/>
    <w:link w:val="FootnoteText"/>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4"/>
    </w:rPr>
  </w:style>
  <w:style w:type="character" w:customStyle="1" w:styleId="Heading2Char">
    <w:name w:val="Heading 2 Char"/>
    <w:link w:val="Heading2"/>
    <w:rPr>
      <w:b/>
      <w:sz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TOCHeading">
    <w:name w:val="TOC Heading"/>
    <w:basedOn w:val="Heading1"/>
    <w:next w:val="Normal"/>
    <w:uiPriority w:val="39"/>
    <w:unhideWhenUsed/>
    <w:qFormat/>
    <w:pPr>
      <w:suppressAutoHyphens w:val="0"/>
      <w:spacing w:before="480" w:line="276" w:lineRule="auto"/>
      <w:ind w:left="0"/>
      <w:outlineLvl w:val="9"/>
    </w:pPr>
    <w:rPr>
      <w:rFonts w:asciiTheme="majorHAnsi" w:eastAsiaTheme="majorEastAsia" w:hAnsiTheme="majorHAnsi" w:cstheme="majorBidi"/>
      <w:bCs/>
      <w:caps w:val="0"/>
      <w:color w:val="365F91" w:themeColor="accent1" w:themeShade="BF"/>
      <w:szCs w:val="28"/>
      <w:lang w:eastAsia="ja-JP"/>
    </w:rPr>
  </w:style>
  <w:style w:type="character" w:customStyle="1" w:styleId="st">
    <w:name w:val="st"/>
    <w:basedOn w:val="DefaultParagraphFont"/>
    <w:rsid w:val="001161B3"/>
  </w:style>
  <w:style w:type="character" w:customStyle="1" w:styleId="QuestionChar">
    <w:name w:val="Question Char"/>
    <w:basedOn w:val="DefaultParagraphFont"/>
    <w:rsid w:val="008E22C3"/>
    <w:rPr>
      <w:b/>
      <w:bCs/>
      <w:sz w:val="24"/>
      <w:szCs w:val="24"/>
      <w:lang w:val="en-US" w:eastAsia="en-US"/>
    </w:rPr>
  </w:style>
  <w:style w:type="paragraph" w:customStyle="1" w:styleId="answer">
    <w:name w:val="answer"/>
    <w:basedOn w:val="Normal"/>
    <w:link w:val="answerChar1"/>
    <w:uiPriority w:val="99"/>
    <w:rsid w:val="0070539D"/>
    <w:pPr>
      <w:spacing w:before="120" w:after="120" w:line="480" w:lineRule="auto"/>
      <w:ind w:left="720" w:hanging="720"/>
      <w:jc w:val="left"/>
    </w:pPr>
    <w:rPr>
      <w:rFonts w:ascii="CG Times (WN)" w:hAnsi="CG Times (WN)"/>
      <w:lang w:eastAsia="zh-CN"/>
    </w:rPr>
  </w:style>
  <w:style w:type="character" w:customStyle="1" w:styleId="answerChar1">
    <w:name w:val="answer Char1"/>
    <w:link w:val="answer"/>
    <w:uiPriority w:val="99"/>
    <w:locked/>
    <w:rsid w:val="0070539D"/>
    <w:rPr>
      <w:rFonts w:ascii="CG Times (WN)" w:hAnsi="CG Times (WN)"/>
      <w:sz w:val="24"/>
      <w:lang w:eastAsia="zh-CN"/>
    </w:rPr>
  </w:style>
  <w:style w:type="paragraph" w:customStyle="1" w:styleId="question0">
    <w:name w:val="question"/>
    <w:basedOn w:val="Normal"/>
    <w:next w:val="answer"/>
    <w:link w:val="questionChar0"/>
    <w:uiPriority w:val="99"/>
    <w:rsid w:val="00256A62"/>
    <w:pPr>
      <w:spacing w:before="240" w:after="120" w:line="480" w:lineRule="auto"/>
      <w:ind w:left="720" w:hanging="720"/>
      <w:jc w:val="left"/>
    </w:pPr>
    <w:rPr>
      <w:rFonts w:ascii="CG Times (WN)" w:hAnsi="CG Times (WN)"/>
      <w:b/>
      <w:lang w:eastAsia="zh-CN"/>
    </w:rPr>
  </w:style>
  <w:style w:type="character" w:customStyle="1" w:styleId="questionChar0">
    <w:name w:val="question Char"/>
    <w:link w:val="question0"/>
    <w:uiPriority w:val="99"/>
    <w:locked/>
    <w:rsid w:val="00256A62"/>
    <w:rPr>
      <w:rFonts w:ascii="CG Times (WN)" w:hAnsi="CG Times (WN)"/>
      <w:b/>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uiPriority="4"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24"/>
    <w:pPr>
      <w:jc w:val="both"/>
    </w:pPr>
    <w:rPr>
      <w:sz w:val="24"/>
    </w:rPr>
  </w:style>
  <w:style w:type="paragraph" w:styleId="Heading1">
    <w:name w:val="heading 1"/>
    <w:basedOn w:val="Heading"/>
    <w:next w:val="BodyText"/>
    <w:qFormat/>
    <w:rsid w:val="00CE4724"/>
    <w:pPr>
      <w:suppressAutoHyphens/>
      <w:spacing w:before="0" w:after="0" w:line="480" w:lineRule="auto"/>
      <w:ind w:left="720" w:firstLine="0"/>
      <w:jc w:val="center"/>
      <w:outlineLvl w:val="0"/>
    </w:pPr>
    <w:rPr>
      <w:caps/>
      <w:szCs w:val="24"/>
    </w:rPr>
  </w:style>
  <w:style w:type="paragraph" w:styleId="Heading2">
    <w:name w:val="heading 2"/>
    <w:basedOn w:val="Heading"/>
    <w:next w:val="BodyText"/>
    <w:link w:val="Heading2Char"/>
    <w:qFormat/>
    <w:pPr>
      <w:numPr>
        <w:ilvl w:val="1"/>
        <w:numId w:val="3"/>
      </w:numPr>
      <w:suppressAutoHyphens/>
      <w:outlineLvl w:val="1"/>
    </w:pPr>
    <w:rPr>
      <w:sz w:val="26"/>
    </w:rPr>
  </w:style>
  <w:style w:type="paragraph" w:styleId="Heading3">
    <w:name w:val="heading 3"/>
    <w:basedOn w:val="Heading"/>
    <w:next w:val="BodyText"/>
    <w:qFormat/>
    <w:pPr>
      <w:numPr>
        <w:ilvl w:val="2"/>
        <w:numId w:val="3"/>
      </w:numPr>
      <w:suppressAutoHyphens/>
      <w:outlineLvl w:val="2"/>
    </w:pPr>
  </w:style>
  <w:style w:type="paragraph" w:styleId="Heading4">
    <w:name w:val="heading 4"/>
    <w:basedOn w:val="Heading"/>
    <w:next w:val="BodyText"/>
    <w:qFormat/>
    <w:pPr>
      <w:numPr>
        <w:ilvl w:val="3"/>
        <w:numId w:val="3"/>
      </w:numPr>
      <w:suppressAutoHyphens/>
      <w:outlineLvl w:val="3"/>
    </w:pPr>
  </w:style>
  <w:style w:type="paragraph" w:styleId="Heading5">
    <w:name w:val="heading 5"/>
    <w:basedOn w:val="Heading"/>
    <w:next w:val="BodyText"/>
    <w:qFormat/>
    <w:pPr>
      <w:numPr>
        <w:ilvl w:val="4"/>
        <w:numId w:val="3"/>
      </w:numPr>
      <w:suppressAutoHyphens/>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pacing w:before="120" w:after="280"/>
      <w:ind w:left="360" w:hanging="360"/>
    </w:pPr>
    <w:rPr>
      <w:b/>
      <w:sz w:val="24"/>
    </w:rPr>
  </w:style>
  <w:style w:type="paragraph" w:styleId="BodyText">
    <w:name w:val="Body Text"/>
    <w:basedOn w:val="Normal"/>
    <w:pPr>
      <w:spacing w:after="140" w:line="360" w:lineRule="auto"/>
      <w:ind w:firstLine="720"/>
    </w:pPr>
  </w:style>
  <w:style w:type="paragraph" w:styleId="List">
    <w:name w:val="List"/>
    <w:basedOn w:val="Normal"/>
    <w:pPr>
      <w:spacing w:after="280"/>
      <w:ind w:left="720" w:hanging="360"/>
      <w:jc w:val="left"/>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Header">
    <w:name w:val="header"/>
    <w:basedOn w:val="Normal"/>
    <w:pPr>
      <w:tabs>
        <w:tab w:val="right" w:pos="9216"/>
        <w:tab w:val="right" w:pos="9360"/>
      </w:tabs>
    </w:pPr>
  </w:style>
  <w:style w:type="character" w:styleId="PageNumber">
    <w:name w:val="page number"/>
    <w:basedOn w:val="DefaultParagraphFont"/>
  </w:style>
  <w:style w:type="paragraph" w:customStyle="1" w:styleId="Heading0">
    <w:name w:val="Heading 0"/>
    <w:basedOn w:val="Heading1"/>
    <w:next w:val="BodyText"/>
    <w:pPr>
      <w:outlineLvl w:val="9"/>
    </w:pPr>
  </w:style>
  <w:style w:type="paragraph" w:styleId="Footer">
    <w:name w:val="footer"/>
    <w:basedOn w:val="Normal"/>
    <w:pPr>
      <w:tabs>
        <w:tab w:val="center" w:pos="4608"/>
        <w:tab w:val="right" w:pos="9216"/>
      </w:tabs>
    </w:pPr>
  </w:style>
  <w:style w:type="paragraph" w:customStyle="1" w:styleId="58x">
    <w:name w:val="5/8x"/>
    <w:rPr>
      <w:sz w:val="23"/>
    </w:rPr>
  </w:style>
  <w:style w:type="paragraph" w:styleId="Title">
    <w:name w:val="Title"/>
    <w:basedOn w:val="Heading"/>
    <w:qFormat/>
    <w:pPr>
      <w:suppressAutoHyphens/>
      <w:ind w:left="0" w:firstLine="0"/>
      <w:jc w:val="center"/>
    </w:pPr>
    <w:rPr>
      <w:caps/>
      <w:sz w:val="32"/>
    </w:rPr>
  </w:style>
  <w:style w:type="paragraph" w:styleId="Subtitle">
    <w:name w:val="Subtitle"/>
    <w:basedOn w:val="Title"/>
    <w:qFormat/>
    <w:rPr>
      <w:caps w:val="0"/>
      <w:sz w:val="28"/>
    </w:rPr>
  </w:style>
  <w:style w:type="character" w:styleId="LineNumber">
    <w:name w:val="line number"/>
    <w:basedOn w:val="DefaultParagraphFont"/>
  </w:style>
  <w:style w:type="character" w:customStyle="1" w:styleId="TableFont">
    <w:name w:val="Table Font"/>
    <w:rPr>
      <w:sz w:val="20"/>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f,ft Cha"/>
    <w:basedOn w:val="Normal"/>
    <w:link w:val="FootnoteTextChar"/>
    <w:qFormat/>
    <w:pPr>
      <w:spacing w:after="120"/>
      <w:ind w:left="180" w:hanging="180"/>
    </w:pPr>
    <w:rPr>
      <w:sz w:val="20"/>
    </w:rPr>
  </w:style>
  <w:style w:type="paragraph" w:customStyle="1" w:styleId="ListAlpha">
    <w:name w:val="List Alpha"/>
    <w:basedOn w:val="List"/>
  </w:style>
  <w:style w:type="paragraph" w:styleId="ListBullet">
    <w:name w:val="List Bullet"/>
    <w:basedOn w:val="List"/>
    <w:pPr>
      <w:numPr>
        <w:numId w:val="1"/>
      </w:numPr>
      <w:jc w:val="both"/>
    </w:pPr>
  </w:style>
  <w:style w:type="paragraph" w:customStyle="1" w:styleId="ListIndented">
    <w:name w:val="List Indented"/>
    <w:basedOn w:val="List"/>
  </w:style>
  <w:style w:type="paragraph" w:styleId="ListNumber">
    <w:name w:val="List Number"/>
    <w:basedOn w:val="List"/>
  </w:style>
  <w:style w:type="paragraph" w:customStyle="1" w:styleId="ListReference">
    <w:name w:val="List Reference"/>
    <w:basedOn w:val="List"/>
    <w:pPr>
      <w:ind w:hanging="720"/>
    </w:pPr>
  </w:style>
  <w:style w:type="paragraph" w:customStyle="1" w:styleId="QuoteIndented">
    <w:name w:val="Quote Indented"/>
    <w:basedOn w:val="Normal"/>
    <w:next w:val="BodyText"/>
    <w:pPr>
      <w:spacing w:after="280"/>
      <w:ind w:left="720" w:right="720"/>
    </w:pPr>
  </w:style>
  <w:style w:type="paragraph" w:styleId="Caption">
    <w:name w:val="caption"/>
    <w:basedOn w:val="Normal"/>
    <w:next w:val="Normal"/>
    <w:qFormat/>
    <w:pPr>
      <w:spacing w:before="120" w:after="120"/>
      <w:ind w:left="720" w:hanging="720"/>
      <w:jc w:val="left"/>
    </w:pPr>
    <w:rPr>
      <w:b/>
    </w:r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character" w:customStyle="1" w:styleId="Question">
    <w:name w:val="Question"/>
    <w:rPr>
      <w:b/>
      <w:bdr w:val="none" w:sz="0" w:space="0" w:color="auto"/>
      <w:shd w:val="solid" w:color="00FF00" w:fill="auto"/>
    </w:rPr>
  </w:style>
  <w:style w:type="paragraph" w:customStyle="1" w:styleId="ListDash">
    <w:name w:val="List Dash"/>
    <w:basedOn w:val="List"/>
    <w:pPr>
      <w:ind w:left="1080"/>
    </w:pPr>
  </w:style>
  <w:style w:type="paragraph" w:customStyle="1" w:styleId="DrConLeft">
    <w:name w:val="DrConLeft"/>
    <w:basedOn w:val="Normal"/>
    <w:pPr>
      <w:keepLines/>
      <w:jc w:val="left"/>
    </w:pPr>
    <w:rPr>
      <w:b/>
      <w:smallCaps/>
    </w:rPr>
  </w:style>
  <w:style w:type="paragraph" w:customStyle="1" w:styleId="FrameNotes">
    <w:name w:val="Frame Notes"/>
    <w:basedOn w:val="Normal"/>
    <w:pPr>
      <w:ind w:left="720" w:hanging="720"/>
    </w:pPr>
    <w:rPr>
      <w:sz w:val="20"/>
    </w:rPr>
  </w:style>
  <w:style w:type="paragraph" w:customStyle="1" w:styleId="QAQCont">
    <w:name w:val="Q&amp;AQCont"/>
    <w:basedOn w:val="QAQuestion"/>
    <w:pPr>
      <w:ind w:firstLine="0"/>
    </w:pPr>
  </w:style>
  <w:style w:type="paragraph" w:customStyle="1" w:styleId="QAQuestion">
    <w:name w:val="Q&amp;AQuestion"/>
    <w:basedOn w:val="BodyText"/>
    <w:next w:val="QAQCont"/>
    <w:pPr>
      <w:ind w:left="360" w:hanging="360"/>
    </w:pPr>
  </w:style>
  <w:style w:type="paragraph" w:customStyle="1" w:styleId="QAAnswer">
    <w:name w:val="Q&amp;AAnswer"/>
    <w:basedOn w:val="QAQuestion"/>
    <w:next w:val="QAQCont"/>
  </w:style>
  <w:style w:type="paragraph" w:customStyle="1" w:styleId="DrConRight">
    <w:name w:val="DrConRight"/>
    <w:basedOn w:val="DrConLeft"/>
    <w:pPr>
      <w:jc w:val="right"/>
    </w:pPr>
  </w:style>
  <w:style w:type="paragraph" w:styleId="TOC1">
    <w:name w:val="toc 1"/>
    <w:basedOn w:val="TOCBase"/>
    <w:next w:val="Normal"/>
    <w:uiPriority w:val="39"/>
    <w:pPr>
      <w:tabs>
        <w:tab w:val="clear" w:pos="576"/>
        <w:tab w:val="clear" w:pos="9216"/>
      </w:tabs>
      <w:spacing w:before="120" w:after="120"/>
      <w:ind w:left="0" w:right="0" w:firstLine="0"/>
    </w:pPr>
    <w:rPr>
      <w:bCs/>
      <w:caps/>
      <w:noProof w:val="0"/>
      <w:szCs w:val="24"/>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NormalIndent">
    <w:name w:val="Normal Indent"/>
    <w:basedOn w:val="Normal"/>
    <w:pPr>
      <w:ind w:left="720"/>
    </w:pPr>
  </w:style>
  <w:style w:type="paragraph" w:customStyle="1" w:styleId="Equation">
    <w:name w:val="Equation"/>
    <w:basedOn w:val="Normal"/>
    <w:next w:val="BodyText"/>
    <w:pPr>
      <w:tabs>
        <w:tab w:val="right" w:pos="9216"/>
      </w:tabs>
      <w:spacing w:after="280"/>
      <w:ind w:left="360"/>
    </w:pPr>
    <w:rPr>
      <w:b/>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styleId="CommentReference">
    <w:name w:val="annotation reference"/>
    <w:semiHidden/>
    <w:rPr>
      <w:sz w:val="16"/>
    </w:rPr>
  </w:style>
  <w:style w:type="paragraph" w:styleId="ListContinue5">
    <w:name w:val="List Continue 5"/>
    <w:basedOn w:val="Normal"/>
    <w:pPr>
      <w:spacing w:after="120"/>
      <w:ind w:left="1800"/>
    </w:pPr>
  </w:style>
  <w:style w:type="paragraph" w:styleId="TOC5">
    <w:name w:val="toc 5"/>
    <w:basedOn w:val="TOC1"/>
    <w:next w:val="Normal"/>
    <w:semiHidden/>
    <w:pPr>
      <w:spacing w:before="0" w:after="0"/>
      <w:ind w:left="960"/>
    </w:pPr>
    <w:rPr>
      <w:bCs w:val="0"/>
      <w:caps w:val="0"/>
      <w:szCs w:val="21"/>
    </w:rPr>
  </w:style>
  <w:style w:type="paragraph" w:styleId="TOC2">
    <w:name w:val="toc 2"/>
    <w:basedOn w:val="TOCBase"/>
    <w:next w:val="Normal"/>
    <w:uiPriority w:val="39"/>
    <w:pPr>
      <w:tabs>
        <w:tab w:val="clear" w:pos="576"/>
        <w:tab w:val="clear" w:pos="9216"/>
      </w:tabs>
      <w:ind w:left="240" w:right="0" w:firstLine="0"/>
    </w:pPr>
    <w:rPr>
      <w:noProof w:val="0"/>
      <w:szCs w:val="24"/>
    </w:rPr>
  </w:style>
  <w:style w:type="paragraph" w:styleId="TOC3">
    <w:name w:val="toc 3"/>
    <w:basedOn w:val="TOC2"/>
    <w:next w:val="Normal"/>
    <w:uiPriority w:val="39"/>
    <w:pPr>
      <w:ind w:left="480"/>
    </w:pPr>
    <w:rPr>
      <w:i/>
      <w:iCs/>
    </w:rPr>
  </w:style>
  <w:style w:type="paragraph" w:styleId="TOC4">
    <w:name w:val="toc 4"/>
    <w:basedOn w:val="TOC1"/>
    <w:next w:val="Normal"/>
    <w:semiHidden/>
    <w:pPr>
      <w:spacing w:before="0" w:after="0"/>
      <w:ind w:left="720"/>
    </w:pPr>
    <w:rPr>
      <w:bCs w:val="0"/>
      <w:caps w:val="0"/>
      <w:szCs w:val="21"/>
    </w:rPr>
  </w:style>
  <w:style w:type="paragraph" w:styleId="TOC6">
    <w:name w:val="toc 6"/>
    <w:basedOn w:val="TOC1"/>
    <w:next w:val="Normal"/>
    <w:semiHidden/>
    <w:pPr>
      <w:spacing w:before="0" w:after="0"/>
      <w:ind w:left="1200"/>
    </w:pPr>
    <w:rPr>
      <w:bCs w:val="0"/>
      <w:caps w:val="0"/>
      <w:szCs w:val="21"/>
    </w:rPr>
  </w:style>
  <w:style w:type="paragraph" w:styleId="ListContinue">
    <w:name w:val="List Continue"/>
    <w:basedOn w:val="List"/>
    <w:pPr>
      <w:ind w:firstLine="0"/>
    </w:pPr>
  </w:style>
  <w:style w:type="paragraph" w:customStyle="1" w:styleId="QAACont">
    <w:name w:val="Q&amp;AACont"/>
    <w:basedOn w:val="QAAnswer"/>
    <w:pPr>
      <w:ind w:firstLine="0"/>
    </w:pPr>
  </w:style>
  <w:style w:type="paragraph" w:customStyle="1" w:styleId="ListBulletPara">
    <w:name w:val="List BulletPara"/>
    <w:basedOn w:val="BodyText"/>
    <w:pPr>
      <w:ind w:left="720" w:hanging="360"/>
    </w:pPr>
  </w:style>
  <w:style w:type="paragraph" w:customStyle="1" w:styleId="co2">
    <w:name w:val="co2"/>
  </w:style>
  <w:style w:type="paragraph" w:customStyle="1" w:styleId="NumberedParagraph">
    <w:name w:val="Numbered Paragraph"/>
    <w:basedOn w:val="BodyText"/>
    <w:next w:val="BodyText"/>
    <w:pPr>
      <w:spacing w:after="280" w:line="240" w:lineRule="auto"/>
      <w:ind w:firstLine="0"/>
    </w:pPr>
  </w:style>
  <w:style w:type="character" w:styleId="FootnoteReference">
    <w:name w:val="footnote reference"/>
    <w:aliases w:val="o,fr,Style 3,Style 13,Style 12,Style 15,Style 17,Style 9,o1,fr1,o2,fr2,o3,fr3,Style 18,(NECG) Footnote Reference,Style 20,Style 7,Style 8,Style 19,Style 28,Style 11,Style 16,Styl,Style 6"/>
    <w:uiPriority w:val="4"/>
    <w:qFormat/>
    <w:rPr>
      <w:vertAlign w:val="superscript"/>
    </w:rPr>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ListMultilevel">
    <w:name w:val="List Multilevel"/>
    <w:basedOn w:val="List"/>
    <w:pPr>
      <w:numPr>
        <w:numId w:val="4"/>
      </w:numPr>
    </w:pPr>
  </w:style>
  <w:style w:type="paragraph" w:styleId="TableofFigures">
    <w:name w:val="table of figures"/>
    <w:basedOn w:val="Normal"/>
    <w:next w:val="Normal"/>
    <w:semiHidden/>
    <w:pPr>
      <w:tabs>
        <w:tab w:val="right" w:leader="dot" w:pos="9216"/>
      </w:tabs>
      <w:ind w:left="461" w:right="720" w:hanging="461"/>
      <w:jc w:val="left"/>
    </w:p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paragraph" w:customStyle="1" w:styleId="TOC0">
    <w:name w:val="TOC 0"/>
    <w:basedOn w:val="Heading"/>
    <w:next w:val="BodyText"/>
    <w:pPr>
      <w:spacing w:before="240" w:after="300"/>
      <w:jc w:val="center"/>
    </w:pPr>
    <w:rPr>
      <w:smallCaps/>
      <w:sz w:val="36"/>
    </w:rPr>
  </w:style>
  <w:style w:type="paragraph" w:customStyle="1" w:styleId="ListOutline">
    <w:name w:val="List Outline"/>
    <w:basedOn w:val="List"/>
    <w:pPr>
      <w:numPr>
        <w:numId w:val="2"/>
      </w:numPr>
    </w:pPr>
  </w:style>
  <w:style w:type="character" w:customStyle="1" w:styleId="EquationCaption">
    <w:name w:val="_Equation Caption"/>
  </w:style>
  <w:style w:type="character" w:customStyle="1" w:styleId="Doublequote">
    <w:name w:val="Double quote"/>
    <w:basedOn w:val="DefaultParagraphFont"/>
  </w:style>
  <w:style w:type="character" w:styleId="Hyperlink">
    <w:name w:val="Hyperlink"/>
    <w:uiPriority w:val="99"/>
    <w:rPr>
      <w:color w:val="0000FF"/>
      <w:u w:val="single"/>
    </w:rPr>
  </w:style>
  <w:style w:type="character" w:styleId="Strong">
    <w:name w:val="Strong"/>
    <w:qFormat/>
    <w:rPr>
      <w:b/>
      <w:bCs/>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TitleCBA">
    <w:name w:val="*Title CBA"/>
    <w:aliases w:val="TCBA"/>
    <w:basedOn w:val="Normal"/>
    <w:pPr>
      <w:keepNext/>
      <w:spacing w:after="240"/>
      <w:jc w:val="center"/>
    </w:pPr>
    <w:rPr>
      <w:b/>
      <w:bCs/>
      <w:caps/>
      <w:szCs w:val="24"/>
    </w:rPr>
  </w:style>
  <w:style w:type="paragraph" w:customStyle="1" w:styleId="TitleLBA">
    <w:name w:val="*Title LBA"/>
    <w:aliases w:val="TLBA"/>
    <w:basedOn w:val="Normal"/>
    <w:pPr>
      <w:keepNext/>
      <w:spacing w:after="240"/>
      <w:jc w:val="left"/>
    </w:pPr>
    <w:rPr>
      <w:rFonts w:ascii="Times New Roman Bold" w:hAnsi="Times New Roman Bold"/>
      <w:b/>
      <w:caps/>
      <w:szCs w:val="24"/>
    </w:rPr>
  </w:style>
  <w:style w:type="paragraph" w:customStyle="1" w:styleId="ColorfulList-Accent11">
    <w:name w:val="Colorful List - Accent 11"/>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FootnoteTextChar">
    <w:name w:val="Footnote Text Char"/>
    <w:aliases w:val="ALTS FOOTNOTE Char,Footnote Text Char1 Char Char,Footnote Text Char Char Char Char,Footnote Text Char1 Char Char Char Char,Footnote Text Char Char Char Char Char Char,Footnote Text Char Char1 Char Char,Footnote Text Char Char1 Char1"/>
    <w:link w:val="FootnoteText"/>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4"/>
    </w:rPr>
  </w:style>
  <w:style w:type="character" w:customStyle="1" w:styleId="Heading2Char">
    <w:name w:val="Heading 2 Char"/>
    <w:link w:val="Heading2"/>
    <w:rPr>
      <w:b/>
      <w:sz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TOCHeading">
    <w:name w:val="TOC Heading"/>
    <w:basedOn w:val="Heading1"/>
    <w:next w:val="Normal"/>
    <w:uiPriority w:val="39"/>
    <w:unhideWhenUsed/>
    <w:qFormat/>
    <w:pPr>
      <w:suppressAutoHyphens w:val="0"/>
      <w:spacing w:before="480" w:line="276" w:lineRule="auto"/>
      <w:ind w:left="0"/>
      <w:outlineLvl w:val="9"/>
    </w:pPr>
    <w:rPr>
      <w:rFonts w:asciiTheme="majorHAnsi" w:eastAsiaTheme="majorEastAsia" w:hAnsiTheme="majorHAnsi" w:cstheme="majorBidi"/>
      <w:bCs/>
      <w:caps w:val="0"/>
      <w:color w:val="365F91" w:themeColor="accent1" w:themeShade="BF"/>
      <w:szCs w:val="28"/>
      <w:lang w:eastAsia="ja-JP"/>
    </w:rPr>
  </w:style>
  <w:style w:type="character" w:customStyle="1" w:styleId="st">
    <w:name w:val="st"/>
    <w:basedOn w:val="DefaultParagraphFont"/>
    <w:rsid w:val="001161B3"/>
  </w:style>
  <w:style w:type="character" w:customStyle="1" w:styleId="QuestionChar">
    <w:name w:val="Question Char"/>
    <w:basedOn w:val="DefaultParagraphFont"/>
    <w:rsid w:val="008E22C3"/>
    <w:rPr>
      <w:b/>
      <w:bCs/>
      <w:sz w:val="24"/>
      <w:szCs w:val="24"/>
      <w:lang w:val="en-US" w:eastAsia="en-US"/>
    </w:rPr>
  </w:style>
  <w:style w:type="paragraph" w:customStyle="1" w:styleId="answer">
    <w:name w:val="answer"/>
    <w:basedOn w:val="Normal"/>
    <w:link w:val="answerChar1"/>
    <w:uiPriority w:val="99"/>
    <w:rsid w:val="0070539D"/>
    <w:pPr>
      <w:spacing w:before="120" w:after="120" w:line="480" w:lineRule="auto"/>
      <w:ind w:left="720" w:hanging="720"/>
      <w:jc w:val="left"/>
    </w:pPr>
    <w:rPr>
      <w:rFonts w:ascii="CG Times (WN)" w:hAnsi="CG Times (WN)"/>
      <w:lang w:eastAsia="zh-CN"/>
    </w:rPr>
  </w:style>
  <w:style w:type="character" w:customStyle="1" w:styleId="answerChar1">
    <w:name w:val="answer Char1"/>
    <w:link w:val="answer"/>
    <w:uiPriority w:val="99"/>
    <w:locked/>
    <w:rsid w:val="0070539D"/>
    <w:rPr>
      <w:rFonts w:ascii="CG Times (WN)" w:hAnsi="CG Times (WN)"/>
      <w:sz w:val="24"/>
      <w:lang w:eastAsia="zh-CN"/>
    </w:rPr>
  </w:style>
  <w:style w:type="paragraph" w:customStyle="1" w:styleId="question0">
    <w:name w:val="question"/>
    <w:basedOn w:val="Normal"/>
    <w:next w:val="answer"/>
    <w:link w:val="questionChar0"/>
    <w:uiPriority w:val="99"/>
    <w:rsid w:val="00256A62"/>
    <w:pPr>
      <w:spacing w:before="240" w:after="120" w:line="480" w:lineRule="auto"/>
      <w:ind w:left="720" w:hanging="720"/>
      <w:jc w:val="left"/>
    </w:pPr>
    <w:rPr>
      <w:rFonts w:ascii="CG Times (WN)" w:hAnsi="CG Times (WN)"/>
      <w:b/>
      <w:lang w:eastAsia="zh-CN"/>
    </w:rPr>
  </w:style>
  <w:style w:type="character" w:customStyle="1" w:styleId="questionChar0">
    <w:name w:val="question Char"/>
    <w:link w:val="question0"/>
    <w:uiPriority w:val="99"/>
    <w:locked/>
    <w:rsid w:val="00256A62"/>
    <w:rPr>
      <w:rFonts w:ascii="CG Times (WN)" w:hAnsi="CG Times (WN)"/>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3985">
      <w:bodyDiv w:val="1"/>
      <w:marLeft w:val="0"/>
      <w:marRight w:val="0"/>
      <w:marTop w:val="0"/>
      <w:marBottom w:val="0"/>
      <w:divBdr>
        <w:top w:val="none" w:sz="0" w:space="0" w:color="auto"/>
        <w:left w:val="none" w:sz="0" w:space="0" w:color="auto"/>
        <w:bottom w:val="none" w:sz="0" w:space="0" w:color="auto"/>
        <w:right w:val="none" w:sz="0" w:space="0" w:color="auto"/>
      </w:divBdr>
    </w:div>
    <w:div w:id="164324640">
      <w:bodyDiv w:val="1"/>
      <w:marLeft w:val="0"/>
      <w:marRight w:val="0"/>
      <w:marTop w:val="0"/>
      <w:marBottom w:val="0"/>
      <w:divBdr>
        <w:top w:val="none" w:sz="0" w:space="0" w:color="auto"/>
        <w:left w:val="none" w:sz="0" w:space="0" w:color="auto"/>
        <w:bottom w:val="none" w:sz="0" w:space="0" w:color="auto"/>
        <w:right w:val="none" w:sz="0" w:space="0" w:color="auto"/>
      </w:divBdr>
    </w:div>
    <w:div w:id="322468791">
      <w:bodyDiv w:val="1"/>
      <w:marLeft w:val="0"/>
      <w:marRight w:val="0"/>
      <w:marTop w:val="0"/>
      <w:marBottom w:val="0"/>
      <w:divBdr>
        <w:top w:val="none" w:sz="0" w:space="0" w:color="auto"/>
        <w:left w:val="none" w:sz="0" w:space="0" w:color="auto"/>
        <w:bottom w:val="none" w:sz="0" w:space="0" w:color="auto"/>
        <w:right w:val="none" w:sz="0" w:space="0" w:color="auto"/>
      </w:divBdr>
    </w:div>
    <w:div w:id="634068849">
      <w:bodyDiv w:val="1"/>
      <w:marLeft w:val="0"/>
      <w:marRight w:val="0"/>
      <w:marTop w:val="0"/>
      <w:marBottom w:val="0"/>
      <w:divBdr>
        <w:top w:val="none" w:sz="0" w:space="0" w:color="auto"/>
        <w:left w:val="none" w:sz="0" w:space="0" w:color="auto"/>
        <w:bottom w:val="none" w:sz="0" w:space="0" w:color="auto"/>
        <w:right w:val="none" w:sz="0" w:space="0" w:color="auto"/>
      </w:divBdr>
    </w:div>
    <w:div w:id="727611507">
      <w:bodyDiv w:val="1"/>
      <w:marLeft w:val="0"/>
      <w:marRight w:val="0"/>
      <w:marTop w:val="0"/>
      <w:marBottom w:val="0"/>
      <w:divBdr>
        <w:top w:val="none" w:sz="0" w:space="0" w:color="auto"/>
        <w:left w:val="none" w:sz="0" w:space="0" w:color="auto"/>
        <w:bottom w:val="none" w:sz="0" w:space="0" w:color="auto"/>
        <w:right w:val="none" w:sz="0" w:space="0" w:color="auto"/>
      </w:divBdr>
    </w:div>
    <w:div w:id="902714417">
      <w:bodyDiv w:val="1"/>
      <w:marLeft w:val="0"/>
      <w:marRight w:val="0"/>
      <w:marTop w:val="0"/>
      <w:marBottom w:val="0"/>
      <w:divBdr>
        <w:top w:val="none" w:sz="0" w:space="0" w:color="auto"/>
        <w:left w:val="none" w:sz="0" w:space="0" w:color="auto"/>
        <w:bottom w:val="none" w:sz="0" w:space="0" w:color="auto"/>
        <w:right w:val="none" w:sz="0" w:space="0" w:color="auto"/>
      </w:divBdr>
    </w:div>
    <w:div w:id="930813708">
      <w:bodyDiv w:val="1"/>
      <w:marLeft w:val="0"/>
      <w:marRight w:val="0"/>
      <w:marTop w:val="0"/>
      <w:marBottom w:val="0"/>
      <w:divBdr>
        <w:top w:val="none" w:sz="0" w:space="0" w:color="auto"/>
        <w:left w:val="none" w:sz="0" w:space="0" w:color="auto"/>
        <w:bottom w:val="none" w:sz="0" w:space="0" w:color="auto"/>
        <w:right w:val="none" w:sz="0" w:space="0" w:color="auto"/>
      </w:divBdr>
    </w:div>
    <w:div w:id="1255087414">
      <w:bodyDiv w:val="1"/>
      <w:marLeft w:val="0"/>
      <w:marRight w:val="0"/>
      <w:marTop w:val="0"/>
      <w:marBottom w:val="0"/>
      <w:divBdr>
        <w:top w:val="none" w:sz="0" w:space="0" w:color="auto"/>
        <w:left w:val="none" w:sz="0" w:space="0" w:color="auto"/>
        <w:bottom w:val="none" w:sz="0" w:space="0" w:color="auto"/>
        <w:right w:val="none" w:sz="0" w:space="0" w:color="auto"/>
      </w:divBdr>
    </w:div>
    <w:div w:id="1346983866">
      <w:bodyDiv w:val="1"/>
      <w:marLeft w:val="0"/>
      <w:marRight w:val="0"/>
      <w:marTop w:val="0"/>
      <w:marBottom w:val="0"/>
      <w:divBdr>
        <w:top w:val="none" w:sz="0" w:space="0" w:color="auto"/>
        <w:left w:val="none" w:sz="0" w:space="0" w:color="auto"/>
        <w:bottom w:val="none" w:sz="0" w:space="0" w:color="auto"/>
        <w:right w:val="none" w:sz="0" w:space="0" w:color="auto"/>
      </w:divBdr>
    </w:div>
    <w:div w:id="1468275786">
      <w:bodyDiv w:val="1"/>
      <w:marLeft w:val="0"/>
      <w:marRight w:val="0"/>
      <w:marTop w:val="0"/>
      <w:marBottom w:val="0"/>
      <w:divBdr>
        <w:top w:val="none" w:sz="0" w:space="0" w:color="auto"/>
        <w:left w:val="none" w:sz="0" w:space="0" w:color="auto"/>
        <w:bottom w:val="none" w:sz="0" w:space="0" w:color="auto"/>
        <w:right w:val="none" w:sz="0" w:space="0" w:color="auto"/>
      </w:divBdr>
    </w:div>
    <w:div w:id="1635986971">
      <w:bodyDiv w:val="1"/>
      <w:marLeft w:val="0"/>
      <w:marRight w:val="0"/>
      <w:marTop w:val="0"/>
      <w:marBottom w:val="0"/>
      <w:divBdr>
        <w:top w:val="none" w:sz="0" w:space="0" w:color="auto"/>
        <w:left w:val="none" w:sz="0" w:space="0" w:color="auto"/>
        <w:bottom w:val="none" w:sz="0" w:space="0" w:color="auto"/>
        <w:right w:val="none" w:sz="0" w:space="0" w:color="auto"/>
      </w:divBdr>
    </w:div>
    <w:div w:id="1670520749">
      <w:bodyDiv w:val="1"/>
      <w:marLeft w:val="0"/>
      <w:marRight w:val="0"/>
      <w:marTop w:val="0"/>
      <w:marBottom w:val="0"/>
      <w:divBdr>
        <w:top w:val="none" w:sz="0" w:space="0" w:color="auto"/>
        <w:left w:val="none" w:sz="0" w:space="0" w:color="auto"/>
        <w:bottom w:val="none" w:sz="0" w:space="0" w:color="auto"/>
        <w:right w:val="none" w:sz="0" w:space="0" w:color="auto"/>
      </w:divBdr>
    </w:div>
    <w:div w:id="2046128116">
      <w:bodyDiv w:val="1"/>
      <w:marLeft w:val="0"/>
      <w:marRight w:val="0"/>
      <w:marTop w:val="0"/>
      <w:marBottom w:val="0"/>
      <w:divBdr>
        <w:top w:val="none" w:sz="0" w:space="0" w:color="auto"/>
        <w:left w:val="none" w:sz="0" w:space="0" w:color="auto"/>
        <w:bottom w:val="none" w:sz="0" w:space="0" w:color="auto"/>
        <w:right w:val="none" w:sz="0" w:space="0" w:color="auto"/>
      </w:divBdr>
    </w:div>
    <w:div w:id="2054190114">
      <w:bodyDiv w:val="1"/>
      <w:marLeft w:val="0"/>
      <w:marRight w:val="0"/>
      <w:marTop w:val="0"/>
      <w:marBottom w:val="0"/>
      <w:divBdr>
        <w:top w:val="none" w:sz="0" w:space="0" w:color="auto"/>
        <w:left w:val="none" w:sz="0" w:space="0" w:color="auto"/>
        <w:bottom w:val="none" w:sz="0" w:space="0" w:color="auto"/>
        <w:right w:val="none" w:sz="0" w:space="0" w:color="auto"/>
      </w:divBdr>
    </w:div>
    <w:div w:id="21219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integrysgroup.com/transaction/NewsRelease.pdf" TargetMode="External"/><Relationship Id="rId2" Type="http://schemas.openxmlformats.org/officeDocument/2006/relationships/hyperlink" Target="http://www.nexteraenergy.com/news/contents/2014/120314.shtml" TargetMode="External"/><Relationship Id="rId1" Type="http://schemas.openxmlformats.org/officeDocument/2006/relationships/hyperlink" Target="http://www.pepcoholdings.com/about-us/exelon-acqui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61587-3B99-48A0-B76D-34EAC6DD17BA}"/>
</file>

<file path=customXml/itemProps2.xml><?xml version="1.0" encoding="utf-8"?>
<ds:datastoreItem xmlns:ds="http://schemas.openxmlformats.org/officeDocument/2006/customXml" ds:itemID="{C7805701-703E-4FE8-8F42-586D895F9C3A}"/>
</file>

<file path=customXml/itemProps3.xml><?xml version="1.0" encoding="utf-8"?>
<ds:datastoreItem xmlns:ds="http://schemas.openxmlformats.org/officeDocument/2006/customXml" ds:itemID="{C86E236A-D7FB-42A4-8893-92D65BE355AD}"/>
</file>

<file path=customXml/itemProps4.xml><?xml version="1.0" encoding="utf-8"?>
<ds:datastoreItem xmlns:ds="http://schemas.openxmlformats.org/officeDocument/2006/customXml" ds:itemID="{7A018379-0749-4048-864F-90FBABCB1356}"/>
</file>

<file path=docProps/app.xml><?xml version="1.0" encoding="utf-8"?>
<Properties xmlns="http://schemas.openxmlformats.org/officeDocument/2006/extended-properties" xmlns:vt="http://schemas.openxmlformats.org/officeDocument/2006/docPropsVTypes">
  <Template>Normal</Template>
  <TotalTime>0</TotalTime>
  <Pages>23</Pages>
  <Words>5101</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32959</CharactersWithSpaces>
  <SharedDoc>false</SharedDoc>
  <HLinks>
    <vt:vector size="84" baseType="variant">
      <vt:variant>
        <vt:i4>1376314</vt:i4>
      </vt:variant>
      <vt:variant>
        <vt:i4>80</vt:i4>
      </vt:variant>
      <vt:variant>
        <vt:i4>0</vt:i4>
      </vt:variant>
      <vt:variant>
        <vt:i4>5</vt:i4>
      </vt:variant>
      <vt:variant>
        <vt:lpwstr/>
      </vt:variant>
      <vt:variant>
        <vt:lpwstr>_Toc355788484</vt:lpwstr>
      </vt:variant>
      <vt:variant>
        <vt:i4>1376314</vt:i4>
      </vt:variant>
      <vt:variant>
        <vt:i4>74</vt:i4>
      </vt:variant>
      <vt:variant>
        <vt:i4>0</vt:i4>
      </vt:variant>
      <vt:variant>
        <vt:i4>5</vt:i4>
      </vt:variant>
      <vt:variant>
        <vt:lpwstr/>
      </vt:variant>
      <vt:variant>
        <vt:lpwstr>_Toc355788483</vt:lpwstr>
      </vt:variant>
      <vt:variant>
        <vt:i4>1376314</vt:i4>
      </vt:variant>
      <vt:variant>
        <vt:i4>68</vt:i4>
      </vt:variant>
      <vt:variant>
        <vt:i4>0</vt:i4>
      </vt:variant>
      <vt:variant>
        <vt:i4>5</vt:i4>
      </vt:variant>
      <vt:variant>
        <vt:lpwstr/>
      </vt:variant>
      <vt:variant>
        <vt:lpwstr>_Toc355788482</vt:lpwstr>
      </vt:variant>
      <vt:variant>
        <vt:i4>1376314</vt:i4>
      </vt:variant>
      <vt:variant>
        <vt:i4>62</vt:i4>
      </vt:variant>
      <vt:variant>
        <vt:i4>0</vt:i4>
      </vt:variant>
      <vt:variant>
        <vt:i4>5</vt:i4>
      </vt:variant>
      <vt:variant>
        <vt:lpwstr/>
      </vt:variant>
      <vt:variant>
        <vt:lpwstr>_Toc355788481</vt:lpwstr>
      </vt:variant>
      <vt:variant>
        <vt:i4>1376314</vt:i4>
      </vt:variant>
      <vt:variant>
        <vt:i4>56</vt:i4>
      </vt:variant>
      <vt:variant>
        <vt:i4>0</vt:i4>
      </vt:variant>
      <vt:variant>
        <vt:i4>5</vt:i4>
      </vt:variant>
      <vt:variant>
        <vt:lpwstr/>
      </vt:variant>
      <vt:variant>
        <vt:lpwstr>_Toc355788480</vt:lpwstr>
      </vt:variant>
      <vt:variant>
        <vt:i4>1703994</vt:i4>
      </vt:variant>
      <vt:variant>
        <vt:i4>50</vt:i4>
      </vt:variant>
      <vt:variant>
        <vt:i4>0</vt:i4>
      </vt:variant>
      <vt:variant>
        <vt:i4>5</vt:i4>
      </vt:variant>
      <vt:variant>
        <vt:lpwstr/>
      </vt:variant>
      <vt:variant>
        <vt:lpwstr>_Toc355788479</vt:lpwstr>
      </vt:variant>
      <vt:variant>
        <vt:i4>1703994</vt:i4>
      </vt:variant>
      <vt:variant>
        <vt:i4>44</vt:i4>
      </vt:variant>
      <vt:variant>
        <vt:i4>0</vt:i4>
      </vt:variant>
      <vt:variant>
        <vt:i4>5</vt:i4>
      </vt:variant>
      <vt:variant>
        <vt:lpwstr/>
      </vt:variant>
      <vt:variant>
        <vt:lpwstr>_Toc355788478</vt:lpwstr>
      </vt:variant>
      <vt:variant>
        <vt:i4>1703994</vt:i4>
      </vt:variant>
      <vt:variant>
        <vt:i4>38</vt:i4>
      </vt:variant>
      <vt:variant>
        <vt:i4>0</vt:i4>
      </vt:variant>
      <vt:variant>
        <vt:i4>5</vt:i4>
      </vt:variant>
      <vt:variant>
        <vt:lpwstr/>
      </vt:variant>
      <vt:variant>
        <vt:lpwstr>_Toc355788477</vt:lpwstr>
      </vt:variant>
      <vt:variant>
        <vt:i4>1703994</vt:i4>
      </vt:variant>
      <vt:variant>
        <vt:i4>32</vt:i4>
      </vt:variant>
      <vt:variant>
        <vt:i4>0</vt:i4>
      </vt:variant>
      <vt:variant>
        <vt:i4>5</vt:i4>
      </vt:variant>
      <vt:variant>
        <vt:lpwstr/>
      </vt:variant>
      <vt:variant>
        <vt:lpwstr>_Toc355788476</vt:lpwstr>
      </vt:variant>
      <vt:variant>
        <vt:i4>1703994</vt:i4>
      </vt:variant>
      <vt:variant>
        <vt:i4>26</vt:i4>
      </vt:variant>
      <vt:variant>
        <vt:i4>0</vt:i4>
      </vt:variant>
      <vt:variant>
        <vt:i4>5</vt:i4>
      </vt:variant>
      <vt:variant>
        <vt:lpwstr/>
      </vt:variant>
      <vt:variant>
        <vt:lpwstr>_Toc355788475</vt:lpwstr>
      </vt:variant>
      <vt:variant>
        <vt:i4>1703994</vt:i4>
      </vt:variant>
      <vt:variant>
        <vt:i4>20</vt:i4>
      </vt:variant>
      <vt:variant>
        <vt:i4>0</vt:i4>
      </vt:variant>
      <vt:variant>
        <vt:i4>5</vt:i4>
      </vt:variant>
      <vt:variant>
        <vt:lpwstr/>
      </vt:variant>
      <vt:variant>
        <vt:lpwstr>_Toc355788474</vt:lpwstr>
      </vt:variant>
      <vt:variant>
        <vt:i4>1703994</vt:i4>
      </vt:variant>
      <vt:variant>
        <vt:i4>14</vt:i4>
      </vt:variant>
      <vt:variant>
        <vt:i4>0</vt:i4>
      </vt:variant>
      <vt:variant>
        <vt:i4>5</vt:i4>
      </vt:variant>
      <vt:variant>
        <vt:lpwstr/>
      </vt:variant>
      <vt:variant>
        <vt:lpwstr>_Toc355788473</vt:lpwstr>
      </vt:variant>
      <vt:variant>
        <vt:i4>1703994</vt:i4>
      </vt:variant>
      <vt:variant>
        <vt:i4>8</vt:i4>
      </vt:variant>
      <vt:variant>
        <vt:i4>0</vt:i4>
      </vt:variant>
      <vt:variant>
        <vt:i4>5</vt:i4>
      </vt:variant>
      <vt:variant>
        <vt:lpwstr/>
      </vt:variant>
      <vt:variant>
        <vt:lpwstr>_Toc355788472</vt:lpwstr>
      </vt:variant>
      <vt:variant>
        <vt:i4>1703994</vt:i4>
      </vt:variant>
      <vt:variant>
        <vt:i4>2</vt:i4>
      </vt:variant>
      <vt:variant>
        <vt:i4>0</vt:i4>
      </vt:variant>
      <vt:variant>
        <vt:i4>5</vt:i4>
      </vt:variant>
      <vt:variant>
        <vt:lpwstr/>
      </vt:variant>
      <vt:variant>
        <vt:lpwstr>_Toc355788471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2015-11-25T01:55:00Z</dcterms:created>
  <dcterms:modified xsi:type="dcterms:W3CDTF">2015-11-25T01:55:00Z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