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894" w:rsidRDefault="006C5894" w:rsidP="00E46C58">
      <w:pPr>
        <w:rPr>
          <w:rFonts w:ascii="Times New Roman" w:hAnsi="Times New Roman"/>
          <w:noProof/>
          <w:szCs w:val="24"/>
        </w:rPr>
      </w:pPr>
      <w:bookmarkStart w:id="0" w:name="_GoBack"/>
      <w:bookmarkEnd w:id="0"/>
    </w:p>
    <w:p w:rsidR="006C5894" w:rsidRDefault="006C5894" w:rsidP="00E46C58">
      <w:pPr>
        <w:rPr>
          <w:rFonts w:ascii="Times New Roman" w:hAnsi="Times New Roman"/>
          <w:noProof/>
          <w:szCs w:val="24"/>
        </w:rPr>
      </w:pPr>
    </w:p>
    <w:p w:rsidR="00624E2B" w:rsidRPr="00AB61EF" w:rsidRDefault="00BC25DD" w:rsidP="00E46C58">
      <w:pPr>
        <w:rPr>
          <w:rFonts w:ascii="Times New Roman" w:hAnsi="Times New Roman"/>
          <w:szCs w:val="24"/>
        </w:rPr>
      </w:pPr>
      <w:r w:rsidRPr="00AB61EF">
        <w:rPr>
          <w:rFonts w:ascii="Times New Roman" w:hAnsi="Times New Roman"/>
          <w:noProof/>
          <w:szCs w:val="24"/>
        </w:rPr>
        <w:drawing>
          <wp:anchor distT="0" distB="0" distL="114300" distR="114300" simplePos="0" relativeHeight="251657728" behindDoc="1" locked="0" layoutInCell="1" allowOverlap="1" wp14:anchorId="1C939142" wp14:editId="64386412">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8" cstate="print"/>
                    <a:srcRect/>
                    <a:stretch>
                      <a:fillRect/>
                    </a:stretch>
                  </pic:blipFill>
                  <pic:spPr bwMode="auto">
                    <a:xfrm>
                      <a:off x="0" y="0"/>
                      <a:ext cx="6578600" cy="381000"/>
                    </a:xfrm>
                    <a:prstGeom prst="rect">
                      <a:avLst/>
                    </a:prstGeom>
                    <a:noFill/>
                  </pic:spPr>
                </pic:pic>
              </a:graphicData>
            </a:graphic>
          </wp:anchor>
        </w:drawing>
      </w:r>
      <w:r w:rsidR="00163A5A" w:rsidRPr="00AB61EF">
        <w:rPr>
          <w:rFonts w:ascii="Times New Roman" w:hAnsi="Times New Roman"/>
          <w:noProof/>
          <w:szCs w:val="24"/>
        </w:rPr>
        <w:t>September 25, 2015</w:t>
      </w:r>
    </w:p>
    <w:p w:rsidR="00624E2B" w:rsidRPr="00AB61EF" w:rsidRDefault="00624E2B" w:rsidP="00E46C58">
      <w:pPr>
        <w:pStyle w:val="Header"/>
      </w:pPr>
    </w:p>
    <w:p w:rsidR="00624E2B" w:rsidRPr="00AB61EF" w:rsidRDefault="00BC25DD" w:rsidP="00E46C58">
      <w:pPr>
        <w:pStyle w:val="Header"/>
        <w:rPr>
          <w:b/>
          <w:i/>
        </w:rPr>
      </w:pPr>
      <w:r w:rsidRPr="00AB61EF">
        <w:rPr>
          <w:b/>
          <w:i/>
        </w:rPr>
        <w:t>VIA ELECTRONIC FILING</w:t>
      </w:r>
    </w:p>
    <w:p w:rsidR="00624E2B" w:rsidRPr="00AB61EF" w:rsidRDefault="00624E2B" w:rsidP="00E46C58">
      <w:pPr>
        <w:rPr>
          <w:rFonts w:ascii="Times New Roman" w:hAnsi="Times New Roman"/>
          <w:szCs w:val="24"/>
        </w:rPr>
      </w:pPr>
    </w:p>
    <w:p w:rsidR="00624E2B" w:rsidRPr="00AB61EF" w:rsidRDefault="00BC25DD" w:rsidP="00E46C58">
      <w:pPr>
        <w:rPr>
          <w:rFonts w:ascii="Times New Roman" w:hAnsi="Times New Roman"/>
          <w:szCs w:val="24"/>
        </w:rPr>
      </w:pPr>
      <w:r w:rsidRPr="00AB61EF">
        <w:rPr>
          <w:rFonts w:ascii="Times New Roman" w:hAnsi="Times New Roman"/>
          <w:szCs w:val="24"/>
        </w:rPr>
        <w:t>Steven V. King</w:t>
      </w:r>
    </w:p>
    <w:p w:rsidR="00624E2B" w:rsidRPr="00AB61EF" w:rsidRDefault="00BC25DD" w:rsidP="00E46C58">
      <w:pPr>
        <w:rPr>
          <w:rFonts w:ascii="Times New Roman" w:hAnsi="Times New Roman"/>
          <w:szCs w:val="24"/>
        </w:rPr>
      </w:pPr>
      <w:r w:rsidRPr="00AB61EF">
        <w:rPr>
          <w:rFonts w:ascii="Times New Roman" w:hAnsi="Times New Roman"/>
          <w:szCs w:val="24"/>
        </w:rPr>
        <w:t>Executive Director and Secretary</w:t>
      </w:r>
    </w:p>
    <w:p w:rsidR="00624E2B" w:rsidRPr="00AB61EF" w:rsidRDefault="00BC25DD" w:rsidP="00E46C58">
      <w:pPr>
        <w:rPr>
          <w:rFonts w:ascii="Times New Roman" w:hAnsi="Times New Roman"/>
          <w:szCs w:val="24"/>
        </w:rPr>
      </w:pPr>
      <w:r w:rsidRPr="00AB61EF">
        <w:rPr>
          <w:rFonts w:ascii="Times New Roman" w:hAnsi="Times New Roman"/>
          <w:szCs w:val="24"/>
        </w:rPr>
        <w:t>Washington Utilities and Transportation Commission</w:t>
      </w:r>
    </w:p>
    <w:p w:rsidR="00624E2B" w:rsidRPr="00AB61EF" w:rsidRDefault="00BC25DD" w:rsidP="00E46C58">
      <w:pPr>
        <w:pStyle w:val="NoSpacing"/>
        <w:rPr>
          <w:rFonts w:ascii="Times New Roman" w:hAnsi="Times New Roman" w:cs="Times New Roman"/>
          <w:sz w:val="24"/>
          <w:szCs w:val="24"/>
        </w:rPr>
      </w:pPr>
      <w:r w:rsidRPr="00AB61EF">
        <w:rPr>
          <w:rFonts w:ascii="Times New Roman" w:hAnsi="Times New Roman" w:cs="Times New Roman"/>
          <w:sz w:val="24"/>
          <w:szCs w:val="24"/>
        </w:rPr>
        <w:t>1300 S. Evergreen Park Drive, S.W.</w:t>
      </w:r>
    </w:p>
    <w:p w:rsidR="00624E2B" w:rsidRPr="00AB61EF" w:rsidRDefault="00BC25DD" w:rsidP="00E46C58">
      <w:pPr>
        <w:pStyle w:val="NoSpacing"/>
        <w:rPr>
          <w:rFonts w:ascii="Times New Roman" w:hAnsi="Times New Roman" w:cs="Times New Roman"/>
          <w:sz w:val="24"/>
          <w:szCs w:val="24"/>
        </w:rPr>
      </w:pPr>
      <w:r w:rsidRPr="00AB61EF">
        <w:rPr>
          <w:rFonts w:ascii="Times New Roman" w:hAnsi="Times New Roman" w:cs="Times New Roman"/>
          <w:sz w:val="24"/>
          <w:szCs w:val="24"/>
        </w:rPr>
        <w:t>P.O. Box 47250</w:t>
      </w:r>
    </w:p>
    <w:p w:rsidR="00624E2B" w:rsidRPr="00AB61EF" w:rsidRDefault="00BC25DD" w:rsidP="00E46C58">
      <w:pPr>
        <w:pStyle w:val="NoSpacing"/>
        <w:rPr>
          <w:rFonts w:ascii="Times New Roman" w:hAnsi="Times New Roman" w:cs="Times New Roman"/>
          <w:sz w:val="24"/>
          <w:szCs w:val="24"/>
        </w:rPr>
      </w:pPr>
      <w:r w:rsidRPr="00AB61EF">
        <w:rPr>
          <w:rFonts w:ascii="Times New Roman" w:hAnsi="Times New Roman" w:cs="Times New Roman"/>
          <w:sz w:val="24"/>
          <w:szCs w:val="24"/>
        </w:rPr>
        <w:t>Olympia, Washington 98504-7250</w:t>
      </w:r>
    </w:p>
    <w:p w:rsidR="00624E2B" w:rsidRPr="00AB61EF" w:rsidRDefault="00624E2B" w:rsidP="00E46C58">
      <w:pPr>
        <w:pStyle w:val="NoSpacing"/>
        <w:rPr>
          <w:rFonts w:ascii="Times New Roman" w:hAnsi="Times New Roman" w:cs="Times New Roman"/>
          <w:sz w:val="24"/>
          <w:szCs w:val="24"/>
        </w:rPr>
      </w:pPr>
    </w:p>
    <w:p w:rsidR="00624E2B" w:rsidRPr="00AB61EF" w:rsidRDefault="006C3E57" w:rsidP="00E46C58">
      <w:pPr>
        <w:ind w:left="720" w:hanging="720"/>
        <w:rPr>
          <w:rFonts w:ascii="Times New Roman" w:hAnsi="Times New Roman"/>
          <w:b/>
          <w:szCs w:val="24"/>
        </w:rPr>
      </w:pPr>
      <w:r w:rsidRPr="00AB61EF">
        <w:rPr>
          <w:rFonts w:ascii="Times New Roman" w:hAnsi="Times New Roman"/>
          <w:b/>
          <w:szCs w:val="24"/>
        </w:rPr>
        <w:t>RE:</w:t>
      </w:r>
      <w:r w:rsidRPr="00AB61EF">
        <w:rPr>
          <w:rFonts w:ascii="Times New Roman" w:hAnsi="Times New Roman"/>
          <w:b/>
          <w:szCs w:val="24"/>
        </w:rPr>
        <w:tab/>
        <w:t>Docket UE-151069</w:t>
      </w:r>
      <w:r w:rsidR="00BC25DD" w:rsidRPr="00AB61EF">
        <w:rPr>
          <w:rFonts w:ascii="Times New Roman" w:hAnsi="Times New Roman"/>
          <w:b/>
          <w:szCs w:val="24"/>
        </w:rPr>
        <w:t>—Pacific Power &amp; Light Company’s Comments</w:t>
      </w:r>
    </w:p>
    <w:p w:rsidR="00624E2B" w:rsidRPr="00AB61EF" w:rsidRDefault="00624E2B" w:rsidP="00E46C58">
      <w:pPr>
        <w:rPr>
          <w:rFonts w:ascii="Times New Roman" w:hAnsi="Times New Roman"/>
          <w:szCs w:val="24"/>
        </w:rPr>
      </w:pPr>
    </w:p>
    <w:p w:rsidR="00624E2B" w:rsidRDefault="00BC25DD" w:rsidP="00E46C58">
      <w:pPr>
        <w:rPr>
          <w:rFonts w:ascii="Times New Roman" w:hAnsi="Times New Roman"/>
          <w:szCs w:val="24"/>
        </w:rPr>
      </w:pPr>
      <w:r w:rsidRPr="00AB61EF">
        <w:rPr>
          <w:rFonts w:ascii="Times New Roman" w:hAnsi="Times New Roman"/>
          <w:szCs w:val="24"/>
        </w:rPr>
        <w:t xml:space="preserve">In response to the Washington Utilities and Transportation Commission’s </w:t>
      </w:r>
      <w:r w:rsidR="004F310B">
        <w:rPr>
          <w:rFonts w:ascii="Times New Roman" w:hAnsi="Times New Roman"/>
          <w:szCs w:val="24"/>
        </w:rPr>
        <w:t xml:space="preserve">(Commission) </w:t>
      </w:r>
      <w:r w:rsidR="004320FC">
        <w:rPr>
          <w:rFonts w:ascii="Times New Roman" w:hAnsi="Times New Roman"/>
          <w:szCs w:val="24"/>
        </w:rPr>
        <w:t>August </w:t>
      </w:r>
      <w:r w:rsidR="006C3E57" w:rsidRPr="00AB61EF">
        <w:rPr>
          <w:rFonts w:ascii="Times New Roman" w:hAnsi="Times New Roman"/>
          <w:szCs w:val="24"/>
        </w:rPr>
        <w:t>7, 2015</w:t>
      </w:r>
      <w:r w:rsidRPr="00AB61EF">
        <w:rPr>
          <w:rFonts w:ascii="Times New Roman" w:hAnsi="Times New Roman"/>
          <w:szCs w:val="24"/>
        </w:rPr>
        <w:t xml:space="preserve"> Notice of Recessed Open Meeting and </w:t>
      </w:r>
      <w:r w:rsidR="006C3E57" w:rsidRPr="00AB61EF">
        <w:rPr>
          <w:rFonts w:ascii="Times New Roman" w:hAnsi="Times New Roman"/>
          <w:szCs w:val="24"/>
        </w:rPr>
        <w:t xml:space="preserve">Workshop and </w:t>
      </w:r>
      <w:r w:rsidRPr="00AB61EF">
        <w:rPr>
          <w:rFonts w:ascii="Times New Roman" w:hAnsi="Times New Roman"/>
          <w:szCs w:val="24"/>
        </w:rPr>
        <w:t xml:space="preserve">Notice of Opportunity to File Written Comments (Notice), Pacific Power &amp; Light Company, a division of PacifiCorp (Pacific Power or Company), </w:t>
      </w:r>
      <w:r w:rsidR="006C3E57" w:rsidRPr="00AB61EF">
        <w:rPr>
          <w:rFonts w:ascii="Times New Roman" w:hAnsi="Times New Roman"/>
          <w:szCs w:val="24"/>
        </w:rPr>
        <w:t>submits these comments regarding energy storage modeling in integrated resource planning</w:t>
      </w:r>
      <w:r w:rsidRPr="00AB61EF">
        <w:rPr>
          <w:rFonts w:ascii="Times New Roman" w:hAnsi="Times New Roman"/>
          <w:szCs w:val="24"/>
        </w:rPr>
        <w:t xml:space="preserve">. </w:t>
      </w:r>
      <w:r w:rsidR="004320FC">
        <w:rPr>
          <w:rFonts w:ascii="Times New Roman" w:hAnsi="Times New Roman"/>
          <w:szCs w:val="24"/>
        </w:rPr>
        <w:t xml:space="preserve"> </w:t>
      </w:r>
    </w:p>
    <w:p w:rsidR="00646CC9" w:rsidRDefault="00646CC9" w:rsidP="00E46C58">
      <w:pPr>
        <w:rPr>
          <w:rFonts w:ascii="Times New Roman" w:hAnsi="Times New Roman"/>
          <w:szCs w:val="24"/>
        </w:rPr>
      </w:pPr>
    </w:p>
    <w:p w:rsidR="00646CC9" w:rsidRDefault="000D7DDB" w:rsidP="00E46C58">
      <w:pPr>
        <w:rPr>
          <w:rFonts w:ascii="Times New Roman" w:hAnsi="Times New Roman"/>
          <w:szCs w:val="24"/>
        </w:rPr>
      </w:pPr>
      <w:r>
        <w:rPr>
          <w:rFonts w:ascii="Times New Roman" w:hAnsi="Times New Roman"/>
          <w:szCs w:val="24"/>
        </w:rPr>
        <w:t>Staff</w:t>
      </w:r>
      <w:r w:rsidR="00DE6C65">
        <w:rPr>
          <w:rFonts w:ascii="Times New Roman" w:hAnsi="Times New Roman"/>
          <w:szCs w:val="24"/>
        </w:rPr>
        <w:t>’s</w:t>
      </w:r>
      <w:r>
        <w:rPr>
          <w:rFonts w:ascii="Times New Roman" w:hAnsi="Times New Roman"/>
          <w:szCs w:val="24"/>
        </w:rPr>
        <w:t xml:space="preserve"> White Paper </w:t>
      </w:r>
      <w:r w:rsidR="00DE6C65">
        <w:rPr>
          <w:rFonts w:ascii="Times New Roman" w:hAnsi="Times New Roman"/>
          <w:szCs w:val="24"/>
        </w:rPr>
        <w:t>raised many important issues regarding</w:t>
      </w:r>
      <w:r w:rsidR="00646CC9">
        <w:rPr>
          <w:rFonts w:ascii="Times New Roman" w:hAnsi="Times New Roman"/>
          <w:szCs w:val="24"/>
        </w:rPr>
        <w:t xml:space="preserve"> the barriers that Washington utilities face in energy storage development and </w:t>
      </w:r>
      <w:r w:rsidR="006A6C54">
        <w:rPr>
          <w:rFonts w:ascii="Times New Roman" w:hAnsi="Times New Roman"/>
          <w:szCs w:val="24"/>
        </w:rPr>
        <w:t xml:space="preserve">the challenges </w:t>
      </w:r>
      <w:r w:rsidR="00DE6C65">
        <w:rPr>
          <w:rFonts w:ascii="Times New Roman" w:hAnsi="Times New Roman"/>
          <w:szCs w:val="24"/>
        </w:rPr>
        <w:t>of</w:t>
      </w:r>
      <w:r w:rsidR="006A6C54">
        <w:rPr>
          <w:rFonts w:ascii="Times New Roman" w:hAnsi="Times New Roman"/>
          <w:szCs w:val="24"/>
        </w:rPr>
        <w:t xml:space="preserve"> modeling energy storage in current planning and procurement processes.  Pacific Power agrees that there is still much work to be done in exploring the issues surrounding energy storage modeling, and appreciates the opportunity to participate in these discussions.</w:t>
      </w:r>
    </w:p>
    <w:p w:rsidR="00817EFB" w:rsidRDefault="00817EFB" w:rsidP="00E46C58">
      <w:pPr>
        <w:rPr>
          <w:rFonts w:ascii="Times New Roman" w:hAnsi="Times New Roman"/>
          <w:szCs w:val="24"/>
        </w:rPr>
      </w:pPr>
    </w:p>
    <w:p w:rsidR="00817EFB" w:rsidRPr="00AB61EF" w:rsidRDefault="00817EFB" w:rsidP="00E46C58">
      <w:pPr>
        <w:rPr>
          <w:rFonts w:ascii="Times New Roman" w:hAnsi="Times New Roman"/>
          <w:szCs w:val="24"/>
        </w:rPr>
      </w:pPr>
      <w:r>
        <w:rPr>
          <w:rFonts w:ascii="Times New Roman" w:hAnsi="Times New Roman"/>
          <w:szCs w:val="24"/>
        </w:rPr>
        <w:t>The Commission requested written comments to address specific questions outlined in the Notice.  The Company addresses each of these questions in detail below.</w:t>
      </w:r>
    </w:p>
    <w:p w:rsidR="00624E2B" w:rsidRDefault="00624E2B" w:rsidP="00E46C58">
      <w:pPr>
        <w:rPr>
          <w:rFonts w:ascii="Times New Roman" w:hAnsi="Times New Roman"/>
          <w:szCs w:val="24"/>
        </w:rPr>
      </w:pPr>
    </w:p>
    <w:p w:rsidR="00624E2B" w:rsidRPr="00817EFB" w:rsidRDefault="006C3E57" w:rsidP="00817EFB">
      <w:pPr>
        <w:pStyle w:val="ListParagraph"/>
        <w:numPr>
          <w:ilvl w:val="0"/>
          <w:numId w:val="22"/>
        </w:numPr>
        <w:spacing w:after="0" w:line="240" w:lineRule="auto"/>
        <w:ind w:hanging="720"/>
        <w:rPr>
          <w:rFonts w:ascii="Times New Roman" w:hAnsi="Times New Roman" w:cs="Times New Roman"/>
          <w:b/>
          <w:sz w:val="24"/>
          <w:szCs w:val="24"/>
        </w:rPr>
      </w:pPr>
      <w:r w:rsidRPr="00817EFB">
        <w:rPr>
          <w:rFonts w:ascii="Times New Roman" w:hAnsi="Times New Roman" w:cs="Times New Roman"/>
          <w:b/>
          <w:sz w:val="24"/>
          <w:szCs w:val="24"/>
        </w:rPr>
        <w:t>The following list identifies some of the potential uses, benefits or “value propositions” that energy storage systems could offer to a utility.  How should a utility model such benefits in an IRP or resource procurement process?</w:t>
      </w:r>
    </w:p>
    <w:p w:rsidR="006C3E57" w:rsidRPr="00817EFB" w:rsidRDefault="006C3E57" w:rsidP="00817EFB">
      <w:pPr>
        <w:pStyle w:val="ListParagraph"/>
        <w:numPr>
          <w:ilvl w:val="1"/>
          <w:numId w:val="22"/>
        </w:numPr>
        <w:spacing w:after="0" w:line="240" w:lineRule="auto"/>
        <w:rPr>
          <w:rFonts w:ascii="Times New Roman" w:hAnsi="Times New Roman" w:cs="Times New Roman"/>
          <w:b/>
          <w:sz w:val="24"/>
          <w:szCs w:val="24"/>
        </w:rPr>
      </w:pPr>
      <w:r w:rsidRPr="00817EFB">
        <w:rPr>
          <w:rFonts w:ascii="Times New Roman" w:hAnsi="Times New Roman" w:cs="Times New Roman"/>
          <w:b/>
          <w:sz w:val="24"/>
          <w:szCs w:val="24"/>
        </w:rPr>
        <w:t>Peak Shaving</w:t>
      </w:r>
    </w:p>
    <w:p w:rsidR="006C3E57" w:rsidRPr="00817EFB" w:rsidRDefault="006C3E57" w:rsidP="00817EFB">
      <w:pPr>
        <w:pStyle w:val="ListParagraph"/>
        <w:numPr>
          <w:ilvl w:val="1"/>
          <w:numId w:val="22"/>
        </w:numPr>
        <w:spacing w:after="0" w:line="240" w:lineRule="auto"/>
        <w:rPr>
          <w:rFonts w:ascii="Times New Roman" w:hAnsi="Times New Roman" w:cs="Times New Roman"/>
          <w:b/>
          <w:sz w:val="24"/>
          <w:szCs w:val="24"/>
        </w:rPr>
      </w:pPr>
      <w:r w:rsidRPr="00817EFB">
        <w:rPr>
          <w:rFonts w:ascii="Times New Roman" w:hAnsi="Times New Roman" w:cs="Times New Roman"/>
          <w:b/>
          <w:sz w:val="24"/>
          <w:szCs w:val="24"/>
        </w:rPr>
        <w:t>Transmission and Distribution Upgrade Deferrals</w:t>
      </w:r>
    </w:p>
    <w:p w:rsidR="006C3E57" w:rsidRPr="00817EFB" w:rsidRDefault="005E35E5" w:rsidP="00817EFB">
      <w:pPr>
        <w:pStyle w:val="ListParagraph"/>
        <w:numPr>
          <w:ilvl w:val="1"/>
          <w:numId w:val="22"/>
        </w:numPr>
        <w:spacing w:after="0" w:line="240" w:lineRule="auto"/>
        <w:rPr>
          <w:rFonts w:ascii="Times New Roman" w:hAnsi="Times New Roman" w:cs="Times New Roman"/>
          <w:b/>
          <w:sz w:val="24"/>
          <w:szCs w:val="24"/>
        </w:rPr>
      </w:pPr>
      <w:r w:rsidRPr="00817EFB">
        <w:rPr>
          <w:rFonts w:ascii="Times New Roman" w:hAnsi="Times New Roman" w:cs="Times New Roman"/>
          <w:b/>
          <w:sz w:val="24"/>
          <w:szCs w:val="24"/>
        </w:rPr>
        <w:t>Outage Mitigation</w:t>
      </w:r>
    </w:p>
    <w:p w:rsidR="005E35E5" w:rsidRPr="00817EFB" w:rsidRDefault="005E35E5" w:rsidP="00817EFB">
      <w:pPr>
        <w:pStyle w:val="ListParagraph"/>
        <w:numPr>
          <w:ilvl w:val="1"/>
          <w:numId w:val="22"/>
        </w:numPr>
        <w:spacing w:after="0" w:line="240" w:lineRule="auto"/>
        <w:rPr>
          <w:rFonts w:ascii="Times New Roman" w:hAnsi="Times New Roman" w:cs="Times New Roman"/>
          <w:b/>
          <w:sz w:val="24"/>
          <w:szCs w:val="24"/>
        </w:rPr>
      </w:pPr>
      <w:r w:rsidRPr="00817EFB">
        <w:rPr>
          <w:rFonts w:ascii="Times New Roman" w:hAnsi="Times New Roman" w:cs="Times New Roman"/>
          <w:b/>
          <w:sz w:val="24"/>
          <w:szCs w:val="24"/>
        </w:rPr>
        <w:t>System Balancing</w:t>
      </w:r>
    </w:p>
    <w:p w:rsidR="005E35E5" w:rsidRPr="00817EFB" w:rsidRDefault="005E35E5" w:rsidP="00817EFB">
      <w:pPr>
        <w:pStyle w:val="ListParagraph"/>
        <w:numPr>
          <w:ilvl w:val="2"/>
          <w:numId w:val="22"/>
        </w:numPr>
        <w:spacing w:after="0" w:line="240" w:lineRule="auto"/>
        <w:ind w:hanging="360"/>
        <w:rPr>
          <w:rFonts w:ascii="Times New Roman" w:hAnsi="Times New Roman" w:cs="Times New Roman"/>
          <w:b/>
          <w:sz w:val="24"/>
          <w:szCs w:val="24"/>
        </w:rPr>
      </w:pPr>
      <w:r w:rsidRPr="00817EFB">
        <w:rPr>
          <w:rFonts w:ascii="Times New Roman" w:hAnsi="Times New Roman" w:cs="Times New Roman"/>
          <w:b/>
          <w:sz w:val="24"/>
          <w:szCs w:val="24"/>
        </w:rPr>
        <w:t>Regulation/Frequency Control</w:t>
      </w:r>
    </w:p>
    <w:p w:rsidR="005E35E5" w:rsidRPr="00817EFB" w:rsidRDefault="005E35E5" w:rsidP="00817EFB">
      <w:pPr>
        <w:pStyle w:val="ListParagraph"/>
        <w:numPr>
          <w:ilvl w:val="2"/>
          <w:numId w:val="22"/>
        </w:numPr>
        <w:spacing w:after="0" w:line="240" w:lineRule="auto"/>
        <w:ind w:hanging="360"/>
        <w:rPr>
          <w:rFonts w:ascii="Times New Roman" w:hAnsi="Times New Roman" w:cs="Times New Roman"/>
          <w:b/>
          <w:sz w:val="24"/>
          <w:szCs w:val="24"/>
        </w:rPr>
      </w:pPr>
      <w:r w:rsidRPr="00817EFB">
        <w:rPr>
          <w:rFonts w:ascii="Times New Roman" w:hAnsi="Times New Roman" w:cs="Times New Roman"/>
          <w:b/>
          <w:sz w:val="24"/>
          <w:szCs w:val="24"/>
        </w:rPr>
        <w:t>Load Following</w:t>
      </w:r>
    </w:p>
    <w:p w:rsidR="005E35E5" w:rsidRPr="00817EFB" w:rsidRDefault="005E35E5" w:rsidP="00817EFB">
      <w:pPr>
        <w:pStyle w:val="ListParagraph"/>
        <w:numPr>
          <w:ilvl w:val="2"/>
          <w:numId w:val="22"/>
        </w:numPr>
        <w:spacing w:after="0" w:line="240" w:lineRule="auto"/>
        <w:ind w:hanging="360"/>
        <w:rPr>
          <w:rFonts w:ascii="Times New Roman" w:hAnsi="Times New Roman" w:cs="Times New Roman"/>
          <w:b/>
          <w:sz w:val="24"/>
          <w:szCs w:val="24"/>
        </w:rPr>
      </w:pPr>
      <w:r w:rsidRPr="00817EFB">
        <w:rPr>
          <w:rFonts w:ascii="Times New Roman" w:hAnsi="Times New Roman" w:cs="Times New Roman"/>
          <w:b/>
          <w:sz w:val="24"/>
          <w:szCs w:val="24"/>
        </w:rPr>
        <w:t>Energy Imbalance</w:t>
      </w:r>
    </w:p>
    <w:p w:rsidR="005E35E5" w:rsidRPr="00817EFB" w:rsidRDefault="005E35E5" w:rsidP="00817EFB">
      <w:pPr>
        <w:pStyle w:val="ListParagraph"/>
        <w:numPr>
          <w:ilvl w:val="1"/>
          <w:numId w:val="22"/>
        </w:numPr>
        <w:spacing w:after="0" w:line="240" w:lineRule="auto"/>
        <w:rPr>
          <w:rFonts w:ascii="Times New Roman" w:hAnsi="Times New Roman" w:cs="Times New Roman"/>
          <w:b/>
          <w:sz w:val="24"/>
          <w:szCs w:val="24"/>
        </w:rPr>
      </w:pPr>
      <w:r w:rsidRPr="00817EFB">
        <w:rPr>
          <w:rFonts w:ascii="Times New Roman" w:hAnsi="Times New Roman" w:cs="Times New Roman"/>
          <w:b/>
          <w:sz w:val="24"/>
          <w:szCs w:val="24"/>
        </w:rPr>
        <w:t>Contingency Reserves</w:t>
      </w:r>
    </w:p>
    <w:p w:rsidR="005E35E5" w:rsidRPr="00817EFB" w:rsidRDefault="005E35E5" w:rsidP="00817EFB">
      <w:pPr>
        <w:pStyle w:val="ListParagraph"/>
        <w:numPr>
          <w:ilvl w:val="1"/>
          <w:numId w:val="22"/>
        </w:numPr>
        <w:spacing w:after="0" w:line="240" w:lineRule="auto"/>
        <w:rPr>
          <w:rFonts w:ascii="Times New Roman" w:hAnsi="Times New Roman" w:cs="Times New Roman"/>
          <w:b/>
          <w:sz w:val="24"/>
          <w:szCs w:val="24"/>
        </w:rPr>
      </w:pPr>
      <w:r w:rsidRPr="00817EFB">
        <w:rPr>
          <w:rFonts w:ascii="Times New Roman" w:hAnsi="Times New Roman" w:cs="Times New Roman"/>
          <w:b/>
          <w:sz w:val="24"/>
          <w:szCs w:val="24"/>
        </w:rPr>
        <w:t>Reactive Power Support</w:t>
      </w:r>
    </w:p>
    <w:p w:rsidR="005E35E5" w:rsidRPr="00817EFB" w:rsidRDefault="005E35E5" w:rsidP="00817EFB">
      <w:pPr>
        <w:pStyle w:val="ListParagraph"/>
        <w:numPr>
          <w:ilvl w:val="1"/>
          <w:numId w:val="22"/>
        </w:numPr>
        <w:spacing w:after="0" w:line="240" w:lineRule="auto"/>
        <w:rPr>
          <w:rFonts w:ascii="Times New Roman" w:hAnsi="Times New Roman" w:cs="Times New Roman"/>
          <w:b/>
          <w:sz w:val="24"/>
          <w:szCs w:val="24"/>
        </w:rPr>
      </w:pPr>
      <w:r w:rsidRPr="00817EFB">
        <w:rPr>
          <w:rFonts w:ascii="Times New Roman" w:hAnsi="Times New Roman" w:cs="Times New Roman"/>
          <w:b/>
          <w:sz w:val="24"/>
          <w:szCs w:val="24"/>
        </w:rPr>
        <w:t>Network Stability Services</w:t>
      </w:r>
    </w:p>
    <w:p w:rsidR="005E35E5" w:rsidRPr="00817EFB" w:rsidRDefault="005E35E5" w:rsidP="00817EFB">
      <w:pPr>
        <w:pStyle w:val="ListParagraph"/>
        <w:numPr>
          <w:ilvl w:val="1"/>
          <w:numId w:val="22"/>
        </w:numPr>
        <w:spacing w:after="0" w:line="240" w:lineRule="auto"/>
        <w:rPr>
          <w:rFonts w:ascii="Times New Roman" w:hAnsi="Times New Roman" w:cs="Times New Roman"/>
          <w:b/>
          <w:sz w:val="24"/>
          <w:szCs w:val="24"/>
        </w:rPr>
      </w:pPr>
      <w:r w:rsidRPr="00817EFB">
        <w:rPr>
          <w:rFonts w:ascii="Times New Roman" w:hAnsi="Times New Roman" w:cs="Times New Roman"/>
          <w:b/>
          <w:sz w:val="24"/>
          <w:szCs w:val="24"/>
        </w:rPr>
        <w:t>System Black Start Capability</w:t>
      </w:r>
    </w:p>
    <w:p w:rsidR="005E35E5" w:rsidRPr="00817EFB" w:rsidRDefault="005E35E5" w:rsidP="00817EFB">
      <w:pPr>
        <w:pStyle w:val="ListParagraph"/>
        <w:numPr>
          <w:ilvl w:val="1"/>
          <w:numId w:val="22"/>
        </w:numPr>
        <w:spacing w:after="0" w:line="240" w:lineRule="auto"/>
        <w:rPr>
          <w:rFonts w:ascii="Times New Roman" w:hAnsi="Times New Roman" w:cs="Times New Roman"/>
          <w:b/>
          <w:sz w:val="24"/>
          <w:szCs w:val="24"/>
        </w:rPr>
      </w:pPr>
      <w:r w:rsidRPr="00817EFB">
        <w:rPr>
          <w:rFonts w:ascii="Times New Roman" w:hAnsi="Times New Roman" w:cs="Times New Roman"/>
          <w:b/>
          <w:sz w:val="24"/>
          <w:szCs w:val="24"/>
        </w:rPr>
        <w:t>Other</w:t>
      </w:r>
    </w:p>
    <w:p w:rsidR="00E46C58" w:rsidRDefault="00E46C58" w:rsidP="00E46C58">
      <w:pPr>
        <w:rPr>
          <w:rFonts w:ascii="Times New Roman" w:hAnsi="Times New Roman"/>
          <w:szCs w:val="24"/>
        </w:rPr>
      </w:pPr>
    </w:p>
    <w:p w:rsidR="00F17476" w:rsidRDefault="004F310B" w:rsidP="00817EFB">
      <w:pPr>
        <w:ind w:left="720"/>
        <w:rPr>
          <w:rFonts w:ascii="Times New Roman" w:hAnsi="Times New Roman"/>
          <w:szCs w:val="24"/>
        </w:rPr>
      </w:pPr>
      <w:r>
        <w:rPr>
          <w:rFonts w:ascii="Times New Roman" w:hAnsi="Times New Roman"/>
          <w:szCs w:val="24"/>
        </w:rPr>
        <w:lastRenderedPageBreak/>
        <w:t xml:space="preserve">The Company participated in the Commission’s August 25, 2015 recessed open meeting on energy storage in utility integrated resource planning and procurement, and found the presentation materials and associated discussion to be </w:t>
      </w:r>
      <w:r w:rsidR="001C5BBA">
        <w:rPr>
          <w:rFonts w:ascii="Times New Roman" w:hAnsi="Times New Roman"/>
          <w:szCs w:val="24"/>
        </w:rPr>
        <w:t xml:space="preserve">very </w:t>
      </w:r>
      <w:r>
        <w:rPr>
          <w:rFonts w:ascii="Times New Roman" w:hAnsi="Times New Roman"/>
          <w:szCs w:val="24"/>
        </w:rPr>
        <w:t xml:space="preserve">informative.  Consistent with its comments at this meeting, the Company recognizes that traditional </w:t>
      </w:r>
      <w:r w:rsidR="006A6C54">
        <w:rPr>
          <w:rFonts w:ascii="Times New Roman" w:hAnsi="Times New Roman"/>
          <w:szCs w:val="24"/>
        </w:rPr>
        <w:t>integrated resource plan (</w:t>
      </w:r>
      <w:r>
        <w:rPr>
          <w:rFonts w:ascii="Times New Roman" w:hAnsi="Times New Roman"/>
          <w:szCs w:val="24"/>
        </w:rPr>
        <w:t>IRP</w:t>
      </w:r>
      <w:r w:rsidR="006A6C54">
        <w:rPr>
          <w:rFonts w:ascii="Times New Roman" w:hAnsi="Times New Roman"/>
          <w:szCs w:val="24"/>
        </w:rPr>
        <w:t>)</w:t>
      </w:r>
      <w:r>
        <w:rPr>
          <w:rFonts w:ascii="Times New Roman" w:hAnsi="Times New Roman"/>
          <w:szCs w:val="24"/>
        </w:rPr>
        <w:t xml:space="preserve"> modeling tools </w:t>
      </w:r>
      <w:r w:rsidR="00DE24AF">
        <w:rPr>
          <w:rFonts w:ascii="Times New Roman" w:hAnsi="Times New Roman"/>
          <w:szCs w:val="24"/>
        </w:rPr>
        <w:t>may not</w:t>
      </w:r>
      <w:r>
        <w:rPr>
          <w:rFonts w:ascii="Times New Roman" w:hAnsi="Times New Roman"/>
          <w:szCs w:val="24"/>
        </w:rPr>
        <w:t xml:space="preserve"> adequately capture the full range of potential benefit categories that </w:t>
      </w:r>
      <w:r w:rsidR="00DE24AF">
        <w:rPr>
          <w:rFonts w:ascii="Times New Roman" w:hAnsi="Times New Roman"/>
          <w:szCs w:val="24"/>
        </w:rPr>
        <w:t>can</w:t>
      </w:r>
      <w:r>
        <w:rPr>
          <w:rFonts w:ascii="Times New Roman" w:hAnsi="Times New Roman"/>
          <w:szCs w:val="24"/>
        </w:rPr>
        <w:t xml:space="preserve"> be attributable to specific energy storage system</w:t>
      </w:r>
      <w:r w:rsidR="00CD420D">
        <w:rPr>
          <w:rFonts w:ascii="Times New Roman" w:hAnsi="Times New Roman"/>
          <w:szCs w:val="24"/>
        </w:rPr>
        <w:t xml:space="preserve"> applications</w:t>
      </w:r>
      <w:r>
        <w:rPr>
          <w:rFonts w:ascii="Times New Roman" w:hAnsi="Times New Roman"/>
          <w:szCs w:val="24"/>
        </w:rPr>
        <w:t>.</w:t>
      </w:r>
      <w:r w:rsidR="00817EFB">
        <w:rPr>
          <w:rFonts w:ascii="Times New Roman" w:hAnsi="Times New Roman"/>
          <w:szCs w:val="24"/>
        </w:rPr>
        <w:t xml:space="preserve"> </w:t>
      </w:r>
      <w:r>
        <w:rPr>
          <w:rFonts w:ascii="Times New Roman" w:hAnsi="Times New Roman"/>
          <w:szCs w:val="24"/>
        </w:rPr>
        <w:t xml:space="preserve"> </w:t>
      </w:r>
      <w:r w:rsidR="00CD420D">
        <w:rPr>
          <w:rFonts w:ascii="Times New Roman" w:hAnsi="Times New Roman"/>
          <w:szCs w:val="24"/>
        </w:rPr>
        <w:t xml:space="preserve">Consequently, the Company plans to evaluate </w:t>
      </w:r>
      <w:r w:rsidR="00F21054">
        <w:rPr>
          <w:rFonts w:ascii="Times New Roman" w:hAnsi="Times New Roman"/>
          <w:szCs w:val="24"/>
        </w:rPr>
        <w:t xml:space="preserve">analytical methods and modeling tools, such as </w:t>
      </w:r>
      <w:r w:rsidR="00F17476">
        <w:rPr>
          <w:rFonts w:ascii="Times New Roman" w:hAnsi="Times New Roman"/>
          <w:szCs w:val="24"/>
        </w:rPr>
        <w:t xml:space="preserve">the Battery Storage Evaluation Tool (BSET) developed by the Pacific Northwest National Laboratory that can supplement traditional IRP models when assessing energy storage systems within </w:t>
      </w:r>
      <w:r w:rsidR="0099484B">
        <w:rPr>
          <w:rFonts w:ascii="Times New Roman" w:hAnsi="Times New Roman"/>
          <w:szCs w:val="24"/>
        </w:rPr>
        <w:t xml:space="preserve">IRP and procurement </w:t>
      </w:r>
      <w:r w:rsidR="00F17476">
        <w:rPr>
          <w:rFonts w:ascii="Times New Roman" w:hAnsi="Times New Roman"/>
          <w:szCs w:val="24"/>
        </w:rPr>
        <w:t>process</w:t>
      </w:r>
      <w:r w:rsidR="0099484B">
        <w:rPr>
          <w:rFonts w:ascii="Times New Roman" w:hAnsi="Times New Roman"/>
          <w:szCs w:val="24"/>
        </w:rPr>
        <w:t>es</w:t>
      </w:r>
      <w:r w:rsidR="00F17476">
        <w:rPr>
          <w:rFonts w:ascii="Times New Roman" w:hAnsi="Times New Roman"/>
          <w:szCs w:val="24"/>
        </w:rPr>
        <w:t>.</w:t>
      </w:r>
    </w:p>
    <w:p w:rsidR="00F17476" w:rsidRDefault="00F17476" w:rsidP="00817EFB">
      <w:pPr>
        <w:ind w:left="720"/>
        <w:rPr>
          <w:rFonts w:ascii="Times New Roman" w:hAnsi="Times New Roman"/>
          <w:szCs w:val="24"/>
        </w:rPr>
      </w:pPr>
    </w:p>
    <w:p w:rsidR="0099484B" w:rsidRDefault="00F17476" w:rsidP="00817EFB">
      <w:pPr>
        <w:ind w:left="720"/>
        <w:rPr>
          <w:rFonts w:ascii="Times New Roman" w:hAnsi="Times New Roman"/>
          <w:szCs w:val="24"/>
        </w:rPr>
      </w:pPr>
      <w:r>
        <w:rPr>
          <w:rFonts w:ascii="Times New Roman" w:hAnsi="Times New Roman"/>
          <w:szCs w:val="24"/>
        </w:rPr>
        <w:t xml:space="preserve">While the Company has not yet finalized a </w:t>
      </w:r>
      <w:r w:rsidR="0099484B">
        <w:rPr>
          <w:rFonts w:ascii="Times New Roman" w:hAnsi="Times New Roman"/>
          <w:szCs w:val="24"/>
        </w:rPr>
        <w:t xml:space="preserve">formal </w:t>
      </w:r>
      <w:r>
        <w:rPr>
          <w:rFonts w:ascii="Times New Roman" w:hAnsi="Times New Roman"/>
          <w:szCs w:val="24"/>
        </w:rPr>
        <w:t xml:space="preserve">modeling plan to integrate supplemental analytical methods and modeling tools into </w:t>
      </w:r>
      <w:r w:rsidR="0099484B">
        <w:rPr>
          <w:rFonts w:ascii="Times New Roman" w:hAnsi="Times New Roman"/>
          <w:szCs w:val="24"/>
        </w:rPr>
        <w:t>its</w:t>
      </w:r>
      <w:r>
        <w:rPr>
          <w:rFonts w:ascii="Times New Roman" w:hAnsi="Times New Roman"/>
          <w:szCs w:val="24"/>
        </w:rPr>
        <w:t xml:space="preserve"> IRP </w:t>
      </w:r>
      <w:r w:rsidR="0099484B">
        <w:rPr>
          <w:rFonts w:ascii="Times New Roman" w:hAnsi="Times New Roman"/>
          <w:szCs w:val="24"/>
        </w:rPr>
        <w:t xml:space="preserve">and procurement </w:t>
      </w:r>
      <w:r>
        <w:rPr>
          <w:rFonts w:ascii="Times New Roman" w:hAnsi="Times New Roman"/>
          <w:szCs w:val="24"/>
        </w:rPr>
        <w:t>process</w:t>
      </w:r>
      <w:r w:rsidR="0099484B">
        <w:rPr>
          <w:rFonts w:ascii="Times New Roman" w:hAnsi="Times New Roman"/>
          <w:szCs w:val="24"/>
        </w:rPr>
        <w:t>es</w:t>
      </w:r>
      <w:r>
        <w:rPr>
          <w:rFonts w:ascii="Times New Roman" w:hAnsi="Times New Roman"/>
          <w:szCs w:val="24"/>
        </w:rPr>
        <w:t xml:space="preserve">, the Company has considered, conceptually, how this might be achieved. </w:t>
      </w:r>
      <w:r w:rsidR="00817EFB">
        <w:rPr>
          <w:rFonts w:ascii="Times New Roman" w:hAnsi="Times New Roman"/>
          <w:szCs w:val="24"/>
        </w:rPr>
        <w:t xml:space="preserve"> </w:t>
      </w:r>
      <w:r>
        <w:rPr>
          <w:rFonts w:ascii="Times New Roman" w:hAnsi="Times New Roman"/>
          <w:szCs w:val="24"/>
        </w:rPr>
        <w:t xml:space="preserve">In its most simplistic form, supplemental analytical methods and modeling tools can be used to quantify energy storage benefit categories that are not captured in the traditional IRP modeling framework.  These incremental benefits could be applied as a reduction in the cost of energy storage system technologies during the portfolio selection process. </w:t>
      </w:r>
      <w:r w:rsidR="00817EFB">
        <w:rPr>
          <w:rFonts w:ascii="Times New Roman" w:hAnsi="Times New Roman"/>
          <w:szCs w:val="24"/>
        </w:rPr>
        <w:t xml:space="preserve"> </w:t>
      </w:r>
      <w:r w:rsidR="0037667F">
        <w:rPr>
          <w:rFonts w:ascii="Times New Roman" w:hAnsi="Times New Roman"/>
          <w:szCs w:val="24"/>
        </w:rPr>
        <w:t xml:space="preserve">This approach may require developing generalized incremental benefit assumptions for specific storage technologies available at specific locations within the Company’s system. </w:t>
      </w:r>
      <w:r w:rsidR="00817EFB">
        <w:rPr>
          <w:rFonts w:ascii="Times New Roman" w:hAnsi="Times New Roman"/>
          <w:szCs w:val="24"/>
        </w:rPr>
        <w:t xml:space="preserve"> </w:t>
      </w:r>
      <w:r>
        <w:rPr>
          <w:rFonts w:ascii="Times New Roman" w:hAnsi="Times New Roman"/>
          <w:szCs w:val="24"/>
        </w:rPr>
        <w:t xml:space="preserve">Alternatively, </w:t>
      </w:r>
      <w:r w:rsidR="0099484B">
        <w:rPr>
          <w:rFonts w:ascii="Times New Roman" w:hAnsi="Times New Roman"/>
          <w:szCs w:val="24"/>
        </w:rPr>
        <w:t>incremental benefit assumptions can be developed for specific sites.</w:t>
      </w:r>
      <w:r>
        <w:rPr>
          <w:rFonts w:ascii="Times New Roman" w:hAnsi="Times New Roman"/>
          <w:szCs w:val="24"/>
        </w:rPr>
        <w:t xml:space="preserve"> </w:t>
      </w:r>
      <w:r w:rsidR="0099484B">
        <w:rPr>
          <w:rFonts w:ascii="Times New Roman" w:hAnsi="Times New Roman"/>
          <w:szCs w:val="24"/>
        </w:rPr>
        <w:t>This information can be reported in the IRP document and be used to better assess energy storage resources.</w:t>
      </w:r>
    </w:p>
    <w:p w:rsidR="0099484B" w:rsidRDefault="0099484B" w:rsidP="00E46C58">
      <w:pPr>
        <w:rPr>
          <w:rFonts w:ascii="Times New Roman" w:hAnsi="Times New Roman"/>
          <w:szCs w:val="24"/>
        </w:rPr>
      </w:pPr>
    </w:p>
    <w:p w:rsidR="006C3E57" w:rsidRPr="00817EFB" w:rsidRDefault="006C3E57" w:rsidP="00817EFB">
      <w:pPr>
        <w:pStyle w:val="ListParagraph"/>
        <w:numPr>
          <w:ilvl w:val="0"/>
          <w:numId w:val="22"/>
        </w:numPr>
        <w:spacing w:after="0" w:line="240" w:lineRule="auto"/>
        <w:ind w:hanging="720"/>
        <w:rPr>
          <w:rFonts w:ascii="Times New Roman" w:hAnsi="Times New Roman" w:cs="Times New Roman"/>
          <w:b/>
          <w:sz w:val="24"/>
          <w:szCs w:val="24"/>
        </w:rPr>
      </w:pPr>
      <w:r w:rsidRPr="00817EFB">
        <w:rPr>
          <w:rFonts w:ascii="Times New Roman" w:hAnsi="Times New Roman" w:cs="Times New Roman"/>
          <w:b/>
          <w:sz w:val="24"/>
          <w:szCs w:val="24"/>
        </w:rPr>
        <w:t>Models are available today</w:t>
      </w:r>
      <w:r w:rsidR="005E35E5" w:rsidRPr="00817EFB">
        <w:rPr>
          <w:rFonts w:ascii="Times New Roman" w:hAnsi="Times New Roman" w:cs="Times New Roman"/>
          <w:b/>
          <w:sz w:val="24"/>
          <w:szCs w:val="24"/>
        </w:rPr>
        <w:t xml:space="preserve"> that assign values to the many different use cases of a storage system.  These models optimize the value of a storage system by selecting the service that provides the most benefit to the utility and consumers at a particular moment.  What technical capability do the utilities have to perform similar modeling?  Given that planning in Washington focuses on least-cost, least-risk resource analysis, how could utility resource plans best analyze and incorporate such analysis into existing IRP and resource procurement models?</w:t>
      </w:r>
    </w:p>
    <w:p w:rsidR="00E46C58" w:rsidRPr="00817EFB" w:rsidRDefault="00E46C58" w:rsidP="00E46C58">
      <w:pPr>
        <w:rPr>
          <w:rFonts w:ascii="Times New Roman" w:hAnsi="Times New Roman"/>
          <w:b/>
          <w:szCs w:val="24"/>
        </w:rPr>
      </w:pPr>
    </w:p>
    <w:p w:rsidR="00E01C6E" w:rsidRDefault="00E01C6E" w:rsidP="00817EFB">
      <w:pPr>
        <w:ind w:left="720"/>
        <w:rPr>
          <w:rFonts w:ascii="Times New Roman" w:hAnsi="Times New Roman"/>
          <w:szCs w:val="24"/>
        </w:rPr>
      </w:pPr>
      <w:r>
        <w:rPr>
          <w:rFonts w:ascii="Times New Roman" w:hAnsi="Times New Roman"/>
          <w:szCs w:val="24"/>
        </w:rPr>
        <w:t>The Company is working to identify potential sites where battery storage may be beneficial, focusing on sites where multiple benefit categories, including benefits associated with the Company’s participation in the energy imbalance market, might apply.  The Company is also working to obtain battery storage evaluation tools that can be used to evaluate specific projects.  In the near future, the Company will consider both the Oregon Request for Grant Applications for utility-scale storage projects and Washington’s Clean Energy Fund grant for an energy storage and/or renewable project.  The Company will also be exploring options to procure an energy storage system of at least five MWh by January 1, 2020, as required by Oregon House Bill 2193.</w:t>
      </w:r>
    </w:p>
    <w:p w:rsidR="00AB61EF" w:rsidRDefault="00AB61EF" w:rsidP="00817EFB">
      <w:pPr>
        <w:ind w:left="720"/>
        <w:rPr>
          <w:rFonts w:ascii="Times New Roman" w:hAnsi="Times New Roman"/>
          <w:szCs w:val="24"/>
        </w:rPr>
      </w:pPr>
    </w:p>
    <w:p w:rsidR="00AB61EF" w:rsidRDefault="00E01C6E" w:rsidP="00817EFB">
      <w:pPr>
        <w:ind w:left="720"/>
        <w:rPr>
          <w:rFonts w:ascii="Times New Roman" w:hAnsi="Times New Roman"/>
          <w:szCs w:val="24"/>
        </w:rPr>
      </w:pPr>
      <w:r>
        <w:rPr>
          <w:rFonts w:ascii="Times New Roman" w:hAnsi="Times New Roman"/>
          <w:szCs w:val="24"/>
        </w:rPr>
        <w:t>The Company is working on developing a</w:t>
      </w:r>
      <w:r w:rsidR="00AB61EF" w:rsidRPr="00AB61EF">
        <w:rPr>
          <w:rFonts w:ascii="Times New Roman" w:hAnsi="Times New Roman"/>
          <w:szCs w:val="24"/>
        </w:rPr>
        <w:t xml:space="preserve"> standardized process </w:t>
      </w:r>
      <w:r>
        <w:rPr>
          <w:rFonts w:ascii="Times New Roman" w:hAnsi="Times New Roman"/>
          <w:szCs w:val="24"/>
        </w:rPr>
        <w:t xml:space="preserve">to evaluate energy storage projects.  </w:t>
      </w:r>
      <w:r w:rsidR="00AB61EF" w:rsidRPr="00AB61EF">
        <w:rPr>
          <w:rFonts w:ascii="Times New Roman" w:hAnsi="Times New Roman"/>
          <w:szCs w:val="24"/>
        </w:rPr>
        <w:t xml:space="preserve">To this end, PacifiCorp is working to obtain the PNNL Battery Storage </w:t>
      </w:r>
      <w:r w:rsidR="00AB61EF" w:rsidRPr="00AB61EF">
        <w:rPr>
          <w:rFonts w:ascii="Times New Roman" w:hAnsi="Times New Roman"/>
          <w:szCs w:val="24"/>
        </w:rPr>
        <w:lastRenderedPageBreak/>
        <w:t>Evaluation Tool.  PacifiCorp has also looked at t</w:t>
      </w:r>
      <w:r w:rsidR="00AB61EF">
        <w:rPr>
          <w:rFonts w:ascii="Times New Roman" w:hAnsi="Times New Roman"/>
          <w:szCs w:val="24"/>
        </w:rPr>
        <w:t>he U.S. Department of Energy (DO</w:t>
      </w:r>
      <w:r w:rsidR="00AB61EF" w:rsidRPr="00AB61EF">
        <w:rPr>
          <w:rFonts w:ascii="Times New Roman" w:hAnsi="Times New Roman"/>
          <w:szCs w:val="24"/>
        </w:rPr>
        <w:t xml:space="preserve">E) Energy Storage Computational Tool Version 1.2 (ESCT) </w:t>
      </w:r>
      <w:r w:rsidR="00AB61EF">
        <w:rPr>
          <w:rFonts w:ascii="Times New Roman" w:hAnsi="Times New Roman"/>
          <w:szCs w:val="24"/>
        </w:rPr>
        <w:t xml:space="preserve">that was </w:t>
      </w:r>
      <w:r w:rsidR="00AB61EF" w:rsidRPr="00AB61EF">
        <w:rPr>
          <w:rFonts w:ascii="Times New Roman" w:hAnsi="Times New Roman"/>
          <w:szCs w:val="24"/>
        </w:rPr>
        <w:t xml:space="preserve">developed by Navigant.  The current evaluation process assumes that capital deferral is the greatest </w:t>
      </w:r>
      <w:r>
        <w:rPr>
          <w:rFonts w:ascii="Times New Roman" w:hAnsi="Times New Roman"/>
          <w:szCs w:val="24"/>
        </w:rPr>
        <w:t>benefit</w:t>
      </w:r>
      <w:r w:rsidRPr="00AB61EF">
        <w:rPr>
          <w:rFonts w:ascii="Times New Roman" w:hAnsi="Times New Roman"/>
          <w:szCs w:val="24"/>
        </w:rPr>
        <w:t xml:space="preserve"> </w:t>
      </w:r>
      <w:r>
        <w:rPr>
          <w:rFonts w:ascii="Times New Roman" w:hAnsi="Times New Roman"/>
          <w:szCs w:val="24"/>
        </w:rPr>
        <w:t>category</w:t>
      </w:r>
      <w:r w:rsidR="00AB61EF" w:rsidRPr="00AB61EF">
        <w:rPr>
          <w:rFonts w:ascii="Times New Roman" w:hAnsi="Times New Roman"/>
          <w:szCs w:val="24"/>
        </w:rPr>
        <w:t>, and involves the following steps:</w:t>
      </w:r>
    </w:p>
    <w:p w:rsidR="00AB61EF" w:rsidRPr="00AB61EF" w:rsidRDefault="00AB61EF" w:rsidP="00817EFB">
      <w:pPr>
        <w:ind w:left="720"/>
        <w:rPr>
          <w:rFonts w:ascii="Times New Roman" w:hAnsi="Times New Roman"/>
          <w:szCs w:val="24"/>
        </w:rPr>
      </w:pPr>
    </w:p>
    <w:p w:rsidR="00AB61EF" w:rsidRPr="00AB61EF" w:rsidRDefault="00AB61EF" w:rsidP="00817EFB">
      <w:pPr>
        <w:pStyle w:val="ListParagraph"/>
        <w:numPr>
          <w:ilvl w:val="0"/>
          <w:numId w:val="23"/>
        </w:numPr>
        <w:spacing w:after="0" w:line="240" w:lineRule="auto"/>
        <w:ind w:left="1080"/>
        <w:rPr>
          <w:rFonts w:ascii="Times New Roman" w:hAnsi="Times New Roman" w:cs="Times New Roman"/>
          <w:sz w:val="24"/>
          <w:szCs w:val="24"/>
        </w:rPr>
      </w:pPr>
      <w:r w:rsidRPr="00AB61EF">
        <w:rPr>
          <w:rFonts w:ascii="Times New Roman" w:hAnsi="Times New Roman" w:cs="Times New Roman"/>
          <w:sz w:val="24"/>
          <w:szCs w:val="24"/>
        </w:rPr>
        <w:t>Analyze applicable load curves to determine how much energy storage (in MWh) is required to provide the same benefit as the traditional upgrade method.  If the primary value stream is something other than capital deferral, then a different analysis may be needed to size the battery system.</w:t>
      </w:r>
    </w:p>
    <w:p w:rsidR="00AB61EF" w:rsidRPr="00AB61EF" w:rsidRDefault="00AB61EF" w:rsidP="00817EFB">
      <w:pPr>
        <w:pStyle w:val="ListParagraph"/>
        <w:numPr>
          <w:ilvl w:val="0"/>
          <w:numId w:val="23"/>
        </w:numPr>
        <w:spacing w:after="0" w:line="240" w:lineRule="auto"/>
        <w:ind w:left="1080"/>
        <w:rPr>
          <w:rFonts w:ascii="Times New Roman" w:hAnsi="Times New Roman" w:cs="Times New Roman"/>
          <w:sz w:val="24"/>
          <w:szCs w:val="24"/>
        </w:rPr>
      </w:pPr>
      <w:r w:rsidRPr="00AB61EF">
        <w:rPr>
          <w:rFonts w:ascii="Times New Roman" w:hAnsi="Times New Roman" w:cs="Times New Roman"/>
          <w:sz w:val="24"/>
          <w:szCs w:val="24"/>
        </w:rPr>
        <w:t>Apply a cost estimating model developed by Black &amp; Veatch to estimate the battery system cost.</w:t>
      </w:r>
    </w:p>
    <w:p w:rsidR="00AB61EF" w:rsidRPr="00AB61EF" w:rsidRDefault="00AB61EF" w:rsidP="00817EFB">
      <w:pPr>
        <w:pStyle w:val="ListParagraph"/>
        <w:numPr>
          <w:ilvl w:val="0"/>
          <w:numId w:val="23"/>
        </w:numPr>
        <w:spacing w:after="0" w:line="240" w:lineRule="auto"/>
        <w:ind w:left="1080"/>
        <w:rPr>
          <w:rFonts w:ascii="Times New Roman" w:hAnsi="Times New Roman" w:cs="Times New Roman"/>
          <w:sz w:val="24"/>
          <w:szCs w:val="24"/>
        </w:rPr>
      </w:pPr>
      <w:r w:rsidRPr="00AB61EF">
        <w:rPr>
          <w:rFonts w:ascii="Times New Roman" w:hAnsi="Times New Roman" w:cs="Times New Roman"/>
          <w:sz w:val="24"/>
          <w:szCs w:val="24"/>
        </w:rPr>
        <w:t>Add owner</w:t>
      </w:r>
      <w:r>
        <w:rPr>
          <w:rFonts w:ascii="Times New Roman" w:hAnsi="Times New Roman" w:cs="Times New Roman"/>
          <w:sz w:val="24"/>
          <w:szCs w:val="24"/>
        </w:rPr>
        <w:t>’</w:t>
      </w:r>
      <w:r w:rsidRPr="00AB61EF">
        <w:rPr>
          <w:rFonts w:ascii="Times New Roman" w:hAnsi="Times New Roman" w:cs="Times New Roman"/>
          <w:sz w:val="24"/>
          <w:szCs w:val="24"/>
        </w:rPr>
        <w:t>s costs and other costs not included in the Black &amp; Veatch model.</w:t>
      </w:r>
    </w:p>
    <w:p w:rsidR="00AB61EF" w:rsidRPr="00AB61EF" w:rsidRDefault="00AB61EF" w:rsidP="00817EFB">
      <w:pPr>
        <w:pStyle w:val="ListParagraph"/>
        <w:numPr>
          <w:ilvl w:val="0"/>
          <w:numId w:val="23"/>
        </w:numPr>
        <w:spacing w:after="0" w:line="240" w:lineRule="auto"/>
        <w:ind w:left="1080"/>
        <w:rPr>
          <w:rFonts w:ascii="Times New Roman" w:hAnsi="Times New Roman" w:cs="Times New Roman"/>
          <w:sz w:val="24"/>
          <w:szCs w:val="24"/>
        </w:rPr>
      </w:pPr>
      <w:r w:rsidRPr="00AB61EF">
        <w:rPr>
          <w:rFonts w:ascii="Times New Roman" w:hAnsi="Times New Roman" w:cs="Times New Roman"/>
          <w:sz w:val="24"/>
          <w:szCs w:val="24"/>
        </w:rPr>
        <w:t xml:space="preserve">Enter battery system characteristics, costs, and associated assumptions into the DOE  ESCT to produce a revenue stream.  </w:t>
      </w:r>
    </w:p>
    <w:p w:rsidR="00AB61EF" w:rsidRPr="00AB61EF" w:rsidRDefault="00AB61EF" w:rsidP="00AB61EF">
      <w:pPr>
        <w:ind w:left="1440"/>
        <w:rPr>
          <w:rFonts w:ascii="Times New Roman" w:hAnsi="Times New Roman"/>
          <w:szCs w:val="24"/>
        </w:rPr>
      </w:pPr>
      <w:r w:rsidRPr="00AB61EF">
        <w:rPr>
          <w:rFonts w:ascii="Times New Roman" w:hAnsi="Times New Roman"/>
          <w:szCs w:val="24"/>
        </w:rPr>
        <w:t>  </w:t>
      </w:r>
    </w:p>
    <w:p w:rsidR="00AB61EF" w:rsidRDefault="00AB61EF" w:rsidP="00817EFB">
      <w:pPr>
        <w:ind w:left="720"/>
      </w:pPr>
      <w:r w:rsidRPr="00AB61EF">
        <w:rPr>
          <w:rFonts w:ascii="Times New Roman" w:hAnsi="Times New Roman"/>
          <w:szCs w:val="24"/>
        </w:rPr>
        <w:t>Once this process is refined, it can be used to evaluate battery storage as an option for all</w:t>
      </w:r>
      <w:r>
        <w:t xml:space="preserve"> applicable capital projects. </w:t>
      </w:r>
    </w:p>
    <w:p w:rsidR="00AB61EF" w:rsidRDefault="00AB61EF" w:rsidP="00E46C58">
      <w:pPr>
        <w:rPr>
          <w:rFonts w:ascii="Times New Roman" w:hAnsi="Times New Roman"/>
          <w:szCs w:val="24"/>
        </w:rPr>
      </w:pPr>
    </w:p>
    <w:p w:rsidR="005E35E5" w:rsidRPr="00817EFB" w:rsidRDefault="005E35E5" w:rsidP="00817EFB">
      <w:pPr>
        <w:pStyle w:val="ListParagraph"/>
        <w:numPr>
          <w:ilvl w:val="0"/>
          <w:numId w:val="22"/>
        </w:numPr>
        <w:spacing w:after="0" w:line="240" w:lineRule="auto"/>
        <w:ind w:hanging="720"/>
        <w:rPr>
          <w:rFonts w:ascii="Times New Roman" w:hAnsi="Times New Roman" w:cs="Times New Roman"/>
          <w:b/>
          <w:sz w:val="24"/>
          <w:szCs w:val="24"/>
        </w:rPr>
      </w:pPr>
      <w:r w:rsidRPr="00817EFB">
        <w:rPr>
          <w:rFonts w:ascii="Times New Roman" w:hAnsi="Times New Roman" w:cs="Times New Roman"/>
          <w:b/>
          <w:sz w:val="24"/>
          <w:szCs w:val="24"/>
        </w:rPr>
        <w:t>Utilities, as balancing authority areas, currently provide ancillary services.  As balancing authorities, what ancillary services are the utilities responsible for providing?  What resources do utilities currently use to provide ancillary services?  What are the costs associated with using these resources to provide ancillary services, and what is the opportunity cost of using the resources to provide ancillary services?  Would it be appropriate for Washington to use rates for ancillary services in organized electricity markets as a proxy for valuing the ancillary benefits of energy storage in Washington?</w:t>
      </w:r>
    </w:p>
    <w:p w:rsidR="00E46C58" w:rsidRDefault="00E46C58" w:rsidP="00E46C58">
      <w:pPr>
        <w:rPr>
          <w:rFonts w:ascii="Times New Roman" w:hAnsi="Times New Roman"/>
          <w:szCs w:val="24"/>
        </w:rPr>
      </w:pPr>
    </w:p>
    <w:p w:rsidR="00AB61EF" w:rsidRPr="00AB61EF" w:rsidRDefault="00AB61EF" w:rsidP="00817EFB">
      <w:pPr>
        <w:pStyle w:val="Default"/>
        <w:ind w:left="720"/>
      </w:pPr>
      <w:r w:rsidRPr="00AB61EF">
        <w:t xml:space="preserve">Ancillary Services are those generation-based services that are necessary to support the transmission of energy from resources to loads while maintaining reliable operation of a transmission system in accordance with </w:t>
      </w:r>
      <w:r w:rsidR="00923B34">
        <w:t>g</w:t>
      </w:r>
      <w:r w:rsidRPr="00AB61EF">
        <w:t xml:space="preserve">ood </w:t>
      </w:r>
      <w:r w:rsidR="00923B34">
        <w:t>u</w:t>
      </w:r>
      <w:r w:rsidRPr="00AB61EF">
        <w:t xml:space="preserve">tility </w:t>
      </w:r>
      <w:r w:rsidR="00923B34">
        <w:t>p</w:t>
      </w:r>
      <w:r w:rsidRPr="00AB61EF">
        <w:t xml:space="preserve">ractice. </w:t>
      </w:r>
    </w:p>
    <w:p w:rsidR="00AB61EF" w:rsidRPr="00AB61EF" w:rsidRDefault="00AB61EF" w:rsidP="00817EFB">
      <w:pPr>
        <w:pStyle w:val="Default"/>
        <w:ind w:left="720"/>
      </w:pPr>
    </w:p>
    <w:p w:rsidR="00AB61EF" w:rsidRPr="00AB61EF" w:rsidRDefault="00AB61EF" w:rsidP="00817EFB">
      <w:pPr>
        <w:pStyle w:val="Default"/>
        <w:ind w:left="720"/>
      </w:pPr>
      <w:r w:rsidRPr="00AB61EF">
        <w:t>Ancillary Services normally include:</w:t>
      </w:r>
    </w:p>
    <w:p w:rsidR="00AB61EF" w:rsidRPr="00AB61EF" w:rsidRDefault="00AB61EF" w:rsidP="006C5894">
      <w:pPr>
        <w:pStyle w:val="Default"/>
        <w:numPr>
          <w:ilvl w:val="0"/>
          <w:numId w:val="25"/>
        </w:numPr>
        <w:spacing w:after="35"/>
        <w:ind w:left="1440"/>
      </w:pPr>
      <w:r w:rsidRPr="00AB61EF">
        <w:t xml:space="preserve">Reactive Supply and Voltage Control from Generation Sources </w:t>
      </w:r>
    </w:p>
    <w:p w:rsidR="00AB61EF" w:rsidRPr="00AB61EF" w:rsidRDefault="00AB61EF" w:rsidP="006C5894">
      <w:pPr>
        <w:pStyle w:val="Default"/>
        <w:numPr>
          <w:ilvl w:val="0"/>
          <w:numId w:val="25"/>
        </w:numPr>
        <w:spacing w:after="35"/>
        <w:ind w:left="1440"/>
      </w:pPr>
      <w:r w:rsidRPr="00AB61EF">
        <w:t xml:space="preserve">Regulation and Frequency Response </w:t>
      </w:r>
    </w:p>
    <w:p w:rsidR="00AB61EF" w:rsidRPr="00AB61EF" w:rsidRDefault="00AB61EF" w:rsidP="006C5894">
      <w:pPr>
        <w:pStyle w:val="Default"/>
        <w:numPr>
          <w:ilvl w:val="0"/>
          <w:numId w:val="25"/>
        </w:numPr>
        <w:spacing w:after="35"/>
        <w:ind w:left="1440"/>
      </w:pPr>
      <w:r w:rsidRPr="00AB61EF">
        <w:t xml:space="preserve">Energy Imbalance </w:t>
      </w:r>
    </w:p>
    <w:p w:rsidR="00AB61EF" w:rsidRPr="00AB61EF" w:rsidRDefault="00AB61EF" w:rsidP="006C5894">
      <w:pPr>
        <w:pStyle w:val="Default"/>
        <w:numPr>
          <w:ilvl w:val="0"/>
          <w:numId w:val="25"/>
        </w:numPr>
        <w:spacing w:after="35"/>
        <w:ind w:left="1440"/>
      </w:pPr>
      <w:r w:rsidRPr="00AB61EF">
        <w:t xml:space="preserve">Operating Reserve—Spinning   </w:t>
      </w:r>
    </w:p>
    <w:p w:rsidR="00AB61EF" w:rsidRPr="00AB61EF" w:rsidRDefault="00AB61EF" w:rsidP="006C5894">
      <w:pPr>
        <w:pStyle w:val="Default"/>
        <w:numPr>
          <w:ilvl w:val="0"/>
          <w:numId w:val="25"/>
        </w:numPr>
        <w:ind w:left="1440"/>
      </w:pPr>
      <w:r w:rsidRPr="00AB61EF">
        <w:t xml:space="preserve">Operating Reserve—Supplemental </w:t>
      </w:r>
    </w:p>
    <w:p w:rsidR="00AB61EF" w:rsidRPr="00AB61EF" w:rsidRDefault="00AB61EF" w:rsidP="00817EFB">
      <w:pPr>
        <w:pStyle w:val="Default"/>
        <w:ind w:left="720"/>
      </w:pPr>
    </w:p>
    <w:p w:rsidR="00AB61EF" w:rsidRPr="00AB61EF" w:rsidRDefault="00AB61EF" w:rsidP="00817EFB">
      <w:pPr>
        <w:pStyle w:val="Default"/>
        <w:ind w:left="720"/>
      </w:pPr>
      <w:r w:rsidRPr="00AB61EF">
        <w:t>Resources used to provide ancillary services are typically those that can provide quick response to changes in generation and load, i.e., those that can increase and decrease generation on an instantaneous and/or momentary basis. Hydro or fast responding thermal resources generally act as good resources for providing ancillary services.</w:t>
      </w:r>
    </w:p>
    <w:p w:rsidR="00AB61EF" w:rsidRPr="00AB61EF" w:rsidRDefault="00AB61EF" w:rsidP="00817EFB">
      <w:pPr>
        <w:pStyle w:val="Default"/>
        <w:ind w:left="720"/>
      </w:pPr>
    </w:p>
    <w:p w:rsidR="00AB61EF" w:rsidRPr="00AB61EF" w:rsidRDefault="00AB61EF" w:rsidP="00817EFB">
      <w:pPr>
        <w:pStyle w:val="Default"/>
        <w:ind w:left="720"/>
      </w:pPr>
      <w:r w:rsidRPr="00AB61EF">
        <w:t>The costs associated with providing ancillary services from resources are primarily fuel, transportation and/or transmission, operations and maintenance, and debt service including taxes.  The opportunity costs for using resources to provide ancillary services can be the market opportunity or serving native load.</w:t>
      </w:r>
    </w:p>
    <w:p w:rsidR="00AB61EF" w:rsidRPr="00AB61EF" w:rsidRDefault="00AB61EF" w:rsidP="00817EFB">
      <w:pPr>
        <w:pStyle w:val="Default"/>
        <w:ind w:left="720"/>
      </w:pPr>
    </w:p>
    <w:p w:rsidR="00AB61EF" w:rsidRPr="00AB61EF" w:rsidRDefault="00AB61EF" w:rsidP="00817EFB">
      <w:pPr>
        <w:pStyle w:val="Default"/>
        <w:ind w:left="720"/>
      </w:pPr>
      <w:r w:rsidRPr="00AB61EF">
        <w:t>Using rates for ancillary services in organized markets as a proxy for valuing ancillary services benefits from energy storage may provide an approximation of the value. However, each resource or energy storage project will have their unique costs and valuing them from a market proxy may result in over or under recovery of their actual costs.</w:t>
      </w:r>
    </w:p>
    <w:p w:rsidR="00E46C58" w:rsidRDefault="00E46C58" w:rsidP="00E46C58">
      <w:pPr>
        <w:rPr>
          <w:rFonts w:ascii="Times New Roman" w:hAnsi="Times New Roman"/>
          <w:szCs w:val="24"/>
        </w:rPr>
      </w:pPr>
    </w:p>
    <w:p w:rsidR="00624E2B" w:rsidRPr="006C5894" w:rsidRDefault="005E35E5" w:rsidP="006C5894">
      <w:pPr>
        <w:pStyle w:val="ListParagraph"/>
        <w:numPr>
          <w:ilvl w:val="0"/>
          <w:numId w:val="22"/>
        </w:numPr>
        <w:spacing w:after="0" w:line="240" w:lineRule="auto"/>
        <w:ind w:hanging="720"/>
        <w:rPr>
          <w:rFonts w:ascii="Times New Roman" w:hAnsi="Times New Roman" w:cs="Times New Roman"/>
          <w:b/>
          <w:sz w:val="24"/>
          <w:szCs w:val="24"/>
        </w:rPr>
      </w:pPr>
      <w:r w:rsidRPr="006C5894">
        <w:rPr>
          <w:rFonts w:ascii="Times New Roman" w:hAnsi="Times New Roman" w:cs="Times New Roman"/>
          <w:b/>
          <w:sz w:val="24"/>
          <w:szCs w:val="24"/>
        </w:rPr>
        <w:t>What additional questions should the Commission consider in the course of this investigation?</w:t>
      </w:r>
    </w:p>
    <w:p w:rsidR="00AB61EF" w:rsidRDefault="00AB61EF" w:rsidP="00AB61EF">
      <w:pPr>
        <w:ind w:left="1440"/>
        <w:rPr>
          <w:rFonts w:ascii="Times New Roman" w:hAnsi="Times New Roman"/>
          <w:szCs w:val="24"/>
        </w:rPr>
      </w:pPr>
    </w:p>
    <w:p w:rsidR="00923B34" w:rsidRPr="004320FC" w:rsidRDefault="00923B34" w:rsidP="006C5894">
      <w:pPr>
        <w:ind w:left="720"/>
        <w:rPr>
          <w:rFonts w:ascii="Times New Roman" w:hAnsi="Times New Roman"/>
          <w:szCs w:val="24"/>
        </w:rPr>
      </w:pPr>
      <w:r w:rsidRPr="004320FC">
        <w:rPr>
          <w:rFonts w:ascii="Times New Roman" w:hAnsi="Times New Roman"/>
          <w:szCs w:val="24"/>
        </w:rPr>
        <w:t>The Commission has identified a robust set of questions for this investigation.  In addition to the comments above, the Company req</w:t>
      </w:r>
      <w:r w:rsidR="0029222E">
        <w:rPr>
          <w:rFonts w:ascii="Times New Roman" w:hAnsi="Times New Roman"/>
          <w:szCs w:val="24"/>
        </w:rPr>
        <w:t>uests that the Commission allow</w:t>
      </w:r>
      <w:r w:rsidRPr="004320FC">
        <w:rPr>
          <w:rFonts w:ascii="Times New Roman" w:hAnsi="Times New Roman"/>
          <w:szCs w:val="24"/>
        </w:rPr>
        <w:t xml:space="preserve"> for flexibility in how utilities evaluate energy storage resources in their IRP and procurement processes.  Each utility has unique system characteristics, data, and existing modeling tools that will influence solutions for improving how energy storage technologies </w:t>
      </w:r>
      <w:r w:rsidR="00BB32CA" w:rsidRPr="004320FC">
        <w:rPr>
          <w:rFonts w:ascii="Times New Roman" w:hAnsi="Times New Roman"/>
          <w:szCs w:val="24"/>
        </w:rPr>
        <w:t xml:space="preserve">can be </w:t>
      </w:r>
      <w:r w:rsidRPr="004320FC">
        <w:rPr>
          <w:rFonts w:ascii="Times New Roman" w:hAnsi="Times New Roman"/>
          <w:szCs w:val="24"/>
        </w:rPr>
        <w:t xml:space="preserve">analyzed.  </w:t>
      </w:r>
    </w:p>
    <w:p w:rsidR="00923B34" w:rsidRDefault="00923B34" w:rsidP="004320FC">
      <w:pPr>
        <w:rPr>
          <w:rFonts w:ascii="Times New Roman" w:hAnsi="Times New Roman"/>
          <w:szCs w:val="24"/>
        </w:rPr>
      </w:pPr>
    </w:p>
    <w:p w:rsidR="00624E2B" w:rsidRPr="00AB61EF" w:rsidRDefault="00BC25DD" w:rsidP="00E46C58">
      <w:pPr>
        <w:rPr>
          <w:rFonts w:ascii="Times New Roman" w:hAnsi="Times New Roman"/>
          <w:szCs w:val="24"/>
        </w:rPr>
      </w:pPr>
      <w:r w:rsidRPr="00AB61EF">
        <w:rPr>
          <w:rFonts w:ascii="Times New Roman" w:hAnsi="Times New Roman"/>
          <w:szCs w:val="24"/>
        </w:rPr>
        <w:t xml:space="preserve">Pacific Power appreciates the opportunity to provide these comments and looks forward to </w:t>
      </w:r>
      <w:r w:rsidR="00AB61EF">
        <w:rPr>
          <w:rFonts w:ascii="Times New Roman" w:hAnsi="Times New Roman"/>
          <w:szCs w:val="24"/>
        </w:rPr>
        <w:t xml:space="preserve">further </w:t>
      </w:r>
      <w:r w:rsidRPr="00AB61EF">
        <w:rPr>
          <w:rFonts w:ascii="Times New Roman" w:hAnsi="Times New Roman"/>
          <w:szCs w:val="24"/>
        </w:rPr>
        <w:t xml:space="preserve">participating in </w:t>
      </w:r>
      <w:r w:rsidR="00AB61EF">
        <w:rPr>
          <w:rFonts w:ascii="Times New Roman" w:hAnsi="Times New Roman"/>
          <w:szCs w:val="24"/>
        </w:rPr>
        <w:t>this proceeding</w:t>
      </w:r>
      <w:r w:rsidRPr="00AB61EF">
        <w:rPr>
          <w:rFonts w:ascii="Times New Roman" w:hAnsi="Times New Roman"/>
          <w:szCs w:val="24"/>
        </w:rPr>
        <w:t xml:space="preserve">. </w:t>
      </w:r>
    </w:p>
    <w:p w:rsidR="00624E2B" w:rsidRPr="00AB61EF" w:rsidRDefault="00624E2B" w:rsidP="00E46C58">
      <w:pPr>
        <w:rPr>
          <w:rFonts w:ascii="Times New Roman" w:hAnsi="Times New Roman"/>
          <w:szCs w:val="24"/>
        </w:rPr>
      </w:pPr>
    </w:p>
    <w:p w:rsidR="00624E2B" w:rsidRPr="00AB61EF" w:rsidRDefault="00BC25DD" w:rsidP="00E46C58">
      <w:pPr>
        <w:rPr>
          <w:rFonts w:ascii="Times New Roman" w:hAnsi="Times New Roman"/>
          <w:szCs w:val="24"/>
        </w:rPr>
      </w:pPr>
      <w:r w:rsidRPr="00AB61EF">
        <w:rPr>
          <w:rFonts w:ascii="Times New Roman" w:hAnsi="Times New Roman"/>
          <w:szCs w:val="24"/>
        </w:rPr>
        <w:t xml:space="preserve">Please direct inquiries to </w:t>
      </w:r>
      <w:r w:rsidR="005E35E5" w:rsidRPr="00AB61EF">
        <w:rPr>
          <w:rFonts w:ascii="Times New Roman" w:hAnsi="Times New Roman"/>
          <w:szCs w:val="24"/>
        </w:rPr>
        <w:t>Ariel Son, Manager, Regulatory Projects</w:t>
      </w:r>
      <w:r w:rsidRPr="00AB61EF">
        <w:rPr>
          <w:rFonts w:ascii="Times New Roman" w:hAnsi="Times New Roman"/>
          <w:szCs w:val="24"/>
        </w:rPr>
        <w:t>, at (503) 813-</w:t>
      </w:r>
      <w:r w:rsidR="005E35E5" w:rsidRPr="00AB61EF">
        <w:rPr>
          <w:rFonts w:ascii="Times New Roman" w:hAnsi="Times New Roman"/>
          <w:szCs w:val="24"/>
        </w:rPr>
        <w:t>5410</w:t>
      </w:r>
      <w:r w:rsidRPr="00AB61EF">
        <w:rPr>
          <w:rFonts w:ascii="Times New Roman" w:hAnsi="Times New Roman"/>
          <w:szCs w:val="24"/>
        </w:rPr>
        <w:t>.</w:t>
      </w:r>
    </w:p>
    <w:p w:rsidR="00624E2B" w:rsidRPr="00AB61EF" w:rsidRDefault="00624E2B" w:rsidP="00E46C58">
      <w:pPr>
        <w:rPr>
          <w:rFonts w:ascii="Times New Roman" w:hAnsi="Times New Roman"/>
          <w:szCs w:val="24"/>
        </w:rPr>
      </w:pPr>
    </w:p>
    <w:p w:rsidR="00624E2B" w:rsidRPr="00AB61EF" w:rsidRDefault="00BC25DD" w:rsidP="00E46C58">
      <w:pPr>
        <w:rPr>
          <w:rFonts w:ascii="Times New Roman" w:hAnsi="Times New Roman"/>
          <w:szCs w:val="24"/>
        </w:rPr>
      </w:pPr>
      <w:r w:rsidRPr="00AB61EF">
        <w:rPr>
          <w:rFonts w:ascii="Times New Roman" w:hAnsi="Times New Roman"/>
          <w:szCs w:val="24"/>
        </w:rPr>
        <w:t>Sincerely,</w:t>
      </w:r>
    </w:p>
    <w:p w:rsidR="00624E2B" w:rsidRPr="00AB61EF" w:rsidRDefault="00624E2B" w:rsidP="00E46C58">
      <w:pPr>
        <w:rPr>
          <w:rFonts w:ascii="Times New Roman" w:hAnsi="Times New Roman"/>
          <w:szCs w:val="24"/>
        </w:rPr>
      </w:pPr>
    </w:p>
    <w:p w:rsidR="00624E2B" w:rsidRPr="00AB61EF" w:rsidRDefault="00624E2B" w:rsidP="00E46C58">
      <w:pPr>
        <w:rPr>
          <w:rFonts w:ascii="Times New Roman" w:hAnsi="Times New Roman"/>
          <w:szCs w:val="24"/>
        </w:rPr>
      </w:pPr>
    </w:p>
    <w:p w:rsidR="00624E2B" w:rsidRPr="00AB61EF" w:rsidRDefault="00624E2B" w:rsidP="00E46C58">
      <w:pPr>
        <w:rPr>
          <w:rFonts w:ascii="Times New Roman" w:hAnsi="Times New Roman"/>
          <w:szCs w:val="24"/>
        </w:rPr>
      </w:pPr>
    </w:p>
    <w:p w:rsidR="00624E2B" w:rsidRPr="00AB61EF" w:rsidRDefault="00BC25DD" w:rsidP="00E46C58">
      <w:pPr>
        <w:rPr>
          <w:rFonts w:ascii="Times New Roman" w:hAnsi="Times New Roman"/>
          <w:szCs w:val="24"/>
        </w:rPr>
      </w:pPr>
      <w:r w:rsidRPr="00AB61EF">
        <w:rPr>
          <w:rFonts w:ascii="Times New Roman" w:hAnsi="Times New Roman"/>
          <w:szCs w:val="24"/>
        </w:rPr>
        <w:t>R. Bryce Dalley</w:t>
      </w:r>
    </w:p>
    <w:p w:rsidR="00624E2B" w:rsidRPr="00AB61EF" w:rsidRDefault="00BC25DD" w:rsidP="00E46C58">
      <w:pPr>
        <w:rPr>
          <w:rFonts w:ascii="Times New Roman" w:hAnsi="Times New Roman"/>
          <w:szCs w:val="24"/>
        </w:rPr>
      </w:pPr>
      <w:r w:rsidRPr="00AB61EF">
        <w:rPr>
          <w:rFonts w:ascii="Times New Roman" w:hAnsi="Times New Roman"/>
          <w:szCs w:val="24"/>
        </w:rPr>
        <w:t xml:space="preserve">Vice President, Regulation </w:t>
      </w:r>
    </w:p>
    <w:p w:rsidR="00624E2B" w:rsidRPr="00AB61EF" w:rsidRDefault="00624E2B" w:rsidP="00E46C58">
      <w:pPr>
        <w:pStyle w:val="ReLine"/>
        <w:spacing w:before="0"/>
        <w:ind w:left="0" w:right="115" w:firstLine="0"/>
        <w:rPr>
          <w:rFonts w:hAnsi="Times New Roman"/>
          <w:b w:val="0"/>
          <w:szCs w:val="24"/>
          <w:u w:val="single"/>
        </w:rPr>
      </w:pPr>
    </w:p>
    <w:sectPr w:rsidR="00624E2B" w:rsidRPr="00AB61EF" w:rsidSect="006C5894">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DDB" w:rsidRDefault="000D7DDB">
      <w:r>
        <w:separator/>
      </w:r>
    </w:p>
  </w:endnote>
  <w:endnote w:type="continuationSeparator" w:id="0">
    <w:p w:rsidR="000D7DDB" w:rsidRDefault="000D7DDB">
      <w:r>
        <w:continuationSeparator/>
      </w:r>
    </w:p>
  </w:endnote>
  <w:endnote w:type="continuationNotice" w:id="1">
    <w:p w:rsidR="000D7DDB" w:rsidRDefault="000D7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4CD" w:rsidRDefault="00A274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4CD" w:rsidRDefault="00A274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4CD" w:rsidRDefault="00A27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DDB" w:rsidRDefault="000D7DDB">
      <w:r>
        <w:separator/>
      </w:r>
    </w:p>
  </w:footnote>
  <w:footnote w:type="continuationSeparator" w:id="0">
    <w:p w:rsidR="000D7DDB" w:rsidRDefault="000D7DDB">
      <w:r>
        <w:continuationSeparator/>
      </w:r>
    </w:p>
  </w:footnote>
  <w:footnote w:type="continuationNotice" w:id="1">
    <w:p w:rsidR="000D7DDB" w:rsidRDefault="000D7D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4CD" w:rsidRDefault="00A274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DDB" w:rsidRDefault="000D7DDB">
    <w:pPr>
      <w:pStyle w:val="Header"/>
      <w:rPr>
        <w:sz w:val="22"/>
        <w:szCs w:val="22"/>
      </w:rPr>
    </w:pPr>
    <w:r>
      <w:rPr>
        <w:sz w:val="22"/>
        <w:szCs w:val="22"/>
      </w:rPr>
      <w:t>Docket UE-151069</w:t>
    </w:r>
  </w:p>
  <w:p w:rsidR="000D7DDB" w:rsidRDefault="000D7DDB">
    <w:pPr>
      <w:pStyle w:val="Header"/>
      <w:rPr>
        <w:sz w:val="22"/>
        <w:szCs w:val="22"/>
      </w:rPr>
    </w:pPr>
    <w:r>
      <w:rPr>
        <w:sz w:val="22"/>
        <w:szCs w:val="22"/>
      </w:rPr>
      <w:t>Washington Utilities and Transportation Commission</w:t>
    </w:r>
  </w:p>
  <w:p w:rsidR="000D7DDB" w:rsidRDefault="000D7DDB">
    <w:pPr>
      <w:pStyle w:val="Header"/>
      <w:rPr>
        <w:sz w:val="22"/>
        <w:szCs w:val="22"/>
      </w:rPr>
    </w:pPr>
    <w:r>
      <w:rPr>
        <w:sz w:val="22"/>
        <w:szCs w:val="22"/>
      </w:rPr>
      <w:t>September 25, 2015</w:t>
    </w:r>
  </w:p>
  <w:p w:rsidR="000D7DDB" w:rsidRDefault="000D7DDB">
    <w:pPr>
      <w:pStyle w:val="Header"/>
      <w:rPr>
        <w:sz w:val="22"/>
        <w:szCs w:val="22"/>
      </w:rPr>
    </w:pPr>
    <w:r>
      <w:rPr>
        <w:sz w:val="22"/>
        <w:szCs w:val="22"/>
      </w:rPr>
      <w:t xml:space="preserve">Page </w:t>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A274CD">
      <w:rPr>
        <w:rStyle w:val="PageNumber"/>
        <w:noProof/>
        <w:sz w:val="22"/>
        <w:szCs w:val="22"/>
      </w:rPr>
      <w:t>2</w:t>
    </w:r>
    <w:r>
      <w:rPr>
        <w:rStyle w:val="PageNumber"/>
        <w:sz w:val="22"/>
        <w:szCs w:val="22"/>
      </w:rPr>
      <w:fldChar w:fldCharType="end"/>
    </w:r>
    <w:r>
      <w:rPr>
        <w:rStyle w:val="PageNumber"/>
        <w:sz w:val="22"/>
        <w:szCs w:val="22"/>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4CD" w:rsidRDefault="00A274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A57"/>
    <w:multiLevelType w:val="hybridMultilevel"/>
    <w:tmpl w:val="F5C42626"/>
    <w:lvl w:ilvl="0" w:tplc="04090011">
      <w:start w:val="1"/>
      <w:numFmt w:val="decimal"/>
      <w:lvlText w:val="%1)"/>
      <w:lvlJc w:val="left"/>
      <w:pPr>
        <w:ind w:left="-720" w:hanging="360"/>
      </w:p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1">
    <w:nsid w:val="022A3FAA"/>
    <w:multiLevelType w:val="hybridMultilevel"/>
    <w:tmpl w:val="1C2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883AA7"/>
    <w:multiLevelType w:val="hybridMultilevel"/>
    <w:tmpl w:val="BC90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A65AB8"/>
    <w:multiLevelType w:val="hybridMultilevel"/>
    <w:tmpl w:val="1714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C3FCE"/>
    <w:multiLevelType w:val="hybridMultilevel"/>
    <w:tmpl w:val="DA56B8C2"/>
    <w:lvl w:ilvl="0" w:tplc="E87EAB2A">
      <w:start w:val="17"/>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AC5CA8"/>
    <w:multiLevelType w:val="hybridMultilevel"/>
    <w:tmpl w:val="9FA4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F046E8"/>
    <w:multiLevelType w:val="hybridMultilevel"/>
    <w:tmpl w:val="4992B72C"/>
    <w:lvl w:ilvl="0" w:tplc="BBECE6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1D198E"/>
    <w:multiLevelType w:val="hybridMultilevel"/>
    <w:tmpl w:val="E87EA6F8"/>
    <w:lvl w:ilvl="0" w:tplc="D548BE10">
      <w:start w:val="1"/>
      <w:numFmt w:val="decimal"/>
      <w:lvlText w:val="%1."/>
      <w:lvlJc w:val="left"/>
      <w:pPr>
        <w:ind w:left="720" w:hanging="360"/>
      </w:pPr>
      <w:rPr>
        <w:rFonts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1A23B5"/>
    <w:multiLevelType w:val="hybridMultilevel"/>
    <w:tmpl w:val="4D3EB91A"/>
    <w:lvl w:ilvl="0" w:tplc="78C0C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1157C6"/>
    <w:multiLevelType w:val="hybridMultilevel"/>
    <w:tmpl w:val="832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DE313E6"/>
    <w:multiLevelType w:val="hybridMultilevel"/>
    <w:tmpl w:val="46E2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9B30B9"/>
    <w:multiLevelType w:val="hybridMultilevel"/>
    <w:tmpl w:val="50D68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9C2381"/>
    <w:multiLevelType w:val="hybridMultilevel"/>
    <w:tmpl w:val="7AB2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E4357"/>
    <w:multiLevelType w:val="hybridMultilevel"/>
    <w:tmpl w:val="892026E6"/>
    <w:lvl w:ilvl="0" w:tplc="AA3EB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FD0A19"/>
    <w:multiLevelType w:val="hybridMultilevel"/>
    <w:tmpl w:val="39FA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7C1B86"/>
    <w:multiLevelType w:val="hybridMultilevel"/>
    <w:tmpl w:val="42A8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36346F"/>
    <w:multiLevelType w:val="hybridMultilevel"/>
    <w:tmpl w:val="FB2441B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91B8B2A6">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B52D31"/>
    <w:multiLevelType w:val="hybridMultilevel"/>
    <w:tmpl w:val="EA5A1DE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8F60DC"/>
    <w:multiLevelType w:val="hybridMultilevel"/>
    <w:tmpl w:val="4BFC831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B04F96"/>
    <w:multiLevelType w:val="hybridMultilevel"/>
    <w:tmpl w:val="A2C87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E96770"/>
    <w:multiLevelType w:val="hybridMultilevel"/>
    <w:tmpl w:val="02F0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E92D22"/>
    <w:multiLevelType w:val="hybridMultilevel"/>
    <w:tmpl w:val="CAB06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B53E31"/>
    <w:multiLevelType w:val="hybridMultilevel"/>
    <w:tmpl w:val="7CD203DC"/>
    <w:lvl w:ilvl="0" w:tplc="6D560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D9B7FFD"/>
    <w:multiLevelType w:val="hybridMultilevel"/>
    <w:tmpl w:val="E7DE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15"/>
  </w:num>
  <w:num w:numId="4">
    <w:abstractNumId w:val="3"/>
  </w:num>
  <w:num w:numId="5">
    <w:abstractNumId w:val="2"/>
  </w:num>
  <w:num w:numId="6">
    <w:abstractNumId w:val="23"/>
  </w:num>
  <w:num w:numId="7">
    <w:abstractNumId w:val="7"/>
  </w:num>
  <w:num w:numId="8">
    <w:abstractNumId w:val="17"/>
  </w:num>
  <w:num w:numId="9">
    <w:abstractNumId w:val="6"/>
  </w:num>
  <w:num w:numId="10">
    <w:abstractNumId w:val="20"/>
  </w:num>
  <w:num w:numId="11">
    <w:abstractNumId w:val="18"/>
  </w:num>
  <w:num w:numId="12">
    <w:abstractNumId w:val="10"/>
  </w:num>
  <w:num w:numId="13">
    <w:abstractNumId w:val="21"/>
  </w:num>
  <w:num w:numId="14">
    <w:abstractNumId w:val="22"/>
  </w:num>
  <w:num w:numId="15">
    <w:abstractNumId w:val="13"/>
  </w:num>
  <w:num w:numId="16">
    <w:abstractNumId w:val="8"/>
  </w:num>
  <w:num w:numId="17">
    <w:abstractNumId w:val="4"/>
  </w:num>
  <w:num w:numId="18">
    <w:abstractNumId w:val="5"/>
  </w:num>
  <w:num w:numId="19">
    <w:abstractNumId w:val="11"/>
  </w:num>
  <w:num w:numId="20">
    <w:abstractNumId w:val="19"/>
  </w:num>
  <w:num w:numId="21">
    <w:abstractNumId w:val="14"/>
  </w:num>
  <w:num w:numId="22">
    <w:abstractNumId w:val="16"/>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E2B"/>
    <w:rsid w:val="000D7DDB"/>
    <w:rsid w:val="00163A5A"/>
    <w:rsid w:val="001C5BBA"/>
    <w:rsid w:val="0023525D"/>
    <w:rsid w:val="002616C7"/>
    <w:rsid w:val="00273E51"/>
    <w:rsid w:val="0029222E"/>
    <w:rsid w:val="0037667F"/>
    <w:rsid w:val="004320FC"/>
    <w:rsid w:val="004F310B"/>
    <w:rsid w:val="00554941"/>
    <w:rsid w:val="00587AA9"/>
    <w:rsid w:val="005E35E5"/>
    <w:rsid w:val="00624E2B"/>
    <w:rsid w:val="00646CC9"/>
    <w:rsid w:val="006A6C54"/>
    <w:rsid w:val="006C3E57"/>
    <w:rsid w:val="006C5894"/>
    <w:rsid w:val="00817EFB"/>
    <w:rsid w:val="00843540"/>
    <w:rsid w:val="00843916"/>
    <w:rsid w:val="00923B34"/>
    <w:rsid w:val="0099484B"/>
    <w:rsid w:val="009F6BCA"/>
    <w:rsid w:val="00A274CD"/>
    <w:rsid w:val="00AB61EF"/>
    <w:rsid w:val="00B10C0A"/>
    <w:rsid w:val="00BB32CA"/>
    <w:rsid w:val="00BC25DD"/>
    <w:rsid w:val="00CD420D"/>
    <w:rsid w:val="00DB11CE"/>
    <w:rsid w:val="00DD6510"/>
    <w:rsid w:val="00DE24AF"/>
    <w:rsid w:val="00DE6C65"/>
    <w:rsid w:val="00E01C6E"/>
    <w:rsid w:val="00E46C58"/>
    <w:rsid w:val="00F17476"/>
    <w:rsid w:val="00F20318"/>
    <w:rsid w:val="00F2105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Pr>
      <w:rFonts w:ascii="Times New Roman" w:eastAsia="Times New Roman" w:hAnsi="Times New Roman"/>
      <w:sz w:val="16"/>
    </w:rPr>
  </w:style>
  <w:style w:type="paragraph" w:styleId="BodyText">
    <w:name w:val="Body Text"/>
    <w:basedOn w:val="Normal"/>
    <w:pPr>
      <w:spacing w:line="480" w:lineRule="auto"/>
      <w:ind w:firstLine="720"/>
    </w:pPr>
    <w:rPr>
      <w:rFonts w:ascii="Times New Roman" w:eastAsia="Times New Roman" w:hAnsi="Times New Roman"/>
      <w:szCs w:val="24"/>
    </w:rPr>
  </w:style>
  <w:style w:type="paragraph" w:customStyle="1" w:styleId="Address">
    <w:name w:val="Address"/>
    <w:basedOn w:val="Normal"/>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Pr>
      <w:rFonts w:ascii="Times New Roman" w:hAnsi="Times New Roman"/>
      <w:color w:val="auto"/>
      <w:spacing w:val="0"/>
      <w:kern w:val="0"/>
      <w:position w:val="0"/>
      <w:sz w:val="24"/>
      <w:u w:val="none"/>
      <w:vertAlign w:val="baseline"/>
    </w:rPr>
  </w:style>
  <w:style w:type="paragraph" w:styleId="Header">
    <w:name w:val="header"/>
    <w:basedOn w:val="Normal"/>
    <w:pPr>
      <w:tabs>
        <w:tab w:val="center" w:pos="4680"/>
        <w:tab w:val="right" w:pos="9360"/>
      </w:tabs>
    </w:pPr>
    <w:rPr>
      <w:rFonts w:ascii="Times New Roman" w:eastAsia="Times New Roman" w:hAnsi="Times New Roman"/>
      <w:szCs w:val="24"/>
    </w:rPr>
  </w:style>
  <w:style w:type="character" w:styleId="PageNumber">
    <w:name w:val="page number"/>
    <w:basedOn w:val="DefaultParagraphFont"/>
  </w:style>
  <w:style w:type="paragraph" w:customStyle="1" w:styleId="CharChar">
    <w:name w:val="Char Char"/>
    <w:basedOn w:val="Normal"/>
    <w:pPr>
      <w:spacing w:after="160" w:line="240" w:lineRule="exact"/>
    </w:pPr>
    <w:rPr>
      <w:rFonts w:ascii="Verdana" w:eastAsia="Times New Roman" w:hAnsi="Verdana"/>
      <w:sz w:val="20"/>
    </w:rPr>
  </w:style>
  <w:style w:type="paragraph" w:customStyle="1" w:styleId="HangingIndent">
    <w:name w:val="Hanging Indent"/>
    <w:basedOn w:val="Normal"/>
    <w:pPr>
      <w:ind w:left="576" w:hanging="576"/>
    </w:pPr>
    <w:rPr>
      <w:rFonts w:ascii="Times New Roman" w:eastAsia="Times New Roman" w:hAnsi="Times New Roman"/>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CharChar1">
    <w:name w:val="Char Char1"/>
    <w:basedOn w:val="Normal"/>
    <w:pPr>
      <w:spacing w:after="160" w:line="240" w:lineRule="exact"/>
    </w:pPr>
    <w:rPr>
      <w:rFonts w:ascii="Verdana" w:eastAsia="Times New Roman" w:hAnsi="Verdana"/>
      <w:sz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Signature">
    <w:name w:val="Letter Signature"/>
    <w:basedOn w:val="Normal"/>
    <w:pPr>
      <w:keepNext/>
      <w:keepLines/>
    </w:pPr>
    <w:rPr>
      <w:rFonts w:ascii="Times New Roman" w:eastAsia="Times New Roman" w:hAnsi="Times New Roman"/>
      <w:szCs w:val="24"/>
    </w:rPr>
  </w:style>
  <w:style w:type="paragraph" w:customStyle="1" w:styleId="ReLine">
    <w:name w:val="ReLine"/>
    <w:basedOn w:val="Normal"/>
    <w:next w:val="Normal"/>
    <w:pPr>
      <w:spacing w:before="240"/>
      <w:ind w:left="1440" w:hanging="720"/>
    </w:pPr>
    <w:rPr>
      <w:rFonts w:ascii="Times New Roman" w:eastAsia="Times New Roman" w:hAnsi="Times New Roman Bold"/>
      <w:b/>
    </w:rPr>
  </w:style>
  <w:style w:type="paragraph" w:customStyle="1" w:styleId="LetterSignatureSub">
    <w:name w:val="Letter Signature Sub"/>
    <w:basedOn w:val="LetterSignature"/>
    <w:pPr>
      <w:ind w:left="720" w:hanging="720"/>
    </w:pPr>
  </w:style>
  <w:style w:type="paragraph" w:customStyle="1" w:styleId="DocumentTitle">
    <w:name w:val="Document Title"/>
    <w:basedOn w:val="Normal"/>
    <w:pPr>
      <w:widowControl w:val="0"/>
      <w:tabs>
        <w:tab w:val="left" w:pos="1238"/>
      </w:tabs>
      <w:spacing w:after="240" w:line="240" w:lineRule="exact"/>
      <w:ind w:left="259" w:right="115"/>
    </w:pPr>
    <w:rPr>
      <w:rFonts w:ascii="Times New Roman" w:eastAsia="Times New Roman" w:hAnsi="Times New Roman"/>
      <w:szCs w:val="24"/>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semiHidden/>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unhideWhenUsed/>
    <w:rPr>
      <w:vertAlign w:val="superscript"/>
    </w:rPr>
  </w:style>
  <w:style w:type="paragraph" w:styleId="NoSpacing">
    <w:name w:val="No Spacing"/>
    <w:uiPriority w:val="1"/>
    <w:qFormat/>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Pr>
      <w:rFonts w:ascii="Times New Roman" w:eastAsia="Times New Roman" w:hAnsi="Times New Roman"/>
      <w:sz w:val="16"/>
    </w:rPr>
  </w:style>
  <w:style w:type="paragraph" w:styleId="BodyText">
    <w:name w:val="Body Text"/>
    <w:basedOn w:val="Normal"/>
    <w:pPr>
      <w:spacing w:line="480" w:lineRule="auto"/>
      <w:ind w:firstLine="720"/>
    </w:pPr>
    <w:rPr>
      <w:rFonts w:ascii="Times New Roman" w:eastAsia="Times New Roman" w:hAnsi="Times New Roman"/>
      <w:szCs w:val="24"/>
    </w:rPr>
  </w:style>
  <w:style w:type="paragraph" w:customStyle="1" w:styleId="Address">
    <w:name w:val="Address"/>
    <w:basedOn w:val="Normal"/>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Pr>
      <w:rFonts w:ascii="Times New Roman" w:hAnsi="Times New Roman"/>
      <w:color w:val="auto"/>
      <w:spacing w:val="0"/>
      <w:kern w:val="0"/>
      <w:position w:val="0"/>
      <w:sz w:val="24"/>
      <w:u w:val="none"/>
      <w:vertAlign w:val="baseline"/>
    </w:rPr>
  </w:style>
  <w:style w:type="paragraph" w:styleId="Header">
    <w:name w:val="header"/>
    <w:basedOn w:val="Normal"/>
    <w:pPr>
      <w:tabs>
        <w:tab w:val="center" w:pos="4680"/>
        <w:tab w:val="right" w:pos="9360"/>
      </w:tabs>
    </w:pPr>
    <w:rPr>
      <w:rFonts w:ascii="Times New Roman" w:eastAsia="Times New Roman" w:hAnsi="Times New Roman"/>
      <w:szCs w:val="24"/>
    </w:rPr>
  </w:style>
  <w:style w:type="character" w:styleId="PageNumber">
    <w:name w:val="page number"/>
    <w:basedOn w:val="DefaultParagraphFont"/>
  </w:style>
  <w:style w:type="paragraph" w:customStyle="1" w:styleId="CharChar">
    <w:name w:val="Char Char"/>
    <w:basedOn w:val="Normal"/>
    <w:pPr>
      <w:spacing w:after="160" w:line="240" w:lineRule="exact"/>
    </w:pPr>
    <w:rPr>
      <w:rFonts w:ascii="Verdana" w:eastAsia="Times New Roman" w:hAnsi="Verdana"/>
      <w:sz w:val="20"/>
    </w:rPr>
  </w:style>
  <w:style w:type="paragraph" w:customStyle="1" w:styleId="HangingIndent">
    <w:name w:val="Hanging Indent"/>
    <w:basedOn w:val="Normal"/>
    <w:pPr>
      <w:ind w:left="576" w:hanging="576"/>
    </w:pPr>
    <w:rPr>
      <w:rFonts w:ascii="Times New Roman" w:eastAsia="Times New Roman" w:hAnsi="Times New Roman"/>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CharChar1">
    <w:name w:val="Char Char1"/>
    <w:basedOn w:val="Normal"/>
    <w:pPr>
      <w:spacing w:after="160" w:line="240" w:lineRule="exact"/>
    </w:pPr>
    <w:rPr>
      <w:rFonts w:ascii="Verdana" w:eastAsia="Times New Roman" w:hAnsi="Verdana"/>
      <w:sz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Signature">
    <w:name w:val="Letter Signature"/>
    <w:basedOn w:val="Normal"/>
    <w:pPr>
      <w:keepNext/>
      <w:keepLines/>
    </w:pPr>
    <w:rPr>
      <w:rFonts w:ascii="Times New Roman" w:eastAsia="Times New Roman" w:hAnsi="Times New Roman"/>
      <w:szCs w:val="24"/>
    </w:rPr>
  </w:style>
  <w:style w:type="paragraph" w:customStyle="1" w:styleId="ReLine">
    <w:name w:val="ReLine"/>
    <w:basedOn w:val="Normal"/>
    <w:next w:val="Normal"/>
    <w:pPr>
      <w:spacing w:before="240"/>
      <w:ind w:left="1440" w:hanging="720"/>
    </w:pPr>
    <w:rPr>
      <w:rFonts w:ascii="Times New Roman" w:eastAsia="Times New Roman" w:hAnsi="Times New Roman Bold"/>
      <w:b/>
    </w:rPr>
  </w:style>
  <w:style w:type="paragraph" w:customStyle="1" w:styleId="LetterSignatureSub">
    <w:name w:val="Letter Signature Sub"/>
    <w:basedOn w:val="LetterSignature"/>
    <w:pPr>
      <w:ind w:left="720" w:hanging="720"/>
    </w:pPr>
  </w:style>
  <w:style w:type="paragraph" w:customStyle="1" w:styleId="DocumentTitle">
    <w:name w:val="Document Title"/>
    <w:basedOn w:val="Normal"/>
    <w:pPr>
      <w:widowControl w:val="0"/>
      <w:tabs>
        <w:tab w:val="left" w:pos="1238"/>
      </w:tabs>
      <w:spacing w:after="240" w:line="240" w:lineRule="exact"/>
      <w:ind w:left="259" w:right="115"/>
    </w:pPr>
    <w:rPr>
      <w:rFonts w:ascii="Times New Roman" w:eastAsia="Times New Roman" w:hAnsi="Times New Roman"/>
      <w:szCs w:val="24"/>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semiHidden/>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unhideWhenUsed/>
    <w:rPr>
      <w:vertAlign w:val="superscript"/>
    </w:rPr>
  </w:style>
  <w:style w:type="paragraph" w:styleId="NoSpacing">
    <w:name w:val="No Spacing"/>
    <w:uiPriority w:val="1"/>
    <w:qFormat/>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45619">
      <w:bodyDiv w:val="1"/>
      <w:marLeft w:val="0"/>
      <w:marRight w:val="0"/>
      <w:marTop w:val="0"/>
      <w:marBottom w:val="0"/>
      <w:divBdr>
        <w:top w:val="none" w:sz="0" w:space="0" w:color="auto"/>
        <w:left w:val="none" w:sz="0" w:space="0" w:color="auto"/>
        <w:bottom w:val="none" w:sz="0" w:space="0" w:color="auto"/>
        <w:right w:val="none" w:sz="0" w:space="0" w:color="auto"/>
      </w:divBdr>
    </w:div>
    <w:div w:id="19439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2015-05-18T07:00:00+00:00</OpenedDate>
    <Date1 xmlns="dc463f71-b30c-4ab2-9473-d307f9d35888">2015-09-25T07:00:00+00:00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151069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F265E5B3AF5A498F041FB34EEA8E7E" ma:contentTypeVersion="119" ma:contentTypeDescription="" ma:contentTypeScope="" ma:versionID="edca5ab1cda14bc272c7078bec0967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DA3371-767A-4E50-BE35-C2C876E23EDE}"/>
</file>

<file path=customXml/itemProps2.xml><?xml version="1.0" encoding="utf-8"?>
<ds:datastoreItem xmlns:ds="http://schemas.openxmlformats.org/officeDocument/2006/customXml" ds:itemID="{AB5BD322-F937-40CE-B2E9-588A951722EF}"/>
</file>

<file path=customXml/itemProps3.xml><?xml version="1.0" encoding="utf-8"?>
<ds:datastoreItem xmlns:ds="http://schemas.openxmlformats.org/officeDocument/2006/customXml" ds:itemID="{D8B0A185-541F-4B62-9BB8-8BB196A03365}"/>
</file>

<file path=customXml/itemProps4.xml><?xml version="1.0" encoding="utf-8"?>
<ds:datastoreItem xmlns:ds="http://schemas.openxmlformats.org/officeDocument/2006/customXml" ds:itemID="{C38117EE-D08F-493E-B435-F6B89F576870}"/>
</file>

<file path=docProps/app.xml><?xml version="1.0" encoding="utf-8"?>
<Properties xmlns="http://schemas.openxmlformats.org/officeDocument/2006/extended-properties" xmlns:vt="http://schemas.openxmlformats.org/officeDocument/2006/docPropsVTypes">
  <Template>Normal.dotm</Template>
  <TotalTime>0</TotalTime>
  <Pages>4</Pages>
  <Words>1300</Words>
  <Characters>7629</Characters>
  <Application>Microsoft Office Word</Application>
  <DocSecurity>0</DocSecurity>
  <Lines>63</Lines>
  <Paragraphs>17</Paragraphs>
  <ScaleCrop>false</ScaleCrop>
  <Company/>
  <LinksUpToDate>false</LinksUpToDate>
  <CharactersWithSpaces>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2015-09-25T23:25:00Z</dcterms:created>
  <dcterms:modified xsi:type="dcterms:W3CDTF">2015-09-25T23:25:00Z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0x0101006E56B4D1795A2E4DB2F0B01679ED314A0025F265E5B3AF5A498F041FB34EEA8E7E</vt:lpwstr>
  </property>
  <property fmtid="{D5CDD505-2E9C-101B-9397-08002B2CF9AE}" pid="4" name="_docset_NoMedatataSyncRequired">
    <vt:lpwstr>False</vt:lpwstr>
  </property>
</Properties>
</file>