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59FC1" w14:textId="6FC10625" w:rsidR="000F4624" w:rsidRPr="004579D0" w:rsidRDefault="000F4624" w:rsidP="000F4624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bookmarkStart w:id="0" w:name="_GoBack"/>
      <w:bookmarkEnd w:id="0"/>
      <w:r w:rsidRPr="004579D0">
        <w:t>Agenda Date:</w:t>
      </w:r>
      <w:r w:rsidRPr="004579D0">
        <w:tab/>
      </w:r>
      <w:r w:rsidRPr="004579D0">
        <w:tab/>
      </w:r>
      <w:r>
        <w:t>March 28, 2013</w:t>
      </w:r>
      <w:r w:rsidRPr="004579D0">
        <w:t xml:space="preserve"> </w:t>
      </w:r>
      <w:r w:rsidRPr="004579D0">
        <w:tab/>
      </w:r>
      <w:r w:rsidRPr="004579D0">
        <w:tab/>
      </w:r>
      <w:r w:rsidRPr="004579D0">
        <w:tab/>
      </w:r>
    </w:p>
    <w:p w14:paraId="69159FC2" w14:textId="1E4708AE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4579D0">
        <w:t>Item Number:</w:t>
      </w:r>
      <w:r w:rsidRPr="004579D0">
        <w:tab/>
      </w:r>
      <w:r w:rsidRPr="004579D0">
        <w:tab/>
      </w:r>
      <w:r w:rsidR="007B3D25">
        <w:t>B1</w:t>
      </w:r>
    </w:p>
    <w:p w14:paraId="69159FC3" w14:textId="77777777" w:rsidR="000F4624" w:rsidRPr="004579D0" w:rsidRDefault="000F4624" w:rsidP="000F4624">
      <w:pPr>
        <w:pStyle w:val="Heading3"/>
      </w:pPr>
    </w:p>
    <w:p w14:paraId="69159FC4" w14:textId="77777777" w:rsidR="000F4624" w:rsidRPr="004579D0" w:rsidRDefault="000F4624" w:rsidP="000F4624">
      <w:pPr>
        <w:pStyle w:val="Heading3"/>
      </w:pPr>
      <w:r w:rsidRPr="004579D0">
        <w:t xml:space="preserve">Docket: </w:t>
      </w:r>
      <w:r w:rsidRPr="004579D0">
        <w:tab/>
      </w:r>
      <w:r w:rsidRPr="004579D0">
        <w:tab/>
        <w:t>TG-121353</w:t>
      </w:r>
    </w:p>
    <w:p w14:paraId="69159FC5" w14:textId="5BFD6A03" w:rsidR="000F4624" w:rsidRPr="004579D0" w:rsidRDefault="000F4624" w:rsidP="000F46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160" w:hanging="2160"/>
      </w:pPr>
      <w:r w:rsidRPr="004579D0">
        <w:t>Company Name:</w:t>
      </w:r>
      <w:r w:rsidRPr="004579D0">
        <w:tab/>
        <w:t>San Juan Sanitation Co., G-144</w:t>
      </w:r>
    </w:p>
    <w:p w14:paraId="69159FC6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4579D0">
        <w:tab/>
      </w:r>
      <w:r w:rsidRPr="004579D0">
        <w:tab/>
      </w:r>
      <w:r w:rsidRPr="004579D0">
        <w:tab/>
      </w:r>
    </w:p>
    <w:p w14:paraId="69159FC7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9159FC8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4579D0">
        <w:t>Staff:</w:t>
      </w:r>
      <w:r w:rsidRPr="004579D0">
        <w:tab/>
      </w:r>
      <w:r w:rsidRPr="004579D0">
        <w:tab/>
      </w:r>
      <w:r w:rsidRPr="004579D0">
        <w:tab/>
        <w:t>Amy White, Regulatory Analyst</w:t>
      </w:r>
    </w:p>
    <w:p w14:paraId="69159FC9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4579D0">
        <w:tab/>
      </w:r>
      <w:r w:rsidRPr="004579D0">
        <w:tab/>
      </w:r>
      <w:r w:rsidRPr="004579D0">
        <w:tab/>
      </w:r>
      <w:r>
        <w:t>John Cupp</w:t>
      </w:r>
      <w:r w:rsidRPr="004579D0">
        <w:t>, Consumer Protection Staff</w:t>
      </w:r>
    </w:p>
    <w:p w14:paraId="69159FCA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69159FCC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4579D0">
        <w:rPr>
          <w:b/>
          <w:bCs/>
          <w:u w:val="single"/>
        </w:rPr>
        <w:t>Recommendation</w:t>
      </w:r>
    </w:p>
    <w:p w14:paraId="69159FCD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9159FCE" w14:textId="23D8DF57" w:rsidR="000F4624" w:rsidRPr="00DA7BF8" w:rsidRDefault="008C6B87" w:rsidP="000F462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imes New Roman" w:hAnsi="Times New Roman"/>
        </w:rPr>
      </w:pPr>
      <w:r w:rsidRPr="008C6B87">
        <w:rPr>
          <w:rFonts w:ascii="Times New Roman" w:hAnsi="Times New Roman"/>
          <w:lang w:bidi="en-US"/>
        </w:rPr>
        <w:t>Dismiss the Complaint and Order Suspending the Tariff Revision filed on</w:t>
      </w:r>
      <w:r w:rsidRPr="008C6B87">
        <w:rPr>
          <w:rFonts w:ascii="Times New Roman" w:hAnsi="Times New Roman"/>
        </w:rPr>
        <w:t xml:space="preserve"> </w:t>
      </w:r>
      <w:r w:rsidRPr="008C6B87">
        <w:rPr>
          <w:rFonts w:ascii="Times New Roman" w:hAnsi="Times New Roman"/>
          <w:lang w:bidi="en-US"/>
        </w:rPr>
        <w:t>August 14, 2012</w:t>
      </w:r>
      <w:r>
        <w:rPr>
          <w:rFonts w:ascii="Times New Roman" w:hAnsi="Times New Roman"/>
          <w:lang w:bidi="en-US"/>
        </w:rPr>
        <w:t xml:space="preserve">, </w:t>
      </w:r>
      <w:r w:rsidR="000F4624" w:rsidRPr="004579D0">
        <w:rPr>
          <w:rFonts w:ascii="Times New Roman" w:hAnsi="Times New Roman"/>
        </w:rPr>
        <w:t>fi</w:t>
      </w:r>
      <w:r w:rsidR="000F4624">
        <w:rPr>
          <w:rFonts w:ascii="Times New Roman" w:hAnsi="Times New Roman"/>
        </w:rPr>
        <w:t>led by San Juan Sanitation Co.</w:t>
      </w:r>
      <w:r w:rsidR="0054527D">
        <w:rPr>
          <w:rFonts w:ascii="Times New Roman" w:hAnsi="Times New Roman"/>
        </w:rPr>
        <w:t>, and</w:t>
      </w:r>
    </w:p>
    <w:p w14:paraId="69159FCF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9159FD0" w14:textId="51FCD5CF" w:rsidR="000F4624" w:rsidRPr="00DA7BF8" w:rsidRDefault="000F4624" w:rsidP="000F462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imes New Roman" w:hAnsi="Times New Roman"/>
        </w:rPr>
      </w:pPr>
      <w:r w:rsidRPr="004579D0">
        <w:rPr>
          <w:rFonts w:ascii="Times New Roman" w:hAnsi="Times New Roman"/>
        </w:rPr>
        <w:t xml:space="preserve">Allow the revised rates </w:t>
      </w:r>
      <w:r w:rsidR="008C6B87" w:rsidRPr="008C6B87">
        <w:rPr>
          <w:rFonts w:ascii="Times New Roman" w:hAnsi="Times New Roman"/>
          <w:lang w:bidi="en-US"/>
        </w:rPr>
        <w:t xml:space="preserve">and tariff revision </w:t>
      </w:r>
      <w:r w:rsidRPr="004579D0">
        <w:rPr>
          <w:rFonts w:ascii="Times New Roman" w:hAnsi="Times New Roman"/>
        </w:rPr>
        <w:t xml:space="preserve">filed </w:t>
      </w:r>
      <w:r w:rsidR="00AF395F">
        <w:rPr>
          <w:rFonts w:ascii="Times New Roman" w:hAnsi="Times New Roman"/>
        </w:rPr>
        <w:t xml:space="preserve">on </w:t>
      </w:r>
      <w:r w:rsidR="00AF395F" w:rsidRPr="00246D5D">
        <w:rPr>
          <w:rFonts w:ascii="Times New Roman" w:hAnsi="Times New Roman"/>
        </w:rPr>
        <w:t xml:space="preserve">March </w:t>
      </w:r>
      <w:r w:rsidR="00246D5D" w:rsidRPr="00246D5D">
        <w:rPr>
          <w:rFonts w:ascii="Times New Roman" w:hAnsi="Times New Roman"/>
        </w:rPr>
        <w:t>18</w:t>
      </w:r>
      <w:r w:rsidR="00AF395F">
        <w:rPr>
          <w:rFonts w:ascii="Times New Roman" w:hAnsi="Times New Roman"/>
        </w:rPr>
        <w:t xml:space="preserve">, 2013, </w:t>
      </w:r>
      <w:r w:rsidRPr="004579D0">
        <w:rPr>
          <w:rFonts w:ascii="Times New Roman" w:hAnsi="Times New Roman"/>
        </w:rPr>
        <w:t>by San Juan Sanitation Co. to become effective</w:t>
      </w:r>
      <w:r>
        <w:rPr>
          <w:rFonts w:ascii="Times New Roman" w:hAnsi="Times New Roman"/>
        </w:rPr>
        <w:t xml:space="preserve"> </w:t>
      </w:r>
      <w:r w:rsidR="00311E7A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April</w:t>
      </w:r>
      <w:r w:rsidRPr="004579D0">
        <w:rPr>
          <w:rFonts w:ascii="Times New Roman" w:hAnsi="Times New Roman"/>
        </w:rPr>
        <w:t xml:space="preserve"> 1, 201</w:t>
      </w:r>
      <w:r>
        <w:rPr>
          <w:rFonts w:ascii="Times New Roman" w:hAnsi="Times New Roman"/>
        </w:rPr>
        <w:t>3</w:t>
      </w:r>
      <w:r w:rsidR="00B4731B">
        <w:rPr>
          <w:rFonts w:ascii="Times New Roman" w:hAnsi="Times New Roman"/>
        </w:rPr>
        <w:t>, on a permanent basis</w:t>
      </w:r>
      <w:r>
        <w:rPr>
          <w:rFonts w:ascii="Times New Roman" w:hAnsi="Times New Roman"/>
        </w:rPr>
        <w:t>.</w:t>
      </w:r>
      <w:r w:rsidRPr="004579D0">
        <w:rPr>
          <w:rFonts w:ascii="Times New Roman" w:hAnsi="Times New Roman"/>
        </w:rPr>
        <w:t xml:space="preserve"> </w:t>
      </w:r>
    </w:p>
    <w:p w14:paraId="69159FD2" w14:textId="77777777" w:rsidR="000F4624" w:rsidRPr="00DA7BF8" w:rsidRDefault="000F4624" w:rsidP="000F4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imes New Roman" w:hAnsi="Times New Roman"/>
        </w:rPr>
      </w:pPr>
    </w:p>
    <w:p w14:paraId="69159FD3" w14:textId="77777777" w:rsidR="000F4624" w:rsidRPr="004579D0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4579D0">
        <w:rPr>
          <w:b/>
          <w:bCs/>
          <w:u w:val="single"/>
        </w:rPr>
        <w:t>Background</w:t>
      </w:r>
    </w:p>
    <w:p w14:paraId="69159FD4" w14:textId="77777777" w:rsidR="000F4624" w:rsidRPr="003C0EAF" w:rsidRDefault="000F4624" w:rsidP="000F4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9159FD5" w14:textId="7385D2A7" w:rsidR="004A44D6" w:rsidRDefault="000F4624" w:rsidP="001A0A61">
      <w:pPr>
        <w:pStyle w:val="BodyText"/>
        <w:rPr>
          <w:rFonts w:ascii="Times New Roman" w:hAnsi="Times New Roman"/>
        </w:rPr>
      </w:pPr>
      <w:r w:rsidRPr="003C0EAF">
        <w:rPr>
          <w:rFonts w:ascii="Times New Roman" w:hAnsi="Times New Roman"/>
        </w:rPr>
        <w:t>On August 14, 2012, San Juan Sanitation Co., (San Juan or company) filed with the Utilities and Transportation Commission (commission)</w:t>
      </w:r>
      <w:r w:rsidRPr="004579D0">
        <w:rPr>
          <w:rFonts w:ascii="Times New Roman" w:hAnsi="Times New Roman"/>
        </w:rPr>
        <w:t xml:space="preserve"> tariff pages to implement a </w:t>
      </w:r>
      <w:r w:rsidR="00B4731B">
        <w:rPr>
          <w:rFonts w:ascii="Times New Roman" w:hAnsi="Times New Roman"/>
        </w:rPr>
        <w:t>new</w:t>
      </w:r>
      <w:r w:rsidR="00C44ACA">
        <w:rPr>
          <w:rFonts w:ascii="Times New Roman" w:hAnsi="Times New Roman"/>
        </w:rPr>
        <w:t>,</w:t>
      </w:r>
      <w:r w:rsidR="00B4731B">
        <w:rPr>
          <w:rFonts w:ascii="Times New Roman" w:hAnsi="Times New Roman"/>
        </w:rPr>
        <w:t xml:space="preserve"> </w:t>
      </w:r>
      <w:r w:rsidRPr="004579D0">
        <w:rPr>
          <w:rFonts w:ascii="Times New Roman" w:hAnsi="Times New Roman"/>
        </w:rPr>
        <w:t xml:space="preserve">mandatory-pay recycling program for </w:t>
      </w:r>
      <w:r w:rsidR="00962DF1">
        <w:rPr>
          <w:rFonts w:ascii="Times New Roman" w:hAnsi="Times New Roman"/>
        </w:rPr>
        <w:t xml:space="preserve">all </w:t>
      </w:r>
      <w:r w:rsidRPr="004579D0">
        <w:rPr>
          <w:rFonts w:ascii="Times New Roman" w:hAnsi="Times New Roman"/>
        </w:rPr>
        <w:t xml:space="preserve">residential </w:t>
      </w:r>
      <w:r w:rsidR="00962DF1">
        <w:rPr>
          <w:rFonts w:ascii="Times New Roman" w:hAnsi="Times New Roman"/>
        </w:rPr>
        <w:t xml:space="preserve">garbage </w:t>
      </w:r>
      <w:r w:rsidRPr="004579D0">
        <w:rPr>
          <w:rFonts w:ascii="Times New Roman" w:hAnsi="Times New Roman"/>
        </w:rPr>
        <w:t>customers</w:t>
      </w:r>
      <w:r w:rsidR="0096448A">
        <w:rPr>
          <w:rFonts w:ascii="Times New Roman" w:hAnsi="Times New Roman"/>
        </w:rPr>
        <w:t xml:space="preserve">, as </w:t>
      </w:r>
      <w:r w:rsidR="004A44D6">
        <w:rPr>
          <w:rFonts w:ascii="Times New Roman" w:hAnsi="Times New Roman"/>
        </w:rPr>
        <w:t xml:space="preserve">required by San Juan County ordinances 2-2012 and 9-2012. </w:t>
      </w:r>
      <w:r w:rsidR="00135A16" w:rsidRPr="004579D0">
        <w:rPr>
          <w:rFonts w:ascii="Times New Roman" w:hAnsi="Times New Roman"/>
        </w:rPr>
        <w:t xml:space="preserve">San Juan operates in San Juan County and </w:t>
      </w:r>
      <w:r w:rsidR="00135A16">
        <w:rPr>
          <w:rFonts w:ascii="Times New Roman" w:hAnsi="Times New Roman"/>
        </w:rPr>
        <w:t>provides service to</w:t>
      </w:r>
      <w:r w:rsidR="00135A16" w:rsidRPr="004579D0">
        <w:rPr>
          <w:rFonts w:ascii="Times New Roman" w:hAnsi="Times New Roman"/>
        </w:rPr>
        <w:t xml:space="preserve"> approximately 8</w:t>
      </w:r>
      <w:r w:rsidR="00135A16">
        <w:rPr>
          <w:rFonts w:ascii="Times New Roman" w:hAnsi="Times New Roman"/>
        </w:rPr>
        <w:t>75</w:t>
      </w:r>
      <w:r w:rsidR="00135A16" w:rsidRPr="004579D0">
        <w:rPr>
          <w:rFonts w:ascii="Times New Roman" w:hAnsi="Times New Roman"/>
        </w:rPr>
        <w:t xml:space="preserve"> residential </w:t>
      </w:r>
      <w:r w:rsidR="00135A16">
        <w:rPr>
          <w:rFonts w:ascii="Times New Roman" w:hAnsi="Times New Roman"/>
        </w:rPr>
        <w:t xml:space="preserve">recycling </w:t>
      </w:r>
      <w:r w:rsidR="00135A16" w:rsidRPr="004579D0">
        <w:rPr>
          <w:rFonts w:ascii="Times New Roman" w:hAnsi="Times New Roman"/>
        </w:rPr>
        <w:t>customers.</w:t>
      </w:r>
    </w:p>
    <w:p w14:paraId="69159FD8" w14:textId="77777777" w:rsidR="001A0A61" w:rsidRDefault="001A0A61" w:rsidP="000F4624">
      <w:pPr>
        <w:pStyle w:val="BodyText"/>
        <w:rPr>
          <w:rFonts w:ascii="Times New Roman" w:hAnsi="Times New Roman"/>
        </w:rPr>
      </w:pPr>
    </w:p>
    <w:p w14:paraId="45F68E48" w14:textId="6D69ED58" w:rsidR="00135A16" w:rsidRDefault="00962DF1" w:rsidP="00CB1709">
      <w:pPr>
        <w:widowControl/>
        <w:autoSpaceDE/>
        <w:autoSpaceDN/>
        <w:adjustRightInd/>
      </w:pPr>
      <w:r>
        <w:t xml:space="preserve">San Juan proposed a start-up rate of </w:t>
      </w:r>
      <w:r w:rsidRPr="004579D0">
        <w:t xml:space="preserve">$9.40 per month </w:t>
      </w:r>
      <w:r>
        <w:t xml:space="preserve">based on estimated costs and projected $98,000 annual revenue. </w:t>
      </w:r>
      <w:r w:rsidR="006224B3">
        <w:t>On September 27, 2012, the commission suspended the filing</w:t>
      </w:r>
      <w:r w:rsidR="00311E7A">
        <w:t xml:space="preserve"> </w:t>
      </w:r>
      <w:r w:rsidR="00C30E00">
        <w:t>and allowed</w:t>
      </w:r>
      <w:r w:rsidR="00EC3DDA">
        <w:t xml:space="preserve"> the </w:t>
      </w:r>
      <w:r w:rsidR="00311E7A">
        <w:t xml:space="preserve">rate to become effective on October 1, 2013, on a </w:t>
      </w:r>
      <w:r w:rsidR="00CB1709">
        <w:t xml:space="preserve">temporary </w:t>
      </w:r>
      <w:r w:rsidR="00311E7A">
        <w:t>basis</w:t>
      </w:r>
      <w:r w:rsidR="00CB1709">
        <w:t>, subject to refund.</w:t>
      </w:r>
      <w:r>
        <w:t xml:space="preserve"> The commission also ordered </w:t>
      </w:r>
      <w:r w:rsidR="00CB1709">
        <w:t xml:space="preserve">San Juan </w:t>
      </w:r>
      <w:r w:rsidR="00C30E00">
        <w:t xml:space="preserve">to </w:t>
      </w:r>
      <w:r w:rsidR="00CB1709" w:rsidRPr="004579D0">
        <w:t xml:space="preserve">provide </w:t>
      </w:r>
      <w:r>
        <w:t xml:space="preserve">additional </w:t>
      </w:r>
      <w:r w:rsidR="00CB1709" w:rsidRPr="004579D0">
        <w:t xml:space="preserve">data and </w:t>
      </w:r>
      <w:r>
        <w:t xml:space="preserve">operating </w:t>
      </w:r>
      <w:r w:rsidR="00CB1709" w:rsidRPr="004579D0">
        <w:t>information on its recycling</w:t>
      </w:r>
      <w:r w:rsidR="00CB1709">
        <w:t xml:space="preserve"> an</w:t>
      </w:r>
      <w:r w:rsidR="00502961">
        <w:t>d solid waste programs</w:t>
      </w:r>
      <w:r w:rsidR="00CB1709" w:rsidRPr="004579D0">
        <w:t xml:space="preserve">, </w:t>
      </w:r>
      <w:r w:rsidR="00CC4618">
        <w:t>including the</w:t>
      </w:r>
      <w:r w:rsidR="00CB1709" w:rsidRPr="004579D0">
        <w:t xml:space="preserve"> </w:t>
      </w:r>
      <w:r w:rsidR="00CC4618">
        <w:t xml:space="preserve">actual results of the </w:t>
      </w:r>
      <w:r w:rsidR="00CB1709" w:rsidRPr="004579D0">
        <w:t>first four months of recycling operations</w:t>
      </w:r>
      <w:r w:rsidR="00EC3DDA">
        <w:t xml:space="preserve">. </w:t>
      </w:r>
    </w:p>
    <w:p w14:paraId="59A96854" w14:textId="77777777" w:rsidR="00135A16" w:rsidRDefault="00135A16" w:rsidP="00CB1709">
      <w:pPr>
        <w:widowControl/>
        <w:autoSpaceDE/>
        <w:autoSpaceDN/>
        <w:adjustRightInd/>
      </w:pPr>
    </w:p>
    <w:p w14:paraId="04BB601C" w14:textId="77777777" w:rsidR="00127F35" w:rsidRDefault="00502961" w:rsidP="00ED10A8">
      <w:pPr>
        <w:widowControl/>
        <w:autoSpaceDE/>
        <w:autoSpaceDN/>
        <w:adjustRightInd/>
      </w:pPr>
      <w:r>
        <w:t>The</w:t>
      </w:r>
      <w:r w:rsidR="00305114">
        <w:t xml:space="preserve"> </w:t>
      </w:r>
      <w:r>
        <w:t xml:space="preserve">company </w:t>
      </w:r>
      <w:r w:rsidR="0096448A">
        <w:t xml:space="preserve">made its compliance </w:t>
      </w:r>
      <w:r>
        <w:t>filing on February 15, 2013</w:t>
      </w:r>
      <w:r w:rsidR="00FE21D8">
        <w:t xml:space="preserve">, and filed tariff pages on </w:t>
      </w:r>
    </w:p>
    <w:p w14:paraId="69159FDD" w14:textId="2362CB0B" w:rsidR="00CB1709" w:rsidRPr="004579D0" w:rsidRDefault="00FE21D8" w:rsidP="00ED10A8">
      <w:pPr>
        <w:widowControl/>
        <w:autoSpaceDE/>
        <w:autoSpaceDN/>
        <w:adjustRightInd/>
      </w:pPr>
      <w:r>
        <w:t xml:space="preserve">March 18, 2013, that propose </w:t>
      </w:r>
      <w:r w:rsidR="00135A16">
        <w:t>to increase the temporary $9.40 recycling rate to $11.00 (17 percent) on a permanent basis. The proposed permanent rates would generate approximately $16,500 (17.1 percent</w:t>
      </w:r>
      <w:r>
        <w:t xml:space="preserve"> of recycling revenues and 1.5 percent of company-wide revenue</w:t>
      </w:r>
      <w:r w:rsidR="00135A16">
        <w:t xml:space="preserve">) </w:t>
      </w:r>
      <w:r>
        <w:t xml:space="preserve">more </w:t>
      </w:r>
      <w:r w:rsidR="00C44ACA">
        <w:t xml:space="preserve">annual revenue </w:t>
      </w:r>
      <w:r>
        <w:t>than the temporary rates</w:t>
      </w:r>
      <w:r w:rsidR="00135A16">
        <w:t>.</w:t>
      </w:r>
      <w:r>
        <w:t xml:space="preserve"> </w:t>
      </w:r>
      <w:r w:rsidR="00B4731B">
        <w:t>Staff has completed its review of the com</w:t>
      </w:r>
      <w:r w:rsidR="00CB1709" w:rsidRPr="004579D0">
        <w:t xml:space="preserve">pany’s financial information </w:t>
      </w:r>
      <w:r w:rsidR="00311E7A">
        <w:t>for the first four months operations</w:t>
      </w:r>
      <w:r w:rsidR="00311E7A" w:rsidRPr="004579D0">
        <w:t xml:space="preserve"> </w:t>
      </w:r>
      <w:r w:rsidR="00311E7A">
        <w:t xml:space="preserve">and </w:t>
      </w:r>
      <w:r w:rsidR="00B4731B">
        <w:t xml:space="preserve">finds that it </w:t>
      </w:r>
      <w:r w:rsidR="00CB1709" w:rsidRPr="004579D0">
        <w:t xml:space="preserve">supports the revised </w:t>
      </w:r>
      <w:r w:rsidR="00311E7A">
        <w:t xml:space="preserve">increased </w:t>
      </w:r>
      <w:r w:rsidR="00CB1709" w:rsidRPr="004579D0">
        <w:t xml:space="preserve">revenue requirement and </w:t>
      </w:r>
      <w:r w:rsidR="00B4731B">
        <w:t xml:space="preserve">that the proposed </w:t>
      </w:r>
      <w:r w:rsidR="00311E7A">
        <w:t xml:space="preserve">increased </w:t>
      </w:r>
      <w:r w:rsidR="00B4731B">
        <w:t xml:space="preserve">permanent </w:t>
      </w:r>
      <w:r w:rsidR="00311E7A">
        <w:t>rates</w:t>
      </w:r>
      <w:r w:rsidR="00311E7A" w:rsidRPr="004579D0">
        <w:t xml:space="preserve"> </w:t>
      </w:r>
      <w:r w:rsidR="00CB1709" w:rsidRPr="004579D0">
        <w:t>are fair, just, reasonable and sufficient</w:t>
      </w:r>
      <w:r w:rsidR="00311E7A">
        <w:t>.</w:t>
      </w:r>
    </w:p>
    <w:p w14:paraId="69159FDE" w14:textId="77777777" w:rsidR="00CB1709" w:rsidRPr="003C0EAF" w:rsidRDefault="00CB1709" w:rsidP="00CB1709">
      <w:pPr>
        <w:widowControl/>
        <w:autoSpaceDE/>
        <w:autoSpaceDN/>
        <w:adjustRightInd/>
      </w:pPr>
    </w:p>
    <w:p w14:paraId="69159FDF" w14:textId="77777777" w:rsidR="00CB1709" w:rsidRDefault="00502961" w:rsidP="000F462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Customer Comments</w:t>
      </w:r>
    </w:p>
    <w:p w14:paraId="69159FE0" w14:textId="77777777" w:rsidR="00502961" w:rsidRDefault="00502961" w:rsidP="000F4624">
      <w:pPr>
        <w:pStyle w:val="BodyText"/>
        <w:rPr>
          <w:rFonts w:ascii="Times New Roman" w:hAnsi="Times New Roman"/>
        </w:rPr>
      </w:pPr>
    </w:p>
    <w:p w14:paraId="69159FE1" w14:textId="77777777" w:rsidR="00AD5810" w:rsidRPr="004579D0" w:rsidRDefault="00AD5810" w:rsidP="00AD5810">
      <w:r w:rsidRPr="004579D0">
        <w:t>On Aug</w:t>
      </w:r>
      <w:r>
        <w:t>.</w:t>
      </w:r>
      <w:r w:rsidRPr="004579D0">
        <w:t xml:space="preserve"> 30, 2012, the company notified its customers of the proposed </w:t>
      </w:r>
      <w:r w:rsidR="001F2CC2">
        <w:t xml:space="preserve">initial </w:t>
      </w:r>
      <w:r w:rsidRPr="004579D0">
        <w:t>rate</w:t>
      </w:r>
      <w:r w:rsidR="001F2CC2">
        <w:t>s</w:t>
      </w:r>
      <w:r w:rsidRPr="004579D0">
        <w:t xml:space="preserve"> by mail. </w:t>
      </w:r>
      <w:r>
        <w:t>Prior to the open meeting on Sept. 27, staff received three</w:t>
      </w:r>
      <w:r w:rsidRPr="004579D0">
        <w:t xml:space="preserve"> customer comments </w:t>
      </w:r>
      <w:r>
        <w:t xml:space="preserve">opposing </w:t>
      </w:r>
      <w:r w:rsidRPr="004579D0">
        <w:t>the proposed rate increase.</w:t>
      </w:r>
      <w:r>
        <w:t xml:space="preserve"> </w:t>
      </w:r>
      <w:r w:rsidR="001F2CC2">
        <w:t xml:space="preserve">The company notified customers of the proposed permanent rates by mail on March 1, 2013. </w:t>
      </w:r>
      <w:r>
        <w:t>Staff received an additional comment on March 7, 2013, also opposed to the increase.</w:t>
      </w:r>
      <w:r w:rsidRPr="004579D0">
        <w:t xml:space="preserve"> Customers were notified that they may access relevant documents about this rate case on the commission’s website</w:t>
      </w:r>
      <w:r>
        <w:t>,</w:t>
      </w:r>
      <w:r w:rsidRPr="004579D0">
        <w:t xml:space="preserve"> and that they may contact </w:t>
      </w:r>
      <w:r>
        <w:t>John Cupp</w:t>
      </w:r>
      <w:r w:rsidRPr="004579D0">
        <w:t xml:space="preserve"> at 1-888-333-9882</w:t>
      </w:r>
      <w:r>
        <w:t xml:space="preserve"> or </w:t>
      </w:r>
      <w:hyperlink r:id="rId12" w:history="1">
        <w:r w:rsidRPr="003F55EA">
          <w:rPr>
            <w:rStyle w:val="Hyperlink"/>
          </w:rPr>
          <w:t>jcupp@utc.wa.gov</w:t>
        </w:r>
      </w:hyperlink>
      <w:r>
        <w:t xml:space="preserve"> </w:t>
      </w:r>
      <w:r w:rsidRPr="004579D0">
        <w:t>with questions or concerns.</w:t>
      </w:r>
    </w:p>
    <w:p w14:paraId="69159FE3" w14:textId="77777777" w:rsidR="00AD5810" w:rsidRPr="004579D0" w:rsidRDefault="00AD5810" w:rsidP="00AD5810">
      <w:pPr>
        <w:rPr>
          <w:b/>
        </w:rPr>
      </w:pPr>
      <w:r w:rsidRPr="004579D0">
        <w:rPr>
          <w:b/>
        </w:rPr>
        <w:lastRenderedPageBreak/>
        <w:t>General Comments</w:t>
      </w:r>
    </w:p>
    <w:p w14:paraId="69159FE4" w14:textId="77777777" w:rsidR="00AD5810" w:rsidRPr="004579D0" w:rsidRDefault="00AD5810" w:rsidP="00AD5810">
      <w:pPr>
        <w:numPr>
          <w:ilvl w:val="0"/>
          <w:numId w:val="3"/>
        </w:numPr>
        <w:tabs>
          <w:tab w:val="left" w:pos="90"/>
        </w:tabs>
        <w:ind w:left="720"/>
      </w:pPr>
      <w:r w:rsidRPr="004579D0">
        <w:t xml:space="preserve">The commenters oppose the increase because they believe the recycling rate is too high. </w:t>
      </w:r>
    </w:p>
    <w:p w14:paraId="69159FE5" w14:textId="77777777" w:rsidR="00AD5810" w:rsidRPr="004579D0" w:rsidRDefault="00AD5810" w:rsidP="00AD5810">
      <w:pPr>
        <w:tabs>
          <w:tab w:val="left" w:pos="90"/>
        </w:tabs>
        <w:ind w:left="720"/>
      </w:pPr>
    </w:p>
    <w:p w14:paraId="69159FE6" w14:textId="77777777" w:rsidR="00AD5810" w:rsidRPr="004579D0" w:rsidRDefault="00AD5810" w:rsidP="00AD5810">
      <w:pPr>
        <w:ind w:firstLine="720"/>
        <w:rPr>
          <w:b/>
        </w:rPr>
      </w:pPr>
      <w:r w:rsidRPr="004579D0">
        <w:rPr>
          <w:b/>
        </w:rPr>
        <w:t>Staff Response</w:t>
      </w:r>
    </w:p>
    <w:p w14:paraId="69159FE7" w14:textId="6FEF3EE3" w:rsidR="00AD5810" w:rsidRPr="004579D0" w:rsidRDefault="00AD5810" w:rsidP="00AD5810">
      <w:pPr>
        <w:ind w:left="720"/>
      </w:pPr>
      <w:r w:rsidRPr="004579D0">
        <w:t xml:space="preserve">Customers were advised that state law requires rates to be fair, just, reasonable and sufficient to allow the company to recover reasonable operating expenses and earn a reasonable return on </w:t>
      </w:r>
      <w:r>
        <w:t xml:space="preserve">its </w:t>
      </w:r>
      <w:r w:rsidRPr="004579D0">
        <w:t xml:space="preserve">investment. Regulatory </w:t>
      </w:r>
      <w:r w:rsidR="00C44B4A" w:rsidRPr="004579D0">
        <w:t>staff review</w:t>
      </w:r>
      <w:r w:rsidRPr="004579D0">
        <w:t xml:space="preserve"> filings to ensure that all rates and fees are appropriate.</w:t>
      </w:r>
    </w:p>
    <w:p w14:paraId="69159FE8" w14:textId="77777777" w:rsidR="00AD5810" w:rsidRDefault="00AD5810" w:rsidP="00AD5810"/>
    <w:p w14:paraId="69159FE9" w14:textId="0FA4FE00" w:rsidR="00AD5810" w:rsidRDefault="00AD5810" w:rsidP="007B3D25">
      <w:pPr>
        <w:numPr>
          <w:ilvl w:val="0"/>
          <w:numId w:val="3"/>
        </w:numPr>
        <w:tabs>
          <w:tab w:val="left" w:pos="90"/>
        </w:tabs>
        <w:ind w:left="720"/>
      </w:pPr>
      <w:r>
        <w:t>Two customers asked why the</w:t>
      </w:r>
      <w:r w:rsidR="00171F91">
        <w:t xml:space="preserve"> minimum level of service is two cans, when one can </w:t>
      </w:r>
      <w:r w:rsidR="005D53F0">
        <w:t>may be</w:t>
      </w:r>
      <w:r w:rsidR="00171F91">
        <w:t xml:space="preserve"> enough</w:t>
      </w:r>
      <w:r>
        <w:t>.</w:t>
      </w:r>
    </w:p>
    <w:p w14:paraId="69159FEA" w14:textId="77777777" w:rsidR="00AD5810" w:rsidRDefault="00AD5810" w:rsidP="00AD5810"/>
    <w:p w14:paraId="69159FEB" w14:textId="77777777" w:rsidR="00AD5810" w:rsidRDefault="00AD5810" w:rsidP="00AD5810">
      <w:pPr>
        <w:ind w:left="720"/>
        <w:rPr>
          <w:b/>
        </w:rPr>
      </w:pPr>
      <w:r>
        <w:rPr>
          <w:b/>
        </w:rPr>
        <w:t>Staff Response</w:t>
      </w:r>
    </w:p>
    <w:p w14:paraId="69159FEC" w14:textId="6B42D048" w:rsidR="00AD5810" w:rsidRPr="005452FB" w:rsidRDefault="00AD5810" w:rsidP="00AD5810">
      <w:pPr>
        <w:ind w:left="720"/>
      </w:pPr>
      <w:r>
        <w:t xml:space="preserve">Staff explained to the consumers that </w:t>
      </w:r>
      <w:r w:rsidR="00ED10A8">
        <w:t xml:space="preserve">the company is required by San Juan County to offer two-can service as a minimum. The customers are not required to use two cans but customers are required to pay for that minimum level of service. </w:t>
      </w:r>
    </w:p>
    <w:p w14:paraId="69159FEE" w14:textId="77777777" w:rsidR="00B4731B" w:rsidRDefault="00B4731B" w:rsidP="000F4624">
      <w:pPr>
        <w:pStyle w:val="BodyText"/>
        <w:rPr>
          <w:rFonts w:ascii="Times New Roman" w:hAnsi="Times New Roman"/>
        </w:rPr>
      </w:pPr>
    </w:p>
    <w:p w14:paraId="69159FEF" w14:textId="77777777" w:rsidR="00143F0C" w:rsidRPr="004579D0" w:rsidRDefault="00143F0C" w:rsidP="00143F0C">
      <w:pPr>
        <w:tabs>
          <w:tab w:val="left" w:pos="6210"/>
          <w:tab w:val="left" w:pos="6480"/>
        </w:tabs>
        <w:jc w:val="center"/>
        <w:rPr>
          <w:b/>
          <w:u w:val="single"/>
        </w:rPr>
      </w:pPr>
      <w:r w:rsidRPr="004579D0">
        <w:rPr>
          <w:b/>
          <w:u w:val="single"/>
        </w:rPr>
        <w:t>Rate Comparison</w:t>
      </w:r>
    </w:p>
    <w:p w14:paraId="69159FF0" w14:textId="77777777" w:rsidR="00143F0C" w:rsidRPr="004579D0" w:rsidRDefault="00143F0C" w:rsidP="00143F0C"/>
    <w:tbl>
      <w:tblPr>
        <w:tblW w:w="10125" w:type="dxa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1710"/>
        <w:gridCol w:w="1710"/>
        <w:gridCol w:w="1710"/>
      </w:tblGrid>
      <w:tr w:rsidR="00143F0C" w:rsidRPr="004579D0" w14:paraId="69159FF5" w14:textId="77777777" w:rsidTr="00B4731B">
        <w:trPr>
          <w:trHeight w:val="269"/>
          <w:jc w:val="center"/>
        </w:trPr>
        <w:tc>
          <w:tcPr>
            <w:tcW w:w="4995" w:type="dxa"/>
            <w:shd w:val="clear" w:color="auto" w:fill="auto"/>
          </w:tcPr>
          <w:p w14:paraId="69159FF1" w14:textId="77777777" w:rsidR="00143F0C" w:rsidRPr="004579D0" w:rsidRDefault="00143F0C" w:rsidP="00143F0C">
            <w:pPr>
              <w:jc w:val="both"/>
              <w:rPr>
                <w:b/>
                <w:iCs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Pr="004579D0">
              <w:rPr>
                <w:b/>
              </w:rPr>
              <w:t xml:space="preserve">Residential </w:t>
            </w:r>
            <w:r w:rsidRPr="004579D0">
              <w:rPr>
                <w:b/>
                <w:iCs/>
              </w:rPr>
              <w:t>Monthly Rates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9FF2" w14:textId="77777777" w:rsidR="00143F0C" w:rsidRPr="00143F0C" w:rsidRDefault="00143F0C" w:rsidP="00143F0C">
            <w:pPr>
              <w:jc w:val="center"/>
              <w:rPr>
                <w:b/>
                <w:iCs/>
              </w:rPr>
            </w:pPr>
            <w:r w:rsidRPr="00143F0C">
              <w:rPr>
                <w:b/>
                <w:iCs/>
              </w:rPr>
              <w:t>Current Temporary Rate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9FF3" w14:textId="77777777" w:rsidR="00143F0C" w:rsidRPr="00143F0C" w:rsidRDefault="00143F0C" w:rsidP="00143F0C">
            <w:pPr>
              <w:jc w:val="center"/>
              <w:rPr>
                <w:b/>
                <w:iCs/>
              </w:rPr>
            </w:pPr>
            <w:r w:rsidRPr="00143F0C">
              <w:rPr>
                <w:b/>
                <w:iCs/>
              </w:rPr>
              <w:t xml:space="preserve">Proposed Permanent Rate </w:t>
            </w:r>
          </w:p>
        </w:tc>
        <w:tc>
          <w:tcPr>
            <w:tcW w:w="1710" w:type="dxa"/>
          </w:tcPr>
          <w:p w14:paraId="69159FF4" w14:textId="77777777" w:rsidR="00143F0C" w:rsidRPr="00143F0C" w:rsidRDefault="00143F0C" w:rsidP="00143F0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    Percent Increase</w:t>
            </w:r>
          </w:p>
        </w:tc>
      </w:tr>
      <w:tr w:rsidR="00143F0C" w:rsidRPr="004579D0" w14:paraId="69159FFA" w14:textId="77777777" w:rsidTr="00B4731B">
        <w:trPr>
          <w:jc w:val="center"/>
        </w:trPr>
        <w:tc>
          <w:tcPr>
            <w:tcW w:w="4995" w:type="dxa"/>
            <w:shd w:val="clear" w:color="auto" w:fill="auto"/>
          </w:tcPr>
          <w:p w14:paraId="69159FF6" w14:textId="7685B3CF" w:rsidR="00143F0C" w:rsidRPr="004579D0" w:rsidRDefault="00143F0C" w:rsidP="00AF395F">
            <w:r w:rsidRPr="004579D0">
              <w:t>Mandatory Recycle Monthly Up To Two 32-</w:t>
            </w:r>
            <w:r w:rsidR="0096448A">
              <w:t>G</w:t>
            </w:r>
            <w:r w:rsidR="0096448A" w:rsidRPr="004579D0">
              <w:t xml:space="preserve">allon </w:t>
            </w:r>
            <w:r w:rsidRPr="004579D0">
              <w:t>Cans (</w:t>
            </w:r>
            <w:r w:rsidR="00AF395F">
              <w:t>C</w:t>
            </w:r>
            <w:r w:rsidRPr="004579D0">
              <w:t xml:space="preserve">ustomer </w:t>
            </w:r>
            <w:r w:rsidR="00AF395F">
              <w:t>S</w:t>
            </w:r>
            <w:r w:rsidRPr="004579D0">
              <w:t>upplied)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9FF7" w14:textId="77777777" w:rsidR="00143F0C" w:rsidRPr="004579D0" w:rsidRDefault="00143F0C" w:rsidP="00143F0C">
            <w:pPr>
              <w:jc w:val="center"/>
            </w:pPr>
            <w:r w:rsidRPr="004579D0">
              <w:t xml:space="preserve">  $</w:t>
            </w:r>
            <w:r>
              <w:t xml:space="preserve"> </w:t>
            </w:r>
            <w:r w:rsidRPr="004579D0">
              <w:t>9.40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9FF8" w14:textId="77777777" w:rsidR="00143F0C" w:rsidRPr="004579D0" w:rsidRDefault="00143F0C" w:rsidP="00143F0C">
            <w:pPr>
              <w:jc w:val="center"/>
            </w:pPr>
            <w:r>
              <w:t>$11.00</w:t>
            </w:r>
          </w:p>
        </w:tc>
        <w:tc>
          <w:tcPr>
            <w:tcW w:w="1710" w:type="dxa"/>
          </w:tcPr>
          <w:p w14:paraId="69159FF9" w14:textId="025001D7" w:rsidR="00143F0C" w:rsidRPr="004579D0" w:rsidRDefault="00143F0C" w:rsidP="00AF395F">
            <w:pPr>
              <w:jc w:val="center"/>
            </w:pPr>
            <w:r>
              <w:t xml:space="preserve">                           17.0 %            </w:t>
            </w:r>
          </w:p>
        </w:tc>
      </w:tr>
      <w:tr w:rsidR="00143F0C" w:rsidRPr="004579D0" w14:paraId="69159FFF" w14:textId="77777777" w:rsidTr="00B4731B">
        <w:trPr>
          <w:jc w:val="center"/>
        </w:trPr>
        <w:tc>
          <w:tcPr>
            <w:tcW w:w="4995" w:type="dxa"/>
            <w:shd w:val="clear" w:color="auto" w:fill="auto"/>
          </w:tcPr>
          <w:p w14:paraId="69159FFB" w14:textId="52634F79" w:rsidR="00143F0C" w:rsidRPr="004579D0" w:rsidRDefault="00143F0C" w:rsidP="00AF395F">
            <w:r>
              <w:t>Pre-</w:t>
            </w:r>
            <w:r w:rsidR="0096448A">
              <w:t>P</w:t>
            </w:r>
            <w:r>
              <w:t>aid Sticker / Tag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9FFC" w14:textId="77777777" w:rsidR="00143F0C" w:rsidRPr="004579D0" w:rsidRDefault="00143F0C" w:rsidP="00143F0C">
            <w:pPr>
              <w:jc w:val="center"/>
            </w:pPr>
            <w:r>
              <w:t xml:space="preserve"> $ 5.00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9FFD" w14:textId="77777777" w:rsidR="00143F0C" w:rsidRPr="004579D0" w:rsidRDefault="00143F0C" w:rsidP="00143F0C">
            <w:pPr>
              <w:jc w:val="center"/>
            </w:pPr>
            <w:r>
              <w:t>$ 6.00</w:t>
            </w:r>
          </w:p>
        </w:tc>
        <w:tc>
          <w:tcPr>
            <w:tcW w:w="1710" w:type="dxa"/>
          </w:tcPr>
          <w:p w14:paraId="69159FFE" w14:textId="46ECC1E8" w:rsidR="00143F0C" w:rsidRPr="004579D0" w:rsidRDefault="00143F0C" w:rsidP="00AF395F">
            <w:pPr>
              <w:jc w:val="center"/>
            </w:pPr>
            <w:r>
              <w:t>20.0</w:t>
            </w:r>
            <w:r w:rsidR="0096448A">
              <w:t xml:space="preserve"> </w:t>
            </w:r>
            <w:r>
              <w:t>%</w:t>
            </w:r>
          </w:p>
        </w:tc>
      </w:tr>
      <w:tr w:rsidR="00143F0C" w:rsidRPr="004579D0" w14:paraId="6915A004" w14:textId="77777777" w:rsidTr="00B4731B">
        <w:trPr>
          <w:jc w:val="center"/>
        </w:trPr>
        <w:tc>
          <w:tcPr>
            <w:tcW w:w="4995" w:type="dxa"/>
            <w:shd w:val="clear" w:color="auto" w:fill="auto"/>
          </w:tcPr>
          <w:p w14:paraId="6915A000" w14:textId="04805977" w:rsidR="00143F0C" w:rsidRPr="004579D0" w:rsidRDefault="00143F0C" w:rsidP="00AF395F">
            <w:r w:rsidRPr="004579D0">
              <w:t>Occasional Extra 32-</w:t>
            </w:r>
            <w:r w:rsidR="00AF395F">
              <w:t>G</w:t>
            </w:r>
            <w:r w:rsidRPr="004579D0">
              <w:t>allon Can Pick-</w:t>
            </w:r>
            <w:r w:rsidR="00AF395F">
              <w:t>U</w:t>
            </w:r>
            <w:r w:rsidRPr="004579D0">
              <w:t>p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A001" w14:textId="77777777" w:rsidR="00143F0C" w:rsidRPr="004579D0" w:rsidRDefault="00143F0C" w:rsidP="00143F0C">
            <w:pPr>
              <w:tabs>
                <w:tab w:val="left" w:pos="957"/>
                <w:tab w:val="left" w:pos="1062"/>
              </w:tabs>
              <w:jc w:val="center"/>
            </w:pPr>
            <w:r w:rsidRPr="004579D0">
              <w:t xml:space="preserve">  $</w:t>
            </w:r>
            <w:r>
              <w:t xml:space="preserve"> </w:t>
            </w:r>
            <w:r w:rsidRPr="004579D0">
              <w:t>3.00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915A002" w14:textId="77777777" w:rsidR="00143F0C" w:rsidRPr="004579D0" w:rsidRDefault="00143F0C" w:rsidP="00143F0C">
            <w:pPr>
              <w:tabs>
                <w:tab w:val="left" w:pos="957"/>
                <w:tab w:val="left" w:pos="1062"/>
              </w:tabs>
              <w:jc w:val="center"/>
            </w:pPr>
            <w:r>
              <w:t>$ 3.00</w:t>
            </w:r>
          </w:p>
        </w:tc>
        <w:tc>
          <w:tcPr>
            <w:tcW w:w="1710" w:type="dxa"/>
          </w:tcPr>
          <w:p w14:paraId="6915A003" w14:textId="4AF4E5B9" w:rsidR="00143F0C" w:rsidRPr="004579D0" w:rsidRDefault="0096448A" w:rsidP="00143F0C">
            <w:pPr>
              <w:tabs>
                <w:tab w:val="left" w:pos="957"/>
                <w:tab w:val="left" w:pos="1062"/>
              </w:tabs>
              <w:jc w:val="center"/>
            </w:pPr>
            <w:r>
              <w:t>NA</w:t>
            </w:r>
          </w:p>
        </w:tc>
      </w:tr>
    </w:tbl>
    <w:p w14:paraId="6915A005" w14:textId="77777777" w:rsidR="00CC4618" w:rsidRDefault="00CC4618" w:rsidP="00CC4618">
      <w:pPr>
        <w:pStyle w:val="BodyText"/>
        <w:jc w:val="center"/>
        <w:rPr>
          <w:rFonts w:ascii="Times New Roman" w:hAnsi="Times New Roman"/>
        </w:rPr>
      </w:pPr>
    </w:p>
    <w:p w14:paraId="6915A007" w14:textId="77777777" w:rsidR="00E03CDD" w:rsidRPr="003C0EAF" w:rsidRDefault="00E03CDD" w:rsidP="00AF395F">
      <w:pPr>
        <w:widowControl/>
        <w:autoSpaceDE/>
        <w:autoSpaceDN/>
        <w:adjustRightInd/>
        <w:jc w:val="center"/>
        <w:rPr>
          <w:b/>
          <w:u w:val="single"/>
        </w:rPr>
      </w:pPr>
      <w:r w:rsidRPr="003C0EAF">
        <w:rPr>
          <w:b/>
          <w:u w:val="single"/>
        </w:rPr>
        <w:t>Average Customer Charge Comparison</w:t>
      </w:r>
    </w:p>
    <w:p w14:paraId="6915A008" w14:textId="77777777" w:rsidR="00E03CDD" w:rsidRPr="003C0EAF" w:rsidRDefault="00E03CDD" w:rsidP="00E03CDD">
      <w:pPr>
        <w:jc w:val="center"/>
        <w:rPr>
          <w:b/>
          <w:u w:val="single"/>
        </w:rPr>
      </w:pPr>
    </w:p>
    <w:tbl>
      <w:tblPr>
        <w:tblW w:w="10702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170"/>
        <w:gridCol w:w="1350"/>
        <w:gridCol w:w="1260"/>
        <w:gridCol w:w="1260"/>
        <w:gridCol w:w="1170"/>
        <w:gridCol w:w="1481"/>
      </w:tblGrid>
      <w:tr w:rsidR="005D53F0" w:rsidRPr="004579D0" w14:paraId="004DA927" w14:textId="77777777" w:rsidTr="00C30E00">
        <w:trPr>
          <w:jc w:val="center"/>
        </w:trPr>
        <w:tc>
          <w:tcPr>
            <w:tcW w:w="3011" w:type="dxa"/>
            <w:shd w:val="clear" w:color="auto" w:fill="auto"/>
            <w:vAlign w:val="bottom"/>
          </w:tcPr>
          <w:p w14:paraId="34A11AA5" w14:textId="77777777" w:rsidR="005D53F0" w:rsidRPr="004579D0" w:rsidRDefault="005D53F0" w:rsidP="00E03CDD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23880DBA" w14:textId="77777777" w:rsidR="005D53F0" w:rsidRDefault="005D53F0" w:rsidP="00AF395F">
            <w:pPr>
              <w:jc w:val="center"/>
              <w:rPr>
                <w:b/>
                <w:iCs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09459752" w14:textId="17D297E6" w:rsidR="005D53F0" w:rsidRDefault="005D53F0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Temporary</w:t>
            </w:r>
          </w:p>
        </w:tc>
        <w:tc>
          <w:tcPr>
            <w:tcW w:w="2430" w:type="dxa"/>
            <w:gridSpan w:val="2"/>
            <w:vAlign w:val="bottom"/>
          </w:tcPr>
          <w:p w14:paraId="784DAC17" w14:textId="53330241" w:rsidR="005D53F0" w:rsidRDefault="005D53F0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Permanent</w:t>
            </w:r>
          </w:p>
        </w:tc>
        <w:tc>
          <w:tcPr>
            <w:tcW w:w="1481" w:type="dxa"/>
            <w:vAlign w:val="bottom"/>
          </w:tcPr>
          <w:p w14:paraId="56CFE33E" w14:textId="77777777" w:rsidR="005D53F0" w:rsidRDefault="005D53F0" w:rsidP="00AF395F">
            <w:pPr>
              <w:jc w:val="center"/>
              <w:rPr>
                <w:b/>
                <w:iCs/>
              </w:rPr>
            </w:pPr>
          </w:p>
        </w:tc>
      </w:tr>
      <w:tr w:rsidR="005D53F0" w:rsidRPr="004579D0" w14:paraId="6915A010" w14:textId="77777777" w:rsidTr="00C30E00">
        <w:trPr>
          <w:jc w:val="center"/>
        </w:trPr>
        <w:tc>
          <w:tcPr>
            <w:tcW w:w="3011" w:type="dxa"/>
            <w:shd w:val="clear" w:color="auto" w:fill="auto"/>
            <w:vAlign w:val="bottom"/>
          </w:tcPr>
          <w:p w14:paraId="6915A009" w14:textId="6272D755" w:rsidR="00E03CDD" w:rsidRPr="004579D0" w:rsidRDefault="00E03CDD" w:rsidP="00E03CDD">
            <w:pPr>
              <w:rPr>
                <w:b/>
              </w:rPr>
            </w:pPr>
            <w:r w:rsidRPr="004579D0">
              <w:rPr>
                <w:b/>
              </w:rPr>
              <w:t xml:space="preserve">Garbage </w:t>
            </w:r>
            <w:r w:rsidR="0096448A">
              <w:rPr>
                <w:b/>
              </w:rPr>
              <w:t>Service (</w:t>
            </w:r>
            <w:r w:rsidRPr="004579D0">
              <w:rPr>
                <w:b/>
              </w:rPr>
              <w:t>Plus Mandatory Recycling Service</w:t>
            </w:r>
            <w:r w:rsidR="0096448A">
              <w:rPr>
                <w:b/>
              </w:rPr>
              <w:t>)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915A00A" w14:textId="023E834B" w:rsidR="00E03CDD" w:rsidRPr="004579D0" w:rsidRDefault="00E03CDD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Garbage </w:t>
            </w:r>
            <w:r w:rsidRPr="004579D0">
              <w:rPr>
                <w:b/>
                <w:iCs/>
              </w:rPr>
              <w:t>Charge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915A00B" w14:textId="361C4908" w:rsidR="00E03CDD" w:rsidRPr="004579D0" w:rsidRDefault="00E03CDD" w:rsidP="00AF395F">
            <w:pPr>
              <w:jc w:val="center"/>
              <w:rPr>
                <w:b/>
                <w:iCs/>
              </w:rPr>
            </w:pPr>
            <w:r w:rsidRPr="004579D0">
              <w:rPr>
                <w:b/>
                <w:iCs/>
              </w:rPr>
              <w:t>Recycling Charge</w:t>
            </w:r>
          </w:p>
        </w:tc>
        <w:tc>
          <w:tcPr>
            <w:tcW w:w="1260" w:type="dxa"/>
            <w:vAlign w:val="bottom"/>
          </w:tcPr>
          <w:p w14:paraId="6915A00C" w14:textId="762A878D" w:rsidR="00E03CDD" w:rsidRPr="004579D0" w:rsidRDefault="00E03CDD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Monthly</w:t>
            </w:r>
            <w:r w:rsidR="002C053A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Bill</w:t>
            </w:r>
          </w:p>
        </w:tc>
        <w:tc>
          <w:tcPr>
            <w:tcW w:w="1260" w:type="dxa"/>
            <w:vAlign w:val="bottom"/>
          </w:tcPr>
          <w:p w14:paraId="6915A00D" w14:textId="589F2FA5" w:rsidR="00E03CDD" w:rsidRPr="004579D0" w:rsidRDefault="00E03CDD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Recycling Charge</w:t>
            </w:r>
          </w:p>
        </w:tc>
        <w:tc>
          <w:tcPr>
            <w:tcW w:w="1170" w:type="dxa"/>
            <w:vAlign w:val="bottom"/>
          </w:tcPr>
          <w:p w14:paraId="6915A00E" w14:textId="6DF3BDDB" w:rsidR="00E03CDD" w:rsidRPr="004579D0" w:rsidRDefault="00E03CDD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Monthly Bill</w:t>
            </w:r>
          </w:p>
        </w:tc>
        <w:tc>
          <w:tcPr>
            <w:tcW w:w="1481" w:type="dxa"/>
            <w:vAlign w:val="bottom"/>
          </w:tcPr>
          <w:p w14:paraId="6915A00F" w14:textId="7DA22F8F" w:rsidR="00E03CDD" w:rsidRPr="004579D0" w:rsidRDefault="00AF395F" w:rsidP="00AF395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% </w:t>
            </w:r>
            <w:r w:rsidR="00E03CDD" w:rsidRPr="004579D0">
              <w:rPr>
                <w:b/>
                <w:iCs/>
              </w:rPr>
              <w:t>Change Monthly</w:t>
            </w:r>
            <w:r w:rsidR="005C4247">
              <w:rPr>
                <w:b/>
                <w:iCs/>
              </w:rPr>
              <w:t xml:space="preserve"> Bill</w:t>
            </w:r>
          </w:p>
        </w:tc>
      </w:tr>
      <w:tr w:rsidR="005D53F0" w:rsidRPr="004579D0" w14:paraId="6915A019" w14:textId="77777777" w:rsidTr="00C30E00">
        <w:trPr>
          <w:trHeight w:val="557"/>
          <w:jc w:val="center"/>
        </w:trPr>
        <w:tc>
          <w:tcPr>
            <w:tcW w:w="3011" w:type="dxa"/>
            <w:shd w:val="clear" w:color="auto" w:fill="auto"/>
          </w:tcPr>
          <w:p w14:paraId="6915A011" w14:textId="6A71013E" w:rsidR="00E03CDD" w:rsidRPr="004579D0" w:rsidRDefault="00E03CDD" w:rsidP="00AF395F">
            <w:r w:rsidRPr="004579D0">
              <w:t>One 20-gallon Mini-</w:t>
            </w:r>
            <w:r w:rsidR="0096448A">
              <w:t>C</w:t>
            </w:r>
            <w:r w:rsidRPr="004579D0">
              <w:t xml:space="preserve">an Monthly 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915A012" w14:textId="77777777" w:rsidR="00E03CDD" w:rsidRPr="004579D0" w:rsidRDefault="00E03CDD" w:rsidP="00E03CDD">
            <w:pPr>
              <w:jc w:val="center"/>
            </w:pPr>
            <w:r w:rsidRPr="004579D0">
              <w:t>$ 7.70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915A013" w14:textId="77777777" w:rsidR="00E03CDD" w:rsidRPr="004579D0" w:rsidRDefault="00E03CDD" w:rsidP="00E03CDD">
            <w:pPr>
              <w:jc w:val="center"/>
            </w:pPr>
            <w:r w:rsidRPr="004579D0">
              <w:t>$9.40</w:t>
            </w:r>
          </w:p>
        </w:tc>
        <w:tc>
          <w:tcPr>
            <w:tcW w:w="1260" w:type="dxa"/>
            <w:vAlign w:val="bottom"/>
          </w:tcPr>
          <w:p w14:paraId="6915A014" w14:textId="77777777" w:rsidR="00E03CDD" w:rsidRPr="004579D0" w:rsidRDefault="00E03CDD" w:rsidP="00E03CDD">
            <w:pPr>
              <w:jc w:val="center"/>
            </w:pPr>
          </w:p>
          <w:p w14:paraId="6915A015" w14:textId="77777777" w:rsidR="00E03CDD" w:rsidRPr="004579D0" w:rsidRDefault="00E03CDD" w:rsidP="00E03CDD">
            <w:pPr>
              <w:jc w:val="center"/>
            </w:pPr>
            <w:r w:rsidRPr="004579D0">
              <w:t>$17.10</w:t>
            </w:r>
          </w:p>
        </w:tc>
        <w:tc>
          <w:tcPr>
            <w:tcW w:w="1260" w:type="dxa"/>
            <w:vAlign w:val="bottom"/>
          </w:tcPr>
          <w:p w14:paraId="6915A016" w14:textId="77777777" w:rsidR="00E03CDD" w:rsidRPr="004579D0" w:rsidRDefault="00E03CDD" w:rsidP="00E03CDD">
            <w:pPr>
              <w:jc w:val="center"/>
            </w:pPr>
            <w:r>
              <w:t>$11.00</w:t>
            </w:r>
          </w:p>
        </w:tc>
        <w:tc>
          <w:tcPr>
            <w:tcW w:w="1170" w:type="dxa"/>
            <w:vAlign w:val="bottom"/>
          </w:tcPr>
          <w:p w14:paraId="6915A017" w14:textId="77777777" w:rsidR="00E03CDD" w:rsidRPr="004579D0" w:rsidRDefault="00E03CDD" w:rsidP="00E03CDD">
            <w:pPr>
              <w:jc w:val="center"/>
            </w:pPr>
            <w:r>
              <w:t>$18.70</w:t>
            </w:r>
          </w:p>
        </w:tc>
        <w:tc>
          <w:tcPr>
            <w:tcW w:w="1481" w:type="dxa"/>
            <w:vAlign w:val="bottom"/>
          </w:tcPr>
          <w:p w14:paraId="6915A018" w14:textId="77777777" w:rsidR="00E03CDD" w:rsidRPr="004579D0" w:rsidRDefault="00E03CDD" w:rsidP="00E03CDD">
            <w:pPr>
              <w:jc w:val="center"/>
            </w:pPr>
            <w:r>
              <w:t>9.3 %</w:t>
            </w:r>
          </w:p>
        </w:tc>
      </w:tr>
      <w:tr w:rsidR="005D53F0" w:rsidRPr="004579D0" w14:paraId="6915A021" w14:textId="77777777" w:rsidTr="00C30E00">
        <w:trPr>
          <w:jc w:val="center"/>
        </w:trPr>
        <w:tc>
          <w:tcPr>
            <w:tcW w:w="3011" w:type="dxa"/>
            <w:shd w:val="clear" w:color="auto" w:fill="auto"/>
          </w:tcPr>
          <w:p w14:paraId="6915A01A" w14:textId="4EF9BC3C" w:rsidR="00E03CDD" w:rsidRPr="004579D0" w:rsidRDefault="00E03CDD" w:rsidP="00AF395F">
            <w:r w:rsidRPr="004579D0">
              <w:t xml:space="preserve">One 32-gallon Can Monthly 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915A01B" w14:textId="77777777" w:rsidR="00E03CDD" w:rsidRPr="004579D0" w:rsidRDefault="00E03CDD" w:rsidP="00E03CDD">
            <w:pPr>
              <w:jc w:val="center"/>
            </w:pPr>
            <w:r w:rsidRPr="004579D0">
              <w:t>$ 8.50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915A01C" w14:textId="77777777" w:rsidR="00E03CDD" w:rsidRPr="004579D0" w:rsidRDefault="00E03CDD" w:rsidP="00E03CDD">
            <w:pPr>
              <w:jc w:val="center"/>
            </w:pPr>
            <w:r w:rsidRPr="004579D0">
              <w:t>$9.40</w:t>
            </w:r>
          </w:p>
        </w:tc>
        <w:tc>
          <w:tcPr>
            <w:tcW w:w="1260" w:type="dxa"/>
            <w:vAlign w:val="bottom"/>
          </w:tcPr>
          <w:p w14:paraId="6915A01D" w14:textId="77777777" w:rsidR="00E03CDD" w:rsidRPr="004579D0" w:rsidRDefault="00E03CDD" w:rsidP="00E03CDD">
            <w:pPr>
              <w:jc w:val="center"/>
            </w:pPr>
            <w:r w:rsidRPr="004579D0">
              <w:t>$17.90</w:t>
            </w:r>
          </w:p>
        </w:tc>
        <w:tc>
          <w:tcPr>
            <w:tcW w:w="1260" w:type="dxa"/>
            <w:vAlign w:val="bottom"/>
          </w:tcPr>
          <w:p w14:paraId="6915A01E" w14:textId="77777777" w:rsidR="00E03CDD" w:rsidRPr="004579D0" w:rsidRDefault="00E03CDD" w:rsidP="00E03CDD">
            <w:pPr>
              <w:jc w:val="center"/>
            </w:pPr>
            <w:r>
              <w:t>$11.00</w:t>
            </w:r>
          </w:p>
        </w:tc>
        <w:tc>
          <w:tcPr>
            <w:tcW w:w="1170" w:type="dxa"/>
            <w:vAlign w:val="bottom"/>
          </w:tcPr>
          <w:p w14:paraId="6915A01F" w14:textId="77777777" w:rsidR="00E03CDD" w:rsidRPr="004579D0" w:rsidRDefault="00E03CDD" w:rsidP="00E03CDD">
            <w:pPr>
              <w:jc w:val="center"/>
            </w:pPr>
            <w:r>
              <w:t>$19.50</w:t>
            </w:r>
          </w:p>
        </w:tc>
        <w:tc>
          <w:tcPr>
            <w:tcW w:w="1481" w:type="dxa"/>
            <w:vAlign w:val="bottom"/>
          </w:tcPr>
          <w:p w14:paraId="6915A020" w14:textId="77777777" w:rsidR="00E03CDD" w:rsidRPr="004579D0" w:rsidRDefault="00E03CDD" w:rsidP="00E03CDD">
            <w:pPr>
              <w:jc w:val="center"/>
            </w:pPr>
            <w:r>
              <w:t>8.9 %</w:t>
            </w:r>
          </w:p>
        </w:tc>
      </w:tr>
      <w:tr w:rsidR="005D53F0" w:rsidRPr="004579D0" w14:paraId="6915A029" w14:textId="77777777" w:rsidTr="00C30E00">
        <w:trPr>
          <w:jc w:val="center"/>
        </w:trPr>
        <w:tc>
          <w:tcPr>
            <w:tcW w:w="3011" w:type="dxa"/>
            <w:shd w:val="clear" w:color="auto" w:fill="auto"/>
          </w:tcPr>
          <w:p w14:paraId="6915A022" w14:textId="59A7AF1C" w:rsidR="00E03CDD" w:rsidRPr="004579D0" w:rsidDel="00F76174" w:rsidRDefault="00E03CDD" w:rsidP="00AF395F">
            <w:r w:rsidRPr="004579D0">
              <w:t xml:space="preserve">Two 32-gallon Cans Every-Other-Week </w:t>
            </w:r>
            <w:r w:rsidR="0096448A" w:rsidRPr="004579D0">
              <w:t xml:space="preserve"> 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915A023" w14:textId="77777777" w:rsidR="00E03CDD" w:rsidRPr="004579D0" w:rsidDel="00F76174" w:rsidRDefault="00E03CDD" w:rsidP="00E03CDD">
            <w:pPr>
              <w:jc w:val="center"/>
            </w:pPr>
            <w:r w:rsidRPr="004579D0">
              <w:t>$30.65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915A024" w14:textId="77777777" w:rsidR="00E03CDD" w:rsidRPr="004579D0" w:rsidDel="000C2E04" w:rsidRDefault="00E03CDD" w:rsidP="00E03CDD">
            <w:pPr>
              <w:jc w:val="center"/>
            </w:pPr>
            <w:r w:rsidRPr="004579D0">
              <w:t>$9.40</w:t>
            </w:r>
          </w:p>
        </w:tc>
        <w:tc>
          <w:tcPr>
            <w:tcW w:w="1260" w:type="dxa"/>
            <w:vAlign w:val="bottom"/>
          </w:tcPr>
          <w:p w14:paraId="6915A025" w14:textId="77777777" w:rsidR="00E03CDD" w:rsidRPr="004579D0" w:rsidRDefault="00E03CDD" w:rsidP="00E03CDD">
            <w:pPr>
              <w:jc w:val="center"/>
            </w:pPr>
            <w:r w:rsidRPr="004579D0">
              <w:t>$40.05</w:t>
            </w:r>
          </w:p>
        </w:tc>
        <w:tc>
          <w:tcPr>
            <w:tcW w:w="1260" w:type="dxa"/>
            <w:vAlign w:val="bottom"/>
          </w:tcPr>
          <w:p w14:paraId="6915A026" w14:textId="77777777" w:rsidR="00E03CDD" w:rsidRPr="004579D0" w:rsidRDefault="00E03CDD" w:rsidP="00E03CDD">
            <w:pPr>
              <w:jc w:val="center"/>
            </w:pPr>
            <w:r>
              <w:t>$11.00</w:t>
            </w:r>
          </w:p>
        </w:tc>
        <w:tc>
          <w:tcPr>
            <w:tcW w:w="1170" w:type="dxa"/>
            <w:vAlign w:val="bottom"/>
          </w:tcPr>
          <w:p w14:paraId="6915A027" w14:textId="77777777" w:rsidR="00E03CDD" w:rsidRPr="004579D0" w:rsidRDefault="00E03CDD" w:rsidP="00E03CDD">
            <w:pPr>
              <w:jc w:val="center"/>
            </w:pPr>
            <w:r>
              <w:t>$41.65</w:t>
            </w:r>
          </w:p>
        </w:tc>
        <w:tc>
          <w:tcPr>
            <w:tcW w:w="1481" w:type="dxa"/>
            <w:vAlign w:val="bottom"/>
          </w:tcPr>
          <w:p w14:paraId="6915A028" w14:textId="77777777" w:rsidR="00E03CDD" w:rsidRPr="004579D0" w:rsidRDefault="002C053A" w:rsidP="00E03CDD">
            <w:pPr>
              <w:jc w:val="center"/>
            </w:pPr>
            <w:r>
              <w:t>4.0 %</w:t>
            </w:r>
          </w:p>
        </w:tc>
      </w:tr>
      <w:tr w:rsidR="005D53F0" w:rsidRPr="004579D0" w14:paraId="6915A031" w14:textId="77777777" w:rsidTr="00C30E00">
        <w:trPr>
          <w:jc w:val="center"/>
        </w:trPr>
        <w:tc>
          <w:tcPr>
            <w:tcW w:w="3011" w:type="dxa"/>
            <w:shd w:val="clear" w:color="auto" w:fill="auto"/>
          </w:tcPr>
          <w:p w14:paraId="6915A02A" w14:textId="2C734136" w:rsidR="00E03CDD" w:rsidRPr="004579D0" w:rsidDel="00F76174" w:rsidRDefault="00E03CDD" w:rsidP="00AF395F">
            <w:r w:rsidRPr="004579D0">
              <w:t>Two 32-</w:t>
            </w:r>
            <w:r w:rsidR="0096448A">
              <w:t>G</w:t>
            </w:r>
            <w:r w:rsidRPr="004579D0">
              <w:t>allon Cans Weekly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915A02B" w14:textId="77777777" w:rsidR="00E03CDD" w:rsidRPr="004579D0" w:rsidDel="00F76174" w:rsidRDefault="00E03CDD" w:rsidP="00E03CDD">
            <w:pPr>
              <w:jc w:val="center"/>
            </w:pPr>
            <w:r w:rsidRPr="004579D0">
              <w:t>$54.65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915A02C" w14:textId="77777777" w:rsidR="00E03CDD" w:rsidRPr="004579D0" w:rsidDel="000C2E04" w:rsidRDefault="00E03CDD" w:rsidP="00E03CDD">
            <w:pPr>
              <w:jc w:val="center"/>
            </w:pPr>
            <w:r w:rsidRPr="004579D0">
              <w:t>$9.40</w:t>
            </w:r>
          </w:p>
        </w:tc>
        <w:tc>
          <w:tcPr>
            <w:tcW w:w="1260" w:type="dxa"/>
            <w:vAlign w:val="bottom"/>
          </w:tcPr>
          <w:p w14:paraId="6915A02D" w14:textId="77777777" w:rsidR="00E03CDD" w:rsidRPr="004579D0" w:rsidRDefault="00E03CDD" w:rsidP="00E03CDD">
            <w:pPr>
              <w:jc w:val="center"/>
            </w:pPr>
            <w:r w:rsidRPr="004579D0">
              <w:t>$64.05</w:t>
            </w:r>
          </w:p>
        </w:tc>
        <w:tc>
          <w:tcPr>
            <w:tcW w:w="1260" w:type="dxa"/>
            <w:vAlign w:val="bottom"/>
          </w:tcPr>
          <w:p w14:paraId="6915A02E" w14:textId="77777777" w:rsidR="00E03CDD" w:rsidRPr="004579D0" w:rsidRDefault="00E03CDD" w:rsidP="00E03CDD">
            <w:pPr>
              <w:jc w:val="center"/>
            </w:pPr>
            <w:r>
              <w:t>$11.00</w:t>
            </w:r>
          </w:p>
        </w:tc>
        <w:tc>
          <w:tcPr>
            <w:tcW w:w="1170" w:type="dxa"/>
            <w:vAlign w:val="bottom"/>
          </w:tcPr>
          <w:p w14:paraId="6915A02F" w14:textId="77777777" w:rsidR="00E03CDD" w:rsidRPr="004579D0" w:rsidRDefault="00E03CDD" w:rsidP="00E03CDD">
            <w:pPr>
              <w:jc w:val="center"/>
            </w:pPr>
            <w:r>
              <w:t>$65.65</w:t>
            </w:r>
          </w:p>
        </w:tc>
        <w:tc>
          <w:tcPr>
            <w:tcW w:w="1481" w:type="dxa"/>
            <w:vAlign w:val="bottom"/>
          </w:tcPr>
          <w:p w14:paraId="6915A030" w14:textId="77777777" w:rsidR="00E03CDD" w:rsidRPr="004579D0" w:rsidRDefault="002C053A" w:rsidP="00E03CDD">
            <w:pPr>
              <w:jc w:val="center"/>
            </w:pPr>
            <w:r>
              <w:t xml:space="preserve">2.5 % </w:t>
            </w:r>
          </w:p>
        </w:tc>
      </w:tr>
    </w:tbl>
    <w:p w14:paraId="0C7294E1" w14:textId="77777777" w:rsidR="00C44B4A" w:rsidRDefault="00C44B4A" w:rsidP="00C44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4AFA152B" w14:textId="77777777" w:rsidR="00C44B4A" w:rsidRDefault="00C44B4A" w:rsidP="00C44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  <w:r w:rsidRPr="004579D0">
        <w:rPr>
          <w:b/>
          <w:bCs/>
          <w:u w:val="single"/>
        </w:rPr>
        <w:t>Recommendation</w:t>
      </w:r>
    </w:p>
    <w:p w14:paraId="2174DF82" w14:textId="77777777" w:rsidR="00C44ACA" w:rsidRDefault="00C44ACA" w:rsidP="00C44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5D2DFE8C" w14:textId="77777777" w:rsidR="00C44ACA" w:rsidRPr="00DA7BF8" w:rsidRDefault="00C44ACA" w:rsidP="00C44ACA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imes New Roman" w:hAnsi="Times New Roman"/>
        </w:rPr>
      </w:pPr>
      <w:r w:rsidRPr="008C6B87">
        <w:rPr>
          <w:rFonts w:ascii="Times New Roman" w:hAnsi="Times New Roman"/>
          <w:lang w:bidi="en-US"/>
        </w:rPr>
        <w:t>Dismiss the Complaint and Order Suspending the Tariff Revision filed on</w:t>
      </w:r>
      <w:r w:rsidRPr="008C6B87">
        <w:rPr>
          <w:rFonts w:ascii="Times New Roman" w:hAnsi="Times New Roman"/>
        </w:rPr>
        <w:t xml:space="preserve"> </w:t>
      </w:r>
      <w:r w:rsidRPr="008C6B87">
        <w:rPr>
          <w:rFonts w:ascii="Times New Roman" w:hAnsi="Times New Roman"/>
          <w:lang w:bidi="en-US"/>
        </w:rPr>
        <w:t>August 14, 2012</w:t>
      </w:r>
      <w:r>
        <w:rPr>
          <w:rFonts w:ascii="Times New Roman" w:hAnsi="Times New Roman"/>
          <w:lang w:bidi="en-US"/>
        </w:rPr>
        <w:t xml:space="preserve">, </w:t>
      </w:r>
      <w:r w:rsidRPr="004579D0">
        <w:rPr>
          <w:rFonts w:ascii="Times New Roman" w:hAnsi="Times New Roman"/>
        </w:rPr>
        <w:t>fi</w:t>
      </w:r>
      <w:r>
        <w:rPr>
          <w:rFonts w:ascii="Times New Roman" w:hAnsi="Times New Roman"/>
        </w:rPr>
        <w:t>led by San Juan Sanitation Co., and</w:t>
      </w:r>
    </w:p>
    <w:p w14:paraId="488B16E0" w14:textId="77777777" w:rsidR="00C44ACA" w:rsidRPr="004579D0" w:rsidRDefault="00C44ACA" w:rsidP="00C44A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915A039" w14:textId="3879AE4D" w:rsidR="002C039A" w:rsidRPr="00127F35" w:rsidRDefault="00C44ACA" w:rsidP="00127F3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imes New Roman" w:hAnsi="Times New Roman"/>
        </w:rPr>
      </w:pPr>
      <w:r w:rsidRPr="004579D0">
        <w:rPr>
          <w:rFonts w:ascii="Times New Roman" w:hAnsi="Times New Roman"/>
        </w:rPr>
        <w:t xml:space="preserve">Allow the revised rates </w:t>
      </w:r>
      <w:r w:rsidRPr="008C6B87">
        <w:rPr>
          <w:rFonts w:ascii="Times New Roman" w:hAnsi="Times New Roman"/>
          <w:lang w:bidi="en-US"/>
        </w:rPr>
        <w:t xml:space="preserve">and tariff revision </w:t>
      </w:r>
      <w:r w:rsidRPr="004579D0">
        <w:rPr>
          <w:rFonts w:ascii="Times New Roman" w:hAnsi="Times New Roman"/>
        </w:rPr>
        <w:t xml:space="preserve">filed </w:t>
      </w:r>
      <w:r>
        <w:rPr>
          <w:rFonts w:ascii="Times New Roman" w:hAnsi="Times New Roman"/>
        </w:rPr>
        <w:t xml:space="preserve">on </w:t>
      </w:r>
      <w:r w:rsidRPr="00246D5D">
        <w:rPr>
          <w:rFonts w:ascii="Times New Roman" w:hAnsi="Times New Roman"/>
        </w:rPr>
        <w:t>March 18</w:t>
      </w:r>
      <w:r>
        <w:rPr>
          <w:rFonts w:ascii="Times New Roman" w:hAnsi="Times New Roman"/>
        </w:rPr>
        <w:t xml:space="preserve">, 2013, </w:t>
      </w:r>
      <w:r w:rsidRPr="004579D0">
        <w:rPr>
          <w:rFonts w:ascii="Times New Roman" w:hAnsi="Times New Roman"/>
        </w:rPr>
        <w:t>by San Juan Sanitation Co. to become effective</w:t>
      </w:r>
      <w:r>
        <w:rPr>
          <w:rFonts w:ascii="Times New Roman" w:hAnsi="Times New Roman"/>
        </w:rPr>
        <w:t xml:space="preserve"> on April</w:t>
      </w:r>
      <w:r w:rsidRPr="004579D0">
        <w:rPr>
          <w:rFonts w:ascii="Times New Roman" w:hAnsi="Times New Roman"/>
        </w:rPr>
        <w:t xml:space="preserve"> 1, 201</w:t>
      </w:r>
      <w:r>
        <w:rPr>
          <w:rFonts w:ascii="Times New Roman" w:hAnsi="Times New Roman"/>
        </w:rPr>
        <w:t>3, on a permanent basis.</w:t>
      </w:r>
      <w:r w:rsidRPr="004579D0">
        <w:rPr>
          <w:rFonts w:ascii="Times New Roman" w:hAnsi="Times New Roman"/>
        </w:rPr>
        <w:t xml:space="preserve"> </w:t>
      </w:r>
    </w:p>
    <w:sectPr w:rsidR="002C039A" w:rsidRPr="00127F35" w:rsidSect="00305114">
      <w:headerReference w:type="default" r:id="rId13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5A03D" w14:textId="77777777" w:rsidR="008C6B87" w:rsidRDefault="008C6B87" w:rsidP="000F4624">
      <w:r>
        <w:separator/>
      </w:r>
    </w:p>
  </w:endnote>
  <w:endnote w:type="continuationSeparator" w:id="0">
    <w:p w14:paraId="6915A03E" w14:textId="77777777" w:rsidR="008C6B87" w:rsidRDefault="008C6B87" w:rsidP="000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5A03B" w14:textId="77777777" w:rsidR="008C6B87" w:rsidRDefault="008C6B87" w:rsidP="000F4624">
      <w:r>
        <w:separator/>
      </w:r>
    </w:p>
  </w:footnote>
  <w:footnote w:type="continuationSeparator" w:id="0">
    <w:p w14:paraId="6915A03C" w14:textId="77777777" w:rsidR="008C6B87" w:rsidRDefault="008C6B87" w:rsidP="000F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A03F" w14:textId="77777777" w:rsidR="008C6B87" w:rsidRPr="00B64D37" w:rsidRDefault="008C6B87" w:rsidP="000F4624">
    <w:pPr>
      <w:pStyle w:val="Header"/>
      <w:rPr>
        <w:sz w:val="20"/>
        <w:szCs w:val="20"/>
      </w:rPr>
    </w:pPr>
    <w:r w:rsidRPr="00B64D37">
      <w:rPr>
        <w:sz w:val="20"/>
        <w:szCs w:val="20"/>
      </w:rPr>
      <w:t>Docket TG-</w:t>
    </w:r>
    <w:r>
      <w:rPr>
        <w:sz w:val="20"/>
        <w:szCs w:val="20"/>
      </w:rPr>
      <w:t>121353</w:t>
    </w:r>
  </w:p>
  <w:p w14:paraId="6915A040" w14:textId="77777777" w:rsidR="008C6B87" w:rsidRPr="00B64D37" w:rsidRDefault="008C6B87" w:rsidP="000F4624">
    <w:pPr>
      <w:pStyle w:val="Header"/>
      <w:rPr>
        <w:sz w:val="20"/>
        <w:szCs w:val="20"/>
      </w:rPr>
    </w:pPr>
    <w:r>
      <w:rPr>
        <w:sz w:val="20"/>
        <w:szCs w:val="20"/>
      </w:rPr>
      <w:t>March 28, 2012</w:t>
    </w:r>
  </w:p>
  <w:p w14:paraId="6915A041" w14:textId="77777777" w:rsidR="008C6B87" w:rsidRPr="00B64D37" w:rsidRDefault="008C6B87" w:rsidP="000F4624">
    <w:pPr>
      <w:pStyle w:val="Header"/>
      <w:rPr>
        <w:rStyle w:val="PageNumber"/>
        <w:sz w:val="20"/>
        <w:szCs w:val="20"/>
      </w:rPr>
    </w:pPr>
    <w:r w:rsidRPr="00B64D37">
      <w:rPr>
        <w:sz w:val="20"/>
        <w:szCs w:val="20"/>
      </w:rPr>
      <w:t xml:space="preserve">Page </w:t>
    </w:r>
    <w:r w:rsidRPr="00B64D37">
      <w:rPr>
        <w:rStyle w:val="PageNumber"/>
        <w:sz w:val="20"/>
        <w:szCs w:val="20"/>
      </w:rPr>
      <w:fldChar w:fldCharType="begin"/>
    </w:r>
    <w:r w:rsidRPr="00B64D37">
      <w:rPr>
        <w:rStyle w:val="PageNumber"/>
        <w:sz w:val="20"/>
        <w:szCs w:val="20"/>
      </w:rPr>
      <w:instrText xml:space="preserve"> PAGE </w:instrText>
    </w:r>
    <w:r w:rsidRPr="00B64D37">
      <w:rPr>
        <w:rStyle w:val="PageNumber"/>
        <w:sz w:val="20"/>
        <w:szCs w:val="20"/>
      </w:rPr>
      <w:fldChar w:fldCharType="separate"/>
    </w:r>
    <w:r w:rsidR="00002904">
      <w:rPr>
        <w:rStyle w:val="PageNumber"/>
        <w:noProof/>
        <w:sz w:val="20"/>
        <w:szCs w:val="20"/>
      </w:rPr>
      <w:t>2</w:t>
    </w:r>
    <w:r w:rsidRPr="00B64D37">
      <w:rPr>
        <w:rStyle w:val="PageNumber"/>
        <w:sz w:val="20"/>
        <w:szCs w:val="20"/>
      </w:rPr>
      <w:fldChar w:fldCharType="end"/>
    </w:r>
  </w:p>
  <w:p w14:paraId="6915A044" w14:textId="77777777" w:rsidR="008C6B87" w:rsidRDefault="008C6B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E63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9CA"/>
    <w:multiLevelType w:val="hybridMultilevel"/>
    <w:tmpl w:val="19A2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5CF9"/>
    <w:multiLevelType w:val="hybridMultilevel"/>
    <w:tmpl w:val="D318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692B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7CF"/>
    <w:multiLevelType w:val="hybridMultilevel"/>
    <w:tmpl w:val="CEAC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18FF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864E8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77094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43791"/>
    <w:multiLevelType w:val="hybridMultilevel"/>
    <w:tmpl w:val="CE26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72F6C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B1118"/>
    <w:multiLevelType w:val="hybridMultilevel"/>
    <w:tmpl w:val="D318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6052B"/>
    <w:multiLevelType w:val="hybridMultilevel"/>
    <w:tmpl w:val="CEAC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E6717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069"/>
    <w:multiLevelType w:val="hybridMultilevel"/>
    <w:tmpl w:val="BA22279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0472B15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10264"/>
    <w:multiLevelType w:val="hybridMultilevel"/>
    <w:tmpl w:val="186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5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A796177-C770-41E4-BD7E-AADBD6554428}"/>
    <w:docVar w:name="dgnword-eventsink" w:val="134078488"/>
  </w:docVars>
  <w:rsids>
    <w:rsidRoot w:val="000F4624"/>
    <w:rsid w:val="00002904"/>
    <w:rsid w:val="000E640C"/>
    <w:rsid w:val="000F4624"/>
    <w:rsid w:val="00127F35"/>
    <w:rsid w:val="00135A16"/>
    <w:rsid w:val="00143F0C"/>
    <w:rsid w:val="00171F91"/>
    <w:rsid w:val="001A0A61"/>
    <w:rsid w:val="001C5AB1"/>
    <w:rsid w:val="001E1D7A"/>
    <w:rsid w:val="001F2CC2"/>
    <w:rsid w:val="00246D5D"/>
    <w:rsid w:val="002C039A"/>
    <w:rsid w:val="002C053A"/>
    <w:rsid w:val="002D1EC9"/>
    <w:rsid w:val="00305114"/>
    <w:rsid w:val="00311E7A"/>
    <w:rsid w:val="003B4E16"/>
    <w:rsid w:val="004A44D6"/>
    <w:rsid w:val="00502961"/>
    <w:rsid w:val="0054527D"/>
    <w:rsid w:val="00552600"/>
    <w:rsid w:val="005A6C74"/>
    <w:rsid w:val="005C4247"/>
    <w:rsid w:val="005D53F0"/>
    <w:rsid w:val="006224B3"/>
    <w:rsid w:val="00672F7B"/>
    <w:rsid w:val="00677F91"/>
    <w:rsid w:val="006916EF"/>
    <w:rsid w:val="006A41EE"/>
    <w:rsid w:val="007B3D25"/>
    <w:rsid w:val="007D428A"/>
    <w:rsid w:val="008C6B87"/>
    <w:rsid w:val="00962DF1"/>
    <w:rsid w:val="0096448A"/>
    <w:rsid w:val="009B7FC2"/>
    <w:rsid w:val="00A84C2A"/>
    <w:rsid w:val="00AD3312"/>
    <w:rsid w:val="00AD5810"/>
    <w:rsid w:val="00AE273E"/>
    <w:rsid w:val="00AF395F"/>
    <w:rsid w:val="00B13041"/>
    <w:rsid w:val="00B4731B"/>
    <w:rsid w:val="00BE202B"/>
    <w:rsid w:val="00BE457C"/>
    <w:rsid w:val="00C30E00"/>
    <w:rsid w:val="00C44ACA"/>
    <w:rsid w:val="00C44B4A"/>
    <w:rsid w:val="00C6384A"/>
    <w:rsid w:val="00CB1709"/>
    <w:rsid w:val="00CC4618"/>
    <w:rsid w:val="00DA1B86"/>
    <w:rsid w:val="00DD2A47"/>
    <w:rsid w:val="00E03CDD"/>
    <w:rsid w:val="00E554B9"/>
    <w:rsid w:val="00EC3DDA"/>
    <w:rsid w:val="00ED10A8"/>
    <w:rsid w:val="00F21B68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9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46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46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F4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62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F4624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F4624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624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0F4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6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2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0F4624"/>
  </w:style>
  <w:style w:type="character" w:styleId="CommentReference">
    <w:name w:val="annotation reference"/>
    <w:basedOn w:val="DefaultParagraphFont"/>
    <w:uiPriority w:val="99"/>
    <w:semiHidden/>
    <w:unhideWhenUsed/>
    <w:rsid w:val="002C0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3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581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39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46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46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F4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62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F4624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F4624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624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0F4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6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2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0F4624"/>
  </w:style>
  <w:style w:type="character" w:styleId="CommentReference">
    <w:name w:val="annotation reference"/>
    <w:basedOn w:val="DefaultParagraphFont"/>
    <w:uiPriority w:val="99"/>
    <w:semiHidden/>
    <w:unhideWhenUsed/>
    <w:rsid w:val="002C0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3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581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39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cupp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58287B3526E4FAAE18432A3B495E7" ma:contentTypeVersion="139" ma:contentTypeDescription="" ma:contentTypeScope="" ma:versionID="c9600c659c8df0da7945c866c12580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2012-08-14T07:00:00+00:00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121353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0315-D34C-47B0-ADE5-F19F57DBD667}"/>
</file>

<file path=customXml/itemProps2.xml><?xml version="1.0" encoding="utf-8"?>
<ds:datastoreItem xmlns:ds="http://schemas.openxmlformats.org/officeDocument/2006/customXml" ds:itemID="{69F42424-ACBE-4B1E-B763-18B0859D3FD9}"/>
</file>

<file path=customXml/itemProps3.xml><?xml version="1.0" encoding="utf-8"?>
<ds:datastoreItem xmlns:ds="http://schemas.openxmlformats.org/officeDocument/2006/customXml" ds:itemID="{73DE26D1-9662-47E1-867E-B5DDCC43682B}"/>
</file>

<file path=customXml/itemProps4.xml><?xml version="1.0" encoding="utf-8"?>
<ds:datastoreItem xmlns:ds="http://schemas.openxmlformats.org/officeDocument/2006/customXml" ds:itemID="{95A3922C-1EAB-4B80-8DA2-FD8DDBF07B6A}"/>
</file>

<file path=customXml/itemProps5.xml><?xml version="1.0" encoding="utf-8"?>
<ds:datastoreItem xmlns:ds="http://schemas.openxmlformats.org/officeDocument/2006/customXml" ds:itemID="{922125DC-B3A1-4745-AC71-6BDD6B28F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TG-121353 San Juan Sanitation Permanent rates</vt:lpstr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TG-121353 San Juan Sanitation Permanent rates</dc:title>
  <dc:creator>White, Amy (UTC)</dc:creator>
  <cp:lastModifiedBy>Lisa Wyse, Records Manager</cp:lastModifiedBy>
  <cp:revision>2</cp:revision>
  <cp:lastPrinted>2013-03-23T18:25:00Z</cp:lastPrinted>
  <dcterms:created xsi:type="dcterms:W3CDTF">2013-03-25T22:16:00Z</dcterms:created>
  <dcterms:modified xsi:type="dcterms:W3CDTF">2013-03-25T22:16:00Z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0x0101006E56B4D1795A2E4DB2F0B01679ED314A0000E58287B3526E4FAAE18432A3B495E7</vt:lpwstr>
  </property>
  <property fmtid="{D5CDD505-2E9C-101B-9397-08002B2CF9AE}" pid="3" name="_docset_NoMedatataSyncRequired">
    <vt:lpwstr>False</vt:lpwstr>
  </property>
</Properties>
</file>