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stylesWithEffects.xml" ContentType="application/vnd.ms-word.stylesWithEffect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9.xml" ContentType="application/vnd.openxmlformats-officedocument.customXmlProperties+xml"/>
  <Override PartName="/customXml/itemProps8.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8A605" w14:textId="77777777" w:rsidR="00E00A8D" w:rsidRDefault="00E00A8D" w:rsidP="00E00A8D">
      <w:pPr>
        <w:pStyle w:val="Header"/>
        <w:ind w:left="-720"/>
        <w:jc w:val="center"/>
      </w:pPr>
    </w:p>
    <w:p w14:paraId="5525D107" w14:textId="77777777" w:rsidR="00E00A8D" w:rsidRDefault="00E00A8D" w:rsidP="00E00A8D">
      <w:pPr>
        <w:pStyle w:val="Header"/>
        <w:ind w:left="-720"/>
        <w:jc w:val="center"/>
      </w:pPr>
    </w:p>
    <w:p w14:paraId="26D0D0C3" w14:textId="77777777" w:rsidR="00E00A8D" w:rsidRDefault="00E00A8D" w:rsidP="00E00A8D">
      <w:pPr>
        <w:pStyle w:val="Header"/>
        <w:ind w:left="-720"/>
        <w:jc w:val="center"/>
      </w:pPr>
    </w:p>
    <w:p w14:paraId="33E58CCD" w14:textId="77777777" w:rsidR="00E00A8D" w:rsidRDefault="00E00A8D" w:rsidP="00E00A8D">
      <w:pPr>
        <w:pStyle w:val="Header"/>
        <w:ind w:left="-720"/>
        <w:jc w:val="center"/>
      </w:pPr>
    </w:p>
    <w:p w14:paraId="085764A6" w14:textId="77777777" w:rsidR="00E00A8D" w:rsidRPr="000F561F" w:rsidRDefault="00E00A8D" w:rsidP="00E00A8D">
      <w:pPr>
        <w:pStyle w:val="Header"/>
        <w:ind w:left="-720"/>
        <w:jc w:val="center"/>
      </w:pPr>
      <w:r w:rsidRPr="000F561F">
        <w:t>BEFORE THE WASHINGTON UTILITIES AND TRANSPORTATION COMMISSION</w:t>
      </w:r>
    </w:p>
    <w:p w14:paraId="1BBCF56B" w14:textId="77777777" w:rsidR="00E00A8D" w:rsidRPr="000F561F" w:rsidRDefault="00E00A8D" w:rsidP="00E00A8D">
      <w:pPr>
        <w:pStyle w:val="Header"/>
        <w:ind w:left="-720"/>
      </w:pPr>
    </w:p>
    <w:p w14:paraId="3B1FDDCB" w14:textId="77777777" w:rsidR="00E00A8D" w:rsidRPr="000F561F" w:rsidRDefault="00E00A8D" w:rsidP="00E00A8D">
      <w:pPr>
        <w:pStyle w:val="Header"/>
        <w:ind w:left="-720"/>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E00A8D" w:rsidRPr="000F561F" w14:paraId="0C6FF627" w14:textId="77777777" w:rsidTr="00B11582">
        <w:tc>
          <w:tcPr>
            <w:tcW w:w="4590" w:type="dxa"/>
            <w:tcBorders>
              <w:top w:val="single" w:sz="6" w:space="0" w:color="FFFFFF"/>
              <w:left w:val="single" w:sz="6" w:space="0" w:color="FFFFFF"/>
              <w:bottom w:val="single" w:sz="7" w:space="0" w:color="000000"/>
              <w:right w:val="single" w:sz="6" w:space="0" w:color="FFFFFF"/>
            </w:tcBorders>
          </w:tcPr>
          <w:p w14:paraId="508C7901" w14:textId="77777777" w:rsidR="00E00A8D" w:rsidRPr="000F561F" w:rsidRDefault="00E00A8D" w:rsidP="00B11582">
            <w:pPr>
              <w:pStyle w:val="Header"/>
              <w:tabs>
                <w:tab w:val="left" w:pos="681"/>
                <w:tab w:val="left" w:pos="1401"/>
              </w:tabs>
            </w:pPr>
            <w:r w:rsidRPr="000F561F">
              <w:t xml:space="preserve">WASHINGTON UTILITIES AND TRANSPORTATION COMMISSION, </w:t>
            </w:r>
          </w:p>
          <w:p w14:paraId="380B0769" w14:textId="77777777" w:rsidR="00E00A8D" w:rsidRPr="000F561F" w:rsidRDefault="00E00A8D" w:rsidP="00B11582">
            <w:pPr>
              <w:pStyle w:val="Header"/>
              <w:tabs>
                <w:tab w:val="left" w:pos="681"/>
                <w:tab w:val="left" w:pos="1401"/>
              </w:tabs>
            </w:pPr>
          </w:p>
          <w:p w14:paraId="1A281E24" w14:textId="77777777" w:rsidR="00E00A8D" w:rsidRPr="000F561F" w:rsidRDefault="00E00A8D" w:rsidP="00B11582">
            <w:pPr>
              <w:pStyle w:val="Header"/>
              <w:tabs>
                <w:tab w:val="left" w:pos="681"/>
                <w:tab w:val="left" w:pos="1401"/>
              </w:tabs>
            </w:pPr>
            <w:r w:rsidRPr="000F561F">
              <w:tab/>
            </w:r>
            <w:r w:rsidRPr="000F561F">
              <w:tab/>
              <w:t>Complainant,</w:t>
            </w:r>
          </w:p>
          <w:p w14:paraId="1018FA23" w14:textId="77777777" w:rsidR="00E00A8D" w:rsidRPr="000F561F" w:rsidRDefault="00E00A8D" w:rsidP="00B11582">
            <w:pPr>
              <w:pStyle w:val="Header"/>
              <w:tabs>
                <w:tab w:val="left" w:pos="681"/>
                <w:tab w:val="left" w:pos="1401"/>
              </w:tabs>
            </w:pPr>
          </w:p>
          <w:p w14:paraId="2940C6E4" w14:textId="77777777" w:rsidR="00E00A8D" w:rsidRPr="000F561F" w:rsidRDefault="00E00A8D" w:rsidP="00B11582">
            <w:pPr>
              <w:pStyle w:val="Header"/>
              <w:tabs>
                <w:tab w:val="left" w:pos="681"/>
                <w:tab w:val="left" w:pos="1401"/>
              </w:tabs>
            </w:pPr>
            <w:r w:rsidRPr="000F561F">
              <w:tab/>
              <w:t>v.</w:t>
            </w:r>
          </w:p>
          <w:p w14:paraId="351AD8D1" w14:textId="77777777" w:rsidR="00E00A8D" w:rsidRPr="000F561F" w:rsidRDefault="00E00A8D" w:rsidP="00B11582">
            <w:pPr>
              <w:pStyle w:val="Header"/>
              <w:tabs>
                <w:tab w:val="left" w:pos="681"/>
                <w:tab w:val="left" w:pos="1401"/>
              </w:tabs>
            </w:pPr>
          </w:p>
          <w:p w14:paraId="61FCA869" w14:textId="77777777" w:rsidR="00E00A8D" w:rsidRPr="000F561F" w:rsidRDefault="00E00A8D" w:rsidP="00B11582">
            <w:pPr>
              <w:pStyle w:val="Header"/>
              <w:tabs>
                <w:tab w:val="left" w:pos="681"/>
                <w:tab w:val="left" w:pos="1401"/>
              </w:tabs>
            </w:pPr>
            <w:r w:rsidRPr="000F561F">
              <w:t>WASTE MANAGEMENT OF WASHINGTON, INC., d/b/a WASTE MANAGEMENT – NORTHWEST, WASTE MANAGEMENT – SOUTH SOUND, WASTE MANAGEMENT OF SEATTLE, and WASTE MANAGEMENT – SNO-KING,</w:t>
            </w:r>
          </w:p>
          <w:p w14:paraId="34D59FDC" w14:textId="77777777" w:rsidR="00E00A8D" w:rsidRPr="000F561F" w:rsidRDefault="00E00A8D" w:rsidP="00B11582">
            <w:pPr>
              <w:pStyle w:val="Header"/>
              <w:tabs>
                <w:tab w:val="left" w:pos="681"/>
                <w:tab w:val="left" w:pos="1401"/>
              </w:tabs>
            </w:pPr>
          </w:p>
          <w:p w14:paraId="02627AFD" w14:textId="77777777" w:rsidR="00E00A8D" w:rsidRPr="000F561F" w:rsidRDefault="00E00A8D" w:rsidP="00B11582">
            <w:pPr>
              <w:pStyle w:val="Header"/>
              <w:tabs>
                <w:tab w:val="left" w:pos="681"/>
                <w:tab w:val="left" w:pos="1401"/>
              </w:tabs>
            </w:pPr>
            <w:r w:rsidRPr="000F561F">
              <w:tab/>
            </w:r>
            <w:r w:rsidRPr="000F561F">
              <w:tab/>
              <w:t>Respondent.</w:t>
            </w:r>
          </w:p>
        </w:tc>
        <w:tc>
          <w:tcPr>
            <w:tcW w:w="4590" w:type="dxa"/>
            <w:tcBorders>
              <w:top w:val="single" w:sz="6" w:space="0" w:color="FFFFFF"/>
              <w:left w:val="single" w:sz="7" w:space="0" w:color="000000"/>
              <w:bottom w:val="single" w:sz="6" w:space="0" w:color="FFFFFF"/>
              <w:right w:val="single" w:sz="6" w:space="0" w:color="FFFFFF"/>
            </w:tcBorders>
          </w:tcPr>
          <w:p w14:paraId="1714FB01" w14:textId="77777777" w:rsidR="00E00A8D" w:rsidRPr="000F561F" w:rsidRDefault="00E00A8D" w:rsidP="00E00A8D">
            <w:pPr>
              <w:pStyle w:val="Header"/>
              <w:ind w:left="416"/>
            </w:pPr>
            <w:r w:rsidRPr="000F561F">
              <w:t>DOCKET TG-121265</w:t>
            </w:r>
          </w:p>
          <w:p w14:paraId="1AEE0699" w14:textId="77777777" w:rsidR="00E00A8D" w:rsidRPr="000F561F" w:rsidRDefault="00E00A8D" w:rsidP="00E00A8D">
            <w:pPr>
              <w:pStyle w:val="Header"/>
              <w:ind w:left="416"/>
            </w:pPr>
          </w:p>
          <w:p w14:paraId="33E2C7DD" w14:textId="6DCC0C19" w:rsidR="00E00A8D" w:rsidRPr="00E00A8D" w:rsidRDefault="00E00A8D" w:rsidP="00E00A8D">
            <w:pPr>
              <w:pStyle w:val="Title"/>
              <w:ind w:left="416"/>
              <w:jc w:val="left"/>
              <w:rPr>
                <w:b w:val="0"/>
              </w:rPr>
            </w:pPr>
            <w:r w:rsidRPr="00E00A8D">
              <w:rPr>
                <w:b w:val="0"/>
              </w:rPr>
              <w:t>JOINT NARRATIVE OF COMMISSION STAFF AND WASTE MANAGEMENT OF WASHINGTON, INC. IN SUPPORT OF SETTLEMENT AGREEMENT</w:t>
            </w:r>
          </w:p>
          <w:p w14:paraId="19DB4843" w14:textId="77777777" w:rsidR="00E00A8D" w:rsidRPr="000F561F" w:rsidRDefault="00E00A8D" w:rsidP="00E00A8D">
            <w:pPr>
              <w:pStyle w:val="Header"/>
              <w:ind w:left="416"/>
            </w:pPr>
          </w:p>
        </w:tc>
      </w:tr>
    </w:tbl>
    <w:p w14:paraId="3E42F868" w14:textId="77777777" w:rsidR="00E00A8D" w:rsidRDefault="00E00A8D" w:rsidP="00E00A8D">
      <w:pPr>
        <w:pStyle w:val="Header"/>
        <w:ind w:left="-720"/>
      </w:pPr>
    </w:p>
    <w:p w14:paraId="34C2F87E" w14:textId="77777777" w:rsidR="00E00A8D" w:rsidRPr="000F561F" w:rsidRDefault="00E00A8D" w:rsidP="00E00A8D">
      <w:pPr>
        <w:pStyle w:val="Header"/>
        <w:ind w:left="-720"/>
      </w:pPr>
    </w:p>
    <w:p w14:paraId="140C1F7F" w14:textId="7875EFA3" w:rsidR="009316F1" w:rsidRPr="00E00A8D" w:rsidRDefault="00E00A8D" w:rsidP="00E00A8D">
      <w:pPr>
        <w:pStyle w:val="BodyText"/>
        <w:numPr>
          <w:ilvl w:val="0"/>
          <w:numId w:val="13"/>
        </w:numPr>
        <w:spacing w:after="0" w:line="480" w:lineRule="auto"/>
      </w:pPr>
      <w:r>
        <w:tab/>
      </w:r>
      <w:r w:rsidR="00A72522" w:rsidRPr="00E00A8D">
        <w:t>On August 8</w:t>
      </w:r>
      <w:r w:rsidR="009316F1" w:rsidRPr="00E00A8D">
        <w:t xml:space="preserve">, 2013, Waste Management of Washington, Inc., </w:t>
      </w:r>
      <w:r w:rsidR="00371AA2" w:rsidRPr="00E00A8D">
        <w:t xml:space="preserve">(“Waste Management” or the “Company”) </w:t>
      </w:r>
      <w:r w:rsidR="009316F1" w:rsidRPr="00E00A8D">
        <w:t>and the Staff of the Washington and Utilities and Transportation Commission (collectively, the “Parties”) filed a Settlement Agreement resolving all issues betw</w:t>
      </w:r>
      <w:r w:rsidR="00D67B79" w:rsidRPr="00E00A8D">
        <w:t xml:space="preserve">een them in Docket TG-121265.  </w:t>
      </w:r>
      <w:r w:rsidR="009316F1" w:rsidRPr="00E00A8D">
        <w:t>This Joint Narrat</w:t>
      </w:r>
      <w:r w:rsidR="00DA6DDA" w:rsidRPr="00E00A8D">
        <w:t xml:space="preserve">ive is submitted </w:t>
      </w:r>
      <w:r w:rsidR="00F17156" w:rsidRPr="00E00A8D">
        <w:t>p</w:t>
      </w:r>
      <w:r w:rsidR="00DA6DDA" w:rsidRPr="00E00A8D">
        <w:t>ursuant to WAC 480-</w:t>
      </w:r>
      <w:r w:rsidR="00F5616A" w:rsidRPr="00E00A8D">
        <w:t>07</w:t>
      </w:r>
      <w:r w:rsidR="00DA6DDA" w:rsidRPr="00E00A8D">
        <w:t>-740(2)(a)</w:t>
      </w:r>
      <w:r w:rsidR="00F17156" w:rsidRPr="00E00A8D">
        <w:t xml:space="preserve"> </w:t>
      </w:r>
      <w:r w:rsidR="009316F1" w:rsidRPr="00E00A8D">
        <w:t>as supporting document</w:t>
      </w:r>
      <w:r w:rsidR="00BE2B59" w:rsidRPr="00E00A8D">
        <w:t>ation</w:t>
      </w:r>
      <w:r w:rsidR="009316F1" w:rsidRPr="00E00A8D">
        <w:t xml:space="preserve"> for the Settlement Agreement</w:t>
      </w:r>
      <w:r w:rsidR="00F17156" w:rsidRPr="00E00A8D">
        <w:t>.</w:t>
      </w:r>
      <w:r w:rsidRPr="00E00A8D">
        <w:t xml:space="preserve">  </w:t>
      </w:r>
    </w:p>
    <w:p w14:paraId="1FD8459D" w14:textId="7F42CB25" w:rsidR="00E00A8D" w:rsidRPr="00E00A8D" w:rsidRDefault="00E00A8D" w:rsidP="00E00A8D">
      <w:pPr>
        <w:pStyle w:val="Heading1"/>
        <w:numPr>
          <w:ilvl w:val="0"/>
          <w:numId w:val="0"/>
        </w:numPr>
        <w:spacing w:before="0" w:after="0" w:line="480" w:lineRule="auto"/>
      </w:pPr>
      <w:r w:rsidRPr="00E00A8D">
        <w:t>I.</w:t>
      </w:r>
      <w:r w:rsidRPr="00E00A8D">
        <w:tab/>
        <w:t>SCOPE OF UNDERLYING DISPUTE</w:t>
      </w:r>
    </w:p>
    <w:p w14:paraId="7C98416B" w14:textId="12C9A0B7" w:rsidR="009316F1" w:rsidRPr="00E00A8D" w:rsidRDefault="00E00A8D" w:rsidP="00772DF2">
      <w:pPr>
        <w:pStyle w:val="BodyText"/>
        <w:numPr>
          <w:ilvl w:val="0"/>
          <w:numId w:val="13"/>
        </w:numPr>
        <w:spacing w:after="0" w:line="480" w:lineRule="auto"/>
      </w:pPr>
      <w:r w:rsidRPr="00E00A8D">
        <w:tab/>
      </w:r>
      <w:r w:rsidR="009316F1" w:rsidRPr="00E00A8D">
        <w:t xml:space="preserve">Waste Management of Washington, Inc. </w:t>
      </w:r>
      <w:r w:rsidR="00BE2B59" w:rsidRPr="00E00A8D">
        <w:t>provides</w:t>
      </w:r>
      <w:r w:rsidR="00F17156" w:rsidRPr="00E00A8D">
        <w:t xml:space="preserve"> garbage</w:t>
      </w:r>
      <w:r w:rsidR="009316F1" w:rsidRPr="00E00A8D">
        <w:t xml:space="preserve">, recyclable </w:t>
      </w:r>
      <w:r w:rsidR="00371AA2" w:rsidRPr="00E00A8D">
        <w:t xml:space="preserve">material and yard waste </w:t>
      </w:r>
      <w:r w:rsidR="009316F1" w:rsidRPr="00E00A8D">
        <w:t>collection services in King County, Washington, and Snohomish County, W</w:t>
      </w:r>
      <w:r w:rsidR="00371AA2" w:rsidRPr="00E00A8D">
        <w:t xml:space="preserve">ashington.  </w:t>
      </w:r>
      <w:r w:rsidR="009316F1" w:rsidRPr="00E00A8D">
        <w:t xml:space="preserve">Waste Management provides these services under </w:t>
      </w:r>
      <w:r w:rsidR="00A72522" w:rsidRPr="00E00A8D">
        <w:t>the registered trade names</w:t>
      </w:r>
      <w:r w:rsidR="009316F1" w:rsidRPr="00E00A8D">
        <w:t xml:space="preserve"> Waste Management - Northwest, Waste Management - South Sound, Waste Management of Seattle, and Waste Management - Sno-King.  </w:t>
      </w:r>
      <w:r w:rsidR="00A72522" w:rsidRPr="00E00A8D">
        <w:t xml:space="preserve">The Company </w:t>
      </w:r>
      <w:r w:rsidR="009316F1" w:rsidRPr="00E00A8D">
        <w:t xml:space="preserve">is subject to supervision and </w:t>
      </w:r>
      <w:r w:rsidR="009316F1" w:rsidRPr="00E00A8D">
        <w:lastRenderedPageBreak/>
        <w:t>regulation by the Commission under RCW Chapters 81.04, 81.28 and 81.77.</w:t>
      </w:r>
      <w:r w:rsidR="0008748B" w:rsidRPr="00E00A8D">
        <w:t xml:space="preserve">  The Company provides Commission-regulated service under Certificate of Public Convenience and Necessity G-237.</w:t>
      </w:r>
      <w:r w:rsidRPr="00E00A8D">
        <w:t xml:space="preserve">  </w:t>
      </w:r>
    </w:p>
    <w:p w14:paraId="7812AF70" w14:textId="45EB8003" w:rsidR="009316F1" w:rsidRPr="00E00A8D" w:rsidRDefault="00E00A8D" w:rsidP="00772DF2">
      <w:pPr>
        <w:pStyle w:val="BodyText"/>
        <w:numPr>
          <w:ilvl w:val="0"/>
          <w:numId w:val="13"/>
        </w:numPr>
        <w:spacing w:after="0" w:line="480" w:lineRule="auto"/>
      </w:pPr>
      <w:r w:rsidRPr="00E00A8D">
        <w:tab/>
      </w:r>
      <w:r w:rsidR="00BE2B59" w:rsidRPr="00E00A8D">
        <w:t>The dispute between the P</w:t>
      </w:r>
      <w:r w:rsidR="00371AA2" w:rsidRPr="00E00A8D">
        <w:t xml:space="preserve">arties </w:t>
      </w:r>
      <w:r w:rsidR="00AE5D49" w:rsidRPr="00E00A8D">
        <w:t xml:space="preserve">concerns </w:t>
      </w:r>
      <w:r w:rsidR="00BE2B59" w:rsidRPr="00E00A8D">
        <w:t xml:space="preserve">the </w:t>
      </w:r>
      <w:r w:rsidR="009316F1" w:rsidRPr="00E00A8D">
        <w:t xml:space="preserve">practices of the Company regarding </w:t>
      </w:r>
      <w:r w:rsidR="00BE2B59" w:rsidRPr="00E00A8D">
        <w:t xml:space="preserve">Commission-regulated </w:t>
      </w:r>
      <w:r w:rsidR="00371AA2" w:rsidRPr="00E00A8D">
        <w:t xml:space="preserve">collection </w:t>
      </w:r>
      <w:r w:rsidR="009316F1" w:rsidRPr="00E00A8D">
        <w:t>service</w:t>
      </w:r>
      <w:r w:rsidR="00BE2B59" w:rsidRPr="00E00A8D">
        <w:t>s</w:t>
      </w:r>
      <w:r w:rsidR="009316F1" w:rsidRPr="00E00A8D">
        <w:t xml:space="preserve"> </w:t>
      </w:r>
      <w:r w:rsidR="00AE5D49" w:rsidRPr="00E00A8D">
        <w:t xml:space="preserve">in King and Snohomish </w:t>
      </w:r>
      <w:r w:rsidR="00271784" w:rsidRPr="00E00A8D">
        <w:t>C</w:t>
      </w:r>
      <w:r w:rsidR="00AE5D49" w:rsidRPr="00E00A8D">
        <w:t xml:space="preserve">ounties </w:t>
      </w:r>
      <w:r w:rsidR="009316F1" w:rsidRPr="00E00A8D">
        <w:t>during and immediately following a labor strike from July 25, 2012, through August 2, 2012</w:t>
      </w:r>
      <w:r w:rsidR="00AE5D49" w:rsidRPr="00E00A8D">
        <w:t xml:space="preserve"> (“Labor Strike”).</w:t>
      </w:r>
      <w:r w:rsidR="009316F1" w:rsidRPr="00E00A8D">
        <w:t xml:space="preserve"> </w:t>
      </w:r>
      <w:r w:rsidR="00057103" w:rsidRPr="00E00A8D">
        <w:t xml:space="preserve"> </w:t>
      </w:r>
      <w:r w:rsidR="00AE5D49" w:rsidRPr="00E00A8D">
        <w:t xml:space="preserve">The Labor Strike </w:t>
      </w:r>
      <w:r w:rsidR="00371AA2" w:rsidRPr="00E00A8D">
        <w:t xml:space="preserve">was called by union </w:t>
      </w:r>
      <w:r w:rsidR="009316F1" w:rsidRPr="00E00A8D">
        <w:t xml:space="preserve">drivers that collect residential recyclable materials and residential </w:t>
      </w:r>
      <w:r w:rsidR="00371AA2" w:rsidRPr="00E00A8D">
        <w:t xml:space="preserve">yard waste.  The Labor Strike </w:t>
      </w:r>
      <w:r w:rsidR="009316F1" w:rsidRPr="00E00A8D">
        <w:t xml:space="preserve">was honored by </w:t>
      </w:r>
      <w:r w:rsidR="00371AA2" w:rsidRPr="00E00A8D">
        <w:t xml:space="preserve">union </w:t>
      </w:r>
      <w:r w:rsidR="009316F1" w:rsidRPr="00E00A8D">
        <w:t xml:space="preserve">drivers that collect </w:t>
      </w:r>
      <w:r w:rsidR="00371AA2" w:rsidRPr="00E00A8D">
        <w:t>garbage</w:t>
      </w:r>
      <w:r w:rsidR="009316F1" w:rsidRPr="00E00A8D">
        <w:t xml:space="preserve">.  </w:t>
      </w:r>
    </w:p>
    <w:p w14:paraId="7FE14868" w14:textId="5BEB2105" w:rsidR="00AE5D49" w:rsidRPr="00E00A8D" w:rsidRDefault="00E00A8D" w:rsidP="00772DF2">
      <w:pPr>
        <w:pStyle w:val="BodyText"/>
        <w:numPr>
          <w:ilvl w:val="0"/>
          <w:numId w:val="13"/>
        </w:numPr>
        <w:spacing w:after="0" w:line="480" w:lineRule="auto"/>
      </w:pPr>
      <w:r w:rsidRPr="00E00A8D">
        <w:tab/>
      </w:r>
      <w:r w:rsidR="00371AA2" w:rsidRPr="00E00A8D">
        <w:t xml:space="preserve">After investigation of the Company’s practices by </w:t>
      </w:r>
      <w:r w:rsidR="00976A53" w:rsidRPr="00E00A8D">
        <w:t xml:space="preserve">Commission </w:t>
      </w:r>
      <w:r w:rsidR="00371AA2" w:rsidRPr="00E00A8D">
        <w:t>Staff, the Commission, on April 23, 2013, issued a Complaint in this docket</w:t>
      </w:r>
      <w:r w:rsidR="00D67B79" w:rsidRPr="00E00A8D">
        <w:t xml:space="preserve"> recommending penalties with respect to five</w:t>
      </w:r>
      <w:r w:rsidR="00AE5D49" w:rsidRPr="00E00A8D">
        <w:t xml:space="preserve"> causes of action that </w:t>
      </w:r>
      <w:r w:rsidR="00F17156" w:rsidRPr="00E00A8D">
        <w:t xml:space="preserve">define the scope of the Parties’ dispute and </w:t>
      </w:r>
      <w:r w:rsidR="00AE5D49" w:rsidRPr="00E00A8D">
        <w:t>are summarized as follows:</w:t>
      </w:r>
      <w:r w:rsidR="00371AA2" w:rsidRPr="00E00A8D">
        <w:t xml:space="preserve">  </w:t>
      </w:r>
    </w:p>
    <w:p w14:paraId="00A3AD34" w14:textId="256E14DA" w:rsidR="00AE5D49" w:rsidRPr="00E00A8D" w:rsidRDefault="00E00A8D" w:rsidP="00E00A8D">
      <w:pPr>
        <w:ind w:left="1440" w:hanging="720"/>
        <w:rPr>
          <w:szCs w:val="24"/>
        </w:rPr>
      </w:pPr>
      <w:r w:rsidRPr="00E00A8D">
        <w:rPr>
          <w:szCs w:val="24"/>
        </w:rPr>
        <w:t>1.</w:t>
      </w:r>
      <w:r w:rsidRPr="00E00A8D">
        <w:rPr>
          <w:szCs w:val="24"/>
        </w:rPr>
        <w:tab/>
      </w:r>
      <w:r w:rsidR="00AE5D49" w:rsidRPr="00E00A8D">
        <w:rPr>
          <w:szCs w:val="24"/>
        </w:rPr>
        <w:t>The Complaint alleged that Waste Management violated RCW 81.04.080, RCW 81.04.380, RCW 81.77.030(3), and WAC 480-70-071(2) by failing to comply with a Commission</w:t>
      </w:r>
      <w:r w:rsidR="00A72522" w:rsidRPr="00E00A8D">
        <w:rPr>
          <w:szCs w:val="24"/>
        </w:rPr>
        <w:t xml:space="preserve"> directive to report </w:t>
      </w:r>
      <w:r w:rsidR="00AE5D49" w:rsidRPr="00E00A8D">
        <w:rPr>
          <w:szCs w:val="24"/>
        </w:rPr>
        <w:t>customer-specific information during and after th</w:t>
      </w:r>
      <w:r w:rsidR="00A72522" w:rsidRPr="00E00A8D">
        <w:rPr>
          <w:szCs w:val="24"/>
        </w:rPr>
        <w:t xml:space="preserve">e Labor Strike until all </w:t>
      </w:r>
      <w:r w:rsidR="00AE5D49" w:rsidRPr="00E00A8D">
        <w:rPr>
          <w:szCs w:val="24"/>
        </w:rPr>
        <w:t xml:space="preserve">collections </w:t>
      </w:r>
      <w:r w:rsidR="00A72522" w:rsidRPr="00E00A8D">
        <w:rPr>
          <w:szCs w:val="24"/>
        </w:rPr>
        <w:t xml:space="preserve">that were missed during the Labor Strike </w:t>
      </w:r>
      <w:r w:rsidR="00AE5D49" w:rsidRPr="00E00A8D">
        <w:rPr>
          <w:szCs w:val="24"/>
        </w:rPr>
        <w:t>were made and normal service resumed.</w:t>
      </w:r>
    </w:p>
    <w:p w14:paraId="0B22B7E1" w14:textId="77777777" w:rsidR="00E00A8D" w:rsidRPr="00E00A8D" w:rsidRDefault="00E00A8D" w:rsidP="00E00A8D">
      <w:pPr>
        <w:rPr>
          <w:szCs w:val="24"/>
        </w:rPr>
      </w:pPr>
    </w:p>
    <w:p w14:paraId="22385B44" w14:textId="09AD16C2" w:rsidR="00AE5D49" w:rsidRPr="00E00A8D" w:rsidRDefault="00E00A8D" w:rsidP="00E00A8D">
      <w:pPr>
        <w:ind w:left="1440" w:hanging="720"/>
        <w:rPr>
          <w:szCs w:val="24"/>
        </w:rPr>
      </w:pPr>
      <w:r w:rsidRPr="00E00A8D">
        <w:rPr>
          <w:szCs w:val="24"/>
        </w:rPr>
        <w:t>2.</w:t>
      </w:r>
      <w:r w:rsidRPr="00E00A8D">
        <w:rPr>
          <w:szCs w:val="24"/>
        </w:rPr>
        <w:tab/>
      </w:r>
      <w:r w:rsidR="00AE5D49" w:rsidRPr="00E00A8D">
        <w:rPr>
          <w:szCs w:val="24"/>
        </w:rPr>
        <w:t>The Complaint alleged that Waste Management violated RCW 81.28.080 and WAC 480-70-236 by failing to provide service during the Labor Strike in accordance with its filed tariffs then in effect.</w:t>
      </w:r>
    </w:p>
    <w:p w14:paraId="504EC2C1" w14:textId="77777777" w:rsidR="00E00A8D" w:rsidRPr="00E00A8D" w:rsidRDefault="00E00A8D" w:rsidP="00E00A8D">
      <w:pPr>
        <w:rPr>
          <w:szCs w:val="24"/>
        </w:rPr>
      </w:pPr>
    </w:p>
    <w:p w14:paraId="6711FC18" w14:textId="127EB8CF" w:rsidR="00AE5D49" w:rsidRPr="00E00A8D" w:rsidRDefault="00E00A8D" w:rsidP="00E00A8D">
      <w:pPr>
        <w:ind w:left="1440" w:hanging="720"/>
        <w:rPr>
          <w:szCs w:val="24"/>
        </w:rPr>
      </w:pPr>
      <w:r w:rsidRPr="00E00A8D">
        <w:rPr>
          <w:szCs w:val="24"/>
        </w:rPr>
        <w:t>3.</w:t>
      </w:r>
      <w:r w:rsidRPr="00E00A8D">
        <w:rPr>
          <w:szCs w:val="24"/>
        </w:rPr>
        <w:tab/>
      </w:r>
      <w:r w:rsidR="00AE5D49" w:rsidRPr="00E00A8D">
        <w:rPr>
          <w:szCs w:val="24"/>
        </w:rPr>
        <w:t>The Complaint alleged that the Company violated RCW 81.28.010 and RCW 81.28.020 by failing to deploy a sufficient number of replacement drivers during the Labor Strike to be able to satisfy its public service obligations.</w:t>
      </w:r>
    </w:p>
    <w:p w14:paraId="22849506" w14:textId="77777777" w:rsidR="00E00A8D" w:rsidRPr="00E00A8D" w:rsidRDefault="00E00A8D" w:rsidP="00E00A8D">
      <w:pPr>
        <w:rPr>
          <w:szCs w:val="24"/>
        </w:rPr>
      </w:pPr>
    </w:p>
    <w:p w14:paraId="3801197F" w14:textId="28E6421A" w:rsidR="00AE5D49" w:rsidRPr="00E00A8D" w:rsidRDefault="00E00A8D" w:rsidP="00E00A8D">
      <w:pPr>
        <w:keepLines/>
        <w:ind w:left="1440" w:hanging="720"/>
        <w:rPr>
          <w:szCs w:val="24"/>
        </w:rPr>
      </w:pPr>
      <w:r w:rsidRPr="00E00A8D">
        <w:rPr>
          <w:szCs w:val="24"/>
        </w:rPr>
        <w:t>4.</w:t>
      </w:r>
      <w:r w:rsidRPr="00E00A8D">
        <w:rPr>
          <w:szCs w:val="24"/>
        </w:rPr>
        <w:tab/>
      </w:r>
      <w:r w:rsidR="00AE5D49" w:rsidRPr="00E00A8D">
        <w:rPr>
          <w:szCs w:val="24"/>
        </w:rPr>
        <w:t xml:space="preserve">The Complaint alleged that the Company violated RCW 81.28.190 by focusing service restoration efforts in city-contract areas of King and Snohomish counties to the detriment of Commission-regulated areas.  </w:t>
      </w:r>
    </w:p>
    <w:p w14:paraId="24829C24" w14:textId="77777777" w:rsidR="00E00A8D" w:rsidRPr="00E00A8D" w:rsidRDefault="00E00A8D" w:rsidP="00E00A8D">
      <w:pPr>
        <w:rPr>
          <w:szCs w:val="24"/>
        </w:rPr>
      </w:pPr>
    </w:p>
    <w:p w14:paraId="1D3BE72B" w14:textId="0D791535" w:rsidR="00AE5D49" w:rsidRPr="00E00A8D" w:rsidRDefault="00E00A8D" w:rsidP="00E00A8D">
      <w:pPr>
        <w:ind w:left="1440" w:hanging="720"/>
        <w:rPr>
          <w:szCs w:val="24"/>
        </w:rPr>
      </w:pPr>
      <w:r w:rsidRPr="00E00A8D">
        <w:rPr>
          <w:szCs w:val="24"/>
        </w:rPr>
        <w:lastRenderedPageBreak/>
        <w:t>5.</w:t>
      </w:r>
      <w:r w:rsidRPr="00E00A8D">
        <w:rPr>
          <w:szCs w:val="24"/>
        </w:rPr>
        <w:tab/>
      </w:r>
      <w:r w:rsidR="00AE5D49" w:rsidRPr="00E00A8D">
        <w:rPr>
          <w:szCs w:val="24"/>
        </w:rPr>
        <w:t xml:space="preserve">The Complaint alleged that Waste Management violated WAC 480-70-386(b)(i) by a delay in reporting to </w:t>
      </w:r>
      <w:r w:rsidR="00976A53" w:rsidRPr="00E00A8D">
        <w:rPr>
          <w:szCs w:val="24"/>
        </w:rPr>
        <w:t xml:space="preserve">Commission </w:t>
      </w:r>
      <w:r w:rsidR="00AE5D49" w:rsidRPr="00E00A8D">
        <w:rPr>
          <w:szCs w:val="24"/>
        </w:rPr>
        <w:t>Staff the results of a Company investigation of a customer complaint.</w:t>
      </w:r>
    </w:p>
    <w:p w14:paraId="792F5922" w14:textId="77777777" w:rsidR="00E00A8D" w:rsidRPr="00E00A8D" w:rsidRDefault="00E00A8D" w:rsidP="00E00A8D">
      <w:pPr>
        <w:rPr>
          <w:szCs w:val="24"/>
        </w:rPr>
      </w:pPr>
    </w:p>
    <w:p w14:paraId="1E2021C8" w14:textId="6906233F" w:rsidR="00D67B79" w:rsidRPr="00E00A8D" w:rsidRDefault="00E00A8D" w:rsidP="00E00A8D">
      <w:pPr>
        <w:pStyle w:val="ListParagraph"/>
        <w:numPr>
          <w:ilvl w:val="0"/>
          <w:numId w:val="13"/>
        </w:numPr>
        <w:spacing w:after="0" w:line="480" w:lineRule="auto"/>
        <w:rPr>
          <w:sz w:val="24"/>
          <w:szCs w:val="24"/>
        </w:rPr>
      </w:pPr>
      <w:r w:rsidRPr="00E00A8D">
        <w:rPr>
          <w:sz w:val="24"/>
          <w:szCs w:val="24"/>
        </w:rPr>
        <w:tab/>
      </w:r>
      <w:r w:rsidR="00D67B79" w:rsidRPr="00E00A8D">
        <w:rPr>
          <w:sz w:val="24"/>
          <w:szCs w:val="24"/>
        </w:rPr>
        <w:t>The Complaint also alleged violations of safety rules.  However, these violations were of a technical nature and were first-time offenses for a particular driver.  Therefore, no specific enforcement action or monetary penalty was recommended.</w:t>
      </w:r>
      <w:r w:rsidRPr="00E00A8D">
        <w:rPr>
          <w:sz w:val="24"/>
          <w:szCs w:val="24"/>
        </w:rPr>
        <w:t xml:space="preserve">  </w:t>
      </w:r>
    </w:p>
    <w:p w14:paraId="51BCC23B" w14:textId="4ACCFAEB" w:rsidR="00AE5D49" w:rsidRPr="00E00A8D" w:rsidRDefault="00E00A8D" w:rsidP="00E00A8D">
      <w:pPr>
        <w:pStyle w:val="ListParagraph"/>
        <w:numPr>
          <w:ilvl w:val="0"/>
          <w:numId w:val="13"/>
        </w:numPr>
        <w:spacing w:after="0" w:line="480" w:lineRule="auto"/>
        <w:rPr>
          <w:sz w:val="24"/>
          <w:szCs w:val="24"/>
        </w:rPr>
      </w:pPr>
      <w:r w:rsidRPr="00E00A8D">
        <w:rPr>
          <w:sz w:val="24"/>
          <w:szCs w:val="24"/>
        </w:rPr>
        <w:tab/>
      </w:r>
      <w:r w:rsidR="00AE5D49" w:rsidRPr="00E00A8D">
        <w:rPr>
          <w:sz w:val="24"/>
          <w:szCs w:val="24"/>
        </w:rPr>
        <w:t>The Company answered the Complaint on Ma</w:t>
      </w:r>
      <w:r w:rsidR="00F17156" w:rsidRPr="00E00A8D">
        <w:rPr>
          <w:sz w:val="24"/>
          <w:szCs w:val="24"/>
        </w:rPr>
        <w:t>y 13, 2013, denying each of th</w:t>
      </w:r>
      <w:r w:rsidR="0008748B" w:rsidRPr="00E00A8D">
        <w:rPr>
          <w:sz w:val="24"/>
          <w:szCs w:val="24"/>
        </w:rPr>
        <w:t xml:space="preserve">e alleged </w:t>
      </w:r>
      <w:r w:rsidR="00AE5D49" w:rsidRPr="00E00A8D">
        <w:rPr>
          <w:sz w:val="24"/>
          <w:szCs w:val="24"/>
        </w:rPr>
        <w:t xml:space="preserve">causes of action.  The Company also raised </w:t>
      </w:r>
      <w:r w:rsidR="00A72522" w:rsidRPr="00E00A8D">
        <w:rPr>
          <w:sz w:val="24"/>
          <w:szCs w:val="24"/>
        </w:rPr>
        <w:t xml:space="preserve">the affirmative defenses </w:t>
      </w:r>
      <w:r w:rsidR="00AE5D49" w:rsidRPr="00E00A8D">
        <w:rPr>
          <w:sz w:val="24"/>
          <w:szCs w:val="24"/>
        </w:rPr>
        <w:t>that it lacked the ability to control the timing, duration, and circumstances surrounding the La</w:t>
      </w:r>
      <w:r w:rsidR="00A72522" w:rsidRPr="00E00A8D">
        <w:rPr>
          <w:sz w:val="24"/>
          <w:szCs w:val="24"/>
        </w:rPr>
        <w:t>bor Strike, and that its</w:t>
      </w:r>
      <w:r w:rsidR="00AE5D49" w:rsidRPr="00E00A8D">
        <w:rPr>
          <w:sz w:val="24"/>
          <w:szCs w:val="24"/>
        </w:rPr>
        <w:t xml:space="preserve"> failure to provide service during and after the Labor Strike is excused by the doctrine of force majeure or uncontrollable circumstances.</w:t>
      </w:r>
      <w:r w:rsidR="0008748B" w:rsidRPr="00E00A8D">
        <w:rPr>
          <w:sz w:val="24"/>
          <w:szCs w:val="24"/>
        </w:rPr>
        <w:t xml:space="preserve">  The Company further raised affirmative defenses related to allegations of procedural infirmities giving rise to equitable estoppel, unconstitutional blending of administrative functions, appearance of fairness, and ex parte communications.  The Compa</w:t>
      </w:r>
      <w:r w:rsidR="00A72522" w:rsidRPr="00E00A8D">
        <w:rPr>
          <w:sz w:val="24"/>
          <w:szCs w:val="24"/>
        </w:rPr>
        <w:t>ny also alleged that the Staff i</w:t>
      </w:r>
      <w:r w:rsidR="0008748B" w:rsidRPr="00E00A8D">
        <w:rPr>
          <w:sz w:val="24"/>
          <w:szCs w:val="24"/>
        </w:rPr>
        <w:t>nvestigatio</w:t>
      </w:r>
      <w:r w:rsidR="00A72522" w:rsidRPr="00E00A8D">
        <w:rPr>
          <w:sz w:val="24"/>
          <w:szCs w:val="24"/>
        </w:rPr>
        <w:t xml:space="preserve">n </w:t>
      </w:r>
      <w:r w:rsidR="0008748B" w:rsidRPr="00E00A8D">
        <w:rPr>
          <w:sz w:val="24"/>
          <w:szCs w:val="24"/>
        </w:rPr>
        <w:t xml:space="preserve">upon which the Complaint was based was </w:t>
      </w:r>
      <w:r w:rsidR="00A72522" w:rsidRPr="00E00A8D">
        <w:rPr>
          <w:sz w:val="24"/>
          <w:szCs w:val="24"/>
        </w:rPr>
        <w:t>factually erroneous</w:t>
      </w:r>
      <w:r w:rsidR="0008748B" w:rsidRPr="00E00A8D">
        <w:rPr>
          <w:sz w:val="24"/>
          <w:szCs w:val="24"/>
        </w:rPr>
        <w:t>.</w:t>
      </w:r>
    </w:p>
    <w:p w14:paraId="517443B3" w14:textId="4ACA2F6D" w:rsidR="00AE5D49" w:rsidRPr="00305487" w:rsidRDefault="00E00A8D" w:rsidP="00E00A8D">
      <w:pPr>
        <w:pStyle w:val="Heading1"/>
        <w:numPr>
          <w:ilvl w:val="0"/>
          <w:numId w:val="0"/>
        </w:numPr>
        <w:spacing w:before="0" w:after="0" w:line="480" w:lineRule="auto"/>
      </w:pPr>
      <w:r>
        <w:t>II.</w:t>
      </w:r>
      <w:r>
        <w:tab/>
      </w:r>
      <w:r w:rsidR="00AE5D49" w:rsidRPr="00305487">
        <w:t>SCOPE OF SETTLEMENT AND ITS PRINCIPLE ASPECTS</w:t>
      </w:r>
    </w:p>
    <w:p w14:paraId="745603F0" w14:textId="76835FE3" w:rsidR="00C13CF1" w:rsidRDefault="00E00A8D" w:rsidP="00E00A8D">
      <w:pPr>
        <w:pStyle w:val="BodyText"/>
        <w:numPr>
          <w:ilvl w:val="0"/>
          <w:numId w:val="13"/>
        </w:numPr>
        <w:spacing w:after="0" w:line="480" w:lineRule="auto"/>
      </w:pPr>
      <w:r>
        <w:tab/>
      </w:r>
      <w:r w:rsidR="00D67B79">
        <w:t>The</w:t>
      </w:r>
      <w:r w:rsidR="00AE5D49" w:rsidRPr="0076725A">
        <w:t xml:space="preserve"> </w:t>
      </w:r>
      <w:r w:rsidR="00AE5D49">
        <w:t>Settlement Agreement resolves all issues raised by the Complain</w:t>
      </w:r>
      <w:r w:rsidR="00C13CF1">
        <w:t>t</w:t>
      </w:r>
      <w:r w:rsidR="00AE5D49">
        <w:t xml:space="preserve"> in </w:t>
      </w:r>
      <w:r w:rsidR="00AE5D49" w:rsidRPr="0076725A">
        <w:t>this docket</w:t>
      </w:r>
      <w:r w:rsidR="00F17156">
        <w:t xml:space="preserve"> by the </w:t>
      </w:r>
      <w:r w:rsidR="00C13CF1">
        <w:t>Parties</w:t>
      </w:r>
      <w:r w:rsidR="00AE5D49" w:rsidRPr="0076725A">
        <w:t xml:space="preserve">. </w:t>
      </w:r>
      <w:r w:rsidR="00A72522">
        <w:t xml:space="preserve"> </w:t>
      </w:r>
      <w:r w:rsidR="00C13CF1">
        <w:t>T</w:t>
      </w:r>
      <w:r w:rsidR="00D67B79">
        <w:t>he</w:t>
      </w:r>
      <w:r w:rsidR="00C13CF1">
        <w:t xml:space="preserve"> Settlement Agreement, therefore, is a “Full Settlement” as defined by WAC 480-07-730(1).</w:t>
      </w:r>
      <w:r w:rsidR="00D7683A">
        <w:t xml:space="preserve">  </w:t>
      </w:r>
    </w:p>
    <w:p w14:paraId="35BEDF25" w14:textId="5DE841CD" w:rsidR="00D7683A" w:rsidRDefault="00D7683A" w:rsidP="00D7683A">
      <w:pPr>
        <w:pStyle w:val="Heading2"/>
        <w:numPr>
          <w:ilvl w:val="0"/>
          <w:numId w:val="0"/>
        </w:numPr>
      </w:pPr>
      <w:r>
        <w:t>A.</w:t>
      </w:r>
      <w:r>
        <w:tab/>
      </w:r>
      <w:r w:rsidRPr="00305487">
        <w:t xml:space="preserve">Customer Credits and Reporting </w:t>
      </w:r>
    </w:p>
    <w:p w14:paraId="0538389B" w14:textId="7EAFB4FA" w:rsidR="00D7683A" w:rsidRDefault="00E00A8D" w:rsidP="00D7683A">
      <w:pPr>
        <w:pStyle w:val="BodyText"/>
        <w:numPr>
          <w:ilvl w:val="0"/>
          <w:numId w:val="13"/>
        </w:numPr>
        <w:spacing w:after="0" w:line="480" w:lineRule="auto"/>
      </w:pPr>
      <w:r>
        <w:tab/>
      </w:r>
      <w:r w:rsidR="00CB3ED7">
        <w:t xml:space="preserve">There are </w:t>
      </w:r>
      <w:r w:rsidR="0005731F">
        <w:t>two</w:t>
      </w:r>
      <w:r w:rsidR="00C13CF1">
        <w:t xml:space="preserve"> principle asp</w:t>
      </w:r>
      <w:r w:rsidR="00A72522">
        <w:t>ects of the Settlement Agreement</w:t>
      </w:r>
      <w:r w:rsidR="00C13CF1">
        <w:t>:</w:t>
      </w:r>
      <w:r w:rsidR="00D7683A">
        <w:t xml:space="preserve">  </w:t>
      </w:r>
    </w:p>
    <w:p w14:paraId="6A29EF02" w14:textId="0389C32D" w:rsidR="00C13CF1" w:rsidRDefault="00D7683A" w:rsidP="00D7683A">
      <w:pPr>
        <w:pStyle w:val="BodyText"/>
        <w:numPr>
          <w:ilvl w:val="0"/>
          <w:numId w:val="13"/>
        </w:numPr>
        <w:spacing w:line="480" w:lineRule="auto"/>
      </w:pPr>
      <w:r>
        <w:tab/>
      </w:r>
      <w:r w:rsidR="00D67B79">
        <w:t>The Company agrees</w:t>
      </w:r>
      <w:r w:rsidR="00D67B79" w:rsidRPr="006262B7">
        <w:t xml:space="preserve"> to provide the fo</w:t>
      </w:r>
      <w:r w:rsidR="00D67B79">
        <w:t xml:space="preserve">llowing one-time bill credits to each </w:t>
      </w:r>
      <w:r w:rsidR="00D67B79" w:rsidRPr="006262B7">
        <w:t>customer</w:t>
      </w:r>
      <w:r w:rsidR="00D67B79">
        <w:t xml:space="preserve"> </w:t>
      </w:r>
      <w:r w:rsidR="00270058">
        <w:t xml:space="preserve">receiving regular service from </w:t>
      </w:r>
      <w:r w:rsidR="00D67B79" w:rsidRPr="006262B7">
        <w:t>Waste Management - Northwest, Waste Management - South Sound, Waste Management of Seattle, and Waste Management - Sno-King</w:t>
      </w:r>
      <w:r w:rsidR="00D67B79" w:rsidRPr="00860B52">
        <w:t xml:space="preserve"> </w:t>
      </w:r>
      <w:r w:rsidR="00D67B79">
        <w:t xml:space="preserve">under the </w:t>
      </w:r>
      <w:r w:rsidR="00D67B79">
        <w:lastRenderedPageBreak/>
        <w:t>regulatory authority of the Commission in the service territory authorized by Certificate</w:t>
      </w:r>
      <w:r w:rsidR="00D67B79" w:rsidRPr="00860B52">
        <w:t xml:space="preserve"> G-237</w:t>
      </w:r>
      <w:r w:rsidR="00D67B79">
        <w:t xml:space="preserve"> </w:t>
      </w:r>
      <w:r w:rsidR="00D67B79" w:rsidRPr="00860B52">
        <w:t>in King and Snohomish Counties</w:t>
      </w:r>
      <w:r w:rsidR="001C6326">
        <w:t>:</w:t>
      </w:r>
      <w:r>
        <w:t xml:space="preserve">  </w:t>
      </w:r>
    </w:p>
    <w:tbl>
      <w:tblPr>
        <w:tblStyle w:val="TableGrid"/>
        <w:tblW w:w="0" w:type="auto"/>
        <w:tblInd w:w="918" w:type="dxa"/>
        <w:tblLook w:val="04A0" w:firstRow="1" w:lastRow="0" w:firstColumn="1" w:lastColumn="0" w:noHBand="0" w:noVBand="1"/>
      </w:tblPr>
      <w:tblGrid>
        <w:gridCol w:w="3690"/>
        <w:gridCol w:w="1530"/>
        <w:gridCol w:w="1463"/>
        <w:gridCol w:w="1417"/>
      </w:tblGrid>
      <w:tr w:rsidR="00D7683A" w:rsidRPr="00B507AD" w14:paraId="6610DC89" w14:textId="77777777" w:rsidTr="00B11582">
        <w:tc>
          <w:tcPr>
            <w:tcW w:w="8100" w:type="dxa"/>
            <w:gridSpan w:val="4"/>
            <w:vAlign w:val="bottom"/>
          </w:tcPr>
          <w:p w14:paraId="3BC09495" w14:textId="77777777" w:rsidR="00D7683A" w:rsidRPr="00B507AD" w:rsidRDefault="00D7683A" w:rsidP="00B11582">
            <w:pPr>
              <w:keepNext/>
              <w:keepLines/>
              <w:jc w:val="center"/>
              <w:rPr>
                <w:b/>
                <w:sz w:val="20"/>
              </w:rPr>
            </w:pPr>
            <w:r>
              <w:rPr>
                <w:b/>
                <w:sz w:val="20"/>
              </w:rPr>
              <w:t>Table 1</w:t>
            </w:r>
          </w:p>
        </w:tc>
      </w:tr>
      <w:tr w:rsidR="00D7683A" w:rsidRPr="00B507AD" w14:paraId="590F586E" w14:textId="77777777" w:rsidTr="00B11582">
        <w:tc>
          <w:tcPr>
            <w:tcW w:w="3690" w:type="dxa"/>
            <w:vAlign w:val="bottom"/>
          </w:tcPr>
          <w:p w14:paraId="2FE96DC1" w14:textId="77777777" w:rsidR="00D7683A" w:rsidRPr="00B507AD" w:rsidRDefault="00D7683A" w:rsidP="00B11582">
            <w:pPr>
              <w:keepNext/>
              <w:keepLines/>
              <w:jc w:val="center"/>
              <w:rPr>
                <w:b/>
                <w:sz w:val="20"/>
              </w:rPr>
            </w:pPr>
            <w:r w:rsidRPr="00B507AD">
              <w:rPr>
                <w:b/>
                <w:sz w:val="20"/>
              </w:rPr>
              <w:t>Type of Customer/Service</w:t>
            </w:r>
          </w:p>
        </w:tc>
        <w:tc>
          <w:tcPr>
            <w:tcW w:w="1530" w:type="dxa"/>
            <w:vAlign w:val="bottom"/>
          </w:tcPr>
          <w:p w14:paraId="292453DD" w14:textId="77777777" w:rsidR="00D7683A" w:rsidRPr="00B507AD" w:rsidRDefault="00D7683A" w:rsidP="00B11582">
            <w:pPr>
              <w:keepNext/>
              <w:keepLines/>
              <w:jc w:val="center"/>
              <w:rPr>
                <w:b/>
                <w:sz w:val="20"/>
              </w:rPr>
            </w:pPr>
            <w:r w:rsidRPr="00B507AD">
              <w:rPr>
                <w:b/>
                <w:sz w:val="20"/>
              </w:rPr>
              <w:t>Approximate Number of Customers</w:t>
            </w:r>
          </w:p>
        </w:tc>
        <w:tc>
          <w:tcPr>
            <w:tcW w:w="1463" w:type="dxa"/>
            <w:vAlign w:val="bottom"/>
          </w:tcPr>
          <w:p w14:paraId="71B21B73" w14:textId="77777777" w:rsidR="00D7683A" w:rsidRPr="00B507AD" w:rsidRDefault="00D7683A" w:rsidP="00B11582">
            <w:pPr>
              <w:keepNext/>
              <w:keepLines/>
              <w:jc w:val="center"/>
              <w:rPr>
                <w:b/>
                <w:sz w:val="20"/>
              </w:rPr>
            </w:pPr>
            <w:r w:rsidRPr="00B507AD">
              <w:rPr>
                <w:b/>
                <w:sz w:val="20"/>
              </w:rPr>
              <w:t>Credit</w:t>
            </w:r>
            <w:r>
              <w:rPr>
                <w:b/>
                <w:sz w:val="20"/>
                <w:szCs w:val="20"/>
              </w:rPr>
              <w:t xml:space="preserve"> per Customer</w:t>
            </w:r>
          </w:p>
        </w:tc>
        <w:tc>
          <w:tcPr>
            <w:tcW w:w="1417" w:type="dxa"/>
            <w:vAlign w:val="bottom"/>
          </w:tcPr>
          <w:p w14:paraId="58D406A2" w14:textId="77777777" w:rsidR="00D7683A" w:rsidRPr="00B507AD" w:rsidRDefault="00D7683A" w:rsidP="00B11582">
            <w:pPr>
              <w:keepNext/>
              <w:keepLines/>
              <w:jc w:val="center"/>
              <w:rPr>
                <w:b/>
                <w:sz w:val="20"/>
              </w:rPr>
            </w:pPr>
            <w:r w:rsidRPr="00B507AD">
              <w:rPr>
                <w:b/>
                <w:sz w:val="20"/>
              </w:rPr>
              <w:t>Approximate Total Credits</w:t>
            </w:r>
          </w:p>
        </w:tc>
      </w:tr>
      <w:tr w:rsidR="00D7683A" w:rsidRPr="00B507AD" w14:paraId="3F8DC4B5" w14:textId="77777777" w:rsidTr="00B11582">
        <w:tc>
          <w:tcPr>
            <w:tcW w:w="3690" w:type="dxa"/>
          </w:tcPr>
          <w:p w14:paraId="3CC05D29" w14:textId="77777777" w:rsidR="00D7683A" w:rsidRPr="00B507AD" w:rsidRDefault="00D7683A" w:rsidP="00B11582">
            <w:pPr>
              <w:keepNext/>
              <w:keepLines/>
              <w:rPr>
                <w:sz w:val="20"/>
              </w:rPr>
            </w:pPr>
            <w:r w:rsidRPr="00B507AD">
              <w:rPr>
                <w:sz w:val="20"/>
              </w:rPr>
              <w:t>Residential garbage and/or recycling with yard waste</w:t>
            </w:r>
          </w:p>
        </w:tc>
        <w:tc>
          <w:tcPr>
            <w:tcW w:w="1530" w:type="dxa"/>
            <w:vAlign w:val="bottom"/>
          </w:tcPr>
          <w:p w14:paraId="3AC2C8A2" w14:textId="77777777" w:rsidR="00D7683A" w:rsidRPr="00B507AD" w:rsidRDefault="00D7683A" w:rsidP="00B11582">
            <w:pPr>
              <w:keepNext/>
              <w:keepLines/>
              <w:jc w:val="center"/>
              <w:rPr>
                <w:sz w:val="20"/>
              </w:rPr>
            </w:pPr>
            <w:r w:rsidRPr="00221647">
              <w:rPr>
                <w:sz w:val="20"/>
                <w:szCs w:val="20"/>
              </w:rPr>
              <w:t xml:space="preserve"> </w:t>
            </w:r>
            <w:r w:rsidRPr="00B507AD">
              <w:rPr>
                <w:sz w:val="20"/>
              </w:rPr>
              <w:t>56,657</w:t>
            </w:r>
            <w:r w:rsidRPr="00221647">
              <w:rPr>
                <w:sz w:val="20"/>
                <w:szCs w:val="20"/>
              </w:rPr>
              <w:t xml:space="preserve"> </w:t>
            </w:r>
          </w:p>
        </w:tc>
        <w:tc>
          <w:tcPr>
            <w:tcW w:w="1463" w:type="dxa"/>
            <w:vAlign w:val="bottom"/>
          </w:tcPr>
          <w:p w14:paraId="5D97C76A" w14:textId="77777777" w:rsidR="00D7683A" w:rsidRPr="00B507AD" w:rsidRDefault="00D7683A" w:rsidP="00B11582">
            <w:pPr>
              <w:keepNext/>
              <w:keepLines/>
              <w:jc w:val="center"/>
              <w:rPr>
                <w:sz w:val="20"/>
              </w:rPr>
            </w:pPr>
            <w:r w:rsidRPr="00221647">
              <w:rPr>
                <w:sz w:val="20"/>
                <w:szCs w:val="20"/>
              </w:rPr>
              <w:t xml:space="preserve"> </w:t>
            </w:r>
            <w:r>
              <w:rPr>
                <w:sz w:val="20"/>
              </w:rPr>
              <w:t>$5.00</w:t>
            </w:r>
            <w:r w:rsidRPr="00221647">
              <w:rPr>
                <w:sz w:val="20"/>
                <w:szCs w:val="20"/>
              </w:rPr>
              <w:t xml:space="preserve"> </w:t>
            </w:r>
          </w:p>
        </w:tc>
        <w:tc>
          <w:tcPr>
            <w:tcW w:w="1417" w:type="dxa"/>
            <w:vAlign w:val="bottom"/>
          </w:tcPr>
          <w:p w14:paraId="22CA222C" w14:textId="77777777" w:rsidR="00D7683A" w:rsidRPr="00B507AD" w:rsidRDefault="00D7683A" w:rsidP="00B11582">
            <w:pPr>
              <w:keepNext/>
              <w:keepLines/>
              <w:jc w:val="right"/>
              <w:rPr>
                <w:sz w:val="20"/>
              </w:rPr>
            </w:pPr>
            <w:r w:rsidRPr="00221647">
              <w:rPr>
                <w:sz w:val="20"/>
                <w:szCs w:val="20"/>
              </w:rPr>
              <w:t xml:space="preserve"> </w:t>
            </w:r>
            <w:r>
              <w:rPr>
                <w:sz w:val="20"/>
              </w:rPr>
              <w:t>283,285</w:t>
            </w:r>
            <w:r w:rsidRPr="00221647">
              <w:rPr>
                <w:sz w:val="20"/>
                <w:szCs w:val="20"/>
              </w:rPr>
              <w:t xml:space="preserve"> </w:t>
            </w:r>
          </w:p>
        </w:tc>
      </w:tr>
      <w:tr w:rsidR="00D7683A" w:rsidRPr="00B507AD" w14:paraId="13C7C73C" w14:textId="77777777" w:rsidTr="00B11582">
        <w:tc>
          <w:tcPr>
            <w:tcW w:w="3690" w:type="dxa"/>
          </w:tcPr>
          <w:p w14:paraId="3CC01B9C" w14:textId="77777777" w:rsidR="00D7683A" w:rsidRPr="00B507AD" w:rsidRDefault="00D7683A" w:rsidP="00B11582">
            <w:pPr>
              <w:keepNext/>
              <w:keepLines/>
              <w:rPr>
                <w:sz w:val="20"/>
              </w:rPr>
            </w:pPr>
            <w:r w:rsidRPr="00B507AD">
              <w:rPr>
                <w:sz w:val="20"/>
              </w:rPr>
              <w:t>Residential garbage and/or recycling without yard waste</w:t>
            </w:r>
          </w:p>
        </w:tc>
        <w:tc>
          <w:tcPr>
            <w:tcW w:w="1530" w:type="dxa"/>
            <w:vAlign w:val="bottom"/>
          </w:tcPr>
          <w:p w14:paraId="30F010EE" w14:textId="77777777" w:rsidR="00D7683A" w:rsidRPr="00B507AD" w:rsidRDefault="00D7683A" w:rsidP="00B11582">
            <w:pPr>
              <w:keepNext/>
              <w:keepLines/>
              <w:jc w:val="center"/>
              <w:rPr>
                <w:sz w:val="20"/>
              </w:rPr>
            </w:pPr>
            <w:r w:rsidRPr="00221647">
              <w:rPr>
                <w:sz w:val="20"/>
                <w:szCs w:val="20"/>
              </w:rPr>
              <w:t xml:space="preserve"> </w:t>
            </w:r>
            <w:r w:rsidRPr="00B507AD">
              <w:rPr>
                <w:sz w:val="20"/>
              </w:rPr>
              <w:t>66,640</w:t>
            </w:r>
            <w:r w:rsidRPr="00221647">
              <w:rPr>
                <w:sz w:val="20"/>
                <w:szCs w:val="20"/>
              </w:rPr>
              <w:t xml:space="preserve"> </w:t>
            </w:r>
          </w:p>
        </w:tc>
        <w:tc>
          <w:tcPr>
            <w:tcW w:w="1463" w:type="dxa"/>
            <w:vAlign w:val="bottom"/>
          </w:tcPr>
          <w:p w14:paraId="04C64B76" w14:textId="77777777" w:rsidR="00D7683A" w:rsidRPr="00B507AD" w:rsidRDefault="00D7683A" w:rsidP="00B11582">
            <w:pPr>
              <w:keepNext/>
              <w:keepLines/>
              <w:jc w:val="center"/>
              <w:rPr>
                <w:sz w:val="20"/>
              </w:rPr>
            </w:pPr>
            <w:r w:rsidRPr="00221647">
              <w:rPr>
                <w:sz w:val="20"/>
                <w:szCs w:val="20"/>
              </w:rPr>
              <w:t xml:space="preserve"> </w:t>
            </w:r>
            <w:r>
              <w:rPr>
                <w:sz w:val="20"/>
              </w:rPr>
              <w:t>$3.50</w:t>
            </w:r>
            <w:r w:rsidRPr="00221647">
              <w:rPr>
                <w:sz w:val="20"/>
                <w:szCs w:val="20"/>
              </w:rPr>
              <w:t xml:space="preserve"> </w:t>
            </w:r>
          </w:p>
        </w:tc>
        <w:tc>
          <w:tcPr>
            <w:tcW w:w="1417" w:type="dxa"/>
            <w:vAlign w:val="bottom"/>
          </w:tcPr>
          <w:p w14:paraId="4649AEE8" w14:textId="77777777" w:rsidR="00D7683A" w:rsidRPr="00B507AD" w:rsidRDefault="00D7683A" w:rsidP="00B11582">
            <w:pPr>
              <w:keepNext/>
              <w:keepLines/>
              <w:jc w:val="right"/>
              <w:rPr>
                <w:sz w:val="20"/>
              </w:rPr>
            </w:pPr>
            <w:r w:rsidRPr="00221647">
              <w:rPr>
                <w:sz w:val="20"/>
                <w:szCs w:val="20"/>
              </w:rPr>
              <w:t xml:space="preserve"> </w:t>
            </w:r>
            <w:r>
              <w:rPr>
                <w:sz w:val="20"/>
              </w:rPr>
              <w:t>233,240</w:t>
            </w:r>
            <w:r w:rsidRPr="00221647">
              <w:rPr>
                <w:sz w:val="20"/>
                <w:szCs w:val="20"/>
              </w:rPr>
              <w:t xml:space="preserve"> </w:t>
            </w:r>
          </w:p>
        </w:tc>
      </w:tr>
      <w:tr w:rsidR="00D7683A" w:rsidRPr="00B507AD" w14:paraId="42C58FB0" w14:textId="77777777" w:rsidTr="00B11582">
        <w:tc>
          <w:tcPr>
            <w:tcW w:w="3690" w:type="dxa"/>
          </w:tcPr>
          <w:p w14:paraId="7233112D" w14:textId="77777777" w:rsidR="00D7683A" w:rsidRPr="00B507AD" w:rsidRDefault="00D7683A" w:rsidP="00B11582">
            <w:pPr>
              <w:keepNext/>
              <w:keepLines/>
              <w:rPr>
                <w:sz w:val="20"/>
              </w:rPr>
            </w:pPr>
            <w:r w:rsidRPr="00B507AD">
              <w:rPr>
                <w:sz w:val="20"/>
              </w:rPr>
              <w:t xml:space="preserve">Residential </w:t>
            </w:r>
            <w:r>
              <w:rPr>
                <w:sz w:val="20"/>
              </w:rPr>
              <w:t>yard waste only</w:t>
            </w:r>
          </w:p>
        </w:tc>
        <w:tc>
          <w:tcPr>
            <w:tcW w:w="1530" w:type="dxa"/>
            <w:vAlign w:val="bottom"/>
          </w:tcPr>
          <w:p w14:paraId="2C26D705" w14:textId="77777777" w:rsidR="00D7683A" w:rsidRPr="00B507AD" w:rsidRDefault="00D7683A" w:rsidP="00B11582">
            <w:pPr>
              <w:keepNext/>
              <w:keepLines/>
              <w:jc w:val="center"/>
              <w:rPr>
                <w:sz w:val="20"/>
              </w:rPr>
            </w:pPr>
            <w:r w:rsidRPr="00221647">
              <w:rPr>
                <w:sz w:val="20"/>
                <w:szCs w:val="20"/>
              </w:rPr>
              <w:t xml:space="preserve"> 422 </w:t>
            </w:r>
          </w:p>
        </w:tc>
        <w:tc>
          <w:tcPr>
            <w:tcW w:w="1463" w:type="dxa"/>
            <w:vAlign w:val="bottom"/>
          </w:tcPr>
          <w:p w14:paraId="6913B567" w14:textId="77777777" w:rsidR="00D7683A" w:rsidRPr="00B507AD" w:rsidRDefault="00D7683A" w:rsidP="00B11582">
            <w:pPr>
              <w:keepNext/>
              <w:keepLines/>
              <w:jc w:val="center"/>
              <w:rPr>
                <w:sz w:val="20"/>
              </w:rPr>
            </w:pPr>
            <w:r w:rsidRPr="00221647">
              <w:rPr>
                <w:sz w:val="20"/>
                <w:szCs w:val="20"/>
              </w:rPr>
              <w:t xml:space="preserve"> </w:t>
            </w:r>
            <w:r>
              <w:rPr>
                <w:sz w:val="20"/>
              </w:rPr>
              <w:t>$1.50</w:t>
            </w:r>
            <w:r w:rsidRPr="00221647">
              <w:rPr>
                <w:sz w:val="20"/>
                <w:szCs w:val="20"/>
              </w:rPr>
              <w:t xml:space="preserve"> </w:t>
            </w:r>
          </w:p>
        </w:tc>
        <w:tc>
          <w:tcPr>
            <w:tcW w:w="1417" w:type="dxa"/>
            <w:vAlign w:val="bottom"/>
          </w:tcPr>
          <w:p w14:paraId="34232169" w14:textId="77777777" w:rsidR="00D7683A" w:rsidRPr="00B507AD" w:rsidRDefault="00D7683A" w:rsidP="00B11582">
            <w:pPr>
              <w:keepNext/>
              <w:keepLines/>
              <w:jc w:val="right"/>
              <w:rPr>
                <w:sz w:val="20"/>
              </w:rPr>
            </w:pPr>
            <w:r w:rsidRPr="00221647">
              <w:rPr>
                <w:sz w:val="20"/>
                <w:szCs w:val="20"/>
              </w:rPr>
              <w:t xml:space="preserve"> </w:t>
            </w:r>
            <w:r>
              <w:rPr>
                <w:sz w:val="20"/>
              </w:rPr>
              <w:t>633</w:t>
            </w:r>
            <w:r w:rsidRPr="00221647">
              <w:rPr>
                <w:sz w:val="20"/>
                <w:szCs w:val="20"/>
              </w:rPr>
              <w:t xml:space="preserve"> </w:t>
            </w:r>
          </w:p>
        </w:tc>
      </w:tr>
      <w:tr w:rsidR="00D7683A" w:rsidRPr="00B507AD" w14:paraId="37EA986B" w14:textId="77777777" w:rsidTr="00B11582">
        <w:tc>
          <w:tcPr>
            <w:tcW w:w="3690" w:type="dxa"/>
          </w:tcPr>
          <w:p w14:paraId="302624E9" w14:textId="77777777" w:rsidR="00D7683A" w:rsidRPr="00B507AD" w:rsidRDefault="00D7683A" w:rsidP="00B11582">
            <w:pPr>
              <w:keepNext/>
              <w:keepLines/>
              <w:rPr>
                <w:sz w:val="20"/>
              </w:rPr>
            </w:pPr>
            <w:r w:rsidRPr="005238A3">
              <w:rPr>
                <w:sz w:val="20"/>
              </w:rPr>
              <w:t>Commercial and multi-family garbage with cart or can service (</w:t>
            </w:r>
            <w:r>
              <w:rPr>
                <w:sz w:val="20"/>
              </w:rPr>
              <w:t>less than 3</w:t>
            </w:r>
            <w:r w:rsidRPr="005238A3">
              <w:rPr>
                <w:sz w:val="20"/>
              </w:rPr>
              <w:t xml:space="preserve"> cans/carts)</w:t>
            </w:r>
          </w:p>
        </w:tc>
        <w:tc>
          <w:tcPr>
            <w:tcW w:w="1530" w:type="dxa"/>
            <w:vAlign w:val="bottom"/>
          </w:tcPr>
          <w:p w14:paraId="4262CD8B" w14:textId="77777777" w:rsidR="00D7683A" w:rsidRPr="00B507AD" w:rsidRDefault="00D7683A" w:rsidP="00B11582">
            <w:pPr>
              <w:keepNext/>
              <w:keepLines/>
              <w:jc w:val="center"/>
              <w:rPr>
                <w:sz w:val="20"/>
              </w:rPr>
            </w:pPr>
            <w:r w:rsidRPr="00221647">
              <w:rPr>
                <w:sz w:val="20"/>
                <w:szCs w:val="20"/>
              </w:rPr>
              <w:t xml:space="preserve"> 693 </w:t>
            </w:r>
          </w:p>
        </w:tc>
        <w:tc>
          <w:tcPr>
            <w:tcW w:w="1463" w:type="dxa"/>
            <w:vAlign w:val="bottom"/>
          </w:tcPr>
          <w:p w14:paraId="63743199" w14:textId="77777777" w:rsidR="00D7683A" w:rsidRPr="00B507AD" w:rsidRDefault="00D7683A" w:rsidP="00B11582">
            <w:pPr>
              <w:keepNext/>
              <w:keepLines/>
              <w:jc w:val="center"/>
              <w:rPr>
                <w:sz w:val="20"/>
              </w:rPr>
            </w:pPr>
            <w:r w:rsidRPr="00221647">
              <w:rPr>
                <w:sz w:val="20"/>
                <w:szCs w:val="20"/>
              </w:rPr>
              <w:t xml:space="preserve"> </w:t>
            </w:r>
            <w:r>
              <w:rPr>
                <w:sz w:val="20"/>
              </w:rPr>
              <w:t>$3.50</w:t>
            </w:r>
            <w:r w:rsidRPr="00221647">
              <w:rPr>
                <w:sz w:val="20"/>
                <w:szCs w:val="20"/>
              </w:rPr>
              <w:t xml:space="preserve"> </w:t>
            </w:r>
          </w:p>
        </w:tc>
        <w:tc>
          <w:tcPr>
            <w:tcW w:w="1417" w:type="dxa"/>
            <w:vAlign w:val="bottom"/>
          </w:tcPr>
          <w:p w14:paraId="7B9FAE31" w14:textId="77777777" w:rsidR="00D7683A" w:rsidRPr="00B507AD" w:rsidRDefault="00D7683A" w:rsidP="00B11582">
            <w:pPr>
              <w:keepNext/>
              <w:keepLines/>
              <w:jc w:val="right"/>
              <w:rPr>
                <w:sz w:val="20"/>
              </w:rPr>
            </w:pPr>
            <w:r w:rsidRPr="00221647">
              <w:rPr>
                <w:sz w:val="20"/>
                <w:szCs w:val="20"/>
              </w:rPr>
              <w:t xml:space="preserve"> </w:t>
            </w:r>
            <w:r>
              <w:rPr>
                <w:sz w:val="20"/>
              </w:rPr>
              <w:t>2,</w:t>
            </w:r>
            <w:r w:rsidRPr="00221647">
              <w:rPr>
                <w:sz w:val="20"/>
                <w:szCs w:val="20"/>
              </w:rPr>
              <w:t xml:space="preserve">426 </w:t>
            </w:r>
          </w:p>
        </w:tc>
      </w:tr>
      <w:tr w:rsidR="00D7683A" w:rsidRPr="00B507AD" w14:paraId="04402AAB" w14:textId="77777777" w:rsidTr="00B11582">
        <w:tc>
          <w:tcPr>
            <w:tcW w:w="3690" w:type="dxa"/>
          </w:tcPr>
          <w:p w14:paraId="3DE61C36" w14:textId="77777777" w:rsidR="00D7683A" w:rsidRPr="00B507AD" w:rsidRDefault="00D7683A" w:rsidP="00B11582">
            <w:pPr>
              <w:keepNext/>
              <w:keepLines/>
              <w:rPr>
                <w:sz w:val="20"/>
              </w:rPr>
            </w:pPr>
            <w:r w:rsidRPr="005238A3">
              <w:rPr>
                <w:sz w:val="20"/>
              </w:rPr>
              <w:t>Commercial and multi-family garbage with cart or can service</w:t>
            </w:r>
            <w:r>
              <w:rPr>
                <w:sz w:val="20"/>
              </w:rPr>
              <w:t xml:space="preserve"> (3 or more cans/carts)  </w:t>
            </w:r>
          </w:p>
        </w:tc>
        <w:tc>
          <w:tcPr>
            <w:tcW w:w="1530" w:type="dxa"/>
            <w:vAlign w:val="bottom"/>
          </w:tcPr>
          <w:p w14:paraId="3FD50734" w14:textId="77777777" w:rsidR="00D7683A" w:rsidRDefault="00D7683A" w:rsidP="00B11582">
            <w:pPr>
              <w:keepNext/>
              <w:keepLines/>
              <w:jc w:val="center"/>
              <w:rPr>
                <w:sz w:val="20"/>
              </w:rPr>
            </w:pPr>
            <w:r w:rsidRPr="00221647">
              <w:rPr>
                <w:sz w:val="20"/>
                <w:szCs w:val="20"/>
              </w:rPr>
              <w:t xml:space="preserve"> 102 </w:t>
            </w:r>
          </w:p>
        </w:tc>
        <w:tc>
          <w:tcPr>
            <w:tcW w:w="1463" w:type="dxa"/>
            <w:vAlign w:val="bottom"/>
          </w:tcPr>
          <w:p w14:paraId="6A822995" w14:textId="77777777" w:rsidR="00D7683A" w:rsidRPr="00B507AD" w:rsidRDefault="00D7683A" w:rsidP="00B11582">
            <w:pPr>
              <w:keepNext/>
              <w:keepLines/>
              <w:jc w:val="center"/>
              <w:rPr>
                <w:sz w:val="20"/>
              </w:rPr>
            </w:pPr>
            <w:r w:rsidRPr="00221647">
              <w:rPr>
                <w:sz w:val="20"/>
                <w:szCs w:val="20"/>
              </w:rPr>
              <w:t xml:space="preserve"> </w:t>
            </w:r>
            <w:r>
              <w:rPr>
                <w:sz w:val="20"/>
              </w:rPr>
              <w:t>$25.00</w:t>
            </w:r>
            <w:r w:rsidRPr="00221647">
              <w:rPr>
                <w:sz w:val="20"/>
                <w:szCs w:val="20"/>
              </w:rPr>
              <w:t xml:space="preserve"> </w:t>
            </w:r>
          </w:p>
        </w:tc>
        <w:tc>
          <w:tcPr>
            <w:tcW w:w="1417" w:type="dxa"/>
            <w:vAlign w:val="bottom"/>
          </w:tcPr>
          <w:p w14:paraId="1E823536" w14:textId="77777777" w:rsidR="00D7683A" w:rsidRDefault="00D7683A" w:rsidP="00B11582">
            <w:pPr>
              <w:keepNext/>
              <w:keepLines/>
              <w:jc w:val="right"/>
              <w:rPr>
                <w:sz w:val="20"/>
              </w:rPr>
            </w:pPr>
            <w:r w:rsidRPr="00221647">
              <w:rPr>
                <w:sz w:val="20"/>
                <w:szCs w:val="20"/>
              </w:rPr>
              <w:t xml:space="preserve"> 2,550 </w:t>
            </w:r>
          </w:p>
        </w:tc>
      </w:tr>
      <w:tr w:rsidR="00D7683A" w:rsidRPr="00B507AD" w14:paraId="08D3690E" w14:textId="77777777" w:rsidTr="00B11582">
        <w:tc>
          <w:tcPr>
            <w:tcW w:w="3690" w:type="dxa"/>
          </w:tcPr>
          <w:p w14:paraId="2CB191A1" w14:textId="77777777" w:rsidR="00D7683A" w:rsidRPr="00B507AD" w:rsidRDefault="00D7683A" w:rsidP="00B11582">
            <w:pPr>
              <w:keepNext/>
              <w:keepLines/>
              <w:rPr>
                <w:sz w:val="20"/>
              </w:rPr>
            </w:pPr>
            <w:r w:rsidRPr="00B507AD">
              <w:rPr>
                <w:sz w:val="20"/>
              </w:rPr>
              <w:t xml:space="preserve">Commercial </w:t>
            </w:r>
            <w:r w:rsidRPr="005238A3">
              <w:rPr>
                <w:sz w:val="20"/>
              </w:rPr>
              <w:t>and multi-family</w:t>
            </w:r>
            <w:r>
              <w:rPr>
                <w:sz w:val="20"/>
              </w:rPr>
              <w:t xml:space="preserve"> </w:t>
            </w:r>
            <w:r w:rsidRPr="00B507AD">
              <w:rPr>
                <w:sz w:val="20"/>
              </w:rPr>
              <w:t>garbage with container service (excluding roll-off)</w:t>
            </w:r>
          </w:p>
        </w:tc>
        <w:tc>
          <w:tcPr>
            <w:tcW w:w="1530" w:type="dxa"/>
            <w:vAlign w:val="bottom"/>
          </w:tcPr>
          <w:p w14:paraId="332C871C" w14:textId="77777777" w:rsidR="00D7683A" w:rsidRPr="00B507AD" w:rsidRDefault="00D7683A" w:rsidP="00B11582">
            <w:pPr>
              <w:keepNext/>
              <w:keepLines/>
              <w:jc w:val="center"/>
              <w:rPr>
                <w:sz w:val="20"/>
              </w:rPr>
            </w:pPr>
            <w:r w:rsidRPr="00221647">
              <w:rPr>
                <w:sz w:val="20"/>
                <w:szCs w:val="20"/>
              </w:rPr>
              <w:t xml:space="preserve"> </w:t>
            </w:r>
            <w:r w:rsidRPr="00B507AD">
              <w:rPr>
                <w:sz w:val="20"/>
              </w:rPr>
              <w:t>3,951</w:t>
            </w:r>
            <w:r w:rsidRPr="00221647">
              <w:rPr>
                <w:sz w:val="20"/>
                <w:szCs w:val="20"/>
              </w:rPr>
              <w:t xml:space="preserve"> </w:t>
            </w:r>
          </w:p>
        </w:tc>
        <w:tc>
          <w:tcPr>
            <w:tcW w:w="1463" w:type="dxa"/>
            <w:vAlign w:val="bottom"/>
          </w:tcPr>
          <w:p w14:paraId="4E480ACC" w14:textId="77777777" w:rsidR="00D7683A" w:rsidRPr="00B507AD" w:rsidRDefault="00D7683A" w:rsidP="00B11582">
            <w:pPr>
              <w:keepNext/>
              <w:keepLines/>
              <w:jc w:val="center"/>
              <w:rPr>
                <w:sz w:val="20"/>
              </w:rPr>
            </w:pPr>
            <w:r w:rsidRPr="00221647">
              <w:rPr>
                <w:sz w:val="20"/>
                <w:szCs w:val="20"/>
              </w:rPr>
              <w:t xml:space="preserve"> </w:t>
            </w:r>
            <w:r>
              <w:rPr>
                <w:sz w:val="20"/>
              </w:rPr>
              <w:t>$25.00</w:t>
            </w:r>
            <w:r w:rsidRPr="00221647">
              <w:rPr>
                <w:sz w:val="20"/>
                <w:szCs w:val="20"/>
              </w:rPr>
              <w:t xml:space="preserve"> </w:t>
            </w:r>
          </w:p>
        </w:tc>
        <w:tc>
          <w:tcPr>
            <w:tcW w:w="1417" w:type="dxa"/>
            <w:vAlign w:val="bottom"/>
          </w:tcPr>
          <w:p w14:paraId="3CD314D8" w14:textId="77777777" w:rsidR="00D7683A" w:rsidRPr="00B507AD" w:rsidRDefault="00D7683A" w:rsidP="00B11582">
            <w:pPr>
              <w:keepNext/>
              <w:keepLines/>
              <w:jc w:val="right"/>
              <w:rPr>
                <w:sz w:val="20"/>
              </w:rPr>
            </w:pPr>
            <w:r w:rsidRPr="00221647">
              <w:rPr>
                <w:sz w:val="20"/>
                <w:szCs w:val="20"/>
              </w:rPr>
              <w:t xml:space="preserve"> 98,775 </w:t>
            </w:r>
          </w:p>
        </w:tc>
      </w:tr>
      <w:tr w:rsidR="00D7683A" w:rsidRPr="00B507AD" w14:paraId="367BC30F" w14:textId="77777777" w:rsidTr="00B11582">
        <w:tc>
          <w:tcPr>
            <w:tcW w:w="3690" w:type="dxa"/>
          </w:tcPr>
          <w:p w14:paraId="3171F59C" w14:textId="77777777" w:rsidR="00D7683A" w:rsidRPr="00B507AD" w:rsidRDefault="00D7683A" w:rsidP="00B11582">
            <w:pPr>
              <w:keepNext/>
              <w:keepLines/>
              <w:jc w:val="right"/>
              <w:rPr>
                <w:b/>
                <w:sz w:val="20"/>
              </w:rPr>
            </w:pPr>
            <w:r w:rsidRPr="00B507AD">
              <w:rPr>
                <w:b/>
                <w:sz w:val="20"/>
              </w:rPr>
              <w:t>Total</w:t>
            </w:r>
          </w:p>
        </w:tc>
        <w:tc>
          <w:tcPr>
            <w:tcW w:w="1530" w:type="dxa"/>
            <w:vAlign w:val="bottom"/>
          </w:tcPr>
          <w:p w14:paraId="7BE82BFF" w14:textId="77777777" w:rsidR="00D7683A" w:rsidRPr="00B507AD" w:rsidRDefault="00D7683A" w:rsidP="00B11582">
            <w:pPr>
              <w:keepNext/>
              <w:keepLines/>
              <w:jc w:val="center"/>
              <w:rPr>
                <w:sz w:val="20"/>
              </w:rPr>
            </w:pPr>
          </w:p>
        </w:tc>
        <w:tc>
          <w:tcPr>
            <w:tcW w:w="1463" w:type="dxa"/>
            <w:vAlign w:val="bottom"/>
          </w:tcPr>
          <w:p w14:paraId="14ECDD09" w14:textId="77777777" w:rsidR="00D7683A" w:rsidRPr="00B507AD" w:rsidRDefault="00D7683A" w:rsidP="00B11582">
            <w:pPr>
              <w:keepNext/>
              <w:keepLines/>
              <w:jc w:val="center"/>
              <w:rPr>
                <w:sz w:val="20"/>
              </w:rPr>
            </w:pPr>
          </w:p>
        </w:tc>
        <w:tc>
          <w:tcPr>
            <w:tcW w:w="1417" w:type="dxa"/>
            <w:vAlign w:val="bottom"/>
          </w:tcPr>
          <w:p w14:paraId="5DE85E6F" w14:textId="77777777" w:rsidR="00D7683A" w:rsidRPr="00B507AD" w:rsidRDefault="00D7683A" w:rsidP="00B11582">
            <w:pPr>
              <w:keepNext/>
              <w:keepLines/>
              <w:jc w:val="right"/>
              <w:rPr>
                <w:sz w:val="20"/>
              </w:rPr>
            </w:pPr>
            <w:r>
              <w:rPr>
                <w:sz w:val="20"/>
              </w:rPr>
              <w:t>$</w:t>
            </w:r>
            <w:r>
              <w:rPr>
                <w:sz w:val="20"/>
                <w:szCs w:val="20"/>
              </w:rPr>
              <w:t>620,909</w:t>
            </w:r>
          </w:p>
        </w:tc>
      </w:tr>
    </w:tbl>
    <w:p w14:paraId="5F36289A" w14:textId="77777777" w:rsidR="00D7683A" w:rsidRDefault="00D7683A" w:rsidP="00D7683A">
      <w:pPr>
        <w:pStyle w:val="BodyText"/>
        <w:spacing w:line="480" w:lineRule="auto"/>
        <w:ind w:firstLine="0"/>
      </w:pPr>
    </w:p>
    <w:p w14:paraId="00CD772A" w14:textId="4DB577DA" w:rsidR="00582799" w:rsidRDefault="00D7683A" w:rsidP="00D7683A">
      <w:pPr>
        <w:pStyle w:val="BodyText"/>
        <w:numPr>
          <w:ilvl w:val="0"/>
          <w:numId w:val="13"/>
        </w:numPr>
        <w:spacing w:after="0" w:line="480" w:lineRule="auto"/>
      </w:pPr>
      <w:r>
        <w:tab/>
      </w:r>
      <w:r w:rsidR="00F5616A">
        <w:t xml:space="preserve">The above table shows the approximate number of </w:t>
      </w:r>
      <w:r w:rsidR="00F5616A" w:rsidRPr="00F5616A">
        <w:t>customers</w:t>
      </w:r>
      <w:r w:rsidR="00F5616A">
        <w:t xml:space="preserve">; however, </w:t>
      </w:r>
      <w:r w:rsidR="00582799">
        <w:t xml:space="preserve">the </w:t>
      </w:r>
      <w:r w:rsidR="00F5616A">
        <w:t xml:space="preserve">Settlement Agreement requires that Waste Management issue credits to every customer with an active account on the date defined as the </w:t>
      </w:r>
      <w:r w:rsidR="00582799">
        <w:t>“</w:t>
      </w:r>
      <w:r w:rsidR="00F5616A">
        <w:t>Credit Issue Date</w:t>
      </w:r>
      <w:r w:rsidR="00653407">
        <w:t>,</w:t>
      </w:r>
      <w:r w:rsidR="00582799">
        <w:t>”</w:t>
      </w:r>
      <w:r w:rsidR="00F5616A">
        <w:t xml:space="preserve"> which will be within 30 days of final approval</w:t>
      </w:r>
      <w:r w:rsidR="00582799">
        <w:t xml:space="preserve"> of the Settlement </w:t>
      </w:r>
      <w:r w:rsidR="00976A53">
        <w:t xml:space="preserve">Agreement </w:t>
      </w:r>
      <w:r w:rsidR="00582799">
        <w:t>by the Commission</w:t>
      </w:r>
      <w:r w:rsidR="00F5616A">
        <w:t xml:space="preserve">.  Therefore, the actual total amount of credits issued will likely be different from the numbers above.  </w:t>
      </w:r>
      <w:r w:rsidR="00582799">
        <w:t xml:space="preserve">Once the active customer accounts are determined, the Settlement Agreement requires Waste Management to issue the applicable credit </w:t>
      </w:r>
      <w:r w:rsidR="00AC1CA6" w:rsidRPr="00940FB8">
        <w:t xml:space="preserve">on </w:t>
      </w:r>
      <w:r w:rsidR="00976A53">
        <w:t xml:space="preserve">each </w:t>
      </w:r>
      <w:r w:rsidR="00AC1CA6" w:rsidRPr="00940FB8">
        <w:t>customer</w:t>
      </w:r>
      <w:r w:rsidR="00976A53">
        <w:t>’s</w:t>
      </w:r>
      <w:r w:rsidR="00AC1CA6" w:rsidRPr="00940FB8">
        <w:t xml:space="preserve"> </w:t>
      </w:r>
      <w:r w:rsidR="00582799">
        <w:t>next regular bill.</w:t>
      </w:r>
      <w:r>
        <w:t xml:space="preserve">  </w:t>
      </w:r>
    </w:p>
    <w:p w14:paraId="6561480B" w14:textId="09A9A7B2" w:rsidR="001C6326" w:rsidRDefault="00D7683A" w:rsidP="00D7683A">
      <w:pPr>
        <w:pStyle w:val="BodyText"/>
        <w:numPr>
          <w:ilvl w:val="0"/>
          <w:numId w:val="13"/>
        </w:numPr>
        <w:spacing w:after="0" w:line="480" w:lineRule="auto"/>
      </w:pPr>
      <w:r>
        <w:tab/>
      </w:r>
      <w:r w:rsidR="00270058">
        <w:t xml:space="preserve">The Parties have also agreed to specific </w:t>
      </w:r>
      <w:r w:rsidR="00976A53">
        <w:t xml:space="preserve">and timely </w:t>
      </w:r>
      <w:r w:rsidR="001C6326">
        <w:t>report</w:t>
      </w:r>
      <w:r w:rsidR="00270058">
        <w:t xml:space="preserve">ing to </w:t>
      </w:r>
      <w:r w:rsidR="001C6326">
        <w:t xml:space="preserve">the Commission by the Company to </w:t>
      </w:r>
      <w:r w:rsidR="00270058">
        <w:t xml:space="preserve">ensure </w:t>
      </w:r>
      <w:r w:rsidR="001C6326">
        <w:t xml:space="preserve">that these obligations have been satisfied.  </w:t>
      </w:r>
    </w:p>
    <w:p w14:paraId="6015BA44" w14:textId="277B1645" w:rsidR="00E57A43" w:rsidRDefault="00D7683A" w:rsidP="00D7683A">
      <w:pPr>
        <w:pStyle w:val="BodyText"/>
        <w:numPr>
          <w:ilvl w:val="0"/>
          <w:numId w:val="13"/>
        </w:numPr>
        <w:spacing w:after="0" w:line="480" w:lineRule="auto"/>
      </w:pPr>
      <w:r>
        <w:tab/>
      </w:r>
      <w:r w:rsidR="00C13CF1">
        <w:t xml:space="preserve">The Company </w:t>
      </w:r>
      <w:r w:rsidR="001C6326">
        <w:t xml:space="preserve">also </w:t>
      </w:r>
      <w:r w:rsidR="00C13CF1">
        <w:t xml:space="preserve">agrees that these </w:t>
      </w:r>
      <w:r w:rsidR="001C6326">
        <w:t>customer credits will be funded</w:t>
      </w:r>
      <w:r w:rsidR="00C13CF1">
        <w:t xml:space="preserve"> exclusively from its o</w:t>
      </w:r>
      <w:r w:rsidR="001C6326">
        <w:t>wners and the Company will not</w:t>
      </w:r>
      <w:r w:rsidR="00C13CF1">
        <w:t xml:space="preserve"> seek to recover any of these funds from its customers.</w:t>
      </w:r>
      <w:r w:rsidR="00F17156">
        <w:t xml:space="preserve">  </w:t>
      </w:r>
    </w:p>
    <w:p w14:paraId="0D9AE9F7" w14:textId="402AF7FB" w:rsidR="00D7683A" w:rsidRDefault="00D7683A" w:rsidP="00D7683A">
      <w:pPr>
        <w:pStyle w:val="Heading2"/>
        <w:numPr>
          <w:ilvl w:val="0"/>
          <w:numId w:val="0"/>
        </w:numPr>
        <w:spacing w:after="0" w:line="480" w:lineRule="auto"/>
      </w:pPr>
      <w:r>
        <w:lastRenderedPageBreak/>
        <w:t>B.</w:t>
      </w:r>
      <w:r>
        <w:tab/>
        <w:t>Admission of Violation and Penalty</w:t>
      </w:r>
    </w:p>
    <w:p w14:paraId="23C9DF37" w14:textId="5982E513" w:rsidR="001C6326" w:rsidRDefault="00D7683A" w:rsidP="00D7683A">
      <w:pPr>
        <w:pStyle w:val="BodyText"/>
        <w:numPr>
          <w:ilvl w:val="0"/>
          <w:numId w:val="13"/>
        </w:numPr>
        <w:spacing w:line="480" w:lineRule="auto"/>
      </w:pPr>
      <w:r>
        <w:tab/>
      </w:r>
      <w:r w:rsidR="00CB3ED7">
        <w:t>Waste Management</w:t>
      </w:r>
      <w:r w:rsidR="00CB3ED7" w:rsidRPr="00E64343">
        <w:t xml:space="preserve"> acknowledges </w:t>
      </w:r>
      <w:r w:rsidR="001C6326">
        <w:t>in the Settlement Agreement that it</w:t>
      </w:r>
      <w:r w:rsidR="00CB3ED7" w:rsidRPr="00E64343">
        <w:t xml:space="preserve"> </w:t>
      </w:r>
      <w:r w:rsidR="001C6326">
        <w:t>did not provide service during the Labor Strike in accordance with its filed tariffs then in effect, in violation of RCW</w:t>
      </w:r>
      <w:r w:rsidR="001C6326" w:rsidRPr="001C6326">
        <w:t xml:space="preserve"> </w:t>
      </w:r>
      <w:r w:rsidR="001C6326" w:rsidRPr="00656809">
        <w:t>81.28.080 and WAC 480-70-236</w:t>
      </w:r>
      <w:r w:rsidR="001C6326">
        <w:t>.</w:t>
      </w:r>
      <w:r w:rsidR="00CB3ED7">
        <w:t xml:space="preserve">  Waste Management</w:t>
      </w:r>
      <w:r w:rsidR="00CB3ED7" w:rsidRPr="00E64343">
        <w:t xml:space="preserve"> agrees </w:t>
      </w:r>
      <w:r w:rsidR="00CB3ED7">
        <w:t>to pay a monetary penalty of $20,000</w:t>
      </w:r>
      <w:r w:rsidR="001C6326">
        <w:t xml:space="preserve"> in addition to the customer credits shown above</w:t>
      </w:r>
      <w:r w:rsidR="00CB3ED7">
        <w:t xml:space="preserve">.  </w:t>
      </w:r>
    </w:p>
    <w:p w14:paraId="12850DEF" w14:textId="7F1729B4" w:rsidR="00BE2B59" w:rsidRDefault="00D7683A" w:rsidP="00D7683A">
      <w:pPr>
        <w:pStyle w:val="BodyText"/>
        <w:numPr>
          <w:ilvl w:val="0"/>
          <w:numId w:val="13"/>
        </w:numPr>
        <w:spacing w:after="0" w:line="480" w:lineRule="auto"/>
      </w:pPr>
      <w:r>
        <w:tab/>
      </w:r>
      <w:r w:rsidR="00CB3ED7">
        <w:t>The Company</w:t>
      </w:r>
      <w:r w:rsidR="001C6326">
        <w:t xml:space="preserve"> will </w:t>
      </w:r>
      <w:r w:rsidR="00CB3ED7" w:rsidRPr="00E64343">
        <w:t>pay</w:t>
      </w:r>
      <w:r w:rsidR="001C6326">
        <w:t xml:space="preserve"> this monetary penalty</w:t>
      </w:r>
      <w:r w:rsidR="00CB3ED7" w:rsidRPr="00E64343">
        <w:t xml:space="preserve"> to the Commission within 10 business days after the date of the Commission order approving this </w:t>
      </w:r>
      <w:r w:rsidR="00CB3ED7">
        <w:t xml:space="preserve">Settlement </w:t>
      </w:r>
      <w:r w:rsidR="00CB3ED7" w:rsidRPr="00E64343">
        <w:t>Agreement.</w:t>
      </w:r>
      <w:r w:rsidR="00E57A43">
        <w:t xml:space="preserve">  </w:t>
      </w:r>
      <w:r w:rsidR="00CB3ED7">
        <w:t xml:space="preserve">Waste Management agrees that it will not seek </w:t>
      </w:r>
      <w:r w:rsidR="004B144D">
        <w:t>to recover any of th</w:t>
      </w:r>
      <w:r w:rsidR="00976A53">
        <w:t>is</w:t>
      </w:r>
      <w:r w:rsidR="004B144D">
        <w:t xml:space="preserve"> </w:t>
      </w:r>
      <w:r w:rsidR="00CB3ED7">
        <w:t>penalty from its customers.</w:t>
      </w:r>
    </w:p>
    <w:p w14:paraId="344887D6" w14:textId="77777777" w:rsidR="00D7683A" w:rsidRDefault="00D7683A" w:rsidP="00D7683A">
      <w:pPr>
        <w:pStyle w:val="Heading1"/>
        <w:numPr>
          <w:ilvl w:val="0"/>
          <w:numId w:val="0"/>
        </w:numPr>
        <w:spacing w:before="0" w:after="0"/>
      </w:pPr>
      <w:r>
        <w:t>III.</w:t>
      </w:r>
      <w:r>
        <w:tab/>
      </w:r>
      <w:r w:rsidRPr="00CB3ED7">
        <w:t xml:space="preserve">EXPLANATION WHY </w:t>
      </w:r>
      <w:r>
        <w:t xml:space="preserve">THE </w:t>
      </w:r>
      <w:r w:rsidRPr="00CB3ED7">
        <w:t xml:space="preserve">SETTLEMENT AGREEMENT SATISFIES </w:t>
      </w:r>
    </w:p>
    <w:p w14:paraId="5D8FE93E" w14:textId="77777777" w:rsidR="00D7683A" w:rsidRDefault="00D7683A" w:rsidP="00D7683A">
      <w:pPr>
        <w:pStyle w:val="Heading1"/>
        <w:numPr>
          <w:ilvl w:val="0"/>
          <w:numId w:val="0"/>
        </w:numPr>
        <w:spacing w:before="0" w:after="0"/>
      </w:pPr>
      <w:r w:rsidRPr="00CB3ED7">
        <w:t>THE PUBLIC INTEREST AND EA</w:t>
      </w:r>
      <w:r>
        <w:t>CH PARTY</w:t>
      </w:r>
      <w:r w:rsidRPr="00CB3ED7">
        <w:t>’</w:t>
      </w:r>
      <w:r>
        <w:t>S</w:t>
      </w:r>
      <w:r w:rsidRPr="00CB3ED7">
        <w:t xml:space="preserve"> INTEREST</w:t>
      </w:r>
    </w:p>
    <w:p w14:paraId="74F3DAD1" w14:textId="77777777" w:rsidR="00D7683A" w:rsidRPr="00D7683A" w:rsidRDefault="00D7683A" w:rsidP="00D7683A"/>
    <w:p w14:paraId="4B23B7A1" w14:textId="1060B07F" w:rsidR="00D7683A" w:rsidRDefault="00D7683A" w:rsidP="00D7683A">
      <w:pPr>
        <w:pStyle w:val="Heading2"/>
        <w:keepNext/>
        <w:keepLines/>
        <w:numPr>
          <w:ilvl w:val="0"/>
          <w:numId w:val="0"/>
        </w:numPr>
        <w:spacing w:after="0" w:line="480" w:lineRule="auto"/>
      </w:pPr>
      <w:r>
        <w:t>A.</w:t>
      </w:r>
      <w:r>
        <w:tab/>
      </w:r>
      <w:r w:rsidRPr="005558E4">
        <w:t>Staff Statement</w:t>
      </w:r>
      <w:r>
        <w:t xml:space="preserve"> </w:t>
      </w:r>
    </w:p>
    <w:p w14:paraId="6B8AEED3" w14:textId="1636B0A7" w:rsidR="006056E8" w:rsidRDefault="00D7683A" w:rsidP="00D7683A">
      <w:pPr>
        <w:pStyle w:val="BodyText"/>
        <w:numPr>
          <w:ilvl w:val="0"/>
          <w:numId w:val="13"/>
        </w:numPr>
        <w:spacing w:after="0" w:line="480" w:lineRule="auto"/>
      </w:pPr>
      <w:r>
        <w:tab/>
      </w:r>
      <w:r w:rsidR="004016D1" w:rsidRPr="006E031A">
        <w:t xml:space="preserve">There are several reasons why the Settlement Agreement satisfies both </w:t>
      </w:r>
      <w:r w:rsidR="004B144D">
        <w:t xml:space="preserve">the public interest and </w:t>
      </w:r>
      <w:r w:rsidR="00976A53">
        <w:t xml:space="preserve">Commission </w:t>
      </w:r>
      <w:r w:rsidR="004B144D">
        <w:t xml:space="preserve">Staff’s </w:t>
      </w:r>
      <w:r w:rsidR="004016D1" w:rsidRPr="006E031A">
        <w:t xml:space="preserve">interest.  </w:t>
      </w:r>
    </w:p>
    <w:p w14:paraId="4BF8FEAD" w14:textId="45A3B288" w:rsidR="006E031A" w:rsidRDefault="00D7683A" w:rsidP="00305487">
      <w:pPr>
        <w:pStyle w:val="BodyText"/>
        <w:numPr>
          <w:ilvl w:val="0"/>
          <w:numId w:val="13"/>
        </w:numPr>
        <w:spacing w:after="0" w:line="480" w:lineRule="auto"/>
      </w:pPr>
      <w:r>
        <w:tab/>
      </w:r>
      <w:r w:rsidR="004016D1" w:rsidRPr="006E031A">
        <w:t xml:space="preserve">First, Waste Management has acknowledged </w:t>
      </w:r>
      <w:r w:rsidR="006B4077" w:rsidRPr="006E031A">
        <w:t xml:space="preserve">that it failed to provide service during the Labor Strike in accordance with its filed tariffs then in effect in its Certificate G-237 service territory in King and Snohomish </w:t>
      </w:r>
      <w:r w:rsidR="00976A53">
        <w:t>C</w:t>
      </w:r>
      <w:r w:rsidR="006B4077" w:rsidRPr="006E031A">
        <w:t>ounties</w:t>
      </w:r>
      <w:r w:rsidR="006056E8" w:rsidRPr="006E031A">
        <w:t xml:space="preserve">. </w:t>
      </w:r>
      <w:r w:rsidR="005558E4">
        <w:t xml:space="preserve"> </w:t>
      </w:r>
      <w:r w:rsidR="004B144D">
        <w:t xml:space="preserve">This is an important element of the Settlement Agreement in light of </w:t>
      </w:r>
      <w:r w:rsidR="00976A53">
        <w:t xml:space="preserve">Commission </w:t>
      </w:r>
      <w:r w:rsidR="004B144D">
        <w:t>Staff’s role to ensure that companies subject to Commission regulation comply with the applicable laws and rules the Commission is obligated to enforce.  The admission of violation</w:t>
      </w:r>
      <w:r w:rsidR="00653407">
        <w:t>s</w:t>
      </w:r>
      <w:r w:rsidR="004B144D">
        <w:t xml:space="preserve"> by the Company is also consistent with</w:t>
      </w:r>
      <w:r w:rsidR="005558E4">
        <w:t xml:space="preserve"> Commission practice and policy </w:t>
      </w:r>
      <w:r w:rsidR="004B144D">
        <w:t>req</w:t>
      </w:r>
      <w:r w:rsidR="005558E4">
        <w:t xml:space="preserve">uiring </w:t>
      </w:r>
      <w:r w:rsidR="004B144D">
        <w:t>an acknowledgement so the Commission can properly evaluate the terms of a settlement.</w:t>
      </w:r>
      <w:r>
        <w:t xml:space="preserve">  </w:t>
      </w:r>
    </w:p>
    <w:p w14:paraId="2A4F0D96" w14:textId="585C11BB" w:rsidR="006E031A" w:rsidRDefault="00D7683A" w:rsidP="00305487">
      <w:pPr>
        <w:pStyle w:val="BodyText"/>
        <w:numPr>
          <w:ilvl w:val="0"/>
          <w:numId w:val="13"/>
        </w:numPr>
        <w:spacing w:after="0" w:line="480" w:lineRule="auto"/>
      </w:pPr>
      <w:r>
        <w:tab/>
      </w:r>
      <w:r w:rsidR="00A2292E" w:rsidRPr="006E031A">
        <w:t>Second, Waste Management</w:t>
      </w:r>
      <w:r w:rsidR="00976A53">
        <w:t xml:space="preserve">’s agreement </w:t>
      </w:r>
      <w:r w:rsidR="006056E8" w:rsidRPr="006E031A">
        <w:t xml:space="preserve">to </w:t>
      </w:r>
      <w:r w:rsidR="00DF2A97">
        <w:t xml:space="preserve">provide </w:t>
      </w:r>
      <w:r w:rsidR="00AC1CA6" w:rsidRPr="00940FB8">
        <w:t>credits</w:t>
      </w:r>
      <w:r w:rsidR="00F36CB2" w:rsidRPr="006E031A">
        <w:t xml:space="preserve"> </w:t>
      </w:r>
      <w:r w:rsidR="006056E8" w:rsidRPr="006E031A">
        <w:t>to all current customers</w:t>
      </w:r>
      <w:r w:rsidR="00976A53">
        <w:t xml:space="preserve"> </w:t>
      </w:r>
      <w:r w:rsidR="006056E8" w:rsidRPr="006E031A">
        <w:t>compensate</w:t>
      </w:r>
      <w:r w:rsidR="00653407">
        <w:t>s</w:t>
      </w:r>
      <w:r w:rsidR="006056E8" w:rsidRPr="006E031A">
        <w:t xml:space="preserve"> </w:t>
      </w:r>
      <w:r w:rsidR="00DF2A97">
        <w:t>customers</w:t>
      </w:r>
      <w:r w:rsidR="006056E8" w:rsidRPr="006E031A">
        <w:t xml:space="preserve"> for the scheduled service they did not receive but</w:t>
      </w:r>
      <w:r w:rsidR="00B01C35">
        <w:t xml:space="preserve"> </w:t>
      </w:r>
      <w:r w:rsidR="006056E8" w:rsidRPr="006E031A">
        <w:t xml:space="preserve">paid </w:t>
      </w:r>
      <w:r w:rsidR="00DF2A97">
        <w:t xml:space="preserve">for </w:t>
      </w:r>
      <w:r w:rsidR="006056E8" w:rsidRPr="006E031A">
        <w:t xml:space="preserve">through </w:t>
      </w:r>
      <w:r w:rsidR="006056E8" w:rsidRPr="006E031A">
        <w:lastRenderedPageBreak/>
        <w:t>bills</w:t>
      </w:r>
      <w:r w:rsidR="00DF2A97">
        <w:t xml:space="preserve"> previously issued</w:t>
      </w:r>
      <w:r w:rsidR="006056E8" w:rsidRPr="006E031A">
        <w:t xml:space="preserve">. </w:t>
      </w:r>
      <w:r w:rsidR="00DF2A97">
        <w:t xml:space="preserve"> </w:t>
      </w:r>
      <w:r w:rsidR="00313E37" w:rsidRPr="00313E37">
        <w:t xml:space="preserve">The </w:t>
      </w:r>
      <w:r w:rsidR="00313E37">
        <w:t>credits</w:t>
      </w:r>
      <w:r w:rsidR="00313E37" w:rsidRPr="00313E37">
        <w:t xml:space="preserve"> </w:t>
      </w:r>
      <w:r w:rsidR="00A36B7A">
        <w:t>are</w:t>
      </w:r>
      <w:r w:rsidR="00313E37" w:rsidRPr="00313E37">
        <w:t xml:space="preserve"> based on the cost </w:t>
      </w:r>
      <w:r w:rsidR="00653407">
        <w:t>to</w:t>
      </w:r>
      <w:r w:rsidR="00313E37" w:rsidRPr="00313E37">
        <w:t xml:space="preserve"> the </w:t>
      </w:r>
      <w:r w:rsidR="00A36B7A">
        <w:t>C</w:t>
      </w:r>
      <w:r w:rsidR="00313E37" w:rsidRPr="00313E37">
        <w:t>ompany to provide garbage service (less disposal) and yard waste service (less processing), and the net cost to the customer for recycling service (less processing and less the recycling commodity credit) for each customer class, residential and commercial.</w:t>
      </w:r>
      <w:r w:rsidR="00313E37">
        <w:t xml:space="preserve">  </w:t>
      </w:r>
      <w:r w:rsidR="00DF2A97">
        <w:t xml:space="preserve">This </w:t>
      </w:r>
      <w:r w:rsidR="00A36B7A">
        <w:t xml:space="preserve">provision in </w:t>
      </w:r>
      <w:r w:rsidR="00DF2A97">
        <w:t xml:space="preserve">the Settlement Agreement </w:t>
      </w:r>
      <w:r w:rsidR="00A36B7A">
        <w:t xml:space="preserve">for customer credits </w:t>
      </w:r>
      <w:r w:rsidR="00B01C35">
        <w:t xml:space="preserve">supports </w:t>
      </w:r>
      <w:r w:rsidR="00976A53">
        <w:t xml:space="preserve">Commission </w:t>
      </w:r>
      <w:r w:rsidR="00B01C35">
        <w:t>Staff’s interest in consumer protection and</w:t>
      </w:r>
      <w:r w:rsidR="00A2292E" w:rsidRPr="006E031A">
        <w:t xml:space="preserve"> is a better outcome than if </w:t>
      </w:r>
      <w:r w:rsidR="00B01C35">
        <w:t xml:space="preserve">Waste Management had instead been required to pay a substantially higher penalty </w:t>
      </w:r>
      <w:r w:rsidR="002743BE">
        <w:t>to be</w:t>
      </w:r>
      <w:r w:rsidR="00A2292E" w:rsidRPr="006E031A">
        <w:t xml:space="preserve"> deposited in the Public Service Revolving Fund</w:t>
      </w:r>
      <w:r w:rsidR="00B01C35">
        <w:t>.</w:t>
      </w:r>
      <w:r w:rsidR="00F36CB2" w:rsidRPr="00F36CB2">
        <w:t xml:space="preserve"> </w:t>
      </w:r>
      <w:r>
        <w:t xml:space="preserve"> </w:t>
      </w:r>
    </w:p>
    <w:p w14:paraId="35C90C0F" w14:textId="720A261B" w:rsidR="00C03CFB" w:rsidRDefault="00D7683A" w:rsidP="00305487">
      <w:pPr>
        <w:pStyle w:val="BodyText"/>
        <w:numPr>
          <w:ilvl w:val="0"/>
          <w:numId w:val="13"/>
        </w:numPr>
        <w:spacing w:after="0" w:line="480" w:lineRule="auto"/>
      </w:pPr>
      <w:r>
        <w:tab/>
      </w:r>
      <w:r w:rsidR="00A2292E" w:rsidRPr="006E031A">
        <w:t>Third</w:t>
      </w:r>
      <w:r w:rsidR="004016D1" w:rsidRPr="006E031A">
        <w:t xml:space="preserve">, </w:t>
      </w:r>
      <w:r w:rsidR="00A2292E" w:rsidRPr="006E031A">
        <w:t xml:space="preserve">Waste Management </w:t>
      </w:r>
      <w:r w:rsidR="004016D1" w:rsidRPr="006E031A">
        <w:t xml:space="preserve">has agreed to pay a monetary penalty </w:t>
      </w:r>
      <w:r w:rsidR="00C03CFB">
        <w:t>of</w:t>
      </w:r>
      <w:r w:rsidR="004016D1" w:rsidRPr="006E031A">
        <w:t xml:space="preserve"> $20,000</w:t>
      </w:r>
      <w:r w:rsidR="00C03CFB">
        <w:t xml:space="preserve">.  </w:t>
      </w:r>
      <w:r w:rsidR="00976A53">
        <w:t xml:space="preserve">Commission </w:t>
      </w:r>
      <w:r w:rsidR="00C03CFB">
        <w:t xml:space="preserve">Staff is satisfied that this </w:t>
      </w:r>
      <w:r w:rsidR="004016D1" w:rsidRPr="006E031A">
        <w:t>penalty</w:t>
      </w:r>
      <w:r w:rsidR="00C03CFB">
        <w:t xml:space="preserve">, along with the agreed credits that total approximately $620,000, </w:t>
      </w:r>
      <w:r w:rsidR="004016D1" w:rsidRPr="006E031A">
        <w:t xml:space="preserve">appropriately captures </w:t>
      </w:r>
      <w:r w:rsidR="006B4077" w:rsidRPr="006E031A">
        <w:t xml:space="preserve">the </w:t>
      </w:r>
      <w:r w:rsidR="00C03CFB">
        <w:t>severity of the underlying Complaint proceeding.</w:t>
      </w:r>
      <w:r>
        <w:t xml:space="preserve">  </w:t>
      </w:r>
    </w:p>
    <w:p w14:paraId="7CE069BF" w14:textId="2D672FAD" w:rsidR="006E031A" w:rsidRDefault="00D7683A" w:rsidP="00305487">
      <w:pPr>
        <w:pStyle w:val="BodyText"/>
        <w:numPr>
          <w:ilvl w:val="0"/>
          <w:numId w:val="13"/>
        </w:numPr>
        <w:spacing w:after="0" w:line="480" w:lineRule="auto"/>
      </w:pPr>
      <w:r>
        <w:tab/>
      </w:r>
      <w:r w:rsidR="00C03CFB">
        <w:t xml:space="preserve">Fourth, the Settlement Agreement specifies </w:t>
      </w:r>
      <w:r w:rsidR="00976A53">
        <w:t xml:space="preserve">the methodology for identifying customers </w:t>
      </w:r>
      <w:r w:rsidR="00653407">
        <w:t xml:space="preserve">who will </w:t>
      </w:r>
      <w:r w:rsidR="00976A53">
        <w:t>receive credits</w:t>
      </w:r>
      <w:r w:rsidR="00C03CFB">
        <w:t xml:space="preserve"> and when the credits will be paid to </w:t>
      </w:r>
      <w:r w:rsidR="00976A53">
        <w:t xml:space="preserve">those </w:t>
      </w:r>
      <w:r w:rsidR="00C03CFB">
        <w:t xml:space="preserve">customers, along with requiring specific reporting </w:t>
      </w:r>
      <w:r w:rsidR="005558E4">
        <w:t>to the Commission to ensure th</w:t>
      </w:r>
      <w:r w:rsidR="00C03CFB">
        <w:t>e Company</w:t>
      </w:r>
      <w:r w:rsidR="005558E4">
        <w:t>’s</w:t>
      </w:r>
      <w:r w:rsidR="00C03CFB">
        <w:t xml:space="preserve"> obligations are timely fulfilled.  These elements should eliminate any controversy over implementation of the credit provisions</w:t>
      </w:r>
      <w:r w:rsidR="002743BE">
        <w:t xml:space="preserve"> and will assist </w:t>
      </w:r>
      <w:r w:rsidR="00976A53">
        <w:t xml:space="preserve">Commission </w:t>
      </w:r>
      <w:r w:rsidR="002743BE">
        <w:t>Staff in confirming the credits have been paid to customers</w:t>
      </w:r>
      <w:r w:rsidR="005558E4">
        <w:t xml:space="preserve"> as required by the Settlement Agreement</w:t>
      </w:r>
      <w:r w:rsidR="00C03CFB">
        <w:t xml:space="preserve">.  </w:t>
      </w:r>
    </w:p>
    <w:p w14:paraId="4845BD78" w14:textId="2DA2DB1C" w:rsidR="00AE04AB" w:rsidRDefault="00D7683A" w:rsidP="00305487">
      <w:pPr>
        <w:pStyle w:val="BodyText"/>
        <w:numPr>
          <w:ilvl w:val="0"/>
          <w:numId w:val="13"/>
        </w:numPr>
        <w:spacing w:after="0" w:line="480" w:lineRule="auto"/>
      </w:pPr>
      <w:r>
        <w:tab/>
      </w:r>
      <w:r w:rsidR="00C03CFB">
        <w:t xml:space="preserve">Likewise, the Settlement Agreement should eliminate </w:t>
      </w:r>
      <w:r w:rsidR="002743BE">
        <w:t xml:space="preserve">controversy in future rate cases </w:t>
      </w:r>
      <w:r w:rsidR="00C03CFB">
        <w:t xml:space="preserve">because it states expressly that the Company will not seek to recover the </w:t>
      </w:r>
      <w:r w:rsidR="00E84FF1">
        <w:t xml:space="preserve">agreed </w:t>
      </w:r>
      <w:r w:rsidR="00C03CFB">
        <w:t xml:space="preserve">penalty </w:t>
      </w:r>
      <w:r w:rsidR="00E84FF1">
        <w:t>and</w:t>
      </w:r>
      <w:r w:rsidR="00C03CFB">
        <w:t xml:space="preserve"> credits from its customers.  All funds to pay these amounts will be provided by the Company’s owners.</w:t>
      </w:r>
      <w:r>
        <w:t xml:space="preserve">  </w:t>
      </w:r>
    </w:p>
    <w:p w14:paraId="04D9ABDC" w14:textId="69830293" w:rsidR="00C03CFB" w:rsidRPr="00AE04AB" w:rsidRDefault="00AE04AB" w:rsidP="00AE04AB">
      <w:pPr>
        <w:rPr>
          <w:rFonts w:eastAsia="Times New Roman" w:cs="Times New Roman"/>
          <w:szCs w:val="24"/>
        </w:rPr>
      </w:pPr>
      <w:r>
        <w:br w:type="page"/>
      </w:r>
    </w:p>
    <w:p w14:paraId="368292D0" w14:textId="68EA8C37" w:rsidR="00270058" w:rsidRDefault="00D7683A" w:rsidP="00305487">
      <w:pPr>
        <w:pStyle w:val="BodyText"/>
        <w:numPr>
          <w:ilvl w:val="0"/>
          <w:numId w:val="13"/>
        </w:numPr>
        <w:spacing w:after="0" w:line="480" w:lineRule="auto"/>
      </w:pPr>
      <w:r>
        <w:lastRenderedPageBreak/>
        <w:tab/>
      </w:r>
      <w:r w:rsidR="004016D1" w:rsidRPr="006E031A">
        <w:t>Fina</w:t>
      </w:r>
      <w:r w:rsidR="00C03CFB">
        <w:t>lly</w:t>
      </w:r>
      <w:r w:rsidR="004016D1" w:rsidRPr="006E031A">
        <w:t xml:space="preserve">, the Settlement Agreement represents a compromise of the positions of the Parties and avoids the expense, inconvenience, uncertainty, and delay inherent in a litigated outcome.  </w:t>
      </w:r>
      <w:r w:rsidR="00976A53">
        <w:t xml:space="preserve">The Settlement Agreement, therefore, provides a remedy that benefits consumers directly in a more expeditious manner than </w:t>
      </w:r>
      <w:r w:rsidR="00E84FF1">
        <w:t xml:space="preserve">full </w:t>
      </w:r>
      <w:r w:rsidR="00976A53">
        <w:t>litigation</w:t>
      </w:r>
      <w:r w:rsidR="00E84FF1">
        <w:t xml:space="preserve"> of the Complaint</w:t>
      </w:r>
      <w:r w:rsidR="00976A53">
        <w:t>.</w:t>
      </w:r>
      <w:r>
        <w:t xml:space="preserve">  </w:t>
      </w:r>
    </w:p>
    <w:p w14:paraId="79CB402D" w14:textId="4C886DDE" w:rsidR="00D7683A" w:rsidRDefault="00D7683A" w:rsidP="00D7683A">
      <w:pPr>
        <w:pStyle w:val="Heading2"/>
        <w:numPr>
          <w:ilvl w:val="0"/>
          <w:numId w:val="0"/>
        </w:numPr>
        <w:spacing w:after="0" w:line="480" w:lineRule="auto"/>
      </w:pPr>
      <w:r>
        <w:t>B.</w:t>
      </w:r>
      <w:r>
        <w:tab/>
        <w:t>Waste Management Statement</w:t>
      </w:r>
    </w:p>
    <w:p w14:paraId="2443474A" w14:textId="1DFD51AA" w:rsidR="00E17BFC" w:rsidRDefault="00D7683A" w:rsidP="00D7683A">
      <w:pPr>
        <w:pStyle w:val="BodyText"/>
        <w:numPr>
          <w:ilvl w:val="0"/>
          <w:numId w:val="13"/>
        </w:numPr>
        <w:spacing w:after="0" w:line="480" w:lineRule="auto"/>
      </w:pPr>
      <w:r>
        <w:tab/>
      </w:r>
      <w:r w:rsidR="00E17BFC">
        <w:t>Waste Management believes that this settlement is a fair resolution of this matter and strikes an appropriate balance that recognizes the inconvenience to its customers during the Labor Strike and the efforts of the Company to respond to the Labor Strike and restore service to its customers as soon as reasonabl</w:t>
      </w:r>
      <w:r w:rsidR="00C324B9">
        <w:t>y</w:t>
      </w:r>
      <w:r w:rsidR="00E17BFC">
        <w:t xml:space="preserve"> practicable.  Waste Management regrets the inconvenience to all its customers for the disruption in collection service from last summer.  The </w:t>
      </w:r>
      <w:r w:rsidR="00582799">
        <w:t>C</w:t>
      </w:r>
      <w:r w:rsidR="00E17BFC">
        <w:t>ompany prides itself in providing quality dependable service to all its customers and apologizes to its customers and the Commission for the problems arising from the Labor Strike.</w:t>
      </w:r>
      <w:r w:rsidR="00D80D33">
        <w:t xml:space="preserve">  </w:t>
      </w:r>
    </w:p>
    <w:p w14:paraId="4412A2EC" w14:textId="66F510FD" w:rsidR="00343C9E" w:rsidRDefault="00D80D33" w:rsidP="00E17BFC">
      <w:pPr>
        <w:pStyle w:val="BodyText"/>
        <w:numPr>
          <w:ilvl w:val="0"/>
          <w:numId w:val="13"/>
        </w:numPr>
        <w:spacing w:after="0" w:line="480" w:lineRule="auto"/>
      </w:pPr>
      <w:r>
        <w:tab/>
      </w:r>
      <w:r w:rsidR="00E17BFC">
        <w:t xml:space="preserve">Waste Management believes that </w:t>
      </w:r>
      <w:r w:rsidR="00343C9E">
        <w:t xml:space="preserve">the </w:t>
      </w:r>
      <w:r w:rsidR="00E17BFC">
        <w:t>Settlement Agreement is fair for a number of reasons</w:t>
      </w:r>
      <w:r w:rsidR="00343C9E">
        <w:t>.  First, it provides monetary credits to Waste Management’s customers – those actually impacted by the Labor Strike</w:t>
      </w:r>
      <w:r w:rsidR="00205F1D">
        <w:t xml:space="preserve">.  </w:t>
      </w:r>
      <w:r w:rsidR="00EE111F">
        <w:t xml:space="preserve">While </w:t>
      </w:r>
      <w:r w:rsidR="00CA7242">
        <w:t>Waste Management does not agree that credits should always be required for missed collections due to a work stoppage, the Company</w:t>
      </w:r>
      <w:r w:rsidR="00271784">
        <w:t xml:space="preserve"> </w:t>
      </w:r>
      <w:r w:rsidR="00EE111F">
        <w:t xml:space="preserve">acknowledges that </w:t>
      </w:r>
      <w:r w:rsidR="00271784">
        <w:t>it</w:t>
      </w:r>
      <w:r w:rsidR="00470A59">
        <w:t>s</w:t>
      </w:r>
      <w:r w:rsidR="00EE111F">
        <w:t xml:space="preserve"> </w:t>
      </w:r>
      <w:r w:rsidR="00271784">
        <w:t>missed collections due to the Labor Strike were not permitted under the Company’s tariffs in effect at the time</w:t>
      </w:r>
      <w:r w:rsidR="00EE111F">
        <w:t xml:space="preserve">.  </w:t>
      </w:r>
      <w:r w:rsidR="00CA7242">
        <w:t>I</w:t>
      </w:r>
      <w:r w:rsidR="00271784">
        <w:t xml:space="preserve">f the Company is required to make payments </w:t>
      </w:r>
      <w:r w:rsidR="00EE111F">
        <w:t xml:space="preserve">to resolve this matter, </w:t>
      </w:r>
      <w:r w:rsidR="00271784">
        <w:t xml:space="preserve">it is in the public’s best interests </w:t>
      </w:r>
      <w:r w:rsidR="00EE111F">
        <w:t xml:space="preserve">that the payments go to its </w:t>
      </w:r>
      <w:r w:rsidR="00271784">
        <w:t xml:space="preserve">customers instead of the State’s account.  </w:t>
      </w:r>
    </w:p>
    <w:p w14:paraId="1A0104B0" w14:textId="00339AA9" w:rsidR="00343C9E" w:rsidRDefault="00D80D33" w:rsidP="00E17BFC">
      <w:pPr>
        <w:pStyle w:val="BodyText"/>
        <w:numPr>
          <w:ilvl w:val="0"/>
          <w:numId w:val="13"/>
        </w:numPr>
        <w:spacing w:after="0" w:line="480" w:lineRule="auto"/>
      </w:pPr>
      <w:r>
        <w:tab/>
      </w:r>
      <w:r w:rsidR="00343C9E" w:rsidRPr="00AF518E">
        <w:t>Second, Waste Management believes that the amount</w:t>
      </w:r>
      <w:r w:rsidR="0005731F">
        <w:t>s</w:t>
      </w:r>
      <w:r w:rsidR="00343C9E" w:rsidRPr="00AF518E">
        <w:t xml:space="preserve"> of the credits are roughly proportionate to the service-related component of the charges for </w:t>
      </w:r>
      <w:r w:rsidR="007034AB" w:rsidRPr="00AF518E">
        <w:t xml:space="preserve">the missed </w:t>
      </w:r>
      <w:r w:rsidR="00990937">
        <w:t>garbage</w:t>
      </w:r>
      <w:r w:rsidR="00343C9E" w:rsidRPr="00AF518E">
        <w:t xml:space="preserve">, </w:t>
      </w:r>
      <w:r w:rsidR="00343C9E" w:rsidRPr="00AF518E">
        <w:lastRenderedPageBreak/>
        <w:t>recycling, and yard waste collection service</w:t>
      </w:r>
      <w:r w:rsidR="005628DB" w:rsidRPr="00AF518E">
        <w:t>s</w:t>
      </w:r>
      <w:r w:rsidR="00343C9E" w:rsidRPr="00AF518E">
        <w:t xml:space="preserve"> during the Labor Strike.  </w:t>
      </w:r>
      <w:r w:rsidR="00CA7242" w:rsidRPr="00AF518E">
        <w:t xml:space="preserve">In Waste Management’s view, </w:t>
      </w:r>
      <w:r w:rsidR="00E201E1" w:rsidRPr="00990937">
        <w:t>credits would not be fairly calculated if they were to include</w:t>
      </w:r>
      <w:r w:rsidR="00271784" w:rsidRPr="00990937">
        <w:t xml:space="preserve"> the </w:t>
      </w:r>
      <w:r w:rsidR="00E201E1" w:rsidRPr="00990937">
        <w:t xml:space="preserve">component attributable to </w:t>
      </w:r>
      <w:r w:rsidR="00271784" w:rsidRPr="00990937">
        <w:t xml:space="preserve">disposal </w:t>
      </w:r>
      <w:r w:rsidR="00E3401D" w:rsidRPr="00990937">
        <w:t xml:space="preserve">or processing, </w:t>
      </w:r>
      <w:r w:rsidR="00E201E1" w:rsidRPr="00AF518E">
        <w:t>which the Company actually incurred</w:t>
      </w:r>
      <w:r w:rsidR="00E3401D" w:rsidRPr="00AF518E">
        <w:t>,</w:t>
      </w:r>
      <w:r w:rsidR="00205F1D" w:rsidRPr="00AF518E">
        <w:t xml:space="preserve"> and if they did not account for the net cost to the customer for missed collection of recyclables (</w:t>
      </w:r>
      <w:r w:rsidR="00205F1D" w:rsidRPr="00990937">
        <w:t>i.e</w:t>
      </w:r>
      <w:r w:rsidR="00205F1D" w:rsidRPr="00AF518E">
        <w:t>., collection costs minus commodity credit).</w:t>
      </w:r>
      <w:r>
        <w:t xml:space="preserve">  </w:t>
      </w:r>
    </w:p>
    <w:p w14:paraId="341D9C52" w14:textId="54FD1932" w:rsidR="00DB6CC1" w:rsidRDefault="00D80D33" w:rsidP="00E17BFC">
      <w:pPr>
        <w:pStyle w:val="BodyText"/>
        <w:numPr>
          <w:ilvl w:val="0"/>
          <w:numId w:val="13"/>
        </w:numPr>
        <w:spacing w:after="0" w:line="480" w:lineRule="auto"/>
      </w:pPr>
      <w:r>
        <w:tab/>
      </w:r>
      <w:r w:rsidR="007034AB">
        <w:t xml:space="preserve">Third, </w:t>
      </w:r>
      <w:r w:rsidR="00E201E1">
        <w:t xml:space="preserve">because it involves payment of the same amount to </w:t>
      </w:r>
      <w:r w:rsidR="00205F1D">
        <w:t xml:space="preserve">similar </w:t>
      </w:r>
      <w:r w:rsidR="00E201E1">
        <w:t xml:space="preserve">customers with the same type of service, </w:t>
      </w:r>
      <w:r w:rsidR="007034AB">
        <w:t xml:space="preserve">the proposed credit process is simple and </w:t>
      </w:r>
      <w:r w:rsidR="00E201E1">
        <w:t xml:space="preserve">straightforward </w:t>
      </w:r>
      <w:r w:rsidR="007034AB">
        <w:t xml:space="preserve">to administer and verify.  While Waste Management and </w:t>
      </w:r>
      <w:r w:rsidR="00E84FF1">
        <w:t xml:space="preserve">Commission </w:t>
      </w:r>
      <w:r w:rsidR="00DF1538">
        <w:t>S</w:t>
      </w:r>
      <w:r w:rsidR="007034AB">
        <w:t xml:space="preserve">taff recognize that uniform credits do not </w:t>
      </w:r>
      <w:r w:rsidR="00DB6CC1">
        <w:t xml:space="preserve">differentiate among customers within the various </w:t>
      </w:r>
      <w:r w:rsidR="00E201E1">
        <w:t>service types</w:t>
      </w:r>
      <w:r w:rsidR="00DB6CC1">
        <w:t xml:space="preserve"> (</w:t>
      </w:r>
      <w:r w:rsidR="00DB6CC1" w:rsidRPr="00D80D33">
        <w:rPr>
          <w:i/>
        </w:rPr>
        <w:t xml:space="preserve">e.g., </w:t>
      </w:r>
      <w:r w:rsidR="00DB6CC1">
        <w:t xml:space="preserve">can size, </w:t>
      </w:r>
      <w:r w:rsidR="005628DB">
        <w:t xml:space="preserve">frequency of service, </w:t>
      </w:r>
      <w:r w:rsidR="00DB6CC1">
        <w:t xml:space="preserve">number of service misses, etc.), it would be complex and unworkable to implement credits based on the dozens of different permutations of service levels, can sizes, collection frequency, </w:t>
      </w:r>
      <w:r w:rsidR="005628DB">
        <w:t xml:space="preserve">degrees of </w:t>
      </w:r>
      <w:r w:rsidR="00DB6CC1">
        <w:t xml:space="preserve">inconvenience, etc. </w:t>
      </w:r>
      <w:r w:rsidR="00E201E1">
        <w:t xml:space="preserve"> </w:t>
      </w:r>
      <w:r w:rsidR="00DB6CC1">
        <w:t>The proposed credits will provide a workable</w:t>
      </w:r>
      <w:r w:rsidR="005628DB">
        <w:t xml:space="preserve">, consistent, </w:t>
      </w:r>
      <w:r w:rsidR="00DB6CC1">
        <w:t xml:space="preserve">and generally fair means for crediting customers. </w:t>
      </w:r>
      <w:r w:rsidR="005628DB">
        <w:t xml:space="preserve"> The reporting requirements will also allow for easy verification by the Commission that the credits have been correctly issued to over 128,000 customers. </w:t>
      </w:r>
      <w:r>
        <w:t xml:space="preserve"> </w:t>
      </w:r>
    </w:p>
    <w:p w14:paraId="6F02BB18" w14:textId="7B54A935" w:rsidR="00E17BFC" w:rsidRDefault="00D80D33" w:rsidP="00E17BFC">
      <w:pPr>
        <w:pStyle w:val="BodyText"/>
        <w:numPr>
          <w:ilvl w:val="0"/>
          <w:numId w:val="13"/>
        </w:numPr>
        <w:spacing w:after="0" w:line="480" w:lineRule="auto"/>
      </w:pPr>
      <w:r>
        <w:tab/>
      </w:r>
      <w:r w:rsidR="00DB6CC1">
        <w:t xml:space="preserve">Finally, the Settlement Agreement represents a final resolution that will avoid costly, uncertain, and protracted litigation that would drain the resources and attention of </w:t>
      </w:r>
      <w:r w:rsidR="00653407">
        <w:t xml:space="preserve">Commission </w:t>
      </w:r>
      <w:r w:rsidR="00DB6CC1">
        <w:t xml:space="preserve">Staff, the assigned Administrative Law Judge, the Commissioners, and the Company. </w:t>
      </w:r>
      <w:r w:rsidR="00E65320">
        <w:t xml:space="preserve">  Furthermore, protracted litigation and appeals could delay by years the issuance of credits, if any, to customers.  This settlement will instead allow for credits to be issued within the next few months.</w:t>
      </w:r>
      <w:r>
        <w:t xml:space="preserve">  </w:t>
      </w:r>
    </w:p>
    <w:p w14:paraId="7C77059F" w14:textId="77777777" w:rsidR="00D80D33" w:rsidRDefault="00D80D33" w:rsidP="00AE04AB">
      <w:pPr>
        <w:pStyle w:val="Heading1"/>
        <w:keepLines w:val="0"/>
        <w:widowControl w:val="0"/>
        <w:numPr>
          <w:ilvl w:val="0"/>
          <w:numId w:val="0"/>
        </w:numPr>
        <w:spacing w:before="0" w:after="0" w:line="480" w:lineRule="auto"/>
      </w:pPr>
      <w:r>
        <w:lastRenderedPageBreak/>
        <w:t>IV.</w:t>
      </w:r>
      <w:r>
        <w:tab/>
        <w:t>LEGAL ISSUES</w:t>
      </w:r>
    </w:p>
    <w:p w14:paraId="1915193F" w14:textId="5C5527BA" w:rsidR="00CB3ED7" w:rsidRDefault="00D80D33" w:rsidP="00D80D33">
      <w:pPr>
        <w:pStyle w:val="BodyText"/>
        <w:numPr>
          <w:ilvl w:val="0"/>
          <w:numId w:val="13"/>
        </w:numPr>
        <w:spacing w:after="0" w:line="480" w:lineRule="auto"/>
      </w:pPr>
      <w:r>
        <w:tab/>
      </w:r>
      <w:r w:rsidR="004E37CD">
        <w:t>The Parties are not aware of any legal issues that bear on the proposed settlement.  Counsel for each</w:t>
      </w:r>
      <w:r w:rsidR="00270058">
        <w:t xml:space="preserve"> Party will respond to any legal </w:t>
      </w:r>
      <w:r w:rsidR="004E37CD">
        <w:t>issues</w:t>
      </w:r>
      <w:r w:rsidR="002F2F2D">
        <w:t xml:space="preserve"> that may be contemplated by the Commission.</w:t>
      </w:r>
    </w:p>
    <w:p w14:paraId="0C94DBAA" w14:textId="77777777" w:rsidR="00AE04AB" w:rsidRDefault="00AE04AB" w:rsidP="00AE04AB">
      <w:pPr>
        <w:pStyle w:val="ListParagraph"/>
        <w:numPr>
          <w:ilvl w:val="0"/>
          <w:numId w:val="0"/>
        </w:numPr>
      </w:pPr>
    </w:p>
    <w:tbl>
      <w:tblPr>
        <w:tblW w:w="0" w:type="auto"/>
        <w:jc w:val="center"/>
        <w:tblInd w:w="-298" w:type="dxa"/>
        <w:tblLook w:val="0000" w:firstRow="0" w:lastRow="0" w:firstColumn="0" w:lastColumn="0" w:noHBand="0" w:noVBand="0"/>
      </w:tblPr>
      <w:tblGrid>
        <w:gridCol w:w="1154"/>
        <w:gridCol w:w="3212"/>
        <w:gridCol w:w="288"/>
        <w:gridCol w:w="856"/>
        <w:gridCol w:w="3768"/>
      </w:tblGrid>
      <w:tr w:rsidR="00AE04AB" w:rsidRPr="00EF41DD" w14:paraId="03DC8A1E" w14:textId="77777777" w:rsidTr="00F03674">
        <w:trPr>
          <w:cantSplit/>
          <w:jc w:val="center"/>
        </w:trPr>
        <w:tc>
          <w:tcPr>
            <w:tcW w:w="4366" w:type="dxa"/>
            <w:gridSpan w:val="2"/>
          </w:tcPr>
          <w:p w14:paraId="45BBCB25" w14:textId="77777777" w:rsidR="00AE04AB" w:rsidRPr="00EF41DD" w:rsidRDefault="00AE04AB" w:rsidP="00F03674">
            <w:pPr>
              <w:keepNext/>
              <w:keepLines/>
              <w:rPr>
                <w:b/>
                <w:bCs/>
                <w:caps/>
              </w:rPr>
            </w:pPr>
            <w:r w:rsidRPr="00EF41DD">
              <w:rPr>
                <w:b/>
                <w:bCs/>
              </w:rPr>
              <w:t>For Commission Staff:</w:t>
            </w:r>
          </w:p>
        </w:tc>
        <w:tc>
          <w:tcPr>
            <w:tcW w:w="288" w:type="dxa"/>
          </w:tcPr>
          <w:p w14:paraId="506D21BB" w14:textId="77777777" w:rsidR="00AE04AB" w:rsidRPr="00EF41DD" w:rsidRDefault="00AE04AB" w:rsidP="00F03674">
            <w:pPr>
              <w:keepNext/>
              <w:keepLines/>
              <w:rPr>
                <w:b/>
                <w:bCs/>
                <w:caps/>
              </w:rPr>
            </w:pPr>
          </w:p>
        </w:tc>
        <w:tc>
          <w:tcPr>
            <w:tcW w:w="4624" w:type="dxa"/>
            <w:gridSpan w:val="2"/>
          </w:tcPr>
          <w:p w14:paraId="05B3F43B" w14:textId="77777777" w:rsidR="00AE04AB" w:rsidRDefault="00AE04AB" w:rsidP="00F03674">
            <w:pPr>
              <w:keepNext/>
              <w:keepLines/>
              <w:rPr>
                <w:b/>
                <w:bCs/>
              </w:rPr>
            </w:pPr>
            <w:r w:rsidRPr="00EF41DD">
              <w:rPr>
                <w:b/>
                <w:bCs/>
              </w:rPr>
              <w:t xml:space="preserve">For Waste Management of </w:t>
            </w:r>
          </w:p>
          <w:p w14:paraId="63AD211F" w14:textId="77777777" w:rsidR="00AE04AB" w:rsidRPr="00EF41DD" w:rsidRDefault="00AE04AB" w:rsidP="00F03674">
            <w:pPr>
              <w:keepNext/>
              <w:keepLines/>
              <w:rPr>
                <w:b/>
                <w:bCs/>
                <w:caps/>
              </w:rPr>
            </w:pPr>
            <w:r w:rsidRPr="00EF41DD">
              <w:rPr>
                <w:b/>
                <w:bCs/>
              </w:rPr>
              <w:t>Washington, Inc.:</w:t>
            </w:r>
          </w:p>
        </w:tc>
      </w:tr>
      <w:tr w:rsidR="00AE04AB" w:rsidRPr="00EF41DD" w14:paraId="23D0E3BA" w14:textId="77777777" w:rsidTr="00F03674">
        <w:trPr>
          <w:jc w:val="center"/>
        </w:trPr>
        <w:tc>
          <w:tcPr>
            <w:tcW w:w="1154" w:type="dxa"/>
          </w:tcPr>
          <w:p w14:paraId="3EAB4AEF" w14:textId="77777777" w:rsidR="00AE04AB" w:rsidRPr="00EF41DD" w:rsidRDefault="00AE04AB" w:rsidP="00F03674">
            <w:pPr>
              <w:keepNext/>
              <w:keepLines/>
            </w:pPr>
          </w:p>
          <w:p w14:paraId="4C6688D7" w14:textId="77777777" w:rsidR="00AE04AB" w:rsidRPr="00EF41DD" w:rsidRDefault="00AE04AB" w:rsidP="00F03674">
            <w:pPr>
              <w:keepNext/>
              <w:keepLines/>
            </w:pPr>
          </w:p>
          <w:p w14:paraId="149C8E07" w14:textId="77777777" w:rsidR="00AE04AB" w:rsidRPr="00EF41DD" w:rsidRDefault="00AE04AB" w:rsidP="00F03674">
            <w:pPr>
              <w:keepNext/>
              <w:keepLines/>
            </w:pPr>
            <w:r w:rsidRPr="00EF41DD">
              <w:t>By:</w:t>
            </w:r>
          </w:p>
        </w:tc>
        <w:tc>
          <w:tcPr>
            <w:tcW w:w="3212" w:type="dxa"/>
            <w:tcBorders>
              <w:bottom w:val="single" w:sz="4" w:space="0" w:color="auto"/>
            </w:tcBorders>
          </w:tcPr>
          <w:p w14:paraId="550167ED" w14:textId="77777777" w:rsidR="00AE04AB" w:rsidRPr="00EF41DD" w:rsidRDefault="00AE04AB" w:rsidP="00F03674">
            <w:pPr>
              <w:keepNext/>
              <w:keepLines/>
            </w:pPr>
          </w:p>
        </w:tc>
        <w:tc>
          <w:tcPr>
            <w:tcW w:w="288" w:type="dxa"/>
          </w:tcPr>
          <w:p w14:paraId="31FCD095" w14:textId="77777777" w:rsidR="00AE04AB" w:rsidRPr="00EF41DD" w:rsidRDefault="00AE04AB" w:rsidP="00F03674">
            <w:pPr>
              <w:keepNext/>
              <w:keepLines/>
            </w:pPr>
          </w:p>
        </w:tc>
        <w:tc>
          <w:tcPr>
            <w:tcW w:w="856" w:type="dxa"/>
          </w:tcPr>
          <w:p w14:paraId="4ADAA3AB" w14:textId="77777777" w:rsidR="00AE04AB" w:rsidRPr="00EF41DD" w:rsidRDefault="00AE04AB" w:rsidP="00F03674">
            <w:pPr>
              <w:keepNext/>
              <w:keepLines/>
            </w:pPr>
          </w:p>
          <w:p w14:paraId="40C5B229" w14:textId="77777777" w:rsidR="00AE04AB" w:rsidRPr="00EF41DD" w:rsidRDefault="00AE04AB" w:rsidP="00F03674">
            <w:pPr>
              <w:keepNext/>
              <w:keepLines/>
            </w:pPr>
          </w:p>
          <w:p w14:paraId="7B509CF7" w14:textId="77777777" w:rsidR="00AE04AB" w:rsidRPr="00EF41DD" w:rsidRDefault="00AE04AB" w:rsidP="00F03674">
            <w:pPr>
              <w:keepNext/>
              <w:keepLines/>
            </w:pPr>
            <w:r w:rsidRPr="00EF41DD">
              <w:t>By:</w:t>
            </w:r>
          </w:p>
        </w:tc>
        <w:tc>
          <w:tcPr>
            <w:tcW w:w="3768" w:type="dxa"/>
            <w:tcBorders>
              <w:bottom w:val="single" w:sz="4" w:space="0" w:color="auto"/>
            </w:tcBorders>
          </w:tcPr>
          <w:p w14:paraId="5EA2BA45" w14:textId="77777777" w:rsidR="00AE04AB" w:rsidRPr="00EF41DD" w:rsidRDefault="00AE04AB" w:rsidP="00F03674">
            <w:pPr>
              <w:keepNext/>
              <w:keepLines/>
            </w:pPr>
          </w:p>
        </w:tc>
      </w:tr>
      <w:tr w:rsidR="00AE04AB" w:rsidRPr="00EF41DD" w14:paraId="019B548F" w14:textId="77777777" w:rsidTr="00F03674">
        <w:trPr>
          <w:jc w:val="center"/>
        </w:trPr>
        <w:tc>
          <w:tcPr>
            <w:tcW w:w="1154" w:type="dxa"/>
          </w:tcPr>
          <w:p w14:paraId="1FBD1750" w14:textId="77777777" w:rsidR="00AE04AB" w:rsidRPr="00EF41DD" w:rsidRDefault="00AE04AB" w:rsidP="00F03674">
            <w:pPr>
              <w:keepNext/>
              <w:keepLines/>
            </w:pPr>
            <w:r w:rsidRPr="00EF41DD">
              <w:t>Name:</w:t>
            </w:r>
          </w:p>
        </w:tc>
        <w:tc>
          <w:tcPr>
            <w:tcW w:w="3212" w:type="dxa"/>
            <w:tcBorders>
              <w:top w:val="single" w:sz="4" w:space="0" w:color="auto"/>
              <w:bottom w:val="single" w:sz="4" w:space="0" w:color="auto"/>
            </w:tcBorders>
          </w:tcPr>
          <w:p w14:paraId="34340924" w14:textId="77777777" w:rsidR="00AE04AB" w:rsidRPr="00EF41DD" w:rsidRDefault="00AE04AB" w:rsidP="00F03674">
            <w:pPr>
              <w:keepNext/>
              <w:keepLines/>
            </w:pPr>
            <w:r w:rsidRPr="0052676C">
              <w:t>Robert D. Cedarbaum</w:t>
            </w:r>
            <w:r>
              <w:tab/>
            </w:r>
          </w:p>
        </w:tc>
        <w:tc>
          <w:tcPr>
            <w:tcW w:w="288" w:type="dxa"/>
          </w:tcPr>
          <w:p w14:paraId="4B4F82F1" w14:textId="77777777" w:rsidR="00AE04AB" w:rsidRPr="00EF41DD" w:rsidRDefault="00AE04AB" w:rsidP="00F03674">
            <w:pPr>
              <w:keepNext/>
              <w:keepLines/>
            </w:pPr>
          </w:p>
        </w:tc>
        <w:tc>
          <w:tcPr>
            <w:tcW w:w="856" w:type="dxa"/>
          </w:tcPr>
          <w:p w14:paraId="445F41B9" w14:textId="77777777" w:rsidR="00AE04AB" w:rsidRPr="00EF41DD" w:rsidRDefault="00AE04AB" w:rsidP="00F03674">
            <w:pPr>
              <w:keepNext/>
              <w:keepLines/>
            </w:pPr>
            <w:r w:rsidRPr="00EF41DD">
              <w:t>Name:</w:t>
            </w:r>
          </w:p>
        </w:tc>
        <w:tc>
          <w:tcPr>
            <w:tcW w:w="3768" w:type="dxa"/>
            <w:tcBorders>
              <w:top w:val="single" w:sz="4" w:space="0" w:color="auto"/>
              <w:bottom w:val="single" w:sz="4" w:space="0" w:color="auto"/>
            </w:tcBorders>
          </w:tcPr>
          <w:p w14:paraId="15693ECF" w14:textId="3BB1E37B" w:rsidR="00AE04AB" w:rsidRPr="00EF41DD" w:rsidRDefault="00817EA1" w:rsidP="00F03674">
            <w:pPr>
              <w:keepNext/>
              <w:keepLines/>
            </w:pPr>
            <w:r>
              <w:t>Andrew Kenefick</w:t>
            </w:r>
          </w:p>
        </w:tc>
      </w:tr>
      <w:tr w:rsidR="00AE04AB" w:rsidRPr="00EF41DD" w14:paraId="526DB999" w14:textId="77777777" w:rsidTr="00F03674">
        <w:trPr>
          <w:jc w:val="center"/>
        </w:trPr>
        <w:tc>
          <w:tcPr>
            <w:tcW w:w="1154" w:type="dxa"/>
          </w:tcPr>
          <w:p w14:paraId="3F079EC2" w14:textId="77777777" w:rsidR="00AE04AB" w:rsidRPr="00EF41DD" w:rsidRDefault="00AE04AB" w:rsidP="00F03674">
            <w:pPr>
              <w:keepNext/>
              <w:keepLines/>
            </w:pPr>
            <w:r w:rsidRPr="00EF41DD">
              <w:t>Title:</w:t>
            </w:r>
          </w:p>
        </w:tc>
        <w:tc>
          <w:tcPr>
            <w:tcW w:w="3212" w:type="dxa"/>
            <w:tcBorders>
              <w:top w:val="single" w:sz="4" w:space="0" w:color="auto"/>
              <w:bottom w:val="single" w:sz="4" w:space="0" w:color="auto"/>
            </w:tcBorders>
          </w:tcPr>
          <w:p w14:paraId="226243C8" w14:textId="77777777" w:rsidR="00AE04AB" w:rsidRDefault="00AE04AB" w:rsidP="00F03674">
            <w:pPr>
              <w:keepNext/>
              <w:keepLines/>
            </w:pPr>
            <w:r>
              <w:t>Assistant Attorney General</w:t>
            </w:r>
          </w:p>
          <w:p w14:paraId="2ECF23A7" w14:textId="77777777" w:rsidR="00AE04AB" w:rsidRDefault="00AE04AB" w:rsidP="00F03674">
            <w:pPr>
              <w:keepNext/>
              <w:keepLines/>
            </w:pPr>
            <w:r>
              <w:t xml:space="preserve">Counsel for the Staff of the </w:t>
            </w:r>
          </w:p>
          <w:p w14:paraId="5B9788E5" w14:textId="77777777" w:rsidR="00AE04AB" w:rsidRDefault="00AE04AB" w:rsidP="00F03674">
            <w:pPr>
              <w:keepNext/>
              <w:keepLines/>
            </w:pPr>
            <w:r>
              <w:t xml:space="preserve">Washington Utilities and </w:t>
            </w:r>
          </w:p>
          <w:p w14:paraId="5F6BA11E" w14:textId="77777777" w:rsidR="00AE04AB" w:rsidRPr="00EF41DD" w:rsidRDefault="00AE04AB" w:rsidP="00F03674">
            <w:pPr>
              <w:keepNext/>
              <w:keepLines/>
            </w:pPr>
            <w:r>
              <w:t>Transportation Commission</w:t>
            </w:r>
          </w:p>
        </w:tc>
        <w:tc>
          <w:tcPr>
            <w:tcW w:w="288" w:type="dxa"/>
          </w:tcPr>
          <w:p w14:paraId="3F10D344" w14:textId="77777777" w:rsidR="00AE04AB" w:rsidRPr="00EF41DD" w:rsidRDefault="00AE04AB" w:rsidP="00F03674">
            <w:pPr>
              <w:keepNext/>
              <w:keepLines/>
            </w:pPr>
          </w:p>
        </w:tc>
        <w:tc>
          <w:tcPr>
            <w:tcW w:w="856" w:type="dxa"/>
          </w:tcPr>
          <w:p w14:paraId="0385A99B" w14:textId="77777777" w:rsidR="00AE04AB" w:rsidRPr="00EF41DD" w:rsidRDefault="00AE04AB" w:rsidP="00F03674">
            <w:pPr>
              <w:keepNext/>
              <w:keepLines/>
            </w:pPr>
            <w:r w:rsidRPr="00EF41DD">
              <w:t>Title:</w:t>
            </w:r>
          </w:p>
        </w:tc>
        <w:tc>
          <w:tcPr>
            <w:tcW w:w="3768" w:type="dxa"/>
            <w:tcBorders>
              <w:top w:val="single" w:sz="4" w:space="0" w:color="auto"/>
              <w:bottom w:val="single" w:sz="4" w:space="0" w:color="auto"/>
            </w:tcBorders>
          </w:tcPr>
          <w:p w14:paraId="39C840E1" w14:textId="4B950FA2" w:rsidR="00AE04AB" w:rsidRPr="00EF41DD" w:rsidRDefault="00817EA1" w:rsidP="00F03674">
            <w:pPr>
              <w:keepNext/>
              <w:keepLines/>
            </w:pPr>
            <w:r>
              <w:t>Counsel for Waste Management of Washington, Inc.</w:t>
            </w:r>
          </w:p>
        </w:tc>
      </w:tr>
      <w:tr w:rsidR="00AE04AB" w:rsidRPr="00EF41DD" w14:paraId="6AC88E45" w14:textId="77777777" w:rsidTr="00F03674">
        <w:trPr>
          <w:jc w:val="center"/>
        </w:trPr>
        <w:tc>
          <w:tcPr>
            <w:tcW w:w="1154" w:type="dxa"/>
          </w:tcPr>
          <w:p w14:paraId="567615D2" w14:textId="77777777" w:rsidR="00AE04AB" w:rsidRPr="00EF41DD" w:rsidRDefault="00AE04AB" w:rsidP="00F03674">
            <w:pPr>
              <w:keepNext/>
              <w:keepLines/>
            </w:pPr>
            <w:r w:rsidRPr="00EF41DD">
              <w:t>Date:</w:t>
            </w:r>
          </w:p>
        </w:tc>
        <w:tc>
          <w:tcPr>
            <w:tcW w:w="3212" w:type="dxa"/>
            <w:tcBorders>
              <w:top w:val="single" w:sz="4" w:space="0" w:color="auto"/>
            </w:tcBorders>
          </w:tcPr>
          <w:p w14:paraId="0B300111" w14:textId="28CB03E4" w:rsidR="00AE04AB" w:rsidRPr="00EF41DD" w:rsidRDefault="00817EA1" w:rsidP="00817EA1">
            <w:pPr>
              <w:keepNext/>
              <w:keepLines/>
              <w:ind w:hanging="136"/>
            </w:pPr>
            <w:r>
              <w:t xml:space="preserve">  </w:t>
            </w:r>
            <w:bookmarkStart w:id="0" w:name="_GoBack"/>
            <w:bookmarkEnd w:id="0"/>
            <w:r>
              <w:t>August 13, 2013</w:t>
            </w:r>
          </w:p>
        </w:tc>
        <w:tc>
          <w:tcPr>
            <w:tcW w:w="288" w:type="dxa"/>
          </w:tcPr>
          <w:p w14:paraId="4BA5B29B" w14:textId="77777777" w:rsidR="00AE04AB" w:rsidRPr="00EF41DD" w:rsidRDefault="00AE04AB" w:rsidP="00F03674">
            <w:pPr>
              <w:keepNext/>
              <w:keepLines/>
            </w:pPr>
          </w:p>
        </w:tc>
        <w:tc>
          <w:tcPr>
            <w:tcW w:w="856" w:type="dxa"/>
          </w:tcPr>
          <w:p w14:paraId="2EC1BE73" w14:textId="77777777" w:rsidR="00AE04AB" w:rsidRPr="00EF41DD" w:rsidRDefault="00AE04AB" w:rsidP="00F03674">
            <w:pPr>
              <w:keepNext/>
              <w:keepLines/>
            </w:pPr>
            <w:r w:rsidRPr="00EF41DD">
              <w:t>Date:</w:t>
            </w:r>
          </w:p>
        </w:tc>
        <w:tc>
          <w:tcPr>
            <w:tcW w:w="3768" w:type="dxa"/>
            <w:tcBorders>
              <w:top w:val="single" w:sz="4" w:space="0" w:color="auto"/>
            </w:tcBorders>
          </w:tcPr>
          <w:p w14:paraId="59B408F5" w14:textId="3ABB4542" w:rsidR="00AE04AB" w:rsidRPr="00EF41DD" w:rsidRDefault="00817EA1" w:rsidP="00F03674">
            <w:pPr>
              <w:keepNext/>
              <w:keepLines/>
              <w:ind w:hanging="120"/>
            </w:pPr>
            <w:r>
              <w:t>August 13, 2013</w:t>
            </w:r>
          </w:p>
        </w:tc>
      </w:tr>
    </w:tbl>
    <w:p w14:paraId="2B06E328" w14:textId="77777777" w:rsidR="00AE04AB" w:rsidRPr="0076725A" w:rsidRDefault="00AE04AB" w:rsidP="00AE04AB">
      <w:pPr>
        <w:pStyle w:val="ListParagraph"/>
        <w:numPr>
          <w:ilvl w:val="0"/>
          <w:numId w:val="0"/>
        </w:numPr>
      </w:pPr>
    </w:p>
    <w:p w14:paraId="0EC3E780" w14:textId="77777777" w:rsidR="00AE04AB" w:rsidRPr="00AE5D49" w:rsidRDefault="00AE04AB" w:rsidP="00AE04AB">
      <w:pPr>
        <w:pStyle w:val="BodyText"/>
        <w:spacing w:after="0" w:line="480" w:lineRule="auto"/>
        <w:ind w:firstLine="0"/>
      </w:pPr>
    </w:p>
    <w:sectPr w:rsidR="00AE04AB" w:rsidRPr="00AE5D49" w:rsidSect="00E00A8D">
      <w:footerReference w:type="default" r:id="rId17"/>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13019" w14:textId="77777777" w:rsidR="00772DF2" w:rsidRDefault="00772DF2" w:rsidP="00772DF2">
      <w:r>
        <w:separator/>
      </w:r>
    </w:p>
  </w:endnote>
  <w:endnote w:type="continuationSeparator" w:id="0">
    <w:p w14:paraId="28E47DAB" w14:textId="77777777" w:rsidR="00772DF2" w:rsidRDefault="00772DF2" w:rsidP="0077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9A7AE" w14:textId="77777777" w:rsidR="00772DF2" w:rsidRDefault="00772DF2">
    <w:pPr>
      <w:pStyle w:val="Footer"/>
      <w:rPr>
        <w:sz w:val="20"/>
        <w:szCs w:val="20"/>
      </w:rPr>
    </w:pPr>
  </w:p>
  <w:p w14:paraId="3F528A0A" w14:textId="77777777" w:rsidR="00772DF2" w:rsidRDefault="00772DF2">
    <w:pPr>
      <w:pStyle w:val="Footer"/>
      <w:rPr>
        <w:sz w:val="20"/>
        <w:szCs w:val="20"/>
      </w:rPr>
    </w:pPr>
    <w:r w:rsidRPr="00772DF2">
      <w:rPr>
        <w:sz w:val="20"/>
        <w:szCs w:val="20"/>
      </w:rPr>
      <w:t xml:space="preserve">JOINT NARRATIVE OF COMMISSION STAFF AND </w:t>
    </w:r>
  </w:p>
  <w:p w14:paraId="2D332E87" w14:textId="77777777" w:rsidR="00772DF2" w:rsidRDefault="00772DF2">
    <w:pPr>
      <w:pStyle w:val="Footer"/>
      <w:rPr>
        <w:sz w:val="20"/>
        <w:szCs w:val="20"/>
      </w:rPr>
    </w:pPr>
    <w:r w:rsidRPr="00772DF2">
      <w:rPr>
        <w:sz w:val="20"/>
        <w:szCs w:val="20"/>
      </w:rPr>
      <w:t xml:space="preserve">WASTE MANAGEMENT OF WASHINGTON, INC. </w:t>
    </w:r>
  </w:p>
  <w:p w14:paraId="2A00292D" w14:textId="3EA8C78A" w:rsidR="00772DF2" w:rsidRPr="00772DF2" w:rsidRDefault="00772DF2">
    <w:pPr>
      <w:pStyle w:val="Footer"/>
      <w:rPr>
        <w:sz w:val="20"/>
        <w:szCs w:val="20"/>
      </w:rPr>
    </w:pPr>
    <w:r w:rsidRPr="00772DF2">
      <w:rPr>
        <w:sz w:val="20"/>
        <w:szCs w:val="20"/>
      </w:rPr>
      <w:t>IN SUPPORT OF SETTLEMENT AGREEMENT</w:t>
    </w:r>
    <w:r>
      <w:rPr>
        <w:sz w:val="20"/>
        <w:szCs w:val="20"/>
      </w:rPr>
      <w:t xml:space="preserve"> - </w:t>
    </w:r>
    <w:r w:rsidRPr="00772DF2">
      <w:rPr>
        <w:sz w:val="20"/>
        <w:szCs w:val="20"/>
      </w:rPr>
      <w:fldChar w:fldCharType="begin"/>
    </w:r>
    <w:r w:rsidRPr="00772DF2">
      <w:rPr>
        <w:sz w:val="20"/>
        <w:szCs w:val="20"/>
      </w:rPr>
      <w:instrText xml:space="preserve"> PAGE   \* MERGEFORMAT </w:instrText>
    </w:r>
    <w:r w:rsidRPr="00772DF2">
      <w:rPr>
        <w:sz w:val="20"/>
        <w:szCs w:val="20"/>
      </w:rPr>
      <w:fldChar w:fldCharType="separate"/>
    </w:r>
    <w:r w:rsidR="00817EA1">
      <w:rPr>
        <w:noProof/>
        <w:sz w:val="20"/>
        <w:szCs w:val="20"/>
      </w:rPr>
      <w:t>9</w:t>
    </w:r>
    <w:r w:rsidRPr="00772DF2">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AB4A5" w14:textId="77777777" w:rsidR="00772DF2" w:rsidRDefault="00772DF2" w:rsidP="00772DF2">
      <w:r>
        <w:separator/>
      </w:r>
    </w:p>
  </w:footnote>
  <w:footnote w:type="continuationSeparator" w:id="0">
    <w:p w14:paraId="678F2491" w14:textId="77777777" w:rsidR="00772DF2" w:rsidRDefault="00772DF2" w:rsidP="00772D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33DC"/>
    <w:multiLevelType w:val="hybridMultilevel"/>
    <w:tmpl w:val="8782F5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96467AE"/>
    <w:multiLevelType w:val="hybridMultilevel"/>
    <w:tmpl w:val="50F6425E"/>
    <w:lvl w:ilvl="0" w:tplc="A7C00C28">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94D34B3"/>
    <w:multiLevelType w:val="multilevel"/>
    <w:tmpl w:val="04DE13DA"/>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nsid w:val="5C5444C6"/>
    <w:multiLevelType w:val="hybridMultilevel"/>
    <w:tmpl w:val="2F68FD84"/>
    <w:lvl w:ilvl="0" w:tplc="8C8091D6">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C591CEE"/>
    <w:multiLevelType w:val="hybridMultilevel"/>
    <w:tmpl w:val="18EC6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B043FCF"/>
    <w:multiLevelType w:val="hybridMultilevel"/>
    <w:tmpl w:val="A2B0D892"/>
    <w:lvl w:ilvl="0" w:tplc="049C3346">
      <w:start w:val="1"/>
      <w:numFmt w:val="decimal"/>
      <w:lvlText w:val="%1"/>
      <w:lvlJc w:val="left"/>
      <w:pPr>
        <w:tabs>
          <w:tab w:val="num" w:pos="2880"/>
        </w:tabs>
        <w:ind w:left="2880" w:hanging="720"/>
      </w:pPr>
      <w:rPr>
        <w:rFonts w:ascii="Times New Roman" w:hAnsi="Times New Roman" w:hint="default"/>
        <w:b w:val="0"/>
        <w:i/>
        <w:sz w:val="22"/>
        <w:szCs w:val="22"/>
      </w:rPr>
    </w:lvl>
    <w:lvl w:ilvl="1" w:tplc="74F6822C">
      <w:start w:val="2"/>
      <w:numFmt w:val="decimal"/>
      <w:lvlText w:val="(%2)"/>
      <w:lvlJc w:val="left"/>
      <w:pPr>
        <w:tabs>
          <w:tab w:val="num" w:pos="3960"/>
        </w:tabs>
        <w:ind w:left="3960" w:hanging="720"/>
      </w:pPr>
      <w:rPr>
        <w:rFonts w:hint="default"/>
      </w:rPr>
    </w:lvl>
    <w:lvl w:ilvl="2" w:tplc="CCE2AB96">
      <w:start w:val="3"/>
      <w:numFmt w:val="upperRoman"/>
      <w:lvlText w:val="%3."/>
      <w:lvlJc w:val="left"/>
      <w:pPr>
        <w:tabs>
          <w:tab w:val="num" w:pos="4860"/>
        </w:tabs>
        <w:ind w:left="4860" w:hanging="720"/>
      </w:pPr>
      <w:rPr>
        <w:rFonts w:hint="default"/>
      </w:rPr>
    </w:lvl>
    <w:lvl w:ilvl="3" w:tplc="04090001">
      <w:start w:val="1"/>
      <w:numFmt w:val="bullet"/>
      <w:lvlText w:val=""/>
      <w:lvlJc w:val="left"/>
      <w:pPr>
        <w:tabs>
          <w:tab w:val="num" w:pos="5040"/>
        </w:tabs>
        <w:ind w:left="5040" w:hanging="360"/>
      </w:pPr>
      <w:rPr>
        <w:rFonts w:ascii="Symbol" w:hAnsi="Symbol" w:hint="default"/>
      </w:r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nsid w:val="766F5D74"/>
    <w:multiLevelType w:val="hybridMultilevel"/>
    <w:tmpl w:val="DEFE7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C5F18EB"/>
    <w:multiLevelType w:val="multilevel"/>
    <w:tmpl w:val="F4980E1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8">
    <w:nsid w:val="7F9E201D"/>
    <w:multiLevelType w:val="hybridMultilevel"/>
    <w:tmpl w:val="D8107EE4"/>
    <w:lvl w:ilvl="0" w:tplc="3BE4212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6"/>
  </w:num>
  <w:num w:numId="4">
    <w:abstractNumId w:val="5"/>
  </w:num>
  <w:num w:numId="5">
    <w:abstractNumId w:val="1"/>
  </w:num>
  <w:num w:numId="6">
    <w:abstractNumId w:val="1"/>
  </w:num>
  <w:num w:numId="7">
    <w:abstractNumId w:val="1"/>
  </w:num>
  <w:num w:numId="8">
    <w:abstractNumId w:val="8"/>
  </w:num>
  <w:num w:numId="9">
    <w:abstractNumId w:val="2"/>
  </w:num>
  <w:num w:numId="10">
    <w:abstractNumId w:val="2"/>
    <w:lvlOverride w:ilvl="0">
      <w:lvl w:ilvl="0">
        <w:start w:val="1"/>
        <w:numFmt w:val="upperRoman"/>
        <w:lvlText w:val="%1."/>
        <w:lvlJc w:val="left"/>
        <w:pPr>
          <w:ind w:left="0" w:firstLine="0"/>
        </w:pPr>
        <w:rPr>
          <w:rFonts w:hint="default"/>
        </w:rPr>
      </w:lvl>
    </w:lvlOverride>
    <w:lvlOverride w:ilvl="1">
      <w:lvl w:ilvl="1">
        <w:start w:val="1"/>
        <w:numFmt w:val="decimal"/>
        <w:lvlText w:val="%2."/>
        <w:lvlJc w:val="left"/>
        <w:pPr>
          <w:ind w:left="720" w:firstLine="0"/>
        </w:pPr>
        <w:rPr>
          <w:rFonts w:hint="default"/>
        </w:rPr>
      </w:lvl>
    </w:lvlOverride>
    <w:lvlOverride w:ilvl="2">
      <w:lvl w:ilvl="2">
        <w:start w:val="1"/>
        <w:numFmt w:val="decimal"/>
        <w:lvlText w:val="%3."/>
        <w:lvlJc w:val="left"/>
        <w:pPr>
          <w:ind w:left="1440" w:firstLine="0"/>
        </w:pPr>
        <w:rPr>
          <w:rFonts w:hint="default"/>
        </w:rPr>
      </w:lvl>
    </w:lvlOverride>
    <w:lvlOverride w:ilvl="3">
      <w:lvl w:ilvl="3">
        <w:start w:val="1"/>
        <w:numFmt w:val="lowerLetter"/>
        <w:lvlText w:val="%4)"/>
        <w:lvlJc w:val="left"/>
        <w:pPr>
          <w:ind w:left="2160" w:firstLine="0"/>
        </w:pPr>
        <w:rPr>
          <w:rFonts w:hint="default"/>
        </w:rPr>
      </w:lvl>
    </w:lvlOverride>
    <w:lvlOverride w:ilvl="4">
      <w:lvl w:ilvl="4">
        <w:start w:val="1"/>
        <w:numFmt w:val="decimal"/>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11">
    <w:abstractNumId w:val="2"/>
    <w:lvlOverride w:ilvl="0">
      <w:lvl w:ilvl="0">
        <w:start w:val="1"/>
        <w:numFmt w:val="upperRoman"/>
        <w:lvlText w:val="%1."/>
        <w:lvlJc w:val="left"/>
        <w:pPr>
          <w:ind w:left="0" w:firstLine="0"/>
        </w:pPr>
        <w:rPr>
          <w:rFonts w:hint="default"/>
        </w:rPr>
      </w:lvl>
    </w:lvlOverride>
    <w:lvlOverride w:ilvl="1">
      <w:lvl w:ilvl="1">
        <w:start w:val="1"/>
        <w:numFmt w:val="decimal"/>
        <w:lvlText w:val="%2."/>
        <w:lvlJc w:val="left"/>
        <w:pPr>
          <w:ind w:left="720" w:firstLine="0"/>
        </w:pPr>
        <w:rPr>
          <w:rFonts w:hint="default"/>
        </w:rPr>
      </w:lvl>
    </w:lvlOverride>
    <w:lvlOverride w:ilvl="2">
      <w:lvl w:ilvl="2">
        <w:start w:val="1"/>
        <w:numFmt w:val="decimal"/>
        <w:lvlText w:val="%3."/>
        <w:lvlJc w:val="left"/>
        <w:pPr>
          <w:ind w:left="1440" w:firstLine="0"/>
        </w:pPr>
        <w:rPr>
          <w:rFonts w:hint="default"/>
        </w:rPr>
      </w:lvl>
    </w:lvlOverride>
    <w:lvlOverride w:ilvl="3">
      <w:lvl w:ilvl="3">
        <w:start w:val="1"/>
        <w:numFmt w:val="lowerLetter"/>
        <w:lvlText w:val="%4)"/>
        <w:lvlJc w:val="left"/>
        <w:pPr>
          <w:ind w:left="2160" w:firstLine="0"/>
        </w:pPr>
        <w:rPr>
          <w:rFonts w:hint="default"/>
        </w:rPr>
      </w:lvl>
    </w:lvlOverride>
    <w:lvlOverride w:ilvl="4">
      <w:lvl w:ilvl="4">
        <w:start w:val="1"/>
        <w:numFmt w:val="decimal"/>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6F1"/>
    <w:rsid w:val="00014CAE"/>
    <w:rsid w:val="00057103"/>
    <w:rsid w:val="0005731F"/>
    <w:rsid w:val="0008748B"/>
    <w:rsid w:val="000A6B52"/>
    <w:rsid w:val="000F71D5"/>
    <w:rsid w:val="00150D17"/>
    <w:rsid w:val="0019342E"/>
    <w:rsid w:val="001C4C9E"/>
    <w:rsid w:val="001C6326"/>
    <w:rsid w:val="00205F1D"/>
    <w:rsid w:val="00270058"/>
    <w:rsid w:val="00271784"/>
    <w:rsid w:val="002743BE"/>
    <w:rsid w:val="002B75B3"/>
    <w:rsid w:val="002B7BC8"/>
    <w:rsid w:val="002C0A9B"/>
    <w:rsid w:val="002F2F2D"/>
    <w:rsid w:val="00305487"/>
    <w:rsid w:val="00313E37"/>
    <w:rsid w:val="00343C9E"/>
    <w:rsid w:val="00370EC5"/>
    <w:rsid w:val="00371AA2"/>
    <w:rsid w:val="004016D1"/>
    <w:rsid w:val="0042120E"/>
    <w:rsid w:val="00470A59"/>
    <w:rsid w:val="004B144D"/>
    <w:rsid w:val="004E37CD"/>
    <w:rsid w:val="00502122"/>
    <w:rsid w:val="005558E4"/>
    <w:rsid w:val="005628DB"/>
    <w:rsid w:val="00580811"/>
    <w:rsid w:val="00582799"/>
    <w:rsid w:val="005D665B"/>
    <w:rsid w:val="005F3499"/>
    <w:rsid w:val="006056E8"/>
    <w:rsid w:val="00630348"/>
    <w:rsid w:val="00653407"/>
    <w:rsid w:val="006B2E06"/>
    <w:rsid w:val="006B4077"/>
    <w:rsid w:val="006E031A"/>
    <w:rsid w:val="007034AB"/>
    <w:rsid w:val="00772DF2"/>
    <w:rsid w:val="007E6240"/>
    <w:rsid w:val="00817EA1"/>
    <w:rsid w:val="00885E3E"/>
    <w:rsid w:val="00902895"/>
    <w:rsid w:val="009316F1"/>
    <w:rsid w:val="00940FB8"/>
    <w:rsid w:val="00976A53"/>
    <w:rsid w:val="00990937"/>
    <w:rsid w:val="00A1013A"/>
    <w:rsid w:val="00A14F64"/>
    <w:rsid w:val="00A2292E"/>
    <w:rsid w:val="00A36B7A"/>
    <w:rsid w:val="00A65AD6"/>
    <w:rsid w:val="00A72522"/>
    <w:rsid w:val="00AC0498"/>
    <w:rsid w:val="00AC1CA6"/>
    <w:rsid w:val="00AE04AB"/>
    <w:rsid w:val="00AE5D49"/>
    <w:rsid w:val="00AF518E"/>
    <w:rsid w:val="00B01C35"/>
    <w:rsid w:val="00BE2B59"/>
    <w:rsid w:val="00C03CFB"/>
    <w:rsid w:val="00C13CF1"/>
    <w:rsid w:val="00C324B9"/>
    <w:rsid w:val="00C35D52"/>
    <w:rsid w:val="00C5115F"/>
    <w:rsid w:val="00CA7242"/>
    <w:rsid w:val="00CB3ED7"/>
    <w:rsid w:val="00D35FA6"/>
    <w:rsid w:val="00D67B79"/>
    <w:rsid w:val="00D717C2"/>
    <w:rsid w:val="00D7683A"/>
    <w:rsid w:val="00D80D33"/>
    <w:rsid w:val="00DA6DDA"/>
    <w:rsid w:val="00DB6CC1"/>
    <w:rsid w:val="00DD5AB3"/>
    <w:rsid w:val="00DF1538"/>
    <w:rsid w:val="00DF2A97"/>
    <w:rsid w:val="00E00A8D"/>
    <w:rsid w:val="00E17BFC"/>
    <w:rsid w:val="00E201E1"/>
    <w:rsid w:val="00E3401D"/>
    <w:rsid w:val="00E57A43"/>
    <w:rsid w:val="00E65320"/>
    <w:rsid w:val="00E84FF1"/>
    <w:rsid w:val="00EE111F"/>
    <w:rsid w:val="00F17156"/>
    <w:rsid w:val="00F22E36"/>
    <w:rsid w:val="00F36CB2"/>
    <w:rsid w:val="00F55F6A"/>
    <w:rsid w:val="00F5616A"/>
    <w:rsid w:val="00F60628"/>
    <w:rsid w:val="00F700F9"/>
    <w:rsid w:val="00F9117B"/>
    <w:rsid w:val="00FB3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5487"/>
    <w:pPr>
      <w:keepNext/>
      <w:keepLines/>
      <w:numPr>
        <w:numId w:val="12"/>
      </w:numPr>
      <w:spacing w:before="480" w:after="240"/>
      <w:jc w:val="center"/>
      <w:outlineLvl w:val="0"/>
    </w:pPr>
    <w:rPr>
      <w:rFonts w:eastAsiaTheme="majorEastAsia" w:cs="Times New Roman"/>
      <w:b/>
      <w:bCs/>
      <w:szCs w:val="24"/>
    </w:rPr>
  </w:style>
  <w:style w:type="paragraph" w:styleId="Heading2">
    <w:name w:val="heading 2"/>
    <w:basedOn w:val="BodyText"/>
    <w:next w:val="Normal"/>
    <w:link w:val="Heading2Char"/>
    <w:uiPriority w:val="9"/>
    <w:unhideWhenUsed/>
    <w:qFormat/>
    <w:rsid w:val="00305487"/>
    <w:pPr>
      <w:numPr>
        <w:ilvl w:val="1"/>
        <w:numId w:val="12"/>
      </w:numPr>
      <w:outlineLvl w:val="1"/>
    </w:pPr>
    <w:rPr>
      <w:b/>
    </w:rPr>
  </w:style>
  <w:style w:type="paragraph" w:styleId="Heading3">
    <w:name w:val="heading 3"/>
    <w:basedOn w:val="Normal"/>
    <w:next w:val="Normal"/>
    <w:link w:val="Heading3Char"/>
    <w:uiPriority w:val="9"/>
    <w:semiHidden/>
    <w:unhideWhenUsed/>
    <w:qFormat/>
    <w:rsid w:val="00305487"/>
    <w:pPr>
      <w:keepNext/>
      <w:keepLines/>
      <w:numPr>
        <w:ilvl w:val="2"/>
        <w:numId w:val="1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05487"/>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05487"/>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05487"/>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05487"/>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05487"/>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05487"/>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17B"/>
    <w:pPr>
      <w:widowControl w:val="0"/>
      <w:numPr>
        <w:numId w:val="5"/>
      </w:numPr>
      <w:suppressLineNumbers/>
      <w:spacing w:after="240"/>
    </w:pPr>
    <w:rPr>
      <w:rFonts w:eastAsia="Times New Roman" w:cs="Times New Roman"/>
      <w:sz w:val="25"/>
      <w:szCs w:val="25"/>
    </w:rPr>
  </w:style>
  <w:style w:type="character" w:styleId="CommentReference">
    <w:name w:val="annotation reference"/>
    <w:basedOn w:val="DefaultParagraphFont"/>
    <w:uiPriority w:val="99"/>
    <w:semiHidden/>
    <w:unhideWhenUsed/>
    <w:rsid w:val="00E57A43"/>
    <w:rPr>
      <w:sz w:val="16"/>
      <w:szCs w:val="16"/>
    </w:rPr>
  </w:style>
  <w:style w:type="paragraph" w:styleId="CommentText">
    <w:name w:val="annotation text"/>
    <w:basedOn w:val="Normal"/>
    <w:link w:val="CommentTextChar"/>
    <w:uiPriority w:val="99"/>
    <w:semiHidden/>
    <w:unhideWhenUsed/>
    <w:rsid w:val="00E57A43"/>
    <w:rPr>
      <w:sz w:val="20"/>
      <w:szCs w:val="20"/>
    </w:rPr>
  </w:style>
  <w:style w:type="character" w:customStyle="1" w:styleId="CommentTextChar">
    <w:name w:val="Comment Text Char"/>
    <w:basedOn w:val="DefaultParagraphFont"/>
    <w:link w:val="CommentText"/>
    <w:uiPriority w:val="99"/>
    <w:semiHidden/>
    <w:rsid w:val="00E57A43"/>
    <w:rPr>
      <w:sz w:val="20"/>
      <w:szCs w:val="20"/>
    </w:rPr>
  </w:style>
  <w:style w:type="paragraph" w:styleId="CommentSubject">
    <w:name w:val="annotation subject"/>
    <w:basedOn w:val="CommentText"/>
    <w:next w:val="CommentText"/>
    <w:link w:val="CommentSubjectChar"/>
    <w:uiPriority w:val="99"/>
    <w:semiHidden/>
    <w:unhideWhenUsed/>
    <w:rsid w:val="00E57A43"/>
    <w:rPr>
      <w:b/>
      <w:bCs/>
    </w:rPr>
  </w:style>
  <w:style w:type="character" w:customStyle="1" w:styleId="CommentSubjectChar">
    <w:name w:val="Comment Subject Char"/>
    <w:basedOn w:val="CommentTextChar"/>
    <w:link w:val="CommentSubject"/>
    <w:uiPriority w:val="99"/>
    <w:semiHidden/>
    <w:rsid w:val="00E57A43"/>
    <w:rPr>
      <w:b/>
      <w:bCs/>
      <w:sz w:val="20"/>
      <w:szCs w:val="20"/>
    </w:rPr>
  </w:style>
  <w:style w:type="paragraph" w:styleId="BalloonText">
    <w:name w:val="Balloon Text"/>
    <w:basedOn w:val="Normal"/>
    <w:link w:val="BalloonTextChar"/>
    <w:uiPriority w:val="99"/>
    <w:semiHidden/>
    <w:unhideWhenUsed/>
    <w:rsid w:val="00E57A43"/>
    <w:rPr>
      <w:rFonts w:ascii="Tahoma" w:hAnsi="Tahoma" w:cs="Tahoma"/>
      <w:sz w:val="16"/>
      <w:szCs w:val="16"/>
    </w:rPr>
  </w:style>
  <w:style w:type="character" w:customStyle="1" w:styleId="BalloonTextChar">
    <w:name w:val="Balloon Text Char"/>
    <w:basedOn w:val="DefaultParagraphFont"/>
    <w:link w:val="BalloonText"/>
    <w:uiPriority w:val="99"/>
    <w:semiHidden/>
    <w:rsid w:val="00E57A43"/>
    <w:rPr>
      <w:rFonts w:ascii="Tahoma" w:hAnsi="Tahoma" w:cs="Tahoma"/>
      <w:sz w:val="16"/>
      <w:szCs w:val="16"/>
    </w:rPr>
  </w:style>
  <w:style w:type="paragraph" w:styleId="BodyText">
    <w:name w:val="Body Text"/>
    <w:aliases w:val="bt"/>
    <w:basedOn w:val="Normal"/>
    <w:link w:val="BodyTextChar"/>
    <w:rsid w:val="00F9117B"/>
    <w:pPr>
      <w:spacing w:after="240"/>
      <w:ind w:firstLine="720"/>
    </w:pPr>
    <w:rPr>
      <w:rFonts w:eastAsia="Times New Roman" w:cs="Times New Roman"/>
      <w:szCs w:val="24"/>
    </w:rPr>
  </w:style>
  <w:style w:type="character" w:customStyle="1" w:styleId="BodyTextChar">
    <w:name w:val="Body Text Char"/>
    <w:aliases w:val="bt Char"/>
    <w:basedOn w:val="DefaultParagraphFont"/>
    <w:link w:val="BodyText"/>
    <w:rsid w:val="00F9117B"/>
    <w:rPr>
      <w:rFonts w:eastAsia="Times New Roman" w:cs="Times New Roman"/>
      <w:szCs w:val="24"/>
    </w:rPr>
  </w:style>
  <w:style w:type="table" w:styleId="TableGrid">
    <w:name w:val="Table Grid"/>
    <w:basedOn w:val="TableNormal"/>
    <w:uiPriority w:val="59"/>
    <w:rsid w:val="00D67B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4016D1"/>
    <w:pPr>
      <w:spacing w:after="120" w:line="480" w:lineRule="auto"/>
      <w:ind w:left="360"/>
    </w:pPr>
  </w:style>
  <w:style w:type="character" w:customStyle="1" w:styleId="BodyTextIndent2Char">
    <w:name w:val="Body Text Indent 2 Char"/>
    <w:basedOn w:val="DefaultParagraphFont"/>
    <w:link w:val="BodyTextIndent2"/>
    <w:uiPriority w:val="99"/>
    <w:rsid w:val="004016D1"/>
  </w:style>
  <w:style w:type="character" w:customStyle="1" w:styleId="Heading1Char">
    <w:name w:val="Heading 1 Char"/>
    <w:basedOn w:val="DefaultParagraphFont"/>
    <w:link w:val="Heading1"/>
    <w:uiPriority w:val="9"/>
    <w:rsid w:val="00305487"/>
    <w:rPr>
      <w:rFonts w:eastAsiaTheme="majorEastAsia" w:cs="Times New Roman"/>
      <w:b/>
      <w:bCs/>
      <w:szCs w:val="24"/>
    </w:rPr>
  </w:style>
  <w:style w:type="character" w:customStyle="1" w:styleId="Heading2Char">
    <w:name w:val="Heading 2 Char"/>
    <w:basedOn w:val="DefaultParagraphFont"/>
    <w:link w:val="Heading2"/>
    <w:uiPriority w:val="9"/>
    <w:rsid w:val="00305487"/>
    <w:rPr>
      <w:rFonts w:eastAsia="Times New Roman" w:cs="Times New Roman"/>
      <w:b/>
      <w:szCs w:val="24"/>
    </w:rPr>
  </w:style>
  <w:style w:type="character" w:customStyle="1" w:styleId="Heading3Char">
    <w:name w:val="Heading 3 Char"/>
    <w:basedOn w:val="DefaultParagraphFont"/>
    <w:link w:val="Heading3"/>
    <w:uiPriority w:val="9"/>
    <w:semiHidden/>
    <w:rsid w:val="0030548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0548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0548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0548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0548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0548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0548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305487"/>
    <w:pPr>
      <w:jc w:val="center"/>
    </w:pPr>
    <w:rPr>
      <w:b/>
    </w:rPr>
  </w:style>
  <w:style w:type="character" w:customStyle="1" w:styleId="TitleChar">
    <w:name w:val="Title Char"/>
    <w:basedOn w:val="DefaultParagraphFont"/>
    <w:link w:val="Title"/>
    <w:uiPriority w:val="10"/>
    <w:rsid w:val="00305487"/>
    <w:rPr>
      <w:b/>
    </w:rPr>
  </w:style>
  <w:style w:type="paragraph" w:styleId="Header">
    <w:name w:val="header"/>
    <w:basedOn w:val="Normal"/>
    <w:link w:val="HeaderChar"/>
    <w:rsid w:val="00E00A8D"/>
    <w:pPr>
      <w:tabs>
        <w:tab w:val="center" w:pos="4320"/>
        <w:tab w:val="right" w:pos="8640"/>
      </w:tabs>
    </w:pPr>
    <w:rPr>
      <w:rFonts w:eastAsia="Times New Roman" w:cs="Times New Roman"/>
      <w:szCs w:val="24"/>
    </w:rPr>
  </w:style>
  <w:style w:type="character" w:customStyle="1" w:styleId="HeaderChar">
    <w:name w:val="Header Char"/>
    <w:basedOn w:val="DefaultParagraphFont"/>
    <w:link w:val="Header"/>
    <w:rsid w:val="00E00A8D"/>
    <w:rPr>
      <w:rFonts w:eastAsia="Times New Roman" w:cs="Times New Roman"/>
      <w:szCs w:val="24"/>
    </w:rPr>
  </w:style>
  <w:style w:type="paragraph" w:styleId="Footer">
    <w:name w:val="footer"/>
    <w:basedOn w:val="Normal"/>
    <w:link w:val="FooterChar"/>
    <w:uiPriority w:val="99"/>
    <w:unhideWhenUsed/>
    <w:rsid w:val="00772DF2"/>
    <w:pPr>
      <w:tabs>
        <w:tab w:val="center" w:pos="4680"/>
        <w:tab w:val="right" w:pos="9360"/>
      </w:tabs>
    </w:pPr>
  </w:style>
  <w:style w:type="character" w:customStyle="1" w:styleId="FooterChar">
    <w:name w:val="Footer Char"/>
    <w:basedOn w:val="DefaultParagraphFont"/>
    <w:link w:val="Footer"/>
    <w:uiPriority w:val="99"/>
    <w:rsid w:val="00772D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5487"/>
    <w:pPr>
      <w:keepNext/>
      <w:keepLines/>
      <w:numPr>
        <w:numId w:val="12"/>
      </w:numPr>
      <w:spacing w:before="480" w:after="240"/>
      <w:jc w:val="center"/>
      <w:outlineLvl w:val="0"/>
    </w:pPr>
    <w:rPr>
      <w:rFonts w:eastAsiaTheme="majorEastAsia" w:cs="Times New Roman"/>
      <w:b/>
      <w:bCs/>
      <w:szCs w:val="24"/>
    </w:rPr>
  </w:style>
  <w:style w:type="paragraph" w:styleId="Heading2">
    <w:name w:val="heading 2"/>
    <w:basedOn w:val="BodyText"/>
    <w:next w:val="Normal"/>
    <w:link w:val="Heading2Char"/>
    <w:uiPriority w:val="9"/>
    <w:unhideWhenUsed/>
    <w:qFormat/>
    <w:rsid w:val="00305487"/>
    <w:pPr>
      <w:numPr>
        <w:ilvl w:val="1"/>
        <w:numId w:val="12"/>
      </w:numPr>
      <w:outlineLvl w:val="1"/>
    </w:pPr>
    <w:rPr>
      <w:b/>
    </w:rPr>
  </w:style>
  <w:style w:type="paragraph" w:styleId="Heading3">
    <w:name w:val="heading 3"/>
    <w:basedOn w:val="Normal"/>
    <w:next w:val="Normal"/>
    <w:link w:val="Heading3Char"/>
    <w:uiPriority w:val="9"/>
    <w:semiHidden/>
    <w:unhideWhenUsed/>
    <w:qFormat/>
    <w:rsid w:val="00305487"/>
    <w:pPr>
      <w:keepNext/>
      <w:keepLines/>
      <w:numPr>
        <w:ilvl w:val="2"/>
        <w:numId w:val="1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05487"/>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05487"/>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05487"/>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05487"/>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05487"/>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05487"/>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17B"/>
    <w:pPr>
      <w:widowControl w:val="0"/>
      <w:numPr>
        <w:numId w:val="5"/>
      </w:numPr>
      <w:suppressLineNumbers/>
      <w:spacing w:after="240"/>
    </w:pPr>
    <w:rPr>
      <w:rFonts w:eastAsia="Times New Roman" w:cs="Times New Roman"/>
      <w:sz w:val="25"/>
      <w:szCs w:val="25"/>
    </w:rPr>
  </w:style>
  <w:style w:type="character" w:styleId="CommentReference">
    <w:name w:val="annotation reference"/>
    <w:basedOn w:val="DefaultParagraphFont"/>
    <w:uiPriority w:val="99"/>
    <w:semiHidden/>
    <w:unhideWhenUsed/>
    <w:rsid w:val="00E57A43"/>
    <w:rPr>
      <w:sz w:val="16"/>
      <w:szCs w:val="16"/>
    </w:rPr>
  </w:style>
  <w:style w:type="paragraph" w:styleId="CommentText">
    <w:name w:val="annotation text"/>
    <w:basedOn w:val="Normal"/>
    <w:link w:val="CommentTextChar"/>
    <w:uiPriority w:val="99"/>
    <w:semiHidden/>
    <w:unhideWhenUsed/>
    <w:rsid w:val="00E57A43"/>
    <w:rPr>
      <w:sz w:val="20"/>
      <w:szCs w:val="20"/>
    </w:rPr>
  </w:style>
  <w:style w:type="character" w:customStyle="1" w:styleId="CommentTextChar">
    <w:name w:val="Comment Text Char"/>
    <w:basedOn w:val="DefaultParagraphFont"/>
    <w:link w:val="CommentText"/>
    <w:uiPriority w:val="99"/>
    <w:semiHidden/>
    <w:rsid w:val="00E57A43"/>
    <w:rPr>
      <w:sz w:val="20"/>
      <w:szCs w:val="20"/>
    </w:rPr>
  </w:style>
  <w:style w:type="paragraph" w:styleId="CommentSubject">
    <w:name w:val="annotation subject"/>
    <w:basedOn w:val="CommentText"/>
    <w:next w:val="CommentText"/>
    <w:link w:val="CommentSubjectChar"/>
    <w:uiPriority w:val="99"/>
    <w:semiHidden/>
    <w:unhideWhenUsed/>
    <w:rsid w:val="00E57A43"/>
    <w:rPr>
      <w:b/>
      <w:bCs/>
    </w:rPr>
  </w:style>
  <w:style w:type="character" w:customStyle="1" w:styleId="CommentSubjectChar">
    <w:name w:val="Comment Subject Char"/>
    <w:basedOn w:val="CommentTextChar"/>
    <w:link w:val="CommentSubject"/>
    <w:uiPriority w:val="99"/>
    <w:semiHidden/>
    <w:rsid w:val="00E57A43"/>
    <w:rPr>
      <w:b/>
      <w:bCs/>
      <w:sz w:val="20"/>
      <w:szCs w:val="20"/>
    </w:rPr>
  </w:style>
  <w:style w:type="paragraph" w:styleId="BalloonText">
    <w:name w:val="Balloon Text"/>
    <w:basedOn w:val="Normal"/>
    <w:link w:val="BalloonTextChar"/>
    <w:uiPriority w:val="99"/>
    <w:semiHidden/>
    <w:unhideWhenUsed/>
    <w:rsid w:val="00E57A43"/>
    <w:rPr>
      <w:rFonts w:ascii="Tahoma" w:hAnsi="Tahoma" w:cs="Tahoma"/>
      <w:sz w:val="16"/>
      <w:szCs w:val="16"/>
    </w:rPr>
  </w:style>
  <w:style w:type="character" w:customStyle="1" w:styleId="BalloonTextChar">
    <w:name w:val="Balloon Text Char"/>
    <w:basedOn w:val="DefaultParagraphFont"/>
    <w:link w:val="BalloonText"/>
    <w:uiPriority w:val="99"/>
    <w:semiHidden/>
    <w:rsid w:val="00E57A43"/>
    <w:rPr>
      <w:rFonts w:ascii="Tahoma" w:hAnsi="Tahoma" w:cs="Tahoma"/>
      <w:sz w:val="16"/>
      <w:szCs w:val="16"/>
    </w:rPr>
  </w:style>
  <w:style w:type="paragraph" w:styleId="BodyText">
    <w:name w:val="Body Text"/>
    <w:aliases w:val="bt"/>
    <w:basedOn w:val="Normal"/>
    <w:link w:val="BodyTextChar"/>
    <w:rsid w:val="00F9117B"/>
    <w:pPr>
      <w:spacing w:after="240"/>
      <w:ind w:firstLine="720"/>
    </w:pPr>
    <w:rPr>
      <w:rFonts w:eastAsia="Times New Roman" w:cs="Times New Roman"/>
      <w:szCs w:val="24"/>
    </w:rPr>
  </w:style>
  <w:style w:type="character" w:customStyle="1" w:styleId="BodyTextChar">
    <w:name w:val="Body Text Char"/>
    <w:aliases w:val="bt Char"/>
    <w:basedOn w:val="DefaultParagraphFont"/>
    <w:link w:val="BodyText"/>
    <w:rsid w:val="00F9117B"/>
    <w:rPr>
      <w:rFonts w:eastAsia="Times New Roman" w:cs="Times New Roman"/>
      <w:szCs w:val="24"/>
    </w:rPr>
  </w:style>
  <w:style w:type="table" w:styleId="TableGrid">
    <w:name w:val="Table Grid"/>
    <w:basedOn w:val="TableNormal"/>
    <w:uiPriority w:val="59"/>
    <w:rsid w:val="00D67B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4016D1"/>
    <w:pPr>
      <w:spacing w:after="120" w:line="480" w:lineRule="auto"/>
      <w:ind w:left="360"/>
    </w:pPr>
  </w:style>
  <w:style w:type="character" w:customStyle="1" w:styleId="BodyTextIndent2Char">
    <w:name w:val="Body Text Indent 2 Char"/>
    <w:basedOn w:val="DefaultParagraphFont"/>
    <w:link w:val="BodyTextIndent2"/>
    <w:uiPriority w:val="99"/>
    <w:rsid w:val="004016D1"/>
  </w:style>
  <w:style w:type="character" w:customStyle="1" w:styleId="Heading1Char">
    <w:name w:val="Heading 1 Char"/>
    <w:basedOn w:val="DefaultParagraphFont"/>
    <w:link w:val="Heading1"/>
    <w:uiPriority w:val="9"/>
    <w:rsid w:val="00305487"/>
    <w:rPr>
      <w:rFonts w:eastAsiaTheme="majorEastAsia" w:cs="Times New Roman"/>
      <w:b/>
      <w:bCs/>
      <w:szCs w:val="24"/>
    </w:rPr>
  </w:style>
  <w:style w:type="character" w:customStyle="1" w:styleId="Heading2Char">
    <w:name w:val="Heading 2 Char"/>
    <w:basedOn w:val="DefaultParagraphFont"/>
    <w:link w:val="Heading2"/>
    <w:uiPriority w:val="9"/>
    <w:rsid w:val="00305487"/>
    <w:rPr>
      <w:rFonts w:eastAsia="Times New Roman" w:cs="Times New Roman"/>
      <w:b/>
      <w:szCs w:val="24"/>
    </w:rPr>
  </w:style>
  <w:style w:type="character" w:customStyle="1" w:styleId="Heading3Char">
    <w:name w:val="Heading 3 Char"/>
    <w:basedOn w:val="DefaultParagraphFont"/>
    <w:link w:val="Heading3"/>
    <w:uiPriority w:val="9"/>
    <w:semiHidden/>
    <w:rsid w:val="0030548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0548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0548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0548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0548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0548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0548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305487"/>
    <w:pPr>
      <w:jc w:val="center"/>
    </w:pPr>
    <w:rPr>
      <w:b/>
    </w:rPr>
  </w:style>
  <w:style w:type="character" w:customStyle="1" w:styleId="TitleChar">
    <w:name w:val="Title Char"/>
    <w:basedOn w:val="DefaultParagraphFont"/>
    <w:link w:val="Title"/>
    <w:uiPriority w:val="10"/>
    <w:rsid w:val="00305487"/>
    <w:rPr>
      <w:b/>
    </w:rPr>
  </w:style>
  <w:style w:type="paragraph" w:styleId="Header">
    <w:name w:val="header"/>
    <w:basedOn w:val="Normal"/>
    <w:link w:val="HeaderChar"/>
    <w:rsid w:val="00E00A8D"/>
    <w:pPr>
      <w:tabs>
        <w:tab w:val="center" w:pos="4320"/>
        <w:tab w:val="right" w:pos="8640"/>
      </w:tabs>
    </w:pPr>
    <w:rPr>
      <w:rFonts w:eastAsia="Times New Roman" w:cs="Times New Roman"/>
      <w:szCs w:val="24"/>
    </w:rPr>
  </w:style>
  <w:style w:type="character" w:customStyle="1" w:styleId="HeaderChar">
    <w:name w:val="Header Char"/>
    <w:basedOn w:val="DefaultParagraphFont"/>
    <w:link w:val="Header"/>
    <w:rsid w:val="00E00A8D"/>
    <w:rPr>
      <w:rFonts w:eastAsia="Times New Roman" w:cs="Times New Roman"/>
      <w:szCs w:val="24"/>
    </w:rPr>
  </w:style>
  <w:style w:type="paragraph" w:styleId="Footer">
    <w:name w:val="footer"/>
    <w:basedOn w:val="Normal"/>
    <w:link w:val="FooterChar"/>
    <w:uiPriority w:val="99"/>
    <w:unhideWhenUsed/>
    <w:rsid w:val="00772DF2"/>
    <w:pPr>
      <w:tabs>
        <w:tab w:val="center" w:pos="4680"/>
        <w:tab w:val="right" w:pos="9360"/>
      </w:tabs>
    </w:pPr>
  </w:style>
  <w:style w:type="character" w:customStyle="1" w:styleId="FooterChar">
    <w:name w:val="Footer Char"/>
    <w:basedOn w:val="DefaultParagraphFont"/>
    <w:link w:val="Footer"/>
    <w:uiPriority w:val="99"/>
    <w:rsid w:val="00772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11.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customXml" Target="../customXml/item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customXml" Target="../customXml/item13.xml"/><Relationship Id="rId10" Type="http://schemas.openxmlformats.org/officeDocument/2006/relationships/numbering" Target="numbering.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customXml" Target="../customXml/item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SharedContentType xmlns="Microsoft.SharePoint.Taxonomy.ContentTypeSync" SourceId="1af0c028-e016-4365-948e-cc2e26d65303" ContentTypeId="0x0101006E56B4D1795A2E4DB2F0B01679ED314A" PreviousValue="true"/>
</file>

<file path=customXml/item1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Agreement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227</IndustryCode>
    <CaseStatus xmlns="dc463f71-b30c-4ab2-9473-d307f9d35888">Closed</CaseStatus>
    <OpenedDate xmlns="dc463f71-b30c-4ab2-9473-d307f9d35888">2012-08-02T07:00:00+00:00</OpenedDate>
    <Date1 xmlns="dc463f71-b30c-4ab2-9473-d307f9d35888">2013-08-13T07:00:00+00:00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121265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76AFBD33589743AC7B96E8CCEF7886" ma:contentTypeVersion="139" ma:contentTypeDescription="" ma:contentTypeScope="" ma:versionID="c0e4c5fc1aee751ca61e60128693879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2D961B-8BAA-4FBA-A432-27EFC9BE73F0}"/>
</file>

<file path=customXml/itemProps10.xml><?xml version="1.0" encoding="utf-8"?>
<ds:datastoreItem xmlns:ds="http://schemas.openxmlformats.org/officeDocument/2006/customXml" ds:itemID="{C8064357-F9AF-47D2-8756-2EC7305E3FF8}"/>
</file>

<file path=customXml/itemProps11.xml><?xml version="1.0" encoding="utf-8"?>
<ds:datastoreItem xmlns:ds="http://schemas.openxmlformats.org/officeDocument/2006/customXml" ds:itemID="{56A1148E-F879-4431-B3B6-D9377E495E94}"/>
</file>

<file path=customXml/itemProps12.xml><?xml version="1.0" encoding="utf-8"?>
<ds:datastoreItem xmlns:ds="http://schemas.openxmlformats.org/officeDocument/2006/customXml" ds:itemID="{C7AD835B-291C-49C4-A0C3-FC936538D560}"/>
</file>

<file path=customXml/itemProps13.xml><?xml version="1.0" encoding="utf-8"?>
<ds:datastoreItem xmlns:ds="http://schemas.openxmlformats.org/officeDocument/2006/customXml" ds:itemID="{CC411790-F420-48FA-B68C-ABE557F391D0}"/>
</file>

<file path=customXml/itemProps2.xml><?xml version="1.0" encoding="utf-8"?>
<ds:datastoreItem xmlns:ds="http://schemas.openxmlformats.org/officeDocument/2006/customXml" ds:itemID="{B1FAA63F-30BD-411F-941C-DD9A7D036FD1}"/>
</file>

<file path=customXml/itemProps3.xml><?xml version="1.0" encoding="utf-8"?>
<ds:datastoreItem xmlns:ds="http://schemas.openxmlformats.org/officeDocument/2006/customXml" ds:itemID="{63811702-7A90-4D1E-97E1-0CC84A576CBD}"/>
</file>

<file path=customXml/itemProps4.xml><?xml version="1.0" encoding="utf-8"?>
<ds:datastoreItem xmlns:ds="http://schemas.openxmlformats.org/officeDocument/2006/customXml" ds:itemID="{C18CFC16-682F-4E28-9856-22C1D4565B0F}"/>
</file>

<file path=customXml/itemProps5.xml><?xml version="1.0" encoding="utf-8"?>
<ds:datastoreItem xmlns:ds="http://schemas.openxmlformats.org/officeDocument/2006/customXml" ds:itemID="{A2C72A85-2F17-4729-A369-70870056C026}"/>
</file>

<file path=customXml/itemProps6.xml><?xml version="1.0" encoding="utf-8"?>
<ds:datastoreItem xmlns:ds="http://schemas.openxmlformats.org/officeDocument/2006/customXml" ds:itemID="{1AD89E40-A6F5-4763-BD65-218E11F37E7E}"/>
</file>

<file path=customXml/itemProps7.xml><?xml version="1.0" encoding="utf-8"?>
<ds:datastoreItem xmlns:ds="http://schemas.openxmlformats.org/officeDocument/2006/customXml" ds:itemID="{4DE6DC90-E1D4-417C-B728-BE7650C64192}"/>
</file>

<file path=customXml/itemProps8.xml><?xml version="1.0" encoding="utf-8"?>
<ds:datastoreItem xmlns:ds="http://schemas.openxmlformats.org/officeDocument/2006/customXml" ds:itemID="{F24233D4-CB7E-4042-9ADB-39AF1C0F8A7E}"/>
</file>

<file path=customXml/itemProps9.xml><?xml version="1.0" encoding="utf-8"?>
<ds:datastoreItem xmlns:ds="http://schemas.openxmlformats.org/officeDocument/2006/customXml" ds:itemID="{4B7A0999-F57A-4E8C-BFF8-3AB3E83CBDF1}"/>
</file>

<file path=docProps/app.xml><?xml version="1.0" encoding="utf-8"?>
<Properties xmlns="http://schemas.openxmlformats.org/officeDocument/2006/extended-properties" xmlns:vt="http://schemas.openxmlformats.org/officeDocument/2006/docPropsVTypes">
  <Template>Normal</Template>
  <TotalTime>20</TotalTime>
  <Pages>9</Pages>
  <Words>2128</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Cedarbaum, Bob (UTC)</dc:creator>
  <cp:lastModifiedBy>Cedarbaum, Bob (UTC)</cp:lastModifiedBy>
  <cp:revision>9</cp:revision>
  <cp:lastPrinted>2013-08-12T20:22:00Z</cp:lastPrinted>
  <dcterms:created xsi:type="dcterms:W3CDTF">2013-08-12T21:46:00Z</dcterms:created>
  <dcterms:modified xsi:type="dcterms:W3CDTF">2013-08-13T14:44:00Z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0x0101006E56B4D1795A2E4DB2F0B01679ED314A00E276AFBD33589743AC7B96E8CCEF7886</vt:lpwstr>
  </property>
  <property fmtid="{D5CDD505-2E9C-101B-9397-08002B2CF9AE}" pid="3" name="_docset_NoMedatataSyncRequired">
    <vt:lpwstr>False</vt:lpwstr>
  </property>
</Properties>
</file>