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7F" w:rsidRPr="00500BE6" w:rsidRDefault="000D2D7F" w:rsidP="00622D14">
      <w:pPr>
        <w:rPr>
          <w:szCs w:val="24"/>
        </w:rPr>
      </w:pPr>
      <w:r w:rsidRPr="00500BE6">
        <w:rPr>
          <w:noProof/>
          <w:szCs w:val="24"/>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0D2D7F" w:rsidRPr="00500BE6" w:rsidRDefault="000D2D7F" w:rsidP="00622D14">
      <w:pPr>
        <w:rPr>
          <w:szCs w:val="24"/>
        </w:rPr>
      </w:pPr>
    </w:p>
    <w:p w:rsidR="000D2D7F" w:rsidRPr="00500BE6" w:rsidRDefault="000D2D7F" w:rsidP="00622D14">
      <w:pPr>
        <w:rPr>
          <w:szCs w:val="24"/>
        </w:rPr>
        <w:sectPr w:rsidR="000D2D7F" w:rsidRPr="00500BE6">
          <w:headerReference w:type="even" r:id="rId8"/>
          <w:headerReference w:type="default" r:id="rId9"/>
          <w:footerReference w:type="even" r:id="rId10"/>
          <w:footerReference w:type="default" r:id="rId11"/>
          <w:headerReference w:type="first" r:id="rId12"/>
          <w:footerReference w:type="first" r:id="rId13"/>
          <w:pgSz w:w="12240" w:h="15840"/>
          <w:pgMar w:top="1987" w:right="1440" w:bottom="1440" w:left="1440" w:header="720" w:footer="720" w:gutter="0"/>
          <w:cols w:space="720"/>
        </w:sectPr>
      </w:pPr>
    </w:p>
    <w:p w:rsidR="000D2D7F" w:rsidRPr="00500BE6" w:rsidRDefault="000D2D7F" w:rsidP="00622D14">
      <w:pPr>
        <w:jc w:val="both"/>
        <w:rPr>
          <w:rFonts w:ascii="Times New Roman" w:hAnsi="Times New Roman"/>
          <w:szCs w:val="24"/>
        </w:rPr>
      </w:pPr>
      <w:r w:rsidRPr="00500BE6">
        <w:rPr>
          <w:rFonts w:ascii="Times New Roman" w:hAnsi="Times New Roman"/>
          <w:szCs w:val="24"/>
        </w:rPr>
        <w:lastRenderedPageBreak/>
        <w:t xml:space="preserve">July </w:t>
      </w:r>
      <w:r w:rsidR="009C2F4C" w:rsidRPr="00500BE6">
        <w:rPr>
          <w:rFonts w:ascii="Times New Roman" w:hAnsi="Times New Roman"/>
          <w:szCs w:val="24"/>
        </w:rPr>
        <w:t>22</w:t>
      </w:r>
      <w:r w:rsidRPr="00500BE6">
        <w:rPr>
          <w:rFonts w:ascii="Times New Roman" w:hAnsi="Times New Roman"/>
          <w:szCs w:val="24"/>
        </w:rPr>
        <w:t>, 2010</w:t>
      </w:r>
    </w:p>
    <w:p w:rsidR="000D2D7F" w:rsidRPr="00500BE6" w:rsidRDefault="000D2D7F" w:rsidP="00622D14">
      <w:pPr>
        <w:jc w:val="both"/>
        <w:rPr>
          <w:rFonts w:ascii="Times New Roman" w:hAnsi="Times New Roman"/>
          <w:szCs w:val="24"/>
        </w:rPr>
      </w:pPr>
    </w:p>
    <w:p w:rsidR="000D2D7F" w:rsidRDefault="000A0A52" w:rsidP="00622D14">
      <w:pPr>
        <w:jc w:val="both"/>
        <w:rPr>
          <w:rFonts w:ascii="Times New Roman" w:hAnsi="Times New Roman"/>
          <w:b/>
          <w:bCs/>
          <w:i/>
          <w:iCs/>
          <w:szCs w:val="24"/>
        </w:rPr>
      </w:pPr>
      <w:r>
        <w:rPr>
          <w:rFonts w:ascii="Times New Roman" w:hAnsi="Times New Roman"/>
          <w:b/>
          <w:bCs/>
          <w:i/>
          <w:iCs/>
          <w:szCs w:val="24"/>
        </w:rPr>
        <w:t>VIA ELECTRONIC FILING</w:t>
      </w:r>
    </w:p>
    <w:p w:rsidR="000D2D7F" w:rsidRPr="00500BE6" w:rsidRDefault="000D2D7F" w:rsidP="00622D14">
      <w:pPr>
        <w:jc w:val="both"/>
        <w:rPr>
          <w:rFonts w:ascii="Times New Roman" w:hAnsi="Times New Roman"/>
          <w:szCs w:val="24"/>
        </w:rPr>
      </w:pPr>
    </w:p>
    <w:p w:rsidR="000D2D7F" w:rsidRPr="00500BE6" w:rsidRDefault="000D2D7F" w:rsidP="00622D14">
      <w:pPr>
        <w:jc w:val="both"/>
        <w:rPr>
          <w:rFonts w:ascii="Times New Roman" w:hAnsi="Times New Roman"/>
          <w:szCs w:val="24"/>
        </w:rPr>
      </w:pPr>
      <w:r w:rsidRPr="00500BE6">
        <w:rPr>
          <w:rFonts w:ascii="Times New Roman" w:hAnsi="Times New Roman"/>
          <w:szCs w:val="24"/>
        </w:rPr>
        <w:t>Washington Utilities and Transportation Commission</w:t>
      </w:r>
    </w:p>
    <w:p w:rsidR="000D2D7F" w:rsidRPr="00500BE6" w:rsidRDefault="000D2D7F" w:rsidP="00622D14">
      <w:pPr>
        <w:jc w:val="both"/>
        <w:rPr>
          <w:rFonts w:ascii="Times New Roman" w:hAnsi="Times New Roman"/>
          <w:szCs w:val="24"/>
        </w:rPr>
      </w:pPr>
      <w:r w:rsidRPr="00500BE6">
        <w:rPr>
          <w:rFonts w:ascii="Times New Roman" w:hAnsi="Times New Roman"/>
          <w:szCs w:val="24"/>
        </w:rPr>
        <w:t>1300 S. Evergreen Park Drive SW</w:t>
      </w:r>
    </w:p>
    <w:p w:rsidR="000D2D7F" w:rsidRPr="00500BE6" w:rsidRDefault="000D2D7F" w:rsidP="00622D14">
      <w:pPr>
        <w:jc w:val="both"/>
        <w:rPr>
          <w:rFonts w:ascii="Times New Roman" w:hAnsi="Times New Roman"/>
          <w:szCs w:val="24"/>
        </w:rPr>
      </w:pPr>
      <w:r w:rsidRPr="00500BE6">
        <w:rPr>
          <w:rFonts w:ascii="Times New Roman" w:hAnsi="Times New Roman"/>
          <w:szCs w:val="24"/>
        </w:rPr>
        <w:t>P.O. Box 47250</w:t>
      </w:r>
    </w:p>
    <w:p w:rsidR="000D2D7F" w:rsidRPr="00500BE6" w:rsidRDefault="000D2D7F" w:rsidP="00622D14">
      <w:pPr>
        <w:jc w:val="both"/>
        <w:rPr>
          <w:rFonts w:ascii="Times New Roman" w:hAnsi="Times New Roman"/>
          <w:szCs w:val="24"/>
        </w:rPr>
      </w:pPr>
      <w:r w:rsidRPr="00500BE6">
        <w:rPr>
          <w:rFonts w:ascii="Times New Roman" w:hAnsi="Times New Roman"/>
          <w:szCs w:val="24"/>
        </w:rPr>
        <w:t>Olympia, WA  98504-7250</w:t>
      </w:r>
    </w:p>
    <w:p w:rsidR="000D2D7F" w:rsidRPr="00500BE6" w:rsidRDefault="000D2D7F" w:rsidP="00622D14">
      <w:pPr>
        <w:jc w:val="both"/>
        <w:rPr>
          <w:rFonts w:ascii="Times New Roman" w:hAnsi="Times New Roman"/>
          <w:szCs w:val="24"/>
        </w:rPr>
      </w:pPr>
    </w:p>
    <w:p w:rsidR="000D2D7F" w:rsidRPr="00500BE6" w:rsidRDefault="000D2D7F" w:rsidP="00622D14">
      <w:pPr>
        <w:jc w:val="both"/>
        <w:rPr>
          <w:rFonts w:ascii="Times New Roman" w:hAnsi="Times New Roman"/>
          <w:szCs w:val="24"/>
        </w:rPr>
      </w:pPr>
      <w:r w:rsidRPr="00500BE6">
        <w:rPr>
          <w:rFonts w:ascii="Times New Roman" w:hAnsi="Times New Roman"/>
          <w:szCs w:val="24"/>
        </w:rPr>
        <w:t>Attention:</w:t>
      </w:r>
      <w:r w:rsidRPr="00500BE6">
        <w:rPr>
          <w:rFonts w:ascii="Times New Roman" w:hAnsi="Times New Roman"/>
          <w:szCs w:val="24"/>
        </w:rPr>
        <w:tab/>
        <w:t>David W. Danner</w:t>
      </w:r>
    </w:p>
    <w:p w:rsidR="000D2D7F" w:rsidRPr="00500BE6" w:rsidRDefault="000D2D7F" w:rsidP="00622D14">
      <w:pPr>
        <w:jc w:val="both"/>
        <w:rPr>
          <w:rFonts w:ascii="Times New Roman" w:hAnsi="Times New Roman"/>
          <w:szCs w:val="24"/>
        </w:rPr>
      </w:pPr>
      <w:r w:rsidRPr="00500BE6">
        <w:rPr>
          <w:rFonts w:ascii="Times New Roman" w:hAnsi="Times New Roman"/>
          <w:szCs w:val="24"/>
        </w:rPr>
        <w:tab/>
      </w:r>
      <w:r w:rsidRPr="00500BE6">
        <w:rPr>
          <w:rFonts w:ascii="Times New Roman" w:hAnsi="Times New Roman"/>
          <w:szCs w:val="24"/>
        </w:rPr>
        <w:tab/>
        <w:t>Executive Director and Secretary</w:t>
      </w:r>
    </w:p>
    <w:p w:rsidR="000D2D7F" w:rsidRPr="00500BE6" w:rsidRDefault="000D2D7F" w:rsidP="00622D14">
      <w:pPr>
        <w:jc w:val="both"/>
        <w:rPr>
          <w:rFonts w:ascii="Times New Roman" w:hAnsi="Times New Roman"/>
          <w:szCs w:val="24"/>
        </w:rPr>
      </w:pPr>
    </w:p>
    <w:p w:rsidR="000D2D7F" w:rsidRPr="00500BE6" w:rsidRDefault="009C2F4C" w:rsidP="00622D14">
      <w:pPr>
        <w:ind w:left="720" w:hanging="720"/>
        <w:jc w:val="both"/>
        <w:rPr>
          <w:rFonts w:ascii="Times New Roman" w:hAnsi="Times New Roman"/>
          <w:b/>
          <w:szCs w:val="24"/>
        </w:rPr>
      </w:pPr>
      <w:r w:rsidRPr="00500BE6">
        <w:rPr>
          <w:rFonts w:ascii="Times New Roman" w:hAnsi="Times New Roman"/>
          <w:b/>
          <w:szCs w:val="24"/>
        </w:rPr>
        <w:t>RE:</w:t>
      </w:r>
      <w:r w:rsidRPr="00500BE6">
        <w:rPr>
          <w:rFonts w:ascii="Times New Roman" w:hAnsi="Times New Roman"/>
          <w:b/>
          <w:szCs w:val="24"/>
        </w:rPr>
        <w:tab/>
      </w:r>
      <w:r w:rsidR="000D2D7F" w:rsidRPr="00500BE6">
        <w:rPr>
          <w:rFonts w:ascii="Times New Roman" w:hAnsi="Times New Roman"/>
          <w:b/>
          <w:szCs w:val="24"/>
        </w:rPr>
        <w:t>U</w:t>
      </w:r>
      <w:r w:rsidRPr="00500BE6">
        <w:rPr>
          <w:rFonts w:ascii="Times New Roman" w:hAnsi="Times New Roman"/>
          <w:b/>
          <w:szCs w:val="24"/>
        </w:rPr>
        <w:t>E</w:t>
      </w:r>
      <w:r w:rsidR="000D2D7F" w:rsidRPr="00500BE6">
        <w:rPr>
          <w:rFonts w:ascii="Times New Roman" w:hAnsi="Times New Roman"/>
          <w:b/>
          <w:szCs w:val="24"/>
        </w:rPr>
        <w:t>-100</w:t>
      </w:r>
      <w:r w:rsidRPr="00500BE6">
        <w:rPr>
          <w:rFonts w:ascii="Times New Roman" w:hAnsi="Times New Roman"/>
          <w:b/>
          <w:szCs w:val="24"/>
        </w:rPr>
        <w:t>849</w:t>
      </w:r>
      <w:r w:rsidR="000D2D7F" w:rsidRPr="00500BE6">
        <w:rPr>
          <w:rFonts w:ascii="Times New Roman" w:hAnsi="Times New Roman"/>
          <w:b/>
          <w:szCs w:val="24"/>
        </w:rPr>
        <w:t xml:space="preserve"> Inquiry</w:t>
      </w:r>
      <w:r w:rsidRPr="00500BE6">
        <w:rPr>
          <w:rFonts w:ascii="Times New Roman" w:hAnsi="Times New Roman"/>
          <w:b/>
          <w:szCs w:val="24"/>
        </w:rPr>
        <w:t xml:space="preserve"> on Regulatory Treatment of Renewable Energy Resources</w:t>
      </w:r>
      <w:r w:rsidR="000D2D7F" w:rsidRPr="00500BE6">
        <w:rPr>
          <w:rFonts w:ascii="Times New Roman" w:hAnsi="Times New Roman"/>
          <w:b/>
          <w:szCs w:val="24"/>
        </w:rPr>
        <w:t xml:space="preserve"> - Comments</w:t>
      </w:r>
    </w:p>
    <w:p w:rsidR="000D2D7F" w:rsidRPr="00500BE6" w:rsidRDefault="000D2D7F" w:rsidP="00622D14">
      <w:pPr>
        <w:jc w:val="both"/>
        <w:rPr>
          <w:rFonts w:ascii="Times New Roman" w:hAnsi="Times New Roman"/>
          <w:szCs w:val="24"/>
        </w:rPr>
      </w:pPr>
    </w:p>
    <w:p w:rsidR="000D2D7F" w:rsidRPr="00500BE6" w:rsidRDefault="000D2D7F" w:rsidP="00622D14">
      <w:pPr>
        <w:jc w:val="both"/>
        <w:rPr>
          <w:rFonts w:ascii="Times New Roman" w:hAnsi="Times New Roman"/>
          <w:szCs w:val="24"/>
        </w:rPr>
      </w:pPr>
      <w:r w:rsidRPr="00500BE6">
        <w:rPr>
          <w:rFonts w:ascii="Times New Roman" w:hAnsi="Times New Roman"/>
          <w:szCs w:val="24"/>
        </w:rPr>
        <w:t>Dear Mr. Danner:</w:t>
      </w:r>
    </w:p>
    <w:p w:rsidR="000D2D7F" w:rsidRPr="00500BE6" w:rsidRDefault="000D2D7F" w:rsidP="00622D14">
      <w:pPr>
        <w:jc w:val="both"/>
        <w:rPr>
          <w:rFonts w:ascii="Times New Roman" w:hAnsi="Times New Roman"/>
          <w:szCs w:val="24"/>
        </w:rPr>
      </w:pPr>
    </w:p>
    <w:p w:rsidR="000D2D7F" w:rsidRPr="00500BE6" w:rsidRDefault="000D2D7F" w:rsidP="00622D14">
      <w:pPr>
        <w:ind w:firstLine="360"/>
        <w:rPr>
          <w:szCs w:val="24"/>
        </w:rPr>
      </w:pPr>
      <w:r w:rsidRPr="00500BE6">
        <w:rPr>
          <w:szCs w:val="24"/>
        </w:rPr>
        <w:t>PacifiCorp, d.b.a. Pacific Power (“PacifiCorp” or “Company”) submits the following comments in accordance with the Washington Utilities and Transportation Commission’s (“Commission”) Notice of Opportunity to File Written Comments (“Notice”) issued in Docket U</w:t>
      </w:r>
      <w:r w:rsidR="000615B8" w:rsidRPr="00500BE6">
        <w:rPr>
          <w:szCs w:val="24"/>
        </w:rPr>
        <w:t>E</w:t>
      </w:r>
      <w:r w:rsidRPr="00500BE6">
        <w:rPr>
          <w:szCs w:val="24"/>
        </w:rPr>
        <w:t>-100</w:t>
      </w:r>
      <w:r w:rsidR="000615B8" w:rsidRPr="00500BE6">
        <w:rPr>
          <w:szCs w:val="24"/>
        </w:rPr>
        <w:t>849</w:t>
      </w:r>
      <w:r w:rsidRPr="00500BE6">
        <w:rPr>
          <w:szCs w:val="24"/>
        </w:rPr>
        <w:t xml:space="preserve"> on July </w:t>
      </w:r>
      <w:r w:rsidR="000615B8" w:rsidRPr="00500BE6">
        <w:rPr>
          <w:szCs w:val="24"/>
        </w:rPr>
        <w:t>1</w:t>
      </w:r>
      <w:r w:rsidRPr="00500BE6">
        <w:rPr>
          <w:szCs w:val="24"/>
        </w:rPr>
        <w:t xml:space="preserve">, 2010. </w:t>
      </w:r>
      <w:r w:rsidR="000615B8" w:rsidRPr="00500BE6">
        <w:rPr>
          <w:szCs w:val="24"/>
        </w:rPr>
        <w:t xml:space="preserve"> The Company provides its comments as responses to the questions posed in the Notice. </w:t>
      </w:r>
      <w:r w:rsidR="00F20568">
        <w:rPr>
          <w:szCs w:val="24"/>
        </w:rPr>
        <w:t xml:space="preserve"> </w:t>
      </w:r>
      <w:r w:rsidR="000615B8" w:rsidRPr="00500BE6">
        <w:rPr>
          <w:szCs w:val="24"/>
        </w:rPr>
        <w:t xml:space="preserve">In some instances, the Company responds to individual questions. </w:t>
      </w:r>
      <w:r w:rsidR="00A37730">
        <w:rPr>
          <w:szCs w:val="24"/>
        </w:rPr>
        <w:t xml:space="preserve"> </w:t>
      </w:r>
      <w:r w:rsidR="000615B8" w:rsidRPr="00500BE6">
        <w:rPr>
          <w:szCs w:val="24"/>
        </w:rPr>
        <w:t>In others, the Company may provide a single response to a group of questions.</w:t>
      </w:r>
      <w:r w:rsidR="00F20568">
        <w:rPr>
          <w:szCs w:val="24"/>
        </w:rPr>
        <w:t xml:space="preserve"> </w:t>
      </w:r>
      <w:r w:rsidR="000615B8" w:rsidRPr="00500BE6">
        <w:rPr>
          <w:szCs w:val="24"/>
        </w:rPr>
        <w:t xml:space="preserve"> The Company </w:t>
      </w:r>
      <w:r w:rsidR="00C05370">
        <w:rPr>
          <w:szCs w:val="24"/>
        </w:rPr>
        <w:t xml:space="preserve">may also </w:t>
      </w:r>
      <w:r w:rsidR="000615B8" w:rsidRPr="00500BE6">
        <w:rPr>
          <w:szCs w:val="24"/>
        </w:rPr>
        <w:t>provide further information in response to these questions during the course of this proceeding.</w:t>
      </w:r>
    </w:p>
    <w:p w:rsidR="000D2D7F" w:rsidRPr="00500BE6" w:rsidRDefault="000D2D7F" w:rsidP="00622D14">
      <w:pPr>
        <w:rPr>
          <w:szCs w:val="24"/>
        </w:rPr>
      </w:pP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4"/>
          <w:u w:val="single"/>
        </w:rPr>
      </w:pPr>
      <w:r w:rsidRPr="00500BE6">
        <w:rPr>
          <w:b/>
          <w:szCs w:val="24"/>
          <w:u w:val="single"/>
        </w:rPr>
        <w:t>General</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 xml:space="preserve">Definitions.  </w:t>
      </w:r>
      <w:r w:rsidRPr="00500BE6">
        <w:rPr>
          <w:szCs w:val="24"/>
        </w:rPr>
        <w:t xml:space="preserve"> What is “</w:t>
      </w:r>
      <w:r w:rsidRPr="00500BE6">
        <w:rPr>
          <w:i/>
          <w:szCs w:val="24"/>
        </w:rPr>
        <w:t>distributed generation”</w:t>
      </w:r>
      <w:r w:rsidRPr="00500BE6">
        <w:rPr>
          <w:szCs w:val="24"/>
        </w:rPr>
        <w:t xml:space="preserve"> as applied to solar PV projects? </w:t>
      </w:r>
    </w:p>
    <w:p w:rsidR="000D2D7F" w:rsidRPr="00500BE6" w:rsidRDefault="000D2D7F" w:rsidP="00622D1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500BE6">
        <w:rPr>
          <w:szCs w:val="24"/>
        </w:rPr>
        <w:tab/>
        <w:t>What is an “</w:t>
      </w:r>
      <w:r w:rsidRPr="00500BE6">
        <w:rPr>
          <w:i/>
          <w:szCs w:val="24"/>
        </w:rPr>
        <w:t>integrated cluster of renewable resources</w:t>
      </w:r>
      <w:r w:rsidRPr="00500BE6">
        <w:rPr>
          <w:szCs w:val="24"/>
        </w:rPr>
        <w:t>”?</w:t>
      </w:r>
    </w:p>
    <w:p w:rsidR="00500BE6" w:rsidRPr="00500BE6" w:rsidRDefault="00500BE6" w:rsidP="00622D1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500BE6" w:rsidRPr="00500BE6" w:rsidRDefault="00500BE6" w:rsidP="00622D1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500BE6">
        <w:rPr>
          <w:szCs w:val="24"/>
          <w:u w:val="single"/>
        </w:rPr>
        <w:t>Response</w:t>
      </w:r>
    </w:p>
    <w:p w:rsidR="000D2D7F" w:rsidRDefault="000D2D7F" w:rsidP="00622D1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B457FB" w:rsidRDefault="00622D14" w:rsidP="00622D1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Pr>
          <w:szCs w:val="24"/>
        </w:rPr>
        <w:tab/>
      </w:r>
      <w:r w:rsidR="00B457FB">
        <w:rPr>
          <w:szCs w:val="24"/>
        </w:rPr>
        <w:t xml:space="preserve">The Company has no comment on this issue at this time, but </w:t>
      </w:r>
      <w:r w:rsidR="00C05370">
        <w:rPr>
          <w:szCs w:val="24"/>
        </w:rPr>
        <w:t>may</w:t>
      </w:r>
      <w:r w:rsidR="00B457FB">
        <w:rPr>
          <w:szCs w:val="24"/>
        </w:rPr>
        <w:t xml:space="preserve"> comment at a later date if the need should arise.</w:t>
      </w:r>
      <w:r w:rsidR="00660485">
        <w:rPr>
          <w:szCs w:val="24"/>
        </w:rPr>
        <w:t xml:space="preserve"> </w:t>
      </w:r>
      <w:r w:rsidR="00A37730">
        <w:rPr>
          <w:szCs w:val="24"/>
        </w:rPr>
        <w:t xml:space="preserve"> </w:t>
      </w:r>
      <w:r w:rsidR="00660485">
        <w:rPr>
          <w:szCs w:val="24"/>
        </w:rPr>
        <w:t xml:space="preserve">The Company notes that it administers a </w:t>
      </w:r>
      <w:r w:rsidR="003C5ADF">
        <w:rPr>
          <w:szCs w:val="24"/>
        </w:rPr>
        <w:t xml:space="preserve">Large Generation Interconnection Agreement (LGIA) and Small Generation Interconnection Agreement (SGIA) </w:t>
      </w:r>
      <w:r w:rsidR="00660485">
        <w:rPr>
          <w:szCs w:val="24"/>
        </w:rPr>
        <w:t>interconnection process</w:t>
      </w:r>
      <w:r w:rsidR="003C5ADF">
        <w:rPr>
          <w:szCs w:val="24"/>
        </w:rPr>
        <w:t>es</w:t>
      </w:r>
      <w:r w:rsidR="00660485">
        <w:rPr>
          <w:szCs w:val="24"/>
        </w:rPr>
        <w:t xml:space="preserve"> compliant with the Federal Energy Regulatory Commission pro-forma process.</w:t>
      </w:r>
    </w:p>
    <w:p w:rsidR="00B457FB" w:rsidRPr="00500BE6" w:rsidRDefault="00B457FB" w:rsidP="00622D1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AB77D8" w:rsidRDefault="00AB77D8">
      <w:pPr>
        <w:ind w:left="720" w:hanging="720"/>
        <w:jc w:val="both"/>
        <w:rPr>
          <w:rFonts w:ascii="Times New Roman" w:eastAsia="Times New Roman" w:hAnsi="Times New Roman"/>
          <w:b/>
          <w:szCs w:val="24"/>
          <w:u w:val="single"/>
        </w:rPr>
      </w:pPr>
      <w:r>
        <w:rPr>
          <w:b/>
          <w:szCs w:val="24"/>
          <w:u w:val="single"/>
        </w:rPr>
        <w:br w:type="page"/>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4"/>
          <w:u w:val="single"/>
        </w:rPr>
      </w:pPr>
      <w:r w:rsidRPr="00500BE6">
        <w:rPr>
          <w:b/>
          <w:szCs w:val="24"/>
          <w:u w:val="single"/>
        </w:rPr>
        <w:lastRenderedPageBreak/>
        <w:t>Recovery of Costs and Demonstration of Need</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806F9C"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Determination of Prudence.</w:t>
      </w:r>
      <w:r w:rsidRPr="00500BE6">
        <w:rPr>
          <w:szCs w:val="24"/>
        </w:rPr>
        <w:t xml:space="preserve">  Does the Renewable Portfolio Standard (RPS) in I-937 supersede the “need requirement” used by the Commission for its determination of prudence? </w:t>
      </w:r>
      <w:r w:rsidR="00A37730">
        <w:rPr>
          <w:szCs w:val="24"/>
        </w:rPr>
        <w:t xml:space="preserve"> </w:t>
      </w:r>
      <w:r w:rsidRPr="00500BE6">
        <w:rPr>
          <w:szCs w:val="24"/>
        </w:rPr>
        <w:t xml:space="preserve">Why should the Commission treat the acquisition of a renewable different from the acquisition of a gas-fired plant when considering “need”?  </w:t>
      </w:r>
    </w:p>
    <w:p w:rsidR="00806F9C" w:rsidRPr="00500BE6" w:rsidRDefault="00806F9C"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C05370" w:rsidRPr="00500BE6" w:rsidRDefault="00C05370" w:rsidP="00C05370">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i/>
          <w:szCs w:val="24"/>
        </w:rPr>
      </w:pPr>
      <w:r w:rsidRPr="00500BE6">
        <w:rPr>
          <w:i/>
          <w:szCs w:val="24"/>
        </w:rPr>
        <w:t>Integration of Renewables</w:t>
      </w:r>
      <w:r w:rsidRPr="00500BE6">
        <w:rPr>
          <w:szCs w:val="24"/>
        </w:rPr>
        <w:t xml:space="preserve">.  Will future acquisition of non-renewable resources that support the integration of renewable resources encounter the same demonstration of need issue? </w:t>
      </w:r>
      <w:r w:rsidR="00A37730">
        <w:rPr>
          <w:szCs w:val="24"/>
        </w:rPr>
        <w:t xml:space="preserve"> </w:t>
      </w:r>
      <w:r w:rsidRPr="00500BE6">
        <w:rPr>
          <w:szCs w:val="24"/>
        </w:rPr>
        <w:t>Discuss what new “litmus” tests may be necessary to evaluate the prudence of renewable integration generating resources and why the current tests may not be applicable.</w:t>
      </w:r>
    </w:p>
    <w:p w:rsidR="00C05370" w:rsidRDefault="00C05370"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u w:val="single"/>
        </w:rPr>
      </w:pPr>
    </w:p>
    <w:p w:rsidR="00806F9C" w:rsidRPr="00500BE6" w:rsidRDefault="00806F9C"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500BE6">
        <w:rPr>
          <w:szCs w:val="24"/>
          <w:u w:val="single"/>
        </w:rPr>
        <w:t>Response</w:t>
      </w:r>
    </w:p>
    <w:p w:rsidR="00806F9C" w:rsidRPr="00500BE6" w:rsidRDefault="00806F9C"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806F9C" w:rsidRDefault="00622D14"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Pr>
          <w:szCs w:val="24"/>
        </w:rPr>
        <w:tab/>
      </w:r>
      <w:r w:rsidR="003A2AF8">
        <w:rPr>
          <w:szCs w:val="24"/>
        </w:rPr>
        <w:t xml:space="preserve">The RPS requirements established in I-937 do not supersede the “need requirement” but instead they should </w:t>
      </w:r>
      <w:r w:rsidR="00C05370">
        <w:rPr>
          <w:szCs w:val="24"/>
        </w:rPr>
        <w:t xml:space="preserve">be a strong consideration in </w:t>
      </w:r>
      <w:r w:rsidR="003A2AF8">
        <w:rPr>
          <w:szCs w:val="24"/>
        </w:rPr>
        <w:t xml:space="preserve">the “need requirement” used by the Commission for determination of prudence.  </w:t>
      </w:r>
      <w:r w:rsidR="00806F9C" w:rsidRPr="00500BE6">
        <w:rPr>
          <w:szCs w:val="24"/>
        </w:rPr>
        <w:t xml:space="preserve">RCW 80.04.250 grants authority to the Commission to determine the fair value of property to be considered used and useful for ratemaking purposes. </w:t>
      </w:r>
      <w:r w:rsidR="00B142FA">
        <w:rPr>
          <w:szCs w:val="24"/>
        </w:rPr>
        <w:t xml:space="preserve"> </w:t>
      </w:r>
      <w:r w:rsidR="00806F9C" w:rsidRPr="00500BE6">
        <w:rPr>
          <w:szCs w:val="24"/>
        </w:rPr>
        <w:t>RCW 19.285.050(2) provides that utilities are entitled to recover all prudently-incurred costs associated with complying with the RPS.</w:t>
      </w:r>
      <w:r w:rsidR="00806F9C" w:rsidRPr="00500BE6">
        <w:rPr>
          <w:rStyle w:val="FootnoteReference"/>
          <w:szCs w:val="24"/>
        </w:rPr>
        <w:footnoteReference w:id="1"/>
      </w:r>
      <w:r w:rsidR="003A2AF8">
        <w:rPr>
          <w:szCs w:val="24"/>
        </w:rPr>
        <w:t xml:space="preserve">  Whether a resource is acquired in compl</w:t>
      </w:r>
      <w:r w:rsidR="00C05370">
        <w:rPr>
          <w:szCs w:val="24"/>
        </w:rPr>
        <w:t>iance</w:t>
      </w:r>
      <w:r w:rsidR="003A2AF8">
        <w:rPr>
          <w:szCs w:val="24"/>
        </w:rPr>
        <w:t xml:space="preserve"> with the RPS should be considered when the Commission is making a determination of prudence.</w:t>
      </w:r>
      <w:r w:rsidR="00C05370">
        <w:rPr>
          <w:szCs w:val="24"/>
        </w:rPr>
        <w:t xml:space="preserve">  In the past, the Commission has allowed resources into rates that appropriately weighted “need” against other factors.  </w:t>
      </w:r>
    </w:p>
    <w:p w:rsidR="003A2AF8" w:rsidRPr="00500BE6" w:rsidRDefault="003A2AF8"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501198" w:rsidRPr="00500BE6" w:rsidRDefault="00622D14"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Pr>
          <w:szCs w:val="24"/>
        </w:rPr>
        <w:tab/>
      </w:r>
      <w:r w:rsidR="00156B70" w:rsidRPr="00500BE6">
        <w:rPr>
          <w:szCs w:val="24"/>
        </w:rPr>
        <w:t xml:space="preserve">The Commission applied its standard prudence review to the Company’s recent acquisition of the </w:t>
      </w:r>
      <w:r w:rsidR="00A137CB">
        <w:rPr>
          <w:szCs w:val="24"/>
        </w:rPr>
        <w:t xml:space="preserve">natural gas fueled </w:t>
      </w:r>
      <w:r w:rsidR="00156B70" w:rsidRPr="00500BE6">
        <w:rPr>
          <w:szCs w:val="24"/>
        </w:rPr>
        <w:t>Chehalis Generating Plant</w:t>
      </w:r>
      <w:r w:rsidR="004E52CC" w:rsidRPr="00500BE6">
        <w:rPr>
          <w:szCs w:val="24"/>
        </w:rPr>
        <w:t xml:space="preserve"> (Chehalis).</w:t>
      </w:r>
      <w:r w:rsidR="003A2AF8">
        <w:rPr>
          <w:szCs w:val="24"/>
        </w:rPr>
        <w:t xml:space="preserve"> </w:t>
      </w:r>
      <w:r w:rsidR="004E52CC" w:rsidRPr="00500BE6">
        <w:rPr>
          <w:szCs w:val="24"/>
        </w:rPr>
        <w:t xml:space="preserve"> PacifiCorp presented the Chehalis acquisition for review and inclusion in rates in Docket UE-090205</w:t>
      </w:r>
      <w:r w:rsidR="00837104" w:rsidRPr="00500BE6">
        <w:rPr>
          <w:szCs w:val="24"/>
        </w:rPr>
        <w:t>.</w:t>
      </w:r>
      <w:r w:rsidR="00837104" w:rsidRPr="00500BE6">
        <w:rPr>
          <w:rStyle w:val="FootnoteReference"/>
          <w:szCs w:val="24"/>
        </w:rPr>
        <w:footnoteReference w:id="2"/>
      </w:r>
      <w:r w:rsidR="00837104" w:rsidRPr="00500BE6">
        <w:rPr>
          <w:szCs w:val="24"/>
        </w:rPr>
        <w:t xml:space="preserve"> </w:t>
      </w:r>
      <w:r w:rsidR="00B142FA">
        <w:rPr>
          <w:szCs w:val="24"/>
        </w:rPr>
        <w:t xml:space="preserve"> </w:t>
      </w:r>
      <w:r w:rsidR="00837104" w:rsidRPr="00500BE6">
        <w:rPr>
          <w:szCs w:val="24"/>
        </w:rPr>
        <w:t xml:space="preserve">Chehalis </w:t>
      </w:r>
      <w:r w:rsidR="00DC6D9F">
        <w:rPr>
          <w:szCs w:val="24"/>
        </w:rPr>
        <w:t xml:space="preserve">was acquired in advance of the </w:t>
      </w:r>
      <w:r w:rsidR="00837104" w:rsidRPr="00500BE6">
        <w:rPr>
          <w:szCs w:val="24"/>
        </w:rPr>
        <w:t xml:space="preserve">need to fill an energy and capacity deficit </w:t>
      </w:r>
      <w:r w:rsidR="00FA1761">
        <w:rPr>
          <w:szCs w:val="24"/>
        </w:rPr>
        <w:t xml:space="preserve"> </w:t>
      </w:r>
      <w:r w:rsidR="00837104" w:rsidRPr="00500BE6">
        <w:rPr>
          <w:szCs w:val="24"/>
        </w:rPr>
        <w:t>identified in PacifiCorp’s Integrated Re</w:t>
      </w:r>
      <w:r w:rsidR="00EC4550" w:rsidRPr="00500BE6">
        <w:rPr>
          <w:szCs w:val="24"/>
        </w:rPr>
        <w:t>source Plan (IRP</w:t>
      </w:r>
      <w:r w:rsidR="00DC6D9F">
        <w:rPr>
          <w:szCs w:val="24"/>
        </w:rPr>
        <w:t>)</w:t>
      </w:r>
      <w:r w:rsidR="00C05370">
        <w:rPr>
          <w:szCs w:val="24"/>
        </w:rPr>
        <w:t xml:space="preserve"> </w:t>
      </w:r>
      <w:r w:rsidR="00FA1761">
        <w:rPr>
          <w:szCs w:val="24"/>
        </w:rPr>
        <w:t xml:space="preserve">because </w:t>
      </w:r>
      <w:r w:rsidR="007A2ABC">
        <w:rPr>
          <w:szCs w:val="24"/>
        </w:rPr>
        <w:t xml:space="preserve">the economics </w:t>
      </w:r>
      <w:r w:rsidR="00FA1761">
        <w:rPr>
          <w:szCs w:val="24"/>
        </w:rPr>
        <w:t>made sense to acquire the resource at that time</w:t>
      </w:r>
      <w:r w:rsidR="00EC4550" w:rsidRPr="00500BE6">
        <w:rPr>
          <w:szCs w:val="24"/>
        </w:rPr>
        <w:t>.</w:t>
      </w:r>
      <w:r w:rsidR="00EC4550" w:rsidRPr="00500BE6">
        <w:rPr>
          <w:rStyle w:val="FootnoteReference"/>
          <w:szCs w:val="24"/>
        </w:rPr>
        <w:footnoteReference w:id="3"/>
      </w:r>
      <w:r w:rsidR="00EC4550" w:rsidRPr="00500BE6">
        <w:rPr>
          <w:szCs w:val="24"/>
        </w:rPr>
        <w:t xml:space="preserve"> </w:t>
      </w:r>
      <w:r w:rsidR="00B142FA">
        <w:rPr>
          <w:szCs w:val="24"/>
        </w:rPr>
        <w:t xml:space="preserve"> </w:t>
      </w:r>
      <w:r w:rsidR="00B142FA" w:rsidRPr="00500BE6">
        <w:rPr>
          <w:szCs w:val="24"/>
        </w:rPr>
        <w:t>The Commission found the acquisition of Chehalis to be prudent and allowed it to be placed in rates.</w:t>
      </w:r>
      <w:r w:rsidR="00B142FA" w:rsidRPr="00500BE6">
        <w:rPr>
          <w:rStyle w:val="FootnoteReference"/>
          <w:szCs w:val="24"/>
        </w:rPr>
        <w:footnoteReference w:id="4"/>
      </w:r>
      <w:r w:rsidR="00B142FA" w:rsidRPr="00500BE6">
        <w:rPr>
          <w:szCs w:val="24"/>
        </w:rPr>
        <w:t xml:space="preserve">  </w:t>
      </w:r>
    </w:p>
    <w:p w:rsidR="00501198" w:rsidRPr="00500BE6" w:rsidRDefault="00501198"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156B70" w:rsidRPr="00500BE6" w:rsidRDefault="00622D14"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Pr>
          <w:szCs w:val="24"/>
        </w:rPr>
        <w:tab/>
      </w:r>
      <w:r w:rsidR="00501198" w:rsidRPr="00500BE6">
        <w:rPr>
          <w:szCs w:val="24"/>
        </w:rPr>
        <w:t>Also in Docket UE-090205, the Commission allowed the Marengo II wind facility to be placed in rates.</w:t>
      </w:r>
      <w:r w:rsidR="00501198" w:rsidRPr="00500BE6">
        <w:rPr>
          <w:rStyle w:val="FootnoteReference"/>
          <w:szCs w:val="24"/>
        </w:rPr>
        <w:footnoteReference w:id="5"/>
      </w:r>
      <w:r w:rsidR="00817F14" w:rsidRPr="00500BE6">
        <w:rPr>
          <w:szCs w:val="24"/>
        </w:rPr>
        <w:t xml:space="preserve"> </w:t>
      </w:r>
      <w:r w:rsidR="00B142FA">
        <w:rPr>
          <w:szCs w:val="24"/>
        </w:rPr>
        <w:t xml:space="preserve"> </w:t>
      </w:r>
      <w:r w:rsidR="00817F14" w:rsidRPr="00500BE6">
        <w:rPr>
          <w:szCs w:val="24"/>
        </w:rPr>
        <w:t xml:space="preserve">One of the factors the Commission considered when determining need was the </w:t>
      </w:r>
      <w:r w:rsidR="00817F14" w:rsidRPr="00500BE6">
        <w:rPr>
          <w:szCs w:val="24"/>
        </w:rPr>
        <w:lastRenderedPageBreak/>
        <w:t>resource enabled the Company to make progress toward complying with the RPS.</w:t>
      </w:r>
      <w:r w:rsidR="002A2CF6" w:rsidRPr="00500BE6">
        <w:rPr>
          <w:rStyle w:val="FootnoteReference"/>
          <w:szCs w:val="24"/>
        </w:rPr>
        <w:footnoteReference w:id="6"/>
      </w:r>
    </w:p>
    <w:p w:rsidR="00CC5D1E" w:rsidRPr="00500BE6" w:rsidRDefault="00CC5D1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CC5D1E" w:rsidRPr="00500BE6" w:rsidRDefault="00622D14"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Pr>
          <w:szCs w:val="24"/>
        </w:rPr>
        <w:tab/>
      </w:r>
      <w:r w:rsidR="00FA1761">
        <w:rPr>
          <w:szCs w:val="24"/>
        </w:rPr>
        <w:t xml:space="preserve">The Company believes it is appropriate to consider the needs arising out of the renewable portfolio standard when considering the prudence of a resource </w:t>
      </w:r>
      <w:r w:rsidR="00CC5D1E" w:rsidRPr="00500BE6">
        <w:rPr>
          <w:szCs w:val="24"/>
        </w:rPr>
        <w:t xml:space="preserve">but encourages the Commission to </w:t>
      </w:r>
      <w:r w:rsidR="00C05370">
        <w:rPr>
          <w:szCs w:val="24"/>
        </w:rPr>
        <w:t>continue to ensure that</w:t>
      </w:r>
      <w:r w:rsidR="008959D7">
        <w:rPr>
          <w:szCs w:val="24"/>
        </w:rPr>
        <w:t xml:space="preserve"> </w:t>
      </w:r>
      <w:r w:rsidR="00CC5D1E" w:rsidRPr="00500BE6">
        <w:rPr>
          <w:szCs w:val="24"/>
        </w:rPr>
        <w:t xml:space="preserve">the prudence test </w:t>
      </w:r>
      <w:r w:rsidR="004A11E0">
        <w:rPr>
          <w:szCs w:val="24"/>
        </w:rPr>
        <w:t>it applie</w:t>
      </w:r>
      <w:r w:rsidR="00C05370">
        <w:rPr>
          <w:szCs w:val="24"/>
        </w:rPr>
        <w:t>s</w:t>
      </w:r>
      <w:r w:rsidR="004A11E0">
        <w:rPr>
          <w:szCs w:val="24"/>
        </w:rPr>
        <w:t xml:space="preserve"> </w:t>
      </w:r>
      <w:r w:rsidR="00CC5D1E" w:rsidRPr="00500BE6">
        <w:rPr>
          <w:szCs w:val="24"/>
        </w:rPr>
        <w:t>provides sufficient flexibility to adapt to acquisitions of renewable resources for compliance with the RPS.</w:t>
      </w:r>
    </w:p>
    <w:p w:rsidR="00806F9C" w:rsidRPr="00500BE6" w:rsidRDefault="00806F9C"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4"/>
        </w:rPr>
      </w:pPr>
    </w:p>
    <w:p w:rsidR="00AF25F0"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 xml:space="preserve">Increased Certainty of Recovery of Costs of Renewables.  </w:t>
      </w:r>
      <w:r w:rsidRPr="00500BE6">
        <w:rPr>
          <w:szCs w:val="24"/>
        </w:rPr>
        <w:t>Should the Commission take action to provide utilities with increased certainty for recovery of costs associated with renewable resources before they are constructed or acquired?  What administrative actions should the Commission take to provide such increased certainty?</w:t>
      </w:r>
    </w:p>
    <w:p w:rsidR="00AF25F0" w:rsidRPr="00500BE6" w:rsidRDefault="00AF25F0"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AF25F0" w:rsidRPr="00500BE6" w:rsidRDefault="00AF25F0"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u w:val="single"/>
        </w:rPr>
      </w:pPr>
      <w:r w:rsidRPr="00500BE6">
        <w:rPr>
          <w:szCs w:val="24"/>
          <w:u w:val="single"/>
        </w:rPr>
        <w:t>Response</w:t>
      </w:r>
    </w:p>
    <w:p w:rsidR="00AF25F0" w:rsidRPr="00500BE6" w:rsidRDefault="00AF25F0"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AF25F0" w:rsidRDefault="0095659F" w:rsidP="00622D14">
      <w:pPr>
        <w:ind w:firstLine="720"/>
        <w:rPr>
          <w:rFonts w:ascii="Times New Roman" w:hAnsi="Times New Roman"/>
          <w:szCs w:val="24"/>
        </w:rPr>
      </w:pPr>
      <w:r>
        <w:rPr>
          <w:rFonts w:ascii="Times New Roman" w:hAnsi="Times New Roman"/>
          <w:szCs w:val="24"/>
        </w:rPr>
        <w:t xml:space="preserve">Yes, PacifiCorp believes it would be beneficial to provide utilities with increased certainty regarding the recovery of costs associated with renewable resources before they are constructed and acquired.  </w:t>
      </w:r>
      <w:r w:rsidR="00AF25F0" w:rsidRPr="00500BE6">
        <w:rPr>
          <w:rFonts w:ascii="Times New Roman" w:hAnsi="Times New Roman"/>
          <w:szCs w:val="24"/>
        </w:rPr>
        <w:t xml:space="preserve">In 2008, the Commission adopted rules to implement the requirements of RCW 80.80.060 regarding compliance with the greenhouse gas emissions performance standard </w:t>
      </w:r>
      <w:r w:rsidR="001306CB">
        <w:rPr>
          <w:rFonts w:ascii="Times New Roman" w:hAnsi="Times New Roman"/>
          <w:szCs w:val="24"/>
        </w:rPr>
        <w:t xml:space="preserve">(EPS) </w:t>
      </w:r>
      <w:r w:rsidR="00AF25F0" w:rsidRPr="00500BE6">
        <w:rPr>
          <w:rFonts w:ascii="Times New Roman" w:hAnsi="Times New Roman"/>
          <w:szCs w:val="24"/>
        </w:rPr>
        <w:t>contained in RCW 80.80.040.  The rules were adopted as WAC 480-100-4</w:t>
      </w:r>
      <w:r w:rsidR="00C05370">
        <w:rPr>
          <w:rFonts w:ascii="Times New Roman" w:hAnsi="Times New Roman"/>
          <w:szCs w:val="24"/>
        </w:rPr>
        <w:t>05 through WAC 480-100-435</w:t>
      </w:r>
      <w:r w:rsidR="00AF25F0" w:rsidRPr="00500BE6">
        <w:rPr>
          <w:rFonts w:ascii="Times New Roman" w:hAnsi="Times New Roman"/>
          <w:szCs w:val="24"/>
        </w:rPr>
        <w:t xml:space="preserve">.  </w:t>
      </w:r>
      <w:r w:rsidR="005A15E3">
        <w:rPr>
          <w:rFonts w:ascii="Times New Roman" w:hAnsi="Times New Roman"/>
          <w:szCs w:val="24"/>
        </w:rPr>
        <w:t>In 20</w:t>
      </w:r>
      <w:r w:rsidR="001306CB">
        <w:rPr>
          <w:rFonts w:ascii="Times New Roman" w:hAnsi="Times New Roman"/>
          <w:szCs w:val="24"/>
        </w:rPr>
        <w:t>09</w:t>
      </w:r>
      <w:r w:rsidR="00DC6D9F">
        <w:rPr>
          <w:rFonts w:ascii="Times New Roman" w:hAnsi="Times New Roman"/>
          <w:szCs w:val="24"/>
        </w:rPr>
        <w:t>,</w:t>
      </w:r>
      <w:r w:rsidR="005A15E3">
        <w:rPr>
          <w:rFonts w:ascii="Times New Roman" w:hAnsi="Times New Roman"/>
          <w:szCs w:val="24"/>
        </w:rPr>
        <w:t xml:space="preserve"> </w:t>
      </w:r>
      <w:r w:rsidR="00F66DE6">
        <w:rPr>
          <w:rFonts w:ascii="Times New Roman" w:hAnsi="Times New Roman"/>
          <w:szCs w:val="24"/>
        </w:rPr>
        <w:t xml:space="preserve">House Bill 2129 and Senate Bill </w:t>
      </w:r>
      <w:r w:rsidR="001306CB">
        <w:rPr>
          <w:rFonts w:ascii="Times New Roman" w:hAnsi="Times New Roman"/>
          <w:szCs w:val="24"/>
        </w:rPr>
        <w:t>5989</w:t>
      </w:r>
      <w:r w:rsidR="00F66DE6">
        <w:rPr>
          <w:rFonts w:ascii="Times New Roman" w:hAnsi="Times New Roman"/>
          <w:szCs w:val="24"/>
        </w:rPr>
        <w:t xml:space="preserve">, </w:t>
      </w:r>
      <w:r w:rsidR="005A15E3">
        <w:rPr>
          <w:rFonts w:ascii="Times New Roman" w:hAnsi="Times New Roman"/>
          <w:szCs w:val="24"/>
        </w:rPr>
        <w:t xml:space="preserve">were </w:t>
      </w:r>
      <w:r w:rsidR="00F66DE6">
        <w:rPr>
          <w:rFonts w:ascii="Times New Roman" w:hAnsi="Times New Roman"/>
          <w:szCs w:val="24"/>
        </w:rPr>
        <w:t xml:space="preserve">adopted </w:t>
      </w:r>
      <w:r w:rsidR="005A15E3">
        <w:rPr>
          <w:rFonts w:ascii="Times New Roman" w:hAnsi="Times New Roman"/>
          <w:szCs w:val="24"/>
        </w:rPr>
        <w:t xml:space="preserve">which amended certain provisions within the </w:t>
      </w:r>
      <w:r w:rsidR="001306CB">
        <w:rPr>
          <w:rFonts w:ascii="Times New Roman" w:hAnsi="Times New Roman"/>
          <w:szCs w:val="24"/>
        </w:rPr>
        <w:t xml:space="preserve">EPS </w:t>
      </w:r>
      <w:r w:rsidR="005A15E3">
        <w:rPr>
          <w:rFonts w:ascii="Times New Roman" w:hAnsi="Times New Roman"/>
          <w:szCs w:val="24"/>
        </w:rPr>
        <w:t>statutes</w:t>
      </w:r>
      <w:r w:rsidR="00F66DE6">
        <w:rPr>
          <w:rFonts w:ascii="Times New Roman" w:hAnsi="Times New Roman"/>
          <w:szCs w:val="24"/>
        </w:rPr>
        <w:t xml:space="preserve">.  In the amended statutes, renewable resources are deemed to be in compliance with the </w:t>
      </w:r>
      <w:r w:rsidR="001306CB">
        <w:rPr>
          <w:rFonts w:ascii="Times New Roman" w:hAnsi="Times New Roman"/>
          <w:szCs w:val="24"/>
        </w:rPr>
        <w:t>EPS</w:t>
      </w:r>
      <w:r w:rsidR="00DC6D9F">
        <w:rPr>
          <w:rStyle w:val="FootnoteReference"/>
          <w:rFonts w:ascii="Times New Roman" w:hAnsi="Times New Roman"/>
          <w:szCs w:val="24"/>
        </w:rPr>
        <w:footnoteReference w:id="7"/>
      </w:r>
      <w:r w:rsidR="00F66DE6">
        <w:rPr>
          <w:rFonts w:ascii="Times New Roman" w:hAnsi="Times New Roman"/>
          <w:szCs w:val="24"/>
        </w:rPr>
        <w:t xml:space="preserve">, </w:t>
      </w:r>
      <w:r w:rsidR="005A15E3">
        <w:rPr>
          <w:rFonts w:ascii="Times New Roman" w:hAnsi="Times New Roman"/>
          <w:szCs w:val="24"/>
        </w:rPr>
        <w:t xml:space="preserve">essentially </w:t>
      </w:r>
      <w:r w:rsidR="00F66DE6">
        <w:rPr>
          <w:rFonts w:ascii="Times New Roman" w:hAnsi="Times New Roman"/>
          <w:szCs w:val="24"/>
        </w:rPr>
        <w:t>eliminating the need for a determination of compliance by the Commission.  RCW 80.80.</w:t>
      </w:r>
      <w:r w:rsidR="005A15E3">
        <w:rPr>
          <w:rFonts w:ascii="Times New Roman" w:hAnsi="Times New Roman"/>
          <w:szCs w:val="24"/>
        </w:rPr>
        <w:t>060</w:t>
      </w:r>
      <w:r w:rsidR="00E43AD8">
        <w:rPr>
          <w:rFonts w:ascii="Times New Roman" w:hAnsi="Times New Roman"/>
          <w:szCs w:val="24"/>
        </w:rPr>
        <w:t xml:space="preserve"> </w:t>
      </w:r>
      <w:r w:rsidR="005A15E3">
        <w:rPr>
          <w:rFonts w:ascii="Times New Roman" w:hAnsi="Times New Roman"/>
          <w:szCs w:val="24"/>
        </w:rPr>
        <w:t>(6)</w:t>
      </w:r>
      <w:r w:rsidR="00DC6D9F">
        <w:rPr>
          <w:rFonts w:ascii="Times New Roman" w:hAnsi="Times New Roman"/>
          <w:szCs w:val="24"/>
        </w:rPr>
        <w:t>,</w:t>
      </w:r>
      <w:r w:rsidR="00F66DE6">
        <w:rPr>
          <w:rFonts w:ascii="Times New Roman" w:hAnsi="Times New Roman"/>
          <w:szCs w:val="24"/>
        </w:rPr>
        <w:t xml:space="preserve"> which </w:t>
      </w:r>
      <w:r w:rsidR="00AF25F0" w:rsidRPr="00500BE6">
        <w:rPr>
          <w:rFonts w:ascii="Times New Roman" w:hAnsi="Times New Roman"/>
          <w:szCs w:val="24"/>
        </w:rPr>
        <w:t>provides an electrical company with the ability to defer costs associated with a new long-term financial commitment</w:t>
      </w:r>
      <w:r w:rsidR="00DC6D9F">
        <w:rPr>
          <w:rFonts w:ascii="Times New Roman" w:hAnsi="Times New Roman"/>
          <w:szCs w:val="24"/>
        </w:rPr>
        <w:t>,</w:t>
      </w:r>
      <w:r w:rsidR="00AF25F0" w:rsidRPr="00500BE6">
        <w:rPr>
          <w:rFonts w:ascii="Times New Roman" w:hAnsi="Times New Roman"/>
          <w:szCs w:val="24"/>
        </w:rPr>
        <w:t xml:space="preserve"> </w:t>
      </w:r>
      <w:r w:rsidR="00F66DE6">
        <w:rPr>
          <w:rFonts w:ascii="Times New Roman" w:hAnsi="Times New Roman"/>
          <w:szCs w:val="24"/>
        </w:rPr>
        <w:t xml:space="preserve">was also amended to include </w:t>
      </w:r>
      <w:r w:rsidR="00AF2A75">
        <w:rPr>
          <w:rFonts w:ascii="Times New Roman" w:hAnsi="Times New Roman"/>
          <w:szCs w:val="24"/>
        </w:rPr>
        <w:t xml:space="preserve">eligible </w:t>
      </w:r>
      <w:r w:rsidR="00F66DE6">
        <w:rPr>
          <w:rFonts w:ascii="Times New Roman" w:hAnsi="Times New Roman"/>
          <w:szCs w:val="24"/>
        </w:rPr>
        <w:t xml:space="preserve">renewable resources as defined in </w:t>
      </w:r>
      <w:r w:rsidR="005A15E3">
        <w:rPr>
          <w:rFonts w:ascii="Times New Roman" w:hAnsi="Times New Roman"/>
          <w:szCs w:val="24"/>
        </w:rPr>
        <w:t>RCW 19.285.030</w:t>
      </w:r>
      <w:r w:rsidR="00F66DE6">
        <w:rPr>
          <w:rFonts w:ascii="Times New Roman" w:hAnsi="Times New Roman"/>
          <w:szCs w:val="24"/>
        </w:rPr>
        <w:t xml:space="preserve">, </w:t>
      </w:r>
      <w:r w:rsidR="00AF25F0" w:rsidRPr="00500BE6">
        <w:rPr>
          <w:rFonts w:ascii="Times New Roman" w:hAnsi="Times New Roman"/>
          <w:szCs w:val="24"/>
        </w:rPr>
        <w:t>but falls short of providing increased certainty regarding the recovery of such costs</w:t>
      </w:r>
      <w:r w:rsidR="00F66DE6">
        <w:rPr>
          <w:rFonts w:ascii="Times New Roman" w:hAnsi="Times New Roman"/>
          <w:szCs w:val="24"/>
        </w:rPr>
        <w:t xml:space="preserve"> associated with the construction or acquisition of the renewable resource</w:t>
      </w:r>
      <w:r w:rsidR="00AF25F0" w:rsidRPr="00500BE6">
        <w:rPr>
          <w:rFonts w:ascii="Times New Roman" w:hAnsi="Times New Roman"/>
          <w:szCs w:val="24"/>
        </w:rPr>
        <w:t xml:space="preserve">.  </w:t>
      </w:r>
    </w:p>
    <w:p w:rsidR="00622D14" w:rsidRPr="00500BE6" w:rsidRDefault="00622D14" w:rsidP="00622D14">
      <w:pPr>
        <w:rPr>
          <w:rFonts w:ascii="Times New Roman" w:hAnsi="Times New Roman"/>
          <w:szCs w:val="24"/>
        </w:rPr>
      </w:pPr>
    </w:p>
    <w:p w:rsidR="00AF25F0" w:rsidRPr="00500BE6" w:rsidRDefault="00AF25F0" w:rsidP="00622D14">
      <w:pPr>
        <w:ind w:firstLine="720"/>
        <w:rPr>
          <w:rFonts w:ascii="Times New Roman" w:hAnsi="Times New Roman"/>
          <w:szCs w:val="24"/>
        </w:rPr>
      </w:pPr>
      <w:r w:rsidRPr="00500BE6">
        <w:rPr>
          <w:rFonts w:ascii="Times New Roman" w:hAnsi="Times New Roman"/>
          <w:szCs w:val="24"/>
        </w:rPr>
        <w:t xml:space="preserve">PacifiCorp suggests that </w:t>
      </w:r>
      <w:r w:rsidR="00F66DE6">
        <w:rPr>
          <w:rFonts w:ascii="Times New Roman" w:hAnsi="Times New Roman"/>
          <w:szCs w:val="24"/>
        </w:rPr>
        <w:t xml:space="preserve">at the time an electrical company provides notice of the intent to defer costs associated with a long-term financial commitment for a renewable resource, </w:t>
      </w:r>
      <w:r w:rsidRPr="00500BE6">
        <w:rPr>
          <w:rFonts w:ascii="Times New Roman" w:hAnsi="Times New Roman"/>
          <w:szCs w:val="24"/>
        </w:rPr>
        <w:t xml:space="preserve">the Commission </w:t>
      </w:r>
      <w:r w:rsidR="00CE594C">
        <w:rPr>
          <w:rFonts w:ascii="Times New Roman" w:hAnsi="Times New Roman"/>
          <w:szCs w:val="24"/>
        </w:rPr>
        <w:t>should</w:t>
      </w:r>
      <w:r w:rsidRPr="00CE594C">
        <w:rPr>
          <w:rFonts w:ascii="Times New Roman" w:hAnsi="Times New Roman"/>
          <w:szCs w:val="24"/>
        </w:rPr>
        <w:t xml:space="preserve"> </w:t>
      </w:r>
      <w:r w:rsidR="00C05370">
        <w:rPr>
          <w:rFonts w:ascii="Times New Roman" w:hAnsi="Times New Roman"/>
          <w:szCs w:val="24"/>
        </w:rPr>
        <w:t xml:space="preserve">allow for </w:t>
      </w:r>
      <w:r w:rsidRPr="00CE594C">
        <w:rPr>
          <w:rFonts w:ascii="Times New Roman" w:hAnsi="Times New Roman"/>
          <w:szCs w:val="24"/>
        </w:rPr>
        <w:t>a prudence determination (</w:t>
      </w:r>
      <w:r w:rsidR="0060717A" w:rsidRPr="0060717A">
        <w:rPr>
          <w:rFonts w:ascii="Times New Roman" w:hAnsi="Times New Roman"/>
          <w:szCs w:val="24"/>
        </w:rPr>
        <w:t>or approval of the acquisition of a long-term financial commitment</w:t>
      </w:r>
      <w:r w:rsidRPr="00CE594C">
        <w:rPr>
          <w:rFonts w:ascii="Times New Roman" w:hAnsi="Times New Roman"/>
          <w:szCs w:val="24"/>
        </w:rPr>
        <w:t>) which would provide the elec</w:t>
      </w:r>
      <w:r w:rsidR="001D0023">
        <w:rPr>
          <w:rFonts w:ascii="Times New Roman" w:hAnsi="Times New Roman"/>
          <w:szCs w:val="24"/>
        </w:rPr>
        <w:t>trical company with increased certainty regarding the</w:t>
      </w:r>
      <w:r w:rsidRPr="00500BE6">
        <w:rPr>
          <w:rFonts w:ascii="Times New Roman" w:hAnsi="Times New Roman"/>
          <w:szCs w:val="24"/>
        </w:rPr>
        <w:t xml:space="preserve"> recovery of costs associated with the new long-term financial commitment.  In addition, the Commission could provide </w:t>
      </w:r>
      <w:r w:rsidR="00CE594C">
        <w:rPr>
          <w:rFonts w:ascii="Times New Roman" w:hAnsi="Times New Roman"/>
          <w:szCs w:val="24"/>
        </w:rPr>
        <w:t xml:space="preserve">an indication of prudence associated with </w:t>
      </w:r>
      <w:r w:rsidRPr="00500BE6">
        <w:rPr>
          <w:rFonts w:ascii="Times New Roman" w:hAnsi="Times New Roman"/>
          <w:szCs w:val="24"/>
        </w:rPr>
        <w:t xml:space="preserve">the costs that may be deferred for later recovery.  </w:t>
      </w:r>
    </w:p>
    <w:p w:rsidR="000D2D7F" w:rsidRPr="00500BE6" w:rsidRDefault="000D2D7F" w:rsidP="00622D14">
      <w:pPr>
        <w:pStyle w:val="ListParagraph"/>
        <w:rPr>
          <w:i/>
          <w:sz w:val="24"/>
          <w:szCs w:val="24"/>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Consideration of Costs for Pre-approved Facilities.</w:t>
      </w:r>
      <w:r w:rsidRPr="00500BE6">
        <w:rPr>
          <w:szCs w:val="24"/>
        </w:rPr>
        <w:t xml:space="preserve">  Assuming the Commission pre-approves an acquisition of a site for a renewable resource like a wind site, to what extent would the Commission be limited in its review of the costs at a later time?</w:t>
      </w:r>
      <w:r w:rsidRPr="00500BE6">
        <w:rPr>
          <w:i/>
          <w:szCs w:val="24"/>
        </w:rPr>
        <w:t xml:space="preserve"> </w:t>
      </w:r>
    </w:p>
    <w:p w:rsidR="00F20568" w:rsidRDefault="00F20568"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u w:val="single"/>
        </w:rPr>
      </w:pPr>
    </w:p>
    <w:p w:rsidR="00AF25F0" w:rsidRPr="00B457FB" w:rsidRDefault="00AF25F0"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B457FB">
        <w:rPr>
          <w:szCs w:val="24"/>
          <w:u w:val="single"/>
        </w:rPr>
        <w:t>Response</w:t>
      </w:r>
    </w:p>
    <w:p w:rsidR="00AF25F0" w:rsidRPr="00500BE6" w:rsidRDefault="00AF25F0"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AF25F0" w:rsidRPr="00500BE6" w:rsidRDefault="00AF25F0" w:rsidP="00622D14">
      <w:pPr>
        <w:ind w:firstLine="720"/>
        <w:rPr>
          <w:rFonts w:ascii="Times New Roman" w:hAnsi="Times New Roman"/>
          <w:szCs w:val="24"/>
        </w:rPr>
      </w:pPr>
      <w:r w:rsidRPr="00500BE6">
        <w:rPr>
          <w:rFonts w:ascii="Times New Roman" w:hAnsi="Times New Roman"/>
          <w:szCs w:val="24"/>
        </w:rPr>
        <w:t>PacifiCorp does not believe that pre</w:t>
      </w:r>
      <w:r w:rsidR="00C05370">
        <w:rPr>
          <w:rFonts w:ascii="Times New Roman" w:hAnsi="Times New Roman"/>
          <w:szCs w:val="24"/>
        </w:rPr>
        <w:t>-</w:t>
      </w:r>
      <w:r w:rsidRPr="00500BE6">
        <w:rPr>
          <w:rFonts w:ascii="Times New Roman" w:hAnsi="Times New Roman"/>
          <w:szCs w:val="24"/>
        </w:rPr>
        <w:t xml:space="preserve">approval of a project equates to preapproval of all costs associated with such project.  If the Commission were to pre-approve the acquisition or construction of a facility, the Company would still have an obligation to manage the project and ensure that all costs are incurred in a prudent and responsible manner.  The Commission would retain the authority to review the costs of the completed project when the Company applies for recovery of such costs in a general rate case or other type of proceeding.  However, as discussed in the Company’s response to </w:t>
      </w:r>
      <w:r w:rsidRPr="00500BE6">
        <w:rPr>
          <w:rFonts w:ascii="Times New Roman" w:hAnsi="Times New Roman"/>
          <w:i/>
          <w:szCs w:val="24"/>
        </w:rPr>
        <w:t xml:space="preserve">4) Increased Certainty of Recovery of Costs of Renewables, </w:t>
      </w:r>
      <w:r w:rsidRPr="00500BE6">
        <w:rPr>
          <w:rFonts w:ascii="Times New Roman" w:hAnsi="Times New Roman"/>
          <w:szCs w:val="24"/>
        </w:rPr>
        <w:t xml:space="preserve">the Commission could provide electrical companies with guidance regarding the treatment and recovery of </w:t>
      </w:r>
      <w:r w:rsidR="009C7333">
        <w:rPr>
          <w:rFonts w:ascii="Times New Roman" w:hAnsi="Times New Roman"/>
          <w:szCs w:val="24"/>
        </w:rPr>
        <w:t xml:space="preserve">planned </w:t>
      </w:r>
      <w:r w:rsidRPr="00500BE6">
        <w:rPr>
          <w:rFonts w:ascii="Times New Roman" w:hAnsi="Times New Roman"/>
          <w:szCs w:val="24"/>
        </w:rPr>
        <w:t>costs associated with the project.</w:t>
      </w:r>
    </w:p>
    <w:p w:rsidR="00AF25F0" w:rsidRPr="00500BE6" w:rsidRDefault="00AF25F0"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4"/>
          <w:u w:val="single"/>
        </w:rPr>
      </w:pPr>
      <w:r w:rsidRPr="00500BE6">
        <w:rPr>
          <w:b/>
          <w:szCs w:val="24"/>
          <w:u w:val="single"/>
        </w:rPr>
        <w:t>Early Compliance with RPS</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F464C1"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Statutory Barrier.</w:t>
      </w:r>
      <w:r w:rsidRPr="00500BE6">
        <w:rPr>
          <w:szCs w:val="24"/>
        </w:rPr>
        <w:t xml:space="preserve">  Is the early acquisition of RPS resources limited by the Washington statutory provision (RCW 80.04.250) requiring an asset must be used and useful to earn a return? </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F464C1" w:rsidRPr="00B457FB"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u w:val="single"/>
        </w:rPr>
      </w:pPr>
      <w:r w:rsidRPr="00B457FB">
        <w:rPr>
          <w:szCs w:val="24"/>
          <w:u w:val="single"/>
        </w:rPr>
        <w:t>Response</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b/>
          <w:szCs w:val="24"/>
          <w:u w:val="single"/>
        </w:rPr>
      </w:pPr>
    </w:p>
    <w:p w:rsidR="00F464C1" w:rsidRPr="00500BE6" w:rsidRDefault="00F464C1" w:rsidP="00622D14">
      <w:pPr>
        <w:keepNext/>
        <w:ind w:firstLine="720"/>
        <w:rPr>
          <w:szCs w:val="24"/>
        </w:rPr>
      </w:pPr>
      <w:r w:rsidRPr="00500BE6">
        <w:rPr>
          <w:szCs w:val="24"/>
        </w:rPr>
        <w:t>No.</w:t>
      </w:r>
      <w:r w:rsidR="00F20568">
        <w:rPr>
          <w:szCs w:val="24"/>
        </w:rPr>
        <w:t xml:space="preserve"> </w:t>
      </w:r>
      <w:r w:rsidRPr="00500BE6">
        <w:rPr>
          <w:szCs w:val="24"/>
        </w:rPr>
        <w:t xml:space="preserve"> The acquisition of a renewable resource in advance of a compliance obligation date should not be considered “early” </w:t>
      </w:r>
      <w:r w:rsidR="00622D14">
        <w:rPr>
          <w:szCs w:val="24"/>
        </w:rPr>
        <w:t>because</w:t>
      </w:r>
      <w:r w:rsidRPr="00500BE6">
        <w:rPr>
          <w:szCs w:val="24"/>
        </w:rPr>
        <w:t xml:space="preserve"> compliance obligation dates represent a snapshot in time whereas a utility’s compliance obligation changes over time as load changes.</w:t>
      </w:r>
      <w:r w:rsidR="00F20568">
        <w:rPr>
          <w:szCs w:val="24"/>
        </w:rPr>
        <w:t xml:space="preserve"> </w:t>
      </w:r>
      <w:r w:rsidRPr="00500BE6">
        <w:rPr>
          <w:szCs w:val="24"/>
        </w:rPr>
        <w:t xml:space="preserve"> It is in the best interest of customers when a utility is able to procure renewable resources in advance of compliance dates.</w:t>
      </w:r>
      <w:r w:rsidR="00F20568">
        <w:rPr>
          <w:szCs w:val="24"/>
        </w:rPr>
        <w:t xml:space="preserve"> </w:t>
      </w:r>
      <w:r w:rsidRPr="00500BE6">
        <w:rPr>
          <w:szCs w:val="24"/>
        </w:rPr>
        <w:t xml:space="preserve"> Such action limits customer exposure to a finite market as well as enables the utility to build a portfolio over time. </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Changing Technology.</w:t>
      </w:r>
      <w:r w:rsidRPr="00500BE6">
        <w:rPr>
          <w:szCs w:val="24"/>
        </w:rPr>
        <w:t xml:space="preserve">  Does a company that acquires renewable resources early, run the risk of missing future technological changes that may have the potential to reduce the costs of the new resources if acquired at a later time?</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F464C1" w:rsidRPr="00B457FB"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u w:val="single"/>
        </w:rPr>
      </w:pPr>
      <w:r w:rsidRPr="00B457FB">
        <w:rPr>
          <w:szCs w:val="24"/>
          <w:u w:val="single"/>
        </w:rPr>
        <w:t>Response</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F464C1" w:rsidRDefault="00F464C1" w:rsidP="00622D14">
      <w:pPr>
        <w:ind w:firstLine="720"/>
        <w:rPr>
          <w:szCs w:val="24"/>
        </w:rPr>
      </w:pPr>
      <w:r w:rsidRPr="00500BE6">
        <w:rPr>
          <w:szCs w:val="24"/>
        </w:rPr>
        <w:t xml:space="preserve">No. </w:t>
      </w:r>
      <w:r w:rsidR="00F20568">
        <w:rPr>
          <w:szCs w:val="24"/>
        </w:rPr>
        <w:t xml:space="preserve"> </w:t>
      </w:r>
      <w:r w:rsidRPr="00500BE6">
        <w:rPr>
          <w:szCs w:val="24"/>
        </w:rPr>
        <w:t xml:space="preserve">Due to the laws of macro economics, there is no guarantee that the benefits of </w:t>
      </w:r>
      <w:r w:rsidR="000F430B">
        <w:rPr>
          <w:szCs w:val="24"/>
        </w:rPr>
        <w:t xml:space="preserve">speculative </w:t>
      </w:r>
      <w:r w:rsidRPr="00500BE6">
        <w:rPr>
          <w:szCs w:val="24"/>
        </w:rPr>
        <w:t>future technological changes will not be offset by potential future higher demand (i.e., resulting from renewable portfolio standards in another Western state or states and/or demand due to potential future carbon-related legislation or taxes</w:t>
      </w:r>
      <w:r w:rsidR="000908F9">
        <w:rPr>
          <w:szCs w:val="24"/>
        </w:rPr>
        <w:t>)</w:t>
      </w:r>
      <w:r w:rsidR="000F430B">
        <w:rPr>
          <w:szCs w:val="24"/>
        </w:rPr>
        <w:t>, a rise in major equipment costs or a rise in construction costs</w:t>
      </w:r>
      <w:r w:rsidRPr="00500BE6">
        <w:rPr>
          <w:szCs w:val="24"/>
        </w:rPr>
        <w:t xml:space="preserve">. </w:t>
      </w:r>
      <w:r w:rsidR="00F20568">
        <w:rPr>
          <w:szCs w:val="24"/>
        </w:rPr>
        <w:t xml:space="preserve"> </w:t>
      </w:r>
      <w:r w:rsidRPr="00500BE6">
        <w:rPr>
          <w:szCs w:val="24"/>
        </w:rPr>
        <w:t xml:space="preserve">It is in the best interest of customers to have a utility procure renewable resources in advance of compliance dates.  </w:t>
      </w:r>
    </w:p>
    <w:p w:rsidR="008959D7" w:rsidRDefault="008959D7" w:rsidP="00622D14">
      <w:pPr>
        <w:ind w:firstLine="720"/>
        <w:rPr>
          <w:szCs w:val="24"/>
        </w:rPr>
      </w:pPr>
    </w:p>
    <w:p w:rsidR="008959D7" w:rsidRDefault="008959D7" w:rsidP="00622D14">
      <w:pPr>
        <w:ind w:firstLine="720"/>
        <w:rPr>
          <w:szCs w:val="24"/>
        </w:rPr>
      </w:pPr>
    </w:p>
    <w:p w:rsidR="008959D7" w:rsidRDefault="008959D7" w:rsidP="00A37730">
      <w:pPr>
        <w:rPr>
          <w:szCs w:val="24"/>
        </w:rPr>
      </w:pPr>
    </w:p>
    <w:p w:rsidR="008959D7" w:rsidRPr="00500BE6" w:rsidRDefault="008959D7" w:rsidP="00622D14">
      <w:pPr>
        <w:ind w:firstLine="720"/>
        <w:rPr>
          <w:szCs w:val="24"/>
        </w:rPr>
      </w:pP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F464C1"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External Incentives.</w:t>
      </w:r>
      <w:r w:rsidRPr="00500BE6">
        <w:rPr>
          <w:szCs w:val="24"/>
        </w:rPr>
        <w:t xml:space="preserve">  To what extent should external incentives that are short-term in nature be a factor in Commission approval of acquisition of renewable resources in advance of RPS requirements (e.g., Production Tax Credits, Investment Tax Credits and Treasury Grants)?  Will the subsidized costs attributed to external incentives compensate ratepayers for early recovery in rates?</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F464C1" w:rsidRPr="00B457FB"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B457FB">
        <w:rPr>
          <w:szCs w:val="24"/>
          <w:u w:val="single"/>
        </w:rPr>
        <w:t>Response</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F464C1" w:rsidRPr="00500BE6" w:rsidRDefault="00F464C1" w:rsidP="00622D14">
      <w:pPr>
        <w:ind w:firstLine="720"/>
        <w:rPr>
          <w:szCs w:val="24"/>
        </w:rPr>
      </w:pPr>
      <w:r w:rsidRPr="00500BE6">
        <w:rPr>
          <w:szCs w:val="24"/>
        </w:rPr>
        <w:t>Short-term external incentives should be given due consideration by the Commission in reviewing the prudence of renewable resource acquisitions.</w:t>
      </w:r>
      <w:r w:rsidR="00F20568">
        <w:rPr>
          <w:szCs w:val="24"/>
        </w:rPr>
        <w:t xml:space="preserve"> </w:t>
      </w:r>
      <w:r w:rsidRPr="00500BE6">
        <w:rPr>
          <w:szCs w:val="24"/>
        </w:rPr>
        <w:t xml:space="preserve"> Such short-term incentives can be uncertain in nature. </w:t>
      </w:r>
      <w:r w:rsidR="00F20568">
        <w:rPr>
          <w:szCs w:val="24"/>
        </w:rPr>
        <w:t xml:space="preserve"> </w:t>
      </w:r>
      <w:r w:rsidRPr="00500BE6">
        <w:rPr>
          <w:szCs w:val="24"/>
        </w:rPr>
        <w:t xml:space="preserve">It is in the best interest of customers to have a utility procure renewable resources opportunistically </w:t>
      </w:r>
      <w:r w:rsidR="00943BF8">
        <w:rPr>
          <w:szCs w:val="24"/>
        </w:rPr>
        <w:t xml:space="preserve">because </w:t>
      </w:r>
      <w:r w:rsidRPr="00500BE6">
        <w:rPr>
          <w:szCs w:val="24"/>
        </w:rPr>
        <w:t xml:space="preserve">short-term external incentives </w:t>
      </w:r>
      <w:r w:rsidR="00943BF8">
        <w:rPr>
          <w:szCs w:val="24"/>
        </w:rPr>
        <w:t xml:space="preserve">often </w:t>
      </w:r>
      <w:r w:rsidRPr="00500BE6">
        <w:rPr>
          <w:szCs w:val="24"/>
        </w:rPr>
        <w:t>cannot be guaranteed to continue past a date certain.</w:t>
      </w:r>
      <w:r w:rsidR="00F20568">
        <w:rPr>
          <w:szCs w:val="24"/>
        </w:rPr>
        <w:t xml:space="preserve"> </w:t>
      </w:r>
      <w:r w:rsidRPr="00500BE6">
        <w:rPr>
          <w:szCs w:val="24"/>
        </w:rPr>
        <w:t xml:space="preserve"> Such action by a utility limits the risk to customers of being exposed to a finite market and/or increasing costs in the future.</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Additional Flexibility:</w:t>
      </w:r>
      <w:r w:rsidRPr="00500BE6">
        <w:rPr>
          <w:szCs w:val="24"/>
        </w:rPr>
        <w:t xml:space="preserve"> Does the Commission presently have authority to consider a more “flexible” or “systematic approach” for assessing renewable resources? </w:t>
      </w:r>
      <w:r w:rsidR="00A82484">
        <w:rPr>
          <w:szCs w:val="24"/>
        </w:rPr>
        <w:t xml:space="preserve"> If</w:t>
      </w:r>
      <w:r w:rsidRPr="00500BE6">
        <w:rPr>
          <w:szCs w:val="24"/>
        </w:rPr>
        <w:t xml:space="preserve"> so, what specific mechanism is needed? </w:t>
      </w:r>
    </w:p>
    <w:p w:rsidR="007B0955" w:rsidRPr="00500BE6" w:rsidRDefault="007B095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7B0955" w:rsidRPr="00B457FB" w:rsidRDefault="007B095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u w:val="single"/>
        </w:rPr>
      </w:pPr>
      <w:r w:rsidRPr="00B457FB">
        <w:rPr>
          <w:szCs w:val="24"/>
          <w:u w:val="single"/>
        </w:rPr>
        <w:t>Response</w:t>
      </w:r>
    </w:p>
    <w:p w:rsidR="007B0955" w:rsidRPr="00500BE6" w:rsidRDefault="007B095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u w:val="single"/>
        </w:rPr>
      </w:pPr>
    </w:p>
    <w:p w:rsidR="007B0955" w:rsidRPr="00500BE6" w:rsidRDefault="00622D14"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Pr>
          <w:szCs w:val="24"/>
        </w:rPr>
        <w:tab/>
      </w:r>
      <w:r w:rsidR="007B0955" w:rsidRPr="00500BE6">
        <w:rPr>
          <w:szCs w:val="24"/>
        </w:rPr>
        <w:t>Please see the Company’s response to Question 2.</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4"/>
          <w:u w:val="single"/>
        </w:rPr>
      </w:pPr>
      <w:r w:rsidRPr="00500BE6">
        <w:rPr>
          <w:b/>
          <w:szCs w:val="24"/>
          <w:u w:val="single"/>
        </w:rPr>
        <w:t>Renewable Energy Credits (RECs)</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4"/>
          <w:u w:val="single"/>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 xml:space="preserve">Do Rules Conflict with Statute?  </w:t>
      </w:r>
      <w:r w:rsidRPr="00500BE6">
        <w:rPr>
          <w:szCs w:val="24"/>
        </w:rPr>
        <w:t>Does WAC 480-109-020 (1) (2) conflict with provisions in RCW 19.285.040(2)(e)?  Discuss barriers to a company’s use of RECs caused by the statutory timing of their creation?</w:t>
      </w:r>
    </w:p>
    <w:p w:rsidR="000D2D7F" w:rsidRPr="00500BE6" w:rsidRDefault="000D2D7F" w:rsidP="00622D14">
      <w:pPr>
        <w:pStyle w:val="ListParagraph"/>
        <w:ind w:left="0"/>
        <w:rPr>
          <w:sz w:val="24"/>
          <w:szCs w:val="24"/>
        </w:rPr>
      </w:pPr>
    </w:p>
    <w:p w:rsidR="00715300" w:rsidRPr="00B457FB" w:rsidRDefault="00715300" w:rsidP="00622D14">
      <w:pPr>
        <w:pStyle w:val="ListParagraph"/>
        <w:ind w:left="0"/>
        <w:rPr>
          <w:rFonts w:ascii="Times New Roman" w:hAnsi="Times New Roman"/>
          <w:sz w:val="24"/>
          <w:szCs w:val="24"/>
          <w:u w:val="single"/>
        </w:rPr>
      </w:pPr>
      <w:r w:rsidRPr="00B457FB">
        <w:rPr>
          <w:rFonts w:ascii="Times New Roman" w:hAnsi="Times New Roman"/>
          <w:sz w:val="24"/>
          <w:szCs w:val="24"/>
          <w:u w:val="single"/>
        </w:rPr>
        <w:t>Response</w:t>
      </w:r>
    </w:p>
    <w:p w:rsidR="00715300" w:rsidRPr="00500BE6" w:rsidRDefault="00715300" w:rsidP="00622D14">
      <w:pPr>
        <w:pStyle w:val="ListParagraph"/>
        <w:ind w:left="0"/>
        <w:rPr>
          <w:rFonts w:ascii="Times New Roman" w:hAnsi="Times New Roman"/>
          <w:b/>
          <w:sz w:val="24"/>
          <w:szCs w:val="24"/>
          <w:u w:val="single"/>
        </w:rPr>
      </w:pPr>
    </w:p>
    <w:p w:rsidR="00715300" w:rsidRPr="00E43AD8" w:rsidRDefault="00715300" w:rsidP="00622D14">
      <w:pPr>
        <w:ind w:firstLine="720"/>
        <w:rPr>
          <w:rFonts w:ascii="Times New Roman" w:hAnsi="Times New Roman"/>
          <w:i/>
          <w:szCs w:val="24"/>
        </w:rPr>
      </w:pPr>
      <w:r w:rsidRPr="00500BE6">
        <w:rPr>
          <w:rFonts w:ascii="Times New Roman" w:hAnsi="Times New Roman"/>
          <w:szCs w:val="24"/>
        </w:rPr>
        <w:t>Yes, WAC 480-109-020 (2) conflicts with provisions in RCW 19.285.040 (2)(e).  The RCW provision states the following:</w:t>
      </w:r>
      <w:r w:rsidR="00E43AD8">
        <w:rPr>
          <w:rFonts w:ascii="Times New Roman" w:hAnsi="Times New Roman"/>
          <w:szCs w:val="24"/>
        </w:rPr>
        <w:t xml:space="preserve"> </w:t>
      </w:r>
      <w:r w:rsidRPr="00500BE6">
        <w:rPr>
          <w:rFonts w:ascii="Times New Roman" w:hAnsi="Times New Roman"/>
          <w:szCs w:val="24"/>
        </w:rPr>
        <w:t xml:space="preserve"> </w:t>
      </w:r>
      <w:r w:rsidR="00E43AD8">
        <w:rPr>
          <w:rFonts w:ascii="Times New Roman" w:hAnsi="Times New Roman"/>
          <w:szCs w:val="24"/>
        </w:rPr>
        <w:t>“</w:t>
      </w:r>
      <w:r w:rsidR="0060717A" w:rsidRPr="0060717A">
        <w:rPr>
          <w:rFonts w:ascii="Times New Roman" w:hAnsi="Times New Roman"/>
          <w:i/>
          <w:szCs w:val="24"/>
        </w:rPr>
        <w:t>The requirements of this section may be met for any given year with renewable energy credits produced during that year, the preceding year, or the subsequent year.”</w:t>
      </w:r>
      <w:r w:rsidR="00E43AD8">
        <w:rPr>
          <w:rFonts w:ascii="Times New Roman" w:hAnsi="Times New Roman"/>
          <w:i/>
          <w:szCs w:val="24"/>
        </w:rPr>
        <w:t xml:space="preserve"> </w:t>
      </w:r>
      <w:r w:rsidRPr="00500BE6">
        <w:rPr>
          <w:rFonts w:ascii="Times New Roman" w:hAnsi="Times New Roman"/>
          <w:szCs w:val="24"/>
        </w:rPr>
        <w:t xml:space="preserve"> The WAC provision states the following:  </w:t>
      </w:r>
      <w:r w:rsidR="0060717A" w:rsidRPr="0060717A">
        <w:rPr>
          <w:rFonts w:ascii="Times New Roman" w:hAnsi="Times New Roman"/>
          <w:i/>
          <w:szCs w:val="24"/>
        </w:rPr>
        <w:t xml:space="preserve">“(2) Renewable energy credits produced during the target year, the preceding year or the subsequent year may be used to comply with this annual renewable resource requirement </w:t>
      </w:r>
      <w:r w:rsidR="0060717A" w:rsidRPr="0060717A">
        <w:rPr>
          <w:rFonts w:ascii="Times New Roman" w:hAnsi="Times New Roman"/>
          <w:i/>
          <w:szCs w:val="24"/>
          <w:u w:val="single"/>
        </w:rPr>
        <w:t>provided that they were acquired by January 1 of the target year</w:t>
      </w:r>
      <w:r w:rsidR="0060717A" w:rsidRPr="0060717A">
        <w:rPr>
          <w:rFonts w:ascii="Times New Roman" w:hAnsi="Times New Roman"/>
          <w:i/>
          <w:szCs w:val="24"/>
        </w:rPr>
        <w:t xml:space="preserve">.”  </w:t>
      </w:r>
    </w:p>
    <w:p w:rsidR="00715300" w:rsidRPr="00500BE6" w:rsidRDefault="00715300" w:rsidP="00622D14">
      <w:pPr>
        <w:rPr>
          <w:rFonts w:ascii="Times New Roman" w:hAnsi="Times New Roman"/>
          <w:szCs w:val="24"/>
        </w:rPr>
      </w:pPr>
    </w:p>
    <w:p w:rsidR="00715300" w:rsidRPr="00500BE6" w:rsidRDefault="00715300" w:rsidP="00622D14">
      <w:pPr>
        <w:ind w:firstLine="720"/>
        <w:rPr>
          <w:rFonts w:ascii="Times New Roman" w:hAnsi="Times New Roman"/>
          <w:szCs w:val="24"/>
        </w:rPr>
      </w:pPr>
      <w:r w:rsidRPr="00500BE6">
        <w:rPr>
          <w:rFonts w:ascii="Times New Roman" w:hAnsi="Times New Roman"/>
          <w:szCs w:val="24"/>
        </w:rPr>
        <w:t>The January 1 acquisition requirement essentially eliminates the use of generation during the target year and subsequent year for RPS compliance.  RCW 19.285.040(2)(e) allows utilities a full three-year generation period to meet the RPS requirements.  WAC 480-109-020 (2) should be amended by removing “provided that they were acquired by January 1 of the target year.”  The following graphic illustrates the effect of the contradiction between the statute and the rules.</w:t>
      </w:r>
    </w:p>
    <w:p w:rsidR="00715300" w:rsidRDefault="00715300" w:rsidP="00622D14">
      <w:pPr>
        <w:rPr>
          <w:rFonts w:ascii="Tahoma" w:hAnsi="Tahoma" w:cs="Tahoma"/>
          <w:szCs w:val="24"/>
        </w:rPr>
      </w:pPr>
    </w:p>
    <w:p w:rsidR="00AF2A75" w:rsidRPr="00500BE6" w:rsidRDefault="00F20568" w:rsidP="00622D14">
      <w:pPr>
        <w:rPr>
          <w:rFonts w:ascii="Tahoma" w:hAnsi="Tahoma" w:cs="Tahoma"/>
          <w:szCs w:val="24"/>
        </w:rPr>
      </w:pPr>
      <w:r>
        <w:rPr>
          <w:rFonts w:ascii="Tahoma" w:hAnsi="Tahoma" w:cs="Tahoma"/>
          <w:noProof/>
          <w:szCs w:val="24"/>
        </w:rPr>
        <w:drawing>
          <wp:inline distT="0" distB="0" distL="0" distR="0">
            <wp:extent cx="5943600" cy="2614162"/>
            <wp:effectExtent l="19050" t="19050" r="19050" b="1473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943600" cy="2614162"/>
                    </a:xfrm>
                    <a:prstGeom prst="rect">
                      <a:avLst/>
                    </a:prstGeom>
                    <a:noFill/>
                    <a:ln w="9525">
                      <a:solidFill>
                        <a:schemeClr val="tx1"/>
                      </a:solidFill>
                      <a:miter lim="800000"/>
                      <a:headEnd/>
                      <a:tailEnd/>
                    </a:ln>
                  </pic:spPr>
                </pic:pic>
              </a:graphicData>
            </a:graphic>
          </wp:inline>
        </w:drawing>
      </w:r>
    </w:p>
    <w:p w:rsidR="00715300" w:rsidRPr="00500BE6" w:rsidRDefault="00715300" w:rsidP="00622D14">
      <w:pPr>
        <w:rPr>
          <w:rFonts w:ascii="Tahoma" w:hAnsi="Tahoma" w:cs="Tahoma"/>
          <w:szCs w:val="24"/>
        </w:rPr>
      </w:pPr>
    </w:p>
    <w:p w:rsidR="00715300" w:rsidRPr="00500BE6" w:rsidRDefault="00715300" w:rsidP="00622D14">
      <w:pPr>
        <w:pStyle w:val="ListParagraph"/>
        <w:ind w:left="0"/>
        <w:rPr>
          <w:sz w:val="24"/>
          <w:szCs w:val="24"/>
        </w:rPr>
      </w:pPr>
    </w:p>
    <w:p w:rsidR="00C8720E"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 xml:space="preserve">WREGIS Agent.  </w:t>
      </w:r>
      <w:r w:rsidRPr="00500BE6">
        <w:rPr>
          <w:szCs w:val="24"/>
        </w:rPr>
        <w:t xml:space="preserve">What agency should be responsible for oversight of registration of renewable resources and confirmation of eligibility in Western Renewable Energy Generation Information System?  Discuss the duties and responsibilities of a WREGIS Agent. </w:t>
      </w: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C8720E" w:rsidRPr="00B457FB"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B457FB">
        <w:rPr>
          <w:szCs w:val="24"/>
          <w:u w:val="single"/>
        </w:rPr>
        <w:t>Response</w:t>
      </w: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500BE6">
        <w:rPr>
          <w:szCs w:val="24"/>
        </w:rPr>
        <w:t>PacifiCorp recommends that the Commission assign a member of the Commission staff as the “WREGIS Agent”.</w:t>
      </w: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C8720E"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500BE6">
        <w:rPr>
          <w:szCs w:val="24"/>
        </w:rPr>
        <w:t xml:space="preserve">The duties of the Washington WREGIS Agent </w:t>
      </w:r>
      <w:r w:rsidR="00F22771">
        <w:rPr>
          <w:szCs w:val="24"/>
        </w:rPr>
        <w:t xml:space="preserve">are not burdensome and </w:t>
      </w:r>
      <w:r w:rsidRPr="00500BE6">
        <w:rPr>
          <w:szCs w:val="24"/>
        </w:rPr>
        <w:t>would include the following</w:t>
      </w:r>
      <w:r w:rsidR="00F22771">
        <w:rPr>
          <w:szCs w:val="24"/>
        </w:rPr>
        <w:t xml:space="preserve"> critical activities</w:t>
      </w:r>
      <w:r w:rsidRPr="00500BE6">
        <w:rPr>
          <w:szCs w:val="24"/>
        </w:rPr>
        <w:t>:</w:t>
      </w:r>
    </w:p>
    <w:p w:rsidR="008959D7" w:rsidRPr="00500BE6" w:rsidRDefault="008959D7"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C8720E" w:rsidRPr="00500BE6" w:rsidRDefault="00C8720E" w:rsidP="00622D14">
      <w:pPr>
        <w:pStyle w:val="BodyText2"/>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500BE6">
        <w:rPr>
          <w:szCs w:val="24"/>
        </w:rPr>
        <w:t>Register in WREGIS as a “State Program Administrator” and set</w:t>
      </w:r>
      <w:r w:rsidR="009A0F33">
        <w:rPr>
          <w:szCs w:val="24"/>
        </w:rPr>
        <w:t xml:space="preserve"> </w:t>
      </w:r>
      <w:r w:rsidRPr="00500BE6">
        <w:rPr>
          <w:szCs w:val="24"/>
        </w:rPr>
        <w:t>up a state</w:t>
      </w:r>
      <w:r w:rsidR="009A0F33">
        <w:rPr>
          <w:szCs w:val="24"/>
        </w:rPr>
        <w:t>-</w:t>
      </w:r>
      <w:r w:rsidRPr="00500BE6">
        <w:rPr>
          <w:szCs w:val="24"/>
        </w:rPr>
        <w:t>specific Washington RPS program in WREGIS.</w:t>
      </w:r>
      <w:r w:rsidR="00F20568">
        <w:rPr>
          <w:szCs w:val="24"/>
        </w:rPr>
        <w:t xml:space="preserve"> </w:t>
      </w:r>
      <w:r w:rsidRPr="00500BE6">
        <w:rPr>
          <w:szCs w:val="24"/>
        </w:rPr>
        <w:t xml:space="preserve"> This will allow generators to register facilities with WREGIS and submit the facility as eligible for the Washington RPS program.</w:t>
      </w:r>
    </w:p>
    <w:p w:rsidR="00C8720E" w:rsidRPr="00500BE6" w:rsidRDefault="00C8720E" w:rsidP="00622D14">
      <w:pPr>
        <w:pStyle w:val="BodyText2"/>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500BE6">
        <w:rPr>
          <w:szCs w:val="24"/>
        </w:rPr>
        <w:t xml:space="preserve">Define Washington eligibility </w:t>
      </w:r>
      <w:r w:rsidR="002340B5">
        <w:rPr>
          <w:szCs w:val="24"/>
        </w:rPr>
        <w:t xml:space="preserve">requirements </w:t>
      </w:r>
      <w:r w:rsidRPr="00500BE6">
        <w:rPr>
          <w:szCs w:val="24"/>
        </w:rPr>
        <w:t>and communicate the</w:t>
      </w:r>
      <w:r w:rsidR="002340B5">
        <w:rPr>
          <w:szCs w:val="24"/>
        </w:rPr>
        <w:t>m</w:t>
      </w:r>
      <w:r w:rsidRPr="00500BE6">
        <w:rPr>
          <w:szCs w:val="24"/>
        </w:rPr>
        <w:t xml:space="preserve"> to utilities or generators so facilities can be registered with WREGIS for the Washington RPS program.</w:t>
      </w:r>
    </w:p>
    <w:p w:rsidR="00C8720E" w:rsidRPr="00500BE6" w:rsidRDefault="00C8720E" w:rsidP="00622D14">
      <w:pPr>
        <w:pStyle w:val="BodyText2"/>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500BE6">
        <w:rPr>
          <w:szCs w:val="24"/>
        </w:rPr>
        <w:t xml:space="preserve">Review, verify and approve facilities as eligible or not eligible with the Washington RPS program under </w:t>
      </w:r>
      <w:r w:rsidR="009A0F33">
        <w:rPr>
          <w:szCs w:val="24"/>
        </w:rPr>
        <w:t>RCW 19.285.040(2) and WAC 480-109-020.</w:t>
      </w:r>
      <w:r w:rsidRPr="00500BE6">
        <w:rPr>
          <w:szCs w:val="24"/>
        </w:rPr>
        <w:t xml:space="preserve"> </w:t>
      </w:r>
    </w:p>
    <w:p w:rsidR="00C8720E" w:rsidRPr="00500BE6" w:rsidRDefault="00C8720E" w:rsidP="00622D14">
      <w:pPr>
        <w:pStyle w:val="BodyText2"/>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500BE6">
        <w:rPr>
          <w:szCs w:val="24"/>
        </w:rPr>
        <w:t xml:space="preserve">As needed, monitor and utilize WREGIS to track compliance with the Washington RPS program requirements. </w:t>
      </w:r>
    </w:p>
    <w:p w:rsidR="008959D7" w:rsidRDefault="00C8720E" w:rsidP="00622D14">
      <w:pPr>
        <w:pStyle w:val="BodyText2"/>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4D4ADF">
        <w:rPr>
          <w:szCs w:val="24"/>
        </w:rPr>
        <w:t>Recommend modifications and improvements to WREGIS as necessary to support the Washington RPS program and participate in any WREGIS meetings as appropriate.</w:t>
      </w:r>
    </w:p>
    <w:p w:rsidR="000D2D7F" w:rsidRPr="004D4ADF" w:rsidRDefault="000D2D7F" w:rsidP="008959D7">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REC Banking.</w:t>
      </w:r>
      <w:r w:rsidRPr="00500BE6">
        <w:rPr>
          <w:szCs w:val="24"/>
        </w:rPr>
        <w:t xml:space="preserve">  Does the current limited REC banking requirement impede renewable acquisition?  How would unlimited banking of RECs remove barriers to the acquisition of RPS resources?</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0D2D7F" w:rsidRPr="00B457FB"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B457FB">
        <w:rPr>
          <w:szCs w:val="24"/>
          <w:u w:val="single"/>
        </w:rPr>
        <w:t>Response</w:t>
      </w: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C8720E" w:rsidRPr="00500BE6" w:rsidRDefault="00622D14"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Pr>
          <w:szCs w:val="24"/>
        </w:rPr>
        <w:tab/>
      </w:r>
      <w:r w:rsidR="00C8720E" w:rsidRPr="00500BE6">
        <w:rPr>
          <w:szCs w:val="24"/>
        </w:rPr>
        <w:t xml:space="preserve">Yes, the current requirement impedes renewable acquisition by creating an artificial “expiration date”.  Utilities may only utilize </w:t>
      </w:r>
      <w:r>
        <w:rPr>
          <w:szCs w:val="24"/>
        </w:rPr>
        <w:t>RECs</w:t>
      </w:r>
      <w:r w:rsidR="00C8720E" w:rsidRPr="00500BE6">
        <w:rPr>
          <w:szCs w:val="24"/>
        </w:rPr>
        <w:t xml:space="preserve"> for the Washington RPS program </w:t>
      </w:r>
      <w:r w:rsidR="002B3936">
        <w:rPr>
          <w:szCs w:val="24"/>
        </w:rPr>
        <w:t>where they</w:t>
      </w:r>
      <w:r w:rsidR="00C8720E" w:rsidRPr="00500BE6">
        <w:rPr>
          <w:szCs w:val="24"/>
        </w:rPr>
        <w:t xml:space="preserve"> are associated with renewable energy generation from the prior year, target year or subsequent year.  This requirement limits renewable acquisition by </w:t>
      </w:r>
      <w:r w:rsidR="002B3936">
        <w:rPr>
          <w:szCs w:val="24"/>
        </w:rPr>
        <w:t xml:space="preserve">arbitrarily </w:t>
      </w:r>
      <w:r w:rsidR="00C8720E" w:rsidRPr="00500BE6">
        <w:rPr>
          <w:szCs w:val="24"/>
        </w:rPr>
        <w:t xml:space="preserve">slowing the pace of utility investment in renewable energy to align with annual RPS mandates, rather than allowing utilities to invest early and maximize </w:t>
      </w:r>
      <w:r w:rsidR="002B3936">
        <w:rPr>
          <w:szCs w:val="24"/>
        </w:rPr>
        <w:t xml:space="preserve">benefit </w:t>
      </w:r>
      <w:r w:rsidR="00C8720E" w:rsidRPr="00500BE6">
        <w:rPr>
          <w:szCs w:val="24"/>
        </w:rPr>
        <w:t xml:space="preserve">for customers.  Considering that utilities procure </w:t>
      </w:r>
      <w:r w:rsidR="002B3936">
        <w:rPr>
          <w:szCs w:val="24"/>
        </w:rPr>
        <w:t>renewable resources</w:t>
      </w:r>
      <w:r w:rsidR="00C8720E" w:rsidRPr="00500BE6">
        <w:rPr>
          <w:szCs w:val="24"/>
        </w:rPr>
        <w:t xml:space="preserve">, a utility that </w:t>
      </w:r>
      <w:r w:rsidR="002B3936">
        <w:rPr>
          <w:szCs w:val="24"/>
        </w:rPr>
        <w:t xml:space="preserve">commits to </w:t>
      </w:r>
      <w:r w:rsidR="00C8720E" w:rsidRPr="00500BE6">
        <w:rPr>
          <w:szCs w:val="24"/>
        </w:rPr>
        <w:t xml:space="preserve">a wind farm may generate more than </w:t>
      </w:r>
      <w:r>
        <w:rPr>
          <w:szCs w:val="24"/>
        </w:rPr>
        <w:t>its</w:t>
      </w:r>
      <w:r w:rsidR="00C8720E" w:rsidRPr="00500BE6">
        <w:rPr>
          <w:szCs w:val="24"/>
        </w:rPr>
        <w:t xml:space="preserve"> RPS mandate.  </w:t>
      </w:r>
      <w:r>
        <w:rPr>
          <w:szCs w:val="24"/>
        </w:rPr>
        <w:t>Additionally, w</w:t>
      </w:r>
      <w:r w:rsidR="00C8720E" w:rsidRPr="00500BE6">
        <w:rPr>
          <w:szCs w:val="24"/>
        </w:rPr>
        <w:t>ithout REC banking, when a utility’s renewable generation output in a given year exceeds its RPS mandate</w:t>
      </w:r>
      <w:r w:rsidR="00492850">
        <w:rPr>
          <w:szCs w:val="24"/>
        </w:rPr>
        <w:t>,</w:t>
      </w:r>
      <w:r w:rsidR="00C8720E" w:rsidRPr="00500BE6">
        <w:rPr>
          <w:szCs w:val="24"/>
        </w:rPr>
        <w:t xml:space="preserve"> customers lose out on the full benefits of the renewable energy.</w:t>
      </w: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C8720E" w:rsidRPr="00500BE6" w:rsidRDefault="00622D14"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Pr>
          <w:szCs w:val="24"/>
        </w:rPr>
        <w:tab/>
      </w:r>
      <w:r w:rsidR="00C8720E" w:rsidRPr="00500BE6">
        <w:rPr>
          <w:szCs w:val="24"/>
        </w:rPr>
        <w:t xml:space="preserve">Unlimited REC banking is in the customers’ best interest.  REC banking </w:t>
      </w:r>
      <w:r w:rsidR="002B3936">
        <w:rPr>
          <w:szCs w:val="24"/>
        </w:rPr>
        <w:t xml:space="preserve">aligns the long-term commitment associated with electric generation and </w:t>
      </w:r>
      <w:r w:rsidR="00C8720E" w:rsidRPr="00500BE6">
        <w:rPr>
          <w:szCs w:val="24"/>
        </w:rPr>
        <w:t xml:space="preserve">allows utilities to save renewable energy credits that were not used for compliance in a target year </w:t>
      </w:r>
      <w:r w:rsidR="0079136A" w:rsidRPr="00500BE6">
        <w:rPr>
          <w:szCs w:val="24"/>
        </w:rPr>
        <w:t>for future</w:t>
      </w:r>
      <w:r w:rsidR="00C8720E" w:rsidRPr="00500BE6">
        <w:rPr>
          <w:szCs w:val="24"/>
        </w:rPr>
        <w:t xml:space="preserve"> year compliance.  Unlimited banking of renewable energy credits would allow more flexibility for compliance, reduce market exposures and would be a cost-effective mechanism </w:t>
      </w:r>
      <w:r w:rsidR="002B3936">
        <w:rPr>
          <w:szCs w:val="24"/>
        </w:rPr>
        <w:t xml:space="preserve">for customers in meeting </w:t>
      </w:r>
      <w:r w:rsidR="00C8720E" w:rsidRPr="00500BE6">
        <w:rPr>
          <w:szCs w:val="24"/>
        </w:rPr>
        <w:t>RPS requirements.</w:t>
      </w: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0D2D7F"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500BE6">
        <w:rPr>
          <w:b/>
          <w:szCs w:val="24"/>
          <w:u w:val="single"/>
        </w:rPr>
        <w:t>Incentives</w:t>
      </w: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60717A" w:rsidRDefault="000D2D7F" w:rsidP="0060717A">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u w:val="single"/>
        </w:rPr>
      </w:pPr>
      <w:r w:rsidRPr="00500BE6">
        <w:rPr>
          <w:i/>
          <w:szCs w:val="24"/>
        </w:rPr>
        <w:t xml:space="preserve">Incentives.  </w:t>
      </w:r>
      <w:r w:rsidRPr="00500BE6">
        <w:rPr>
          <w:szCs w:val="24"/>
        </w:rPr>
        <w:t>Should the Commission provide incentives, financial or otherwise, for utilities that exceed their RPS targets or meet them early?  If financial incentives were provided, what incentive design would be appropriate and would the incentives be subject to any constraints?  What would be examples of non-financial incentives</w:t>
      </w:r>
    </w:p>
    <w:p w:rsidR="005E4A45" w:rsidRDefault="005E4A4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u w:val="single"/>
        </w:rPr>
      </w:pPr>
    </w:p>
    <w:p w:rsidR="00F464C1" w:rsidRPr="00B457FB"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B457FB">
        <w:rPr>
          <w:szCs w:val="24"/>
          <w:u w:val="single"/>
        </w:rPr>
        <w:t>Response</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0D2D7F" w:rsidRPr="00500BE6" w:rsidRDefault="00F464C1" w:rsidP="00622D14">
      <w:pPr>
        <w:ind w:firstLine="720"/>
        <w:rPr>
          <w:szCs w:val="24"/>
        </w:rPr>
      </w:pPr>
      <w:r w:rsidRPr="00500BE6">
        <w:rPr>
          <w:szCs w:val="24"/>
        </w:rPr>
        <w:t xml:space="preserve">It is not necessary for the Commission to provide incentives, financial or otherwise, for utilities to exceed their RPS targets or meet them early unless there is a stated policy objective. In the contrary, for example, if it were a policy objective that a percentage of renewable resources in a utility’s portfolio be from a certain resource type (e.g. solar or wave) then the Commission may consider a higher </w:t>
      </w:r>
      <w:r w:rsidR="00C05370">
        <w:rPr>
          <w:szCs w:val="24"/>
        </w:rPr>
        <w:t xml:space="preserve">return on </w:t>
      </w:r>
      <w:r w:rsidRPr="00500BE6">
        <w:rPr>
          <w:szCs w:val="24"/>
        </w:rPr>
        <w:t>equity where such resource types are owned by a utility or an added cost recovery factor where such resource types are owned by third parties and under contract to a Commission regulated utility.</w:t>
      </w:r>
      <w:r w:rsidR="000D2D7F" w:rsidRPr="00500BE6">
        <w:rPr>
          <w:szCs w:val="24"/>
        </w:rPr>
        <w:br/>
      </w:r>
    </w:p>
    <w:p w:rsidR="00F464C1"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 xml:space="preserve">Impact on Ratepayers.  </w:t>
      </w:r>
      <w:r w:rsidRPr="00500BE6">
        <w:rPr>
          <w:szCs w:val="24"/>
        </w:rPr>
        <w:t>What would be the impact on ratepayers of providing incentives to utilities to exceed their RPS targets or meet them early?</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F464C1" w:rsidRPr="00B457FB"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B457FB">
        <w:rPr>
          <w:szCs w:val="24"/>
          <w:u w:val="single"/>
        </w:rPr>
        <w:t>Response</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F464C1" w:rsidRPr="00500BE6" w:rsidRDefault="00F464C1" w:rsidP="005E4A45">
      <w:pPr>
        <w:ind w:firstLine="720"/>
        <w:rPr>
          <w:szCs w:val="24"/>
        </w:rPr>
      </w:pPr>
      <w:r w:rsidRPr="00500BE6">
        <w:rPr>
          <w:szCs w:val="24"/>
        </w:rPr>
        <w:t xml:space="preserve">It is in the best interest of customers to have a utility procure renewable resources </w:t>
      </w:r>
      <w:r w:rsidR="00B93A31">
        <w:rPr>
          <w:szCs w:val="24"/>
        </w:rPr>
        <w:t xml:space="preserve">opportunistically </w:t>
      </w:r>
      <w:r w:rsidRPr="00500BE6">
        <w:rPr>
          <w:szCs w:val="24"/>
        </w:rPr>
        <w:t xml:space="preserve">and in advance of compliance dates. Such action limits customer exposure to a finite market as well as enables the utility to build a portfolio over time.  The impact to customers is a reduction in risk and the crediting of revenues associated with any off-system power </w:t>
      </w:r>
      <w:r w:rsidR="00B93A31">
        <w:rPr>
          <w:szCs w:val="24"/>
        </w:rPr>
        <w:t xml:space="preserve">sales </w:t>
      </w:r>
      <w:r w:rsidRPr="00500BE6">
        <w:rPr>
          <w:szCs w:val="24"/>
        </w:rPr>
        <w:t>and/or renewable energy credit sales when not needed for compliance purposes.</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500BE6">
        <w:rPr>
          <w:szCs w:val="24"/>
        </w:rPr>
        <w:br/>
      </w:r>
    </w:p>
    <w:p w:rsidR="000D2D7F"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 xml:space="preserve">Consideration of Externalities. </w:t>
      </w:r>
      <w:r w:rsidRPr="00500BE6">
        <w:rPr>
          <w:szCs w:val="24"/>
        </w:rPr>
        <w:t>To what extent may, or should, the Commission require a utility to consider “positive externalities” in resource acquisition, s</w:t>
      </w:r>
      <w:r w:rsidR="00622CE5">
        <w:rPr>
          <w:szCs w:val="24"/>
        </w:rPr>
        <w:t>uch as impact on local economy?</w:t>
      </w:r>
    </w:p>
    <w:p w:rsidR="00622CE5" w:rsidRDefault="00622CE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622CE5" w:rsidRPr="00622CE5" w:rsidRDefault="00622CE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Pr>
          <w:szCs w:val="24"/>
          <w:u w:val="single"/>
        </w:rPr>
        <w:t>Response</w:t>
      </w:r>
    </w:p>
    <w:p w:rsidR="000D2D7F"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03716C" w:rsidRDefault="005E4A4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Pr>
          <w:szCs w:val="24"/>
        </w:rPr>
        <w:tab/>
      </w:r>
      <w:r w:rsidR="0003716C">
        <w:rPr>
          <w:szCs w:val="24"/>
        </w:rPr>
        <w:t>Consideration of externalities, such as the impact on the local economy, should not be a factor when consi</w:t>
      </w:r>
      <w:r w:rsidR="00A37730">
        <w:rPr>
          <w:szCs w:val="24"/>
        </w:rPr>
        <w:t xml:space="preserve">dering resource acquisitions.  </w:t>
      </w:r>
      <w:r w:rsidR="0003716C">
        <w:rPr>
          <w:szCs w:val="24"/>
        </w:rPr>
        <w:t>As a multi-state utility</w:t>
      </w:r>
      <w:r>
        <w:rPr>
          <w:szCs w:val="24"/>
        </w:rPr>
        <w:t>,</w:t>
      </w:r>
      <w:r w:rsidR="0003716C">
        <w:rPr>
          <w:szCs w:val="24"/>
        </w:rPr>
        <w:t xml:space="preserve"> PacifiCorp acquires resources based on an integrated resource planning process through which the Company determines the best resource acquisitions for the system and PacifiCorp’s customers.</w:t>
      </w:r>
    </w:p>
    <w:p w:rsidR="0003716C" w:rsidRPr="00500BE6" w:rsidRDefault="0003716C"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 xml:space="preserve">Hydroelectric Generation.  </w:t>
      </w:r>
      <w:r w:rsidRPr="00500BE6">
        <w:rPr>
          <w:szCs w:val="24"/>
        </w:rPr>
        <w:t xml:space="preserve">How does the restrictive treatment of hydroelectric generation limit clean and low-cost renewable energy options to ratepayers?  Does the restriction give companies a sufficient incentive to finance efficiency improvements in older hydroelectric projects? </w:t>
      </w:r>
    </w:p>
    <w:p w:rsidR="00C8720E" w:rsidRPr="00500BE6" w:rsidRDefault="00C8720E" w:rsidP="00622D14">
      <w:pPr>
        <w:pStyle w:val="ListParagraph"/>
        <w:rPr>
          <w:sz w:val="24"/>
          <w:szCs w:val="24"/>
        </w:rPr>
      </w:pPr>
    </w:p>
    <w:p w:rsidR="00C8720E" w:rsidRPr="00B457FB"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B457FB">
        <w:rPr>
          <w:szCs w:val="24"/>
          <w:u w:val="single"/>
        </w:rPr>
        <w:t>Response</w:t>
      </w: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C8720E" w:rsidRPr="00500BE6" w:rsidRDefault="005E4A4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Pr>
          <w:szCs w:val="24"/>
        </w:rPr>
        <w:tab/>
      </w:r>
      <w:r w:rsidR="00C8720E" w:rsidRPr="00500BE6">
        <w:rPr>
          <w:szCs w:val="24"/>
        </w:rPr>
        <w:t>The current restriction to limit the eligibility to incremental hydroelectric generation upgrades for older hydroelectric generation facilities is not an incentive to invest in facility upgrades</w:t>
      </w:r>
      <w:r w:rsidR="00492850">
        <w:rPr>
          <w:szCs w:val="24"/>
        </w:rPr>
        <w:t xml:space="preserve">.  </w:t>
      </w:r>
      <w:r w:rsidR="00C8720E" w:rsidRPr="00500BE6">
        <w:rPr>
          <w:szCs w:val="24"/>
        </w:rPr>
        <w:t xml:space="preserve"> </w:t>
      </w:r>
      <w:r w:rsidR="00492850">
        <w:rPr>
          <w:szCs w:val="24"/>
        </w:rPr>
        <w:t>T</w:t>
      </w:r>
      <w:r w:rsidR="00C8720E" w:rsidRPr="00500BE6">
        <w:rPr>
          <w:szCs w:val="24"/>
        </w:rPr>
        <w:t>he company performs upgrades on its hydro-electric facilities if cost-effective</w:t>
      </w:r>
      <w:r w:rsidR="0079136A" w:rsidRPr="00500BE6">
        <w:rPr>
          <w:szCs w:val="24"/>
        </w:rPr>
        <w:t>.</w:t>
      </w:r>
      <w:r w:rsidR="00C8720E" w:rsidRPr="00500BE6">
        <w:rPr>
          <w:szCs w:val="24"/>
        </w:rPr>
        <w:t xml:space="preserve"> </w:t>
      </w:r>
    </w:p>
    <w:p w:rsidR="00C8720E" w:rsidRPr="00500BE6" w:rsidRDefault="00C8720E"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C8720E" w:rsidRPr="00500BE6" w:rsidRDefault="005E4A4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Pr>
          <w:szCs w:val="24"/>
        </w:rPr>
        <w:tab/>
      </w:r>
      <w:r w:rsidR="00C8720E" w:rsidRPr="00500BE6">
        <w:rPr>
          <w:szCs w:val="24"/>
        </w:rPr>
        <w:t>Hydroelectric generation is a clean and low-cost renewable energy resource and has been accepted as an eligible renewable resource to meet compliance in states, such as Oregon and California.</w:t>
      </w:r>
      <w:r w:rsidR="000A234D">
        <w:rPr>
          <w:szCs w:val="24"/>
        </w:rPr>
        <w:t xml:space="preserve"> </w:t>
      </w:r>
      <w:r w:rsidR="00C8720E" w:rsidRPr="00500BE6">
        <w:rPr>
          <w:szCs w:val="24"/>
        </w:rPr>
        <w:t xml:space="preserve"> For example, PacifiCorp recommends that the Commission consider </w:t>
      </w:r>
      <w:r w:rsidR="00C05370">
        <w:rPr>
          <w:szCs w:val="24"/>
        </w:rPr>
        <w:t xml:space="preserve">supporting </w:t>
      </w:r>
      <w:r w:rsidR="000A0A52">
        <w:rPr>
          <w:szCs w:val="24"/>
        </w:rPr>
        <w:t>expan</w:t>
      </w:r>
      <w:r w:rsidR="00C05370">
        <w:rPr>
          <w:szCs w:val="24"/>
        </w:rPr>
        <w:t xml:space="preserve">sion of </w:t>
      </w:r>
      <w:r w:rsidR="00C8720E" w:rsidRPr="00500BE6">
        <w:rPr>
          <w:szCs w:val="24"/>
        </w:rPr>
        <w:t xml:space="preserve">the definition of eligible renewable resources to include other types of hydroelectric generation.  The </w:t>
      </w:r>
      <w:r>
        <w:rPr>
          <w:szCs w:val="24"/>
        </w:rPr>
        <w:t>C</w:t>
      </w:r>
      <w:r w:rsidR="00C8720E" w:rsidRPr="00500BE6">
        <w:rPr>
          <w:szCs w:val="24"/>
        </w:rPr>
        <w:t xml:space="preserve">ompany </w:t>
      </w:r>
      <w:r>
        <w:rPr>
          <w:szCs w:val="24"/>
        </w:rPr>
        <w:t>suggests</w:t>
      </w:r>
      <w:r w:rsidR="00C8720E" w:rsidRPr="00500BE6">
        <w:rPr>
          <w:szCs w:val="24"/>
        </w:rPr>
        <w:t xml:space="preserve"> including facilities such as those that are certified as a low-impact hydroelectric generation facility that meets stringent requirements.  A low-impact hydroelectric generation facility is thoroughly reviewed to ensure it has taken measures to avoid or reduce its environmental impact in the following areas:  river flows, water quality, fish passage and protection, watershed protection, threatened and endangered species protection, cultural resource protection, recreation, and facilities recommended for removal. </w:t>
      </w:r>
      <w:r w:rsidR="000A234D">
        <w:rPr>
          <w:szCs w:val="24"/>
        </w:rPr>
        <w:t xml:space="preserve"> </w:t>
      </w:r>
      <w:r w:rsidR="00C8720E" w:rsidRPr="00500BE6">
        <w:rPr>
          <w:szCs w:val="24"/>
        </w:rPr>
        <w:t>These facilities receive certification that they meet the most recent and most stringent operational requirements.</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b/>
          <w:szCs w:val="24"/>
          <w:u w:val="single"/>
        </w:rPr>
      </w:pPr>
    </w:p>
    <w:p w:rsidR="000D2D7F" w:rsidRPr="00500BE6" w:rsidRDefault="000D2D7F" w:rsidP="00622D14">
      <w:pPr>
        <w:pStyle w:val="BodyText2"/>
        <w:rPr>
          <w:b/>
          <w:szCs w:val="24"/>
          <w:u w:val="single"/>
        </w:rPr>
      </w:pPr>
      <w:r w:rsidRPr="00500BE6">
        <w:rPr>
          <w:b/>
          <w:szCs w:val="24"/>
          <w:u w:val="single"/>
        </w:rPr>
        <w:t>Other Issues</w:t>
      </w:r>
    </w:p>
    <w:p w:rsidR="000D2D7F" w:rsidRPr="00500BE6" w:rsidRDefault="000D2D7F"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b/>
          <w:szCs w:val="24"/>
          <w:u w:val="single"/>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 xml:space="preserve">Allowing Expanded Area.  </w:t>
      </w:r>
      <w:r w:rsidRPr="00500BE6">
        <w:rPr>
          <w:szCs w:val="24"/>
        </w:rPr>
        <w:t xml:space="preserve">If the geographical area for qualifying energy was expanded to areas outside the Pacific Northwest, how would the increase in eligible resources available for RPS compliance benefit ratepayers?  To what extent would the expansion of the geographical “footprint” allow for additional delivery flexibility? </w:t>
      </w:r>
    </w:p>
    <w:p w:rsidR="00F464C1" w:rsidRPr="00500BE6" w:rsidRDefault="00F464C1"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i/>
          <w:szCs w:val="24"/>
        </w:rPr>
      </w:pPr>
    </w:p>
    <w:p w:rsidR="00F464C1" w:rsidRPr="00B457FB" w:rsidRDefault="00B457FB"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Pr>
          <w:szCs w:val="24"/>
          <w:u w:val="single"/>
        </w:rPr>
        <w:t>Response</w:t>
      </w:r>
    </w:p>
    <w:p w:rsidR="000D2D7F" w:rsidRDefault="000D2D7F" w:rsidP="00622D14">
      <w:pPr>
        <w:pStyle w:val="ListParagraph"/>
        <w:ind w:left="0" w:hanging="720"/>
        <w:rPr>
          <w:sz w:val="24"/>
          <w:szCs w:val="24"/>
        </w:rPr>
      </w:pPr>
    </w:p>
    <w:p w:rsidR="0003716C" w:rsidRDefault="0003716C" w:rsidP="005E4A45">
      <w:pPr>
        <w:ind w:firstLine="720"/>
        <w:rPr>
          <w:szCs w:val="24"/>
        </w:rPr>
      </w:pPr>
      <w:r>
        <w:rPr>
          <w:rFonts w:ascii="Times New Roman" w:hAnsi="Times New Roman"/>
          <w:szCs w:val="24"/>
        </w:rPr>
        <w:t xml:space="preserve">PacifiCorp’s customers </w:t>
      </w:r>
      <w:r w:rsidR="009147E3">
        <w:rPr>
          <w:rFonts w:ascii="Times New Roman" w:hAnsi="Times New Roman"/>
          <w:szCs w:val="24"/>
        </w:rPr>
        <w:t xml:space="preserve">would </w:t>
      </w:r>
      <w:r>
        <w:rPr>
          <w:rFonts w:ascii="Times New Roman" w:hAnsi="Times New Roman"/>
          <w:szCs w:val="24"/>
        </w:rPr>
        <w:t xml:space="preserve">benefit </w:t>
      </w:r>
      <w:r w:rsidR="009147E3">
        <w:rPr>
          <w:rFonts w:ascii="Times New Roman" w:hAnsi="Times New Roman"/>
          <w:szCs w:val="24"/>
        </w:rPr>
        <w:t>by</w:t>
      </w:r>
      <w:r>
        <w:rPr>
          <w:rFonts w:ascii="Times New Roman" w:hAnsi="Times New Roman"/>
          <w:szCs w:val="24"/>
        </w:rPr>
        <w:t xml:space="preserve"> expanding the geographical area for qualifying energy outside the Pacific Northwest</w:t>
      </w:r>
      <w:r w:rsidR="009147E3">
        <w:rPr>
          <w:rFonts w:ascii="Times New Roman" w:hAnsi="Times New Roman"/>
          <w:szCs w:val="24"/>
        </w:rPr>
        <w:t>.  Not only would this</w:t>
      </w:r>
      <w:r w:rsidR="007A2ABC">
        <w:rPr>
          <w:rFonts w:ascii="Times New Roman" w:hAnsi="Times New Roman"/>
          <w:szCs w:val="24"/>
        </w:rPr>
        <w:t xml:space="preserve"> </w:t>
      </w:r>
      <w:r w:rsidR="005E4A45">
        <w:rPr>
          <w:rFonts w:ascii="Times New Roman" w:hAnsi="Times New Roman"/>
          <w:szCs w:val="24"/>
        </w:rPr>
        <w:t>increase</w:t>
      </w:r>
      <w:r>
        <w:rPr>
          <w:rFonts w:ascii="Times New Roman" w:hAnsi="Times New Roman"/>
          <w:szCs w:val="24"/>
        </w:rPr>
        <w:t xml:space="preserve"> the number of eligible resources available to utilities for RPS compliance </w:t>
      </w:r>
      <w:r w:rsidR="009147E3">
        <w:rPr>
          <w:rFonts w:ascii="Times New Roman" w:hAnsi="Times New Roman"/>
          <w:szCs w:val="24"/>
        </w:rPr>
        <w:t xml:space="preserve">but it would help </w:t>
      </w:r>
      <w:r>
        <w:rPr>
          <w:rFonts w:ascii="Times New Roman" w:hAnsi="Times New Roman"/>
          <w:szCs w:val="24"/>
        </w:rPr>
        <w:t>assur</w:t>
      </w:r>
      <w:r w:rsidR="009147E3">
        <w:rPr>
          <w:rFonts w:ascii="Times New Roman" w:hAnsi="Times New Roman"/>
          <w:szCs w:val="24"/>
        </w:rPr>
        <w:t>e that</w:t>
      </w:r>
      <w:r>
        <w:rPr>
          <w:rFonts w:ascii="Times New Roman" w:hAnsi="Times New Roman"/>
          <w:szCs w:val="24"/>
        </w:rPr>
        <w:t xml:space="preserve"> a broad source of reasonable least-cost alternatives are </w:t>
      </w:r>
      <w:r w:rsidR="00B93A31">
        <w:rPr>
          <w:rFonts w:ascii="Times New Roman" w:hAnsi="Times New Roman"/>
          <w:szCs w:val="24"/>
        </w:rPr>
        <w:t xml:space="preserve">available for consideration </w:t>
      </w:r>
      <w:r w:rsidR="009147E3">
        <w:rPr>
          <w:rFonts w:ascii="Times New Roman" w:hAnsi="Times New Roman"/>
          <w:szCs w:val="24"/>
        </w:rPr>
        <w:t>for RPS compliance</w:t>
      </w:r>
      <w:r>
        <w:rPr>
          <w:rFonts w:ascii="Times New Roman" w:hAnsi="Times New Roman"/>
          <w:szCs w:val="24"/>
        </w:rPr>
        <w:t xml:space="preserve">. It is also important to consider the impact renewable portfolio standards in other states may have on Washington customers.  The State of California is currently </w:t>
      </w:r>
      <w:r w:rsidR="005E4A45">
        <w:rPr>
          <w:rFonts w:ascii="Times New Roman" w:hAnsi="Times New Roman"/>
          <w:szCs w:val="24"/>
        </w:rPr>
        <w:t>reviewing</w:t>
      </w:r>
      <w:r>
        <w:rPr>
          <w:rFonts w:ascii="Times New Roman" w:hAnsi="Times New Roman"/>
          <w:szCs w:val="24"/>
        </w:rPr>
        <w:t xml:space="preserve"> </w:t>
      </w:r>
      <w:r w:rsidR="00B93A31">
        <w:rPr>
          <w:rFonts w:ascii="Times New Roman" w:hAnsi="Times New Roman"/>
          <w:szCs w:val="24"/>
        </w:rPr>
        <w:t xml:space="preserve">key </w:t>
      </w:r>
      <w:r>
        <w:rPr>
          <w:rFonts w:ascii="Times New Roman" w:hAnsi="Times New Roman"/>
          <w:szCs w:val="24"/>
        </w:rPr>
        <w:t>issues related to the State’s renewable portfolio standards, including an increase in the compliance requirement to 33 percent.  This will increase the demand for qualifying renewable resources across the region, potentially driv</w:t>
      </w:r>
      <w:r w:rsidR="009147E3">
        <w:rPr>
          <w:rFonts w:ascii="Times New Roman" w:hAnsi="Times New Roman"/>
          <w:szCs w:val="24"/>
        </w:rPr>
        <w:t>e</w:t>
      </w:r>
      <w:r w:rsidR="007A2ABC">
        <w:rPr>
          <w:rFonts w:ascii="Times New Roman" w:hAnsi="Times New Roman"/>
          <w:szCs w:val="24"/>
        </w:rPr>
        <w:t>-</w:t>
      </w:r>
      <w:r>
        <w:rPr>
          <w:rFonts w:ascii="Times New Roman" w:hAnsi="Times New Roman"/>
          <w:szCs w:val="24"/>
        </w:rPr>
        <w:t xml:space="preserve">up prices for RPS eligible renewable resources and </w:t>
      </w:r>
      <w:r w:rsidR="009147E3">
        <w:rPr>
          <w:rFonts w:ascii="Times New Roman" w:hAnsi="Times New Roman"/>
          <w:szCs w:val="24"/>
        </w:rPr>
        <w:t xml:space="preserve">may even </w:t>
      </w:r>
      <w:r>
        <w:rPr>
          <w:rFonts w:ascii="Times New Roman" w:hAnsi="Times New Roman"/>
          <w:szCs w:val="24"/>
        </w:rPr>
        <w:t>creat</w:t>
      </w:r>
      <w:r w:rsidR="009147E3">
        <w:rPr>
          <w:rFonts w:ascii="Times New Roman" w:hAnsi="Times New Roman"/>
          <w:szCs w:val="24"/>
        </w:rPr>
        <w:t>e</w:t>
      </w:r>
      <w:r>
        <w:rPr>
          <w:rFonts w:ascii="Times New Roman" w:hAnsi="Times New Roman"/>
          <w:szCs w:val="24"/>
        </w:rPr>
        <w:t xml:space="preserve"> a shortage</w:t>
      </w:r>
      <w:r w:rsidR="00B93A31">
        <w:rPr>
          <w:rFonts w:ascii="Times New Roman" w:hAnsi="Times New Roman"/>
          <w:szCs w:val="24"/>
        </w:rPr>
        <w:t xml:space="preserve"> and scarcity pricing associated with </w:t>
      </w:r>
      <w:r>
        <w:rPr>
          <w:rFonts w:ascii="Times New Roman" w:hAnsi="Times New Roman"/>
          <w:szCs w:val="24"/>
        </w:rPr>
        <w:t>RPS eligible resources</w:t>
      </w:r>
      <w:r w:rsidR="00B93A31">
        <w:rPr>
          <w:rFonts w:ascii="Times New Roman" w:hAnsi="Times New Roman"/>
          <w:szCs w:val="24"/>
        </w:rPr>
        <w:t xml:space="preserve">. </w:t>
      </w:r>
      <w:r w:rsidR="000A234D">
        <w:rPr>
          <w:rFonts w:ascii="Times New Roman" w:hAnsi="Times New Roman"/>
          <w:szCs w:val="24"/>
        </w:rPr>
        <w:t xml:space="preserve"> </w:t>
      </w:r>
      <w:r w:rsidR="00B93A31">
        <w:rPr>
          <w:rFonts w:ascii="Times New Roman" w:hAnsi="Times New Roman"/>
          <w:szCs w:val="24"/>
        </w:rPr>
        <w:t>The smaller the geographic footprint a utility has to acquire eligible resources, the more cost risk customers bear</w:t>
      </w:r>
      <w:r>
        <w:rPr>
          <w:rFonts w:ascii="Times New Roman" w:hAnsi="Times New Roman"/>
          <w:szCs w:val="24"/>
        </w:rPr>
        <w:t xml:space="preserve">.  </w:t>
      </w:r>
      <w:r w:rsidR="00B93A31">
        <w:rPr>
          <w:rFonts w:ascii="Times New Roman" w:hAnsi="Times New Roman"/>
          <w:szCs w:val="24"/>
        </w:rPr>
        <w:t xml:space="preserve">Removing geographic </w:t>
      </w:r>
      <w:r w:rsidR="007A2ABC">
        <w:rPr>
          <w:rFonts w:ascii="Times New Roman" w:hAnsi="Times New Roman"/>
          <w:szCs w:val="24"/>
        </w:rPr>
        <w:t xml:space="preserve">barriers to compliance by </w:t>
      </w:r>
      <w:r w:rsidR="00B93A31">
        <w:rPr>
          <w:rFonts w:ascii="Times New Roman" w:hAnsi="Times New Roman"/>
          <w:szCs w:val="24"/>
        </w:rPr>
        <w:t xml:space="preserve">expanding </w:t>
      </w:r>
      <w:r w:rsidR="007A2ABC">
        <w:rPr>
          <w:rFonts w:ascii="Times New Roman" w:hAnsi="Times New Roman"/>
          <w:szCs w:val="24"/>
        </w:rPr>
        <w:t xml:space="preserve">the geographical area for </w:t>
      </w:r>
      <w:r w:rsidR="00B93A31">
        <w:rPr>
          <w:rFonts w:ascii="Times New Roman" w:hAnsi="Times New Roman"/>
          <w:szCs w:val="24"/>
        </w:rPr>
        <w:t xml:space="preserve">eligible resources </w:t>
      </w:r>
      <w:r>
        <w:rPr>
          <w:rFonts w:ascii="Times New Roman" w:hAnsi="Times New Roman"/>
          <w:szCs w:val="24"/>
        </w:rPr>
        <w:t xml:space="preserve">will </w:t>
      </w:r>
      <w:r w:rsidR="00B93A31">
        <w:rPr>
          <w:rFonts w:ascii="Times New Roman" w:hAnsi="Times New Roman"/>
          <w:szCs w:val="24"/>
        </w:rPr>
        <w:t>benefit customers by expanding the alternatives available for consideration and reduce customer risk by reducing the risk that a limited number of suppliers in a limited geographic area could apply scarcity pricing tactics</w:t>
      </w:r>
      <w:r>
        <w:rPr>
          <w:rFonts w:ascii="Times New Roman" w:hAnsi="Times New Roman"/>
          <w:szCs w:val="24"/>
        </w:rPr>
        <w:t xml:space="preserve">.    </w:t>
      </w:r>
    </w:p>
    <w:p w:rsidR="0003716C" w:rsidRPr="00500BE6" w:rsidRDefault="0003716C" w:rsidP="00622D14">
      <w:pPr>
        <w:pStyle w:val="ListParagraph"/>
        <w:ind w:left="0" w:hanging="720"/>
        <w:rPr>
          <w:sz w:val="24"/>
          <w:szCs w:val="24"/>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szCs w:val="24"/>
        </w:rPr>
      </w:pPr>
      <w:r w:rsidRPr="00500BE6">
        <w:rPr>
          <w:i/>
          <w:szCs w:val="24"/>
        </w:rPr>
        <w:t>Decommissioning Requirements.</w:t>
      </w:r>
      <w:r w:rsidRPr="00500BE6">
        <w:rPr>
          <w:szCs w:val="24"/>
        </w:rPr>
        <w:t xml:space="preserve">  Discuss the statutory provisions that recognize the Commission’s primacy over the decommissioning of renewable resources held by a regulated utility.  To what extent are counties providing for facility decommissioning requirements for regulated utilities and can the companies quantify the excess duplicative costs? </w:t>
      </w:r>
    </w:p>
    <w:p w:rsidR="000A0A52" w:rsidRDefault="000A0A52"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u w:val="single"/>
        </w:rPr>
      </w:pPr>
    </w:p>
    <w:p w:rsidR="007B0955" w:rsidRPr="00B457FB" w:rsidRDefault="007B095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sidRPr="00B457FB">
        <w:rPr>
          <w:szCs w:val="24"/>
          <w:u w:val="single"/>
        </w:rPr>
        <w:t>Response</w:t>
      </w:r>
    </w:p>
    <w:p w:rsidR="007B0955" w:rsidRPr="00500BE6" w:rsidRDefault="007B095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7B0955" w:rsidRPr="00500BE6" w:rsidRDefault="007B0955" w:rsidP="005E4A45">
      <w:pPr>
        <w:ind w:firstLine="720"/>
        <w:rPr>
          <w:szCs w:val="24"/>
        </w:rPr>
      </w:pPr>
      <w:r w:rsidRPr="00500BE6">
        <w:rPr>
          <w:szCs w:val="24"/>
        </w:rPr>
        <w:t>RCW 80.12.020 addresses the Commission’s purview regarding the sale, abandonment or disposal of an asset by a Commission-regulated utility.</w:t>
      </w:r>
      <w:r w:rsidR="000A234D">
        <w:rPr>
          <w:szCs w:val="24"/>
        </w:rPr>
        <w:t xml:space="preserve"> </w:t>
      </w:r>
      <w:r w:rsidRPr="00500BE6">
        <w:rPr>
          <w:szCs w:val="24"/>
        </w:rPr>
        <w:t xml:space="preserve"> Specifically, RCW 80.12.020 states: </w:t>
      </w:r>
    </w:p>
    <w:p w:rsidR="007B0955" w:rsidRPr="00500BE6" w:rsidRDefault="007B0955" w:rsidP="00622D14">
      <w:pPr>
        <w:rPr>
          <w:szCs w:val="24"/>
        </w:rPr>
      </w:pPr>
    </w:p>
    <w:p w:rsidR="007B0955" w:rsidRPr="00500BE6" w:rsidRDefault="007B0955" w:rsidP="00622D14">
      <w:pPr>
        <w:ind w:left="720"/>
        <w:rPr>
          <w:szCs w:val="24"/>
        </w:rPr>
      </w:pPr>
      <w:r w:rsidRPr="00500BE6">
        <w:rPr>
          <w:szCs w:val="24"/>
        </w:rPr>
        <w:t>“</w:t>
      </w:r>
      <w:r w:rsidRPr="00500BE6">
        <w:rPr>
          <w:i/>
          <w:szCs w:val="24"/>
        </w:rPr>
        <w:t>No public service company shall sell, lease, assign or otherwise dispose of the whole or any part of its franchises, properties or facilities whatsoever, which are necessary or useful in the performance of its duties to the public, and no public service company shall, by any means whatsoever, directly or indirectly, merge or consolidate any of its franchises, properties or facilities with any other public service company, without having secured from the commission an order authorizing it to do so. The commission shall not approve any transaction under this section that would result in a person, directly or indirectly, acquiring a controlling interest in a gas or electrical company without a finding that the transaction would provide a net benefit to the customers of the company.</w:t>
      </w:r>
      <w:r w:rsidRPr="00500BE6">
        <w:rPr>
          <w:szCs w:val="24"/>
        </w:rPr>
        <w:t xml:space="preserve">” </w:t>
      </w:r>
    </w:p>
    <w:p w:rsidR="007B0955" w:rsidRPr="00500BE6" w:rsidRDefault="007B0955" w:rsidP="00622D14">
      <w:pPr>
        <w:rPr>
          <w:szCs w:val="24"/>
        </w:rPr>
      </w:pPr>
    </w:p>
    <w:p w:rsidR="007B0955" w:rsidRPr="00500BE6" w:rsidRDefault="007B0955" w:rsidP="00622D14">
      <w:pPr>
        <w:rPr>
          <w:szCs w:val="24"/>
        </w:rPr>
      </w:pPr>
      <w:r w:rsidRPr="00500BE6">
        <w:rPr>
          <w:szCs w:val="24"/>
        </w:rPr>
        <w:t xml:space="preserve">Each county in Washington appears to address decommissioning requirements on a county-specific basis. </w:t>
      </w:r>
      <w:r w:rsidR="006A19DC">
        <w:rPr>
          <w:szCs w:val="24"/>
        </w:rPr>
        <w:t xml:space="preserve"> </w:t>
      </w:r>
      <w:r w:rsidRPr="00500BE6">
        <w:rPr>
          <w:szCs w:val="24"/>
        </w:rPr>
        <w:t>Because of this balkanization, it is uncertain how any given county will treat decommissioning requirements for each renewable resource they permit.</w:t>
      </w:r>
      <w:r w:rsidR="006A19DC">
        <w:rPr>
          <w:szCs w:val="24"/>
        </w:rPr>
        <w:t xml:space="preserve"> </w:t>
      </w:r>
      <w:r w:rsidRPr="00500BE6">
        <w:rPr>
          <w:szCs w:val="24"/>
        </w:rPr>
        <w:t xml:space="preserve"> It is not uncommon for a county to require a letter of credit or decommissioning bond associated with a permitted renewable resource.</w:t>
      </w:r>
      <w:r w:rsidR="006A19DC">
        <w:rPr>
          <w:szCs w:val="24"/>
        </w:rPr>
        <w:t xml:space="preserve"> </w:t>
      </w:r>
      <w:r w:rsidRPr="00500BE6">
        <w:rPr>
          <w:szCs w:val="24"/>
        </w:rPr>
        <w:t xml:space="preserve"> Some counties, however, specifically recognize that such a financial instrument is not necessary where a Commission</w:t>
      </w:r>
      <w:r w:rsidR="00C05370">
        <w:rPr>
          <w:szCs w:val="24"/>
        </w:rPr>
        <w:t>-</w:t>
      </w:r>
      <w:r w:rsidRPr="00500BE6">
        <w:rPr>
          <w:szCs w:val="24"/>
        </w:rPr>
        <w:t>regulated utility is concerned.</w:t>
      </w:r>
      <w:r w:rsidR="006A19DC">
        <w:rPr>
          <w:szCs w:val="24"/>
        </w:rPr>
        <w:t xml:space="preserve"> </w:t>
      </w:r>
      <w:r w:rsidRPr="00500BE6">
        <w:rPr>
          <w:szCs w:val="24"/>
        </w:rPr>
        <w:t xml:space="preserve"> For example, the Development Agreement between Kittitas County, Washington and Wind Ridge Power Partners, LLC, states that:</w:t>
      </w:r>
    </w:p>
    <w:p w:rsidR="007B0955" w:rsidRPr="00500BE6" w:rsidRDefault="007B0955" w:rsidP="00622D14">
      <w:pPr>
        <w:rPr>
          <w:szCs w:val="24"/>
        </w:rPr>
      </w:pPr>
    </w:p>
    <w:p w:rsidR="007B0955" w:rsidRPr="00500BE6" w:rsidRDefault="007B0955" w:rsidP="00622D14">
      <w:pPr>
        <w:ind w:left="720"/>
        <w:rPr>
          <w:szCs w:val="24"/>
        </w:rPr>
      </w:pPr>
      <w:r w:rsidRPr="00500BE6">
        <w:rPr>
          <w:szCs w:val="24"/>
        </w:rPr>
        <w:t>“</w:t>
      </w:r>
      <w:r w:rsidRPr="00500BE6">
        <w:rPr>
          <w:i/>
          <w:szCs w:val="24"/>
          <w:u w:val="single"/>
        </w:rPr>
        <w:t>Financial Security and Utility Project Ownership</w:t>
      </w:r>
      <w:r w:rsidRPr="00500BE6">
        <w:rPr>
          <w:i/>
          <w:szCs w:val="24"/>
        </w:rPr>
        <w:t>. Applicant or any Transferee, as the case may be, shall obtain and provide proof of financial security for the performance of its Decommissioning obligations arising hereunder unless if, at the time the duty to provide Decommissioning security arises under Section 6.3 above, the owner of the Project is an entity, such as Puget Sound Energy, which is an investor-owned electric utility regulated by the FERC and the Washington Utilities and Transportation Commission (WUTC), in which case the obligation to fully decommission the Project when due shall be a general obligation of the investor-owned electric utility owner.</w:t>
      </w:r>
      <w:r w:rsidRPr="00500BE6">
        <w:rPr>
          <w:szCs w:val="24"/>
        </w:rPr>
        <w:t xml:space="preserve">” </w:t>
      </w:r>
    </w:p>
    <w:p w:rsidR="007B0955" w:rsidRPr="00500BE6" w:rsidRDefault="007B0955" w:rsidP="00622D14">
      <w:pPr>
        <w:ind w:left="720"/>
        <w:rPr>
          <w:szCs w:val="24"/>
        </w:rPr>
      </w:pPr>
    </w:p>
    <w:p w:rsidR="007B0955" w:rsidRPr="00500BE6" w:rsidRDefault="007B0955" w:rsidP="005E4A45">
      <w:pPr>
        <w:ind w:firstLine="720"/>
        <w:rPr>
          <w:szCs w:val="24"/>
        </w:rPr>
      </w:pPr>
      <w:r w:rsidRPr="00500BE6">
        <w:rPr>
          <w:szCs w:val="24"/>
        </w:rPr>
        <w:t xml:space="preserve">In the event a county requires a letter of credit or decommissioning bond, notwithstanding the asset being owned by a Commission regulated utility, the excess or duplicative costs are the carrying costs associated with such financial instrument. </w:t>
      </w:r>
      <w:r w:rsidR="006A19DC">
        <w:rPr>
          <w:szCs w:val="24"/>
        </w:rPr>
        <w:t xml:space="preserve"> </w:t>
      </w:r>
      <w:r w:rsidRPr="00500BE6">
        <w:rPr>
          <w:szCs w:val="24"/>
        </w:rPr>
        <w:t xml:space="preserve">Since the amount and timing of security required can vary by county and on a case by case basis, it is impossible to quantify an </w:t>
      </w:r>
      <w:r w:rsidR="001E70AC">
        <w:rPr>
          <w:szCs w:val="24"/>
        </w:rPr>
        <w:t xml:space="preserve">overall </w:t>
      </w:r>
      <w:r w:rsidRPr="00500BE6">
        <w:rPr>
          <w:szCs w:val="24"/>
        </w:rPr>
        <w:t>exact impact to customers</w:t>
      </w:r>
      <w:r w:rsidR="001E70AC">
        <w:rPr>
          <w:szCs w:val="24"/>
        </w:rPr>
        <w:t xml:space="preserve"> associated with this general issue</w:t>
      </w:r>
      <w:r w:rsidRPr="00500BE6">
        <w:rPr>
          <w:szCs w:val="24"/>
        </w:rPr>
        <w:t xml:space="preserve">. </w:t>
      </w:r>
    </w:p>
    <w:p w:rsidR="007B0955" w:rsidRPr="00500BE6" w:rsidRDefault="007B0955" w:rsidP="00622D14">
      <w:pPr>
        <w:rPr>
          <w:szCs w:val="24"/>
        </w:rPr>
      </w:pPr>
    </w:p>
    <w:p w:rsidR="007B0955" w:rsidRPr="00500BE6" w:rsidRDefault="007B0955" w:rsidP="005E4A45">
      <w:pPr>
        <w:ind w:firstLine="720"/>
        <w:rPr>
          <w:szCs w:val="24"/>
        </w:rPr>
      </w:pPr>
      <w:r w:rsidRPr="00500BE6">
        <w:rPr>
          <w:szCs w:val="24"/>
        </w:rPr>
        <w:t xml:space="preserve">Utility ownership of a renewable resource is akin to utility ownership of any other form of asset. </w:t>
      </w:r>
      <w:r w:rsidR="006A19DC">
        <w:rPr>
          <w:szCs w:val="24"/>
        </w:rPr>
        <w:t xml:space="preserve"> </w:t>
      </w:r>
      <w:r w:rsidRPr="00500BE6">
        <w:rPr>
          <w:szCs w:val="24"/>
        </w:rPr>
        <w:t xml:space="preserve">As such, the disposal of such assets is a general obligation of the utility and governed by the Commission pursuant to RCW 80.12. </w:t>
      </w:r>
      <w:r w:rsidR="006A19DC">
        <w:rPr>
          <w:szCs w:val="24"/>
        </w:rPr>
        <w:t xml:space="preserve"> </w:t>
      </w:r>
      <w:r w:rsidRPr="00500BE6">
        <w:rPr>
          <w:szCs w:val="24"/>
        </w:rPr>
        <w:t xml:space="preserve">If a county </w:t>
      </w:r>
      <w:r w:rsidR="001E70AC">
        <w:rPr>
          <w:szCs w:val="24"/>
        </w:rPr>
        <w:t xml:space="preserve">were to </w:t>
      </w:r>
      <w:r w:rsidRPr="00500BE6">
        <w:rPr>
          <w:szCs w:val="24"/>
        </w:rPr>
        <w:t xml:space="preserve">require a letter of credit, a decommissioning bond or </w:t>
      </w:r>
      <w:r w:rsidR="001E70AC">
        <w:rPr>
          <w:szCs w:val="24"/>
        </w:rPr>
        <w:t xml:space="preserve">were to </w:t>
      </w:r>
      <w:r w:rsidRPr="00500BE6">
        <w:rPr>
          <w:szCs w:val="24"/>
        </w:rPr>
        <w:t xml:space="preserve">reserve the right to enforce decommissioning actions for each utility owned asset, renewable or not, then the public interest is not served since cost and risk to customers would be higher than need otherwise be. </w:t>
      </w:r>
      <w:r w:rsidR="006A19DC">
        <w:rPr>
          <w:szCs w:val="24"/>
        </w:rPr>
        <w:t xml:space="preserve"> </w:t>
      </w:r>
      <w:r w:rsidRPr="00500BE6">
        <w:rPr>
          <w:szCs w:val="24"/>
        </w:rPr>
        <w:t>In the case of PacifiCorp, one county has reserved the right to require such a decommissioning bond or letter of credit associated with a renewable resource and has reserved the right to implement decommissioning unless preempted by order of any agency or court with jurisdiction.</w:t>
      </w:r>
    </w:p>
    <w:p w:rsidR="007B0955" w:rsidRPr="00500BE6" w:rsidRDefault="007B0955" w:rsidP="00622D14">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p>
    <w:p w:rsidR="000D2D7F" w:rsidRPr="00500BE6" w:rsidRDefault="000D2D7F" w:rsidP="00622D14">
      <w:pPr>
        <w:pStyle w:val="ListParagraph"/>
        <w:ind w:hanging="720"/>
        <w:rPr>
          <w:sz w:val="24"/>
          <w:szCs w:val="24"/>
        </w:rPr>
      </w:pPr>
    </w:p>
    <w:p w:rsidR="000D2D7F" w:rsidRPr="00500BE6"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i/>
          <w:szCs w:val="24"/>
        </w:rPr>
      </w:pPr>
      <w:r w:rsidRPr="00500BE6">
        <w:rPr>
          <w:i/>
          <w:szCs w:val="24"/>
        </w:rPr>
        <w:t xml:space="preserve">Cost Cap for Renewables.  </w:t>
      </w:r>
      <w:r w:rsidRPr="00500BE6">
        <w:rPr>
          <w:szCs w:val="24"/>
        </w:rPr>
        <w:t xml:space="preserve">Does the current cost cap provided in RCW 19.285.050 </w:t>
      </w:r>
      <w:r w:rsidRPr="00500BE6">
        <w:rPr>
          <w:i/>
          <w:szCs w:val="24"/>
        </w:rPr>
        <w:t>Resource Costs</w:t>
      </w:r>
      <w:r w:rsidRPr="00500BE6">
        <w:rPr>
          <w:szCs w:val="24"/>
        </w:rPr>
        <w:t xml:space="preserve">, provide effective protection for ratepayers?  How specifically should the Commission implement this Cost Cap? </w:t>
      </w:r>
    </w:p>
    <w:p w:rsidR="000D2D7F" w:rsidRDefault="000D2D7F" w:rsidP="00622D14">
      <w:pPr>
        <w:pStyle w:val="ListParagraph"/>
        <w:ind w:hanging="720"/>
        <w:rPr>
          <w:sz w:val="24"/>
          <w:szCs w:val="24"/>
          <w:u w:val="single"/>
        </w:rPr>
      </w:pPr>
    </w:p>
    <w:p w:rsidR="00B457FB" w:rsidRPr="00B457FB" w:rsidRDefault="00B457FB" w:rsidP="00622D14">
      <w:pPr>
        <w:pStyle w:val="ListParagraph"/>
        <w:ind w:hanging="720"/>
        <w:rPr>
          <w:rFonts w:ascii="Times New Roman" w:hAnsi="Times New Roman"/>
          <w:sz w:val="24"/>
          <w:szCs w:val="24"/>
          <w:u w:val="single"/>
        </w:rPr>
      </w:pPr>
      <w:r>
        <w:rPr>
          <w:rFonts w:ascii="Times New Roman" w:hAnsi="Times New Roman"/>
          <w:sz w:val="24"/>
          <w:szCs w:val="24"/>
          <w:u w:val="single"/>
        </w:rPr>
        <w:t>Response</w:t>
      </w:r>
    </w:p>
    <w:p w:rsidR="00B457FB" w:rsidRDefault="00B457FB" w:rsidP="00622D14">
      <w:pPr>
        <w:pStyle w:val="ListParagraph"/>
        <w:ind w:hanging="720"/>
        <w:rPr>
          <w:sz w:val="24"/>
          <w:szCs w:val="24"/>
        </w:rPr>
      </w:pPr>
    </w:p>
    <w:p w:rsidR="0003716C" w:rsidRPr="0003716C" w:rsidRDefault="0003716C" w:rsidP="005E4A45">
      <w:pPr>
        <w:pStyle w:val="ListParagraph"/>
        <w:ind w:left="0" w:firstLine="720"/>
        <w:rPr>
          <w:rFonts w:ascii="Times New Roman" w:hAnsi="Times New Roman"/>
          <w:sz w:val="24"/>
          <w:szCs w:val="24"/>
        </w:rPr>
      </w:pPr>
      <w:r w:rsidRPr="0003716C">
        <w:rPr>
          <w:rFonts w:ascii="Times New Roman" w:hAnsi="Times New Roman"/>
          <w:sz w:val="24"/>
          <w:szCs w:val="24"/>
        </w:rPr>
        <w:t xml:space="preserve">RCW 19.285.050 provides consumer protection from </w:t>
      </w:r>
      <w:r w:rsidR="001E70AC">
        <w:rPr>
          <w:rFonts w:ascii="Times New Roman" w:hAnsi="Times New Roman"/>
          <w:sz w:val="24"/>
          <w:szCs w:val="24"/>
        </w:rPr>
        <w:t xml:space="preserve">excess </w:t>
      </w:r>
      <w:r w:rsidRPr="0003716C">
        <w:rPr>
          <w:rFonts w:ascii="Times New Roman" w:hAnsi="Times New Roman"/>
          <w:sz w:val="24"/>
          <w:szCs w:val="24"/>
        </w:rPr>
        <w:t xml:space="preserve">costs for RPS compliance by creating an off-ramp for compliance in a year in which the total incremental compliance costs exceed four percent of the electric utility’s annual revenue requirement for the compliance year. To implement the Cost Cap, the Company recommends that the Commission rely on a consistent methodology for the calculation of incremental costs as well as the applicable annual revenue requirement.  Oregon’s RPS includes a similar customer protection provision and the Oregon Commission has developed extensive rules to establish the calculation of incremental costs and the applicable revenue requirement.  See OAR 860-083-0100 and -0200.  Oregon electric utilities provide this information in the implementation plans and compliance reports that are filed with the commission for acknowledgment.  A key consideration in the rules is that they incorporate the analytical work already being performed in the integrated resource planning and avoided cost processes in order to minimize duplication and leverage on-going efforts.  Additionally, to reduce administrative complexity the interested parties in Oregon are working to develop standard reporting formats, which will enable both the preparation of the reports as well as review by interested parties.  </w:t>
      </w:r>
      <w:r w:rsidR="001E70AC">
        <w:rPr>
          <w:rFonts w:ascii="Times New Roman" w:hAnsi="Times New Roman"/>
          <w:sz w:val="24"/>
          <w:szCs w:val="24"/>
        </w:rPr>
        <w:t xml:space="preserve">To promote regional conformity and reporting parity, </w:t>
      </w:r>
      <w:r w:rsidRPr="0003716C">
        <w:rPr>
          <w:rFonts w:ascii="Times New Roman" w:hAnsi="Times New Roman"/>
          <w:sz w:val="24"/>
          <w:szCs w:val="24"/>
        </w:rPr>
        <w:t xml:space="preserve">PacifiCorp </w:t>
      </w:r>
      <w:r w:rsidR="00C05370">
        <w:rPr>
          <w:rFonts w:ascii="Times New Roman" w:hAnsi="Times New Roman"/>
          <w:sz w:val="24"/>
          <w:szCs w:val="24"/>
        </w:rPr>
        <w:t xml:space="preserve">suggests </w:t>
      </w:r>
      <w:r w:rsidRPr="0003716C">
        <w:rPr>
          <w:rFonts w:ascii="Times New Roman" w:hAnsi="Times New Roman"/>
          <w:sz w:val="24"/>
          <w:szCs w:val="24"/>
        </w:rPr>
        <w:t xml:space="preserve">that the UTC </w:t>
      </w:r>
      <w:r w:rsidR="00C05370">
        <w:rPr>
          <w:rFonts w:ascii="Times New Roman" w:hAnsi="Times New Roman"/>
          <w:sz w:val="24"/>
          <w:szCs w:val="24"/>
        </w:rPr>
        <w:t xml:space="preserve">consider </w:t>
      </w:r>
      <w:r w:rsidRPr="0003716C">
        <w:rPr>
          <w:rFonts w:ascii="Times New Roman" w:hAnsi="Times New Roman"/>
          <w:sz w:val="24"/>
          <w:szCs w:val="24"/>
        </w:rPr>
        <w:t>adopt</w:t>
      </w:r>
      <w:r w:rsidR="00C05370">
        <w:rPr>
          <w:rFonts w:ascii="Times New Roman" w:hAnsi="Times New Roman"/>
          <w:sz w:val="24"/>
          <w:szCs w:val="24"/>
        </w:rPr>
        <w:t>ing</w:t>
      </w:r>
      <w:r w:rsidRPr="0003716C">
        <w:rPr>
          <w:rFonts w:ascii="Times New Roman" w:hAnsi="Times New Roman"/>
          <w:sz w:val="24"/>
          <w:szCs w:val="24"/>
        </w:rPr>
        <w:t xml:space="preserve"> similar methodologies and reporting formats</w:t>
      </w:r>
      <w:r w:rsidR="001E70AC">
        <w:rPr>
          <w:rFonts w:ascii="Times New Roman" w:hAnsi="Times New Roman"/>
          <w:sz w:val="24"/>
          <w:szCs w:val="24"/>
        </w:rPr>
        <w:t xml:space="preserve">. </w:t>
      </w:r>
      <w:r w:rsidR="006A19DC">
        <w:rPr>
          <w:rFonts w:ascii="Times New Roman" w:hAnsi="Times New Roman"/>
          <w:sz w:val="24"/>
          <w:szCs w:val="24"/>
        </w:rPr>
        <w:t xml:space="preserve"> </w:t>
      </w:r>
      <w:r w:rsidR="001E70AC">
        <w:rPr>
          <w:rFonts w:ascii="Times New Roman" w:hAnsi="Times New Roman"/>
          <w:sz w:val="24"/>
          <w:szCs w:val="24"/>
        </w:rPr>
        <w:t xml:space="preserve">Similar methodologies and reporting formats will result in a consistent </w:t>
      </w:r>
      <w:r w:rsidRPr="0003716C">
        <w:rPr>
          <w:rFonts w:ascii="Times New Roman" w:hAnsi="Times New Roman"/>
          <w:sz w:val="24"/>
          <w:szCs w:val="24"/>
        </w:rPr>
        <w:t>Cost Cap</w:t>
      </w:r>
      <w:r w:rsidR="001E70AC">
        <w:rPr>
          <w:rFonts w:ascii="Times New Roman" w:hAnsi="Times New Roman"/>
          <w:sz w:val="24"/>
          <w:szCs w:val="24"/>
        </w:rPr>
        <w:t xml:space="preserve"> evaluation</w:t>
      </w:r>
      <w:r w:rsidRPr="0003716C">
        <w:rPr>
          <w:rFonts w:ascii="Times New Roman" w:hAnsi="Times New Roman"/>
          <w:sz w:val="24"/>
          <w:szCs w:val="24"/>
        </w:rPr>
        <w:t xml:space="preserve">.  </w:t>
      </w:r>
    </w:p>
    <w:p w:rsidR="0003716C" w:rsidRPr="00500BE6" w:rsidRDefault="0003716C" w:rsidP="00622D14">
      <w:pPr>
        <w:pStyle w:val="ListParagraph"/>
        <w:ind w:hanging="720"/>
        <w:rPr>
          <w:sz w:val="24"/>
          <w:szCs w:val="24"/>
        </w:rPr>
      </w:pPr>
    </w:p>
    <w:p w:rsidR="00B457FB" w:rsidRPr="00B457FB" w:rsidRDefault="000D2D7F" w:rsidP="00622D14">
      <w:pPr>
        <w:pStyle w:val="BodyText2"/>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ind w:hanging="720"/>
        <w:rPr>
          <w:i/>
          <w:szCs w:val="24"/>
        </w:rPr>
      </w:pPr>
      <w:r w:rsidRPr="00500BE6">
        <w:rPr>
          <w:i/>
          <w:szCs w:val="24"/>
        </w:rPr>
        <w:t xml:space="preserve">Costs and Benefits of Voluntary Green Power Programs.  </w:t>
      </w:r>
      <w:r w:rsidRPr="00500BE6">
        <w:rPr>
          <w:szCs w:val="24"/>
        </w:rPr>
        <w:t xml:space="preserve">How can ratepayers that participate in the voluntary green power program participate in the benefits of the program? </w:t>
      </w:r>
    </w:p>
    <w:p w:rsidR="00B457FB" w:rsidRDefault="00B457FB" w:rsidP="00622D14">
      <w:pPr>
        <w:pStyle w:val="ListParagraph"/>
        <w:rPr>
          <w:szCs w:val="24"/>
        </w:rPr>
      </w:pPr>
    </w:p>
    <w:p w:rsidR="00B457FB" w:rsidRPr="00500BE6" w:rsidRDefault="00B457FB" w:rsidP="00622D1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500BE6">
        <w:rPr>
          <w:szCs w:val="24"/>
          <w:u w:val="single"/>
        </w:rPr>
        <w:t>Response</w:t>
      </w:r>
    </w:p>
    <w:p w:rsidR="00B457FB" w:rsidRDefault="00B457FB" w:rsidP="00622D14">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0A0A52" w:rsidRDefault="00B457FB" w:rsidP="006A19D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4" w:lineRule="auto"/>
        <w:rPr>
          <w:szCs w:val="24"/>
        </w:rPr>
      </w:pPr>
      <w:r>
        <w:rPr>
          <w:szCs w:val="24"/>
        </w:rPr>
        <w:t xml:space="preserve">The Company has no comment on this issue at this time, but </w:t>
      </w:r>
      <w:r w:rsidR="00C05370">
        <w:rPr>
          <w:szCs w:val="24"/>
        </w:rPr>
        <w:t>may</w:t>
      </w:r>
      <w:r>
        <w:rPr>
          <w:szCs w:val="24"/>
        </w:rPr>
        <w:t xml:space="preserve"> comment at a later date if the need should arise.</w:t>
      </w:r>
      <w:r w:rsidR="000D2D7F" w:rsidRPr="00500BE6">
        <w:rPr>
          <w:szCs w:val="24"/>
        </w:rPr>
        <w:br/>
      </w:r>
    </w:p>
    <w:p w:rsidR="000D2D7F" w:rsidRPr="00500BE6" w:rsidRDefault="000D2D7F" w:rsidP="00622D14">
      <w:pPr>
        <w:ind w:firstLine="360"/>
        <w:rPr>
          <w:szCs w:val="24"/>
        </w:rPr>
      </w:pPr>
      <w:r w:rsidRPr="00500BE6">
        <w:rPr>
          <w:szCs w:val="24"/>
        </w:rPr>
        <w:t>PacifiCorp appreciates the opportunity provide comments.  If you have any questions regarding these comments, please contact Cathie Allen, Regulatory Manager, (503) 813-5934.</w:t>
      </w:r>
    </w:p>
    <w:p w:rsidR="000D2D7F" w:rsidRPr="00500BE6" w:rsidRDefault="000D2D7F" w:rsidP="00622D14">
      <w:pPr>
        <w:jc w:val="both"/>
        <w:rPr>
          <w:rFonts w:ascii="Times New Roman" w:hAnsi="Times New Roman"/>
          <w:szCs w:val="24"/>
        </w:rPr>
      </w:pPr>
    </w:p>
    <w:p w:rsidR="000D2D7F" w:rsidRPr="00500BE6" w:rsidRDefault="000D2D7F" w:rsidP="00622D14">
      <w:pPr>
        <w:jc w:val="both"/>
        <w:rPr>
          <w:rFonts w:ascii="Times New Roman" w:hAnsi="Times New Roman"/>
          <w:szCs w:val="24"/>
        </w:rPr>
      </w:pPr>
    </w:p>
    <w:p w:rsidR="000D2D7F" w:rsidRPr="00500BE6" w:rsidRDefault="000D2D7F" w:rsidP="00622D14">
      <w:pPr>
        <w:jc w:val="both"/>
        <w:rPr>
          <w:rFonts w:ascii="Times New Roman" w:hAnsi="Times New Roman"/>
          <w:szCs w:val="24"/>
        </w:rPr>
      </w:pPr>
      <w:r w:rsidRPr="00500BE6">
        <w:rPr>
          <w:rFonts w:ascii="Times New Roman" w:hAnsi="Times New Roman"/>
          <w:szCs w:val="24"/>
        </w:rPr>
        <w:t>Sincerely,</w:t>
      </w:r>
    </w:p>
    <w:p w:rsidR="000D2D7F" w:rsidRPr="00500BE6" w:rsidRDefault="000D2D7F" w:rsidP="00622D14">
      <w:pPr>
        <w:jc w:val="both"/>
        <w:rPr>
          <w:rFonts w:ascii="Times New Roman" w:hAnsi="Times New Roman"/>
          <w:szCs w:val="24"/>
        </w:rPr>
      </w:pPr>
    </w:p>
    <w:p w:rsidR="000D2D7F" w:rsidRPr="00500BE6" w:rsidRDefault="000D2D7F" w:rsidP="00622D14">
      <w:pPr>
        <w:jc w:val="both"/>
        <w:rPr>
          <w:rFonts w:ascii="Times New Roman" w:hAnsi="Times New Roman"/>
          <w:szCs w:val="24"/>
        </w:rPr>
      </w:pPr>
    </w:p>
    <w:p w:rsidR="000D2D7F" w:rsidRPr="00500BE6" w:rsidRDefault="000D2D7F" w:rsidP="00622D14">
      <w:pPr>
        <w:jc w:val="both"/>
        <w:rPr>
          <w:rFonts w:ascii="Times New Roman" w:hAnsi="Times New Roman"/>
          <w:szCs w:val="24"/>
        </w:rPr>
      </w:pPr>
    </w:p>
    <w:p w:rsidR="000D2D7F" w:rsidRPr="00500BE6" w:rsidRDefault="000D2D7F" w:rsidP="00622D14">
      <w:pPr>
        <w:jc w:val="both"/>
        <w:rPr>
          <w:rFonts w:ascii="Times New Roman" w:hAnsi="Times New Roman"/>
          <w:szCs w:val="24"/>
        </w:rPr>
      </w:pPr>
      <w:r w:rsidRPr="00500BE6">
        <w:rPr>
          <w:rFonts w:ascii="Times New Roman" w:hAnsi="Times New Roman"/>
          <w:szCs w:val="24"/>
        </w:rPr>
        <w:t xml:space="preserve">Andrea </w:t>
      </w:r>
      <w:r w:rsidR="000A0A52">
        <w:rPr>
          <w:rFonts w:ascii="Times New Roman" w:hAnsi="Times New Roman"/>
          <w:szCs w:val="24"/>
        </w:rPr>
        <w:t xml:space="preserve">L. </w:t>
      </w:r>
      <w:r w:rsidRPr="00500BE6">
        <w:rPr>
          <w:rFonts w:ascii="Times New Roman" w:hAnsi="Times New Roman"/>
          <w:szCs w:val="24"/>
        </w:rPr>
        <w:t>Kelly</w:t>
      </w:r>
    </w:p>
    <w:p w:rsidR="000D2D7F" w:rsidRPr="00500BE6" w:rsidRDefault="000D2D7F" w:rsidP="006A19DC">
      <w:pPr>
        <w:jc w:val="both"/>
        <w:rPr>
          <w:szCs w:val="24"/>
        </w:rPr>
      </w:pPr>
      <w:r w:rsidRPr="00500BE6">
        <w:rPr>
          <w:rFonts w:ascii="Times New Roman" w:hAnsi="Times New Roman"/>
          <w:szCs w:val="24"/>
        </w:rPr>
        <w:t>Vice President, Regulation</w:t>
      </w:r>
    </w:p>
    <w:p w:rsidR="00076E5D" w:rsidRPr="00500BE6" w:rsidRDefault="00076E5D" w:rsidP="00622D14">
      <w:pPr>
        <w:rPr>
          <w:szCs w:val="24"/>
        </w:rPr>
      </w:pPr>
    </w:p>
    <w:sectPr w:rsidR="00076E5D" w:rsidRPr="00500BE6" w:rsidSect="00806F9C">
      <w:headerReference w:type="default" r:id="rId15"/>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730" w:rsidRDefault="00A37730" w:rsidP="008B1EC4">
      <w:r>
        <w:separator/>
      </w:r>
    </w:p>
  </w:endnote>
  <w:endnote w:type="continuationSeparator" w:id="0">
    <w:p w:rsidR="00A37730" w:rsidRDefault="00A37730" w:rsidP="008B1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DC" w:rsidRDefault="00AF2D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DC" w:rsidRDefault="00AF2D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DC" w:rsidRDefault="00AF2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730" w:rsidRDefault="00A37730" w:rsidP="008B1EC4">
      <w:r>
        <w:separator/>
      </w:r>
    </w:p>
  </w:footnote>
  <w:footnote w:type="continuationSeparator" w:id="0">
    <w:p w:rsidR="00A37730" w:rsidRDefault="00A37730" w:rsidP="008B1EC4">
      <w:r>
        <w:continuationSeparator/>
      </w:r>
    </w:p>
  </w:footnote>
  <w:footnote w:id="1">
    <w:p w:rsidR="00A37730" w:rsidRDefault="00A37730">
      <w:pPr>
        <w:pStyle w:val="FootnoteText"/>
      </w:pPr>
      <w:r>
        <w:rPr>
          <w:rStyle w:val="FootnoteReference"/>
        </w:rPr>
        <w:footnoteRef/>
      </w:r>
      <w:r>
        <w:t xml:space="preserve"> RCW 19.285.040(2).</w:t>
      </w:r>
    </w:p>
  </w:footnote>
  <w:footnote w:id="2">
    <w:p w:rsidR="00A37730" w:rsidRPr="00837104" w:rsidRDefault="00A37730">
      <w:pPr>
        <w:pStyle w:val="FootnoteText"/>
      </w:pPr>
      <w:r>
        <w:rPr>
          <w:rStyle w:val="FootnoteReference"/>
        </w:rPr>
        <w:footnoteRef/>
      </w:r>
      <w:r>
        <w:t xml:space="preserve"> </w:t>
      </w:r>
      <w:r>
        <w:rPr>
          <w:i/>
        </w:rPr>
        <w:t>Washington Utilities and Transportation Commission v. PacifiCorp dba Pacific Power &amp; Light Company</w:t>
      </w:r>
      <w:r>
        <w:t>, Docket UE-090205, Order 09.</w:t>
      </w:r>
    </w:p>
  </w:footnote>
  <w:footnote w:id="3">
    <w:p w:rsidR="00A37730" w:rsidRDefault="00A37730">
      <w:pPr>
        <w:pStyle w:val="FootnoteText"/>
      </w:pPr>
      <w:r>
        <w:rPr>
          <w:rStyle w:val="FootnoteReference"/>
        </w:rPr>
        <w:footnoteRef/>
      </w:r>
      <w:r>
        <w:t xml:space="preserve"> Id.</w:t>
      </w:r>
    </w:p>
  </w:footnote>
  <w:footnote w:id="4">
    <w:p w:rsidR="00A37730" w:rsidRDefault="00A37730" w:rsidP="00B142FA">
      <w:pPr>
        <w:pStyle w:val="FootnoteText"/>
      </w:pPr>
      <w:r>
        <w:rPr>
          <w:rStyle w:val="FootnoteReference"/>
        </w:rPr>
        <w:footnoteRef/>
      </w:r>
      <w:r>
        <w:t xml:space="preserve"> Id.</w:t>
      </w:r>
    </w:p>
  </w:footnote>
  <w:footnote w:id="5">
    <w:p w:rsidR="00A37730" w:rsidRDefault="00A37730">
      <w:pPr>
        <w:pStyle w:val="FootnoteText"/>
      </w:pPr>
      <w:r>
        <w:rPr>
          <w:rStyle w:val="FootnoteReference"/>
        </w:rPr>
        <w:footnoteRef/>
      </w:r>
      <w:r>
        <w:t xml:space="preserve"> </w:t>
      </w:r>
      <w:r>
        <w:rPr>
          <w:i/>
        </w:rPr>
        <w:t>Washington Utilities and Transportation Commission v. PacifiCorp dba Pacific Power &amp; Light Company</w:t>
      </w:r>
      <w:r>
        <w:t>, Docket UE-090205, Order 09.</w:t>
      </w:r>
    </w:p>
  </w:footnote>
  <w:footnote w:id="6">
    <w:p w:rsidR="00A37730" w:rsidRDefault="00A37730">
      <w:pPr>
        <w:pStyle w:val="FootnoteText"/>
      </w:pPr>
      <w:r>
        <w:rPr>
          <w:rStyle w:val="FootnoteReference"/>
        </w:rPr>
        <w:footnoteRef/>
      </w:r>
      <w:r>
        <w:t xml:space="preserve"> Id.</w:t>
      </w:r>
    </w:p>
  </w:footnote>
  <w:footnote w:id="7">
    <w:p w:rsidR="00A37730" w:rsidRDefault="00A37730">
      <w:pPr>
        <w:pStyle w:val="FootnoteText"/>
      </w:pPr>
      <w:r>
        <w:rPr>
          <w:rStyle w:val="FootnoteReference"/>
        </w:rPr>
        <w:footnoteRef/>
      </w:r>
      <w:r>
        <w:t xml:space="preserve"> </w:t>
      </w:r>
      <w:r>
        <w:rPr>
          <w:rFonts w:ascii="Times New Roman" w:hAnsi="Times New Roman"/>
          <w:szCs w:val="24"/>
        </w:rPr>
        <w:t>RCW 80.80.040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DC" w:rsidRDefault="00AF2D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DC" w:rsidRDefault="00AF2D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DC" w:rsidRDefault="00AF2DD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30" w:rsidRDefault="00A37730">
    <w:pPr>
      <w:pStyle w:val="Header"/>
    </w:pPr>
    <w:r>
      <w:t>Washington Utilities and Transportation Commission</w:t>
    </w:r>
  </w:p>
  <w:p w:rsidR="00A37730" w:rsidRDefault="00A37730">
    <w:pPr>
      <w:pStyle w:val="Header"/>
    </w:pPr>
    <w:r>
      <w:t>July 22, 2010</w:t>
    </w:r>
  </w:p>
  <w:p w:rsidR="00A37730" w:rsidRDefault="00A37730">
    <w:pPr>
      <w:pStyle w:val="Header"/>
    </w:pPr>
    <w:r>
      <w:t xml:space="preserve">Page </w:t>
    </w:r>
    <w:fldSimple w:instr=" PAGE   \* MERGEFORMAT ">
      <w:r w:rsidR="00AF2DDC">
        <w:rPr>
          <w:noProof/>
        </w:rPr>
        <w:t>2</w:t>
      </w:r>
    </w:fldSimple>
  </w:p>
  <w:p w:rsidR="00A37730" w:rsidRDefault="00A377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95DB7"/>
    <w:multiLevelType w:val="hybridMultilevel"/>
    <w:tmpl w:val="DF567330"/>
    <w:lvl w:ilvl="0" w:tplc="7A6E5A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E24B6"/>
    <w:multiLevelType w:val="hybridMultilevel"/>
    <w:tmpl w:val="B6206066"/>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920EB0"/>
    <w:multiLevelType w:val="hybridMultilevel"/>
    <w:tmpl w:val="6994E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movePersonalInformation/>
  <w:removeDateAndTime/>
  <w:doNotTrackMoves/>
  <w:defaultTabStop w:val="720"/>
  <w:characterSpacingControl w:val="doNotCompress"/>
  <w:hdrShapeDefaults>
    <o:shapedefaults v:ext="edit" spidmax="2049"/>
  </w:hdrShapeDefaults>
  <w:footnotePr>
    <w:footnote w:id="-1"/>
    <w:footnote w:id="0"/>
  </w:footnotePr>
  <w:endnotePr>
    <w:endnote w:id="-1"/>
    <w:endnote w:id="0"/>
  </w:endnotePr>
  <w:compat/>
  <w:rsids>
    <w:rsidRoot w:val="000D2D7F"/>
    <w:rsid w:val="00003654"/>
    <w:rsid w:val="0003716C"/>
    <w:rsid w:val="000615B8"/>
    <w:rsid w:val="00076E5D"/>
    <w:rsid w:val="000908F9"/>
    <w:rsid w:val="000953F6"/>
    <w:rsid w:val="00096D1C"/>
    <w:rsid w:val="000A0A52"/>
    <w:rsid w:val="000A234D"/>
    <w:rsid w:val="000D2D7F"/>
    <w:rsid w:val="000F430B"/>
    <w:rsid w:val="001306CB"/>
    <w:rsid w:val="00156B70"/>
    <w:rsid w:val="0018433A"/>
    <w:rsid w:val="001863AA"/>
    <w:rsid w:val="001D0023"/>
    <w:rsid w:val="001E70AC"/>
    <w:rsid w:val="00215A31"/>
    <w:rsid w:val="002340B5"/>
    <w:rsid w:val="00265BCA"/>
    <w:rsid w:val="002A2CF6"/>
    <w:rsid w:val="002B3936"/>
    <w:rsid w:val="003A2AF8"/>
    <w:rsid w:val="003A4630"/>
    <w:rsid w:val="003C5ADF"/>
    <w:rsid w:val="003F4131"/>
    <w:rsid w:val="00402738"/>
    <w:rsid w:val="00492850"/>
    <w:rsid w:val="004A07C6"/>
    <w:rsid w:val="004A11E0"/>
    <w:rsid w:val="004A4EFD"/>
    <w:rsid w:val="004D4ADF"/>
    <w:rsid w:val="004E52CC"/>
    <w:rsid w:val="00500BE6"/>
    <w:rsid w:val="00501198"/>
    <w:rsid w:val="005075AD"/>
    <w:rsid w:val="005A15E3"/>
    <w:rsid w:val="005B66F4"/>
    <w:rsid w:val="005E4A45"/>
    <w:rsid w:val="0060717A"/>
    <w:rsid w:val="00622CE5"/>
    <w:rsid w:val="00622D14"/>
    <w:rsid w:val="00660485"/>
    <w:rsid w:val="006A19DC"/>
    <w:rsid w:val="006E0036"/>
    <w:rsid w:val="00715300"/>
    <w:rsid w:val="007745F4"/>
    <w:rsid w:val="00791256"/>
    <w:rsid w:val="0079136A"/>
    <w:rsid w:val="007A2ABC"/>
    <w:rsid w:val="007B0955"/>
    <w:rsid w:val="007E4640"/>
    <w:rsid w:val="00806F9C"/>
    <w:rsid w:val="00817F14"/>
    <w:rsid w:val="00836367"/>
    <w:rsid w:val="00837104"/>
    <w:rsid w:val="008723DD"/>
    <w:rsid w:val="008959D7"/>
    <w:rsid w:val="008B1EC4"/>
    <w:rsid w:val="009147E3"/>
    <w:rsid w:val="00943BF8"/>
    <w:rsid w:val="0095659F"/>
    <w:rsid w:val="00995717"/>
    <w:rsid w:val="009A0F33"/>
    <w:rsid w:val="009C2F4C"/>
    <w:rsid w:val="009C7333"/>
    <w:rsid w:val="00A137CB"/>
    <w:rsid w:val="00A37730"/>
    <w:rsid w:val="00A51FB1"/>
    <w:rsid w:val="00A82484"/>
    <w:rsid w:val="00A8641E"/>
    <w:rsid w:val="00AB77D8"/>
    <w:rsid w:val="00AF25F0"/>
    <w:rsid w:val="00AF263F"/>
    <w:rsid w:val="00AF2A75"/>
    <w:rsid w:val="00AF2DDC"/>
    <w:rsid w:val="00B05686"/>
    <w:rsid w:val="00B142FA"/>
    <w:rsid w:val="00B36CF3"/>
    <w:rsid w:val="00B457FB"/>
    <w:rsid w:val="00B52996"/>
    <w:rsid w:val="00B93A31"/>
    <w:rsid w:val="00BF590A"/>
    <w:rsid w:val="00C05370"/>
    <w:rsid w:val="00C06D4C"/>
    <w:rsid w:val="00C42E90"/>
    <w:rsid w:val="00C46E7B"/>
    <w:rsid w:val="00C8720E"/>
    <w:rsid w:val="00C953DD"/>
    <w:rsid w:val="00CC5D1E"/>
    <w:rsid w:val="00CE594C"/>
    <w:rsid w:val="00D57804"/>
    <w:rsid w:val="00D727A7"/>
    <w:rsid w:val="00DC6D9F"/>
    <w:rsid w:val="00E10661"/>
    <w:rsid w:val="00E43AD8"/>
    <w:rsid w:val="00E61F2E"/>
    <w:rsid w:val="00EB6448"/>
    <w:rsid w:val="00EC4550"/>
    <w:rsid w:val="00EE05BE"/>
    <w:rsid w:val="00F204E3"/>
    <w:rsid w:val="00F20568"/>
    <w:rsid w:val="00F22771"/>
    <w:rsid w:val="00F37E38"/>
    <w:rsid w:val="00F464C1"/>
    <w:rsid w:val="00F66C40"/>
    <w:rsid w:val="00F66DE6"/>
    <w:rsid w:val="00FA1761"/>
    <w:rsid w:val="00FB1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7F"/>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2D7F"/>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0D2D7F"/>
    <w:rPr>
      <w:rFonts w:eastAsia="Times New Roman"/>
    </w:rPr>
  </w:style>
  <w:style w:type="paragraph" w:styleId="BodyText2">
    <w:name w:val="Body Text 2"/>
    <w:basedOn w:val="Normal"/>
    <w:link w:val="BodyText2Char"/>
    <w:rsid w:val="000D2D7F"/>
    <w:rPr>
      <w:rFonts w:ascii="Times New Roman" w:eastAsia="Times New Roman" w:hAnsi="Times New Roman"/>
    </w:rPr>
  </w:style>
  <w:style w:type="character" w:customStyle="1" w:styleId="BodyText2Char">
    <w:name w:val="Body Text 2 Char"/>
    <w:basedOn w:val="DefaultParagraphFont"/>
    <w:link w:val="BodyText2"/>
    <w:rsid w:val="000D2D7F"/>
    <w:rPr>
      <w:rFonts w:eastAsia="Times New Roman"/>
      <w:szCs w:val="20"/>
    </w:rPr>
  </w:style>
  <w:style w:type="paragraph" w:styleId="ListParagraph">
    <w:name w:val="List Paragraph"/>
    <w:basedOn w:val="Normal"/>
    <w:uiPriority w:val="34"/>
    <w:qFormat/>
    <w:rsid w:val="000D2D7F"/>
    <w:pPr>
      <w:ind w:left="720"/>
    </w:pPr>
    <w:rPr>
      <w:rFonts w:ascii="Arial" w:eastAsia="Times New Roman" w:hAnsi="Arial"/>
      <w:sz w:val="20"/>
    </w:rPr>
  </w:style>
  <w:style w:type="paragraph" w:styleId="FootnoteText">
    <w:name w:val="footnote text"/>
    <w:basedOn w:val="Normal"/>
    <w:link w:val="FootnoteTextChar"/>
    <w:uiPriority w:val="99"/>
    <w:semiHidden/>
    <w:unhideWhenUsed/>
    <w:rsid w:val="00806F9C"/>
    <w:rPr>
      <w:sz w:val="20"/>
    </w:rPr>
  </w:style>
  <w:style w:type="character" w:customStyle="1" w:styleId="FootnoteTextChar">
    <w:name w:val="Footnote Text Char"/>
    <w:basedOn w:val="DefaultParagraphFont"/>
    <w:link w:val="FootnoteText"/>
    <w:uiPriority w:val="99"/>
    <w:semiHidden/>
    <w:rsid w:val="00806F9C"/>
    <w:rPr>
      <w:rFonts w:ascii="Times" w:eastAsia="Times" w:hAnsi="Times"/>
      <w:sz w:val="20"/>
      <w:szCs w:val="20"/>
    </w:rPr>
  </w:style>
  <w:style w:type="character" w:styleId="FootnoteReference">
    <w:name w:val="footnote reference"/>
    <w:basedOn w:val="DefaultParagraphFont"/>
    <w:uiPriority w:val="99"/>
    <w:semiHidden/>
    <w:unhideWhenUsed/>
    <w:rsid w:val="00806F9C"/>
    <w:rPr>
      <w:vertAlign w:val="superscript"/>
    </w:rPr>
  </w:style>
  <w:style w:type="paragraph" w:styleId="BalloonText">
    <w:name w:val="Balloon Text"/>
    <w:basedOn w:val="Normal"/>
    <w:link w:val="BalloonTextChar"/>
    <w:uiPriority w:val="99"/>
    <w:semiHidden/>
    <w:unhideWhenUsed/>
    <w:rsid w:val="00715300"/>
    <w:rPr>
      <w:rFonts w:ascii="Tahoma" w:hAnsi="Tahoma" w:cs="Tahoma"/>
      <w:sz w:val="16"/>
      <w:szCs w:val="16"/>
    </w:rPr>
  </w:style>
  <w:style w:type="character" w:customStyle="1" w:styleId="BalloonTextChar">
    <w:name w:val="Balloon Text Char"/>
    <w:basedOn w:val="DefaultParagraphFont"/>
    <w:link w:val="BalloonText"/>
    <w:uiPriority w:val="99"/>
    <w:semiHidden/>
    <w:rsid w:val="00715300"/>
    <w:rPr>
      <w:rFonts w:ascii="Tahoma" w:eastAsia="Times" w:hAnsi="Tahoma" w:cs="Tahoma"/>
      <w:sz w:val="16"/>
      <w:szCs w:val="16"/>
    </w:rPr>
  </w:style>
  <w:style w:type="character" w:styleId="CommentReference">
    <w:name w:val="annotation reference"/>
    <w:basedOn w:val="DefaultParagraphFont"/>
    <w:uiPriority w:val="99"/>
    <w:semiHidden/>
    <w:unhideWhenUsed/>
    <w:rsid w:val="00622D14"/>
    <w:rPr>
      <w:sz w:val="16"/>
      <w:szCs w:val="16"/>
    </w:rPr>
  </w:style>
  <w:style w:type="paragraph" w:styleId="CommentText">
    <w:name w:val="annotation text"/>
    <w:basedOn w:val="Normal"/>
    <w:link w:val="CommentTextChar"/>
    <w:uiPriority w:val="99"/>
    <w:semiHidden/>
    <w:unhideWhenUsed/>
    <w:rsid w:val="00622D14"/>
    <w:rPr>
      <w:sz w:val="20"/>
    </w:rPr>
  </w:style>
  <w:style w:type="character" w:customStyle="1" w:styleId="CommentTextChar">
    <w:name w:val="Comment Text Char"/>
    <w:basedOn w:val="DefaultParagraphFont"/>
    <w:link w:val="CommentText"/>
    <w:uiPriority w:val="99"/>
    <w:semiHidden/>
    <w:rsid w:val="00622D14"/>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622D14"/>
    <w:rPr>
      <w:b/>
      <w:bCs/>
    </w:rPr>
  </w:style>
  <w:style w:type="character" w:customStyle="1" w:styleId="CommentSubjectChar">
    <w:name w:val="Comment Subject Char"/>
    <w:basedOn w:val="CommentTextChar"/>
    <w:link w:val="CommentSubject"/>
    <w:uiPriority w:val="99"/>
    <w:semiHidden/>
    <w:rsid w:val="00622D14"/>
    <w:rPr>
      <w:b/>
      <w:bCs/>
    </w:rPr>
  </w:style>
  <w:style w:type="paragraph" w:styleId="Footer">
    <w:name w:val="footer"/>
    <w:basedOn w:val="Normal"/>
    <w:link w:val="FooterChar"/>
    <w:uiPriority w:val="99"/>
    <w:semiHidden/>
    <w:unhideWhenUsed/>
    <w:rsid w:val="000A0A52"/>
    <w:pPr>
      <w:tabs>
        <w:tab w:val="center" w:pos="4680"/>
        <w:tab w:val="right" w:pos="9360"/>
      </w:tabs>
    </w:pPr>
  </w:style>
  <w:style w:type="character" w:customStyle="1" w:styleId="FooterChar">
    <w:name w:val="Footer Char"/>
    <w:basedOn w:val="DefaultParagraphFont"/>
    <w:link w:val="Footer"/>
    <w:uiPriority w:val="99"/>
    <w:semiHidden/>
    <w:rsid w:val="000A0A52"/>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divs>
    <w:div w:id="6306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2010-07-22T07:00:00+00:00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6006C-3A9A-49EC-816D-3702E72E61BB}"/>
</file>

<file path=customXml/itemProps2.xml><?xml version="1.0" encoding="utf-8"?>
<ds:datastoreItem xmlns:ds="http://schemas.openxmlformats.org/officeDocument/2006/customXml" ds:itemID="{BD231A6F-C270-49FD-AB0C-D23DFFCAD8A9}"/>
</file>

<file path=customXml/itemProps3.xml><?xml version="1.0" encoding="utf-8"?>
<ds:datastoreItem xmlns:ds="http://schemas.openxmlformats.org/officeDocument/2006/customXml" ds:itemID="{87A760FB-5382-432C-8215-CCBD978E8567}"/>
</file>

<file path=customXml/itemProps4.xml><?xml version="1.0" encoding="utf-8"?>
<ds:datastoreItem xmlns:ds="http://schemas.openxmlformats.org/officeDocument/2006/customXml" ds:itemID="{B2DAD97E-0971-4577-A0EF-F1282ECF7973}"/>
</file>

<file path=docProps/app.xml><?xml version="1.0" encoding="utf-8"?>
<Properties xmlns="http://schemas.openxmlformats.org/officeDocument/2006/extended-properties" xmlns:vt="http://schemas.openxmlformats.org/officeDocument/2006/docPropsVTypes">
  <Template>Normal.dotm</Template>
  <TotalTime>0</TotalTime>
  <Pages>11</Pages>
  <Words>3864</Words>
  <Characters>22029</Characters>
  <Application>Microsoft Office Word</Application>
  <DocSecurity>0</DocSecurity>
  <Lines>183</Lines>
  <Paragraphs>51</Paragraphs>
  <ScaleCrop>false</ScaleCrop>
  <Company/>
  <LinksUpToDate>false</LinksUpToDate>
  <CharactersWithSpaces>25842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2010-07-22T20:34:00Z</dcterms:created>
  <dcterms:modified xsi:type="dcterms:W3CDTF">2010-07-22T20:34:00Z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0x0101006E56B4D1795A2E4DB2F0B01679ED314A00ADA8B204A4978E48A6221B81634FEF3E</vt:lpwstr>
  </property>
  <property fmtid="{D5CDD505-2E9C-101B-9397-08002B2CF9AE}" pid="4" name="_docset_NoMedatataSyncRequired">
    <vt:lpwstr>False</vt:lpwstr>
  </property>
</Properties>
</file>