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8F0" w:rsidRPr="00DA5DBB" w:rsidRDefault="006C48F0" w:rsidP="00486CD0">
      <w:pPr>
        <w:pStyle w:val="BodyText"/>
        <w:spacing w:line="288" w:lineRule="auto"/>
        <w:rPr>
          <w:b/>
          <w:bCs/>
          <w:sz w:val="25"/>
          <w:szCs w:val="25"/>
        </w:rPr>
      </w:pPr>
      <w:r w:rsidRPr="00DA5DBB">
        <w:rPr>
          <w:b/>
          <w:bCs/>
          <w:sz w:val="25"/>
          <w:szCs w:val="25"/>
        </w:rPr>
        <w:t xml:space="preserve">BEFORE THE </w:t>
      </w:r>
      <w:smartTag w:uri="urn:schemas-microsoft-com:office:smarttags" w:element="City">
        <w:smartTag w:uri="urn:schemas-microsoft-com:office:smarttags" w:element="PlaceName">
          <w:r w:rsidRPr="00DA5DBB">
            <w:rPr>
              <w:b/>
              <w:bCs/>
              <w:sz w:val="25"/>
              <w:szCs w:val="25"/>
            </w:rPr>
            <w:t>WASHINGTON</w:t>
          </w:r>
        </w:smartTag>
        <w:r w:rsidRPr="00DA5DBB">
          <w:rPr>
            <w:b/>
            <w:bCs/>
            <w:sz w:val="25"/>
            <w:szCs w:val="25"/>
          </w:rPr>
          <w:t xml:space="preserve"> </w:t>
        </w:r>
        <w:smartTag w:uri="urn:schemas-microsoft-com:office:smarttags" w:element="date">
          <w:r w:rsidRPr="00DA5DBB">
            <w:rPr>
              <w:b/>
              <w:bCs/>
              <w:sz w:val="25"/>
              <w:szCs w:val="25"/>
            </w:rPr>
            <w:t>STATE</w:t>
          </w:r>
        </w:smartTag>
      </w:smartTag>
    </w:p>
    <w:p w:rsidR="006C48F0" w:rsidRPr="00DA5DBB" w:rsidRDefault="006C48F0" w:rsidP="00486CD0">
      <w:pPr>
        <w:pStyle w:val="BodyText"/>
        <w:spacing w:line="288" w:lineRule="auto"/>
        <w:rPr>
          <w:b/>
          <w:bCs/>
          <w:sz w:val="25"/>
          <w:szCs w:val="25"/>
        </w:rPr>
      </w:pPr>
      <w:r w:rsidRPr="00DA5DBB">
        <w:rPr>
          <w:b/>
          <w:bCs/>
          <w:sz w:val="25"/>
          <w:szCs w:val="25"/>
        </w:rPr>
        <w:t>UTILITIES AND TRANSPORTATION COMMISSION</w:t>
      </w:r>
    </w:p>
    <w:p w:rsidR="006C48F0" w:rsidRPr="00C616D3" w:rsidRDefault="006C48F0" w:rsidP="00486CD0">
      <w:pPr>
        <w:spacing w:line="288" w:lineRule="auto"/>
        <w:rPr>
          <w:rStyle w:val="Style125pt"/>
        </w:rPr>
      </w:pPr>
    </w:p>
    <w:p w:rsidR="00B90CB9" w:rsidRPr="00C616D3" w:rsidRDefault="00B90CB9" w:rsidP="00486CD0">
      <w:pPr>
        <w:spacing w:line="288" w:lineRule="auto"/>
        <w:rPr>
          <w:rStyle w:val="Style125pt"/>
        </w:rPr>
      </w:pPr>
    </w:p>
    <w:tbl>
      <w:tblPr>
        <w:tblW w:w="8896" w:type="dxa"/>
        <w:tblBorders>
          <w:insideH w:val="single" w:sz="4" w:space="0" w:color="auto"/>
        </w:tblBorders>
        <w:tblLook w:val="0000"/>
      </w:tblPr>
      <w:tblGrid>
        <w:gridCol w:w="4308"/>
        <w:gridCol w:w="300"/>
        <w:gridCol w:w="4288"/>
      </w:tblGrid>
      <w:tr w:rsidR="006C48F0" w:rsidRPr="00DA5DBB">
        <w:tc>
          <w:tcPr>
            <w:tcW w:w="4308" w:type="dxa"/>
          </w:tcPr>
          <w:p w:rsidR="00135D18" w:rsidRDefault="00FB4DFD" w:rsidP="00FB4DFD">
            <w:pPr>
              <w:spacing w:line="288" w:lineRule="auto"/>
              <w:rPr>
                <w:rStyle w:val="Style125pt"/>
              </w:rPr>
            </w:pPr>
            <w:r>
              <w:rPr>
                <w:rStyle w:val="Style125pt"/>
              </w:rPr>
              <w:t>In re Application TC-091</w:t>
            </w:r>
            <w:r w:rsidR="00135D18">
              <w:rPr>
                <w:rStyle w:val="Style125pt"/>
              </w:rPr>
              <w:t>9</w:t>
            </w:r>
            <w:r>
              <w:rPr>
                <w:rStyle w:val="Style125pt"/>
              </w:rPr>
              <w:t xml:space="preserve">31 of </w:t>
            </w:r>
          </w:p>
          <w:p w:rsidR="00135D18" w:rsidRDefault="00135D18" w:rsidP="00FB4DFD">
            <w:pPr>
              <w:spacing w:line="288" w:lineRule="auto"/>
              <w:rPr>
                <w:rStyle w:val="Style125pt"/>
              </w:rPr>
            </w:pPr>
          </w:p>
          <w:p w:rsidR="00135D18" w:rsidRDefault="00B95508" w:rsidP="00FB4DFD">
            <w:pPr>
              <w:spacing w:line="288" w:lineRule="auto"/>
              <w:rPr>
                <w:rStyle w:val="Style125pt"/>
              </w:rPr>
            </w:pPr>
            <w:r>
              <w:rPr>
                <w:rStyle w:val="Style125pt"/>
              </w:rPr>
              <w:t xml:space="preserve">SHUTTLE EXPRESS, INC., </w:t>
            </w:r>
          </w:p>
          <w:p w:rsidR="00135D18" w:rsidRDefault="00135D18" w:rsidP="00FB4DFD">
            <w:pPr>
              <w:spacing w:line="288" w:lineRule="auto"/>
              <w:rPr>
                <w:rStyle w:val="Style125pt"/>
              </w:rPr>
            </w:pPr>
          </w:p>
          <w:p w:rsidR="006C48F0" w:rsidRPr="00C616D3" w:rsidRDefault="00FB4DFD" w:rsidP="00FB4DFD">
            <w:pPr>
              <w:spacing w:line="288" w:lineRule="auto"/>
              <w:rPr>
                <w:rStyle w:val="Style125pt"/>
              </w:rPr>
            </w:pPr>
            <w:r>
              <w:rPr>
                <w:rStyle w:val="Style125pt"/>
              </w:rPr>
              <w:t xml:space="preserve">For a Certificate of Public Convenience and Necessity to Operate Motor Vehicles in </w:t>
            </w:r>
            <w:r w:rsidR="00135D18">
              <w:rPr>
                <w:rStyle w:val="Style125pt"/>
              </w:rPr>
              <w:t>F</w:t>
            </w:r>
            <w:r>
              <w:rPr>
                <w:rStyle w:val="Style125pt"/>
              </w:rPr>
              <w:t>urnishing Passenger and Express Service as an Auto Transportation Company</w:t>
            </w:r>
          </w:p>
          <w:p w:rsidR="00B90CB9" w:rsidRPr="00C616D3" w:rsidRDefault="00B90CB9" w:rsidP="00486CD0">
            <w:pPr>
              <w:spacing w:line="288" w:lineRule="auto"/>
              <w:rPr>
                <w:rStyle w:val="Style125pt"/>
              </w:rPr>
            </w:pPr>
          </w:p>
          <w:p w:rsidR="006C48F0" w:rsidRPr="00DA5DBB" w:rsidRDefault="006C48F0" w:rsidP="00486CD0">
            <w:pPr>
              <w:spacing w:line="288" w:lineRule="auto"/>
              <w:rPr>
                <w:sz w:val="25"/>
                <w:szCs w:val="25"/>
              </w:rPr>
            </w:pPr>
            <w:r w:rsidRPr="00C616D3">
              <w:rPr>
                <w:rStyle w:val="Style125pt"/>
              </w:rPr>
              <w:t xml:space="preserve">. . . . . . . . . . . . . . . . . . . . . . . . . . . . . . . . . </w:t>
            </w:r>
          </w:p>
        </w:tc>
        <w:tc>
          <w:tcPr>
            <w:tcW w:w="300" w:type="dxa"/>
          </w:tcPr>
          <w:p w:rsidR="006C48F0" w:rsidRPr="00C616D3" w:rsidRDefault="006C48F0" w:rsidP="00486CD0">
            <w:pPr>
              <w:spacing w:line="288" w:lineRule="auto"/>
              <w:rPr>
                <w:rStyle w:val="Style125pt"/>
              </w:rPr>
            </w:pPr>
            <w:r w:rsidRPr="00C616D3">
              <w:rPr>
                <w:rStyle w:val="Style125pt"/>
              </w:rPr>
              <w:t>)</w:t>
            </w:r>
          </w:p>
          <w:p w:rsidR="006C48F0" w:rsidRPr="00C616D3" w:rsidRDefault="006C48F0" w:rsidP="00486CD0">
            <w:pPr>
              <w:spacing w:line="288" w:lineRule="auto"/>
              <w:rPr>
                <w:rStyle w:val="Style125pt"/>
              </w:rPr>
            </w:pPr>
            <w:r w:rsidRPr="00C616D3">
              <w:rPr>
                <w:rStyle w:val="Style125pt"/>
              </w:rPr>
              <w:t>)</w:t>
            </w:r>
          </w:p>
          <w:p w:rsidR="006C48F0" w:rsidRPr="00C616D3" w:rsidRDefault="006C48F0" w:rsidP="00486CD0">
            <w:pPr>
              <w:spacing w:line="288" w:lineRule="auto"/>
              <w:rPr>
                <w:rStyle w:val="Style125pt"/>
              </w:rPr>
            </w:pPr>
            <w:r w:rsidRPr="00C616D3">
              <w:rPr>
                <w:rStyle w:val="Style125pt"/>
              </w:rPr>
              <w:t>)</w:t>
            </w:r>
          </w:p>
          <w:p w:rsidR="008C35CD" w:rsidRPr="00C616D3" w:rsidRDefault="008C35CD" w:rsidP="00486CD0">
            <w:pPr>
              <w:spacing w:line="288" w:lineRule="auto"/>
              <w:rPr>
                <w:rStyle w:val="Style125pt"/>
              </w:rPr>
            </w:pPr>
            <w:r w:rsidRPr="00C616D3">
              <w:rPr>
                <w:rStyle w:val="Style125pt"/>
              </w:rPr>
              <w:t>)</w:t>
            </w:r>
          </w:p>
          <w:p w:rsidR="008C35CD" w:rsidRPr="00C616D3" w:rsidRDefault="008C35CD" w:rsidP="00486CD0">
            <w:pPr>
              <w:spacing w:line="288" w:lineRule="auto"/>
              <w:rPr>
                <w:rStyle w:val="Style125pt"/>
              </w:rPr>
            </w:pPr>
            <w:r w:rsidRPr="00C616D3">
              <w:rPr>
                <w:rStyle w:val="Style125pt"/>
              </w:rPr>
              <w:t>)</w:t>
            </w:r>
          </w:p>
          <w:p w:rsidR="006C48F0" w:rsidRPr="00C616D3" w:rsidRDefault="006C48F0" w:rsidP="00486CD0">
            <w:pPr>
              <w:spacing w:line="288" w:lineRule="auto"/>
              <w:rPr>
                <w:rStyle w:val="Style125pt"/>
              </w:rPr>
            </w:pPr>
            <w:r w:rsidRPr="00C616D3">
              <w:rPr>
                <w:rStyle w:val="Style125pt"/>
              </w:rPr>
              <w:t>)</w:t>
            </w:r>
          </w:p>
          <w:p w:rsidR="008C35CD" w:rsidRPr="00C616D3" w:rsidRDefault="008C35CD" w:rsidP="00486CD0">
            <w:pPr>
              <w:spacing w:line="288" w:lineRule="auto"/>
              <w:rPr>
                <w:rStyle w:val="Style125pt"/>
              </w:rPr>
            </w:pPr>
            <w:r w:rsidRPr="00C616D3">
              <w:rPr>
                <w:rStyle w:val="Style125pt"/>
              </w:rPr>
              <w:t>)</w:t>
            </w:r>
          </w:p>
          <w:p w:rsidR="006C48F0" w:rsidRDefault="006C48F0" w:rsidP="00486CD0">
            <w:pPr>
              <w:spacing w:line="288" w:lineRule="auto"/>
              <w:rPr>
                <w:rStyle w:val="Style125pt"/>
              </w:rPr>
            </w:pPr>
            <w:r w:rsidRPr="00C616D3">
              <w:rPr>
                <w:rStyle w:val="Style125pt"/>
              </w:rPr>
              <w:t>)</w:t>
            </w:r>
          </w:p>
          <w:p w:rsidR="00135D18" w:rsidRDefault="00135D18" w:rsidP="00486CD0">
            <w:pPr>
              <w:spacing w:line="288" w:lineRule="auto"/>
              <w:rPr>
                <w:rStyle w:val="Style125pt"/>
              </w:rPr>
            </w:pPr>
            <w:r>
              <w:rPr>
                <w:rStyle w:val="Style125pt"/>
              </w:rPr>
              <w:t>)</w:t>
            </w:r>
          </w:p>
          <w:p w:rsidR="002E5747" w:rsidRDefault="002E5747" w:rsidP="00486CD0">
            <w:pPr>
              <w:spacing w:line="288" w:lineRule="auto"/>
              <w:rPr>
                <w:rStyle w:val="Style125pt"/>
              </w:rPr>
            </w:pPr>
            <w:r>
              <w:rPr>
                <w:rStyle w:val="Style125pt"/>
              </w:rPr>
              <w:t>)</w:t>
            </w:r>
          </w:p>
          <w:p w:rsidR="00FD312F" w:rsidRPr="00DA5DBB" w:rsidRDefault="00135D18" w:rsidP="00FC4E22">
            <w:pPr>
              <w:spacing w:line="288" w:lineRule="auto"/>
              <w:rPr>
                <w:sz w:val="25"/>
                <w:szCs w:val="25"/>
              </w:rPr>
            </w:pPr>
            <w:r>
              <w:rPr>
                <w:rStyle w:val="Style125pt"/>
              </w:rPr>
              <w:t>)</w:t>
            </w:r>
          </w:p>
        </w:tc>
        <w:tc>
          <w:tcPr>
            <w:tcW w:w="4288" w:type="dxa"/>
          </w:tcPr>
          <w:p w:rsidR="006C48F0" w:rsidRPr="00DA5DBB" w:rsidRDefault="006C48F0" w:rsidP="00486CD0">
            <w:pPr>
              <w:spacing w:line="288" w:lineRule="auto"/>
              <w:ind w:left="192"/>
              <w:rPr>
                <w:sz w:val="25"/>
                <w:szCs w:val="25"/>
              </w:rPr>
            </w:pPr>
            <w:r w:rsidRPr="00DA5DBB">
              <w:rPr>
                <w:sz w:val="25"/>
                <w:szCs w:val="25"/>
              </w:rPr>
              <w:t xml:space="preserve">DOCKET </w:t>
            </w:r>
            <w:r w:rsidR="00FB4DFD">
              <w:rPr>
                <w:sz w:val="25"/>
                <w:szCs w:val="25"/>
              </w:rPr>
              <w:t>TC</w:t>
            </w:r>
            <w:r w:rsidR="006276AE">
              <w:rPr>
                <w:sz w:val="25"/>
                <w:szCs w:val="25"/>
              </w:rPr>
              <w:t>-0</w:t>
            </w:r>
            <w:r w:rsidR="00FB5FAC">
              <w:rPr>
                <w:sz w:val="25"/>
                <w:szCs w:val="25"/>
              </w:rPr>
              <w:t>9</w:t>
            </w:r>
            <w:r w:rsidR="00313D7C">
              <w:rPr>
                <w:sz w:val="25"/>
                <w:szCs w:val="25"/>
              </w:rPr>
              <w:t>1</w:t>
            </w:r>
            <w:r w:rsidR="00FB4DFD">
              <w:rPr>
                <w:sz w:val="25"/>
                <w:szCs w:val="25"/>
              </w:rPr>
              <w:t>931</w:t>
            </w:r>
          </w:p>
          <w:p w:rsidR="006C48F0" w:rsidRDefault="006C48F0" w:rsidP="00486CD0">
            <w:pPr>
              <w:spacing w:line="288" w:lineRule="auto"/>
              <w:ind w:left="192"/>
              <w:rPr>
                <w:sz w:val="25"/>
                <w:szCs w:val="25"/>
              </w:rPr>
            </w:pPr>
          </w:p>
          <w:p w:rsidR="006C48F0" w:rsidRPr="00DA5DBB" w:rsidRDefault="006C48F0" w:rsidP="00486CD0">
            <w:pPr>
              <w:spacing w:line="288" w:lineRule="auto"/>
              <w:ind w:left="192"/>
              <w:rPr>
                <w:sz w:val="25"/>
                <w:szCs w:val="25"/>
              </w:rPr>
            </w:pPr>
            <w:r w:rsidRPr="00DA5DBB">
              <w:rPr>
                <w:sz w:val="25"/>
                <w:szCs w:val="25"/>
              </w:rPr>
              <w:t>ORDER 0</w:t>
            </w:r>
            <w:r w:rsidR="00FB4DFD">
              <w:rPr>
                <w:sz w:val="25"/>
                <w:szCs w:val="25"/>
              </w:rPr>
              <w:t>2</w:t>
            </w:r>
          </w:p>
          <w:p w:rsidR="009F5C26" w:rsidRDefault="009F5C26" w:rsidP="00486CD0">
            <w:pPr>
              <w:spacing w:line="288" w:lineRule="auto"/>
              <w:ind w:left="192"/>
              <w:rPr>
                <w:sz w:val="25"/>
                <w:szCs w:val="25"/>
              </w:rPr>
            </w:pPr>
          </w:p>
          <w:p w:rsidR="00191D68" w:rsidRDefault="00A80B43" w:rsidP="00486CD0">
            <w:pPr>
              <w:spacing w:line="288" w:lineRule="auto"/>
              <w:ind w:left="192"/>
              <w:rPr>
                <w:sz w:val="25"/>
                <w:szCs w:val="25"/>
              </w:rPr>
            </w:pPr>
            <w:r>
              <w:rPr>
                <w:sz w:val="25"/>
                <w:szCs w:val="25"/>
              </w:rPr>
              <w:t>ORDER</w:t>
            </w:r>
            <w:r w:rsidR="00DD2577">
              <w:rPr>
                <w:sz w:val="25"/>
                <w:szCs w:val="25"/>
              </w:rPr>
              <w:t xml:space="preserve"> GRANTING</w:t>
            </w:r>
            <w:r w:rsidR="00FB4DFD">
              <w:rPr>
                <w:sz w:val="25"/>
                <w:szCs w:val="25"/>
              </w:rPr>
              <w:t xml:space="preserve"> PETITION FOR REVIEW</w:t>
            </w:r>
          </w:p>
          <w:p w:rsidR="00191D68" w:rsidRDefault="00191D68" w:rsidP="00486CD0">
            <w:pPr>
              <w:spacing w:line="288" w:lineRule="auto"/>
              <w:ind w:left="192"/>
              <w:rPr>
                <w:sz w:val="25"/>
                <w:szCs w:val="25"/>
              </w:rPr>
            </w:pPr>
          </w:p>
          <w:p w:rsidR="008C35CD" w:rsidRPr="00DD2577" w:rsidRDefault="008C35CD" w:rsidP="00486CD0">
            <w:pPr>
              <w:spacing w:line="288" w:lineRule="auto"/>
              <w:ind w:left="192"/>
              <w:jc w:val="both"/>
              <w:rPr>
                <w:sz w:val="25"/>
                <w:szCs w:val="25"/>
              </w:rPr>
            </w:pPr>
          </w:p>
          <w:p w:rsidR="008C35CD" w:rsidRPr="00DA5DBB" w:rsidRDefault="008C35CD" w:rsidP="00486CD0">
            <w:pPr>
              <w:spacing w:line="288" w:lineRule="auto"/>
              <w:ind w:left="192"/>
              <w:rPr>
                <w:sz w:val="25"/>
                <w:szCs w:val="25"/>
              </w:rPr>
            </w:pPr>
          </w:p>
        </w:tc>
      </w:tr>
    </w:tbl>
    <w:p w:rsidR="00D3065E" w:rsidRDefault="00D3065E" w:rsidP="00486CD0">
      <w:pPr>
        <w:pStyle w:val="Header"/>
        <w:tabs>
          <w:tab w:val="clear" w:pos="4320"/>
          <w:tab w:val="clear" w:pos="8640"/>
        </w:tabs>
        <w:spacing w:line="288" w:lineRule="auto"/>
        <w:rPr>
          <w:sz w:val="25"/>
          <w:szCs w:val="25"/>
        </w:rPr>
      </w:pPr>
    </w:p>
    <w:p w:rsidR="008F77BB" w:rsidRPr="00D3065E" w:rsidRDefault="00391162" w:rsidP="00486CD0">
      <w:pPr>
        <w:numPr>
          <w:ilvl w:val="0"/>
          <w:numId w:val="10"/>
        </w:numPr>
        <w:spacing w:line="288" w:lineRule="auto"/>
        <w:ind w:hanging="720"/>
        <w:rPr>
          <w:sz w:val="25"/>
        </w:rPr>
      </w:pPr>
      <w:r w:rsidRPr="00D3065E">
        <w:rPr>
          <w:b/>
          <w:i/>
          <w:sz w:val="25"/>
          <w:szCs w:val="25"/>
        </w:rPr>
        <w:t>SYNOPSIS</w:t>
      </w:r>
      <w:r w:rsidR="008F77BB" w:rsidRPr="00D3065E">
        <w:rPr>
          <w:b/>
          <w:i/>
          <w:sz w:val="25"/>
          <w:szCs w:val="25"/>
        </w:rPr>
        <w:t xml:space="preserve">.  </w:t>
      </w:r>
      <w:r w:rsidRPr="00D3065E">
        <w:rPr>
          <w:i/>
          <w:sz w:val="25"/>
          <w:szCs w:val="25"/>
        </w:rPr>
        <w:t xml:space="preserve">In this order, the Commission grants </w:t>
      </w:r>
      <w:r w:rsidR="00FB4DFD">
        <w:rPr>
          <w:i/>
          <w:sz w:val="25"/>
          <w:szCs w:val="25"/>
        </w:rPr>
        <w:t>Seatac Shuttle’s pet</w:t>
      </w:r>
      <w:r w:rsidRPr="00D3065E">
        <w:rPr>
          <w:i/>
          <w:sz w:val="25"/>
          <w:szCs w:val="25"/>
        </w:rPr>
        <w:t xml:space="preserve">ition for administrative review of the </w:t>
      </w:r>
      <w:r w:rsidR="00E53560">
        <w:rPr>
          <w:i/>
          <w:sz w:val="25"/>
          <w:szCs w:val="25"/>
        </w:rPr>
        <w:t xml:space="preserve">interlocutory and </w:t>
      </w:r>
      <w:r w:rsidRPr="00D3065E">
        <w:rPr>
          <w:i/>
          <w:sz w:val="25"/>
          <w:szCs w:val="25"/>
        </w:rPr>
        <w:t>initial order in this proceedin</w:t>
      </w:r>
      <w:r w:rsidR="00B4699D">
        <w:rPr>
          <w:i/>
          <w:sz w:val="25"/>
          <w:szCs w:val="25"/>
        </w:rPr>
        <w:t xml:space="preserve">g.  </w:t>
      </w:r>
      <w:r w:rsidR="00FB4DFD">
        <w:rPr>
          <w:i/>
          <w:sz w:val="25"/>
          <w:szCs w:val="25"/>
        </w:rPr>
        <w:t>In granting administrative review, t</w:t>
      </w:r>
      <w:r w:rsidR="00B4699D">
        <w:rPr>
          <w:i/>
          <w:sz w:val="25"/>
          <w:szCs w:val="25"/>
        </w:rPr>
        <w:t xml:space="preserve">he Commission </w:t>
      </w:r>
      <w:r w:rsidR="00727852">
        <w:rPr>
          <w:i/>
          <w:sz w:val="25"/>
          <w:szCs w:val="25"/>
        </w:rPr>
        <w:t>modifies</w:t>
      </w:r>
      <w:r w:rsidR="00FB4DFD">
        <w:rPr>
          <w:i/>
          <w:sz w:val="25"/>
          <w:szCs w:val="25"/>
        </w:rPr>
        <w:t xml:space="preserve"> </w:t>
      </w:r>
      <w:r w:rsidR="00B4699D">
        <w:rPr>
          <w:i/>
          <w:sz w:val="25"/>
          <w:szCs w:val="25"/>
        </w:rPr>
        <w:t xml:space="preserve">the </w:t>
      </w:r>
      <w:r w:rsidR="00E53560">
        <w:rPr>
          <w:i/>
          <w:sz w:val="25"/>
          <w:szCs w:val="25"/>
        </w:rPr>
        <w:t>interlocutory order’s</w:t>
      </w:r>
      <w:r w:rsidRPr="00D3065E">
        <w:rPr>
          <w:i/>
          <w:sz w:val="25"/>
          <w:szCs w:val="25"/>
        </w:rPr>
        <w:t xml:space="preserve"> determination that </w:t>
      </w:r>
      <w:r w:rsidR="00FB4DFD">
        <w:rPr>
          <w:i/>
          <w:sz w:val="25"/>
          <w:szCs w:val="25"/>
        </w:rPr>
        <w:t xml:space="preserve">Seatac Shuttle’s protest should be stricken </w:t>
      </w:r>
      <w:r w:rsidR="00226F47">
        <w:rPr>
          <w:i/>
          <w:sz w:val="25"/>
          <w:szCs w:val="25"/>
        </w:rPr>
        <w:t xml:space="preserve">as untimely filed </w:t>
      </w:r>
      <w:r w:rsidR="00FB4DFD">
        <w:rPr>
          <w:i/>
          <w:sz w:val="25"/>
          <w:szCs w:val="25"/>
        </w:rPr>
        <w:t xml:space="preserve">and that the </w:t>
      </w:r>
      <w:r w:rsidR="00E53560">
        <w:rPr>
          <w:i/>
          <w:sz w:val="25"/>
          <w:szCs w:val="25"/>
        </w:rPr>
        <w:t>prehearing conference should be canceled</w:t>
      </w:r>
      <w:r w:rsidR="00B95508">
        <w:rPr>
          <w:i/>
          <w:sz w:val="25"/>
          <w:szCs w:val="25"/>
        </w:rPr>
        <w:t>.  This Order also</w:t>
      </w:r>
      <w:r w:rsidR="00E53560">
        <w:rPr>
          <w:i/>
          <w:sz w:val="25"/>
          <w:szCs w:val="25"/>
        </w:rPr>
        <w:t xml:space="preserve"> </w:t>
      </w:r>
      <w:r w:rsidR="00727852">
        <w:rPr>
          <w:i/>
          <w:sz w:val="25"/>
          <w:szCs w:val="25"/>
        </w:rPr>
        <w:t>modifies</w:t>
      </w:r>
      <w:r w:rsidR="00E53560">
        <w:rPr>
          <w:i/>
          <w:sz w:val="25"/>
          <w:szCs w:val="25"/>
        </w:rPr>
        <w:t xml:space="preserve"> the initial order’s determination that the </w:t>
      </w:r>
      <w:r w:rsidR="00FB4DFD">
        <w:rPr>
          <w:i/>
          <w:sz w:val="25"/>
          <w:szCs w:val="25"/>
        </w:rPr>
        <w:t>adjudicative proceeding addressing Shuttle Express, Inc.’s application should be terminated</w:t>
      </w:r>
      <w:r w:rsidRPr="00D3065E">
        <w:rPr>
          <w:i/>
          <w:sz w:val="25"/>
          <w:szCs w:val="25"/>
        </w:rPr>
        <w:t>.</w:t>
      </w:r>
      <w:r w:rsidR="00226F47">
        <w:rPr>
          <w:i/>
          <w:sz w:val="25"/>
          <w:szCs w:val="25"/>
        </w:rPr>
        <w:t xml:space="preserve">  The Commission accepts Seatac Shuttle’s protest, </w:t>
      </w:r>
      <w:r w:rsidR="00C862EC">
        <w:rPr>
          <w:i/>
          <w:sz w:val="25"/>
          <w:szCs w:val="25"/>
        </w:rPr>
        <w:t>finds</w:t>
      </w:r>
      <w:r w:rsidR="00226F47">
        <w:rPr>
          <w:i/>
          <w:sz w:val="25"/>
          <w:szCs w:val="25"/>
        </w:rPr>
        <w:t xml:space="preserve"> that the prehearing conference should be rescheduled and that this application should be addressed in an adjudicative proceeding. </w:t>
      </w:r>
    </w:p>
    <w:p w:rsidR="008F77BB" w:rsidRDefault="008F77BB" w:rsidP="00486CD0">
      <w:pPr>
        <w:spacing w:line="288" w:lineRule="auto"/>
        <w:rPr>
          <w:sz w:val="25"/>
        </w:rPr>
      </w:pPr>
    </w:p>
    <w:p w:rsidR="00D3065E" w:rsidRPr="00D3065E" w:rsidRDefault="00D3065E" w:rsidP="00486CD0">
      <w:pPr>
        <w:spacing w:line="288" w:lineRule="auto"/>
        <w:jc w:val="center"/>
        <w:rPr>
          <w:b/>
          <w:sz w:val="25"/>
          <w:u w:val="single"/>
        </w:rPr>
      </w:pPr>
      <w:r w:rsidRPr="00D3065E">
        <w:rPr>
          <w:b/>
          <w:sz w:val="25"/>
          <w:u w:val="single"/>
        </w:rPr>
        <w:t>INTRODUCTION</w:t>
      </w:r>
    </w:p>
    <w:p w:rsidR="00D3065E" w:rsidRPr="00D3065E" w:rsidRDefault="00D3065E" w:rsidP="00486CD0">
      <w:pPr>
        <w:spacing w:line="288" w:lineRule="auto"/>
        <w:rPr>
          <w:sz w:val="25"/>
        </w:rPr>
      </w:pPr>
    </w:p>
    <w:p w:rsidR="006C0350" w:rsidRPr="00D3065E" w:rsidRDefault="008F77BB" w:rsidP="00486CD0">
      <w:pPr>
        <w:numPr>
          <w:ilvl w:val="0"/>
          <w:numId w:val="10"/>
        </w:numPr>
        <w:spacing w:line="288" w:lineRule="auto"/>
        <w:ind w:hanging="720"/>
        <w:rPr>
          <w:rStyle w:val="Style125pt"/>
        </w:rPr>
      </w:pPr>
      <w:r w:rsidRPr="00D3065E">
        <w:rPr>
          <w:b/>
          <w:sz w:val="25"/>
          <w:szCs w:val="25"/>
        </w:rPr>
        <w:t>N</w:t>
      </w:r>
      <w:r w:rsidR="00600736" w:rsidRPr="00D3065E">
        <w:rPr>
          <w:b/>
          <w:sz w:val="25"/>
          <w:szCs w:val="25"/>
        </w:rPr>
        <w:t>ATURE OF PROCEEDING</w:t>
      </w:r>
      <w:r w:rsidRPr="00D3065E">
        <w:rPr>
          <w:b/>
          <w:sz w:val="25"/>
          <w:szCs w:val="25"/>
        </w:rPr>
        <w:t>.</w:t>
      </w:r>
      <w:r w:rsidR="00C67FF4" w:rsidRPr="00D3065E">
        <w:rPr>
          <w:b/>
          <w:sz w:val="25"/>
          <w:szCs w:val="25"/>
        </w:rPr>
        <w:t xml:space="preserve"> </w:t>
      </w:r>
      <w:r w:rsidR="00391162" w:rsidRPr="00D3065E">
        <w:rPr>
          <w:sz w:val="25"/>
          <w:szCs w:val="25"/>
        </w:rPr>
        <w:t>This proceeding</w:t>
      </w:r>
      <w:r w:rsidR="00391162" w:rsidRPr="00D3065E">
        <w:rPr>
          <w:b/>
          <w:sz w:val="25"/>
          <w:szCs w:val="25"/>
        </w:rPr>
        <w:t xml:space="preserve"> </w:t>
      </w:r>
      <w:r w:rsidR="00391162" w:rsidRPr="00D3065E">
        <w:rPr>
          <w:rStyle w:val="Style125pt"/>
        </w:rPr>
        <w:t>involves a</w:t>
      </w:r>
      <w:r w:rsidR="005847A8">
        <w:rPr>
          <w:rStyle w:val="Style125pt"/>
        </w:rPr>
        <w:t>n application by Shuttle Express, Inc., (Shuttle Express) to extend its certificate to provide passenger and express service as an auto transportation company.  The application seeks to remove the restriction that service be limited to vehicles no larger than a seven-passenger van.</w:t>
      </w:r>
      <w:r w:rsidR="007E4AD2" w:rsidRPr="00D3065E">
        <w:rPr>
          <w:rStyle w:val="Style125pt"/>
        </w:rPr>
        <w:t xml:space="preserve"> </w:t>
      </w:r>
    </w:p>
    <w:p w:rsidR="00D3065E" w:rsidRPr="00D3065E" w:rsidRDefault="00D3065E" w:rsidP="00486CD0">
      <w:pPr>
        <w:spacing w:line="288" w:lineRule="auto"/>
        <w:rPr>
          <w:sz w:val="25"/>
          <w:szCs w:val="25"/>
        </w:rPr>
      </w:pPr>
    </w:p>
    <w:p w:rsidR="00D3065E" w:rsidRPr="00D3065E" w:rsidRDefault="00D3065E" w:rsidP="00486CD0">
      <w:pPr>
        <w:numPr>
          <w:ilvl w:val="0"/>
          <w:numId w:val="10"/>
        </w:numPr>
        <w:spacing w:line="288" w:lineRule="auto"/>
        <w:ind w:hanging="720"/>
        <w:rPr>
          <w:rStyle w:val="Style125pt"/>
        </w:rPr>
      </w:pPr>
      <w:r w:rsidRPr="00D3065E">
        <w:rPr>
          <w:b/>
          <w:bCs/>
          <w:sz w:val="25"/>
          <w:szCs w:val="25"/>
        </w:rPr>
        <w:t>PARTY REPRESENTATIVES.</w:t>
      </w:r>
      <w:r w:rsidRPr="00D3065E">
        <w:rPr>
          <w:rStyle w:val="Style125pt"/>
        </w:rPr>
        <w:t xml:space="preserve">  </w:t>
      </w:r>
      <w:r w:rsidR="005847A8">
        <w:rPr>
          <w:rStyle w:val="Style125pt"/>
        </w:rPr>
        <w:t>Brooks Harlow</w:t>
      </w:r>
      <w:r w:rsidRPr="00D3065E">
        <w:rPr>
          <w:rStyle w:val="Style125pt"/>
        </w:rPr>
        <w:t>. M</w:t>
      </w:r>
      <w:r w:rsidR="005847A8">
        <w:rPr>
          <w:rStyle w:val="Style125pt"/>
        </w:rPr>
        <w:t>iller Nash, LLC</w:t>
      </w:r>
      <w:r w:rsidRPr="00D3065E">
        <w:rPr>
          <w:rStyle w:val="Style125pt"/>
        </w:rPr>
        <w:t xml:space="preserve">, Seattle, Washington, represents </w:t>
      </w:r>
      <w:r w:rsidR="005847A8">
        <w:rPr>
          <w:rStyle w:val="Style125pt"/>
        </w:rPr>
        <w:t>Shuttle Express</w:t>
      </w:r>
      <w:r w:rsidRPr="00D3065E">
        <w:rPr>
          <w:rStyle w:val="Style125pt"/>
        </w:rPr>
        <w:t>.  J</w:t>
      </w:r>
      <w:r w:rsidR="005847A8">
        <w:rPr>
          <w:rStyle w:val="Style125pt"/>
        </w:rPr>
        <w:t>ohn Solin, President, Oak Harbor, Wa</w:t>
      </w:r>
      <w:r w:rsidRPr="00D3065E">
        <w:rPr>
          <w:rStyle w:val="Style125pt"/>
        </w:rPr>
        <w:t xml:space="preserve">shington, represents </w:t>
      </w:r>
      <w:r w:rsidR="005847A8">
        <w:rPr>
          <w:rStyle w:val="Style125pt"/>
        </w:rPr>
        <w:t>Seatac Shuttle, LLC (Seatac).</w:t>
      </w:r>
    </w:p>
    <w:p w:rsidR="006C0350" w:rsidRPr="00D3065E" w:rsidRDefault="006C0350" w:rsidP="00486CD0">
      <w:pPr>
        <w:spacing w:line="288" w:lineRule="auto"/>
        <w:rPr>
          <w:sz w:val="25"/>
          <w:szCs w:val="25"/>
        </w:rPr>
      </w:pPr>
    </w:p>
    <w:p w:rsidR="00B73160" w:rsidRDefault="00D3065E" w:rsidP="00486CD0">
      <w:pPr>
        <w:numPr>
          <w:ilvl w:val="0"/>
          <w:numId w:val="10"/>
        </w:numPr>
        <w:spacing w:line="288" w:lineRule="auto"/>
        <w:ind w:hanging="720"/>
        <w:rPr>
          <w:sz w:val="25"/>
          <w:szCs w:val="25"/>
        </w:rPr>
      </w:pPr>
      <w:r w:rsidRPr="0047494E">
        <w:rPr>
          <w:b/>
          <w:sz w:val="25"/>
          <w:szCs w:val="25"/>
        </w:rPr>
        <w:t>PROCEDURAL HISTORY.</w:t>
      </w:r>
      <w:r w:rsidRPr="0047494E">
        <w:rPr>
          <w:sz w:val="25"/>
          <w:szCs w:val="25"/>
        </w:rPr>
        <w:t xml:space="preserve">  </w:t>
      </w:r>
      <w:r w:rsidR="00B73160">
        <w:rPr>
          <w:sz w:val="25"/>
          <w:szCs w:val="25"/>
        </w:rPr>
        <w:t>On December 17, 2009, Shuttle Express filed an application seeking an extension of its certificate to provide passenger and express service as an auto transport</w:t>
      </w:r>
      <w:r w:rsidR="006E2AC3">
        <w:rPr>
          <w:sz w:val="25"/>
          <w:szCs w:val="25"/>
        </w:rPr>
        <w:t xml:space="preserve">ation company.  </w:t>
      </w:r>
      <w:r w:rsidR="00B73160">
        <w:rPr>
          <w:sz w:val="25"/>
          <w:szCs w:val="25"/>
        </w:rPr>
        <w:t>Notice of the application was published in the Washington Utilities and Transportation Commission’s (Commission) weekly Docket of December 22, 2009.</w:t>
      </w:r>
    </w:p>
    <w:p w:rsidR="00B73160" w:rsidRDefault="00B73160" w:rsidP="00B73160">
      <w:pPr>
        <w:pStyle w:val="ListParagraph"/>
        <w:rPr>
          <w:sz w:val="25"/>
          <w:szCs w:val="25"/>
        </w:rPr>
      </w:pPr>
    </w:p>
    <w:p w:rsidR="006E2AC3" w:rsidRDefault="00D116C8" w:rsidP="00486CD0">
      <w:pPr>
        <w:numPr>
          <w:ilvl w:val="0"/>
          <w:numId w:val="10"/>
        </w:numPr>
        <w:spacing w:line="288" w:lineRule="auto"/>
        <w:ind w:hanging="720"/>
        <w:rPr>
          <w:sz w:val="25"/>
          <w:szCs w:val="25"/>
        </w:rPr>
      </w:pPr>
      <w:r>
        <w:rPr>
          <w:sz w:val="25"/>
          <w:szCs w:val="25"/>
        </w:rPr>
        <w:t xml:space="preserve">On January 20, 2010, Seatac filed, via the </w:t>
      </w:r>
      <w:r w:rsidR="008264D7">
        <w:rPr>
          <w:sz w:val="25"/>
          <w:szCs w:val="25"/>
        </w:rPr>
        <w:t xml:space="preserve">Commission’s </w:t>
      </w:r>
      <w:r>
        <w:rPr>
          <w:sz w:val="25"/>
          <w:szCs w:val="25"/>
        </w:rPr>
        <w:t>Web Portal, a protest to the application.</w:t>
      </w:r>
      <w:r w:rsidR="00B95508">
        <w:rPr>
          <w:rStyle w:val="FootnoteReference"/>
          <w:sz w:val="25"/>
          <w:szCs w:val="25"/>
        </w:rPr>
        <w:footnoteReference w:id="1"/>
      </w:r>
      <w:r>
        <w:rPr>
          <w:sz w:val="25"/>
          <w:szCs w:val="25"/>
        </w:rPr>
        <w:t xml:space="preserve">  On January 27, 2010, Seatac filed a paper copy </w:t>
      </w:r>
      <w:r w:rsidR="006E2AC3">
        <w:rPr>
          <w:sz w:val="25"/>
          <w:szCs w:val="25"/>
        </w:rPr>
        <w:t>of its protest.  On January 29, 2010, the Commission issued a Notice of Prehearing Conference.</w:t>
      </w:r>
    </w:p>
    <w:p w:rsidR="006E2AC3" w:rsidRDefault="006E2AC3" w:rsidP="006E2AC3">
      <w:pPr>
        <w:pStyle w:val="ListParagraph"/>
        <w:rPr>
          <w:sz w:val="25"/>
          <w:szCs w:val="25"/>
        </w:rPr>
      </w:pPr>
    </w:p>
    <w:p w:rsidR="006E2AC3" w:rsidRPr="006E2AC3" w:rsidRDefault="006E2AC3" w:rsidP="006E2AC3">
      <w:pPr>
        <w:numPr>
          <w:ilvl w:val="0"/>
          <w:numId w:val="10"/>
        </w:numPr>
        <w:spacing w:line="288" w:lineRule="auto"/>
        <w:ind w:hanging="720"/>
        <w:rPr>
          <w:sz w:val="25"/>
          <w:szCs w:val="25"/>
        </w:rPr>
      </w:pPr>
      <w:r w:rsidRPr="006E2AC3">
        <w:rPr>
          <w:sz w:val="25"/>
          <w:szCs w:val="25"/>
        </w:rPr>
        <w:t>On February 3, 2010, Shuttle Express filed a Motion to Strike Protest, Cancel Prehearing Conference, and Terminate Adju</w:t>
      </w:r>
      <w:r w:rsidR="006D6884">
        <w:rPr>
          <w:sz w:val="25"/>
          <w:szCs w:val="25"/>
        </w:rPr>
        <w:t>di</w:t>
      </w:r>
      <w:r w:rsidRPr="006E2AC3">
        <w:rPr>
          <w:sz w:val="25"/>
          <w:szCs w:val="25"/>
        </w:rPr>
        <w:t xml:space="preserve">cative Proceeding.  On February 10, 2010, Seatac filed a Response to the Motion. </w:t>
      </w:r>
    </w:p>
    <w:p w:rsidR="006E2AC3" w:rsidRDefault="006E2AC3" w:rsidP="006E2AC3">
      <w:pPr>
        <w:pStyle w:val="ListParagraph"/>
        <w:rPr>
          <w:sz w:val="25"/>
          <w:szCs w:val="25"/>
        </w:rPr>
      </w:pPr>
    </w:p>
    <w:p w:rsidR="009155EB" w:rsidRPr="006E2AC3" w:rsidRDefault="006E2AC3" w:rsidP="00486CD0">
      <w:pPr>
        <w:numPr>
          <w:ilvl w:val="0"/>
          <w:numId w:val="10"/>
        </w:numPr>
        <w:spacing w:line="288" w:lineRule="auto"/>
        <w:ind w:hanging="720"/>
        <w:rPr>
          <w:sz w:val="25"/>
          <w:szCs w:val="25"/>
        </w:rPr>
      </w:pPr>
      <w:r w:rsidRPr="006E2AC3">
        <w:rPr>
          <w:sz w:val="25"/>
          <w:szCs w:val="25"/>
        </w:rPr>
        <w:t xml:space="preserve">On February 25, 2010, </w:t>
      </w:r>
      <w:r w:rsidR="00B95508">
        <w:rPr>
          <w:sz w:val="25"/>
          <w:szCs w:val="25"/>
        </w:rPr>
        <w:t xml:space="preserve">Administrative Law </w:t>
      </w:r>
      <w:r w:rsidRPr="006E2AC3">
        <w:rPr>
          <w:sz w:val="25"/>
          <w:szCs w:val="25"/>
        </w:rPr>
        <w:t xml:space="preserve">Judge Adam Torem entered Order 01, </w:t>
      </w:r>
      <w:r w:rsidRPr="006E2AC3">
        <w:rPr>
          <w:i/>
          <w:sz w:val="25"/>
          <w:szCs w:val="25"/>
        </w:rPr>
        <w:t>Interlocutory Order Granting Motion to Strike Protest, Canceling Prehearing Conference, Initial Order Terminating Adjudicative Proceeding.</w:t>
      </w:r>
    </w:p>
    <w:p w:rsidR="0047494E" w:rsidRDefault="0047494E" w:rsidP="00486CD0">
      <w:pPr>
        <w:pStyle w:val="ListParagraph"/>
        <w:spacing w:line="288" w:lineRule="auto"/>
        <w:ind w:left="0"/>
        <w:rPr>
          <w:sz w:val="25"/>
          <w:szCs w:val="25"/>
        </w:rPr>
      </w:pPr>
    </w:p>
    <w:p w:rsidR="0047494E" w:rsidRDefault="0047494E" w:rsidP="00486CD0">
      <w:pPr>
        <w:numPr>
          <w:ilvl w:val="0"/>
          <w:numId w:val="10"/>
        </w:numPr>
        <w:spacing w:line="288" w:lineRule="auto"/>
        <w:ind w:hanging="720"/>
        <w:rPr>
          <w:sz w:val="25"/>
          <w:szCs w:val="25"/>
        </w:rPr>
      </w:pPr>
      <w:r>
        <w:rPr>
          <w:sz w:val="25"/>
          <w:szCs w:val="25"/>
        </w:rPr>
        <w:t xml:space="preserve">On </w:t>
      </w:r>
      <w:r w:rsidR="00C7469D">
        <w:rPr>
          <w:sz w:val="25"/>
          <w:szCs w:val="25"/>
        </w:rPr>
        <w:t>March 12, 2010, Seatac filed</w:t>
      </w:r>
      <w:r w:rsidR="004E2A78">
        <w:rPr>
          <w:sz w:val="25"/>
          <w:szCs w:val="25"/>
        </w:rPr>
        <w:t xml:space="preserve"> a</w:t>
      </w:r>
      <w:r w:rsidR="00C7469D">
        <w:rPr>
          <w:sz w:val="25"/>
          <w:szCs w:val="25"/>
        </w:rPr>
        <w:t xml:space="preserve"> Response to Interlocutory Order.  On Mar</w:t>
      </w:r>
      <w:r w:rsidR="00AD0F47">
        <w:rPr>
          <w:sz w:val="25"/>
          <w:szCs w:val="25"/>
        </w:rPr>
        <w:t xml:space="preserve">ch 22, </w:t>
      </w:r>
      <w:r w:rsidR="004E2A78">
        <w:rPr>
          <w:sz w:val="25"/>
          <w:szCs w:val="25"/>
        </w:rPr>
        <w:t>2010</w:t>
      </w:r>
      <w:r w:rsidR="00AD0F47">
        <w:rPr>
          <w:sz w:val="25"/>
          <w:szCs w:val="25"/>
        </w:rPr>
        <w:t>, Shuttle Express</w:t>
      </w:r>
      <w:r w:rsidR="000329C5">
        <w:rPr>
          <w:sz w:val="25"/>
          <w:szCs w:val="25"/>
        </w:rPr>
        <w:t>, treating Seata</w:t>
      </w:r>
      <w:r w:rsidR="008264D7">
        <w:rPr>
          <w:sz w:val="25"/>
          <w:szCs w:val="25"/>
        </w:rPr>
        <w:t>c</w:t>
      </w:r>
      <w:r w:rsidR="000329C5">
        <w:rPr>
          <w:sz w:val="25"/>
          <w:szCs w:val="25"/>
        </w:rPr>
        <w:t xml:space="preserve">’s Response as </w:t>
      </w:r>
      <w:r w:rsidR="008809C3">
        <w:rPr>
          <w:sz w:val="25"/>
          <w:szCs w:val="25"/>
        </w:rPr>
        <w:t>a</w:t>
      </w:r>
      <w:r w:rsidR="000329C5">
        <w:rPr>
          <w:sz w:val="25"/>
          <w:szCs w:val="25"/>
        </w:rPr>
        <w:t xml:space="preserve"> petition for administrative review,</w:t>
      </w:r>
      <w:r w:rsidR="00AD0F47">
        <w:rPr>
          <w:sz w:val="25"/>
          <w:szCs w:val="25"/>
        </w:rPr>
        <w:t xml:space="preserve"> fi</w:t>
      </w:r>
      <w:r w:rsidR="00C7469D">
        <w:rPr>
          <w:sz w:val="25"/>
          <w:szCs w:val="25"/>
        </w:rPr>
        <w:t>l</w:t>
      </w:r>
      <w:r w:rsidR="00AD0F47">
        <w:rPr>
          <w:sz w:val="25"/>
          <w:szCs w:val="25"/>
        </w:rPr>
        <w:t>e</w:t>
      </w:r>
      <w:r w:rsidR="00C7469D">
        <w:rPr>
          <w:sz w:val="25"/>
          <w:szCs w:val="25"/>
        </w:rPr>
        <w:t>d an Answer to Petition for Administrative Review</w:t>
      </w:r>
      <w:r w:rsidR="004E2A78">
        <w:rPr>
          <w:sz w:val="25"/>
          <w:szCs w:val="25"/>
        </w:rPr>
        <w:t xml:space="preserve"> on</w:t>
      </w:r>
      <w:r w:rsidR="00C7469D">
        <w:rPr>
          <w:sz w:val="25"/>
          <w:szCs w:val="25"/>
        </w:rPr>
        <w:t xml:space="preserve"> March 23, 2010. </w:t>
      </w:r>
    </w:p>
    <w:p w:rsidR="00D857FE" w:rsidRPr="0047494E" w:rsidRDefault="00D857FE" w:rsidP="00486CD0">
      <w:pPr>
        <w:pStyle w:val="ListParagraph"/>
        <w:spacing w:line="288" w:lineRule="auto"/>
        <w:ind w:left="0"/>
        <w:rPr>
          <w:rStyle w:val="Style125pt"/>
        </w:rPr>
      </w:pPr>
    </w:p>
    <w:p w:rsidR="009155EB" w:rsidRPr="0047494E" w:rsidRDefault="009155EB" w:rsidP="00486CD0">
      <w:pPr>
        <w:pStyle w:val="ListParagraph"/>
        <w:spacing w:line="288" w:lineRule="auto"/>
        <w:ind w:left="0"/>
        <w:jc w:val="center"/>
        <w:rPr>
          <w:rStyle w:val="Style125pt"/>
          <w:b/>
          <w:u w:val="single"/>
        </w:rPr>
      </w:pPr>
      <w:r w:rsidRPr="0047494E">
        <w:rPr>
          <w:rStyle w:val="Style125pt"/>
          <w:b/>
          <w:u w:val="single"/>
        </w:rPr>
        <w:t>MEMORANDUM</w:t>
      </w:r>
    </w:p>
    <w:p w:rsidR="00E57CA3" w:rsidRPr="004E402D" w:rsidRDefault="00E57CA3" w:rsidP="009C6265">
      <w:pPr>
        <w:spacing w:line="288" w:lineRule="auto"/>
        <w:rPr>
          <w:sz w:val="25"/>
        </w:rPr>
      </w:pPr>
    </w:p>
    <w:p w:rsidR="003A4FCB" w:rsidRPr="00F8512C" w:rsidRDefault="000329C5" w:rsidP="00486CD0">
      <w:pPr>
        <w:numPr>
          <w:ilvl w:val="0"/>
          <w:numId w:val="10"/>
        </w:numPr>
        <w:spacing w:line="288" w:lineRule="auto"/>
        <w:ind w:hanging="720"/>
        <w:rPr>
          <w:sz w:val="25"/>
        </w:rPr>
      </w:pPr>
      <w:r w:rsidRPr="00E57CA3">
        <w:rPr>
          <w:sz w:val="25"/>
        </w:rPr>
        <w:t xml:space="preserve">This issue </w:t>
      </w:r>
      <w:r>
        <w:rPr>
          <w:sz w:val="25"/>
        </w:rPr>
        <w:t xml:space="preserve">before the administrative law judge, and now </w:t>
      </w:r>
      <w:r w:rsidRPr="00E57CA3">
        <w:rPr>
          <w:sz w:val="25"/>
        </w:rPr>
        <w:t xml:space="preserve">before </w:t>
      </w:r>
      <w:r>
        <w:rPr>
          <w:sz w:val="25"/>
        </w:rPr>
        <w:t xml:space="preserve">us on review, is whether Seatac’s protest was timely filed.  </w:t>
      </w:r>
      <w:r w:rsidRPr="000329C5">
        <w:rPr>
          <w:bCs/>
          <w:sz w:val="25"/>
          <w:szCs w:val="25"/>
        </w:rPr>
        <w:t>T</w:t>
      </w:r>
      <w:r w:rsidR="00B911EC" w:rsidRPr="000329C5">
        <w:rPr>
          <w:bCs/>
          <w:sz w:val="25"/>
          <w:szCs w:val="25"/>
        </w:rPr>
        <w:t>he Commission’s rules allow existing certificate holders to file a protest to an application within 30 days of the date the</w:t>
      </w:r>
      <w:r w:rsidR="00B911EC">
        <w:rPr>
          <w:bCs/>
          <w:sz w:val="25"/>
          <w:szCs w:val="25"/>
        </w:rPr>
        <w:t xml:space="preserve"> Commission mails the </w:t>
      </w:r>
      <w:r w:rsidR="008C5F90">
        <w:rPr>
          <w:bCs/>
          <w:sz w:val="25"/>
          <w:szCs w:val="25"/>
        </w:rPr>
        <w:t>a</w:t>
      </w:r>
      <w:r w:rsidR="00B911EC">
        <w:rPr>
          <w:bCs/>
          <w:sz w:val="25"/>
          <w:szCs w:val="25"/>
        </w:rPr>
        <w:t xml:space="preserve">pplication.  </w:t>
      </w:r>
      <w:r w:rsidR="008C5F90">
        <w:rPr>
          <w:bCs/>
          <w:sz w:val="25"/>
          <w:szCs w:val="25"/>
        </w:rPr>
        <w:t>In this case, the 30-day deadline expired on January 21, 2010.  While Seatac electronically submitted its protest within the 30-day period, on January 20, 2010, it did not file a paper copy on the following business day, January 21, 2010.  The Commission received the paper copy on January 27, 2010.</w:t>
      </w:r>
    </w:p>
    <w:p w:rsidR="00F8512C" w:rsidRPr="00F8512C" w:rsidRDefault="00F8512C" w:rsidP="00F8512C">
      <w:pPr>
        <w:spacing w:line="288" w:lineRule="auto"/>
        <w:ind w:left="-720"/>
        <w:rPr>
          <w:sz w:val="25"/>
        </w:rPr>
      </w:pPr>
    </w:p>
    <w:p w:rsidR="000329C5" w:rsidRDefault="00F8512C" w:rsidP="009C6265">
      <w:pPr>
        <w:numPr>
          <w:ilvl w:val="0"/>
          <w:numId w:val="10"/>
        </w:numPr>
        <w:spacing w:line="288" w:lineRule="auto"/>
        <w:ind w:hanging="720"/>
        <w:rPr>
          <w:bCs/>
          <w:sz w:val="25"/>
          <w:szCs w:val="25"/>
        </w:rPr>
      </w:pPr>
      <w:r>
        <w:rPr>
          <w:bCs/>
          <w:sz w:val="25"/>
          <w:szCs w:val="25"/>
        </w:rPr>
        <w:t xml:space="preserve">The </w:t>
      </w:r>
      <w:r w:rsidR="004E402D">
        <w:rPr>
          <w:bCs/>
          <w:sz w:val="25"/>
          <w:szCs w:val="25"/>
        </w:rPr>
        <w:t xml:space="preserve">Initial </w:t>
      </w:r>
      <w:r>
        <w:rPr>
          <w:bCs/>
          <w:sz w:val="25"/>
          <w:szCs w:val="25"/>
        </w:rPr>
        <w:t xml:space="preserve">Order concludes that the electronic submission did not satisfy the Commission’s filing requirements for protests because mail or hand-delivery is required for all documents and that documents are deemed received when date-stamped by the Commission.  The Order concludes that an untimely protest bars a potential protestant from further participation in the proceeding unless the Commission did not provide proper notice of the application or if good cause exists for failure to file a timely protest.  </w:t>
      </w:r>
    </w:p>
    <w:p w:rsidR="009C6265" w:rsidRDefault="009C6265" w:rsidP="009C6265">
      <w:pPr>
        <w:spacing w:line="288" w:lineRule="auto"/>
        <w:rPr>
          <w:bCs/>
          <w:sz w:val="25"/>
          <w:szCs w:val="25"/>
        </w:rPr>
      </w:pPr>
    </w:p>
    <w:p w:rsidR="000329C5" w:rsidRDefault="000329C5" w:rsidP="000329C5">
      <w:pPr>
        <w:numPr>
          <w:ilvl w:val="0"/>
          <w:numId w:val="10"/>
        </w:numPr>
        <w:spacing w:line="288" w:lineRule="auto"/>
        <w:ind w:hanging="720"/>
        <w:rPr>
          <w:rStyle w:val="Style125pt"/>
        </w:rPr>
      </w:pPr>
      <w:bookmarkStart w:id="0" w:name="OLE_LINK3"/>
      <w:bookmarkStart w:id="1" w:name="OLE_LINK4"/>
      <w:r>
        <w:rPr>
          <w:rStyle w:val="Style125pt"/>
        </w:rPr>
        <w:t xml:space="preserve">Though the parties made various policy arguments in support of and in opposition to the overturning of the Initial Order, this issue can be resolved simply by reference to the Commission’s rules practices in cases such as this and to the Administrative Procedure Act.  </w:t>
      </w:r>
    </w:p>
    <w:p w:rsidR="000329C5" w:rsidRDefault="000329C5" w:rsidP="000329C5">
      <w:pPr>
        <w:pStyle w:val="ListParagraph"/>
        <w:rPr>
          <w:rStyle w:val="Style125pt"/>
        </w:rPr>
      </w:pPr>
    </w:p>
    <w:p w:rsidR="000C1925" w:rsidRDefault="00245C7E" w:rsidP="000329C5">
      <w:pPr>
        <w:numPr>
          <w:ilvl w:val="0"/>
          <w:numId w:val="10"/>
        </w:numPr>
        <w:spacing w:line="288" w:lineRule="auto"/>
        <w:ind w:hanging="720"/>
        <w:rPr>
          <w:rStyle w:val="Style125pt"/>
        </w:rPr>
      </w:pPr>
      <w:r>
        <w:rPr>
          <w:rStyle w:val="Style125pt"/>
        </w:rPr>
        <w:t xml:space="preserve">Non-adjudicative </w:t>
      </w:r>
      <w:r w:rsidR="00B0514A">
        <w:rPr>
          <w:rStyle w:val="Style125pt"/>
        </w:rPr>
        <w:t xml:space="preserve">auto transportation </w:t>
      </w:r>
      <w:r>
        <w:rPr>
          <w:rStyle w:val="Style125pt"/>
        </w:rPr>
        <w:t xml:space="preserve">applications are processed by </w:t>
      </w:r>
      <w:r w:rsidR="00B95508">
        <w:rPr>
          <w:rStyle w:val="Style125pt"/>
        </w:rPr>
        <w:t xml:space="preserve">the agency’s </w:t>
      </w:r>
      <w:r>
        <w:rPr>
          <w:rStyle w:val="Style125pt"/>
        </w:rPr>
        <w:t xml:space="preserve">Transportation Section.  Adjudicative </w:t>
      </w:r>
      <w:r w:rsidR="00B0514A">
        <w:rPr>
          <w:rStyle w:val="Style125pt"/>
        </w:rPr>
        <w:t xml:space="preserve">auto transportation </w:t>
      </w:r>
      <w:r>
        <w:rPr>
          <w:rStyle w:val="Style125pt"/>
        </w:rPr>
        <w:t xml:space="preserve">applications are referred from the Transportation Section to </w:t>
      </w:r>
      <w:r w:rsidR="00B95508">
        <w:rPr>
          <w:rStyle w:val="Style125pt"/>
        </w:rPr>
        <w:t>the</w:t>
      </w:r>
      <w:r>
        <w:rPr>
          <w:rStyle w:val="Style125pt"/>
        </w:rPr>
        <w:t xml:space="preserve"> Administrative Law Division for processing.  The distinction between the two types of proceedings is important because different rules </w:t>
      </w:r>
      <w:r w:rsidR="00B95508">
        <w:rPr>
          <w:rStyle w:val="Style125pt"/>
        </w:rPr>
        <w:t xml:space="preserve">apply </w:t>
      </w:r>
      <w:r>
        <w:rPr>
          <w:rStyle w:val="Style125pt"/>
        </w:rPr>
        <w:t>to filing documents in non-adjudicative and adjudicative proceedings.</w:t>
      </w:r>
    </w:p>
    <w:p w:rsidR="00245C7E" w:rsidRDefault="00245C7E" w:rsidP="00245C7E">
      <w:pPr>
        <w:spacing w:line="288" w:lineRule="auto"/>
        <w:ind w:left="-720"/>
        <w:rPr>
          <w:rStyle w:val="Style125pt"/>
        </w:rPr>
      </w:pPr>
    </w:p>
    <w:p w:rsidR="00B065F8" w:rsidRDefault="00B065F8" w:rsidP="009C6265">
      <w:pPr>
        <w:numPr>
          <w:ilvl w:val="0"/>
          <w:numId w:val="10"/>
        </w:numPr>
        <w:spacing w:line="288" w:lineRule="auto"/>
        <w:ind w:hanging="720"/>
        <w:rPr>
          <w:rStyle w:val="Style125pt"/>
        </w:rPr>
      </w:pPr>
      <w:r>
        <w:rPr>
          <w:rStyle w:val="Style125pt"/>
        </w:rPr>
        <w:t xml:space="preserve">In non-adjudicative matters, </w:t>
      </w:r>
      <w:r w:rsidR="00B13EE4">
        <w:rPr>
          <w:rStyle w:val="Style125pt"/>
        </w:rPr>
        <w:t>we</w:t>
      </w:r>
      <w:r>
        <w:rPr>
          <w:rStyle w:val="Style125pt"/>
        </w:rPr>
        <w:t xml:space="preserve"> appl</w:t>
      </w:r>
      <w:r w:rsidR="00B13EE4">
        <w:rPr>
          <w:rStyle w:val="Style125pt"/>
        </w:rPr>
        <w:t>y</w:t>
      </w:r>
      <w:r>
        <w:rPr>
          <w:rStyle w:val="Style125pt"/>
        </w:rPr>
        <w:t xml:space="preserve"> the rule in WAC 480-0</w:t>
      </w:r>
      <w:r w:rsidR="00F676F8">
        <w:rPr>
          <w:rStyle w:val="Style125pt"/>
        </w:rPr>
        <w:t>7</w:t>
      </w:r>
      <w:r>
        <w:rPr>
          <w:rStyle w:val="Style125pt"/>
        </w:rPr>
        <w:t>-140</w:t>
      </w:r>
      <w:r w:rsidR="00415783">
        <w:rPr>
          <w:rStyle w:val="Style125pt"/>
        </w:rPr>
        <w:t>(1)(a)</w:t>
      </w:r>
      <w:r w:rsidR="008E1C9F">
        <w:rPr>
          <w:rStyle w:val="Style125pt"/>
        </w:rPr>
        <w:t>, which states in part</w:t>
      </w:r>
      <w:r>
        <w:rPr>
          <w:rStyle w:val="Style125pt"/>
        </w:rPr>
        <w:t>:</w:t>
      </w:r>
    </w:p>
    <w:p w:rsidR="00245C7E" w:rsidRDefault="00245C7E" w:rsidP="00026586">
      <w:pPr>
        <w:tabs>
          <w:tab w:val="left" w:pos="7920"/>
        </w:tabs>
        <w:ind w:left="720" w:right="900"/>
        <w:rPr>
          <w:rStyle w:val="Style125pt"/>
        </w:rPr>
      </w:pPr>
    </w:p>
    <w:p w:rsidR="00B13EE4" w:rsidRDefault="00B065F8" w:rsidP="007621D1">
      <w:pPr>
        <w:tabs>
          <w:tab w:val="left" w:pos="7920"/>
        </w:tabs>
        <w:ind w:left="720" w:right="720"/>
        <w:rPr>
          <w:rStyle w:val="Style125pt"/>
        </w:rPr>
      </w:pPr>
      <w:r w:rsidRPr="00FE17FD">
        <w:rPr>
          <w:rStyle w:val="Style125pt"/>
          <w:i/>
        </w:rPr>
        <w:t>Electronic filing, limitations</w:t>
      </w:r>
      <w:r>
        <w:rPr>
          <w:rStyle w:val="Style125pt"/>
        </w:rPr>
        <w:t xml:space="preserve">.  You may </w:t>
      </w:r>
      <w:r>
        <w:rPr>
          <w:rStyle w:val="Style125pt"/>
          <w:b/>
        </w:rPr>
        <w:t>file</w:t>
      </w:r>
      <w:r>
        <w:rPr>
          <w:rStyle w:val="Style125pt"/>
        </w:rPr>
        <w:t xml:space="preserve"> documents electronically using the commiss</w:t>
      </w:r>
      <w:r w:rsidR="00026586">
        <w:rPr>
          <w:rStyle w:val="Style125pt"/>
        </w:rPr>
        <w:t>i</w:t>
      </w:r>
      <w:r>
        <w:rPr>
          <w:rStyle w:val="Style125pt"/>
        </w:rPr>
        <w:t xml:space="preserve">on’s web portal (see WAC 480-07-125) if you are not submitting documents in an adjudicative proceeding. . . . Electronic filing means the commission accepts the electronic version of the document as the official filing and </w:t>
      </w:r>
      <w:r w:rsidR="00026586">
        <w:rPr>
          <w:rStyle w:val="Style125pt"/>
        </w:rPr>
        <w:t xml:space="preserve">does </w:t>
      </w:r>
      <w:r>
        <w:rPr>
          <w:rStyle w:val="Style125pt"/>
        </w:rPr>
        <w:t xml:space="preserve">not require a paper copy of the documents.  </w:t>
      </w:r>
    </w:p>
    <w:p w:rsidR="000329C5" w:rsidRDefault="000329C5" w:rsidP="007621D1">
      <w:pPr>
        <w:tabs>
          <w:tab w:val="left" w:pos="7920"/>
        </w:tabs>
        <w:ind w:left="720" w:right="720"/>
        <w:rPr>
          <w:rStyle w:val="Style125pt"/>
        </w:rPr>
      </w:pPr>
    </w:p>
    <w:p w:rsidR="000329C5" w:rsidRDefault="008057A3" w:rsidP="00486CD0">
      <w:pPr>
        <w:numPr>
          <w:ilvl w:val="0"/>
          <w:numId w:val="10"/>
        </w:numPr>
        <w:spacing w:line="288" w:lineRule="auto"/>
        <w:ind w:hanging="720"/>
        <w:rPr>
          <w:rStyle w:val="Style125pt"/>
        </w:rPr>
      </w:pPr>
      <w:r>
        <w:rPr>
          <w:rStyle w:val="Style125pt"/>
        </w:rPr>
        <w:t xml:space="preserve">It is apparent from the foregoing rule that </w:t>
      </w:r>
      <w:r w:rsidR="000329C5">
        <w:rPr>
          <w:rStyle w:val="Style125pt"/>
        </w:rPr>
        <w:t xml:space="preserve">in non-adjudicative proceedings </w:t>
      </w:r>
      <w:r>
        <w:rPr>
          <w:rStyle w:val="Style125pt"/>
        </w:rPr>
        <w:t xml:space="preserve">electronic filings are accepted as official filings and a date-stamped hard copy of the document is not required.  </w:t>
      </w:r>
    </w:p>
    <w:p w:rsidR="000329C5" w:rsidRDefault="000329C5" w:rsidP="009C6265">
      <w:pPr>
        <w:spacing w:line="288" w:lineRule="auto"/>
        <w:rPr>
          <w:rStyle w:val="Style125pt"/>
        </w:rPr>
      </w:pPr>
    </w:p>
    <w:p w:rsidR="00245C7E" w:rsidRDefault="000437AB" w:rsidP="00486CD0">
      <w:pPr>
        <w:numPr>
          <w:ilvl w:val="0"/>
          <w:numId w:val="10"/>
        </w:numPr>
        <w:spacing w:line="288" w:lineRule="auto"/>
        <w:ind w:hanging="720"/>
        <w:rPr>
          <w:rStyle w:val="Style125pt"/>
        </w:rPr>
      </w:pPr>
      <w:r>
        <w:rPr>
          <w:rStyle w:val="Style125pt"/>
        </w:rPr>
        <w:t>On the other hand</w:t>
      </w:r>
      <w:r w:rsidR="008057A3">
        <w:rPr>
          <w:rStyle w:val="Style125pt"/>
        </w:rPr>
        <w:t xml:space="preserve">, in </w:t>
      </w:r>
      <w:r w:rsidR="00245C7E">
        <w:rPr>
          <w:rStyle w:val="Style125pt"/>
        </w:rPr>
        <w:t xml:space="preserve">adjudicative matters, </w:t>
      </w:r>
      <w:r w:rsidR="00B13EE4">
        <w:rPr>
          <w:rStyle w:val="Style125pt"/>
        </w:rPr>
        <w:t>we apply</w:t>
      </w:r>
      <w:r w:rsidR="00245C7E">
        <w:rPr>
          <w:rStyle w:val="Style125pt"/>
        </w:rPr>
        <w:t xml:space="preserve"> the rule in WAC 480-07-145</w:t>
      </w:r>
      <w:r w:rsidR="00B95508">
        <w:rPr>
          <w:rStyle w:val="Style125pt"/>
        </w:rPr>
        <w:t>,</w:t>
      </w:r>
      <w:r w:rsidR="00245C7E">
        <w:rPr>
          <w:rStyle w:val="Style125pt"/>
        </w:rPr>
        <w:t xml:space="preserve"> as follows:</w:t>
      </w:r>
    </w:p>
    <w:p w:rsidR="00760E63" w:rsidRDefault="00760E63" w:rsidP="00760E63">
      <w:pPr>
        <w:spacing w:line="288" w:lineRule="auto"/>
        <w:ind w:left="-720"/>
        <w:rPr>
          <w:rStyle w:val="Style125pt"/>
        </w:rPr>
      </w:pPr>
    </w:p>
    <w:p w:rsidR="00245C7E" w:rsidRDefault="00245C7E" w:rsidP="007621D1">
      <w:pPr>
        <w:ind w:left="720" w:right="720"/>
        <w:rPr>
          <w:rStyle w:val="Style125pt"/>
        </w:rPr>
      </w:pPr>
      <w:r>
        <w:rPr>
          <w:rStyle w:val="Style125pt"/>
        </w:rPr>
        <w:lastRenderedPageBreak/>
        <w:t xml:space="preserve">(2) </w:t>
      </w:r>
      <w:r w:rsidRPr="00FE17FD">
        <w:rPr>
          <w:rStyle w:val="Style125pt"/>
          <w:i/>
        </w:rPr>
        <w:t>Mail or hand delivery service is required for all documents</w:t>
      </w:r>
      <w:r>
        <w:rPr>
          <w:rStyle w:val="Style125pt"/>
        </w:rPr>
        <w:t>.  Parti</w:t>
      </w:r>
      <w:r w:rsidR="007621D1">
        <w:rPr>
          <w:rStyle w:val="Style125pt"/>
        </w:rPr>
        <w:t>e</w:t>
      </w:r>
      <w:r>
        <w:rPr>
          <w:rStyle w:val="Style125pt"/>
        </w:rPr>
        <w:t xml:space="preserve">s to adjudicative proceedings . . . must file original, signed documents and paper copies by mail or hand delivery . . . to satisfy official filing requirements . . . </w:t>
      </w:r>
      <w:r w:rsidR="00415783">
        <w:rPr>
          <w:rStyle w:val="Style125pt"/>
        </w:rPr>
        <w:t>.</w:t>
      </w:r>
    </w:p>
    <w:p w:rsidR="00245C7E" w:rsidRDefault="00245C7E" w:rsidP="00760E63">
      <w:pPr>
        <w:ind w:left="-720"/>
        <w:rPr>
          <w:rStyle w:val="Style125pt"/>
        </w:rPr>
      </w:pPr>
    </w:p>
    <w:p w:rsidR="00245C7E" w:rsidRDefault="00245C7E" w:rsidP="007621D1">
      <w:pPr>
        <w:ind w:left="720" w:right="720"/>
        <w:rPr>
          <w:rStyle w:val="Style125pt"/>
        </w:rPr>
      </w:pPr>
      <w:r>
        <w:rPr>
          <w:rStyle w:val="Style125pt"/>
        </w:rPr>
        <w:t xml:space="preserve">(6) </w:t>
      </w:r>
      <w:r w:rsidRPr="00FE17FD">
        <w:rPr>
          <w:rStyle w:val="Style125pt"/>
          <w:i/>
        </w:rPr>
        <w:t>Web portal, e-mail or fax transmission</w:t>
      </w:r>
      <w:r w:rsidR="00FE17FD" w:rsidRPr="00FE17FD">
        <w:rPr>
          <w:rStyle w:val="Style125pt"/>
          <w:i/>
        </w:rPr>
        <w:t xml:space="preserve"> </w:t>
      </w:r>
      <w:r w:rsidRPr="00FE17FD">
        <w:rPr>
          <w:rStyle w:val="Style125pt"/>
          <w:i/>
        </w:rPr>
        <w:t>may be used to expedite the filing process</w:t>
      </w:r>
      <w:r>
        <w:rPr>
          <w:rStyle w:val="Style125pt"/>
        </w:rPr>
        <w:t>.</w:t>
      </w:r>
    </w:p>
    <w:p w:rsidR="00760E63" w:rsidRDefault="00760E63" w:rsidP="00760E63">
      <w:pPr>
        <w:ind w:left="720"/>
        <w:rPr>
          <w:rStyle w:val="Style125pt"/>
        </w:rPr>
      </w:pPr>
    </w:p>
    <w:p w:rsidR="00245C7E" w:rsidRDefault="00245C7E" w:rsidP="00B13EE4">
      <w:pPr>
        <w:ind w:left="720" w:right="720"/>
        <w:rPr>
          <w:rStyle w:val="Style125pt"/>
        </w:rPr>
      </w:pPr>
      <w:r>
        <w:rPr>
          <w:rStyle w:val="Style125pt"/>
        </w:rPr>
        <w:t xml:space="preserve">(a) </w:t>
      </w:r>
      <w:r w:rsidRPr="00FE17FD">
        <w:rPr>
          <w:rStyle w:val="Style125pt"/>
          <w:i/>
        </w:rPr>
        <w:t>Paper copy required</w:t>
      </w:r>
      <w:r>
        <w:rPr>
          <w:rStyle w:val="Style125pt"/>
        </w:rPr>
        <w:t>.  Parties may submit documents to the commission electronically through the web portal, e-mail or fax, on the date established for paper filing under the procedural schedule in an adjudicative proceeding, subject to the following conditions:</w:t>
      </w:r>
    </w:p>
    <w:p w:rsidR="00FE17FD" w:rsidRDefault="00FE17FD" w:rsidP="00760E63">
      <w:pPr>
        <w:ind w:left="720"/>
        <w:rPr>
          <w:rStyle w:val="Style125pt"/>
        </w:rPr>
      </w:pPr>
    </w:p>
    <w:p w:rsidR="00245C7E" w:rsidRDefault="00245C7E" w:rsidP="00B13EE4">
      <w:pPr>
        <w:ind w:left="720" w:right="720"/>
        <w:rPr>
          <w:rStyle w:val="Style125pt"/>
        </w:rPr>
      </w:pPr>
      <w:r>
        <w:rPr>
          <w:rStyle w:val="Style125pt"/>
        </w:rPr>
        <w:t xml:space="preserve">(i) </w:t>
      </w:r>
      <w:r w:rsidRPr="00FE17FD">
        <w:rPr>
          <w:rStyle w:val="Style125pt"/>
          <w:i/>
        </w:rPr>
        <w:t>Timing.</w:t>
      </w:r>
      <w:r>
        <w:rPr>
          <w:rStyle w:val="Style125pt"/>
        </w:rPr>
        <w:t xml:space="preserve">  Electronic submissions must be completed by 3:00 p.m. on the date established for filing.  The commission encourages the use of the web portal rather than e-mail or fax.  </w:t>
      </w:r>
    </w:p>
    <w:p w:rsidR="00FE17FD" w:rsidRDefault="00FE17FD" w:rsidP="00FE17FD">
      <w:pPr>
        <w:ind w:left="720"/>
        <w:rPr>
          <w:rStyle w:val="Style125pt"/>
        </w:rPr>
      </w:pPr>
    </w:p>
    <w:p w:rsidR="00245C7E" w:rsidRDefault="00245C7E" w:rsidP="00B13EE4">
      <w:pPr>
        <w:ind w:left="720" w:right="720"/>
        <w:rPr>
          <w:rStyle w:val="Style125pt"/>
        </w:rPr>
      </w:pPr>
      <w:r>
        <w:rPr>
          <w:rStyle w:val="Style125pt"/>
        </w:rPr>
        <w:t xml:space="preserve">(ii) </w:t>
      </w:r>
      <w:r w:rsidRPr="00FE17FD">
        <w:rPr>
          <w:rStyle w:val="Style125pt"/>
          <w:i/>
        </w:rPr>
        <w:t>Paper Copy Required</w:t>
      </w:r>
      <w:r>
        <w:rPr>
          <w:rStyle w:val="Style125pt"/>
        </w:rPr>
        <w:t>.  The commission must physically receive the original and required number of copies by 12:00 noon on the first business day following the filing deadline established under the procedural schedule.</w:t>
      </w:r>
    </w:p>
    <w:p w:rsidR="00FE17FD" w:rsidRDefault="00FE17FD" w:rsidP="00FE17FD">
      <w:pPr>
        <w:ind w:left="720"/>
        <w:rPr>
          <w:rStyle w:val="Style125pt"/>
        </w:rPr>
      </w:pPr>
    </w:p>
    <w:p w:rsidR="000329C5" w:rsidRDefault="000329C5" w:rsidP="009C6265">
      <w:pPr>
        <w:numPr>
          <w:ilvl w:val="0"/>
          <w:numId w:val="10"/>
        </w:numPr>
        <w:spacing w:line="288" w:lineRule="auto"/>
        <w:ind w:hanging="720"/>
        <w:rPr>
          <w:rStyle w:val="Style125pt"/>
        </w:rPr>
      </w:pPr>
      <w:r>
        <w:rPr>
          <w:rStyle w:val="Style125pt"/>
        </w:rPr>
        <w:t>In such adjudicative proceedings, physical service of the pleading is required.</w:t>
      </w:r>
    </w:p>
    <w:p w:rsidR="007F5173" w:rsidRDefault="007F5173" w:rsidP="007F5173">
      <w:pPr>
        <w:spacing w:line="288" w:lineRule="auto"/>
        <w:ind w:left="-720"/>
        <w:rPr>
          <w:rStyle w:val="Style125pt"/>
        </w:rPr>
      </w:pPr>
    </w:p>
    <w:p w:rsidR="007F5173" w:rsidRDefault="007F5173" w:rsidP="00486CD0">
      <w:pPr>
        <w:numPr>
          <w:ilvl w:val="0"/>
          <w:numId w:val="10"/>
        </w:numPr>
        <w:spacing w:line="288" w:lineRule="auto"/>
        <w:ind w:hanging="720"/>
        <w:rPr>
          <w:rStyle w:val="Style125pt"/>
        </w:rPr>
      </w:pPr>
      <w:r>
        <w:rPr>
          <w:rStyle w:val="Style125pt"/>
        </w:rPr>
        <w:t>Therefore, we must determine</w:t>
      </w:r>
      <w:r w:rsidR="000329C5">
        <w:rPr>
          <w:rStyle w:val="Style125pt"/>
        </w:rPr>
        <w:t xml:space="preserve"> the nature of the proceeding at the time the protest was filed electronically.  </w:t>
      </w:r>
      <w:r>
        <w:rPr>
          <w:rStyle w:val="Style125pt"/>
        </w:rPr>
        <w:t>The</w:t>
      </w:r>
      <w:r w:rsidR="008057A3">
        <w:rPr>
          <w:rStyle w:val="Style125pt"/>
        </w:rPr>
        <w:t xml:space="preserve"> Administrative Procedures Act (APA) provides</w:t>
      </w:r>
      <w:r>
        <w:rPr>
          <w:rStyle w:val="Style125pt"/>
        </w:rPr>
        <w:t xml:space="preserve"> </w:t>
      </w:r>
      <w:r w:rsidR="00B13EE4">
        <w:rPr>
          <w:rStyle w:val="Style125pt"/>
        </w:rPr>
        <w:t xml:space="preserve">a “bright line” </w:t>
      </w:r>
      <w:r>
        <w:rPr>
          <w:rStyle w:val="Style125pt"/>
        </w:rPr>
        <w:t>defini</w:t>
      </w:r>
      <w:r w:rsidR="00D908E5">
        <w:rPr>
          <w:rStyle w:val="Style125pt"/>
        </w:rPr>
        <w:t xml:space="preserve">tion of </w:t>
      </w:r>
      <w:r w:rsidR="00937F4C">
        <w:rPr>
          <w:rStyle w:val="Style125pt"/>
        </w:rPr>
        <w:t>the commencement of an adjudicative proceeding</w:t>
      </w:r>
      <w:r>
        <w:rPr>
          <w:rStyle w:val="Style125pt"/>
        </w:rPr>
        <w:t>.</w:t>
      </w:r>
      <w:r w:rsidR="00E13D8D">
        <w:rPr>
          <w:rStyle w:val="Style125pt"/>
        </w:rPr>
        <w:t xml:space="preserve">  </w:t>
      </w:r>
      <w:r w:rsidR="00415783">
        <w:rPr>
          <w:rStyle w:val="Style125pt"/>
        </w:rPr>
        <w:t xml:space="preserve">RCW 34.05.413 </w:t>
      </w:r>
      <w:r w:rsidR="00937F4C">
        <w:rPr>
          <w:rStyle w:val="Style125pt"/>
        </w:rPr>
        <w:t>states</w:t>
      </w:r>
      <w:r>
        <w:rPr>
          <w:rStyle w:val="Style125pt"/>
        </w:rPr>
        <w:t>:</w:t>
      </w:r>
    </w:p>
    <w:p w:rsidR="007F5173" w:rsidRDefault="007F5173" w:rsidP="007F5173">
      <w:pPr>
        <w:spacing w:line="288" w:lineRule="auto"/>
        <w:ind w:left="-720"/>
        <w:rPr>
          <w:rStyle w:val="Style125pt"/>
        </w:rPr>
      </w:pPr>
    </w:p>
    <w:p w:rsidR="007F5173" w:rsidRDefault="007F5173" w:rsidP="007F5173">
      <w:pPr>
        <w:ind w:left="720" w:right="720"/>
        <w:rPr>
          <w:rStyle w:val="Style125pt"/>
        </w:rPr>
      </w:pPr>
      <w:r>
        <w:rPr>
          <w:rStyle w:val="Style125pt"/>
        </w:rPr>
        <w:t>(5) An adjudicative proceeding commences when the agency or a presiding officer notifies a party that a prehearing conference, hearing, or other sta</w:t>
      </w:r>
      <w:r w:rsidR="0033468C">
        <w:rPr>
          <w:rStyle w:val="Style125pt"/>
        </w:rPr>
        <w:t>g</w:t>
      </w:r>
      <w:r>
        <w:rPr>
          <w:rStyle w:val="Style125pt"/>
        </w:rPr>
        <w:t xml:space="preserve">e of an adjudicative proceeding will be conducted. </w:t>
      </w:r>
    </w:p>
    <w:p w:rsidR="007F5173" w:rsidRDefault="007F5173" w:rsidP="007F5173">
      <w:pPr>
        <w:ind w:left="720" w:right="720"/>
        <w:rPr>
          <w:rStyle w:val="Style125pt"/>
        </w:rPr>
      </w:pPr>
    </w:p>
    <w:p w:rsidR="0033468C" w:rsidRDefault="00937F4C" w:rsidP="00486CD0">
      <w:pPr>
        <w:numPr>
          <w:ilvl w:val="0"/>
          <w:numId w:val="10"/>
        </w:numPr>
        <w:spacing w:line="288" w:lineRule="auto"/>
        <w:ind w:hanging="720"/>
        <w:rPr>
          <w:rStyle w:val="Style125pt"/>
        </w:rPr>
      </w:pPr>
      <w:r>
        <w:rPr>
          <w:rStyle w:val="Style125pt"/>
        </w:rPr>
        <w:t>In this matter an</w:t>
      </w:r>
      <w:r w:rsidR="00FC6909">
        <w:rPr>
          <w:rStyle w:val="Style125pt"/>
        </w:rPr>
        <w:t xml:space="preserve"> adjudicative proceeding commenced </w:t>
      </w:r>
      <w:r w:rsidR="007F5173">
        <w:rPr>
          <w:rStyle w:val="Style125pt"/>
        </w:rPr>
        <w:t xml:space="preserve">when the Commission issued the </w:t>
      </w:r>
      <w:r w:rsidR="0033468C">
        <w:rPr>
          <w:rStyle w:val="Style125pt"/>
        </w:rPr>
        <w:t xml:space="preserve">Notice of Prehearing Conference on January 29, 2010.  </w:t>
      </w:r>
      <w:r w:rsidR="008264D7">
        <w:rPr>
          <w:rStyle w:val="Style125pt"/>
        </w:rPr>
        <w:t>On</w:t>
      </w:r>
      <w:r w:rsidR="0033468C">
        <w:rPr>
          <w:rStyle w:val="Style125pt"/>
        </w:rPr>
        <w:t xml:space="preserve"> that date, the Commission notified the parties that the stages of adjudication including, but not limited to, appointing an Administrative Law Judge to preside, scheduling a prehearing conference, and establishing a procedural schedule</w:t>
      </w:r>
      <w:r w:rsidR="005347AD">
        <w:rPr>
          <w:rStyle w:val="Style125pt"/>
        </w:rPr>
        <w:t>,</w:t>
      </w:r>
      <w:r w:rsidR="0033468C">
        <w:rPr>
          <w:rStyle w:val="Style125pt"/>
        </w:rPr>
        <w:t xml:space="preserve"> including a hearing</w:t>
      </w:r>
      <w:r w:rsidR="008057A3">
        <w:rPr>
          <w:rStyle w:val="Style125pt"/>
        </w:rPr>
        <w:t xml:space="preserve"> date</w:t>
      </w:r>
      <w:r w:rsidR="005347AD">
        <w:rPr>
          <w:rStyle w:val="Style125pt"/>
        </w:rPr>
        <w:t>,</w:t>
      </w:r>
      <w:r w:rsidR="0033468C">
        <w:rPr>
          <w:rStyle w:val="Style125pt"/>
        </w:rPr>
        <w:t xml:space="preserve"> would be applicable to </w:t>
      </w:r>
      <w:r>
        <w:rPr>
          <w:rStyle w:val="Style125pt"/>
        </w:rPr>
        <w:t xml:space="preserve">Shuttle Express’ </w:t>
      </w:r>
      <w:r w:rsidR="0033468C">
        <w:rPr>
          <w:rStyle w:val="Style125pt"/>
        </w:rPr>
        <w:t xml:space="preserve">pending application.  </w:t>
      </w:r>
      <w:r w:rsidR="00FC6909">
        <w:rPr>
          <w:rStyle w:val="Style125pt"/>
        </w:rPr>
        <w:t>Prior to</w:t>
      </w:r>
      <w:r w:rsidR="000329C5">
        <w:rPr>
          <w:rStyle w:val="Style125pt"/>
        </w:rPr>
        <w:t xml:space="preserve"> that time,</w:t>
      </w:r>
      <w:r w:rsidR="00FC6909">
        <w:rPr>
          <w:rStyle w:val="Style125pt"/>
        </w:rPr>
        <w:t xml:space="preserve"> Shuttle Express’ application was being processed </w:t>
      </w:r>
      <w:r w:rsidR="008057A3">
        <w:rPr>
          <w:rStyle w:val="Style125pt"/>
        </w:rPr>
        <w:t>as</w:t>
      </w:r>
      <w:r w:rsidR="00FC6909">
        <w:rPr>
          <w:rStyle w:val="Style125pt"/>
        </w:rPr>
        <w:t xml:space="preserve"> a non-adjudicative </w:t>
      </w:r>
      <w:r w:rsidR="008057A3">
        <w:rPr>
          <w:rStyle w:val="Style125pt"/>
        </w:rPr>
        <w:t>matter</w:t>
      </w:r>
      <w:r w:rsidR="00FC6909">
        <w:rPr>
          <w:rStyle w:val="Style125pt"/>
        </w:rPr>
        <w:t xml:space="preserve">.  </w:t>
      </w:r>
      <w:r w:rsidR="00FC6909">
        <w:rPr>
          <w:rStyle w:val="Style125pt"/>
        </w:rPr>
        <w:lastRenderedPageBreak/>
        <w:t>Because the protest predates the commencement of an adjudicative proceeding,</w:t>
      </w:r>
      <w:r w:rsidR="008264D7">
        <w:rPr>
          <w:rStyle w:val="Style125pt"/>
        </w:rPr>
        <w:t xml:space="preserve"> as defined in the APA,</w:t>
      </w:r>
      <w:r w:rsidR="00FC6909">
        <w:rPr>
          <w:rStyle w:val="Style125pt"/>
        </w:rPr>
        <w:t xml:space="preserve"> the rule applicable to non-adjudicative matters governs Seatac’s filing</w:t>
      </w:r>
      <w:r w:rsidR="000329C5">
        <w:rPr>
          <w:rStyle w:val="Style125pt"/>
        </w:rPr>
        <w:t>.  Therefore, because</w:t>
      </w:r>
      <w:r w:rsidR="00FC6909">
        <w:rPr>
          <w:rStyle w:val="Style125pt"/>
        </w:rPr>
        <w:t xml:space="preserve"> under </w:t>
      </w:r>
      <w:r w:rsidR="000329C5">
        <w:rPr>
          <w:rStyle w:val="Style125pt"/>
        </w:rPr>
        <w:t xml:space="preserve">Commission rules </w:t>
      </w:r>
      <w:r w:rsidR="00FC6909">
        <w:rPr>
          <w:rStyle w:val="Style125pt"/>
        </w:rPr>
        <w:t>electronic filings are</w:t>
      </w:r>
      <w:r>
        <w:rPr>
          <w:rStyle w:val="Style125pt"/>
        </w:rPr>
        <w:t xml:space="preserve"> o</w:t>
      </w:r>
      <w:r w:rsidR="00FC6909">
        <w:rPr>
          <w:rStyle w:val="Style125pt"/>
        </w:rPr>
        <w:t>fficial filings</w:t>
      </w:r>
      <w:r w:rsidR="000329C5">
        <w:rPr>
          <w:rStyle w:val="Style125pt"/>
        </w:rPr>
        <w:t xml:space="preserve"> and because</w:t>
      </w:r>
      <w:r w:rsidR="00415783">
        <w:rPr>
          <w:rStyle w:val="Style125pt"/>
        </w:rPr>
        <w:t xml:space="preserve"> t</w:t>
      </w:r>
      <w:r w:rsidR="00FC6909">
        <w:rPr>
          <w:rStyle w:val="Style125pt"/>
        </w:rPr>
        <w:t>he protest was electronically filed within the 30-day protest period</w:t>
      </w:r>
      <w:r w:rsidR="000329C5">
        <w:rPr>
          <w:rStyle w:val="Style125pt"/>
        </w:rPr>
        <w:t>, it</w:t>
      </w:r>
      <w:r w:rsidR="00FC6909">
        <w:rPr>
          <w:rStyle w:val="Style125pt"/>
        </w:rPr>
        <w:t xml:space="preserve"> </w:t>
      </w:r>
      <w:r w:rsidR="00C4109D">
        <w:rPr>
          <w:rStyle w:val="Style125pt"/>
        </w:rPr>
        <w:t xml:space="preserve">was timely filed.  </w:t>
      </w:r>
    </w:p>
    <w:p w:rsidR="0033468C" w:rsidRDefault="0033468C" w:rsidP="0033468C">
      <w:pPr>
        <w:spacing w:line="288" w:lineRule="auto"/>
        <w:ind w:left="-720"/>
        <w:rPr>
          <w:rStyle w:val="Style125pt"/>
        </w:rPr>
      </w:pPr>
    </w:p>
    <w:p w:rsidR="00C4109D" w:rsidRDefault="0030016F" w:rsidP="005347AD">
      <w:pPr>
        <w:numPr>
          <w:ilvl w:val="0"/>
          <w:numId w:val="10"/>
        </w:numPr>
        <w:spacing w:line="288" w:lineRule="auto"/>
        <w:ind w:hanging="720"/>
        <w:rPr>
          <w:rStyle w:val="Style125pt"/>
        </w:rPr>
      </w:pPr>
      <w:r>
        <w:rPr>
          <w:rStyle w:val="Style125pt"/>
        </w:rPr>
        <w:t>The Commission’s internal treatment of Shuttle Express’ application is consistent with this finding.</w:t>
      </w:r>
      <w:r w:rsidR="0033468C">
        <w:rPr>
          <w:rStyle w:val="Style125pt"/>
        </w:rPr>
        <w:t xml:space="preserve"> </w:t>
      </w:r>
      <w:r w:rsidR="0091112C">
        <w:rPr>
          <w:rStyle w:val="Style125pt"/>
        </w:rPr>
        <w:t xml:space="preserve"> </w:t>
      </w:r>
      <w:r w:rsidR="00515328">
        <w:rPr>
          <w:rStyle w:val="Style125pt"/>
        </w:rPr>
        <w:t xml:space="preserve">The </w:t>
      </w:r>
      <w:r w:rsidR="0033468C">
        <w:rPr>
          <w:rStyle w:val="Style125pt"/>
        </w:rPr>
        <w:t>Transportation Section received Seatac’s electronically-filed protest on January 20, 201</w:t>
      </w:r>
      <w:r>
        <w:rPr>
          <w:rStyle w:val="Style125pt"/>
        </w:rPr>
        <w:t xml:space="preserve">0, and treated it </w:t>
      </w:r>
      <w:r w:rsidR="0033468C">
        <w:rPr>
          <w:rStyle w:val="Style125pt"/>
        </w:rPr>
        <w:t>as timely filed</w:t>
      </w:r>
      <w:r w:rsidR="00C4109D">
        <w:rPr>
          <w:rStyle w:val="Style125pt"/>
        </w:rPr>
        <w:t>.  If the Transportation Section believed that the protest was not timely filed, it would have processed this application</w:t>
      </w:r>
      <w:r w:rsidR="00515328">
        <w:rPr>
          <w:rStyle w:val="Style125pt"/>
        </w:rPr>
        <w:t xml:space="preserve"> as unprotested</w:t>
      </w:r>
      <w:r w:rsidR="0091112C">
        <w:rPr>
          <w:rStyle w:val="Style125pt"/>
        </w:rPr>
        <w:t>.</w:t>
      </w:r>
      <w:r w:rsidR="00C4109D">
        <w:rPr>
          <w:rStyle w:val="Style125pt"/>
        </w:rPr>
        <w:t xml:space="preserve">  It did not.  The Transportation Section</w:t>
      </w:r>
      <w:r w:rsidR="0033468C">
        <w:rPr>
          <w:rStyle w:val="Style125pt"/>
        </w:rPr>
        <w:t xml:space="preserve"> forwarded the application to the Administrative Law Division </w:t>
      </w:r>
      <w:r w:rsidR="00C4109D">
        <w:rPr>
          <w:rStyle w:val="Style125pt"/>
        </w:rPr>
        <w:t xml:space="preserve">for processing </w:t>
      </w:r>
      <w:r w:rsidR="0033468C">
        <w:rPr>
          <w:rStyle w:val="Style125pt"/>
        </w:rPr>
        <w:t xml:space="preserve">on January 22, 2010.  It is noteworthy that this transfer from </w:t>
      </w:r>
      <w:r>
        <w:rPr>
          <w:rStyle w:val="Style125pt"/>
        </w:rPr>
        <w:t xml:space="preserve">the </w:t>
      </w:r>
      <w:r w:rsidR="0033468C">
        <w:rPr>
          <w:rStyle w:val="Style125pt"/>
        </w:rPr>
        <w:t>Transportation</w:t>
      </w:r>
      <w:r>
        <w:rPr>
          <w:rStyle w:val="Style125pt"/>
        </w:rPr>
        <w:t xml:space="preserve"> Section</w:t>
      </w:r>
      <w:r w:rsidR="0033468C">
        <w:rPr>
          <w:rStyle w:val="Style125pt"/>
        </w:rPr>
        <w:t xml:space="preserve"> to </w:t>
      </w:r>
      <w:r w:rsidR="006D4C3C">
        <w:rPr>
          <w:rStyle w:val="Style125pt"/>
        </w:rPr>
        <w:t>the Administrative Law Division</w:t>
      </w:r>
      <w:r w:rsidR="0033468C">
        <w:rPr>
          <w:rStyle w:val="Style125pt"/>
        </w:rPr>
        <w:t xml:space="preserve"> occurred on January 22, 2010, or one day </w:t>
      </w:r>
      <w:r w:rsidR="0033468C" w:rsidRPr="0033468C">
        <w:rPr>
          <w:rStyle w:val="Style125pt"/>
          <w:i/>
        </w:rPr>
        <w:t>after</w:t>
      </w:r>
      <w:r w:rsidR="0033468C">
        <w:rPr>
          <w:rStyle w:val="Style125pt"/>
        </w:rPr>
        <w:t xml:space="preserve"> the deadline for filing a paper copy should one have been required.  </w:t>
      </w:r>
    </w:p>
    <w:p w:rsidR="00C4109D" w:rsidRDefault="00C4109D" w:rsidP="00C4109D">
      <w:pPr>
        <w:spacing w:line="288" w:lineRule="auto"/>
        <w:ind w:left="-720"/>
        <w:rPr>
          <w:rStyle w:val="Style125pt"/>
        </w:rPr>
      </w:pPr>
    </w:p>
    <w:p w:rsidR="005035F4" w:rsidRDefault="0033468C" w:rsidP="005347AD">
      <w:pPr>
        <w:numPr>
          <w:ilvl w:val="0"/>
          <w:numId w:val="10"/>
        </w:numPr>
        <w:spacing w:line="288" w:lineRule="auto"/>
        <w:ind w:hanging="720"/>
        <w:rPr>
          <w:rStyle w:val="Style125pt"/>
        </w:rPr>
      </w:pPr>
      <w:r>
        <w:rPr>
          <w:rStyle w:val="Style125pt"/>
        </w:rPr>
        <w:t xml:space="preserve">Moreover, the </w:t>
      </w:r>
      <w:r w:rsidR="006D4C3C">
        <w:rPr>
          <w:rStyle w:val="Style125pt"/>
        </w:rPr>
        <w:t xml:space="preserve">Administrative </w:t>
      </w:r>
      <w:r>
        <w:rPr>
          <w:rStyle w:val="Style125pt"/>
        </w:rPr>
        <w:t>L</w:t>
      </w:r>
      <w:r w:rsidR="006D4C3C">
        <w:rPr>
          <w:rStyle w:val="Style125pt"/>
        </w:rPr>
        <w:t xml:space="preserve">aw </w:t>
      </w:r>
      <w:r>
        <w:rPr>
          <w:rStyle w:val="Style125pt"/>
        </w:rPr>
        <w:t>D</w:t>
      </w:r>
      <w:r w:rsidR="006D4C3C">
        <w:rPr>
          <w:rStyle w:val="Style125pt"/>
        </w:rPr>
        <w:t xml:space="preserve">ivision </w:t>
      </w:r>
      <w:r w:rsidR="00445662">
        <w:rPr>
          <w:rStyle w:val="Style125pt"/>
        </w:rPr>
        <w:t>treated</w:t>
      </w:r>
      <w:r>
        <w:rPr>
          <w:rStyle w:val="Style125pt"/>
        </w:rPr>
        <w:t xml:space="preserve"> the protest as timely filed because it </w:t>
      </w:r>
      <w:r w:rsidR="00C4109D">
        <w:rPr>
          <w:rStyle w:val="Style125pt"/>
        </w:rPr>
        <w:t xml:space="preserve">accepted the application for processing.  If a paper copy of the protest had been required, </w:t>
      </w:r>
      <w:r w:rsidR="006D4C3C">
        <w:rPr>
          <w:rStyle w:val="Style125pt"/>
        </w:rPr>
        <w:t xml:space="preserve">the deadline for </w:t>
      </w:r>
      <w:r w:rsidR="00C4109D">
        <w:rPr>
          <w:rStyle w:val="Style125pt"/>
        </w:rPr>
        <w:t xml:space="preserve">such a filing </w:t>
      </w:r>
      <w:r w:rsidR="006D4C3C">
        <w:rPr>
          <w:rStyle w:val="Style125pt"/>
        </w:rPr>
        <w:t>was</w:t>
      </w:r>
      <w:r w:rsidR="00C4109D">
        <w:rPr>
          <w:rStyle w:val="Style125pt"/>
        </w:rPr>
        <w:t xml:space="preserve"> January 21, 2010.  </w:t>
      </w:r>
      <w:r w:rsidR="00872A2C">
        <w:rPr>
          <w:rStyle w:val="Style125pt"/>
        </w:rPr>
        <w:t>The</w:t>
      </w:r>
      <w:r w:rsidR="006D4C3C">
        <w:rPr>
          <w:rStyle w:val="Style125pt"/>
        </w:rPr>
        <w:t xml:space="preserve"> lack of a paper copy by the “deadline” did not prompt the </w:t>
      </w:r>
      <w:r w:rsidR="00872A2C">
        <w:rPr>
          <w:rStyle w:val="Style125pt"/>
        </w:rPr>
        <w:t xml:space="preserve">Administrative Law Division </w:t>
      </w:r>
      <w:r w:rsidR="006D4C3C">
        <w:rPr>
          <w:rStyle w:val="Style125pt"/>
        </w:rPr>
        <w:t>to</w:t>
      </w:r>
      <w:r w:rsidR="00872A2C">
        <w:rPr>
          <w:rStyle w:val="Style125pt"/>
        </w:rPr>
        <w:t xml:space="preserve"> return the application to the Transportation Section for processing.  Instead, the Administrative Law Division </w:t>
      </w:r>
      <w:r>
        <w:rPr>
          <w:rStyle w:val="Style125pt"/>
        </w:rPr>
        <w:t xml:space="preserve">issued a Notice of Prehearing Conference on January 29, 2010.  Again, it begs mention that the Notice </w:t>
      </w:r>
      <w:r w:rsidR="005347AD">
        <w:rPr>
          <w:rStyle w:val="Style125pt"/>
        </w:rPr>
        <w:t xml:space="preserve">was issued </w:t>
      </w:r>
      <w:r w:rsidR="00872A2C">
        <w:rPr>
          <w:rStyle w:val="Style125pt"/>
        </w:rPr>
        <w:t xml:space="preserve">eight days after the deadline for filing a paper copy of the protest (should one have been required) and </w:t>
      </w:r>
      <w:r w:rsidR="005347AD">
        <w:rPr>
          <w:rStyle w:val="Style125pt"/>
        </w:rPr>
        <w:t xml:space="preserve">two days </w:t>
      </w:r>
      <w:r w:rsidR="005347AD">
        <w:rPr>
          <w:rStyle w:val="Style125pt"/>
          <w:i/>
        </w:rPr>
        <w:t xml:space="preserve">after </w:t>
      </w:r>
      <w:r w:rsidR="00E53560">
        <w:rPr>
          <w:rStyle w:val="Style125pt"/>
        </w:rPr>
        <w:t>a paper</w:t>
      </w:r>
      <w:r w:rsidR="005347AD">
        <w:rPr>
          <w:rStyle w:val="Style125pt"/>
        </w:rPr>
        <w:t xml:space="preserve"> copy of the protest was </w:t>
      </w:r>
      <w:r w:rsidR="00872A2C">
        <w:rPr>
          <w:rStyle w:val="Style125pt"/>
        </w:rPr>
        <w:t xml:space="preserve">actually received by the Commission.  Moreover, in the Notice, the Commission cites </w:t>
      </w:r>
      <w:r w:rsidR="005347AD">
        <w:rPr>
          <w:rStyle w:val="Style125pt"/>
        </w:rPr>
        <w:t xml:space="preserve">the electronic filing date </w:t>
      </w:r>
      <w:r w:rsidR="00872A2C">
        <w:rPr>
          <w:rStyle w:val="Style125pt"/>
        </w:rPr>
        <w:t xml:space="preserve">of January 20, 2010, </w:t>
      </w:r>
      <w:r w:rsidR="00445662">
        <w:rPr>
          <w:rStyle w:val="Style125pt"/>
        </w:rPr>
        <w:t xml:space="preserve">not the date of receipt of the paper copy, </w:t>
      </w:r>
      <w:r w:rsidR="00872A2C">
        <w:rPr>
          <w:rStyle w:val="Style125pt"/>
        </w:rPr>
        <w:t xml:space="preserve">as </w:t>
      </w:r>
      <w:r w:rsidR="005347AD">
        <w:rPr>
          <w:rStyle w:val="Style125pt"/>
        </w:rPr>
        <w:t xml:space="preserve">the date Seatac’s protest was filed.  </w:t>
      </w:r>
    </w:p>
    <w:p w:rsidR="005347AD" w:rsidRPr="00C04A51" w:rsidRDefault="005347AD" w:rsidP="005347AD">
      <w:pPr>
        <w:spacing w:line="288" w:lineRule="auto"/>
        <w:ind w:left="-720"/>
        <w:rPr>
          <w:rStyle w:val="Style125pt"/>
        </w:rPr>
      </w:pPr>
    </w:p>
    <w:p w:rsidR="003161BC" w:rsidRPr="003161BC" w:rsidRDefault="0030016F" w:rsidP="003161BC">
      <w:pPr>
        <w:numPr>
          <w:ilvl w:val="0"/>
          <w:numId w:val="10"/>
        </w:numPr>
        <w:spacing w:line="288" w:lineRule="auto"/>
        <w:ind w:hanging="720"/>
        <w:rPr>
          <w:rStyle w:val="Style125pt"/>
          <w:b/>
          <w:szCs w:val="25"/>
          <w:u w:val="single"/>
        </w:rPr>
      </w:pPr>
      <w:r>
        <w:rPr>
          <w:rStyle w:val="Style125pt"/>
        </w:rPr>
        <w:t>W</w:t>
      </w:r>
      <w:r w:rsidR="006D6080">
        <w:rPr>
          <w:rStyle w:val="Style125pt"/>
        </w:rPr>
        <w:t>e conclude that WAC 480-07-140</w:t>
      </w:r>
      <w:r>
        <w:rPr>
          <w:rStyle w:val="Style125pt"/>
        </w:rPr>
        <w:t>(1)(a)</w:t>
      </w:r>
      <w:r w:rsidR="006D6080">
        <w:rPr>
          <w:rStyle w:val="Style125pt"/>
        </w:rPr>
        <w:t xml:space="preserve"> governed the filing requirements in this matter until such time as the Commission </w:t>
      </w:r>
      <w:r w:rsidR="00445662">
        <w:rPr>
          <w:rStyle w:val="Style125pt"/>
        </w:rPr>
        <w:t>commenced</w:t>
      </w:r>
      <w:r w:rsidR="006D6080">
        <w:rPr>
          <w:rStyle w:val="Style125pt"/>
        </w:rPr>
        <w:t xml:space="preserve"> an adjudicative proceeding according to RCW 34.05.413.  Accordingly, we </w:t>
      </w:r>
      <w:r w:rsidR="00727852">
        <w:rPr>
          <w:rStyle w:val="Style125pt"/>
        </w:rPr>
        <w:t>modify</w:t>
      </w:r>
      <w:r w:rsidR="006D6080">
        <w:rPr>
          <w:rStyle w:val="Style125pt"/>
        </w:rPr>
        <w:t xml:space="preserve"> the Interlocutory Order’s ruling and conclude that the motion to strike should have been denied</w:t>
      </w:r>
      <w:r w:rsidR="006D4C3C">
        <w:rPr>
          <w:rStyle w:val="Style125pt"/>
        </w:rPr>
        <w:t xml:space="preserve"> and the prehearing conference should not have been canceled.  We also </w:t>
      </w:r>
      <w:r w:rsidR="00727852">
        <w:rPr>
          <w:rStyle w:val="Style125pt"/>
        </w:rPr>
        <w:t>modify</w:t>
      </w:r>
      <w:r w:rsidR="006D4C3C">
        <w:rPr>
          <w:rStyle w:val="Style125pt"/>
        </w:rPr>
        <w:t xml:space="preserve"> the Initial Order’s decision to terminate the adjudicative proceeding.</w:t>
      </w:r>
      <w:r w:rsidR="006D6080">
        <w:rPr>
          <w:rStyle w:val="Style125pt"/>
        </w:rPr>
        <w:t xml:space="preserve">  Having accepted Seatac’s </w:t>
      </w:r>
      <w:r w:rsidR="006D6080">
        <w:rPr>
          <w:rStyle w:val="Style125pt"/>
        </w:rPr>
        <w:lastRenderedPageBreak/>
        <w:t xml:space="preserve">protest, we conclude that the prehearing conference should be rescheduled and this application </w:t>
      </w:r>
      <w:r>
        <w:rPr>
          <w:rStyle w:val="Style125pt"/>
        </w:rPr>
        <w:t xml:space="preserve">and the protest </w:t>
      </w:r>
      <w:r w:rsidR="006D6080">
        <w:rPr>
          <w:rStyle w:val="Style125pt"/>
        </w:rPr>
        <w:t>should be considered</w:t>
      </w:r>
      <w:r>
        <w:rPr>
          <w:rStyle w:val="Style125pt"/>
        </w:rPr>
        <w:t>.</w:t>
      </w:r>
      <w:r w:rsidR="003161BC">
        <w:rPr>
          <w:rStyle w:val="Style125pt"/>
        </w:rPr>
        <w:t xml:space="preserve"> </w:t>
      </w:r>
    </w:p>
    <w:p w:rsidR="00967A4C" w:rsidRPr="0071085C" w:rsidRDefault="00967A4C" w:rsidP="00486CD0">
      <w:pPr>
        <w:pStyle w:val="ListParagraph"/>
        <w:spacing w:line="288" w:lineRule="auto"/>
        <w:rPr>
          <w:sz w:val="25"/>
          <w:szCs w:val="25"/>
        </w:rPr>
      </w:pPr>
    </w:p>
    <w:p w:rsidR="00E57CA3" w:rsidRPr="00412F70" w:rsidRDefault="00E57CA3" w:rsidP="00486CD0">
      <w:pPr>
        <w:spacing w:line="288" w:lineRule="auto"/>
        <w:jc w:val="center"/>
        <w:rPr>
          <w:b/>
          <w:sz w:val="25"/>
          <w:szCs w:val="25"/>
          <w:u w:val="single"/>
        </w:rPr>
      </w:pPr>
      <w:r w:rsidRPr="00412F70">
        <w:rPr>
          <w:b/>
          <w:sz w:val="25"/>
          <w:szCs w:val="25"/>
          <w:u w:val="single"/>
        </w:rPr>
        <w:t>ORDER</w:t>
      </w:r>
    </w:p>
    <w:p w:rsidR="00796A95" w:rsidRPr="00E27740" w:rsidRDefault="00796A95" w:rsidP="00486CD0">
      <w:pPr>
        <w:spacing w:line="288" w:lineRule="auto"/>
        <w:rPr>
          <w:sz w:val="25"/>
          <w:szCs w:val="25"/>
        </w:rPr>
      </w:pPr>
    </w:p>
    <w:p w:rsidR="00796A95" w:rsidRDefault="00796A95" w:rsidP="00486CD0">
      <w:pPr>
        <w:spacing w:line="288" w:lineRule="auto"/>
        <w:rPr>
          <w:b/>
          <w:sz w:val="25"/>
          <w:szCs w:val="25"/>
        </w:rPr>
      </w:pPr>
      <w:r w:rsidRPr="00967A4C">
        <w:rPr>
          <w:b/>
          <w:sz w:val="25"/>
          <w:szCs w:val="25"/>
        </w:rPr>
        <w:t>THE COMMISSION ORDERS That:</w:t>
      </w:r>
    </w:p>
    <w:p w:rsidR="0029676E" w:rsidRPr="00967A4C" w:rsidRDefault="0029676E" w:rsidP="00486CD0">
      <w:pPr>
        <w:spacing w:line="288" w:lineRule="auto"/>
        <w:rPr>
          <w:b/>
          <w:iCs/>
          <w:sz w:val="25"/>
          <w:szCs w:val="25"/>
        </w:rPr>
      </w:pPr>
    </w:p>
    <w:p w:rsidR="00796A95" w:rsidRPr="00E27740" w:rsidRDefault="00796A95" w:rsidP="00486CD0">
      <w:pPr>
        <w:numPr>
          <w:ilvl w:val="0"/>
          <w:numId w:val="10"/>
        </w:numPr>
        <w:spacing w:line="288" w:lineRule="auto"/>
        <w:ind w:left="720" w:hanging="1440"/>
        <w:rPr>
          <w:iCs/>
          <w:sz w:val="25"/>
          <w:szCs w:val="25"/>
        </w:rPr>
      </w:pPr>
      <w:r w:rsidRPr="00E27740">
        <w:rPr>
          <w:iCs/>
          <w:sz w:val="25"/>
          <w:szCs w:val="25"/>
        </w:rPr>
        <w:t>(1)</w:t>
      </w:r>
      <w:r w:rsidRPr="00E27740">
        <w:rPr>
          <w:iCs/>
          <w:sz w:val="25"/>
          <w:szCs w:val="25"/>
        </w:rPr>
        <w:tab/>
      </w:r>
      <w:r w:rsidR="0029676E">
        <w:rPr>
          <w:iCs/>
          <w:sz w:val="25"/>
          <w:szCs w:val="25"/>
        </w:rPr>
        <w:t>Seatac Shuttle’s Peti</w:t>
      </w:r>
      <w:r w:rsidR="00E27740" w:rsidRPr="00E27740">
        <w:rPr>
          <w:iCs/>
          <w:sz w:val="25"/>
          <w:szCs w:val="25"/>
        </w:rPr>
        <w:t>tion for Administrative Review is granted</w:t>
      </w:r>
      <w:r w:rsidR="0029676E">
        <w:rPr>
          <w:iCs/>
          <w:sz w:val="25"/>
          <w:szCs w:val="25"/>
        </w:rPr>
        <w:t>.</w:t>
      </w:r>
    </w:p>
    <w:p w:rsidR="00DB6DA8" w:rsidRPr="00DB6DA8" w:rsidRDefault="00DB6DA8" w:rsidP="00486CD0">
      <w:pPr>
        <w:spacing w:line="288" w:lineRule="auto"/>
        <w:rPr>
          <w:iCs/>
          <w:sz w:val="25"/>
          <w:szCs w:val="25"/>
        </w:rPr>
      </w:pPr>
    </w:p>
    <w:p w:rsidR="00DB6DA8" w:rsidRPr="00823E29" w:rsidRDefault="00DB6DA8" w:rsidP="00486CD0">
      <w:pPr>
        <w:numPr>
          <w:ilvl w:val="0"/>
          <w:numId w:val="10"/>
        </w:numPr>
        <w:spacing w:line="288" w:lineRule="auto"/>
        <w:ind w:left="720" w:hanging="1440"/>
        <w:rPr>
          <w:sz w:val="25"/>
          <w:szCs w:val="25"/>
        </w:rPr>
      </w:pPr>
      <w:r w:rsidRPr="00823E29">
        <w:rPr>
          <w:iCs/>
          <w:sz w:val="25"/>
          <w:szCs w:val="25"/>
        </w:rPr>
        <w:t>(2)</w:t>
      </w:r>
      <w:r w:rsidRPr="00823E29">
        <w:rPr>
          <w:iCs/>
          <w:sz w:val="25"/>
          <w:szCs w:val="25"/>
        </w:rPr>
        <w:tab/>
        <w:t xml:space="preserve">Order 01, </w:t>
      </w:r>
      <w:r w:rsidR="0029676E" w:rsidRPr="00823E29">
        <w:rPr>
          <w:iCs/>
          <w:sz w:val="25"/>
          <w:szCs w:val="25"/>
        </w:rPr>
        <w:t xml:space="preserve">Interlocutory and </w:t>
      </w:r>
      <w:r w:rsidRPr="00823E29">
        <w:rPr>
          <w:iCs/>
          <w:sz w:val="25"/>
          <w:szCs w:val="25"/>
        </w:rPr>
        <w:t xml:space="preserve">Initial Order in this proceeding, is modified to </w:t>
      </w:r>
      <w:r w:rsidR="00AC55E5">
        <w:rPr>
          <w:iCs/>
          <w:sz w:val="25"/>
          <w:szCs w:val="25"/>
        </w:rPr>
        <w:t>D</w:t>
      </w:r>
      <w:r w:rsidR="0029676E" w:rsidRPr="00823E29">
        <w:rPr>
          <w:iCs/>
          <w:sz w:val="25"/>
          <w:szCs w:val="25"/>
        </w:rPr>
        <w:t xml:space="preserve">eny the Motion to Strike Protest, Reschedule Prehearing Conference, and </w:t>
      </w:r>
      <w:r w:rsidR="00823E29" w:rsidRPr="00823E29">
        <w:rPr>
          <w:iCs/>
          <w:sz w:val="25"/>
          <w:szCs w:val="25"/>
        </w:rPr>
        <w:t>Reinstate Adjudicative Proceeding.</w:t>
      </w:r>
    </w:p>
    <w:p w:rsidR="00796A95" w:rsidRPr="00E6618D" w:rsidRDefault="00796A95" w:rsidP="00486CD0">
      <w:pPr>
        <w:spacing w:line="288" w:lineRule="auto"/>
        <w:rPr>
          <w:sz w:val="25"/>
          <w:szCs w:val="25"/>
        </w:rPr>
      </w:pPr>
    </w:p>
    <w:p w:rsidR="00796A95" w:rsidRPr="00E6618D" w:rsidRDefault="00DB6DA8" w:rsidP="00486CD0">
      <w:pPr>
        <w:numPr>
          <w:ilvl w:val="0"/>
          <w:numId w:val="10"/>
        </w:numPr>
        <w:spacing w:line="288" w:lineRule="auto"/>
        <w:ind w:left="720" w:hanging="1440"/>
        <w:rPr>
          <w:sz w:val="25"/>
          <w:szCs w:val="25"/>
        </w:rPr>
      </w:pPr>
      <w:r>
        <w:rPr>
          <w:sz w:val="25"/>
          <w:szCs w:val="25"/>
        </w:rPr>
        <w:t>(</w:t>
      </w:r>
      <w:r w:rsidR="0091112C">
        <w:rPr>
          <w:sz w:val="25"/>
          <w:szCs w:val="25"/>
        </w:rPr>
        <w:t>3</w:t>
      </w:r>
      <w:r w:rsidR="00796A95" w:rsidRPr="00E6618D">
        <w:rPr>
          <w:sz w:val="25"/>
          <w:szCs w:val="25"/>
        </w:rPr>
        <w:t>)</w:t>
      </w:r>
      <w:r w:rsidR="00796A95" w:rsidRPr="00E6618D">
        <w:rPr>
          <w:sz w:val="25"/>
          <w:szCs w:val="25"/>
        </w:rPr>
        <w:tab/>
        <w:t>The Commission retains jurisdiction to effectuate the terms of this Order.</w:t>
      </w:r>
    </w:p>
    <w:p w:rsidR="00796A95" w:rsidRPr="00294F85" w:rsidRDefault="00796A95" w:rsidP="00486CD0">
      <w:pPr>
        <w:spacing w:line="288" w:lineRule="auto"/>
        <w:rPr>
          <w:sz w:val="25"/>
          <w:szCs w:val="25"/>
        </w:rPr>
      </w:pPr>
    </w:p>
    <w:p w:rsidR="00C34B05" w:rsidRPr="00796A95" w:rsidRDefault="00C34B05" w:rsidP="00486CD0">
      <w:pPr>
        <w:spacing w:line="288" w:lineRule="auto"/>
        <w:rPr>
          <w:sz w:val="25"/>
          <w:szCs w:val="25"/>
        </w:rPr>
      </w:pPr>
      <w:r w:rsidRPr="00796A95">
        <w:rPr>
          <w:sz w:val="25"/>
          <w:szCs w:val="25"/>
        </w:rPr>
        <w:t xml:space="preserve">Dated at Olympia, Washington, and effective </w:t>
      </w:r>
      <w:r w:rsidR="00823E29">
        <w:rPr>
          <w:sz w:val="25"/>
          <w:szCs w:val="25"/>
        </w:rPr>
        <w:t xml:space="preserve">August </w:t>
      </w:r>
      <w:r w:rsidR="00A30B70">
        <w:rPr>
          <w:sz w:val="25"/>
          <w:szCs w:val="25"/>
        </w:rPr>
        <w:t>25</w:t>
      </w:r>
      <w:r w:rsidR="009E1A00" w:rsidRPr="00796A95">
        <w:rPr>
          <w:sz w:val="25"/>
          <w:szCs w:val="25"/>
        </w:rPr>
        <w:t>,</w:t>
      </w:r>
      <w:r w:rsidRPr="00796A95">
        <w:rPr>
          <w:sz w:val="25"/>
          <w:szCs w:val="25"/>
        </w:rPr>
        <w:t xml:space="preserve"> 20</w:t>
      </w:r>
      <w:r w:rsidR="000C5CD9" w:rsidRPr="00796A95">
        <w:rPr>
          <w:sz w:val="25"/>
          <w:szCs w:val="25"/>
        </w:rPr>
        <w:t>1</w:t>
      </w:r>
      <w:r w:rsidRPr="00796A95">
        <w:rPr>
          <w:sz w:val="25"/>
          <w:szCs w:val="25"/>
        </w:rPr>
        <w:t>0.</w:t>
      </w:r>
    </w:p>
    <w:p w:rsidR="00C34B05" w:rsidRPr="00796A95" w:rsidRDefault="00C34B05" w:rsidP="00486CD0">
      <w:pPr>
        <w:pStyle w:val="Header"/>
        <w:tabs>
          <w:tab w:val="clear" w:pos="4320"/>
          <w:tab w:val="clear" w:pos="8640"/>
        </w:tabs>
        <w:spacing w:line="288" w:lineRule="auto"/>
        <w:rPr>
          <w:sz w:val="25"/>
          <w:szCs w:val="25"/>
        </w:rPr>
      </w:pPr>
    </w:p>
    <w:p w:rsidR="00C34B05" w:rsidRPr="00796A95" w:rsidRDefault="00C34B05" w:rsidP="00486CD0">
      <w:pPr>
        <w:spacing w:line="288" w:lineRule="auto"/>
        <w:jc w:val="center"/>
        <w:rPr>
          <w:sz w:val="25"/>
          <w:szCs w:val="25"/>
        </w:rPr>
      </w:pPr>
      <w:r w:rsidRPr="00796A95">
        <w:rPr>
          <w:sz w:val="25"/>
          <w:szCs w:val="25"/>
        </w:rPr>
        <w:t>WASHINGTON STATE UTILITIES AND TRANSPORTATION COMMISSION</w:t>
      </w:r>
    </w:p>
    <w:p w:rsidR="00C34B05" w:rsidRPr="00796A95" w:rsidRDefault="00C34B05" w:rsidP="00486CD0">
      <w:pPr>
        <w:spacing w:line="288" w:lineRule="auto"/>
        <w:rPr>
          <w:sz w:val="25"/>
          <w:szCs w:val="25"/>
        </w:rPr>
      </w:pPr>
    </w:p>
    <w:p w:rsidR="00C34B05" w:rsidRPr="00796A95" w:rsidRDefault="00C34B05" w:rsidP="00486CD0">
      <w:pPr>
        <w:spacing w:line="288" w:lineRule="auto"/>
        <w:rPr>
          <w:sz w:val="25"/>
          <w:szCs w:val="25"/>
        </w:rPr>
      </w:pPr>
    </w:p>
    <w:p w:rsidR="00161D01" w:rsidRPr="00796A95" w:rsidRDefault="00161D01" w:rsidP="00486CD0">
      <w:pPr>
        <w:spacing w:line="288" w:lineRule="auto"/>
        <w:rPr>
          <w:sz w:val="25"/>
          <w:szCs w:val="25"/>
        </w:rPr>
      </w:pPr>
    </w:p>
    <w:bookmarkEnd w:id="0"/>
    <w:bookmarkEnd w:id="1"/>
    <w:p w:rsidR="00796A95" w:rsidRPr="00D73B9B" w:rsidRDefault="00796A95" w:rsidP="00486CD0">
      <w:pPr>
        <w:spacing w:line="288" w:lineRule="auto"/>
        <w:rPr>
          <w:sz w:val="25"/>
          <w:szCs w:val="25"/>
        </w:rPr>
      </w:pPr>
      <w:r w:rsidRPr="00D73B9B">
        <w:tab/>
      </w:r>
      <w:r w:rsidRPr="00D73B9B">
        <w:tab/>
      </w:r>
      <w:r w:rsidRPr="00D73B9B">
        <w:tab/>
      </w:r>
      <w:r w:rsidRPr="00D73B9B">
        <w:tab/>
      </w:r>
      <w:r w:rsidRPr="00D73B9B">
        <w:tab/>
      </w:r>
      <w:r w:rsidR="00C01D53">
        <w:t>JEFFREY D. GOLTZ, Chairman</w:t>
      </w:r>
    </w:p>
    <w:p w:rsidR="00796A95" w:rsidRPr="00D73B9B" w:rsidRDefault="00796A95" w:rsidP="00486CD0">
      <w:pPr>
        <w:spacing w:line="288" w:lineRule="auto"/>
        <w:rPr>
          <w:sz w:val="25"/>
          <w:szCs w:val="25"/>
        </w:rPr>
      </w:pPr>
    </w:p>
    <w:p w:rsidR="00796A95" w:rsidRPr="00D73B9B" w:rsidRDefault="00796A95" w:rsidP="00486CD0">
      <w:pPr>
        <w:spacing w:line="288" w:lineRule="auto"/>
        <w:rPr>
          <w:sz w:val="25"/>
          <w:szCs w:val="25"/>
        </w:rPr>
      </w:pPr>
    </w:p>
    <w:p w:rsidR="00796A95" w:rsidRPr="00D73B9B" w:rsidRDefault="00796A95" w:rsidP="00486CD0">
      <w:pPr>
        <w:spacing w:line="288" w:lineRule="auto"/>
        <w:rPr>
          <w:sz w:val="25"/>
          <w:szCs w:val="25"/>
        </w:rPr>
      </w:pPr>
    </w:p>
    <w:p w:rsidR="00796A95" w:rsidRPr="00D73B9B" w:rsidRDefault="00796A95" w:rsidP="00486CD0">
      <w:pPr>
        <w:spacing w:line="288" w:lineRule="auto"/>
        <w:rPr>
          <w:sz w:val="25"/>
          <w:szCs w:val="25"/>
        </w:rPr>
      </w:pPr>
      <w:r w:rsidRPr="00D73B9B">
        <w:rPr>
          <w:sz w:val="25"/>
          <w:szCs w:val="25"/>
        </w:rPr>
        <w:tab/>
      </w:r>
      <w:r w:rsidRPr="00D73B9B">
        <w:rPr>
          <w:sz w:val="25"/>
          <w:szCs w:val="25"/>
        </w:rPr>
        <w:tab/>
      </w:r>
      <w:r w:rsidRPr="00D73B9B">
        <w:rPr>
          <w:sz w:val="25"/>
          <w:szCs w:val="25"/>
        </w:rPr>
        <w:tab/>
      </w:r>
      <w:r w:rsidRPr="00D73B9B">
        <w:rPr>
          <w:sz w:val="25"/>
          <w:szCs w:val="25"/>
        </w:rPr>
        <w:tab/>
      </w:r>
      <w:r w:rsidRPr="00D73B9B">
        <w:rPr>
          <w:sz w:val="25"/>
          <w:szCs w:val="25"/>
        </w:rPr>
        <w:tab/>
      </w:r>
      <w:r w:rsidR="00C01D53">
        <w:rPr>
          <w:sz w:val="25"/>
          <w:szCs w:val="25"/>
        </w:rPr>
        <w:t>PATRICK J. OSHIE, Commissioner</w:t>
      </w:r>
    </w:p>
    <w:p w:rsidR="00796A95" w:rsidRPr="00D73B9B" w:rsidRDefault="00796A95" w:rsidP="00486CD0">
      <w:pPr>
        <w:spacing w:line="288" w:lineRule="auto"/>
        <w:rPr>
          <w:sz w:val="25"/>
          <w:szCs w:val="25"/>
        </w:rPr>
      </w:pPr>
    </w:p>
    <w:p w:rsidR="00796A95" w:rsidRPr="00D73B9B" w:rsidRDefault="00796A95" w:rsidP="00486CD0">
      <w:pPr>
        <w:spacing w:line="288" w:lineRule="auto"/>
        <w:rPr>
          <w:sz w:val="25"/>
          <w:szCs w:val="25"/>
        </w:rPr>
      </w:pPr>
    </w:p>
    <w:p w:rsidR="00796A95" w:rsidRPr="00D73B9B" w:rsidRDefault="00796A95" w:rsidP="00486CD0">
      <w:pPr>
        <w:spacing w:line="288" w:lineRule="auto"/>
        <w:rPr>
          <w:sz w:val="25"/>
          <w:szCs w:val="25"/>
        </w:rPr>
      </w:pPr>
    </w:p>
    <w:p w:rsidR="00796A95" w:rsidRPr="00D73B9B" w:rsidRDefault="00796A95" w:rsidP="00486CD0">
      <w:pPr>
        <w:spacing w:line="288" w:lineRule="auto"/>
        <w:rPr>
          <w:sz w:val="25"/>
          <w:szCs w:val="25"/>
        </w:rPr>
      </w:pPr>
      <w:r w:rsidRPr="00D73B9B">
        <w:rPr>
          <w:sz w:val="25"/>
          <w:szCs w:val="25"/>
        </w:rPr>
        <w:tab/>
      </w:r>
      <w:r w:rsidRPr="00D73B9B">
        <w:rPr>
          <w:sz w:val="25"/>
          <w:szCs w:val="25"/>
        </w:rPr>
        <w:tab/>
      </w:r>
      <w:r w:rsidRPr="00D73B9B">
        <w:rPr>
          <w:sz w:val="25"/>
          <w:szCs w:val="25"/>
        </w:rPr>
        <w:tab/>
      </w:r>
      <w:r w:rsidRPr="00D73B9B">
        <w:rPr>
          <w:sz w:val="25"/>
          <w:szCs w:val="25"/>
        </w:rPr>
        <w:tab/>
      </w:r>
      <w:r w:rsidRPr="00D73B9B">
        <w:rPr>
          <w:sz w:val="25"/>
          <w:szCs w:val="25"/>
        </w:rPr>
        <w:tab/>
      </w:r>
      <w:r w:rsidR="00C01D53">
        <w:rPr>
          <w:sz w:val="25"/>
          <w:szCs w:val="25"/>
        </w:rPr>
        <w:t>PHILIP B. JONES, Commissioner</w:t>
      </w:r>
    </w:p>
    <w:p w:rsidR="00796A95" w:rsidRPr="00D73B9B" w:rsidRDefault="00796A95" w:rsidP="00486CD0">
      <w:pPr>
        <w:spacing w:line="288" w:lineRule="auto"/>
      </w:pPr>
    </w:p>
    <w:p w:rsidR="00324489" w:rsidRPr="00D73B9B" w:rsidRDefault="00324489" w:rsidP="00486CD0">
      <w:pPr>
        <w:spacing w:line="288" w:lineRule="auto"/>
      </w:pPr>
    </w:p>
    <w:p w:rsidR="00796A95" w:rsidRPr="00D73B9B" w:rsidRDefault="00796A95" w:rsidP="00486CD0">
      <w:pPr>
        <w:spacing w:line="288" w:lineRule="auto"/>
        <w:rPr>
          <w:b/>
          <w:bCs/>
        </w:rPr>
      </w:pPr>
    </w:p>
    <w:sectPr w:rsidR="00796A95" w:rsidRPr="00D73B9B" w:rsidSect="00D641AF">
      <w:headerReference w:type="default" r:id="rId8"/>
      <w:headerReference w:type="first" r:id="rId9"/>
      <w:type w:val="continuous"/>
      <w:pgSz w:w="12240" w:h="15840" w:code="1"/>
      <w:pgMar w:top="1440" w:right="1440" w:bottom="1440" w:left="2160" w:header="1440" w:footer="1685" w:gutter="0"/>
      <w:paperSrc w:first="258"/>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426" w:rsidRDefault="00181426">
      <w:r>
        <w:separator/>
      </w:r>
    </w:p>
  </w:endnote>
  <w:endnote w:type="continuationSeparator" w:id="0">
    <w:p w:rsidR="00181426" w:rsidRDefault="001814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426" w:rsidRDefault="00181426">
      <w:r>
        <w:separator/>
      </w:r>
    </w:p>
  </w:footnote>
  <w:footnote w:type="continuationSeparator" w:id="0">
    <w:p w:rsidR="00181426" w:rsidRDefault="00181426">
      <w:r>
        <w:continuationSeparator/>
      </w:r>
    </w:p>
  </w:footnote>
  <w:footnote w:id="1">
    <w:p w:rsidR="00181426" w:rsidRDefault="00181426">
      <w:pPr>
        <w:pStyle w:val="FootnoteText"/>
      </w:pPr>
      <w:r>
        <w:rPr>
          <w:rStyle w:val="FootnoteReference"/>
        </w:rPr>
        <w:footnoteRef/>
      </w:r>
      <w:r>
        <w:t xml:space="preserve"> The Commission’s website includes a location, the Web Portal, which allows persons to file documents electronically.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426" w:rsidRPr="009926F4" w:rsidRDefault="00181426">
    <w:pPr>
      <w:pStyle w:val="Header"/>
      <w:tabs>
        <w:tab w:val="left" w:pos="7500"/>
      </w:tabs>
      <w:rPr>
        <w:b/>
        <w:i/>
        <w:sz w:val="20"/>
        <w:szCs w:val="20"/>
      </w:rPr>
    </w:pPr>
    <w:r w:rsidRPr="00A3058F">
      <w:rPr>
        <w:b/>
        <w:sz w:val="20"/>
        <w:szCs w:val="20"/>
      </w:rPr>
      <w:t xml:space="preserve">DOCKET </w:t>
    </w:r>
    <w:r>
      <w:rPr>
        <w:b/>
        <w:sz w:val="20"/>
        <w:szCs w:val="20"/>
      </w:rPr>
      <w:t>TC-091931</w:t>
    </w:r>
    <w:r w:rsidRPr="00A3058F">
      <w:rPr>
        <w:b/>
        <w:sz w:val="20"/>
        <w:szCs w:val="20"/>
      </w:rPr>
      <w:tab/>
    </w:r>
    <w:r w:rsidRPr="00A3058F">
      <w:rPr>
        <w:b/>
        <w:sz w:val="20"/>
        <w:szCs w:val="20"/>
      </w:rPr>
      <w:tab/>
      <w:t xml:space="preserve">PAGE </w:t>
    </w:r>
    <w:r w:rsidR="00306F90" w:rsidRPr="00A3058F">
      <w:rPr>
        <w:rStyle w:val="PageNumber"/>
        <w:b/>
        <w:sz w:val="20"/>
        <w:szCs w:val="20"/>
      </w:rPr>
      <w:fldChar w:fldCharType="begin"/>
    </w:r>
    <w:r w:rsidRPr="00A3058F">
      <w:rPr>
        <w:rStyle w:val="PageNumber"/>
        <w:b/>
        <w:sz w:val="20"/>
        <w:szCs w:val="20"/>
      </w:rPr>
      <w:instrText xml:space="preserve"> PAGE </w:instrText>
    </w:r>
    <w:r w:rsidR="00306F90" w:rsidRPr="00A3058F">
      <w:rPr>
        <w:rStyle w:val="PageNumber"/>
        <w:b/>
        <w:sz w:val="20"/>
        <w:szCs w:val="20"/>
      </w:rPr>
      <w:fldChar w:fldCharType="separate"/>
    </w:r>
    <w:r w:rsidR="00A30B70">
      <w:rPr>
        <w:rStyle w:val="PageNumber"/>
        <w:b/>
        <w:noProof/>
        <w:sz w:val="20"/>
        <w:szCs w:val="20"/>
      </w:rPr>
      <w:t>2</w:t>
    </w:r>
    <w:r w:rsidR="00306F90" w:rsidRPr="00A3058F">
      <w:rPr>
        <w:rStyle w:val="PageNumber"/>
        <w:b/>
        <w:sz w:val="20"/>
        <w:szCs w:val="20"/>
      </w:rPr>
      <w:fldChar w:fldCharType="end"/>
    </w:r>
  </w:p>
  <w:p w:rsidR="00181426" w:rsidRPr="00A3058F" w:rsidRDefault="00181426">
    <w:pPr>
      <w:pStyle w:val="Header"/>
      <w:tabs>
        <w:tab w:val="left" w:pos="7500"/>
      </w:tabs>
      <w:rPr>
        <w:b/>
        <w:sz w:val="20"/>
        <w:szCs w:val="20"/>
      </w:rPr>
    </w:pPr>
    <w:r w:rsidRPr="00A3058F">
      <w:rPr>
        <w:b/>
        <w:sz w:val="20"/>
        <w:szCs w:val="20"/>
      </w:rPr>
      <w:t xml:space="preserve">ORDER </w:t>
    </w:r>
    <w:r>
      <w:rPr>
        <w:b/>
        <w:sz w:val="20"/>
        <w:szCs w:val="20"/>
      </w:rPr>
      <w:t>02</w:t>
    </w:r>
  </w:p>
  <w:p w:rsidR="00181426" w:rsidRPr="00A3058F" w:rsidRDefault="00181426">
    <w:pPr>
      <w:pStyle w:val="Header"/>
      <w:tabs>
        <w:tab w:val="left" w:pos="7500"/>
      </w:tabs>
      <w:rPr>
        <w:b/>
        <w:bCs/>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426" w:rsidRDefault="00181426" w:rsidP="00CF7B00">
    <w:pPr>
      <w:pStyle w:val="Header"/>
      <w:tabs>
        <w:tab w:val="clear" w:pos="4320"/>
        <w:tab w:val="clear" w:pos="8640"/>
        <w:tab w:val="right" w:pos="8500"/>
      </w:tabs>
    </w:pPr>
    <w:r>
      <w:rPr>
        <w:b/>
        <w:sz w:val="20"/>
        <w:szCs w:val="20"/>
      </w:rPr>
      <w:tab/>
    </w:r>
    <w:r>
      <w:rPr>
        <w:b/>
        <w:sz w:val="20"/>
        <w:szCs w:val="20"/>
      </w:rPr>
      <w:tab/>
    </w:r>
    <w:r w:rsidR="00A30B70">
      <w:rPr>
        <w:b/>
        <w:sz w:val="20"/>
        <w:szCs w:val="20"/>
      </w:rPr>
      <w:t>[Service Date August 25,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1A051E8"/>
    <w:lvl w:ilvl="0">
      <w:start w:val="1"/>
      <w:numFmt w:val="decimal"/>
      <w:lvlText w:val="%1."/>
      <w:lvlJc w:val="left"/>
      <w:pPr>
        <w:tabs>
          <w:tab w:val="num" w:pos="1800"/>
        </w:tabs>
        <w:ind w:left="1800" w:hanging="360"/>
      </w:pPr>
    </w:lvl>
  </w:abstractNum>
  <w:abstractNum w:abstractNumId="1">
    <w:nsid w:val="FFFFFF7D"/>
    <w:multiLevelType w:val="singleLevel"/>
    <w:tmpl w:val="C46A9956"/>
    <w:lvl w:ilvl="0">
      <w:start w:val="1"/>
      <w:numFmt w:val="decimal"/>
      <w:lvlText w:val="%1."/>
      <w:lvlJc w:val="left"/>
      <w:pPr>
        <w:tabs>
          <w:tab w:val="num" w:pos="1440"/>
        </w:tabs>
        <w:ind w:left="1440" w:hanging="360"/>
      </w:pPr>
    </w:lvl>
  </w:abstractNum>
  <w:abstractNum w:abstractNumId="2">
    <w:nsid w:val="FFFFFF7E"/>
    <w:multiLevelType w:val="singleLevel"/>
    <w:tmpl w:val="B0F43064"/>
    <w:lvl w:ilvl="0">
      <w:start w:val="1"/>
      <w:numFmt w:val="decimal"/>
      <w:lvlText w:val="%1."/>
      <w:lvlJc w:val="left"/>
      <w:pPr>
        <w:tabs>
          <w:tab w:val="num" w:pos="1080"/>
        </w:tabs>
        <w:ind w:left="1080" w:hanging="360"/>
      </w:pPr>
    </w:lvl>
  </w:abstractNum>
  <w:abstractNum w:abstractNumId="3">
    <w:nsid w:val="FFFFFF7F"/>
    <w:multiLevelType w:val="singleLevel"/>
    <w:tmpl w:val="110C603A"/>
    <w:lvl w:ilvl="0">
      <w:start w:val="1"/>
      <w:numFmt w:val="decimal"/>
      <w:lvlText w:val="%1."/>
      <w:lvlJc w:val="left"/>
      <w:pPr>
        <w:tabs>
          <w:tab w:val="num" w:pos="720"/>
        </w:tabs>
        <w:ind w:left="720" w:hanging="360"/>
      </w:pPr>
    </w:lvl>
  </w:abstractNum>
  <w:abstractNum w:abstractNumId="4">
    <w:nsid w:val="FFFFFF80"/>
    <w:multiLevelType w:val="singleLevel"/>
    <w:tmpl w:val="074A1A5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7329A9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2B0A63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924E5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5CE9CFC"/>
    <w:lvl w:ilvl="0">
      <w:start w:val="1"/>
      <w:numFmt w:val="decimal"/>
      <w:lvlText w:val="%1."/>
      <w:lvlJc w:val="left"/>
      <w:pPr>
        <w:tabs>
          <w:tab w:val="num" w:pos="360"/>
        </w:tabs>
        <w:ind w:left="360" w:hanging="360"/>
      </w:pPr>
    </w:lvl>
  </w:abstractNum>
  <w:abstractNum w:abstractNumId="9">
    <w:nsid w:val="FFFFFF89"/>
    <w:multiLevelType w:val="singleLevel"/>
    <w:tmpl w:val="8F866E3E"/>
    <w:lvl w:ilvl="0">
      <w:start w:val="1"/>
      <w:numFmt w:val="bullet"/>
      <w:lvlText w:val=""/>
      <w:lvlJc w:val="left"/>
      <w:pPr>
        <w:tabs>
          <w:tab w:val="num" w:pos="360"/>
        </w:tabs>
        <w:ind w:left="360" w:hanging="360"/>
      </w:pPr>
      <w:rPr>
        <w:rFonts w:ascii="Symbol" w:hAnsi="Symbol" w:hint="default"/>
      </w:rPr>
    </w:lvl>
  </w:abstractNum>
  <w:abstractNum w:abstractNumId="1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0DD13E3A"/>
    <w:multiLevelType w:val="hybridMultilevel"/>
    <w:tmpl w:val="CE226C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163C2550"/>
    <w:multiLevelType w:val="multilevel"/>
    <w:tmpl w:val="3A3C9A0C"/>
    <w:lvl w:ilvl="0">
      <w:start w:val="1"/>
      <w:numFmt w:val="decimal"/>
      <w:lvlText w:val="%1"/>
      <w:lvlJc w:val="left"/>
      <w:pPr>
        <w:tabs>
          <w:tab w:val="num" w:pos="720"/>
        </w:tabs>
        <w:ind w:left="720" w:hanging="720"/>
      </w:pPr>
      <w:rPr>
        <w:rFonts w:ascii="Times New Roman" w:hAnsi="Times New Roman" w:hint="default"/>
        <w:b w:val="0"/>
        <w:i/>
        <w:sz w:val="22"/>
        <w:szCs w:val="22"/>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3"/>
      <w:numFmt w:val="decimal"/>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EC46A43"/>
    <w:multiLevelType w:val="multilevel"/>
    <w:tmpl w:val="C2F84D30"/>
    <w:lvl w:ilvl="0">
      <w:start w:val="1"/>
      <w:numFmt w:val="decimal"/>
      <w:lvlText w:val="%1"/>
      <w:lvlJc w:val="left"/>
      <w:pPr>
        <w:tabs>
          <w:tab w:val="num" w:pos="0"/>
        </w:tabs>
        <w:ind w:left="0" w:hanging="1080"/>
      </w:pPr>
      <w:rPr>
        <w:rFonts w:hint="default"/>
        <w:b w:val="0"/>
        <w:i/>
        <w:sz w:val="2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1171526"/>
    <w:multiLevelType w:val="hybridMultilevel"/>
    <w:tmpl w:val="063C7670"/>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76C2650"/>
    <w:multiLevelType w:val="hybridMultilevel"/>
    <w:tmpl w:val="019899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2D3A4233"/>
    <w:multiLevelType w:val="hybridMultilevel"/>
    <w:tmpl w:val="3A3C9A0C"/>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52F03DA2">
      <w:start w:val="3"/>
      <w:numFmt w:val="decimal"/>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D424D29"/>
    <w:multiLevelType w:val="multilevel"/>
    <w:tmpl w:val="8F2CFDA2"/>
    <w:lvl w:ilvl="0">
      <w:start w:val="1"/>
      <w:numFmt w:val="decimal"/>
      <w:lvlText w:val="%1"/>
      <w:lvlJc w:val="left"/>
      <w:pPr>
        <w:tabs>
          <w:tab w:val="num" w:pos="0"/>
        </w:tabs>
        <w:ind w:left="0" w:hanging="1080"/>
      </w:pPr>
      <w:rPr>
        <w:rFonts w:hint="default"/>
        <w:b w:val="0"/>
        <w:i/>
        <w:sz w:val="20"/>
      </w:rPr>
    </w:lvl>
    <w:lvl w:ilvl="1">
      <w:start w:val="4"/>
      <w:numFmt w:val="decimal"/>
      <w:lvlText w:val="%2."/>
      <w:lvlJc w:val="left"/>
      <w:pPr>
        <w:tabs>
          <w:tab w:val="num" w:pos="1800"/>
        </w:tabs>
        <w:ind w:left="1800" w:hanging="720"/>
      </w:pPr>
      <w:rPr>
        <w:rFonts w:hint="default"/>
      </w:rPr>
    </w:lvl>
    <w:lvl w:ilvl="2">
      <w:start w:val="5"/>
      <w:numFmt w:val="bullet"/>
      <w:lvlText w:val=""/>
      <w:lvlJc w:val="left"/>
      <w:pPr>
        <w:tabs>
          <w:tab w:val="num" w:pos="2340"/>
        </w:tabs>
        <w:ind w:left="234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66F06061"/>
    <w:multiLevelType w:val="hybridMultilevel"/>
    <w:tmpl w:val="9950404C"/>
    <w:lvl w:ilvl="0" w:tplc="26BE90E6">
      <w:start w:val="1"/>
      <w:numFmt w:val="decimal"/>
      <w:lvlText w:val="%1"/>
      <w:lvlJc w:val="left"/>
      <w:pPr>
        <w:tabs>
          <w:tab w:val="num" w:pos="-360"/>
        </w:tabs>
        <w:ind w:left="-360" w:hanging="1800"/>
      </w:pPr>
      <w:rPr>
        <w:rFonts w:hint="default"/>
        <w:b w:val="0"/>
        <w:i/>
        <w:sz w:val="20"/>
      </w:rPr>
    </w:lvl>
    <w:lvl w:ilvl="1" w:tplc="0409000F">
      <w:start w:val="1"/>
      <w:numFmt w:val="decimal"/>
      <w:lvlText w:val="%2."/>
      <w:lvlJc w:val="left"/>
      <w:pPr>
        <w:tabs>
          <w:tab w:val="num" w:pos="360"/>
        </w:tabs>
        <w:ind w:left="360" w:hanging="360"/>
      </w:pPr>
    </w:lvl>
    <w:lvl w:ilvl="2" w:tplc="3F028A5E">
      <w:start w:val="1"/>
      <w:numFmt w:val="upperRoman"/>
      <w:lvlText w:val="%3."/>
      <w:lvlJc w:val="left"/>
      <w:pPr>
        <w:tabs>
          <w:tab w:val="num" w:pos="1620"/>
        </w:tabs>
        <w:ind w:left="1620" w:hanging="720"/>
      </w:pPr>
      <w:rPr>
        <w:rFonts w:hint="default"/>
        <w:b w:val="0"/>
        <w:i/>
        <w:sz w:val="20"/>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7">
    <w:nsid w:val="6E17395A"/>
    <w:multiLevelType w:val="hybridMultilevel"/>
    <w:tmpl w:val="FDEE2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657686"/>
    <w:multiLevelType w:val="hybridMultilevel"/>
    <w:tmpl w:val="633A1B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2AA32DC"/>
    <w:multiLevelType w:val="hybridMultilevel"/>
    <w:tmpl w:val="0DA6058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1440"/>
        </w:tabs>
        <w:ind w:left="1440" w:hanging="360"/>
      </w:pPr>
      <w:rPr>
        <w:rFonts w:ascii="Times New Roman" w:eastAsia="Times New Roman" w:hAnsi="Times New Roman" w:cs="Times New Roman"/>
      </w:rPr>
    </w:lvl>
    <w:lvl w:ilvl="2" w:tplc="39640320">
      <w:start w:val="1"/>
      <w:numFmt w:val="decimal"/>
      <w:lvlText w:val="%3."/>
      <w:lvlJc w:val="right"/>
      <w:pPr>
        <w:tabs>
          <w:tab w:val="num" w:pos="2160"/>
        </w:tabs>
        <w:ind w:left="216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1B">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1"/>
  </w:num>
  <w:num w:numId="2">
    <w:abstractNumId w:val="24"/>
  </w:num>
  <w:num w:numId="3">
    <w:abstractNumId w:val="12"/>
  </w:num>
  <w:num w:numId="4">
    <w:abstractNumId w:val="31"/>
  </w:num>
  <w:num w:numId="5">
    <w:abstractNumId w:val="14"/>
  </w:num>
  <w:num w:numId="6">
    <w:abstractNumId w:val="25"/>
  </w:num>
  <w:num w:numId="7">
    <w:abstractNumId w:val="20"/>
  </w:num>
  <w:num w:numId="8">
    <w:abstractNumId w:val="30"/>
  </w:num>
  <w:num w:numId="9">
    <w:abstractNumId w:val="23"/>
  </w:num>
  <w:num w:numId="10">
    <w:abstractNumId w:val="15"/>
  </w:num>
  <w:num w:numId="11">
    <w:abstractNumId w:val="19"/>
  </w:num>
  <w:num w:numId="12">
    <w:abstractNumId w:val="29"/>
  </w:num>
  <w:num w:numId="13">
    <w:abstractNumId w:val="10"/>
  </w:num>
  <w:num w:numId="14">
    <w:abstractNumId w:val="13"/>
  </w:num>
  <w:num w:numId="15">
    <w:abstractNumId w:val="16"/>
  </w:num>
  <w:num w:numId="16">
    <w:abstractNumId w:val="15"/>
  </w:num>
  <w:num w:numId="17">
    <w:abstractNumId w:val="22"/>
  </w:num>
  <w:num w:numId="18">
    <w:abstractNumId w:val="18"/>
  </w:num>
  <w:num w:numId="19">
    <w:abstractNumId w:val="17"/>
  </w:num>
  <w:num w:numId="20">
    <w:abstractNumId w:val="11"/>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6"/>
  </w:num>
  <w:num w:numId="32">
    <w:abstractNumId w:val="27"/>
  </w:num>
  <w:num w:numId="3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stylePaneFormatFilter w:val="3F04"/>
  <w:stylePaneSortMethod w:val="0004"/>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rsids>
    <w:rsidRoot w:val="0064523D"/>
    <w:rsid w:val="00005B07"/>
    <w:rsid w:val="00007334"/>
    <w:rsid w:val="00010F74"/>
    <w:rsid w:val="00012302"/>
    <w:rsid w:val="00013B07"/>
    <w:rsid w:val="00013ED3"/>
    <w:rsid w:val="00016329"/>
    <w:rsid w:val="00024F34"/>
    <w:rsid w:val="00025D47"/>
    <w:rsid w:val="00026586"/>
    <w:rsid w:val="000329C5"/>
    <w:rsid w:val="00043079"/>
    <w:rsid w:val="000437AB"/>
    <w:rsid w:val="00044F6B"/>
    <w:rsid w:val="0004583F"/>
    <w:rsid w:val="00050223"/>
    <w:rsid w:val="00051406"/>
    <w:rsid w:val="000518C9"/>
    <w:rsid w:val="000539B5"/>
    <w:rsid w:val="0005491A"/>
    <w:rsid w:val="0005605B"/>
    <w:rsid w:val="00060E92"/>
    <w:rsid w:val="00067C44"/>
    <w:rsid w:val="00067E03"/>
    <w:rsid w:val="00073C4B"/>
    <w:rsid w:val="000749EC"/>
    <w:rsid w:val="0007700B"/>
    <w:rsid w:val="00077824"/>
    <w:rsid w:val="000807D3"/>
    <w:rsid w:val="000812F4"/>
    <w:rsid w:val="000864FE"/>
    <w:rsid w:val="00091417"/>
    <w:rsid w:val="00093519"/>
    <w:rsid w:val="00093E0E"/>
    <w:rsid w:val="00095FA5"/>
    <w:rsid w:val="000961B5"/>
    <w:rsid w:val="0009741E"/>
    <w:rsid w:val="000A18F8"/>
    <w:rsid w:val="000A2AFC"/>
    <w:rsid w:val="000A5008"/>
    <w:rsid w:val="000A65AE"/>
    <w:rsid w:val="000B37B7"/>
    <w:rsid w:val="000B645E"/>
    <w:rsid w:val="000C0751"/>
    <w:rsid w:val="000C1925"/>
    <w:rsid w:val="000C1BEC"/>
    <w:rsid w:val="000C1BF5"/>
    <w:rsid w:val="000C5CD9"/>
    <w:rsid w:val="000C5F8D"/>
    <w:rsid w:val="000C604E"/>
    <w:rsid w:val="000D2231"/>
    <w:rsid w:val="000D3BF1"/>
    <w:rsid w:val="000D7085"/>
    <w:rsid w:val="000E2EC7"/>
    <w:rsid w:val="000F1CB4"/>
    <w:rsid w:val="000F2CED"/>
    <w:rsid w:val="000F5D7F"/>
    <w:rsid w:val="000F65E1"/>
    <w:rsid w:val="001066EB"/>
    <w:rsid w:val="001066F1"/>
    <w:rsid w:val="0011087F"/>
    <w:rsid w:val="00112F00"/>
    <w:rsid w:val="0011708E"/>
    <w:rsid w:val="001203C1"/>
    <w:rsid w:val="00121B06"/>
    <w:rsid w:val="00122A12"/>
    <w:rsid w:val="00125348"/>
    <w:rsid w:val="0013106B"/>
    <w:rsid w:val="0013207D"/>
    <w:rsid w:val="00135D18"/>
    <w:rsid w:val="00135F80"/>
    <w:rsid w:val="00135F9E"/>
    <w:rsid w:val="001413A3"/>
    <w:rsid w:val="0014629C"/>
    <w:rsid w:val="00153024"/>
    <w:rsid w:val="00155179"/>
    <w:rsid w:val="00161D01"/>
    <w:rsid w:val="00163943"/>
    <w:rsid w:val="00165D2E"/>
    <w:rsid w:val="00166063"/>
    <w:rsid w:val="00167C4F"/>
    <w:rsid w:val="001770F2"/>
    <w:rsid w:val="00177102"/>
    <w:rsid w:val="00181426"/>
    <w:rsid w:val="0018207C"/>
    <w:rsid w:val="00187B84"/>
    <w:rsid w:val="0019049C"/>
    <w:rsid w:val="00190527"/>
    <w:rsid w:val="00191210"/>
    <w:rsid w:val="00191D68"/>
    <w:rsid w:val="00193EA4"/>
    <w:rsid w:val="001A3C93"/>
    <w:rsid w:val="001B0D01"/>
    <w:rsid w:val="001B3E1D"/>
    <w:rsid w:val="001B5A4D"/>
    <w:rsid w:val="001B76E5"/>
    <w:rsid w:val="001C0905"/>
    <w:rsid w:val="001C1897"/>
    <w:rsid w:val="001C2E6E"/>
    <w:rsid w:val="001D36D6"/>
    <w:rsid w:val="001D3DB3"/>
    <w:rsid w:val="001D6C49"/>
    <w:rsid w:val="001E1FB5"/>
    <w:rsid w:val="001E224F"/>
    <w:rsid w:val="001E22D9"/>
    <w:rsid w:val="001E4C32"/>
    <w:rsid w:val="001F6EA8"/>
    <w:rsid w:val="00203AED"/>
    <w:rsid w:val="00210B72"/>
    <w:rsid w:val="0021253A"/>
    <w:rsid w:val="002130A7"/>
    <w:rsid w:val="0021399F"/>
    <w:rsid w:val="00213B05"/>
    <w:rsid w:val="00222C70"/>
    <w:rsid w:val="002267F5"/>
    <w:rsid w:val="00226F47"/>
    <w:rsid w:val="0023263D"/>
    <w:rsid w:val="002327A0"/>
    <w:rsid w:val="002355DF"/>
    <w:rsid w:val="00237564"/>
    <w:rsid w:val="00244A2F"/>
    <w:rsid w:val="0024536A"/>
    <w:rsid w:val="00245C7E"/>
    <w:rsid w:val="0025149F"/>
    <w:rsid w:val="00267BDA"/>
    <w:rsid w:val="0027078C"/>
    <w:rsid w:val="002750B5"/>
    <w:rsid w:val="00275140"/>
    <w:rsid w:val="002757E0"/>
    <w:rsid w:val="00280BEB"/>
    <w:rsid w:val="00282602"/>
    <w:rsid w:val="00290475"/>
    <w:rsid w:val="002905AB"/>
    <w:rsid w:val="00294903"/>
    <w:rsid w:val="002959DD"/>
    <w:rsid w:val="0029676E"/>
    <w:rsid w:val="00296CDE"/>
    <w:rsid w:val="002A1059"/>
    <w:rsid w:val="002A253A"/>
    <w:rsid w:val="002A3C08"/>
    <w:rsid w:val="002A50F4"/>
    <w:rsid w:val="002A778E"/>
    <w:rsid w:val="002B29BB"/>
    <w:rsid w:val="002B4CAE"/>
    <w:rsid w:val="002C3D19"/>
    <w:rsid w:val="002C5B6E"/>
    <w:rsid w:val="002D336D"/>
    <w:rsid w:val="002D64F4"/>
    <w:rsid w:val="002D666E"/>
    <w:rsid w:val="002D6FC3"/>
    <w:rsid w:val="002E0431"/>
    <w:rsid w:val="002E5747"/>
    <w:rsid w:val="002F05C3"/>
    <w:rsid w:val="002F288C"/>
    <w:rsid w:val="002F4B2B"/>
    <w:rsid w:val="002F614E"/>
    <w:rsid w:val="0030016F"/>
    <w:rsid w:val="00302F2E"/>
    <w:rsid w:val="003032DB"/>
    <w:rsid w:val="0030533C"/>
    <w:rsid w:val="003057EE"/>
    <w:rsid w:val="00305D47"/>
    <w:rsid w:val="00306C5B"/>
    <w:rsid w:val="00306F90"/>
    <w:rsid w:val="003123EC"/>
    <w:rsid w:val="00313D7C"/>
    <w:rsid w:val="00314DE5"/>
    <w:rsid w:val="0031555F"/>
    <w:rsid w:val="003161BC"/>
    <w:rsid w:val="00316A7D"/>
    <w:rsid w:val="00316E51"/>
    <w:rsid w:val="00322F7F"/>
    <w:rsid w:val="00324489"/>
    <w:rsid w:val="00330027"/>
    <w:rsid w:val="00333288"/>
    <w:rsid w:val="0033468C"/>
    <w:rsid w:val="00334E17"/>
    <w:rsid w:val="003370BA"/>
    <w:rsid w:val="00341F6A"/>
    <w:rsid w:val="00343329"/>
    <w:rsid w:val="00352BB0"/>
    <w:rsid w:val="00354914"/>
    <w:rsid w:val="00360219"/>
    <w:rsid w:val="003633BB"/>
    <w:rsid w:val="0036355C"/>
    <w:rsid w:val="003647DA"/>
    <w:rsid w:val="00365A91"/>
    <w:rsid w:val="00371D69"/>
    <w:rsid w:val="003767BB"/>
    <w:rsid w:val="003810B0"/>
    <w:rsid w:val="003814A6"/>
    <w:rsid w:val="00381BCB"/>
    <w:rsid w:val="00382D56"/>
    <w:rsid w:val="0039115E"/>
    <w:rsid w:val="00391162"/>
    <w:rsid w:val="0039265C"/>
    <w:rsid w:val="00394F38"/>
    <w:rsid w:val="0039794A"/>
    <w:rsid w:val="003A3E37"/>
    <w:rsid w:val="003A4A89"/>
    <w:rsid w:val="003A4FCB"/>
    <w:rsid w:val="003A5D8B"/>
    <w:rsid w:val="003B13CF"/>
    <w:rsid w:val="003B70D7"/>
    <w:rsid w:val="003C3C3E"/>
    <w:rsid w:val="003C556C"/>
    <w:rsid w:val="003C6BF8"/>
    <w:rsid w:val="003D0967"/>
    <w:rsid w:val="003D2C5B"/>
    <w:rsid w:val="003D35F1"/>
    <w:rsid w:val="003D6235"/>
    <w:rsid w:val="003D6D99"/>
    <w:rsid w:val="003F0395"/>
    <w:rsid w:val="003F1521"/>
    <w:rsid w:val="003F26CE"/>
    <w:rsid w:val="00402C78"/>
    <w:rsid w:val="00403A11"/>
    <w:rsid w:val="00403E04"/>
    <w:rsid w:val="004112D2"/>
    <w:rsid w:val="00412F70"/>
    <w:rsid w:val="00415783"/>
    <w:rsid w:val="00415CF5"/>
    <w:rsid w:val="00426D95"/>
    <w:rsid w:val="00432B98"/>
    <w:rsid w:val="00440C11"/>
    <w:rsid w:val="00443056"/>
    <w:rsid w:val="00444E8D"/>
    <w:rsid w:val="004450F8"/>
    <w:rsid w:val="00445662"/>
    <w:rsid w:val="00446D7F"/>
    <w:rsid w:val="0047093D"/>
    <w:rsid w:val="00471023"/>
    <w:rsid w:val="00471CF2"/>
    <w:rsid w:val="00473226"/>
    <w:rsid w:val="0047494E"/>
    <w:rsid w:val="004813D9"/>
    <w:rsid w:val="00483EE9"/>
    <w:rsid w:val="00486CD0"/>
    <w:rsid w:val="004963E4"/>
    <w:rsid w:val="004A50F1"/>
    <w:rsid w:val="004A7EE4"/>
    <w:rsid w:val="004B3C0B"/>
    <w:rsid w:val="004B3DC3"/>
    <w:rsid w:val="004B5CFA"/>
    <w:rsid w:val="004B6999"/>
    <w:rsid w:val="004C2E3F"/>
    <w:rsid w:val="004C3059"/>
    <w:rsid w:val="004C4233"/>
    <w:rsid w:val="004C4F4D"/>
    <w:rsid w:val="004C58E6"/>
    <w:rsid w:val="004C595E"/>
    <w:rsid w:val="004D41BB"/>
    <w:rsid w:val="004D4F1A"/>
    <w:rsid w:val="004D5C4D"/>
    <w:rsid w:val="004D6327"/>
    <w:rsid w:val="004D729E"/>
    <w:rsid w:val="004E0ABF"/>
    <w:rsid w:val="004E23B9"/>
    <w:rsid w:val="004E2A78"/>
    <w:rsid w:val="004E402D"/>
    <w:rsid w:val="004E4B4C"/>
    <w:rsid w:val="004E4C1F"/>
    <w:rsid w:val="004E521E"/>
    <w:rsid w:val="004F0424"/>
    <w:rsid w:val="004F5D4C"/>
    <w:rsid w:val="005035F4"/>
    <w:rsid w:val="0050663B"/>
    <w:rsid w:val="00513EEC"/>
    <w:rsid w:val="00514E5E"/>
    <w:rsid w:val="00515328"/>
    <w:rsid w:val="005154A1"/>
    <w:rsid w:val="00524D97"/>
    <w:rsid w:val="005266CF"/>
    <w:rsid w:val="00530943"/>
    <w:rsid w:val="00531B97"/>
    <w:rsid w:val="00532CAF"/>
    <w:rsid w:val="005332E5"/>
    <w:rsid w:val="005347AD"/>
    <w:rsid w:val="0054086E"/>
    <w:rsid w:val="00541693"/>
    <w:rsid w:val="00546198"/>
    <w:rsid w:val="00547FD4"/>
    <w:rsid w:val="0055452E"/>
    <w:rsid w:val="00554E12"/>
    <w:rsid w:val="005563F0"/>
    <w:rsid w:val="005573E3"/>
    <w:rsid w:val="005578B1"/>
    <w:rsid w:val="005623BA"/>
    <w:rsid w:val="00566759"/>
    <w:rsid w:val="00566ABC"/>
    <w:rsid w:val="00570C58"/>
    <w:rsid w:val="00571988"/>
    <w:rsid w:val="00572585"/>
    <w:rsid w:val="00573841"/>
    <w:rsid w:val="00574824"/>
    <w:rsid w:val="005753BD"/>
    <w:rsid w:val="0058365F"/>
    <w:rsid w:val="00584739"/>
    <w:rsid w:val="005847A8"/>
    <w:rsid w:val="00586B3B"/>
    <w:rsid w:val="00592F9C"/>
    <w:rsid w:val="00593037"/>
    <w:rsid w:val="005971DF"/>
    <w:rsid w:val="005A0E6E"/>
    <w:rsid w:val="005A272D"/>
    <w:rsid w:val="005A2B62"/>
    <w:rsid w:val="005A37BC"/>
    <w:rsid w:val="005A608F"/>
    <w:rsid w:val="005A694A"/>
    <w:rsid w:val="005A7F6C"/>
    <w:rsid w:val="005B22BA"/>
    <w:rsid w:val="005B2DA7"/>
    <w:rsid w:val="005B6FC5"/>
    <w:rsid w:val="005C5CB0"/>
    <w:rsid w:val="005D1B1D"/>
    <w:rsid w:val="005E2EFB"/>
    <w:rsid w:val="005E3828"/>
    <w:rsid w:val="005E66B0"/>
    <w:rsid w:val="005F1075"/>
    <w:rsid w:val="00600736"/>
    <w:rsid w:val="00601F32"/>
    <w:rsid w:val="00604FA8"/>
    <w:rsid w:val="00606933"/>
    <w:rsid w:val="006075F3"/>
    <w:rsid w:val="006133C2"/>
    <w:rsid w:val="00616A9D"/>
    <w:rsid w:val="0062391D"/>
    <w:rsid w:val="006276AE"/>
    <w:rsid w:val="006317F7"/>
    <w:rsid w:val="00634BDF"/>
    <w:rsid w:val="00635AA6"/>
    <w:rsid w:val="0063679E"/>
    <w:rsid w:val="00637660"/>
    <w:rsid w:val="006418A3"/>
    <w:rsid w:val="006443C4"/>
    <w:rsid w:val="0064523D"/>
    <w:rsid w:val="006463BF"/>
    <w:rsid w:val="00646CD4"/>
    <w:rsid w:val="00647302"/>
    <w:rsid w:val="006525EF"/>
    <w:rsid w:val="00657C3C"/>
    <w:rsid w:val="00661B90"/>
    <w:rsid w:val="006673D8"/>
    <w:rsid w:val="006677D7"/>
    <w:rsid w:val="00671D25"/>
    <w:rsid w:val="00676879"/>
    <w:rsid w:val="00676C7C"/>
    <w:rsid w:val="006825C7"/>
    <w:rsid w:val="006A3A28"/>
    <w:rsid w:val="006A4CAF"/>
    <w:rsid w:val="006A616B"/>
    <w:rsid w:val="006B04C5"/>
    <w:rsid w:val="006B3A0A"/>
    <w:rsid w:val="006B4118"/>
    <w:rsid w:val="006B5193"/>
    <w:rsid w:val="006B7DFD"/>
    <w:rsid w:val="006C0350"/>
    <w:rsid w:val="006C0E03"/>
    <w:rsid w:val="006C48F0"/>
    <w:rsid w:val="006D3BF3"/>
    <w:rsid w:val="006D4C3C"/>
    <w:rsid w:val="006D6080"/>
    <w:rsid w:val="006D6884"/>
    <w:rsid w:val="006E0530"/>
    <w:rsid w:val="006E1E9F"/>
    <w:rsid w:val="006E29D9"/>
    <w:rsid w:val="006E2AC3"/>
    <w:rsid w:val="006E33BA"/>
    <w:rsid w:val="006E4A01"/>
    <w:rsid w:val="006E4C6F"/>
    <w:rsid w:val="006F08EE"/>
    <w:rsid w:val="006F1F39"/>
    <w:rsid w:val="006F6027"/>
    <w:rsid w:val="006F6299"/>
    <w:rsid w:val="00700FD3"/>
    <w:rsid w:val="007035E4"/>
    <w:rsid w:val="00704413"/>
    <w:rsid w:val="007051E5"/>
    <w:rsid w:val="00705F32"/>
    <w:rsid w:val="007066CE"/>
    <w:rsid w:val="0071069F"/>
    <w:rsid w:val="0071085C"/>
    <w:rsid w:val="00712CA5"/>
    <w:rsid w:val="00721214"/>
    <w:rsid w:val="00721611"/>
    <w:rsid w:val="00727852"/>
    <w:rsid w:val="007353AF"/>
    <w:rsid w:val="00740ED6"/>
    <w:rsid w:val="0075002E"/>
    <w:rsid w:val="00751AD5"/>
    <w:rsid w:val="00760E63"/>
    <w:rsid w:val="007621D1"/>
    <w:rsid w:val="007640C8"/>
    <w:rsid w:val="00765FAD"/>
    <w:rsid w:val="00767EE6"/>
    <w:rsid w:val="0077744C"/>
    <w:rsid w:val="007825EA"/>
    <w:rsid w:val="00783DBE"/>
    <w:rsid w:val="00783EE1"/>
    <w:rsid w:val="00784B16"/>
    <w:rsid w:val="00787DAE"/>
    <w:rsid w:val="00792AC2"/>
    <w:rsid w:val="00796A95"/>
    <w:rsid w:val="00796B4F"/>
    <w:rsid w:val="007A3D93"/>
    <w:rsid w:val="007A4893"/>
    <w:rsid w:val="007A6AD5"/>
    <w:rsid w:val="007B37AC"/>
    <w:rsid w:val="007B4E87"/>
    <w:rsid w:val="007B634C"/>
    <w:rsid w:val="007B7309"/>
    <w:rsid w:val="007C023D"/>
    <w:rsid w:val="007C091F"/>
    <w:rsid w:val="007C0DF5"/>
    <w:rsid w:val="007C15D8"/>
    <w:rsid w:val="007C2B76"/>
    <w:rsid w:val="007C2BFB"/>
    <w:rsid w:val="007C59B1"/>
    <w:rsid w:val="007C71D1"/>
    <w:rsid w:val="007D15DC"/>
    <w:rsid w:val="007D5199"/>
    <w:rsid w:val="007D7B17"/>
    <w:rsid w:val="007E13FB"/>
    <w:rsid w:val="007E4AD2"/>
    <w:rsid w:val="007F1A1F"/>
    <w:rsid w:val="007F46A0"/>
    <w:rsid w:val="007F5173"/>
    <w:rsid w:val="00801CE0"/>
    <w:rsid w:val="00802153"/>
    <w:rsid w:val="008057A3"/>
    <w:rsid w:val="008057D8"/>
    <w:rsid w:val="0080762B"/>
    <w:rsid w:val="00823E29"/>
    <w:rsid w:val="0082415A"/>
    <w:rsid w:val="0082598E"/>
    <w:rsid w:val="0082609C"/>
    <w:rsid w:val="008264D7"/>
    <w:rsid w:val="00830E03"/>
    <w:rsid w:val="008312B2"/>
    <w:rsid w:val="0083198C"/>
    <w:rsid w:val="00831A86"/>
    <w:rsid w:val="008341A6"/>
    <w:rsid w:val="00855941"/>
    <w:rsid w:val="00855CAD"/>
    <w:rsid w:val="008560D7"/>
    <w:rsid w:val="00856D2B"/>
    <w:rsid w:val="00861C6B"/>
    <w:rsid w:val="0086319F"/>
    <w:rsid w:val="0086445E"/>
    <w:rsid w:val="00866E13"/>
    <w:rsid w:val="00871A60"/>
    <w:rsid w:val="008729AB"/>
    <w:rsid w:val="00872A2C"/>
    <w:rsid w:val="00873508"/>
    <w:rsid w:val="008749F8"/>
    <w:rsid w:val="00875A80"/>
    <w:rsid w:val="00875DD8"/>
    <w:rsid w:val="008776E8"/>
    <w:rsid w:val="008809C3"/>
    <w:rsid w:val="00886CB1"/>
    <w:rsid w:val="00886DB5"/>
    <w:rsid w:val="008879C1"/>
    <w:rsid w:val="0089734E"/>
    <w:rsid w:val="008A1F84"/>
    <w:rsid w:val="008A362B"/>
    <w:rsid w:val="008A5040"/>
    <w:rsid w:val="008A7705"/>
    <w:rsid w:val="008B20A7"/>
    <w:rsid w:val="008B23AC"/>
    <w:rsid w:val="008B534A"/>
    <w:rsid w:val="008C0FE4"/>
    <w:rsid w:val="008C317F"/>
    <w:rsid w:val="008C3590"/>
    <w:rsid w:val="008C35CD"/>
    <w:rsid w:val="008C3A8A"/>
    <w:rsid w:val="008C5F90"/>
    <w:rsid w:val="008D0447"/>
    <w:rsid w:val="008D065F"/>
    <w:rsid w:val="008D14BA"/>
    <w:rsid w:val="008D3550"/>
    <w:rsid w:val="008D4EE8"/>
    <w:rsid w:val="008E1C9F"/>
    <w:rsid w:val="008E3279"/>
    <w:rsid w:val="008E6743"/>
    <w:rsid w:val="008E7340"/>
    <w:rsid w:val="008F01FD"/>
    <w:rsid w:val="008F77BB"/>
    <w:rsid w:val="00904E6A"/>
    <w:rsid w:val="0091112C"/>
    <w:rsid w:val="00913958"/>
    <w:rsid w:val="009155EB"/>
    <w:rsid w:val="0091728E"/>
    <w:rsid w:val="00917EBF"/>
    <w:rsid w:val="00923E03"/>
    <w:rsid w:val="00923E6B"/>
    <w:rsid w:val="00925482"/>
    <w:rsid w:val="00931851"/>
    <w:rsid w:val="00932CA7"/>
    <w:rsid w:val="009343F1"/>
    <w:rsid w:val="00935719"/>
    <w:rsid w:val="00937F4C"/>
    <w:rsid w:val="0094070D"/>
    <w:rsid w:val="009418E1"/>
    <w:rsid w:val="0094428E"/>
    <w:rsid w:val="0094590A"/>
    <w:rsid w:val="00953045"/>
    <w:rsid w:val="0095475D"/>
    <w:rsid w:val="00954E37"/>
    <w:rsid w:val="00954ED3"/>
    <w:rsid w:val="00955D5D"/>
    <w:rsid w:val="00962AEA"/>
    <w:rsid w:val="00963AB7"/>
    <w:rsid w:val="00967A4C"/>
    <w:rsid w:val="00970D2C"/>
    <w:rsid w:val="0097262C"/>
    <w:rsid w:val="00980792"/>
    <w:rsid w:val="009926F4"/>
    <w:rsid w:val="00992829"/>
    <w:rsid w:val="00997ECB"/>
    <w:rsid w:val="009A04F7"/>
    <w:rsid w:val="009A14DC"/>
    <w:rsid w:val="009A1AAC"/>
    <w:rsid w:val="009A1D9C"/>
    <w:rsid w:val="009A576B"/>
    <w:rsid w:val="009A5824"/>
    <w:rsid w:val="009A6A32"/>
    <w:rsid w:val="009B0BED"/>
    <w:rsid w:val="009B4586"/>
    <w:rsid w:val="009B75CE"/>
    <w:rsid w:val="009C1CBE"/>
    <w:rsid w:val="009C2287"/>
    <w:rsid w:val="009C6265"/>
    <w:rsid w:val="009E0A5F"/>
    <w:rsid w:val="009E1A00"/>
    <w:rsid w:val="009E79B7"/>
    <w:rsid w:val="009F03CC"/>
    <w:rsid w:val="009F1E33"/>
    <w:rsid w:val="009F3B72"/>
    <w:rsid w:val="009F4776"/>
    <w:rsid w:val="009F5811"/>
    <w:rsid w:val="009F5C26"/>
    <w:rsid w:val="009F61D9"/>
    <w:rsid w:val="009F6C2C"/>
    <w:rsid w:val="009F7E4C"/>
    <w:rsid w:val="009F7EA7"/>
    <w:rsid w:val="00A00223"/>
    <w:rsid w:val="00A03C4B"/>
    <w:rsid w:val="00A070DB"/>
    <w:rsid w:val="00A11232"/>
    <w:rsid w:val="00A11627"/>
    <w:rsid w:val="00A15598"/>
    <w:rsid w:val="00A177CB"/>
    <w:rsid w:val="00A22808"/>
    <w:rsid w:val="00A24394"/>
    <w:rsid w:val="00A24A68"/>
    <w:rsid w:val="00A3058F"/>
    <w:rsid w:val="00A30B70"/>
    <w:rsid w:val="00A44637"/>
    <w:rsid w:val="00A44D90"/>
    <w:rsid w:val="00A45904"/>
    <w:rsid w:val="00A47C2B"/>
    <w:rsid w:val="00A507BE"/>
    <w:rsid w:val="00A50E37"/>
    <w:rsid w:val="00A55AFF"/>
    <w:rsid w:val="00A56A49"/>
    <w:rsid w:val="00A61EA6"/>
    <w:rsid w:val="00A65D39"/>
    <w:rsid w:val="00A67A2D"/>
    <w:rsid w:val="00A70D52"/>
    <w:rsid w:val="00A724DF"/>
    <w:rsid w:val="00A730BD"/>
    <w:rsid w:val="00A73229"/>
    <w:rsid w:val="00A80B43"/>
    <w:rsid w:val="00A812B5"/>
    <w:rsid w:val="00A827FE"/>
    <w:rsid w:val="00A84A88"/>
    <w:rsid w:val="00A84B95"/>
    <w:rsid w:val="00A914A0"/>
    <w:rsid w:val="00A976C3"/>
    <w:rsid w:val="00AA1962"/>
    <w:rsid w:val="00AA52E1"/>
    <w:rsid w:val="00AA5C0C"/>
    <w:rsid w:val="00AA6BD0"/>
    <w:rsid w:val="00AB1E17"/>
    <w:rsid w:val="00AB5CA1"/>
    <w:rsid w:val="00AB704F"/>
    <w:rsid w:val="00AC55E5"/>
    <w:rsid w:val="00AD0F47"/>
    <w:rsid w:val="00AD4FB7"/>
    <w:rsid w:val="00AD6E28"/>
    <w:rsid w:val="00AE03DD"/>
    <w:rsid w:val="00AE131A"/>
    <w:rsid w:val="00AE1A00"/>
    <w:rsid w:val="00AE3423"/>
    <w:rsid w:val="00AF31A0"/>
    <w:rsid w:val="00B02062"/>
    <w:rsid w:val="00B03012"/>
    <w:rsid w:val="00B0319E"/>
    <w:rsid w:val="00B0514A"/>
    <w:rsid w:val="00B065F8"/>
    <w:rsid w:val="00B07C07"/>
    <w:rsid w:val="00B10005"/>
    <w:rsid w:val="00B122E5"/>
    <w:rsid w:val="00B12B62"/>
    <w:rsid w:val="00B13A14"/>
    <w:rsid w:val="00B13EE4"/>
    <w:rsid w:val="00B20C48"/>
    <w:rsid w:val="00B2284E"/>
    <w:rsid w:val="00B33CF9"/>
    <w:rsid w:val="00B46021"/>
    <w:rsid w:val="00B4699D"/>
    <w:rsid w:val="00B46C6E"/>
    <w:rsid w:val="00B470D0"/>
    <w:rsid w:val="00B517F6"/>
    <w:rsid w:val="00B527CC"/>
    <w:rsid w:val="00B555C7"/>
    <w:rsid w:val="00B65F80"/>
    <w:rsid w:val="00B664D3"/>
    <w:rsid w:val="00B71375"/>
    <w:rsid w:val="00B73160"/>
    <w:rsid w:val="00B77C11"/>
    <w:rsid w:val="00B84185"/>
    <w:rsid w:val="00B90CB9"/>
    <w:rsid w:val="00B911EC"/>
    <w:rsid w:val="00B92230"/>
    <w:rsid w:val="00B95508"/>
    <w:rsid w:val="00B97EEF"/>
    <w:rsid w:val="00BA0577"/>
    <w:rsid w:val="00BA1C11"/>
    <w:rsid w:val="00BA2CDF"/>
    <w:rsid w:val="00BA3BD3"/>
    <w:rsid w:val="00BB04C3"/>
    <w:rsid w:val="00BB5588"/>
    <w:rsid w:val="00BC17A4"/>
    <w:rsid w:val="00BC3F4A"/>
    <w:rsid w:val="00BC54C9"/>
    <w:rsid w:val="00BC6228"/>
    <w:rsid w:val="00BD161A"/>
    <w:rsid w:val="00BE1DC7"/>
    <w:rsid w:val="00BE419A"/>
    <w:rsid w:val="00BE521A"/>
    <w:rsid w:val="00BE5F3B"/>
    <w:rsid w:val="00BE66F2"/>
    <w:rsid w:val="00C01D53"/>
    <w:rsid w:val="00C04A51"/>
    <w:rsid w:val="00C0605F"/>
    <w:rsid w:val="00C12D92"/>
    <w:rsid w:val="00C13437"/>
    <w:rsid w:val="00C233C5"/>
    <w:rsid w:val="00C243DB"/>
    <w:rsid w:val="00C26469"/>
    <w:rsid w:val="00C26AA1"/>
    <w:rsid w:val="00C34B05"/>
    <w:rsid w:val="00C35176"/>
    <w:rsid w:val="00C37820"/>
    <w:rsid w:val="00C4109D"/>
    <w:rsid w:val="00C42478"/>
    <w:rsid w:val="00C4367C"/>
    <w:rsid w:val="00C50127"/>
    <w:rsid w:val="00C5360E"/>
    <w:rsid w:val="00C550DC"/>
    <w:rsid w:val="00C55E9E"/>
    <w:rsid w:val="00C56310"/>
    <w:rsid w:val="00C57CA8"/>
    <w:rsid w:val="00C613FD"/>
    <w:rsid w:val="00C616D3"/>
    <w:rsid w:val="00C61727"/>
    <w:rsid w:val="00C66A49"/>
    <w:rsid w:val="00C67A5B"/>
    <w:rsid w:val="00C67FF4"/>
    <w:rsid w:val="00C72641"/>
    <w:rsid w:val="00C7469D"/>
    <w:rsid w:val="00C77D0D"/>
    <w:rsid w:val="00C823BB"/>
    <w:rsid w:val="00C862EC"/>
    <w:rsid w:val="00C87793"/>
    <w:rsid w:val="00C908C1"/>
    <w:rsid w:val="00C91D73"/>
    <w:rsid w:val="00C932EC"/>
    <w:rsid w:val="00CA015B"/>
    <w:rsid w:val="00CA207D"/>
    <w:rsid w:val="00CB0BE9"/>
    <w:rsid w:val="00CB5BBB"/>
    <w:rsid w:val="00CC032B"/>
    <w:rsid w:val="00CC5696"/>
    <w:rsid w:val="00CC5973"/>
    <w:rsid w:val="00CC59E3"/>
    <w:rsid w:val="00CC764F"/>
    <w:rsid w:val="00CD0C1D"/>
    <w:rsid w:val="00CD1A70"/>
    <w:rsid w:val="00CD230D"/>
    <w:rsid w:val="00CD4234"/>
    <w:rsid w:val="00CE2E10"/>
    <w:rsid w:val="00CE358F"/>
    <w:rsid w:val="00CE7D37"/>
    <w:rsid w:val="00CF784B"/>
    <w:rsid w:val="00CF7B00"/>
    <w:rsid w:val="00D01B28"/>
    <w:rsid w:val="00D0255A"/>
    <w:rsid w:val="00D07A32"/>
    <w:rsid w:val="00D1007C"/>
    <w:rsid w:val="00D116C8"/>
    <w:rsid w:val="00D15194"/>
    <w:rsid w:val="00D16878"/>
    <w:rsid w:val="00D211AE"/>
    <w:rsid w:val="00D24472"/>
    <w:rsid w:val="00D27AAC"/>
    <w:rsid w:val="00D30650"/>
    <w:rsid w:val="00D3065E"/>
    <w:rsid w:val="00D3466F"/>
    <w:rsid w:val="00D34A6A"/>
    <w:rsid w:val="00D35B7F"/>
    <w:rsid w:val="00D362CA"/>
    <w:rsid w:val="00D42AC8"/>
    <w:rsid w:val="00D43A46"/>
    <w:rsid w:val="00D44C7C"/>
    <w:rsid w:val="00D45C67"/>
    <w:rsid w:val="00D46E3F"/>
    <w:rsid w:val="00D4799C"/>
    <w:rsid w:val="00D52983"/>
    <w:rsid w:val="00D52D0C"/>
    <w:rsid w:val="00D5573C"/>
    <w:rsid w:val="00D57049"/>
    <w:rsid w:val="00D6089B"/>
    <w:rsid w:val="00D618BC"/>
    <w:rsid w:val="00D640BC"/>
    <w:rsid w:val="00D641AF"/>
    <w:rsid w:val="00D67207"/>
    <w:rsid w:val="00D7040E"/>
    <w:rsid w:val="00D71305"/>
    <w:rsid w:val="00D71DEB"/>
    <w:rsid w:val="00D73752"/>
    <w:rsid w:val="00D7513D"/>
    <w:rsid w:val="00D776D7"/>
    <w:rsid w:val="00D80E9B"/>
    <w:rsid w:val="00D82D30"/>
    <w:rsid w:val="00D8474E"/>
    <w:rsid w:val="00D84C1C"/>
    <w:rsid w:val="00D84CB1"/>
    <w:rsid w:val="00D857FE"/>
    <w:rsid w:val="00D908E5"/>
    <w:rsid w:val="00D92D5F"/>
    <w:rsid w:val="00D95410"/>
    <w:rsid w:val="00DA5DBB"/>
    <w:rsid w:val="00DB137D"/>
    <w:rsid w:val="00DB2066"/>
    <w:rsid w:val="00DB2D65"/>
    <w:rsid w:val="00DB6DA8"/>
    <w:rsid w:val="00DC03E4"/>
    <w:rsid w:val="00DC1125"/>
    <w:rsid w:val="00DC1377"/>
    <w:rsid w:val="00DC2871"/>
    <w:rsid w:val="00DC3671"/>
    <w:rsid w:val="00DC6851"/>
    <w:rsid w:val="00DD0DCE"/>
    <w:rsid w:val="00DD2577"/>
    <w:rsid w:val="00DD305A"/>
    <w:rsid w:val="00DD53ED"/>
    <w:rsid w:val="00DE1A51"/>
    <w:rsid w:val="00DE6353"/>
    <w:rsid w:val="00DF60A2"/>
    <w:rsid w:val="00E00106"/>
    <w:rsid w:val="00E03E51"/>
    <w:rsid w:val="00E05EE7"/>
    <w:rsid w:val="00E064C0"/>
    <w:rsid w:val="00E105D7"/>
    <w:rsid w:val="00E12B40"/>
    <w:rsid w:val="00E135AC"/>
    <w:rsid w:val="00E13D8D"/>
    <w:rsid w:val="00E17F82"/>
    <w:rsid w:val="00E21D32"/>
    <w:rsid w:val="00E252B3"/>
    <w:rsid w:val="00E27740"/>
    <w:rsid w:val="00E35905"/>
    <w:rsid w:val="00E42F47"/>
    <w:rsid w:val="00E43205"/>
    <w:rsid w:val="00E46659"/>
    <w:rsid w:val="00E468F3"/>
    <w:rsid w:val="00E50432"/>
    <w:rsid w:val="00E5125F"/>
    <w:rsid w:val="00E52504"/>
    <w:rsid w:val="00E5275A"/>
    <w:rsid w:val="00E53560"/>
    <w:rsid w:val="00E553D3"/>
    <w:rsid w:val="00E57CA3"/>
    <w:rsid w:val="00E65763"/>
    <w:rsid w:val="00E65C07"/>
    <w:rsid w:val="00E67A29"/>
    <w:rsid w:val="00E71B2D"/>
    <w:rsid w:val="00E72785"/>
    <w:rsid w:val="00E77DD3"/>
    <w:rsid w:val="00E84AB7"/>
    <w:rsid w:val="00E858C9"/>
    <w:rsid w:val="00E87124"/>
    <w:rsid w:val="00E924CE"/>
    <w:rsid w:val="00E9557D"/>
    <w:rsid w:val="00EA444C"/>
    <w:rsid w:val="00EB2091"/>
    <w:rsid w:val="00EC1798"/>
    <w:rsid w:val="00EC1B9E"/>
    <w:rsid w:val="00EC23E2"/>
    <w:rsid w:val="00EC36D7"/>
    <w:rsid w:val="00EC46EF"/>
    <w:rsid w:val="00EC682B"/>
    <w:rsid w:val="00EC7679"/>
    <w:rsid w:val="00ED39BC"/>
    <w:rsid w:val="00ED4079"/>
    <w:rsid w:val="00ED7A14"/>
    <w:rsid w:val="00EE1AF4"/>
    <w:rsid w:val="00EE68C9"/>
    <w:rsid w:val="00EE7E09"/>
    <w:rsid w:val="00EF1C56"/>
    <w:rsid w:val="00EF6E49"/>
    <w:rsid w:val="00EF706F"/>
    <w:rsid w:val="00EF7F5A"/>
    <w:rsid w:val="00F00408"/>
    <w:rsid w:val="00F02156"/>
    <w:rsid w:val="00F02E8E"/>
    <w:rsid w:val="00F03D4E"/>
    <w:rsid w:val="00F0690E"/>
    <w:rsid w:val="00F13B25"/>
    <w:rsid w:val="00F2108D"/>
    <w:rsid w:val="00F228C4"/>
    <w:rsid w:val="00F23D36"/>
    <w:rsid w:val="00F26796"/>
    <w:rsid w:val="00F268BC"/>
    <w:rsid w:val="00F30AAC"/>
    <w:rsid w:val="00F335CB"/>
    <w:rsid w:val="00F344FF"/>
    <w:rsid w:val="00F34890"/>
    <w:rsid w:val="00F374A2"/>
    <w:rsid w:val="00F40646"/>
    <w:rsid w:val="00F40811"/>
    <w:rsid w:val="00F43C59"/>
    <w:rsid w:val="00F4421D"/>
    <w:rsid w:val="00F44474"/>
    <w:rsid w:val="00F45983"/>
    <w:rsid w:val="00F4794B"/>
    <w:rsid w:val="00F5751D"/>
    <w:rsid w:val="00F606A4"/>
    <w:rsid w:val="00F60AC2"/>
    <w:rsid w:val="00F638CF"/>
    <w:rsid w:val="00F676F8"/>
    <w:rsid w:val="00F679C3"/>
    <w:rsid w:val="00F73B22"/>
    <w:rsid w:val="00F74668"/>
    <w:rsid w:val="00F749A2"/>
    <w:rsid w:val="00F763B1"/>
    <w:rsid w:val="00F8512C"/>
    <w:rsid w:val="00F851B9"/>
    <w:rsid w:val="00F87380"/>
    <w:rsid w:val="00FA2D7A"/>
    <w:rsid w:val="00FA2E4B"/>
    <w:rsid w:val="00FA4179"/>
    <w:rsid w:val="00FA6B43"/>
    <w:rsid w:val="00FA6FD9"/>
    <w:rsid w:val="00FB4DFD"/>
    <w:rsid w:val="00FB5FAC"/>
    <w:rsid w:val="00FC3C5B"/>
    <w:rsid w:val="00FC4E22"/>
    <w:rsid w:val="00FC6909"/>
    <w:rsid w:val="00FD312F"/>
    <w:rsid w:val="00FD3955"/>
    <w:rsid w:val="00FD682F"/>
    <w:rsid w:val="00FE17FD"/>
    <w:rsid w:val="00FE337A"/>
    <w:rsid w:val="00FE6CC0"/>
    <w:rsid w:val="00FF78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dat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16D3"/>
    <w:rPr>
      <w:sz w:val="24"/>
      <w:szCs w:val="24"/>
    </w:rPr>
  </w:style>
  <w:style w:type="paragraph" w:styleId="Heading1">
    <w:name w:val="heading 1"/>
    <w:basedOn w:val="Normal"/>
    <w:next w:val="Normal"/>
    <w:qFormat/>
    <w:rsid w:val="001770F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70F2"/>
    <w:pPr>
      <w:keepNext/>
      <w:jc w:val="center"/>
      <w:outlineLvl w:val="1"/>
    </w:pPr>
    <w:rPr>
      <w:u w:val="single"/>
    </w:rPr>
  </w:style>
  <w:style w:type="paragraph" w:styleId="Heading3">
    <w:name w:val="heading 3"/>
    <w:basedOn w:val="Normal"/>
    <w:next w:val="Normal"/>
    <w:link w:val="Heading3Char"/>
    <w:qFormat/>
    <w:rsid w:val="001770F2"/>
    <w:pPr>
      <w:keepNext/>
      <w:jc w:val="center"/>
      <w:outlineLvl w:val="2"/>
    </w:pPr>
    <w:rPr>
      <w:rFonts w:ascii="Palatino Linotype" w:hAnsi="Palatino Linotype"/>
      <w:b/>
      <w:bCs/>
    </w:rPr>
  </w:style>
  <w:style w:type="paragraph" w:styleId="Heading4">
    <w:name w:val="heading 4"/>
    <w:basedOn w:val="Normal"/>
    <w:next w:val="Normal"/>
    <w:link w:val="Heading4Char"/>
    <w:qFormat/>
    <w:rsid w:val="00D52D0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70F2"/>
    <w:pPr>
      <w:tabs>
        <w:tab w:val="center" w:pos="4320"/>
        <w:tab w:val="right" w:pos="8640"/>
      </w:tabs>
    </w:pPr>
  </w:style>
  <w:style w:type="paragraph" w:styleId="Footer">
    <w:name w:val="footer"/>
    <w:basedOn w:val="Normal"/>
    <w:rsid w:val="001770F2"/>
    <w:pPr>
      <w:tabs>
        <w:tab w:val="center" w:pos="4320"/>
        <w:tab w:val="right" w:pos="8640"/>
      </w:tabs>
    </w:pPr>
  </w:style>
  <w:style w:type="character" w:styleId="PageNumber">
    <w:name w:val="page number"/>
    <w:basedOn w:val="DefaultParagraphFont"/>
    <w:rsid w:val="001770F2"/>
  </w:style>
  <w:style w:type="paragraph" w:styleId="BodyText">
    <w:name w:val="Body Text"/>
    <w:basedOn w:val="Normal"/>
    <w:link w:val="BodyTextChar"/>
    <w:rsid w:val="001770F2"/>
    <w:pPr>
      <w:jc w:val="center"/>
    </w:pPr>
  </w:style>
  <w:style w:type="paragraph" w:customStyle="1" w:styleId="plain">
    <w:name w:val="plain"/>
    <w:basedOn w:val="Normal"/>
    <w:rsid w:val="001770F2"/>
    <w:pPr>
      <w:spacing w:line="240" w:lineRule="atLeast"/>
    </w:pPr>
    <w:rPr>
      <w:sz w:val="26"/>
      <w:szCs w:val="20"/>
    </w:rPr>
  </w:style>
  <w:style w:type="paragraph" w:customStyle="1" w:styleId="FindingsConclusions">
    <w:name w:val="Findings &amp; Conclusions"/>
    <w:basedOn w:val="Normal"/>
    <w:rsid w:val="001770F2"/>
    <w:pPr>
      <w:numPr>
        <w:numId w:val="10"/>
      </w:numPr>
    </w:pPr>
  </w:style>
  <w:style w:type="paragraph" w:styleId="BodyText3">
    <w:name w:val="Body Text 3"/>
    <w:basedOn w:val="Normal"/>
    <w:rsid w:val="001770F2"/>
    <w:pPr>
      <w:tabs>
        <w:tab w:val="left" w:pos="1152"/>
        <w:tab w:val="left" w:pos="2304"/>
        <w:tab w:val="left" w:pos="3456"/>
        <w:tab w:val="left" w:pos="4608"/>
        <w:tab w:val="left" w:pos="5760"/>
        <w:tab w:val="left" w:pos="6912"/>
        <w:tab w:val="left" w:pos="8064"/>
        <w:tab w:val="left" w:pos="9216"/>
      </w:tabs>
    </w:pPr>
    <w:rPr>
      <w:rFonts w:ascii="Arial" w:hAnsi="Arial"/>
      <w:b/>
      <w:szCs w:val="20"/>
    </w:rPr>
  </w:style>
  <w:style w:type="paragraph" w:styleId="BalloonText">
    <w:name w:val="Balloon Text"/>
    <w:basedOn w:val="Normal"/>
    <w:semiHidden/>
    <w:rsid w:val="00190527"/>
    <w:rPr>
      <w:rFonts w:ascii="Tahoma" w:hAnsi="Tahoma" w:cs="Tahoma"/>
      <w:sz w:val="16"/>
      <w:szCs w:val="16"/>
    </w:rPr>
  </w:style>
  <w:style w:type="table" w:styleId="TableGrid">
    <w:name w:val="Table Grid"/>
    <w:basedOn w:val="TableNormal"/>
    <w:rsid w:val="00471C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semiHidden/>
    <w:rsid w:val="00C616D3"/>
    <w:rPr>
      <w:sz w:val="22"/>
      <w:szCs w:val="20"/>
    </w:rPr>
  </w:style>
  <w:style w:type="character" w:styleId="FootnoteReference">
    <w:name w:val="footnote reference"/>
    <w:basedOn w:val="DefaultParagraphFont"/>
    <w:semiHidden/>
    <w:rsid w:val="00C67FF4"/>
    <w:rPr>
      <w:vertAlign w:val="superscript"/>
    </w:rPr>
  </w:style>
  <w:style w:type="character" w:customStyle="1" w:styleId="RCWSLText">
    <w:name w:val="RCWSLText"/>
    <w:basedOn w:val="DefaultParagraphFont"/>
    <w:rsid w:val="00C67FF4"/>
    <w:rPr>
      <w:rFonts w:ascii="Courier New" w:hAnsi="Courier New" w:cs="Courier New"/>
      <w:sz w:val="24"/>
      <w:szCs w:val="24"/>
      <w:lang w:val="en-US"/>
    </w:rPr>
  </w:style>
  <w:style w:type="character" w:styleId="Hyperlink">
    <w:name w:val="Hyperlink"/>
    <w:basedOn w:val="DefaultParagraphFont"/>
    <w:rsid w:val="00161D01"/>
    <w:rPr>
      <w:color w:val="0000FF"/>
      <w:u w:val="single"/>
    </w:rPr>
  </w:style>
  <w:style w:type="character" w:customStyle="1" w:styleId="Hypertext">
    <w:name w:val="Hypertext"/>
    <w:rsid w:val="00D52D0C"/>
    <w:rPr>
      <w:color w:val="0000FF"/>
      <w:u w:val="single"/>
    </w:rPr>
  </w:style>
  <w:style w:type="paragraph" w:customStyle="1" w:styleId="Level1">
    <w:name w:val="Level 1"/>
    <w:basedOn w:val="Normal"/>
    <w:rsid w:val="00F40811"/>
    <w:pPr>
      <w:widowControl w:val="0"/>
      <w:autoSpaceDE w:val="0"/>
      <w:autoSpaceDN w:val="0"/>
      <w:adjustRightInd w:val="0"/>
      <w:ind w:left="720" w:hanging="720"/>
    </w:pPr>
    <w:rPr>
      <w:rFonts w:ascii="Arial" w:hAnsi="Arial"/>
      <w:sz w:val="20"/>
    </w:rPr>
  </w:style>
  <w:style w:type="paragraph" w:styleId="ListParagraph">
    <w:name w:val="List Paragraph"/>
    <w:basedOn w:val="Normal"/>
    <w:uiPriority w:val="34"/>
    <w:qFormat/>
    <w:rsid w:val="0031555F"/>
    <w:pPr>
      <w:ind w:left="720"/>
    </w:pPr>
  </w:style>
  <w:style w:type="character" w:customStyle="1" w:styleId="Heading3Char">
    <w:name w:val="Heading 3 Char"/>
    <w:basedOn w:val="DefaultParagraphFont"/>
    <w:link w:val="Heading3"/>
    <w:rsid w:val="009A04F7"/>
    <w:rPr>
      <w:rFonts w:ascii="Palatino Linotype" w:hAnsi="Palatino Linotype"/>
      <w:b/>
      <w:bCs/>
      <w:sz w:val="24"/>
      <w:szCs w:val="24"/>
    </w:rPr>
  </w:style>
  <w:style w:type="character" w:customStyle="1" w:styleId="Heading4Char">
    <w:name w:val="Heading 4 Char"/>
    <w:basedOn w:val="DefaultParagraphFont"/>
    <w:link w:val="Heading4"/>
    <w:rsid w:val="009A04F7"/>
    <w:rPr>
      <w:b/>
      <w:bCs/>
      <w:sz w:val="28"/>
      <w:szCs w:val="28"/>
    </w:rPr>
  </w:style>
  <w:style w:type="character" w:styleId="CommentReference">
    <w:name w:val="annotation reference"/>
    <w:basedOn w:val="DefaultParagraphFont"/>
    <w:rsid w:val="00A070DB"/>
    <w:rPr>
      <w:sz w:val="16"/>
      <w:szCs w:val="16"/>
    </w:rPr>
  </w:style>
  <w:style w:type="paragraph" w:styleId="CommentText">
    <w:name w:val="annotation text"/>
    <w:basedOn w:val="Normal"/>
    <w:link w:val="CommentTextChar"/>
    <w:rsid w:val="00A070DB"/>
    <w:rPr>
      <w:sz w:val="20"/>
      <w:szCs w:val="20"/>
    </w:rPr>
  </w:style>
  <w:style w:type="character" w:customStyle="1" w:styleId="CommentTextChar">
    <w:name w:val="Comment Text Char"/>
    <w:basedOn w:val="DefaultParagraphFont"/>
    <w:link w:val="CommentText"/>
    <w:rsid w:val="00A070DB"/>
  </w:style>
  <w:style w:type="paragraph" w:styleId="CommentSubject">
    <w:name w:val="annotation subject"/>
    <w:basedOn w:val="CommentText"/>
    <w:next w:val="CommentText"/>
    <w:link w:val="CommentSubjectChar"/>
    <w:rsid w:val="00A070DB"/>
    <w:rPr>
      <w:b/>
      <w:bCs/>
    </w:rPr>
  </w:style>
  <w:style w:type="character" w:customStyle="1" w:styleId="CommentSubjectChar">
    <w:name w:val="Comment Subject Char"/>
    <w:basedOn w:val="CommentTextChar"/>
    <w:link w:val="CommentSubject"/>
    <w:rsid w:val="00A070DB"/>
    <w:rPr>
      <w:b/>
      <w:bCs/>
    </w:rPr>
  </w:style>
  <w:style w:type="paragraph" w:styleId="Revision">
    <w:name w:val="Revision"/>
    <w:hidden/>
    <w:uiPriority w:val="99"/>
    <w:semiHidden/>
    <w:rsid w:val="00A070DB"/>
    <w:rPr>
      <w:sz w:val="24"/>
      <w:szCs w:val="24"/>
    </w:rPr>
  </w:style>
  <w:style w:type="character" w:customStyle="1" w:styleId="Style125pt">
    <w:name w:val="Style 12.5 pt"/>
    <w:basedOn w:val="DefaultParagraphFont"/>
    <w:rsid w:val="00C616D3"/>
    <w:rPr>
      <w:rFonts w:ascii="Times New Roman" w:hAnsi="Times New Roman"/>
      <w:sz w:val="25"/>
    </w:rPr>
  </w:style>
  <w:style w:type="character" w:customStyle="1" w:styleId="BodyTextChar">
    <w:name w:val="Body Text Char"/>
    <w:basedOn w:val="DefaultParagraphFont"/>
    <w:link w:val="BodyText"/>
    <w:rsid w:val="00C616D3"/>
    <w:rPr>
      <w:sz w:val="24"/>
      <w:szCs w:val="24"/>
    </w:rPr>
  </w:style>
  <w:style w:type="paragraph" w:styleId="Title">
    <w:name w:val="Title"/>
    <w:basedOn w:val="Normal"/>
    <w:link w:val="TitleChar"/>
    <w:qFormat/>
    <w:rsid w:val="008D14BA"/>
    <w:pPr>
      <w:jc w:val="center"/>
    </w:pPr>
    <w:rPr>
      <w:rFonts w:ascii="Palatino Linotype" w:hAnsi="Palatino Linotype"/>
      <w:b/>
      <w:bCs/>
    </w:rPr>
  </w:style>
  <w:style w:type="character" w:customStyle="1" w:styleId="TitleChar">
    <w:name w:val="Title Char"/>
    <w:basedOn w:val="DefaultParagraphFont"/>
    <w:link w:val="Title"/>
    <w:rsid w:val="008D14BA"/>
    <w:rPr>
      <w:rFonts w:ascii="Palatino Linotype" w:hAnsi="Palatino Linotype"/>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Other</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2009-12-16T08:00:00+00:00</OpenedDate>
    <Date1 xmlns="dc463f71-b30c-4ab2-9473-d307f9d35888">2010-08-25T07:00:00+00:00</Date1>
    <IsDocumentOrder xmlns="dc463f71-b30c-4ab2-9473-d307f9d35888">true</IsDocumentOrder>
    <IsHighlyConfidential xmlns="dc463f71-b30c-4ab2-9473-d307f9d35888">false</IsHighlyConfidential>
    <CaseCompanyNames xmlns="dc463f71-b30c-4ab2-9473-d307f9d35888">Shuttle Express, Inc.</CaseCompanyNames>
    <DocketNumber xmlns="dc463f71-b30c-4ab2-9473-d307f9d35888">091931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198C545EAC77344A1E3D3AB3E35D50D" ma:contentTypeVersion="131" ma:contentTypeDescription="" ma:contentTypeScope="" ma:versionID="e8e213d527dd4768c477398682755b7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B59104-76D3-4C19-AC19-FB6DCEFFEE0B}"/>
</file>

<file path=customXml/itemProps2.xml><?xml version="1.0" encoding="utf-8"?>
<ds:datastoreItem xmlns:ds="http://schemas.openxmlformats.org/officeDocument/2006/customXml" ds:itemID="{A031ED5B-2E67-4D41-A677-176B1A9605FB}"/>
</file>

<file path=customXml/itemProps3.xml><?xml version="1.0" encoding="utf-8"?>
<ds:datastoreItem xmlns:ds="http://schemas.openxmlformats.org/officeDocument/2006/customXml" ds:itemID="{582B9FAA-A88B-4780-A69C-7282A21873FA}"/>
</file>

<file path=customXml/itemProps4.xml><?xml version="1.0" encoding="utf-8"?>
<ds:datastoreItem xmlns:ds="http://schemas.openxmlformats.org/officeDocument/2006/customXml" ds:itemID="{215E4E58-3D7F-449E-9EF3-68B41CF3208D}"/>
</file>

<file path=customXml/itemProps5.xml><?xml version="1.0" encoding="utf-8"?>
<ds:datastoreItem xmlns:ds="http://schemas.openxmlformats.org/officeDocument/2006/customXml" ds:itemID="{742021AE-803E-4A5F-9BA1-2D08B16563A2}"/>
</file>

<file path=docProps/app.xml><?xml version="1.0" encoding="utf-8"?>
<Properties xmlns="http://schemas.openxmlformats.org/officeDocument/2006/extended-properties" xmlns:vt="http://schemas.openxmlformats.org/officeDocument/2006/docPropsVTypes">
  <Template>Normal.dotm</Template>
  <TotalTime>0</TotalTime>
  <Pages>6</Pages>
  <Words>1641</Words>
  <Characters>9225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2010-08-24T21:41:00Z</dcterms:created>
  <dcterms:modified xsi:type="dcterms:W3CDTF">2010-08-25T15:00:00Z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0x0101006E56B4D1795A2E4DB2F0B01679ED314A001198C545EAC77344A1E3D3AB3E35D50D</vt:lpwstr>
  </property>
  <property fmtid="{D5CDD505-2E9C-101B-9397-08002B2CF9AE}" pid="3" name="_docset_NoMedatataSyncRequired">
    <vt:lpwstr>False</vt:lpwstr>
  </property>
</Properties>
</file>